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D1341" w14:textId="71D7F4BE" w:rsidR="009F0757" w:rsidRPr="00B55CD2" w:rsidRDefault="000A3D2B" w:rsidP="000A3D2B">
      <w:pPr>
        <w:pStyle w:val="Pagedecouverture"/>
        <w:rPr>
          <w:noProof/>
        </w:rPr>
      </w:pPr>
      <w:bookmarkStart w:id="0" w:name="LW_BM_COVERPAGE"/>
      <w:r>
        <w:rPr>
          <w:noProof/>
        </w:rPr>
        <w:pict w14:anchorId="68FEAC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D7BDF3E1-9211-49DB-87D9-5AA8F7D7A053" style="width:455.4pt;height:426.6pt">
            <v:imagedata r:id="rId11" o:title=""/>
          </v:shape>
        </w:pict>
      </w:r>
    </w:p>
    <w:bookmarkEnd w:id="0"/>
    <w:p w14:paraId="185D1342" w14:textId="77777777" w:rsidR="009F0757" w:rsidRPr="00B55CD2" w:rsidRDefault="009F0757" w:rsidP="009F0757">
      <w:pPr>
        <w:rPr>
          <w:noProof/>
        </w:rPr>
        <w:sectPr w:rsidR="009F0757" w:rsidRPr="00B55CD2" w:rsidSect="000A3D2B">
          <w:headerReference w:type="even" r:id="rId12"/>
          <w:headerReference w:type="default" r:id="rId13"/>
          <w:footerReference w:type="even" r:id="rId14"/>
          <w:footerReference w:type="default" r:id="rId15"/>
          <w:headerReference w:type="first" r:id="rId16"/>
          <w:footerReference w:type="first" r:id="rId17"/>
          <w:pgSz w:w="11906" w:h="16838"/>
          <w:pgMar w:top="1134" w:right="1417" w:bottom="1134" w:left="1417" w:header="709" w:footer="709" w:gutter="0"/>
          <w:pgNumType w:start="0"/>
          <w:cols w:space="720"/>
          <w:docGrid w:linePitch="360"/>
        </w:sectPr>
      </w:pPr>
    </w:p>
    <w:tbl>
      <w:tblPr>
        <w:tblStyle w:val="TableGrid"/>
        <w:tblW w:w="10065" w:type="dxa"/>
        <w:tblInd w:w="-318" w:type="dxa"/>
        <w:tblLook w:val="01E0" w:firstRow="1" w:lastRow="1" w:firstColumn="1" w:lastColumn="1" w:noHBand="0" w:noVBand="0"/>
      </w:tblPr>
      <w:tblGrid>
        <w:gridCol w:w="10065"/>
      </w:tblGrid>
      <w:tr w:rsidR="00FA2EB7" w:rsidRPr="00B55CD2" w14:paraId="185D1344" w14:textId="77777777" w:rsidTr="00FA2EB7">
        <w:tc>
          <w:tcPr>
            <w:tcW w:w="10065" w:type="dxa"/>
            <w:tcBorders>
              <w:bottom w:val="single" w:sz="4" w:space="0" w:color="auto"/>
            </w:tcBorders>
            <w:shd w:val="clear" w:color="auto" w:fill="CCCCCC"/>
          </w:tcPr>
          <w:p w14:paraId="185D1343" w14:textId="5F2FAC3A" w:rsidR="00FA2EB7" w:rsidRPr="00B55CD2" w:rsidRDefault="00FA2EB7" w:rsidP="009E1E0E">
            <w:pPr>
              <w:tabs>
                <w:tab w:val="left" w:pos="2309"/>
              </w:tabs>
              <w:spacing w:before="60" w:after="60"/>
              <w:jc w:val="center"/>
              <w:rPr>
                <w:rFonts w:ascii="Tahoma" w:hAnsi="Tahoma" w:cs="Tahoma"/>
                <w:b/>
                <w:noProof/>
              </w:rPr>
            </w:pPr>
            <w:r>
              <w:rPr>
                <w:rFonts w:ascii="Tahoma" w:hAnsi="Tahoma"/>
                <w:b/>
                <w:noProof/>
              </w:rPr>
              <w:lastRenderedPageBreak/>
              <w:t xml:space="preserve">Samenvatting </w:t>
            </w:r>
          </w:p>
        </w:tc>
      </w:tr>
      <w:tr w:rsidR="00FA2EB7" w:rsidRPr="00B55CD2" w14:paraId="185D1346" w14:textId="77777777" w:rsidTr="00FA2EB7">
        <w:tc>
          <w:tcPr>
            <w:tcW w:w="10065" w:type="dxa"/>
            <w:tcBorders>
              <w:top w:val="single" w:sz="4" w:space="0" w:color="auto"/>
              <w:left w:val="single" w:sz="4" w:space="0" w:color="auto"/>
              <w:bottom w:val="single" w:sz="4" w:space="0" w:color="auto"/>
              <w:right w:val="single" w:sz="4" w:space="0" w:color="auto"/>
            </w:tcBorders>
            <w:shd w:val="clear" w:color="auto" w:fill="5B9BD5" w:themeFill="accent1"/>
          </w:tcPr>
          <w:p w14:paraId="185D1345" w14:textId="04BD2C84" w:rsidR="00FA2EB7" w:rsidRPr="00B55CD2" w:rsidRDefault="00FA2EB7" w:rsidP="009E1E0E">
            <w:pPr>
              <w:jc w:val="both"/>
              <w:rPr>
                <w:rFonts w:ascii="Tahoma" w:hAnsi="Tahoma" w:cs="Tahoma"/>
                <w:noProof/>
              </w:rPr>
            </w:pPr>
            <w:r>
              <w:rPr>
                <w:rFonts w:ascii="Tahoma" w:hAnsi="Tahoma"/>
                <w:noProof/>
              </w:rPr>
              <w:t xml:space="preserve">Effectbeoordeling bij het voorstel voor een RICHTLIJN VAN HET EUROPEES PARLEMENT EN DE RAAD tot wijziging van Richtlijn 2011/93/EU ter bestrijding van seksueel misbruik en seksuele uitbuiting van kinderen en </w:t>
            </w:r>
            <w:r w:rsidR="001C712C" w:rsidRPr="00944571">
              <w:rPr>
                <w:rFonts w:ascii="Tahoma" w:hAnsi="Tahoma"/>
                <w:noProof/>
              </w:rPr>
              <w:t>van materiaal van seksueel misbruik van kinderen</w:t>
            </w:r>
            <w:r>
              <w:rPr>
                <w:rFonts w:ascii="Tahoma" w:hAnsi="Tahoma"/>
                <w:noProof/>
              </w:rPr>
              <w:t>, en ter vervanging van Kaderbesluit 2004/68/JBZ van de Raad</w:t>
            </w:r>
          </w:p>
        </w:tc>
      </w:tr>
      <w:tr w:rsidR="00FA2EB7" w:rsidRPr="00B55CD2" w14:paraId="185D1348" w14:textId="77777777" w:rsidTr="00FA2EB7">
        <w:tc>
          <w:tcPr>
            <w:tcW w:w="10065" w:type="dxa"/>
            <w:tcBorders>
              <w:bottom w:val="single" w:sz="4" w:space="0" w:color="auto"/>
            </w:tcBorders>
            <w:shd w:val="clear" w:color="auto" w:fill="CCCCCC"/>
          </w:tcPr>
          <w:p w14:paraId="185D1347" w14:textId="77777777" w:rsidR="00FA2EB7" w:rsidRPr="00B55CD2" w:rsidRDefault="00FA2EB7" w:rsidP="009E1E0E">
            <w:pPr>
              <w:tabs>
                <w:tab w:val="left" w:pos="2309"/>
              </w:tabs>
              <w:spacing w:before="60" w:after="60"/>
              <w:rPr>
                <w:rFonts w:ascii="Tahoma" w:hAnsi="Tahoma" w:cs="Tahoma"/>
                <w:b/>
                <w:noProof/>
              </w:rPr>
            </w:pPr>
            <w:r>
              <w:rPr>
                <w:rFonts w:ascii="Tahoma" w:hAnsi="Tahoma"/>
                <w:b/>
                <w:noProof/>
              </w:rPr>
              <w:t>A. Behoefte aan actie</w:t>
            </w:r>
            <w:r>
              <w:rPr>
                <w:rFonts w:ascii="Tahoma" w:hAnsi="Tahoma"/>
                <w:b/>
                <w:noProof/>
              </w:rPr>
              <w:tab/>
            </w:r>
          </w:p>
        </w:tc>
      </w:tr>
      <w:tr w:rsidR="00FA2EB7" w:rsidRPr="00B55CD2" w14:paraId="185D134A" w14:textId="77777777" w:rsidTr="00FA2EB7">
        <w:tc>
          <w:tcPr>
            <w:tcW w:w="10065" w:type="dxa"/>
            <w:tcBorders>
              <w:bottom w:val="single" w:sz="4" w:space="0" w:color="auto"/>
            </w:tcBorders>
            <w:shd w:val="clear" w:color="auto" w:fill="E0E0E0"/>
          </w:tcPr>
          <w:p w14:paraId="185D1349" w14:textId="7ACF97EE" w:rsidR="00FA2EB7" w:rsidRPr="00B55CD2" w:rsidRDefault="00E7706C" w:rsidP="009E1E0E">
            <w:pPr>
              <w:pStyle w:val="Default"/>
              <w:jc w:val="both"/>
              <w:rPr>
                <w:rFonts w:ascii="Tahoma" w:hAnsi="Tahoma" w:cs="Tahoma"/>
                <w:noProof/>
                <w:sz w:val="20"/>
                <w:szCs w:val="20"/>
              </w:rPr>
            </w:pPr>
            <w:r>
              <w:rPr>
                <w:rFonts w:ascii="Tahoma" w:hAnsi="Tahoma"/>
                <w:b/>
                <w:noProof/>
                <w:sz w:val="20"/>
              </w:rPr>
              <w:t xml:space="preserve">Waarom? Wat is het probleem? </w:t>
            </w:r>
          </w:p>
        </w:tc>
      </w:tr>
      <w:tr w:rsidR="00FA2EB7" w:rsidRPr="00B55CD2" w14:paraId="185D1351" w14:textId="77777777" w:rsidTr="008F0DCD">
        <w:trPr>
          <w:trHeight w:val="4182"/>
        </w:trPr>
        <w:tc>
          <w:tcPr>
            <w:tcW w:w="10065" w:type="dxa"/>
            <w:tcBorders>
              <w:bottom w:val="single" w:sz="4" w:space="0" w:color="auto"/>
            </w:tcBorders>
            <w:shd w:val="clear" w:color="auto" w:fill="auto"/>
          </w:tcPr>
          <w:p w14:paraId="2A9735D2" w14:textId="145E73C4" w:rsidR="0069183D" w:rsidRPr="00B55CD2" w:rsidRDefault="008F566F" w:rsidP="0069183D">
            <w:pPr>
              <w:jc w:val="both"/>
              <w:rPr>
                <w:rFonts w:ascii="Tahoma" w:hAnsi="Tahoma" w:cs="Tahoma"/>
                <w:bCs/>
                <w:noProof/>
                <w:color w:val="000000"/>
              </w:rPr>
            </w:pPr>
            <w:r>
              <w:rPr>
                <w:rFonts w:ascii="Tahoma" w:hAnsi="Tahoma"/>
                <w:noProof/>
                <w:color w:val="000000"/>
              </w:rPr>
              <w:t xml:space="preserve">Seksueel misbruik van kinderen tast de </w:t>
            </w:r>
            <w:r>
              <w:rPr>
                <w:rFonts w:ascii="Tahoma" w:hAnsi="Tahoma"/>
                <w:b/>
                <w:bCs/>
                <w:noProof/>
                <w:color w:val="000000"/>
              </w:rPr>
              <w:t>openbare veiligheid</w:t>
            </w:r>
            <w:r>
              <w:rPr>
                <w:rFonts w:ascii="Tahoma" w:hAnsi="Tahoma"/>
                <w:noProof/>
                <w:color w:val="000000"/>
              </w:rPr>
              <w:t xml:space="preserve"> in de EU aan en </w:t>
            </w:r>
            <w:r>
              <w:rPr>
                <w:rFonts w:ascii="Tahoma" w:hAnsi="Tahoma"/>
                <w:b/>
                <w:bCs/>
                <w:noProof/>
                <w:color w:val="000000"/>
              </w:rPr>
              <w:t xml:space="preserve">schendt de </w:t>
            </w:r>
            <w:r>
              <w:rPr>
                <w:rFonts w:ascii="Tahoma" w:hAnsi="Tahoma"/>
                <w:noProof/>
                <w:color w:val="000000"/>
              </w:rPr>
              <w:t xml:space="preserve">in het Handvest neergelegde </w:t>
            </w:r>
            <w:r>
              <w:rPr>
                <w:rFonts w:ascii="Tahoma" w:hAnsi="Tahoma"/>
                <w:b/>
                <w:bCs/>
                <w:noProof/>
                <w:color w:val="000000"/>
              </w:rPr>
              <w:t>grondrechten van kinderen</w:t>
            </w:r>
            <w:r>
              <w:rPr>
                <w:rFonts w:ascii="Tahoma" w:hAnsi="Tahoma"/>
                <w:noProof/>
                <w:color w:val="000000"/>
              </w:rPr>
              <w:t xml:space="preserve">. Het is een </w:t>
            </w:r>
            <w:r>
              <w:rPr>
                <w:rFonts w:ascii="Tahoma" w:hAnsi="Tahoma"/>
                <w:b/>
                <w:bCs/>
                <w:noProof/>
                <w:color w:val="000000"/>
              </w:rPr>
              <w:t>probleem voor de volksgezondheid</w:t>
            </w:r>
            <w:r>
              <w:rPr>
                <w:rFonts w:ascii="Tahoma" w:hAnsi="Tahoma"/>
                <w:noProof/>
                <w:color w:val="000000"/>
              </w:rPr>
              <w:t xml:space="preserve"> dat bijdraagt tot een wereldwijde last door een verhoogd risico op ernstige geestelijke en lichamelijke gezondheidsproblemen gedurende het gehele leven, en dat een economische last vormt voor burgers, gezinnen en samenlevingen. Er is sprake van een aanzienlijke onderrapportage, omdat veel slachtoffers niet naar buiten durven treden vanwege hun jonge leeftijd en de omstandigheden van het misbruik, dat vaak plaatsvindt in familiekring of in een andere vertrouwde omgeving. Wat seksueel misbruik van kinderen op afstand via livestreaming betreft, blijven de mogelijkheden om strafbare feiten te onderzoeken en te vervolgen zeer beperkt, zelfs wanneer dergelijke misdrijven worden gemeld of anderszins worden ontdekt. De strafrechtelijke respons op seksueel misbruik van kinderen moet daarom verder worden versterkt om lacunes aan te pakken die zijn blijven bestaan of zijn ontstaan sinds het oorspronkelijke EU-kader in 2011 werd vastgesteld. Het probleem kan als volgt worden samengevat:</w:t>
            </w:r>
          </w:p>
          <w:p w14:paraId="32A676EE" w14:textId="6463272E" w:rsidR="0069183D" w:rsidRPr="00B55CD2" w:rsidRDefault="0069183D" w:rsidP="0069183D">
            <w:pPr>
              <w:pStyle w:val="ListParagraph"/>
              <w:numPr>
                <w:ilvl w:val="0"/>
                <w:numId w:val="2"/>
              </w:numPr>
              <w:spacing w:after="0" w:line="240" w:lineRule="auto"/>
              <w:jc w:val="both"/>
              <w:rPr>
                <w:rFonts w:ascii="Tahoma" w:hAnsi="Tahoma" w:cs="Tahoma"/>
                <w:bCs/>
                <w:noProof/>
                <w:color w:val="000000"/>
              </w:rPr>
            </w:pPr>
            <w:r>
              <w:rPr>
                <w:rFonts w:ascii="Tahoma" w:hAnsi="Tahoma"/>
                <w:noProof/>
                <w:color w:val="000000"/>
              </w:rPr>
              <w:t xml:space="preserve">de </w:t>
            </w:r>
            <w:r>
              <w:rPr>
                <w:rFonts w:ascii="Tahoma" w:hAnsi="Tahoma"/>
                <w:b/>
                <w:bCs/>
                <w:noProof/>
                <w:color w:val="000000"/>
              </w:rPr>
              <w:t>toegenomen online aanwezigheid</w:t>
            </w:r>
            <w:r>
              <w:rPr>
                <w:rFonts w:ascii="Tahoma" w:hAnsi="Tahoma"/>
                <w:noProof/>
                <w:color w:val="000000"/>
              </w:rPr>
              <w:t xml:space="preserve"> van kinderen en de meest recente technologische ontwikkelingen, zoals alomtegenwoordige livestreaming en virtuele werelden, creëren nieuwe mogelijkheden voor misbruik omdat kinderen vaak online worden benaderd of </w:t>
            </w:r>
            <w:r w:rsidR="009A212F">
              <w:rPr>
                <w:rFonts w:ascii="Tahoma" w:hAnsi="Tahoma"/>
                <w:noProof/>
                <w:color w:val="000000"/>
              </w:rPr>
              <w:t xml:space="preserve">omdat </w:t>
            </w:r>
            <w:r>
              <w:rPr>
                <w:rFonts w:ascii="Tahoma" w:hAnsi="Tahoma"/>
                <w:noProof/>
                <w:color w:val="000000"/>
              </w:rPr>
              <w:t>seksueel misbruik wordt gelivestreamd als een dienst op bestelling;</w:t>
            </w:r>
          </w:p>
          <w:p w14:paraId="164DC990" w14:textId="3E07D9C2" w:rsidR="00E7706C" w:rsidRPr="00B55CD2" w:rsidRDefault="0069183D" w:rsidP="0069183D">
            <w:pPr>
              <w:pStyle w:val="ListParagraph"/>
              <w:numPr>
                <w:ilvl w:val="0"/>
                <w:numId w:val="2"/>
              </w:numPr>
              <w:spacing w:after="0" w:line="240" w:lineRule="auto"/>
              <w:jc w:val="both"/>
              <w:rPr>
                <w:rFonts w:ascii="Tahoma" w:hAnsi="Tahoma" w:cs="Tahoma"/>
                <w:bCs/>
                <w:noProof/>
                <w:color w:val="000000"/>
              </w:rPr>
            </w:pPr>
            <w:r>
              <w:rPr>
                <w:rFonts w:ascii="Tahoma" w:hAnsi="Tahoma"/>
                <w:noProof/>
                <w:color w:val="000000"/>
              </w:rPr>
              <w:t xml:space="preserve">de </w:t>
            </w:r>
            <w:r>
              <w:rPr>
                <w:rFonts w:ascii="Tahoma" w:hAnsi="Tahoma"/>
                <w:b/>
                <w:bCs/>
                <w:noProof/>
                <w:color w:val="000000"/>
              </w:rPr>
              <w:t>uiteenlopende rechtskaders</w:t>
            </w:r>
            <w:r>
              <w:rPr>
                <w:rFonts w:ascii="Tahoma" w:hAnsi="Tahoma"/>
                <w:noProof/>
                <w:color w:val="000000"/>
              </w:rPr>
              <w:t xml:space="preserve"> in de lidstaten met betrekking tot onderzoek en vervolging maken het niet mogelijk seksueel misbruik en seksuele uitbuiting van kinderen doeltreffend te bestrijden, met name gezien de onlinedimensie ervan. Dit brengt uitdagingen voor de rechtshandhaving met zich mee, aangezien het moeilijk is daders te identificeren en bewijsmateriaal te verzamelen.</w:t>
            </w:r>
          </w:p>
          <w:p w14:paraId="372D6453" w14:textId="1A8BC89D" w:rsidR="0069183D" w:rsidRPr="00B55CD2" w:rsidRDefault="00E7706C" w:rsidP="00E7706C">
            <w:pPr>
              <w:jc w:val="both"/>
              <w:rPr>
                <w:rFonts w:ascii="Tahoma" w:hAnsi="Tahoma" w:cs="Tahoma"/>
                <w:bCs/>
                <w:noProof/>
                <w:color w:val="000000"/>
              </w:rPr>
            </w:pPr>
            <w:r>
              <w:rPr>
                <w:rFonts w:ascii="Tahoma" w:hAnsi="Tahoma"/>
                <w:noProof/>
                <w:color w:val="000000"/>
              </w:rPr>
              <w:t>In de praktijk leidt de combinatie van de twee hierboven beschreven problemen tot een wijdverbreide straffeloosheid voor ernstige misdrijven die een levenslange impact hebben op minderjarige slachtoffers;</w:t>
            </w:r>
          </w:p>
          <w:p w14:paraId="185D1350" w14:textId="0DD4F850" w:rsidR="00FA2EB7" w:rsidRPr="00B55CD2" w:rsidRDefault="0069183D" w:rsidP="0069183D">
            <w:pPr>
              <w:pStyle w:val="ListParagraph"/>
              <w:numPr>
                <w:ilvl w:val="0"/>
                <w:numId w:val="2"/>
              </w:numPr>
              <w:spacing w:after="0" w:line="240" w:lineRule="auto"/>
              <w:jc w:val="both"/>
              <w:rPr>
                <w:rFonts w:ascii="Tahoma" w:hAnsi="Tahoma" w:cs="Tahoma"/>
                <w:bCs/>
                <w:noProof/>
                <w:color w:val="000000"/>
              </w:rPr>
            </w:pPr>
            <w:r>
              <w:rPr>
                <w:rFonts w:ascii="Tahoma" w:hAnsi="Tahoma"/>
                <w:noProof/>
                <w:color w:val="000000"/>
              </w:rPr>
              <w:t xml:space="preserve">de inspanningen om </w:t>
            </w:r>
            <w:r>
              <w:rPr>
                <w:rFonts w:ascii="Tahoma" w:hAnsi="Tahoma"/>
                <w:b/>
                <w:bCs/>
                <w:noProof/>
                <w:color w:val="000000"/>
              </w:rPr>
              <w:t>seksueel misbruik van kinderen</w:t>
            </w:r>
            <w:r>
              <w:rPr>
                <w:rFonts w:ascii="Tahoma" w:hAnsi="Tahoma"/>
                <w:noProof/>
                <w:color w:val="000000"/>
              </w:rPr>
              <w:t xml:space="preserve"> </w:t>
            </w:r>
            <w:r>
              <w:rPr>
                <w:rFonts w:ascii="Tahoma" w:hAnsi="Tahoma"/>
                <w:b/>
                <w:bCs/>
                <w:noProof/>
                <w:color w:val="000000"/>
              </w:rPr>
              <w:t>te</w:t>
            </w:r>
            <w:r>
              <w:rPr>
                <w:rFonts w:ascii="Tahoma" w:hAnsi="Tahoma"/>
                <w:noProof/>
                <w:color w:val="000000"/>
              </w:rPr>
              <w:t xml:space="preserve"> </w:t>
            </w:r>
            <w:r>
              <w:rPr>
                <w:rFonts w:ascii="Tahoma" w:hAnsi="Tahoma"/>
                <w:b/>
                <w:bCs/>
                <w:noProof/>
                <w:color w:val="000000"/>
              </w:rPr>
              <w:t>voorkomen</w:t>
            </w:r>
            <w:r>
              <w:rPr>
                <w:rFonts w:ascii="Tahoma" w:hAnsi="Tahoma"/>
                <w:noProof/>
                <w:color w:val="000000"/>
              </w:rPr>
              <w:t xml:space="preserve"> en </w:t>
            </w:r>
            <w:r>
              <w:rPr>
                <w:rFonts w:ascii="Tahoma" w:hAnsi="Tahoma"/>
                <w:b/>
                <w:bCs/>
                <w:noProof/>
                <w:color w:val="000000"/>
              </w:rPr>
              <w:t>slachtoffers bij te staan</w:t>
            </w:r>
            <w:r>
              <w:rPr>
                <w:rFonts w:ascii="Tahoma" w:hAnsi="Tahoma"/>
                <w:noProof/>
                <w:color w:val="000000"/>
              </w:rPr>
              <w:t xml:space="preserve">, hebben nog steeds een </w:t>
            </w:r>
            <w:r>
              <w:rPr>
                <w:rFonts w:ascii="Tahoma" w:hAnsi="Tahoma"/>
                <w:b/>
                <w:bCs/>
                <w:noProof/>
                <w:color w:val="000000"/>
              </w:rPr>
              <w:t>beperkt</w:t>
            </w:r>
            <w:r>
              <w:rPr>
                <w:rFonts w:ascii="Tahoma" w:hAnsi="Tahoma"/>
                <w:noProof/>
                <w:color w:val="000000"/>
              </w:rPr>
              <w:t xml:space="preserve"> karakter, hebben een onzekere doeltreffendheid en worden onvoldoende gecoördineerd tussen de relevante belanghebbenden.</w:t>
            </w:r>
          </w:p>
        </w:tc>
      </w:tr>
      <w:tr w:rsidR="00FA2EB7" w:rsidRPr="00B55CD2" w14:paraId="185D1353" w14:textId="77777777" w:rsidTr="00FA2EB7">
        <w:tc>
          <w:tcPr>
            <w:tcW w:w="10065" w:type="dxa"/>
            <w:tcBorders>
              <w:bottom w:val="single" w:sz="4" w:space="0" w:color="auto"/>
            </w:tcBorders>
            <w:shd w:val="clear" w:color="auto" w:fill="E6E6E6"/>
          </w:tcPr>
          <w:p w14:paraId="185D1352" w14:textId="51BFFE31" w:rsidR="00FA2EB7" w:rsidRPr="00B55CD2" w:rsidRDefault="00FA2EB7" w:rsidP="009E1E0E">
            <w:pPr>
              <w:pStyle w:val="Default"/>
              <w:keepNext/>
              <w:jc w:val="both"/>
              <w:rPr>
                <w:rFonts w:ascii="Tahoma" w:hAnsi="Tahoma" w:cs="Tahoma"/>
                <w:noProof/>
                <w:sz w:val="20"/>
                <w:szCs w:val="20"/>
              </w:rPr>
            </w:pPr>
            <w:r>
              <w:rPr>
                <w:rFonts w:ascii="Tahoma" w:hAnsi="Tahoma"/>
                <w:b/>
                <w:noProof/>
                <w:sz w:val="20"/>
              </w:rPr>
              <w:t xml:space="preserve">Wat is het doel van dit initiatief? </w:t>
            </w:r>
          </w:p>
        </w:tc>
      </w:tr>
      <w:tr w:rsidR="00FA2EB7" w:rsidRPr="00B55CD2" w14:paraId="185D1356" w14:textId="77777777" w:rsidTr="009C428F">
        <w:trPr>
          <w:trHeight w:val="3282"/>
        </w:trPr>
        <w:tc>
          <w:tcPr>
            <w:tcW w:w="10065" w:type="dxa"/>
            <w:tcBorders>
              <w:bottom w:val="single" w:sz="4" w:space="0" w:color="auto"/>
            </w:tcBorders>
            <w:shd w:val="clear" w:color="auto" w:fill="auto"/>
          </w:tcPr>
          <w:p w14:paraId="185D1355" w14:textId="11EAEB4E" w:rsidR="00FA2EB7" w:rsidRPr="00B55CD2" w:rsidRDefault="000F6DFE" w:rsidP="0069183D">
            <w:pPr>
              <w:pStyle w:val="TableText"/>
              <w:framePr w:hSpace="0" w:wrap="auto" w:vAnchor="margin" w:hAnchor="text" w:xAlign="left" w:yAlign="inline"/>
              <w:suppressAutoHyphens/>
              <w:jc w:val="both"/>
              <w:rPr>
                <w:rFonts w:ascii="Tahoma" w:eastAsia="Times New Roman" w:hAnsi="Tahoma" w:cs="Tahoma"/>
                <w:noProof/>
              </w:rPr>
            </w:pPr>
            <w:r>
              <w:rPr>
                <w:rFonts w:ascii="Tahoma" w:hAnsi="Tahoma"/>
                <w:noProof/>
              </w:rPr>
              <w:t xml:space="preserve">Naast de regulering van de rol van aanbieders van onlinediensten, die de Commissie heeft behandeld in haar voorstel van mei 2022 voor een verordening tot vaststelling van regels ter voorkoming en bestrijding van seksueel misbruik van kinderen (COM(2022) 209), moet het bestaande strafrechtelijke kader worden uitgebreid om de doeltreffendheid ervan te waarborgen. De algemene doelstelling is de </w:t>
            </w:r>
            <w:r>
              <w:rPr>
                <w:rFonts w:ascii="Tahoma" w:hAnsi="Tahoma"/>
                <w:b/>
                <w:bCs/>
                <w:noProof/>
              </w:rPr>
              <w:t>identificatie, bescherming en ondersteuning van slachtoffers</w:t>
            </w:r>
            <w:r>
              <w:rPr>
                <w:rFonts w:ascii="Tahoma" w:hAnsi="Tahoma"/>
                <w:noProof/>
              </w:rPr>
              <w:t xml:space="preserve"> van seksueel misbruik van kinderen te </w:t>
            </w:r>
            <w:r>
              <w:rPr>
                <w:rFonts w:ascii="Tahoma" w:hAnsi="Tahoma"/>
                <w:b/>
                <w:bCs/>
                <w:noProof/>
              </w:rPr>
              <w:t>verbeteren</w:t>
            </w:r>
            <w:r>
              <w:rPr>
                <w:rFonts w:ascii="Tahoma" w:hAnsi="Tahoma"/>
                <w:noProof/>
              </w:rPr>
              <w:t xml:space="preserve">, </w:t>
            </w:r>
            <w:r>
              <w:rPr>
                <w:rFonts w:ascii="Tahoma" w:hAnsi="Tahoma"/>
                <w:b/>
                <w:bCs/>
                <w:noProof/>
              </w:rPr>
              <w:t>doeltreffende preventie</w:t>
            </w:r>
            <w:r>
              <w:rPr>
                <w:rFonts w:ascii="Tahoma" w:hAnsi="Tahoma"/>
                <w:noProof/>
              </w:rPr>
              <w:t xml:space="preserve"> te waarborgen en </w:t>
            </w:r>
            <w:r>
              <w:rPr>
                <w:rFonts w:ascii="Tahoma" w:hAnsi="Tahoma"/>
                <w:b/>
                <w:bCs/>
                <w:noProof/>
              </w:rPr>
              <w:t>onderzoeken</w:t>
            </w:r>
            <w:r>
              <w:rPr>
                <w:rFonts w:ascii="Tahoma" w:hAnsi="Tahoma"/>
                <w:noProof/>
              </w:rPr>
              <w:t xml:space="preserve"> te </w:t>
            </w:r>
            <w:r>
              <w:rPr>
                <w:rFonts w:ascii="Tahoma" w:hAnsi="Tahoma"/>
                <w:b/>
                <w:bCs/>
                <w:noProof/>
              </w:rPr>
              <w:t>vergemakkelijken</w:t>
            </w:r>
            <w:r>
              <w:rPr>
                <w:rFonts w:ascii="Tahoma" w:hAnsi="Tahoma"/>
                <w:noProof/>
              </w:rPr>
              <w:t>. De specifieke doelstellingen zijn: (1) ervoor zorgen dat alle vormen van online seksueel misbruik en seksuele uitbuiting van kinderen strafbaar worden gesteld; (2) ervoor zorgen dat de nationale regels inzake onderzoek en vervolging een doeltreffende bestrijding van seksueel misbruik en seksuele uitbuiting van kinderen mogelijk maken, en (3) preventie en de bescherming en ondersteuning van en de bijstand aan slachtoffers verbeteren, de lidstaten verplichten systematisch statistieken over seksueel misbruik van kinderen te verzamelen en zorgen voor meer coördinatie tussen de lidstaten en, op nationaal niveau, tussen alle betrokken partijen. Het voorstel voorziet ook in een actualisering van de terminologie van het bestaande kader, waarbij de term “kinderpornografie” overal wordt vervangen door “materiaal van seksueel misbruik van kinderen” teneinde internationaal overeengekomen normen te weerspiegelen en een onbedoeld legitimerend effect van de associatie met legale pornografie voor volwassenen te voorkomen.</w:t>
            </w:r>
          </w:p>
        </w:tc>
      </w:tr>
      <w:tr w:rsidR="00FA2EB7" w:rsidRPr="00B55CD2" w14:paraId="185D1358" w14:textId="77777777" w:rsidTr="00FA2EB7">
        <w:tc>
          <w:tcPr>
            <w:tcW w:w="10065" w:type="dxa"/>
            <w:tcBorders>
              <w:bottom w:val="single" w:sz="4" w:space="0" w:color="auto"/>
            </w:tcBorders>
            <w:shd w:val="clear" w:color="auto" w:fill="E6E6E6"/>
          </w:tcPr>
          <w:p w14:paraId="185D1357" w14:textId="77777777" w:rsidR="00FA2EB7" w:rsidRPr="00B55CD2" w:rsidRDefault="00FA2EB7" w:rsidP="009E1E0E">
            <w:pPr>
              <w:pStyle w:val="Default"/>
              <w:jc w:val="both"/>
              <w:rPr>
                <w:rFonts w:ascii="Tahoma" w:hAnsi="Tahoma" w:cs="Tahoma"/>
                <w:noProof/>
                <w:sz w:val="20"/>
                <w:szCs w:val="20"/>
              </w:rPr>
            </w:pPr>
            <w:r>
              <w:rPr>
                <w:rFonts w:ascii="Tahoma" w:hAnsi="Tahoma"/>
                <w:b/>
                <w:noProof/>
                <w:sz w:val="20"/>
              </w:rPr>
              <w:t xml:space="preserve">Wat is de toegevoegde waarde van maatregelen op EU-niveau (subsidiariteit)? </w:t>
            </w:r>
          </w:p>
        </w:tc>
      </w:tr>
      <w:tr w:rsidR="00FA2EB7" w:rsidRPr="00B55CD2" w14:paraId="185D135E" w14:textId="77777777" w:rsidTr="008F566F">
        <w:trPr>
          <w:trHeight w:val="1423"/>
        </w:trPr>
        <w:tc>
          <w:tcPr>
            <w:tcW w:w="10065" w:type="dxa"/>
            <w:tcBorders>
              <w:bottom w:val="single" w:sz="4" w:space="0" w:color="auto"/>
            </w:tcBorders>
            <w:shd w:val="clear" w:color="auto" w:fill="auto"/>
          </w:tcPr>
          <w:p w14:paraId="185D135D" w14:textId="2458E6B3" w:rsidR="00FA2EB7" w:rsidRPr="00B55CD2" w:rsidRDefault="008F566F" w:rsidP="008F566F">
            <w:pPr>
              <w:pStyle w:val="TableText"/>
              <w:framePr w:hSpace="0" w:wrap="auto" w:vAnchor="margin" w:hAnchor="text" w:xAlign="left" w:yAlign="inline"/>
              <w:suppressAutoHyphens/>
              <w:jc w:val="both"/>
              <w:rPr>
                <w:rFonts w:ascii="Tahoma" w:hAnsi="Tahoma" w:cs="Tahoma"/>
                <w:noProof/>
              </w:rPr>
            </w:pPr>
            <w:r>
              <w:rPr>
                <w:rFonts w:ascii="Tahoma" w:hAnsi="Tahoma"/>
                <w:noProof/>
              </w:rPr>
              <w:t>De lacunes in het bestaande kader zijn grotendeels het gevolg van de onlinedimensie, die per definitie een grensoverschrijdend karakter heeft, met name wanneer het gaat om livestreaming of online grooming. Zonder gemeenschappelijke regels zou het voor de lidstaten moeilijk zijn om doeltreffend op te treden met betrekking tot: (i) de preventie van seksueel misbruik van kinderen op hun grondgebied; (ii) het onderzoek naar en de vervolging van seksueel misbruik van kinderen met een grensoverschrijdende dimensie, en iii) de identificatie en ondersteuning van slachtoffers.</w:t>
            </w:r>
          </w:p>
        </w:tc>
      </w:tr>
    </w:tbl>
    <w:p w14:paraId="7BE68282" w14:textId="77777777" w:rsidR="009C428F" w:rsidRPr="00B55CD2" w:rsidRDefault="009C428F">
      <w:pPr>
        <w:rPr>
          <w:noProof/>
        </w:rPr>
      </w:pPr>
      <w:r>
        <w:rPr>
          <w:noProof/>
        </w:rPr>
        <w:br w:type="page"/>
      </w:r>
    </w:p>
    <w:tbl>
      <w:tblPr>
        <w:tblStyle w:val="TableGrid"/>
        <w:tblW w:w="10065" w:type="dxa"/>
        <w:tblInd w:w="-318" w:type="dxa"/>
        <w:tblLook w:val="01E0" w:firstRow="1" w:lastRow="1" w:firstColumn="1" w:lastColumn="1" w:noHBand="0" w:noVBand="0"/>
      </w:tblPr>
      <w:tblGrid>
        <w:gridCol w:w="10065"/>
      </w:tblGrid>
      <w:tr w:rsidR="00FA2EB7" w:rsidRPr="00B55CD2" w14:paraId="185D1360" w14:textId="77777777" w:rsidTr="00FA2EB7">
        <w:tc>
          <w:tcPr>
            <w:tcW w:w="10065" w:type="dxa"/>
            <w:tcBorders>
              <w:bottom w:val="single" w:sz="4" w:space="0" w:color="auto"/>
            </w:tcBorders>
            <w:shd w:val="clear" w:color="auto" w:fill="CCCCCC"/>
          </w:tcPr>
          <w:p w14:paraId="185D135F" w14:textId="7AE69B73" w:rsidR="00FA2EB7" w:rsidRPr="00B55CD2" w:rsidRDefault="00FA2EB7" w:rsidP="009E1E0E">
            <w:pPr>
              <w:spacing w:before="60" w:after="60"/>
              <w:rPr>
                <w:rFonts w:ascii="Tahoma" w:hAnsi="Tahoma" w:cs="Tahoma"/>
                <w:b/>
                <w:noProof/>
              </w:rPr>
            </w:pPr>
            <w:r>
              <w:rPr>
                <w:rFonts w:ascii="Tahoma" w:hAnsi="Tahoma"/>
                <w:b/>
                <w:noProof/>
              </w:rPr>
              <w:t>B. Oplossingen</w:t>
            </w:r>
          </w:p>
        </w:tc>
      </w:tr>
      <w:tr w:rsidR="00FA2EB7" w:rsidRPr="00B55CD2" w14:paraId="185D1362" w14:textId="77777777" w:rsidTr="00FA2EB7">
        <w:tc>
          <w:tcPr>
            <w:tcW w:w="10065" w:type="dxa"/>
            <w:tcBorders>
              <w:bottom w:val="single" w:sz="4" w:space="0" w:color="auto"/>
            </w:tcBorders>
            <w:shd w:val="clear" w:color="auto" w:fill="E6E6E6"/>
          </w:tcPr>
          <w:p w14:paraId="185D1361" w14:textId="77777777" w:rsidR="00FA2EB7" w:rsidRPr="00B55CD2" w:rsidRDefault="00FA2EB7" w:rsidP="009E1E0E">
            <w:pPr>
              <w:pStyle w:val="Default"/>
              <w:jc w:val="both"/>
              <w:rPr>
                <w:rFonts w:ascii="Tahoma" w:hAnsi="Tahoma" w:cs="Tahoma"/>
                <w:noProof/>
                <w:sz w:val="20"/>
                <w:szCs w:val="20"/>
              </w:rPr>
            </w:pPr>
            <w:r>
              <w:rPr>
                <w:rFonts w:ascii="Tahoma" w:hAnsi="Tahoma"/>
                <w:b/>
                <w:noProof/>
                <w:sz w:val="20"/>
              </w:rPr>
              <w:t xml:space="preserve">Welke opties dienen zich aan? Is er een voorkeursoptie? Zo nee, waarom niet? </w:t>
            </w:r>
          </w:p>
        </w:tc>
      </w:tr>
      <w:tr w:rsidR="00FA2EB7" w:rsidRPr="00B55CD2" w14:paraId="185D1368" w14:textId="77777777" w:rsidTr="009C428F">
        <w:trPr>
          <w:trHeight w:val="1976"/>
        </w:trPr>
        <w:tc>
          <w:tcPr>
            <w:tcW w:w="10065" w:type="dxa"/>
            <w:tcBorders>
              <w:bottom w:val="single" w:sz="4" w:space="0" w:color="auto"/>
            </w:tcBorders>
            <w:shd w:val="clear" w:color="auto" w:fill="auto"/>
          </w:tcPr>
          <w:p w14:paraId="0B12FC2E" w14:textId="1C30793C" w:rsidR="000F6DFE" w:rsidRPr="00B55CD2" w:rsidRDefault="000F6DFE" w:rsidP="000F6DFE">
            <w:pPr>
              <w:pStyle w:val="Heading3"/>
              <w:numPr>
                <w:ilvl w:val="0"/>
                <w:numId w:val="0"/>
              </w:numPr>
              <w:spacing w:before="0" w:after="0"/>
              <w:ind w:left="993" w:hanging="993"/>
              <w:jc w:val="left"/>
              <w:rPr>
                <w:rFonts w:ascii="Tahoma" w:hAnsi="Tahoma" w:cs="Tahoma"/>
                <w:bCs w:val="0"/>
                <w:i w:val="0"/>
                <w:iCs/>
                <w:noProof/>
                <w:sz w:val="20"/>
              </w:rPr>
            </w:pPr>
            <w:bookmarkStart w:id="1" w:name="_Toc485620419"/>
            <w:r>
              <w:rPr>
                <w:rFonts w:ascii="Tahoma" w:hAnsi="Tahoma"/>
                <w:b/>
                <w:i w:val="0"/>
                <w:noProof/>
                <w:sz w:val="20"/>
              </w:rPr>
              <w:t>Optie A:</w:t>
            </w:r>
            <w:r>
              <w:rPr>
                <w:rFonts w:ascii="Tahoma" w:hAnsi="Tahoma"/>
                <w:i w:val="0"/>
                <w:noProof/>
                <w:sz w:val="20"/>
              </w:rPr>
              <w:t xml:space="preserve"> </w:t>
            </w:r>
            <w:r w:rsidR="0048108F">
              <w:rPr>
                <w:rFonts w:ascii="Tahoma" w:hAnsi="Tahoma"/>
                <w:i w:val="0"/>
                <w:noProof/>
                <w:sz w:val="20"/>
              </w:rPr>
              <w:t xml:space="preserve">  </w:t>
            </w:r>
            <w:r>
              <w:rPr>
                <w:rFonts w:ascii="Tahoma" w:hAnsi="Tahoma"/>
                <w:i w:val="0"/>
                <w:noProof/>
                <w:sz w:val="20"/>
              </w:rPr>
              <w:t>Gerichte aanpassingen van de wetgeving om dubbelzinnigheden in het huidige kader weg te nemen, de samenhang met nieuwe instrumenten te waarborgen en de kwantiteit en kwaliteit van beschikbare informatie te verbeteren.</w:t>
            </w:r>
          </w:p>
          <w:p w14:paraId="72613844" w14:textId="3F3AAAAB" w:rsidR="000F6DFE" w:rsidRPr="00B55CD2" w:rsidRDefault="000F6DFE" w:rsidP="000F6DFE">
            <w:pPr>
              <w:pStyle w:val="Heading3"/>
              <w:numPr>
                <w:ilvl w:val="0"/>
                <w:numId w:val="0"/>
              </w:numPr>
              <w:spacing w:before="0" w:after="0"/>
              <w:ind w:left="993" w:hanging="993"/>
              <w:jc w:val="left"/>
              <w:rPr>
                <w:rFonts w:ascii="Tahoma" w:hAnsi="Tahoma" w:cs="Tahoma"/>
                <w:bCs w:val="0"/>
                <w:i w:val="0"/>
                <w:iCs/>
                <w:noProof/>
                <w:sz w:val="20"/>
              </w:rPr>
            </w:pPr>
            <w:r>
              <w:rPr>
                <w:rFonts w:ascii="Tahoma" w:hAnsi="Tahoma"/>
                <w:b/>
                <w:i w:val="0"/>
                <w:noProof/>
                <w:sz w:val="20"/>
              </w:rPr>
              <w:t>Optie B:</w:t>
            </w:r>
            <w:r>
              <w:rPr>
                <w:rFonts w:ascii="Tahoma" w:hAnsi="Tahoma"/>
                <w:i w:val="0"/>
                <w:noProof/>
                <w:sz w:val="20"/>
              </w:rPr>
              <w:t xml:space="preserve"> </w:t>
            </w:r>
            <w:r w:rsidR="0048108F">
              <w:rPr>
                <w:rFonts w:ascii="Tahoma" w:hAnsi="Tahoma"/>
                <w:i w:val="0"/>
                <w:noProof/>
                <w:sz w:val="20"/>
              </w:rPr>
              <w:t xml:space="preserve">  </w:t>
            </w:r>
            <w:r>
              <w:rPr>
                <w:rFonts w:ascii="Tahoma" w:hAnsi="Tahoma"/>
                <w:i w:val="0"/>
                <w:noProof/>
                <w:sz w:val="20"/>
              </w:rPr>
              <w:t>Optie A plus wetgevingswijzigingen om de definities van misdrijven aan te passen aan de huidige en verwachte technologische ontwikkelingen.</w:t>
            </w:r>
          </w:p>
          <w:p w14:paraId="185D1367" w14:textId="7703F16F" w:rsidR="00FA2EB7" w:rsidRPr="00B55CD2" w:rsidRDefault="000F6DFE" w:rsidP="000F6DFE">
            <w:pPr>
              <w:pStyle w:val="Heading3"/>
              <w:numPr>
                <w:ilvl w:val="0"/>
                <w:numId w:val="0"/>
              </w:numPr>
              <w:spacing w:before="0" w:after="0"/>
              <w:ind w:left="993" w:hanging="993"/>
              <w:jc w:val="left"/>
              <w:rPr>
                <w:rFonts w:ascii="Tahoma" w:hAnsi="Tahoma" w:cs="Tahoma"/>
                <w:noProof/>
              </w:rPr>
            </w:pPr>
            <w:r>
              <w:rPr>
                <w:rFonts w:ascii="Tahoma" w:hAnsi="Tahoma"/>
                <w:b/>
                <w:i w:val="0"/>
                <w:noProof/>
                <w:sz w:val="20"/>
              </w:rPr>
              <w:t xml:space="preserve">Optie C: </w:t>
            </w:r>
            <w:r w:rsidR="0048108F">
              <w:rPr>
                <w:rFonts w:ascii="Tahoma" w:hAnsi="Tahoma"/>
                <w:b/>
                <w:i w:val="0"/>
                <w:noProof/>
                <w:sz w:val="20"/>
              </w:rPr>
              <w:t xml:space="preserve">  </w:t>
            </w:r>
            <w:r>
              <w:rPr>
                <w:rFonts w:ascii="Tahoma" w:hAnsi="Tahoma"/>
                <w:i w:val="0"/>
                <w:noProof/>
                <w:sz w:val="20"/>
              </w:rPr>
              <w:t xml:space="preserve">Optie B plus wetgevingswijzigingen om ervoor te zorgen dat preventie, slachtofferhulp en onderzoek en vervolging doeltreffender worden, met aandacht voor de grensoverschrijdende dimensie van het fenomeen. </w:t>
            </w:r>
            <w:r>
              <w:rPr>
                <w:rFonts w:ascii="Tahoma" w:hAnsi="Tahoma"/>
                <w:b/>
                <w:i w:val="0"/>
                <w:noProof/>
                <w:sz w:val="20"/>
              </w:rPr>
              <w:t>Dit is de voorkeursoptie.</w:t>
            </w:r>
            <w:bookmarkEnd w:id="1"/>
          </w:p>
        </w:tc>
      </w:tr>
      <w:tr w:rsidR="00FA2EB7" w:rsidRPr="00B55CD2" w14:paraId="185D136A" w14:textId="77777777" w:rsidTr="00FA2EB7">
        <w:tc>
          <w:tcPr>
            <w:tcW w:w="10065" w:type="dxa"/>
            <w:shd w:val="clear" w:color="auto" w:fill="E6E6E6"/>
          </w:tcPr>
          <w:p w14:paraId="185D1369" w14:textId="49056617" w:rsidR="00FA2EB7" w:rsidRPr="00B55CD2" w:rsidRDefault="00FA2EB7" w:rsidP="009E1E0E">
            <w:pPr>
              <w:pStyle w:val="Default"/>
              <w:jc w:val="both"/>
              <w:rPr>
                <w:rFonts w:ascii="Tahoma" w:hAnsi="Tahoma" w:cs="Tahoma"/>
                <w:b/>
                <w:bCs/>
                <w:noProof/>
                <w:sz w:val="20"/>
                <w:szCs w:val="20"/>
              </w:rPr>
            </w:pPr>
            <w:r>
              <w:rPr>
                <w:rFonts w:ascii="Tahoma" w:hAnsi="Tahoma"/>
                <w:b/>
                <w:noProof/>
                <w:sz w:val="20"/>
              </w:rPr>
              <w:t xml:space="preserve">Wat is het standpunt van de diverse belanghebbenden? Wie steunt welke optie? </w:t>
            </w:r>
          </w:p>
        </w:tc>
      </w:tr>
      <w:tr w:rsidR="00FA2EB7" w:rsidRPr="00B55CD2" w14:paraId="185D136E" w14:textId="77777777" w:rsidTr="008F0DCD">
        <w:trPr>
          <w:trHeight w:val="2702"/>
        </w:trPr>
        <w:tc>
          <w:tcPr>
            <w:tcW w:w="10065" w:type="dxa"/>
            <w:shd w:val="clear" w:color="auto" w:fill="auto"/>
          </w:tcPr>
          <w:p w14:paraId="185D136D" w14:textId="20278406" w:rsidR="00FA2EB7" w:rsidRPr="00B55CD2" w:rsidRDefault="00AF24FE" w:rsidP="009E1E0E">
            <w:pPr>
              <w:spacing w:line="252" w:lineRule="auto"/>
              <w:jc w:val="both"/>
              <w:rPr>
                <w:rFonts w:ascii="Tahoma" w:hAnsi="Tahoma" w:cs="Tahoma"/>
                <w:noProof/>
              </w:rPr>
            </w:pPr>
            <w:r>
              <w:rPr>
                <w:rFonts w:ascii="Tahoma" w:hAnsi="Tahoma"/>
                <w:noProof/>
              </w:rPr>
              <w:t>Belanghebbenden hebben de Commissie opgeroepen het kader te herzien. Zij bevestigden dat kinderen negatieve gevolgen ondervinden van lacunes in de strafbaarstelling in verband met opkomende trends die mogelijk worden gemaakt of worden gefaciliteerd door technologische ontwikkelingen en de toegenomen online aanwezigheid van zowel kinderen als kinderlokkers, met name sinds de COVID-19-pandemie. In het bijzonder moeten de problemen bij het onderzoeken en vervolgen van dergelijke strafbare feiten en bij het identificeren van slachtoffers doeltreffender worden aangepakt. De belanghebbenden wezen er ook op dat er beter rekening moet worden gehouden met de specifieke kenmerken van strafbare feiten in verband met seksueel misbruik en seksuele uitbuiting van kinderen, zoals de problemen die slachtoffers ondervinden bij het doen van aangifte, de lange periode die er kan liggen tussen het plegen van het misdrijf en de mogelijkheid voor slachtoffer</w:t>
            </w:r>
            <w:r w:rsidR="008C018E">
              <w:rPr>
                <w:rFonts w:ascii="Tahoma" w:hAnsi="Tahoma"/>
                <w:noProof/>
              </w:rPr>
              <w:t>s</w:t>
            </w:r>
            <w:r>
              <w:rPr>
                <w:rFonts w:ascii="Tahoma" w:hAnsi="Tahoma"/>
                <w:noProof/>
              </w:rPr>
              <w:t xml:space="preserve"> om erover te praten, de noodzaak van gerichte preventie en slachtofferhulp, en de moeilijkheden als gevolg van fenomenen zoals reizende seksuele delinquenten. In het algemeen waren de belanghebbenden voorstander van een gerichte actualisering van het kader, met name om het fenomeen van seksueel misbruik van kinderen op afstand via livestreaming aan te pakken. </w:t>
            </w:r>
          </w:p>
        </w:tc>
      </w:tr>
      <w:tr w:rsidR="00FA2EB7" w:rsidRPr="00B55CD2" w14:paraId="185D1370" w14:textId="77777777" w:rsidTr="00FA2EB7">
        <w:tc>
          <w:tcPr>
            <w:tcW w:w="10065" w:type="dxa"/>
            <w:tcBorders>
              <w:bottom w:val="single" w:sz="4" w:space="0" w:color="auto"/>
            </w:tcBorders>
            <w:shd w:val="clear" w:color="auto" w:fill="CCCCCC"/>
          </w:tcPr>
          <w:p w14:paraId="185D136F" w14:textId="77777777" w:rsidR="00FA2EB7" w:rsidRPr="00B55CD2" w:rsidRDefault="00FA2EB7" w:rsidP="009E1E0E">
            <w:pPr>
              <w:spacing w:before="60" w:after="60"/>
              <w:rPr>
                <w:rFonts w:ascii="Tahoma" w:hAnsi="Tahoma" w:cs="Tahoma"/>
                <w:b/>
                <w:noProof/>
              </w:rPr>
            </w:pPr>
            <w:r>
              <w:rPr>
                <w:rFonts w:ascii="Tahoma" w:hAnsi="Tahoma"/>
                <w:b/>
                <w:noProof/>
              </w:rPr>
              <w:t>C. Effecten van de voorkeursoptie</w:t>
            </w:r>
          </w:p>
        </w:tc>
      </w:tr>
      <w:tr w:rsidR="00FA2EB7" w:rsidRPr="00B55CD2" w14:paraId="185D1372" w14:textId="77777777" w:rsidTr="00FA2EB7">
        <w:tc>
          <w:tcPr>
            <w:tcW w:w="10065" w:type="dxa"/>
            <w:tcBorders>
              <w:bottom w:val="single" w:sz="4" w:space="0" w:color="auto"/>
            </w:tcBorders>
            <w:shd w:val="clear" w:color="auto" w:fill="E6E6E6"/>
          </w:tcPr>
          <w:p w14:paraId="185D1371" w14:textId="77777777" w:rsidR="00FA2EB7" w:rsidRPr="00B55CD2" w:rsidRDefault="00FA2EB7" w:rsidP="009E1E0E">
            <w:pPr>
              <w:pStyle w:val="Default"/>
              <w:jc w:val="both"/>
              <w:rPr>
                <w:rFonts w:ascii="Tahoma" w:hAnsi="Tahoma" w:cs="Tahoma"/>
                <w:noProof/>
                <w:color w:val="auto"/>
                <w:sz w:val="20"/>
                <w:szCs w:val="20"/>
              </w:rPr>
            </w:pPr>
            <w:r>
              <w:rPr>
                <w:rFonts w:ascii="Tahoma" w:hAnsi="Tahoma"/>
                <w:b/>
                <w:noProof/>
                <w:color w:val="auto"/>
                <w:sz w:val="20"/>
              </w:rPr>
              <w:t xml:space="preserve">Wat zijn de voordelen van de voorkeursoptie (als er een voorkeur is, anders van de belangrijkste opties)? </w:t>
            </w:r>
          </w:p>
        </w:tc>
      </w:tr>
      <w:tr w:rsidR="00FA2EB7" w:rsidRPr="00B55CD2" w14:paraId="185D1376" w14:textId="77777777" w:rsidTr="00FA2EB7">
        <w:trPr>
          <w:trHeight w:val="1612"/>
        </w:trPr>
        <w:tc>
          <w:tcPr>
            <w:tcW w:w="10065" w:type="dxa"/>
            <w:tcBorders>
              <w:bottom w:val="single" w:sz="4" w:space="0" w:color="auto"/>
            </w:tcBorders>
            <w:shd w:val="clear" w:color="auto" w:fill="auto"/>
          </w:tcPr>
          <w:p w14:paraId="185D1373" w14:textId="65BDDF85" w:rsidR="00FA2EB7" w:rsidRPr="00B55CD2" w:rsidRDefault="00FA2EB7" w:rsidP="009E1E0E">
            <w:pPr>
              <w:jc w:val="both"/>
              <w:rPr>
                <w:rFonts w:ascii="Tahoma" w:hAnsi="Tahoma" w:cs="Tahoma"/>
                <w:noProof/>
              </w:rPr>
            </w:pPr>
            <w:r>
              <w:rPr>
                <w:rFonts w:ascii="Tahoma" w:hAnsi="Tahoma"/>
                <w:noProof/>
              </w:rPr>
              <w:t xml:space="preserve">Het initiatief zal naar verwachting leiden tot een betere </w:t>
            </w:r>
            <w:r>
              <w:rPr>
                <w:rFonts w:ascii="Tahoma" w:hAnsi="Tahoma"/>
                <w:b/>
                <w:bCs/>
                <w:noProof/>
              </w:rPr>
              <w:t>identificatie</w:t>
            </w:r>
            <w:r>
              <w:rPr>
                <w:rFonts w:ascii="Tahoma" w:hAnsi="Tahoma"/>
                <w:noProof/>
              </w:rPr>
              <w:t xml:space="preserve"> en een betere </w:t>
            </w:r>
            <w:r>
              <w:rPr>
                <w:rFonts w:ascii="Tahoma" w:hAnsi="Tahoma"/>
                <w:b/>
                <w:bCs/>
                <w:noProof/>
              </w:rPr>
              <w:t>bescherming en ondersteuning van slachtoffers</w:t>
            </w:r>
            <w:r>
              <w:rPr>
                <w:rFonts w:ascii="Tahoma" w:hAnsi="Tahoma"/>
                <w:noProof/>
              </w:rPr>
              <w:t xml:space="preserve"> van seksueel misbruik van kinderen, en zou zowel</w:t>
            </w:r>
            <w:r>
              <w:rPr>
                <w:rFonts w:ascii="Tahoma" w:hAnsi="Tahoma"/>
                <w:b/>
                <w:bCs/>
                <w:noProof/>
              </w:rPr>
              <w:t xml:space="preserve"> preventie</w:t>
            </w:r>
            <w:r>
              <w:rPr>
                <w:rFonts w:ascii="Tahoma" w:hAnsi="Tahoma"/>
                <w:noProof/>
              </w:rPr>
              <w:t xml:space="preserve"> </w:t>
            </w:r>
            <w:r>
              <w:rPr>
                <w:rFonts w:ascii="Tahoma" w:hAnsi="Tahoma"/>
                <w:b/>
                <w:bCs/>
                <w:noProof/>
              </w:rPr>
              <w:t>doeltreffender</w:t>
            </w:r>
            <w:r>
              <w:rPr>
                <w:rFonts w:ascii="Tahoma" w:hAnsi="Tahoma"/>
                <w:noProof/>
              </w:rPr>
              <w:t xml:space="preserve"> maken als </w:t>
            </w:r>
            <w:r>
              <w:rPr>
                <w:rFonts w:ascii="Tahoma" w:hAnsi="Tahoma"/>
                <w:b/>
                <w:bCs/>
                <w:noProof/>
              </w:rPr>
              <w:t>onderzoeken soepeler laten verlopen</w:t>
            </w:r>
            <w:r>
              <w:rPr>
                <w:rFonts w:ascii="Tahoma" w:hAnsi="Tahoma"/>
                <w:noProof/>
              </w:rPr>
              <w:t>. Het zou de wijdverbreide straffeloosheid van seksueel misbruik van kinderen op afstand via livestreaming terugdringen door doeltreffendere onderzoeksinstrumenten beschikbaar te stellen en het strafrechtelijke kader aan te passen. Dit zou ervoor zorgen dat het opdracht geven tot seksueel misbruik van een kind via een livestream die de dader privé kan bekijken strafbaar wordt gesteld los van het seksueel misbruik zelf, en dat pogingen om een kind via onlinekanalen zoals chats of spelplatforms te benaderen voor seksueel misbruik</w:t>
            </w:r>
            <w:r w:rsidR="009A212F">
              <w:rPr>
                <w:rFonts w:ascii="Tahoma" w:hAnsi="Tahoma"/>
                <w:noProof/>
              </w:rPr>
              <w:t>,</w:t>
            </w:r>
            <w:r>
              <w:rPr>
                <w:rFonts w:ascii="Tahoma" w:hAnsi="Tahoma"/>
                <w:noProof/>
              </w:rPr>
              <w:t xml:space="preserve"> op vergelijkbare wijze strafbaar worden gesteld. Dit initiatief zou het ook mogelijk maken rekening te houden met de langdurige angst en trauma’s die vaak verhinderen dat er aangifte wordt gedaan, door overlevers </w:t>
            </w:r>
            <w:r w:rsidR="008C018E" w:rsidRPr="008C018E">
              <w:rPr>
                <w:rFonts w:ascii="Tahoma" w:hAnsi="Tahoma"/>
                <w:noProof/>
              </w:rPr>
              <w:t>de mogelijkheid te bieden</w:t>
            </w:r>
            <w:r>
              <w:rPr>
                <w:rFonts w:ascii="Tahoma" w:hAnsi="Tahoma"/>
                <w:noProof/>
              </w:rPr>
              <w:t xml:space="preserve"> gedurende een langere periode klacht in te dienen en schadevergoeding te vorderen, waardoor zij beter in staat zouden zijn om hun rechten te doen gelden en hun welzijn te herwinnen. De oprichting van nationale autoriteiten die de inspanningen op nationaal niveau moeten coördineren, zou zorgen voor een alomvattende nationale aanpak van het fenomeen</w:t>
            </w:r>
            <w:r w:rsidR="009A212F">
              <w:rPr>
                <w:rFonts w:ascii="Tahoma" w:hAnsi="Tahoma"/>
                <w:noProof/>
              </w:rPr>
              <w:t xml:space="preserve"> van</w:t>
            </w:r>
            <w:r>
              <w:rPr>
                <w:rFonts w:ascii="Tahoma" w:hAnsi="Tahoma"/>
                <w:noProof/>
              </w:rPr>
              <w:t xml:space="preserve"> seksueel misbruik van kinderen, dat zowel een probleem voor de volksgezondheid is als een strafrechtelijk probleem. Bestaande structuren van dit type in sommige lidstaten hebben voordelen opgeleverd op het gebied van bewustmaking, preventie en het geven van een stem aan en het doeltreffender ondersteunen van slachtoffers en overlevers.</w:t>
            </w:r>
          </w:p>
          <w:p w14:paraId="185D1375" w14:textId="5C578A10" w:rsidR="00FA2EB7" w:rsidRPr="00B55CD2" w:rsidRDefault="00FA2EB7" w:rsidP="009E1E0E">
            <w:pPr>
              <w:jc w:val="both"/>
              <w:rPr>
                <w:rFonts w:ascii="Tahoma" w:hAnsi="Tahoma" w:cs="Tahoma"/>
                <w:noProof/>
              </w:rPr>
            </w:pPr>
          </w:p>
        </w:tc>
      </w:tr>
      <w:tr w:rsidR="00FA2EB7" w:rsidRPr="00B55CD2" w14:paraId="185D1378" w14:textId="77777777" w:rsidTr="00FA2EB7">
        <w:tc>
          <w:tcPr>
            <w:tcW w:w="10065" w:type="dxa"/>
            <w:tcBorders>
              <w:bottom w:val="single" w:sz="4" w:space="0" w:color="auto"/>
            </w:tcBorders>
            <w:shd w:val="clear" w:color="auto" w:fill="E6E6E6"/>
          </w:tcPr>
          <w:p w14:paraId="185D1377" w14:textId="77777777" w:rsidR="00FA2EB7" w:rsidRPr="00B55CD2" w:rsidRDefault="00FA2EB7" w:rsidP="009E1E0E">
            <w:pPr>
              <w:pStyle w:val="Default"/>
              <w:jc w:val="both"/>
              <w:rPr>
                <w:rFonts w:ascii="Tahoma" w:hAnsi="Tahoma" w:cs="Tahoma"/>
                <w:noProof/>
                <w:sz w:val="20"/>
                <w:szCs w:val="20"/>
              </w:rPr>
            </w:pPr>
            <w:r>
              <w:rPr>
                <w:rFonts w:ascii="Tahoma" w:hAnsi="Tahoma"/>
                <w:b/>
                <w:noProof/>
                <w:sz w:val="20"/>
              </w:rPr>
              <w:t xml:space="preserve">Wat zijn de kosten van de voorkeursoptie (als er een voorkeursoptie is; anders van de belangrijkste opties)? </w:t>
            </w:r>
          </w:p>
        </w:tc>
      </w:tr>
      <w:tr w:rsidR="00FA2EB7" w:rsidRPr="00B55CD2" w14:paraId="185D137C" w14:textId="77777777" w:rsidTr="008F0DCD">
        <w:trPr>
          <w:trHeight w:val="1834"/>
        </w:trPr>
        <w:tc>
          <w:tcPr>
            <w:tcW w:w="10065" w:type="dxa"/>
            <w:tcBorders>
              <w:bottom w:val="single" w:sz="4" w:space="0" w:color="auto"/>
            </w:tcBorders>
            <w:shd w:val="clear" w:color="auto" w:fill="auto"/>
          </w:tcPr>
          <w:p w14:paraId="185D137B" w14:textId="718D7291" w:rsidR="00FA2EB7" w:rsidRPr="00B55CD2" w:rsidRDefault="00236BC8" w:rsidP="00236BC8">
            <w:pPr>
              <w:jc w:val="both"/>
              <w:rPr>
                <w:rFonts w:ascii="Tahoma" w:hAnsi="Tahoma" w:cs="Tahoma"/>
                <w:iCs/>
                <w:noProof/>
              </w:rPr>
            </w:pPr>
            <w:r>
              <w:rPr>
                <w:rFonts w:ascii="Tahoma" w:hAnsi="Tahoma"/>
                <w:noProof/>
              </w:rPr>
              <w:t xml:space="preserve">De kosten worden voornamelijk gedragen door de overheidsdiensten van de lidstaten. De voorkeursoptie brengt voor de lidstaten een beperkte last mee, die wordt gecompenseerd door het gunstige effect van de maatregelen wat betreft de voorkoming en bestrijding van </w:t>
            </w:r>
            <w:r w:rsidR="007B706D" w:rsidRPr="007B706D">
              <w:rPr>
                <w:rFonts w:ascii="Tahoma" w:hAnsi="Tahoma"/>
                <w:noProof/>
              </w:rPr>
              <w:t>seksueel misbruik en seksuele uitbuiting van kinderen</w:t>
            </w:r>
            <w:r>
              <w:rPr>
                <w:rFonts w:ascii="Tahoma" w:hAnsi="Tahoma"/>
                <w:noProof/>
              </w:rPr>
              <w:t xml:space="preserve"> en de bescherming van de slachtoffers ervan. De voorkeursoptie behelst in wezen een aanscherping en uitbreiding van bestaande bepalingen in plaats van de invoering van nieuwe verplichtingen. Sommige lidstaten hebben reeds maatregelen genomen om de werkingssfeer van het strafrecht uit te breiden in overeenstemming met de nieuwe voorstellen, en hebben aanvullende onderzoeksmaatregelen beschikbaar gesteld, waardoor </w:t>
            </w:r>
            <w:r w:rsidR="009A212F">
              <w:rPr>
                <w:rFonts w:ascii="Tahoma" w:hAnsi="Tahoma"/>
                <w:noProof/>
              </w:rPr>
              <w:t xml:space="preserve">er voor hen minder </w:t>
            </w:r>
            <w:r>
              <w:rPr>
                <w:rFonts w:ascii="Tahoma" w:hAnsi="Tahoma"/>
                <w:noProof/>
              </w:rPr>
              <w:t xml:space="preserve">regeldruk </w:t>
            </w:r>
            <w:r w:rsidR="009A212F">
              <w:rPr>
                <w:rFonts w:ascii="Tahoma" w:hAnsi="Tahoma"/>
                <w:noProof/>
              </w:rPr>
              <w:t>zal zijn</w:t>
            </w:r>
            <w:r>
              <w:rPr>
                <w:rFonts w:ascii="Tahoma" w:hAnsi="Tahoma"/>
                <w:noProof/>
              </w:rPr>
              <w:t>. De verplichting om een nationale coördinerende autoriteit op te richten, zou ook enige regelgevende en administratieve lasten met zich meebrengen voor de lidstaten die nog geen dergelijk systeem hebben.</w:t>
            </w:r>
          </w:p>
        </w:tc>
      </w:tr>
      <w:tr w:rsidR="00FA2EB7" w:rsidRPr="00B55CD2" w14:paraId="185D137E" w14:textId="77777777" w:rsidTr="00FA2EB7">
        <w:tc>
          <w:tcPr>
            <w:tcW w:w="10065" w:type="dxa"/>
            <w:tcBorders>
              <w:bottom w:val="single" w:sz="4" w:space="0" w:color="auto"/>
            </w:tcBorders>
            <w:shd w:val="clear" w:color="auto" w:fill="E6E6E6"/>
          </w:tcPr>
          <w:p w14:paraId="185D137D" w14:textId="77777777" w:rsidR="00FA2EB7" w:rsidRPr="00B55CD2" w:rsidRDefault="00FA2EB7" w:rsidP="009E1E0E">
            <w:pPr>
              <w:pStyle w:val="Default"/>
              <w:keepNext/>
              <w:jc w:val="both"/>
              <w:rPr>
                <w:rFonts w:ascii="Tahoma" w:hAnsi="Tahoma" w:cs="Tahoma"/>
                <w:noProof/>
                <w:sz w:val="20"/>
                <w:szCs w:val="20"/>
              </w:rPr>
            </w:pPr>
            <w:r>
              <w:rPr>
                <w:rFonts w:ascii="Tahoma" w:hAnsi="Tahoma"/>
                <w:b/>
                <w:noProof/>
                <w:sz w:val="20"/>
              </w:rPr>
              <w:t xml:space="preserve">Wat zijn de gevolgen voor kleine en middelgrote ondernemingen (kmo’s) en het concurrentievermogen? </w:t>
            </w:r>
          </w:p>
        </w:tc>
      </w:tr>
      <w:tr w:rsidR="00FA2EB7" w:rsidRPr="00B55CD2" w14:paraId="185D1380" w14:textId="77777777" w:rsidTr="008F0DCD">
        <w:trPr>
          <w:trHeight w:val="293"/>
        </w:trPr>
        <w:tc>
          <w:tcPr>
            <w:tcW w:w="10065" w:type="dxa"/>
            <w:tcBorders>
              <w:bottom w:val="single" w:sz="4" w:space="0" w:color="auto"/>
            </w:tcBorders>
            <w:shd w:val="clear" w:color="auto" w:fill="auto"/>
          </w:tcPr>
          <w:p w14:paraId="185D137F" w14:textId="5FDCB50C" w:rsidR="00FA2EB7" w:rsidRPr="00B55CD2" w:rsidRDefault="00FA2EB7" w:rsidP="009E1E0E">
            <w:pPr>
              <w:jc w:val="both"/>
              <w:rPr>
                <w:rFonts w:ascii="Tahoma" w:hAnsi="Tahoma" w:cs="Tahoma"/>
                <w:noProof/>
              </w:rPr>
            </w:pPr>
            <w:r>
              <w:rPr>
                <w:rFonts w:ascii="Tahoma" w:hAnsi="Tahoma"/>
                <w:noProof/>
              </w:rPr>
              <w:t>Er zijn geen directe of indirecte gevolgen voor de kmo’s en het concurrentievermogen.</w:t>
            </w:r>
          </w:p>
        </w:tc>
      </w:tr>
      <w:tr w:rsidR="00FA2EB7" w:rsidRPr="00B55CD2" w14:paraId="185D1382" w14:textId="77777777" w:rsidTr="00FA2EB7">
        <w:tc>
          <w:tcPr>
            <w:tcW w:w="10065" w:type="dxa"/>
            <w:tcBorders>
              <w:bottom w:val="single" w:sz="4" w:space="0" w:color="auto"/>
            </w:tcBorders>
            <w:shd w:val="clear" w:color="auto" w:fill="E6E6E6"/>
          </w:tcPr>
          <w:p w14:paraId="185D1381" w14:textId="77777777" w:rsidR="00FA2EB7" w:rsidRPr="00B55CD2" w:rsidRDefault="00FA2EB7" w:rsidP="009E1E0E">
            <w:pPr>
              <w:pStyle w:val="Default"/>
              <w:jc w:val="both"/>
              <w:rPr>
                <w:rFonts w:ascii="Tahoma" w:hAnsi="Tahoma" w:cs="Tahoma"/>
                <w:noProof/>
                <w:sz w:val="20"/>
                <w:szCs w:val="20"/>
              </w:rPr>
            </w:pPr>
            <w:r>
              <w:rPr>
                <w:rFonts w:ascii="Tahoma" w:hAnsi="Tahoma"/>
                <w:b/>
                <w:noProof/>
                <w:sz w:val="20"/>
              </w:rPr>
              <w:t xml:space="preserve">Zijn er significante gevolgen voor de nationale begrotingen en overheden? </w:t>
            </w:r>
          </w:p>
        </w:tc>
      </w:tr>
      <w:tr w:rsidR="00FA2EB7" w:rsidRPr="00B55CD2" w14:paraId="185D1385" w14:textId="77777777" w:rsidTr="009C428F">
        <w:trPr>
          <w:trHeight w:val="717"/>
        </w:trPr>
        <w:tc>
          <w:tcPr>
            <w:tcW w:w="10065" w:type="dxa"/>
            <w:shd w:val="clear" w:color="auto" w:fill="auto"/>
          </w:tcPr>
          <w:p w14:paraId="185D1384" w14:textId="740D0DD0" w:rsidR="00FA2EB7" w:rsidRPr="00B55CD2" w:rsidRDefault="00AF24FE" w:rsidP="009E1E0E">
            <w:pPr>
              <w:jc w:val="both"/>
              <w:rPr>
                <w:rFonts w:ascii="Tahoma" w:hAnsi="Tahoma" w:cs="Tahoma"/>
                <w:noProof/>
              </w:rPr>
            </w:pPr>
            <w:r>
              <w:rPr>
                <w:rFonts w:ascii="Tahoma" w:hAnsi="Tahoma"/>
                <w:noProof/>
              </w:rPr>
              <w:t>Er zullen vier belangrijke soorten gevolgen zijn voor de nationale begrotingen en overheden, die naar verwachting allemaal beperkt van omvang zullen zijn. Ten eerste zal de overheid middelen moeten investeren om de nodige wijzigingen in het nationale wetgevingskader aan te brengen. Ten tweede zou het beschikbaar maken van meer onderzoeksmaatregelen het aantal zaken dat kan worden onderzocht, en dus de vereiste middelen, doen toenemen, maar aan de andere kant zou dit waarschijnlijk ook de efficiëntie en doeltreffendheid van onderzoeken ten goede komen, waardoor ook de totale werklast van de rechtshandhaving zou dalen. Ten derde zal de oprichting en werking van nationale autoriteiten om de inspanningen t</w:t>
            </w:r>
            <w:r w:rsidR="0003113D">
              <w:rPr>
                <w:rFonts w:ascii="Tahoma" w:hAnsi="Tahoma"/>
                <w:noProof/>
              </w:rPr>
              <w:t xml:space="preserve">er bestrijding van </w:t>
            </w:r>
            <w:r>
              <w:rPr>
                <w:rFonts w:ascii="Tahoma" w:hAnsi="Tahoma"/>
                <w:noProof/>
              </w:rPr>
              <w:t xml:space="preserve">seksueel misbruik van kinderen te coördineren, een blijvend effect hebben op de nationale begrotingen in de lidstaten die nog niet over dergelijke structuren beschikken. </w:t>
            </w:r>
            <w:r w:rsidRPr="0048108F">
              <w:rPr>
                <w:rFonts w:ascii="Tahoma" w:hAnsi="Tahoma"/>
                <w:noProof/>
              </w:rPr>
              <w:t>Tot slot gaat de voorgestelde verzameling van statistieken wellicht verder dan wat reeds beschikbaar is op nationaal niveau, maar is deze wel in overeenstemming met hetgeen reeds is vastgesteld in het kader van Verordening (EU) 2021/1232 van het Europees Parlement en de Raad van 14 juli 2021 betreffende een tijdelijke afwijking van sommige bepalingen van Richtlijn 2002/58/EG ten aanzien van het gebruik van technologieën door aanbieders van nummeronafhankelijke interpersoonlijke communicatiediensten voor de verwerking van persoonsgegevens en andere gegevens ten behoeve van de bestrijding van online seksueel misbruik van kinderen</w:t>
            </w:r>
            <w:r w:rsidR="0035697F" w:rsidRPr="00B55CD2">
              <w:rPr>
                <w:rStyle w:val="FootnoteReference"/>
                <w:rFonts w:ascii="Tahoma" w:hAnsi="Tahoma" w:cs="Tahoma"/>
                <w:noProof/>
              </w:rPr>
              <w:footnoteReference w:id="1"/>
            </w:r>
            <w:r>
              <w:rPr>
                <w:noProof/>
              </w:rPr>
              <w:t>.</w:t>
            </w:r>
          </w:p>
        </w:tc>
      </w:tr>
      <w:tr w:rsidR="00FA2EB7" w:rsidRPr="00B55CD2" w14:paraId="185D1387" w14:textId="77777777" w:rsidTr="00FA2EB7">
        <w:tc>
          <w:tcPr>
            <w:tcW w:w="10065" w:type="dxa"/>
            <w:tcBorders>
              <w:bottom w:val="single" w:sz="4" w:space="0" w:color="auto"/>
            </w:tcBorders>
            <w:shd w:val="clear" w:color="auto" w:fill="E6E6E6"/>
          </w:tcPr>
          <w:p w14:paraId="185D1386" w14:textId="77777777" w:rsidR="00FA2EB7" w:rsidRPr="00B55CD2" w:rsidRDefault="00FA2EB7" w:rsidP="009E1E0E">
            <w:pPr>
              <w:pStyle w:val="Default"/>
              <w:jc w:val="both"/>
              <w:rPr>
                <w:rFonts w:ascii="Tahoma" w:hAnsi="Tahoma" w:cs="Tahoma"/>
                <w:noProof/>
                <w:sz w:val="20"/>
                <w:szCs w:val="20"/>
              </w:rPr>
            </w:pPr>
            <w:r>
              <w:rPr>
                <w:rFonts w:ascii="Tahoma" w:hAnsi="Tahoma"/>
                <w:b/>
                <w:noProof/>
                <w:sz w:val="20"/>
              </w:rPr>
              <w:t xml:space="preserve">Zijn er andere significante gevolgen? </w:t>
            </w:r>
          </w:p>
        </w:tc>
      </w:tr>
      <w:tr w:rsidR="00FA2EB7" w:rsidRPr="00B55CD2" w14:paraId="185D1389" w14:textId="77777777" w:rsidTr="009C428F">
        <w:trPr>
          <w:trHeight w:val="1014"/>
        </w:trPr>
        <w:tc>
          <w:tcPr>
            <w:tcW w:w="10065" w:type="dxa"/>
            <w:tcBorders>
              <w:bottom w:val="single" w:sz="4" w:space="0" w:color="auto"/>
            </w:tcBorders>
            <w:shd w:val="clear" w:color="auto" w:fill="auto"/>
          </w:tcPr>
          <w:p w14:paraId="185D1388" w14:textId="54CCE3F8" w:rsidR="00FA2EB7" w:rsidRPr="00B55CD2" w:rsidRDefault="00FA2EB7" w:rsidP="009E1E0E">
            <w:pPr>
              <w:jc w:val="both"/>
              <w:rPr>
                <w:rFonts w:ascii="Tahoma" w:hAnsi="Tahoma" w:cs="Tahoma"/>
                <w:noProof/>
              </w:rPr>
            </w:pPr>
            <w:r>
              <w:rPr>
                <w:rFonts w:ascii="Tahoma" w:hAnsi="Tahoma"/>
                <w:noProof/>
              </w:rPr>
              <w:t xml:space="preserve">Een belangrijk effect van de voorkeursoptie houdt verband met de bescherming van het welzijn en de rechten van kinderen online en offline, en van overlevers van seksueel misbruik van kinderen. Daarnaast zal het voorstel om het recht van slachtoffers om aangifte te doen, uit te breiden en om hen in staat te stellen schadevergoeding te vorderen, naar verwachting een significant positief effect hebben op de mogelijkheid van slachtoffers en overlevers om hun rechten te doen gelden. </w:t>
            </w:r>
          </w:p>
        </w:tc>
      </w:tr>
      <w:tr w:rsidR="00FA2EB7" w:rsidRPr="00B55CD2" w14:paraId="185D138B" w14:textId="77777777" w:rsidTr="00FA2EB7">
        <w:tc>
          <w:tcPr>
            <w:tcW w:w="10065" w:type="dxa"/>
            <w:tcBorders>
              <w:bottom w:val="single" w:sz="4" w:space="0" w:color="auto"/>
            </w:tcBorders>
            <w:shd w:val="clear" w:color="auto" w:fill="E6E6E6"/>
          </w:tcPr>
          <w:p w14:paraId="185D138A" w14:textId="77777777" w:rsidR="00FA2EB7" w:rsidRPr="00B55CD2" w:rsidRDefault="00FA2EB7" w:rsidP="009E1E0E">
            <w:pPr>
              <w:pStyle w:val="Default"/>
              <w:jc w:val="both"/>
              <w:rPr>
                <w:rFonts w:ascii="Tahoma" w:hAnsi="Tahoma" w:cs="Tahoma"/>
                <w:noProof/>
                <w:sz w:val="20"/>
                <w:szCs w:val="20"/>
              </w:rPr>
            </w:pPr>
            <w:r>
              <w:rPr>
                <w:rFonts w:ascii="Tahoma" w:hAnsi="Tahoma"/>
                <w:b/>
                <w:noProof/>
                <w:sz w:val="20"/>
              </w:rPr>
              <w:t xml:space="preserve">Evenredigheid? </w:t>
            </w:r>
          </w:p>
        </w:tc>
      </w:tr>
      <w:tr w:rsidR="00FA2EB7" w:rsidRPr="00B55CD2" w14:paraId="185D138D" w14:textId="77777777" w:rsidTr="009C428F">
        <w:trPr>
          <w:trHeight w:val="1584"/>
        </w:trPr>
        <w:tc>
          <w:tcPr>
            <w:tcW w:w="10065" w:type="dxa"/>
            <w:shd w:val="clear" w:color="auto" w:fill="auto"/>
          </w:tcPr>
          <w:p w14:paraId="185D138C" w14:textId="33230D2D" w:rsidR="00FA2EB7" w:rsidRPr="00B55CD2" w:rsidRDefault="0035697F" w:rsidP="009E1E0E">
            <w:pPr>
              <w:jc w:val="both"/>
              <w:rPr>
                <w:rFonts w:ascii="Tahoma" w:hAnsi="Tahoma" w:cs="Tahoma"/>
                <w:noProof/>
              </w:rPr>
            </w:pPr>
            <w:r>
              <w:rPr>
                <w:rFonts w:ascii="Tahoma" w:hAnsi="Tahoma"/>
                <w:noProof/>
              </w:rPr>
              <w:t>De wijzigingen van de richtlijn in het kader van dit voorstel zijn beperkt en gericht, en hebben tot doel de belangrijkste tekortkomingen die bij de uitvoering en evaluatie van de richtlijn zijn vastgesteld doeltreffend aan te pakken. Eventuele verdere administratieve lasten die uit deze actualisering kunnen voortvloeien, worden evenredig geacht in het licht van de langetermijnvoordelen, waaronder kostenvoordelen, die voor slachtoffers en de samenleving in het algemeen verband houden met de preventie en vroegtijdige opsporing van dit soort strafbare feiten.</w:t>
            </w:r>
            <w:r>
              <w:rPr>
                <w:noProof/>
                <w:sz w:val="24"/>
              </w:rPr>
              <w:t xml:space="preserve"> </w:t>
            </w:r>
            <w:r>
              <w:rPr>
                <w:rFonts w:ascii="Tahoma" w:hAnsi="Tahoma"/>
                <w:noProof/>
              </w:rPr>
              <w:t>Het voorstel gaat dan ook niet verder dan wat nodig is om de genoemde doelstellingen te verwezenlijken.</w:t>
            </w:r>
          </w:p>
        </w:tc>
      </w:tr>
      <w:tr w:rsidR="00FA2EB7" w:rsidRPr="00B55CD2" w14:paraId="185D138F" w14:textId="77777777" w:rsidTr="00FA2EB7">
        <w:tc>
          <w:tcPr>
            <w:tcW w:w="10065" w:type="dxa"/>
            <w:tcBorders>
              <w:bottom w:val="single" w:sz="4" w:space="0" w:color="auto"/>
            </w:tcBorders>
            <w:shd w:val="clear" w:color="auto" w:fill="C0C0C0"/>
          </w:tcPr>
          <w:p w14:paraId="185D138E" w14:textId="325DB81F" w:rsidR="00FA2EB7" w:rsidRPr="00B55CD2" w:rsidRDefault="00FA2EB7" w:rsidP="009E1E0E">
            <w:pPr>
              <w:spacing w:before="60" w:after="60"/>
              <w:rPr>
                <w:rFonts w:ascii="Tahoma" w:hAnsi="Tahoma" w:cs="Tahoma"/>
                <w:b/>
                <w:noProof/>
              </w:rPr>
            </w:pPr>
            <w:r>
              <w:rPr>
                <w:rFonts w:ascii="Tahoma" w:hAnsi="Tahoma"/>
                <w:b/>
                <w:noProof/>
              </w:rPr>
              <w:t>D. Evaluatie</w:t>
            </w:r>
          </w:p>
        </w:tc>
      </w:tr>
      <w:tr w:rsidR="00FA2EB7" w:rsidRPr="00B55CD2" w14:paraId="185D1391" w14:textId="77777777" w:rsidTr="00FA2EB7">
        <w:tc>
          <w:tcPr>
            <w:tcW w:w="10065" w:type="dxa"/>
            <w:tcBorders>
              <w:bottom w:val="single" w:sz="4" w:space="0" w:color="auto"/>
            </w:tcBorders>
            <w:shd w:val="clear" w:color="auto" w:fill="E6E6E6"/>
          </w:tcPr>
          <w:p w14:paraId="185D1390" w14:textId="77777777" w:rsidR="00FA2EB7" w:rsidRPr="00B55CD2" w:rsidRDefault="00FA2EB7" w:rsidP="009E1E0E">
            <w:pPr>
              <w:pStyle w:val="Default"/>
              <w:jc w:val="both"/>
              <w:rPr>
                <w:rFonts w:ascii="Tahoma" w:hAnsi="Tahoma" w:cs="Tahoma"/>
                <w:noProof/>
                <w:sz w:val="20"/>
                <w:szCs w:val="20"/>
              </w:rPr>
            </w:pPr>
            <w:r>
              <w:rPr>
                <w:rFonts w:ascii="Tahoma" w:hAnsi="Tahoma"/>
                <w:b/>
                <w:noProof/>
                <w:sz w:val="20"/>
              </w:rPr>
              <w:t xml:space="preserve">Wanneer wordt het beleid geëvalueerd? </w:t>
            </w:r>
          </w:p>
        </w:tc>
      </w:tr>
      <w:tr w:rsidR="00FA2EB7" w:rsidRPr="00B55CD2" w14:paraId="185D1395" w14:textId="77777777" w:rsidTr="009C428F">
        <w:trPr>
          <w:trHeight w:val="1205"/>
        </w:trPr>
        <w:tc>
          <w:tcPr>
            <w:tcW w:w="10065" w:type="dxa"/>
            <w:tcBorders>
              <w:bottom w:val="single" w:sz="4" w:space="0" w:color="auto"/>
            </w:tcBorders>
            <w:shd w:val="clear" w:color="auto" w:fill="auto"/>
          </w:tcPr>
          <w:p w14:paraId="557D8702" w14:textId="2AC650A3" w:rsidR="00FA2EB7" w:rsidRPr="00B55CD2" w:rsidRDefault="00FA2EB7" w:rsidP="009E1E0E">
            <w:pPr>
              <w:jc w:val="both"/>
              <w:rPr>
                <w:rFonts w:ascii="Tahoma" w:hAnsi="Tahoma" w:cs="Tahoma"/>
                <w:noProof/>
              </w:rPr>
            </w:pPr>
            <w:r>
              <w:rPr>
                <w:rFonts w:ascii="Tahoma" w:hAnsi="Tahoma"/>
                <w:noProof/>
              </w:rPr>
              <w:t>De concrete effecten van de voorkeursoptie, d.w.z. de daadwerkelijke vooruitgang bij de bestrijding van offline en online seksueel misbruik van kinderen, zullen worden gemonitord en geëvalueerd in het licht van de drie specifieke doelstellingen. Het voorstel bevat maatregelen om relevante statistieken te verzamelen teneinde deze effecten nauwkeurig te kunnen beoordelen. Op basis hiervan zal de Commissie om de vijf jaar uitvoeringsverslagen indienen, die zo nodig vergezeld zullen gaan van voorstellen tot wijziging.</w:t>
            </w:r>
          </w:p>
          <w:p w14:paraId="185D1394" w14:textId="19044FFE" w:rsidR="009C428F" w:rsidRPr="00B55CD2" w:rsidRDefault="009C428F" w:rsidP="009E1E0E">
            <w:pPr>
              <w:jc w:val="both"/>
              <w:rPr>
                <w:rFonts w:ascii="Tahoma" w:hAnsi="Tahoma" w:cs="Tahoma"/>
                <w:noProof/>
              </w:rPr>
            </w:pPr>
          </w:p>
        </w:tc>
      </w:tr>
    </w:tbl>
    <w:p w14:paraId="185D1396" w14:textId="77777777" w:rsidR="00C6021C" w:rsidRPr="00B55CD2" w:rsidRDefault="00C6021C">
      <w:pPr>
        <w:rPr>
          <w:noProof/>
        </w:rPr>
      </w:pPr>
    </w:p>
    <w:sectPr w:rsidR="00C6021C" w:rsidRPr="00B55CD2" w:rsidSect="00FA2EB7">
      <w:headerReference w:type="even" r:id="rId18"/>
      <w:headerReference w:type="default" r:id="rId19"/>
      <w:footerReference w:type="even" r:id="rId20"/>
      <w:footerReference w:type="default" r:id="rId21"/>
      <w:headerReference w:type="first" r:id="rId22"/>
      <w:footerReference w:type="first" r:id="rId23"/>
      <w:pgSz w:w="11906" w:h="16838"/>
      <w:pgMar w:top="851" w:right="424"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D139A" w14:textId="77777777" w:rsidR="009F0757" w:rsidRPr="00B55CD2" w:rsidRDefault="009F0757" w:rsidP="009F0757">
      <w:pPr>
        <w:spacing w:after="0" w:line="240" w:lineRule="auto"/>
      </w:pPr>
      <w:r w:rsidRPr="00B55CD2">
        <w:separator/>
      </w:r>
    </w:p>
  </w:endnote>
  <w:endnote w:type="continuationSeparator" w:id="0">
    <w:p w14:paraId="185D139B" w14:textId="77777777" w:rsidR="009F0757" w:rsidRPr="00B55CD2" w:rsidRDefault="009F0757" w:rsidP="009F0757">
      <w:pPr>
        <w:spacing w:after="0" w:line="240" w:lineRule="auto"/>
      </w:pPr>
      <w:r w:rsidRPr="00B55C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42FF4" w14:textId="68E2F4BE" w:rsidR="000A3D2B" w:rsidRPr="000A3D2B" w:rsidRDefault="000A3D2B" w:rsidP="000A3D2B">
    <w:pPr>
      <w:pStyle w:val="FooterCoverPage"/>
      <w:rPr>
        <w:rFonts w:ascii="Arial" w:hAnsi="Arial" w:cs="Arial"/>
        <w:b/>
        <w:sz w:val="48"/>
      </w:rPr>
    </w:pPr>
    <w:r w:rsidRPr="000A3D2B">
      <w:rPr>
        <w:rFonts w:ascii="Arial" w:hAnsi="Arial" w:cs="Arial"/>
        <w:b/>
        <w:sz w:val="48"/>
      </w:rPr>
      <w:t>NL</w:t>
    </w:r>
    <w:r w:rsidRPr="000A3D2B">
      <w:rPr>
        <w:rFonts w:ascii="Arial" w:hAnsi="Arial" w:cs="Arial"/>
        <w:b/>
        <w:sz w:val="48"/>
      </w:rPr>
      <w:tab/>
    </w:r>
    <w:r w:rsidRPr="000A3D2B">
      <w:rPr>
        <w:rFonts w:ascii="Arial" w:hAnsi="Arial" w:cs="Arial"/>
        <w:b/>
        <w:sz w:val="48"/>
      </w:rPr>
      <w:tab/>
    </w:r>
    <w:r w:rsidRPr="000A3D2B">
      <w:tab/>
    </w:r>
    <w:r w:rsidRPr="000A3D2B">
      <w:rPr>
        <w:rFonts w:ascii="Arial" w:hAnsi="Arial" w:cs="Arial"/>
        <w:b/>
        <w:sz w:val="48"/>
      </w:rPr>
      <w:t>NL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348F8" w14:textId="1E16B53A" w:rsidR="000A3D2B" w:rsidRPr="000A3D2B" w:rsidRDefault="000A3D2B" w:rsidP="000A3D2B">
    <w:pPr>
      <w:pStyle w:val="FooterCoverPage"/>
      <w:rPr>
        <w:rFonts w:ascii="Arial" w:hAnsi="Arial" w:cs="Arial"/>
        <w:b/>
        <w:sz w:val="48"/>
      </w:rPr>
    </w:pPr>
    <w:r w:rsidRPr="000A3D2B">
      <w:rPr>
        <w:rFonts w:ascii="Arial" w:hAnsi="Arial" w:cs="Arial"/>
        <w:b/>
        <w:sz w:val="48"/>
      </w:rPr>
      <w:t>NL</w:t>
    </w:r>
    <w:r w:rsidRPr="000A3D2B">
      <w:rPr>
        <w:rFonts w:ascii="Arial" w:hAnsi="Arial" w:cs="Arial"/>
        <w:b/>
        <w:sz w:val="48"/>
      </w:rPr>
      <w:tab/>
    </w:r>
    <w:r w:rsidRPr="000A3D2B">
      <w:rPr>
        <w:rFonts w:ascii="Arial" w:hAnsi="Arial" w:cs="Arial"/>
        <w:b/>
        <w:sz w:val="48"/>
      </w:rPr>
      <w:tab/>
    </w:r>
    <w:r w:rsidRPr="000A3D2B">
      <w:tab/>
    </w:r>
    <w:r w:rsidRPr="000A3D2B">
      <w:rPr>
        <w:rFonts w:ascii="Arial" w:hAnsi="Arial" w:cs="Arial"/>
        <w:b/>
        <w:sz w:val="48"/>
      </w:rPr>
      <w:t>NL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33C97" w14:textId="77777777" w:rsidR="000A3D2B" w:rsidRPr="000A3D2B" w:rsidRDefault="000A3D2B" w:rsidP="000A3D2B">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D13A4" w14:textId="77777777" w:rsidR="009F0757" w:rsidRPr="00B55CD2" w:rsidRDefault="009F075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D13A5" w14:textId="77777777" w:rsidR="009F0757" w:rsidRPr="00B55CD2" w:rsidRDefault="009F075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D13A7" w14:textId="77777777" w:rsidR="009F0757" w:rsidRPr="00B55CD2" w:rsidRDefault="009F0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D1398" w14:textId="77777777" w:rsidR="009F0757" w:rsidRPr="00B55CD2" w:rsidRDefault="009F0757" w:rsidP="009F0757">
      <w:pPr>
        <w:spacing w:after="0" w:line="240" w:lineRule="auto"/>
      </w:pPr>
      <w:r w:rsidRPr="00B55CD2">
        <w:separator/>
      </w:r>
    </w:p>
  </w:footnote>
  <w:footnote w:type="continuationSeparator" w:id="0">
    <w:p w14:paraId="185D1399" w14:textId="77777777" w:rsidR="009F0757" w:rsidRPr="00B55CD2" w:rsidRDefault="009F0757" w:rsidP="009F0757">
      <w:pPr>
        <w:spacing w:after="0" w:line="240" w:lineRule="auto"/>
      </w:pPr>
      <w:r w:rsidRPr="00B55CD2">
        <w:continuationSeparator/>
      </w:r>
    </w:p>
  </w:footnote>
  <w:footnote w:id="1">
    <w:p w14:paraId="7F0AFD4B" w14:textId="2A67D99E" w:rsidR="0035697F" w:rsidRPr="00B55CD2" w:rsidRDefault="0035697F">
      <w:pPr>
        <w:pStyle w:val="FootnoteText"/>
      </w:pPr>
      <w:r>
        <w:rPr>
          <w:rStyle w:val="FootnoteReference"/>
        </w:rPr>
        <w:footnoteRef/>
      </w:r>
      <w:r>
        <w:t xml:space="preserve"> PB 274 van 30.7.2021, blz. 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1E641" w14:textId="77777777" w:rsidR="000A3D2B" w:rsidRPr="000A3D2B" w:rsidRDefault="000A3D2B" w:rsidP="000A3D2B">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3D36D" w14:textId="77777777" w:rsidR="000A3D2B" w:rsidRPr="000A3D2B" w:rsidRDefault="000A3D2B" w:rsidP="000A3D2B">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DB79C" w14:textId="77777777" w:rsidR="000A3D2B" w:rsidRPr="000A3D2B" w:rsidRDefault="000A3D2B" w:rsidP="000A3D2B">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D13A2" w14:textId="77777777" w:rsidR="009F0757" w:rsidRPr="00B55CD2" w:rsidRDefault="009F075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D13A3" w14:textId="77777777" w:rsidR="009F0757" w:rsidRPr="00B55CD2" w:rsidRDefault="009F075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D13A6" w14:textId="77777777" w:rsidR="009F0757" w:rsidRPr="00B55CD2" w:rsidRDefault="009F07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C7A51"/>
    <w:multiLevelType w:val="hybridMultilevel"/>
    <w:tmpl w:val="51F80234"/>
    <w:lvl w:ilvl="0" w:tplc="706AFE7A">
      <w:start w:val="3"/>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6A54453"/>
    <w:multiLevelType w:val="hybridMultilevel"/>
    <w:tmpl w:val="CDB2A08E"/>
    <w:lvl w:ilvl="0" w:tplc="2F703014">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A27013"/>
    <w:multiLevelType w:val="hybridMultilevel"/>
    <w:tmpl w:val="B36825A8"/>
    <w:lvl w:ilvl="0" w:tplc="3872C940">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0747F56"/>
    <w:multiLevelType w:val="hybridMultilevel"/>
    <w:tmpl w:val="372ACCB0"/>
    <w:lvl w:ilvl="0" w:tplc="EB12D8DE">
      <w:numFmt w:val="bullet"/>
      <w:lvlText w:val="-"/>
      <w:lvlJc w:val="left"/>
      <w:pPr>
        <w:ind w:left="1080" w:hanging="720"/>
      </w:pPr>
      <w:rPr>
        <w:rFonts w:ascii="Tahoma" w:eastAsia="Times New Roman"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4A12FA4"/>
    <w:multiLevelType w:val="multilevel"/>
    <w:tmpl w:val="5F407CF8"/>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rPr>
        <w:b w:val="0"/>
        <w:i w:val="0"/>
      </w:r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E5D3FBA"/>
    <w:multiLevelType w:val="hybridMultilevel"/>
    <w:tmpl w:val="27426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4771768">
    <w:abstractNumId w:val="4"/>
  </w:num>
  <w:num w:numId="2" w16cid:durableId="1158573503">
    <w:abstractNumId w:val="2"/>
  </w:num>
  <w:num w:numId="3" w16cid:durableId="1223911550">
    <w:abstractNumId w:val="5"/>
  </w:num>
  <w:num w:numId="4" w16cid:durableId="1066534356">
    <w:abstractNumId w:val="1"/>
  </w:num>
  <w:num w:numId="5" w16cid:durableId="542208105">
    <w:abstractNumId w:val="3"/>
  </w:num>
  <w:num w:numId="6" w16cid:durableId="550268458">
    <w:abstractNumId w:val="0"/>
  </w:num>
  <w:num w:numId="7" w16cid:durableId="360977069">
    <w:abstractNumId w:val="4"/>
  </w:num>
  <w:num w:numId="8" w16cid:durableId="1603150782">
    <w:abstractNumId w:val="4"/>
  </w:num>
  <w:num w:numId="9" w16cid:durableId="19379773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R_RefLast" w:val="0"/>
    <w:docVar w:name="DocStatus" w:val="Green"/>
    <w:docVar w:name="LW_ACCOMPAGNANT.CP" w:val="bij"/>
    <w:docVar w:name="LW_CORRIGENDUM" w:val="&lt;UNUSED&gt;"/>
    <w:docVar w:name="LW_COVERPAGE_EXISTS" w:val="True"/>
    <w:docVar w:name="LW_COVERPAGE_GUID" w:val="D7BDF3E1-9211-49DB-87D9-5AA8F7D7A053"/>
    <w:docVar w:name="LW_COVERPAGE_TYPE" w:val="1"/>
    <w:docVar w:name="LW_CROSSREFERENCE" w:val="{COM(2024) 60 final} - {SEC(2024) 57 final} - {SWD(2024) 32 final} - {SWD(2024) 33 final}"/>
    <w:docVar w:name="LW_DocType" w:val="NORMAL"/>
    <w:docVar w:name="LW_EMISSION" w:val="6.2.2024"/>
    <w:docVar w:name="LW_EMISSION_ISODATE" w:val="2024-02-06"/>
    <w:docVar w:name="LW_EMISSION_LOCATION" w:val="STR"/>
    <w:docVar w:name="LW_EMISSION_PREFIX" w:val="Straatsburg, "/>
    <w:docVar w:name="LW_EMISSION_SUFFIX" w:val=" "/>
    <w:docVar w:name="LW_ID_DOCTYPE_NONLW" w:val="CP-027"/>
    <w:docVar w:name="LW_LANGUE" w:val="NL"/>
    <w:docVar w:name="LW_LEVEL_OF_SENSITIVITY" w:val="Standard treatment"/>
    <w:docVar w:name="LW_NOM.INST" w:val="EUROPESE COMMISSIE"/>
    <w:docVar w:name="LW_NOM.INST_JOINTDOC" w:val="&lt;EMPTY&gt;"/>
    <w:docVar w:name="LW_OBJETACTEPRINCIPAL.CP" w:val="ter bestrijding van seksueel misbruik en seksuele uitbuiting van kinderen en van materiaal van seksueel misbruik van kinderen, en ter vervanging van Kaderbesluit 2004/68/JBZ van de Raad (herschikking) "/>
    <w:docVar w:name="LW_PART_NBR" w:val="1"/>
    <w:docVar w:name="LW_PART_NBR_TOTAL" w:val="1"/>
    <w:docVar w:name="LW_REF.INST.NEW" w:val="SWD"/>
    <w:docVar w:name="LW_REF.INST.NEW_ADOPTED" w:val="final"/>
    <w:docVar w:name="LW_REF.INST.NEW_TEXT" w:val="(2024) 34"/>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UNUSED&gt;"/>
    <w:docVar w:name="LW_TYPE.DOC.CP" w:val="WERKDOCUMENT VAN DE DIENSTEN VAN DE COMMISSIE_x000b__x000b_SAMENVATTING VAN HET EFFECTBEOORDELINGSVERSLAG_x000b_"/>
    <w:docVar w:name="LW_TYPEACTEPRINCIPAL.CP" w:val="Voorstel voor een richtlijn van het Europees Parlement en de Raad"/>
    <w:docVar w:name="LwApiVersions" w:val="LW4CoDe 1.24.5.0; LW 9.0, Build 20240221"/>
    <w:docVar w:name="Stamp" w:val="\\dossiers.dgt.cec.eu.int\dossiers\HOME\HOME-2024-00025\HOME-2024-00025-00-01-EN-EDT-00.202401081729246835809.DOCX"/>
  </w:docVars>
  <w:rsids>
    <w:rsidRoot w:val="009F0757"/>
    <w:rsid w:val="0003113D"/>
    <w:rsid w:val="000A3D2B"/>
    <w:rsid w:val="000F6DFE"/>
    <w:rsid w:val="00184335"/>
    <w:rsid w:val="001C2484"/>
    <w:rsid w:val="001C712C"/>
    <w:rsid w:val="00236BC8"/>
    <w:rsid w:val="00244324"/>
    <w:rsid w:val="002479CE"/>
    <w:rsid w:val="002F5502"/>
    <w:rsid w:val="00342EF1"/>
    <w:rsid w:val="0035697F"/>
    <w:rsid w:val="003754FC"/>
    <w:rsid w:val="003B0629"/>
    <w:rsid w:val="00425583"/>
    <w:rsid w:val="00436100"/>
    <w:rsid w:val="0048108F"/>
    <w:rsid w:val="004A3539"/>
    <w:rsid w:val="005503FB"/>
    <w:rsid w:val="0057660D"/>
    <w:rsid w:val="005F39D0"/>
    <w:rsid w:val="00635CB0"/>
    <w:rsid w:val="00667F97"/>
    <w:rsid w:val="0069183D"/>
    <w:rsid w:val="006A20CC"/>
    <w:rsid w:val="006E2C8B"/>
    <w:rsid w:val="00701AE7"/>
    <w:rsid w:val="007157DC"/>
    <w:rsid w:val="007B706D"/>
    <w:rsid w:val="007F3D3C"/>
    <w:rsid w:val="00803B72"/>
    <w:rsid w:val="0083346B"/>
    <w:rsid w:val="008A11D6"/>
    <w:rsid w:val="008A3927"/>
    <w:rsid w:val="008B2F81"/>
    <w:rsid w:val="008C018E"/>
    <w:rsid w:val="008F0DCD"/>
    <w:rsid w:val="008F566F"/>
    <w:rsid w:val="00932CA4"/>
    <w:rsid w:val="00941C14"/>
    <w:rsid w:val="00944571"/>
    <w:rsid w:val="009A212F"/>
    <w:rsid w:val="009C428F"/>
    <w:rsid w:val="009F0757"/>
    <w:rsid w:val="009F2FEE"/>
    <w:rsid w:val="00A63E8F"/>
    <w:rsid w:val="00AF24FE"/>
    <w:rsid w:val="00B5113C"/>
    <w:rsid w:val="00B55CD2"/>
    <w:rsid w:val="00BB1E8F"/>
    <w:rsid w:val="00C26872"/>
    <w:rsid w:val="00C3123D"/>
    <w:rsid w:val="00C57662"/>
    <w:rsid w:val="00C6021C"/>
    <w:rsid w:val="00D37C84"/>
    <w:rsid w:val="00D80C80"/>
    <w:rsid w:val="00DF2190"/>
    <w:rsid w:val="00E7706C"/>
    <w:rsid w:val="00FA2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185D1341"/>
  <w15:chartTrackingRefBased/>
  <w15:docId w15:val="{B87E1528-3E9A-4F90-81B8-F0B0CC422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2EB7"/>
    <w:pPr>
      <w:keepNext/>
      <w:numPr>
        <w:numId w:val="1"/>
      </w:numPr>
      <w:spacing w:before="360" w:after="120" w:line="240" w:lineRule="auto"/>
      <w:jc w:val="both"/>
      <w:outlineLvl w:val="0"/>
    </w:pPr>
    <w:rPr>
      <w:rFonts w:ascii="Times New Roman" w:eastAsia="Times New Roman" w:hAnsi="Times New Roman" w:cs="Times New Roman"/>
      <w:b/>
      <w:bCs/>
      <w:smallCaps/>
      <w:sz w:val="24"/>
      <w:szCs w:val="28"/>
      <w:lang w:eastAsia="en-GB"/>
    </w:rPr>
  </w:style>
  <w:style w:type="paragraph" w:styleId="Heading2">
    <w:name w:val="heading 2"/>
    <w:basedOn w:val="Normal"/>
    <w:next w:val="Normal"/>
    <w:link w:val="Heading2Char"/>
    <w:uiPriority w:val="9"/>
    <w:unhideWhenUsed/>
    <w:qFormat/>
    <w:rsid w:val="00FA2EB7"/>
    <w:pPr>
      <w:keepNext/>
      <w:numPr>
        <w:ilvl w:val="1"/>
        <w:numId w:val="1"/>
      </w:numPr>
      <w:spacing w:before="120" w:after="120" w:line="240" w:lineRule="auto"/>
      <w:jc w:val="both"/>
      <w:outlineLvl w:val="1"/>
    </w:pPr>
    <w:rPr>
      <w:rFonts w:ascii="Times New Roman" w:eastAsia="Times New Roman" w:hAnsi="Times New Roman" w:cs="Times New Roman"/>
      <w:b/>
      <w:bCs/>
      <w:sz w:val="24"/>
      <w:szCs w:val="26"/>
      <w:lang w:eastAsia="en-GB"/>
    </w:rPr>
  </w:style>
  <w:style w:type="paragraph" w:styleId="Heading3">
    <w:name w:val="heading 3"/>
    <w:basedOn w:val="Normal"/>
    <w:next w:val="Normal"/>
    <w:link w:val="Heading3Char"/>
    <w:uiPriority w:val="9"/>
    <w:unhideWhenUsed/>
    <w:qFormat/>
    <w:rsid w:val="00FA2EB7"/>
    <w:pPr>
      <w:keepNext/>
      <w:numPr>
        <w:ilvl w:val="2"/>
        <w:numId w:val="1"/>
      </w:numPr>
      <w:spacing w:before="120" w:after="120" w:line="240" w:lineRule="auto"/>
      <w:jc w:val="both"/>
      <w:outlineLvl w:val="2"/>
    </w:pPr>
    <w:rPr>
      <w:rFonts w:ascii="Times New Roman" w:eastAsia="Times New Roman" w:hAnsi="Times New Roman" w:cs="Times New Roman"/>
      <w:bCs/>
      <w:i/>
      <w:sz w:val="24"/>
      <w:lang w:eastAsia="en-GB"/>
    </w:rPr>
  </w:style>
  <w:style w:type="paragraph" w:styleId="Heading4">
    <w:name w:val="heading 4"/>
    <w:basedOn w:val="Normal"/>
    <w:next w:val="Normal"/>
    <w:link w:val="Heading4Char"/>
    <w:uiPriority w:val="9"/>
    <w:unhideWhenUsed/>
    <w:qFormat/>
    <w:rsid w:val="00FA2EB7"/>
    <w:pPr>
      <w:keepNext/>
      <w:numPr>
        <w:ilvl w:val="3"/>
        <w:numId w:val="1"/>
      </w:numPr>
      <w:spacing w:before="120" w:after="120" w:line="240" w:lineRule="auto"/>
      <w:jc w:val="both"/>
      <w:outlineLvl w:val="3"/>
    </w:pPr>
    <w:rPr>
      <w:rFonts w:ascii="Times New Roman" w:eastAsia="Times New Roman" w:hAnsi="Times New Roman" w:cs="Times New Roman"/>
      <w:bCs/>
      <w:iCs/>
      <w:sz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sid w:val="009F0757"/>
    <w:rPr>
      <w:color w:val="0000FF"/>
      <w:shd w:val="clear" w:color="auto" w:fill="auto"/>
    </w:rPr>
  </w:style>
  <w:style w:type="paragraph" w:customStyle="1" w:styleId="Pagedecouverture">
    <w:name w:val="Page de couverture"/>
    <w:basedOn w:val="Normal"/>
    <w:next w:val="Normal"/>
    <w:rsid w:val="009F0757"/>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rsid w:val="009F07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0757"/>
  </w:style>
  <w:style w:type="paragraph" w:styleId="Footer">
    <w:name w:val="footer"/>
    <w:basedOn w:val="Normal"/>
    <w:link w:val="FooterChar"/>
    <w:uiPriority w:val="99"/>
    <w:unhideWhenUsed/>
    <w:rsid w:val="009F07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0757"/>
  </w:style>
  <w:style w:type="paragraph" w:customStyle="1" w:styleId="FooterCoverPage">
    <w:name w:val="Footer Cover Page"/>
    <w:basedOn w:val="Normal"/>
    <w:link w:val="FooterCoverPageChar"/>
    <w:rsid w:val="009F0757"/>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9F0757"/>
    <w:rPr>
      <w:rFonts w:ascii="Times New Roman" w:hAnsi="Times New Roman" w:cs="Times New Roman"/>
      <w:sz w:val="24"/>
    </w:rPr>
  </w:style>
  <w:style w:type="paragraph" w:customStyle="1" w:styleId="FooterSensitivity">
    <w:name w:val="Footer Sensitivity"/>
    <w:basedOn w:val="Normal"/>
    <w:link w:val="FooterSensitivityChar"/>
    <w:rsid w:val="009F0757"/>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9F0757"/>
    <w:rPr>
      <w:rFonts w:ascii="Times New Roman" w:hAnsi="Times New Roman" w:cs="Times New Roman"/>
      <w:b/>
      <w:sz w:val="32"/>
    </w:rPr>
  </w:style>
  <w:style w:type="paragraph" w:customStyle="1" w:styleId="HeaderCoverPage">
    <w:name w:val="Header Cover Page"/>
    <w:basedOn w:val="Normal"/>
    <w:link w:val="HeaderCoverPageChar"/>
    <w:rsid w:val="009F0757"/>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9F0757"/>
    <w:rPr>
      <w:rFonts w:ascii="Times New Roman" w:hAnsi="Times New Roman" w:cs="Times New Roman"/>
      <w:sz w:val="24"/>
    </w:rPr>
  </w:style>
  <w:style w:type="paragraph" w:customStyle="1" w:styleId="HeaderSensitivity">
    <w:name w:val="Header Sensitivity"/>
    <w:basedOn w:val="Normal"/>
    <w:link w:val="HeaderSensitivityChar"/>
    <w:rsid w:val="009F0757"/>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9F0757"/>
    <w:rPr>
      <w:rFonts w:ascii="Times New Roman" w:hAnsi="Times New Roman" w:cs="Times New Roman"/>
      <w:b/>
      <w:sz w:val="32"/>
    </w:rPr>
  </w:style>
  <w:style w:type="paragraph" w:customStyle="1" w:styleId="HeaderSensitivityRight">
    <w:name w:val="Header Sensitivity Right"/>
    <w:basedOn w:val="Normal"/>
    <w:link w:val="HeaderSensitivityRightChar"/>
    <w:rsid w:val="009F0757"/>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9F0757"/>
    <w:rPr>
      <w:rFonts w:ascii="Times New Roman" w:hAnsi="Times New Roman" w:cs="Times New Roman"/>
      <w:sz w:val="28"/>
    </w:rPr>
  </w:style>
  <w:style w:type="character" w:customStyle="1" w:styleId="Heading1Char">
    <w:name w:val="Heading 1 Char"/>
    <w:basedOn w:val="DefaultParagraphFont"/>
    <w:link w:val="Heading1"/>
    <w:uiPriority w:val="9"/>
    <w:rsid w:val="00FA2EB7"/>
    <w:rPr>
      <w:rFonts w:ascii="Times New Roman" w:eastAsia="Times New Roman" w:hAnsi="Times New Roman" w:cs="Times New Roman"/>
      <w:b/>
      <w:bCs/>
      <w:smallCaps/>
      <w:sz w:val="24"/>
      <w:szCs w:val="28"/>
      <w:lang w:val="nl-NL" w:eastAsia="en-GB"/>
    </w:rPr>
  </w:style>
  <w:style w:type="character" w:customStyle="1" w:styleId="Heading2Char">
    <w:name w:val="Heading 2 Char"/>
    <w:basedOn w:val="DefaultParagraphFont"/>
    <w:link w:val="Heading2"/>
    <w:uiPriority w:val="9"/>
    <w:rsid w:val="00FA2EB7"/>
    <w:rPr>
      <w:rFonts w:ascii="Times New Roman" w:eastAsia="Times New Roman" w:hAnsi="Times New Roman" w:cs="Times New Roman"/>
      <w:b/>
      <w:bCs/>
      <w:sz w:val="24"/>
      <w:szCs w:val="26"/>
      <w:lang w:val="nl-NL" w:eastAsia="en-GB"/>
    </w:rPr>
  </w:style>
  <w:style w:type="character" w:customStyle="1" w:styleId="Heading3Char">
    <w:name w:val="Heading 3 Char"/>
    <w:basedOn w:val="DefaultParagraphFont"/>
    <w:link w:val="Heading3"/>
    <w:uiPriority w:val="9"/>
    <w:rsid w:val="00FA2EB7"/>
    <w:rPr>
      <w:rFonts w:ascii="Times New Roman" w:eastAsia="Times New Roman" w:hAnsi="Times New Roman" w:cs="Times New Roman"/>
      <w:bCs/>
      <w:i/>
      <w:sz w:val="24"/>
      <w:lang w:val="nl-NL" w:eastAsia="en-GB"/>
    </w:rPr>
  </w:style>
  <w:style w:type="character" w:customStyle="1" w:styleId="Heading4Char">
    <w:name w:val="Heading 4 Char"/>
    <w:basedOn w:val="DefaultParagraphFont"/>
    <w:link w:val="Heading4"/>
    <w:uiPriority w:val="9"/>
    <w:rsid w:val="00FA2EB7"/>
    <w:rPr>
      <w:rFonts w:ascii="Times New Roman" w:eastAsia="Times New Roman" w:hAnsi="Times New Roman" w:cs="Times New Roman"/>
      <w:bCs/>
      <w:iCs/>
      <w:sz w:val="24"/>
      <w:lang w:val="nl-NL" w:eastAsia="en-GB"/>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OBC Bullet,L"/>
    <w:basedOn w:val="Normal"/>
    <w:link w:val="ListParagraphChar"/>
    <w:uiPriority w:val="34"/>
    <w:qFormat/>
    <w:rsid w:val="00FA2EB7"/>
    <w:pPr>
      <w:spacing w:after="200" w:line="276" w:lineRule="auto"/>
      <w:ind w:left="720"/>
      <w:contextualSpacing/>
    </w:pPr>
  </w:style>
  <w:style w:type="table" w:styleId="TableGrid">
    <w:name w:val="Table Grid"/>
    <w:basedOn w:val="TableNormal"/>
    <w:rsid w:val="00FA2EB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2EB7"/>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customStyle="1" w:styleId="TableText">
    <w:name w:val="Table Text"/>
    <w:basedOn w:val="Normal"/>
    <w:link w:val="TableTextChar"/>
    <w:qFormat/>
    <w:rsid w:val="00FA2EB7"/>
    <w:pPr>
      <w:framePr w:hSpace="180" w:wrap="around" w:vAnchor="page" w:hAnchor="margin" w:xAlign="center" w:y="2340"/>
      <w:spacing w:after="0" w:line="240" w:lineRule="auto"/>
    </w:pPr>
    <w:rPr>
      <w:rFonts w:ascii="Times New Roman" w:eastAsiaTheme="minorEastAsia" w:hAnsi="Times New Roman" w:cs="Times New Roman"/>
      <w:sz w:val="20"/>
      <w:szCs w:val="20"/>
    </w:rPr>
  </w:style>
  <w:style w:type="character" w:customStyle="1" w:styleId="TableTextChar">
    <w:name w:val="Table Text Char"/>
    <w:basedOn w:val="DefaultParagraphFont"/>
    <w:link w:val="TableText"/>
    <w:rsid w:val="00FA2EB7"/>
    <w:rPr>
      <w:rFonts w:ascii="Times New Roman" w:eastAsiaTheme="minorEastAsia" w:hAnsi="Times New Roman" w:cs="Times New Roman"/>
      <w:sz w:val="20"/>
      <w:szCs w:val="20"/>
      <w:lang w:val="nl-NL"/>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FA2EB7"/>
    <w:rPr>
      <w:lang w:val="nl-NL"/>
    </w:rPr>
  </w:style>
  <w:style w:type="paragraph" w:styleId="BalloonText">
    <w:name w:val="Balloon Text"/>
    <w:basedOn w:val="Normal"/>
    <w:link w:val="BalloonTextChar"/>
    <w:uiPriority w:val="99"/>
    <w:semiHidden/>
    <w:unhideWhenUsed/>
    <w:rsid w:val="006E2C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2C8B"/>
    <w:rPr>
      <w:rFonts w:ascii="Segoe UI" w:hAnsi="Segoe UI" w:cs="Segoe UI"/>
      <w:sz w:val="18"/>
      <w:szCs w:val="18"/>
    </w:rPr>
  </w:style>
  <w:style w:type="paragraph" w:styleId="Revision">
    <w:name w:val="Revision"/>
    <w:hidden/>
    <w:uiPriority w:val="99"/>
    <w:semiHidden/>
    <w:rsid w:val="007157DC"/>
    <w:pPr>
      <w:spacing w:after="0" w:line="240" w:lineRule="auto"/>
    </w:pPr>
  </w:style>
  <w:style w:type="paragraph" w:styleId="FootnoteText">
    <w:name w:val="footnote text"/>
    <w:basedOn w:val="Normal"/>
    <w:uiPriority w:val="99"/>
    <w:semiHidden/>
    <w:unhideWhenUsed/>
    <w:rsid w:val="0035697F"/>
    <w:pPr>
      <w:spacing w:after="0" w:line="240" w:lineRule="auto"/>
    </w:pPr>
    <w:rPr>
      <w:sz w:val="20"/>
      <w:szCs w:val="20"/>
    </w:rPr>
  </w:style>
  <w:style w:type="character" w:customStyle="1" w:styleId="FootnoteTextChar">
    <w:name w:val="Footnote Text Char"/>
    <w:basedOn w:val="DefaultParagraphFont"/>
    <w:uiPriority w:val="99"/>
    <w:semiHidden/>
    <w:rsid w:val="0035697F"/>
    <w:rPr>
      <w:sz w:val="20"/>
      <w:szCs w:val="20"/>
    </w:rPr>
  </w:style>
  <w:style w:type="character" w:styleId="FootnoteReference">
    <w:name w:val="footnote reference"/>
    <w:basedOn w:val="DefaultParagraphFont"/>
    <w:uiPriority w:val="99"/>
    <w:semiHidden/>
    <w:unhideWhenUsed/>
    <w:rsid w:val="0035697F"/>
    <w:rPr>
      <w:vertAlign w:val="superscript"/>
    </w:rPr>
  </w:style>
  <w:style w:type="character" w:styleId="CommentReference">
    <w:name w:val="annotation reference"/>
    <w:basedOn w:val="DefaultParagraphFont"/>
    <w:uiPriority w:val="99"/>
    <w:semiHidden/>
    <w:unhideWhenUsed/>
    <w:rsid w:val="00436100"/>
    <w:rPr>
      <w:sz w:val="16"/>
      <w:szCs w:val="16"/>
    </w:rPr>
  </w:style>
  <w:style w:type="paragraph" w:styleId="CommentText">
    <w:name w:val="annotation text"/>
    <w:basedOn w:val="Normal"/>
    <w:link w:val="CommentTextChar"/>
    <w:uiPriority w:val="99"/>
    <w:unhideWhenUsed/>
    <w:rsid w:val="00436100"/>
    <w:pPr>
      <w:spacing w:line="240" w:lineRule="auto"/>
    </w:pPr>
    <w:rPr>
      <w:sz w:val="20"/>
      <w:szCs w:val="20"/>
    </w:rPr>
  </w:style>
  <w:style w:type="character" w:customStyle="1" w:styleId="CommentTextChar">
    <w:name w:val="Comment Text Char"/>
    <w:basedOn w:val="DefaultParagraphFont"/>
    <w:link w:val="CommentText"/>
    <w:uiPriority w:val="99"/>
    <w:rsid w:val="00436100"/>
    <w:rPr>
      <w:sz w:val="20"/>
      <w:szCs w:val="20"/>
      <w:lang w:val="nl-NL"/>
    </w:rPr>
  </w:style>
  <w:style w:type="paragraph" w:styleId="CommentSubject">
    <w:name w:val="annotation subject"/>
    <w:basedOn w:val="CommentText"/>
    <w:next w:val="CommentText"/>
    <w:link w:val="CommentSubjectChar"/>
    <w:uiPriority w:val="99"/>
    <w:semiHidden/>
    <w:unhideWhenUsed/>
    <w:rsid w:val="00436100"/>
    <w:rPr>
      <w:b/>
      <w:bCs/>
    </w:rPr>
  </w:style>
  <w:style w:type="character" w:customStyle="1" w:styleId="CommentSubjectChar">
    <w:name w:val="Comment Subject Char"/>
    <w:basedOn w:val="CommentTextChar"/>
    <w:link w:val="CommentSubject"/>
    <w:uiPriority w:val="99"/>
    <w:semiHidden/>
    <w:rsid w:val="00436100"/>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31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14E7197DF979D5409D8D15FF8FABB58E" ma:contentTypeVersion="0" ma:contentTypeDescription="Create a new document in this library." ma:contentTypeScope="" ma:versionID="fe3026989086f7d38e598e095a8efcc7">
  <xsd:schema xmlns:xsd="http://www.w3.org/2001/XMLSchema" xmlns:xs="http://www.w3.org/2001/XMLSchema" xmlns:p="http://schemas.microsoft.com/office/2006/metadata/properties" xmlns:ns2="http://schemas.microsoft.com/sharepoint/v3/fields" xmlns:ns3="f538a633-be56-42ab-ba4f-a30d03d61d31" targetNamespace="http://schemas.microsoft.com/office/2006/metadata/properties" ma:root="true" ma:fieldsID="fcbb4f47cab5561703b23df2fa833b18" ns2:_="" ns3:_="">
    <xsd:import namespace="http://schemas.microsoft.com/sharepoint/v3/fields"/>
    <xsd:import namespace="f538a633-be56-42ab-ba4f-a30d03d61d31"/>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f538a633-be56-42ab-ba4f-a30d03d61d31"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Status xmlns="http://schemas.microsoft.com/sharepoint/v3/fields">Not Started</_Status>
    <EC_Collab_Status xmlns="f538a633-be56-42ab-ba4f-a30d03d61d31">Not Started</EC_Collab_Status>
    <EC_Collab_Reference xmlns="f538a633-be56-42ab-ba4f-a30d03d61d31" xsi:nil="true"/>
    <EC_Collab_DocumentLanguage xmlns="f538a633-be56-42ab-ba4f-a30d03d61d31">EN</EC_Collab_DocumentLanguage>
  </documentManagement>
</p:properties>
</file>

<file path=customXml/itemProps1.xml><?xml version="1.0" encoding="utf-8"?>
<ds:datastoreItem xmlns:ds="http://schemas.openxmlformats.org/officeDocument/2006/customXml" ds:itemID="{BC357CAA-7AAF-4F81-80A1-EFAAD18E25D3}">
  <ds:schemaRefs>
    <ds:schemaRef ds:uri="http://schemas.microsoft.com/sharepoint/v3/contenttype/forms"/>
  </ds:schemaRefs>
</ds:datastoreItem>
</file>

<file path=customXml/itemProps2.xml><?xml version="1.0" encoding="utf-8"?>
<ds:datastoreItem xmlns:ds="http://schemas.openxmlformats.org/officeDocument/2006/customXml" ds:itemID="{4A159440-B687-4FB1-B7B0-BC6FC22D9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f538a633-be56-42ab-ba4f-a30d03d61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E79932-4D60-4B59-A55E-5278C8493451}">
  <ds:schemaRefs>
    <ds:schemaRef ds:uri="http://schemas.openxmlformats.org/officeDocument/2006/bibliography"/>
  </ds:schemaRefs>
</ds:datastoreItem>
</file>

<file path=customXml/itemProps4.xml><?xml version="1.0" encoding="utf-8"?>
<ds:datastoreItem xmlns:ds="http://schemas.openxmlformats.org/officeDocument/2006/customXml" ds:itemID="{EA180C60-917A-4BF9-B579-21C76D683287}">
  <ds:schemaRefs>
    <ds:schemaRef ds:uri="69fd4670-f4ca-4b7d-b0a0-6eb9b235e900"/>
    <ds:schemaRef ds:uri="http://purl.org/dc/elements/1.1/"/>
    <ds:schemaRef ds:uri="http://purl.org/dc/dcmitype/"/>
    <ds:schemaRef ds:uri="http://schemas.microsoft.com/sharepoint/v3/fields"/>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f538a633-be56-42ab-ba4f-a30d03d61d31"/>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4</Pages>
  <Words>1944</Words>
  <Characters>11723</Characters>
  <Application>Microsoft Office Word</Application>
  <DocSecurity>0</DocSecurity>
  <Lines>160</Lines>
  <Paragraphs>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27</cp:revision>
  <dcterms:created xsi:type="dcterms:W3CDTF">2024-01-25T11:44:00Z</dcterms:created>
  <dcterms:modified xsi:type="dcterms:W3CDTF">2024-03-25T08:24:00Z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CP-027</vt:lpwstr>
  </property>
  <property fmtid="{D5CDD505-2E9C-101B-9397-08002B2CF9AE}" pid="7" name="Last edited using">
    <vt:lpwstr>LW 9.0, Build 20230317</vt:lpwstr>
  </property>
  <property fmtid="{D5CDD505-2E9C-101B-9397-08002B2CF9AE}" pid="8" name="Created using">
    <vt:lpwstr>LW 7.0, Build 20190717</vt:lpwstr>
  </property>
  <property fmtid="{D5CDD505-2E9C-101B-9397-08002B2CF9AE}" pid="9" name="ContentTypeId">
    <vt:lpwstr>0x010100258AA79CEB83498886A3A086811232500014E7197DF979D5409D8D15FF8FABB58E</vt:lpwstr>
  </property>
  <property fmtid="{D5CDD505-2E9C-101B-9397-08002B2CF9AE}" pid="10" name="MSIP_Label_6bd9ddd1-4d20-43f6-abfa-fc3c07406f94_Enabled">
    <vt:lpwstr>true</vt:lpwstr>
  </property>
  <property fmtid="{D5CDD505-2E9C-101B-9397-08002B2CF9AE}" pid="11" name="MSIP_Label_6bd9ddd1-4d20-43f6-abfa-fc3c07406f94_SetDate">
    <vt:lpwstr>2023-12-15T07:56:32Z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57db5447-596c-425f-9f5d-1fadfe5b5a93</vt:lpwstr>
  </property>
  <property fmtid="{D5CDD505-2E9C-101B-9397-08002B2CF9AE}" pid="16" name="MSIP_Label_6bd9ddd1-4d20-43f6-abfa-fc3c07406f94_ContentBits">
    <vt:lpwstr>0</vt:lpwstr>
  </property>
  <property name="OP_sanitized" fmtid="{D5CDD505-2E9C-101B-9397-08002B2CF9AE}" pid="17">
    <vt:lpwstr>True</vt:lpwstr>
  </property>
</Properties>
</file>