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AC6" w:rsidRPr="00AF241B" w:rsidRDefault="00D31660" w:rsidP="00D3166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B4035C6-084E-4A63-B27A-59FCDAD74780" style="width:455.25pt;height:369.75pt">
            <v:imagedata r:id="rId11" o:title=""/>
          </v:shape>
        </w:pict>
      </w:r>
    </w:p>
    <w:p w:rsidR="00252AC6" w:rsidRPr="00AF241B" w:rsidRDefault="00252AC6" w:rsidP="00252AC6">
      <w:pPr>
        <w:rPr>
          <w:noProof/>
        </w:rPr>
        <w:sectPr w:rsidR="00252AC6" w:rsidRPr="00AF241B" w:rsidSect="00D31660">
          <w:footerReference w:type="even" r:id="rId12"/>
          <w:footerReference w:type="default" r:id="rId13"/>
          <w:pgSz w:w="11907" w:h="16839"/>
          <w:pgMar w:top="1134" w:right="1417" w:bottom="1134" w:left="1417" w:header="709" w:footer="709" w:gutter="0"/>
          <w:pgNumType w:start="0"/>
          <w:cols w:space="720"/>
          <w:docGrid w:linePitch="360"/>
        </w:sectPr>
      </w:pPr>
    </w:p>
    <w:p w:rsidR="00252AC6" w:rsidRPr="00AF241B" w:rsidRDefault="00252AC6" w:rsidP="00F060F9">
      <w:pPr>
        <w:pStyle w:val="Exposdesmotifstitre"/>
        <w:rPr>
          <w:noProof/>
        </w:rPr>
      </w:pPr>
      <w:bookmarkStart w:id="0" w:name="_GoBack"/>
      <w:bookmarkEnd w:id="0"/>
      <w:r w:rsidRPr="00AF241B">
        <w:rPr>
          <w:noProof/>
        </w:rPr>
        <w:lastRenderedPageBreak/>
        <w:t>TOELICHTING</w:t>
      </w:r>
    </w:p>
    <w:p w:rsidR="00252AC6" w:rsidRPr="00AF241B" w:rsidRDefault="00252AC6" w:rsidP="00252AC6">
      <w:pPr>
        <w:pStyle w:val="ManualHeading1"/>
        <w:rPr>
          <w:noProof/>
        </w:rPr>
      </w:pPr>
      <w:r w:rsidRPr="00AF241B">
        <w:rPr>
          <w:noProof/>
        </w:rPr>
        <w:t>ACHTERGROND VAN HET VOORSTEL</w:t>
      </w:r>
    </w:p>
    <w:p w:rsidR="00252AC6" w:rsidRPr="00AF241B" w:rsidRDefault="00CB0C8E" w:rsidP="00CB0C8E">
      <w:pPr>
        <w:pStyle w:val="ManualNumPar1"/>
        <w:rPr>
          <w:noProof/>
        </w:rPr>
      </w:pPr>
      <w:r w:rsidRPr="00CB0C8E">
        <w:rPr>
          <w:noProof/>
        </w:rPr>
        <w:t>1.</w:t>
      </w:r>
      <w:r w:rsidRPr="00CB0C8E">
        <w:rPr>
          <w:noProof/>
        </w:rPr>
        <w:tab/>
      </w:r>
      <w:r w:rsidR="00252AC6" w:rsidRPr="00AF241B">
        <w:rPr>
          <w:noProof/>
        </w:rPr>
        <w:t>De regels die van toepassing zijn op de financiële bijdragen uit het Europees Fonds voor aanpassing aan de globalisering voor ontslagen werknemers (EFG) zijn vastgesteld in Verordening (EU)</w:t>
      </w:r>
      <w:r w:rsidR="005A1D43">
        <w:rPr>
          <w:noProof/>
        </w:rPr>
        <w:t xml:space="preserve"> </w:t>
      </w:r>
      <w:r w:rsidR="00252AC6" w:rsidRPr="001D3039">
        <w:rPr>
          <w:noProof/>
        </w:rPr>
        <w:t>2021</w:t>
      </w:r>
      <w:r w:rsidR="00252AC6" w:rsidRPr="00AF241B">
        <w:rPr>
          <w:noProof/>
        </w:rPr>
        <w:t>/</w:t>
      </w:r>
      <w:r w:rsidR="00252AC6" w:rsidRPr="001D3039">
        <w:rPr>
          <w:noProof/>
        </w:rPr>
        <w:t>691</w:t>
      </w:r>
      <w:r w:rsidR="00252AC6" w:rsidRPr="00AF241B">
        <w:rPr>
          <w:noProof/>
        </w:rPr>
        <w:t xml:space="preserve"> van het Europees Parlement en de Raad van </w:t>
      </w:r>
      <w:r w:rsidR="00252AC6" w:rsidRPr="001D3039">
        <w:rPr>
          <w:noProof/>
        </w:rPr>
        <w:t>28</w:t>
      </w:r>
      <w:r w:rsidR="005A1D43">
        <w:rPr>
          <w:noProof/>
        </w:rPr>
        <w:t> </w:t>
      </w:r>
      <w:r w:rsidR="00252AC6" w:rsidRPr="00AF241B">
        <w:rPr>
          <w:noProof/>
        </w:rPr>
        <w:t xml:space="preserve">april </w:t>
      </w:r>
      <w:r w:rsidR="00252AC6" w:rsidRPr="001D3039">
        <w:rPr>
          <w:noProof/>
        </w:rPr>
        <w:t>2021</w:t>
      </w:r>
      <w:r w:rsidR="00252AC6" w:rsidRPr="00AF241B">
        <w:rPr>
          <w:noProof/>
        </w:rPr>
        <w:t xml:space="preserve"> betreffende het Europees Fonds voor aanpassing aan de globalisering voor ontslagen werknemers (EFG) en tot wijziging van Verordening (EU) nr. </w:t>
      </w:r>
      <w:r w:rsidR="00252AC6" w:rsidRPr="001D3039">
        <w:rPr>
          <w:noProof/>
        </w:rPr>
        <w:t>1309</w:t>
      </w:r>
      <w:r w:rsidR="00252AC6" w:rsidRPr="00AF241B">
        <w:rPr>
          <w:noProof/>
        </w:rPr>
        <w:t>/</w:t>
      </w:r>
      <w:r w:rsidR="00252AC6" w:rsidRPr="001D3039">
        <w:rPr>
          <w:noProof/>
        </w:rPr>
        <w:t>2013</w:t>
      </w:r>
      <w:r w:rsidR="00252AC6" w:rsidRPr="00AF241B">
        <w:rPr>
          <w:rStyle w:val="FootnoteReference"/>
          <w:noProof/>
        </w:rPr>
        <w:footnoteReference w:id="1"/>
      </w:r>
      <w:r w:rsidR="00252AC6" w:rsidRPr="00AF241B">
        <w:rPr>
          <w:noProof/>
        </w:rPr>
        <w:t>.</w:t>
      </w:r>
    </w:p>
    <w:p w:rsidR="00252AC6" w:rsidRPr="00AF241B" w:rsidRDefault="00CB0C8E" w:rsidP="00CB0C8E">
      <w:pPr>
        <w:pStyle w:val="ManualNumPar1"/>
        <w:rPr>
          <w:noProof/>
        </w:rPr>
      </w:pPr>
      <w:r w:rsidRPr="00CB0C8E">
        <w:rPr>
          <w:noProof/>
        </w:rPr>
        <w:t>2.</w:t>
      </w:r>
      <w:r w:rsidRPr="00CB0C8E">
        <w:rPr>
          <w:noProof/>
        </w:rPr>
        <w:tab/>
      </w:r>
      <w:r w:rsidR="00252AC6" w:rsidRPr="00AF241B">
        <w:rPr>
          <w:noProof/>
        </w:rPr>
        <w:t xml:space="preserve">Op </w:t>
      </w:r>
      <w:r w:rsidR="00252AC6" w:rsidRPr="001D3039">
        <w:rPr>
          <w:noProof/>
        </w:rPr>
        <w:t>3</w:t>
      </w:r>
      <w:r w:rsidR="005A1D43">
        <w:rPr>
          <w:noProof/>
        </w:rPr>
        <w:t> </w:t>
      </w:r>
      <w:r w:rsidR="00252AC6" w:rsidRPr="00AF241B">
        <w:rPr>
          <w:noProof/>
        </w:rPr>
        <w:t xml:space="preserve">juni </w:t>
      </w:r>
      <w:r w:rsidR="00252AC6" w:rsidRPr="001D3039">
        <w:rPr>
          <w:noProof/>
        </w:rPr>
        <w:t>2024</w:t>
      </w:r>
      <w:r w:rsidR="00252AC6" w:rsidRPr="00AF241B">
        <w:rPr>
          <w:noProof/>
        </w:rPr>
        <w:t xml:space="preserve"> heeft België aanvraag EGF/</w:t>
      </w:r>
      <w:bookmarkStart w:id="1" w:name="EGF_Ref_Year"/>
      <w:r w:rsidR="00252AC6" w:rsidRPr="001D3039">
        <w:rPr>
          <w:noProof/>
        </w:rPr>
        <w:t>2024</w:t>
      </w:r>
      <w:bookmarkEnd w:id="1"/>
      <w:r w:rsidR="00252AC6" w:rsidRPr="00AF241B">
        <w:rPr>
          <w:noProof/>
        </w:rPr>
        <w:t>/</w:t>
      </w:r>
      <w:bookmarkStart w:id="2" w:name="EGF_Ref_CaseNumber"/>
      <w:r w:rsidR="00252AC6" w:rsidRPr="001D3039">
        <w:rPr>
          <w:noProof/>
        </w:rPr>
        <w:t>001</w:t>
      </w:r>
      <w:bookmarkEnd w:id="2"/>
      <w:r w:rsidR="00252AC6" w:rsidRPr="00AF241B">
        <w:rPr>
          <w:noProof/>
        </w:rPr>
        <w:t> </w:t>
      </w:r>
      <w:bookmarkStart w:id="3" w:name="MS_Code"/>
      <w:r w:rsidR="00252AC6" w:rsidRPr="00AF241B">
        <w:rPr>
          <w:noProof/>
        </w:rPr>
        <w:t>BE</w:t>
      </w:r>
      <w:bookmarkEnd w:id="3"/>
      <w:r w:rsidR="00252AC6" w:rsidRPr="00AF241B">
        <w:rPr>
          <w:noProof/>
        </w:rPr>
        <w:t>/</w:t>
      </w:r>
      <w:bookmarkStart w:id="4" w:name="EGF_Ref_CaseName"/>
      <w:r w:rsidR="00252AC6" w:rsidRPr="00AF241B">
        <w:rPr>
          <w:noProof/>
        </w:rPr>
        <w:t>Match</w:t>
      </w:r>
      <w:bookmarkEnd w:id="4"/>
      <w:r w:rsidR="00252AC6" w:rsidRPr="00AF241B">
        <w:rPr>
          <w:noProof/>
        </w:rPr>
        <w:t xml:space="preserve">-Smatch ingediend voor een financiële bijdrage uit het EFG naar aanleiding van ontslagen bij de supermarkten </w:t>
      </w:r>
      <w:bookmarkStart w:id="5" w:name="PrimEnterprise_Name"/>
      <w:r w:rsidR="00252AC6" w:rsidRPr="00AF241B">
        <w:rPr>
          <w:noProof/>
        </w:rPr>
        <w:t>Match-Smatch (Match NV en Profi NV)</w:t>
      </w:r>
      <w:bookmarkEnd w:id="5"/>
      <w:r w:rsidR="00252AC6" w:rsidRPr="00AF241B">
        <w:rPr>
          <w:noProof/>
        </w:rPr>
        <w:t xml:space="preserve"> in </w:t>
      </w:r>
      <w:bookmarkStart w:id="6" w:name="MS_Name"/>
      <w:r w:rsidR="00252AC6" w:rsidRPr="00AF241B">
        <w:rPr>
          <w:noProof/>
        </w:rPr>
        <w:t>België</w:t>
      </w:r>
      <w:bookmarkEnd w:id="6"/>
      <w:r w:rsidR="00252AC6" w:rsidRPr="00AF241B">
        <w:rPr>
          <w:noProof/>
        </w:rPr>
        <w:t>.</w:t>
      </w:r>
    </w:p>
    <w:p w:rsidR="00252AC6" w:rsidRPr="00AF241B" w:rsidRDefault="00CB0C8E" w:rsidP="00CB0C8E">
      <w:pPr>
        <w:pStyle w:val="ManualNumPar1"/>
        <w:rPr>
          <w:noProof/>
        </w:rPr>
      </w:pPr>
      <w:r w:rsidRPr="00CB0C8E">
        <w:rPr>
          <w:noProof/>
        </w:rPr>
        <w:t>3.</w:t>
      </w:r>
      <w:r w:rsidRPr="00CB0C8E">
        <w:rPr>
          <w:noProof/>
        </w:rPr>
        <w:tab/>
      </w:r>
      <w:r w:rsidR="00252AC6" w:rsidRPr="00AF241B">
        <w:rPr>
          <w:noProof/>
        </w:rPr>
        <w:t xml:space="preserve">Na de aanvraag te hebben beoordeeld, heeft de Commissie overeenkomstig alle toepasselijke bepalingen van Verordening (EU) </w:t>
      </w:r>
      <w:r w:rsidR="00252AC6" w:rsidRPr="001D3039">
        <w:rPr>
          <w:noProof/>
        </w:rPr>
        <w:t>2021</w:t>
      </w:r>
      <w:r w:rsidR="00252AC6" w:rsidRPr="00AF241B">
        <w:rPr>
          <w:noProof/>
        </w:rPr>
        <w:t>/</w:t>
      </w:r>
      <w:r w:rsidR="00252AC6" w:rsidRPr="001D3039">
        <w:rPr>
          <w:noProof/>
        </w:rPr>
        <w:t>691</w:t>
      </w:r>
      <w:r w:rsidR="00252AC6" w:rsidRPr="00AF241B">
        <w:rPr>
          <w:noProof/>
        </w:rPr>
        <w:t xml:space="preserve"> geconcludeerd dat aan de voorwaarden voor het toekennen van een financiële bijdrage uit het EFG is voldaan.</w:t>
      </w:r>
    </w:p>
    <w:p w:rsidR="00252AC6" w:rsidRPr="00AF241B" w:rsidRDefault="00252AC6" w:rsidP="00252AC6">
      <w:pPr>
        <w:pStyle w:val="ManualHeading1"/>
        <w:rPr>
          <w:noProof/>
        </w:rPr>
      </w:pPr>
      <w:r w:rsidRPr="00AF241B">
        <w:rPr>
          <w:noProof/>
        </w:rPr>
        <w:t>SAMENVATTING VAN DE AANVRAAG</w:t>
      </w: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908"/>
        <w:gridCol w:w="1721"/>
        <w:gridCol w:w="2658"/>
      </w:tblGrid>
      <w:tr w:rsidR="00252AC6" w:rsidRPr="00AF241B" w:rsidTr="00C812FC">
        <w:tc>
          <w:tcPr>
            <w:tcW w:w="4908" w:type="dxa"/>
            <w:shd w:val="clear" w:color="auto" w:fill="auto"/>
          </w:tcPr>
          <w:p w:rsidR="00252AC6" w:rsidRPr="00AF241B" w:rsidRDefault="00252AC6" w:rsidP="00F060F9">
            <w:pPr>
              <w:spacing w:before="60" w:after="60"/>
              <w:jc w:val="left"/>
              <w:rPr>
                <w:rFonts w:eastAsia="Calibri"/>
                <w:noProof/>
              </w:rPr>
            </w:pPr>
            <w:r w:rsidRPr="00AF241B">
              <w:rPr>
                <w:noProof/>
              </w:rPr>
              <w:t>EFG-aanvraag</w:t>
            </w:r>
          </w:p>
        </w:tc>
        <w:tc>
          <w:tcPr>
            <w:tcW w:w="4379" w:type="dxa"/>
            <w:gridSpan w:val="2"/>
            <w:shd w:val="clear" w:color="auto" w:fill="auto"/>
          </w:tcPr>
          <w:p w:rsidR="00252AC6" w:rsidRPr="00AF241B" w:rsidRDefault="00252AC6" w:rsidP="00F060F9">
            <w:pPr>
              <w:spacing w:before="60" w:after="60"/>
              <w:ind w:rightChars="192" w:right="461"/>
              <w:jc w:val="left"/>
              <w:rPr>
                <w:rFonts w:eastAsia="Calibri"/>
                <w:noProof/>
              </w:rPr>
            </w:pPr>
            <w:r w:rsidRPr="00AF241B">
              <w:rPr>
                <w:noProof/>
              </w:rPr>
              <w:t>EGF/</w:t>
            </w:r>
            <w:r w:rsidRPr="001D3039">
              <w:rPr>
                <w:noProof/>
              </w:rPr>
              <w:t>2024</w:t>
            </w:r>
            <w:r w:rsidRPr="00AF241B">
              <w:rPr>
                <w:noProof/>
              </w:rPr>
              <w:t>/</w:t>
            </w:r>
            <w:r w:rsidRPr="001D3039">
              <w:rPr>
                <w:noProof/>
              </w:rPr>
              <w:t>001</w:t>
            </w:r>
            <w:r w:rsidRPr="00AF241B">
              <w:rPr>
                <w:noProof/>
              </w:rPr>
              <w:t xml:space="preserve"> BE/Match-Smatch</w:t>
            </w:r>
          </w:p>
        </w:tc>
      </w:tr>
      <w:tr w:rsidR="00252AC6" w:rsidRPr="00AF241B" w:rsidTr="00C812FC">
        <w:tc>
          <w:tcPr>
            <w:tcW w:w="4908" w:type="dxa"/>
            <w:shd w:val="clear" w:color="auto" w:fill="auto"/>
          </w:tcPr>
          <w:p w:rsidR="00252AC6" w:rsidRPr="00AF241B" w:rsidRDefault="00252AC6" w:rsidP="00F060F9">
            <w:pPr>
              <w:spacing w:before="60" w:after="60"/>
              <w:jc w:val="left"/>
              <w:rPr>
                <w:rFonts w:eastAsia="Calibri"/>
                <w:noProof/>
              </w:rPr>
            </w:pPr>
            <w:r w:rsidRPr="00AF241B">
              <w:rPr>
                <w:noProof/>
              </w:rPr>
              <w:t>Lidstaat</w:t>
            </w:r>
          </w:p>
        </w:tc>
        <w:tc>
          <w:tcPr>
            <w:tcW w:w="4379" w:type="dxa"/>
            <w:gridSpan w:val="2"/>
            <w:shd w:val="clear" w:color="auto" w:fill="auto"/>
          </w:tcPr>
          <w:p w:rsidR="00252AC6" w:rsidRPr="00AF241B" w:rsidRDefault="007C4649" w:rsidP="00F060F9">
            <w:pPr>
              <w:spacing w:before="60" w:after="60"/>
              <w:ind w:rightChars="192" w:right="461"/>
              <w:jc w:val="left"/>
              <w:rPr>
                <w:rFonts w:eastAsia="Calibri"/>
                <w:noProof/>
              </w:rPr>
            </w:pPr>
            <w:r w:rsidRPr="00AF241B">
              <w:rPr>
                <w:noProof/>
              </w:rPr>
              <w:t>België</w:t>
            </w:r>
          </w:p>
        </w:tc>
      </w:tr>
      <w:tr w:rsidR="00252AC6" w:rsidRPr="00AF241B" w:rsidTr="00C812FC">
        <w:tc>
          <w:tcPr>
            <w:tcW w:w="4908" w:type="dxa"/>
            <w:tcBorders>
              <w:bottom w:val="single" w:sz="4" w:space="0" w:color="auto"/>
            </w:tcBorders>
            <w:shd w:val="clear" w:color="auto" w:fill="auto"/>
          </w:tcPr>
          <w:p w:rsidR="00252AC6" w:rsidRPr="00AF241B" w:rsidRDefault="00252AC6" w:rsidP="00F060F9">
            <w:pPr>
              <w:spacing w:before="60" w:after="60"/>
              <w:jc w:val="left"/>
              <w:rPr>
                <w:rFonts w:eastAsia="Calibri"/>
                <w:noProof/>
              </w:rPr>
            </w:pPr>
            <w:r w:rsidRPr="00AF241B">
              <w:rPr>
                <w:noProof/>
              </w:rPr>
              <w:t xml:space="preserve">Betroffen regio(’s) (NUTS-niveau </w:t>
            </w:r>
            <w:r w:rsidRPr="001D3039">
              <w:rPr>
                <w:noProof/>
              </w:rPr>
              <w:t>2</w:t>
            </w:r>
            <w:r w:rsidRPr="00AF241B">
              <w:rPr>
                <w:rStyle w:val="FootnoteReference"/>
                <w:noProof/>
              </w:rPr>
              <w:footnoteReference w:id="2"/>
            </w:r>
            <w:r w:rsidRPr="00AF241B">
              <w:rPr>
                <w:noProof/>
              </w:rPr>
              <w:t>)</w:t>
            </w:r>
          </w:p>
        </w:tc>
        <w:tc>
          <w:tcPr>
            <w:tcW w:w="4379" w:type="dxa"/>
            <w:gridSpan w:val="2"/>
            <w:tcBorders>
              <w:bottom w:val="single" w:sz="4" w:space="0" w:color="auto"/>
            </w:tcBorders>
            <w:shd w:val="clear" w:color="auto" w:fill="auto"/>
          </w:tcPr>
          <w:p w:rsidR="00252AC6" w:rsidRPr="00AF241B" w:rsidRDefault="002644F6" w:rsidP="00F060F9">
            <w:pPr>
              <w:spacing w:before="0" w:after="0"/>
              <w:ind w:rightChars="192" w:right="461"/>
              <w:jc w:val="left"/>
              <w:rPr>
                <w:noProof/>
                <w:szCs w:val="24"/>
              </w:rPr>
            </w:pPr>
            <w:bookmarkStart w:id="7" w:name="Region_1_Name"/>
            <w:r w:rsidRPr="00AF241B">
              <w:rPr>
                <w:noProof/>
              </w:rPr>
              <w:t>Provincie Henegouwen</w:t>
            </w:r>
            <w:bookmarkEnd w:id="7"/>
            <w:r w:rsidRPr="00AF241B">
              <w:rPr>
                <w:noProof/>
              </w:rPr>
              <w:t xml:space="preserve"> (BE</w:t>
            </w:r>
            <w:r w:rsidRPr="001D3039">
              <w:rPr>
                <w:noProof/>
              </w:rPr>
              <w:t>32</w:t>
            </w:r>
            <w:r w:rsidRPr="00AF241B">
              <w:rPr>
                <w:noProof/>
              </w:rPr>
              <w:t>),</w:t>
            </w:r>
          </w:p>
          <w:p w:rsidR="00252AC6" w:rsidRPr="00AF241B" w:rsidRDefault="002644F6" w:rsidP="00F060F9">
            <w:pPr>
              <w:spacing w:before="0" w:after="0"/>
              <w:ind w:rightChars="192" w:right="461"/>
              <w:jc w:val="left"/>
              <w:rPr>
                <w:noProof/>
                <w:szCs w:val="24"/>
              </w:rPr>
            </w:pPr>
            <w:r w:rsidRPr="00AF241B">
              <w:rPr>
                <w:noProof/>
              </w:rPr>
              <w:t>Provincie Luik (BE</w:t>
            </w:r>
            <w:r w:rsidRPr="001D3039">
              <w:rPr>
                <w:noProof/>
              </w:rPr>
              <w:t>33</w:t>
            </w:r>
            <w:r w:rsidRPr="00AF241B">
              <w:rPr>
                <w:noProof/>
              </w:rPr>
              <w:t>) en</w:t>
            </w:r>
            <w:r w:rsidRPr="00AF241B">
              <w:rPr>
                <w:noProof/>
              </w:rPr>
              <w:br/>
              <w:t>Provincie Namen (BE</w:t>
            </w:r>
            <w:r w:rsidRPr="001D3039">
              <w:rPr>
                <w:noProof/>
              </w:rPr>
              <w:t>35</w:t>
            </w:r>
            <w:r w:rsidRPr="00AF241B">
              <w:rPr>
                <w:noProof/>
              </w:rPr>
              <w:t>).</w:t>
            </w:r>
          </w:p>
        </w:tc>
      </w:tr>
      <w:tr w:rsidR="00252AC6" w:rsidRPr="00AF241B" w:rsidTr="00C812FC">
        <w:tc>
          <w:tcPr>
            <w:tcW w:w="4908" w:type="dxa"/>
            <w:tcBorders>
              <w:bottom w:val="dotted" w:sz="4" w:space="0" w:color="auto"/>
            </w:tcBorders>
            <w:shd w:val="clear" w:color="auto" w:fill="auto"/>
          </w:tcPr>
          <w:p w:rsidR="00252AC6" w:rsidRPr="00AF241B" w:rsidRDefault="00252AC6" w:rsidP="00F060F9">
            <w:pPr>
              <w:spacing w:before="60" w:after="60"/>
              <w:jc w:val="left"/>
              <w:rPr>
                <w:rFonts w:eastAsia="Calibri"/>
                <w:noProof/>
              </w:rPr>
            </w:pPr>
            <w:r w:rsidRPr="00AF241B">
              <w:rPr>
                <w:noProof/>
              </w:rPr>
              <w:t>Datum van de indiening van de aanvraag</w:t>
            </w:r>
          </w:p>
        </w:tc>
        <w:tc>
          <w:tcPr>
            <w:tcW w:w="4379" w:type="dxa"/>
            <w:gridSpan w:val="2"/>
            <w:tcBorders>
              <w:bottom w:val="dotted" w:sz="4" w:space="0" w:color="auto"/>
            </w:tcBorders>
            <w:shd w:val="clear" w:color="auto" w:fill="auto"/>
          </w:tcPr>
          <w:p w:rsidR="00252AC6" w:rsidRPr="00AF241B" w:rsidRDefault="00511F57" w:rsidP="00F060F9">
            <w:pPr>
              <w:spacing w:before="60" w:after="60"/>
              <w:ind w:rightChars="192" w:right="461"/>
              <w:jc w:val="left"/>
              <w:rPr>
                <w:rFonts w:eastAsia="Calibri"/>
                <w:noProof/>
              </w:rPr>
            </w:pPr>
            <w:r w:rsidRPr="001D3039">
              <w:rPr>
                <w:noProof/>
              </w:rPr>
              <w:t>3</w:t>
            </w:r>
            <w:r w:rsidR="005A1D43">
              <w:rPr>
                <w:noProof/>
              </w:rPr>
              <w:t> </w:t>
            </w:r>
            <w:r w:rsidRPr="00AF241B">
              <w:rPr>
                <w:noProof/>
              </w:rPr>
              <w:t xml:space="preserve">juni </w:t>
            </w:r>
            <w:r w:rsidRPr="001D3039">
              <w:rPr>
                <w:noProof/>
              </w:rPr>
              <w:t>2024</w:t>
            </w:r>
          </w:p>
        </w:tc>
      </w:tr>
      <w:tr w:rsidR="00252AC6" w:rsidRPr="00AF241B" w:rsidTr="00C812FC">
        <w:tc>
          <w:tcPr>
            <w:tcW w:w="4908" w:type="dxa"/>
            <w:tcBorders>
              <w:top w:val="dotted" w:sz="4" w:space="0" w:color="auto"/>
              <w:bottom w:val="dotted" w:sz="4" w:space="0" w:color="auto"/>
            </w:tcBorders>
            <w:shd w:val="clear" w:color="auto" w:fill="auto"/>
          </w:tcPr>
          <w:p w:rsidR="00252AC6" w:rsidRPr="00AF241B" w:rsidRDefault="00252AC6" w:rsidP="00F060F9">
            <w:pPr>
              <w:spacing w:before="60" w:after="60"/>
              <w:jc w:val="left"/>
              <w:rPr>
                <w:rFonts w:eastAsia="Calibri"/>
                <w:noProof/>
              </w:rPr>
            </w:pPr>
            <w:r w:rsidRPr="00AF241B">
              <w:rPr>
                <w:noProof/>
              </w:rPr>
              <w:t>Datum van de bevestiging van de ontvangst van de aanvraag</w:t>
            </w:r>
          </w:p>
        </w:tc>
        <w:tc>
          <w:tcPr>
            <w:tcW w:w="4379" w:type="dxa"/>
            <w:gridSpan w:val="2"/>
            <w:tcBorders>
              <w:top w:val="dotted" w:sz="4" w:space="0" w:color="auto"/>
              <w:bottom w:val="dotted" w:sz="4" w:space="0" w:color="auto"/>
            </w:tcBorders>
            <w:shd w:val="clear" w:color="auto" w:fill="auto"/>
          </w:tcPr>
          <w:p w:rsidR="00252AC6" w:rsidRPr="00AF241B" w:rsidRDefault="00511F57" w:rsidP="00F060F9">
            <w:pPr>
              <w:spacing w:before="60" w:after="60"/>
              <w:ind w:rightChars="192" w:right="461"/>
              <w:jc w:val="left"/>
              <w:rPr>
                <w:rFonts w:eastAsia="Calibri"/>
                <w:noProof/>
              </w:rPr>
            </w:pPr>
            <w:r w:rsidRPr="001D3039">
              <w:rPr>
                <w:noProof/>
              </w:rPr>
              <w:t>3</w:t>
            </w:r>
            <w:r w:rsidR="005A1D43">
              <w:rPr>
                <w:noProof/>
              </w:rPr>
              <w:t> </w:t>
            </w:r>
            <w:r w:rsidRPr="00AF241B">
              <w:rPr>
                <w:noProof/>
              </w:rPr>
              <w:t xml:space="preserve">juni </w:t>
            </w:r>
            <w:r w:rsidRPr="001D3039">
              <w:rPr>
                <w:noProof/>
              </w:rPr>
              <w:t>2024</w:t>
            </w:r>
          </w:p>
        </w:tc>
      </w:tr>
      <w:tr w:rsidR="00252AC6" w:rsidRPr="00AF241B" w:rsidTr="00C812FC">
        <w:tc>
          <w:tcPr>
            <w:tcW w:w="4908" w:type="dxa"/>
            <w:tcBorders>
              <w:top w:val="dotted" w:sz="4" w:space="0" w:color="auto"/>
              <w:bottom w:val="dotted" w:sz="4" w:space="0" w:color="auto"/>
            </w:tcBorders>
            <w:shd w:val="clear" w:color="auto" w:fill="auto"/>
          </w:tcPr>
          <w:p w:rsidR="00252AC6" w:rsidRPr="00AF241B" w:rsidRDefault="00252AC6" w:rsidP="00F060F9">
            <w:pPr>
              <w:spacing w:before="60" w:after="60"/>
              <w:jc w:val="left"/>
              <w:rPr>
                <w:rFonts w:eastAsia="Calibri"/>
                <w:noProof/>
              </w:rPr>
            </w:pPr>
            <w:r w:rsidRPr="00AF241B">
              <w:rPr>
                <w:noProof/>
              </w:rPr>
              <w:t>Datum van het verzoek om aanvullende gegevens</w:t>
            </w:r>
          </w:p>
        </w:tc>
        <w:tc>
          <w:tcPr>
            <w:tcW w:w="4379" w:type="dxa"/>
            <w:gridSpan w:val="2"/>
            <w:tcBorders>
              <w:top w:val="dotted" w:sz="4" w:space="0" w:color="auto"/>
              <w:bottom w:val="dotted" w:sz="4" w:space="0" w:color="auto"/>
            </w:tcBorders>
            <w:shd w:val="clear" w:color="auto" w:fill="auto"/>
          </w:tcPr>
          <w:p w:rsidR="00252AC6" w:rsidRPr="00AF241B" w:rsidRDefault="00511F57" w:rsidP="00F060F9">
            <w:pPr>
              <w:spacing w:before="60" w:after="60"/>
              <w:ind w:rightChars="192" w:right="461"/>
              <w:jc w:val="left"/>
              <w:rPr>
                <w:rFonts w:eastAsia="Calibri"/>
                <w:noProof/>
              </w:rPr>
            </w:pPr>
            <w:r w:rsidRPr="001D3039">
              <w:rPr>
                <w:noProof/>
              </w:rPr>
              <w:t>17</w:t>
            </w:r>
            <w:r w:rsidRPr="00AF241B">
              <w:rPr>
                <w:noProof/>
              </w:rPr>
              <w:t xml:space="preserve"> juni </w:t>
            </w:r>
            <w:r w:rsidRPr="001D3039">
              <w:rPr>
                <w:noProof/>
              </w:rPr>
              <w:t>2024</w:t>
            </w:r>
          </w:p>
        </w:tc>
      </w:tr>
      <w:tr w:rsidR="00252AC6" w:rsidRPr="00AF241B" w:rsidTr="00C812FC">
        <w:tc>
          <w:tcPr>
            <w:tcW w:w="4908" w:type="dxa"/>
            <w:tcBorders>
              <w:top w:val="dotted" w:sz="4" w:space="0" w:color="auto"/>
              <w:bottom w:val="dotted" w:sz="4" w:space="0" w:color="auto"/>
            </w:tcBorders>
            <w:shd w:val="clear" w:color="auto" w:fill="auto"/>
          </w:tcPr>
          <w:p w:rsidR="00252AC6" w:rsidRPr="00AF241B" w:rsidRDefault="00252AC6" w:rsidP="00F060F9">
            <w:pPr>
              <w:spacing w:before="60" w:after="60"/>
              <w:jc w:val="left"/>
              <w:rPr>
                <w:rFonts w:eastAsia="Calibri"/>
                <w:noProof/>
              </w:rPr>
            </w:pPr>
            <w:r w:rsidRPr="00AF241B">
              <w:rPr>
                <w:noProof/>
              </w:rPr>
              <w:t>Uiterste datum voor het verstrekken van de aanvullende gegevens</w:t>
            </w:r>
          </w:p>
        </w:tc>
        <w:tc>
          <w:tcPr>
            <w:tcW w:w="4379" w:type="dxa"/>
            <w:gridSpan w:val="2"/>
            <w:tcBorders>
              <w:top w:val="dotted" w:sz="4" w:space="0" w:color="auto"/>
              <w:bottom w:val="dotted" w:sz="4" w:space="0" w:color="auto"/>
            </w:tcBorders>
            <w:shd w:val="clear" w:color="auto" w:fill="auto"/>
          </w:tcPr>
          <w:p w:rsidR="00252AC6" w:rsidRPr="00AF241B" w:rsidRDefault="00511F57" w:rsidP="00F060F9">
            <w:pPr>
              <w:spacing w:before="60" w:after="60"/>
              <w:ind w:rightChars="192" w:right="461"/>
              <w:jc w:val="left"/>
              <w:rPr>
                <w:rFonts w:eastAsia="Calibri"/>
                <w:noProof/>
              </w:rPr>
            </w:pPr>
            <w:r w:rsidRPr="001D3039">
              <w:rPr>
                <w:noProof/>
              </w:rPr>
              <w:t>8</w:t>
            </w:r>
            <w:r w:rsidRPr="00AF241B">
              <w:rPr>
                <w:noProof/>
              </w:rPr>
              <w:t xml:space="preserve"> juli </w:t>
            </w:r>
            <w:r w:rsidRPr="001D3039">
              <w:rPr>
                <w:noProof/>
              </w:rPr>
              <w:t>2024</w:t>
            </w:r>
          </w:p>
        </w:tc>
      </w:tr>
      <w:tr w:rsidR="00252AC6" w:rsidRPr="00AF241B" w:rsidTr="00C812FC">
        <w:tc>
          <w:tcPr>
            <w:tcW w:w="4908" w:type="dxa"/>
            <w:tcBorders>
              <w:top w:val="dotted" w:sz="4" w:space="0" w:color="auto"/>
            </w:tcBorders>
            <w:shd w:val="clear" w:color="auto" w:fill="auto"/>
          </w:tcPr>
          <w:p w:rsidR="00252AC6" w:rsidRPr="00AF241B" w:rsidRDefault="00252AC6" w:rsidP="00F060F9">
            <w:pPr>
              <w:spacing w:before="60" w:after="60"/>
              <w:jc w:val="left"/>
              <w:rPr>
                <w:rFonts w:eastAsia="Calibri"/>
                <w:noProof/>
              </w:rPr>
            </w:pPr>
            <w:r w:rsidRPr="00AF241B">
              <w:rPr>
                <w:noProof/>
              </w:rPr>
              <w:t>Uiterste datum voor de voltooiing van de beoordeling</w:t>
            </w:r>
          </w:p>
        </w:tc>
        <w:tc>
          <w:tcPr>
            <w:tcW w:w="4379" w:type="dxa"/>
            <w:gridSpan w:val="2"/>
            <w:tcBorders>
              <w:top w:val="dotted" w:sz="4" w:space="0" w:color="auto"/>
            </w:tcBorders>
            <w:shd w:val="clear" w:color="auto" w:fill="auto"/>
          </w:tcPr>
          <w:p w:rsidR="00252AC6" w:rsidRPr="00AF241B" w:rsidRDefault="00511F57" w:rsidP="00F060F9">
            <w:pPr>
              <w:spacing w:before="60" w:after="60"/>
              <w:ind w:rightChars="192" w:right="461"/>
              <w:jc w:val="left"/>
              <w:rPr>
                <w:rFonts w:eastAsia="Calibri"/>
                <w:noProof/>
              </w:rPr>
            </w:pPr>
            <w:r w:rsidRPr="001D3039">
              <w:rPr>
                <w:noProof/>
              </w:rPr>
              <w:t>17</w:t>
            </w:r>
            <w:r w:rsidRPr="00AF241B">
              <w:rPr>
                <w:noProof/>
              </w:rPr>
              <w:t xml:space="preserve"> september </w:t>
            </w:r>
            <w:r w:rsidRPr="001D3039">
              <w:rPr>
                <w:noProof/>
              </w:rPr>
              <w:t>2024</w:t>
            </w:r>
          </w:p>
        </w:tc>
      </w:tr>
      <w:tr w:rsidR="00252AC6" w:rsidRPr="00AF241B" w:rsidTr="00C812FC">
        <w:tc>
          <w:tcPr>
            <w:tcW w:w="4908" w:type="dxa"/>
            <w:shd w:val="clear" w:color="auto" w:fill="auto"/>
          </w:tcPr>
          <w:p w:rsidR="00252AC6" w:rsidRPr="00AF241B" w:rsidRDefault="00252AC6" w:rsidP="00F060F9">
            <w:pPr>
              <w:spacing w:before="60" w:after="60"/>
              <w:jc w:val="left"/>
              <w:rPr>
                <w:rFonts w:eastAsia="Calibri"/>
                <w:noProof/>
              </w:rPr>
            </w:pPr>
            <w:r w:rsidRPr="00AF241B">
              <w:rPr>
                <w:noProof/>
              </w:rPr>
              <w:t>Criterium voor steunverlening</w:t>
            </w:r>
          </w:p>
        </w:tc>
        <w:tc>
          <w:tcPr>
            <w:tcW w:w="4379" w:type="dxa"/>
            <w:gridSpan w:val="2"/>
            <w:shd w:val="clear" w:color="auto" w:fill="auto"/>
          </w:tcPr>
          <w:p w:rsidR="00252AC6" w:rsidRPr="00AF241B" w:rsidRDefault="00252AC6" w:rsidP="00136567">
            <w:pPr>
              <w:spacing w:before="60" w:after="60"/>
              <w:ind w:rightChars="192" w:right="461"/>
              <w:jc w:val="left"/>
              <w:rPr>
                <w:rFonts w:eastAsia="Calibri"/>
                <w:noProof/>
              </w:rPr>
            </w:pPr>
            <w:r w:rsidRPr="00AF241B">
              <w:rPr>
                <w:noProof/>
              </w:rPr>
              <w:t>Artikel</w:t>
            </w:r>
            <w:r w:rsidR="005A1D43">
              <w:rPr>
                <w:noProof/>
              </w:rPr>
              <w:t> </w:t>
            </w:r>
            <w:r w:rsidRPr="001D3039">
              <w:rPr>
                <w:noProof/>
              </w:rPr>
              <w:t>4</w:t>
            </w:r>
            <w:r w:rsidRPr="00AF241B">
              <w:rPr>
                <w:noProof/>
              </w:rPr>
              <w:t>, lid</w:t>
            </w:r>
            <w:r w:rsidR="005A1D43">
              <w:rPr>
                <w:noProof/>
              </w:rPr>
              <w:t> </w:t>
            </w:r>
            <w:r w:rsidRPr="001D3039">
              <w:rPr>
                <w:noProof/>
              </w:rPr>
              <w:t>2</w:t>
            </w:r>
            <w:r w:rsidRPr="00AF241B">
              <w:rPr>
                <w:noProof/>
              </w:rPr>
              <w:t>, punt</w:t>
            </w:r>
            <w:r w:rsidR="005A1D43">
              <w:rPr>
                <w:noProof/>
              </w:rPr>
              <w:t> </w:t>
            </w:r>
            <w:r w:rsidRPr="00AF241B">
              <w:rPr>
                <w:noProof/>
              </w:rPr>
              <w:t xml:space="preserve">a), van Verordening (EU) </w:t>
            </w:r>
            <w:r w:rsidRPr="001D3039">
              <w:rPr>
                <w:noProof/>
              </w:rPr>
              <w:t>2021</w:t>
            </w:r>
            <w:r w:rsidRPr="00AF241B">
              <w:rPr>
                <w:noProof/>
              </w:rPr>
              <w:t>/</w:t>
            </w:r>
            <w:r w:rsidRPr="001D3039">
              <w:rPr>
                <w:noProof/>
              </w:rPr>
              <w:t>691</w:t>
            </w:r>
          </w:p>
        </w:tc>
      </w:tr>
      <w:tr w:rsidR="00252AC6" w:rsidRPr="00AF241B" w:rsidTr="00C812FC">
        <w:tc>
          <w:tcPr>
            <w:tcW w:w="4908" w:type="dxa"/>
            <w:tcBorders>
              <w:top w:val="single" w:sz="4" w:space="0" w:color="auto"/>
              <w:bottom w:val="single" w:sz="4" w:space="0" w:color="auto"/>
              <w:right w:val="single" w:sz="4" w:space="0" w:color="auto"/>
            </w:tcBorders>
            <w:shd w:val="clear" w:color="auto" w:fill="auto"/>
          </w:tcPr>
          <w:p w:rsidR="00252AC6" w:rsidRPr="00AF241B" w:rsidRDefault="00252AC6" w:rsidP="00F060F9">
            <w:pPr>
              <w:spacing w:before="60" w:after="60"/>
              <w:jc w:val="left"/>
              <w:rPr>
                <w:rFonts w:eastAsia="Calibri"/>
                <w:noProof/>
              </w:rPr>
            </w:pPr>
            <w:r w:rsidRPr="00AF241B">
              <w:rPr>
                <w:noProof/>
              </w:rPr>
              <w:br w:type="page"/>
              <w:t>Primaire onderneming</w:t>
            </w:r>
          </w:p>
        </w:tc>
        <w:tc>
          <w:tcPr>
            <w:tcW w:w="4379" w:type="dxa"/>
            <w:gridSpan w:val="2"/>
            <w:tcBorders>
              <w:top w:val="single" w:sz="4" w:space="0" w:color="auto"/>
              <w:left w:val="single" w:sz="4" w:space="0" w:color="auto"/>
              <w:bottom w:val="single" w:sz="4" w:space="0" w:color="auto"/>
            </w:tcBorders>
            <w:shd w:val="clear" w:color="auto" w:fill="auto"/>
          </w:tcPr>
          <w:p w:rsidR="00252AC6" w:rsidRPr="00AF241B" w:rsidRDefault="007C4649" w:rsidP="00F060F9">
            <w:pPr>
              <w:spacing w:before="60" w:after="60"/>
              <w:ind w:rightChars="192" w:right="461"/>
              <w:jc w:val="left"/>
              <w:rPr>
                <w:noProof/>
                <w:szCs w:val="24"/>
              </w:rPr>
            </w:pPr>
            <w:r w:rsidRPr="00AF241B">
              <w:rPr>
                <w:noProof/>
              </w:rPr>
              <w:t>Match-Smatch</w:t>
            </w:r>
          </w:p>
        </w:tc>
      </w:tr>
      <w:tr w:rsidR="00252AC6" w:rsidRPr="00AF241B" w:rsidTr="00C812FC">
        <w:tc>
          <w:tcPr>
            <w:tcW w:w="4908" w:type="dxa"/>
            <w:tcBorders>
              <w:top w:val="single" w:sz="4" w:space="0" w:color="auto"/>
              <w:bottom w:val="single" w:sz="4" w:space="0" w:color="auto"/>
              <w:right w:val="single" w:sz="4" w:space="0" w:color="auto"/>
            </w:tcBorders>
            <w:shd w:val="clear" w:color="auto" w:fill="auto"/>
          </w:tcPr>
          <w:p w:rsidR="00252AC6" w:rsidRPr="00AF241B" w:rsidRDefault="00252AC6" w:rsidP="00F060F9">
            <w:pPr>
              <w:spacing w:before="60" w:after="60"/>
              <w:jc w:val="left"/>
              <w:rPr>
                <w:rFonts w:eastAsia="Calibri"/>
                <w:noProof/>
              </w:rPr>
            </w:pPr>
            <w:r w:rsidRPr="00AF241B">
              <w:rPr>
                <w:noProof/>
              </w:rPr>
              <w:br w:type="page"/>
              <w:t>Aantal betrokken ondernemingen</w:t>
            </w:r>
          </w:p>
        </w:tc>
        <w:tc>
          <w:tcPr>
            <w:tcW w:w="4379" w:type="dxa"/>
            <w:gridSpan w:val="2"/>
            <w:tcBorders>
              <w:top w:val="single" w:sz="4" w:space="0" w:color="auto"/>
              <w:left w:val="single" w:sz="4" w:space="0" w:color="auto"/>
              <w:bottom w:val="single" w:sz="4" w:space="0" w:color="auto"/>
            </w:tcBorders>
            <w:shd w:val="clear" w:color="auto" w:fill="auto"/>
          </w:tcPr>
          <w:p w:rsidR="00252AC6" w:rsidRPr="00AF241B" w:rsidRDefault="007C4649" w:rsidP="00F060F9">
            <w:pPr>
              <w:spacing w:before="60" w:after="60"/>
              <w:ind w:rightChars="192" w:right="461"/>
              <w:jc w:val="left"/>
              <w:rPr>
                <w:noProof/>
                <w:szCs w:val="24"/>
              </w:rPr>
            </w:pPr>
            <w:r w:rsidRPr="001D3039">
              <w:rPr>
                <w:noProof/>
              </w:rPr>
              <w:t>1</w:t>
            </w:r>
          </w:p>
        </w:tc>
      </w:tr>
      <w:tr w:rsidR="00252AC6" w:rsidRPr="00AF241B" w:rsidTr="00C812FC">
        <w:tc>
          <w:tcPr>
            <w:tcW w:w="4908" w:type="dxa"/>
            <w:shd w:val="clear" w:color="auto" w:fill="auto"/>
          </w:tcPr>
          <w:p w:rsidR="00252AC6" w:rsidRPr="00AF241B" w:rsidRDefault="00252AC6" w:rsidP="00F060F9">
            <w:pPr>
              <w:spacing w:before="60" w:after="60"/>
              <w:jc w:val="left"/>
              <w:rPr>
                <w:rFonts w:eastAsia="Calibri"/>
                <w:noProof/>
              </w:rPr>
            </w:pPr>
            <w:r w:rsidRPr="00AF241B">
              <w:rPr>
                <w:noProof/>
              </w:rPr>
              <w:t>Economische sector(en)</w:t>
            </w:r>
          </w:p>
          <w:p w:rsidR="00252AC6" w:rsidRPr="00AF241B" w:rsidRDefault="00252AC6" w:rsidP="00BB0146">
            <w:pPr>
              <w:spacing w:before="60" w:after="60"/>
              <w:jc w:val="left"/>
              <w:rPr>
                <w:rFonts w:eastAsia="Calibri"/>
                <w:noProof/>
              </w:rPr>
            </w:pPr>
            <w:r w:rsidRPr="00AF241B">
              <w:rPr>
                <w:noProof/>
              </w:rPr>
              <w:t xml:space="preserve">(NACE Rev. </w:t>
            </w:r>
            <w:r w:rsidRPr="001D3039">
              <w:rPr>
                <w:noProof/>
              </w:rPr>
              <w:t>2</w:t>
            </w:r>
            <w:r w:rsidRPr="00AF241B">
              <w:rPr>
                <w:noProof/>
              </w:rPr>
              <w:t>-afdeling)</w:t>
            </w:r>
            <w:r w:rsidRPr="00AF241B">
              <w:rPr>
                <w:rStyle w:val="FootnoteReference"/>
                <w:noProof/>
                <w:szCs w:val="24"/>
              </w:rPr>
              <w:footnoteReference w:id="3"/>
            </w:r>
          </w:p>
        </w:tc>
        <w:tc>
          <w:tcPr>
            <w:tcW w:w="4379" w:type="dxa"/>
            <w:gridSpan w:val="2"/>
            <w:shd w:val="clear" w:color="auto" w:fill="auto"/>
          </w:tcPr>
          <w:p w:rsidR="00252AC6" w:rsidRPr="00AF241B" w:rsidRDefault="00252AC6" w:rsidP="00F060F9">
            <w:pPr>
              <w:spacing w:before="60" w:after="60"/>
              <w:ind w:rightChars="192" w:right="461"/>
              <w:jc w:val="left"/>
              <w:rPr>
                <w:noProof/>
                <w:szCs w:val="24"/>
              </w:rPr>
            </w:pPr>
            <w:r w:rsidRPr="00AF241B">
              <w:rPr>
                <w:noProof/>
              </w:rPr>
              <w:t>Afdeling</w:t>
            </w:r>
            <w:r w:rsidR="005A1D43">
              <w:rPr>
                <w:noProof/>
              </w:rPr>
              <w:t> </w:t>
            </w:r>
            <w:r w:rsidRPr="001D3039">
              <w:rPr>
                <w:noProof/>
              </w:rPr>
              <w:t>47</w:t>
            </w:r>
            <w:r w:rsidRPr="00AF241B">
              <w:rPr>
                <w:noProof/>
              </w:rPr>
              <w:t xml:space="preserve"> (Detailhandel, met uitzondering van de handel in auto’s en motorfietsen)</w:t>
            </w:r>
          </w:p>
        </w:tc>
      </w:tr>
      <w:tr w:rsidR="00252AC6" w:rsidRPr="00AF241B" w:rsidTr="00C812FC">
        <w:tc>
          <w:tcPr>
            <w:tcW w:w="4908" w:type="dxa"/>
            <w:tcBorders>
              <w:bottom w:val="single" w:sz="4" w:space="0" w:color="auto"/>
            </w:tcBorders>
            <w:shd w:val="clear" w:color="auto" w:fill="auto"/>
          </w:tcPr>
          <w:p w:rsidR="00252AC6" w:rsidRPr="00AF241B" w:rsidRDefault="00252AC6">
            <w:pPr>
              <w:spacing w:before="60" w:after="60"/>
              <w:jc w:val="left"/>
              <w:rPr>
                <w:rFonts w:eastAsia="Calibri"/>
                <w:noProof/>
              </w:rPr>
            </w:pPr>
            <w:r w:rsidRPr="00AF241B">
              <w:rPr>
                <w:noProof/>
              </w:rPr>
              <w:t>Referentieperiode (vier maanden):</w:t>
            </w:r>
          </w:p>
        </w:tc>
        <w:tc>
          <w:tcPr>
            <w:tcW w:w="4379" w:type="dxa"/>
            <w:gridSpan w:val="2"/>
            <w:tcBorders>
              <w:bottom w:val="single" w:sz="4" w:space="0" w:color="auto"/>
            </w:tcBorders>
            <w:shd w:val="clear" w:color="auto" w:fill="auto"/>
          </w:tcPr>
          <w:p w:rsidR="00252AC6" w:rsidRPr="00AF241B" w:rsidRDefault="00604BFF" w:rsidP="00F060F9">
            <w:pPr>
              <w:spacing w:before="60" w:after="60"/>
              <w:ind w:rightChars="192" w:right="461"/>
              <w:jc w:val="left"/>
              <w:rPr>
                <w:rFonts w:eastAsia="Calibri"/>
                <w:noProof/>
              </w:rPr>
            </w:pPr>
            <w:r w:rsidRPr="001D3039">
              <w:rPr>
                <w:noProof/>
              </w:rPr>
              <w:t>11</w:t>
            </w:r>
            <w:r w:rsidR="005A1D43">
              <w:rPr>
                <w:noProof/>
              </w:rPr>
              <w:t> </w:t>
            </w:r>
            <w:r w:rsidRPr="00AF241B">
              <w:rPr>
                <w:noProof/>
              </w:rPr>
              <w:t xml:space="preserve">december </w:t>
            </w:r>
            <w:r w:rsidRPr="001D3039">
              <w:rPr>
                <w:noProof/>
              </w:rPr>
              <w:t>2023</w:t>
            </w:r>
            <w:r w:rsidRPr="00AF241B">
              <w:rPr>
                <w:noProof/>
              </w:rPr>
              <w:t xml:space="preserve"> – </w:t>
            </w:r>
            <w:r w:rsidRPr="001D3039">
              <w:rPr>
                <w:noProof/>
              </w:rPr>
              <w:t>11</w:t>
            </w:r>
            <w:r w:rsidR="005A1D43">
              <w:rPr>
                <w:noProof/>
              </w:rPr>
              <w:t> </w:t>
            </w:r>
            <w:r w:rsidRPr="00AF241B">
              <w:rPr>
                <w:noProof/>
              </w:rPr>
              <w:t xml:space="preserve">april </w:t>
            </w:r>
            <w:r w:rsidRPr="001D3039">
              <w:rPr>
                <w:noProof/>
              </w:rPr>
              <w:t>2024</w:t>
            </w:r>
          </w:p>
        </w:tc>
      </w:tr>
      <w:tr w:rsidR="00252AC6" w:rsidRPr="00AF241B" w:rsidTr="00C812FC">
        <w:tc>
          <w:tcPr>
            <w:tcW w:w="4908" w:type="dxa"/>
            <w:tcBorders>
              <w:bottom w:val="dotted" w:sz="4" w:space="0" w:color="auto"/>
            </w:tcBorders>
            <w:shd w:val="clear" w:color="auto" w:fill="auto"/>
          </w:tcPr>
          <w:p w:rsidR="00252AC6" w:rsidRPr="00AF241B" w:rsidRDefault="00252AC6" w:rsidP="00730D6A">
            <w:pPr>
              <w:spacing w:before="60" w:after="60"/>
              <w:jc w:val="left"/>
              <w:rPr>
                <w:rFonts w:eastAsia="Calibri"/>
                <w:noProof/>
                <w:highlight w:val="magenta"/>
              </w:rPr>
            </w:pPr>
            <w:r w:rsidRPr="00AF241B">
              <w:rPr>
                <w:noProof/>
              </w:rPr>
              <w:t>Aantal ontslagen tijdens de referentieperiode (</w:t>
            </w:r>
            <w:r w:rsidRPr="00AF241B">
              <w:rPr>
                <w:i/>
                <w:noProof/>
              </w:rPr>
              <w:t>a</w:t>
            </w:r>
            <w:r w:rsidRPr="00AF241B">
              <w:rPr>
                <w:noProof/>
              </w:rPr>
              <w:t>)</w:t>
            </w:r>
          </w:p>
        </w:tc>
        <w:tc>
          <w:tcPr>
            <w:tcW w:w="4379" w:type="dxa"/>
            <w:gridSpan w:val="2"/>
            <w:tcBorders>
              <w:bottom w:val="dotted" w:sz="4" w:space="0" w:color="auto"/>
            </w:tcBorders>
            <w:shd w:val="clear" w:color="auto" w:fill="auto"/>
          </w:tcPr>
          <w:p w:rsidR="00252AC6" w:rsidRPr="00AF241B" w:rsidRDefault="00537682" w:rsidP="00F060F9">
            <w:pPr>
              <w:spacing w:before="60" w:after="60"/>
              <w:ind w:rightChars="192" w:right="461"/>
              <w:jc w:val="left"/>
              <w:rPr>
                <w:rFonts w:eastAsia="Calibri"/>
                <w:noProof/>
                <w:highlight w:val="magenta"/>
              </w:rPr>
            </w:pPr>
            <w:r w:rsidRPr="001D3039">
              <w:rPr>
                <w:noProof/>
              </w:rPr>
              <w:t>444</w:t>
            </w:r>
          </w:p>
        </w:tc>
      </w:tr>
      <w:tr w:rsidR="00252AC6" w:rsidRPr="00AF241B" w:rsidTr="00C812FC">
        <w:tc>
          <w:tcPr>
            <w:tcW w:w="4908" w:type="dxa"/>
            <w:tcBorders>
              <w:top w:val="dotted" w:sz="4" w:space="0" w:color="auto"/>
              <w:bottom w:val="dotted" w:sz="4" w:space="0" w:color="auto"/>
            </w:tcBorders>
            <w:shd w:val="clear" w:color="auto" w:fill="auto"/>
          </w:tcPr>
          <w:p w:rsidR="00252AC6" w:rsidRPr="00AF241B" w:rsidRDefault="00252AC6" w:rsidP="00F060F9">
            <w:pPr>
              <w:spacing w:before="60" w:after="60"/>
              <w:jc w:val="left"/>
              <w:rPr>
                <w:rFonts w:eastAsia="Calibri"/>
                <w:noProof/>
                <w:highlight w:val="magenta"/>
              </w:rPr>
            </w:pPr>
            <w:r w:rsidRPr="00AF241B">
              <w:rPr>
                <w:noProof/>
              </w:rPr>
              <w:t>Aantal ontslagen vóór of na de referentieperiode (</w:t>
            </w:r>
            <w:r w:rsidRPr="00AF241B">
              <w:rPr>
                <w:i/>
                <w:noProof/>
              </w:rPr>
              <w:t>b</w:t>
            </w:r>
            <w:r w:rsidRPr="00AF241B">
              <w:rPr>
                <w:noProof/>
              </w:rPr>
              <w:t>)</w:t>
            </w:r>
          </w:p>
        </w:tc>
        <w:tc>
          <w:tcPr>
            <w:tcW w:w="4379" w:type="dxa"/>
            <w:gridSpan w:val="2"/>
            <w:tcBorders>
              <w:top w:val="dotted" w:sz="4" w:space="0" w:color="auto"/>
              <w:bottom w:val="dotted" w:sz="4" w:space="0" w:color="auto"/>
            </w:tcBorders>
            <w:shd w:val="clear" w:color="auto" w:fill="auto"/>
          </w:tcPr>
          <w:p w:rsidR="00252AC6" w:rsidRPr="00AF241B" w:rsidRDefault="00384E9F" w:rsidP="00A60360">
            <w:pPr>
              <w:spacing w:before="60" w:after="60"/>
              <w:ind w:rightChars="192" w:right="461"/>
              <w:jc w:val="left"/>
              <w:rPr>
                <w:rFonts w:eastAsia="Calibri"/>
                <w:noProof/>
              </w:rPr>
            </w:pPr>
            <w:r w:rsidRPr="001D3039">
              <w:rPr>
                <w:noProof/>
              </w:rPr>
              <w:t>69</w:t>
            </w:r>
          </w:p>
        </w:tc>
      </w:tr>
      <w:tr w:rsidR="00252AC6" w:rsidRPr="00AF241B" w:rsidTr="00C812FC">
        <w:tc>
          <w:tcPr>
            <w:tcW w:w="4908" w:type="dxa"/>
            <w:tcBorders>
              <w:top w:val="dotted" w:sz="4" w:space="0" w:color="auto"/>
              <w:bottom w:val="single" w:sz="4" w:space="0" w:color="auto"/>
            </w:tcBorders>
            <w:shd w:val="clear" w:color="auto" w:fill="auto"/>
          </w:tcPr>
          <w:p w:rsidR="00252AC6" w:rsidRPr="00AF241B" w:rsidRDefault="00252AC6" w:rsidP="00A60360">
            <w:pPr>
              <w:spacing w:before="60" w:after="60"/>
              <w:jc w:val="left"/>
              <w:rPr>
                <w:rFonts w:eastAsia="Calibri"/>
                <w:noProof/>
              </w:rPr>
            </w:pPr>
            <w:r w:rsidRPr="00AF241B">
              <w:rPr>
                <w:noProof/>
              </w:rPr>
              <w:t>Totaal aantal ontslagen (</w:t>
            </w:r>
            <w:r w:rsidRPr="00AF241B">
              <w:rPr>
                <w:i/>
                <w:noProof/>
              </w:rPr>
              <w:t>a</w:t>
            </w:r>
            <w:r w:rsidRPr="00AF241B">
              <w:rPr>
                <w:noProof/>
              </w:rPr>
              <w:t xml:space="preserve"> + </w:t>
            </w:r>
            <w:r w:rsidRPr="00AF241B">
              <w:rPr>
                <w:i/>
                <w:noProof/>
              </w:rPr>
              <w:t>b</w:t>
            </w:r>
            <w:r w:rsidRPr="00AF241B">
              <w:rPr>
                <w:noProof/>
              </w:rPr>
              <w:t>)</w:t>
            </w:r>
          </w:p>
        </w:tc>
        <w:tc>
          <w:tcPr>
            <w:tcW w:w="4379" w:type="dxa"/>
            <w:gridSpan w:val="2"/>
            <w:tcBorders>
              <w:top w:val="dotted" w:sz="4" w:space="0" w:color="auto"/>
              <w:bottom w:val="single" w:sz="4" w:space="0" w:color="auto"/>
            </w:tcBorders>
            <w:shd w:val="clear" w:color="auto" w:fill="auto"/>
          </w:tcPr>
          <w:p w:rsidR="00252AC6" w:rsidRPr="00AF241B" w:rsidRDefault="00E2235E" w:rsidP="00F060F9">
            <w:pPr>
              <w:spacing w:before="60" w:after="60"/>
              <w:ind w:rightChars="192" w:right="461"/>
              <w:jc w:val="left"/>
              <w:rPr>
                <w:rFonts w:eastAsia="Calibri"/>
                <w:noProof/>
              </w:rPr>
            </w:pPr>
            <w:r w:rsidRPr="001D3039">
              <w:rPr>
                <w:noProof/>
              </w:rPr>
              <w:t>513</w:t>
            </w:r>
          </w:p>
        </w:tc>
      </w:tr>
      <w:tr w:rsidR="00252AC6" w:rsidRPr="00AF241B" w:rsidTr="00C812FC">
        <w:tc>
          <w:tcPr>
            <w:tcW w:w="4908" w:type="dxa"/>
            <w:tcBorders>
              <w:bottom w:val="dotted" w:sz="4" w:space="0" w:color="auto"/>
            </w:tcBorders>
            <w:shd w:val="clear" w:color="auto" w:fill="auto"/>
          </w:tcPr>
          <w:p w:rsidR="00252AC6" w:rsidRPr="00AF241B" w:rsidRDefault="00252AC6" w:rsidP="00F060F9">
            <w:pPr>
              <w:spacing w:before="60" w:after="60"/>
              <w:jc w:val="left"/>
              <w:rPr>
                <w:rFonts w:eastAsia="Calibri"/>
                <w:noProof/>
              </w:rPr>
            </w:pPr>
            <w:r w:rsidRPr="00AF241B">
              <w:rPr>
                <w:noProof/>
              </w:rPr>
              <w:t>Totaal aantal in aanmerking komende begunstigden</w:t>
            </w:r>
          </w:p>
        </w:tc>
        <w:tc>
          <w:tcPr>
            <w:tcW w:w="4379" w:type="dxa"/>
            <w:gridSpan w:val="2"/>
            <w:tcBorders>
              <w:bottom w:val="dotted" w:sz="4" w:space="0" w:color="auto"/>
            </w:tcBorders>
            <w:shd w:val="clear" w:color="auto" w:fill="auto"/>
          </w:tcPr>
          <w:p w:rsidR="00252AC6" w:rsidRPr="00AF241B" w:rsidRDefault="004B193D" w:rsidP="00F060F9">
            <w:pPr>
              <w:spacing w:before="60" w:after="60"/>
              <w:ind w:rightChars="192" w:right="461"/>
              <w:jc w:val="left"/>
              <w:rPr>
                <w:rFonts w:eastAsia="Calibri"/>
                <w:noProof/>
              </w:rPr>
            </w:pPr>
            <w:r w:rsidRPr="001D3039">
              <w:rPr>
                <w:noProof/>
              </w:rPr>
              <w:t>513</w:t>
            </w:r>
          </w:p>
        </w:tc>
      </w:tr>
      <w:tr w:rsidR="00252AC6" w:rsidRPr="00AF241B" w:rsidTr="00C812FC">
        <w:tc>
          <w:tcPr>
            <w:tcW w:w="4908" w:type="dxa"/>
            <w:tcBorders>
              <w:top w:val="dotted" w:sz="4" w:space="0" w:color="auto"/>
              <w:bottom w:val="dotted" w:sz="4" w:space="0" w:color="auto"/>
            </w:tcBorders>
            <w:shd w:val="clear" w:color="auto" w:fill="auto"/>
          </w:tcPr>
          <w:p w:rsidR="00252AC6" w:rsidRPr="00AF241B" w:rsidRDefault="00252AC6" w:rsidP="00F060F9">
            <w:pPr>
              <w:spacing w:before="60" w:after="60"/>
              <w:jc w:val="left"/>
              <w:rPr>
                <w:rFonts w:eastAsia="Calibri"/>
                <w:noProof/>
              </w:rPr>
            </w:pPr>
            <w:r w:rsidRPr="00AF241B">
              <w:rPr>
                <w:noProof/>
              </w:rPr>
              <w:t>Totaal aantal beoogde begunstigden</w:t>
            </w:r>
          </w:p>
        </w:tc>
        <w:tc>
          <w:tcPr>
            <w:tcW w:w="4379" w:type="dxa"/>
            <w:gridSpan w:val="2"/>
            <w:tcBorders>
              <w:top w:val="dotted" w:sz="4" w:space="0" w:color="auto"/>
              <w:bottom w:val="dotted" w:sz="4" w:space="0" w:color="auto"/>
            </w:tcBorders>
            <w:shd w:val="clear" w:color="auto" w:fill="auto"/>
          </w:tcPr>
          <w:p w:rsidR="00252AC6" w:rsidRPr="00AF241B" w:rsidRDefault="00F05548" w:rsidP="00F060F9">
            <w:pPr>
              <w:spacing w:before="60" w:after="60"/>
              <w:ind w:rightChars="192" w:right="461"/>
              <w:jc w:val="left"/>
              <w:rPr>
                <w:rFonts w:eastAsia="Calibri"/>
                <w:noProof/>
              </w:rPr>
            </w:pPr>
            <w:r w:rsidRPr="001D3039">
              <w:rPr>
                <w:noProof/>
              </w:rPr>
              <w:t>365</w:t>
            </w:r>
          </w:p>
        </w:tc>
      </w:tr>
      <w:tr w:rsidR="00C812FC" w:rsidRPr="00AF241B" w:rsidTr="00C812FC">
        <w:tc>
          <w:tcPr>
            <w:tcW w:w="4908" w:type="dxa"/>
            <w:tcBorders>
              <w:bottom w:val="dotted" w:sz="4" w:space="0" w:color="auto"/>
            </w:tcBorders>
            <w:shd w:val="clear" w:color="auto" w:fill="auto"/>
            <w:vAlign w:val="center"/>
          </w:tcPr>
          <w:p w:rsidR="00C812FC" w:rsidRPr="00AF241B" w:rsidRDefault="00C812FC" w:rsidP="00F060F9">
            <w:pPr>
              <w:spacing w:before="0" w:after="0"/>
              <w:jc w:val="left"/>
              <w:rPr>
                <w:noProof/>
              </w:rPr>
            </w:pPr>
            <w:r w:rsidRPr="00AF241B">
              <w:rPr>
                <w:noProof/>
              </w:rPr>
              <w:t>Begroting voor gepersonaliseerde steunmaatregelen (EUR)</w:t>
            </w:r>
          </w:p>
        </w:tc>
        <w:tc>
          <w:tcPr>
            <w:tcW w:w="1721" w:type="dxa"/>
            <w:tcBorders>
              <w:bottom w:val="dotted" w:sz="4" w:space="0" w:color="auto"/>
              <w:right w:val="nil"/>
            </w:tcBorders>
            <w:shd w:val="clear" w:color="auto" w:fill="auto"/>
            <w:vAlign w:val="center"/>
          </w:tcPr>
          <w:p w:rsidR="00C812FC" w:rsidRPr="00AF241B" w:rsidRDefault="00537682" w:rsidP="00C812FC">
            <w:pPr>
              <w:spacing w:before="0" w:after="0"/>
              <w:ind w:rightChars="192" w:right="461"/>
              <w:jc w:val="right"/>
              <w:rPr>
                <w:noProof/>
              </w:rPr>
            </w:pPr>
            <w:r w:rsidRPr="001D3039">
              <w:rPr>
                <w:noProof/>
              </w:rPr>
              <w:t>3</w:t>
            </w:r>
            <w:r w:rsidRPr="00AF241B">
              <w:rPr>
                <w:noProof/>
              </w:rPr>
              <w:t> </w:t>
            </w:r>
            <w:r w:rsidRPr="001D3039">
              <w:rPr>
                <w:noProof/>
              </w:rPr>
              <w:t>009</w:t>
            </w:r>
            <w:r w:rsidRPr="00AF241B">
              <w:rPr>
                <w:noProof/>
              </w:rPr>
              <w:t> </w:t>
            </w:r>
            <w:r w:rsidRPr="001D3039">
              <w:rPr>
                <w:noProof/>
              </w:rPr>
              <w:t>752</w:t>
            </w:r>
          </w:p>
        </w:tc>
        <w:tc>
          <w:tcPr>
            <w:tcW w:w="2658" w:type="dxa"/>
            <w:tcBorders>
              <w:left w:val="nil"/>
              <w:bottom w:val="dotted" w:sz="4" w:space="0" w:color="auto"/>
            </w:tcBorders>
            <w:shd w:val="clear" w:color="auto" w:fill="auto"/>
            <w:vAlign w:val="center"/>
          </w:tcPr>
          <w:p w:rsidR="00C812FC" w:rsidRPr="00AF241B" w:rsidRDefault="00C812FC" w:rsidP="00F060F9">
            <w:pPr>
              <w:spacing w:before="0" w:after="0"/>
              <w:ind w:rightChars="192" w:right="461"/>
              <w:jc w:val="left"/>
              <w:rPr>
                <w:noProof/>
              </w:rPr>
            </w:pPr>
          </w:p>
        </w:tc>
      </w:tr>
      <w:tr w:rsidR="00C812FC" w:rsidRPr="00AF241B" w:rsidTr="00C812FC">
        <w:tc>
          <w:tcPr>
            <w:tcW w:w="4908" w:type="dxa"/>
            <w:tcBorders>
              <w:top w:val="dotted" w:sz="4" w:space="0" w:color="auto"/>
              <w:bottom w:val="dotted" w:sz="4" w:space="0" w:color="auto"/>
            </w:tcBorders>
            <w:shd w:val="clear" w:color="auto" w:fill="auto"/>
            <w:vAlign w:val="center"/>
          </w:tcPr>
          <w:p w:rsidR="00C812FC" w:rsidRPr="00AF241B" w:rsidRDefault="00C812FC" w:rsidP="00F060F9">
            <w:pPr>
              <w:spacing w:before="0" w:after="0"/>
              <w:jc w:val="left"/>
              <w:rPr>
                <w:noProof/>
              </w:rPr>
            </w:pPr>
            <w:r w:rsidRPr="00AF241B">
              <w:rPr>
                <w:noProof/>
              </w:rPr>
              <w:t>Begroting voor de uitvoering van het EFG</w:t>
            </w:r>
            <w:r w:rsidRPr="00AF241B">
              <w:rPr>
                <w:rStyle w:val="FootnoteReference"/>
                <w:noProof/>
              </w:rPr>
              <w:footnoteReference w:id="4"/>
            </w:r>
            <w:r w:rsidRPr="00AF241B">
              <w:rPr>
                <w:noProof/>
              </w:rPr>
              <w:t xml:space="preserve"> (EUR)</w:t>
            </w:r>
          </w:p>
        </w:tc>
        <w:tc>
          <w:tcPr>
            <w:tcW w:w="1721" w:type="dxa"/>
            <w:tcBorders>
              <w:top w:val="dotted" w:sz="4" w:space="0" w:color="auto"/>
              <w:bottom w:val="dotted" w:sz="4" w:space="0" w:color="auto"/>
              <w:right w:val="nil"/>
            </w:tcBorders>
            <w:shd w:val="clear" w:color="auto" w:fill="auto"/>
            <w:vAlign w:val="center"/>
          </w:tcPr>
          <w:p w:rsidR="00C812FC" w:rsidRPr="00AF241B" w:rsidRDefault="00537682" w:rsidP="00C812FC">
            <w:pPr>
              <w:spacing w:before="0" w:after="0"/>
              <w:ind w:rightChars="192" w:right="461"/>
              <w:jc w:val="right"/>
              <w:rPr>
                <w:noProof/>
              </w:rPr>
            </w:pPr>
            <w:r w:rsidRPr="001D3039">
              <w:rPr>
                <w:noProof/>
              </w:rPr>
              <w:t>121</w:t>
            </w:r>
            <w:r w:rsidRPr="00AF241B">
              <w:rPr>
                <w:noProof/>
              </w:rPr>
              <w:t> </w:t>
            </w:r>
            <w:r w:rsidRPr="001D3039">
              <w:rPr>
                <w:noProof/>
              </w:rPr>
              <w:t>500</w:t>
            </w:r>
          </w:p>
        </w:tc>
        <w:tc>
          <w:tcPr>
            <w:tcW w:w="2658" w:type="dxa"/>
            <w:tcBorders>
              <w:top w:val="dotted" w:sz="4" w:space="0" w:color="auto"/>
              <w:left w:val="nil"/>
              <w:bottom w:val="dotted" w:sz="4" w:space="0" w:color="auto"/>
            </w:tcBorders>
            <w:shd w:val="clear" w:color="auto" w:fill="auto"/>
            <w:vAlign w:val="center"/>
          </w:tcPr>
          <w:p w:rsidR="00C812FC" w:rsidRPr="00AF241B" w:rsidRDefault="00C812FC" w:rsidP="00F060F9">
            <w:pPr>
              <w:spacing w:before="0" w:after="0"/>
              <w:ind w:rightChars="192" w:right="461"/>
              <w:jc w:val="left"/>
              <w:rPr>
                <w:noProof/>
              </w:rPr>
            </w:pPr>
          </w:p>
        </w:tc>
      </w:tr>
      <w:tr w:rsidR="00C812FC" w:rsidRPr="00AF241B" w:rsidTr="00C812FC">
        <w:tc>
          <w:tcPr>
            <w:tcW w:w="4908" w:type="dxa"/>
            <w:tcBorders>
              <w:top w:val="dotted" w:sz="4" w:space="0" w:color="auto"/>
              <w:bottom w:val="dotted" w:sz="4" w:space="0" w:color="auto"/>
            </w:tcBorders>
            <w:shd w:val="clear" w:color="auto" w:fill="auto"/>
            <w:vAlign w:val="center"/>
          </w:tcPr>
          <w:p w:rsidR="00C812FC" w:rsidRPr="00AF241B" w:rsidRDefault="00C812FC" w:rsidP="00F060F9">
            <w:pPr>
              <w:spacing w:before="0" w:after="0"/>
              <w:jc w:val="left"/>
              <w:rPr>
                <w:noProof/>
              </w:rPr>
            </w:pPr>
            <w:r w:rsidRPr="00AF241B">
              <w:rPr>
                <w:noProof/>
              </w:rPr>
              <w:t>Totale begroting (EUR)</w:t>
            </w:r>
          </w:p>
        </w:tc>
        <w:tc>
          <w:tcPr>
            <w:tcW w:w="1721" w:type="dxa"/>
            <w:tcBorders>
              <w:top w:val="dotted" w:sz="4" w:space="0" w:color="auto"/>
              <w:bottom w:val="dotted" w:sz="4" w:space="0" w:color="auto"/>
              <w:right w:val="nil"/>
            </w:tcBorders>
            <w:shd w:val="clear" w:color="auto" w:fill="auto"/>
            <w:vAlign w:val="center"/>
          </w:tcPr>
          <w:p w:rsidR="00C812FC" w:rsidRPr="00AF241B" w:rsidRDefault="00537682" w:rsidP="00C812FC">
            <w:pPr>
              <w:spacing w:before="0" w:after="0"/>
              <w:ind w:rightChars="192" w:right="461"/>
              <w:jc w:val="right"/>
              <w:rPr>
                <w:noProof/>
              </w:rPr>
            </w:pPr>
            <w:r w:rsidRPr="001D3039">
              <w:rPr>
                <w:noProof/>
              </w:rPr>
              <w:t>3</w:t>
            </w:r>
            <w:r w:rsidRPr="00AF241B">
              <w:rPr>
                <w:noProof/>
              </w:rPr>
              <w:t> </w:t>
            </w:r>
            <w:r w:rsidRPr="001D3039">
              <w:rPr>
                <w:noProof/>
              </w:rPr>
              <w:t>131</w:t>
            </w:r>
            <w:r w:rsidRPr="00AF241B">
              <w:rPr>
                <w:noProof/>
              </w:rPr>
              <w:t> </w:t>
            </w:r>
            <w:r w:rsidRPr="001D3039">
              <w:rPr>
                <w:noProof/>
              </w:rPr>
              <w:t>252</w:t>
            </w:r>
          </w:p>
        </w:tc>
        <w:tc>
          <w:tcPr>
            <w:tcW w:w="2658" w:type="dxa"/>
            <w:tcBorders>
              <w:top w:val="dotted" w:sz="4" w:space="0" w:color="auto"/>
              <w:left w:val="nil"/>
              <w:bottom w:val="dotted" w:sz="4" w:space="0" w:color="auto"/>
            </w:tcBorders>
            <w:shd w:val="clear" w:color="auto" w:fill="auto"/>
            <w:vAlign w:val="center"/>
          </w:tcPr>
          <w:p w:rsidR="00C812FC" w:rsidRPr="00AF241B" w:rsidRDefault="00C812FC" w:rsidP="00F060F9">
            <w:pPr>
              <w:spacing w:before="0" w:after="0"/>
              <w:ind w:rightChars="192" w:right="461"/>
              <w:jc w:val="left"/>
              <w:rPr>
                <w:noProof/>
              </w:rPr>
            </w:pPr>
          </w:p>
        </w:tc>
      </w:tr>
      <w:tr w:rsidR="00C812FC" w:rsidRPr="00AF241B" w:rsidTr="00C812FC">
        <w:tc>
          <w:tcPr>
            <w:tcW w:w="4908" w:type="dxa"/>
            <w:tcBorders>
              <w:top w:val="dotted" w:sz="4" w:space="0" w:color="auto"/>
            </w:tcBorders>
            <w:shd w:val="clear" w:color="auto" w:fill="auto"/>
            <w:vAlign w:val="center"/>
          </w:tcPr>
          <w:p w:rsidR="00C812FC" w:rsidRPr="00AF241B" w:rsidRDefault="00C812FC" w:rsidP="00284DA4">
            <w:pPr>
              <w:spacing w:before="0" w:after="0"/>
              <w:jc w:val="left"/>
              <w:rPr>
                <w:noProof/>
              </w:rPr>
            </w:pPr>
            <w:r w:rsidRPr="00AF241B">
              <w:rPr>
                <w:noProof/>
              </w:rPr>
              <w:t>EFG-bijdrage (</w:t>
            </w:r>
            <w:r w:rsidRPr="001D3039">
              <w:rPr>
                <w:noProof/>
              </w:rPr>
              <w:t>85</w:t>
            </w:r>
            <w:r w:rsidRPr="00AF241B">
              <w:rPr>
                <w:noProof/>
              </w:rPr>
              <w:t> %) (EUR)</w:t>
            </w:r>
          </w:p>
        </w:tc>
        <w:tc>
          <w:tcPr>
            <w:tcW w:w="1721" w:type="dxa"/>
            <w:tcBorders>
              <w:top w:val="dotted" w:sz="4" w:space="0" w:color="auto"/>
              <w:right w:val="nil"/>
            </w:tcBorders>
            <w:shd w:val="clear" w:color="auto" w:fill="auto"/>
            <w:vAlign w:val="center"/>
          </w:tcPr>
          <w:p w:rsidR="00C812FC" w:rsidRPr="00AF241B" w:rsidRDefault="00537682" w:rsidP="00C812FC">
            <w:pPr>
              <w:spacing w:before="0" w:after="0"/>
              <w:ind w:rightChars="192" w:right="461"/>
              <w:jc w:val="right"/>
              <w:rPr>
                <w:noProof/>
              </w:rPr>
            </w:pPr>
            <w:r w:rsidRPr="001D3039">
              <w:rPr>
                <w:noProof/>
              </w:rPr>
              <w:t>2</w:t>
            </w:r>
            <w:r w:rsidRPr="00AF241B">
              <w:rPr>
                <w:noProof/>
              </w:rPr>
              <w:t> </w:t>
            </w:r>
            <w:r w:rsidRPr="001D3039">
              <w:rPr>
                <w:noProof/>
              </w:rPr>
              <w:t>661</w:t>
            </w:r>
            <w:r w:rsidRPr="00AF241B">
              <w:rPr>
                <w:noProof/>
              </w:rPr>
              <w:t> </w:t>
            </w:r>
            <w:r w:rsidRPr="001D3039">
              <w:rPr>
                <w:noProof/>
              </w:rPr>
              <w:t>564</w:t>
            </w:r>
          </w:p>
        </w:tc>
        <w:tc>
          <w:tcPr>
            <w:tcW w:w="2658" w:type="dxa"/>
            <w:tcBorders>
              <w:top w:val="dotted" w:sz="4" w:space="0" w:color="auto"/>
              <w:left w:val="nil"/>
            </w:tcBorders>
            <w:shd w:val="clear" w:color="auto" w:fill="auto"/>
            <w:vAlign w:val="center"/>
          </w:tcPr>
          <w:p w:rsidR="00C812FC" w:rsidRPr="00AF241B" w:rsidRDefault="00C812FC" w:rsidP="00F060F9">
            <w:pPr>
              <w:spacing w:before="0" w:after="0"/>
              <w:ind w:rightChars="192" w:right="461"/>
              <w:jc w:val="left"/>
              <w:rPr>
                <w:noProof/>
              </w:rPr>
            </w:pPr>
          </w:p>
        </w:tc>
      </w:tr>
    </w:tbl>
    <w:p w:rsidR="00252AC6" w:rsidRPr="00AF241B" w:rsidRDefault="00252AC6" w:rsidP="00252AC6">
      <w:pPr>
        <w:pStyle w:val="ManualHeading1"/>
        <w:rPr>
          <w:noProof/>
        </w:rPr>
      </w:pPr>
      <w:r w:rsidRPr="00AF241B">
        <w:rPr>
          <w:noProof/>
        </w:rPr>
        <w:t>BEOORDELING VAN DE AANVRAAG</w:t>
      </w:r>
    </w:p>
    <w:p w:rsidR="00252AC6" w:rsidRPr="00AF241B" w:rsidRDefault="00252AC6" w:rsidP="00252AC6">
      <w:pPr>
        <w:pStyle w:val="ManualHeading2"/>
        <w:rPr>
          <w:noProof/>
        </w:rPr>
      </w:pPr>
      <w:r w:rsidRPr="00AF241B">
        <w:rPr>
          <w:noProof/>
        </w:rPr>
        <w:t>Procedure</w:t>
      </w:r>
    </w:p>
    <w:p w:rsidR="00252AC6" w:rsidRPr="00AF241B" w:rsidRDefault="00CB0C8E" w:rsidP="00CB0C8E">
      <w:pPr>
        <w:pStyle w:val="ManualNumPar1"/>
        <w:rPr>
          <w:noProof/>
        </w:rPr>
      </w:pPr>
      <w:r w:rsidRPr="00CB0C8E">
        <w:rPr>
          <w:noProof/>
        </w:rPr>
        <w:t>4.</w:t>
      </w:r>
      <w:r w:rsidRPr="00CB0C8E">
        <w:rPr>
          <w:noProof/>
        </w:rPr>
        <w:tab/>
      </w:r>
      <w:r w:rsidR="000C64A4" w:rsidRPr="00AF241B">
        <w:rPr>
          <w:noProof/>
        </w:rPr>
        <w:t>België heeft aanvraag EGF/</w:t>
      </w:r>
      <w:r w:rsidR="000C64A4" w:rsidRPr="001D3039">
        <w:rPr>
          <w:noProof/>
        </w:rPr>
        <w:t>2024</w:t>
      </w:r>
      <w:r w:rsidR="000C64A4" w:rsidRPr="00AF241B">
        <w:rPr>
          <w:noProof/>
        </w:rPr>
        <w:t>/</w:t>
      </w:r>
      <w:r w:rsidR="000C64A4" w:rsidRPr="001D3039">
        <w:rPr>
          <w:noProof/>
        </w:rPr>
        <w:t>001</w:t>
      </w:r>
      <w:r w:rsidR="000C64A4" w:rsidRPr="00AF241B">
        <w:rPr>
          <w:noProof/>
        </w:rPr>
        <w:t xml:space="preserve"> BE/Match-Smatch ingediend op </w:t>
      </w:r>
      <w:r w:rsidR="000C64A4" w:rsidRPr="001D3039">
        <w:rPr>
          <w:noProof/>
        </w:rPr>
        <w:t>3</w:t>
      </w:r>
      <w:r w:rsidR="005A1D43">
        <w:rPr>
          <w:noProof/>
        </w:rPr>
        <w:t> </w:t>
      </w:r>
      <w:r w:rsidR="000C64A4" w:rsidRPr="00AF241B">
        <w:rPr>
          <w:noProof/>
        </w:rPr>
        <w:t xml:space="preserve">juni </w:t>
      </w:r>
      <w:r w:rsidR="000C64A4" w:rsidRPr="001D3039">
        <w:rPr>
          <w:noProof/>
        </w:rPr>
        <w:t>2024</w:t>
      </w:r>
      <w:r w:rsidR="000C64A4" w:rsidRPr="00AF241B">
        <w:rPr>
          <w:noProof/>
        </w:rPr>
        <w:t>, binnen twaalf weken na de datum waarop aan de in artikel </w:t>
      </w:r>
      <w:r w:rsidR="000C64A4" w:rsidRPr="001D3039">
        <w:rPr>
          <w:noProof/>
        </w:rPr>
        <w:t>4</w:t>
      </w:r>
      <w:r w:rsidR="000C64A4" w:rsidRPr="00AF241B">
        <w:rPr>
          <w:noProof/>
        </w:rPr>
        <w:t>, lid</w:t>
      </w:r>
      <w:r w:rsidR="005A1D43">
        <w:rPr>
          <w:noProof/>
        </w:rPr>
        <w:t> </w:t>
      </w:r>
      <w:r w:rsidR="000C64A4" w:rsidRPr="001D3039">
        <w:rPr>
          <w:noProof/>
        </w:rPr>
        <w:t>2</w:t>
      </w:r>
      <w:r w:rsidR="000C64A4" w:rsidRPr="00AF241B">
        <w:rPr>
          <w:noProof/>
        </w:rPr>
        <w:t>, punt</w:t>
      </w:r>
      <w:r w:rsidR="005A1D43">
        <w:rPr>
          <w:noProof/>
        </w:rPr>
        <w:t> </w:t>
      </w:r>
      <w:r w:rsidR="000C64A4" w:rsidRPr="00AF241B">
        <w:rPr>
          <w:noProof/>
        </w:rPr>
        <w:t xml:space="preserve">a), van Verordening (EU) </w:t>
      </w:r>
      <w:r w:rsidR="000C64A4" w:rsidRPr="001D3039">
        <w:rPr>
          <w:noProof/>
        </w:rPr>
        <w:t>2021</w:t>
      </w:r>
      <w:r w:rsidR="000C64A4" w:rsidRPr="00AF241B">
        <w:rPr>
          <w:noProof/>
        </w:rPr>
        <w:t>/</w:t>
      </w:r>
      <w:r w:rsidR="000C64A4" w:rsidRPr="001D3039">
        <w:rPr>
          <w:noProof/>
        </w:rPr>
        <w:t>691</w:t>
      </w:r>
      <w:r w:rsidR="000C64A4" w:rsidRPr="00AF241B">
        <w:rPr>
          <w:noProof/>
        </w:rPr>
        <w:t xml:space="preserve"> vermelde criteria voor steunverlening was voldaan. De Commissie heeft de ontvangst van de aanvraag nog op dezelfde dag bevestigd, en heeft België op </w:t>
      </w:r>
      <w:r w:rsidR="000C64A4" w:rsidRPr="001D3039">
        <w:rPr>
          <w:noProof/>
        </w:rPr>
        <w:t>17</w:t>
      </w:r>
      <w:r w:rsidR="005A1D43">
        <w:rPr>
          <w:noProof/>
        </w:rPr>
        <w:t> </w:t>
      </w:r>
      <w:r w:rsidR="000C64A4" w:rsidRPr="00AF241B">
        <w:rPr>
          <w:noProof/>
        </w:rPr>
        <w:t xml:space="preserve">juni </w:t>
      </w:r>
      <w:r w:rsidR="000C64A4" w:rsidRPr="001D3039">
        <w:rPr>
          <w:noProof/>
        </w:rPr>
        <w:t>2024</w:t>
      </w:r>
      <w:r w:rsidR="000C64A4" w:rsidRPr="00AF241B">
        <w:rPr>
          <w:noProof/>
        </w:rPr>
        <w:t xml:space="preserve"> om aanvullende gegevens verzocht. Die aanvullende gegevens werden binnen </w:t>
      </w:r>
      <w:r w:rsidR="000C64A4" w:rsidRPr="001D3039">
        <w:rPr>
          <w:noProof/>
        </w:rPr>
        <w:t>15</w:t>
      </w:r>
      <w:r w:rsidR="005A1D43">
        <w:rPr>
          <w:noProof/>
        </w:rPr>
        <w:t> </w:t>
      </w:r>
      <w:r w:rsidR="000C64A4" w:rsidRPr="00AF241B">
        <w:rPr>
          <w:noProof/>
        </w:rPr>
        <w:t xml:space="preserve">werkdagen na het verzoek verstrekt. De termijn van vijftig werkdagen na de ontvangst van de volledige aanvraag, binnen welke de Commissie moet beoordelen of de aanvraag voldoet aan de voorwaarden voor het verlenen van een financiële bijdrage, loopt op </w:t>
      </w:r>
      <w:r w:rsidR="000C64A4" w:rsidRPr="001D3039">
        <w:rPr>
          <w:noProof/>
        </w:rPr>
        <w:t>17</w:t>
      </w:r>
      <w:r w:rsidR="005A1D43">
        <w:rPr>
          <w:noProof/>
        </w:rPr>
        <w:t> </w:t>
      </w:r>
      <w:r w:rsidR="000C64A4" w:rsidRPr="00AF241B">
        <w:rPr>
          <w:noProof/>
        </w:rPr>
        <w:t xml:space="preserve">september </w:t>
      </w:r>
      <w:r w:rsidR="000C64A4" w:rsidRPr="001D3039">
        <w:rPr>
          <w:noProof/>
        </w:rPr>
        <w:t>2024</w:t>
      </w:r>
      <w:r w:rsidR="000C64A4" w:rsidRPr="00AF241B">
        <w:rPr>
          <w:noProof/>
        </w:rPr>
        <w:t xml:space="preserve"> af.</w:t>
      </w:r>
    </w:p>
    <w:p w:rsidR="00252AC6" w:rsidRPr="00AF241B" w:rsidRDefault="00252AC6" w:rsidP="00252AC6">
      <w:pPr>
        <w:pStyle w:val="ManualHeading2"/>
        <w:rPr>
          <w:noProof/>
        </w:rPr>
      </w:pPr>
      <w:r w:rsidRPr="00AF241B">
        <w:rPr>
          <w:noProof/>
        </w:rPr>
        <w:t>Subsidiabiliteit van de aanvraag</w:t>
      </w:r>
    </w:p>
    <w:p w:rsidR="00252AC6" w:rsidRPr="00AF241B" w:rsidRDefault="00252AC6" w:rsidP="00252AC6">
      <w:pPr>
        <w:pStyle w:val="ManualHeading3"/>
        <w:rPr>
          <w:noProof/>
        </w:rPr>
      </w:pPr>
      <w:r w:rsidRPr="00AF241B">
        <w:rPr>
          <w:noProof/>
        </w:rPr>
        <w:t>Betrokken ondernemingen en begunstigden</w:t>
      </w:r>
    </w:p>
    <w:p w:rsidR="00252AC6" w:rsidRPr="00AF241B" w:rsidRDefault="00CB0C8E" w:rsidP="00CB0C8E">
      <w:pPr>
        <w:pStyle w:val="ManualNumPar1"/>
        <w:rPr>
          <w:noProof/>
          <w:szCs w:val="24"/>
        </w:rPr>
      </w:pPr>
      <w:r w:rsidRPr="00CB0C8E">
        <w:rPr>
          <w:noProof/>
        </w:rPr>
        <w:t>5.</w:t>
      </w:r>
      <w:r w:rsidRPr="00CB0C8E">
        <w:rPr>
          <w:noProof/>
        </w:rPr>
        <w:tab/>
      </w:r>
      <w:r w:rsidR="00252AC6" w:rsidRPr="00AF241B">
        <w:rPr>
          <w:noProof/>
        </w:rPr>
        <w:t xml:space="preserve">De aanvraag heeft betrekking op </w:t>
      </w:r>
      <w:r w:rsidR="00252AC6" w:rsidRPr="001D3039">
        <w:rPr>
          <w:noProof/>
        </w:rPr>
        <w:t>513</w:t>
      </w:r>
      <w:r w:rsidR="00252AC6" w:rsidRPr="00AF241B">
        <w:rPr>
          <w:noProof/>
        </w:rPr>
        <w:t xml:space="preserve"> ontslagen werknemers wier werkzaamheden bij Match-Smatch zijn beëindigd</w:t>
      </w:r>
      <w:r w:rsidR="00252AC6" w:rsidRPr="001D3039">
        <w:rPr>
          <w:noProof/>
          <w:vertAlign w:val="superscript"/>
        </w:rPr>
        <w:t>4</w:t>
      </w:r>
      <w:r w:rsidR="00252AC6" w:rsidRPr="00AF241B">
        <w:rPr>
          <w:noProof/>
        </w:rPr>
        <w:t>. Deze onderneming is werkzaam in de economische sector die is ingedeeld in NACE Rev. </w:t>
      </w:r>
      <w:r w:rsidR="00252AC6" w:rsidRPr="001D3039">
        <w:rPr>
          <w:noProof/>
        </w:rPr>
        <w:t>2</w:t>
      </w:r>
      <w:r w:rsidR="00252AC6" w:rsidRPr="00AF241B">
        <w:rPr>
          <w:noProof/>
        </w:rPr>
        <w:t>-afdeling</w:t>
      </w:r>
      <w:r w:rsidR="005A1D43">
        <w:rPr>
          <w:noProof/>
        </w:rPr>
        <w:t> </w:t>
      </w:r>
      <w:r w:rsidR="00252AC6" w:rsidRPr="001D3039">
        <w:rPr>
          <w:noProof/>
        </w:rPr>
        <w:t>47</w:t>
      </w:r>
      <w:r w:rsidR="00252AC6" w:rsidRPr="00AF241B">
        <w:rPr>
          <w:noProof/>
        </w:rPr>
        <w:t xml:space="preserve"> (Detailhandel, met uitzondering van de handel in auto’s en motorfietsen). De ontslagen vielen voornamelijk in de NUTS </w:t>
      </w:r>
      <w:r w:rsidR="00252AC6" w:rsidRPr="001D3039">
        <w:rPr>
          <w:noProof/>
        </w:rPr>
        <w:t>2</w:t>
      </w:r>
      <w:r w:rsidR="00252AC6" w:rsidRPr="00AF241B">
        <w:rPr>
          <w:noProof/>
        </w:rPr>
        <w:t>-regio’s provincie Henegouwen (BE</w:t>
      </w:r>
      <w:r w:rsidR="00252AC6" w:rsidRPr="001D3039">
        <w:rPr>
          <w:noProof/>
        </w:rPr>
        <w:t>32</w:t>
      </w:r>
      <w:r w:rsidR="00252AC6" w:rsidRPr="00AF241B">
        <w:rPr>
          <w:noProof/>
        </w:rPr>
        <w:t>), provincie Luik (BE</w:t>
      </w:r>
      <w:r w:rsidR="00252AC6" w:rsidRPr="001D3039">
        <w:rPr>
          <w:noProof/>
        </w:rPr>
        <w:t>33</w:t>
      </w:r>
      <w:r w:rsidR="00252AC6" w:rsidRPr="00AF241B">
        <w:rPr>
          <w:noProof/>
        </w:rPr>
        <w:t>) en provincie Namen (BE</w:t>
      </w:r>
      <w:r w:rsidR="00252AC6" w:rsidRPr="001D3039">
        <w:rPr>
          <w:noProof/>
        </w:rPr>
        <w:t>35</w:t>
      </w:r>
      <w:r w:rsidR="00252AC6" w:rsidRPr="00AF241B">
        <w:rPr>
          <w:noProof/>
        </w:rPr>
        <w:t>).</w:t>
      </w:r>
    </w:p>
    <w:p w:rsidR="00252AC6" w:rsidRPr="00AF241B" w:rsidRDefault="00252AC6" w:rsidP="00252AC6">
      <w:pPr>
        <w:pStyle w:val="ManualHeading3"/>
        <w:rPr>
          <w:noProof/>
        </w:rPr>
      </w:pPr>
      <w:r w:rsidRPr="00AF241B">
        <w:rPr>
          <w:noProof/>
        </w:rPr>
        <w:t>Criteria voor steunverlening</w:t>
      </w:r>
    </w:p>
    <w:p w:rsidR="00252AC6" w:rsidRPr="00AF241B" w:rsidRDefault="00CB0C8E" w:rsidP="00CB0C8E">
      <w:pPr>
        <w:pStyle w:val="ManualNumPar1"/>
        <w:rPr>
          <w:noProof/>
        </w:rPr>
      </w:pPr>
      <w:r w:rsidRPr="00CB0C8E">
        <w:rPr>
          <w:noProof/>
        </w:rPr>
        <w:t>6.</w:t>
      </w:r>
      <w:r w:rsidRPr="00CB0C8E">
        <w:rPr>
          <w:noProof/>
        </w:rPr>
        <w:tab/>
      </w:r>
      <w:r w:rsidR="000C64A4" w:rsidRPr="00AF241B">
        <w:rPr>
          <w:noProof/>
        </w:rPr>
        <w:t>België heeft de aanvraag ingediend op grond van de criteria voor steunverlening van artikel </w:t>
      </w:r>
      <w:r w:rsidR="000C64A4" w:rsidRPr="001D3039">
        <w:rPr>
          <w:noProof/>
        </w:rPr>
        <w:t>4</w:t>
      </w:r>
      <w:r w:rsidR="000C64A4" w:rsidRPr="00AF241B">
        <w:rPr>
          <w:noProof/>
        </w:rPr>
        <w:t>, lid </w:t>
      </w:r>
      <w:r w:rsidR="000C64A4" w:rsidRPr="001D3039">
        <w:rPr>
          <w:noProof/>
        </w:rPr>
        <w:t>2</w:t>
      </w:r>
      <w:r w:rsidR="000C64A4" w:rsidRPr="00AF241B">
        <w:rPr>
          <w:noProof/>
        </w:rPr>
        <w:t xml:space="preserve">, punt a), van Verordening (EU) </w:t>
      </w:r>
      <w:r w:rsidR="000C64A4" w:rsidRPr="001D3039">
        <w:rPr>
          <w:noProof/>
        </w:rPr>
        <w:t>2021</w:t>
      </w:r>
      <w:r w:rsidR="000C64A4" w:rsidRPr="00AF241B">
        <w:rPr>
          <w:noProof/>
        </w:rPr>
        <w:t>/</w:t>
      </w:r>
      <w:r w:rsidR="000C64A4" w:rsidRPr="001D3039">
        <w:rPr>
          <w:noProof/>
        </w:rPr>
        <w:t>691</w:t>
      </w:r>
      <w:r w:rsidR="000C64A4" w:rsidRPr="00AF241B">
        <w:rPr>
          <w:noProof/>
        </w:rPr>
        <w:t xml:space="preserve">, die vereisen dat binnen een referentieperiode van vier maanden in een onderneming in een lidstaat de werkzaamheden van ten minste </w:t>
      </w:r>
      <w:r w:rsidR="000C64A4" w:rsidRPr="001D3039">
        <w:rPr>
          <w:noProof/>
        </w:rPr>
        <w:t>200</w:t>
      </w:r>
      <w:r w:rsidR="000C64A4" w:rsidRPr="00AF241B">
        <w:rPr>
          <w:noProof/>
        </w:rPr>
        <w:t xml:space="preserve"> ontslagen werknemers zijn beëindigd, met inbegrip van werknemers die zijn ontslagen bij leveranciers en downstreamproducenten, en/of van zelfstandigen die hun werkzaamheden hebben beëindigd.</w:t>
      </w:r>
    </w:p>
    <w:p w:rsidR="00252AC6" w:rsidRPr="00AF241B" w:rsidRDefault="00CB0C8E" w:rsidP="00CB0C8E">
      <w:pPr>
        <w:pStyle w:val="ManualNumPar1"/>
        <w:rPr>
          <w:noProof/>
        </w:rPr>
      </w:pPr>
      <w:bookmarkStart w:id="8" w:name="_Ref372189348"/>
      <w:r w:rsidRPr="00CB0C8E">
        <w:rPr>
          <w:noProof/>
        </w:rPr>
        <w:t>7.</w:t>
      </w:r>
      <w:r w:rsidRPr="00CB0C8E">
        <w:rPr>
          <w:noProof/>
        </w:rPr>
        <w:tab/>
      </w:r>
      <w:r w:rsidR="00252AC6" w:rsidRPr="00AF241B">
        <w:rPr>
          <w:noProof/>
        </w:rPr>
        <w:t xml:space="preserve">De referentieperiode van vier maanden voor de aanvraag loopt van </w:t>
      </w:r>
      <w:r w:rsidR="00252AC6" w:rsidRPr="001D3039">
        <w:rPr>
          <w:noProof/>
        </w:rPr>
        <w:t>11</w:t>
      </w:r>
      <w:r w:rsidR="005A1D43">
        <w:rPr>
          <w:noProof/>
        </w:rPr>
        <w:t> </w:t>
      </w:r>
      <w:r w:rsidR="00252AC6" w:rsidRPr="00AF241B">
        <w:rPr>
          <w:noProof/>
        </w:rPr>
        <w:t xml:space="preserve">december </w:t>
      </w:r>
      <w:r w:rsidR="00252AC6" w:rsidRPr="001D3039">
        <w:rPr>
          <w:noProof/>
        </w:rPr>
        <w:t>2023</w:t>
      </w:r>
      <w:r w:rsidR="00252AC6" w:rsidRPr="00AF241B">
        <w:rPr>
          <w:noProof/>
        </w:rPr>
        <w:t xml:space="preserve"> tot en met</w:t>
      </w:r>
      <w:bookmarkEnd w:id="8"/>
      <w:r w:rsidR="00252AC6" w:rsidRPr="00AF241B">
        <w:rPr>
          <w:noProof/>
        </w:rPr>
        <w:t xml:space="preserve"> </w:t>
      </w:r>
      <w:r w:rsidR="00252AC6" w:rsidRPr="001D3039">
        <w:rPr>
          <w:noProof/>
        </w:rPr>
        <w:t>11</w:t>
      </w:r>
      <w:r w:rsidR="005A1D43">
        <w:rPr>
          <w:noProof/>
        </w:rPr>
        <w:t> </w:t>
      </w:r>
      <w:r w:rsidR="00252AC6" w:rsidRPr="00AF241B">
        <w:rPr>
          <w:noProof/>
        </w:rPr>
        <w:t xml:space="preserve">april </w:t>
      </w:r>
      <w:r w:rsidR="00252AC6" w:rsidRPr="001D3039">
        <w:rPr>
          <w:noProof/>
        </w:rPr>
        <w:t>2024</w:t>
      </w:r>
      <w:r w:rsidR="00252AC6" w:rsidRPr="00AF241B">
        <w:rPr>
          <w:noProof/>
        </w:rPr>
        <w:t>.</w:t>
      </w:r>
    </w:p>
    <w:p w:rsidR="00252AC6" w:rsidRPr="00AF241B" w:rsidRDefault="00CB0C8E" w:rsidP="00CB0C8E">
      <w:pPr>
        <w:pStyle w:val="ManualNumPar1"/>
        <w:rPr>
          <w:noProof/>
        </w:rPr>
      </w:pPr>
      <w:r w:rsidRPr="00CB0C8E">
        <w:rPr>
          <w:noProof/>
        </w:rPr>
        <w:t>8.</w:t>
      </w:r>
      <w:r w:rsidRPr="00CB0C8E">
        <w:rPr>
          <w:noProof/>
        </w:rPr>
        <w:tab/>
      </w:r>
      <w:r w:rsidR="00596F33" w:rsidRPr="00AF241B">
        <w:rPr>
          <w:noProof/>
        </w:rPr>
        <w:t xml:space="preserve">Tijdens de referentieperiode werden bij Match-Smatch </w:t>
      </w:r>
      <w:r w:rsidR="00596F33" w:rsidRPr="001D3039">
        <w:rPr>
          <w:noProof/>
        </w:rPr>
        <w:t>444</w:t>
      </w:r>
      <w:r w:rsidR="005A1D43">
        <w:rPr>
          <w:noProof/>
        </w:rPr>
        <w:t> </w:t>
      </w:r>
      <w:r w:rsidR="00596F33" w:rsidRPr="00AF241B">
        <w:rPr>
          <w:noProof/>
        </w:rPr>
        <w:t>werknemers ontslagen.</w:t>
      </w:r>
    </w:p>
    <w:p w:rsidR="00252AC6" w:rsidRPr="00AF241B" w:rsidRDefault="00252AC6" w:rsidP="00252AC6">
      <w:pPr>
        <w:pStyle w:val="ManualHeading3"/>
        <w:rPr>
          <w:noProof/>
        </w:rPr>
      </w:pPr>
      <w:r w:rsidRPr="00AF241B">
        <w:rPr>
          <w:noProof/>
        </w:rPr>
        <w:t>Berekening van het aantal ontslagen en beëindigingen van werkzaamheden</w:t>
      </w:r>
    </w:p>
    <w:p w:rsidR="00252AC6" w:rsidRPr="00AF241B" w:rsidRDefault="00CB0C8E" w:rsidP="00CB0C8E">
      <w:pPr>
        <w:pStyle w:val="ManualNumPar1"/>
        <w:rPr>
          <w:noProof/>
        </w:rPr>
      </w:pPr>
      <w:r w:rsidRPr="00CB0C8E">
        <w:rPr>
          <w:noProof/>
        </w:rPr>
        <w:t>9.</w:t>
      </w:r>
      <w:r w:rsidRPr="00CB0C8E">
        <w:rPr>
          <w:noProof/>
        </w:rPr>
        <w:tab/>
      </w:r>
      <w:r w:rsidR="00440384" w:rsidRPr="00AF241B">
        <w:rPr>
          <w:noProof/>
        </w:rPr>
        <w:t>Overeenkomstig artikel </w:t>
      </w:r>
      <w:r w:rsidR="00440384" w:rsidRPr="001D3039">
        <w:rPr>
          <w:noProof/>
        </w:rPr>
        <w:t>6</w:t>
      </w:r>
      <w:r w:rsidR="00440384" w:rsidRPr="00AF241B">
        <w:rPr>
          <w:noProof/>
        </w:rPr>
        <w:t>, eerste alinea, punt a), gelezen in samenhang met artikel </w:t>
      </w:r>
      <w:r w:rsidR="00440384" w:rsidRPr="001D3039">
        <w:rPr>
          <w:noProof/>
        </w:rPr>
        <w:t>5</w:t>
      </w:r>
      <w:r w:rsidR="00440384" w:rsidRPr="00AF241B">
        <w:rPr>
          <w:noProof/>
        </w:rPr>
        <w:t>, eerste alinea, punt</w:t>
      </w:r>
      <w:r w:rsidR="005A1D43">
        <w:rPr>
          <w:noProof/>
        </w:rPr>
        <w:t> </w:t>
      </w:r>
      <w:r w:rsidR="00440384" w:rsidRPr="00AF241B">
        <w:rPr>
          <w:noProof/>
        </w:rPr>
        <w:t xml:space="preserve">c), van Verordening (EU) </w:t>
      </w:r>
      <w:r w:rsidR="00440384" w:rsidRPr="001D3039">
        <w:rPr>
          <w:noProof/>
        </w:rPr>
        <w:t>2021</w:t>
      </w:r>
      <w:r w:rsidR="00440384" w:rsidRPr="00AF241B">
        <w:rPr>
          <w:noProof/>
        </w:rPr>
        <w:t>/</w:t>
      </w:r>
      <w:r w:rsidR="00440384" w:rsidRPr="001D3039">
        <w:rPr>
          <w:noProof/>
        </w:rPr>
        <w:t>691</w:t>
      </w:r>
      <w:r w:rsidR="00440384" w:rsidRPr="00AF241B">
        <w:rPr>
          <w:noProof/>
        </w:rPr>
        <w:t xml:space="preserve"> is het aantal beëindigingen van de werkzaamheden van de ontslagen werknemers tijdens de referentieperiode berekend vanaf de datum waarop de arbeidsovereenkomst de facto werd beëindigd of afliep.</w:t>
      </w:r>
    </w:p>
    <w:p w:rsidR="00252AC6" w:rsidRPr="00AF241B" w:rsidRDefault="00252AC6" w:rsidP="00252AC6">
      <w:pPr>
        <w:pStyle w:val="ManualHeading3"/>
        <w:rPr>
          <w:noProof/>
        </w:rPr>
      </w:pPr>
      <w:r w:rsidRPr="00AF241B">
        <w:rPr>
          <w:noProof/>
        </w:rPr>
        <w:t>In aanmerking komende begunstigden</w:t>
      </w:r>
    </w:p>
    <w:p w:rsidR="00252AC6" w:rsidRPr="00AF241B" w:rsidRDefault="00CB0C8E" w:rsidP="00CB0C8E">
      <w:pPr>
        <w:pStyle w:val="ManualNumPar1"/>
        <w:rPr>
          <w:noProof/>
        </w:rPr>
      </w:pPr>
      <w:r w:rsidRPr="00CB0C8E">
        <w:rPr>
          <w:noProof/>
        </w:rPr>
        <w:t>10.</w:t>
      </w:r>
      <w:r w:rsidRPr="00CB0C8E">
        <w:rPr>
          <w:noProof/>
        </w:rPr>
        <w:tab/>
      </w:r>
      <w:r w:rsidR="00252AC6" w:rsidRPr="00AF241B">
        <w:rPr>
          <w:noProof/>
        </w:rPr>
        <w:t xml:space="preserve">Naast de werknemers die reeds werden vermeld, komen nog </w:t>
      </w:r>
      <w:r w:rsidR="00252AC6" w:rsidRPr="001D3039">
        <w:rPr>
          <w:noProof/>
        </w:rPr>
        <w:t>69</w:t>
      </w:r>
      <w:r w:rsidR="00252AC6" w:rsidRPr="00AF241B">
        <w:rPr>
          <w:noProof/>
        </w:rPr>
        <w:t xml:space="preserve"> ontslagen werknemers in aanmerking wier werkzaamheden vóór of na de referentieperiode van vier maanden zijn beëindigd. De werkzaamheden van al deze werknemers zijn beëindigd binnen zes maanden voor het begin van de referentieperiode en/of tussen het einde van de referentieperiode en de dag vóór de vaststelling van dit voorstel, overeenkomstig artikel </w:t>
      </w:r>
      <w:r w:rsidR="00252AC6" w:rsidRPr="001D3039">
        <w:rPr>
          <w:noProof/>
        </w:rPr>
        <w:t>6</w:t>
      </w:r>
      <w:r w:rsidR="00252AC6" w:rsidRPr="00AF241B">
        <w:rPr>
          <w:noProof/>
        </w:rPr>
        <w:t>, eerste alinea, punt</w:t>
      </w:r>
      <w:r w:rsidR="005A1D43">
        <w:rPr>
          <w:noProof/>
        </w:rPr>
        <w:t> </w:t>
      </w:r>
      <w:r w:rsidR="00252AC6" w:rsidRPr="00AF241B">
        <w:rPr>
          <w:noProof/>
        </w:rPr>
        <w:t xml:space="preserve">b), van Verordening (EU) </w:t>
      </w:r>
      <w:r w:rsidR="00252AC6" w:rsidRPr="001D3039">
        <w:rPr>
          <w:noProof/>
        </w:rPr>
        <w:t>2021</w:t>
      </w:r>
      <w:r w:rsidR="00252AC6" w:rsidRPr="00AF241B">
        <w:rPr>
          <w:noProof/>
        </w:rPr>
        <w:t>/</w:t>
      </w:r>
      <w:r w:rsidR="00252AC6" w:rsidRPr="001D3039">
        <w:rPr>
          <w:noProof/>
        </w:rPr>
        <w:t>691</w:t>
      </w:r>
      <w:r w:rsidR="00252AC6" w:rsidRPr="00AF241B">
        <w:rPr>
          <w:noProof/>
        </w:rPr>
        <w:t>, zoals vereist op grond van artikel </w:t>
      </w:r>
      <w:r w:rsidR="00252AC6" w:rsidRPr="001D3039">
        <w:rPr>
          <w:noProof/>
        </w:rPr>
        <w:t>6</w:t>
      </w:r>
      <w:r w:rsidR="00252AC6" w:rsidRPr="00AF241B">
        <w:rPr>
          <w:noProof/>
        </w:rPr>
        <w:t xml:space="preserve">, tweede alinea, van Verordening (EU) </w:t>
      </w:r>
      <w:r w:rsidR="00252AC6" w:rsidRPr="001D3039">
        <w:rPr>
          <w:noProof/>
        </w:rPr>
        <w:t>2021</w:t>
      </w:r>
      <w:r w:rsidR="00252AC6" w:rsidRPr="00AF241B">
        <w:rPr>
          <w:noProof/>
        </w:rPr>
        <w:t>/</w:t>
      </w:r>
      <w:r w:rsidR="00252AC6" w:rsidRPr="001D3039">
        <w:rPr>
          <w:noProof/>
        </w:rPr>
        <w:t>691</w:t>
      </w:r>
      <w:r w:rsidR="00252AC6" w:rsidRPr="00AF241B">
        <w:rPr>
          <w:noProof/>
        </w:rPr>
        <w:t>. Er kan een duidelijk oorzakelijk verband worden gelegd met de gebeurtenis die in de referentieperiode tot de beëindiging van de werkzaamheden van de ontslagen werknemers heeft geleid, zoals voorgeschreven in artikel</w:t>
      </w:r>
      <w:r w:rsidR="005A1D43">
        <w:rPr>
          <w:noProof/>
        </w:rPr>
        <w:t> </w:t>
      </w:r>
      <w:r w:rsidR="00252AC6" w:rsidRPr="001D3039">
        <w:rPr>
          <w:noProof/>
        </w:rPr>
        <w:t>6</w:t>
      </w:r>
      <w:r w:rsidR="00252AC6" w:rsidRPr="00AF241B">
        <w:rPr>
          <w:noProof/>
        </w:rPr>
        <w:t xml:space="preserve">, tweede alinea, van Verordening (EU) </w:t>
      </w:r>
      <w:r w:rsidR="00252AC6" w:rsidRPr="001D3039">
        <w:rPr>
          <w:noProof/>
        </w:rPr>
        <w:t>2021</w:t>
      </w:r>
      <w:r w:rsidR="00252AC6" w:rsidRPr="00AF241B">
        <w:rPr>
          <w:noProof/>
        </w:rPr>
        <w:t>/</w:t>
      </w:r>
      <w:r w:rsidR="00252AC6" w:rsidRPr="001D3039">
        <w:rPr>
          <w:noProof/>
        </w:rPr>
        <w:t>691</w:t>
      </w:r>
      <w:r w:rsidR="00252AC6" w:rsidRPr="00AF241B">
        <w:rPr>
          <w:noProof/>
        </w:rPr>
        <w:t>.</w:t>
      </w:r>
    </w:p>
    <w:p w:rsidR="00252AC6" w:rsidRPr="00AF241B" w:rsidRDefault="00CB0C8E" w:rsidP="00CB0C8E">
      <w:pPr>
        <w:pStyle w:val="ManualNumPar1"/>
        <w:rPr>
          <w:noProof/>
        </w:rPr>
      </w:pPr>
      <w:r w:rsidRPr="00CB0C8E">
        <w:rPr>
          <w:noProof/>
        </w:rPr>
        <w:t>11.</w:t>
      </w:r>
      <w:r w:rsidRPr="00CB0C8E">
        <w:rPr>
          <w:noProof/>
        </w:rPr>
        <w:tab/>
      </w:r>
      <w:r w:rsidR="00252AC6" w:rsidRPr="00AF241B">
        <w:rPr>
          <w:noProof/>
        </w:rPr>
        <w:t xml:space="preserve">In totaal komen </w:t>
      </w:r>
      <w:r w:rsidR="00252AC6" w:rsidRPr="001D3039">
        <w:rPr>
          <w:noProof/>
        </w:rPr>
        <w:t>513</w:t>
      </w:r>
      <w:r w:rsidR="005A1D43">
        <w:rPr>
          <w:noProof/>
        </w:rPr>
        <w:t> </w:t>
      </w:r>
      <w:r w:rsidR="00252AC6" w:rsidRPr="00AF241B">
        <w:rPr>
          <w:noProof/>
        </w:rPr>
        <w:t>werknemers in aanmerking.</w:t>
      </w:r>
    </w:p>
    <w:p w:rsidR="00252AC6" w:rsidRPr="00AF241B" w:rsidRDefault="00385115" w:rsidP="00252AC6">
      <w:pPr>
        <w:pStyle w:val="ManualHeading3"/>
        <w:rPr>
          <w:noProof/>
        </w:rPr>
      </w:pPr>
      <w:r w:rsidRPr="00AF241B">
        <w:rPr>
          <w:noProof/>
        </w:rPr>
        <w:t>Beschrijving van de gebeurtenissen die tot de ontslagen en de beëindiging van de werkzaamheden hebben geleid</w:t>
      </w:r>
    </w:p>
    <w:p w:rsidR="001C7D02" w:rsidRPr="00AF241B" w:rsidRDefault="00CB0C8E" w:rsidP="00CB0C8E">
      <w:pPr>
        <w:pStyle w:val="ManualNumPar1"/>
        <w:rPr>
          <w:noProof/>
        </w:rPr>
      </w:pPr>
      <w:r w:rsidRPr="00CB0C8E">
        <w:rPr>
          <w:noProof/>
        </w:rPr>
        <w:t>12.</w:t>
      </w:r>
      <w:r w:rsidRPr="00CB0C8E">
        <w:rPr>
          <w:noProof/>
        </w:rPr>
        <w:tab/>
      </w:r>
      <w:r w:rsidR="001C7D02" w:rsidRPr="00AF241B">
        <w:rPr>
          <w:noProof/>
        </w:rPr>
        <w:t xml:space="preserve">Match-Smatch kende jarenlang een moeilijke economische situatie. In </w:t>
      </w:r>
      <w:r w:rsidR="001C7D02" w:rsidRPr="001D3039">
        <w:rPr>
          <w:noProof/>
        </w:rPr>
        <w:t>2019</w:t>
      </w:r>
      <w:r w:rsidR="001C7D02" w:rsidRPr="00AF241B">
        <w:rPr>
          <w:noProof/>
        </w:rPr>
        <w:t xml:space="preserve"> leidde een eerste herstructurering tot de sluiting van </w:t>
      </w:r>
      <w:r w:rsidR="001C7D02" w:rsidRPr="001D3039">
        <w:rPr>
          <w:noProof/>
        </w:rPr>
        <w:t>15</w:t>
      </w:r>
      <w:r w:rsidR="005A1D43">
        <w:rPr>
          <w:noProof/>
        </w:rPr>
        <w:t> </w:t>
      </w:r>
      <w:r w:rsidR="001C7D02" w:rsidRPr="00AF241B">
        <w:rPr>
          <w:noProof/>
        </w:rPr>
        <w:t xml:space="preserve">winkels en </w:t>
      </w:r>
      <w:r w:rsidR="001C7D02" w:rsidRPr="001D3039">
        <w:rPr>
          <w:noProof/>
        </w:rPr>
        <w:t>140</w:t>
      </w:r>
      <w:r w:rsidR="001C7D02" w:rsidRPr="00AF241B">
        <w:rPr>
          <w:noProof/>
        </w:rPr>
        <w:t xml:space="preserve"> ontslagen. In </w:t>
      </w:r>
      <w:r w:rsidR="001C7D02" w:rsidRPr="001D3039">
        <w:rPr>
          <w:noProof/>
        </w:rPr>
        <w:t>2020</w:t>
      </w:r>
      <w:r w:rsidR="001C7D02" w:rsidRPr="00AF241B">
        <w:rPr>
          <w:noProof/>
        </w:rPr>
        <w:t xml:space="preserve"> leidde de COVID-</w:t>
      </w:r>
      <w:r w:rsidR="001C7D02" w:rsidRPr="001D3039">
        <w:rPr>
          <w:noProof/>
        </w:rPr>
        <w:t>19</w:t>
      </w:r>
      <w:r w:rsidR="001C7D02" w:rsidRPr="00AF241B">
        <w:rPr>
          <w:noProof/>
        </w:rPr>
        <w:t>-pandemie tot een sterke stijging van de omzet van Match</w:t>
      </w:r>
      <w:r w:rsidR="005A1D43">
        <w:rPr>
          <w:noProof/>
        </w:rPr>
        <w:noBreakHyphen/>
      </w:r>
      <w:r w:rsidR="001C7D02" w:rsidRPr="00AF241B">
        <w:rPr>
          <w:noProof/>
        </w:rPr>
        <w:t xml:space="preserve">Smatch, en ook in de detailhandel voor voedingsmiddelen in het algemeen, door de sluiting van de horecasector, de rush om voedsel te kopen enz. Door deze uitzonderlijke situatie kon Match-Smatch een positief nettoresultaat van </w:t>
      </w:r>
      <w:r w:rsidR="001C7D02" w:rsidRPr="001D3039">
        <w:rPr>
          <w:noProof/>
        </w:rPr>
        <w:t>3</w:t>
      </w:r>
      <w:r w:rsidR="001C7D02" w:rsidRPr="00AF241B">
        <w:rPr>
          <w:noProof/>
        </w:rPr>
        <w:t>,</w:t>
      </w:r>
      <w:r w:rsidR="001C7D02" w:rsidRPr="001D3039">
        <w:rPr>
          <w:noProof/>
        </w:rPr>
        <w:t>6</w:t>
      </w:r>
      <w:r w:rsidR="005A1D43">
        <w:rPr>
          <w:noProof/>
        </w:rPr>
        <w:t> </w:t>
      </w:r>
      <w:r w:rsidR="001C7D02" w:rsidRPr="00AF241B">
        <w:rPr>
          <w:noProof/>
        </w:rPr>
        <w:t>miljoen</w:t>
      </w:r>
      <w:r w:rsidR="005A1D43">
        <w:rPr>
          <w:noProof/>
        </w:rPr>
        <w:t> </w:t>
      </w:r>
      <w:r w:rsidR="001C7D02" w:rsidRPr="00AF241B">
        <w:rPr>
          <w:noProof/>
        </w:rPr>
        <w:t xml:space="preserve">EUR behalen. Toen de gezondheidssituatie zich normaliseerde, rapporteerde Match-Smatch in </w:t>
      </w:r>
      <w:r w:rsidR="001C7D02" w:rsidRPr="001D3039">
        <w:rPr>
          <w:noProof/>
        </w:rPr>
        <w:t>2021</w:t>
      </w:r>
      <w:r w:rsidR="001C7D02" w:rsidRPr="00AF241B">
        <w:rPr>
          <w:noProof/>
        </w:rPr>
        <w:t xml:space="preserve"> echter opnieuw een verlies van </w:t>
      </w:r>
      <w:r w:rsidR="001C7D02" w:rsidRPr="001D3039">
        <w:rPr>
          <w:noProof/>
        </w:rPr>
        <w:t>11</w:t>
      </w:r>
      <w:r w:rsidR="001C7D02" w:rsidRPr="00AF241B">
        <w:rPr>
          <w:noProof/>
        </w:rPr>
        <w:t>,</w:t>
      </w:r>
      <w:r w:rsidR="001C7D02" w:rsidRPr="001D3039">
        <w:rPr>
          <w:noProof/>
        </w:rPr>
        <w:t>9</w:t>
      </w:r>
      <w:r w:rsidR="005A1D43">
        <w:rPr>
          <w:noProof/>
        </w:rPr>
        <w:t> </w:t>
      </w:r>
      <w:r w:rsidR="001C7D02" w:rsidRPr="00AF241B">
        <w:rPr>
          <w:noProof/>
        </w:rPr>
        <w:t>miljoen</w:t>
      </w:r>
      <w:r w:rsidR="005A1D43">
        <w:rPr>
          <w:noProof/>
        </w:rPr>
        <w:t> </w:t>
      </w:r>
      <w:r w:rsidR="001C7D02" w:rsidRPr="00AF241B">
        <w:rPr>
          <w:noProof/>
        </w:rPr>
        <w:t>EUR</w:t>
      </w:r>
      <w:r w:rsidR="001C7D02" w:rsidRPr="00AF241B">
        <w:rPr>
          <w:rStyle w:val="FootnoteReference"/>
          <w:noProof/>
        </w:rPr>
        <w:footnoteReference w:id="5"/>
      </w:r>
      <w:r w:rsidR="001C7D02" w:rsidRPr="00AF241B">
        <w:rPr>
          <w:noProof/>
        </w:rPr>
        <w:t>.</w:t>
      </w:r>
    </w:p>
    <w:p w:rsidR="001C7D02" w:rsidRPr="00AF241B" w:rsidRDefault="00CB0C8E" w:rsidP="00CB0C8E">
      <w:pPr>
        <w:pStyle w:val="ManualNumPar1"/>
        <w:rPr>
          <w:noProof/>
        </w:rPr>
      </w:pPr>
      <w:r w:rsidRPr="00CB0C8E">
        <w:rPr>
          <w:noProof/>
        </w:rPr>
        <w:t>13.</w:t>
      </w:r>
      <w:r w:rsidRPr="00CB0C8E">
        <w:rPr>
          <w:noProof/>
        </w:rPr>
        <w:tab/>
      </w:r>
      <w:r w:rsidR="001C7D02" w:rsidRPr="00AF241B">
        <w:rPr>
          <w:noProof/>
        </w:rPr>
        <w:t>In januari</w:t>
      </w:r>
      <w:r w:rsidR="005A1D43">
        <w:rPr>
          <w:noProof/>
        </w:rPr>
        <w:t> </w:t>
      </w:r>
      <w:r w:rsidR="001C7D02" w:rsidRPr="001D3039">
        <w:rPr>
          <w:noProof/>
        </w:rPr>
        <w:t>2022</w:t>
      </w:r>
      <w:r w:rsidR="001C7D02" w:rsidRPr="00AF241B">
        <w:rPr>
          <w:noProof/>
        </w:rPr>
        <w:t xml:space="preserve"> werd een actieplan gelanceerd om de verliezen te beteugelen en de onderneming weer in financieel evenwicht te brengen. De voedselhandel werd echter sterk getroffen door de energie- en inflatiecrisis. Als gevolg daarvan mislukte het actieplan en leed de bruto bedrijfswaarde een historisch verlies van </w:t>
      </w:r>
      <w:r w:rsidR="001C7D02" w:rsidRPr="001D3039">
        <w:rPr>
          <w:noProof/>
        </w:rPr>
        <w:t>36</w:t>
      </w:r>
      <w:r w:rsidR="001C7D02" w:rsidRPr="00AF241B">
        <w:rPr>
          <w:noProof/>
        </w:rPr>
        <w:t>,</w:t>
      </w:r>
      <w:r w:rsidR="001C7D02" w:rsidRPr="001D3039">
        <w:rPr>
          <w:noProof/>
        </w:rPr>
        <w:t>5</w:t>
      </w:r>
      <w:r w:rsidR="005A1D43">
        <w:rPr>
          <w:noProof/>
        </w:rPr>
        <w:t> </w:t>
      </w:r>
      <w:r w:rsidR="001C7D02" w:rsidRPr="00AF241B">
        <w:rPr>
          <w:noProof/>
        </w:rPr>
        <w:t>miljoen</w:t>
      </w:r>
      <w:r w:rsidR="005A1D43">
        <w:rPr>
          <w:noProof/>
        </w:rPr>
        <w:t> </w:t>
      </w:r>
      <w:r w:rsidR="001C7D02" w:rsidRPr="00AF241B">
        <w:rPr>
          <w:noProof/>
        </w:rPr>
        <w:t xml:space="preserve">EUR in </w:t>
      </w:r>
      <w:r w:rsidR="001C7D02" w:rsidRPr="001D3039">
        <w:rPr>
          <w:noProof/>
        </w:rPr>
        <w:t>2022</w:t>
      </w:r>
      <w:r w:rsidR="001C7D02" w:rsidRPr="00AF241B">
        <w:rPr>
          <w:noProof/>
        </w:rPr>
        <w:t xml:space="preserve">, en moesten </w:t>
      </w:r>
      <w:r w:rsidR="001C7D02" w:rsidRPr="001D3039">
        <w:rPr>
          <w:noProof/>
        </w:rPr>
        <w:t>9</w:t>
      </w:r>
      <w:r w:rsidR="005A1D43">
        <w:rPr>
          <w:noProof/>
        </w:rPr>
        <w:t> </w:t>
      </w:r>
      <w:r w:rsidR="001C7D02" w:rsidRPr="00AF241B">
        <w:rPr>
          <w:noProof/>
        </w:rPr>
        <w:t>winkels worden gesloten.</w:t>
      </w:r>
    </w:p>
    <w:p w:rsidR="001C7D02" w:rsidRPr="00AF241B" w:rsidRDefault="00CB0C8E" w:rsidP="00CB0C8E">
      <w:pPr>
        <w:pStyle w:val="ManualNumPar1"/>
        <w:rPr>
          <w:noProof/>
        </w:rPr>
      </w:pPr>
      <w:r w:rsidRPr="00CB0C8E">
        <w:rPr>
          <w:noProof/>
        </w:rPr>
        <w:t>14.</w:t>
      </w:r>
      <w:r w:rsidRPr="00CB0C8E">
        <w:rPr>
          <w:noProof/>
        </w:rPr>
        <w:tab/>
      </w:r>
      <w:r w:rsidR="00513C7E" w:rsidRPr="00AF241B">
        <w:rPr>
          <w:noProof/>
        </w:rPr>
        <w:t xml:space="preserve">Over het geheel genomen kende de Belgische levensmiddelendetailhandel in </w:t>
      </w:r>
      <w:r w:rsidR="00513C7E" w:rsidRPr="001D3039">
        <w:rPr>
          <w:noProof/>
        </w:rPr>
        <w:t>2023</w:t>
      </w:r>
      <w:r w:rsidR="00513C7E" w:rsidRPr="00AF241B">
        <w:rPr>
          <w:noProof/>
        </w:rPr>
        <w:t xml:space="preserve"> een aanzienlijke daling van de omvang van de verkoop. Dit is onder meer te wijten aan grensoverschrijdend winkelen en e-handel. Volgens Comeos, de Belgische vereniging voor handel en diensten, zijn de grensaankopen in Frankrijk in het eerste kwartaal van </w:t>
      </w:r>
      <w:r w:rsidR="00513C7E" w:rsidRPr="001D3039">
        <w:rPr>
          <w:noProof/>
        </w:rPr>
        <w:t>2023</w:t>
      </w:r>
      <w:r w:rsidR="00513C7E" w:rsidRPr="00AF241B">
        <w:rPr>
          <w:noProof/>
        </w:rPr>
        <w:t xml:space="preserve"> met bijna </w:t>
      </w:r>
      <w:r w:rsidR="00513C7E" w:rsidRPr="001D3039">
        <w:rPr>
          <w:noProof/>
        </w:rPr>
        <w:t>70</w:t>
      </w:r>
      <w:r w:rsidR="00513C7E" w:rsidRPr="00AF241B">
        <w:rPr>
          <w:noProof/>
        </w:rPr>
        <w:t xml:space="preserve"> % gestegen ten opzichte van het eerste kwartaal van </w:t>
      </w:r>
      <w:r w:rsidR="00513C7E" w:rsidRPr="001D3039">
        <w:rPr>
          <w:noProof/>
        </w:rPr>
        <w:t>2022</w:t>
      </w:r>
      <w:r w:rsidR="00513C7E" w:rsidRPr="00AF241B">
        <w:rPr>
          <w:rStyle w:val="FootnoteReference"/>
          <w:noProof/>
        </w:rPr>
        <w:footnoteReference w:id="6"/>
      </w:r>
      <w:r w:rsidR="00513C7E" w:rsidRPr="00AF241B">
        <w:rPr>
          <w:noProof/>
        </w:rPr>
        <w:t>.</w:t>
      </w:r>
    </w:p>
    <w:p w:rsidR="001C7D02" w:rsidRPr="00AF241B" w:rsidRDefault="00CB0C8E" w:rsidP="00CB0C8E">
      <w:pPr>
        <w:pStyle w:val="ManualNumPar1"/>
        <w:rPr>
          <w:noProof/>
        </w:rPr>
      </w:pPr>
      <w:r w:rsidRPr="00CB0C8E">
        <w:rPr>
          <w:noProof/>
        </w:rPr>
        <w:t>15.</w:t>
      </w:r>
      <w:r w:rsidRPr="00CB0C8E">
        <w:rPr>
          <w:noProof/>
        </w:rPr>
        <w:tab/>
      </w:r>
      <w:r w:rsidR="001C7D02" w:rsidRPr="00AF241B">
        <w:rPr>
          <w:noProof/>
        </w:rPr>
        <w:t xml:space="preserve">Om een verdere opstapeling van verliezen te voorkomen, aanvaardde Match-Smatch het aanbod van Colruyt Group om </w:t>
      </w:r>
      <w:r w:rsidR="001C7D02" w:rsidRPr="001D3039">
        <w:rPr>
          <w:noProof/>
        </w:rPr>
        <w:t>57</w:t>
      </w:r>
      <w:r w:rsidR="001C7D02" w:rsidRPr="00AF241B">
        <w:rPr>
          <w:noProof/>
        </w:rPr>
        <w:t xml:space="preserve"> van de </w:t>
      </w:r>
      <w:r w:rsidR="001C7D02" w:rsidRPr="001D3039">
        <w:rPr>
          <w:noProof/>
        </w:rPr>
        <w:t>84</w:t>
      </w:r>
      <w:r w:rsidR="005A1D43">
        <w:rPr>
          <w:noProof/>
        </w:rPr>
        <w:t> </w:t>
      </w:r>
      <w:r w:rsidR="001C7D02" w:rsidRPr="00AF241B">
        <w:rPr>
          <w:noProof/>
        </w:rPr>
        <w:t>winkels te verwerven, waarbij ook het personeel van de winkels (</w:t>
      </w:r>
      <w:r w:rsidR="001C7D02" w:rsidRPr="001D3039">
        <w:rPr>
          <w:noProof/>
        </w:rPr>
        <w:t>1</w:t>
      </w:r>
      <w:r w:rsidR="001C7D02" w:rsidRPr="00AF241B">
        <w:rPr>
          <w:noProof/>
        </w:rPr>
        <w:t> </w:t>
      </w:r>
      <w:r w:rsidR="001C7D02" w:rsidRPr="001D3039">
        <w:rPr>
          <w:noProof/>
        </w:rPr>
        <w:t>069</w:t>
      </w:r>
      <w:r w:rsidR="005A1D43">
        <w:rPr>
          <w:noProof/>
        </w:rPr>
        <w:t> </w:t>
      </w:r>
      <w:r w:rsidR="001C7D02" w:rsidRPr="00AF241B">
        <w:rPr>
          <w:noProof/>
        </w:rPr>
        <w:t>personen) werd overgenomen. Nog eens acht winkels gingen naar Carrefour, Delhaize, Intermarché en Delfood.</w:t>
      </w:r>
    </w:p>
    <w:p w:rsidR="00252AC6" w:rsidRPr="00AF241B" w:rsidRDefault="00CB0C8E" w:rsidP="00CB0C8E">
      <w:pPr>
        <w:pStyle w:val="ManualNumPar1"/>
        <w:rPr>
          <w:noProof/>
        </w:rPr>
      </w:pPr>
      <w:r w:rsidRPr="00CB0C8E">
        <w:rPr>
          <w:noProof/>
        </w:rPr>
        <w:t>16.</w:t>
      </w:r>
      <w:r w:rsidRPr="00CB0C8E">
        <w:rPr>
          <w:noProof/>
        </w:rPr>
        <w:tab/>
      </w:r>
      <w:r w:rsidR="001C7D02" w:rsidRPr="00AF241B">
        <w:rPr>
          <w:noProof/>
        </w:rPr>
        <w:t xml:space="preserve">De </w:t>
      </w:r>
      <w:r w:rsidR="001C7D02" w:rsidRPr="001D3039">
        <w:rPr>
          <w:noProof/>
        </w:rPr>
        <w:t>339</w:t>
      </w:r>
      <w:r w:rsidR="005A1D43">
        <w:rPr>
          <w:noProof/>
        </w:rPr>
        <w:t> </w:t>
      </w:r>
      <w:r w:rsidR="001C7D02" w:rsidRPr="00AF241B">
        <w:rPr>
          <w:noProof/>
        </w:rPr>
        <w:t xml:space="preserve">werknemers van de </w:t>
      </w:r>
      <w:r w:rsidR="001C7D02" w:rsidRPr="001D3039">
        <w:rPr>
          <w:noProof/>
        </w:rPr>
        <w:t>19</w:t>
      </w:r>
      <w:r w:rsidR="005A1D43">
        <w:rPr>
          <w:noProof/>
        </w:rPr>
        <w:t> </w:t>
      </w:r>
      <w:r w:rsidR="001C7D02" w:rsidRPr="00AF241B">
        <w:rPr>
          <w:noProof/>
        </w:rPr>
        <w:t xml:space="preserve">winkels waarvoor geen koper kon worden gevonden, en de </w:t>
      </w:r>
      <w:r w:rsidR="001C7D02" w:rsidRPr="001D3039">
        <w:rPr>
          <w:noProof/>
        </w:rPr>
        <w:t>174</w:t>
      </w:r>
      <w:r w:rsidR="005A1D43">
        <w:rPr>
          <w:noProof/>
        </w:rPr>
        <w:t> </w:t>
      </w:r>
      <w:r w:rsidR="001C7D02" w:rsidRPr="00AF241B">
        <w:rPr>
          <w:noProof/>
        </w:rPr>
        <w:t>werknemers van het hoofdkwartier Match-Smatch werden onderworpen aan een collectieve ontslagprocedure.</w:t>
      </w:r>
    </w:p>
    <w:p w:rsidR="00252AC6" w:rsidRPr="00AF241B" w:rsidRDefault="00252AC6" w:rsidP="00252AC6">
      <w:pPr>
        <w:pStyle w:val="ManualHeading3"/>
        <w:tabs>
          <w:tab w:val="clear" w:pos="850"/>
          <w:tab w:val="left" w:pos="0"/>
        </w:tabs>
        <w:ind w:left="0" w:firstLine="0"/>
        <w:rPr>
          <w:noProof/>
        </w:rPr>
      </w:pPr>
      <w:r w:rsidRPr="00AF241B">
        <w:rPr>
          <w:noProof/>
        </w:rPr>
        <w:t>Verwachte effect van de ontslagen op de lokale, regionale of nationale economie en werkgelegenheid</w:t>
      </w:r>
    </w:p>
    <w:p w:rsidR="00607321" w:rsidRPr="00AF241B" w:rsidRDefault="00CB0C8E" w:rsidP="00CB0C8E">
      <w:pPr>
        <w:pStyle w:val="ManualNumPar1"/>
        <w:rPr>
          <w:noProof/>
        </w:rPr>
      </w:pPr>
      <w:r w:rsidRPr="00CB0C8E">
        <w:rPr>
          <w:noProof/>
        </w:rPr>
        <w:t>17.</w:t>
      </w:r>
      <w:r w:rsidRPr="00CB0C8E">
        <w:rPr>
          <w:noProof/>
        </w:rPr>
        <w:tab/>
      </w:r>
      <w:r w:rsidR="00D40096" w:rsidRPr="00AF241B">
        <w:rPr>
          <w:noProof/>
        </w:rPr>
        <w:t xml:space="preserve">De ontslagen bij Match-Smatch vielen in heel België. De territoriale impact van de ontslagen varieert echter als gevolg van de verschillen tussen de Vlaamse en de Waalse arbeidsmarkt en omdat meer dan </w:t>
      </w:r>
      <w:r w:rsidR="00D40096" w:rsidRPr="001D3039">
        <w:rPr>
          <w:noProof/>
        </w:rPr>
        <w:t>70</w:t>
      </w:r>
      <w:r w:rsidR="00D40096" w:rsidRPr="00AF241B">
        <w:rPr>
          <w:noProof/>
        </w:rPr>
        <w:t> % van de ontslagen geconcentreerd is in Wallonië.</w:t>
      </w:r>
    </w:p>
    <w:p w:rsidR="00D40096" w:rsidRPr="00AF241B" w:rsidRDefault="00CB0C8E" w:rsidP="00CB0C8E">
      <w:pPr>
        <w:pStyle w:val="ManualNumPar1"/>
        <w:rPr>
          <w:noProof/>
        </w:rPr>
      </w:pPr>
      <w:r w:rsidRPr="00CB0C8E">
        <w:rPr>
          <w:noProof/>
        </w:rPr>
        <w:t>18.</w:t>
      </w:r>
      <w:r w:rsidRPr="00CB0C8E">
        <w:rPr>
          <w:noProof/>
        </w:rPr>
        <w:tab/>
      </w:r>
      <w:r w:rsidR="00D40096" w:rsidRPr="00AF241B">
        <w:rPr>
          <w:noProof/>
        </w:rPr>
        <w:t xml:space="preserve">In </w:t>
      </w:r>
      <w:r w:rsidR="00D40096" w:rsidRPr="001D3039">
        <w:rPr>
          <w:noProof/>
        </w:rPr>
        <w:t>2023</w:t>
      </w:r>
      <w:r w:rsidR="00D40096" w:rsidRPr="00AF241B">
        <w:rPr>
          <w:noProof/>
        </w:rPr>
        <w:t xml:space="preserve"> bleef het werkloosheidspercentage voor België als geheel op </w:t>
      </w:r>
      <w:r w:rsidR="00D40096" w:rsidRPr="001D3039">
        <w:rPr>
          <w:noProof/>
        </w:rPr>
        <w:t>5</w:t>
      </w:r>
      <w:r w:rsidR="00D40096" w:rsidRPr="00AF241B">
        <w:rPr>
          <w:noProof/>
        </w:rPr>
        <w:t>,</w:t>
      </w:r>
      <w:r w:rsidR="00D40096" w:rsidRPr="001D3039">
        <w:rPr>
          <w:noProof/>
        </w:rPr>
        <w:t>5</w:t>
      </w:r>
      <w:r w:rsidR="00D40096" w:rsidRPr="00AF241B">
        <w:rPr>
          <w:noProof/>
        </w:rPr>
        <w:t xml:space="preserve"> %, hetzelfde niveau als in </w:t>
      </w:r>
      <w:r w:rsidR="00D40096" w:rsidRPr="001D3039">
        <w:rPr>
          <w:noProof/>
        </w:rPr>
        <w:t>2022</w:t>
      </w:r>
      <w:r w:rsidR="00D40096" w:rsidRPr="00AF241B">
        <w:rPr>
          <w:noProof/>
        </w:rPr>
        <w:t xml:space="preserve">. Op gewestelijk niveau is de werkloosheid in Vlaanderen gestegen van </w:t>
      </w:r>
      <w:r w:rsidR="00D40096" w:rsidRPr="001D3039">
        <w:rPr>
          <w:noProof/>
        </w:rPr>
        <w:t>3</w:t>
      </w:r>
      <w:r w:rsidR="00D40096" w:rsidRPr="00AF241B">
        <w:rPr>
          <w:noProof/>
        </w:rPr>
        <w:t>,</w:t>
      </w:r>
      <w:r w:rsidR="00D40096" w:rsidRPr="001D3039">
        <w:rPr>
          <w:noProof/>
        </w:rPr>
        <w:t>2</w:t>
      </w:r>
      <w:r w:rsidR="00D40096" w:rsidRPr="00AF241B">
        <w:rPr>
          <w:noProof/>
        </w:rPr>
        <w:t xml:space="preserve"> % tot </w:t>
      </w:r>
      <w:r w:rsidR="00D40096" w:rsidRPr="001D3039">
        <w:rPr>
          <w:noProof/>
        </w:rPr>
        <w:t>3</w:t>
      </w:r>
      <w:r w:rsidR="00D40096" w:rsidRPr="00AF241B">
        <w:rPr>
          <w:noProof/>
        </w:rPr>
        <w:t>,</w:t>
      </w:r>
      <w:r w:rsidR="00D40096" w:rsidRPr="001D3039">
        <w:rPr>
          <w:noProof/>
        </w:rPr>
        <w:t>4</w:t>
      </w:r>
      <w:r w:rsidR="00D40096" w:rsidRPr="00AF241B">
        <w:rPr>
          <w:noProof/>
        </w:rPr>
        <w:t xml:space="preserve"> % en in Wallonië gedaald van </w:t>
      </w:r>
      <w:r w:rsidR="00D40096" w:rsidRPr="001D3039">
        <w:rPr>
          <w:noProof/>
        </w:rPr>
        <w:t>8</w:t>
      </w:r>
      <w:r w:rsidR="00D40096" w:rsidRPr="00AF241B">
        <w:rPr>
          <w:noProof/>
        </w:rPr>
        <w:t>,</w:t>
      </w:r>
      <w:r w:rsidR="00D40096" w:rsidRPr="001D3039">
        <w:rPr>
          <w:noProof/>
        </w:rPr>
        <w:t>4</w:t>
      </w:r>
      <w:r w:rsidR="00D40096" w:rsidRPr="00AF241B">
        <w:rPr>
          <w:noProof/>
        </w:rPr>
        <w:t xml:space="preserve"> % tot </w:t>
      </w:r>
      <w:r w:rsidR="00D40096" w:rsidRPr="001D3039">
        <w:rPr>
          <w:noProof/>
        </w:rPr>
        <w:t>8</w:t>
      </w:r>
      <w:r w:rsidR="00D40096" w:rsidRPr="00AF241B">
        <w:rPr>
          <w:noProof/>
        </w:rPr>
        <w:t>,</w:t>
      </w:r>
      <w:r w:rsidR="00D40096" w:rsidRPr="001D3039">
        <w:rPr>
          <w:noProof/>
        </w:rPr>
        <w:t>2</w:t>
      </w:r>
      <w:r w:rsidR="00D40096" w:rsidRPr="00AF241B">
        <w:rPr>
          <w:noProof/>
        </w:rPr>
        <w:t xml:space="preserve"> %. Het verschil van ongeveer </w:t>
      </w:r>
      <w:r w:rsidR="00D40096" w:rsidRPr="001D3039">
        <w:rPr>
          <w:noProof/>
        </w:rPr>
        <w:t>5</w:t>
      </w:r>
      <w:r w:rsidR="005A1D43">
        <w:rPr>
          <w:noProof/>
        </w:rPr>
        <w:t> </w:t>
      </w:r>
      <w:r w:rsidR="00D40096" w:rsidRPr="00AF241B">
        <w:rPr>
          <w:noProof/>
        </w:rPr>
        <w:t>procentpunt (pp) in het werkloosheidspercentage blijft echter bestaan</w:t>
      </w:r>
      <w:r w:rsidR="00D40096" w:rsidRPr="00AF241B">
        <w:rPr>
          <w:rStyle w:val="FootnoteReference"/>
          <w:noProof/>
        </w:rPr>
        <w:footnoteReference w:id="7"/>
      </w:r>
      <w:r w:rsidR="00D40096" w:rsidRPr="00AF241B">
        <w:rPr>
          <w:noProof/>
        </w:rPr>
        <w:t>.</w:t>
      </w:r>
    </w:p>
    <w:p w:rsidR="00D40096" w:rsidRPr="00AF241B" w:rsidRDefault="00CB0C8E" w:rsidP="00CB0C8E">
      <w:pPr>
        <w:pStyle w:val="ManualNumPar1"/>
        <w:rPr>
          <w:noProof/>
        </w:rPr>
      </w:pPr>
      <w:r w:rsidRPr="00CB0C8E">
        <w:rPr>
          <w:noProof/>
        </w:rPr>
        <w:t>19.</w:t>
      </w:r>
      <w:r w:rsidRPr="00CB0C8E">
        <w:rPr>
          <w:noProof/>
        </w:rPr>
        <w:tab/>
      </w:r>
      <w:r w:rsidR="00D40096" w:rsidRPr="00AF241B">
        <w:rPr>
          <w:noProof/>
        </w:rPr>
        <w:t xml:space="preserve">In het laatste kwartaal van </w:t>
      </w:r>
      <w:r w:rsidR="00D40096" w:rsidRPr="001D3039">
        <w:rPr>
          <w:noProof/>
        </w:rPr>
        <w:t>2023</w:t>
      </w:r>
      <w:r w:rsidR="00D40096" w:rsidRPr="00AF241B">
        <w:rPr>
          <w:noProof/>
        </w:rPr>
        <w:t xml:space="preserve"> bedroeg de arbeidsparticipatie in Vlaanderen </w:t>
      </w:r>
      <w:r w:rsidR="00D40096" w:rsidRPr="001D3039">
        <w:rPr>
          <w:noProof/>
        </w:rPr>
        <w:t>77</w:t>
      </w:r>
      <w:r w:rsidR="00D40096" w:rsidRPr="00AF241B">
        <w:rPr>
          <w:noProof/>
        </w:rPr>
        <w:t>,</w:t>
      </w:r>
      <w:r w:rsidR="00D40096" w:rsidRPr="001D3039">
        <w:rPr>
          <w:noProof/>
        </w:rPr>
        <w:t>0</w:t>
      </w:r>
      <w:r w:rsidR="00D40096" w:rsidRPr="00AF241B">
        <w:rPr>
          <w:noProof/>
        </w:rPr>
        <w:t> %</w:t>
      </w:r>
      <w:r w:rsidR="00D40096" w:rsidRPr="00AF241B">
        <w:rPr>
          <w:rStyle w:val="FootnoteReference"/>
          <w:noProof/>
        </w:rPr>
        <w:footnoteReference w:id="8"/>
      </w:r>
      <w:r w:rsidR="00D40096" w:rsidRPr="00AF241B">
        <w:rPr>
          <w:noProof/>
        </w:rPr>
        <w:t xml:space="preserve">, dus </w:t>
      </w:r>
      <w:r w:rsidR="00D40096" w:rsidRPr="001D3039">
        <w:rPr>
          <w:noProof/>
        </w:rPr>
        <w:t>1</w:t>
      </w:r>
      <w:r w:rsidR="00D40096" w:rsidRPr="00AF241B">
        <w:rPr>
          <w:noProof/>
        </w:rPr>
        <w:t>,</w:t>
      </w:r>
      <w:r w:rsidR="00D40096" w:rsidRPr="001D3039">
        <w:rPr>
          <w:noProof/>
        </w:rPr>
        <w:t>5</w:t>
      </w:r>
      <w:r w:rsidR="005A1D43">
        <w:rPr>
          <w:noProof/>
        </w:rPr>
        <w:t> </w:t>
      </w:r>
      <w:r w:rsidR="00D40096" w:rsidRPr="00AF241B">
        <w:rPr>
          <w:noProof/>
        </w:rPr>
        <w:t>procentpunt boven het EU</w:t>
      </w:r>
      <w:r w:rsidR="005A1D43">
        <w:rPr>
          <w:noProof/>
        </w:rPr>
        <w:noBreakHyphen/>
      </w:r>
      <w:r w:rsidR="00D40096" w:rsidRPr="00AF241B">
        <w:rPr>
          <w:noProof/>
        </w:rPr>
        <w:t xml:space="preserve">gemiddelde van </w:t>
      </w:r>
      <w:r w:rsidR="00D40096" w:rsidRPr="001D3039">
        <w:rPr>
          <w:noProof/>
        </w:rPr>
        <w:t>75</w:t>
      </w:r>
      <w:r w:rsidR="00D40096" w:rsidRPr="00AF241B">
        <w:rPr>
          <w:noProof/>
        </w:rPr>
        <w:t>,</w:t>
      </w:r>
      <w:r w:rsidR="00D40096" w:rsidRPr="001D3039">
        <w:rPr>
          <w:noProof/>
        </w:rPr>
        <w:t>5</w:t>
      </w:r>
      <w:r w:rsidR="00D40096" w:rsidRPr="00AF241B">
        <w:rPr>
          <w:noProof/>
        </w:rPr>
        <w:t> %</w:t>
      </w:r>
      <w:r w:rsidR="00D40096" w:rsidRPr="00AF241B">
        <w:rPr>
          <w:rStyle w:val="FootnoteReference"/>
          <w:noProof/>
        </w:rPr>
        <w:footnoteReference w:id="9"/>
      </w:r>
      <w:r w:rsidR="00D40096" w:rsidRPr="00AF241B">
        <w:rPr>
          <w:noProof/>
        </w:rPr>
        <w:t>, terwijl de arbeidsparticipatie in Wallonië (</w:t>
      </w:r>
      <w:r w:rsidR="00D40096" w:rsidRPr="001D3039">
        <w:rPr>
          <w:noProof/>
        </w:rPr>
        <w:t>66</w:t>
      </w:r>
      <w:r w:rsidR="00D40096" w:rsidRPr="00AF241B">
        <w:rPr>
          <w:noProof/>
        </w:rPr>
        <w:t>,</w:t>
      </w:r>
      <w:r w:rsidR="00D40096" w:rsidRPr="001D3039">
        <w:rPr>
          <w:noProof/>
        </w:rPr>
        <w:t>7</w:t>
      </w:r>
      <w:r w:rsidR="00D40096" w:rsidRPr="00AF241B">
        <w:rPr>
          <w:noProof/>
        </w:rPr>
        <w:t xml:space="preserve"> %) </w:t>
      </w:r>
      <w:r w:rsidR="00D40096" w:rsidRPr="001D3039">
        <w:rPr>
          <w:noProof/>
        </w:rPr>
        <w:t>10</w:t>
      </w:r>
      <w:r w:rsidR="00D40096" w:rsidRPr="00AF241B">
        <w:rPr>
          <w:noProof/>
        </w:rPr>
        <w:t>,</w:t>
      </w:r>
      <w:r w:rsidR="00D40096" w:rsidRPr="001D3039">
        <w:rPr>
          <w:noProof/>
        </w:rPr>
        <w:t>3</w:t>
      </w:r>
      <w:r w:rsidR="005A1D43">
        <w:rPr>
          <w:noProof/>
        </w:rPr>
        <w:t> </w:t>
      </w:r>
      <w:r w:rsidR="00D40096" w:rsidRPr="00AF241B">
        <w:rPr>
          <w:noProof/>
        </w:rPr>
        <w:t xml:space="preserve">procentpunt lager lag dan in Vlaanderen en ongeveer </w:t>
      </w:r>
      <w:r w:rsidR="00D40096" w:rsidRPr="001D3039">
        <w:rPr>
          <w:noProof/>
        </w:rPr>
        <w:t>9</w:t>
      </w:r>
      <w:r w:rsidR="005A1D43">
        <w:rPr>
          <w:noProof/>
        </w:rPr>
        <w:t> </w:t>
      </w:r>
      <w:r w:rsidR="00D40096" w:rsidRPr="00AF241B">
        <w:rPr>
          <w:noProof/>
        </w:rPr>
        <w:t>procentpunt lager dan het EU-gemiddelde</w:t>
      </w:r>
      <w:r w:rsidR="00D40096" w:rsidRPr="00AF241B">
        <w:rPr>
          <w:rStyle w:val="FootnoteReference"/>
          <w:noProof/>
        </w:rPr>
        <w:footnoteReference w:id="10"/>
      </w:r>
      <w:r w:rsidR="00D40096" w:rsidRPr="00AF241B">
        <w:rPr>
          <w:noProof/>
        </w:rPr>
        <w:t>.</w:t>
      </w:r>
    </w:p>
    <w:p w:rsidR="00D40096" w:rsidRPr="00AF241B" w:rsidRDefault="00CB0C8E" w:rsidP="00CB0C8E">
      <w:pPr>
        <w:pStyle w:val="ManualNumPar1"/>
        <w:rPr>
          <w:noProof/>
        </w:rPr>
      </w:pPr>
      <w:r w:rsidRPr="00CB0C8E">
        <w:rPr>
          <w:noProof/>
        </w:rPr>
        <w:t>20.</w:t>
      </w:r>
      <w:r w:rsidRPr="00CB0C8E">
        <w:rPr>
          <w:noProof/>
        </w:rPr>
        <w:tab/>
      </w:r>
      <w:r w:rsidR="00D40096" w:rsidRPr="00AF241B">
        <w:rPr>
          <w:noProof/>
        </w:rPr>
        <w:t xml:space="preserve">Oudere werknemers ondervinden meer moeite om werk te vinden. In het laatste kwartaal van </w:t>
      </w:r>
      <w:r w:rsidR="00D40096" w:rsidRPr="001D3039">
        <w:rPr>
          <w:noProof/>
        </w:rPr>
        <w:t>2023</w:t>
      </w:r>
      <w:r w:rsidR="00D40096" w:rsidRPr="00AF241B">
        <w:rPr>
          <w:noProof/>
        </w:rPr>
        <w:t xml:space="preserve"> was er op nationaal niveau een verschil van </w:t>
      </w:r>
      <w:r w:rsidR="00D40096" w:rsidRPr="001D3039">
        <w:rPr>
          <w:noProof/>
        </w:rPr>
        <w:t>18</w:t>
      </w:r>
      <w:r w:rsidR="00D40096" w:rsidRPr="00AF241B">
        <w:rPr>
          <w:noProof/>
        </w:rPr>
        <w:t>,</w:t>
      </w:r>
      <w:r w:rsidR="00D40096" w:rsidRPr="001D3039">
        <w:rPr>
          <w:noProof/>
        </w:rPr>
        <w:t>3</w:t>
      </w:r>
      <w:r w:rsidR="005A1D43">
        <w:rPr>
          <w:noProof/>
        </w:rPr>
        <w:t> </w:t>
      </w:r>
      <w:r w:rsidR="00D40096" w:rsidRPr="00AF241B">
        <w:rPr>
          <w:noProof/>
        </w:rPr>
        <w:t xml:space="preserve">procentpunten tussen de arbeidsparticipatie van de leeftijdsgroep </w:t>
      </w:r>
      <w:r w:rsidR="00D40096" w:rsidRPr="001D3039">
        <w:rPr>
          <w:noProof/>
        </w:rPr>
        <w:t>20</w:t>
      </w:r>
      <w:r w:rsidR="00D40096" w:rsidRPr="00AF241B">
        <w:rPr>
          <w:noProof/>
        </w:rPr>
        <w:t>-</w:t>
      </w:r>
      <w:r w:rsidR="00D40096" w:rsidRPr="001D3039">
        <w:rPr>
          <w:noProof/>
        </w:rPr>
        <w:t>54</w:t>
      </w:r>
      <w:r w:rsidR="005A1D43">
        <w:rPr>
          <w:noProof/>
        </w:rPr>
        <w:t> </w:t>
      </w:r>
      <w:r w:rsidR="00D40096" w:rsidRPr="00AF241B">
        <w:rPr>
          <w:noProof/>
        </w:rPr>
        <w:t>jaar (</w:t>
      </w:r>
      <w:r w:rsidR="00D40096" w:rsidRPr="001D3039">
        <w:rPr>
          <w:noProof/>
        </w:rPr>
        <w:t>76</w:t>
      </w:r>
      <w:r w:rsidR="00D40096" w:rsidRPr="00AF241B">
        <w:rPr>
          <w:noProof/>
        </w:rPr>
        <w:t>,</w:t>
      </w:r>
      <w:r w:rsidR="00D40096" w:rsidRPr="001D3039">
        <w:rPr>
          <w:noProof/>
        </w:rPr>
        <w:t>8</w:t>
      </w:r>
      <w:r w:rsidR="00D40096" w:rsidRPr="00AF241B">
        <w:rPr>
          <w:noProof/>
        </w:rPr>
        <w:t> %) en de arbeidsparticipatie van de leeftijdsgroep</w:t>
      </w:r>
      <w:r w:rsidR="005A1D43">
        <w:rPr>
          <w:noProof/>
        </w:rPr>
        <w:t> </w:t>
      </w:r>
      <w:r w:rsidR="00D40096" w:rsidRPr="001D3039">
        <w:rPr>
          <w:noProof/>
        </w:rPr>
        <w:t>55</w:t>
      </w:r>
      <w:r w:rsidR="00D40096" w:rsidRPr="00AF241B">
        <w:rPr>
          <w:noProof/>
        </w:rPr>
        <w:t>+ (</w:t>
      </w:r>
      <w:r w:rsidR="00D40096" w:rsidRPr="001D3039">
        <w:rPr>
          <w:noProof/>
        </w:rPr>
        <w:t>58</w:t>
      </w:r>
      <w:r w:rsidR="00D40096" w:rsidRPr="00AF241B">
        <w:rPr>
          <w:noProof/>
        </w:rPr>
        <w:t>,</w:t>
      </w:r>
      <w:r w:rsidR="00D40096" w:rsidRPr="001D3039">
        <w:rPr>
          <w:noProof/>
        </w:rPr>
        <w:t>5</w:t>
      </w:r>
      <w:r w:rsidR="00D40096" w:rsidRPr="00AF241B">
        <w:rPr>
          <w:noProof/>
        </w:rPr>
        <w:t> %)</w:t>
      </w:r>
      <w:r w:rsidR="00D40096" w:rsidRPr="00AF241B">
        <w:rPr>
          <w:rStyle w:val="FootnoteReference"/>
          <w:noProof/>
        </w:rPr>
        <w:footnoteReference w:id="11"/>
      </w:r>
      <w:r w:rsidR="00D40096" w:rsidRPr="00AF241B">
        <w:rPr>
          <w:noProof/>
        </w:rPr>
        <w:t>. Op de Waalse arbeidsmarkt waren de geregistreerde werkzoekenden van vijftig jaar of ouder in maart</w:t>
      </w:r>
      <w:r w:rsidR="005A1D43">
        <w:rPr>
          <w:noProof/>
        </w:rPr>
        <w:t> </w:t>
      </w:r>
      <w:r w:rsidR="00D40096" w:rsidRPr="001D3039">
        <w:rPr>
          <w:noProof/>
        </w:rPr>
        <w:t>2024</w:t>
      </w:r>
      <w:r w:rsidR="00D40096" w:rsidRPr="00AF241B">
        <w:rPr>
          <w:noProof/>
        </w:rPr>
        <w:t xml:space="preserve"> goed voor </w:t>
      </w:r>
      <w:r w:rsidR="00D40096" w:rsidRPr="001D3039">
        <w:rPr>
          <w:noProof/>
        </w:rPr>
        <w:t>25</w:t>
      </w:r>
      <w:r w:rsidR="00D40096" w:rsidRPr="00AF241B">
        <w:rPr>
          <w:noProof/>
        </w:rPr>
        <w:t> % van het totaal aantal werkzoekenden</w:t>
      </w:r>
      <w:r w:rsidR="00D40096" w:rsidRPr="00AF241B">
        <w:rPr>
          <w:rStyle w:val="FootnoteReference"/>
          <w:noProof/>
        </w:rPr>
        <w:footnoteReference w:id="12"/>
      </w:r>
      <w:r w:rsidR="00D40096" w:rsidRPr="00AF241B">
        <w:rPr>
          <w:noProof/>
        </w:rPr>
        <w:t>. Ongeveer de helft van de ontslagen werknemers (</w:t>
      </w:r>
      <w:r w:rsidR="00D40096" w:rsidRPr="001D3039">
        <w:rPr>
          <w:noProof/>
        </w:rPr>
        <w:t>46</w:t>
      </w:r>
      <w:r w:rsidR="00D40096" w:rsidRPr="00AF241B">
        <w:rPr>
          <w:noProof/>
        </w:rPr>
        <w:t> %) van Match-Smatch is vijftig jaar of ouder.</w:t>
      </w:r>
    </w:p>
    <w:p w:rsidR="00824671" w:rsidRPr="00AF241B" w:rsidRDefault="00CB0C8E" w:rsidP="00CB0C8E">
      <w:pPr>
        <w:pStyle w:val="ManualNumPar1"/>
        <w:rPr>
          <w:noProof/>
        </w:rPr>
      </w:pPr>
      <w:r w:rsidRPr="00CB0C8E">
        <w:rPr>
          <w:noProof/>
        </w:rPr>
        <w:t>21.</w:t>
      </w:r>
      <w:r w:rsidRPr="00CB0C8E">
        <w:rPr>
          <w:noProof/>
        </w:rPr>
        <w:tab/>
      </w:r>
      <w:r w:rsidR="00006E8C" w:rsidRPr="00AF241B">
        <w:rPr>
          <w:noProof/>
        </w:rPr>
        <w:t>De werknemers bij Match-Smatch zijn hoofdzakelijk kassiers en magazijnmedewerkers. De economische crisis als gevolg van de COVID-</w:t>
      </w:r>
      <w:r w:rsidR="00006E8C" w:rsidRPr="001D3039">
        <w:rPr>
          <w:noProof/>
        </w:rPr>
        <w:t>19</w:t>
      </w:r>
      <w:r w:rsidR="00006E8C" w:rsidRPr="00AF241B">
        <w:rPr>
          <w:noProof/>
        </w:rPr>
        <w:t>-pandemie heeft de vraag naar meer gekwalificeerde werknemers op de Belgische arbeidsmarkt</w:t>
      </w:r>
      <w:r w:rsidR="00006E8C" w:rsidRPr="00AF241B">
        <w:rPr>
          <w:rStyle w:val="FootnoteReference"/>
          <w:noProof/>
        </w:rPr>
        <w:footnoteReference w:id="13"/>
      </w:r>
      <w:r w:rsidR="00006E8C" w:rsidRPr="00AF241B">
        <w:rPr>
          <w:noProof/>
        </w:rPr>
        <w:t xml:space="preserve"> versneld, waardoor het voor de voormalige werknemers van Match-Smatch moeilijker wordt om weer aan het werk te gaan.</w:t>
      </w:r>
    </w:p>
    <w:p w:rsidR="00252AC6" w:rsidRPr="00AF241B" w:rsidRDefault="00CB0C8E" w:rsidP="00CB0C8E">
      <w:pPr>
        <w:pStyle w:val="ManualNumPar1"/>
        <w:rPr>
          <w:noProof/>
        </w:rPr>
      </w:pPr>
      <w:r w:rsidRPr="00CB0C8E">
        <w:rPr>
          <w:noProof/>
        </w:rPr>
        <w:t>22.</w:t>
      </w:r>
      <w:r w:rsidRPr="00CB0C8E">
        <w:rPr>
          <w:noProof/>
        </w:rPr>
        <w:tab/>
      </w:r>
      <w:r w:rsidR="008E5881" w:rsidRPr="00AF241B">
        <w:rPr>
          <w:noProof/>
        </w:rPr>
        <w:t>België heeft uitsluitend medefinanciering uit het EFG aangevraagd ter ondersteuning van voormalige werknemers van Match-Smatch die in Wallonië wonen. De Vlaamse gewestelijke autoriteiten zijn van mening dat, gezien de situatie op de regionale arbeidsmarkt, de steun voor voormalige werknemers van Match-Smatch die in Vlaanderen wonen, niet hoeft te worden aangevuld met EU-medefinanciering uit het EFG.</w:t>
      </w:r>
    </w:p>
    <w:p w:rsidR="00CE3812" w:rsidRPr="00AF241B" w:rsidRDefault="00CE3812" w:rsidP="00CE3812">
      <w:pPr>
        <w:pStyle w:val="ManualHeading2"/>
        <w:rPr>
          <w:noProof/>
        </w:rPr>
      </w:pPr>
      <w:r w:rsidRPr="00AF241B">
        <w:rPr>
          <w:noProof/>
        </w:rPr>
        <w:t>Toepassing van het EU-kwaliteitskader voor anticipatie op veranderingen en herstructurering</w:t>
      </w:r>
    </w:p>
    <w:p w:rsidR="00A515C9" w:rsidRPr="00AF241B" w:rsidRDefault="00CB0C8E" w:rsidP="00CB0C8E">
      <w:pPr>
        <w:pStyle w:val="ManualNumPar1"/>
        <w:rPr>
          <w:noProof/>
        </w:rPr>
      </w:pPr>
      <w:r w:rsidRPr="00CB0C8E">
        <w:rPr>
          <w:noProof/>
        </w:rPr>
        <w:t>23.</w:t>
      </w:r>
      <w:r w:rsidRPr="00CB0C8E">
        <w:rPr>
          <w:noProof/>
        </w:rPr>
        <w:tab/>
      </w:r>
      <w:r w:rsidR="00A515C9" w:rsidRPr="00AF241B">
        <w:rPr>
          <w:noProof/>
        </w:rPr>
        <w:t>België heeft beschreven hoe rekening is gehouden met de aanbevelingen in het EU</w:t>
      </w:r>
      <w:r w:rsidR="005A1D43">
        <w:rPr>
          <w:noProof/>
        </w:rPr>
        <w:noBreakHyphen/>
      </w:r>
      <w:r w:rsidR="00A515C9" w:rsidRPr="00AF241B">
        <w:rPr>
          <w:noProof/>
        </w:rPr>
        <w:t>kwaliteitskader voor anticipatie op veranderingen en herstructurering</w:t>
      </w:r>
      <w:r w:rsidR="00A515C9" w:rsidRPr="00AF241B">
        <w:rPr>
          <w:rStyle w:val="FootnoteReference"/>
          <w:noProof/>
        </w:rPr>
        <w:footnoteReference w:id="14"/>
      </w:r>
      <w:r w:rsidR="00A515C9" w:rsidRPr="00AF241B">
        <w:rPr>
          <w:noProof/>
        </w:rPr>
        <w:t>.</w:t>
      </w:r>
    </w:p>
    <w:p w:rsidR="00812C24" w:rsidRPr="00AF241B" w:rsidRDefault="00CB0C8E" w:rsidP="00CB0C8E">
      <w:pPr>
        <w:pStyle w:val="ManualNumPar1"/>
        <w:rPr>
          <w:noProof/>
        </w:rPr>
      </w:pPr>
      <w:r w:rsidRPr="00CB0C8E">
        <w:rPr>
          <w:noProof/>
        </w:rPr>
        <w:t>24.</w:t>
      </w:r>
      <w:r w:rsidRPr="00CB0C8E">
        <w:rPr>
          <w:noProof/>
        </w:rPr>
        <w:tab/>
      </w:r>
      <w:r w:rsidR="00812C24" w:rsidRPr="00AF241B">
        <w:rPr>
          <w:noProof/>
        </w:rPr>
        <w:t xml:space="preserve">Match-Smatch heeft zich gehouden aan de Belgische wetgeving inzake collectief ontslag, die voorziet in een verplichte procedure voor het informeren van en overleggen met de werknemersvertegenwoordigers. Die procedure biedt de mogelijkheid na te gaan of het aantal ontslagen kan worden vermeden of verminderd. Zij beoogt ook de gevolgen van banenverlies te verzachten door middel van aanvullende sociale maatregelen, zoals steun voor re-integratie of omscholing van ontslagen werknemers. Dankzij de onderhandelingen was er een specifiek budget van </w:t>
      </w:r>
      <w:bookmarkStart w:id="10" w:name="_Hlk168668396"/>
      <w:r w:rsidR="00812C24" w:rsidRPr="001D3039">
        <w:rPr>
          <w:noProof/>
        </w:rPr>
        <w:t>533</w:t>
      </w:r>
      <w:r w:rsidR="00812C24" w:rsidRPr="00AF241B">
        <w:rPr>
          <w:noProof/>
        </w:rPr>
        <w:t> </w:t>
      </w:r>
      <w:r w:rsidR="00812C24" w:rsidRPr="001D3039">
        <w:rPr>
          <w:noProof/>
        </w:rPr>
        <w:t>500</w:t>
      </w:r>
      <w:r w:rsidR="00812C24" w:rsidRPr="00AF241B">
        <w:rPr>
          <w:noProof/>
        </w:rPr>
        <w:t> EUR per werknemer beschikbaar voor omscholing.</w:t>
      </w:r>
    </w:p>
    <w:bookmarkEnd w:id="10"/>
    <w:p w:rsidR="00A515C9" w:rsidRPr="00AF241B" w:rsidRDefault="00CB0C8E" w:rsidP="00CB0C8E">
      <w:pPr>
        <w:pStyle w:val="ManualNumPar1"/>
        <w:rPr>
          <w:noProof/>
        </w:rPr>
      </w:pPr>
      <w:r w:rsidRPr="00CB0C8E">
        <w:rPr>
          <w:noProof/>
        </w:rPr>
        <w:t>25.</w:t>
      </w:r>
      <w:r w:rsidRPr="00CB0C8E">
        <w:rPr>
          <w:noProof/>
        </w:rPr>
        <w:tab/>
      </w:r>
      <w:r w:rsidR="00A515C9" w:rsidRPr="00AF241B">
        <w:rPr>
          <w:noProof/>
        </w:rPr>
        <w:t>België heeft gemeld dat de nationale arbeidswet</w:t>
      </w:r>
      <w:r w:rsidR="00A515C9" w:rsidRPr="00AF241B">
        <w:rPr>
          <w:rStyle w:val="FootnoteReference"/>
          <w:noProof/>
        </w:rPr>
        <w:footnoteReference w:id="15"/>
      </w:r>
      <w:r w:rsidR="00A515C9" w:rsidRPr="00AF241B">
        <w:rPr>
          <w:noProof/>
        </w:rPr>
        <w:t xml:space="preserve"> inzake het activerend beleid bij herstructureringen vereist dat ondernemingen die een herstructurering ondergaan, een tewerkstellingscel oprichten (</w:t>
      </w:r>
      <w:r w:rsidR="00A515C9" w:rsidRPr="00AF241B">
        <w:rPr>
          <w:i/>
          <w:noProof/>
        </w:rPr>
        <w:t>cellule pour l’emploi</w:t>
      </w:r>
      <w:r w:rsidR="00A515C9" w:rsidRPr="00AF241B">
        <w:rPr>
          <w:noProof/>
        </w:rPr>
        <w:t>)</w:t>
      </w:r>
      <w:r w:rsidR="00A515C9" w:rsidRPr="00AF241B">
        <w:rPr>
          <w:rStyle w:val="FootnoteReference"/>
          <w:noProof/>
        </w:rPr>
        <w:footnoteReference w:id="16"/>
      </w:r>
      <w:r w:rsidR="00A515C9" w:rsidRPr="00AF241B">
        <w:rPr>
          <w:noProof/>
        </w:rPr>
        <w:t xml:space="preserve">, die tot doel heeft werknemers die in het kader van collectief ontslag zijn ontslagen, binnen een periode van drie maanden dertig uur outplacementdiensten te bieden (zestig uur in zes maanden voor werknemers van </w:t>
      </w:r>
      <w:r w:rsidR="00A515C9" w:rsidRPr="001D3039">
        <w:rPr>
          <w:noProof/>
        </w:rPr>
        <w:t>45</w:t>
      </w:r>
      <w:r w:rsidR="005A1D43">
        <w:rPr>
          <w:noProof/>
        </w:rPr>
        <w:t> </w:t>
      </w:r>
      <w:r w:rsidR="00A515C9" w:rsidRPr="00AF241B">
        <w:rPr>
          <w:noProof/>
        </w:rPr>
        <w:t>jaar en ouder).</w:t>
      </w:r>
    </w:p>
    <w:p w:rsidR="00CE3812" w:rsidRPr="00AF241B" w:rsidRDefault="00CB0C8E" w:rsidP="00CB0C8E">
      <w:pPr>
        <w:pStyle w:val="ManualNumPar1"/>
        <w:rPr>
          <w:noProof/>
        </w:rPr>
      </w:pPr>
      <w:r w:rsidRPr="00CB0C8E">
        <w:rPr>
          <w:noProof/>
        </w:rPr>
        <w:t>26.</w:t>
      </w:r>
      <w:r w:rsidRPr="00CB0C8E">
        <w:rPr>
          <w:noProof/>
        </w:rPr>
        <w:tab/>
      </w:r>
      <w:r w:rsidR="00A515C9" w:rsidRPr="00AF241B">
        <w:rPr>
          <w:noProof/>
        </w:rPr>
        <w:t>De Waalse gewestelijke wetgeving</w:t>
      </w:r>
      <w:r w:rsidR="00A515C9" w:rsidRPr="00AF241B">
        <w:rPr>
          <w:rStyle w:val="FootnoteReference"/>
          <w:noProof/>
        </w:rPr>
        <w:footnoteReference w:id="17"/>
      </w:r>
      <w:r w:rsidR="00A515C9" w:rsidRPr="00AF241B">
        <w:rPr>
          <w:noProof/>
        </w:rPr>
        <w:t xml:space="preserve"> voorziet in specifieke steun voor ontslagen werknemers in de vorm van de oprichting van een omschakelingscel (</w:t>
      </w:r>
      <w:r w:rsidR="00A515C9" w:rsidRPr="00AF241B">
        <w:rPr>
          <w:i/>
          <w:noProof/>
        </w:rPr>
        <w:t>cellule de reconversion</w:t>
      </w:r>
      <w:r w:rsidR="00A515C9" w:rsidRPr="00AF241B">
        <w:rPr>
          <w:noProof/>
        </w:rPr>
        <w:t>)</w:t>
      </w:r>
      <w:r w:rsidR="00A515C9" w:rsidRPr="00AF241B">
        <w:rPr>
          <w:rStyle w:val="FootnoteReference"/>
          <w:noProof/>
        </w:rPr>
        <w:footnoteReference w:id="18"/>
      </w:r>
      <w:r w:rsidR="00A515C9" w:rsidRPr="00AF241B">
        <w:rPr>
          <w:noProof/>
        </w:rPr>
        <w:t xml:space="preserve"> door de regionale openbare dienst voor beroepsopleiding en arbeidsbemiddeling (Le Forem), op verzoek van werknemersorganisaties. Noch de werkgever, noch Le Forem zijn verplicht een omschakelingscel op te richten. De uitvoering van de door het EFG medegefinancierde maatregelen zal worden beheerd via een dergelijke omschakelingscel.</w:t>
      </w:r>
    </w:p>
    <w:p w:rsidR="00AE1620" w:rsidRPr="00AF241B" w:rsidRDefault="00CB0C8E" w:rsidP="00CB0C8E">
      <w:pPr>
        <w:pStyle w:val="ManualNumPar1"/>
        <w:rPr>
          <w:noProof/>
        </w:rPr>
      </w:pPr>
      <w:r w:rsidRPr="00CB0C8E">
        <w:rPr>
          <w:noProof/>
        </w:rPr>
        <w:t>27.</w:t>
      </w:r>
      <w:r w:rsidRPr="00CB0C8E">
        <w:rPr>
          <w:noProof/>
        </w:rPr>
        <w:tab/>
      </w:r>
      <w:r w:rsidR="00570056" w:rsidRPr="00AF241B">
        <w:rPr>
          <w:noProof/>
        </w:rPr>
        <w:t xml:space="preserve">België heeft gemeld dat de omschakelingscel op </w:t>
      </w:r>
      <w:r w:rsidR="00570056" w:rsidRPr="001D3039">
        <w:rPr>
          <w:noProof/>
        </w:rPr>
        <w:t>1</w:t>
      </w:r>
      <w:r w:rsidR="005A1D43">
        <w:rPr>
          <w:noProof/>
        </w:rPr>
        <w:t> </w:t>
      </w:r>
      <w:r w:rsidR="00570056" w:rsidRPr="00AF241B">
        <w:rPr>
          <w:noProof/>
        </w:rPr>
        <w:t xml:space="preserve">januari </w:t>
      </w:r>
      <w:r w:rsidR="00570056" w:rsidRPr="001D3039">
        <w:rPr>
          <w:noProof/>
        </w:rPr>
        <w:t>2024</w:t>
      </w:r>
      <w:r w:rsidR="00570056" w:rsidRPr="00AF241B">
        <w:rPr>
          <w:noProof/>
        </w:rPr>
        <w:t>, kort na de eerste ontslagen, is opgericht.</w:t>
      </w:r>
    </w:p>
    <w:p w:rsidR="00CE3812" w:rsidRPr="00AF241B" w:rsidRDefault="00CE3812" w:rsidP="00CE3812">
      <w:pPr>
        <w:pStyle w:val="ManualHeading3"/>
        <w:rPr>
          <w:noProof/>
        </w:rPr>
      </w:pPr>
      <w:r w:rsidRPr="00AF241B">
        <w:rPr>
          <w:noProof/>
        </w:rPr>
        <w:t>Complementariteit met acties die door nationale of EU-fondsen worden gefinancierd</w:t>
      </w:r>
    </w:p>
    <w:p w:rsidR="00CE3812" w:rsidRPr="00AF241B" w:rsidRDefault="00CB0C8E" w:rsidP="00CB0C8E">
      <w:pPr>
        <w:pStyle w:val="ManualNumPar1"/>
        <w:rPr>
          <w:noProof/>
        </w:rPr>
      </w:pPr>
      <w:r w:rsidRPr="00CB0C8E">
        <w:rPr>
          <w:noProof/>
        </w:rPr>
        <w:t>28.</w:t>
      </w:r>
      <w:r w:rsidRPr="00CB0C8E">
        <w:rPr>
          <w:noProof/>
        </w:rPr>
        <w:tab/>
      </w:r>
      <w:r w:rsidR="00367496" w:rsidRPr="00AF241B">
        <w:rPr>
          <w:noProof/>
        </w:rPr>
        <w:t>België heeft bevestigd dat de hieronder beschreven maatregelen die een financiële bijdrage uit het EFG ontvangen, geen financiële steun van andere financiële instrumenten van de Unie zullen ontvangen.</w:t>
      </w:r>
    </w:p>
    <w:p w:rsidR="00504633" w:rsidRPr="00AF241B" w:rsidRDefault="00CB0C8E" w:rsidP="00CB0C8E">
      <w:pPr>
        <w:pStyle w:val="ManualNumPar1"/>
        <w:rPr>
          <w:noProof/>
        </w:rPr>
      </w:pPr>
      <w:r w:rsidRPr="00CB0C8E">
        <w:rPr>
          <w:noProof/>
        </w:rPr>
        <w:t>29.</w:t>
      </w:r>
      <w:r w:rsidRPr="00CB0C8E">
        <w:rPr>
          <w:noProof/>
        </w:rPr>
        <w:tab/>
      </w:r>
      <w:r w:rsidR="008260B7" w:rsidRPr="00AF241B">
        <w:rPr>
          <w:noProof/>
        </w:rPr>
        <w:t>Het gecoördineerde pakket gepersonaliseerde steunmaatregelen vormt een aanvulling op maatregelen die uit andere nationale of EU-fondsen worden gefinancierd (zie outplacementdiensten als beschreven in punt</w:t>
      </w:r>
      <w:r w:rsidR="005A1D43">
        <w:rPr>
          <w:noProof/>
        </w:rPr>
        <w:t> </w:t>
      </w:r>
      <w:r w:rsidR="008260B7" w:rsidRPr="001D3039">
        <w:rPr>
          <w:noProof/>
        </w:rPr>
        <w:t>25</w:t>
      </w:r>
      <w:r w:rsidR="008260B7" w:rsidRPr="00AF241B">
        <w:rPr>
          <w:noProof/>
        </w:rPr>
        <w:t>).</w:t>
      </w:r>
    </w:p>
    <w:p w:rsidR="00504633" w:rsidRPr="00AF241B" w:rsidRDefault="00504633" w:rsidP="00504633">
      <w:pPr>
        <w:pStyle w:val="ManualHeading3"/>
        <w:tabs>
          <w:tab w:val="clear" w:pos="850"/>
          <w:tab w:val="left" w:pos="0"/>
        </w:tabs>
        <w:ind w:left="0" w:firstLine="0"/>
        <w:rPr>
          <w:noProof/>
          <w:u w:val="single"/>
        </w:rPr>
      </w:pPr>
      <w:r w:rsidRPr="00AF241B">
        <w:rPr>
          <w:noProof/>
        </w:rPr>
        <w:t>Procedures voor overleg met de beoogde begunstigden, hun vertegenwoordigers, de sociale partners of plaatselijke en regionale autoriteiten</w:t>
      </w:r>
    </w:p>
    <w:p w:rsidR="00504633" w:rsidRPr="00AF241B" w:rsidRDefault="00CB0C8E" w:rsidP="00CB0C8E">
      <w:pPr>
        <w:pStyle w:val="ManualNumPar1"/>
        <w:rPr>
          <w:noProof/>
        </w:rPr>
      </w:pPr>
      <w:r w:rsidRPr="00CB0C8E">
        <w:rPr>
          <w:noProof/>
        </w:rPr>
        <w:t>30.</w:t>
      </w:r>
      <w:r w:rsidRPr="00CB0C8E">
        <w:rPr>
          <w:noProof/>
        </w:rPr>
        <w:tab/>
      </w:r>
      <w:r w:rsidR="00367496" w:rsidRPr="00AF241B">
        <w:rPr>
          <w:noProof/>
        </w:rPr>
        <w:t>België heeft laten weten dat het gecoördineerde pakket van gepersonaliseerde steunmaatregelen werd opgesteld in overleg met de beoogde begunstigden, hun vertegenwoordigers en de sociale partners overeenkomstig artikel</w:t>
      </w:r>
      <w:r w:rsidR="000A0F05">
        <w:rPr>
          <w:noProof/>
        </w:rPr>
        <w:t> </w:t>
      </w:r>
      <w:r w:rsidR="00367496" w:rsidRPr="001D3039">
        <w:rPr>
          <w:noProof/>
        </w:rPr>
        <w:t>7</w:t>
      </w:r>
      <w:r w:rsidR="00367496" w:rsidRPr="00AF241B">
        <w:rPr>
          <w:noProof/>
        </w:rPr>
        <w:t>, lid</w:t>
      </w:r>
      <w:r w:rsidR="000A0F05">
        <w:rPr>
          <w:noProof/>
        </w:rPr>
        <w:t> </w:t>
      </w:r>
      <w:r w:rsidR="00367496" w:rsidRPr="001D3039">
        <w:rPr>
          <w:noProof/>
        </w:rPr>
        <w:t>4</w:t>
      </w:r>
      <w:r w:rsidR="00367496" w:rsidRPr="00AF241B">
        <w:rPr>
          <w:noProof/>
        </w:rPr>
        <w:t xml:space="preserve">, van Verordening (EU) </w:t>
      </w:r>
      <w:r w:rsidR="00367496" w:rsidRPr="001D3039">
        <w:rPr>
          <w:noProof/>
        </w:rPr>
        <w:t>2021</w:t>
      </w:r>
      <w:r w:rsidR="00367496" w:rsidRPr="00AF241B">
        <w:rPr>
          <w:noProof/>
        </w:rPr>
        <w:t>/</w:t>
      </w:r>
      <w:r w:rsidR="00367496" w:rsidRPr="001D3039">
        <w:rPr>
          <w:noProof/>
        </w:rPr>
        <w:t>691</w:t>
      </w:r>
      <w:r w:rsidR="00367496" w:rsidRPr="00AF241B">
        <w:rPr>
          <w:noProof/>
        </w:rPr>
        <w:t>.</w:t>
      </w:r>
    </w:p>
    <w:p w:rsidR="00504633" w:rsidRPr="00AF241B" w:rsidRDefault="00CB0C8E" w:rsidP="00CB0C8E">
      <w:pPr>
        <w:pStyle w:val="ManualNumPar1"/>
        <w:rPr>
          <w:noProof/>
        </w:rPr>
      </w:pPr>
      <w:r w:rsidRPr="00CB0C8E">
        <w:rPr>
          <w:noProof/>
        </w:rPr>
        <w:t>31.</w:t>
      </w:r>
      <w:r w:rsidRPr="00CB0C8E">
        <w:rPr>
          <w:noProof/>
        </w:rPr>
        <w:tab/>
      </w:r>
      <w:r w:rsidR="00367496" w:rsidRPr="00AF241B">
        <w:rPr>
          <w:noProof/>
        </w:rPr>
        <w:t>Met de bedoeling om een solide pakket op maat gesneden maatregelen op te stellen om de werknemers van Match-Smatch opnieuw aan een baan te helpen, zijn Le Forem, vakbonden (ABVV</w:t>
      </w:r>
      <w:r w:rsidR="00367496" w:rsidRPr="00AF241B">
        <w:rPr>
          <w:rStyle w:val="FootnoteReference"/>
          <w:noProof/>
        </w:rPr>
        <w:footnoteReference w:id="19"/>
      </w:r>
      <w:r w:rsidR="00367496" w:rsidRPr="00AF241B">
        <w:rPr>
          <w:noProof/>
        </w:rPr>
        <w:t xml:space="preserve"> en ACV</w:t>
      </w:r>
      <w:r w:rsidR="00367496" w:rsidRPr="00AF241B">
        <w:rPr>
          <w:rStyle w:val="FootnoteReference"/>
          <w:noProof/>
        </w:rPr>
        <w:footnoteReference w:id="20"/>
      </w:r>
      <w:r w:rsidR="00367496" w:rsidRPr="00AF241B">
        <w:rPr>
          <w:noProof/>
        </w:rPr>
        <w:t xml:space="preserve">) en andere partners op </w:t>
      </w:r>
      <w:r w:rsidR="00367496" w:rsidRPr="001D3039">
        <w:rPr>
          <w:noProof/>
        </w:rPr>
        <w:t>17</w:t>
      </w:r>
      <w:r w:rsidR="000A0F05">
        <w:rPr>
          <w:noProof/>
        </w:rPr>
        <w:t> </w:t>
      </w:r>
      <w:r w:rsidR="00367496" w:rsidRPr="00AF241B">
        <w:rPr>
          <w:noProof/>
        </w:rPr>
        <w:t xml:space="preserve">januari, </w:t>
      </w:r>
      <w:r w:rsidR="00367496" w:rsidRPr="001D3039">
        <w:rPr>
          <w:noProof/>
        </w:rPr>
        <w:t>5</w:t>
      </w:r>
      <w:r w:rsidR="000A0F05">
        <w:rPr>
          <w:noProof/>
        </w:rPr>
        <w:t> </w:t>
      </w:r>
      <w:r w:rsidR="00367496" w:rsidRPr="00AF241B">
        <w:rPr>
          <w:noProof/>
        </w:rPr>
        <w:t xml:space="preserve">februari en </w:t>
      </w:r>
      <w:r w:rsidR="00367496" w:rsidRPr="001D3039">
        <w:rPr>
          <w:noProof/>
        </w:rPr>
        <w:t>19</w:t>
      </w:r>
      <w:r w:rsidR="000A0F05">
        <w:rPr>
          <w:noProof/>
        </w:rPr>
        <w:t> </w:t>
      </w:r>
      <w:r w:rsidR="00367496" w:rsidRPr="00AF241B">
        <w:rPr>
          <w:noProof/>
        </w:rPr>
        <w:t xml:space="preserve">maart </w:t>
      </w:r>
      <w:r w:rsidR="00367496" w:rsidRPr="001D3039">
        <w:rPr>
          <w:noProof/>
        </w:rPr>
        <w:t>2024</w:t>
      </w:r>
      <w:r w:rsidR="00367496" w:rsidRPr="00AF241B">
        <w:rPr>
          <w:noProof/>
        </w:rPr>
        <w:t xml:space="preserve"> bijeengekomen om meer inzicht te krijgen in de omscholingsbehoeften van werknemers. Ook werd overleg gepleegd met de sociale adviseurs die de werknemers na hun ontslag begeleidden. Deze vergaderingen hebben geresulteerd in een gecoördineerd pakket van EFG-maatregelen dat voldoet aan artikel </w:t>
      </w:r>
      <w:r w:rsidR="00367496" w:rsidRPr="001D3039">
        <w:rPr>
          <w:noProof/>
        </w:rPr>
        <w:t>7</w:t>
      </w:r>
      <w:r w:rsidR="00367496" w:rsidRPr="00AF241B">
        <w:rPr>
          <w:noProof/>
        </w:rPr>
        <w:t>, lid </w:t>
      </w:r>
      <w:r w:rsidR="00367496" w:rsidRPr="001D3039">
        <w:rPr>
          <w:noProof/>
        </w:rPr>
        <w:t>4</w:t>
      </w:r>
      <w:r w:rsidR="00367496" w:rsidRPr="00AF241B">
        <w:rPr>
          <w:noProof/>
        </w:rPr>
        <w:t xml:space="preserve">, van Verordening (EU) </w:t>
      </w:r>
      <w:r w:rsidR="00367496" w:rsidRPr="001D3039">
        <w:rPr>
          <w:noProof/>
        </w:rPr>
        <w:t>2021</w:t>
      </w:r>
      <w:r w:rsidR="00367496" w:rsidRPr="00AF241B">
        <w:rPr>
          <w:noProof/>
        </w:rPr>
        <w:t>/</w:t>
      </w:r>
      <w:r w:rsidR="00367496" w:rsidRPr="001D3039">
        <w:rPr>
          <w:noProof/>
        </w:rPr>
        <w:t>691</w:t>
      </w:r>
      <w:r w:rsidR="00367496" w:rsidRPr="00AF241B">
        <w:rPr>
          <w:noProof/>
        </w:rPr>
        <w:t>.</w:t>
      </w:r>
    </w:p>
    <w:p w:rsidR="00252AC6" w:rsidRPr="00AF241B" w:rsidRDefault="00252AC6" w:rsidP="00252AC6">
      <w:pPr>
        <w:pStyle w:val="ManualHeading2"/>
        <w:rPr>
          <w:noProof/>
        </w:rPr>
      </w:pPr>
      <w:r w:rsidRPr="00AF241B">
        <w:rPr>
          <w:noProof/>
        </w:rPr>
        <w:t>Beoogde begunstigden en voorgestelde maatregelen</w:t>
      </w:r>
    </w:p>
    <w:p w:rsidR="00252AC6" w:rsidRPr="00AF241B" w:rsidRDefault="00252AC6" w:rsidP="00252AC6">
      <w:pPr>
        <w:pStyle w:val="ManualHeading3"/>
        <w:rPr>
          <w:noProof/>
        </w:rPr>
      </w:pPr>
      <w:r w:rsidRPr="00AF241B">
        <w:rPr>
          <w:noProof/>
        </w:rPr>
        <w:t>Beoogde begunstigden</w:t>
      </w:r>
    </w:p>
    <w:p w:rsidR="00252AC6" w:rsidRPr="00AF241B" w:rsidRDefault="00CB0C8E" w:rsidP="00CB0C8E">
      <w:pPr>
        <w:pStyle w:val="ManualNumPar1"/>
        <w:rPr>
          <w:noProof/>
        </w:rPr>
      </w:pPr>
      <w:r w:rsidRPr="00CB0C8E">
        <w:rPr>
          <w:noProof/>
        </w:rPr>
        <w:t>32.</w:t>
      </w:r>
      <w:r w:rsidRPr="00CB0C8E">
        <w:rPr>
          <w:noProof/>
        </w:rPr>
        <w:tab/>
      </w:r>
      <w:r w:rsidR="00252AC6" w:rsidRPr="00AF241B">
        <w:rPr>
          <w:noProof/>
        </w:rPr>
        <w:t xml:space="preserve">Naar verwachting zullen </w:t>
      </w:r>
      <w:r w:rsidR="00252AC6" w:rsidRPr="001D3039">
        <w:rPr>
          <w:noProof/>
        </w:rPr>
        <w:t>365</w:t>
      </w:r>
      <w:r w:rsidR="00252AC6" w:rsidRPr="00AF241B">
        <w:rPr>
          <w:noProof/>
        </w:rPr>
        <w:t xml:space="preserve"> ontslagen werknemers aan de maatregelen deelnemen. Overeenkomstig artikel </w:t>
      </w:r>
      <w:r w:rsidR="00252AC6" w:rsidRPr="001D3039">
        <w:rPr>
          <w:noProof/>
        </w:rPr>
        <w:t>8</w:t>
      </w:r>
      <w:r w:rsidR="00252AC6" w:rsidRPr="00AF241B">
        <w:rPr>
          <w:noProof/>
        </w:rPr>
        <w:t>, lid </w:t>
      </w:r>
      <w:r w:rsidR="00252AC6" w:rsidRPr="001D3039">
        <w:rPr>
          <w:noProof/>
        </w:rPr>
        <w:t>7</w:t>
      </w:r>
      <w:r w:rsidR="00252AC6" w:rsidRPr="00AF241B">
        <w:rPr>
          <w:noProof/>
        </w:rPr>
        <w:t>, punt</w:t>
      </w:r>
      <w:r w:rsidR="000A0F05">
        <w:rPr>
          <w:noProof/>
        </w:rPr>
        <w:t> </w:t>
      </w:r>
      <w:r w:rsidR="00252AC6" w:rsidRPr="00AF241B">
        <w:rPr>
          <w:noProof/>
        </w:rPr>
        <w:t xml:space="preserve">f), van Verordening (EU) </w:t>
      </w:r>
      <w:r w:rsidR="00252AC6" w:rsidRPr="001D3039">
        <w:rPr>
          <w:noProof/>
        </w:rPr>
        <w:t>2021</w:t>
      </w:r>
      <w:r w:rsidR="00252AC6" w:rsidRPr="00AF241B">
        <w:rPr>
          <w:noProof/>
        </w:rPr>
        <w:t>/</w:t>
      </w:r>
      <w:r w:rsidR="00252AC6" w:rsidRPr="001D3039">
        <w:rPr>
          <w:noProof/>
        </w:rPr>
        <w:t>691</w:t>
      </w:r>
      <w:r w:rsidR="00252AC6" w:rsidRPr="00AF241B">
        <w:rPr>
          <w:noProof/>
        </w:rPr>
        <w:t xml:space="preserve"> is de uitsplitsing van deze werknemers naar geslacht, leeftijdscategorie en onderwijsniveau als volgt:</w:t>
      </w:r>
    </w:p>
    <w:tbl>
      <w:tblPr>
        <w:tblW w:w="0" w:type="auto"/>
        <w:jc w:val="center"/>
        <w:tblLook w:val="04A0" w:firstRow="1" w:lastRow="0" w:firstColumn="1" w:lastColumn="0" w:noHBand="0" w:noVBand="1"/>
      </w:tblPr>
      <w:tblGrid>
        <w:gridCol w:w="2016"/>
        <w:gridCol w:w="2063"/>
        <w:gridCol w:w="1176"/>
        <w:gridCol w:w="1176"/>
      </w:tblGrid>
      <w:tr w:rsidR="00252AC6" w:rsidRPr="00AF241B" w:rsidTr="00F060F9">
        <w:trPr>
          <w:jc w:val="center"/>
        </w:trPr>
        <w:tc>
          <w:tcPr>
            <w:tcW w:w="3559" w:type="dxa"/>
            <w:gridSpan w:val="2"/>
            <w:tcBorders>
              <w:top w:val="single" w:sz="4" w:space="0" w:color="auto"/>
              <w:left w:val="nil"/>
              <w:bottom w:val="single" w:sz="4" w:space="0" w:color="auto"/>
              <w:right w:val="nil"/>
            </w:tcBorders>
            <w:hideMark/>
          </w:tcPr>
          <w:p w:rsidR="00252AC6" w:rsidRPr="00AF241B" w:rsidRDefault="00252AC6" w:rsidP="00F060F9">
            <w:pPr>
              <w:spacing w:before="60" w:after="60"/>
              <w:jc w:val="center"/>
              <w:rPr>
                <w:noProof/>
              </w:rPr>
            </w:pPr>
            <w:r w:rsidRPr="00AF241B">
              <w:rPr>
                <w:noProof/>
              </w:rPr>
              <w:t>Categorie</w:t>
            </w:r>
          </w:p>
        </w:tc>
        <w:tc>
          <w:tcPr>
            <w:tcW w:w="2352" w:type="dxa"/>
            <w:gridSpan w:val="2"/>
            <w:tcBorders>
              <w:top w:val="single" w:sz="4" w:space="0" w:color="auto"/>
              <w:left w:val="nil"/>
              <w:bottom w:val="single" w:sz="4" w:space="0" w:color="auto"/>
              <w:right w:val="nil"/>
            </w:tcBorders>
            <w:hideMark/>
          </w:tcPr>
          <w:p w:rsidR="00252AC6" w:rsidRPr="00AF241B" w:rsidRDefault="00252AC6" w:rsidP="00C3711A">
            <w:pPr>
              <w:spacing w:before="60" w:after="60"/>
              <w:jc w:val="center"/>
              <w:rPr>
                <w:noProof/>
              </w:rPr>
            </w:pPr>
            <w:r w:rsidRPr="00AF241B">
              <w:rPr>
                <w:noProof/>
              </w:rPr>
              <w:t>Aantal</w:t>
            </w:r>
            <w:r w:rsidRPr="00AF241B">
              <w:rPr>
                <w:noProof/>
              </w:rPr>
              <w:br/>
              <w:t>beoogde begunstigden</w:t>
            </w:r>
          </w:p>
        </w:tc>
      </w:tr>
      <w:tr w:rsidR="00252AC6" w:rsidRPr="00AF241B" w:rsidTr="007244BC">
        <w:trPr>
          <w:jc w:val="center"/>
        </w:trPr>
        <w:tc>
          <w:tcPr>
            <w:tcW w:w="1496" w:type="dxa"/>
            <w:tcBorders>
              <w:top w:val="single" w:sz="4" w:space="0" w:color="auto"/>
              <w:left w:val="nil"/>
              <w:right w:val="nil"/>
            </w:tcBorders>
            <w:hideMark/>
          </w:tcPr>
          <w:p w:rsidR="00252AC6" w:rsidRPr="00AF241B" w:rsidRDefault="00CC3C30" w:rsidP="00F060F9">
            <w:pPr>
              <w:spacing w:before="60" w:after="60"/>
              <w:rPr>
                <w:noProof/>
              </w:rPr>
            </w:pPr>
            <w:r w:rsidRPr="00AF241B">
              <w:rPr>
                <w:noProof/>
              </w:rPr>
              <w:t>Geslacht:</w:t>
            </w:r>
          </w:p>
        </w:tc>
        <w:tc>
          <w:tcPr>
            <w:tcW w:w="2063" w:type="dxa"/>
            <w:tcBorders>
              <w:top w:val="single" w:sz="4" w:space="0" w:color="auto"/>
              <w:left w:val="nil"/>
              <w:right w:val="nil"/>
            </w:tcBorders>
            <w:hideMark/>
          </w:tcPr>
          <w:p w:rsidR="00252AC6" w:rsidRPr="00AF241B" w:rsidRDefault="00252AC6" w:rsidP="00F060F9">
            <w:pPr>
              <w:spacing w:before="60" w:after="60"/>
              <w:rPr>
                <w:noProof/>
              </w:rPr>
            </w:pPr>
            <w:r w:rsidRPr="00AF241B">
              <w:rPr>
                <w:noProof/>
              </w:rPr>
              <w:t>Mannen:</w:t>
            </w:r>
          </w:p>
        </w:tc>
        <w:tc>
          <w:tcPr>
            <w:tcW w:w="1176" w:type="dxa"/>
            <w:tcBorders>
              <w:top w:val="single" w:sz="4" w:space="0" w:color="auto"/>
              <w:left w:val="nil"/>
              <w:right w:val="nil"/>
            </w:tcBorders>
            <w:hideMark/>
          </w:tcPr>
          <w:p w:rsidR="00252AC6" w:rsidRPr="00AF241B" w:rsidRDefault="00F05548" w:rsidP="00F060F9">
            <w:pPr>
              <w:spacing w:before="60" w:after="60"/>
              <w:jc w:val="right"/>
              <w:rPr>
                <w:noProof/>
              </w:rPr>
            </w:pPr>
            <w:r w:rsidRPr="001D3039">
              <w:rPr>
                <w:noProof/>
              </w:rPr>
              <w:t>238</w:t>
            </w:r>
          </w:p>
        </w:tc>
        <w:tc>
          <w:tcPr>
            <w:tcW w:w="1176" w:type="dxa"/>
            <w:tcBorders>
              <w:top w:val="single" w:sz="4" w:space="0" w:color="auto"/>
              <w:left w:val="nil"/>
              <w:right w:val="nil"/>
            </w:tcBorders>
            <w:hideMark/>
          </w:tcPr>
          <w:p w:rsidR="00252AC6" w:rsidRPr="00AF241B" w:rsidRDefault="00252AC6" w:rsidP="00F060F9">
            <w:pPr>
              <w:spacing w:before="60" w:after="60"/>
              <w:jc w:val="right"/>
              <w:rPr>
                <w:noProof/>
              </w:rPr>
            </w:pPr>
            <w:r w:rsidRPr="00AF241B">
              <w:rPr>
                <w:noProof/>
              </w:rPr>
              <w:t>(</w:t>
            </w:r>
            <w:r w:rsidRPr="001D3039">
              <w:rPr>
                <w:noProof/>
              </w:rPr>
              <w:t>65</w:t>
            </w:r>
            <w:r w:rsidRPr="00AF241B">
              <w:rPr>
                <w:noProof/>
              </w:rPr>
              <w:t>,</w:t>
            </w:r>
            <w:r w:rsidRPr="001D3039">
              <w:rPr>
                <w:noProof/>
              </w:rPr>
              <w:t>2</w:t>
            </w:r>
            <w:r w:rsidRPr="00AF241B">
              <w:rPr>
                <w:noProof/>
              </w:rPr>
              <w:t> %)</w:t>
            </w:r>
          </w:p>
        </w:tc>
      </w:tr>
      <w:tr w:rsidR="00CC3C30" w:rsidRPr="00AF241B" w:rsidTr="007244BC">
        <w:trPr>
          <w:jc w:val="center"/>
        </w:trPr>
        <w:tc>
          <w:tcPr>
            <w:tcW w:w="1496" w:type="dxa"/>
            <w:tcBorders>
              <w:top w:val="nil"/>
              <w:left w:val="nil"/>
              <w:right w:val="nil"/>
            </w:tcBorders>
          </w:tcPr>
          <w:p w:rsidR="00CC3C30" w:rsidRPr="00AF241B" w:rsidRDefault="00CC3C30" w:rsidP="00CC3C30">
            <w:pPr>
              <w:spacing w:before="60" w:after="60"/>
              <w:rPr>
                <w:noProof/>
              </w:rPr>
            </w:pPr>
          </w:p>
        </w:tc>
        <w:tc>
          <w:tcPr>
            <w:tcW w:w="2063" w:type="dxa"/>
            <w:tcBorders>
              <w:top w:val="nil"/>
              <w:left w:val="nil"/>
              <w:right w:val="nil"/>
            </w:tcBorders>
          </w:tcPr>
          <w:p w:rsidR="00CC3C30" w:rsidRPr="00AF241B" w:rsidRDefault="00CC3C30" w:rsidP="00CC3C30">
            <w:pPr>
              <w:spacing w:before="60" w:after="60"/>
              <w:rPr>
                <w:rFonts w:eastAsia="Calibri"/>
                <w:noProof/>
              </w:rPr>
            </w:pPr>
            <w:r w:rsidRPr="00AF241B">
              <w:rPr>
                <w:noProof/>
              </w:rPr>
              <w:t>Vrouwen:</w:t>
            </w:r>
          </w:p>
        </w:tc>
        <w:tc>
          <w:tcPr>
            <w:tcW w:w="1176" w:type="dxa"/>
          </w:tcPr>
          <w:p w:rsidR="00CC3C30" w:rsidRPr="00AF241B" w:rsidRDefault="00F05548" w:rsidP="00CC3C30">
            <w:pPr>
              <w:spacing w:before="60" w:after="60"/>
              <w:jc w:val="right"/>
              <w:rPr>
                <w:noProof/>
              </w:rPr>
            </w:pPr>
            <w:r w:rsidRPr="001D3039">
              <w:rPr>
                <w:noProof/>
              </w:rPr>
              <w:t>127</w:t>
            </w:r>
          </w:p>
        </w:tc>
        <w:tc>
          <w:tcPr>
            <w:tcW w:w="1176" w:type="dxa"/>
          </w:tcPr>
          <w:p w:rsidR="00CC3C30" w:rsidRPr="00AF241B" w:rsidRDefault="00CC3C30" w:rsidP="00CC3C30">
            <w:pPr>
              <w:spacing w:before="60" w:after="60"/>
              <w:jc w:val="right"/>
              <w:rPr>
                <w:rFonts w:eastAsia="Calibri"/>
                <w:noProof/>
              </w:rPr>
            </w:pPr>
            <w:r w:rsidRPr="00AF241B">
              <w:rPr>
                <w:noProof/>
              </w:rPr>
              <w:t>(</w:t>
            </w:r>
            <w:r w:rsidRPr="001D3039">
              <w:rPr>
                <w:noProof/>
              </w:rPr>
              <w:t>34</w:t>
            </w:r>
            <w:r w:rsidRPr="00AF241B">
              <w:rPr>
                <w:noProof/>
              </w:rPr>
              <w:t>,</w:t>
            </w:r>
            <w:r w:rsidRPr="001D3039">
              <w:rPr>
                <w:noProof/>
              </w:rPr>
              <w:t>8</w:t>
            </w:r>
            <w:r w:rsidRPr="00AF241B">
              <w:rPr>
                <w:noProof/>
              </w:rPr>
              <w:t> %)</w:t>
            </w:r>
          </w:p>
        </w:tc>
      </w:tr>
      <w:tr w:rsidR="00CC3C30" w:rsidRPr="00AF241B" w:rsidTr="007244BC">
        <w:trPr>
          <w:jc w:val="center"/>
        </w:trPr>
        <w:tc>
          <w:tcPr>
            <w:tcW w:w="1496" w:type="dxa"/>
            <w:tcBorders>
              <w:left w:val="nil"/>
              <w:bottom w:val="single" w:sz="4" w:space="0" w:color="auto"/>
              <w:right w:val="nil"/>
            </w:tcBorders>
          </w:tcPr>
          <w:p w:rsidR="00CC3C30" w:rsidRPr="00AF241B" w:rsidRDefault="00CC3C30" w:rsidP="00CC3C30">
            <w:pPr>
              <w:spacing w:before="60" w:after="60"/>
              <w:rPr>
                <w:noProof/>
              </w:rPr>
            </w:pPr>
          </w:p>
        </w:tc>
        <w:tc>
          <w:tcPr>
            <w:tcW w:w="2063" w:type="dxa"/>
            <w:tcBorders>
              <w:left w:val="nil"/>
              <w:bottom w:val="single" w:sz="4" w:space="0" w:color="auto"/>
              <w:right w:val="nil"/>
            </w:tcBorders>
          </w:tcPr>
          <w:p w:rsidR="00CC3C30" w:rsidRPr="00AF241B" w:rsidRDefault="00CC3C30" w:rsidP="00CC3C30">
            <w:pPr>
              <w:spacing w:before="60" w:after="60"/>
              <w:rPr>
                <w:noProof/>
              </w:rPr>
            </w:pPr>
            <w:r w:rsidRPr="00AF241B">
              <w:rPr>
                <w:noProof/>
              </w:rPr>
              <w:t>Non-binair:</w:t>
            </w:r>
          </w:p>
        </w:tc>
        <w:tc>
          <w:tcPr>
            <w:tcW w:w="1176" w:type="dxa"/>
            <w:tcBorders>
              <w:bottom w:val="single" w:sz="4" w:space="0" w:color="auto"/>
            </w:tcBorders>
            <w:hideMark/>
          </w:tcPr>
          <w:p w:rsidR="00CC3C30" w:rsidRPr="00AF241B" w:rsidRDefault="00C73327" w:rsidP="00CC3C30">
            <w:pPr>
              <w:spacing w:before="60" w:after="60"/>
              <w:jc w:val="right"/>
              <w:rPr>
                <w:noProof/>
              </w:rPr>
            </w:pPr>
            <w:r w:rsidRPr="001D3039">
              <w:rPr>
                <w:noProof/>
              </w:rPr>
              <w:t>0</w:t>
            </w:r>
          </w:p>
        </w:tc>
        <w:tc>
          <w:tcPr>
            <w:tcW w:w="1176" w:type="dxa"/>
            <w:tcBorders>
              <w:bottom w:val="single" w:sz="4" w:space="0" w:color="auto"/>
            </w:tcBorders>
            <w:hideMark/>
          </w:tcPr>
          <w:p w:rsidR="00CC3C30" w:rsidRPr="00AF241B" w:rsidRDefault="00CC3C30" w:rsidP="00CC3C30">
            <w:pPr>
              <w:spacing w:before="60" w:after="60"/>
              <w:jc w:val="right"/>
              <w:rPr>
                <w:noProof/>
              </w:rPr>
            </w:pPr>
            <w:r w:rsidRPr="00AF241B">
              <w:rPr>
                <w:noProof/>
              </w:rPr>
              <w:t>(</w:t>
            </w:r>
            <w:r w:rsidRPr="001D3039">
              <w:rPr>
                <w:noProof/>
              </w:rPr>
              <w:t>0</w:t>
            </w:r>
            <w:r w:rsidRPr="00AF241B">
              <w:rPr>
                <w:noProof/>
              </w:rPr>
              <w:t>,</w:t>
            </w:r>
            <w:r w:rsidRPr="001D3039">
              <w:rPr>
                <w:noProof/>
              </w:rPr>
              <w:t>0</w:t>
            </w:r>
            <w:r w:rsidRPr="00AF241B">
              <w:rPr>
                <w:noProof/>
              </w:rPr>
              <w:t> %)</w:t>
            </w:r>
          </w:p>
        </w:tc>
      </w:tr>
      <w:tr w:rsidR="00CC3C30" w:rsidRPr="00AF241B" w:rsidTr="00F060F9">
        <w:trPr>
          <w:jc w:val="center"/>
        </w:trPr>
        <w:tc>
          <w:tcPr>
            <w:tcW w:w="1496" w:type="dxa"/>
            <w:tcBorders>
              <w:top w:val="single" w:sz="4" w:space="0" w:color="auto"/>
              <w:left w:val="nil"/>
              <w:bottom w:val="nil"/>
              <w:right w:val="nil"/>
            </w:tcBorders>
            <w:hideMark/>
          </w:tcPr>
          <w:p w:rsidR="00CC3C30" w:rsidRPr="00AF241B" w:rsidRDefault="00CC3C30" w:rsidP="00CC3C30">
            <w:pPr>
              <w:spacing w:before="60" w:after="60"/>
              <w:rPr>
                <w:noProof/>
              </w:rPr>
            </w:pPr>
            <w:r w:rsidRPr="00AF241B">
              <w:rPr>
                <w:noProof/>
              </w:rPr>
              <w:t>Leeftijdscategorie:</w:t>
            </w:r>
          </w:p>
        </w:tc>
        <w:tc>
          <w:tcPr>
            <w:tcW w:w="2063" w:type="dxa"/>
            <w:tcBorders>
              <w:top w:val="single" w:sz="4" w:space="0" w:color="auto"/>
              <w:left w:val="nil"/>
              <w:bottom w:val="nil"/>
              <w:right w:val="nil"/>
            </w:tcBorders>
            <w:hideMark/>
          </w:tcPr>
          <w:p w:rsidR="00CC3C30" w:rsidRPr="00AF241B" w:rsidRDefault="001812CD" w:rsidP="001812CD">
            <w:pPr>
              <w:spacing w:before="60" w:after="60"/>
              <w:rPr>
                <w:noProof/>
              </w:rPr>
            </w:pPr>
            <w:r w:rsidRPr="00AF241B">
              <w:rPr>
                <w:noProof/>
              </w:rPr>
              <w:t xml:space="preserve">Jonger dan </w:t>
            </w:r>
            <w:r w:rsidRPr="001D3039">
              <w:rPr>
                <w:noProof/>
              </w:rPr>
              <w:t>30</w:t>
            </w:r>
            <w:r w:rsidR="000A0F05">
              <w:rPr>
                <w:noProof/>
              </w:rPr>
              <w:t> </w:t>
            </w:r>
            <w:r w:rsidRPr="00AF241B">
              <w:rPr>
                <w:noProof/>
              </w:rPr>
              <w:t>jaar:</w:t>
            </w:r>
          </w:p>
        </w:tc>
        <w:tc>
          <w:tcPr>
            <w:tcW w:w="1176" w:type="dxa"/>
            <w:tcBorders>
              <w:top w:val="single" w:sz="4" w:space="0" w:color="auto"/>
            </w:tcBorders>
            <w:hideMark/>
          </w:tcPr>
          <w:p w:rsidR="00CC3C30" w:rsidRPr="00AF241B" w:rsidRDefault="00F05548" w:rsidP="00CC3C30">
            <w:pPr>
              <w:spacing w:before="60" w:after="60"/>
              <w:jc w:val="right"/>
              <w:rPr>
                <w:noProof/>
              </w:rPr>
            </w:pPr>
            <w:r w:rsidRPr="001D3039">
              <w:rPr>
                <w:noProof/>
              </w:rPr>
              <w:t>28</w:t>
            </w:r>
          </w:p>
        </w:tc>
        <w:tc>
          <w:tcPr>
            <w:tcW w:w="1176" w:type="dxa"/>
            <w:tcBorders>
              <w:top w:val="single" w:sz="4" w:space="0" w:color="auto"/>
            </w:tcBorders>
            <w:hideMark/>
          </w:tcPr>
          <w:p w:rsidR="00CC3C30" w:rsidRPr="00AF241B" w:rsidRDefault="00CC3C30" w:rsidP="00CC3C30">
            <w:pPr>
              <w:spacing w:before="60" w:after="60"/>
              <w:jc w:val="right"/>
              <w:rPr>
                <w:noProof/>
              </w:rPr>
            </w:pPr>
            <w:r w:rsidRPr="00AF241B">
              <w:rPr>
                <w:noProof/>
              </w:rPr>
              <w:t>(</w:t>
            </w:r>
            <w:r w:rsidRPr="001D3039">
              <w:rPr>
                <w:noProof/>
              </w:rPr>
              <w:t>7</w:t>
            </w:r>
            <w:r w:rsidRPr="00AF241B">
              <w:rPr>
                <w:noProof/>
              </w:rPr>
              <w:t>,</w:t>
            </w:r>
            <w:r w:rsidRPr="001D3039">
              <w:rPr>
                <w:noProof/>
              </w:rPr>
              <w:t>7</w:t>
            </w:r>
            <w:r w:rsidRPr="00AF241B">
              <w:rPr>
                <w:noProof/>
              </w:rPr>
              <w:t> %)</w:t>
            </w:r>
          </w:p>
        </w:tc>
      </w:tr>
      <w:tr w:rsidR="00CC3C30" w:rsidRPr="00AF241B" w:rsidTr="00F060F9">
        <w:trPr>
          <w:jc w:val="center"/>
        </w:trPr>
        <w:tc>
          <w:tcPr>
            <w:tcW w:w="1496" w:type="dxa"/>
          </w:tcPr>
          <w:p w:rsidR="00CC3C30" w:rsidRPr="00AF241B" w:rsidRDefault="00CC3C30" w:rsidP="00CC3C30">
            <w:pPr>
              <w:spacing w:before="60" w:after="60"/>
              <w:rPr>
                <w:noProof/>
              </w:rPr>
            </w:pPr>
          </w:p>
        </w:tc>
        <w:tc>
          <w:tcPr>
            <w:tcW w:w="2063" w:type="dxa"/>
            <w:hideMark/>
          </w:tcPr>
          <w:p w:rsidR="00CC3C30" w:rsidRPr="00AF241B" w:rsidRDefault="00CC3C30" w:rsidP="00CC3C30">
            <w:pPr>
              <w:spacing w:before="60" w:after="60"/>
              <w:rPr>
                <w:noProof/>
              </w:rPr>
            </w:pPr>
            <w:r w:rsidRPr="001D3039">
              <w:rPr>
                <w:noProof/>
              </w:rPr>
              <w:t>30</w:t>
            </w:r>
            <w:r w:rsidRPr="00AF241B">
              <w:rPr>
                <w:noProof/>
              </w:rPr>
              <w:t>-</w:t>
            </w:r>
            <w:r w:rsidRPr="001D3039">
              <w:rPr>
                <w:noProof/>
              </w:rPr>
              <w:t>54</w:t>
            </w:r>
            <w:r w:rsidR="000A0F05">
              <w:rPr>
                <w:noProof/>
              </w:rPr>
              <w:t> </w:t>
            </w:r>
            <w:r w:rsidRPr="00AF241B">
              <w:rPr>
                <w:noProof/>
              </w:rPr>
              <w:t>jaar:</w:t>
            </w:r>
          </w:p>
        </w:tc>
        <w:tc>
          <w:tcPr>
            <w:tcW w:w="1176" w:type="dxa"/>
            <w:hideMark/>
          </w:tcPr>
          <w:p w:rsidR="00CC3C30" w:rsidRPr="00AF241B" w:rsidRDefault="00F05548" w:rsidP="00CC3C30">
            <w:pPr>
              <w:spacing w:before="60" w:after="60"/>
              <w:jc w:val="right"/>
              <w:rPr>
                <w:noProof/>
              </w:rPr>
            </w:pPr>
            <w:r w:rsidRPr="001D3039">
              <w:rPr>
                <w:noProof/>
              </w:rPr>
              <w:t>222</w:t>
            </w:r>
          </w:p>
        </w:tc>
        <w:tc>
          <w:tcPr>
            <w:tcW w:w="1176" w:type="dxa"/>
            <w:hideMark/>
          </w:tcPr>
          <w:p w:rsidR="00CC3C30" w:rsidRPr="00AF241B" w:rsidRDefault="00CC3C30" w:rsidP="00CC3C30">
            <w:pPr>
              <w:spacing w:before="60" w:after="60"/>
              <w:jc w:val="right"/>
              <w:rPr>
                <w:noProof/>
              </w:rPr>
            </w:pPr>
            <w:r w:rsidRPr="00AF241B">
              <w:rPr>
                <w:noProof/>
              </w:rPr>
              <w:t>(</w:t>
            </w:r>
            <w:r w:rsidRPr="001D3039">
              <w:rPr>
                <w:noProof/>
              </w:rPr>
              <w:t>60</w:t>
            </w:r>
            <w:r w:rsidRPr="00AF241B">
              <w:rPr>
                <w:noProof/>
              </w:rPr>
              <w:t>,</w:t>
            </w:r>
            <w:r w:rsidRPr="001D3039">
              <w:rPr>
                <w:noProof/>
              </w:rPr>
              <w:t>8</w:t>
            </w:r>
            <w:r w:rsidRPr="00AF241B">
              <w:rPr>
                <w:noProof/>
              </w:rPr>
              <w:t> %)</w:t>
            </w:r>
          </w:p>
        </w:tc>
      </w:tr>
      <w:tr w:rsidR="00CC3C30" w:rsidRPr="00AF241B" w:rsidTr="007244BC">
        <w:trPr>
          <w:jc w:val="center"/>
        </w:trPr>
        <w:tc>
          <w:tcPr>
            <w:tcW w:w="1496" w:type="dxa"/>
          </w:tcPr>
          <w:p w:rsidR="00CC3C30" w:rsidRPr="00AF241B" w:rsidRDefault="00CC3C30" w:rsidP="00CC3C30">
            <w:pPr>
              <w:spacing w:before="60" w:after="60"/>
              <w:rPr>
                <w:noProof/>
              </w:rPr>
            </w:pPr>
          </w:p>
        </w:tc>
        <w:tc>
          <w:tcPr>
            <w:tcW w:w="2063" w:type="dxa"/>
            <w:hideMark/>
          </w:tcPr>
          <w:p w:rsidR="00CC3C30" w:rsidRPr="00AF241B" w:rsidRDefault="005E38AF" w:rsidP="005E38AF">
            <w:pPr>
              <w:spacing w:before="60" w:after="60"/>
              <w:jc w:val="left"/>
              <w:rPr>
                <w:noProof/>
              </w:rPr>
            </w:pPr>
            <w:r w:rsidRPr="00AF241B">
              <w:rPr>
                <w:noProof/>
              </w:rPr>
              <w:t xml:space="preserve">Ouder dan </w:t>
            </w:r>
            <w:r w:rsidRPr="001D3039">
              <w:rPr>
                <w:noProof/>
              </w:rPr>
              <w:t>54</w:t>
            </w:r>
            <w:r w:rsidR="000A0F05">
              <w:rPr>
                <w:noProof/>
              </w:rPr>
              <w:t> </w:t>
            </w:r>
            <w:r w:rsidRPr="00AF241B">
              <w:rPr>
                <w:noProof/>
              </w:rPr>
              <w:t>jaar:</w:t>
            </w:r>
          </w:p>
        </w:tc>
        <w:tc>
          <w:tcPr>
            <w:tcW w:w="1176" w:type="dxa"/>
            <w:hideMark/>
          </w:tcPr>
          <w:p w:rsidR="00CC3C30" w:rsidRPr="00AF241B" w:rsidRDefault="00F05548" w:rsidP="00CC3C30">
            <w:pPr>
              <w:spacing w:before="60" w:after="60"/>
              <w:jc w:val="right"/>
              <w:rPr>
                <w:noProof/>
              </w:rPr>
            </w:pPr>
            <w:r w:rsidRPr="001D3039">
              <w:rPr>
                <w:noProof/>
              </w:rPr>
              <w:t>115</w:t>
            </w:r>
          </w:p>
        </w:tc>
        <w:tc>
          <w:tcPr>
            <w:tcW w:w="1176" w:type="dxa"/>
            <w:hideMark/>
          </w:tcPr>
          <w:p w:rsidR="00CC3C30" w:rsidRPr="00AF241B" w:rsidRDefault="00CC3C30" w:rsidP="00CC3C30">
            <w:pPr>
              <w:spacing w:before="60" w:after="60"/>
              <w:jc w:val="right"/>
              <w:rPr>
                <w:noProof/>
              </w:rPr>
            </w:pPr>
            <w:r w:rsidRPr="00AF241B">
              <w:rPr>
                <w:noProof/>
              </w:rPr>
              <w:t>(</w:t>
            </w:r>
            <w:r w:rsidRPr="001D3039">
              <w:rPr>
                <w:noProof/>
              </w:rPr>
              <w:t>31</w:t>
            </w:r>
            <w:r w:rsidRPr="00AF241B">
              <w:rPr>
                <w:noProof/>
              </w:rPr>
              <w:t>,</w:t>
            </w:r>
            <w:r w:rsidRPr="001D3039">
              <w:rPr>
                <w:noProof/>
              </w:rPr>
              <w:t>5</w:t>
            </w:r>
            <w:r w:rsidRPr="00AF241B">
              <w:rPr>
                <w:noProof/>
              </w:rPr>
              <w:t> %)</w:t>
            </w:r>
          </w:p>
        </w:tc>
      </w:tr>
      <w:tr w:rsidR="005C2354" w:rsidRPr="00AF241B" w:rsidTr="007244BC">
        <w:trPr>
          <w:jc w:val="center"/>
        </w:trPr>
        <w:tc>
          <w:tcPr>
            <w:tcW w:w="1496" w:type="dxa"/>
            <w:tcBorders>
              <w:top w:val="single" w:sz="4" w:space="0" w:color="auto"/>
              <w:left w:val="nil"/>
              <w:bottom w:val="nil"/>
              <w:right w:val="nil"/>
            </w:tcBorders>
          </w:tcPr>
          <w:p w:rsidR="005C2354" w:rsidRPr="00AF241B" w:rsidRDefault="005C2354" w:rsidP="005C2354">
            <w:pPr>
              <w:spacing w:before="60" w:after="60"/>
              <w:rPr>
                <w:noProof/>
              </w:rPr>
            </w:pPr>
            <w:r w:rsidRPr="00AF241B">
              <w:rPr>
                <w:noProof/>
              </w:rPr>
              <w:t>Onderwijsniveau</w:t>
            </w:r>
          </w:p>
        </w:tc>
        <w:tc>
          <w:tcPr>
            <w:tcW w:w="2063" w:type="dxa"/>
            <w:tcBorders>
              <w:top w:val="single" w:sz="4" w:space="0" w:color="auto"/>
              <w:left w:val="nil"/>
              <w:bottom w:val="nil"/>
              <w:right w:val="nil"/>
            </w:tcBorders>
          </w:tcPr>
          <w:p w:rsidR="005C2354" w:rsidRPr="00AF241B" w:rsidRDefault="005C2354" w:rsidP="005C2354">
            <w:pPr>
              <w:spacing w:before="60" w:after="60"/>
              <w:rPr>
                <w:noProof/>
              </w:rPr>
            </w:pPr>
            <w:r w:rsidRPr="00AF241B">
              <w:rPr>
                <w:noProof/>
              </w:rPr>
              <w:t>Lager middelbaar onderwijs of minder</w:t>
            </w:r>
            <w:r w:rsidRPr="00AF241B">
              <w:rPr>
                <w:rStyle w:val="FootnoteReference"/>
                <w:noProof/>
              </w:rPr>
              <w:footnoteReference w:id="21"/>
            </w:r>
            <w:r w:rsidRPr="00AF241B">
              <w:rPr>
                <w:noProof/>
              </w:rPr>
              <w:t xml:space="preserve"> </w:t>
            </w:r>
          </w:p>
        </w:tc>
        <w:tc>
          <w:tcPr>
            <w:tcW w:w="1176" w:type="dxa"/>
            <w:tcBorders>
              <w:top w:val="single" w:sz="4" w:space="0" w:color="auto"/>
              <w:left w:val="nil"/>
              <w:bottom w:val="nil"/>
              <w:right w:val="nil"/>
            </w:tcBorders>
          </w:tcPr>
          <w:p w:rsidR="005C2354" w:rsidRPr="00AF241B" w:rsidRDefault="00F05548" w:rsidP="005C2354">
            <w:pPr>
              <w:spacing w:before="60" w:after="60"/>
              <w:jc w:val="right"/>
              <w:rPr>
                <w:noProof/>
              </w:rPr>
            </w:pPr>
            <w:r w:rsidRPr="001D3039">
              <w:rPr>
                <w:noProof/>
              </w:rPr>
              <w:t>110</w:t>
            </w:r>
          </w:p>
        </w:tc>
        <w:tc>
          <w:tcPr>
            <w:tcW w:w="1176" w:type="dxa"/>
            <w:tcBorders>
              <w:top w:val="single" w:sz="4" w:space="0" w:color="auto"/>
              <w:left w:val="nil"/>
              <w:bottom w:val="nil"/>
              <w:right w:val="nil"/>
            </w:tcBorders>
          </w:tcPr>
          <w:p w:rsidR="005C2354" w:rsidRPr="00AF241B" w:rsidRDefault="005C2354" w:rsidP="005C2354">
            <w:pPr>
              <w:spacing w:before="60" w:after="60"/>
              <w:jc w:val="right"/>
              <w:rPr>
                <w:rFonts w:eastAsia="Calibri"/>
                <w:noProof/>
              </w:rPr>
            </w:pPr>
            <w:r w:rsidRPr="00AF241B">
              <w:rPr>
                <w:noProof/>
              </w:rPr>
              <w:t>(</w:t>
            </w:r>
            <w:r w:rsidRPr="001D3039">
              <w:rPr>
                <w:noProof/>
              </w:rPr>
              <w:t>30</w:t>
            </w:r>
            <w:r w:rsidRPr="00AF241B">
              <w:rPr>
                <w:noProof/>
              </w:rPr>
              <w:t>,</w:t>
            </w:r>
            <w:r w:rsidRPr="001D3039">
              <w:rPr>
                <w:noProof/>
              </w:rPr>
              <w:t>1</w:t>
            </w:r>
            <w:r w:rsidRPr="00AF241B">
              <w:rPr>
                <w:noProof/>
              </w:rPr>
              <w:t> %)</w:t>
            </w:r>
          </w:p>
        </w:tc>
      </w:tr>
      <w:tr w:rsidR="005C2354" w:rsidRPr="00AF241B" w:rsidTr="007244BC">
        <w:trPr>
          <w:jc w:val="center"/>
        </w:trPr>
        <w:tc>
          <w:tcPr>
            <w:tcW w:w="1496" w:type="dxa"/>
            <w:tcBorders>
              <w:top w:val="nil"/>
              <w:left w:val="nil"/>
              <w:right w:val="nil"/>
            </w:tcBorders>
          </w:tcPr>
          <w:p w:rsidR="005C2354" w:rsidRPr="00AF241B" w:rsidRDefault="005C2354" w:rsidP="005C2354">
            <w:pPr>
              <w:spacing w:before="60" w:after="60"/>
              <w:rPr>
                <w:noProof/>
              </w:rPr>
            </w:pPr>
          </w:p>
        </w:tc>
        <w:tc>
          <w:tcPr>
            <w:tcW w:w="2063" w:type="dxa"/>
            <w:tcBorders>
              <w:top w:val="nil"/>
              <w:left w:val="nil"/>
              <w:right w:val="nil"/>
            </w:tcBorders>
          </w:tcPr>
          <w:p w:rsidR="005C2354" w:rsidRPr="00AF241B" w:rsidRDefault="005C2354" w:rsidP="005C2354">
            <w:pPr>
              <w:spacing w:before="60" w:after="60"/>
              <w:rPr>
                <w:noProof/>
              </w:rPr>
            </w:pPr>
            <w:r w:rsidRPr="00AF241B">
              <w:rPr>
                <w:noProof/>
              </w:rPr>
              <w:t>Hoger middelbaar</w:t>
            </w:r>
            <w:r w:rsidRPr="00AF241B">
              <w:rPr>
                <w:rStyle w:val="FootnoteReference"/>
                <w:noProof/>
              </w:rPr>
              <w:footnoteReference w:id="22"/>
            </w:r>
            <w:r w:rsidRPr="00AF241B">
              <w:rPr>
                <w:noProof/>
              </w:rPr>
              <w:t xml:space="preserve"> of postsecundair onderwijs</w:t>
            </w:r>
            <w:r w:rsidRPr="00AF241B">
              <w:rPr>
                <w:rStyle w:val="FootnoteReference"/>
                <w:noProof/>
              </w:rPr>
              <w:footnoteReference w:id="23"/>
            </w:r>
          </w:p>
        </w:tc>
        <w:tc>
          <w:tcPr>
            <w:tcW w:w="1176" w:type="dxa"/>
            <w:tcBorders>
              <w:top w:val="nil"/>
              <w:left w:val="nil"/>
              <w:right w:val="nil"/>
            </w:tcBorders>
          </w:tcPr>
          <w:p w:rsidR="005C2354" w:rsidRPr="00AF241B" w:rsidRDefault="00F05548" w:rsidP="005C2354">
            <w:pPr>
              <w:spacing w:before="60" w:after="60"/>
              <w:jc w:val="right"/>
              <w:rPr>
                <w:noProof/>
              </w:rPr>
            </w:pPr>
            <w:r w:rsidRPr="001D3039">
              <w:rPr>
                <w:noProof/>
              </w:rPr>
              <w:t>192</w:t>
            </w:r>
          </w:p>
        </w:tc>
        <w:tc>
          <w:tcPr>
            <w:tcW w:w="1176" w:type="dxa"/>
            <w:tcBorders>
              <w:top w:val="nil"/>
              <w:left w:val="nil"/>
              <w:right w:val="nil"/>
            </w:tcBorders>
          </w:tcPr>
          <w:p w:rsidR="005C2354" w:rsidRPr="00AF241B" w:rsidRDefault="005C2354" w:rsidP="005C2354">
            <w:pPr>
              <w:spacing w:before="60" w:after="60"/>
              <w:jc w:val="right"/>
              <w:rPr>
                <w:rFonts w:eastAsia="Calibri"/>
                <w:noProof/>
              </w:rPr>
            </w:pPr>
            <w:r w:rsidRPr="00AF241B">
              <w:rPr>
                <w:noProof/>
              </w:rPr>
              <w:t>(</w:t>
            </w:r>
            <w:r w:rsidRPr="001D3039">
              <w:rPr>
                <w:noProof/>
              </w:rPr>
              <w:t>52</w:t>
            </w:r>
            <w:r w:rsidRPr="00AF241B">
              <w:rPr>
                <w:noProof/>
              </w:rPr>
              <w:t>,</w:t>
            </w:r>
            <w:r w:rsidRPr="001D3039">
              <w:rPr>
                <w:noProof/>
              </w:rPr>
              <w:t>6</w:t>
            </w:r>
            <w:r w:rsidRPr="00AF241B">
              <w:rPr>
                <w:noProof/>
              </w:rPr>
              <w:t> %)</w:t>
            </w:r>
          </w:p>
        </w:tc>
      </w:tr>
      <w:tr w:rsidR="005C2354" w:rsidRPr="00AF241B" w:rsidTr="007244BC">
        <w:trPr>
          <w:jc w:val="center"/>
        </w:trPr>
        <w:tc>
          <w:tcPr>
            <w:tcW w:w="1496" w:type="dxa"/>
            <w:tcBorders>
              <w:top w:val="nil"/>
              <w:left w:val="nil"/>
              <w:bottom w:val="single" w:sz="4" w:space="0" w:color="auto"/>
              <w:right w:val="nil"/>
            </w:tcBorders>
          </w:tcPr>
          <w:p w:rsidR="005C2354" w:rsidRPr="00AF241B" w:rsidRDefault="005C2354" w:rsidP="005C2354">
            <w:pPr>
              <w:spacing w:before="60" w:after="60"/>
              <w:rPr>
                <w:noProof/>
              </w:rPr>
            </w:pPr>
          </w:p>
        </w:tc>
        <w:tc>
          <w:tcPr>
            <w:tcW w:w="2063" w:type="dxa"/>
            <w:tcBorders>
              <w:top w:val="nil"/>
              <w:left w:val="nil"/>
              <w:bottom w:val="single" w:sz="4" w:space="0" w:color="auto"/>
              <w:right w:val="nil"/>
            </w:tcBorders>
          </w:tcPr>
          <w:p w:rsidR="005C2354" w:rsidRPr="00AF241B" w:rsidRDefault="005C2354" w:rsidP="005C2354">
            <w:pPr>
              <w:spacing w:before="60" w:after="60"/>
              <w:rPr>
                <w:noProof/>
              </w:rPr>
            </w:pPr>
            <w:r w:rsidRPr="00AF241B">
              <w:rPr>
                <w:noProof/>
              </w:rPr>
              <w:t>Tertiair onderwijs</w:t>
            </w:r>
            <w:r w:rsidRPr="00AF241B">
              <w:rPr>
                <w:rStyle w:val="FootnoteReference"/>
                <w:noProof/>
              </w:rPr>
              <w:footnoteReference w:id="24"/>
            </w:r>
          </w:p>
        </w:tc>
        <w:tc>
          <w:tcPr>
            <w:tcW w:w="1176" w:type="dxa"/>
            <w:tcBorders>
              <w:top w:val="nil"/>
              <w:left w:val="nil"/>
              <w:bottom w:val="single" w:sz="4" w:space="0" w:color="auto"/>
              <w:right w:val="nil"/>
            </w:tcBorders>
          </w:tcPr>
          <w:p w:rsidR="005C2354" w:rsidRPr="00AF241B" w:rsidRDefault="00B24BEA" w:rsidP="005C2354">
            <w:pPr>
              <w:spacing w:before="60" w:after="60"/>
              <w:jc w:val="right"/>
              <w:rPr>
                <w:noProof/>
              </w:rPr>
            </w:pPr>
            <w:r w:rsidRPr="001D3039">
              <w:rPr>
                <w:noProof/>
              </w:rPr>
              <w:t>63</w:t>
            </w:r>
          </w:p>
        </w:tc>
        <w:tc>
          <w:tcPr>
            <w:tcW w:w="1176" w:type="dxa"/>
            <w:tcBorders>
              <w:top w:val="nil"/>
              <w:left w:val="nil"/>
              <w:bottom w:val="single" w:sz="4" w:space="0" w:color="auto"/>
              <w:right w:val="nil"/>
            </w:tcBorders>
          </w:tcPr>
          <w:p w:rsidR="005C2354" w:rsidRPr="00AF241B" w:rsidRDefault="005C2354" w:rsidP="005C2354">
            <w:pPr>
              <w:spacing w:before="60" w:after="60"/>
              <w:jc w:val="right"/>
              <w:rPr>
                <w:rFonts w:eastAsia="Calibri"/>
                <w:noProof/>
              </w:rPr>
            </w:pPr>
            <w:r w:rsidRPr="00AF241B">
              <w:rPr>
                <w:noProof/>
              </w:rPr>
              <w:t>(</w:t>
            </w:r>
            <w:r w:rsidRPr="001D3039">
              <w:rPr>
                <w:noProof/>
              </w:rPr>
              <w:t>17</w:t>
            </w:r>
            <w:r w:rsidRPr="00AF241B">
              <w:rPr>
                <w:noProof/>
              </w:rPr>
              <w:t>,</w:t>
            </w:r>
            <w:r w:rsidRPr="001D3039">
              <w:rPr>
                <w:noProof/>
              </w:rPr>
              <w:t>3</w:t>
            </w:r>
            <w:r w:rsidRPr="00AF241B">
              <w:rPr>
                <w:noProof/>
              </w:rPr>
              <w:t> %)</w:t>
            </w:r>
          </w:p>
        </w:tc>
      </w:tr>
    </w:tbl>
    <w:p w:rsidR="00252AC6" w:rsidRPr="00AF241B" w:rsidRDefault="00FF75EB" w:rsidP="00252AC6">
      <w:pPr>
        <w:pStyle w:val="ManualHeading3"/>
        <w:rPr>
          <w:noProof/>
          <w:u w:val="single"/>
        </w:rPr>
      </w:pPr>
      <w:r w:rsidRPr="00AF241B">
        <w:rPr>
          <w:noProof/>
        </w:rPr>
        <w:t>Voorgestelde maatregelen</w:t>
      </w:r>
    </w:p>
    <w:p w:rsidR="00252AC6" w:rsidRPr="00AF241B" w:rsidRDefault="00CB0C8E" w:rsidP="00CB0C8E">
      <w:pPr>
        <w:pStyle w:val="ManualNumPar1"/>
        <w:rPr>
          <w:noProof/>
        </w:rPr>
      </w:pPr>
      <w:bookmarkStart w:id="11" w:name="_Ref372214239"/>
      <w:r w:rsidRPr="00CB0C8E">
        <w:rPr>
          <w:noProof/>
        </w:rPr>
        <w:t>33.</w:t>
      </w:r>
      <w:r w:rsidRPr="00CB0C8E">
        <w:rPr>
          <w:noProof/>
        </w:rPr>
        <w:tab/>
      </w:r>
      <w:r w:rsidR="00930B53" w:rsidRPr="00AF241B">
        <w:rPr>
          <w:noProof/>
        </w:rPr>
        <w:t>Overeenkomstig artikel </w:t>
      </w:r>
      <w:r w:rsidR="00930B53" w:rsidRPr="001D3039">
        <w:rPr>
          <w:noProof/>
        </w:rPr>
        <w:t>8</w:t>
      </w:r>
      <w:r w:rsidR="00930B53" w:rsidRPr="00AF241B">
        <w:rPr>
          <w:noProof/>
        </w:rPr>
        <w:t>, lid </w:t>
      </w:r>
      <w:r w:rsidR="00930B53" w:rsidRPr="001D3039">
        <w:rPr>
          <w:noProof/>
        </w:rPr>
        <w:t>7</w:t>
      </w:r>
      <w:r w:rsidR="00930B53" w:rsidRPr="00AF241B">
        <w:rPr>
          <w:noProof/>
        </w:rPr>
        <w:t>, punt</w:t>
      </w:r>
      <w:r w:rsidR="000A0F05">
        <w:rPr>
          <w:noProof/>
        </w:rPr>
        <w:t> </w:t>
      </w:r>
      <w:r w:rsidR="00930B53" w:rsidRPr="00AF241B">
        <w:rPr>
          <w:noProof/>
        </w:rPr>
        <w:t xml:space="preserve">h), van Verordening (EU) </w:t>
      </w:r>
      <w:r w:rsidR="00930B53" w:rsidRPr="001D3039">
        <w:rPr>
          <w:noProof/>
        </w:rPr>
        <w:t>2021</w:t>
      </w:r>
      <w:r w:rsidR="00930B53" w:rsidRPr="00AF241B">
        <w:rPr>
          <w:noProof/>
        </w:rPr>
        <w:t>/</w:t>
      </w:r>
      <w:r w:rsidR="00930B53" w:rsidRPr="001D3039">
        <w:rPr>
          <w:noProof/>
        </w:rPr>
        <w:t>691</w:t>
      </w:r>
      <w:r w:rsidR="00930B53" w:rsidRPr="00AF241B">
        <w:rPr>
          <w:noProof/>
        </w:rPr>
        <w:t xml:space="preserve"> bestaat het gepersonaliseerde gecoördineerde pakket dat aan ontslagen werknemers moet worden verstrekt uit de volgende maatregelen:</w:t>
      </w:r>
      <w:bookmarkEnd w:id="11"/>
    </w:p>
    <w:p w:rsidR="00252AC6" w:rsidRPr="00AF241B" w:rsidRDefault="008B5BC0" w:rsidP="003C2969">
      <w:pPr>
        <w:pStyle w:val="Tiret1"/>
        <w:numPr>
          <w:ilvl w:val="0"/>
          <w:numId w:val="11"/>
        </w:numPr>
        <w:rPr>
          <w:noProof/>
        </w:rPr>
      </w:pPr>
      <w:r w:rsidRPr="00AF241B">
        <w:rPr>
          <w:noProof/>
          <w:u w:val="single"/>
        </w:rPr>
        <w:t>Voorlichting en loopbaan- en outplacementbegeleiding</w:t>
      </w:r>
      <w:r w:rsidRPr="00AF241B">
        <w:rPr>
          <w:noProof/>
        </w:rPr>
        <w:t>: deze reeks diensten vormt een uitbreiding op de standaardactiviteiten ter ondersteuning van de voormalige werknemers van Match-Smatch door de tewerkstellingscel van Le Forem namens de onderneming waar de ontslagen vallen. Het standaardaanbod zal worden verlengd tot na de verplichte periode en er zullen aanvullende specifieke diensten worden voorgesteld, zoals individuele coaching en actieve arbeidsvoorziening en -bemiddeling.</w:t>
      </w:r>
    </w:p>
    <w:p w:rsidR="005D57B7" w:rsidRPr="00AF241B" w:rsidRDefault="008B5BC0" w:rsidP="005D57B7">
      <w:pPr>
        <w:pStyle w:val="Tiret1"/>
        <w:rPr>
          <w:noProof/>
        </w:rPr>
      </w:pPr>
      <w:r w:rsidRPr="00AF241B">
        <w:rPr>
          <w:noProof/>
          <w:u w:val="single"/>
        </w:rPr>
        <w:t>Opleiding, omscholing en beroepsopleiding</w:t>
      </w:r>
      <w:r w:rsidRPr="00AF241B">
        <w:rPr>
          <w:noProof/>
        </w:rPr>
        <w:t>: de werknemers zullen toegang hebben tot het standaardopleidingsaanbod van Le Forem en zijn partners. Bovendien zullen na de profilering en de validering van individuele projecten met de beroepsconsulent door het EGF medegefinancierde specifieke opleidingen op maat van de werknemers worden aangeboden.</w:t>
      </w:r>
    </w:p>
    <w:p w:rsidR="005D57B7" w:rsidRPr="00AF241B" w:rsidRDefault="00703A76" w:rsidP="005D57B7">
      <w:pPr>
        <w:pStyle w:val="Tiret1"/>
        <w:rPr>
          <w:noProof/>
        </w:rPr>
      </w:pPr>
      <w:r w:rsidRPr="00AF241B">
        <w:rPr>
          <w:noProof/>
          <w:u w:val="single"/>
        </w:rPr>
        <w:t>Ondersteuning bij het opzetten van een bedrijf</w:t>
      </w:r>
      <w:r w:rsidRPr="00AF241B">
        <w:rPr>
          <w:noProof/>
        </w:rPr>
        <w:t>: deze maatregel is gericht op werknemers die hun eigen bedrijf willen opstarten. Hij omvat een diagnose- en begeleidingsfase, bewustmakingsacties op het gebied van ondernemerschap, informatiesessies over de mogelijkheden om een bedrijf op te zetten door middel van territoriale economische diagnoses en netwerken met relevante ondernemers en met gecertificeerde coaches bij de oprichting van een bedrijf.</w:t>
      </w:r>
    </w:p>
    <w:p w:rsidR="00755E62" w:rsidRPr="00AF241B" w:rsidRDefault="00D16908" w:rsidP="00214915">
      <w:pPr>
        <w:pStyle w:val="Tiret1"/>
        <w:rPr>
          <w:noProof/>
        </w:rPr>
      </w:pPr>
      <w:r w:rsidRPr="00AF241B">
        <w:rPr>
          <w:noProof/>
          <w:u w:val="single"/>
        </w:rPr>
        <w:t>Bijdrage voor het opzetten van een bedrijf</w:t>
      </w:r>
      <w:r w:rsidRPr="00AF241B">
        <w:rPr>
          <w:noProof/>
        </w:rPr>
        <w:t xml:space="preserve">: werknemers die een bedrijf opstarten of een activiteit als zelfstandige beginnen, ontvangen een bijdrage van maximaal </w:t>
      </w:r>
      <w:r w:rsidRPr="001D3039">
        <w:rPr>
          <w:noProof/>
        </w:rPr>
        <w:t>15</w:t>
      </w:r>
      <w:r w:rsidRPr="00AF241B">
        <w:rPr>
          <w:noProof/>
        </w:rPr>
        <w:t> </w:t>
      </w:r>
      <w:r w:rsidRPr="001D3039">
        <w:rPr>
          <w:noProof/>
        </w:rPr>
        <w:t>000</w:t>
      </w:r>
      <w:r w:rsidRPr="00AF241B">
        <w:rPr>
          <w:noProof/>
        </w:rPr>
        <w:t> EUR. De bijdrage wordt betaald in twee tranches, nadat het begin en de ontwikkeling van de bedrijfsactiviteiten met bewijsstukken zijn aangetoond.</w:t>
      </w:r>
    </w:p>
    <w:p w:rsidR="003736CE" w:rsidRPr="00AF241B" w:rsidRDefault="00F93AC5" w:rsidP="00214915">
      <w:pPr>
        <w:pStyle w:val="Tiret1"/>
        <w:rPr>
          <w:noProof/>
        </w:rPr>
      </w:pPr>
      <w:r w:rsidRPr="00AF241B">
        <w:rPr>
          <w:noProof/>
          <w:u w:val="single"/>
        </w:rPr>
        <w:t>Stimulansen en toelagen</w:t>
      </w:r>
      <w:r w:rsidRPr="00AF241B">
        <w:rPr>
          <w:noProof/>
        </w:rPr>
        <w:t xml:space="preserve">: </w:t>
      </w:r>
      <w:r w:rsidRPr="001D3039">
        <w:rPr>
          <w:noProof/>
        </w:rPr>
        <w:t>1</w:t>
      </w:r>
      <w:r w:rsidRPr="00AF241B">
        <w:rPr>
          <w:noProof/>
        </w:rPr>
        <w:t>) </w:t>
      </w:r>
      <w:r w:rsidRPr="00AF241B">
        <w:rPr>
          <w:b/>
          <w:noProof/>
        </w:rPr>
        <w:t>Toelagen voor het zoeken naar werk en opleidingen</w:t>
      </w:r>
      <w:r w:rsidRPr="00AF241B">
        <w:rPr>
          <w:noProof/>
        </w:rPr>
        <w:t xml:space="preserve">. De werknemers ontvangen </w:t>
      </w:r>
      <w:r w:rsidRPr="001D3039">
        <w:rPr>
          <w:noProof/>
        </w:rPr>
        <w:t>2</w:t>
      </w:r>
      <w:r w:rsidRPr="00AF241B">
        <w:rPr>
          <w:noProof/>
        </w:rPr>
        <w:t xml:space="preserve"> EUR per uur voor daadwerkelijke deelname aan een opleiding of activiteiten in verband met het zoeken naar een baan. </w:t>
      </w:r>
      <w:r w:rsidRPr="001D3039">
        <w:rPr>
          <w:noProof/>
        </w:rPr>
        <w:t>2</w:t>
      </w:r>
      <w:r w:rsidRPr="00AF241B">
        <w:rPr>
          <w:noProof/>
        </w:rPr>
        <w:t>) </w:t>
      </w:r>
      <w:r w:rsidRPr="00AF241B">
        <w:rPr>
          <w:b/>
          <w:noProof/>
        </w:rPr>
        <w:t>Bonus voor het verbeteren van IT-vaardigheden</w:t>
      </w:r>
      <w:r w:rsidRPr="00AF241B">
        <w:rPr>
          <w:noProof/>
        </w:rPr>
        <w:t xml:space="preserve">. Werknemers die zowel de module voor toegang tot digitale autonomie als de aanvullende module volgen, ontvangen een vast bedrag van </w:t>
      </w:r>
      <w:r w:rsidRPr="001D3039">
        <w:rPr>
          <w:noProof/>
        </w:rPr>
        <w:t>700</w:t>
      </w:r>
      <w:r w:rsidRPr="00AF241B">
        <w:rPr>
          <w:noProof/>
        </w:rPr>
        <w:t xml:space="preserve"> EUR op voorwaarde dat zij actief deelnemen aan de opleiding en deze ook voltooien. De bonus is bedoeld om digitaal analfabetisme te verminderen door werknemers aan te moedigen hun IT-vaardigheden te verbeteren. </w:t>
      </w:r>
      <w:r w:rsidRPr="001D3039">
        <w:rPr>
          <w:noProof/>
        </w:rPr>
        <w:t>3</w:t>
      </w:r>
      <w:r w:rsidRPr="00AF241B">
        <w:rPr>
          <w:noProof/>
        </w:rPr>
        <w:t>) </w:t>
      </w:r>
      <w:r w:rsidRPr="00AF241B">
        <w:rPr>
          <w:b/>
          <w:noProof/>
        </w:rPr>
        <w:t>Bonus voor het verbeteren van de taalvaardigheden</w:t>
      </w:r>
      <w:r w:rsidRPr="00AF241B">
        <w:rPr>
          <w:noProof/>
        </w:rPr>
        <w:t xml:space="preserve">. Werknemers die een taalopleiding volgen om hun vaardigheden in het Nederlands, Engels of Duits te verbeteren in het kader van een specifieke zoektocht naar een baan, waardoor zij een hoger niveau van het gemeenschappelijk Europees referentiekader voor talen kunnen bereiken, ontvangen een vast bedrag van </w:t>
      </w:r>
      <w:r w:rsidRPr="001D3039">
        <w:rPr>
          <w:noProof/>
        </w:rPr>
        <w:t>700</w:t>
      </w:r>
      <w:r w:rsidRPr="00AF241B">
        <w:rPr>
          <w:noProof/>
        </w:rPr>
        <w:t xml:space="preserve"> EUR. Hetzelfde geldt voor werknemers van wie de moedertaal niet de Franse taal is en die hun Franse vaardigheden naar een hoger niveau tillen. Het doel van deze bonus is de ontwikkeling van interdisciplinaire taalvaardigheden aan te moedigen om de re-integratie van werknemers op de arbeidsmarkt te vergemakkelijken. </w:t>
      </w:r>
      <w:r w:rsidRPr="001D3039">
        <w:rPr>
          <w:noProof/>
        </w:rPr>
        <w:t>4</w:t>
      </w:r>
      <w:r w:rsidRPr="00AF241B">
        <w:rPr>
          <w:noProof/>
        </w:rPr>
        <w:t>) </w:t>
      </w:r>
      <w:r w:rsidRPr="00AF241B">
        <w:rPr>
          <w:b/>
          <w:noProof/>
        </w:rPr>
        <w:t>Toelage om opnieuw onderwijs te volgen</w:t>
      </w:r>
      <w:r w:rsidRPr="00AF241B">
        <w:rPr>
          <w:noProof/>
        </w:rPr>
        <w:t xml:space="preserve">. Een maandelijkse toelage van </w:t>
      </w:r>
      <w:r w:rsidRPr="001D3039">
        <w:rPr>
          <w:noProof/>
        </w:rPr>
        <w:t>350</w:t>
      </w:r>
      <w:r w:rsidRPr="00AF241B">
        <w:rPr>
          <w:noProof/>
        </w:rPr>
        <w:t xml:space="preserve"> EUR wordt toegekend aan werknemers die voltijds secundair en tertiair onderwijs volgen of een kwalificerende opleiding volgen, ongeacht hun leeftijd. </w:t>
      </w:r>
      <w:r w:rsidRPr="001D3039">
        <w:rPr>
          <w:noProof/>
        </w:rPr>
        <w:t>5</w:t>
      </w:r>
      <w:r w:rsidRPr="00AF241B">
        <w:rPr>
          <w:noProof/>
        </w:rPr>
        <w:t>) </w:t>
      </w:r>
      <w:r w:rsidRPr="00AF241B">
        <w:rPr>
          <w:b/>
          <w:noProof/>
        </w:rPr>
        <w:t>Toelage voor het opzetten van een bedrijf</w:t>
      </w:r>
      <w:r w:rsidRPr="00AF241B">
        <w:rPr>
          <w:noProof/>
        </w:rPr>
        <w:t>. Om werknemers bij het opzetten van een bedrijf te ondersteunen, wordt gedurende maximaal twaalf maanden</w:t>
      </w:r>
      <w:r w:rsidRPr="00AF241B">
        <w:rPr>
          <w:rStyle w:val="FootnoteReference"/>
          <w:noProof/>
        </w:rPr>
        <w:footnoteReference w:id="25"/>
      </w:r>
      <w:r w:rsidRPr="00AF241B">
        <w:rPr>
          <w:noProof/>
        </w:rPr>
        <w:t xml:space="preserve"> een maandelijkse toelage van </w:t>
      </w:r>
      <w:r w:rsidRPr="001D3039">
        <w:rPr>
          <w:noProof/>
        </w:rPr>
        <w:t>350</w:t>
      </w:r>
      <w:r w:rsidRPr="00AF241B">
        <w:rPr>
          <w:noProof/>
        </w:rPr>
        <w:t xml:space="preserve"> EUR toegekend. </w:t>
      </w:r>
      <w:r w:rsidRPr="001D3039">
        <w:rPr>
          <w:noProof/>
        </w:rPr>
        <w:t>6</w:t>
      </w:r>
      <w:r w:rsidRPr="00AF241B">
        <w:rPr>
          <w:noProof/>
        </w:rPr>
        <w:t>) </w:t>
      </w:r>
      <w:r w:rsidRPr="00AF241B">
        <w:rPr>
          <w:b/>
          <w:noProof/>
        </w:rPr>
        <w:t>Aanmoedigingspremie voor het aanwerven van werknemers</w:t>
      </w:r>
      <w:r w:rsidRPr="00AF241B">
        <w:rPr>
          <w:noProof/>
        </w:rPr>
        <w:t xml:space="preserve">. Ondernemingen die voormalige werknemers van Match-Smatch van vijftig jaar en ouder aanwerven, ontvangen </w:t>
      </w:r>
      <w:r w:rsidRPr="001D3039">
        <w:rPr>
          <w:noProof/>
        </w:rPr>
        <w:t>10</w:t>
      </w:r>
      <w:r w:rsidRPr="00AF241B">
        <w:rPr>
          <w:noProof/>
        </w:rPr>
        <w:t> </w:t>
      </w:r>
      <w:r w:rsidRPr="001D3039">
        <w:rPr>
          <w:noProof/>
        </w:rPr>
        <w:t>000</w:t>
      </w:r>
      <w:r w:rsidRPr="00AF241B">
        <w:rPr>
          <w:noProof/>
        </w:rPr>
        <w:t> EUR voor voltijdse arbeidscontracten voor onbepaalde tijd of voor bepaalde tijd tot zes maanden, gevolgd door vaste contracten.</w:t>
      </w:r>
    </w:p>
    <w:p w:rsidR="00252AC6" w:rsidRPr="00AF241B" w:rsidRDefault="00CB0C8E" w:rsidP="00CB0C8E">
      <w:pPr>
        <w:pStyle w:val="ManualNumPar1"/>
        <w:rPr>
          <w:noProof/>
        </w:rPr>
      </w:pPr>
      <w:r w:rsidRPr="00CB0C8E">
        <w:rPr>
          <w:noProof/>
        </w:rPr>
        <w:t>34.</w:t>
      </w:r>
      <w:r w:rsidRPr="00CB0C8E">
        <w:rPr>
          <w:noProof/>
        </w:rPr>
        <w:tab/>
      </w:r>
      <w:r w:rsidR="00335FD0" w:rsidRPr="00AF241B">
        <w:rPr>
          <w:noProof/>
        </w:rPr>
        <w:t>De bovengenoemde opleiding voor het verwerven van digitale autonomie die een aanvulling vormt op de standaardopleiding van Le Forem voor de ontwikkeling van digitale vaardigheden, evenals een module over de circulaire economie en een efficiënt gebruik van hulpbronnen, zijn in overeenstemming met de vereisten van artikel </w:t>
      </w:r>
      <w:r w:rsidR="00335FD0" w:rsidRPr="001D3039">
        <w:rPr>
          <w:noProof/>
        </w:rPr>
        <w:t>7</w:t>
      </w:r>
      <w:r w:rsidR="00335FD0" w:rsidRPr="00AF241B">
        <w:rPr>
          <w:noProof/>
        </w:rPr>
        <w:t>, lid </w:t>
      </w:r>
      <w:r w:rsidR="00335FD0" w:rsidRPr="001D3039">
        <w:rPr>
          <w:noProof/>
        </w:rPr>
        <w:t>2</w:t>
      </w:r>
      <w:r w:rsidR="00335FD0" w:rsidRPr="00AF241B">
        <w:rPr>
          <w:noProof/>
        </w:rPr>
        <w:t xml:space="preserve">, van Verordening (EU) </w:t>
      </w:r>
      <w:r w:rsidR="00335FD0" w:rsidRPr="001D3039">
        <w:rPr>
          <w:noProof/>
        </w:rPr>
        <w:t>2021</w:t>
      </w:r>
      <w:r w:rsidR="00335FD0" w:rsidRPr="00AF241B">
        <w:rPr>
          <w:noProof/>
        </w:rPr>
        <w:t>/</w:t>
      </w:r>
      <w:r w:rsidR="00335FD0" w:rsidRPr="001D3039">
        <w:rPr>
          <w:noProof/>
        </w:rPr>
        <w:t>691</w:t>
      </w:r>
      <w:r w:rsidR="00335FD0" w:rsidRPr="00AF241B">
        <w:rPr>
          <w:noProof/>
        </w:rPr>
        <w:t>. De module over de circulaire economie en een efficiënt gebruik van hulpbronnen die is ontwikkeld voor voormalige werknemers van Swissport (EGF/</w:t>
      </w:r>
      <w:r w:rsidR="00335FD0" w:rsidRPr="001D3039">
        <w:rPr>
          <w:noProof/>
        </w:rPr>
        <w:t>2020</w:t>
      </w:r>
      <w:r w:rsidR="00335FD0" w:rsidRPr="00AF241B">
        <w:rPr>
          <w:noProof/>
        </w:rPr>
        <w:t>/</w:t>
      </w:r>
      <w:r w:rsidR="00335FD0" w:rsidRPr="001D3039">
        <w:rPr>
          <w:noProof/>
        </w:rPr>
        <w:t>005</w:t>
      </w:r>
      <w:r w:rsidR="00335FD0" w:rsidRPr="00AF241B">
        <w:rPr>
          <w:noProof/>
        </w:rPr>
        <w:t> BE)</w:t>
      </w:r>
      <w:r w:rsidR="00335FD0" w:rsidRPr="00AF241B">
        <w:rPr>
          <w:rStyle w:val="FootnoteReference"/>
          <w:noProof/>
        </w:rPr>
        <w:footnoteReference w:id="26"/>
      </w:r>
      <w:r w:rsidR="00335FD0" w:rsidRPr="00AF241B">
        <w:rPr>
          <w:noProof/>
        </w:rPr>
        <w:t xml:space="preserve"> maakt nu deel uit van het standaard opleidingsaanbod van Le Forem dat wordt medegefinancierd door het ESF+. Daarom neemt dit voorstel die module niet op in de begroting. De module over de circulaire economie wordt aangevuld met een module over de sociale economie die ook is ontwikkeld in het kader van een EFG-dossier</w:t>
      </w:r>
      <w:r w:rsidR="00335FD0" w:rsidRPr="00AF241B">
        <w:rPr>
          <w:rStyle w:val="FootnoteReference"/>
          <w:noProof/>
        </w:rPr>
        <w:footnoteReference w:id="27"/>
      </w:r>
      <w:r w:rsidR="00335FD0" w:rsidRPr="00AF241B">
        <w:rPr>
          <w:noProof/>
        </w:rPr>
        <w:t>.</w:t>
      </w:r>
    </w:p>
    <w:p w:rsidR="00252AC6" w:rsidRPr="00AF241B" w:rsidRDefault="00CB0C8E" w:rsidP="00CB0C8E">
      <w:pPr>
        <w:pStyle w:val="ManualNumPar1"/>
        <w:rPr>
          <w:noProof/>
        </w:rPr>
      </w:pPr>
      <w:bookmarkStart w:id="12" w:name="_Ref372214242"/>
      <w:r w:rsidRPr="00CB0C8E">
        <w:rPr>
          <w:noProof/>
        </w:rPr>
        <w:t>35.</w:t>
      </w:r>
      <w:r w:rsidRPr="00CB0C8E">
        <w:rPr>
          <w:noProof/>
        </w:rPr>
        <w:tab/>
      </w:r>
      <w:r w:rsidR="00C96520" w:rsidRPr="00AF241B">
        <w:rPr>
          <w:noProof/>
        </w:rPr>
        <w:t>De hier voorgestelde maatregelen zijn actieve arbeidsmarktbeleidsmaatregelen die behoren tot de in artikel</w:t>
      </w:r>
      <w:r w:rsidR="000A0F05">
        <w:rPr>
          <w:noProof/>
        </w:rPr>
        <w:t> </w:t>
      </w:r>
      <w:r w:rsidR="00C96520" w:rsidRPr="001D3039">
        <w:rPr>
          <w:noProof/>
        </w:rPr>
        <w:t>7</w:t>
      </w:r>
      <w:r w:rsidR="00C96520" w:rsidRPr="00AF241B">
        <w:rPr>
          <w:noProof/>
        </w:rPr>
        <w:t xml:space="preserve"> van Verordening (EU) </w:t>
      </w:r>
      <w:r w:rsidR="00C96520" w:rsidRPr="001D3039">
        <w:rPr>
          <w:noProof/>
        </w:rPr>
        <w:t>2021</w:t>
      </w:r>
      <w:r w:rsidR="00C96520" w:rsidRPr="00AF241B">
        <w:rPr>
          <w:noProof/>
        </w:rPr>
        <w:t>/</w:t>
      </w:r>
      <w:r w:rsidR="00C96520" w:rsidRPr="001D3039">
        <w:rPr>
          <w:noProof/>
        </w:rPr>
        <w:t>691</w:t>
      </w:r>
      <w:r w:rsidR="00C96520" w:rsidRPr="00AF241B">
        <w:rPr>
          <w:noProof/>
        </w:rPr>
        <w:t xml:space="preserve"> vastgestelde voor een financiële bijdrage in aanmerking komende maatregelen. Deze maatregelen komen niet in de plaats van maatregelen die gericht zijn op passieve sociale bescherming.</w:t>
      </w:r>
    </w:p>
    <w:p w:rsidR="004545BE" w:rsidRPr="00AF241B" w:rsidRDefault="00CB0C8E" w:rsidP="00CB0C8E">
      <w:pPr>
        <w:pStyle w:val="ManualNumPar1"/>
        <w:rPr>
          <w:noProof/>
        </w:rPr>
      </w:pPr>
      <w:r w:rsidRPr="00CB0C8E">
        <w:rPr>
          <w:noProof/>
        </w:rPr>
        <w:t>36.</w:t>
      </w:r>
      <w:r w:rsidRPr="00CB0C8E">
        <w:rPr>
          <w:noProof/>
        </w:rPr>
        <w:tab/>
      </w:r>
      <w:r w:rsidR="00FC076B" w:rsidRPr="00AF241B">
        <w:rPr>
          <w:noProof/>
        </w:rPr>
        <w:t xml:space="preserve">België heeft meegedeeld dat de </w:t>
      </w:r>
      <w:r w:rsidR="00FC076B" w:rsidRPr="001D3039">
        <w:rPr>
          <w:noProof/>
        </w:rPr>
        <w:t>30</w:t>
      </w:r>
      <w:r w:rsidR="00FC076B" w:rsidRPr="00AF241B">
        <w:rPr>
          <w:noProof/>
        </w:rPr>
        <w:t>/</w:t>
      </w:r>
      <w:r w:rsidR="00FC076B" w:rsidRPr="001D3039">
        <w:rPr>
          <w:noProof/>
        </w:rPr>
        <w:t>60</w:t>
      </w:r>
      <w:r w:rsidR="000A0F05">
        <w:rPr>
          <w:noProof/>
        </w:rPr>
        <w:t> </w:t>
      </w:r>
      <w:r w:rsidR="00FC076B" w:rsidRPr="00AF241B">
        <w:rPr>
          <w:noProof/>
        </w:rPr>
        <w:t>uur outplacementdiensten waartoe de werkgever wettelijk verplicht is, onmiddellijk na de ontslagen zijn begonnen. De door het EFG medegefinancierde omschakelingscel heeft deze taak na afloop van de wettelijk verplichte periode onmiddellijk overgenomen.</w:t>
      </w:r>
    </w:p>
    <w:p w:rsidR="00252AC6" w:rsidRPr="00AF241B" w:rsidRDefault="00CB0C8E" w:rsidP="00CB0C8E">
      <w:pPr>
        <w:pStyle w:val="ManualNumPar1"/>
        <w:rPr>
          <w:noProof/>
        </w:rPr>
      </w:pPr>
      <w:r w:rsidRPr="00CB0C8E">
        <w:rPr>
          <w:noProof/>
        </w:rPr>
        <w:t>37.</w:t>
      </w:r>
      <w:r w:rsidRPr="00CB0C8E">
        <w:rPr>
          <w:noProof/>
        </w:rPr>
        <w:tab/>
      </w:r>
      <w:r w:rsidR="00FC076B" w:rsidRPr="00AF241B">
        <w:rPr>
          <w:noProof/>
        </w:rPr>
        <w:t>België heeft de nodige informatie verstrekt over maatregelen waartoe het betrokken bedrijf krachtens de nationale wetgeving of collectieve arbeidsovereenkomsten verplicht is. Overeenkomstig artikel </w:t>
      </w:r>
      <w:r w:rsidR="00FC076B" w:rsidRPr="001D3039">
        <w:rPr>
          <w:noProof/>
        </w:rPr>
        <w:t>9</w:t>
      </w:r>
      <w:r w:rsidR="00FC076B" w:rsidRPr="00AF241B">
        <w:rPr>
          <w:noProof/>
        </w:rPr>
        <w:t>, lid </w:t>
      </w:r>
      <w:r w:rsidR="00FC076B" w:rsidRPr="001D3039">
        <w:rPr>
          <w:noProof/>
        </w:rPr>
        <w:t>1</w:t>
      </w:r>
      <w:r w:rsidR="00FC076B" w:rsidRPr="00AF241B">
        <w:rPr>
          <w:noProof/>
        </w:rPr>
        <w:t xml:space="preserve">, van Verordening (EU) </w:t>
      </w:r>
      <w:r w:rsidR="00FC076B" w:rsidRPr="001D3039">
        <w:rPr>
          <w:noProof/>
        </w:rPr>
        <w:t>2021</w:t>
      </w:r>
      <w:r w:rsidR="00FC076B" w:rsidRPr="00AF241B">
        <w:rPr>
          <w:noProof/>
        </w:rPr>
        <w:t>/</w:t>
      </w:r>
      <w:r w:rsidR="00FC076B" w:rsidRPr="001D3039">
        <w:rPr>
          <w:noProof/>
        </w:rPr>
        <w:t>691</w:t>
      </w:r>
      <w:r w:rsidR="00FC076B" w:rsidRPr="00AF241B">
        <w:rPr>
          <w:noProof/>
        </w:rPr>
        <w:t xml:space="preserve"> heeft België bevestigd dat een financiële bijdrage uit het EFG niet in de plaats komt van dergelijke maatregelen.</w:t>
      </w:r>
      <w:bookmarkEnd w:id="12"/>
    </w:p>
    <w:p w:rsidR="00252AC6" w:rsidRPr="00AF241B" w:rsidRDefault="00252AC6" w:rsidP="00252AC6">
      <w:pPr>
        <w:pStyle w:val="ManualHeading3"/>
        <w:rPr>
          <w:noProof/>
        </w:rPr>
      </w:pPr>
      <w:r w:rsidRPr="00AF241B">
        <w:rPr>
          <w:noProof/>
        </w:rPr>
        <w:t>Geraamde begroting</w:t>
      </w:r>
    </w:p>
    <w:p w:rsidR="00252AC6" w:rsidRPr="00AF241B" w:rsidRDefault="00CB0C8E" w:rsidP="00CB0C8E">
      <w:pPr>
        <w:pStyle w:val="ManualNumPar1"/>
        <w:rPr>
          <w:noProof/>
        </w:rPr>
      </w:pPr>
      <w:r w:rsidRPr="00CB0C8E">
        <w:rPr>
          <w:noProof/>
        </w:rPr>
        <w:t>38.</w:t>
      </w:r>
      <w:r w:rsidRPr="00CB0C8E">
        <w:rPr>
          <w:noProof/>
        </w:rPr>
        <w:tab/>
      </w:r>
      <w:r w:rsidR="00252AC6" w:rsidRPr="00AF241B">
        <w:rPr>
          <w:noProof/>
        </w:rPr>
        <w:t xml:space="preserve">De totale kosten worden op </w:t>
      </w:r>
      <w:r w:rsidR="00252AC6" w:rsidRPr="001D3039">
        <w:rPr>
          <w:noProof/>
        </w:rPr>
        <w:t>3</w:t>
      </w:r>
      <w:r w:rsidR="00252AC6" w:rsidRPr="00AF241B">
        <w:rPr>
          <w:noProof/>
        </w:rPr>
        <w:t> </w:t>
      </w:r>
      <w:r w:rsidR="00252AC6" w:rsidRPr="001D3039">
        <w:rPr>
          <w:noProof/>
        </w:rPr>
        <w:t>131</w:t>
      </w:r>
      <w:r w:rsidR="00252AC6" w:rsidRPr="00AF241B">
        <w:rPr>
          <w:noProof/>
        </w:rPr>
        <w:t> </w:t>
      </w:r>
      <w:r w:rsidR="00252AC6" w:rsidRPr="001D3039">
        <w:rPr>
          <w:noProof/>
        </w:rPr>
        <w:t>252</w:t>
      </w:r>
      <w:r w:rsidR="00252AC6" w:rsidRPr="00AF241B">
        <w:rPr>
          <w:noProof/>
        </w:rPr>
        <w:t> EUR geraamd en omvatten de kosten voor individuele dienstverlening (</w:t>
      </w:r>
      <w:r w:rsidR="00252AC6" w:rsidRPr="001D3039">
        <w:rPr>
          <w:noProof/>
        </w:rPr>
        <w:t>3</w:t>
      </w:r>
      <w:r w:rsidR="00252AC6" w:rsidRPr="00AF241B">
        <w:rPr>
          <w:noProof/>
        </w:rPr>
        <w:t> </w:t>
      </w:r>
      <w:r w:rsidR="00252AC6" w:rsidRPr="001D3039">
        <w:rPr>
          <w:noProof/>
        </w:rPr>
        <w:t>009</w:t>
      </w:r>
      <w:r w:rsidR="00252AC6" w:rsidRPr="00AF241B">
        <w:rPr>
          <w:noProof/>
        </w:rPr>
        <w:t> </w:t>
      </w:r>
      <w:r w:rsidR="00252AC6" w:rsidRPr="001D3039">
        <w:rPr>
          <w:noProof/>
        </w:rPr>
        <w:t>752</w:t>
      </w:r>
      <w:r w:rsidR="00252AC6" w:rsidRPr="00AF241B">
        <w:rPr>
          <w:noProof/>
        </w:rPr>
        <w:t> EUR) en voor de activiteiten op het vlak van voorbereiding, beheer, voorlichting, publiciteit, controle en rapportage (</w:t>
      </w:r>
      <w:r w:rsidR="00252AC6" w:rsidRPr="001D3039">
        <w:rPr>
          <w:noProof/>
        </w:rPr>
        <w:t>121</w:t>
      </w:r>
      <w:r w:rsidR="00252AC6" w:rsidRPr="00AF241B">
        <w:rPr>
          <w:noProof/>
        </w:rPr>
        <w:t> </w:t>
      </w:r>
      <w:r w:rsidR="00252AC6" w:rsidRPr="001D3039">
        <w:rPr>
          <w:noProof/>
        </w:rPr>
        <w:t>500</w:t>
      </w:r>
      <w:r w:rsidR="00252AC6" w:rsidRPr="00AF241B">
        <w:rPr>
          <w:noProof/>
        </w:rPr>
        <w:t> EUR).</w:t>
      </w:r>
    </w:p>
    <w:p w:rsidR="00252AC6" w:rsidRPr="00AF241B" w:rsidRDefault="00CB0C8E" w:rsidP="00CB0C8E">
      <w:pPr>
        <w:pStyle w:val="ManualNumPar1"/>
        <w:rPr>
          <w:noProof/>
        </w:rPr>
      </w:pPr>
      <w:bookmarkStart w:id="13" w:name="_Ref372550770"/>
      <w:r w:rsidRPr="00CB0C8E">
        <w:rPr>
          <w:noProof/>
        </w:rPr>
        <w:t>39.</w:t>
      </w:r>
      <w:r w:rsidRPr="00CB0C8E">
        <w:rPr>
          <w:noProof/>
        </w:rPr>
        <w:tab/>
      </w:r>
      <w:r w:rsidR="00252AC6" w:rsidRPr="00AF241B">
        <w:rPr>
          <w:noProof/>
        </w:rPr>
        <w:t xml:space="preserve">Er wordt in totaal een financiële bijdrage van </w:t>
      </w:r>
      <w:r w:rsidR="00252AC6" w:rsidRPr="001D3039">
        <w:rPr>
          <w:noProof/>
        </w:rPr>
        <w:t>2</w:t>
      </w:r>
      <w:r w:rsidR="00252AC6" w:rsidRPr="00AF241B">
        <w:rPr>
          <w:noProof/>
        </w:rPr>
        <w:t> </w:t>
      </w:r>
      <w:r w:rsidR="00252AC6" w:rsidRPr="001D3039">
        <w:rPr>
          <w:noProof/>
        </w:rPr>
        <w:t>661</w:t>
      </w:r>
      <w:r w:rsidR="00252AC6" w:rsidRPr="00AF241B">
        <w:rPr>
          <w:noProof/>
        </w:rPr>
        <w:t> </w:t>
      </w:r>
      <w:r w:rsidR="00252AC6" w:rsidRPr="001D3039">
        <w:rPr>
          <w:noProof/>
        </w:rPr>
        <w:t>564</w:t>
      </w:r>
      <w:r w:rsidR="00252AC6" w:rsidRPr="00AF241B">
        <w:rPr>
          <w:noProof/>
        </w:rPr>
        <w:t> EUR (</w:t>
      </w:r>
      <w:r w:rsidR="00252AC6" w:rsidRPr="001D3039">
        <w:rPr>
          <w:noProof/>
        </w:rPr>
        <w:t>85</w:t>
      </w:r>
      <w:r w:rsidR="00252AC6" w:rsidRPr="00AF241B">
        <w:rPr>
          <w:noProof/>
        </w:rPr>
        <w:t> % van de totale kosten) uit het EFG gevraagd.</w:t>
      </w:r>
      <w:bookmarkEnd w:id="13"/>
    </w:p>
    <w:p w:rsidR="007F59AB" w:rsidRPr="00AF241B" w:rsidRDefault="00CB0C8E" w:rsidP="00CB0C8E">
      <w:pPr>
        <w:pStyle w:val="ManualNumPar1"/>
        <w:rPr>
          <w:noProof/>
        </w:rPr>
      </w:pPr>
      <w:r w:rsidRPr="00CB0C8E">
        <w:rPr>
          <w:noProof/>
        </w:rPr>
        <w:t>40.</w:t>
      </w:r>
      <w:r w:rsidRPr="00CB0C8E">
        <w:rPr>
          <w:noProof/>
        </w:rPr>
        <w:tab/>
      </w:r>
      <w:r w:rsidR="00281459" w:rsidRPr="00AF241B">
        <w:rPr>
          <w:noProof/>
        </w:rPr>
        <w:t>Overeenkomstig artikel </w:t>
      </w:r>
      <w:r w:rsidR="00281459" w:rsidRPr="001D3039">
        <w:rPr>
          <w:noProof/>
        </w:rPr>
        <w:t>8</w:t>
      </w:r>
      <w:r w:rsidR="00281459" w:rsidRPr="00AF241B">
        <w:rPr>
          <w:noProof/>
        </w:rPr>
        <w:t>, lid </w:t>
      </w:r>
      <w:r w:rsidR="00281459" w:rsidRPr="001D3039">
        <w:rPr>
          <w:noProof/>
        </w:rPr>
        <w:t>7</w:t>
      </w:r>
      <w:r w:rsidR="00281459" w:rsidRPr="00AF241B">
        <w:rPr>
          <w:noProof/>
        </w:rPr>
        <w:t>, punt</w:t>
      </w:r>
      <w:r w:rsidR="000A0F05">
        <w:rPr>
          <w:noProof/>
        </w:rPr>
        <w:t> </w:t>
      </w:r>
      <w:r w:rsidR="00281459" w:rsidRPr="00AF241B">
        <w:rPr>
          <w:noProof/>
        </w:rPr>
        <w:t xml:space="preserve">m), van Verordening (EU) </w:t>
      </w:r>
      <w:r w:rsidR="00281459" w:rsidRPr="001D3039">
        <w:rPr>
          <w:noProof/>
        </w:rPr>
        <w:t>2021</w:t>
      </w:r>
      <w:r w:rsidR="00281459" w:rsidRPr="00AF241B">
        <w:rPr>
          <w:noProof/>
        </w:rPr>
        <w:t>/</w:t>
      </w:r>
      <w:r w:rsidR="00281459" w:rsidRPr="001D3039">
        <w:rPr>
          <w:noProof/>
        </w:rPr>
        <w:t>691</w:t>
      </w:r>
      <w:r w:rsidR="00281459" w:rsidRPr="00AF241B">
        <w:rPr>
          <w:noProof/>
        </w:rPr>
        <w:t xml:space="preserve"> heeft België gespecificeerd dat de nationale voorfinanciering en medefinanciering worden verstrekt door het Waals Gewest.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44"/>
        <w:gridCol w:w="1548"/>
        <w:gridCol w:w="1548"/>
        <w:gridCol w:w="1548"/>
      </w:tblGrid>
      <w:tr w:rsidR="00252AC6" w:rsidRPr="00AF241B" w:rsidTr="00F060F9">
        <w:tc>
          <w:tcPr>
            <w:tcW w:w="4644" w:type="dxa"/>
            <w:shd w:val="clear" w:color="auto" w:fill="auto"/>
            <w:vAlign w:val="center"/>
          </w:tcPr>
          <w:p w:rsidR="00252AC6" w:rsidRPr="00AF241B" w:rsidRDefault="00D5559A" w:rsidP="00F060F9">
            <w:pPr>
              <w:spacing w:before="60" w:after="60"/>
              <w:jc w:val="center"/>
              <w:rPr>
                <w:rFonts w:eastAsia="Times New Roman"/>
                <w:noProof/>
                <w:sz w:val="22"/>
              </w:rPr>
            </w:pPr>
            <w:r w:rsidRPr="00AF241B">
              <w:rPr>
                <w:noProof/>
                <w:sz w:val="22"/>
              </w:rPr>
              <w:t>Maatregelen</w:t>
            </w:r>
          </w:p>
        </w:tc>
        <w:tc>
          <w:tcPr>
            <w:tcW w:w="1548" w:type="dxa"/>
            <w:shd w:val="clear" w:color="auto" w:fill="auto"/>
            <w:vAlign w:val="center"/>
          </w:tcPr>
          <w:p w:rsidR="00252AC6" w:rsidRPr="00AF241B" w:rsidRDefault="00252AC6" w:rsidP="00F060F9">
            <w:pPr>
              <w:spacing w:before="60" w:after="60"/>
              <w:jc w:val="center"/>
              <w:rPr>
                <w:rFonts w:eastAsia="Times New Roman"/>
                <w:noProof/>
                <w:sz w:val="22"/>
              </w:rPr>
            </w:pPr>
            <w:r w:rsidRPr="00AF241B">
              <w:rPr>
                <w:noProof/>
                <w:sz w:val="22"/>
              </w:rPr>
              <w:t>Geraamd aantal deelnemers</w:t>
            </w:r>
          </w:p>
        </w:tc>
        <w:tc>
          <w:tcPr>
            <w:tcW w:w="1548" w:type="dxa"/>
            <w:shd w:val="clear" w:color="auto" w:fill="auto"/>
            <w:vAlign w:val="center"/>
          </w:tcPr>
          <w:p w:rsidR="00252AC6" w:rsidRPr="00AF241B" w:rsidRDefault="00252AC6" w:rsidP="00F060F9">
            <w:pPr>
              <w:spacing w:before="60" w:after="60"/>
              <w:jc w:val="center"/>
              <w:rPr>
                <w:rFonts w:eastAsia="Times New Roman"/>
                <w:noProof/>
                <w:sz w:val="22"/>
              </w:rPr>
            </w:pPr>
            <w:r w:rsidRPr="00AF241B">
              <w:rPr>
                <w:noProof/>
                <w:sz w:val="22"/>
              </w:rPr>
              <w:t>Geraamde kosten per deelnemer</w:t>
            </w:r>
            <w:r w:rsidRPr="00AF241B">
              <w:rPr>
                <w:noProof/>
              </w:rPr>
              <w:t xml:space="preserve"> </w:t>
            </w:r>
            <w:r w:rsidRPr="00AF241B">
              <w:rPr>
                <w:noProof/>
              </w:rPr>
              <w:br/>
            </w:r>
            <w:r w:rsidRPr="00AF241B">
              <w:rPr>
                <w:i/>
                <w:noProof/>
                <w:sz w:val="22"/>
              </w:rPr>
              <w:t>(in EUR)</w:t>
            </w:r>
            <w:r w:rsidRPr="00AF241B">
              <w:rPr>
                <w:rStyle w:val="FootnoteReference"/>
                <w:rFonts w:eastAsia="Times New Roman"/>
                <w:i/>
                <w:noProof/>
                <w:sz w:val="22"/>
              </w:rPr>
              <w:footnoteReference w:id="28"/>
            </w:r>
          </w:p>
        </w:tc>
        <w:tc>
          <w:tcPr>
            <w:tcW w:w="1548" w:type="dxa"/>
            <w:shd w:val="clear" w:color="auto" w:fill="auto"/>
            <w:vAlign w:val="center"/>
          </w:tcPr>
          <w:p w:rsidR="00252AC6" w:rsidRPr="00AF241B" w:rsidRDefault="00252AC6" w:rsidP="00F060F9">
            <w:pPr>
              <w:spacing w:before="60" w:after="60"/>
              <w:jc w:val="center"/>
              <w:rPr>
                <w:rFonts w:eastAsia="Times New Roman"/>
                <w:noProof/>
                <w:sz w:val="22"/>
              </w:rPr>
            </w:pPr>
            <w:r w:rsidRPr="00AF241B">
              <w:rPr>
                <w:noProof/>
                <w:sz w:val="22"/>
              </w:rPr>
              <w:t>Geraamde totale kosten</w:t>
            </w:r>
          </w:p>
          <w:p w:rsidR="00252AC6" w:rsidRPr="00AF241B" w:rsidRDefault="00252AC6" w:rsidP="00F060F9">
            <w:pPr>
              <w:spacing w:before="60" w:after="60"/>
              <w:jc w:val="center"/>
              <w:rPr>
                <w:rFonts w:eastAsia="Times New Roman"/>
                <w:noProof/>
                <w:sz w:val="22"/>
              </w:rPr>
            </w:pPr>
            <w:r w:rsidRPr="00AF241B">
              <w:rPr>
                <w:i/>
                <w:noProof/>
                <w:sz w:val="22"/>
              </w:rPr>
              <w:t>(in EUR)</w:t>
            </w:r>
            <w:r w:rsidRPr="00AF241B">
              <w:rPr>
                <w:rStyle w:val="FootnoteReference"/>
                <w:rFonts w:eastAsia="Times New Roman"/>
                <w:i/>
                <w:noProof/>
                <w:sz w:val="22"/>
              </w:rPr>
              <w:footnoteReference w:id="29"/>
            </w:r>
            <w:r w:rsidRPr="00AF241B">
              <w:rPr>
                <w:i/>
                <w:noProof/>
                <w:sz w:val="22"/>
              </w:rPr>
              <w:t xml:space="preserve"> </w:t>
            </w:r>
          </w:p>
        </w:tc>
      </w:tr>
      <w:tr w:rsidR="00252AC6" w:rsidRPr="00AF241B" w:rsidTr="00F060F9">
        <w:tc>
          <w:tcPr>
            <w:tcW w:w="9288" w:type="dxa"/>
            <w:gridSpan w:val="4"/>
            <w:shd w:val="clear" w:color="auto" w:fill="auto"/>
          </w:tcPr>
          <w:p w:rsidR="00252AC6" w:rsidRPr="00AF241B" w:rsidRDefault="00252AC6" w:rsidP="00CD31A0">
            <w:pPr>
              <w:spacing w:before="60" w:after="60"/>
              <w:jc w:val="left"/>
              <w:rPr>
                <w:rFonts w:eastAsia="Times New Roman"/>
                <w:noProof/>
                <w:sz w:val="22"/>
              </w:rPr>
            </w:pPr>
            <w:r w:rsidRPr="00AF241B">
              <w:rPr>
                <w:noProof/>
              </w:rPr>
              <w:t>Gepersonaliseerde steunmaatregelen (maatregelen uit hoofde van artikel </w:t>
            </w:r>
            <w:r w:rsidRPr="001D3039">
              <w:rPr>
                <w:noProof/>
              </w:rPr>
              <w:t>7</w:t>
            </w:r>
            <w:r w:rsidRPr="00AF241B">
              <w:rPr>
                <w:noProof/>
              </w:rPr>
              <w:t>, lid </w:t>
            </w:r>
            <w:r w:rsidRPr="001D3039">
              <w:rPr>
                <w:noProof/>
              </w:rPr>
              <w:t>2</w:t>
            </w:r>
            <w:r w:rsidRPr="00AF241B">
              <w:rPr>
                <w:noProof/>
              </w:rPr>
              <w:t>, tweede alinea, punt</w:t>
            </w:r>
            <w:r w:rsidR="000A0F05">
              <w:rPr>
                <w:noProof/>
              </w:rPr>
              <w:t> </w:t>
            </w:r>
            <w:r w:rsidRPr="00AF241B">
              <w:rPr>
                <w:noProof/>
              </w:rPr>
              <w:t xml:space="preserve">a), van Verordening (EU) </w:t>
            </w:r>
            <w:r w:rsidRPr="001D3039">
              <w:rPr>
                <w:noProof/>
              </w:rPr>
              <w:t>2021</w:t>
            </w:r>
            <w:r w:rsidRPr="00AF241B">
              <w:rPr>
                <w:noProof/>
              </w:rPr>
              <w:t>/</w:t>
            </w:r>
            <w:r w:rsidRPr="001D3039">
              <w:rPr>
                <w:noProof/>
              </w:rPr>
              <w:t>691</w:t>
            </w:r>
            <w:r w:rsidRPr="00AF241B">
              <w:rPr>
                <w:noProof/>
              </w:rPr>
              <w:t>)</w:t>
            </w:r>
          </w:p>
        </w:tc>
      </w:tr>
      <w:tr w:rsidR="00252AC6" w:rsidRPr="00AF241B" w:rsidTr="00F060F9">
        <w:trPr>
          <w:trHeight w:val="802"/>
        </w:trPr>
        <w:tc>
          <w:tcPr>
            <w:tcW w:w="4644" w:type="dxa"/>
            <w:tcBorders>
              <w:top w:val="single" w:sz="4" w:space="0" w:color="auto"/>
              <w:left w:val="nil"/>
              <w:bottom w:val="single" w:sz="4" w:space="0" w:color="auto"/>
              <w:right w:val="single" w:sz="4" w:space="0" w:color="auto"/>
            </w:tcBorders>
            <w:vAlign w:val="center"/>
            <w:hideMark/>
          </w:tcPr>
          <w:p w:rsidR="00252AC6" w:rsidRPr="00AF241B" w:rsidRDefault="008B5BC0" w:rsidP="00F060F9">
            <w:pPr>
              <w:spacing w:before="60" w:after="60"/>
              <w:jc w:val="left"/>
              <w:rPr>
                <w:noProof/>
              </w:rPr>
            </w:pPr>
            <w:r w:rsidRPr="00AF241B">
              <w:rPr>
                <w:noProof/>
              </w:rPr>
              <w:t xml:space="preserve">Voorlichting en loopbaan- en outplacementbegeleiding </w:t>
            </w:r>
            <w:r w:rsidRPr="00AF241B">
              <w:rPr>
                <w:noProof/>
              </w:rPr>
              <w:br/>
              <w:t>(</w:t>
            </w:r>
            <w:r w:rsidRPr="00AF241B">
              <w:rPr>
                <w:i/>
                <w:noProof/>
              </w:rPr>
              <w:t>reconversion: accompagnement/orientation/mobilisation)</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F241B" w:rsidRDefault="004F07A5" w:rsidP="00F060F9">
            <w:pPr>
              <w:spacing w:before="60" w:after="60"/>
              <w:jc w:val="center"/>
              <w:rPr>
                <w:noProof/>
              </w:rPr>
            </w:pPr>
            <w:r w:rsidRPr="001D3039">
              <w:rPr>
                <w:noProof/>
              </w:rPr>
              <w:t>365</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F241B" w:rsidRDefault="004F07A5" w:rsidP="00F060F9">
            <w:pPr>
              <w:spacing w:before="60" w:after="60"/>
              <w:jc w:val="center"/>
              <w:rPr>
                <w:noProof/>
              </w:rPr>
            </w:pPr>
            <w:r w:rsidRPr="001D3039">
              <w:rPr>
                <w:noProof/>
              </w:rPr>
              <w:t>5</w:t>
            </w:r>
            <w:r w:rsidRPr="00AF241B">
              <w:rPr>
                <w:noProof/>
              </w:rPr>
              <w:t> </w:t>
            </w:r>
            <w:r w:rsidRPr="001D3039">
              <w:rPr>
                <w:noProof/>
              </w:rPr>
              <w:t>279</w:t>
            </w:r>
          </w:p>
        </w:tc>
        <w:tc>
          <w:tcPr>
            <w:tcW w:w="1548" w:type="dxa"/>
            <w:tcBorders>
              <w:top w:val="single" w:sz="4" w:space="0" w:color="auto"/>
              <w:left w:val="single" w:sz="4" w:space="0" w:color="auto"/>
              <w:bottom w:val="single" w:sz="4" w:space="0" w:color="auto"/>
              <w:right w:val="nil"/>
            </w:tcBorders>
            <w:vAlign w:val="center"/>
            <w:hideMark/>
          </w:tcPr>
          <w:p w:rsidR="00252AC6" w:rsidRPr="00AF241B" w:rsidRDefault="001366C1" w:rsidP="00F060F9">
            <w:pPr>
              <w:spacing w:before="60" w:after="60"/>
              <w:jc w:val="center"/>
              <w:rPr>
                <w:noProof/>
              </w:rPr>
            </w:pPr>
            <w:r w:rsidRPr="001D3039">
              <w:rPr>
                <w:noProof/>
              </w:rPr>
              <w:t>1</w:t>
            </w:r>
            <w:r w:rsidRPr="00AF241B">
              <w:rPr>
                <w:noProof/>
              </w:rPr>
              <w:t> </w:t>
            </w:r>
            <w:r w:rsidRPr="001D3039">
              <w:rPr>
                <w:noProof/>
              </w:rPr>
              <w:t>926</w:t>
            </w:r>
            <w:r w:rsidRPr="00AF241B">
              <w:rPr>
                <w:noProof/>
              </w:rPr>
              <w:t> </w:t>
            </w:r>
            <w:r w:rsidRPr="001D3039">
              <w:rPr>
                <w:noProof/>
              </w:rPr>
              <w:t>807</w:t>
            </w:r>
          </w:p>
        </w:tc>
      </w:tr>
      <w:tr w:rsidR="00252AC6" w:rsidRPr="00AF241B" w:rsidTr="00F060F9">
        <w:trPr>
          <w:trHeight w:val="802"/>
        </w:trPr>
        <w:tc>
          <w:tcPr>
            <w:tcW w:w="4644" w:type="dxa"/>
            <w:tcBorders>
              <w:top w:val="single" w:sz="4" w:space="0" w:color="auto"/>
              <w:left w:val="nil"/>
              <w:bottom w:val="single" w:sz="4" w:space="0" w:color="auto"/>
              <w:right w:val="single" w:sz="4" w:space="0" w:color="auto"/>
            </w:tcBorders>
            <w:vAlign w:val="center"/>
            <w:hideMark/>
          </w:tcPr>
          <w:p w:rsidR="00252AC6" w:rsidRPr="00AF241B" w:rsidRDefault="001366C1" w:rsidP="00F060F9">
            <w:pPr>
              <w:spacing w:before="60" w:after="60"/>
              <w:jc w:val="left"/>
              <w:rPr>
                <w:noProof/>
              </w:rPr>
            </w:pPr>
            <w:r w:rsidRPr="00AF241B">
              <w:rPr>
                <w:noProof/>
              </w:rPr>
              <w:t>Opleiding, omscholing en beroepsopleiding (</w:t>
            </w:r>
            <w:r w:rsidRPr="00AF241B">
              <w:rPr>
                <w:i/>
                <w:noProof/>
              </w:rPr>
              <w:t>formation</w:t>
            </w:r>
            <w:r w:rsidRPr="00AF241B">
              <w:rPr>
                <w:noProof/>
              </w:rPr>
              <w:t>)</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F241B" w:rsidRDefault="00703A76" w:rsidP="00F060F9">
            <w:pPr>
              <w:spacing w:before="60" w:after="60"/>
              <w:jc w:val="center"/>
              <w:rPr>
                <w:noProof/>
              </w:rPr>
            </w:pPr>
            <w:r w:rsidRPr="001D3039">
              <w:rPr>
                <w:noProof/>
              </w:rPr>
              <w:t>150</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F241B" w:rsidRDefault="00703A76" w:rsidP="00F060F9">
            <w:pPr>
              <w:spacing w:before="60" w:after="60"/>
              <w:jc w:val="center"/>
              <w:rPr>
                <w:noProof/>
              </w:rPr>
            </w:pPr>
            <w:r w:rsidRPr="001D3039">
              <w:rPr>
                <w:noProof/>
              </w:rPr>
              <w:t>208</w:t>
            </w:r>
          </w:p>
        </w:tc>
        <w:tc>
          <w:tcPr>
            <w:tcW w:w="1548" w:type="dxa"/>
            <w:tcBorders>
              <w:top w:val="single" w:sz="4" w:space="0" w:color="auto"/>
              <w:left w:val="single" w:sz="4" w:space="0" w:color="auto"/>
              <w:bottom w:val="single" w:sz="4" w:space="0" w:color="auto"/>
              <w:right w:val="nil"/>
            </w:tcBorders>
            <w:vAlign w:val="center"/>
            <w:hideMark/>
          </w:tcPr>
          <w:p w:rsidR="00252AC6" w:rsidRPr="00AF241B" w:rsidRDefault="00703A76" w:rsidP="00F060F9">
            <w:pPr>
              <w:spacing w:before="60" w:after="60"/>
              <w:jc w:val="center"/>
              <w:rPr>
                <w:noProof/>
              </w:rPr>
            </w:pPr>
            <w:r w:rsidRPr="001D3039">
              <w:rPr>
                <w:noProof/>
              </w:rPr>
              <w:t>31</w:t>
            </w:r>
            <w:r w:rsidRPr="00AF241B">
              <w:rPr>
                <w:noProof/>
              </w:rPr>
              <w:t> </w:t>
            </w:r>
            <w:r w:rsidRPr="001D3039">
              <w:rPr>
                <w:noProof/>
              </w:rPr>
              <w:t>200</w:t>
            </w:r>
          </w:p>
        </w:tc>
      </w:tr>
      <w:tr w:rsidR="00252AC6" w:rsidRPr="00AF241B" w:rsidTr="00F060F9">
        <w:trPr>
          <w:trHeight w:val="802"/>
        </w:trPr>
        <w:tc>
          <w:tcPr>
            <w:tcW w:w="4644" w:type="dxa"/>
            <w:tcBorders>
              <w:top w:val="single" w:sz="4" w:space="0" w:color="auto"/>
              <w:left w:val="nil"/>
              <w:bottom w:val="single" w:sz="4" w:space="0" w:color="auto"/>
              <w:right w:val="single" w:sz="4" w:space="0" w:color="auto"/>
            </w:tcBorders>
            <w:vAlign w:val="center"/>
            <w:hideMark/>
          </w:tcPr>
          <w:p w:rsidR="00252AC6" w:rsidRPr="00AF241B" w:rsidRDefault="00E1167F" w:rsidP="00F060F9">
            <w:pPr>
              <w:spacing w:before="60" w:after="60"/>
              <w:jc w:val="left"/>
              <w:rPr>
                <w:noProof/>
              </w:rPr>
            </w:pPr>
            <w:r w:rsidRPr="00AF241B">
              <w:rPr>
                <w:noProof/>
              </w:rPr>
              <w:t>Steun bij het opzetten van een bedrijf</w:t>
            </w:r>
            <w:r w:rsidRPr="00AF241B">
              <w:rPr>
                <w:noProof/>
              </w:rPr>
              <w:br/>
              <w:t>(</w:t>
            </w:r>
            <w:r w:rsidRPr="00AF241B">
              <w:rPr>
                <w:i/>
                <w:noProof/>
              </w:rPr>
              <w:t>dispositif d’accompagnement à l’entrepreneuriat</w:t>
            </w:r>
            <w:r w:rsidRPr="00AF241B">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F241B" w:rsidRDefault="00D16908" w:rsidP="00F060F9">
            <w:pPr>
              <w:spacing w:before="60" w:after="60"/>
              <w:jc w:val="center"/>
              <w:rPr>
                <w:noProof/>
              </w:rPr>
            </w:pPr>
            <w:r w:rsidRPr="001D3039">
              <w:rPr>
                <w:noProof/>
              </w:rPr>
              <w:t>45</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F241B" w:rsidRDefault="00D16908" w:rsidP="00F060F9">
            <w:pPr>
              <w:spacing w:before="60" w:after="60"/>
              <w:jc w:val="center"/>
              <w:rPr>
                <w:noProof/>
              </w:rPr>
            </w:pPr>
            <w:r w:rsidRPr="001D3039">
              <w:rPr>
                <w:noProof/>
              </w:rPr>
              <w:t>3</w:t>
            </w:r>
            <w:r w:rsidRPr="00AF241B">
              <w:rPr>
                <w:noProof/>
              </w:rPr>
              <w:t> </w:t>
            </w:r>
            <w:r w:rsidRPr="001D3039">
              <w:rPr>
                <w:noProof/>
              </w:rPr>
              <w:t>594</w:t>
            </w:r>
          </w:p>
        </w:tc>
        <w:tc>
          <w:tcPr>
            <w:tcW w:w="1548" w:type="dxa"/>
            <w:tcBorders>
              <w:top w:val="single" w:sz="4" w:space="0" w:color="auto"/>
              <w:left w:val="single" w:sz="4" w:space="0" w:color="auto"/>
              <w:bottom w:val="single" w:sz="4" w:space="0" w:color="auto"/>
              <w:right w:val="nil"/>
            </w:tcBorders>
            <w:vAlign w:val="center"/>
            <w:hideMark/>
          </w:tcPr>
          <w:p w:rsidR="00252AC6" w:rsidRPr="00AF241B" w:rsidRDefault="00D16908" w:rsidP="00F060F9">
            <w:pPr>
              <w:spacing w:before="60" w:after="60"/>
              <w:jc w:val="center"/>
              <w:rPr>
                <w:noProof/>
              </w:rPr>
            </w:pPr>
            <w:r w:rsidRPr="001D3039">
              <w:rPr>
                <w:noProof/>
              </w:rPr>
              <w:t>161</w:t>
            </w:r>
            <w:r w:rsidRPr="00AF241B">
              <w:rPr>
                <w:noProof/>
              </w:rPr>
              <w:t> </w:t>
            </w:r>
            <w:r w:rsidRPr="001D3039">
              <w:rPr>
                <w:noProof/>
              </w:rPr>
              <w:t>727</w:t>
            </w:r>
          </w:p>
        </w:tc>
      </w:tr>
      <w:tr w:rsidR="00252AC6" w:rsidRPr="00AF241B" w:rsidTr="00F060F9">
        <w:trPr>
          <w:trHeight w:val="802"/>
        </w:trPr>
        <w:tc>
          <w:tcPr>
            <w:tcW w:w="4644" w:type="dxa"/>
            <w:tcBorders>
              <w:top w:val="single" w:sz="4" w:space="0" w:color="auto"/>
              <w:left w:val="nil"/>
              <w:bottom w:val="single" w:sz="4" w:space="0" w:color="auto"/>
              <w:right w:val="single" w:sz="4" w:space="0" w:color="auto"/>
            </w:tcBorders>
            <w:vAlign w:val="center"/>
            <w:hideMark/>
          </w:tcPr>
          <w:p w:rsidR="00252AC6" w:rsidRPr="00AF241B" w:rsidRDefault="009961C7" w:rsidP="00F060F9">
            <w:pPr>
              <w:spacing w:before="60" w:after="60"/>
              <w:jc w:val="left"/>
              <w:rPr>
                <w:noProof/>
              </w:rPr>
            </w:pPr>
            <w:r w:rsidRPr="00AF241B">
              <w:rPr>
                <w:noProof/>
              </w:rPr>
              <w:t>Bijdrage voor het opzetten van een bedrijf</w:t>
            </w:r>
            <w:r w:rsidRPr="00AF241B">
              <w:rPr>
                <w:noProof/>
              </w:rPr>
              <w:br/>
              <w:t>(</w:t>
            </w:r>
            <w:r w:rsidRPr="00AF241B">
              <w:rPr>
                <w:i/>
                <w:noProof/>
              </w:rPr>
              <w:t>bourse de lancement)</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F241B" w:rsidRDefault="00517C37" w:rsidP="00F060F9">
            <w:pPr>
              <w:spacing w:before="60" w:after="60"/>
              <w:jc w:val="center"/>
              <w:rPr>
                <w:noProof/>
              </w:rPr>
            </w:pPr>
            <w:r w:rsidRPr="001D3039">
              <w:rPr>
                <w:noProof/>
              </w:rPr>
              <w:t>12</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F241B" w:rsidRDefault="00517C37" w:rsidP="00F060F9">
            <w:pPr>
              <w:spacing w:before="60" w:after="60"/>
              <w:jc w:val="center"/>
              <w:rPr>
                <w:noProof/>
              </w:rPr>
            </w:pPr>
            <w:r w:rsidRPr="001D3039">
              <w:rPr>
                <w:noProof/>
              </w:rPr>
              <w:t>10</w:t>
            </w:r>
            <w:r w:rsidRPr="00AF241B">
              <w:rPr>
                <w:noProof/>
              </w:rPr>
              <w:t> </w:t>
            </w:r>
            <w:r w:rsidRPr="001D3039">
              <w:rPr>
                <w:noProof/>
              </w:rPr>
              <w:t>000</w:t>
            </w:r>
          </w:p>
        </w:tc>
        <w:tc>
          <w:tcPr>
            <w:tcW w:w="1548" w:type="dxa"/>
            <w:tcBorders>
              <w:top w:val="single" w:sz="4" w:space="0" w:color="auto"/>
              <w:left w:val="single" w:sz="4" w:space="0" w:color="auto"/>
              <w:bottom w:val="single" w:sz="4" w:space="0" w:color="auto"/>
              <w:right w:val="nil"/>
            </w:tcBorders>
            <w:vAlign w:val="center"/>
            <w:hideMark/>
          </w:tcPr>
          <w:p w:rsidR="00252AC6" w:rsidRPr="00AF241B" w:rsidRDefault="00517C37" w:rsidP="00F060F9">
            <w:pPr>
              <w:spacing w:before="60" w:after="60"/>
              <w:jc w:val="center"/>
              <w:rPr>
                <w:noProof/>
              </w:rPr>
            </w:pPr>
            <w:r w:rsidRPr="001D3039">
              <w:rPr>
                <w:noProof/>
              </w:rPr>
              <w:t>120</w:t>
            </w:r>
            <w:r w:rsidRPr="00AF241B">
              <w:rPr>
                <w:noProof/>
              </w:rPr>
              <w:t> </w:t>
            </w:r>
            <w:r w:rsidRPr="001D3039">
              <w:rPr>
                <w:noProof/>
              </w:rPr>
              <w:t>000</w:t>
            </w:r>
          </w:p>
        </w:tc>
      </w:tr>
      <w:tr w:rsidR="00252AC6" w:rsidRPr="00AF241B" w:rsidTr="00F060F9">
        <w:trPr>
          <w:trHeight w:val="398"/>
        </w:trPr>
        <w:tc>
          <w:tcPr>
            <w:tcW w:w="4644" w:type="dxa"/>
            <w:vMerge w:val="restart"/>
            <w:shd w:val="clear" w:color="auto" w:fill="auto"/>
            <w:vAlign w:val="center"/>
          </w:tcPr>
          <w:p w:rsidR="00252AC6" w:rsidRPr="00AF241B" w:rsidRDefault="00252AC6" w:rsidP="00F060F9">
            <w:pPr>
              <w:spacing w:before="60" w:after="60"/>
              <w:jc w:val="right"/>
              <w:rPr>
                <w:rFonts w:eastAsia="Times New Roman"/>
                <w:noProof/>
                <w:sz w:val="22"/>
              </w:rPr>
            </w:pPr>
            <w:r w:rsidRPr="00AF241B">
              <w:rPr>
                <w:noProof/>
                <w:sz w:val="22"/>
              </w:rPr>
              <w:t>Subtotaal (a):</w:t>
            </w:r>
          </w:p>
          <w:p w:rsidR="00252AC6" w:rsidRPr="00AF241B" w:rsidRDefault="00252AC6" w:rsidP="00F060F9">
            <w:pPr>
              <w:spacing w:before="60" w:after="60"/>
              <w:jc w:val="right"/>
              <w:rPr>
                <w:rFonts w:eastAsia="Times New Roman"/>
                <w:noProof/>
                <w:sz w:val="22"/>
              </w:rPr>
            </w:pPr>
            <w:r w:rsidRPr="00AF241B">
              <w:rPr>
                <w:noProof/>
                <w:sz w:val="22"/>
              </w:rPr>
              <w:t xml:space="preserve">Percentage van het pakket van gepersonaliseerde steunmaatregelen </w:t>
            </w:r>
          </w:p>
        </w:tc>
        <w:tc>
          <w:tcPr>
            <w:tcW w:w="3096" w:type="dxa"/>
            <w:gridSpan w:val="2"/>
            <w:vMerge w:val="restart"/>
            <w:shd w:val="clear" w:color="auto" w:fill="D9D9D9"/>
            <w:vAlign w:val="center"/>
          </w:tcPr>
          <w:p w:rsidR="00252AC6" w:rsidRPr="00AF241B" w:rsidRDefault="00252AC6" w:rsidP="00F060F9">
            <w:pPr>
              <w:spacing w:before="60" w:after="60"/>
              <w:jc w:val="center"/>
              <w:rPr>
                <w:rFonts w:eastAsia="Times New Roman"/>
                <w:noProof/>
                <w:sz w:val="22"/>
              </w:rPr>
            </w:pPr>
            <w:r w:rsidRPr="00AF241B">
              <w:rPr>
                <w:noProof/>
                <w:sz w:val="22"/>
              </w:rPr>
              <w:t>–</w:t>
            </w:r>
          </w:p>
        </w:tc>
        <w:tc>
          <w:tcPr>
            <w:tcW w:w="1548" w:type="dxa"/>
            <w:tcBorders>
              <w:bottom w:val="nil"/>
            </w:tcBorders>
            <w:shd w:val="clear" w:color="auto" w:fill="auto"/>
            <w:vAlign w:val="center"/>
          </w:tcPr>
          <w:p w:rsidR="00252AC6" w:rsidRPr="00AF241B" w:rsidRDefault="00CB6793" w:rsidP="00F060F9">
            <w:pPr>
              <w:spacing w:before="60" w:after="60"/>
              <w:jc w:val="center"/>
              <w:rPr>
                <w:rFonts w:eastAsia="Times New Roman"/>
                <w:noProof/>
                <w:sz w:val="22"/>
              </w:rPr>
            </w:pPr>
            <w:r w:rsidRPr="001D3039">
              <w:rPr>
                <w:noProof/>
              </w:rPr>
              <w:t>2</w:t>
            </w:r>
            <w:r w:rsidRPr="00AF241B">
              <w:rPr>
                <w:noProof/>
              </w:rPr>
              <w:t> </w:t>
            </w:r>
            <w:r w:rsidRPr="001D3039">
              <w:rPr>
                <w:noProof/>
              </w:rPr>
              <w:t>239</w:t>
            </w:r>
            <w:r w:rsidRPr="00AF241B">
              <w:rPr>
                <w:noProof/>
              </w:rPr>
              <w:t> </w:t>
            </w:r>
            <w:r w:rsidRPr="001D3039">
              <w:rPr>
                <w:noProof/>
              </w:rPr>
              <w:t>734</w:t>
            </w:r>
          </w:p>
        </w:tc>
      </w:tr>
      <w:tr w:rsidR="00252AC6" w:rsidRPr="00AF241B" w:rsidTr="00F060F9">
        <w:trPr>
          <w:trHeight w:val="397"/>
        </w:trPr>
        <w:tc>
          <w:tcPr>
            <w:tcW w:w="4644" w:type="dxa"/>
            <w:vMerge/>
            <w:shd w:val="clear" w:color="auto" w:fill="auto"/>
            <w:vAlign w:val="center"/>
          </w:tcPr>
          <w:p w:rsidR="00252AC6" w:rsidRPr="00AF241B" w:rsidRDefault="00252AC6" w:rsidP="00F060F9">
            <w:pPr>
              <w:spacing w:before="60" w:after="60"/>
              <w:jc w:val="right"/>
              <w:rPr>
                <w:rFonts w:eastAsia="Times New Roman"/>
                <w:noProof/>
                <w:sz w:val="22"/>
              </w:rPr>
            </w:pPr>
          </w:p>
        </w:tc>
        <w:tc>
          <w:tcPr>
            <w:tcW w:w="3096" w:type="dxa"/>
            <w:gridSpan w:val="2"/>
            <w:vMerge/>
            <w:shd w:val="clear" w:color="auto" w:fill="D9D9D9"/>
            <w:vAlign w:val="center"/>
          </w:tcPr>
          <w:p w:rsidR="00252AC6" w:rsidRPr="00AF241B" w:rsidRDefault="00252AC6" w:rsidP="00F060F9">
            <w:pPr>
              <w:spacing w:before="60" w:after="60"/>
              <w:jc w:val="center"/>
              <w:rPr>
                <w:rFonts w:eastAsia="Times New Roman"/>
                <w:noProof/>
                <w:sz w:val="22"/>
              </w:rPr>
            </w:pPr>
          </w:p>
        </w:tc>
        <w:tc>
          <w:tcPr>
            <w:tcW w:w="1548" w:type="dxa"/>
            <w:tcBorders>
              <w:top w:val="nil"/>
            </w:tcBorders>
            <w:shd w:val="clear" w:color="auto" w:fill="auto"/>
            <w:vAlign w:val="center"/>
          </w:tcPr>
          <w:p w:rsidR="00252AC6" w:rsidRPr="00AF241B" w:rsidRDefault="00252AC6" w:rsidP="00F060F9">
            <w:pPr>
              <w:spacing w:before="60" w:after="60"/>
              <w:jc w:val="center"/>
              <w:rPr>
                <w:rFonts w:eastAsia="Times New Roman"/>
                <w:noProof/>
                <w:sz w:val="22"/>
              </w:rPr>
            </w:pPr>
            <w:r w:rsidRPr="00AF241B">
              <w:rPr>
                <w:noProof/>
                <w:sz w:val="22"/>
              </w:rPr>
              <w:t>(</w:t>
            </w:r>
            <w:r w:rsidRPr="001D3039">
              <w:rPr>
                <w:noProof/>
              </w:rPr>
              <w:t>74</w:t>
            </w:r>
            <w:r w:rsidRPr="00AF241B">
              <w:rPr>
                <w:noProof/>
              </w:rPr>
              <w:t>,</w:t>
            </w:r>
            <w:r w:rsidRPr="001D3039">
              <w:rPr>
                <w:noProof/>
              </w:rPr>
              <w:t>42</w:t>
            </w:r>
            <w:r w:rsidRPr="00AF241B">
              <w:rPr>
                <w:noProof/>
              </w:rPr>
              <w:t xml:space="preserve"> </w:t>
            </w:r>
            <w:r w:rsidRPr="00AF241B">
              <w:rPr>
                <w:noProof/>
                <w:sz w:val="22"/>
              </w:rPr>
              <w:t>%)</w:t>
            </w:r>
          </w:p>
        </w:tc>
      </w:tr>
      <w:tr w:rsidR="00252AC6" w:rsidRPr="00AF241B" w:rsidTr="00F060F9">
        <w:tc>
          <w:tcPr>
            <w:tcW w:w="9288" w:type="dxa"/>
            <w:gridSpan w:val="4"/>
            <w:shd w:val="clear" w:color="auto" w:fill="auto"/>
            <w:vAlign w:val="center"/>
          </w:tcPr>
          <w:p w:rsidR="00252AC6" w:rsidRPr="00AF241B" w:rsidRDefault="00252AC6" w:rsidP="006B3709">
            <w:pPr>
              <w:spacing w:before="60" w:after="60"/>
              <w:jc w:val="left"/>
              <w:rPr>
                <w:noProof/>
                <w:sz w:val="22"/>
              </w:rPr>
            </w:pPr>
            <w:r w:rsidRPr="00AF241B">
              <w:rPr>
                <w:noProof/>
              </w:rPr>
              <w:t>Toelagen en stimulansen (maatregelen uit hoofde van artikel </w:t>
            </w:r>
            <w:r w:rsidRPr="001D3039">
              <w:rPr>
                <w:noProof/>
              </w:rPr>
              <w:t>7</w:t>
            </w:r>
            <w:r w:rsidRPr="00AF241B">
              <w:rPr>
                <w:noProof/>
              </w:rPr>
              <w:t>, lid </w:t>
            </w:r>
            <w:r w:rsidRPr="001D3039">
              <w:rPr>
                <w:noProof/>
              </w:rPr>
              <w:t>2</w:t>
            </w:r>
            <w:r w:rsidRPr="00AF241B">
              <w:rPr>
                <w:noProof/>
              </w:rPr>
              <w:t>, tweede alinea, punt</w:t>
            </w:r>
            <w:r w:rsidR="000A0F05">
              <w:rPr>
                <w:noProof/>
              </w:rPr>
              <w:t> </w:t>
            </w:r>
            <w:r w:rsidRPr="00AF241B">
              <w:rPr>
                <w:noProof/>
              </w:rPr>
              <w:t xml:space="preserve">b), van Verordening (EU) </w:t>
            </w:r>
            <w:r w:rsidRPr="001D3039">
              <w:rPr>
                <w:noProof/>
              </w:rPr>
              <w:t>2021</w:t>
            </w:r>
            <w:r w:rsidRPr="00AF241B">
              <w:rPr>
                <w:noProof/>
              </w:rPr>
              <w:t>/</w:t>
            </w:r>
            <w:r w:rsidRPr="001D3039">
              <w:rPr>
                <w:noProof/>
              </w:rPr>
              <w:t>691</w:t>
            </w:r>
            <w:r w:rsidRPr="00AF241B">
              <w:rPr>
                <w:noProof/>
              </w:rPr>
              <w:t>)</w:t>
            </w:r>
          </w:p>
        </w:tc>
      </w:tr>
      <w:tr w:rsidR="00252AC6" w:rsidRPr="00AF241B" w:rsidTr="00F060F9">
        <w:trPr>
          <w:trHeight w:val="802"/>
        </w:trPr>
        <w:tc>
          <w:tcPr>
            <w:tcW w:w="4644" w:type="dxa"/>
            <w:tcBorders>
              <w:top w:val="single" w:sz="4" w:space="0" w:color="auto"/>
              <w:left w:val="nil"/>
              <w:bottom w:val="single" w:sz="4" w:space="0" w:color="auto"/>
              <w:right w:val="single" w:sz="4" w:space="0" w:color="auto"/>
            </w:tcBorders>
            <w:vAlign w:val="center"/>
            <w:hideMark/>
          </w:tcPr>
          <w:p w:rsidR="00252AC6" w:rsidRPr="005A1D43" w:rsidRDefault="00CB6793" w:rsidP="00F060F9">
            <w:pPr>
              <w:spacing w:before="60" w:after="60"/>
              <w:jc w:val="left"/>
              <w:rPr>
                <w:noProof/>
                <w:lang w:val="fr-BE"/>
              </w:rPr>
            </w:pPr>
            <w:r w:rsidRPr="005A1D43">
              <w:rPr>
                <w:noProof/>
                <w:lang w:val="fr-BE"/>
              </w:rPr>
              <w:t>Stimulansen en toelagen</w:t>
            </w:r>
            <w:r w:rsidRPr="005A1D43">
              <w:rPr>
                <w:noProof/>
                <w:lang w:val="fr-BE"/>
              </w:rPr>
              <w:br/>
              <w:t>(</w:t>
            </w:r>
            <w:r w:rsidRPr="005A1D43">
              <w:rPr>
                <w:i/>
                <w:noProof/>
                <w:lang w:val="fr-BE"/>
              </w:rPr>
              <w:t xml:space="preserve">allocation de recherche d’emploi et de formation, prime numérique, prime langue, allocation de reprise d’études, allocation d’entrepreneuriat et subvention </w:t>
            </w:r>
            <w:r w:rsidRPr="001D3039">
              <w:rPr>
                <w:i/>
                <w:noProof/>
                <w:lang w:val="fr-BE"/>
              </w:rPr>
              <w:t>50</w:t>
            </w:r>
            <w:r w:rsidRPr="005A1D43">
              <w:rPr>
                <w:i/>
                <w:noProof/>
                <w:lang w:val="fr-BE"/>
              </w:rPr>
              <w:t>+)</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F241B" w:rsidRDefault="005D7338" w:rsidP="00F060F9">
            <w:pPr>
              <w:spacing w:before="60" w:after="60"/>
              <w:jc w:val="center"/>
              <w:rPr>
                <w:noProof/>
              </w:rPr>
            </w:pPr>
            <w:r w:rsidRPr="001D3039">
              <w:rPr>
                <w:noProof/>
              </w:rPr>
              <w:t>365</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F241B" w:rsidRDefault="005D7338" w:rsidP="00F060F9">
            <w:pPr>
              <w:spacing w:before="60" w:after="60"/>
              <w:jc w:val="center"/>
              <w:rPr>
                <w:noProof/>
              </w:rPr>
            </w:pPr>
            <w:r w:rsidRPr="001D3039">
              <w:rPr>
                <w:noProof/>
              </w:rPr>
              <w:t>2</w:t>
            </w:r>
            <w:r w:rsidRPr="00AF241B">
              <w:rPr>
                <w:noProof/>
              </w:rPr>
              <w:t> </w:t>
            </w:r>
            <w:r w:rsidRPr="001D3039">
              <w:rPr>
                <w:noProof/>
              </w:rPr>
              <w:t>110</w:t>
            </w:r>
          </w:p>
        </w:tc>
        <w:tc>
          <w:tcPr>
            <w:tcW w:w="1548" w:type="dxa"/>
            <w:tcBorders>
              <w:top w:val="single" w:sz="4" w:space="0" w:color="auto"/>
              <w:left w:val="single" w:sz="4" w:space="0" w:color="auto"/>
              <w:bottom w:val="single" w:sz="4" w:space="0" w:color="auto"/>
              <w:right w:val="nil"/>
            </w:tcBorders>
            <w:vAlign w:val="center"/>
            <w:hideMark/>
          </w:tcPr>
          <w:p w:rsidR="00252AC6" w:rsidRPr="00AF241B" w:rsidRDefault="005D7338" w:rsidP="00F060F9">
            <w:pPr>
              <w:spacing w:before="60" w:after="60"/>
              <w:jc w:val="center"/>
              <w:rPr>
                <w:noProof/>
              </w:rPr>
            </w:pPr>
            <w:r w:rsidRPr="001D3039">
              <w:rPr>
                <w:noProof/>
              </w:rPr>
              <w:t>770</w:t>
            </w:r>
            <w:r w:rsidRPr="00AF241B">
              <w:rPr>
                <w:noProof/>
              </w:rPr>
              <w:t> </w:t>
            </w:r>
            <w:r w:rsidRPr="001D3039">
              <w:rPr>
                <w:noProof/>
              </w:rPr>
              <w:t>018</w:t>
            </w:r>
          </w:p>
        </w:tc>
      </w:tr>
      <w:tr w:rsidR="00252AC6" w:rsidRPr="00AF241B" w:rsidTr="00F060F9">
        <w:trPr>
          <w:trHeight w:val="203"/>
        </w:trPr>
        <w:tc>
          <w:tcPr>
            <w:tcW w:w="4644" w:type="dxa"/>
            <w:vMerge w:val="restart"/>
            <w:shd w:val="clear" w:color="auto" w:fill="auto"/>
            <w:vAlign w:val="center"/>
          </w:tcPr>
          <w:p w:rsidR="00252AC6" w:rsidRPr="00AF241B" w:rsidRDefault="00252AC6" w:rsidP="00F060F9">
            <w:pPr>
              <w:spacing w:before="60" w:after="60"/>
              <w:jc w:val="right"/>
              <w:rPr>
                <w:rFonts w:eastAsia="Times New Roman"/>
                <w:noProof/>
                <w:sz w:val="22"/>
              </w:rPr>
            </w:pPr>
            <w:r w:rsidRPr="00AF241B">
              <w:rPr>
                <w:noProof/>
                <w:sz w:val="22"/>
              </w:rPr>
              <w:t>Subtotaal (b):</w:t>
            </w:r>
          </w:p>
          <w:p w:rsidR="00252AC6" w:rsidRPr="00AF241B" w:rsidRDefault="00252AC6" w:rsidP="00F060F9">
            <w:pPr>
              <w:spacing w:before="60" w:after="60"/>
              <w:jc w:val="right"/>
              <w:rPr>
                <w:rFonts w:eastAsia="Times New Roman"/>
                <w:noProof/>
                <w:sz w:val="22"/>
              </w:rPr>
            </w:pPr>
            <w:r w:rsidRPr="00AF241B">
              <w:rPr>
                <w:noProof/>
                <w:sz w:val="22"/>
              </w:rPr>
              <w:t>Percentage van het pakket van gepersonaliseerde steunmaatregelen</w:t>
            </w:r>
          </w:p>
        </w:tc>
        <w:tc>
          <w:tcPr>
            <w:tcW w:w="3096" w:type="dxa"/>
            <w:gridSpan w:val="2"/>
            <w:vMerge w:val="restart"/>
            <w:shd w:val="clear" w:color="auto" w:fill="D9D9D9"/>
            <w:vAlign w:val="center"/>
          </w:tcPr>
          <w:p w:rsidR="00252AC6" w:rsidRPr="00AF241B" w:rsidRDefault="00252AC6" w:rsidP="00F060F9">
            <w:pPr>
              <w:spacing w:before="60" w:after="60"/>
              <w:jc w:val="center"/>
              <w:rPr>
                <w:rFonts w:eastAsia="Times New Roman"/>
                <w:noProof/>
                <w:sz w:val="22"/>
              </w:rPr>
            </w:pPr>
            <w:r w:rsidRPr="00AF241B">
              <w:rPr>
                <w:noProof/>
                <w:sz w:val="22"/>
              </w:rPr>
              <w:t>–</w:t>
            </w:r>
          </w:p>
        </w:tc>
        <w:tc>
          <w:tcPr>
            <w:tcW w:w="1548" w:type="dxa"/>
            <w:tcBorders>
              <w:bottom w:val="nil"/>
            </w:tcBorders>
            <w:shd w:val="clear" w:color="auto" w:fill="auto"/>
            <w:vAlign w:val="center"/>
          </w:tcPr>
          <w:p w:rsidR="00252AC6" w:rsidRPr="00AF241B" w:rsidRDefault="005D7338" w:rsidP="00F060F9">
            <w:pPr>
              <w:spacing w:before="60" w:after="60"/>
              <w:jc w:val="center"/>
              <w:rPr>
                <w:rFonts w:eastAsia="Times New Roman"/>
                <w:noProof/>
                <w:sz w:val="22"/>
              </w:rPr>
            </w:pPr>
            <w:r w:rsidRPr="001D3039">
              <w:rPr>
                <w:noProof/>
              </w:rPr>
              <w:t>770</w:t>
            </w:r>
            <w:r w:rsidRPr="00AF241B">
              <w:rPr>
                <w:noProof/>
              </w:rPr>
              <w:t> </w:t>
            </w:r>
            <w:r w:rsidRPr="001D3039">
              <w:rPr>
                <w:noProof/>
              </w:rPr>
              <w:t>018</w:t>
            </w:r>
          </w:p>
        </w:tc>
      </w:tr>
      <w:tr w:rsidR="00252AC6" w:rsidRPr="00AF241B" w:rsidTr="00F060F9">
        <w:trPr>
          <w:trHeight w:val="202"/>
        </w:trPr>
        <w:tc>
          <w:tcPr>
            <w:tcW w:w="4644" w:type="dxa"/>
            <w:vMerge/>
            <w:shd w:val="clear" w:color="auto" w:fill="auto"/>
            <w:vAlign w:val="center"/>
          </w:tcPr>
          <w:p w:rsidR="00252AC6" w:rsidRPr="00AF241B" w:rsidRDefault="00252AC6" w:rsidP="00F060F9">
            <w:pPr>
              <w:spacing w:before="60" w:after="60"/>
              <w:jc w:val="right"/>
              <w:rPr>
                <w:rFonts w:eastAsia="Times New Roman"/>
                <w:noProof/>
                <w:sz w:val="22"/>
              </w:rPr>
            </w:pPr>
          </w:p>
        </w:tc>
        <w:tc>
          <w:tcPr>
            <w:tcW w:w="3096" w:type="dxa"/>
            <w:gridSpan w:val="2"/>
            <w:vMerge/>
            <w:shd w:val="clear" w:color="auto" w:fill="D9D9D9"/>
            <w:vAlign w:val="center"/>
          </w:tcPr>
          <w:p w:rsidR="00252AC6" w:rsidRPr="00AF241B" w:rsidRDefault="00252AC6" w:rsidP="00F060F9">
            <w:pPr>
              <w:spacing w:before="60" w:after="60"/>
              <w:jc w:val="center"/>
              <w:rPr>
                <w:rFonts w:eastAsia="Times New Roman"/>
                <w:noProof/>
                <w:sz w:val="22"/>
              </w:rPr>
            </w:pPr>
          </w:p>
        </w:tc>
        <w:tc>
          <w:tcPr>
            <w:tcW w:w="1548" w:type="dxa"/>
            <w:tcBorders>
              <w:top w:val="nil"/>
            </w:tcBorders>
            <w:shd w:val="clear" w:color="auto" w:fill="auto"/>
            <w:vAlign w:val="center"/>
          </w:tcPr>
          <w:p w:rsidR="00252AC6" w:rsidRPr="00AF241B" w:rsidRDefault="00252AC6" w:rsidP="00F060F9">
            <w:pPr>
              <w:spacing w:before="60" w:after="60"/>
              <w:jc w:val="center"/>
              <w:rPr>
                <w:rFonts w:eastAsia="Times New Roman"/>
                <w:noProof/>
                <w:sz w:val="22"/>
              </w:rPr>
            </w:pPr>
            <w:r w:rsidRPr="00AF241B">
              <w:rPr>
                <w:noProof/>
                <w:sz w:val="22"/>
              </w:rPr>
              <w:t>(</w:t>
            </w:r>
            <w:r w:rsidRPr="001D3039">
              <w:rPr>
                <w:noProof/>
              </w:rPr>
              <w:t>25</w:t>
            </w:r>
            <w:r w:rsidRPr="00AF241B">
              <w:rPr>
                <w:noProof/>
              </w:rPr>
              <w:t>,</w:t>
            </w:r>
            <w:r w:rsidRPr="001D3039">
              <w:rPr>
                <w:noProof/>
              </w:rPr>
              <w:t>58</w:t>
            </w:r>
            <w:r w:rsidRPr="00AF241B">
              <w:rPr>
                <w:noProof/>
              </w:rPr>
              <w:t xml:space="preserve"> </w:t>
            </w:r>
            <w:r w:rsidRPr="00AF241B">
              <w:rPr>
                <w:noProof/>
                <w:sz w:val="22"/>
              </w:rPr>
              <w:t>%)</w:t>
            </w:r>
          </w:p>
        </w:tc>
      </w:tr>
      <w:tr w:rsidR="00252AC6" w:rsidRPr="00AF241B" w:rsidTr="00F060F9">
        <w:tc>
          <w:tcPr>
            <w:tcW w:w="9288" w:type="dxa"/>
            <w:gridSpan w:val="4"/>
            <w:shd w:val="clear" w:color="auto" w:fill="auto"/>
            <w:vAlign w:val="center"/>
          </w:tcPr>
          <w:p w:rsidR="00252AC6" w:rsidRPr="00AF241B" w:rsidRDefault="008516EA" w:rsidP="00CD31A0">
            <w:pPr>
              <w:spacing w:before="60" w:after="60"/>
              <w:jc w:val="left"/>
              <w:rPr>
                <w:rFonts w:eastAsia="Times New Roman"/>
                <w:noProof/>
                <w:sz w:val="22"/>
              </w:rPr>
            </w:pPr>
            <w:r w:rsidRPr="00AF241B">
              <w:rPr>
                <w:noProof/>
                <w:sz w:val="22"/>
              </w:rPr>
              <w:t>Activiteiten overeenkomstig artikel </w:t>
            </w:r>
            <w:r w:rsidRPr="001D3039">
              <w:rPr>
                <w:noProof/>
                <w:sz w:val="22"/>
              </w:rPr>
              <w:t>7</w:t>
            </w:r>
            <w:r w:rsidRPr="00AF241B">
              <w:rPr>
                <w:noProof/>
                <w:sz w:val="22"/>
              </w:rPr>
              <w:t>, lid </w:t>
            </w:r>
            <w:r w:rsidRPr="001D3039">
              <w:rPr>
                <w:noProof/>
                <w:sz w:val="22"/>
              </w:rPr>
              <w:t>5</w:t>
            </w:r>
            <w:r w:rsidRPr="00AF241B">
              <w:rPr>
                <w:noProof/>
                <w:sz w:val="22"/>
              </w:rPr>
              <w:t xml:space="preserve">, van Verordening (EU) </w:t>
            </w:r>
            <w:r w:rsidRPr="001D3039">
              <w:rPr>
                <w:noProof/>
                <w:sz w:val="22"/>
              </w:rPr>
              <w:t>2021</w:t>
            </w:r>
            <w:r w:rsidRPr="00AF241B">
              <w:rPr>
                <w:noProof/>
                <w:sz w:val="22"/>
              </w:rPr>
              <w:t>/</w:t>
            </w:r>
            <w:r w:rsidRPr="001D3039">
              <w:rPr>
                <w:noProof/>
                <w:sz w:val="22"/>
              </w:rPr>
              <w:t>691</w:t>
            </w:r>
          </w:p>
        </w:tc>
      </w:tr>
      <w:tr w:rsidR="00252AC6" w:rsidRPr="00AF241B" w:rsidTr="00F060F9">
        <w:tc>
          <w:tcPr>
            <w:tcW w:w="4644" w:type="dxa"/>
            <w:shd w:val="clear" w:color="auto" w:fill="auto"/>
          </w:tcPr>
          <w:p w:rsidR="00252AC6" w:rsidRPr="00AF241B" w:rsidRDefault="00252AC6" w:rsidP="00F060F9">
            <w:pPr>
              <w:spacing w:before="60" w:after="60"/>
              <w:ind w:left="284"/>
              <w:jc w:val="left"/>
              <w:rPr>
                <w:rFonts w:eastAsia="Times New Roman"/>
                <w:noProof/>
                <w:sz w:val="22"/>
              </w:rPr>
            </w:pPr>
            <w:r w:rsidRPr="001D3039">
              <w:rPr>
                <w:noProof/>
                <w:sz w:val="22"/>
              </w:rPr>
              <w:t>1</w:t>
            </w:r>
            <w:r w:rsidRPr="00AF241B">
              <w:rPr>
                <w:noProof/>
                <w:sz w:val="22"/>
              </w:rPr>
              <w:t>. Voorbereiding</w:t>
            </w:r>
          </w:p>
        </w:tc>
        <w:tc>
          <w:tcPr>
            <w:tcW w:w="3096" w:type="dxa"/>
            <w:gridSpan w:val="2"/>
            <w:shd w:val="clear" w:color="auto" w:fill="D9D9D9"/>
            <w:vAlign w:val="center"/>
          </w:tcPr>
          <w:p w:rsidR="00252AC6" w:rsidRPr="00AF241B" w:rsidRDefault="00252AC6" w:rsidP="00F060F9">
            <w:pPr>
              <w:spacing w:before="60" w:after="60"/>
              <w:jc w:val="center"/>
              <w:rPr>
                <w:rFonts w:eastAsia="Times New Roman"/>
                <w:noProof/>
                <w:sz w:val="22"/>
              </w:rPr>
            </w:pPr>
            <w:r w:rsidRPr="00AF241B">
              <w:rPr>
                <w:noProof/>
                <w:sz w:val="22"/>
              </w:rPr>
              <w:t>–</w:t>
            </w:r>
          </w:p>
        </w:tc>
        <w:tc>
          <w:tcPr>
            <w:tcW w:w="1548" w:type="dxa"/>
            <w:shd w:val="clear" w:color="auto" w:fill="auto"/>
          </w:tcPr>
          <w:p w:rsidR="00252AC6" w:rsidRPr="00AF241B" w:rsidRDefault="005D7338" w:rsidP="00F060F9">
            <w:pPr>
              <w:spacing w:before="60" w:after="60"/>
              <w:jc w:val="center"/>
              <w:rPr>
                <w:rFonts w:eastAsia="Times New Roman"/>
                <w:noProof/>
                <w:sz w:val="22"/>
              </w:rPr>
            </w:pPr>
            <w:r w:rsidRPr="001D3039">
              <w:rPr>
                <w:noProof/>
              </w:rPr>
              <w:t>78</w:t>
            </w:r>
            <w:r w:rsidRPr="00AF241B">
              <w:rPr>
                <w:noProof/>
              </w:rPr>
              <w:t> </w:t>
            </w:r>
            <w:r w:rsidRPr="001D3039">
              <w:rPr>
                <w:noProof/>
              </w:rPr>
              <w:t>400</w:t>
            </w:r>
          </w:p>
        </w:tc>
      </w:tr>
      <w:tr w:rsidR="00252AC6" w:rsidRPr="00AF241B" w:rsidTr="00F060F9">
        <w:tc>
          <w:tcPr>
            <w:tcW w:w="4644" w:type="dxa"/>
            <w:shd w:val="clear" w:color="auto" w:fill="auto"/>
          </w:tcPr>
          <w:p w:rsidR="00252AC6" w:rsidRPr="00AF241B" w:rsidRDefault="00252AC6" w:rsidP="00F060F9">
            <w:pPr>
              <w:spacing w:before="60" w:after="60"/>
              <w:ind w:left="284"/>
              <w:jc w:val="left"/>
              <w:rPr>
                <w:rFonts w:eastAsia="Times New Roman"/>
                <w:noProof/>
                <w:sz w:val="22"/>
              </w:rPr>
            </w:pPr>
            <w:r w:rsidRPr="001D3039">
              <w:rPr>
                <w:noProof/>
                <w:sz w:val="22"/>
              </w:rPr>
              <w:t>2</w:t>
            </w:r>
            <w:r w:rsidRPr="00AF241B">
              <w:rPr>
                <w:noProof/>
                <w:sz w:val="22"/>
              </w:rPr>
              <w:t>. Beheer</w:t>
            </w:r>
          </w:p>
        </w:tc>
        <w:tc>
          <w:tcPr>
            <w:tcW w:w="3096" w:type="dxa"/>
            <w:gridSpan w:val="2"/>
            <w:shd w:val="clear" w:color="auto" w:fill="D9D9D9"/>
            <w:vAlign w:val="center"/>
          </w:tcPr>
          <w:p w:rsidR="00252AC6" w:rsidRPr="00AF241B" w:rsidRDefault="00252AC6" w:rsidP="00F060F9">
            <w:pPr>
              <w:spacing w:before="60" w:after="60"/>
              <w:jc w:val="center"/>
              <w:rPr>
                <w:rFonts w:eastAsia="Times New Roman"/>
                <w:noProof/>
                <w:sz w:val="22"/>
              </w:rPr>
            </w:pPr>
            <w:r w:rsidRPr="00AF241B">
              <w:rPr>
                <w:noProof/>
                <w:sz w:val="22"/>
              </w:rPr>
              <w:t>–</w:t>
            </w:r>
          </w:p>
        </w:tc>
        <w:tc>
          <w:tcPr>
            <w:tcW w:w="1548" w:type="dxa"/>
            <w:shd w:val="clear" w:color="auto" w:fill="auto"/>
          </w:tcPr>
          <w:p w:rsidR="00252AC6" w:rsidRPr="00AF241B" w:rsidRDefault="005D7338" w:rsidP="00F060F9">
            <w:pPr>
              <w:spacing w:before="60" w:after="60"/>
              <w:jc w:val="center"/>
              <w:rPr>
                <w:rFonts w:eastAsia="Times New Roman"/>
                <w:noProof/>
                <w:sz w:val="22"/>
              </w:rPr>
            </w:pPr>
            <w:r w:rsidRPr="001D3039">
              <w:rPr>
                <w:noProof/>
              </w:rPr>
              <w:t>13</w:t>
            </w:r>
            <w:r w:rsidRPr="00AF241B">
              <w:rPr>
                <w:noProof/>
              </w:rPr>
              <w:t> </w:t>
            </w:r>
            <w:r w:rsidRPr="001D3039">
              <w:rPr>
                <w:noProof/>
              </w:rPr>
              <w:t>000</w:t>
            </w:r>
          </w:p>
        </w:tc>
      </w:tr>
      <w:tr w:rsidR="00252AC6" w:rsidRPr="00AF241B" w:rsidTr="00F060F9">
        <w:tc>
          <w:tcPr>
            <w:tcW w:w="4644" w:type="dxa"/>
            <w:shd w:val="clear" w:color="auto" w:fill="auto"/>
          </w:tcPr>
          <w:p w:rsidR="00252AC6" w:rsidRPr="00AF241B" w:rsidRDefault="00252AC6" w:rsidP="00F060F9">
            <w:pPr>
              <w:spacing w:before="60" w:after="60"/>
              <w:ind w:left="284"/>
              <w:jc w:val="left"/>
              <w:rPr>
                <w:rFonts w:eastAsia="Times New Roman"/>
                <w:noProof/>
                <w:sz w:val="22"/>
              </w:rPr>
            </w:pPr>
            <w:r w:rsidRPr="001D3039">
              <w:rPr>
                <w:noProof/>
                <w:sz w:val="22"/>
              </w:rPr>
              <w:t>3</w:t>
            </w:r>
            <w:r w:rsidRPr="00AF241B">
              <w:rPr>
                <w:noProof/>
                <w:sz w:val="22"/>
              </w:rPr>
              <w:t>. Voorlichting en publiciteit</w:t>
            </w:r>
          </w:p>
        </w:tc>
        <w:tc>
          <w:tcPr>
            <w:tcW w:w="3096" w:type="dxa"/>
            <w:gridSpan w:val="2"/>
            <w:shd w:val="clear" w:color="auto" w:fill="D9D9D9"/>
            <w:vAlign w:val="center"/>
          </w:tcPr>
          <w:p w:rsidR="00252AC6" w:rsidRPr="00AF241B" w:rsidRDefault="00252AC6" w:rsidP="00F060F9">
            <w:pPr>
              <w:spacing w:before="60" w:after="60"/>
              <w:jc w:val="center"/>
              <w:rPr>
                <w:rFonts w:eastAsia="Times New Roman"/>
                <w:noProof/>
                <w:sz w:val="22"/>
              </w:rPr>
            </w:pPr>
            <w:r w:rsidRPr="00AF241B">
              <w:rPr>
                <w:noProof/>
                <w:sz w:val="22"/>
              </w:rPr>
              <w:t>–</w:t>
            </w:r>
          </w:p>
        </w:tc>
        <w:tc>
          <w:tcPr>
            <w:tcW w:w="1548" w:type="dxa"/>
            <w:shd w:val="clear" w:color="auto" w:fill="auto"/>
          </w:tcPr>
          <w:p w:rsidR="00252AC6" w:rsidRPr="00AF241B" w:rsidRDefault="005D7338" w:rsidP="00F060F9">
            <w:pPr>
              <w:spacing w:before="60" w:after="60"/>
              <w:jc w:val="center"/>
              <w:rPr>
                <w:rFonts w:eastAsia="Times New Roman"/>
                <w:noProof/>
                <w:sz w:val="22"/>
              </w:rPr>
            </w:pPr>
            <w:r w:rsidRPr="001D3039">
              <w:rPr>
                <w:noProof/>
              </w:rPr>
              <w:t>5</w:t>
            </w:r>
            <w:r w:rsidRPr="00AF241B">
              <w:rPr>
                <w:noProof/>
              </w:rPr>
              <w:t> </w:t>
            </w:r>
            <w:r w:rsidRPr="001D3039">
              <w:rPr>
                <w:noProof/>
              </w:rPr>
              <w:t>000</w:t>
            </w:r>
          </w:p>
        </w:tc>
      </w:tr>
      <w:tr w:rsidR="00252AC6" w:rsidRPr="00AF241B" w:rsidTr="00F060F9">
        <w:tc>
          <w:tcPr>
            <w:tcW w:w="4644" w:type="dxa"/>
            <w:shd w:val="clear" w:color="auto" w:fill="auto"/>
          </w:tcPr>
          <w:p w:rsidR="00252AC6" w:rsidRPr="00AF241B" w:rsidRDefault="00252AC6" w:rsidP="00F060F9">
            <w:pPr>
              <w:spacing w:before="60" w:after="60"/>
              <w:ind w:left="284"/>
              <w:jc w:val="left"/>
              <w:rPr>
                <w:rFonts w:eastAsia="Times New Roman"/>
                <w:noProof/>
                <w:sz w:val="22"/>
              </w:rPr>
            </w:pPr>
            <w:r w:rsidRPr="001D3039">
              <w:rPr>
                <w:noProof/>
                <w:sz w:val="22"/>
              </w:rPr>
              <w:t>4</w:t>
            </w:r>
            <w:r w:rsidRPr="00AF241B">
              <w:rPr>
                <w:noProof/>
                <w:sz w:val="22"/>
              </w:rPr>
              <w:t>. Controle en rapportage</w:t>
            </w:r>
          </w:p>
        </w:tc>
        <w:tc>
          <w:tcPr>
            <w:tcW w:w="3096" w:type="dxa"/>
            <w:gridSpan w:val="2"/>
            <w:shd w:val="clear" w:color="auto" w:fill="D9D9D9"/>
            <w:vAlign w:val="center"/>
          </w:tcPr>
          <w:p w:rsidR="00252AC6" w:rsidRPr="00AF241B" w:rsidRDefault="00252AC6" w:rsidP="00F060F9">
            <w:pPr>
              <w:spacing w:before="60" w:after="60"/>
              <w:jc w:val="center"/>
              <w:rPr>
                <w:rFonts w:eastAsia="Times New Roman"/>
                <w:noProof/>
                <w:sz w:val="22"/>
              </w:rPr>
            </w:pPr>
            <w:r w:rsidRPr="00AF241B">
              <w:rPr>
                <w:noProof/>
                <w:sz w:val="22"/>
              </w:rPr>
              <w:t>–</w:t>
            </w:r>
          </w:p>
        </w:tc>
        <w:tc>
          <w:tcPr>
            <w:tcW w:w="1548" w:type="dxa"/>
            <w:tcBorders>
              <w:bottom w:val="single" w:sz="4" w:space="0" w:color="auto"/>
            </w:tcBorders>
            <w:shd w:val="clear" w:color="auto" w:fill="auto"/>
          </w:tcPr>
          <w:p w:rsidR="00252AC6" w:rsidRPr="00AF241B" w:rsidRDefault="005D7338" w:rsidP="00F060F9">
            <w:pPr>
              <w:spacing w:before="60" w:after="60"/>
              <w:jc w:val="center"/>
              <w:rPr>
                <w:rFonts w:eastAsia="Times New Roman"/>
                <w:noProof/>
                <w:sz w:val="22"/>
              </w:rPr>
            </w:pPr>
            <w:r w:rsidRPr="001D3039">
              <w:rPr>
                <w:noProof/>
              </w:rPr>
              <w:t>25</w:t>
            </w:r>
            <w:r w:rsidRPr="00AF241B">
              <w:rPr>
                <w:noProof/>
              </w:rPr>
              <w:t> </w:t>
            </w:r>
            <w:r w:rsidRPr="001D3039">
              <w:rPr>
                <w:noProof/>
              </w:rPr>
              <w:t>100</w:t>
            </w:r>
          </w:p>
        </w:tc>
      </w:tr>
      <w:tr w:rsidR="00252AC6" w:rsidRPr="00AF241B" w:rsidTr="00F060F9">
        <w:trPr>
          <w:trHeight w:val="203"/>
        </w:trPr>
        <w:tc>
          <w:tcPr>
            <w:tcW w:w="4644" w:type="dxa"/>
            <w:vMerge w:val="restart"/>
            <w:shd w:val="clear" w:color="auto" w:fill="auto"/>
            <w:vAlign w:val="center"/>
          </w:tcPr>
          <w:p w:rsidR="00252AC6" w:rsidRPr="00AF241B" w:rsidRDefault="00252AC6" w:rsidP="00F060F9">
            <w:pPr>
              <w:spacing w:before="60" w:after="60"/>
              <w:jc w:val="right"/>
              <w:rPr>
                <w:rFonts w:eastAsia="Times New Roman"/>
                <w:noProof/>
                <w:sz w:val="22"/>
              </w:rPr>
            </w:pPr>
            <w:r w:rsidRPr="00AF241B">
              <w:rPr>
                <w:noProof/>
                <w:sz w:val="22"/>
              </w:rPr>
              <w:t>Subtotaal (c):</w:t>
            </w:r>
          </w:p>
          <w:p w:rsidR="00252AC6" w:rsidRPr="00AF241B" w:rsidRDefault="00252AC6" w:rsidP="00F060F9">
            <w:pPr>
              <w:spacing w:before="60" w:after="60"/>
              <w:jc w:val="right"/>
              <w:rPr>
                <w:rFonts w:eastAsia="Times New Roman"/>
                <w:noProof/>
                <w:sz w:val="22"/>
              </w:rPr>
            </w:pPr>
            <w:r w:rsidRPr="00AF241B">
              <w:rPr>
                <w:noProof/>
                <w:sz w:val="22"/>
              </w:rPr>
              <w:t>Percentage van de totale kosten:</w:t>
            </w:r>
          </w:p>
        </w:tc>
        <w:tc>
          <w:tcPr>
            <w:tcW w:w="3096" w:type="dxa"/>
            <w:gridSpan w:val="2"/>
            <w:vMerge w:val="restart"/>
            <w:shd w:val="clear" w:color="auto" w:fill="D9D9D9"/>
            <w:vAlign w:val="center"/>
          </w:tcPr>
          <w:p w:rsidR="00252AC6" w:rsidRPr="00AF241B" w:rsidRDefault="00252AC6" w:rsidP="00F060F9">
            <w:pPr>
              <w:spacing w:before="0" w:after="0"/>
              <w:jc w:val="center"/>
              <w:rPr>
                <w:rFonts w:eastAsia="Times New Roman"/>
                <w:noProof/>
                <w:sz w:val="22"/>
              </w:rPr>
            </w:pPr>
            <w:r w:rsidRPr="00AF241B">
              <w:rPr>
                <w:noProof/>
                <w:sz w:val="22"/>
              </w:rPr>
              <w:t>–</w:t>
            </w:r>
          </w:p>
        </w:tc>
        <w:tc>
          <w:tcPr>
            <w:tcW w:w="1548" w:type="dxa"/>
            <w:tcBorders>
              <w:bottom w:val="nil"/>
            </w:tcBorders>
            <w:shd w:val="clear" w:color="auto" w:fill="auto"/>
            <w:vAlign w:val="center"/>
          </w:tcPr>
          <w:p w:rsidR="00252AC6" w:rsidRPr="00AF241B" w:rsidRDefault="005D7338" w:rsidP="00F060F9">
            <w:pPr>
              <w:spacing w:before="60" w:after="60"/>
              <w:jc w:val="center"/>
              <w:rPr>
                <w:rFonts w:eastAsia="Times New Roman"/>
                <w:noProof/>
                <w:sz w:val="22"/>
              </w:rPr>
            </w:pPr>
            <w:r w:rsidRPr="001D3039">
              <w:rPr>
                <w:noProof/>
              </w:rPr>
              <w:t>121</w:t>
            </w:r>
            <w:r w:rsidRPr="00AF241B">
              <w:rPr>
                <w:noProof/>
              </w:rPr>
              <w:t> </w:t>
            </w:r>
            <w:r w:rsidRPr="001D3039">
              <w:rPr>
                <w:noProof/>
              </w:rPr>
              <w:t>500</w:t>
            </w:r>
          </w:p>
        </w:tc>
      </w:tr>
      <w:tr w:rsidR="00252AC6" w:rsidRPr="00AF241B" w:rsidTr="00F060F9">
        <w:trPr>
          <w:trHeight w:val="202"/>
        </w:trPr>
        <w:tc>
          <w:tcPr>
            <w:tcW w:w="4644" w:type="dxa"/>
            <w:vMerge/>
            <w:shd w:val="clear" w:color="auto" w:fill="auto"/>
          </w:tcPr>
          <w:p w:rsidR="00252AC6" w:rsidRPr="00AF241B" w:rsidRDefault="00252AC6" w:rsidP="00F060F9">
            <w:pPr>
              <w:spacing w:before="0" w:after="0"/>
              <w:jc w:val="right"/>
              <w:rPr>
                <w:rFonts w:eastAsia="Times New Roman"/>
                <w:noProof/>
                <w:sz w:val="22"/>
              </w:rPr>
            </w:pPr>
          </w:p>
        </w:tc>
        <w:tc>
          <w:tcPr>
            <w:tcW w:w="3096" w:type="dxa"/>
            <w:gridSpan w:val="2"/>
            <w:vMerge/>
            <w:shd w:val="clear" w:color="auto" w:fill="D9D9D9"/>
            <w:vAlign w:val="center"/>
          </w:tcPr>
          <w:p w:rsidR="00252AC6" w:rsidRPr="00AF241B" w:rsidRDefault="00252AC6" w:rsidP="00F060F9">
            <w:pPr>
              <w:spacing w:before="0" w:after="0"/>
              <w:jc w:val="center"/>
              <w:rPr>
                <w:rFonts w:eastAsia="Times New Roman"/>
                <w:noProof/>
                <w:sz w:val="22"/>
              </w:rPr>
            </w:pPr>
          </w:p>
        </w:tc>
        <w:tc>
          <w:tcPr>
            <w:tcW w:w="1548" w:type="dxa"/>
            <w:tcBorders>
              <w:top w:val="nil"/>
            </w:tcBorders>
            <w:shd w:val="clear" w:color="auto" w:fill="auto"/>
            <w:vAlign w:val="center"/>
          </w:tcPr>
          <w:p w:rsidR="00252AC6" w:rsidRPr="00AF241B" w:rsidRDefault="00252AC6" w:rsidP="00F060F9">
            <w:pPr>
              <w:spacing w:before="60" w:after="60"/>
              <w:jc w:val="center"/>
              <w:rPr>
                <w:rFonts w:eastAsia="Times New Roman"/>
                <w:noProof/>
                <w:sz w:val="22"/>
              </w:rPr>
            </w:pPr>
            <w:r w:rsidRPr="00AF241B">
              <w:rPr>
                <w:noProof/>
                <w:sz w:val="22"/>
              </w:rPr>
              <w:t>(</w:t>
            </w:r>
            <w:r w:rsidRPr="001D3039">
              <w:rPr>
                <w:noProof/>
              </w:rPr>
              <w:t>3</w:t>
            </w:r>
            <w:r w:rsidRPr="00AF241B">
              <w:rPr>
                <w:noProof/>
              </w:rPr>
              <w:t>,</w:t>
            </w:r>
            <w:r w:rsidRPr="001D3039">
              <w:rPr>
                <w:noProof/>
              </w:rPr>
              <w:t>88</w:t>
            </w:r>
            <w:r w:rsidRPr="00AF241B">
              <w:rPr>
                <w:noProof/>
              </w:rPr>
              <w:t xml:space="preserve"> </w:t>
            </w:r>
            <w:r w:rsidRPr="00AF241B">
              <w:rPr>
                <w:noProof/>
                <w:sz w:val="22"/>
              </w:rPr>
              <w:t>%)</w:t>
            </w:r>
          </w:p>
        </w:tc>
      </w:tr>
      <w:tr w:rsidR="00252AC6" w:rsidRPr="00AF241B" w:rsidTr="00F060F9">
        <w:tc>
          <w:tcPr>
            <w:tcW w:w="4644" w:type="dxa"/>
            <w:shd w:val="clear" w:color="auto" w:fill="auto"/>
          </w:tcPr>
          <w:p w:rsidR="00252AC6" w:rsidRPr="00AF241B" w:rsidRDefault="00252AC6" w:rsidP="00F060F9">
            <w:pPr>
              <w:spacing w:before="60" w:after="60"/>
              <w:jc w:val="left"/>
              <w:rPr>
                <w:rFonts w:eastAsia="Times New Roman"/>
                <w:noProof/>
                <w:sz w:val="22"/>
              </w:rPr>
            </w:pPr>
            <w:r w:rsidRPr="00AF241B">
              <w:rPr>
                <w:noProof/>
                <w:sz w:val="22"/>
              </w:rPr>
              <w:t>Totale kosten (a + b + c):</w:t>
            </w:r>
          </w:p>
        </w:tc>
        <w:tc>
          <w:tcPr>
            <w:tcW w:w="3096" w:type="dxa"/>
            <w:gridSpan w:val="2"/>
            <w:shd w:val="clear" w:color="auto" w:fill="D9D9D9"/>
            <w:vAlign w:val="center"/>
          </w:tcPr>
          <w:p w:rsidR="00252AC6" w:rsidRPr="00AF241B" w:rsidRDefault="00252AC6" w:rsidP="00F060F9">
            <w:pPr>
              <w:spacing w:before="60" w:after="60"/>
              <w:jc w:val="center"/>
              <w:rPr>
                <w:rFonts w:eastAsia="Times New Roman"/>
                <w:noProof/>
                <w:sz w:val="22"/>
              </w:rPr>
            </w:pPr>
            <w:r w:rsidRPr="00AF241B">
              <w:rPr>
                <w:noProof/>
                <w:sz w:val="22"/>
              </w:rPr>
              <w:t>–</w:t>
            </w:r>
          </w:p>
        </w:tc>
        <w:tc>
          <w:tcPr>
            <w:tcW w:w="1548" w:type="dxa"/>
            <w:shd w:val="clear" w:color="auto" w:fill="auto"/>
          </w:tcPr>
          <w:p w:rsidR="00252AC6" w:rsidRPr="00AF241B" w:rsidRDefault="0039039E" w:rsidP="00F060F9">
            <w:pPr>
              <w:spacing w:before="60" w:after="60"/>
              <w:jc w:val="center"/>
              <w:rPr>
                <w:noProof/>
                <w:sz w:val="22"/>
              </w:rPr>
            </w:pPr>
            <w:r w:rsidRPr="001D3039">
              <w:rPr>
                <w:noProof/>
              </w:rPr>
              <w:t>3</w:t>
            </w:r>
            <w:r w:rsidRPr="00AF241B">
              <w:rPr>
                <w:noProof/>
              </w:rPr>
              <w:t> </w:t>
            </w:r>
            <w:r w:rsidRPr="001D3039">
              <w:rPr>
                <w:noProof/>
              </w:rPr>
              <w:t>131</w:t>
            </w:r>
            <w:r w:rsidRPr="00AF241B">
              <w:rPr>
                <w:noProof/>
              </w:rPr>
              <w:t> </w:t>
            </w:r>
            <w:r w:rsidRPr="001D3039">
              <w:rPr>
                <w:noProof/>
              </w:rPr>
              <w:t>252</w:t>
            </w:r>
          </w:p>
        </w:tc>
      </w:tr>
      <w:tr w:rsidR="00252AC6" w:rsidRPr="00AF241B" w:rsidTr="00F060F9">
        <w:tc>
          <w:tcPr>
            <w:tcW w:w="4644" w:type="dxa"/>
            <w:shd w:val="clear" w:color="auto" w:fill="auto"/>
          </w:tcPr>
          <w:p w:rsidR="00252AC6" w:rsidRPr="00AF241B" w:rsidRDefault="00252AC6" w:rsidP="00F060F9">
            <w:pPr>
              <w:spacing w:before="60" w:after="60"/>
              <w:jc w:val="left"/>
              <w:rPr>
                <w:rFonts w:eastAsia="Times New Roman"/>
                <w:noProof/>
                <w:sz w:val="22"/>
              </w:rPr>
            </w:pPr>
            <w:r w:rsidRPr="00AF241B">
              <w:rPr>
                <w:noProof/>
              </w:rPr>
              <w:t>EFG-bijdrage (</w:t>
            </w:r>
            <w:r w:rsidRPr="001D3039">
              <w:rPr>
                <w:noProof/>
              </w:rPr>
              <w:t>85</w:t>
            </w:r>
            <w:r w:rsidRPr="00AF241B">
              <w:rPr>
                <w:noProof/>
              </w:rPr>
              <w:t> % van de totale kosten)</w:t>
            </w:r>
          </w:p>
        </w:tc>
        <w:tc>
          <w:tcPr>
            <w:tcW w:w="3096" w:type="dxa"/>
            <w:gridSpan w:val="2"/>
            <w:shd w:val="clear" w:color="auto" w:fill="D9D9D9"/>
            <w:vAlign w:val="center"/>
          </w:tcPr>
          <w:p w:rsidR="00252AC6" w:rsidRPr="00AF241B" w:rsidRDefault="00252AC6" w:rsidP="00F060F9">
            <w:pPr>
              <w:spacing w:before="60" w:after="60"/>
              <w:jc w:val="center"/>
              <w:rPr>
                <w:rFonts w:eastAsia="Times New Roman"/>
                <w:noProof/>
                <w:sz w:val="22"/>
              </w:rPr>
            </w:pPr>
            <w:r w:rsidRPr="00AF241B">
              <w:rPr>
                <w:noProof/>
                <w:sz w:val="22"/>
              </w:rPr>
              <w:t>–</w:t>
            </w:r>
          </w:p>
        </w:tc>
        <w:tc>
          <w:tcPr>
            <w:tcW w:w="1548" w:type="dxa"/>
            <w:shd w:val="clear" w:color="auto" w:fill="auto"/>
          </w:tcPr>
          <w:p w:rsidR="00252AC6" w:rsidRPr="00AF241B" w:rsidRDefault="00537682" w:rsidP="00F060F9">
            <w:pPr>
              <w:spacing w:before="60" w:after="60"/>
              <w:jc w:val="center"/>
              <w:rPr>
                <w:rFonts w:eastAsia="Times New Roman"/>
                <w:noProof/>
                <w:sz w:val="22"/>
              </w:rPr>
            </w:pPr>
            <w:r w:rsidRPr="001D3039">
              <w:rPr>
                <w:noProof/>
              </w:rPr>
              <w:t>2</w:t>
            </w:r>
            <w:r w:rsidRPr="00AF241B">
              <w:rPr>
                <w:noProof/>
              </w:rPr>
              <w:t> </w:t>
            </w:r>
            <w:r w:rsidRPr="001D3039">
              <w:rPr>
                <w:noProof/>
              </w:rPr>
              <w:t>661</w:t>
            </w:r>
            <w:r w:rsidRPr="00AF241B">
              <w:rPr>
                <w:noProof/>
              </w:rPr>
              <w:t> </w:t>
            </w:r>
            <w:r w:rsidRPr="001D3039">
              <w:rPr>
                <w:noProof/>
              </w:rPr>
              <w:t>564</w:t>
            </w:r>
          </w:p>
        </w:tc>
      </w:tr>
    </w:tbl>
    <w:p w:rsidR="00252AC6" w:rsidRPr="00AF241B" w:rsidRDefault="00CB0C8E" w:rsidP="00CB0C8E">
      <w:pPr>
        <w:pStyle w:val="ManualNumPar1"/>
        <w:rPr>
          <w:noProof/>
          <w:szCs w:val="20"/>
        </w:rPr>
      </w:pPr>
      <w:r w:rsidRPr="00CB0C8E">
        <w:rPr>
          <w:noProof/>
        </w:rPr>
        <w:t>41.</w:t>
      </w:r>
      <w:r w:rsidRPr="00CB0C8E">
        <w:rPr>
          <w:noProof/>
        </w:rPr>
        <w:tab/>
      </w:r>
      <w:r w:rsidR="00252AC6" w:rsidRPr="00AF241B">
        <w:rPr>
          <w:noProof/>
        </w:rPr>
        <w:t>De kosten van de in de bovenstaande tabel opgenomen maatregelen die vallen onder artikel </w:t>
      </w:r>
      <w:r w:rsidR="00252AC6" w:rsidRPr="001D3039">
        <w:rPr>
          <w:noProof/>
        </w:rPr>
        <w:t>7</w:t>
      </w:r>
      <w:r w:rsidR="00252AC6" w:rsidRPr="00AF241B">
        <w:rPr>
          <w:noProof/>
        </w:rPr>
        <w:t>, lid</w:t>
      </w:r>
      <w:r w:rsidR="000A0F05">
        <w:rPr>
          <w:noProof/>
        </w:rPr>
        <w:t> </w:t>
      </w:r>
      <w:r w:rsidR="00252AC6" w:rsidRPr="001D3039">
        <w:rPr>
          <w:noProof/>
        </w:rPr>
        <w:t>2</w:t>
      </w:r>
      <w:r w:rsidR="00252AC6" w:rsidRPr="00AF241B">
        <w:rPr>
          <w:noProof/>
        </w:rPr>
        <w:t>, tweede alinea, punt</w:t>
      </w:r>
      <w:r w:rsidR="000A0F05">
        <w:rPr>
          <w:noProof/>
        </w:rPr>
        <w:t> </w:t>
      </w:r>
      <w:r w:rsidR="00252AC6" w:rsidRPr="00AF241B">
        <w:rPr>
          <w:noProof/>
        </w:rPr>
        <w:t xml:space="preserve">b), van Verordening (EU) </w:t>
      </w:r>
      <w:r w:rsidR="00252AC6" w:rsidRPr="001D3039">
        <w:rPr>
          <w:noProof/>
        </w:rPr>
        <w:t>2021</w:t>
      </w:r>
      <w:r w:rsidR="00252AC6" w:rsidRPr="00AF241B">
        <w:rPr>
          <w:noProof/>
        </w:rPr>
        <w:t>/</w:t>
      </w:r>
      <w:r w:rsidR="00252AC6" w:rsidRPr="001D3039">
        <w:rPr>
          <w:noProof/>
        </w:rPr>
        <w:t>691</w:t>
      </w:r>
      <w:r w:rsidR="00252AC6" w:rsidRPr="00AF241B">
        <w:rPr>
          <w:noProof/>
        </w:rPr>
        <w:t xml:space="preserve">, bedragen niet meer dan </w:t>
      </w:r>
      <w:r w:rsidR="00252AC6" w:rsidRPr="001D3039">
        <w:rPr>
          <w:noProof/>
        </w:rPr>
        <w:t>35</w:t>
      </w:r>
      <w:r w:rsidR="00252AC6" w:rsidRPr="00AF241B">
        <w:rPr>
          <w:noProof/>
        </w:rPr>
        <w:t> % van de totale kosten voor het gecoördineerde pakket gepersonaliseerde steunmaatregelen. België heeft bevestigd dat deze maatregelen afhangen van de actieve deelname van de beoogde begunstigden aan opleidingsactiviteiten en activiteiten in verband met het zoeken van een baan.</w:t>
      </w:r>
    </w:p>
    <w:p w:rsidR="00252AC6" w:rsidRPr="00AF241B" w:rsidRDefault="00CB0C8E" w:rsidP="00CB0C8E">
      <w:pPr>
        <w:pStyle w:val="ManualNumPar1"/>
        <w:rPr>
          <w:noProof/>
        </w:rPr>
      </w:pPr>
      <w:r w:rsidRPr="00CB0C8E">
        <w:rPr>
          <w:noProof/>
        </w:rPr>
        <w:t>42.</w:t>
      </w:r>
      <w:r w:rsidRPr="00CB0C8E">
        <w:rPr>
          <w:noProof/>
        </w:rPr>
        <w:tab/>
      </w:r>
      <w:r w:rsidR="006B3709" w:rsidRPr="00AF241B">
        <w:rPr>
          <w:noProof/>
        </w:rPr>
        <w:t>Overeenkomstig artikel </w:t>
      </w:r>
      <w:r w:rsidR="006B3709" w:rsidRPr="001D3039">
        <w:rPr>
          <w:noProof/>
        </w:rPr>
        <w:t>7</w:t>
      </w:r>
      <w:r w:rsidR="006B3709" w:rsidRPr="00AF241B">
        <w:rPr>
          <w:noProof/>
        </w:rPr>
        <w:t>, lid </w:t>
      </w:r>
      <w:r w:rsidR="006B3709" w:rsidRPr="001D3039">
        <w:rPr>
          <w:noProof/>
        </w:rPr>
        <w:t>2</w:t>
      </w:r>
      <w:r w:rsidR="006B3709" w:rsidRPr="00AF241B">
        <w:rPr>
          <w:noProof/>
        </w:rPr>
        <w:t xml:space="preserve">, vierde alinea, van Verordening (EU) </w:t>
      </w:r>
      <w:r w:rsidR="006B3709" w:rsidRPr="001D3039">
        <w:rPr>
          <w:noProof/>
        </w:rPr>
        <w:t>2021</w:t>
      </w:r>
      <w:r w:rsidR="006B3709" w:rsidRPr="00AF241B">
        <w:rPr>
          <w:noProof/>
        </w:rPr>
        <w:t>/</w:t>
      </w:r>
      <w:r w:rsidR="006B3709" w:rsidRPr="001D3039">
        <w:rPr>
          <w:noProof/>
        </w:rPr>
        <w:t>691</w:t>
      </w:r>
      <w:r w:rsidR="006B3709" w:rsidRPr="00AF241B">
        <w:rPr>
          <w:noProof/>
        </w:rPr>
        <w:t xml:space="preserve"> heeft België bevestigd dat de investeringskosten voor wie zich als zelfstandige vestigt of een eigen bedrijf opzet of voor overnames door werknemers niet meer dan </w:t>
      </w:r>
      <w:r w:rsidR="006B3709" w:rsidRPr="001D3039">
        <w:rPr>
          <w:noProof/>
        </w:rPr>
        <w:t>22</w:t>
      </w:r>
      <w:r w:rsidR="006B3709" w:rsidRPr="00AF241B">
        <w:rPr>
          <w:noProof/>
        </w:rPr>
        <w:t> </w:t>
      </w:r>
      <w:r w:rsidR="006B3709" w:rsidRPr="001D3039">
        <w:rPr>
          <w:noProof/>
        </w:rPr>
        <w:t>000</w:t>
      </w:r>
      <w:r w:rsidR="006B3709" w:rsidRPr="00AF241B">
        <w:rPr>
          <w:noProof/>
        </w:rPr>
        <w:t> EUR per begunstigde bedragen.</w:t>
      </w:r>
    </w:p>
    <w:p w:rsidR="00252AC6" w:rsidRPr="00AF241B" w:rsidRDefault="00252AC6" w:rsidP="00252AC6">
      <w:pPr>
        <w:pStyle w:val="ManualHeading3"/>
        <w:rPr>
          <w:noProof/>
        </w:rPr>
      </w:pPr>
      <w:r w:rsidRPr="00AF241B">
        <w:rPr>
          <w:noProof/>
        </w:rPr>
        <w:t>Periode waarbinnen de uitgaven voor financiering in aanmerking komen</w:t>
      </w:r>
    </w:p>
    <w:p w:rsidR="009D0554" w:rsidRPr="00AF241B" w:rsidRDefault="00CB0C8E" w:rsidP="00CB0C8E">
      <w:pPr>
        <w:pStyle w:val="ManualNumPar1"/>
        <w:rPr>
          <w:noProof/>
        </w:rPr>
      </w:pPr>
      <w:r w:rsidRPr="00CB0C8E">
        <w:rPr>
          <w:noProof/>
        </w:rPr>
        <w:t>43.</w:t>
      </w:r>
      <w:r w:rsidRPr="00CB0C8E">
        <w:rPr>
          <w:noProof/>
        </w:rPr>
        <w:tab/>
      </w:r>
      <w:r w:rsidR="00AC0761" w:rsidRPr="00AF241B">
        <w:rPr>
          <w:noProof/>
        </w:rPr>
        <w:t xml:space="preserve">België heeft de beoogde begunstigden met ingang van </w:t>
      </w:r>
      <w:r w:rsidR="00AC0761" w:rsidRPr="001D3039">
        <w:rPr>
          <w:noProof/>
        </w:rPr>
        <w:t>1</w:t>
      </w:r>
      <w:r w:rsidR="000A0F05">
        <w:rPr>
          <w:noProof/>
        </w:rPr>
        <w:t> </w:t>
      </w:r>
      <w:r w:rsidR="00AC0761" w:rsidRPr="00AF241B">
        <w:rPr>
          <w:noProof/>
        </w:rPr>
        <w:t xml:space="preserve">januari </w:t>
      </w:r>
      <w:r w:rsidR="00AC0761" w:rsidRPr="001D3039">
        <w:rPr>
          <w:noProof/>
        </w:rPr>
        <w:t>2024</w:t>
      </w:r>
      <w:r w:rsidR="00AC0761" w:rsidRPr="00AF241B">
        <w:rPr>
          <w:noProof/>
        </w:rPr>
        <w:t xml:space="preserve"> individuele dienstverlening verstrekt. De uitgaven voor de maatregelen komen derhalve vanaf </w:t>
      </w:r>
      <w:r w:rsidR="00AC0761" w:rsidRPr="001D3039">
        <w:rPr>
          <w:noProof/>
        </w:rPr>
        <w:t>1</w:t>
      </w:r>
      <w:r w:rsidR="000A0F05">
        <w:rPr>
          <w:noProof/>
        </w:rPr>
        <w:t> </w:t>
      </w:r>
      <w:r w:rsidR="00AC0761" w:rsidRPr="00AF241B">
        <w:rPr>
          <w:noProof/>
        </w:rPr>
        <w:t xml:space="preserve">januari </w:t>
      </w:r>
      <w:r w:rsidR="00AC0761" w:rsidRPr="001D3039">
        <w:rPr>
          <w:noProof/>
        </w:rPr>
        <w:t>2024</w:t>
      </w:r>
      <w:r w:rsidR="00AC0761" w:rsidRPr="00AF241B">
        <w:rPr>
          <w:noProof/>
        </w:rPr>
        <w:t xml:space="preserve"> tot </w:t>
      </w:r>
      <w:r w:rsidR="00AC0761" w:rsidRPr="001D3039">
        <w:rPr>
          <w:noProof/>
        </w:rPr>
        <w:t>24</w:t>
      </w:r>
      <w:r w:rsidR="000A0F05">
        <w:rPr>
          <w:noProof/>
        </w:rPr>
        <w:t> </w:t>
      </w:r>
      <w:r w:rsidR="00AC0761" w:rsidRPr="00AF241B">
        <w:rPr>
          <w:noProof/>
        </w:rPr>
        <w:t>maanden na de datum van inwerkingtreding van het financieringsbesluit voor een financiële bijdrage uit het EFG in aanmerking.</w:t>
      </w:r>
    </w:p>
    <w:p w:rsidR="00441C9E" w:rsidRPr="00AF241B" w:rsidRDefault="00CB0C8E" w:rsidP="00CB0C8E">
      <w:pPr>
        <w:pStyle w:val="ManualNumPar1"/>
        <w:rPr>
          <w:noProof/>
        </w:rPr>
      </w:pPr>
      <w:r w:rsidRPr="00CB0C8E">
        <w:rPr>
          <w:noProof/>
        </w:rPr>
        <w:t>44.</w:t>
      </w:r>
      <w:r w:rsidRPr="00CB0C8E">
        <w:rPr>
          <w:noProof/>
        </w:rPr>
        <w:tab/>
      </w:r>
      <w:r w:rsidR="008672FE" w:rsidRPr="00AF241B">
        <w:rPr>
          <w:noProof/>
        </w:rPr>
        <w:t xml:space="preserve">Op </w:t>
      </w:r>
      <w:r w:rsidR="008672FE" w:rsidRPr="001D3039">
        <w:rPr>
          <w:noProof/>
        </w:rPr>
        <w:t>22</w:t>
      </w:r>
      <w:r w:rsidR="000A0F05">
        <w:rPr>
          <w:noProof/>
        </w:rPr>
        <w:t> </w:t>
      </w:r>
      <w:r w:rsidR="008672FE" w:rsidRPr="00AF241B">
        <w:rPr>
          <w:noProof/>
        </w:rPr>
        <w:t xml:space="preserve">september </w:t>
      </w:r>
      <w:r w:rsidR="008672FE" w:rsidRPr="001D3039">
        <w:rPr>
          <w:noProof/>
        </w:rPr>
        <w:t>2023</w:t>
      </w:r>
      <w:r w:rsidR="008672FE" w:rsidRPr="00AF241B">
        <w:rPr>
          <w:noProof/>
        </w:rPr>
        <w:t xml:space="preserve"> heeft België de eerste administratieve uitgaven gedaan met het oog op de uitvoering van het EFG. De uitgaven voor activiteiten op het vlak van voorbereiding, beheer, voorlichting en publiciteit en controle en rapportage zullen derhalve van </w:t>
      </w:r>
      <w:r w:rsidR="008672FE" w:rsidRPr="001D3039">
        <w:rPr>
          <w:noProof/>
        </w:rPr>
        <w:t>22</w:t>
      </w:r>
      <w:r w:rsidR="000A0F05">
        <w:rPr>
          <w:noProof/>
        </w:rPr>
        <w:t> </w:t>
      </w:r>
      <w:r w:rsidR="008672FE" w:rsidRPr="00AF241B">
        <w:rPr>
          <w:noProof/>
        </w:rPr>
        <w:t xml:space="preserve">september </w:t>
      </w:r>
      <w:r w:rsidR="008672FE" w:rsidRPr="001D3039">
        <w:rPr>
          <w:noProof/>
        </w:rPr>
        <w:t>2023</w:t>
      </w:r>
      <w:r w:rsidR="008672FE" w:rsidRPr="00AF241B">
        <w:rPr>
          <w:noProof/>
        </w:rPr>
        <w:t xml:space="preserve"> tot </w:t>
      </w:r>
      <w:r w:rsidR="008672FE" w:rsidRPr="001D3039">
        <w:rPr>
          <w:noProof/>
        </w:rPr>
        <w:t>31</w:t>
      </w:r>
      <w:r w:rsidR="000A0F05">
        <w:rPr>
          <w:noProof/>
        </w:rPr>
        <w:t> </w:t>
      </w:r>
      <w:r w:rsidR="008672FE" w:rsidRPr="00AF241B">
        <w:rPr>
          <w:noProof/>
        </w:rPr>
        <w:t>maanden na de datum van inwerkingtreding van het financieringsbesluit voor een financiële bijdrage uit het EFG in aanmerking komen.</w:t>
      </w:r>
    </w:p>
    <w:p w:rsidR="00252AC6" w:rsidRPr="00AF241B" w:rsidRDefault="00252AC6" w:rsidP="004D7E25">
      <w:pPr>
        <w:pStyle w:val="ManualHeading2"/>
        <w:rPr>
          <w:noProof/>
        </w:rPr>
      </w:pPr>
      <w:r w:rsidRPr="00AF241B">
        <w:rPr>
          <w:noProof/>
        </w:rPr>
        <w:t>Beheers- en controlesystemen</w:t>
      </w:r>
    </w:p>
    <w:p w:rsidR="00252AC6" w:rsidRPr="00AF241B" w:rsidRDefault="00CB0C8E" w:rsidP="00CB0C8E">
      <w:pPr>
        <w:pStyle w:val="ManualNumPar1"/>
        <w:rPr>
          <w:noProof/>
        </w:rPr>
      </w:pPr>
      <w:r w:rsidRPr="00CB0C8E">
        <w:rPr>
          <w:noProof/>
        </w:rPr>
        <w:t>45.</w:t>
      </w:r>
      <w:r w:rsidRPr="00CB0C8E">
        <w:rPr>
          <w:noProof/>
        </w:rPr>
        <w:tab/>
      </w:r>
      <w:r w:rsidR="00252AC6" w:rsidRPr="00AF241B">
        <w:rPr>
          <w:noProof/>
        </w:rPr>
        <w:t>De aanvraag bevat een beschrijving van het beheers- en controlesysteem zoals voorgeschreven in artikel</w:t>
      </w:r>
      <w:r w:rsidR="000A0F05">
        <w:rPr>
          <w:noProof/>
        </w:rPr>
        <w:t> </w:t>
      </w:r>
      <w:r w:rsidR="00252AC6" w:rsidRPr="001D3039">
        <w:rPr>
          <w:noProof/>
        </w:rPr>
        <w:t>23</w:t>
      </w:r>
      <w:r w:rsidR="00252AC6" w:rsidRPr="00AF241B">
        <w:rPr>
          <w:noProof/>
        </w:rPr>
        <w:t xml:space="preserve"> van Verordening (EU) </w:t>
      </w:r>
      <w:r w:rsidR="00252AC6" w:rsidRPr="001D3039">
        <w:rPr>
          <w:noProof/>
        </w:rPr>
        <w:t>2021</w:t>
      </w:r>
      <w:r w:rsidR="00252AC6" w:rsidRPr="00AF241B">
        <w:rPr>
          <w:noProof/>
        </w:rPr>
        <w:t>/</w:t>
      </w:r>
      <w:r w:rsidR="00252AC6" w:rsidRPr="001D3039">
        <w:rPr>
          <w:noProof/>
        </w:rPr>
        <w:t>691</w:t>
      </w:r>
      <w:r w:rsidR="00252AC6" w:rsidRPr="00AF241B">
        <w:rPr>
          <w:noProof/>
        </w:rPr>
        <w:t>, waarin de verantwoordelijkheden van de betrokken instanties zijn vastgesteld. België heeft de Commissie meegedeeld dat de financiële bijdrage door dezelfde instanties wordt beheerd en gecontroleerd die ook het ESF+ beheren en controleren.</w:t>
      </w:r>
    </w:p>
    <w:p w:rsidR="00252AC6" w:rsidRPr="00AF241B" w:rsidRDefault="00252AC6" w:rsidP="00252AC6">
      <w:pPr>
        <w:pStyle w:val="ManualHeading2"/>
        <w:rPr>
          <w:noProof/>
        </w:rPr>
      </w:pPr>
      <w:r w:rsidRPr="00AF241B">
        <w:rPr>
          <w:noProof/>
        </w:rPr>
        <w:t>Toezeggingen door de betrokken lidstaat</w:t>
      </w:r>
    </w:p>
    <w:p w:rsidR="00252AC6" w:rsidRPr="00AF241B" w:rsidRDefault="00CB0C8E" w:rsidP="00CB0C8E">
      <w:pPr>
        <w:pStyle w:val="ManualNumPar1"/>
        <w:rPr>
          <w:noProof/>
        </w:rPr>
      </w:pPr>
      <w:r w:rsidRPr="00CB0C8E">
        <w:rPr>
          <w:noProof/>
        </w:rPr>
        <w:t>46.</w:t>
      </w:r>
      <w:r w:rsidRPr="00CB0C8E">
        <w:rPr>
          <w:noProof/>
        </w:rPr>
        <w:tab/>
      </w:r>
      <w:r w:rsidR="00413611" w:rsidRPr="00AF241B">
        <w:rPr>
          <w:noProof/>
        </w:rPr>
        <w:t>België heeft op de volgende punten de nodige garanties geboden:</w:t>
      </w:r>
    </w:p>
    <w:p w:rsidR="00252AC6" w:rsidRPr="00AF241B" w:rsidRDefault="00252AC6" w:rsidP="00252AC6">
      <w:pPr>
        <w:pStyle w:val="Tiret1"/>
        <w:rPr>
          <w:noProof/>
        </w:rPr>
      </w:pPr>
      <w:r w:rsidRPr="00AF241B">
        <w:rPr>
          <w:noProof/>
        </w:rPr>
        <w:t>bij de toegang tot de voorgestelde maatregelen en de uitvoering ervan zullen de beginselen van gelijke behandeling en non-discriminatie worden gerespecteerd;</w:t>
      </w:r>
    </w:p>
    <w:p w:rsidR="00252AC6" w:rsidRPr="00AF241B" w:rsidRDefault="00252AC6" w:rsidP="00252AC6">
      <w:pPr>
        <w:pStyle w:val="Tiret1"/>
        <w:rPr>
          <w:noProof/>
        </w:rPr>
      </w:pPr>
      <w:r w:rsidRPr="00AF241B">
        <w:rPr>
          <w:noProof/>
        </w:rPr>
        <w:t>er is voldaan aan de voorschriften van de nationale en EU-wetgeving betreffende collectieve ontslagen;</w:t>
      </w:r>
    </w:p>
    <w:p w:rsidR="00252AC6" w:rsidRPr="00AF241B" w:rsidRDefault="00252AC6" w:rsidP="007D38CD">
      <w:pPr>
        <w:pStyle w:val="Tiret1"/>
        <w:rPr>
          <w:noProof/>
        </w:rPr>
      </w:pPr>
      <w:r w:rsidRPr="00AF241B">
        <w:rPr>
          <w:noProof/>
        </w:rPr>
        <w:t>dubbele financiering wordt voorkomen;</w:t>
      </w:r>
    </w:p>
    <w:p w:rsidR="00252AC6" w:rsidRPr="00AF241B" w:rsidRDefault="00252AC6" w:rsidP="00252AC6">
      <w:pPr>
        <w:pStyle w:val="Tiret1"/>
        <w:rPr>
          <w:noProof/>
        </w:rPr>
      </w:pPr>
      <w:r w:rsidRPr="00AF241B">
        <w:rPr>
          <w:noProof/>
        </w:rPr>
        <w:t>de financiële bijdrage uit het EFG zal voldoen aan de procedurele en materiële EU-regels inzake overheidssteun.</w:t>
      </w:r>
    </w:p>
    <w:p w:rsidR="00252AC6" w:rsidRPr="00AF241B" w:rsidRDefault="00252AC6" w:rsidP="00252AC6">
      <w:pPr>
        <w:pStyle w:val="ManualHeading1"/>
        <w:rPr>
          <w:noProof/>
        </w:rPr>
      </w:pPr>
      <w:r w:rsidRPr="00AF241B">
        <w:rPr>
          <w:noProof/>
        </w:rPr>
        <w:t>GEVOLGEN VOOR DE BEGROTING</w:t>
      </w:r>
    </w:p>
    <w:p w:rsidR="00252AC6" w:rsidRPr="00AF241B" w:rsidRDefault="00252AC6" w:rsidP="00252AC6">
      <w:pPr>
        <w:pStyle w:val="ManualHeading2"/>
        <w:rPr>
          <w:noProof/>
        </w:rPr>
      </w:pPr>
      <w:r w:rsidRPr="00AF241B">
        <w:rPr>
          <w:noProof/>
        </w:rPr>
        <w:t>Begrotingsvoorstel</w:t>
      </w:r>
    </w:p>
    <w:p w:rsidR="00252AC6" w:rsidRPr="00AF241B" w:rsidRDefault="00CB0C8E" w:rsidP="00CB0C8E">
      <w:pPr>
        <w:pStyle w:val="ManualNumPar1"/>
        <w:rPr>
          <w:noProof/>
        </w:rPr>
      </w:pPr>
      <w:bookmarkStart w:id="14" w:name="_Hlk174701094"/>
      <w:bookmarkStart w:id="15" w:name="_Hlk172121357"/>
      <w:r w:rsidRPr="00CB0C8E">
        <w:rPr>
          <w:noProof/>
        </w:rPr>
        <w:t>47.</w:t>
      </w:r>
      <w:r w:rsidRPr="00CB0C8E">
        <w:rPr>
          <w:noProof/>
        </w:rPr>
        <w:tab/>
      </w:r>
      <w:r w:rsidR="00252AC6" w:rsidRPr="00AF241B">
        <w:rPr>
          <w:noProof/>
        </w:rPr>
        <w:t>Overeenkomstig artikel</w:t>
      </w:r>
      <w:r w:rsidR="000A0F05">
        <w:rPr>
          <w:noProof/>
        </w:rPr>
        <w:t> </w:t>
      </w:r>
      <w:r w:rsidR="00252AC6" w:rsidRPr="001D3039">
        <w:rPr>
          <w:noProof/>
        </w:rPr>
        <w:t>8</w:t>
      </w:r>
      <w:r w:rsidR="00252AC6" w:rsidRPr="00AF241B">
        <w:rPr>
          <w:noProof/>
        </w:rPr>
        <w:t xml:space="preserve"> van Verordening (EU, Euratom)</w:t>
      </w:r>
      <w:r w:rsidR="000A0F05">
        <w:rPr>
          <w:noProof/>
        </w:rPr>
        <w:t xml:space="preserve"> </w:t>
      </w:r>
      <w:r w:rsidR="00252AC6" w:rsidRPr="001D3039">
        <w:rPr>
          <w:noProof/>
        </w:rPr>
        <w:t>2020</w:t>
      </w:r>
      <w:r w:rsidR="00252AC6" w:rsidRPr="00AF241B">
        <w:rPr>
          <w:noProof/>
        </w:rPr>
        <w:t>/</w:t>
      </w:r>
      <w:r w:rsidR="00252AC6" w:rsidRPr="001D3039">
        <w:rPr>
          <w:noProof/>
        </w:rPr>
        <w:t>2093</w:t>
      </w:r>
      <w:r w:rsidR="00252AC6" w:rsidRPr="00AF241B">
        <w:rPr>
          <w:noProof/>
        </w:rPr>
        <w:t xml:space="preserve"> van de Raad van </w:t>
      </w:r>
      <w:r w:rsidR="00252AC6" w:rsidRPr="001D3039">
        <w:rPr>
          <w:noProof/>
        </w:rPr>
        <w:t>17</w:t>
      </w:r>
      <w:r w:rsidR="000A0F05">
        <w:rPr>
          <w:noProof/>
        </w:rPr>
        <w:t> </w:t>
      </w:r>
      <w:r w:rsidR="00252AC6" w:rsidRPr="00AF241B">
        <w:rPr>
          <w:noProof/>
        </w:rPr>
        <w:t xml:space="preserve">december </w:t>
      </w:r>
      <w:r w:rsidR="00252AC6" w:rsidRPr="001D3039">
        <w:rPr>
          <w:noProof/>
        </w:rPr>
        <w:t>2020</w:t>
      </w:r>
      <w:r w:rsidR="00252AC6" w:rsidRPr="00AF241B">
        <w:rPr>
          <w:noProof/>
        </w:rPr>
        <w:t xml:space="preserve"> tot bepaling van het meerjarig financieel kader voor de jaren </w:t>
      </w:r>
      <w:r w:rsidR="00252AC6" w:rsidRPr="001D3039">
        <w:rPr>
          <w:noProof/>
        </w:rPr>
        <w:t>2021</w:t>
      </w:r>
      <w:r w:rsidR="00252AC6" w:rsidRPr="00AF241B">
        <w:rPr>
          <w:noProof/>
        </w:rPr>
        <w:t>-</w:t>
      </w:r>
      <w:r w:rsidR="00252AC6" w:rsidRPr="001D3039">
        <w:rPr>
          <w:noProof/>
        </w:rPr>
        <w:t>2027</w:t>
      </w:r>
      <w:r w:rsidR="00252AC6" w:rsidRPr="00AF241B">
        <w:rPr>
          <w:rStyle w:val="FootnoteReference"/>
          <w:noProof/>
        </w:rPr>
        <w:footnoteReference w:id="30"/>
      </w:r>
      <w:r w:rsidR="00252AC6" w:rsidRPr="00AF241B">
        <w:rPr>
          <w:noProof/>
        </w:rPr>
        <w:t xml:space="preserve">, gewijzigd bij Verordening (EU, Euratom) </w:t>
      </w:r>
      <w:r w:rsidR="00252AC6" w:rsidRPr="001D3039">
        <w:rPr>
          <w:noProof/>
        </w:rPr>
        <w:t>2024</w:t>
      </w:r>
      <w:r w:rsidR="00252AC6" w:rsidRPr="00AF241B">
        <w:rPr>
          <w:noProof/>
        </w:rPr>
        <w:t>/</w:t>
      </w:r>
      <w:r w:rsidR="00252AC6" w:rsidRPr="001D3039">
        <w:rPr>
          <w:noProof/>
        </w:rPr>
        <w:t>765</w:t>
      </w:r>
      <w:r w:rsidR="00252AC6" w:rsidRPr="00AF241B">
        <w:rPr>
          <w:noProof/>
        </w:rPr>
        <w:t xml:space="preserve"> van de Raad van </w:t>
      </w:r>
      <w:r w:rsidR="00252AC6" w:rsidRPr="001D3039">
        <w:rPr>
          <w:noProof/>
        </w:rPr>
        <w:t>29</w:t>
      </w:r>
      <w:r w:rsidR="00252AC6" w:rsidRPr="00AF241B">
        <w:rPr>
          <w:noProof/>
        </w:rPr>
        <w:t xml:space="preserve"> februari </w:t>
      </w:r>
      <w:r w:rsidR="00252AC6" w:rsidRPr="001D3039">
        <w:rPr>
          <w:noProof/>
        </w:rPr>
        <w:t>2024</w:t>
      </w:r>
      <w:r w:rsidR="00252AC6" w:rsidRPr="00AF241B">
        <w:rPr>
          <w:rStyle w:val="FootnoteReference"/>
          <w:noProof/>
        </w:rPr>
        <w:footnoteReference w:id="31"/>
      </w:r>
      <w:r w:rsidR="00252AC6" w:rsidRPr="00AF241B">
        <w:rPr>
          <w:noProof/>
        </w:rPr>
        <w:t xml:space="preserve">, mag het EFG het jaarlijks maximumbedrag van </w:t>
      </w:r>
      <w:r w:rsidR="00252AC6" w:rsidRPr="001D3039">
        <w:rPr>
          <w:noProof/>
        </w:rPr>
        <w:t>30</w:t>
      </w:r>
      <w:r w:rsidR="00252AC6" w:rsidRPr="00AF241B">
        <w:rPr>
          <w:noProof/>
        </w:rPr>
        <w:t> miljoen</w:t>
      </w:r>
      <w:r w:rsidR="000A0F05">
        <w:rPr>
          <w:noProof/>
        </w:rPr>
        <w:t> </w:t>
      </w:r>
      <w:r w:rsidR="00252AC6" w:rsidRPr="00AF241B">
        <w:rPr>
          <w:noProof/>
        </w:rPr>
        <w:t xml:space="preserve">EUR (prijzen van </w:t>
      </w:r>
      <w:r w:rsidR="00252AC6" w:rsidRPr="001D3039">
        <w:rPr>
          <w:noProof/>
        </w:rPr>
        <w:t>2018</w:t>
      </w:r>
      <w:r w:rsidR="00252AC6" w:rsidRPr="00AF241B">
        <w:rPr>
          <w:noProof/>
        </w:rPr>
        <w:t>) niet overschrijden.</w:t>
      </w:r>
      <w:bookmarkEnd w:id="14"/>
    </w:p>
    <w:bookmarkEnd w:id="15"/>
    <w:p w:rsidR="00252AC6" w:rsidRPr="00AF241B" w:rsidRDefault="00CB0C8E" w:rsidP="00CB0C8E">
      <w:pPr>
        <w:pStyle w:val="ManualNumPar1"/>
        <w:rPr>
          <w:rFonts w:eastAsia="Calibri"/>
          <w:noProof/>
        </w:rPr>
      </w:pPr>
      <w:r w:rsidRPr="00CB0C8E">
        <w:rPr>
          <w:noProof/>
        </w:rPr>
        <w:t>48.</w:t>
      </w:r>
      <w:r w:rsidRPr="00CB0C8E">
        <w:rPr>
          <w:noProof/>
        </w:rPr>
        <w:tab/>
      </w:r>
      <w:r w:rsidR="00252AC6" w:rsidRPr="00AF241B">
        <w:rPr>
          <w:noProof/>
        </w:rPr>
        <w:t>Na te hebben onderzocht of de aanvraag voldoet aan de voorwaarden van artikel </w:t>
      </w:r>
      <w:r w:rsidR="00252AC6" w:rsidRPr="001D3039">
        <w:rPr>
          <w:noProof/>
        </w:rPr>
        <w:t>13</w:t>
      </w:r>
      <w:r w:rsidR="00252AC6" w:rsidRPr="00AF241B">
        <w:rPr>
          <w:noProof/>
        </w:rPr>
        <w:t>, leden</w:t>
      </w:r>
      <w:r w:rsidR="000A0F05">
        <w:rPr>
          <w:noProof/>
        </w:rPr>
        <w:t> </w:t>
      </w:r>
      <w:r w:rsidR="00252AC6" w:rsidRPr="001D3039">
        <w:rPr>
          <w:noProof/>
        </w:rPr>
        <w:t>1</w:t>
      </w:r>
      <w:r w:rsidR="00252AC6" w:rsidRPr="00AF241B">
        <w:rPr>
          <w:noProof/>
        </w:rPr>
        <w:t xml:space="preserve"> en</w:t>
      </w:r>
      <w:r w:rsidR="000A0F05">
        <w:rPr>
          <w:noProof/>
        </w:rPr>
        <w:t> </w:t>
      </w:r>
      <w:r w:rsidR="00252AC6" w:rsidRPr="001D3039">
        <w:rPr>
          <w:noProof/>
        </w:rPr>
        <w:t>2</w:t>
      </w:r>
      <w:r w:rsidR="00252AC6" w:rsidRPr="00AF241B">
        <w:rPr>
          <w:noProof/>
        </w:rPr>
        <w:t xml:space="preserve">, van Verordening (EU) </w:t>
      </w:r>
      <w:r w:rsidR="00252AC6" w:rsidRPr="001D3039">
        <w:rPr>
          <w:noProof/>
        </w:rPr>
        <w:t>2021</w:t>
      </w:r>
      <w:r w:rsidR="00252AC6" w:rsidRPr="00AF241B">
        <w:rPr>
          <w:noProof/>
        </w:rPr>
        <w:t>/</w:t>
      </w:r>
      <w:r w:rsidR="00252AC6" w:rsidRPr="001D3039">
        <w:rPr>
          <w:noProof/>
        </w:rPr>
        <w:t>691</w:t>
      </w:r>
      <w:r w:rsidR="00252AC6" w:rsidRPr="00AF241B">
        <w:rPr>
          <w:noProof/>
        </w:rPr>
        <w:t xml:space="preserve">, en rekening houdend met het aantal beoogde begunstigden, de voorgestelde maatregelen en de geraamde kosten, stelt de Commissie voor om uit het EFG een bedrag van </w:t>
      </w:r>
      <w:r w:rsidR="00252AC6" w:rsidRPr="001D3039">
        <w:rPr>
          <w:noProof/>
        </w:rPr>
        <w:t>2</w:t>
      </w:r>
      <w:r w:rsidR="00252AC6" w:rsidRPr="00AF241B">
        <w:rPr>
          <w:noProof/>
        </w:rPr>
        <w:t> </w:t>
      </w:r>
      <w:r w:rsidR="00252AC6" w:rsidRPr="001D3039">
        <w:rPr>
          <w:noProof/>
        </w:rPr>
        <w:t>661</w:t>
      </w:r>
      <w:r w:rsidR="00252AC6" w:rsidRPr="00AF241B">
        <w:rPr>
          <w:noProof/>
        </w:rPr>
        <w:t> </w:t>
      </w:r>
      <w:r w:rsidR="00252AC6" w:rsidRPr="001D3039">
        <w:rPr>
          <w:noProof/>
        </w:rPr>
        <w:t>564</w:t>
      </w:r>
      <w:r w:rsidR="00252AC6" w:rsidRPr="00AF241B">
        <w:rPr>
          <w:noProof/>
        </w:rPr>
        <w:t xml:space="preserve"> EUR beschikbaar te stellen – hetgeen overeenkomt met </w:t>
      </w:r>
      <w:r w:rsidR="00252AC6" w:rsidRPr="001D3039">
        <w:rPr>
          <w:noProof/>
        </w:rPr>
        <w:t>85</w:t>
      </w:r>
      <w:r w:rsidR="00252AC6" w:rsidRPr="00AF241B">
        <w:rPr>
          <w:noProof/>
        </w:rPr>
        <w:t> % van de totale kosten van de voorgestelde maatregelen – teneinde een financiële bijdrage toe te kennen in het kader van de aanvraag.</w:t>
      </w:r>
    </w:p>
    <w:p w:rsidR="00252AC6" w:rsidRPr="00AF241B" w:rsidRDefault="00CB0C8E" w:rsidP="00CB0C8E">
      <w:pPr>
        <w:pStyle w:val="ManualNumPar1"/>
        <w:rPr>
          <w:rFonts w:eastAsia="Times New Roman"/>
          <w:noProof/>
        </w:rPr>
      </w:pPr>
      <w:r w:rsidRPr="00CB0C8E">
        <w:rPr>
          <w:noProof/>
        </w:rPr>
        <w:t>49.</w:t>
      </w:r>
      <w:r w:rsidRPr="00CB0C8E">
        <w:rPr>
          <w:noProof/>
        </w:rPr>
        <w:tab/>
      </w:r>
      <w:r w:rsidR="00252AC6" w:rsidRPr="00AF241B">
        <w:rPr>
          <w:noProof/>
        </w:rPr>
        <w:t>Overeenkomstig artikel</w:t>
      </w:r>
      <w:r w:rsidR="000A0F05">
        <w:rPr>
          <w:noProof/>
        </w:rPr>
        <w:t> </w:t>
      </w:r>
      <w:r w:rsidR="00252AC6" w:rsidRPr="001D3039">
        <w:rPr>
          <w:noProof/>
        </w:rPr>
        <w:t>15</w:t>
      </w:r>
      <w:r w:rsidR="00252AC6" w:rsidRPr="00AF241B">
        <w:rPr>
          <w:noProof/>
        </w:rPr>
        <w:t>, lid</w:t>
      </w:r>
      <w:r w:rsidR="000A0F05">
        <w:rPr>
          <w:noProof/>
        </w:rPr>
        <w:t> </w:t>
      </w:r>
      <w:r w:rsidR="00252AC6" w:rsidRPr="001D3039">
        <w:rPr>
          <w:noProof/>
        </w:rPr>
        <w:t>1</w:t>
      </w:r>
      <w:r w:rsidR="00252AC6" w:rsidRPr="00AF241B">
        <w:rPr>
          <w:noProof/>
        </w:rPr>
        <w:t xml:space="preserve">, eerste alinea, tweede zin, van Verordening (EU) </w:t>
      </w:r>
      <w:r w:rsidR="00252AC6" w:rsidRPr="001D3039">
        <w:rPr>
          <w:noProof/>
        </w:rPr>
        <w:t>2021</w:t>
      </w:r>
      <w:r w:rsidR="00252AC6" w:rsidRPr="00AF241B">
        <w:rPr>
          <w:noProof/>
        </w:rPr>
        <w:t>/</w:t>
      </w:r>
      <w:r w:rsidR="00252AC6" w:rsidRPr="001D3039">
        <w:rPr>
          <w:noProof/>
        </w:rPr>
        <w:t>691</w:t>
      </w:r>
      <w:r w:rsidR="00252AC6" w:rsidRPr="00AF241B">
        <w:rPr>
          <w:noProof/>
        </w:rPr>
        <w:t xml:space="preserve"> en zoals voorgeschreven in punt</w:t>
      </w:r>
      <w:r w:rsidR="000A0F05">
        <w:rPr>
          <w:noProof/>
        </w:rPr>
        <w:t> </w:t>
      </w:r>
      <w:r w:rsidR="00252AC6" w:rsidRPr="001D3039">
        <w:rPr>
          <w:noProof/>
        </w:rPr>
        <w:t>9</w:t>
      </w:r>
      <w:r w:rsidR="00252AC6" w:rsidRPr="00AF241B">
        <w:rPr>
          <w:noProof/>
        </w:rPr>
        <w:t xml:space="preserve"> van het Interinstitutioneel Akkoord van </w:t>
      </w:r>
      <w:r w:rsidR="00252AC6" w:rsidRPr="001D3039">
        <w:rPr>
          <w:noProof/>
        </w:rPr>
        <w:t>16</w:t>
      </w:r>
      <w:r w:rsidR="000A0F05">
        <w:rPr>
          <w:noProof/>
        </w:rPr>
        <w:t> </w:t>
      </w:r>
      <w:r w:rsidR="00252AC6" w:rsidRPr="00AF241B">
        <w:rPr>
          <w:noProof/>
        </w:rPr>
        <w:t xml:space="preserve">december </w:t>
      </w:r>
      <w:r w:rsidR="00252AC6" w:rsidRPr="001D3039">
        <w:rPr>
          <w:noProof/>
        </w:rPr>
        <w:t>2020</w:t>
      </w:r>
      <w:r w:rsidR="00252AC6" w:rsidRPr="00AF241B">
        <w:rPr>
          <w:noProof/>
        </w:rPr>
        <w:t xml:space="preserve"> tussen het Europees Parlement, de Raad van de Europese Unie en de Europese Commissie betreffende de begrotingsdiscipline, de samenwerking in begrotingszaken en een goed financieel beheer, alsmede betreffende nieuwe eigen middelen, met inbegrip van een routekaart voor de invoering van nieuwe eigen middelen</w:t>
      </w:r>
      <w:r w:rsidR="00252AC6" w:rsidRPr="00AF241B">
        <w:rPr>
          <w:rStyle w:val="FootnoteReference"/>
          <w:noProof/>
        </w:rPr>
        <w:footnoteReference w:id="32"/>
      </w:r>
      <w:r w:rsidR="00252AC6" w:rsidRPr="00AF241B">
        <w:rPr>
          <w:noProof/>
        </w:rPr>
        <w:t>, zal het voorgestelde besluit om middelen uit het EFG beschikbaar te stellen gezamenlijk door het Europees Parlement en de Raad worden genomen.</w:t>
      </w:r>
    </w:p>
    <w:p w:rsidR="00252AC6" w:rsidRPr="00AF241B" w:rsidRDefault="00252AC6" w:rsidP="00252AC6">
      <w:pPr>
        <w:pStyle w:val="ManualHeading2"/>
        <w:rPr>
          <w:noProof/>
        </w:rPr>
      </w:pPr>
      <w:r w:rsidRPr="00AF241B">
        <w:rPr>
          <w:noProof/>
        </w:rPr>
        <w:t>Met dit besluit samenhangende handelingen</w:t>
      </w:r>
    </w:p>
    <w:p w:rsidR="00E544E0" w:rsidRPr="00AF241B" w:rsidRDefault="00CB0C8E" w:rsidP="00CB0C8E">
      <w:pPr>
        <w:pStyle w:val="ManualNumPar1"/>
        <w:rPr>
          <w:noProof/>
        </w:rPr>
      </w:pPr>
      <w:r w:rsidRPr="00CB0C8E">
        <w:rPr>
          <w:noProof/>
        </w:rPr>
        <w:t>50.</w:t>
      </w:r>
      <w:r w:rsidRPr="00CB0C8E">
        <w:rPr>
          <w:noProof/>
        </w:rPr>
        <w:tab/>
      </w:r>
      <w:r w:rsidR="00252AC6" w:rsidRPr="00AF241B">
        <w:rPr>
          <w:noProof/>
        </w:rPr>
        <w:t xml:space="preserve">Tegelijk met dit voorstel voor een besluit om middelen uit het EFG beschikbaar te stellen, dient de Commissie bij het Europees Parlement en de Raad een voorstel in om </w:t>
      </w:r>
      <w:r w:rsidR="00252AC6" w:rsidRPr="001D3039">
        <w:rPr>
          <w:noProof/>
        </w:rPr>
        <w:t>2</w:t>
      </w:r>
      <w:r w:rsidR="00252AC6" w:rsidRPr="00AF241B">
        <w:rPr>
          <w:noProof/>
        </w:rPr>
        <w:t> </w:t>
      </w:r>
      <w:r w:rsidR="00252AC6" w:rsidRPr="001D3039">
        <w:rPr>
          <w:noProof/>
        </w:rPr>
        <w:t>661</w:t>
      </w:r>
      <w:r w:rsidR="00252AC6" w:rsidRPr="00AF241B">
        <w:rPr>
          <w:noProof/>
        </w:rPr>
        <w:t> </w:t>
      </w:r>
      <w:r w:rsidR="00252AC6" w:rsidRPr="001D3039">
        <w:rPr>
          <w:noProof/>
        </w:rPr>
        <w:t>564</w:t>
      </w:r>
      <w:r w:rsidR="00252AC6" w:rsidRPr="00AF241B">
        <w:rPr>
          <w:noProof/>
        </w:rPr>
        <w:t> EUR naar het desbetreffende begrotingsonderdeel over te schrijven.</w:t>
      </w:r>
    </w:p>
    <w:p w:rsidR="00BB42D9" w:rsidRPr="00AF241B" w:rsidRDefault="00CB0C8E" w:rsidP="00CB0C8E">
      <w:pPr>
        <w:pStyle w:val="ManualNumPar1"/>
        <w:rPr>
          <w:noProof/>
        </w:rPr>
      </w:pPr>
      <w:r w:rsidRPr="00CB0C8E">
        <w:rPr>
          <w:noProof/>
        </w:rPr>
        <w:t>51.</w:t>
      </w:r>
      <w:r w:rsidRPr="00CB0C8E">
        <w:rPr>
          <w:noProof/>
        </w:rPr>
        <w:tab/>
      </w:r>
      <w:r w:rsidR="00BB42D9" w:rsidRPr="00AF241B">
        <w:rPr>
          <w:noProof/>
        </w:rPr>
        <w:t>Tegelijk met dit voorstel voor een besluit om middelen uit het EFG beschikbaar te stellen, heeft de Commissie ook een besluit over een financiële bijdrage vastgesteld dat een financieringsbesluit is in de zin van artikel</w:t>
      </w:r>
      <w:r w:rsidR="000A0F05">
        <w:rPr>
          <w:noProof/>
        </w:rPr>
        <w:t> </w:t>
      </w:r>
      <w:r w:rsidR="00BB42D9" w:rsidRPr="001D3039">
        <w:rPr>
          <w:noProof/>
        </w:rPr>
        <w:t>110</w:t>
      </w:r>
      <w:r w:rsidR="00BB42D9" w:rsidRPr="00AF241B">
        <w:rPr>
          <w:noProof/>
        </w:rPr>
        <w:t xml:space="preserve"> van Verordening (EU, Euratom) </w:t>
      </w:r>
      <w:r w:rsidR="00BB42D9" w:rsidRPr="001D3039">
        <w:rPr>
          <w:noProof/>
        </w:rPr>
        <w:t>2018</w:t>
      </w:r>
      <w:r w:rsidR="00BB42D9" w:rsidRPr="00AF241B">
        <w:rPr>
          <w:noProof/>
        </w:rPr>
        <w:t>/</w:t>
      </w:r>
      <w:r w:rsidR="00BB42D9" w:rsidRPr="001D3039">
        <w:rPr>
          <w:noProof/>
        </w:rPr>
        <w:t>1046</w:t>
      </w:r>
      <w:r w:rsidR="00BB42D9" w:rsidRPr="00AF241B">
        <w:rPr>
          <w:rStyle w:val="FootnoteReference"/>
          <w:noProof/>
        </w:rPr>
        <w:footnoteReference w:id="33"/>
      </w:r>
      <w:r w:rsidR="00BB42D9" w:rsidRPr="00AF241B">
        <w:rPr>
          <w:noProof/>
        </w:rPr>
        <w:t>. Dat financieringsbesluit treedt overeenkomstig artikel</w:t>
      </w:r>
      <w:r w:rsidR="000A0F05">
        <w:rPr>
          <w:noProof/>
        </w:rPr>
        <w:t> </w:t>
      </w:r>
      <w:r w:rsidR="00BB42D9" w:rsidRPr="001D3039">
        <w:rPr>
          <w:noProof/>
        </w:rPr>
        <w:t>15</w:t>
      </w:r>
      <w:r w:rsidR="00BB42D9" w:rsidRPr="00AF241B">
        <w:rPr>
          <w:noProof/>
        </w:rPr>
        <w:t>, lid</w:t>
      </w:r>
      <w:r w:rsidR="000A0F05">
        <w:rPr>
          <w:noProof/>
        </w:rPr>
        <w:t> </w:t>
      </w:r>
      <w:r w:rsidR="00BB42D9" w:rsidRPr="001D3039">
        <w:rPr>
          <w:noProof/>
        </w:rPr>
        <w:t>2</w:t>
      </w:r>
      <w:r w:rsidR="00BB42D9" w:rsidRPr="00AF241B">
        <w:rPr>
          <w:noProof/>
        </w:rPr>
        <w:t xml:space="preserve">, eerste alinea, van Verordening (EU) </w:t>
      </w:r>
      <w:r w:rsidR="00BB42D9" w:rsidRPr="001D3039">
        <w:rPr>
          <w:noProof/>
        </w:rPr>
        <w:t>2021</w:t>
      </w:r>
      <w:r w:rsidR="00BB42D9" w:rsidRPr="00AF241B">
        <w:rPr>
          <w:noProof/>
        </w:rPr>
        <w:t>/</w:t>
      </w:r>
      <w:r w:rsidR="00BB42D9" w:rsidRPr="001D3039">
        <w:rPr>
          <w:noProof/>
        </w:rPr>
        <w:t>691</w:t>
      </w:r>
      <w:r w:rsidR="00BB42D9" w:rsidRPr="00AF241B">
        <w:rPr>
          <w:noProof/>
        </w:rPr>
        <w:t xml:space="preserve"> in werking op de datum waarop het Europees Parlement en de Raad de Commissie in kennis stellen van de goedkeuring van de begrotingsoverschrijving.</w:t>
      </w:r>
    </w:p>
    <w:p w:rsidR="00252AC6" w:rsidRPr="00AF241B" w:rsidRDefault="00252AC6" w:rsidP="00252AC6">
      <w:pPr>
        <w:rPr>
          <w:noProof/>
        </w:rPr>
        <w:sectPr w:rsidR="00252AC6" w:rsidRPr="00AF241B" w:rsidSect="00D31660">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08"/>
          <w:docGrid w:linePitch="360"/>
        </w:sectPr>
      </w:pPr>
    </w:p>
    <w:p w:rsidR="00ED4A3A" w:rsidRDefault="00FD3BAF">
      <w:pPr>
        <w:pStyle w:val="Rfrenceinterinstitutionnelle"/>
        <w:rPr>
          <w:noProof/>
        </w:rPr>
      </w:pPr>
      <w:r>
        <w:rPr>
          <w:noProof/>
        </w:rPr>
        <w:t>2024/0226 (BUD)</w:t>
      </w:r>
    </w:p>
    <w:p w:rsidR="00252AC6" w:rsidRPr="00AF241B" w:rsidRDefault="00AF241B" w:rsidP="00AF241B">
      <w:pPr>
        <w:pStyle w:val="Statut"/>
        <w:rPr>
          <w:noProof/>
        </w:rPr>
      </w:pPr>
      <w:r w:rsidRPr="00AF241B">
        <w:rPr>
          <w:noProof/>
        </w:rPr>
        <w:t>Voorstel voor een</w:t>
      </w:r>
    </w:p>
    <w:p w:rsidR="00252AC6" w:rsidRPr="00AF241B" w:rsidRDefault="00AF241B" w:rsidP="00AF241B">
      <w:pPr>
        <w:pStyle w:val="Typedudocument"/>
        <w:rPr>
          <w:noProof/>
        </w:rPr>
      </w:pPr>
      <w:r w:rsidRPr="00AF241B">
        <w:rPr>
          <w:noProof/>
        </w:rPr>
        <w:t>BESLUIT VAN HET EUROPEES PARLEMENT EN DE RAAD</w:t>
      </w:r>
    </w:p>
    <w:p w:rsidR="00252AC6" w:rsidRPr="00AF241B" w:rsidRDefault="00AF241B" w:rsidP="00AF241B">
      <w:pPr>
        <w:pStyle w:val="Titreobjet"/>
        <w:rPr>
          <w:noProof/>
        </w:rPr>
      </w:pPr>
      <w:r w:rsidRPr="00AF241B">
        <w:rPr>
          <w:noProof/>
        </w:rPr>
        <w:t>betreffende de beschikbaarbestelling van middelen uit het Europees Fonds voor aanpassing aan de globalisering voor ontslagen werknemers naar aanleiding van aanvraag EGF/</w:t>
      </w:r>
      <w:r w:rsidRPr="001D3039">
        <w:rPr>
          <w:noProof/>
        </w:rPr>
        <w:t>2024</w:t>
      </w:r>
      <w:r w:rsidRPr="00AF241B">
        <w:rPr>
          <w:noProof/>
        </w:rPr>
        <w:t>/</w:t>
      </w:r>
      <w:r w:rsidRPr="001D3039">
        <w:rPr>
          <w:noProof/>
        </w:rPr>
        <w:t>001</w:t>
      </w:r>
      <w:r w:rsidRPr="00AF241B">
        <w:rPr>
          <w:noProof/>
        </w:rPr>
        <w:t xml:space="preserve"> BE/Match-Smatch van België</w:t>
      </w:r>
    </w:p>
    <w:p w:rsidR="00252AC6" w:rsidRPr="00AF241B" w:rsidRDefault="00252AC6" w:rsidP="00252AC6">
      <w:pPr>
        <w:pStyle w:val="Institutionquiagit"/>
        <w:rPr>
          <w:noProof/>
        </w:rPr>
      </w:pPr>
      <w:r w:rsidRPr="00AF241B">
        <w:rPr>
          <w:noProof/>
        </w:rPr>
        <w:t>HET EUROPEES PARLEMENT EN DE RAAD VAN DE EUROPESE UNIE,</w:t>
      </w:r>
    </w:p>
    <w:p w:rsidR="00252AC6" w:rsidRPr="00AF241B" w:rsidRDefault="00252AC6" w:rsidP="00252AC6">
      <w:pPr>
        <w:rPr>
          <w:noProof/>
        </w:rPr>
      </w:pPr>
      <w:r w:rsidRPr="00AF241B">
        <w:rPr>
          <w:noProof/>
        </w:rPr>
        <w:t>Gezien het Verdrag betreffende de werking van de Europese Unie,</w:t>
      </w:r>
    </w:p>
    <w:p w:rsidR="00252AC6" w:rsidRPr="00AF241B" w:rsidRDefault="00252AC6" w:rsidP="00252AC6">
      <w:pPr>
        <w:rPr>
          <w:noProof/>
        </w:rPr>
      </w:pPr>
      <w:r w:rsidRPr="00AF241B">
        <w:rPr>
          <w:noProof/>
        </w:rPr>
        <w:t xml:space="preserve">Gezien Verordening (EU) </w:t>
      </w:r>
      <w:r w:rsidRPr="001D3039">
        <w:rPr>
          <w:noProof/>
        </w:rPr>
        <w:t>2021</w:t>
      </w:r>
      <w:r w:rsidRPr="00AF241B">
        <w:rPr>
          <w:noProof/>
        </w:rPr>
        <w:t>/</w:t>
      </w:r>
      <w:r w:rsidRPr="001D3039">
        <w:rPr>
          <w:noProof/>
        </w:rPr>
        <w:t>691</w:t>
      </w:r>
      <w:r w:rsidRPr="00AF241B">
        <w:rPr>
          <w:noProof/>
        </w:rPr>
        <w:t xml:space="preserve"> van het Europees Parlement en de Raad van </w:t>
      </w:r>
      <w:r w:rsidRPr="001D3039">
        <w:rPr>
          <w:noProof/>
        </w:rPr>
        <w:t>28</w:t>
      </w:r>
      <w:r w:rsidR="001D3039">
        <w:rPr>
          <w:noProof/>
        </w:rPr>
        <w:t> </w:t>
      </w:r>
      <w:r w:rsidRPr="00AF241B">
        <w:rPr>
          <w:noProof/>
        </w:rPr>
        <w:t xml:space="preserve">april </w:t>
      </w:r>
      <w:r w:rsidRPr="001D3039">
        <w:rPr>
          <w:noProof/>
        </w:rPr>
        <w:t>2021</w:t>
      </w:r>
      <w:r w:rsidRPr="00AF241B">
        <w:rPr>
          <w:noProof/>
        </w:rPr>
        <w:t xml:space="preserve"> betreffende het Europees Fonds voor aanpassing aan de globalisering voor ontslagen werknemers (EFG) en tot wijziging van Verordening (EU) nr.</w:t>
      </w:r>
      <w:r w:rsidR="001D3039">
        <w:rPr>
          <w:noProof/>
        </w:rPr>
        <w:t> </w:t>
      </w:r>
      <w:r w:rsidRPr="001D3039">
        <w:rPr>
          <w:noProof/>
        </w:rPr>
        <w:t>1309</w:t>
      </w:r>
      <w:r w:rsidRPr="00AF241B">
        <w:rPr>
          <w:noProof/>
        </w:rPr>
        <w:t>/</w:t>
      </w:r>
      <w:r w:rsidRPr="001D3039">
        <w:rPr>
          <w:noProof/>
        </w:rPr>
        <w:t>2013</w:t>
      </w:r>
      <w:r w:rsidRPr="00AF241B">
        <w:rPr>
          <w:rStyle w:val="FootnoteReference"/>
          <w:noProof/>
        </w:rPr>
        <w:footnoteReference w:id="34"/>
      </w:r>
      <w:r w:rsidRPr="00AF241B">
        <w:rPr>
          <w:noProof/>
        </w:rPr>
        <w:t>, en met name artikel </w:t>
      </w:r>
      <w:r w:rsidRPr="001D3039">
        <w:rPr>
          <w:noProof/>
        </w:rPr>
        <w:t>15</w:t>
      </w:r>
      <w:r w:rsidRPr="00AF241B">
        <w:rPr>
          <w:noProof/>
        </w:rPr>
        <w:t>, lid </w:t>
      </w:r>
      <w:r w:rsidRPr="001D3039">
        <w:rPr>
          <w:noProof/>
        </w:rPr>
        <w:t>1</w:t>
      </w:r>
      <w:r w:rsidRPr="00AF241B">
        <w:rPr>
          <w:noProof/>
        </w:rPr>
        <w:t>, eerste alinea,</w:t>
      </w:r>
    </w:p>
    <w:p w:rsidR="00252AC6" w:rsidRPr="00AF241B" w:rsidRDefault="00252AC6" w:rsidP="00252AC6">
      <w:pPr>
        <w:rPr>
          <w:noProof/>
        </w:rPr>
      </w:pPr>
      <w:r w:rsidRPr="00AF241B">
        <w:rPr>
          <w:noProof/>
        </w:rPr>
        <w:t xml:space="preserve">Gezien het Interinstitutioneel Akkoord van </w:t>
      </w:r>
      <w:r w:rsidRPr="001D3039">
        <w:rPr>
          <w:noProof/>
        </w:rPr>
        <w:t>16</w:t>
      </w:r>
      <w:r w:rsidR="001D3039">
        <w:rPr>
          <w:noProof/>
        </w:rPr>
        <w:t> </w:t>
      </w:r>
      <w:r w:rsidRPr="00AF241B">
        <w:rPr>
          <w:noProof/>
        </w:rPr>
        <w:t xml:space="preserve">december </w:t>
      </w:r>
      <w:r w:rsidRPr="001D3039">
        <w:rPr>
          <w:noProof/>
        </w:rPr>
        <w:t>2020</w:t>
      </w:r>
      <w:r w:rsidRPr="00AF241B">
        <w:rPr>
          <w:noProof/>
        </w:rPr>
        <w:t xml:space="preserve"> tussen het Europees Parlement, de Raad van de Europese Unie en de Europese Commissie betreffende begrotingsdiscipline, samenwerking in begrotingszaken en goed financieel beheer, alsmede betreffende nieuwe eigen middelen, met inbegrip van een routekaart voor de invoering van nieuwe eigen middelen</w:t>
      </w:r>
      <w:r w:rsidRPr="00AF241B">
        <w:rPr>
          <w:rStyle w:val="FootnoteReference"/>
          <w:noProof/>
        </w:rPr>
        <w:footnoteReference w:id="35"/>
      </w:r>
      <w:r w:rsidRPr="00AF241B">
        <w:rPr>
          <w:noProof/>
        </w:rPr>
        <w:t>, en met name punt</w:t>
      </w:r>
      <w:r w:rsidR="001D3039">
        <w:rPr>
          <w:noProof/>
        </w:rPr>
        <w:t> </w:t>
      </w:r>
      <w:r w:rsidRPr="001D3039">
        <w:rPr>
          <w:noProof/>
        </w:rPr>
        <w:t>9</w:t>
      </w:r>
      <w:r w:rsidRPr="00AF241B">
        <w:rPr>
          <w:noProof/>
        </w:rPr>
        <w:t>,</w:t>
      </w:r>
    </w:p>
    <w:p w:rsidR="00252AC6" w:rsidRPr="00AF241B" w:rsidRDefault="00252AC6" w:rsidP="00252AC6">
      <w:pPr>
        <w:rPr>
          <w:noProof/>
        </w:rPr>
      </w:pPr>
      <w:r w:rsidRPr="00AF241B">
        <w:rPr>
          <w:noProof/>
        </w:rPr>
        <w:t>Gezien het voorstel van de Europese Commissie,</w:t>
      </w:r>
    </w:p>
    <w:p w:rsidR="00252AC6" w:rsidRPr="00AF241B" w:rsidRDefault="00252AC6" w:rsidP="00252AC6">
      <w:pPr>
        <w:rPr>
          <w:noProof/>
        </w:rPr>
      </w:pPr>
      <w:r w:rsidRPr="00AF241B">
        <w:rPr>
          <w:noProof/>
        </w:rPr>
        <w:t>Overwegende hetgeen volgt:</w:t>
      </w:r>
    </w:p>
    <w:p w:rsidR="00252AC6" w:rsidRPr="00AF241B" w:rsidRDefault="00CB0C8E" w:rsidP="00CB0C8E">
      <w:pPr>
        <w:pStyle w:val="ManualConsidrant"/>
        <w:rPr>
          <w:noProof/>
        </w:rPr>
      </w:pPr>
      <w:r w:rsidRPr="00CB0C8E">
        <w:rPr>
          <w:noProof/>
        </w:rPr>
        <w:t>(1)</w:t>
      </w:r>
      <w:r w:rsidRPr="00CB0C8E">
        <w:rPr>
          <w:noProof/>
        </w:rPr>
        <w:tab/>
      </w:r>
      <w:r w:rsidR="00252AC6" w:rsidRPr="00AF241B">
        <w:rPr>
          <w:noProof/>
        </w:rPr>
        <w:t>Het Europees Fonds voor aanpassing aan de globalisering voor ontslagen werknemers (EFG) heeft tot doel solidariteit te betonen en fatsoenlijke en duurzame werkgelegenheid in de Unie te bevorderen door steun te verlenen aan ontslagen werknemers en zelfstandigen die hun werkzaamheden hebben beëindigd als gevolg van grote herstructureringen en hen te helpen zo snel mogelijk weer fatsoenlijk en duurzaam werk te vinden.</w:t>
      </w:r>
    </w:p>
    <w:p w:rsidR="00252AC6" w:rsidRPr="00AF241B" w:rsidRDefault="00CB0C8E" w:rsidP="00CB0C8E">
      <w:pPr>
        <w:pStyle w:val="ManualConsidrant"/>
        <w:rPr>
          <w:noProof/>
        </w:rPr>
      </w:pPr>
      <w:bookmarkStart w:id="16" w:name="_Hlk174701323"/>
      <w:r w:rsidRPr="00CB0C8E">
        <w:rPr>
          <w:noProof/>
        </w:rPr>
        <w:t>(2)</w:t>
      </w:r>
      <w:r w:rsidRPr="00CB0C8E">
        <w:rPr>
          <w:noProof/>
        </w:rPr>
        <w:tab/>
      </w:r>
      <w:r w:rsidR="00252AC6" w:rsidRPr="00AF241B">
        <w:rPr>
          <w:noProof/>
        </w:rPr>
        <w:t>Overeenkomstig artikel </w:t>
      </w:r>
      <w:r w:rsidR="00252AC6" w:rsidRPr="001D3039">
        <w:rPr>
          <w:noProof/>
        </w:rPr>
        <w:t>8</w:t>
      </w:r>
      <w:r w:rsidR="00252AC6" w:rsidRPr="00AF241B">
        <w:rPr>
          <w:noProof/>
        </w:rPr>
        <w:t xml:space="preserve"> van Verordening (EU, Euratom) </w:t>
      </w:r>
      <w:r w:rsidR="00252AC6" w:rsidRPr="001D3039">
        <w:rPr>
          <w:noProof/>
        </w:rPr>
        <w:t>2020</w:t>
      </w:r>
      <w:r w:rsidR="00252AC6" w:rsidRPr="00AF241B">
        <w:rPr>
          <w:noProof/>
        </w:rPr>
        <w:t>/</w:t>
      </w:r>
      <w:r w:rsidR="00252AC6" w:rsidRPr="001D3039">
        <w:rPr>
          <w:noProof/>
        </w:rPr>
        <w:t>2093</w:t>
      </w:r>
      <w:r w:rsidR="00252AC6" w:rsidRPr="00AF241B">
        <w:rPr>
          <w:noProof/>
        </w:rPr>
        <w:t xml:space="preserve"> van de Raad</w:t>
      </w:r>
      <w:r w:rsidR="00252AC6" w:rsidRPr="00AF241B">
        <w:rPr>
          <w:rStyle w:val="FootnoteReference"/>
          <w:noProof/>
        </w:rPr>
        <w:footnoteReference w:id="36"/>
      </w:r>
      <w:r w:rsidR="00252AC6" w:rsidRPr="00AF241B">
        <w:rPr>
          <w:noProof/>
        </w:rPr>
        <w:t xml:space="preserve">, gewijzigd bij Verordening (EU, Euratom) </w:t>
      </w:r>
      <w:r w:rsidR="00252AC6" w:rsidRPr="001D3039">
        <w:rPr>
          <w:noProof/>
        </w:rPr>
        <w:t>2024</w:t>
      </w:r>
      <w:r w:rsidR="00252AC6" w:rsidRPr="00AF241B">
        <w:rPr>
          <w:noProof/>
        </w:rPr>
        <w:t>/</w:t>
      </w:r>
      <w:r w:rsidR="00252AC6" w:rsidRPr="001D3039">
        <w:rPr>
          <w:noProof/>
        </w:rPr>
        <w:t>765</w:t>
      </w:r>
      <w:r w:rsidR="00252AC6" w:rsidRPr="00AF241B">
        <w:rPr>
          <w:noProof/>
        </w:rPr>
        <w:t xml:space="preserve"> van de Raad</w:t>
      </w:r>
      <w:r w:rsidR="00252AC6" w:rsidRPr="00AF241B">
        <w:rPr>
          <w:rStyle w:val="FootnoteReference"/>
          <w:noProof/>
        </w:rPr>
        <w:footnoteReference w:id="37"/>
      </w:r>
      <w:r w:rsidR="00252AC6" w:rsidRPr="00AF241B">
        <w:rPr>
          <w:noProof/>
        </w:rPr>
        <w:t>, en artikel</w:t>
      </w:r>
      <w:r w:rsidR="001D3039">
        <w:rPr>
          <w:noProof/>
        </w:rPr>
        <w:t> </w:t>
      </w:r>
      <w:r w:rsidR="00252AC6" w:rsidRPr="001D3039">
        <w:rPr>
          <w:noProof/>
        </w:rPr>
        <w:t>16</w:t>
      </w:r>
      <w:r w:rsidR="00252AC6" w:rsidRPr="00AF241B">
        <w:rPr>
          <w:noProof/>
        </w:rPr>
        <w:t xml:space="preserve"> van Verordening (EU) </w:t>
      </w:r>
      <w:r w:rsidR="00252AC6" w:rsidRPr="001D3039">
        <w:rPr>
          <w:noProof/>
        </w:rPr>
        <w:t>2021</w:t>
      </w:r>
      <w:r w:rsidR="00252AC6" w:rsidRPr="00AF241B">
        <w:rPr>
          <w:noProof/>
        </w:rPr>
        <w:t>/</w:t>
      </w:r>
      <w:r w:rsidR="00252AC6" w:rsidRPr="001D3039">
        <w:rPr>
          <w:noProof/>
        </w:rPr>
        <w:t>691</w:t>
      </w:r>
      <w:r w:rsidR="00252AC6" w:rsidRPr="00AF241B">
        <w:rPr>
          <w:noProof/>
        </w:rPr>
        <w:t xml:space="preserve">, mag het EFG een jaarlijks maximumbedrag van </w:t>
      </w:r>
      <w:r w:rsidR="00252AC6" w:rsidRPr="001D3039">
        <w:rPr>
          <w:noProof/>
        </w:rPr>
        <w:t>30</w:t>
      </w:r>
      <w:r w:rsidR="00252AC6" w:rsidRPr="00AF241B">
        <w:rPr>
          <w:noProof/>
        </w:rPr>
        <w:t> miljoen</w:t>
      </w:r>
      <w:r w:rsidR="001D3039">
        <w:rPr>
          <w:noProof/>
        </w:rPr>
        <w:t> </w:t>
      </w:r>
      <w:r w:rsidR="00252AC6" w:rsidRPr="00AF241B">
        <w:rPr>
          <w:noProof/>
        </w:rPr>
        <w:t xml:space="preserve">EUR (in prijzen van </w:t>
      </w:r>
      <w:r w:rsidR="00252AC6" w:rsidRPr="001D3039">
        <w:rPr>
          <w:noProof/>
        </w:rPr>
        <w:t>2018</w:t>
      </w:r>
      <w:r w:rsidR="00252AC6" w:rsidRPr="00AF241B">
        <w:rPr>
          <w:noProof/>
        </w:rPr>
        <w:t>) niet overschrijden.</w:t>
      </w:r>
    </w:p>
    <w:bookmarkEnd w:id="16"/>
    <w:p w:rsidR="00252AC6" w:rsidRPr="00AF241B" w:rsidRDefault="00CB0C8E" w:rsidP="00CB0C8E">
      <w:pPr>
        <w:pStyle w:val="ManualConsidrant"/>
        <w:rPr>
          <w:noProof/>
        </w:rPr>
      </w:pPr>
      <w:r w:rsidRPr="00CB0C8E">
        <w:rPr>
          <w:noProof/>
        </w:rPr>
        <w:t>(3)</w:t>
      </w:r>
      <w:r w:rsidRPr="00CB0C8E">
        <w:rPr>
          <w:noProof/>
        </w:rPr>
        <w:tab/>
      </w:r>
      <w:r w:rsidR="00252AC6" w:rsidRPr="00AF241B">
        <w:rPr>
          <w:noProof/>
        </w:rPr>
        <w:t xml:space="preserve">Op </w:t>
      </w:r>
      <w:r w:rsidR="00252AC6" w:rsidRPr="001D3039">
        <w:rPr>
          <w:noProof/>
        </w:rPr>
        <w:t>3</w:t>
      </w:r>
      <w:r w:rsidR="001D3039">
        <w:rPr>
          <w:noProof/>
        </w:rPr>
        <w:t> </w:t>
      </w:r>
      <w:r w:rsidR="00252AC6" w:rsidRPr="00AF241B">
        <w:rPr>
          <w:noProof/>
        </w:rPr>
        <w:t xml:space="preserve">juni </w:t>
      </w:r>
      <w:r w:rsidR="00252AC6" w:rsidRPr="001D3039">
        <w:rPr>
          <w:noProof/>
        </w:rPr>
        <w:t>2024</w:t>
      </w:r>
      <w:r w:rsidR="00252AC6" w:rsidRPr="00AF241B">
        <w:rPr>
          <w:noProof/>
        </w:rPr>
        <w:t xml:space="preserve"> heeft België overeenkomstig artikel </w:t>
      </w:r>
      <w:r w:rsidR="00252AC6" w:rsidRPr="001D3039">
        <w:rPr>
          <w:noProof/>
        </w:rPr>
        <w:t>8</w:t>
      </w:r>
      <w:r w:rsidR="00252AC6" w:rsidRPr="00AF241B">
        <w:rPr>
          <w:noProof/>
        </w:rPr>
        <w:t>, lid </w:t>
      </w:r>
      <w:r w:rsidR="00252AC6" w:rsidRPr="001D3039">
        <w:rPr>
          <w:noProof/>
        </w:rPr>
        <w:t>1</w:t>
      </w:r>
      <w:r w:rsidR="00252AC6" w:rsidRPr="00AF241B">
        <w:rPr>
          <w:noProof/>
        </w:rPr>
        <w:t xml:space="preserve">, van Verordening (EU) </w:t>
      </w:r>
      <w:r w:rsidR="00252AC6" w:rsidRPr="001D3039">
        <w:rPr>
          <w:noProof/>
        </w:rPr>
        <w:t>2021</w:t>
      </w:r>
      <w:r w:rsidR="00252AC6" w:rsidRPr="00AF241B">
        <w:rPr>
          <w:noProof/>
        </w:rPr>
        <w:t>/</w:t>
      </w:r>
      <w:r w:rsidR="00252AC6" w:rsidRPr="001D3039">
        <w:rPr>
          <w:noProof/>
        </w:rPr>
        <w:t>691</w:t>
      </w:r>
      <w:r w:rsidR="00252AC6" w:rsidRPr="00AF241B">
        <w:rPr>
          <w:noProof/>
        </w:rPr>
        <w:t xml:space="preserve"> een aanvraag ingediend om middelen uit het EFG beschikbaar te stellen in verband met ontslagen van werknemers bij Match-Smatch (Match NV en Profi NV) in België. Met betrekking tot die aanvraag zijn overeenkomstig artikel</w:t>
      </w:r>
      <w:r w:rsidR="001D3039">
        <w:rPr>
          <w:noProof/>
        </w:rPr>
        <w:t> </w:t>
      </w:r>
      <w:r w:rsidR="00252AC6" w:rsidRPr="001D3039">
        <w:rPr>
          <w:noProof/>
        </w:rPr>
        <w:t>8</w:t>
      </w:r>
      <w:r w:rsidR="00252AC6" w:rsidRPr="00AF241B">
        <w:rPr>
          <w:noProof/>
        </w:rPr>
        <w:t>, lid</w:t>
      </w:r>
      <w:r w:rsidR="001D3039">
        <w:rPr>
          <w:noProof/>
        </w:rPr>
        <w:t> </w:t>
      </w:r>
      <w:r w:rsidR="00252AC6" w:rsidRPr="001D3039">
        <w:rPr>
          <w:noProof/>
        </w:rPr>
        <w:t>5</w:t>
      </w:r>
      <w:r w:rsidR="00252AC6" w:rsidRPr="00AF241B">
        <w:rPr>
          <w:noProof/>
        </w:rPr>
        <w:t xml:space="preserve">, van Verordening (EU) </w:t>
      </w:r>
      <w:r w:rsidR="00252AC6" w:rsidRPr="001D3039">
        <w:rPr>
          <w:noProof/>
        </w:rPr>
        <w:t>2021</w:t>
      </w:r>
      <w:r w:rsidR="00252AC6" w:rsidRPr="00AF241B">
        <w:rPr>
          <w:noProof/>
        </w:rPr>
        <w:t>/</w:t>
      </w:r>
      <w:r w:rsidR="00252AC6" w:rsidRPr="001D3039">
        <w:rPr>
          <w:noProof/>
        </w:rPr>
        <w:t>691</w:t>
      </w:r>
      <w:r w:rsidR="00252AC6" w:rsidRPr="00AF241B">
        <w:rPr>
          <w:noProof/>
        </w:rPr>
        <w:t xml:space="preserve"> aanvullende gegevens verstrekt. Op basis van de beoordeling door de Commissie in het voorstel voor een besluit tot beschikbaarstelling van het Europees Parlement en de Raad</w:t>
      </w:r>
      <w:r w:rsidR="00252AC6" w:rsidRPr="00AF241B">
        <w:rPr>
          <w:rStyle w:val="FootnoteReference"/>
          <w:iCs/>
          <w:noProof/>
        </w:rPr>
        <w:footnoteReference w:id="38"/>
      </w:r>
      <w:r w:rsidR="00252AC6" w:rsidRPr="00AF241B">
        <w:rPr>
          <w:noProof/>
        </w:rPr>
        <w:t>wordt die aanvraag geacht te voldoen aan de voorwaarden voor het verlenen van een financiële bijdrage uit het EFG, zoals vastgesteld in artikel </w:t>
      </w:r>
      <w:r w:rsidR="00252AC6" w:rsidRPr="001D3039">
        <w:rPr>
          <w:noProof/>
        </w:rPr>
        <w:t>13</w:t>
      </w:r>
      <w:r w:rsidR="00252AC6" w:rsidRPr="00AF241B">
        <w:rPr>
          <w:noProof/>
        </w:rPr>
        <w:t xml:space="preserve"> van Verordening (EU) </w:t>
      </w:r>
      <w:r w:rsidR="00252AC6" w:rsidRPr="001D3039">
        <w:rPr>
          <w:noProof/>
        </w:rPr>
        <w:t>2021</w:t>
      </w:r>
      <w:r w:rsidR="00252AC6" w:rsidRPr="00AF241B">
        <w:rPr>
          <w:noProof/>
        </w:rPr>
        <w:t>/</w:t>
      </w:r>
      <w:r w:rsidR="00252AC6" w:rsidRPr="001D3039">
        <w:rPr>
          <w:noProof/>
        </w:rPr>
        <w:t>691</w:t>
      </w:r>
      <w:r w:rsidR="00252AC6" w:rsidRPr="00AF241B">
        <w:rPr>
          <w:noProof/>
        </w:rPr>
        <w:t>.</w:t>
      </w:r>
    </w:p>
    <w:p w:rsidR="00252AC6" w:rsidRPr="00AF241B" w:rsidRDefault="00CB0C8E" w:rsidP="00CB0C8E">
      <w:pPr>
        <w:pStyle w:val="ManualConsidrant"/>
        <w:rPr>
          <w:noProof/>
        </w:rPr>
      </w:pPr>
      <w:r w:rsidRPr="00CB0C8E">
        <w:rPr>
          <w:noProof/>
        </w:rPr>
        <w:t>(4)</w:t>
      </w:r>
      <w:r w:rsidRPr="00CB0C8E">
        <w:rPr>
          <w:noProof/>
        </w:rPr>
        <w:tab/>
      </w:r>
      <w:r w:rsidR="00252AC6" w:rsidRPr="00AF241B">
        <w:rPr>
          <w:noProof/>
        </w:rPr>
        <w:t xml:space="preserve">Er moeten dan ook middelen uit het EFG beschikbaar worden gesteld om een financiële bijdrage van </w:t>
      </w:r>
      <w:r w:rsidR="00252AC6" w:rsidRPr="001D3039">
        <w:rPr>
          <w:noProof/>
        </w:rPr>
        <w:t>2</w:t>
      </w:r>
      <w:r w:rsidR="00252AC6" w:rsidRPr="00AF241B">
        <w:rPr>
          <w:noProof/>
        </w:rPr>
        <w:t> </w:t>
      </w:r>
      <w:r w:rsidR="00252AC6" w:rsidRPr="001D3039">
        <w:rPr>
          <w:noProof/>
        </w:rPr>
        <w:t>661</w:t>
      </w:r>
      <w:r w:rsidR="00252AC6" w:rsidRPr="00AF241B">
        <w:rPr>
          <w:noProof/>
        </w:rPr>
        <w:t> </w:t>
      </w:r>
      <w:r w:rsidR="00252AC6" w:rsidRPr="001D3039">
        <w:rPr>
          <w:noProof/>
        </w:rPr>
        <w:t>564</w:t>
      </w:r>
      <w:r w:rsidR="00252AC6" w:rsidRPr="00AF241B">
        <w:rPr>
          <w:noProof/>
        </w:rPr>
        <w:t> EUR toe te kennen naar aanleiding van de door België ingediende aanvraag.</w:t>
      </w:r>
    </w:p>
    <w:p w:rsidR="00252AC6" w:rsidRPr="00AF241B" w:rsidRDefault="00CB0C8E" w:rsidP="00CB0C8E">
      <w:pPr>
        <w:pStyle w:val="ManualConsidrant"/>
        <w:rPr>
          <w:noProof/>
        </w:rPr>
      </w:pPr>
      <w:r w:rsidRPr="00CB0C8E">
        <w:rPr>
          <w:noProof/>
        </w:rPr>
        <w:t>(5)</w:t>
      </w:r>
      <w:r w:rsidRPr="00CB0C8E">
        <w:rPr>
          <w:noProof/>
        </w:rPr>
        <w:tab/>
      </w:r>
      <w:r w:rsidR="00252AC6" w:rsidRPr="00AF241B">
        <w:rPr>
          <w:noProof/>
        </w:rPr>
        <w:t>Teneinde zo snel mogelijk middelen uit het EFG ter beschikking te stellen, moet dit besluit van toepassing zijn vanaf de datum waarop het wordt vastgesteld,</w:t>
      </w:r>
    </w:p>
    <w:p w:rsidR="00252AC6" w:rsidRPr="00AF241B" w:rsidRDefault="00252AC6" w:rsidP="00252AC6">
      <w:pPr>
        <w:pStyle w:val="Formuledadoption"/>
        <w:rPr>
          <w:noProof/>
        </w:rPr>
      </w:pPr>
      <w:r w:rsidRPr="00AF241B">
        <w:rPr>
          <w:noProof/>
        </w:rPr>
        <w:t>HEBBEN HET VOLGENDE BESLUIT VASTGESTELD:</w:t>
      </w:r>
    </w:p>
    <w:p w:rsidR="00252AC6" w:rsidRPr="00AF241B" w:rsidRDefault="00252AC6" w:rsidP="00252AC6">
      <w:pPr>
        <w:pStyle w:val="Titrearticle"/>
        <w:rPr>
          <w:noProof/>
        </w:rPr>
      </w:pPr>
      <w:r w:rsidRPr="00AF241B">
        <w:rPr>
          <w:noProof/>
        </w:rPr>
        <w:t>Artikel </w:t>
      </w:r>
      <w:r w:rsidRPr="001D3039">
        <w:rPr>
          <w:noProof/>
        </w:rPr>
        <w:t>1</w:t>
      </w:r>
    </w:p>
    <w:p w:rsidR="00252AC6" w:rsidRPr="00AF241B" w:rsidRDefault="00252AC6" w:rsidP="00252AC6">
      <w:pPr>
        <w:rPr>
          <w:noProof/>
        </w:rPr>
      </w:pPr>
      <w:r w:rsidRPr="00AF241B">
        <w:rPr>
          <w:noProof/>
        </w:rPr>
        <w:t xml:space="preserve">Ten laste van de algemene begroting van de Unie voor het begrotingsjaar </w:t>
      </w:r>
      <w:r w:rsidRPr="001D3039">
        <w:rPr>
          <w:noProof/>
        </w:rPr>
        <w:t>2024</w:t>
      </w:r>
      <w:r w:rsidRPr="00AF241B">
        <w:rPr>
          <w:noProof/>
        </w:rPr>
        <w:t xml:space="preserve"> wordt een bedrag van </w:t>
      </w:r>
      <w:r w:rsidRPr="001D3039">
        <w:rPr>
          <w:noProof/>
        </w:rPr>
        <w:t>2</w:t>
      </w:r>
      <w:r w:rsidRPr="00AF241B">
        <w:rPr>
          <w:noProof/>
        </w:rPr>
        <w:t> </w:t>
      </w:r>
      <w:r w:rsidRPr="001D3039">
        <w:rPr>
          <w:noProof/>
        </w:rPr>
        <w:t>661</w:t>
      </w:r>
      <w:r w:rsidRPr="00AF241B">
        <w:rPr>
          <w:noProof/>
        </w:rPr>
        <w:t> </w:t>
      </w:r>
      <w:r w:rsidRPr="001D3039">
        <w:rPr>
          <w:noProof/>
        </w:rPr>
        <w:t>564</w:t>
      </w:r>
      <w:r w:rsidRPr="00AF241B">
        <w:rPr>
          <w:noProof/>
        </w:rPr>
        <w:t> EUR aan vastleggings</w:t>
      </w:r>
      <w:r w:rsidR="001D3039">
        <w:rPr>
          <w:noProof/>
        </w:rPr>
        <w:noBreakHyphen/>
      </w:r>
      <w:r w:rsidRPr="00AF241B">
        <w:rPr>
          <w:noProof/>
        </w:rPr>
        <w:t xml:space="preserve"> en betalingskredieten beschikbaar gesteld uit het Europees Fonds voor aanpassing aan de globalisering voor ontslagen werknemers.</w:t>
      </w:r>
    </w:p>
    <w:p w:rsidR="00252AC6" w:rsidRPr="00AF241B" w:rsidRDefault="00252AC6" w:rsidP="00293EBE">
      <w:pPr>
        <w:pStyle w:val="Titrearticle"/>
        <w:rPr>
          <w:noProof/>
        </w:rPr>
      </w:pPr>
      <w:r w:rsidRPr="00AF241B">
        <w:rPr>
          <w:noProof/>
        </w:rPr>
        <w:t>Artikel </w:t>
      </w:r>
      <w:r w:rsidRPr="001D3039">
        <w:rPr>
          <w:noProof/>
        </w:rPr>
        <w:t>2</w:t>
      </w:r>
    </w:p>
    <w:p w:rsidR="00252AC6" w:rsidRPr="00AF241B" w:rsidRDefault="00252AC6" w:rsidP="00252AC6">
      <w:pPr>
        <w:keepNext/>
        <w:keepLines/>
        <w:rPr>
          <w:noProof/>
        </w:rPr>
      </w:pPr>
      <w:r w:rsidRPr="00AF241B">
        <w:rPr>
          <w:noProof/>
        </w:rPr>
        <w:t xml:space="preserve">Dit besluit treedt in werking op de dag van de bekendmaking ervan in het Publicatieblad van de Europese Unie. Het is van toepassing vanaf </w:t>
      </w:r>
      <w:r w:rsidRPr="00AF241B">
        <w:rPr>
          <w:noProof/>
          <w:color w:val="FF0000"/>
        </w:rPr>
        <w:t>[</w:t>
      </w:r>
      <w:r w:rsidRPr="00AF241B">
        <w:rPr>
          <w:i/>
          <w:noProof/>
          <w:color w:val="FF0000"/>
        </w:rPr>
        <w:t>de datum waarop het wordt vastgesteld</w:t>
      </w:r>
      <w:r w:rsidRPr="00AF241B">
        <w:rPr>
          <w:noProof/>
          <w:color w:val="FF0000"/>
        </w:rPr>
        <w:t>]</w:t>
      </w:r>
      <w:r w:rsidRPr="00AF241B">
        <w:rPr>
          <w:rStyle w:val="FootnoteReference"/>
          <w:noProof/>
          <w:color w:val="FF0000"/>
        </w:rPr>
        <w:footnoteReference w:customMarkFollows="1" w:id="39"/>
        <w:t>*</w:t>
      </w:r>
      <w:r w:rsidRPr="00AF241B">
        <w:rPr>
          <w:noProof/>
        </w:rPr>
        <w:t>.</w:t>
      </w:r>
    </w:p>
    <w:p w:rsidR="00252AC6" w:rsidRPr="00AF241B" w:rsidRDefault="00AF241B" w:rsidP="00293EBE">
      <w:pPr>
        <w:pStyle w:val="Fait"/>
        <w:rPr>
          <w:noProof/>
        </w:rPr>
      </w:pPr>
      <w:r>
        <w:rPr>
          <w:noProof/>
        </w:rPr>
        <w:t>Gedaan te Brussel,</w:t>
      </w:r>
    </w:p>
    <w:p w:rsidR="00252AC6" w:rsidRPr="00AF241B" w:rsidRDefault="00252AC6" w:rsidP="00293EBE">
      <w:pPr>
        <w:pStyle w:val="Institutionquisigne"/>
        <w:rPr>
          <w:noProof/>
        </w:rPr>
      </w:pPr>
      <w:r w:rsidRPr="00AF241B">
        <w:rPr>
          <w:noProof/>
        </w:rPr>
        <w:t>Voor het Europees Parlement</w:t>
      </w:r>
      <w:r w:rsidRPr="00AF241B">
        <w:rPr>
          <w:noProof/>
        </w:rPr>
        <w:tab/>
        <w:t>Voor de Raad</w:t>
      </w:r>
    </w:p>
    <w:p w:rsidR="00252AC6" w:rsidRPr="00AF241B" w:rsidRDefault="00252AC6" w:rsidP="00252AC6">
      <w:pPr>
        <w:pStyle w:val="Personnequisigne"/>
        <w:rPr>
          <w:noProof/>
        </w:rPr>
      </w:pPr>
      <w:r w:rsidRPr="00AF241B">
        <w:rPr>
          <w:noProof/>
        </w:rPr>
        <w:t>De voorzitter</w:t>
      </w:r>
      <w:r w:rsidRPr="00AF241B">
        <w:rPr>
          <w:noProof/>
        </w:rPr>
        <w:tab/>
        <w:t>De voorzitter</w:t>
      </w:r>
      <w:r w:rsidRPr="00AF241B">
        <w:rPr>
          <w:noProof/>
        </w:rPr>
        <w:br/>
      </w:r>
    </w:p>
    <w:sectPr w:rsidR="00252AC6" w:rsidRPr="00AF241B" w:rsidSect="00D3166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9EF" w:rsidRDefault="001509EF" w:rsidP="00252AC6">
      <w:pPr>
        <w:spacing w:before="0" w:after="0"/>
      </w:pPr>
      <w:r>
        <w:separator/>
      </w:r>
    </w:p>
  </w:endnote>
  <w:endnote w:type="continuationSeparator" w:id="0">
    <w:p w:rsidR="001509EF" w:rsidRDefault="001509EF" w:rsidP="00252A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660" w:rsidRPr="00D31660" w:rsidRDefault="00D31660" w:rsidP="00D31660">
    <w:pPr>
      <w:pStyle w:val="Footer"/>
      <w:rPr>
        <w:rFonts w:ascii="Arial" w:hAnsi="Arial" w:cs="Arial"/>
        <w:b/>
        <w:sz w:val="48"/>
      </w:rPr>
    </w:pPr>
    <w:r w:rsidRPr="00D31660">
      <w:rPr>
        <w:rFonts w:ascii="Arial" w:hAnsi="Arial" w:cs="Arial"/>
        <w:b/>
        <w:sz w:val="48"/>
      </w:rPr>
      <w:t>NL</w:t>
    </w:r>
    <w:r w:rsidRPr="00D31660">
      <w:rPr>
        <w:rFonts w:ascii="Arial" w:hAnsi="Arial" w:cs="Arial"/>
        <w:b/>
        <w:sz w:val="48"/>
      </w:rPr>
      <w:tab/>
    </w:r>
    <w:r w:rsidRPr="00D31660">
      <w:rPr>
        <w:rFonts w:ascii="Arial" w:hAnsi="Arial" w:cs="Arial"/>
        <w:b/>
        <w:sz w:val="48"/>
      </w:rPr>
      <w:tab/>
    </w:r>
    <w:r w:rsidRPr="00D31660">
      <w:tab/>
    </w:r>
    <w:r w:rsidRPr="00D31660">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660" w:rsidRPr="00D31660" w:rsidRDefault="00D31660" w:rsidP="00D31660">
    <w:pPr>
      <w:pStyle w:val="Footer"/>
      <w:rPr>
        <w:rFonts w:ascii="Arial" w:hAnsi="Arial" w:cs="Arial"/>
        <w:b/>
        <w:sz w:val="48"/>
      </w:rPr>
    </w:pPr>
    <w:r w:rsidRPr="00D31660">
      <w:rPr>
        <w:rFonts w:ascii="Arial" w:hAnsi="Arial" w:cs="Arial"/>
        <w:b/>
        <w:sz w:val="48"/>
      </w:rPr>
      <w:t>NL</w:t>
    </w:r>
    <w:r w:rsidRPr="00D31660">
      <w:rPr>
        <w:rFonts w:ascii="Arial" w:hAnsi="Arial" w:cs="Arial"/>
        <w:b/>
        <w:sz w:val="48"/>
      </w:rPr>
      <w:tab/>
    </w:r>
    <w:r w:rsidRPr="00D31660">
      <w:rPr>
        <w:rFonts w:ascii="Arial" w:hAnsi="Arial" w:cs="Arial"/>
        <w:b/>
        <w:sz w:val="48"/>
      </w:rPr>
      <w:tab/>
    </w:r>
    <w:r w:rsidRPr="00D31660">
      <w:tab/>
    </w:r>
    <w:r w:rsidRPr="00D31660">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660" w:rsidRDefault="00D316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660" w:rsidRPr="00D31660" w:rsidRDefault="00D31660" w:rsidP="00D31660">
    <w:pPr>
      <w:pStyle w:val="Footer"/>
      <w:rPr>
        <w:rFonts w:ascii="Arial" w:hAnsi="Arial" w:cs="Arial"/>
        <w:b/>
        <w:sz w:val="48"/>
      </w:rPr>
    </w:pPr>
    <w:r w:rsidRPr="00D31660">
      <w:rPr>
        <w:rFonts w:ascii="Arial" w:hAnsi="Arial" w:cs="Arial"/>
        <w:b/>
        <w:sz w:val="48"/>
      </w:rPr>
      <w:t>NL</w:t>
    </w:r>
    <w:r w:rsidRPr="00D31660">
      <w:rPr>
        <w:rFonts w:ascii="Arial" w:hAnsi="Arial" w:cs="Arial"/>
        <w:b/>
        <w:sz w:val="48"/>
      </w:rPr>
      <w:tab/>
    </w:r>
    <w:r>
      <w:fldChar w:fldCharType="begin"/>
    </w:r>
    <w:r>
      <w:instrText xml:space="preserve"> PAGE  \* MERGEFORMAT </w:instrText>
    </w:r>
    <w:r>
      <w:fldChar w:fldCharType="separate"/>
    </w:r>
    <w:r w:rsidR="00293EBE">
      <w:rPr>
        <w:noProof/>
      </w:rPr>
      <w:t>13</w:t>
    </w:r>
    <w:r>
      <w:fldChar w:fldCharType="end"/>
    </w:r>
    <w:r>
      <w:tab/>
    </w:r>
    <w:r w:rsidRPr="00D31660">
      <w:tab/>
    </w:r>
    <w:r w:rsidRPr="00D31660">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660" w:rsidRDefault="00D31660" w:rsidP="00D31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9EF" w:rsidRDefault="001509EF" w:rsidP="00252AC6">
      <w:pPr>
        <w:spacing w:before="0" w:after="0"/>
      </w:pPr>
      <w:r>
        <w:separator/>
      </w:r>
    </w:p>
  </w:footnote>
  <w:footnote w:type="continuationSeparator" w:id="0">
    <w:p w:rsidR="001509EF" w:rsidRDefault="001509EF" w:rsidP="00252AC6">
      <w:pPr>
        <w:spacing w:before="0" w:after="0"/>
      </w:pPr>
      <w:r>
        <w:continuationSeparator/>
      </w:r>
    </w:p>
  </w:footnote>
  <w:footnote w:id="1">
    <w:p w:rsidR="00440384" w:rsidRPr="00AF241B" w:rsidRDefault="00440384" w:rsidP="00252AC6">
      <w:pPr>
        <w:pStyle w:val="FootnoteText"/>
      </w:pPr>
      <w:r>
        <w:rPr>
          <w:rStyle w:val="FootnoteReference"/>
        </w:rPr>
        <w:footnoteRef/>
      </w:r>
      <w:r w:rsidRPr="00AF241B">
        <w:tab/>
        <w:t>PB L </w:t>
      </w:r>
      <w:r w:rsidRPr="001D3039">
        <w:t>153</w:t>
      </w:r>
      <w:r w:rsidRPr="00AF241B">
        <w:t xml:space="preserve"> van </w:t>
      </w:r>
      <w:r w:rsidRPr="001D3039">
        <w:t>3</w:t>
      </w:r>
      <w:r w:rsidRPr="00AF241B">
        <w:t>.</w:t>
      </w:r>
      <w:r w:rsidRPr="001D3039">
        <w:t>5</w:t>
      </w:r>
      <w:r w:rsidRPr="00AF241B">
        <w:t>.</w:t>
      </w:r>
      <w:r w:rsidRPr="001D3039">
        <w:t>2021</w:t>
      </w:r>
      <w:r w:rsidRPr="00AF241B">
        <w:t>, blz. </w:t>
      </w:r>
      <w:r w:rsidRPr="001D3039">
        <w:t>48</w:t>
      </w:r>
      <w:r w:rsidRPr="00AF241B">
        <w:t>.</w:t>
      </w:r>
    </w:p>
  </w:footnote>
  <w:footnote w:id="2">
    <w:p w:rsidR="00440384" w:rsidRPr="00AF241B" w:rsidRDefault="00440384" w:rsidP="00252AC6">
      <w:pPr>
        <w:pStyle w:val="FootnoteText"/>
      </w:pPr>
      <w:r>
        <w:rPr>
          <w:rStyle w:val="FootnoteReference"/>
        </w:rPr>
        <w:footnoteRef/>
      </w:r>
      <w:r w:rsidRPr="00AF241B">
        <w:tab/>
        <w:t xml:space="preserve">Gedelegeerde Verordening (EU) </w:t>
      </w:r>
      <w:r w:rsidRPr="001D3039">
        <w:t>2019</w:t>
      </w:r>
      <w:r w:rsidRPr="00AF241B">
        <w:t>/</w:t>
      </w:r>
      <w:r w:rsidRPr="001D3039">
        <w:t>1755</w:t>
      </w:r>
      <w:r w:rsidRPr="00AF241B">
        <w:t xml:space="preserve"> van de Commissie van </w:t>
      </w:r>
      <w:r w:rsidRPr="001D3039">
        <w:t>8</w:t>
      </w:r>
      <w:r w:rsidRPr="00AF241B">
        <w:t xml:space="preserve"> augustus </w:t>
      </w:r>
      <w:r w:rsidRPr="001D3039">
        <w:t>2019</w:t>
      </w:r>
      <w:r w:rsidRPr="00AF241B">
        <w:t xml:space="preserve"> tot wijziging van de bijlagen bij Verordening (EG) nr. </w:t>
      </w:r>
      <w:r w:rsidRPr="001D3039">
        <w:t>1059</w:t>
      </w:r>
      <w:r w:rsidRPr="00AF241B">
        <w:t>/</w:t>
      </w:r>
      <w:r w:rsidRPr="001D3039">
        <w:t>2003</w:t>
      </w:r>
      <w:r w:rsidRPr="00AF241B">
        <w:t xml:space="preserve"> van het Europees Parlement en de Raad betreffende de opstelling van een gemeenschappelijke nomenclatuur van territoriale eenheden voor de statistiek (NUTS) (PB L</w:t>
      </w:r>
      <w:r w:rsidR="005A1D43">
        <w:t> </w:t>
      </w:r>
      <w:r w:rsidRPr="001D3039">
        <w:t>270</w:t>
      </w:r>
      <w:r w:rsidRPr="00AF241B">
        <w:t xml:space="preserve"> van </w:t>
      </w:r>
      <w:r w:rsidRPr="001D3039">
        <w:t>24</w:t>
      </w:r>
      <w:r w:rsidRPr="00AF241B">
        <w:t>.</w:t>
      </w:r>
      <w:r w:rsidRPr="001D3039">
        <w:t>10</w:t>
      </w:r>
      <w:r w:rsidRPr="00AF241B">
        <w:t>.</w:t>
      </w:r>
      <w:r w:rsidRPr="001D3039">
        <w:t>2019</w:t>
      </w:r>
      <w:r w:rsidRPr="00AF241B">
        <w:t>, blz.</w:t>
      </w:r>
      <w:r w:rsidR="005A1D43">
        <w:t> </w:t>
      </w:r>
      <w:r w:rsidRPr="001D3039">
        <w:t>1</w:t>
      </w:r>
      <w:r w:rsidRPr="00AF241B">
        <w:t>).</w:t>
      </w:r>
    </w:p>
  </w:footnote>
  <w:footnote w:id="3">
    <w:p w:rsidR="00440384" w:rsidRPr="00AF241B" w:rsidRDefault="00440384" w:rsidP="00252AC6">
      <w:pPr>
        <w:pStyle w:val="FootnoteText"/>
      </w:pPr>
      <w:r>
        <w:rPr>
          <w:rStyle w:val="FootnoteReference"/>
        </w:rPr>
        <w:footnoteRef/>
      </w:r>
      <w:r w:rsidRPr="00AF241B">
        <w:tab/>
        <w:t>PB L </w:t>
      </w:r>
      <w:r w:rsidRPr="001D3039">
        <w:t>393</w:t>
      </w:r>
      <w:r w:rsidRPr="00AF241B">
        <w:t xml:space="preserve"> van </w:t>
      </w:r>
      <w:r w:rsidRPr="001D3039">
        <w:t>30</w:t>
      </w:r>
      <w:r w:rsidRPr="00AF241B">
        <w:t>.</w:t>
      </w:r>
      <w:r w:rsidRPr="001D3039">
        <w:t>12</w:t>
      </w:r>
      <w:r w:rsidRPr="00AF241B">
        <w:t>.</w:t>
      </w:r>
      <w:r w:rsidRPr="001D3039">
        <w:t>2006</w:t>
      </w:r>
      <w:r w:rsidRPr="00AF241B">
        <w:t>, blz. </w:t>
      </w:r>
      <w:r w:rsidRPr="001D3039">
        <w:t>1</w:t>
      </w:r>
      <w:r w:rsidRPr="00AF241B">
        <w:t>.</w:t>
      </w:r>
    </w:p>
  </w:footnote>
  <w:footnote w:id="4">
    <w:p w:rsidR="00C812FC" w:rsidRPr="00AF241B" w:rsidRDefault="00C812FC" w:rsidP="00252AC6">
      <w:pPr>
        <w:pStyle w:val="FootnoteText"/>
      </w:pPr>
      <w:r>
        <w:rPr>
          <w:rStyle w:val="FootnoteReference"/>
        </w:rPr>
        <w:footnoteRef/>
      </w:r>
      <w:r w:rsidRPr="00AF241B">
        <w:tab/>
        <w:t>Overeenkomstig artikel </w:t>
      </w:r>
      <w:r w:rsidRPr="001D3039">
        <w:t>7</w:t>
      </w:r>
      <w:r w:rsidRPr="00AF241B">
        <w:t>, lid </w:t>
      </w:r>
      <w:r w:rsidRPr="001D3039">
        <w:t>5</w:t>
      </w:r>
      <w:r w:rsidRPr="00AF241B">
        <w:t xml:space="preserve">, van Verordening (EU) </w:t>
      </w:r>
      <w:r w:rsidRPr="001D3039">
        <w:t>2021</w:t>
      </w:r>
      <w:r w:rsidRPr="00AF241B">
        <w:t>/</w:t>
      </w:r>
      <w:r w:rsidRPr="001D3039">
        <w:t>691</w:t>
      </w:r>
      <w:r w:rsidRPr="00AF241B">
        <w:t>.</w:t>
      </w:r>
    </w:p>
  </w:footnote>
  <w:footnote w:id="5">
    <w:p w:rsidR="0079619E" w:rsidRPr="00AF241B" w:rsidRDefault="0079619E">
      <w:pPr>
        <w:pStyle w:val="FootnoteText"/>
      </w:pPr>
      <w:r>
        <w:rPr>
          <w:rStyle w:val="FootnoteReference"/>
        </w:rPr>
        <w:footnoteRef/>
      </w:r>
      <w:r w:rsidRPr="00AF241B">
        <w:tab/>
        <w:t xml:space="preserve">Ondernemingsraad van </w:t>
      </w:r>
      <w:r w:rsidRPr="001D3039">
        <w:t>22</w:t>
      </w:r>
      <w:r w:rsidRPr="00AF241B">
        <w:t xml:space="preserve"> september </w:t>
      </w:r>
      <w:r w:rsidRPr="001D3039">
        <w:t>2023</w:t>
      </w:r>
      <w:r w:rsidRPr="00AF241B">
        <w:t>.</w:t>
      </w:r>
    </w:p>
  </w:footnote>
  <w:footnote w:id="6">
    <w:p w:rsidR="001C7D02" w:rsidRPr="00AF241B" w:rsidRDefault="001C7D02">
      <w:pPr>
        <w:pStyle w:val="FootnoteText"/>
      </w:pPr>
      <w:r>
        <w:rPr>
          <w:rStyle w:val="FootnoteReference"/>
        </w:rPr>
        <w:footnoteRef/>
      </w:r>
      <w:r w:rsidRPr="00AF241B">
        <w:tab/>
      </w:r>
      <w:hyperlink r:id="rId1" w:history="1">
        <w:r w:rsidRPr="00AF241B">
          <w:rPr>
            <w:rStyle w:val="Hyperlink"/>
          </w:rPr>
          <w:t xml:space="preserve">Verkiezingsmemorandum </w:t>
        </w:r>
        <w:r w:rsidRPr="001D3039">
          <w:rPr>
            <w:rStyle w:val="Hyperlink"/>
          </w:rPr>
          <w:t>2024</w:t>
        </w:r>
      </w:hyperlink>
      <w:r w:rsidRPr="00AF241B">
        <w:t xml:space="preserve"> (nieuwe trends die van invloed zijn op handel en diensten en moeilijke economische tijden).</w:t>
      </w:r>
    </w:p>
  </w:footnote>
  <w:footnote w:id="7">
    <w:p w:rsidR="006845C3" w:rsidRPr="00AF241B" w:rsidRDefault="006845C3">
      <w:pPr>
        <w:pStyle w:val="FootnoteText"/>
      </w:pPr>
      <w:r>
        <w:rPr>
          <w:rStyle w:val="FootnoteReference"/>
        </w:rPr>
        <w:footnoteRef/>
      </w:r>
      <w:r w:rsidRPr="00AF241B">
        <w:tab/>
      </w:r>
      <w:hyperlink r:id="rId2" w:history="1">
        <w:r w:rsidRPr="00AF241B">
          <w:rPr>
            <w:rStyle w:val="Hyperlink"/>
          </w:rPr>
          <w:t>Statbel,</w:t>
        </w:r>
      </w:hyperlink>
      <w:hyperlink r:id="rId3" w:history="1">
        <w:r w:rsidRPr="00AF241B">
          <w:rPr>
            <w:rStyle w:val="Hyperlink"/>
          </w:rPr>
          <w:t>Werkgelegenheid en werkloosheid (</w:t>
        </w:r>
        <w:r w:rsidRPr="001D3039">
          <w:rPr>
            <w:rStyle w:val="Hyperlink"/>
          </w:rPr>
          <w:t>13</w:t>
        </w:r>
        <w:r w:rsidRPr="00AF241B">
          <w:rPr>
            <w:rStyle w:val="Hyperlink"/>
          </w:rPr>
          <w:t>.</w:t>
        </w:r>
        <w:r w:rsidRPr="001D3039">
          <w:rPr>
            <w:rStyle w:val="Hyperlink"/>
          </w:rPr>
          <w:t>6</w:t>
        </w:r>
        <w:r w:rsidRPr="00AF241B">
          <w:rPr>
            <w:rStyle w:val="Hyperlink"/>
          </w:rPr>
          <w:t>.</w:t>
        </w:r>
        <w:r w:rsidRPr="001D3039">
          <w:rPr>
            <w:rStyle w:val="Hyperlink"/>
          </w:rPr>
          <w:t>2024</w:t>
        </w:r>
        <w:r w:rsidRPr="00AF241B">
          <w:rPr>
            <w:rStyle w:val="Hyperlink"/>
          </w:rPr>
          <w:t>)</w:t>
        </w:r>
      </w:hyperlink>
      <w:r w:rsidRPr="00AF241B">
        <w:t>.</w:t>
      </w:r>
    </w:p>
  </w:footnote>
  <w:footnote w:id="8">
    <w:p w:rsidR="00511891" w:rsidRPr="00AF241B" w:rsidRDefault="00511891">
      <w:pPr>
        <w:pStyle w:val="FootnoteText"/>
      </w:pPr>
      <w:r>
        <w:rPr>
          <w:rStyle w:val="FootnoteReference"/>
        </w:rPr>
        <w:footnoteRef/>
      </w:r>
      <w:r w:rsidRPr="00AF241B">
        <w:tab/>
      </w:r>
      <w:hyperlink r:id="rId4" w:history="1">
        <w:r w:rsidRPr="00AF241B">
          <w:rPr>
            <w:rStyle w:val="Hyperlink"/>
          </w:rPr>
          <w:t>Statbel,</w:t>
        </w:r>
      </w:hyperlink>
      <w:hyperlink r:id="rId5" w:history="1">
        <w:r w:rsidRPr="00AF241B">
          <w:rPr>
            <w:rStyle w:val="Hyperlink"/>
          </w:rPr>
          <w:t>Werkgelegenheid en werkloosheid (</w:t>
        </w:r>
        <w:r w:rsidRPr="001D3039">
          <w:rPr>
            <w:rStyle w:val="Hyperlink"/>
          </w:rPr>
          <w:t>13</w:t>
        </w:r>
        <w:r w:rsidRPr="00AF241B">
          <w:rPr>
            <w:rStyle w:val="Hyperlink"/>
          </w:rPr>
          <w:t>.</w:t>
        </w:r>
        <w:r w:rsidRPr="001D3039">
          <w:rPr>
            <w:rStyle w:val="Hyperlink"/>
          </w:rPr>
          <w:t>6</w:t>
        </w:r>
        <w:r w:rsidRPr="00AF241B">
          <w:rPr>
            <w:rStyle w:val="Hyperlink"/>
          </w:rPr>
          <w:t>.</w:t>
        </w:r>
        <w:r w:rsidRPr="001D3039">
          <w:rPr>
            <w:rStyle w:val="Hyperlink"/>
          </w:rPr>
          <w:t>2024</w:t>
        </w:r>
        <w:r w:rsidRPr="00AF241B">
          <w:rPr>
            <w:rStyle w:val="Hyperlink"/>
          </w:rPr>
          <w:t>)</w:t>
        </w:r>
      </w:hyperlink>
      <w:r w:rsidRPr="00AF241B">
        <w:t>.</w:t>
      </w:r>
    </w:p>
  </w:footnote>
  <w:footnote w:id="9">
    <w:p w:rsidR="00601B62" w:rsidRPr="00AF241B" w:rsidRDefault="00601B62">
      <w:pPr>
        <w:pStyle w:val="FootnoteText"/>
      </w:pPr>
      <w:r>
        <w:rPr>
          <w:rStyle w:val="FootnoteReference"/>
        </w:rPr>
        <w:footnoteRef/>
      </w:r>
      <w:r w:rsidRPr="00AF241B">
        <w:tab/>
      </w:r>
      <w:hyperlink r:id="rId6" w:anchor="Estonia.2C_Malta.2C_Lithuania_and_Latvia_see_the_greatest_increase_in_labour_market_slack" w:history="1">
        <w:r w:rsidRPr="00AF241B">
          <w:rPr>
            <w:rStyle w:val="Hyperlink"/>
          </w:rPr>
          <w:t>Eurostat, EU labor market quarterly statistics</w:t>
        </w:r>
      </w:hyperlink>
      <w:r w:rsidRPr="00AF241B">
        <w:t>.</w:t>
      </w:r>
    </w:p>
  </w:footnote>
  <w:footnote w:id="10">
    <w:p w:rsidR="00997428" w:rsidRPr="00AF241B" w:rsidRDefault="00997428">
      <w:pPr>
        <w:pStyle w:val="FootnoteText"/>
      </w:pPr>
      <w:r>
        <w:rPr>
          <w:rStyle w:val="FootnoteReference"/>
        </w:rPr>
        <w:footnoteRef/>
      </w:r>
      <w:r w:rsidRPr="00AF241B">
        <w:tab/>
      </w:r>
      <w:hyperlink r:id="rId7" w:history="1">
        <w:r w:rsidRPr="00AF241B">
          <w:rPr>
            <w:rStyle w:val="Hyperlink"/>
          </w:rPr>
          <w:t>Statbel,</w:t>
        </w:r>
      </w:hyperlink>
      <w:hyperlink r:id="rId8" w:history="1">
        <w:r w:rsidRPr="00AF241B">
          <w:rPr>
            <w:rStyle w:val="Hyperlink"/>
          </w:rPr>
          <w:t>Werkgelegenheid en werkloosheid (</w:t>
        </w:r>
        <w:r w:rsidRPr="001D3039">
          <w:rPr>
            <w:rStyle w:val="Hyperlink"/>
          </w:rPr>
          <w:t>13</w:t>
        </w:r>
        <w:r w:rsidRPr="00AF241B">
          <w:rPr>
            <w:rStyle w:val="Hyperlink"/>
          </w:rPr>
          <w:t>.</w:t>
        </w:r>
        <w:r w:rsidRPr="001D3039">
          <w:rPr>
            <w:rStyle w:val="Hyperlink"/>
          </w:rPr>
          <w:t>6</w:t>
        </w:r>
        <w:r w:rsidRPr="00AF241B">
          <w:rPr>
            <w:rStyle w:val="Hyperlink"/>
          </w:rPr>
          <w:t>.</w:t>
        </w:r>
        <w:r w:rsidRPr="001D3039">
          <w:rPr>
            <w:rStyle w:val="Hyperlink"/>
          </w:rPr>
          <w:t>2024</w:t>
        </w:r>
        <w:r w:rsidRPr="00AF241B">
          <w:rPr>
            <w:rStyle w:val="Hyperlink"/>
          </w:rPr>
          <w:t>)</w:t>
        </w:r>
      </w:hyperlink>
      <w:r w:rsidRPr="00AF241B">
        <w:t>.</w:t>
      </w:r>
      <w:r w:rsidRPr="00AF241B">
        <w:rPr>
          <w:rStyle w:val="Hyperlink"/>
        </w:rPr>
        <w:t xml:space="preserve"> Cijfers.</w:t>
      </w:r>
    </w:p>
  </w:footnote>
  <w:footnote w:id="11">
    <w:p w:rsidR="00D25069" w:rsidRPr="00AF241B" w:rsidRDefault="00D25069">
      <w:pPr>
        <w:pStyle w:val="FootnoteText"/>
      </w:pPr>
      <w:r>
        <w:rPr>
          <w:rStyle w:val="FootnoteReference"/>
        </w:rPr>
        <w:footnoteRef/>
      </w:r>
      <w:r w:rsidRPr="00AF241B">
        <w:tab/>
      </w:r>
      <w:hyperlink r:id="rId9" w:anchor="cijfers" w:history="1">
        <w:r w:rsidRPr="00AF241B">
          <w:rPr>
            <w:rStyle w:val="Hyperlink"/>
          </w:rPr>
          <w:t>Statbel,</w:t>
        </w:r>
      </w:hyperlink>
      <w:hyperlink r:id="rId10" w:anchor="cijfers" w:history="1">
        <w:r w:rsidRPr="00AF241B">
          <w:rPr>
            <w:rStyle w:val="Hyperlink"/>
          </w:rPr>
          <w:t>Werkgelegenheid en werkloosheid (</w:t>
        </w:r>
        <w:r w:rsidRPr="001D3039">
          <w:rPr>
            <w:rStyle w:val="Hyperlink"/>
          </w:rPr>
          <w:t>13</w:t>
        </w:r>
        <w:r w:rsidRPr="00AF241B">
          <w:rPr>
            <w:rStyle w:val="Hyperlink"/>
          </w:rPr>
          <w:t>.</w:t>
        </w:r>
        <w:r w:rsidRPr="001D3039">
          <w:rPr>
            <w:rStyle w:val="Hyperlink"/>
          </w:rPr>
          <w:t>6</w:t>
        </w:r>
        <w:r w:rsidRPr="00AF241B">
          <w:rPr>
            <w:rStyle w:val="Hyperlink"/>
          </w:rPr>
          <w:t>.</w:t>
        </w:r>
        <w:r w:rsidRPr="001D3039">
          <w:rPr>
            <w:rStyle w:val="Hyperlink"/>
          </w:rPr>
          <w:t>2024</w:t>
        </w:r>
        <w:r w:rsidRPr="00AF241B">
          <w:rPr>
            <w:rStyle w:val="Hyperlink"/>
          </w:rPr>
          <w:t>)</w:t>
        </w:r>
      </w:hyperlink>
      <w:r w:rsidRPr="00AF241B">
        <w:t>.</w:t>
      </w:r>
      <w:hyperlink r:id="rId11" w:anchor="cijfers" w:history="1">
        <w:r w:rsidRPr="00AF241B">
          <w:rPr>
            <w:rStyle w:val="Hyperlink"/>
          </w:rPr>
          <w:t xml:space="preserve"> Cijfers</w:t>
        </w:r>
      </w:hyperlink>
      <w:r w:rsidRPr="00AF241B">
        <w:t>.</w:t>
      </w:r>
    </w:p>
  </w:footnote>
  <w:footnote w:id="12">
    <w:p w:rsidR="00A555F7" w:rsidRPr="00AF241B" w:rsidRDefault="00A555F7">
      <w:pPr>
        <w:pStyle w:val="FootnoteText"/>
        <w:rPr>
          <w:lang w:val="fr-BE"/>
        </w:rPr>
      </w:pPr>
      <w:r>
        <w:rPr>
          <w:rStyle w:val="FootnoteReference"/>
        </w:rPr>
        <w:footnoteRef/>
      </w:r>
      <w:r w:rsidRPr="005A1D43">
        <w:rPr>
          <w:lang w:val="fr-BE"/>
        </w:rPr>
        <w:tab/>
      </w:r>
      <w:bookmarkStart w:id="9" w:name="_Hlk168668594"/>
      <w:r>
        <w:fldChar w:fldCharType="begin"/>
      </w:r>
      <w:r w:rsidRPr="005A1D43">
        <w:rPr>
          <w:lang w:val="fr-BE"/>
        </w:rPr>
        <w:instrText>HYPERLINK "https://www.leforem.be/content/dam/leforem/fr/documents/chiffres-et-analyses/chiffres-TCD-photolocale-202405.xlsx"</w:instrText>
      </w:r>
      <w:r>
        <w:fldChar w:fldCharType="separate"/>
      </w:r>
      <w:r w:rsidRPr="005A1D43">
        <w:rPr>
          <w:rStyle w:val="Hyperlink"/>
          <w:lang w:val="fr-BE"/>
        </w:rPr>
        <w:t xml:space="preserve">Le Forem, “Emploi du temps. </w:t>
      </w:r>
      <w:r w:rsidRPr="00AF241B">
        <w:rPr>
          <w:rStyle w:val="Hyperlink"/>
          <w:lang w:val="fr-BE"/>
        </w:rPr>
        <w:t xml:space="preserve">Photo locale de la demande d’emploi”, mei </w:t>
      </w:r>
      <w:r w:rsidRPr="001D3039">
        <w:rPr>
          <w:rStyle w:val="Hyperlink"/>
          <w:lang w:val="fr-BE"/>
        </w:rPr>
        <w:t>2024</w:t>
      </w:r>
      <w:r w:rsidRPr="00AF241B">
        <w:rPr>
          <w:rStyle w:val="Hyperlink"/>
          <w:lang w:val="fr-BE"/>
        </w:rPr>
        <w:t>.</w:t>
      </w:r>
      <w:r>
        <w:fldChar w:fldCharType="end"/>
      </w:r>
      <w:bookmarkEnd w:id="9"/>
    </w:p>
  </w:footnote>
  <w:footnote w:id="13">
    <w:p w:rsidR="00824671" w:rsidRPr="00AF241B" w:rsidRDefault="00824671" w:rsidP="00824671">
      <w:pPr>
        <w:pStyle w:val="FootnoteText"/>
      </w:pPr>
      <w:r>
        <w:rPr>
          <w:rStyle w:val="FootnoteReference"/>
        </w:rPr>
        <w:footnoteRef/>
      </w:r>
      <w:r w:rsidRPr="00AF241B">
        <w:rPr>
          <w:lang w:val="fr-BE"/>
        </w:rPr>
        <w:tab/>
        <w:t>Bodart, V. &amp; B. Van der Linden (</w:t>
      </w:r>
      <w:r w:rsidRPr="001D3039">
        <w:rPr>
          <w:lang w:val="fr-BE"/>
        </w:rPr>
        <w:t>2022</w:t>
      </w:r>
      <w:r w:rsidRPr="00AF241B">
        <w:rPr>
          <w:lang w:val="fr-BE"/>
        </w:rPr>
        <w:t>), Crise du COVID‑</w:t>
      </w:r>
      <w:r w:rsidRPr="001D3039">
        <w:rPr>
          <w:lang w:val="fr-BE"/>
        </w:rPr>
        <w:t>19</w:t>
      </w:r>
      <w:r w:rsidRPr="00AF241B">
        <w:rPr>
          <w:lang w:val="fr-BE"/>
        </w:rPr>
        <w:t xml:space="preserve">. Rebond économique et difficultés de recrutement en Belgique. </w:t>
      </w:r>
      <w:r w:rsidRPr="00AF241B">
        <w:t>UCLouvain.</w:t>
      </w:r>
    </w:p>
  </w:footnote>
  <w:footnote w:id="14">
    <w:p w:rsidR="006E2FBA" w:rsidRPr="00AF241B" w:rsidRDefault="006E2FBA">
      <w:pPr>
        <w:pStyle w:val="FootnoteText"/>
      </w:pPr>
      <w:r>
        <w:rPr>
          <w:rStyle w:val="FootnoteReference"/>
        </w:rPr>
        <w:footnoteRef/>
      </w:r>
      <w:r w:rsidRPr="00AF241B">
        <w:tab/>
      </w:r>
      <w:hyperlink r:id="rId12" w:history="1">
        <w:r w:rsidRPr="00AF241B">
          <w:rPr>
            <w:rStyle w:val="Hyperlink"/>
          </w:rPr>
          <w:t>EU-kwaliteitskader voor anticipatie op veranderingen en herstructurering</w:t>
        </w:r>
      </w:hyperlink>
      <w:r w:rsidRPr="00AF241B">
        <w:t>.</w:t>
      </w:r>
    </w:p>
  </w:footnote>
  <w:footnote w:id="15">
    <w:p w:rsidR="008C3DFF" w:rsidRPr="00AF241B" w:rsidRDefault="008C3DFF">
      <w:pPr>
        <w:pStyle w:val="FootnoteText"/>
      </w:pPr>
      <w:r>
        <w:rPr>
          <w:rStyle w:val="FootnoteReference"/>
        </w:rPr>
        <w:footnoteRef/>
      </w:r>
      <w:r w:rsidRPr="00AF241B">
        <w:tab/>
        <w:t xml:space="preserve">Koninklijk besluit van </w:t>
      </w:r>
      <w:r w:rsidRPr="001D3039">
        <w:t>10</w:t>
      </w:r>
      <w:r w:rsidR="000A0F05">
        <w:t> </w:t>
      </w:r>
      <w:r w:rsidRPr="00AF241B">
        <w:t xml:space="preserve">november </w:t>
      </w:r>
      <w:r w:rsidRPr="001D3039">
        <w:t>2006</w:t>
      </w:r>
      <w:r w:rsidRPr="00AF241B">
        <w:t xml:space="preserve"> tot wijziging van het koninklijk besluit van </w:t>
      </w:r>
      <w:r w:rsidRPr="001D3039">
        <w:t>9</w:t>
      </w:r>
      <w:r w:rsidR="000A0F05">
        <w:t> </w:t>
      </w:r>
      <w:r w:rsidRPr="00AF241B">
        <w:t xml:space="preserve">maart </w:t>
      </w:r>
      <w:r w:rsidRPr="001D3039">
        <w:t>2006</w:t>
      </w:r>
      <w:r w:rsidRPr="00AF241B">
        <w:t>.</w:t>
      </w:r>
    </w:p>
  </w:footnote>
  <w:footnote w:id="16">
    <w:p w:rsidR="007039B7" w:rsidRPr="005A1D43" w:rsidRDefault="007039B7">
      <w:pPr>
        <w:pStyle w:val="FootnoteText"/>
        <w:rPr>
          <w:lang w:val="en-IE"/>
        </w:rPr>
      </w:pPr>
      <w:r>
        <w:rPr>
          <w:rStyle w:val="FootnoteReference"/>
        </w:rPr>
        <w:footnoteRef/>
      </w:r>
      <w:r w:rsidRPr="005A1D43">
        <w:rPr>
          <w:lang w:val="en-IE"/>
        </w:rPr>
        <w:tab/>
      </w:r>
      <w:hyperlink r:id="rId13" w:history="1">
        <w:r w:rsidRPr="005A1D43">
          <w:rPr>
            <w:rStyle w:val="Hyperlink"/>
            <w:lang w:val="en-IE"/>
          </w:rPr>
          <w:t>Le Forem.</w:t>
        </w:r>
      </w:hyperlink>
      <w:hyperlink r:id="rId14" w:history="1">
        <w:r w:rsidRPr="005A1D43">
          <w:rPr>
            <w:rStyle w:val="Hyperlink"/>
            <w:lang w:val="en-IE"/>
          </w:rPr>
          <w:t xml:space="preserve"> Restructuring event:</w:t>
        </w:r>
      </w:hyperlink>
      <w:hyperlink r:id="rId15" w:history="1">
        <w:r w:rsidRPr="005A1D43">
          <w:rPr>
            <w:rStyle w:val="Hyperlink"/>
            <w:lang w:val="en-IE"/>
          </w:rPr>
          <w:t xml:space="preserve"> employment units</w:t>
        </w:r>
      </w:hyperlink>
      <w:r w:rsidRPr="005A1D43">
        <w:rPr>
          <w:lang w:val="en-IE"/>
        </w:rPr>
        <w:t>.</w:t>
      </w:r>
    </w:p>
  </w:footnote>
  <w:footnote w:id="17">
    <w:p w:rsidR="00812C24" w:rsidRPr="00AF241B" w:rsidRDefault="00812C24">
      <w:pPr>
        <w:pStyle w:val="FootnoteText"/>
      </w:pPr>
      <w:r>
        <w:rPr>
          <w:rStyle w:val="FootnoteReference"/>
        </w:rPr>
        <w:footnoteRef/>
      </w:r>
      <w:r w:rsidRPr="00AF241B">
        <w:tab/>
        <w:t xml:space="preserve">Decreet van het Waalse gewest van </w:t>
      </w:r>
      <w:r w:rsidRPr="001D3039">
        <w:t>29</w:t>
      </w:r>
      <w:r w:rsidR="000A0F05">
        <w:t> </w:t>
      </w:r>
      <w:r w:rsidRPr="00AF241B">
        <w:t xml:space="preserve">januari </w:t>
      </w:r>
      <w:r w:rsidRPr="001D3039">
        <w:t>2004</w:t>
      </w:r>
      <w:r w:rsidRPr="00AF241B">
        <w:t xml:space="preserve">, zoals gewijzigd bij het decreet van </w:t>
      </w:r>
      <w:r w:rsidRPr="001D3039">
        <w:t>30</w:t>
      </w:r>
      <w:r w:rsidR="000A0F05">
        <w:t> </w:t>
      </w:r>
      <w:r w:rsidRPr="00AF241B">
        <w:t xml:space="preserve">april </w:t>
      </w:r>
      <w:r w:rsidRPr="001D3039">
        <w:t>2009</w:t>
      </w:r>
      <w:r w:rsidRPr="00AF241B">
        <w:t>.</w:t>
      </w:r>
    </w:p>
  </w:footnote>
  <w:footnote w:id="18">
    <w:p w:rsidR="00CD0B29" w:rsidRPr="005A1D43" w:rsidRDefault="00CD0B29">
      <w:pPr>
        <w:pStyle w:val="FootnoteText"/>
        <w:rPr>
          <w:lang w:val="en-IE"/>
        </w:rPr>
      </w:pPr>
      <w:r>
        <w:rPr>
          <w:rStyle w:val="FootnoteReference"/>
        </w:rPr>
        <w:footnoteRef/>
      </w:r>
      <w:r w:rsidRPr="005A1D43">
        <w:rPr>
          <w:lang w:val="en-IE"/>
        </w:rPr>
        <w:tab/>
      </w:r>
      <w:r w:rsidRPr="005A1D43">
        <w:rPr>
          <w:rStyle w:val="Hyperlink"/>
          <w:lang w:val="en-IE"/>
        </w:rPr>
        <w:t xml:space="preserve">Le </w:t>
      </w:r>
      <w:hyperlink r:id="rId16" w:history="1">
        <w:r w:rsidRPr="005A1D43">
          <w:rPr>
            <w:rStyle w:val="Hyperlink"/>
            <w:lang w:val="en-IE"/>
          </w:rPr>
          <w:t>Forem.</w:t>
        </w:r>
      </w:hyperlink>
      <w:hyperlink r:id="rId17" w:history="1">
        <w:r w:rsidRPr="005A1D43">
          <w:rPr>
            <w:rStyle w:val="Hyperlink"/>
            <w:lang w:val="en-IE"/>
          </w:rPr>
          <w:t xml:space="preserve"> Restructuring event:</w:t>
        </w:r>
      </w:hyperlink>
      <w:hyperlink r:id="rId18" w:history="1">
        <w:r w:rsidRPr="005A1D43">
          <w:rPr>
            <w:rStyle w:val="Hyperlink"/>
            <w:lang w:val="en-IE"/>
          </w:rPr>
          <w:t xml:space="preserve"> redeployment units</w:t>
        </w:r>
      </w:hyperlink>
      <w:r w:rsidRPr="005A1D43">
        <w:rPr>
          <w:lang w:val="en-IE"/>
        </w:rPr>
        <w:t>.</w:t>
      </w:r>
    </w:p>
  </w:footnote>
  <w:footnote w:id="19">
    <w:p w:rsidR="00AB691F" w:rsidRPr="00AF241B" w:rsidRDefault="00AB691F">
      <w:pPr>
        <w:pStyle w:val="FootnoteText"/>
      </w:pPr>
      <w:r>
        <w:rPr>
          <w:rStyle w:val="FootnoteReference"/>
        </w:rPr>
        <w:footnoteRef/>
      </w:r>
      <w:r w:rsidRPr="00AF241B">
        <w:tab/>
        <w:t>Algemeen Belgisch Vakverbond.</w:t>
      </w:r>
    </w:p>
  </w:footnote>
  <w:footnote w:id="20">
    <w:p w:rsidR="00AB691F" w:rsidRPr="00AF241B" w:rsidRDefault="00AB691F">
      <w:pPr>
        <w:pStyle w:val="FootnoteText"/>
      </w:pPr>
      <w:r>
        <w:rPr>
          <w:rStyle w:val="FootnoteReference"/>
        </w:rPr>
        <w:footnoteRef/>
      </w:r>
      <w:r w:rsidRPr="00AF241B">
        <w:tab/>
        <w:t>Algemeen Christelijk Vakverbond.</w:t>
      </w:r>
    </w:p>
  </w:footnote>
  <w:footnote w:id="21">
    <w:p w:rsidR="00440384" w:rsidRPr="00AF241B" w:rsidRDefault="00440384">
      <w:pPr>
        <w:pStyle w:val="FootnoteText"/>
      </w:pPr>
      <w:r>
        <w:rPr>
          <w:rStyle w:val="FootnoteReference"/>
        </w:rPr>
        <w:footnoteRef/>
      </w:r>
      <w:r w:rsidRPr="00AF241B">
        <w:tab/>
        <w:t xml:space="preserve">ISCED </w:t>
      </w:r>
      <w:r w:rsidRPr="001D3039">
        <w:t>0</w:t>
      </w:r>
      <w:r w:rsidRPr="00AF241B">
        <w:t>-</w:t>
      </w:r>
      <w:r w:rsidRPr="001D3039">
        <w:t>2</w:t>
      </w:r>
      <w:r w:rsidRPr="00AF241B">
        <w:t>.</w:t>
      </w:r>
    </w:p>
  </w:footnote>
  <w:footnote w:id="22">
    <w:p w:rsidR="00440384" w:rsidRPr="00AF241B" w:rsidRDefault="00440384">
      <w:pPr>
        <w:pStyle w:val="FootnoteText"/>
      </w:pPr>
      <w:r>
        <w:rPr>
          <w:rStyle w:val="FootnoteReference"/>
        </w:rPr>
        <w:footnoteRef/>
      </w:r>
      <w:r w:rsidRPr="00AF241B">
        <w:tab/>
        <w:t xml:space="preserve">ISCED </w:t>
      </w:r>
      <w:r w:rsidRPr="001D3039">
        <w:t>0</w:t>
      </w:r>
      <w:r w:rsidRPr="00AF241B">
        <w:t>-</w:t>
      </w:r>
      <w:r w:rsidRPr="001D3039">
        <w:t>3</w:t>
      </w:r>
      <w:r w:rsidRPr="00AF241B">
        <w:t>.</w:t>
      </w:r>
    </w:p>
  </w:footnote>
  <w:footnote w:id="23">
    <w:p w:rsidR="00440384" w:rsidRPr="00AF241B" w:rsidRDefault="00440384">
      <w:pPr>
        <w:pStyle w:val="FootnoteText"/>
      </w:pPr>
      <w:r>
        <w:rPr>
          <w:rStyle w:val="FootnoteReference"/>
        </w:rPr>
        <w:footnoteRef/>
      </w:r>
      <w:r w:rsidRPr="00AF241B">
        <w:tab/>
        <w:t xml:space="preserve">ISCED </w:t>
      </w:r>
      <w:r w:rsidRPr="001D3039">
        <w:t>0</w:t>
      </w:r>
      <w:r w:rsidRPr="00AF241B">
        <w:t>-</w:t>
      </w:r>
      <w:r w:rsidRPr="001D3039">
        <w:t>4</w:t>
      </w:r>
      <w:r w:rsidRPr="00AF241B">
        <w:t>.</w:t>
      </w:r>
    </w:p>
  </w:footnote>
  <w:footnote w:id="24">
    <w:p w:rsidR="00440384" w:rsidRPr="00AF241B" w:rsidRDefault="00440384">
      <w:pPr>
        <w:pStyle w:val="FootnoteText"/>
      </w:pPr>
      <w:r>
        <w:rPr>
          <w:rStyle w:val="FootnoteReference"/>
        </w:rPr>
        <w:footnoteRef/>
      </w:r>
      <w:r w:rsidRPr="00AF241B">
        <w:tab/>
        <w:t xml:space="preserve">ISCED </w:t>
      </w:r>
      <w:r w:rsidRPr="001D3039">
        <w:t>5</w:t>
      </w:r>
      <w:r w:rsidRPr="00AF241B">
        <w:t>-</w:t>
      </w:r>
      <w:r w:rsidRPr="001D3039">
        <w:t>8</w:t>
      </w:r>
      <w:r w:rsidRPr="00AF241B">
        <w:t>.</w:t>
      </w:r>
    </w:p>
  </w:footnote>
  <w:footnote w:id="25">
    <w:p w:rsidR="00717FE5" w:rsidRPr="00AF241B" w:rsidRDefault="00717FE5">
      <w:pPr>
        <w:pStyle w:val="FootnoteText"/>
      </w:pPr>
      <w:r>
        <w:rPr>
          <w:rStyle w:val="FootnoteReference"/>
        </w:rPr>
        <w:footnoteRef/>
      </w:r>
      <w:r w:rsidRPr="00AF241B">
        <w:tab/>
      </w:r>
      <w:r w:rsidRPr="001D3039">
        <w:t>18</w:t>
      </w:r>
      <w:r w:rsidRPr="00AF241B">
        <w:t xml:space="preserve"> maanden indien een volledige test wordt uitgevoerd.</w:t>
      </w:r>
    </w:p>
  </w:footnote>
  <w:footnote w:id="26">
    <w:p w:rsidR="00613A0B" w:rsidRPr="005A1D43" w:rsidRDefault="00613A0B">
      <w:pPr>
        <w:pStyle w:val="FootnoteText"/>
        <w:rPr>
          <w:lang w:val="en-IE"/>
        </w:rPr>
      </w:pPr>
      <w:r>
        <w:rPr>
          <w:rStyle w:val="FootnoteReference"/>
        </w:rPr>
        <w:footnoteRef/>
      </w:r>
      <w:r w:rsidRPr="005A1D43">
        <w:rPr>
          <w:lang w:val="en-IE"/>
        </w:rPr>
        <w:tab/>
        <w:t>COM(</w:t>
      </w:r>
      <w:r w:rsidRPr="001D3039">
        <w:rPr>
          <w:lang w:val="en-IE"/>
        </w:rPr>
        <w:t>2021</w:t>
      </w:r>
      <w:r w:rsidRPr="005A1D43">
        <w:rPr>
          <w:lang w:val="en-IE"/>
        </w:rPr>
        <w:t>) </w:t>
      </w:r>
      <w:r w:rsidRPr="001D3039">
        <w:rPr>
          <w:lang w:val="en-IE"/>
        </w:rPr>
        <w:t>212</w:t>
      </w:r>
      <w:r w:rsidRPr="005A1D43">
        <w:rPr>
          <w:lang w:val="en-IE"/>
        </w:rPr>
        <w:t>.</w:t>
      </w:r>
    </w:p>
  </w:footnote>
  <w:footnote w:id="27">
    <w:p w:rsidR="008D41C8" w:rsidRPr="005A1D43" w:rsidRDefault="008D41C8">
      <w:pPr>
        <w:pStyle w:val="FootnoteText"/>
        <w:rPr>
          <w:lang w:val="en-IE"/>
        </w:rPr>
      </w:pPr>
      <w:r>
        <w:rPr>
          <w:rStyle w:val="FootnoteReference"/>
        </w:rPr>
        <w:footnoteRef/>
      </w:r>
      <w:r w:rsidRPr="005A1D43">
        <w:rPr>
          <w:lang w:val="en-IE"/>
        </w:rPr>
        <w:tab/>
        <w:t>EGF/</w:t>
      </w:r>
      <w:r w:rsidRPr="001D3039">
        <w:rPr>
          <w:lang w:val="en-IE"/>
        </w:rPr>
        <w:t>2022</w:t>
      </w:r>
      <w:r w:rsidRPr="005A1D43">
        <w:rPr>
          <w:lang w:val="en-IE"/>
        </w:rPr>
        <w:t>/</w:t>
      </w:r>
      <w:r w:rsidRPr="001D3039">
        <w:rPr>
          <w:lang w:val="en-IE"/>
        </w:rPr>
        <w:t>002</w:t>
      </w:r>
      <w:r w:rsidRPr="005A1D43">
        <w:rPr>
          <w:lang w:val="en-IE"/>
        </w:rPr>
        <w:t xml:space="preserve"> BE/TNT, COM(</w:t>
      </w:r>
      <w:r w:rsidRPr="001D3039">
        <w:rPr>
          <w:lang w:val="en-IE"/>
        </w:rPr>
        <w:t>2023</w:t>
      </w:r>
      <w:r w:rsidRPr="005A1D43">
        <w:rPr>
          <w:lang w:val="en-IE"/>
        </w:rPr>
        <w:t>) </w:t>
      </w:r>
      <w:r w:rsidRPr="001D3039">
        <w:rPr>
          <w:lang w:val="en-IE"/>
        </w:rPr>
        <w:t>69</w:t>
      </w:r>
      <w:r w:rsidRPr="005A1D43">
        <w:rPr>
          <w:lang w:val="en-IE"/>
        </w:rPr>
        <w:t>.</w:t>
      </w:r>
    </w:p>
  </w:footnote>
  <w:footnote w:id="28">
    <w:p w:rsidR="00440384" w:rsidRPr="00AF241B" w:rsidRDefault="00440384">
      <w:pPr>
        <w:pStyle w:val="FootnoteText"/>
      </w:pPr>
      <w:r>
        <w:rPr>
          <w:rStyle w:val="FootnoteReference"/>
        </w:rPr>
        <w:footnoteRef/>
      </w:r>
      <w:r w:rsidRPr="00AF241B">
        <w:tab/>
        <w:t>Om decimale cijfers te vermijden, zijn de geraamde kosten per werknemer afgerond. De afronding heeft evenwel geen gevolgen voor de totale kosten van elke maatregel, die dezelfde blijven als die in de door België ingediende aanvraag.</w:t>
      </w:r>
    </w:p>
  </w:footnote>
  <w:footnote w:id="29">
    <w:p w:rsidR="00440384" w:rsidRPr="00AF241B" w:rsidRDefault="00440384">
      <w:pPr>
        <w:pStyle w:val="FootnoteText"/>
      </w:pPr>
      <w:r>
        <w:rPr>
          <w:rStyle w:val="FootnoteReference"/>
        </w:rPr>
        <w:footnoteRef/>
      </w:r>
      <w:r w:rsidRPr="00AF241B">
        <w:tab/>
        <w:t>Door het afronden klopt het totaal niet exact.</w:t>
      </w:r>
    </w:p>
  </w:footnote>
  <w:footnote w:id="30">
    <w:p w:rsidR="00440384" w:rsidRPr="00AF241B" w:rsidRDefault="00440384" w:rsidP="00252AC6">
      <w:pPr>
        <w:pStyle w:val="FootnoteText"/>
      </w:pPr>
      <w:r>
        <w:rPr>
          <w:rStyle w:val="FootnoteReference"/>
        </w:rPr>
        <w:footnoteRef/>
      </w:r>
      <w:r w:rsidRPr="00AF241B">
        <w:tab/>
        <w:t>PB L </w:t>
      </w:r>
      <w:r w:rsidRPr="001D3039">
        <w:t>433</w:t>
      </w:r>
      <w:r w:rsidRPr="00AF241B">
        <w:t xml:space="preserve"> I van </w:t>
      </w:r>
      <w:r w:rsidRPr="001D3039">
        <w:t>22</w:t>
      </w:r>
      <w:r w:rsidRPr="00AF241B">
        <w:t>.</w:t>
      </w:r>
      <w:r w:rsidRPr="001D3039">
        <w:t>12</w:t>
      </w:r>
      <w:r w:rsidRPr="00AF241B">
        <w:t>.</w:t>
      </w:r>
      <w:r w:rsidRPr="001D3039">
        <w:t>2020</w:t>
      </w:r>
      <w:r w:rsidRPr="00AF241B">
        <w:t>, blz. </w:t>
      </w:r>
      <w:r w:rsidRPr="001D3039">
        <w:t>11</w:t>
      </w:r>
      <w:r w:rsidRPr="00AF241B">
        <w:t>.</w:t>
      </w:r>
    </w:p>
  </w:footnote>
  <w:footnote w:id="31">
    <w:p w:rsidR="00301E61" w:rsidRPr="00AF241B" w:rsidRDefault="00301E61">
      <w:pPr>
        <w:pStyle w:val="FootnoteText"/>
      </w:pPr>
      <w:r>
        <w:rPr>
          <w:rStyle w:val="FootnoteReference"/>
        </w:rPr>
        <w:footnoteRef/>
      </w:r>
      <w:r w:rsidRPr="00AF241B">
        <w:tab/>
        <w:t>PB L </w:t>
      </w:r>
      <w:r w:rsidRPr="001D3039">
        <w:t>2024</w:t>
      </w:r>
      <w:r w:rsidRPr="00AF241B">
        <w:t>/</w:t>
      </w:r>
      <w:r w:rsidRPr="001D3039">
        <w:t>765</w:t>
      </w:r>
      <w:r w:rsidRPr="00AF241B">
        <w:t xml:space="preserve">, </w:t>
      </w:r>
      <w:r w:rsidRPr="001D3039">
        <w:t>29</w:t>
      </w:r>
      <w:r w:rsidRPr="00AF241B">
        <w:t>.</w:t>
      </w:r>
      <w:r w:rsidRPr="001D3039">
        <w:t>2</w:t>
      </w:r>
      <w:r w:rsidRPr="00AF241B">
        <w:t>.</w:t>
      </w:r>
      <w:r w:rsidRPr="001D3039">
        <w:t>2024</w:t>
      </w:r>
      <w:r w:rsidRPr="00AF241B">
        <w:t>, blz. </w:t>
      </w:r>
      <w:r w:rsidRPr="001D3039">
        <w:t>4</w:t>
      </w:r>
      <w:r w:rsidRPr="00AF241B">
        <w:t xml:space="preserve">. </w:t>
      </w:r>
    </w:p>
  </w:footnote>
  <w:footnote w:id="32">
    <w:p w:rsidR="00440384" w:rsidRPr="00AF241B" w:rsidRDefault="00440384" w:rsidP="00252AC6">
      <w:pPr>
        <w:pStyle w:val="FootnoteText"/>
      </w:pPr>
      <w:r>
        <w:rPr>
          <w:rStyle w:val="FootnoteReference"/>
        </w:rPr>
        <w:footnoteRef/>
      </w:r>
      <w:r w:rsidRPr="00AF241B">
        <w:tab/>
        <w:t>PB L </w:t>
      </w:r>
      <w:r w:rsidRPr="001D3039">
        <w:t>433</w:t>
      </w:r>
      <w:r w:rsidRPr="00AF241B">
        <w:t xml:space="preserve"> I van </w:t>
      </w:r>
      <w:r w:rsidRPr="001D3039">
        <w:t>22</w:t>
      </w:r>
      <w:r w:rsidRPr="00AF241B">
        <w:t>.</w:t>
      </w:r>
      <w:r w:rsidRPr="001D3039">
        <w:t>12</w:t>
      </w:r>
      <w:r w:rsidRPr="00AF241B">
        <w:t>.</w:t>
      </w:r>
      <w:r w:rsidRPr="001D3039">
        <w:t>2020</w:t>
      </w:r>
      <w:r w:rsidRPr="00AF241B">
        <w:t>, blz. </w:t>
      </w:r>
      <w:r w:rsidRPr="001D3039">
        <w:t>28</w:t>
      </w:r>
      <w:r w:rsidRPr="00AF241B">
        <w:t>.</w:t>
      </w:r>
    </w:p>
  </w:footnote>
  <w:footnote w:id="33">
    <w:p w:rsidR="00440384" w:rsidRPr="00AF241B" w:rsidRDefault="00440384">
      <w:pPr>
        <w:pStyle w:val="FootnoteText"/>
      </w:pPr>
      <w:r>
        <w:rPr>
          <w:rStyle w:val="FootnoteReference"/>
        </w:rPr>
        <w:footnoteRef/>
      </w:r>
      <w:r w:rsidRPr="00AF241B">
        <w:tab/>
        <w:t xml:space="preserve">Verordening (EU, Euratom) </w:t>
      </w:r>
      <w:r w:rsidRPr="001D3039">
        <w:t>2018</w:t>
      </w:r>
      <w:r w:rsidRPr="00AF241B">
        <w:t>/</w:t>
      </w:r>
      <w:r w:rsidRPr="001D3039">
        <w:t>1046</w:t>
      </w:r>
      <w:r w:rsidRPr="00AF241B">
        <w:t xml:space="preserve"> van het Europees Parlement en de Raad van </w:t>
      </w:r>
      <w:r w:rsidRPr="001D3039">
        <w:t>18</w:t>
      </w:r>
      <w:r w:rsidRPr="00AF241B">
        <w:t xml:space="preserve"> juli </w:t>
      </w:r>
      <w:r w:rsidRPr="001D3039">
        <w:t>2018</w:t>
      </w:r>
      <w:r w:rsidRPr="00AF241B">
        <w:t xml:space="preserve"> tot vaststelling van de financiële regels van toepassing op de algemene begroting van de Unie, tot wijziging van Verordeningen (EU) nr.</w:t>
      </w:r>
      <w:r w:rsidR="000A0F05">
        <w:t> </w:t>
      </w:r>
      <w:r w:rsidRPr="001D3039">
        <w:t>1296</w:t>
      </w:r>
      <w:r w:rsidRPr="00AF241B">
        <w:t>/</w:t>
      </w:r>
      <w:r w:rsidRPr="001D3039">
        <w:t>2013</w:t>
      </w:r>
      <w:r w:rsidRPr="00AF241B">
        <w:t>, (EU) nr.</w:t>
      </w:r>
      <w:r w:rsidR="000A0F05">
        <w:t> </w:t>
      </w:r>
      <w:r w:rsidRPr="001D3039">
        <w:t>1301</w:t>
      </w:r>
      <w:r w:rsidRPr="00AF241B">
        <w:t>/</w:t>
      </w:r>
      <w:r w:rsidRPr="001D3039">
        <w:t>2013</w:t>
      </w:r>
      <w:r w:rsidRPr="00AF241B">
        <w:t>, (EU) nr.</w:t>
      </w:r>
      <w:r w:rsidR="000A0F05">
        <w:t> </w:t>
      </w:r>
      <w:r w:rsidRPr="001D3039">
        <w:t>1303</w:t>
      </w:r>
      <w:r w:rsidRPr="00AF241B">
        <w:t>/</w:t>
      </w:r>
      <w:r w:rsidRPr="001D3039">
        <w:t>2013</w:t>
      </w:r>
      <w:r w:rsidRPr="00AF241B">
        <w:t>, (EU) nr.</w:t>
      </w:r>
      <w:r w:rsidR="000A0F05">
        <w:t> </w:t>
      </w:r>
      <w:r w:rsidRPr="001D3039">
        <w:t>1304</w:t>
      </w:r>
      <w:r w:rsidRPr="00AF241B">
        <w:t>/</w:t>
      </w:r>
      <w:r w:rsidRPr="001D3039">
        <w:t>2013</w:t>
      </w:r>
      <w:r w:rsidRPr="00AF241B">
        <w:t>, (EU) nr.</w:t>
      </w:r>
      <w:r w:rsidR="000A0F05">
        <w:t> </w:t>
      </w:r>
      <w:r w:rsidRPr="001D3039">
        <w:t>1309</w:t>
      </w:r>
      <w:r w:rsidRPr="00AF241B">
        <w:t>/</w:t>
      </w:r>
      <w:r w:rsidRPr="001D3039">
        <w:t>2013</w:t>
      </w:r>
      <w:r w:rsidRPr="00AF241B">
        <w:t>, (EU) nr.</w:t>
      </w:r>
      <w:r w:rsidR="000A0F05">
        <w:t> </w:t>
      </w:r>
      <w:r w:rsidRPr="001D3039">
        <w:t>1316</w:t>
      </w:r>
      <w:r w:rsidRPr="00AF241B">
        <w:t>/</w:t>
      </w:r>
      <w:r w:rsidRPr="001D3039">
        <w:t>2013</w:t>
      </w:r>
      <w:r w:rsidRPr="00AF241B">
        <w:t>, (EU) nr.</w:t>
      </w:r>
      <w:r w:rsidR="000A0F05">
        <w:t> </w:t>
      </w:r>
      <w:r w:rsidRPr="001D3039">
        <w:t>223</w:t>
      </w:r>
      <w:r w:rsidRPr="00AF241B">
        <w:t>/</w:t>
      </w:r>
      <w:r w:rsidRPr="001D3039">
        <w:t>2014</w:t>
      </w:r>
      <w:r w:rsidRPr="00AF241B">
        <w:t>, (EU) nr.</w:t>
      </w:r>
      <w:r w:rsidR="000A0F05">
        <w:t> </w:t>
      </w:r>
      <w:r w:rsidRPr="001D3039">
        <w:t>283</w:t>
      </w:r>
      <w:r w:rsidRPr="00AF241B">
        <w:t>/</w:t>
      </w:r>
      <w:r w:rsidRPr="001D3039">
        <w:t>2014</w:t>
      </w:r>
      <w:r w:rsidRPr="00AF241B">
        <w:t xml:space="preserve"> en Besluit nr. </w:t>
      </w:r>
      <w:r w:rsidRPr="001D3039">
        <w:t>541</w:t>
      </w:r>
      <w:r w:rsidRPr="00AF241B">
        <w:t>/</w:t>
      </w:r>
      <w:r w:rsidRPr="001D3039">
        <w:t>2014</w:t>
      </w:r>
      <w:r w:rsidRPr="00AF241B">
        <w:t>/EU en tot intrekking van Verordening (EU, Euratom) nr. </w:t>
      </w:r>
      <w:r w:rsidRPr="001D3039">
        <w:t>966</w:t>
      </w:r>
      <w:r w:rsidRPr="00AF241B">
        <w:t>/</w:t>
      </w:r>
      <w:r w:rsidRPr="001D3039">
        <w:t>2012</w:t>
      </w:r>
      <w:r w:rsidRPr="00AF241B">
        <w:t xml:space="preserve"> (PB L </w:t>
      </w:r>
      <w:r w:rsidRPr="001D3039">
        <w:t>193</w:t>
      </w:r>
      <w:r w:rsidRPr="00AF241B">
        <w:t xml:space="preserve"> van </w:t>
      </w:r>
      <w:r w:rsidRPr="001D3039">
        <w:t>30</w:t>
      </w:r>
      <w:r w:rsidRPr="00AF241B">
        <w:t>.</w:t>
      </w:r>
      <w:r w:rsidRPr="001D3039">
        <w:t>7</w:t>
      </w:r>
      <w:r w:rsidRPr="00AF241B">
        <w:t>.</w:t>
      </w:r>
      <w:r w:rsidRPr="001D3039">
        <w:t>2018</w:t>
      </w:r>
      <w:r w:rsidRPr="00AF241B">
        <w:t>, blz. </w:t>
      </w:r>
      <w:r w:rsidRPr="001D3039">
        <w:t>1</w:t>
      </w:r>
      <w:r w:rsidRPr="00AF241B">
        <w:t>).</w:t>
      </w:r>
    </w:p>
  </w:footnote>
  <w:footnote w:id="34">
    <w:p w:rsidR="00440384" w:rsidRPr="00AF241B" w:rsidRDefault="00440384" w:rsidP="00252AC6">
      <w:pPr>
        <w:pStyle w:val="FootnoteText"/>
      </w:pPr>
      <w:r>
        <w:rPr>
          <w:rStyle w:val="FootnoteReference"/>
        </w:rPr>
        <w:footnoteRef/>
      </w:r>
      <w:r w:rsidRPr="00AF241B">
        <w:tab/>
        <w:t>PB L </w:t>
      </w:r>
      <w:r w:rsidRPr="001D3039">
        <w:t>153</w:t>
      </w:r>
      <w:r w:rsidRPr="00AF241B">
        <w:t xml:space="preserve"> van </w:t>
      </w:r>
      <w:r w:rsidRPr="001D3039">
        <w:t>3</w:t>
      </w:r>
      <w:r w:rsidRPr="00AF241B">
        <w:t>.</w:t>
      </w:r>
      <w:r w:rsidRPr="001D3039">
        <w:t>5</w:t>
      </w:r>
      <w:r w:rsidRPr="00AF241B">
        <w:t>.</w:t>
      </w:r>
      <w:r w:rsidRPr="001D3039">
        <w:t>2021</w:t>
      </w:r>
      <w:r w:rsidRPr="00AF241B">
        <w:t>, blz. </w:t>
      </w:r>
      <w:r w:rsidRPr="001D3039">
        <w:t>48</w:t>
      </w:r>
      <w:r w:rsidRPr="00AF241B">
        <w:t>.</w:t>
      </w:r>
    </w:p>
  </w:footnote>
  <w:footnote w:id="35">
    <w:p w:rsidR="00440384" w:rsidRPr="00AF241B" w:rsidRDefault="00440384">
      <w:pPr>
        <w:pStyle w:val="FootnoteText"/>
      </w:pPr>
      <w:r>
        <w:rPr>
          <w:rStyle w:val="FootnoteReference"/>
        </w:rPr>
        <w:footnoteRef/>
      </w:r>
      <w:r w:rsidRPr="00AF241B">
        <w:tab/>
        <w:t>PB L </w:t>
      </w:r>
      <w:r w:rsidRPr="001D3039">
        <w:t>433</w:t>
      </w:r>
      <w:r w:rsidRPr="00AF241B">
        <w:t xml:space="preserve"> I van </w:t>
      </w:r>
      <w:r w:rsidRPr="001D3039">
        <w:t>22</w:t>
      </w:r>
      <w:r w:rsidRPr="00AF241B">
        <w:t>.</w:t>
      </w:r>
      <w:r w:rsidRPr="001D3039">
        <w:t>12</w:t>
      </w:r>
      <w:r w:rsidRPr="00AF241B">
        <w:t>.</w:t>
      </w:r>
      <w:r w:rsidRPr="001D3039">
        <w:t>2020</w:t>
      </w:r>
      <w:r w:rsidRPr="00AF241B">
        <w:t>, blz. </w:t>
      </w:r>
      <w:r w:rsidRPr="001D3039">
        <w:t>28</w:t>
      </w:r>
      <w:r w:rsidRPr="00AF241B">
        <w:t>.</w:t>
      </w:r>
    </w:p>
  </w:footnote>
  <w:footnote w:id="36">
    <w:p w:rsidR="00440384" w:rsidRPr="00AF241B" w:rsidRDefault="00440384" w:rsidP="00252AC6">
      <w:pPr>
        <w:pStyle w:val="FootnoteText"/>
      </w:pPr>
      <w:r>
        <w:rPr>
          <w:rStyle w:val="FootnoteReference"/>
        </w:rPr>
        <w:footnoteRef/>
      </w:r>
      <w:r w:rsidRPr="00AF241B">
        <w:tab/>
        <w:t xml:space="preserve">Verordening (EU, Euratom) </w:t>
      </w:r>
      <w:r w:rsidRPr="001D3039">
        <w:t>2020</w:t>
      </w:r>
      <w:r w:rsidRPr="00AF241B">
        <w:t>/</w:t>
      </w:r>
      <w:r w:rsidRPr="001D3039">
        <w:t>2093</w:t>
      </w:r>
      <w:r w:rsidRPr="00AF241B">
        <w:t xml:space="preserve"> van de Raad van </w:t>
      </w:r>
      <w:r w:rsidRPr="001D3039">
        <w:t>17</w:t>
      </w:r>
      <w:r w:rsidR="001D3039">
        <w:t> </w:t>
      </w:r>
      <w:r w:rsidRPr="00AF241B">
        <w:t xml:space="preserve">december </w:t>
      </w:r>
      <w:r w:rsidRPr="001D3039">
        <w:t>2020</w:t>
      </w:r>
      <w:r w:rsidRPr="00AF241B">
        <w:t xml:space="preserve"> tot bepaling van het meerjarig financieel kader voor de jaren </w:t>
      </w:r>
      <w:r w:rsidRPr="001D3039">
        <w:t>2021</w:t>
      </w:r>
      <w:r w:rsidRPr="00AF241B">
        <w:t>‑</w:t>
      </w:r>
      <w:r w:rsidRPr="001D3039">
        <w:t>2027</w:t>
      </w:r>
      <w:r w:rsidRPr="00AF241B">
        <w:t xml:space="preserve"> (PB L</w:t>
      </w:r>
      <w:r w:rsidR="001D3039">
        <w:t> </w:t>
      </w:r>
      <w:r w:rsidRPr="001D3039">
        <w:t>433</w:t>
      </w:r>
      <w:r w:rsidRPr="00AF241B">
        <w:t xml:space="preserve"> I van </w:t>
      </w:r>
      <w:r w:rsidRPr="001D3039">
        <w:t>22</w:t>
      </w:r>
      <w:r w:rsidRPr="00AF241B">
        <w:t>.</w:t>
      </w:r>
      <w:r w:rsidRPr="001D3039">
        <w:t>12</w:t>
      </w:r>
      <w:r w:rsidRPr="00AF241B">
        <w:t>.</w:t>
      </w:r>
      <w:r w:rsidRPr="001D3039">
        <w:t>2020</w:t>
      </w:r>
      <w:r w:rsidRPr="00AF241B">
        <w:t>, blz.</w:t>
      </w:r>
      <w:r w:rsidR="001D3039">
        <w:t> </w:t>
      </w:r>
      <w:r w:rsidRPr="001D3039">
        <w:t>11</w:t>
      </w:r>
      <w:r w:rsidRPr="00AF241B">
        <w:t>).</w:t>
      </w:r>
    </w:p>
  </w:footnote>
  <w:footnote w:id="37">
    <w:p w:rsidR="00DE50E5" w:rsidRPr="00AF241B" w:rsidRDefault="00DE50E5" w:rsidP="00DE50E5">
      <w:pPr>
        <w:pStyle w:val="FootnoteText"/>
      </w:pPr>
      <w:r>
        <w:rPr>
          <w:rStyle w:val="FootnoteReference"/>
        </w:rPr>
        <w:footnoteRef/>
      </w:r>
      <w:r w:rsidRPr="00AF241B">
        <w:tab/>
        <w:t>PB L </w:t>
      </w:r>
      <w:r w:rsidRPr="001D3039">
        <w:t>2024</w:t>
      </w:r>
      <w:r w:rsidRPr="00AF241B">
        <w:t>/</w:t>
      </w:r>
      <w:r w:rsidRPr="001D3039">
        <w:t>765</w:t>
      </w:r>
      <w:r w:rsidRPr="00AF241B">
        <w:t xml:space="preserve">, </w:t>
      </w:r>
      <w:r w:rsidRPr="001D3039">
        <w:t>29</w:t>
      </w:r>
      <w:r w:rsidRPr="00AF241B">
        <w:t>.</w:t>
      </w:r>
      <w:r w:rsidRPr="001D3039">
        <w:t>2</w:t>
      </w:r>
      <w:r w:rsidRPr="00AF241B">
        <w:t>.</w:t>
      </w:r>
      <w:r w:rsidRPr="001D3039">
        <w:t>2024</w:t>
      </w:r>
      <w:r w:rsidRPr="00AF241B">
        <w:t>, blz. </w:t>
      </w:r>
      <w:r w:rsidRPr="001D3039">
        <w:t>4</w:t>
      </w:r>
      <w:r w:rsidRPr="00AF241B">
        <w:t>.</w:t>
      </w:r>
    </w:p>
  </w:footnote>
  <w:footnote w:id="38">
    <w:p w:rsidR="0097092E" w:rsidRPr="00AF241B" w:rsidRDefault="0097092E">
      <w:pPr>
        <w:pStyle w:val="FootnoteText"/>
      </w:pPr>
      <w:r>
        <w:rPr>
          <w:rStyle w:val="FootnoteReference"/>
        </w:rPr>
        <w:footnoteRef/>
      </w:r>
      <w:r w:rsidRPr="00AF241B">
        <w:tab/>
        <w:t>COM(</w:t>
      </w:r>
      <w:r w:rsidRPr="001D3039">
        <w:t>2024</w:t>
      </w:r>
      <w:r w:rsidRPr="00AF241B">
        <w:t>) </w:t>
      </w:r>
      <w:r w:rsidRPr="001D3039">
        <w:t>275</w:t>
      </w:r>
      <w:r w:rsidRPr="00AF241B">
        <w:t>.</w:t>
      </w:r>
    </w:p>
  </w:footnote>
  <w:footnote w:id="39">
    <w:p w:rsidR="003C1AC6" w:rsidRPr="00AF241B" w:rsidRDefault="003C1AC6">
      <w:pPr>
        <w:pStyle w:val="FootnoteText"/>
      </w:pPr>
      <w:r w:rsidRPr="00AF241B">
        <w:rPr>
          <w:rStyle w:val="FootnoteReference"/>
        </w:rPr>
        <w:t>*</w:t>
      </w:r>
      <w:r w:rsidRPr="00AF241B">
        <w:tab/>
      </w:r>
      <w:r w:rsidRPr="00AF241B">
        <w:rPr>
          <w:color w:val="FF0000"/>
        </w:rPr>
        <w:t>Datum door het Parlement in te vullen vóór de bekendmaking in het PB.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660" w:rsidRDefault="00D31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660" w:rsidRDefault="00D31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5869BF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2"/>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attachedTemplate r:id="rId1"/>
  <w:revisionView w:markup="0"/>
  <w:documentProtection w:edit="forms" w:enforcement="0"/>
  <w:defaultTabStop w:val="720"/>
  <w:hyphenationZone w:val="425"/>
  <w:characterSpacingControl w:val="doNotCompress"/>
  <w:hdrShapeDefaults>
    <o:shapedefaults v:ext="edit" spidmax="2051">
      <v:textbox inset="5.85pt,.7pt,5.85pt,.7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4-09-13 09:55:4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B4035C6-084E-4A63-B27A-59FCDAD74780"/>
    <w:docVar w:name="LW_COVERPAGE_TYPE" w:val="1"/>
    <w:docVar w:name="LW_CROSSREFERENCE" w:val="&lt;UNUSED&gt;"/>
    <w:docVar w:name="LW_DocType" w:val="COM"/>
    <w:docVar w:name="LW_EMISSION" w:val="16.9.2024"/>
    <w:docVar w:name="LW_EMISSION_ISODATE" w:val="2024-09-16"/>
    <w:docVar w:name="LW_EMISSION_LOCATION" w:val="BRX"/>
    <w:docVar w:name="LW_EMISSION_PREFIX" w:val="Brussel, "/>
    <w:docVar w:name="LW_EMISSION_SUFFIX" w:val=" "/>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BUD"/>
    <w:docVar w:name="LW_REF.II.NEW.CP_NUMBER" w:val="0226"/>
    <w:docVar w:name="LW_REF.II.NEW.CP_YEAR" w:val="2024"/>
    <w:docVar w:name="LW_REF.INST.NEW" w:val="COM"/>
    <w:docVar w:name="LW_REF.INST.NEW_ADOPTED" w:val="final"/>
    <w:docVar w:name="LW_REF.INST.NEW_TEXT" w:val="(2024) 27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betreffende de beschikbaarbestelling van middelen uit het Europees Fonds voor aanpassing aan de globalisering voor ontslagen werknemers naar aanleiding van aanvraag EGF/2024/001 BE/Match-Smatch van België"/>
    <w:docVar w:name="LW_TYPE.DOC.CP" w:val="BESLUIT VAN HET EUROPEES PARLEMENT EN DE RAAD"/>
    <w:docVar w:name="LwApiVersions" w:val="LW4CoDe 1.24.5.0; LW 9.0, Build 20240221"/>
  </w:docVars>
  <w:rsids>
    <w:rsidRoot w:val="00252AC6"/>
    <w:rsid w:val="000066CA"/>
    <w:rsid w:val="00006E8C"/>
    <w:rsid w:val="00011051"/>
    <w:rsid w:val="000171CA"/>
    <w:rsid w:val="00020052"/>
    <w:rsid w:val="00037F6F"/>
    <w:rsid w:val="000402F3"/>
    <w:rsid w:val="000438A8"/>
    <w:rsid w:val="000472AF"/>
    <w:rsid w:val="00047E45"/>
    <w:rsid w:val="000510EB"/>
    <w:rsid w:val="00056F4C"/>
    <w:rsid w:val="00057D89"/>
    <w:rsid w:val="00067B4B"/>
    <w:rsid w:val="000706E6"/>
    <w:rsid w:val="00070D05"/>
    <w:rsid w:val="00070E8E"/>
    <w:rsid w:val="00073C68"/>
    <w:rsid w:val="00077BDB"/>
    <w:rsid w:val="00082463"/>
    <w:rsid w:val="0008396E"/>
    <w:rsid w:val="000925F4"/>
    <w:rsid w:val="00096654"/>
    <w:rsid w:val="000A0F05"/>
    <w:rsid w:val="000B1EAF"/>
    <w:rsid w:val="000C63EB"/>
    <w:rsid w:val="000C64A4"/>
    <w:rsid w:val="000D005E"/>
    <w:rsid w:val="000D0C7F"/>
    <w:rsid w:val="000D1317"/>
    <w:rsid w:val="000D6FCB"/>
    <w:rsid w:val="000E061C"/>
    <w:rsid w:val="000E0876"/>
    <w:rsid w:val="000E461A"/>
    <w:rsid w:val="000E4A97"/>
    <w:rsid w:val="000F30C9"/>
    <w:rsid w:val="000F48B6"/>
    <w:rsid w:val="00102E2A"/>
    <w:rsid w:val="0010731B"/>
    <w:rsid w:val="00112EB5"/>
    <w:rsid w:val="00125A99"/>
    <w:rsid w:val="00126B44"/>
    <w:rsid w:val="00134EE6"/>
    <w:rsid w:val="00136567"/>
    <w:rsid w:val="001366C1"/>
    <w:rsid w:val="00142595"/>
    <w:rsid w:val="00145384"/>
    <w:rsid w:val="001509EF"/>
    <w:rsid w:val="001535C9"/>
    <w:rsid w:val="001812CD"/>
    <w:rsid w:val="00184282"/>
    <w:rsid w:val="0018741E"/>
    <w:rsid w:val="001921C1"/>
    <w:rsid w:val="00197482"/>
    <w:rsid w:val="001A25E0"/>
    <w:rsid w:val="001A56C5"/>
    <w:rsid w:val="001C7D02"/>
    <w:rsid w:val="001D3039"/>
    <w:rsid w:val="001D4700"/>
    <w:rsid w:val="001D5AB0"/>
    <w:rsid w:val="001E353B"/>
    <w:rsid w:val="001E3B29"/>
    <w:rsid w:val="001E7960"/>
    <w:rsid w:val="001F5323"/>
    <w:rsid w:val="002060F6"/>
    <w:rsid w:val="00224842"/>
    <w:rsid w:val="00252AC6"/>
    <w:rsid w:val="0026281E"/>
    <w:rsid w:val="002644F6"/>
    <w:rsid w:val="00266EF2"/>
    <w:rsid w:val="002703A8"/>
    <w:rsid w:val="00270F9D"/>
    <w:rsid w:val="00281459"/>
    <w:rsid w:val="00284DA4"/>
    <w:rsid w:val="00293EBE"/>
    <w:rsid w:val="00295349"/>
    <w:rsid w:val="00296C70"/>
    <w:rsid w:val="002A1B48"/>
    <w:rsid w:val="002A337D"/>
    <w:rsid w:val="002B481F"/>
    <w:rsid w:val="002B73EC"/>
    <w:rsid w:val="002C0C3E"/>
    <w:rsid w:val="002C51B9"/>
    <w:rsid w:val="002E17C8"/>
    <w:rsid w:val="002E476B"/>
    <w:rsid w:val="002F4D4D"/>
    <w:rsid w:val="002F548F"/>
    <w:rsid w:val="002F62E6"/>
    <w:rsid w:val="002F7B79"/>
    <w:rsid w:val="00301E61"/>
    <w:rsid w:val="00303932"/>
    <w:rsid w:val="00316F93"/>
    <w:rsid w:val="00332432"/>
    <w:rsid w:val="00335FD0"/>
    <w:rsid w:val="003459D6"/>
    <w:rsid w:val="00346336"/>
    <w:rsid w:val="00352527"/>
    <w:rsid w:val="0035345D"/>
    <w:rsid w:val="003607E2"/>
    <w:rsid w:val="00367496"/>
    <w:rsid w:val="00367994"/>
    <w:rsid w:val="00372E03"/>
    <w:rsid w:val="003736CE"/>
    <w:rsid w:val="0038363B"/>
    <w:rsid w:val="00384805"/>
    <w:rsid w:val="00384E9F"/>
    <w:rsid w:val="00385115"/>
    <w:rsid w:val="00386E78"/>
    <w:rsid w:val="0039039E"/>
    <w:rsid w:val="00394EE8"/>
    <w:rsid w:val="0039736A"/>
    <w:rsid w:val="003A6ABD"/>
    <w:rsid w:val="003C1AC6"/>
    <w:rsid w:val="003C2969"/>
    <w:rsid w:val="003C7EFC"/>
    <w:rsid w:val="003D0D69"/>
    <w:rsid w:val="003D4C12"/>
    <w:rsid w:val="003D6403"/>
    <w:rsid w:val="003E3994"/>
    <w:rsid w:val="003E4E03"/>
    <w:rsid w:val="003F1545"/>
    <w:rsid w:val="00400A1E"/>
    <w:rsid w:val="00413611"/>
    <w:rsid w:val="004219BC"/>
    <w:rsid w:val="00427205"/>
    <w:rsid w:val="00434B1C"/>
    <w:rsid w:val="00436F16"/>
    <w:rsid w:val="00440384"/>
    <w:rsid w:val="00441C9E"/>
    <w:rsid w:val="00451F84"/>
    <w:rsid w:val="00453094"/>
    <w:rsid w:val="004545BE"/>
    <w:rsid w:val="00454DE2"/>
    <w:rsid w:val="00456F51"/>
    <w:rsid w:val="00460CAB"/>
    <w:rsid w:val="00482329"/>
    <w:rsid w:val="004830C1"/>
    <w:rsid w:val="004861DA"/>
    <w:rsid w:val="004960B2"/>
    <w:rsid w:val="004A0D82"/>
    <w:rsid w:val="004B193D"/>
    <w:rsid w:val="004B2CF6"/>
    <w:rsid w:val="004B7137"/>
    <w:rsid w:val="004C0989"/>
    <w:rsid w:val="004D0CA9"/>
    <w:rsid w:val="004D4359"/>
    <w:rsid w:val="004D7E25"/>
    <w:rsid w:val="004E2487"/>
    <w:rsid w:val="004F07A5"/>
    <w:rsid w:val="004F5E0D"/>
    <w:rsid w:val="005013C0"/>
    <w:rsid w:val="00502763"/>
    <w:rsid w:val="00504633"/>
    <w:rsid w:val="00506C72"/>
    <w:rsid w:val="00510966"/>
    <w:rsid w:val="00511891"/>
    <w:rsid w:val="00511F57"/>
    <w:rsid w:val="00513C7E"/>
    <w:rsid w:val="00517C37"/>
    <w:rsid w:val="00532CC9"/>
    <w:rsid w:val="005361DC"/>
    <w:rsid w:val="005364ED"/>
    <w:rsid w:val="00537099"/>
    <w:rsid w:val="00537682"/>
    <w:rsid w:val="005438CD"/>
    <w:rsid w:val="0054531D"/>
    <w:rsid w:val="005508D4"/>
    <w:rsid w:val="005526C6"/>
    <w:rsid w:val="0055343F"/>
    <w:rsid w:val="0055545C"/>
    <w:rsid w:val="0056136C"/>
    <w:rsid w:val="00570056"/>
    <w:rsid w:val="00570E40"/>
    <w:rsid w:val="00571FD0"/>
    <w:rsid w:val="00582067"/>
    <w:rsid w:val="005874F7"/>
    <w:rsid w:val="005907AE"/>
    <w:rsid w:val="005917E9"/>
    <w:rsid w:val="00596F33"/>
    <w:rsid w:val="00597B96"/>
    <w:rsid w:val="005A1D43"/>
    <w:rsid w:val="005A5843"/>
    <w:rsid w:val="005A7BD5"/>
    <w:rsid w:val="005A7C9D"/>
    <w:rsid w:val="005C2354"/>
    <w:rsid w:val="005C2CA5"/>
    <w:rsid w:val="005C364A"/>
    <w:rsid w:val="005D57B7"/>
    <w:rsid w:val="005D7338"/>
    <w:rsid w:val="005D7EC5"/>
    <w:rsid w:val="005E1B21"/>
    <w:rsid w:val="005E38AF"/>
    <w:rsid w:val="005F0673"/>
    <w:rsid w:val="00601B62"/>
    <w:rsid w:val="00604BFF"/>
    <w:rsid w:val="00605110"/>
    <w:rsid w:val="00607321"/>
    <w:rsid w:val="00613A0B"/>
    <w:rsid w:val="006203F2"/>
    <w:rsid w:val="006271C7"/>
    <w:rsid w:val="0063277E"/>
    <w:rsid w:val="00640DB0"/>
    <w:rsid w:val="00675985"/>
    <w:rsid w:val="00676AC9"/>
    <w:rsid w:val="00683D73"/>
    <w:rsid w:val="006845C3"/>
    <w:rsid w:val="006A49CB"/>
    <w:rsid w:val="006B3709"/>
    <w:rsid w:val="006C2060"/>
    <w:rsid w:val="006D0A1A"/>
    <w:rsid w:val="006E0ACC"/>
    <w:rsid w:val="006E2FBA"/>
    <w:rsid w:val="006E793E"/>
    <w:rsid w:val="006F2B86"/>
    <w:rsid w:val="006F75D8"/>
    <w:rsid w:val="007039B7"/>
    <w:rsid w:val="00703A76"/>
    <w:rsid w:val="0071093F"/>
    <w:rsid w:val="00710AB0"/>
    <w:rsid w:val="007152E9"/>
    <w:rsid w:val="00715F80"/>
    <w:rsid w:val="00717407"/>
    <w:rsid w:val="00717FE5"/>
    <w:rsid w:val="007244BC"/>
    <w:rsid w:val="00727100"/>
    <w:rsid w:val="00730D6A"/>
    <w:rsid w:val="00733000"/>
    <w:rsid w:val="0074376F"/>
    <w:rsid w:val="00744A06"/>
    <w:rsid w:val="0075392B"/>
    <w:rsid w:val="00754065"/>
    <w:rsid w:val="00754075"/>
    <w:rsid w:val="00754B53"/>
    <w:rsid w:val="00755E62"/>
    <w:rsid w:val="007716D4"/>
    <w:rsid w:val="0077197F"/>
    <w:rsid w:val="00771E89"/>
    <w:rsid w:val="00772C02"/>
    <w:rsid w:val="00774F5C"/>
    <w:rsid w:val="00775C7F"/>
    <w:rsid w:val="00780384"/>
    <w:rsid w:val="0078515E"/>
    <w:rsid w:val="007923A7"/>
    <w:rsid w:val="0079619E"/>
    <w:rsid w:val="007B3192"/>
    <w:rsid w:val="007C346E"/>
    <w:rsid w:val="007C4649"/>
    <w:rsid w:val="007D0A0E"/>
    <w:rsid w:val="007D178B"/>
    <w:rsid w:val="007D38CD"/>
    <w:rsid w:val="007E107D"/>
    <w:rsid w:val="007E5A41"/>
    <w:rsid w:val="007E5A76"/>
    <w:rsid w:val="007F177C"/>
    <w:rsid w:val="007F3271"/>
    <w:rsid w:val="007F59AB"/>
    <w:rsid w:val="00800AF6"/>
    <w:rsid w:val="00805CF8"/>
    <w:rsid w:val="00812C24"/>
    <w:rsid w:val="00820AD0"/>
    <w:rsid w:val="008238DD"/>
    <w:rsid w:val="00824671"/>
    <w:rsid w:val="008260B7"/>
    <w:rsid w:val="00827942"/>
    <w:rsid w:val="00830AA3"/>
    <w:rsid w:val="008516EA"/>
    <w:rsid w:val="00856A5A"/>
    <w:rsid w:val="0085780D"/>
    <w:rsid w:val="008672FE"/>
    <w:rsid w:val="008675A2"/>
    <w:rsid w:val="00872D5A"/>
    <w:rsid w:val="00877878"/>
    <w:rsid w:val="00886F23"/>
    <w:rsid w:val="008960FA"/>
    <w:rsid w:val="0089670E"/>
    <w:rsid w:val="008A0068"/>
    <w:rsid w:val="008A7BAA"/>
    <w:rsid w:val="008B5BC0"/>
    <w:rsid w:val="008C3DFF"/>
    <w:rsid w:val="008D41C8"/>
    <w:rsid w:val="008E40F9"/>
    <w:rsid w:val="008E4808"/>
    <w:rsid w:val="008E5881"/>
    <w:rsid w:val="008E5E59"/>
    <w:rsid w:val="008E6F7B"/>
    <w:rsid w:val="008F0E6D"/>
    <w:rsid w:val="009039A4"/>
    <w:rsid w:val="009139A7"/>
    <w:rsid w:val="00923CDE"/>
    <w:rsid w:val="00930A7F"/>
    <w:rsid w:val="00930B53"/>
    <w:rsid w:val="009339C7"/>
    <w:rsid w:val="00934FF5"/>
    <w:rsid w:val="00942E1E"/>
    <w:rsid w:val="00953263"/>
    <w:rsid w:val="00954359"/>
    <w:rsid w:val="00956F9D"/>
    <w:rsid w:val="009610D2"/>
    <w:rsid w:val="0096450A"/>
    <w:rsid w:val="0097092E"/>
    <w:rsid w:val="00973290"/>
    <w:rsid w:val="00973296"/>
    <w:rsid w:val="009733A7"/>
    <w:rsid w:val="00973FFF"/>
    <w:rsid w:val="00982C7F"/>
    <w:rsid w:val="00983904"/>
    <w:rsid w:val="0098522C"/>
    <w:rsid w:val="00990036"/>
    <w:rsid w:val="009931C9"/>
    <w:rsid w:val="009961C7"/>
    <w:rsid w:val="00997428"/>
    <w:rsid w:val="009C5E9F"/>
    <w:rsid w:val="009D0554"/>
    <w:rsid w:val="009D6A3D"/>
    <w:rsid w:val="009F3686"/>
    <w:rsid w:val="009F55D5"/>
    <w:rsid w:val="00A0108B"/>
    <w:rsid w:val="00A115E6"/>
    <w:rsid w:val="00A164F2"/>
    <w:rsid w:val="00A31F0E"/>
    <w:rsid w:val="00A43A82"/>
    <w:rsid w:val="00A515C9"/>
    <w:rsid w:val="00A54DB0"/>
    <w:rsid w:val="00A555F7"/>
    <w:rsid w:val="00A56F9D"/>
    <w:rsid w:val="00A60360"/>
    <w:rsid w:val="00A77488"/>
    <w:rsid w:val="00A77E9F"/>
    <w:rsid w:val="00A82F6E"/>
    <w:rsid w:val="00A91556"/>
    <w:rsid w:val="00A96B55"/>
    <w:rsid w:val="00A96CA6"/>
    <w:rsid w:val="00AA44A5"/>
    <w:rsid w:val="00AA6AA1"/>
    <w:rsid w:val="00AB691F"/>
    <w:rsid w:val="00AC0761"/>
    <w:rsid w:val="00AD120E"/>
    <w:rsid w:val="00AD571F"/>
    <w:rsid w:val="00AE1620"/>
    <w:rsid w:val="00AE76F3"/>
    <w:rsid w:val="00AF17EF"/>
    <w:rsid w:val="00AF241B"/>
    <w:rsid w:val="00AF3638"/>
    <w:rsid w:val="00B0059D"/>
    <w:rsid w:val="00B01214"/>
    <w:rsid w:val="00B05929"/>
    <w:rsid w:val="00B10386"/>
    <w:rsid w:val="00B108EF"/>
    <w:rsid w:val="00B179E6"/>
    <w:rsid w:val="00B24BEA"/>
    <w:rsid w:val="00B2710F"/>
    <w:rsid w:val="00B43DF2"/>
    <w:rsid w:val="00B46294"/>
    <w:rsid w:val="00B50955"/>
    <w:rsid w:val="00B5183B"/>
    <w:rsid w:val="00B57C41"/>
    <w:rsid w:val="00B619F9"/>
    <w:rsid w:val="00B62966"/>
    <w:rsid w:val="00B63126"/>
    <w:rsid w:val="00B64D66"/>
    <w:rsid w:val="00B6657B"/>
    <w:rsid w:val="00B70829"/>
    <w:rsid w:val="00B80404"/>
    <w:rsid w:val="00BA0D4D"/>
    <w:rsid w:val="00BB0126"/>
    <w:rsid w:val="00BB0146"/>
    <w:rsid w:val="00BB344B"/>
    <w:rsid w:val="00BB3AEC"/>
    <w:rsid w:val="00BB42D9"/>
    <w:rsid w:val="00BC55F7"/>
    <w:rsid w:val="00BC65F3"/>
    <w:rsid w:val="00BC692C"/>
    <w:rsid w:val="00BD1C02"/>
    <w:rsid w:val="00BD3524"/>
    <w:rsid w:val="00BD3840"/>
    <w:rsid w:val="00BE3A22"/>
    <w:rsid w:val="00C10A0D"/>
    <w:rsid w:val="00C267A9"/>
    <w:rsid w:val="00C26BAF"/>
    <w:rsid w:val="00C36E0D"/>
    <w:rsid w:val="00C370E1"/>
    <w:rsid w:val="00C3711A"/>
    <w:rsid w:val="00C438CA"/>
    <w:rsid w:val="00C4651E"/>
    <w:rsid w:val="00C5278F"/>
    <w:rsid w:val="00C57490"/>
    <w:rsid w:val="00C64C62"/>
    <w:rsid w:val="00C65AB3"/>
    <w:rsid w:val="00C71DD8"/>
    <w:rsid w:val="00C73327"/>
    <w:rsid w:val="00C812FC"/>
    <w:rsid w:val="00C8476A"/>
    <w:rsid w:val="00C861EB"/>
    <w:rsid w:val="00C87F01"/>
    <w:rsid w:val="00C92759"/>
    <w:rsid w:val="00C94123"/>
    <w:rsid w:val="00C946EF"/>
    <w:rsid w:val="00C96520"/>
    <w:rsid w:val="00CB0C8E"/>
    <w:rsid w:val="00CB32BA"/>
    <w:rsid w:val="00CB6793"/>
    <w:rsid w:val="00CC2F97"/>
    <w:rsid w:val="00CC3C30"/>
    <w:rsid w:val="00CC51E3"/>
    <w:rsid w:val="00CD0B29"/>
    <w:rsid w:val="00CD31A0"/>
    <w:rsid w:val="00CD4A4E"/>
    <w:rsid w:val="00CD70EB"/>
    <w:rsid w:val="00CE0AF0"/>
    <w:rsid w:val="00CE3812"/>
    <w:rsid w:val="00CF531A"/>
    <w:rsid w:val="00D11675"/>
    <w:rsid w:val="00D16908"/>
    <w:rsid w:val="00D25069"/>
    <w:rsid w:val="00D31660"/>
    <w:rsid w:val="00D36723"/>
    <w:rsid w:val="00D40096"/>
    <w:rsid w:val="00D5559A"/>
    <w:rsid w:val="00D71B77"/>
    <w:rsid w:val="00D820BE"/>
    <w:rsid w:val="00DA00E3"/>
    <w:rsid w:val="00DA0A24"/>
    <w:rsid w:val="00DA60DC"/>
    <w:rsid w:val="00DA7448"/>
    <w:rsid w:val="00DA785C"/>
    <w:rsid w:val="00DB39B6"/>
    <w:rsid w:val="00DD48D0"/>
    <w:rsid w:val="00DD649B"/>
    <w:rsid w:val="00DD6FC2"/>
    <w:rsid w:val="00DD74C7"/>
    <w:rsid w:val="00DE50E5"/>
    <w:rsid w:val="00DE64A3"/>
    <w:rsid w:val="00DE7FEE"/>
    <w:rsid w:val="00DF1957"/>
    <w:rsid w:val="00DF5AEA"/>
    <w:rsid w:val="00E061EC"/>
    <w:rsid w:val="00E1167F"/>
    <w:rsid w:val="00E11EAC"/>
    <w:rsid w:val="00E15271"/>
    <w:rsid w:val="00E15E2B"/>
    <w:rsid w:val="00E1631F"/>
    <w:rsid w:val="00E1756A"/>
    <w:rsid w:val="00E2235E"/>
    <w:rsid w:val="00E23A5E"/>
    <w:rsid w:val="00E26B35"/>
    <w:rsid w:val="00E4612E"/>
    <w:rsid w:val="00E53238"/>
    <w:rsid w:val="00E5392B"/>
    <w:rsid w:val="00E544E0"/>
    <w:rsid w:val="00E57CEF"/>
    <w:rsid w:val="00E673B1"/>
    <w:rsid w:val="00E76684"/>
    <w:rsid w:val="00E84E70"/>
    <w:rsid w:val="00E94A94"/>
    <w:rsid w:val="00E9660F"/>
    <w:rsid w:val="00EB3A3D"/>
    <w:rsid w:val="00EB3D4D"/>
    <w:rsid w:val="00EB5D85"/>
    <w:rsid w:val="00EC0C69"/>
    <w:rsid w:val="00ED4A3A"/>
    <w:rsid w:val="00EE4DD7"/>
    <w:rsid w:val="00EF114C"/>
    <w:rsid w:val="00EF380A"/>
    <w:rsid w:val="00EF6AF1"/>
    <w:rsid w:val="00F05548"/>
    <w:rsid w:val="00F060F9"/>
    <w:rsid w:val="00F10C20"/>
    <w:rsid w:val="00F241B3"/>
    <w:rsid w:val="00F24B47"/>
    <w:rsid w:val="00F25F8C"/>
    <w:rsid w:val="00F33B6E"/>
    <w:rsid w:val="00F43B03"/>
    <w:rsid w:val="00F46043"/>
    <w:rsid w:val="00F51BCD"/>
    <w:rsid w:val="00F5313C"/>
    <w:rsid w:val="00F74109"/>
    <w:rsid w:val="00F767E9"/>
    <w:rsid w:val="00F8118B"/>
    <w:rsid w:val="00F86C51"/>
    <w:rsid w:val="00F86F37"/>
    <w:rsid w:val="00F93AC5"/>
    <w:rsid w:val="00F93C61"/>
    <w:rsid w:val="00FA0572"/>
    <w:rsid w:val="00FA0755"/>
    <w:rsid w:val="00FA2F02"/>
    <w:rsid w:val="00FB3635"/>
    <w:rsid w:val="00FB3A8B"/>
    <w:rsid w:val="00FC076B"/>
    <w:rsid w:val="00FD3647"/>
    <w:rsid w:val="00FD46CB"/>
    <w:rsid w:val="00FE426A"/>
    <w:rsid w:val="00FE5B5E"/>
    <w:rsid w:val="00FF3C47"/>
    <w:rsid w:val="00FF55F7"/>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5:docId w15:val="{FD28939C-0469-4D8F-BD77-41492AA6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252AC6"/>
    <w:pPr>
      <w:numPr>
        <w:numId w:val="1"/>
      </w:numPr>
      <w:contextualSpacing/>
    </w:pPr>
  </w:style>
  <w:style w:type="paragraph" w:styleId="ListBullet2">
    <w:name w:val="List Bullet 2"/>
    <w:basedOn w:val="Normal"/>
    <w:uiPriority w:val="99"/>
    <w:semiHidden/>
    <w:unhideWhenUsed/>
    <w:rsid w:val="00252AC6"/>
    <w:pPr>
      <w:numPr>
        <w:numId w:val="2"/>
      </w:numPr>
      <w:contextualSpacing/>
    </w:pPr>
  </w:style>
  <w:style w:type="paragraph" w:styleId="ListBullet3">
    <w:name w:val="List Bullet 3"/>
    <w:basedOn w:val="Normal"/>
    <w:uiPriority w:val="99"/>
    <w:semiHidden/>
    <w:unhideWhenUsed/>
    <w:rsid w:val="00252AC6"/>
    <w:pPr>
      <w:numPr>
        <w:numId w:val="3"/>
      </w:numPr>
      <w:contextualSpacing/>
    </w:pPr>
  </w:style>
  <w:style w:type="paragraph" w:styleId="ListBullet4">
    <w:name w:val="List Bullet 4"/>
    <w:basedOn w:val="Normal"/>
    <w:uiPriority w:val="99"/>
    <w:semiHidden/>
    <w:unhideWhenUsed/>
    <w:rsid w:val="00252AC6"/>
    <w:pPr>
      <w:numPr>
        <w:numId w:val="4"/>
      </w:numPr>
      <w:contextualSpacing/>
    </w:pPr>
  </w:style>
  <w:style w:type="paragraph" w:styleId="BalloonText">
    <w:name w:val="Balloon Text"/>
    <w:basedOn w:val="Normal"/>
    <w:link w:val="BalloonTextChar"/>
    <w:uiPriority w:val="99"/>
    <w:semiHidden/>
    <w:unhideWhenUsed/>
    <w:rsid w:val="00252AC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AC6"/>
    <w:rPr>
      <w:rFonts w:ascii="Tahoma" w:hAnsi="Tahoma" w:cs="Tahoma"/>
      <w:sz w:val="16"/>
      <w:szCs w:val="16"/>
      <w:lang w:val="nl-NL"/>
    </w:rPr>
  </w:style>
  <w:style w:type="character" w:styleId="CommentReference">
    <w:name w:val="annotation reference"/>
    <w:basedOn w:val="DefaultParagraphFont"/>
    <w:uiPriority w:val="99"/>
    <w:semiHidden/>
    <w:unhideWhenUsed/>
    <w:rsid w:val="00252AC6"/>
    <w:rPr>
      <w:sz w:val="16"/>
      <w:szCs w:val="16"/>
    </w:rPr>
  </w:style>
  <w:style w:type="paragraph" w:styleId="CommentText">
    <w:name w:val="annotation text"/>
    <w:basedOn w:val="Normal"/>
    <w:link w:val="CommentTextChar"/>
    <w:uiPriority w:val="99"/>
    <w:unhideWhenUsed/>
    <w:rsid w:val="00252AC6"/>
    <w:rPr>
      <w:sz w:val="20"/>
      <w:szCs w:val="20"/>
    </w:rPr>
  </w:style>
  <w:style w:type="character" w:customStyle="1" w:styleId="CommentTextChar">
    <w:name w:val="Comment Text Char"/>
    <w:basedOn w:val="DefaultParagraphFont"/>
    <w:link w:val="CommentText"/>
    <w:uiPriority w:val="99"/>
    <w:rsid w:val="00252AC6"/>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252AC6"/>
    <w:rPr>
      <w:b/>
      <w:bCs/>
    </w:rPr>
  </w:style>
  <w:style w:type="character" w:customStyle="1" w:styleId="CommentSubjectChar">
    <w:name w:val="Comment Subject Char"/>
    <w:basedOn w:val="CommentTextChar"/>
    <w:link w:val="CommentSubject"/>
    <w:uiPriority w:val="99"/>
    <w:semiHidden/>
    <w:rsid w:val="00252AC6"/>
    <w:rPr>
      <w:rFonts w:ascii="Times New Roman" w:hAnsi="Times New Roman" w:cs="Times New Roman"/>
      <w:b/>
      <w:bCs/>
      <w:sz w:val="20"/>
      <w:szCs w:val="20"/>
      <w:lang w:val="nl-NL"/>
    </w:rPr>
  </w:style>
  <w:style w:type="paragraph" w:styleId="Revision">
    <w:name w:val="Revision"/>
    <w:hidden/>
    <w:uiPriority w:val="99"/>
    <w:semiHidden/>
    <w:rsid w:val="00252AC6"/>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252AC6"/>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252AC6"/>
    <w:pPr>
      <w:spacing w:after="0"/>
    </w:pPr>
  </w:style>
  <w:style w:type="paragraph" w:styleId="ListNumber">
    <w:name w:val="List Number"/>
    <w:basedOn w:val="Normal"/>
    <w:uiPriority w:val="99"/>
    <w:semiHidden/>
    <w:unhideWhenUsed/>
    <w:rsid w:val="00252AC6"/>
    <w:pPr>
      <w:numPr>
        <w:numId w:val="7"/>
      </w:numPr>
      <w:contextualSpacing/>
    </w:pPr>
  </w:style>
  <w:style w:type="paragraph" w:styleId="ListNumber2">
    <w:name w:val="List Number 2"/>
    <w:basedOn w:val="Normal"/>
    <w:uiPriority w:val="99"/>
    <w:semiHidden/>
    <w:unhideWhenUsed/>
    <w:rsid w:val="00252AC6"/>
    <w:pPr>
      <w:numPr>
        <w:numId w:val="8"/>
      </w:numPr>
      <w:contextualSpacing/>
    </w:pPr>
  </w:style>
  <w:style w:type="paragraph" w:styleId="ListNumber3">
    <w:name w:val="List Number 3"/>
    <w:basedOn w:val="Normal"/>
    <w:uiPriority w:val="99"/>
    <w:semiHidden/>
    <w:unhideWhenUsed/>
    <w:rsid w:val="00252AC6"/>
    <w:pPr>
      <w:numPr>
        <w:numId w:val="9"/>
      </w:numPr>
      <w:contextualSpacing/>
    </w:pPr>
  </w:style>
  <w:style w:type="paragraph" w:styleId="ListNumber4">
    <w:name w:val="List Number 4"/>
    <w:basedOn w:val="Normal"/>
    <w:uiPriority w:val="99"/>
    <w:semiHidden/>
    <w:unhideWhenUsed/>
    <w:rsid w:val="00252AC6"/>
    <w:pPr>
      <w:numPr>
        <w:numId w:val="10"/>
      </w:numPr>
      <w:contextualSpacing/>
    </w:pPr>
  </w:style>
  <w:style w:type="character" w:styleId="Hyperlink">
    <w:name w:val="Hyperlink"/>
    <w:basedOn w:val="DefaultParagraphFont"/>
    <w:uiPriority w:val="99"/>
    <w:unhideWhenUsed/>
    <w:rsid w:val="00252AC6"/>
    <w:rPr>
      <w:color w:val="0000FF" w:themeColor="hyperlink"/>
      <w:u w:val="single"/>
    </w:rPr>
  </w:style>
  <w:style w:type="paragraph" w:customStyle="1" w:styleId="Sous-titreobjet">
    <w:name w:val="Sous-titre objet"/>
    <w:basedOn w:val="Normal"/>
    <w:rsid w:val="00252AC6"/>
    <w:pPr>
      <w:spacing w:before="0" w:after="0"/>
      <w:jc w:val="center"/>
    </w:pPr>
    <w:rPr>
      <w:b/>
    </w:rPr>
  </w:style>
  <w:style w:type="paragraph" w:customStyle="1" w:styleId="Sous-titreobjetPagedecouverture">
    <w:name w:val="Sous-titre objet (Page de couverture)"/>
    <w:basedOn w:val="Sous-titreobjet"/>
    <w:rsid w:val="00252AC6"/>
  </w:style>
  <w:style w:type="character" w:customStyle="1" w:styleId="viiyi">
    <w:name w:val="viiyi"/>
    <w:basedOn w:val="DefaultParagraphFont"/>
    <w:rsid w:val="00772C02"/>
  </w:style>
  <w:style w:type="character" w:customStyle="1" w:styleId="jlqj4b">
    <w:name w:val="jlqj4b"/>
    <w:basedOn w:val="DefaultParagraphFont"/>
    <w:rsid w:val="00772C02"/>
  </w:style>
  <w:style w:type="paragraph" w:styleId="ListParagraph">
    <w:name w:val="List Paragraph"/>
    <w:basedOn w:val="Normal"/>
    <w:uiPriority w:val="34"/>
    <w:qFormat/>
    <w:rsid w:val="004219BC"/>
    <w:pPr>
      <w:spacing w:before="0" w:after="0"/>
      <w:ind w:left="720"/>
      <w:jc w:val="left"/>
    </w:pPr>
    <w:rPr>
      <w:rFonts w:ascii="Calibri" w:hAnsi="Calibri" w:cs="Calibri"/>
      <w:sz w:val="22"/>
    </w:rPr>
  </w:style>
  <w:style w:type="character" w:customStyle="1" w:styleId="rynqvb">
    <w:name w:val="rynqvb"/>
    <w:basedOn w:val="DefaultParagraphFont"/>
    <w:rsid w:val="00F25F8C"/>
  </w:style>
  <w:style w:type="character" w:styleId="FollowedHyperlink">
    <w:name w:val="FollowedHyperlink"/>
    <w:basedOn w:val="DefaultParagraphFont"/>
    <w:uiPriority w:val="99"/>
    <w:semiHidden/>
    <w:unhideWhenUsed/>
    <w:rsid w:val="00D40096"/>
    <w:rPr>
      <w:color w:val="800080" w:themeColor="followedHyperlink"/>
      <w:u w:val="single"/>
    </w:rPr>
  </w:style>
  <w:style w:type="character" w:customStyle="1" w:styleId="UnresolvedMention">
    <w:name w:val="Unresolved Mention"/>
    <w:basedOn w:val="DefaultParagraphFont"/>
    <w:uiPriority w:val="99"/>
    <w:semiHidden/>
    <w:unhideWhenUsed/>
    <w:rsid w:val="00D25069"/>
    <w:rPr>
      <w:color w:val="605E5C"/>
      <w:shd w:val="clear" w:color="auto" w:fill="E1DFDD"/>
    </w:rPr>
  </w:style>
  <w:style w:type="character" w:customStyle="1" w:styleId="hwtze">
    <w:name w:val="hwtze"/>
    <w:basedOn w:val="DefaultParagraphFont"/>
    <w:rsid w:val="00607321"/>
  </w:style>
  <w:style w:type="character" w:customStyle="1" w:styleId="HeaderChar">
    <w:name w:val="Header Char"/>
    <w:basedOn w:val="DefaultParagraphFont"/>
    <w:link w:val="Header"/>
    <w:uiPriority w:val="99"/>
    <w:rsid w:val="00D31660"/>
    <w:rPr>
      <w:rFonts w:ascii="Times New Roman" w:hAnsi="Times New Roman" w:cs="Times New Roman"/>
      <w:sz w:val="24"/>
      <w:lang w:val="nl-NL"/>
    </w:rPr>
  </w:style>
  <w:style w:type="character" w:customStyle="1" w:styleId="FooterChar">
    <w:name w:val="Footer Char"/>
    <w:basedOn w:val="DefaultParagraphFont"/>
    <w:link w:val="Footer"/>
    <w:uiPriority w:val="99"/>
    <w:rsid w:val="00D31660"/>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3166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31660"/>
    <w:pPr>
      <w:spacing w:before="0"/>
      <w:jc w:val="right"/>
    </w:pPr>
    <w:rPr>
      <w:sz w:val="28"/>
    </w:rPr>
  </w:style>
  <w:style w:type="paragraph" w:customStyle="1" w:styleId="FooterSensitivity">
    <w:name w:val="Footer Sensitivity"/>
    <w:basedOn w:val="Normal"/>
    <w:rsid w:val="00D3166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31660"/>
    <w:pPr>
      <w:tabs>
        <w:tab w:val="center" w:pos="4535"/>
        <w:tab w:val="right" w:pos="9071"/>
      </w:tabs>
      <w:spacing w:before="0"/>
    </w:pPr>
  </w:style>
  <w:style w:type="paragraph" w:customStyle="1" w:styleId="HeaderLandscape">
    <w:name w:val="HeaderLandscape"/>
    <w:basedOn w:val="Normal"/>
    <w:rsid w:val="00D31660"/>
    <w:pPr>
      <w:tabs>
        <w:tab w:val="center" w:pos="7285"/>
        <w:tab w:val="right" w:pos="14003"/>
      </w:tabs>
      <w:spacing w:before="0"/>
    </w:pPr>
  </w:style>
  <w:style w:type="paragraph" w:styleId="Footer">
    <w:name w:val="footer"/>
    <w:basedOn w:val="Normal"/>
    <w:link w:val="FooterChar"/>
    <w:uiPriority w:val="99"/>
    <w:unhideWhenUsed/>
    <w:rsid w:val="00D3166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3166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526">
      <w:bodyDiv w:val="1"/>
      <w:marLeft w:val="0"/>
      <w:marRight w:val="0"/>
      <w:marTop w:val="0"/>
      <w:marBottom w:val="0"/>
      <w:divBdr>
        <w:top w:val="none" w:sz="0" w:space="0" w:color="auto"/>
        <w:left w:val="none" w:sz="0" w:space="0" w:color="auto"/>
        <w:bottom w:val="none" w:sz="0" w:space="0" w:color="auto"/>
        <w:right w:val="none" w:sz="0" w:space="0" w:color="auto"/>
      </w:divBdr>
    </w:div>
    <w:div w:id="9895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statbel.fgov.be/nl/themas/werk-opleiding/arbeidsmarkt/werkgelegenheid-en-werkloosheid" TargetMode="External"/><Relationship Id="rId13" Type="http://schemas.openxmlformats.org/officeDocument/2006/relationships/hyperlink" Target="https://www.leforem.be/a-propos/reconversions-collectives.html" TargetMode="External"/><Relationship Id="rId18" Type="http://schemas.openxmlformats.org/officeDocument/2006/relationships/hyperlink" Target="https://www.leforem.be/a-propos/reconversions-collectives.html" TargetMode="External"/><Relationship Id="rId3" Type="http://schemas.openxmlformats.org/officeDocument/2006/relationships/hyperlink" Target="https://statbel.fgov.be/nl/themas/werk-opleiding/arbeidsmarkt/werkgelegenheid-en-werkloosheid" TargetMode="External"/><Relationship Id="rId7" Type="http://schemas.openxmlformats.org/officeDocument/2006/relationships/hyperlink" Target="https://statbel.fgov.be/nl/themas/werk-opleiding/arbeidsmarkt/werkgelegenheid-en-werkloosheid" TargetMode="External"/><Relationship Id="rId12" Type="http://schemas.openxmlformats.org/officeDocument/2006/relationships/hyperlink" Target="https://eur-lex.europa.eu/legal-content/NL/TXT/?uri=celex%3A52013DC0882" TargetMode="External"/><Relationship Id="rId17" Type="http://schemas.openxmlformats.org/officeDocument/2006/relationships/hyperlink" Target="https://www.leforem.be/a-propos/reconversions-collectives.html" TargetMode="External"/><Relationship Id="rId2" Type="http://schemas.openxmlformats.org/officeDocument/2006/relationships/hyperlink" Target="https://statbel.fgov.be/nl/themas/werk-opleiding/arbeidsmarkt/werkgelegenheid-en-werkloosheid" TargetMode="External"/><Relationship Id="rId16" Type="http://schemas.openxmlformats.org/officeDocument/2006/relationships/hyperlink" Target="https://www.leforem.be/a-propos/reconversions-collectives.html" TargetMode="External"/><Relationship Id="rId1" Type="http://schemas.openxmlformats.org/officeDocument/2006/relationships/hyperlink" Target="https://memorandum.comeos.be/" TargetMode="External"/><Relationship Id="rId6" Type="http://schemas.openxmlformats.org/officeDocument/2006/relationships/hyperlink" Target="https://ec.europa.eu/eurostat/statistics-explained/index.php?title=EU_labour_market_-_quarterly_statistics" TargetMode="External"/><Relationship Id="rId11" Type="http://schemas.openxmlformats.org/officeDocument/2006/relationships/hyperlink" Target="https://statbel.fgov.be/nl/themas/werk-opleiding/arbeidsmarkt/werkgelegenheid-en-werkloosheid" TargetMode="External"/><Relationship Id="rId5" Type="http://schemas.openxmlformats.org/officeDocument/2006/relationships/hyperlink" Target="https://statbel.fgov.be/nl/themas/werk-opleiding/arbeidsmarkt/werkgelegenheid-en-werkloosheid" TargetMode="External"/><Relationship Id="rId15" Type="http://schemas.openxmlformats.org/officeDocument/2006/relationships/hyperlink" Target="https://www.leforem.be/a-propos/reconversions-collectives.html" TargetMode="External"/><Relationship Id="rId10" Type="http://schemas.openxmlformats.org/officeDocument/2006/relationships/hyperlink" Target="https://statbel.fgov.be/nl/themas/werk-opleiding/arbeidsmarkt/werkgelegenheid-en-werkloosheid" TargetMode="External"/><Relationship Id="rId4" Type="http://schemas.openxmlformats.org/officeDocument/2006/relationships/hyperlink" Target="https://statbel.fgov.be/nl/themas/werk-opleiding/arbeidsmarkt/werkgelegenheid-en-werkloosheid" TargetMode="External"/><Relationship Id="rId9" Type="http://schemas.openxmlformats.org/officeDocument/2006/relationships/hyperlink" Target="https://statbel.fgov.be/nl/themas/werk-opleiding/arbeidsmarkt/werkgelegenheid-en-werkloosheid" TargetMode="External"/><Relationship Id="rId14" Type="http://schemas.openxmlformats.org/officeDocument/2006/relationships/hyperlink" Target="https://www.leforem.be/a-propos/reconversions-collectiv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00471E0E84FDE40A394C615C9CF850C" ma:contentTypeVersion="0" ma:contentTypeDescription="Create a new document in this library." ma:contentTypeScope="" ma:versionID="ec3f874474660a385341d0a3ef868793">
  <xsd:schema xmlns:xsd="http://www.w3.org/2001/XMLSchema" xmlns:xs="http://www.w3.org/2001/XMLSchema" xmlns:p="http://schemas.microsoft.com/office/2006/metadata/properties" xmlns:ns2="http://schemas.microsoft.com/sharepoint/v3/fields" xmlns:ns3="e8bbf505-73b7-42a7-9437-c7a2be47f6a1" targetNamespace="http://schemas.microsoft.com/office/2006/metadata/properties" ma:root="true" ma:fieldsID="8000eaa638cf87e4708861a8efc484ca" ns2:_="" ns3:_="">
    <xsd:import namespace="http://schemas.microsoft.com/sharepoint/v3/fields"/>
    <xsd:import namespace="e8bbf505-73b7-42a7-9437-c7a2be47f6a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8bbf505-73b7-42a7-9437-c7a2be47f6a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e8bbf505-73b7-42a7-9437-c7a2be47f6a1">EN</EC_Collab_DocumentLanguage>
    <EC_Collab_Status xmlns="e8bbf505-73b7-42a7-9437-c7a2be47f6a1">Not Started</EC_Collab_Status>
    <EC_Collab_Reference xmlns="e8bbf505-73b7-42a7-9437-c7a2be47f6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D2B8F-D28B-4626-BAEF-C96BF6AF8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8bbf505-73b7-42a7-9437-c7a2be47f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31063-5954-4263-BE23-3059D35B0A13}">
  <ds:schemaRefs>
    <ds:schemaRef ds:uri="http://schemas.microsoft.com/sharepoint/v3/contenttype/forms"/>
  </ds:schemaRefs>
</ds:datastoreItem>
</file>

<file path=customXml/itemProps3.xml><?xml version="1.0" encoding="utf-8"?>
<ds:datastoreItem xmlns:ds="http://schemas.openxmlformats.org/officeDocument/2006/customXml" ds:itemID="{2F019991-B6ED-45CD-B1F2-4B56ACA9E571}">
  <ds:schemaRefs>
    <ds:schemaRef ds:uri="http://schemas.microsoft.com/office/2006/metadata/properties"/>
    <ds:schemaRef ds:uri="http://schemas.microsoft.com/office/infopath/2007/PartnerControls"/>
    <ds:schemaRef ds:uri="http://schemas.microsoft.com/sharepoint/v3/fields"/>
    <ds:schemaRef ds:uri="e8bbf505-73b7-42a7-9437-c7a2be47f6a1"/>
  </ds:schemaRefs>
</ds:datastoreItem>
</file>

<file path=customXml/itemProps4.xml><?xml version="1.0" encoding="utf-8"?>
<ds:datastoreItem xmlns:ds="http://schemas.openxmlformats.org/officeDocument/2006/customXml" ds:itemID="{95ACC9C5-D4BA-4620-9A94-F79324DD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38</TotalTime>
  <Pages>13</Pages>
  <Words>4492</Words>
  <Characters>25607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33</cp:revision>
  <dcterms:created xsi:type="dcterms:W3CDTF">2024-08-18T16:13:00Z</dcterms:created>
  <dcterms:modified xsi:type="dcterms:W3CDTF">2024-09-13T07:55:00Z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9.0, Build 20230317</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ContentTypeId">
    <vt:lpwstr>0x010100258AA79CEB83498886A3A0868112325000100471E0E84FDE40A394C615C9CF850C</vt:lpwstr>
  </property>
  <property fmtid="{D5CDD505-2E9C-101B-9397-08002B2CF9AE}" pid="11" name="MSIP_Label_6bd9ddd1-4d20-43f6-abfa-fc3c07406f94_Enabled">
    <vt:lpwstr>true</vt:lpwstr>
  </property>
  <property fmtid="{D5CDD505-2E9C-101B-9397-08002B2CF9AE}" pid="12" name="MSIP_Label_6bd9ddd1-4d20-43f6-abfa-fc3c07406f94_SetDate">
    <vt:lpwstr>2023-07-19T15:09:50Z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4044ce7e-d272-479d-8704-10b5761674c5</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