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DDB07" w14:textId="75F7E704" w:rsidR="0018785B" w:rsidRDefault="00F55CD7" w:rsidP="00F55CD7">
      <w:pPr>
        <w:pStyle w:val="Pagedecouverture"/>
        <w:rPr>
          <w:noProof/>
        </w:rPr>
      </w:pPr>
      <w:bookmarkStart w:id="0" w:name="LW_BM_COVERPAGE"/>
      <w:r>
        <w:rPr>
          <w:noProof/>
        </w:rPr>
        <w:pict w14:anchorId="12F03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08515D7-A350-4201-AE29-E67E5DA41906" style="width:455.25pt;height:440.25pt">
            <v:imagedata r:id="rId11" o:title=""/>
          </v:shape>
        </w:pict>
      </w:r>
    </w:p>
    <w:bookmarkEnd w:id="0"/>
    <w:p w14:paraId="497DDB08" w14:textId="77777777" w:rsidR="0027353A" w:rsidRPr="0027353A" w:rsidRDefault="0027353A" w:rsidP="0027353A">
      <w:pPr>
        <w:pStyle w:val="Pagedecouverture"/>
        <w:rPr>
          <w:noProof/>
          <w:lang w:val="fr-BE"/>
        </w:rPr>
        <w:sectPr w:rsidR="0027353A" w:rsidRPr="0027353A" w:rsidSect="00F55CD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97DDB09" w14:textId="77777777" w:rsidR="0018785B" w:rsidRDefault="0018785B">
      <w:pPr>
        <w:rPr>
          <w:noProof/>
          <w:lang w:val="fr-BE"/>
        </w:rPr>
      </w:pPr>
      <w:bookmarkStart w:id="1" w:name="_GoBack"/>
      <w:bookmarkEnd w:id="1"/>
    </w:p>
    <w:tbl>
      <w:tblPr>
        <w:tblStyle w:val="TableGrid"/>
        <w:tblW w:w="10188" w:type="dxa"/>
        <w:tblLook w:val="01E0" w:firstRow="1" w:lastRow="1" w:firstColumn="1" w:lastColumn="1" w:noHBand="0" w:noVBand="0"/>
      </w:tblPr>
      <w:tblGrid>
        <w:gridCol w:w="10188"/>
      </w:tblGrid>
      <w:tr w:rsidR="0018785B" w14:paraId="497DDB0B" w14:textId="77777777" w:rsidTr="00AF552F">
        <w:tc>
          <w:tcPr>
            <w:tcW w:w="10188" w:type="dxa"/>
            <w:tcBorders>
              <w:bottom w:val="single" w:sz="4" w:space="0" w:color="auto"/>
            </w:tcBorders>
            <w:shd w:val="clear" w:color="auto" w:fill="CCCCCC"/>
          </w:tcPr>
          <w:p w14:paraId="497DDB0A" w14:textId="77777777" w:rsidR="0018785B" w:rsidRPr="00C22EC4" w:rsidRDefault="0018785B" w:rsidP="00AF552F">
            <w:pPr>
              <w:spacing w:before="60" w:after="60"/>
              <w:jc w:val="center"/>
              <w:rPr>
                <w:rFonts w:ascii="Tahoma" w:hAnsi="Tahoma" w:cs="Tahoma"/>
                <w:b/>
                <w:noProof/>
                <w:sz w:val="22"/>
                <w:szCs w:val="22"/>
              </w:rPr>
            </w:pPr>
            <w:r>
              <w:rPr>
                <w:rFonts w:ascii="Tahoma" w:hAnsi="Tahoma"/>
                <w:b/>
                <w:noProof/>
                <w:sz w:val="22"/>
              </w:rPr>
              <w:t>Samenvatting</w:t>
            </w:r>
          </w:p>
        </w:tc>
      </w:tr>
      <w:tr w:rsidR="0018785B" w:rsidRPr="001B2DAE" w14:paraId="497DDB0E" w14:textId="77777777" w:rsidTr="00AF552F">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14:paraId="497DDB0D" w14:textId="3AF1256E" w:rsidR="004F4250" w:rsidRPr="003F1C46" w:rsidRDefault="0018785B" w:rsidP="00666570">
            <w:pPr>
              <w:spacing w:before="120" w:after="120"/>
              <w:jc w:val="both"/>
              <w:rPr>
                <w:rFonts w:ascii="Tahoma" w:hAnsi="Tahoma" w:cs="Tahoma"/>
                <w:noProof/>
                <w:color w:val="FFFFFF" w:themeColor="background1"/>
                <w:sz w:val="20"/>
                <w:szCs w:val="20"/>
              </w:rPr>
            </w:pPr>
            <w:r>
              <w:rPr>
                <w:rFonts w:ascii="Tahoma" w:hAnsi="Tahoma"/>
                <w:noProof/>
                <w:color w:val="FFFFFF" w:themeColor="background1"/>
                <w:sz w:val="20"/>
              </w:rPr>
              <w:t>Effectbeoordeling van een verordening tot vaststelling van eisen inzake ecologisch ontwerp voor het energieverbruik van elektrische en elektronische huishoud- en kantoorapparaten in de uitstand, de standby-stand en de netwerkgebonden standby-stand overeenkomstig Richtlijn 2009/125/EG van het Europees Parlement en de Raad en tot intrekking van Verordening (EG) nr. 1275/2008 van de Commissie</w:t>
            </w:r>
            <w:r>
              <w:rPr>
                <w:rStyle w:val="FootnoteReference"/>
                <w:rFonts w:ascii="Tahoma" w:hAnsi="Tahoma" w:cs="Tahoma"/>
                <w:noProof/>
                <w:color w:val="FFFFFF" w:themeColor="background1"/>
                <w:sz w:val="20"/>
                <w:szCs w:val="20"/>
              </w:rPr>
              <w:footnoteReference w:id="1"/>
            </w:r>
            <w:r>
              <w:rPr>
                <w:rFonts w:ascii="Tahoma" w:hAnsi="Tahoma"/>
                <w:noProof/>
                <w:color w:val="FFFFFF" w:themeColor="background1"/>
                <w:sz w:val="20"/>
              </w:rPr>
              <w:t xml:space="preserve"> en Verordening (EG) nr. 107/2009 van de Commissie</w:t>
            </w:r>
            <w:r>
              <w:rPr>
                <w:rStyle w:val="FootnoteReference"/>
                <w:rFonts w:ascii="Tahoma" w:hAnsi="Tahoma" w:cs="Tahoma"/>
                <w:noProof/>
                <w:color w:val="FFFFFF" w:themeColor="background1"/>
                <w:sz w:val="20"/>
                <w:szCs w:val="20"/>
              </w:rPr>
              <w:footnoteReference w:id="2"/>
            </w:r>
          </w:p>
        </w:tc>
      </w:tr>
      <w:tr w:rsidR="0018785B" w:rsidRPr="001239CB" w14:paraId="497DDB10" w14:textId="77777777" w:rsidTr="00AF552F">
        <w:tc>
          <w:tcPr>
            <w:tcW w:w="10188" w:type="dxa"/>
            <w:tcBorders>
              <w:bottom w:val="single" w:sz="4" w:space="0" w:color="auto"/>
            </w:tcBorders>
            <w:shd w:val="clear" w:color="auto" w:fill="CCCCCC"/>
          </w:tcPr>
          <w:p w14:paraId="497DDB0F" w14:textId="77777777" w:rsidR="0018785B" w:rsidRPr="00B72557" w:rsidRDefault="0018785B" w:rsidP="00AF552F">
            <w:pPr>
              <w:spacing w:before="60" w:after="60"/>
              <w:jc w:val="center"/>
              <w:rPr>
                <w:rFonts w:ascii="Tahoma" w:hAnsi="Tahoma" w:cs="Tahoma"/>
                <w:b/>
                <w:noProof/>
                <w:sz w:val="22"/>
                <w:szCs w:val="22"/>
              </w:rPr>
            </w:pPr>
            <w:r>
              <w:rPr>
                <w:rFonts w:ascii="Tahoma" w:hAnsi="Tahoma"/>
                <w:b/>
                <w:noProof/>
                <w:sz w:val="22"/>
              </w:rPr>
              <w:t>A. De noodzaak om actie te ondernemen</w:t>
            </w:r>
          </w:p>
        </w:tc>
      </w:tr>
      <w:tr w:rsidR="0018785B" w:rsidRPr="00501394" w14:paraId="497DDB12" w14:textId="77777777" w:rsidTr="00AF552F">
        <w:tc>
          <w:tcPr>
            <w:tcW w:w="10188" w:type="dxa"/>
            <w:tcBorders>
              <w:bottom w:val="single" w:sz="4" w:space="0" w:color="auto"/>
            </w:tcBorders>
            <w:shd w:val="clear" w:color="auto" w:fill="E0E0E0"/>
          </w:tcPr>
          <w:p w14:paraId="497DDB11" w14:textId="0EE6A25B" w:rsidR="0018785B" w:rsidRPr="00CD4871" w:rsidRDefault="0018785B" w:rsidP="003B53E4">
            <w:pPr>
              <w:spacing w:before="60" w:after="60"/>
              <w:jc w:val="both"/>
              <w:rPr>
                <w:rFonts w:ascii="Tahoma" w:hAnsi="Tahoma" w:cs="Tahoma"/>
                <w:noProof/>
                <w:sz w:val="20"/>
                <w:szCs w:val="20"/>
              </w:rPr>
            </w:pPr>
            <w:r>
              <w:rPr>
                <w:rFonts w:ascii="Tahoma" w:hAnsi="Tahoma"/>
                <w:b/>
                <w:noProof/>
                <w:sz w:val="20"/>
              </w:rPr>
              <w:t xml:space="preserve">Waarom? Wat is het probleem? </w:t>
            </w:r>
          </w:p>
        </w:tc>
      </w:tr>
      <w:tr w:rsidR="0018785B" w:rsidRPr="00555298" w14:paraId="497DDB1D" w14:textId="77777777" w:rsidTr="00AF552F">
        <w:tc>
          <w:tcPr>
            <w:tcW w:w="10188" w:type="dxa"/>
            <w:tcBorders>
              <w:bottom w:val="single" w:sz="4" w:space="0" w:color="auto"/>
            </w:tcBorders>
            <w:shd w:val="clear" w:color="auto" w:fill="auto"/>
          </w:tcPr>
          <w:p w14:paraId="0E97C46D" w14:textId="28DDEBE7" w:rsidR="006E2940" w:rsidRDefault="00AD3963" w:rsidP="00DA4626">
            <w:pPr>
              <w:jc w:val="both"/>
              <w:rPr>
                <w:rFonts w:ascii="Arial" w:hAnsi="Arial" w:cs="Arial"/>
                <w:noProof/>
                <w:sz w:val="20"/>
                <w:szCs w:val="20"/>
              </w:rPr>
            </w:pPr>
            <w:r>
              <w:rPr>
                <w:rFonts w:ascii="Arial" w:hAnsi="Arial"/>
                <w:noProof/>
                <w:sz w:val="20"/>
              </w:rPr>
              <w:t>Een groot aantal elektrische en elektronische producten die in huishoudens en kantoren worden gebruikt, staan het grootste deel van hun tijd in een spaarstand, terwijl ze zijn aangesloten op een stopcontact. Een spaarstand omvat elke uitstand, standby-stand en netwerkgebonden standby-stand. Deze  standen verbruiken kleine hoeveelheden elektriciteit om de volgende redenen. Producten in de standby-stand en de netwerkgebonden standby-stand kunnen onmiddellijk worden gereactiveerd, bijvoorbeeld door gebruik te maken van een afstandsbediening (voor standby) of via een signaal dat van een smartphone via een wifi-netwerk wordt verzonden (voor netwerkgebonden standby). In de uitstand kunnen producten een indicatie geven dat zij uitgeschakeld zijn, bv. via een led-indicator. We moeten ervoor zorgen dat het energieverbruik in deze spaarstanden zeer klein is; anders zou het een groot effect hebben op het totale energieverbruik van huishoudens en kantoren, gezien het grote aantal apparaten dat momenteel wordt gebruikt (jaarlijks worden ongeveer 800 miljoen producten verkocht, naar schatting zijn er 5 miljard apparaten in gebruik in de hele EU). Bovendien moeten de belangen van de gebruikers worden beschermd, aangezien zij mogelijk niet volledig op de hoogte zijn van of aandacht besteden aan het energieverbruik van hun apparaten in de spaarstand.</w:t>
            </w:r>
          </w:p>
          <w:p w14:paraId="497DDB1C" w14:textId="3712971D" w:rsidR="0018785B" w:rsidRDefault="00DA4626" w:rsidP="0004500D">
            <w:pPr>
              <w:jc w:val="both"/>
              <w:rPr>
                <w:rFonts w:ascii="Arial" w:hAnsi="Arial" w:cs="Arial"/>
                <w:noProof/>
                <w:sz w:val="20"/>
                <w:szCs w:val="20"/>
              </w:rPr>
            </w:pPr>
            <w:r>
              <w:rPr>
                <w:rFonts w:ascii="Arial" w:hAnsi="Arial"/>
                <w:noProof/>
                <w:sz w:val="20"/>
              </w:rPr>
              <w:t xml:space="preserve">Verordening (EG) nr. 1275/2008 die momenteel van kracht is (zes keer gewijzigd, met name bij Verordening (EU) nr. 801/2013 waarbij de netwerkgebonden standby-stand is ingevoerd) is zeer doeltreffend gebleken voor het verminderen van het energieverbruik in spaarstanden. De geschatte elektriciteitsbesparing bedroeg ongeveer 33 TWh/jaar tegen 2020. De doeltreffendheid van deze verordening kan nu echter worden belemmerd door: i) een verouderd toepassingsgebied, ii) achterhaalde vrijstellingen, die een ongelijk speelveld creëren, iii) verouderde eisen inzake maximumverbruik in spaarstanden, en iv) een gebrek aan direct beschikbare informatie. </w:t>
            </w:r>
          </w:p>
        </w:tc>
      </w:tr>
      <w:tr w:rsidR="0018785B" w:rsidRPr="00501394" w14:paraId="497DDB1F" w14:textId="77777777" w:rsidTr="00AF552F">
        <w:tc>
          <w:tcPr>
            <w:tcW w:w="10188" w:type="dxa"/>
            <w:tcBorders>
              <w:bottom w:val="single" w:sz="4" w:space="0" w:color="auto"/>
            </w:tcBorders>
            <w:shd w:val="clear" w:color="auto" w:fill="E6E6E6"/>
          </w:tcPr>
          <w:p w14:paraId="497DDB1E" w14:textId="32096039" w:rsidR="0018785B" w:rsidRPr="00CD4871" w:rsidRDefault="0018785B" w:rsidP="003B53E4">
            <w:pPr>
              <w:spacing w:before="60" w:after="60"/>
              <w:jc w:val="both"/>
              <w:rPr>
                <w:rFonts w:ascii="Tahoma" w:hAnsi="Tahoma" w:cs="Tahoma"/>
                <w:noProof/>
                <w:sz w:val="20"/>
                <w:szCs w:val="20"/>
              </w:rPr>
            </w:pPr>
            <w:r>
              <w:rPr>
                <w:rFonts w:ascii="Tahoma" w:hAnsi="Tahoma"/>
                <w:b/>
                <w:noProof/>
                <w:sz w:val="20"/>
              </w:rPr>
              <w:t xml:space="preserve">Wat is het doel van dit initiatief? </w:t>
            </w:r>
          </w:p>
        </w:tc>
      </w:tr>
      <w:tr w:rsidR="0018785B" w:rsidRPr="00555298" w14:paraId="497DDB27" w14:textId="77777777" w:rsidTr="00AF552F">
        <w:tc>
          <w:tcPr>
            <w:tcW w:w="10188" w:type="dxa"/>
            <w:tcBorders>
              <w:bottom w:val="single" w:sz="4" w:space="0" w:color="auto"/>
            </w:tcBorders>
            <w:shd w:val="clear" w:color="auto" w:fill="auto"/>
          </w:tcPr>
          <w:p w14:paraId="1F9C2B6B" w14:textId="099C8F85" w:rsidR="0057007A" w:rsidRDefault="0057007A" w:rsidP="00F12E9B">
            <w:pPr>
              <w:jc w:val="both"/>
              <w:rPr>
                <w:rFonts w:ascii="Arial" w:hAnsi="Arial" w:cs="Arial"/>
                <w:noProof/>
                <w:sz w:val="20"/>
                <w:szCs w:val="20"/>
              </w:rPr>
            </w:pPr>
            <w:r>
              <w:rPr>
                <w:rFonts w:ascii="Arial" w:hAnsi="Arial"/>
                <w:noProof/>
                <w:sz w:val="20"/>
              </w:rPr>
              <w:t>Met een herziene verordening:</w:t>
            </w:r>
          </w:p>
          <w:p w14:paraId="597D53A7" w14:textId="0A9A80CB" w:rsidR="007F7807" w:rsidRDefault="0004500D" w:rsidP="007F7807">
            <w:pPr>
              <w:pStyle w:val="ListParagraph"/>
              <w:numPr>
                <w:ilvl w:val="0"/>
                <w:numId w:val="6"/>
              </w:numPr>
              <w:jc w:val="both"/>
              <w:rPr>
                <w:rFonts w:ascii="Arial" w:hAnsi="Arial" w:cs="Arial"/>
                <w:noProof/>
                <w:sz w:val="20"/>
                <w:szCs w:val="20"/>
              </w:rPr>
            </w:pPr>
            <w:r>
              <w:rPr>
                <w:rFonts w:ascii="Arial" w:hAnsi="Arial"/>
                <w:noProof/>
                <w:sz w:val="20"/>
              </w:rPr>
              <w:t>wordt het toepassingsgebied van de verordening uitgebreid tot nieuwe productsoorten die in steeds grotere aantallen op de markt komen, en worden mogelijke mazen in de wetgeving die zorgen voor een gelijk speelveld voor alle fabrikanten gedicht;</w:t>
            </w:r>
          </w:p>
          <w:p w14:paraId="2028906F" w14:textId="26F83322" w:rsidR="0057007A" w:rsidRPr="007F7807" w:rsidRDefault="002728C9" w:rsidP="007F7807">
            <w:pPr>
              <w:pStyle w:val="ListParagraph"/>
              <w:numPr>
                <w:ilvl w:val="0"/>
                <w:numId w:val="6"/>
              </w:numPr>
              <w:jc w:val="both"/>
              <w:rPr>
                <w:rFonts w:ascii="Arial" w:hAnsi="Arial" w:cs="Arial"/>
                <w:noProof/>
                <w:sz w:val="20"/>
                <w:szCs w:val="20"/>
              </w:rPr>
            </w:pPr>
            <w:r>
              <w:rPr>
                <w:rFonts w:ascii="Arial" w:hAnsi="Arial"/>
                <w:noProof/>
                <w:sz w:val="20"/>
              </w:rPr>
              <w:t>worden de eisen voor spaarstanden aangepast aan de technologische ontwikkelingen;</w:t>
            </w:r>
          </w:p>
          <w:p w14:paraId="5A7AAB08" w14:textId="549D7DE6" w:rsidR="00E65594" w:rsidRDefault="00E65594" w:rsidP="00E65594">
            <w:pPr>
              <w:pStyle w:val="ListParagraph"/>
              <w:numPr>
                <w:ilvl w:val="0"/>
                <w:numId w:val="6"/>
              </w:numPr>
              <w:jc w:val="both"/>
              <w:rPr>
                <w:rFonts w:ascii="Arial" w:hAnsi="Arial" w:cs="Arial"/>
                <w:noProof/>
                <w:sz w:val="20"/>
                <w:szCs w:val="20"/>
              </w:rPr>
            </w:pPr>
            <w:r>
              <w:rPr>
                <w:rFonts w:ascii="Arial" w:hAnsi="Arial"/>
                <w:noProof/>
                <w:sz w:val="20"/>
              </w:rPr>
              <w:t>worden de gebruikers bewuster gemaakt van de hoeveelheid energie die in spaarstanden wordt verbruikt;</w:t>
            </w:r>
          </w:p>
          <w:p w14:paraId="497DDB26" w14:textId="734934C7" w:rsidR="007F7807" w:rsidRPr="007F7807" w:rsidRDefault="00E65594" w:rsidP="00E65594">
            <w:pPr>
              <w:pStyle w:val="ListParagraph"/>
              <w:numPr>
                <w:ilvl w:val="0"/>
                <w:numId w:val="6"/>
              </w:numPr>
              <w:jc w:val="both"/>
              <w:rPr>
                <w:rFonts w:ascii="Arial" w:hAnsi="Arial" w:cs="Arial"/>
                <w:noProof/>
                <w:sz w:val="20"/>
                <w:szCs w:val="20"/>
              </w:rPr>
            </w:pPr>
            <w:r>
              <w:rPr>
                <w:rFonts w:ascii="Arial" w:hAnsi="Arial"/>
                <w:noProof/>
                <w:sz w:val="20"/>
              </w:rPr>
              <w:t xml:space="preserve">wordt de verordening beter afgestemd op andere regelgeving inzake ecologisch ontwerp. </w:t>
            </w:r>
          </w:p>
        </w:tc>
      </w:tr>
      <w:tr w:rsidR="0018785B" w:rsidRPr="00501394" w14:paraId="497DDB29" w14:textId="77777777" w:rsidTr="00AF552F">
        <w:tc>
          <w:tcPr>
            <w:tcW w:w="10188" w:type="dxa"/>
            <w:tcBorders>
              <w:bottom w:val="single" w:sz="4" w:space="0" w:color="auto"/>
            </w:tcBorders>
            <w:shd w:val="clear" w:color="auto" w:fill="E6E6E6"/>
          </w:tcPr>
          <w:p w14:paraId="497DDB28" w14:textId="6E4E1683" w:rsidR="0018785B" w:rsidRPr="00501394" w:rsidRDefault="0018785B" w:rsidP="003B53E4">
            <w:pPr>
              <w:spacing w:before="60" w:after="60"/>
              <w:jc w:val="both"/>
              <w:rPr>
                <w:rFonts w:ascii="Tahoma" w:hAnsi="Tahoma" w:cs="Tahoma"/>
                <w:noProof/>
                <w:sz w:val="20"/>
                <w:szCs w:val="20"/>
              </w:rPr>
            </w:pPr>
            <w:r>
              <w:rPr>
                <w:rFonts w:ascii="Tahoma" w:hAnsi="Tahoma"/>
                <w:b/>
                <w:noProof/>
                <w:sz w:val="20"/>
              </w:rPr>
              <w:t>Wat is de meerwaarde van maatregelen op EU-niveau?</w:t>
            </w:r>
            <w:r>
              <w:rPr>
                <w:rFonts w:ascii="Tahoma" w:hAnsi="Tahoma"/>
                <w:noProof/>
                <w:sz w:val="20"/>
              </w:rPr>
              <w:t xml:space="preserve"> </w:t>
            </w:r>
          </w:p>
        </w:tc>
      </w:tr>
      <w:tr w:rsidR="0018785B" w:rsidRPr="00555298" w14:paraId="497DDB2E" w14:textId="77777777" w:rsidTr="00AF552F">
        <w:tc>
          <w:tcPr>
            <w:tcW w:w="10188" w:type="dxa"/>
            <w:tcBorders>
              <w:bottom w:val="single" w:sz="4" w:space="0" w:color="auto"/>
            </w:tcBorders>
            <w:shd w:val="clear" w:color="auto" w:fill="auto"/>
          </w:tcPr>
          <w:p w14:paraId="497DDB2D" w14:textId="20946765" w:rsidR="0018785B" w:rsidRDefault="00F12E9B" w:rsidP="007846A8">
            <w:pPr>
              <w:jc w:val="both"/>
              <w:rPr>
                <w:rFonts w:ascii="Arial" w:hAnsi="Arial" w:cs="Arial"/>
                <w:noProof/>
                <w:sz w:val="20"/>
                <w:szCs w:val="20"/>
              </w:rPr>
            </w:pPr>
            <w:r>
              <w:rPr>
                <w:rFonts w:ascii="Arial" w:hAnsi="Arial"/>
                <w:noProof/>
                <w:sz w:val="20"/>
              </w:rPr>
              <w:t>Het op EU-niveau opleggen van minimale energie-efficiëntieniveaus biedt een duidelijke toegevoegde waarde. Zonder geharmoniseerde eisen in de hele EU zouden de lidstaten worden gestimuleerd om hun eigen productspecifieke eisen inzake energie-efficiëntie vast te stellen als onderdeel van hun nationale energie- en milieubeleid. Dit zou een belemmering vormen voor het vrije verkeer van goederen. Vóór de uitvoering van de maatregelen inzake ecologisch ontwerp en energie-etikettering was dit voor veel producten de facto het geval.</w:t>
            </w:r>
          </w:p>
        </w:tc>
      </w:tr>
    </w:tbl>
    <w:p w14:paraId="497DDB2F" w14:textId="77777777" w:rsidR="0018785B" w:rsidRDefault="0018785B">
      <w:pPr>
        <w:rPr>
          <w:noProof/>
        </w:rPr>
      </w:pPr>
    </w:p>
    <w:tbl>
      <w:tblPr>
        <w:tblStyle w:val="TableGrid"/>
        <w:tblW w:w="10188" w:type="dxa"/>
        <w:tblLook w:val="01E0" w:firstRow="1" w:lastRow="1" w:firstColumn="1" w:lastColumn="1" w:noHBand="0" w:noVBand="0"/>
      </w:tblPr>
      <w:tblGrid>
        <w:gridCol w:w="10188"/>
      </w:tblGrid>
      <w:tr w:rsidR="0018785B" w:rsidRPr="00486AF3" w14:paraId="497DDB31" w14:textId="77777777" w:rsidTr="00AF552F">
        <w:tc>
          <w:tcPr>
            <w:tcW w:w="10188" w:type="dxa"/>
            <w:tcBorders>
              <w:bottom w:val="single" w:sz="4" w:space="0" w:color="auto"/>
            </w:tcBorders>
            <w:shd w:val="clear" w:color="auto" w:fill="CCCCCC"/>
          </w:tcPr>
          <w:p w14:paraId="497DDB30" w14:textId="77777777" w:rsidR="0018785B" w:rsidRPr="00FB0BF9" w:rsidRDefault="0018785B" w:rsidP="00B070AE">
            <w:pPr>
              <w:keepNext/>
              <w:spacing w:before="60" w:after="60"/>
              <w:jc w:val="center"/>
              <w:rPr>
                <w:rFonts w:ascii="Tahoma" w:hAnsi="Tahoma" w:cs="Tahoma"/>
                <w:b/>
                <w:noProof/>
                <w:sz w:val="22"/>
                <w:szCs w:val="22"/>
              </w:rPr>
            </w:pPr>
            <w:r>
              <w:rPr>
                <w:rFonts w:ascii="Tahoma" w:hAnsi="Tahoma"/>
                <w:b/>
                <w:noProof/>
                <w:sz w:val="22"/>
              </w:rPr>
              <w:t>B. Oplossingen</w:t>
            </w:r>
          </w:p>
        </w:tc>
      </w:tr>
      <w:tr w:rsidR="0018785B" w:rsidRPr="00501394" w14:paraId="497DDB33" w14:textId="77777777" w:rsidTr="00AF552F">
        <w:tc>
          <w:tcPr>
            <w:tcW w:w="10188" w:type="dxa"/>
            <w:tcBorders>
              <w:bottom w:val="single" w:sz="4" w:space="0" w:color="auto"/>
            </w:tcBorders>
            <w:shd w:val="clear" w:color="auto" w:fill="E6E6E6"/>
          </w:tcPr>
          <w:p w14:paraId="497DDB32" w14:textId="3F236C29" w:rsidR="0018785B" w:rsidRPr="00FB0BF9" w:rsidRDefault="0018785B" w:rsidP="00B070AE">
            <w:pPr>
              <w:keepNext/>
              <w:spacing w:before="60"/>
              <w:jc w:val="both"/>
              <w:rPr>
                <w:rFonts w:ascii="Tahoma" w:hAnsi="Tahoma" w:cs="Tahoma"/>
                <w:noProof/>
                <w:sz w:val="20"/>
                <w:szCs w:val="20"/>
              </w:rPr>
            </w:pPr>
            <w:r>
              <w:rPr>
                <w:rFonts w:ascii="Tahoma" w:hAnsi="Tahoma"/>
                <w:b/>
                <w:noProof/>
                <w:sz w:val="20"/>
              </w:rPr>
              <w:t>Welke wetgevende en niet-wetgevende beleidsopties zijn overwogen? Heeft een bepaalde optie de voorkeur? Waarom?</w:t>
            </w:r>
            <w:r>
              <w:rPr>
                <w:rFonts w:ascii="Tahoma" w:hAnsi="Tahoma"/>
                <w:noProof/>
                <w:sz w:val="20"/>
              </w:rPr>
              <w:t xml:space="preserve"> </w:t>
            </w:r>
          </w:p>
        </w:tc>
      </w:tr>
      <w:tr w:rsidR="0018785B" w:rsidRPr="00B230F2" w14:paraId="497DDB3D" w14:textId="77777777" w:rsidTr="00AF552F">
        <w:tc>
          <w:tcPr>
            <w:tcW w:w="10188" w:type="dxa"/>
            <w:tcBorders>
              <w:bottom w:val="single" w:sz="4" w:space="0" w:color="auto"/>
            </w:tcBorders>
            <w:shd w:val="clear" w:color="auto" w:fill="auto"/>
          </w:tcPr>
          <w:p w14:paraId="6CC169A7" w14:textId="0BE208F5" w:rsidR="00C859E6" w:rsidRPr="00FD26CA" w:rsidRDefault="009B6F53" w:rsidP="000E146C">
            <w:pPr>
              <w:jc w:val="both"/>
              <w:rPr>
                <w:rFonts w:ascii="Arial" w:hAnsi="Arial" w:cs="Arial"/>
                <w:noProof/>
                <w:sz w:val="20"/>
                <w:szCs w:val="20"/>
              </w:rPr>
            </w:pPr>
            <w:r>
              <w:rPr>
                <w:rFonts w:ascii="Arial" w:hAnsi="Arial"/>
                <w:noProof/>
                <w:sz w:val="20"/>
              </w:rPr>
              <w:t>Er is naar vijf beleidsopties (BO) gekeken:</w:t>
            </w:r>
          </w:p>
          <w:p w14:paraId="4FDAC16C" w14:textId="583DE940" w:rsidR="009702D0" w:rsidRPr="00147B83" w:rsidRDefault="007846A8" w:rsidP="00065455">
            <w:pPr>
              <w:pStyle w:val="ListParagraph"/>
              <w:widowControl w:val="0"/>
              <w:numPr>
                <w:ilvl w:val="0"/>
                <w:numId w:val="6"/>
              </w:numPr>
              <w:ind w:left="357" w:hanging="357"/>
              <w:jc w:val="both"/>
              <w:rPr>
                <w:rFonts w:ascii="Arial" w:hAnsi="Arial" w:cs="Arial"/>
                <w:noProof/>
                <w:sz w:val="20"/>
                <w:szCs w:val="20"/>
              </w:rPr>
            </w:pPr>
            <w:r>
              <w:rPr>
                <w:rFonts w:ascii="Arial" w:hAnsi="Arial"/>
                <w:noProof/>
                <w:sz w:val="20"/>
              </w:rPr>
              <w:t>optie 1 — ongewijzigd beleid. Basisscenario, waarbij de huidige regelgeving ongewijzigd blijft;</w:t>
            </w:r>
          </w:p>
          <w:p w14:paraId="7FA556AE" w14:textId="4B651641" w:rsidR="00C74D84" w:rsidRDefault="007846A8" w:rsidP="00065455">
            <w:pPr>
              <w:pStyle w:val="ListParagraph"/>
              <w:widowControl w:val="0"/>
              <w:numPr>
                <w:ilvl w:val="0"/>
                <w:numId w:val="6"/>
              </w:numPr>
              <w:ind w:left="357" w:hanging="357"/>
              <w:jc w:val="both"/>
              <w:rPr>
                <w:rFonts w:ascii="Arial" w:hAnsi="Arial" w:cs="Arial"/>
                <w:noProof/>
                <w:sz w:val="20"/>
                <w:szCs w:val="20"/>
              </w:rPr>
            </w:pPr>
            <w:r>
              <w:rPr>
                <w:rFonts w:ascii="Arial" w:hAnsi="Arial"/>
                <w:noProof/>
                <w:sz w:val="20"/>
              </w:rPr>
              <w:t>optie 2 — milde maatregel. Zou het toepassingsgebied uitbreiden tot stationaire producten die zijn uitgerust met een externe laagspanningsstroomvoorziening door een vrijstelling in de huidige verordening (die betrekking heeft op alle producten met een laagspanningsstroomvoorziening) gedeeltelijk te schrappen. Draagbare (op batterijen werkende) producten met een laagspanningsstroomvoorziening blijven vrijgesteld;</w:t>
            </w:r>
          </w:p>
          <w:p w14:paraId="7DFDCA7E" w14:textId="689CC7CC" w:rsidR="00E04A3D" w:rsidRPr="003F2DCD" w:rsidRDefault="007846A8" w:rsidP="00065455">
            <w:pPr>
              <w:pStyle w:val="ListParagraph"/>
              <w:widowControl w:val="0"/>
              <w:numPr>
                <w:ilvl w:val="0"/>
                <w:numId w:val="6"/>
              </w:numPr>
              <w:ind w:left="357" w:hanging="357"/>
              <w:jc w:val="both"/>
              <w:rPr>
                <w:rFonts w:ascii="Arial" w:hAnsi="Arial" w:cs="Arial"/>
                <w:noProof/>
                <w:sz w:val="20"/>
                <w:szCs w:val="20"/>
              </w:rPr>
            </w:pPr>
            <w:r>
              <w:rPr>
                <w:rFonts w:ascii="Arial" w:hAnsi="Arial"/>
                <w:noProof/>
                <w:sz w:val="20"/>
              </w:rPr>
              <w:t>optie 3 — evenwichtige EU-maatregel, waarbij het energieverbruik in de standby-stand voor producten met statusbeeldschermen wordt beperkt tot maximaal 0,8 W. Het toepassingsgebied kan worden uitgebreid tot hetzij alleen stationaire producten met een laagspanningsstroomvoorziening, hetzij alle producten met een laagspanningsstroomvoorziening. Dit laatste (alle producten met een laagspanningsstroomvoorziening) verdient de voorkeur, omdat het de meeste voordelen (op het vlak van energie- en financiële besparingen voor eindgebruikers) op de meest kosteneffectieve manier zou opleveren (resulteert in de laagste levenscycluskosten voor het overgrote deel van de producten die onder het toepassingsgebied vallen);</w:t>
            </w:r>
          </w:p>
          <w:p w14:paraId="2A593E56" w14:textId="6B1CA7AB" w:rsidR="00E04A3D" w:rsidRDefault="007846A8" w:rsidP="00065455">
            <w:pPr>
              <w:pStyle w:val="ListParagraph"/>
              <w:widowControl w:val="0"/>
              <w:numPr>
                <w:ilvl w:val="0"/>
                <w:numId w:val="6"/>
              </w:numPr>
              <w:ind w:left="357" w:hanging="357"/>
              <w:jc w:val="both"/>
              <w:rPr>
                <w:rFonts w:ascii="Arial" w:hAnsi="Arial" w:cs="Arial"/>
                <w:noProof/>
                <w:sz w:val="20"/>
                <w:szCs w:val="20"/>
              </w:rPr>
            </w:pPr>
            <w:r>
              <w:rPr>
                <w:rFonts w:ascii="Arial" w:hAnsi="Arial"/>
                <w:noProof/>
                <w:sz w:val="20"/>
              </w:rPr>
              <w:t>optie 4 — een alternatieve evenwichtige EU-maatregel is vergelijkbaar met optie 3 (inclusief de twee mogelijke uitbreidingen van het toepassingsgebied), maar zou ook het elektriciteitsverbruik in de uitstand verminderen tot maximaal 0,3 W;</w:t>
            </w:r>
          </w:p>
          <w:p w14:paraId="07A02E24" w14:textId="3B152B70" w:rsidR="00C70E4E" w:rsidRDefault="007846A8" w:rsidP="00AE07D7">
            <w:pPr>
              <w:pStyle w:val="ListParagraph"/>
              <w:numPr>
                <w:ilvl w:val="0"/>
                <w:numId w:val="6"/>
              </w:numPr>
              <w:jc w:val="both"/>
              <w:rPr>
                <w:rFonts w:ascii="Arial" w:hAnsi="Arial" w:cs="Arial"/>
                <w:noProof/>
                <w:sz w:val="20"/>
                <w:szCs w:val="20"/>
              </w:rPr>
            </w:pPr>
            <w:r>
              <w:rPr>
                <w:rFonts w:ascii="Arial" w:hAnsi="Arial"/>
                <w:noProof/>
                <w:sz w:val="20"/>
              </w:rPr>
              <w:t>optie 5 — strikte EU-maatregelen zouden alle producten omvatten die zijn uitgerust met een laagspanningsstroomvoorziening door de huidige vrijstelling volledig te schrappen. Het zou ook het elektriciteitsverbruik voor de standby-stand van producten met statusweergave beperken tot maximaal 0,8 W en tot 0,3 W voor de standby-stand van alle andere producten en voor de uitstand;</w:t>
            </w:r>
          </w:p>
          <w:p w14:paraId="7165FE2B" w14:textId="77777777" w:rsidR="0017399E" w:rsidRDefault="0017399E" w:rsidP="007846A8">
            <w:pPr>
              <w:jc w:val="both"/>
              <w:rPr>
                <w:rFonts w:ascii="Arial" w:hAnsi="Arial" w:cs="Arial"/>
                <w:noProof/>
                <w:sz w:val="20"/>
                <w:szCs w:val="20"/>
              </w:rPr>
            </w:pPr>
          </w:p>
          <w:p w14:paraId="0C6B279F" w14:textId="77777777" w:rsidR="003F2DCD" w:rsidRDefault="00EB561F" w:rsidP="0021319A">
            <w:pPr>
              <w:jc w:val="both"/>
              <w:rPr>
                <w:rFonts w:ascii="Arial" w:hAnsi="Arial" w:cs="Arial"/>
                <w:noProof/>
                <w:sz w:val="20"/>
                <w:szCs w:val="20"/>
              </w:rPr>
            </w:pPr>
            <w:r>
              <w:rPr>
                <w:rFonts w:ascii="Arial" w:hAnsi="Arial"/>
                <w:noProof/>
                <w:sz w:val="20"/>
              </w:rPr>
              <w:t>Afgezien van de hierboven geschetste verschillen omvatten alle opties behalve optie 1 een aantal algemene eisen, zoals: i) uitbreiding van het toepassingsgebied tot verstelbaar meubilair en door een motor bediende onderdelen van gebouwen; ii) het verstrekken van informatie over de netwerkgebonden standby-, standby- en uitstand op openbaar toegankelijke websites en in gebruikershandleidingen; iii) het toevoegen van een nieuwe definitie en het verder verduidelijken van enkele van de gebruikte begrippen en termen.</w:t>
            </w:r>
          </w:p>
          <w:p w14:paraId="765F4969" w14:textId="77777777" w:rsidR="00B467C5" w:rsidRDefault="00B467C5" w:rsidP="0021319A">
            <w:pPr>
              <w:jc w:val="both"/>
              <w:rPr>
                <w:rFonts w:ascii="Arial" w:hAnsi="Arial" w:cs="Arial"/>
                <w:noProof/>
                <w:sz w:val="20"/>
                <w:szCs w:val="20"/>
              </w:rPr>
            </w:pPr>
          </w:p>
          <w:p w14:paraId="55A0EC59" w14:textId="77777777" w:rsidR="006D3C85" w:rsidRDefault="006D3C85" w:rsidP="006D3C85">
            <w:pPr>
              <w:jc w:val="both"/>
              <w:rPr>
                <w:rFonts w:ascii="Arial" w:hAnsi="Arial" w:cs="Arial"/>
                <w:noProof/>
                <w:sz w:val="20"/>
                <w:szCs w:val="20"/>
              </w:rPr>
            </w:pPr>
            <w:r>
              <w:rPr>
                <w:rFonts w:ascii="Arial" w:hAnsi="Arial"/>
                <w:b/>
                <w:noProof/>
                <w:sz w:val="20"/>
              </w:rPr>
              <w:t>Voorkeursoptie</w:t>
            </w:r>
            <w:r>
              <w:rPr>
                <w:rFonts w:ascii="Arial" w:hAnsi="Arial"/>
                <w:noProof/>
                <w:sz w:val="20"/>
              </w:rPr>
              <w:t xml:space="preserve"> </w:t>
            </w:r>
          </w:p>
          <w:p w14:paraId="497DDB3C" w14:textId="66913EB9" w:rsidR="00B467C5" w:rsidRPr="00AE07D7" w:rsidRDefault="006D3C85" w:rsidP="006D3C85">
            <w:pPr>
              <w:jc w:val="both"/>
              <w:rPr>
                <w:rFonts w:ascii="Arial" w:hAnsi="Arial" w:cs="Arial"/>
                <w:noProof/>
                <w:sz w:val="20"/>
                <w:szCs w:val="20"/>
              </w:rPr>
            </w:pPr>
            <w:r>
              <w:rPr>
                <w:rFonts w:ascii="Arial" w:hAnsi="Arial"/>
                <w:noProof/>
                <w:sz w:val="20"/>
              </w:rPr>
              <w:t>Optie 3 heeft de voorkeur, aangezien die betrekking heeft op alle producten met een laagspanningsstroomvoorziening (de meeste voordelen op de meest kosteneffectieve wijze).</w:t>
            </w:r>
          </w:p>
        </w:tc>
      </w:tr>
      <w:tr w:rsidR="0018785B" w:rsidRPr="00B230F2" w14:paraId="497DDB3F" w14:textId="77777777" w:rsidTr="00AF552F">
        <w:tc>
          <w:tcPr>
            <w:tcW w:w="10188" w:type="dxa"/>
            <w:shd w:val="clear" w:color="auto" w:fill="CCCCCC"/>
          </w:tcPr>
          <w:p w14:paraId="497DDB3E" w14:textId="5B204EE3" w:rsidR="0018785B" w:rsidRPr="00FB0BF9" w:rsidRDefault="0018785B" w:rsidP="003B53E4">
            <w:pPr>
              <w:spacing w:before="60"/>
              <w:jc w:val="both"/>
              <w:rPr>
                <w:rFonts w:ascii="Tahoma" w:hAnsi="Tahoma" w:cs="Tahoma"/>
                <w:noProof/>
                <w:sz w:val="20"/>
                <w:szCs w:val="20"/>
              </w:rPr>
            </w:pPr>
            <w:r>
              <w:rPr>
                <w:rFonts w:ascii="Tahoma" w:hAnsi="Tahoma"/>
                <w:b/>
                <w:noProof/>
                <w:sz w:val="20"/>
              </w:rPr>
              <w:t>Wie steunt welke optie?</w:t>
            </w:r>
            <w:r>
              <w:rPr>
                <w:rFonts w:ascii="Tahoma" w:hAnsi="Tahoma"/>
                <w:noProof/>
                <w:sz w:val="20"/>
              </w:rPr>
              <w:t xml:space="preserve"> </w:t>
            </w:r>
          </w:p>
        </w:tc>
      </w:tr>
      <w:tr w:rsidR="0018785B" w:rsidRPr="00B230F2" w14:paraId="497DDB47" w14:textId="77777777" w:rsidTr="00AF552F">
        <w:tc>
          <w:tcPr>
            <w:tcW w:w="10188" w:type="dxa"/>
            <w:shd w:val="clear" w:color="auto" w:fill="auto"/>
          </w:tcPr>
          <w:p w14:paraId="497DDB42" w14:textId="34DE547A" w:rsidR="0018785B" w:rsidRPr="00FB0BF9" w:rsidRDefault="00512829" w:rsidP="00147226">
            <w:pPr>
              <w:pStyle w:val="ListParagraph"/>
              <w:numPr>
                <w:ilvl w:val="0"/>
                <w:numId w:val="6"/>
              </w:numPr>
              <w:jc w:val="both"/>
              <w:rPr>
                <w:rFonts w:ascii="Arial" w:hAnsi="Arial" w:cs="Arial"/>
                <w:noProof/>
                <w:sz w:val="20"/>
                <w:szCs w:val="20"/>
              </w:rPr>
            </w:pPr>
            <w:r>
              <w:rPr>
                <w:rFonts w:ascii="Arial" w:hAnsi="Arial"/>
                <w:noProof/>
                <w:sz w:val="20"/>
              </w:rPr>
              <w:t>De algemene eisen worden ondersteund door de lidstaten en ngo’s en, in grote mate, door vertegenwoordigers van de sector;</w:t>
            </w:r>
          </w:p>
          <w:p w14:paraId="5C80FD1C" w14:textId="161DF72C" w:rsidR="00F56200" w:rsidRDefault="007846A8" w:rsidP="00147226">
            <w:pPr>
              <w:pStyle w:val="ListParagraph"/>
              <w:numPr>
                <w:ilvl w:val="0"/>
                <w:numId w:val="6"/>
              </w:numPr>
              <w:jc w:val="both"/>
              <w:rPr>
                <w:rFonts w:ascii="Arial" w:hAnsi="Arial" w:cs="Arial"/>
                <w:noProof/>
                <w:sz w:val="20"/>
                <w:szCs w:val="20"/>
              </w:rPr>
            </w:pPr>
            <w:r>
              <w:rPr>
                <w:rFonts w:ascii="Arial" w:hAnsi="Arial"/>
                <w:noProof/>
                <w:sz w:val="20"/>
              </w:rPr>
              <w:t>optie 2 wordt voornamelijk gesteund door belanghebbenden uit de sector;</w:t>
            </w:r>
          </w:p>
          <w:p w14:paraId="0AB4CC1D" w14:textId="39A0CC5C" w:rsidR="000379BE" w:rsidRDefault="007846A8" w:rsidP="00147226">
            <w:pPr>
              <w:pStyle w:val="ListParagraph"/>
              <w:numPr>
                <w:ilvl w:val="0"/>
                <w:numId w:val="6"/>
              </w:numPr>
              <w:jc w:val="both"/>
              <w:rPr>
                <w:rFonts w:ascii="Arial" w:hAnsi="Arial" w:cs="Arial"/>
                <w:noProof/>
                <w:sz w:val="20"/>
                <w:szCs w:val="20"/>
              </w:rPr>
            </w:pPr>
            <w:r>
              <w:rPr>
                <w:rFonts w:ascii="Arial" w:hAnsi="Arial"/>
                <w:noProof/>
                <w:sz w:val="20"/>
              </w:rPr>
              <w:t>de opties 3 en 4 zijn voorstellen die zijn gebaseerd op besprekingen met belanghebbenden tijdens het overlegforum in december 2017 en op feedback van belanghebbenden gedurende het hele voorbereidingsproces (inclusief de standpunten van de lidstaten);</w:t>
            </w:r>
          </w:p>
          <w:p w14:paraId="497DDB46" w14:textId="3BD9542F" w:rsidR="00147226" w:rsidRPr="000379BE" w:rsidRDefault="007846A8" w:rsidP="00BD70C9">
            <w:pPr>
              <w:pStyle w:val="ListParagraph"/>
              <w:numPr>
                <w:ilvl w:val="0"/>
                <w:numId w:val="6"/>
              </w:numPr>
              <w:jc w:val="both"/>
              <w:rPr>
                <w:rFonts w:ascii="Arial" w:hAnsi="Arial" w:cs="Arial"/>
                <w:noProof/>
                <w:sz w:val="20"/>
                <w:szCs w:val="20"/>
              </w:rPr>
            </w:pPr>
            <w:r>
              <w:rPr>
                <w:rFonts w:ascii="Arial" w:hAnsi="Arial"/>
                <w:noProof/>
                <w:sz w:val="20"/>
              </w:rPr>
              <w:t>optie 5 wordt voornamelijk gesteund door ngo’s op het gebied van milieu en consumenten.</w:t>
            </w:r>
          </w:p>
        </w:tc>
      </w:tr>
      <w:tr w:rsidR="0018785B" w:rsidRPr="00486AF3" w14:paraId="497DDB49" w14:textId="77777777" w:rsidTr="00AF552F">
        <w:tc>
          <w:tcPr>
            <w:tcW w:w="10188" w:type="dxa"/>
            <w:tcBorders>
              <w:bottom w:val="single" w:sz="4" w:space="0" w:color="auto"/>
            </w:tcBorders>
            <w:shd w:val="clear" w:color="auto" w:fill="CCCCCC"/>
          </w:tcPr>
          <w:p w14:paraId="497DDB48" w14:textId="77777777" w:rsidR="0018785B" w:rsidRPr="00FB0BF9" w:rsidRDefault="0018785B" w:rsidP="00AF552F">
            <w:pPr>
              <w:spacing w:before="60" w:after="60"/>
              <w:jc w:val="center"/>
              <w:rPr>
                <w:rFonts w:ascii="Tahoma" w:hAnsi="Tahoma" w:cs="Tahoma"/>
                <w:b/>
                <w:noProof/>
                <w:sz w:val="22"/>
                <w:szCs w:val="22"/>
              </w:rPr>
            </w:pPr>
            <w:r>
              <w:rPr>
                <w:rFonts w:ascii="Tahoma" w:hAnsi="Tahoma"/>
                <w:b/>
                <w:noProof/>
                <w:sz w:val="22"/>
              </w:rPr>
              <w:t>C. Effecten van de voorkeursoptie</w:t>
            </w:r>
          </w:p>
        </w:tc>
      </w:tr>
      <w:tr w:rsidR="0018785B" w:rsidRPr="00501394" w14:paraId="497DDB4B" w14:textId="77777777" w:rsidTr="00AF552F">
        <w:tc>
          <w:tcPr>
            <w:tcW w:w="10188" w:type="dxa"/>
            <w:tcBorders>
              <w:bottom w:val="single" w:sz="4" w:space="0" w:color="auto"/>
            </w:tcBorders>
            <w:shd w:val="clear" w:color="auto" w:fill="E6E6E6"/>
          </w:tcPr>
          <w:p w14:paraId="497DDB4A" w14:textId="69BB53CF" w:rsidR="0018785B" w:rsidRPr="00FB0BF9" w:rsidRDefault="0018785B" w:rsidP="003B53E4">
            <w:pPr>
              <w:spacing w:before="60" w:after="60"/>
              <w:jc w:val="both"/>
              <w:rPr>
                <w:rFonts w:ascii="Tahoma" w:hAnsi="Tahoma" w:cs="Tahoma"/>
                <w:noProof/>
                <w:sz w:val="20"/>
                <w:szCs w:val="20"/>
              </w:rPr>
            </w:pPr>
            <w:r>
              <w:rPr>
                <w:rFonts w:ascii="Tahoma" w:hAnsi="Tahoma"/>
                <w:b/>
                <w:noProof/>
                <w:sz w:val="20"/>
              </w:rPr>
              <w:t>Wat zijn de voordelen van de voorkeursoptie (als er een voorkeursoptie is; zo niet, wat zijn de voordelen van de belangrijkste opties)?</w:t>
            </w:r>
            <w:r>
              <w:rPr>
                <w:rFonts w:ascii="Tahoma" w:hAnsi="Tahoma"/>
                <w:noProof/>
                <w:sz w:val="20"/>
              </w:rPr>
              <w:t xml:space="preserve"> </w:t>
            </w:r>
          </w:p>
        </w:tc>
      </w:tr>
      <w:tr w:rsidR="0018785B" w:rsidRPr="00B230F2" w14:paraId="497DDB58" w14:textId="77777777" w:rsidTr="00AF552F">
        <w:tc>
          <w:tcPr>
            <w:tcW w:w="10188" w:type="dxa"/>
            <w:tcBorders>
              <w:bottom w:val="single" w:sz="4" w:space="0" w:color="auto"/>
            </w:tcBorders>
            <w:shd w:val="clear" w:color="auto" w:fill="auto"/>
          </w:tcPr>
          <w:p w14:paraId="2768E1BB" w14:textId="328C83BA" w:rsidR="00F56200" w:rsidRPr="00342522" w:rsidRDefault="007846A8" w:rsidP="00342522">
            <w:pPr>
              <w:jc w:val="both"/>
              <w:rPr>
                <w:rFonts w:ascii="Arial" w:hAnsi="Arial" w:cs="Arial"/>
                <w:noProof/>
                <w:sz w:val="20"/>
                <w:szCs w:val="20"/>
              </w:rPr>
            </w:pPr>
            <w:r>
              <w:rPr>
                <w:rFonts w:ascii="Arial" w:hAnsi="Arial"/>
                <w:noProof/>
                <w:sz w:val="20"/>
              </w:rPr>
              <w:t>Tegen 2030 zal de voorkeursoptie naar schatting de volgende resultaten opleveren:</w:t>
            </w:r>
          </w:p>
          <w:p w14:paraId="74A8C7AC" w14:textId="63770701" w:rsidR="00F56200" w:rsidRDefault="00665ABC" w:rsidP="00FA04A8">
            <w:pPr>
              <w:pStyle w:val="ListParagraph"/>
              <w:numPr>
                <w:ilvl w:val="0"/>
                <w:numId w:val="6"/>
              </w:numPr>
              <w:jc w:val="both"/>
              <w:rPr>
                <w:rFonts w:ascii="Arial" w:hAnsi="Arial" w:cs="Arial"/>
                <w:noProof/>
                <w:sz w:val="20"/>
                <w:szCs w:val="20"/>
              </w:rPr>
            </w:pPr>
            <w:r>
              <w:rPr>
                <w:rFonts w:ascii="Arial" w:hAnsi="Arial"/>
                <w:noProof/>
                <w:sz w:val="20"/>
              </w:rPr>
              <w:t xml:space="preserve">de laagste levenscycluskosten voor gemiddelde huishoudens en besparingen op de uitgaven van eindgebruikers van 0,53 miljard EUR per jaar; </w:t>
            </w:r>
          </w:p>
          <w:p w14:paraId="7DA8828B" w14:textId="32BD6309" w:rsidR="00F56200" w:rsidRPr="00F56200" w:rsidRDefault="00665ABC" w:rsidP="00342522">
            <w:pPr>
              <w:pStyle w:val="ListParagraph"/>
              <w:numPr>
                <w:ilvl w:val="0"/>
                <w:numId w:val="6"/>
              </w:numPr>
              <w:jc w:val="both"/>
              <w:rPr>
                <w:rFonts w:ascii="Arial" w:hAnsi="Arial" w:cs="Arial"/>
                <w:noProof/>
                <w:sz w:val="20"/>
                <w:szCs w:val="20"/>
              </w:rPr>
            </w:pPr>
            <w:r>
              <w:rPr>
                <w:rFonts w:ascii="Arial" w:hAnsi="Arial"/>
                <w:noProof/>
                <w:sz w:val="20"/>
              </w:rPr>
              <w:t>energiebesparingen van 4 TWh/jaar (wat neerkomt op een cumulatieve besparing van 23 TWh) en een daarmee samenhangende reductie van broeikasgasemissies van 1,36 Mt CO</w:t>
            </w:r>
            <w:r>
              <w:rPr>
                <w:rFonts w:ascii="Arial" w:hAnsi="Arial"/>
                <w:noProof/>
                <w:sz w:val="20"/>
                <w:vertAlign w:val="subscript"/>
              </w:rPr>
              <w:t>2</w:t>
            </w:r>
            <w:r>
              <w:rPr>
                <w:rFonts w:ascii="Arial" w:hAnsi="Arial"/>
                <w:noProof/>
                <w:sz w:val="20"/>
              </w:rPr>
              <w:t xml:space="preserve">-equivalent per jaar; </w:t>
            </w:r>
          </w:p>
          <w:p w14:paraId="44A516DE" w14:textId="236D73A5" w:rsidR="00F56200" w:rsidRPr="007D54DD" w:rsidRDefault="00665ABC" w:rsidP="00342522">
            <w:pPr>
              <w:pStyle w:val="ListParagraph"/>
              <w:numPr>
                <w:ilvl w:val="0"/>
                <w:numId w:val="6"/>
              </w:numPr>
              <w:jc w:val="both"/>
              <w:rPr>
                <w:rFonts w:ascii="Arial" w:hAnsi="Arial" w:cs="Arial"/>
                <w:noProof/>
                <w:sz w:val="20"/>
                <w:szCs w:val="20"/>
              </w:rPr>
            </w:pPr>
            <w:r>
              <w:rPr>
                <w:rFonts w:ascii="Arial" w:hAnsi="Arial"/>
                <w:noProof/>
                <w:sz w:val="20"/>
              </w:rPr>
              <w:t xml:space="preserve">extra omzet voor fabrikanten van ongeveer 180 miljoen EUR per jaar; </w:t>
            </w:r>
          </w:p>
          <w:p w14:paraId="0C6B0C9B" w14:textId="2601612E" w:rsidR="00F56200" w:rsidRPr="00F56200" w:rsidRDefault="00665ABC" w:rsidP="00342522">
            <w:pPr>
              <w:pStyle w:val="ListParagraph"/>
              <w:numPr>
                <w:ilvl w:val="0"/>
                <w:numId w:val="6"/>
              </w:numPr>
              <w:jc w:val="both"/>
              <w:rPr>
                <w:rFonts w:ascii="Arial" w:hAnsi="Arial" w:cs="Arial"/>
                <w:noProof/>
                <w:sz w:val="20"/>
                <w:szCs w:val="20"/>
              </w:rPr>
            </w:pPr>
            <w:r>
              <w:rPr>
                <w:rFonts w:ascii="Arial" w:hAnsi="Arial"/>
                <w:noProof/>
                <w:sz w:val="20"/>
              </w:rPr>
              <w:t xml:space="preserve">aanpassing van de eisen inzake ecologisch ontwerp om gelijke tred te houden met de technologische vooruitgang; </w:t>
            </w:r>
          </w:p>
          <w:p w14:paraId="497DDB57" w14:textId="489F3B15" w:rsidR="0018785B" w:rsidRPr="00DF16F2" w:rsidRDefault="00F56200" w:rsidP="00325EC4">
            <w:pPr>
              <w:pStyle w:val="ListParagraph"/>
              <w:numPr>
                <w:ilvl w:val="0"/>
                <w:numId w:val="6"/>
              </w:numPr>
              <w:jc w:val="both"/>
              <w:rPr>
                <w:rFonts w:ascii="Arial" w:hAnsi="Arial" w:cs="Arial"/>
                <w:noProof/>
                <w:sz w:val="20"/>
                <w:szCs w:val="20"/>
              </w:rPr>
            </w:pPr>
            <w:r>
              <w:rPr>
                <w:rFonts w:ascii="Arial" w:hAnsi="Arial"/>
                <w:noProof/>
                <w:sz w:val="20"/>
              </w:rPr>
              <w:t xml:space="preserve">beperkte impact op kleine en middelgrote ondernemingen die producten vervaardigen die onder de verordening vallen. </w:t>
            </w:r>
          </w:p>
        </w:tc>
      </w:tr>
      <w:tr w:rsidR="0018785B" w:rsidRPr="00501394" w14:paraId="497DDB5B" w14:textId="77777777" w:rsidTr="00AF552F">
        <w:tc>
          <w:tcPr>
            <w:tcW w:w="10188" w:type="dxa"/>
            <w:tcBorders>
              <w:bottom w:val="single" w:sz="4" w:space="0" w:color="auto"/>
            </w:tcBorders>
            <w:shd w:val="clear" w:color="auto" w:fill="E6E6E6"/>
          </w:tcPr>
          <w:p w14:paraId="497DDB5A" w14:textId="6E40ACCF" w:rsidR="0018785B" w:rsidRPr="005A1A34" w:rsidRDefault="0018785B" w:rsidP="003B53E4">
            <w:pPr>
              <w:spacing w:before="60" w:after="60"/>
              <w:jc w:val="both"/>
              <w:rPr>
                <w:rFonts w:ascii="Tahoma" w:hAnsi="Tahoma" w:cs="Tahoma"/>
                <w:noProof/>
                <w:sz w:val="20"/>
                <w:szCs w:val="20"/>
              </w:rPr>
            </w:pPr>
            <w:r>
              <w:rPr>
                <w:rFonts w:ascii="Tahoma" w:hAnsi="Tahoma"/>
                <w:b/>
                <w:noProof/>
                <w:sz w:val="20"/>
              </w:rPr>
              <w:t>Hoeveel bedragen de kosten van de voorkeursoptie (als er een voorkeursoptie is; zo niet, hoeveel bedragen de kosten van de belangrijkste opties)?</w:t>
            </w:r>
            <w:r>
              <w:rPr>
                <w:rFonts w:ascii="Tahoma" w:hAnsi="Tahoma"/>
                <w:noProof/>
                <w:sz w:val="20"/>
              </w:rPr>
              <w:t xml:space="preserve"> </w:t>
            </w:r>
          </w:p>
        </w:tc>
      </w:tr>
      <w:tr w:rsidR="0018785B" w:rsidRPr="00B230F2" w14:paraId="497DDB66" w14:textId="77777777" w:rsidTr="00AF552F">
        <w:tc>
          <w:tcPr>
            <w:tcW w:w="10188" w:type="dxa"/>
            <w:tcBorders>
              <w:bottom w:val="single" w:sz="4" w:space="0" w:color="auto"/>
            </w:tcBorders>
            <w:shd w:val="clear" w:color="auto" w:fill="auto"/>
          </w:tcPr>
          <w:p w14:paraId="468F0D1F" w14:textId="69BC51D7" w:rsidR="00325111" w:rsidRDefault="00325EC4" w:rsidP="00B37F07">
            <w:pPr>
              <w:jc w:val="both"/>
              <w:rPr>
                <w:rFonts w:ascii="Arial" w:hAnsi="Arial" w:cs="Arial"/>
                <w:noProof/>
                <w:sz w:val="20"/>
                <w:szCs w:val="20"/>
              </w:rPr>
            </w:pPr>
            <w:r>
              <w:rPr>
                <w:rFonts w:ascii="Arial" w:hAnsi="Arial"/>
                <w:noProof/>
                <w:sz w:val="20"/>
              </w:rPr>
              <w:t>De nalevingskosten en de administratieve kosten tegen 2030 worden als volgt geraamd:</w:t>
            </w:r>
          </w:p>
          <w:p w14:paraId="4B15F1BA" w14:textId="3A45ACE1" w:rsidR="00325111" w:rsidRPr="00B37F07" w:rsidRDefault="00C87B4E" w:rsidP="00C87B4E">
            <w:pPr>
              <w:pStyle w:val="ListParagraph"/>
              <w:numPr>
                <w:ilvl w:val="0"/>
                <w:numId w:val="6"/>
              </w:numPr>
              <w:jc w:val="both"/>
              <w:rPr>
                <w:rFonts w:ascii="Arial" w:hAnsi="Arial" w:cs="Arial"/>
                <w:noProof/>
                <w:sz w:val="20"/>
                <w:szCs w:val="20"/>
              </w:rPr>
            </w:pPr>
            <w:r>
              <w:rPr>
                <w:rFonts w:ascii="Arial" w:hAnsi="Arial"/>
                <w:noProof/>
                <w:sz w:val="20"/>
              </w:rPr>
              <w:t>fabrikanten (grote ondernemingen): nalevingskosten van 52 miljoen EUR per jaar en administratieve kosten (voor tests en documentatie) van 20 miljoen EUR per jaar;</w:t>
            </w:r>
          </w:p>
          <w:p w14:paraId="497DDB65" w14:textId="471AEBAA" w:rsidR="0018785B" w:rsidRPr="00C87B4E" w:rsidRDefault="00325111" w:rsidP="00325EC4">
            <w:pPr>
              <w:pStyle w:val="ListParagraph"/>
              <w:numPr>
                <w:ilvl w:val="0"/>
                <w:numId w:val="6"/>
              </w:numPr>
              <w:jc w:val="both"/>
              <w:rPr>
                <w:rFonts w:ascii="Arial" w:hAnsi="Arial" w:cs="Arial"/>
                <w:noProof/>
                <w:sz w:val="20"/>
                <w:szCs w:val="20"/>
              </w:rPr>
            </w:pPr>
            <w:r>
              <w:rPr>
                <w:rFonts w:ascii="Arial" w:hAnsi="Arial"/>
                <w:noProof/>
                <w:sz w:val="20"/>
              </w:rPr>
              <w:t>consumenten: stijging van de kosten voor de aankoop van producten met ongeveer 320 miljoen EUR per jaar. Deze kosten zullen volledig worden terugverdiend dankzij lagere elektriciteitsrekeningen en de daarmee samenhangende besparingen gedurende de levenscyclus van het product.</w:t>
            </w:r>
          </w:p>
        </w:tc>
      </w:tr>
      <w:tr w:rsidR="0018785B" w:rsidRPr="00501394" w14:paraId="497DDB68" w14:textId="77777777" w:rsidTr="00AF552F">
        <w:tc>
          <w:tcPr>
            <w:tcW w:w="10188" w:type="dxa"/>
            <w:tcBorders>
              <w:bottom w:val="single" w:sz="4" w:space="0" w:color="auto"/>
            </w:tcBorders>
            <w:shd w:val="clear" w:color="auto" w:fill="E6E6E6"/>
          </w:tcPr>
          <w:p w14:paraId="497DDB67" w14:textId="07855235" w:rsidR="0018785B" w:rsidRPr="005A1A34" w:rsidRDefault="0018785B" w:rsidP="00325EC4">
            <w:pPr>
              <w:spacing w:before="60" w:after="60"/>
              <w:jc w:val="both"/>
              <w:rPr>
                <w:rFonts w:ascii="Tahoma" w:hAnsi="Tahoma" w:cs="Tahoma"/>
                <w:noProof/>
                <w:sz w:val="20"/>
                <w:szCs w:val="20"/>
              </w:rPr>
            </w:pPr>
            <w:r>
              <w:rPr>
                <w:rFonts w:ascii="Tahoma" w:hAnsi="Tahoma"/>
                <w:b/>
                <w:noProof/>
                <w:sz w:val="20"/>
              </w:rPr>
              <w:t xml:space="preserve">Wat zijn de gevolgen voor kleine, middelgrote en micro-ondernemingen? </w:t>
            </w:r>
          </w:p>
        </w:tc>
      </w:tr>
      <w:tr w:rsidR="0018785B" w:rsidRPr="00B230F2" w14:paraId="497DDB6D" w14:textId="77777777" w:rsidTr="00AF552F">
        <w:tc>
          <w:tcPr>
            <w:tcW w:w="10188" w:type="dxa"/>
            <w:tcBorders>
              <w:bottom w:val="single" w:sz="4" w:space="0" w:color="auto"/>
            </w:tcBorders>
            <w:shd w:val="clear" w:color="auto" w:fill="auto"/>
          </w:tcPr>
          <w:p w14:paraId="497DDB6C" w14:textId="18BC6891" w:rsidR="0018785B" w:rsidRPr="00F671DA" w:rsidRDefault="00432AFF" w:rsidP="00325EC4">
            <w:pPr>
              <w:jc w:val="both"/>
              <w:rPr>
                <w:rFonts w:ascii="Arial" w:hAnsi="Arial" w:cs="Arial"/>
                <w:noProof/>
                <w:sz w:val="20"/>
                <w:szCs w:val="20"/>
              </w:rPr>
            </w:pPr>
            <w:r>
              <w:rPr>
                <w:rFonts w:ascii="Arial" w:hAnsi="Arial"/>
                <w:noProof/>
                <w:sz w:val="20"/>
              </w:rPr>
              <w:t xml:space="preserve">De voorgestelde verordening is volledig van toepassing op kleine, middelgrote en micro-ondernemingen die betrokken zijn bij de vervaardiging van producten die onder de verordening vallen. Het marktaandeel van kleine en middelgrote ondernemingen wordt geschat op ongeveer 30 %. De belangrijkste kosten voor deze ondernemingen zullen verband houden met productconformiteit/herontwerp en tests (in totaal ongeveer 30 miljoen EUR per jaar in 2030). Deze kosten zullen echter marginaal zijn; zo zullen de testkosten van ongeveer 1 300 EUR per model leiden tot een gemiddelde prijsstijging van elke verkochte eenheid met 0,028 EUR. Daarom wordt ervan uitgegaan dat deze kosten volledig aan klanten worden doorberekend. </w:t>
            </w:r>
          </w:p>
        </w:tc>
      </w:tr>
      <w:tr w:rsidR="0018785B" w:rsidRPr="00501394" w14:paraId="497DDB6F" w14:textId="77777777" w:rsidTr="00AF552F">
        <w:tc>
          <w:tcPr>
            <w:tcW w:w="10188" w:type="dxa"/>
            <w:tcBorders>
              <w:bottom w:val="single" w:sz="4" w:space="0" w:color="auto"/>
            </w:tcBorders>
            <w:shd w:val="clear" w:color="auto" w:fill="E6E6E6"/>
          </w:tcPr>
          <w:p w14:paraId="497DDB6E" w14:textId="49E39257" w:rsidR="0018785B" w:rsidRPr="003D39F6" w:rsidRDefault="0018785B" w:rsidP="003B53E4">
            <w:pPr>
              <w:spacing w:before="60"/>
              <w:jc w:val="both"/>
              <w:rPr>
                <w:rFonts w:ascii="Tahoma" w:hAnsi="Tahoma" w:cs="Tahoma"/>
                <w:b/>
                <w:i/>
                <w:noProof/>
                <w:sz w:val="20"/>
                <w:szCs w:val="20"/>
              </w:rPr>
            </w:pPr>
            <w:r>
              <w:rPr>
                <w:rFonts w:ascii="Tahoma" w:hAnsi="Tahoma"/>
                <w:b/>
                <w:noProof/>
                <w:sz w:val="20"/>
              </w:rPr>
              <w:t>Zijn er significante gevolgen voor de nationale begrotingen en overheden?</w:t>
            </w:r>
            <w:r>
              <w:rPr>
                <w:rFonts w:ascii="Tahoma" w:hAnsi="Tahoma"/>
                <w:noProof/>
                <w:sz w:val="20"/>
              </w:rPr>
              <w:t xml:space="preserve"> </w:t>
            </w:r>
          </w:p>
        </w:tc>
      </w:tr>
      <w:tr w:rsidR="0018785B" w:rsidRPr="00B230F2" w14:paraId="497DDB73" w14:textId="77777777" w:rsidTr="00AF552F">
        <w:tc>
          <w:tcPr>
            <w:tcW w:w="10188" w:type="dxa"/>
            <w:shd w:val="clear" w:color="auto" w:fill="auto"/>
          </w:tcPr>
          <w:p w14:paraId="497DDB72" w14:textId="634D98FF" w:rsidR="000938BB" w:rsidRDefault="00F671DA" w:rsidP="00ED4E21">
            <w:pPr>
              <w:jc w:val="both"/>
              <w:rPr>
                <w:rFonts w:ascii="Arial" w:hAnsi="Arial" w:cs="Arial"/>
                <w:noProof/>
                <w:sz w:val="20"/>
                <w:szCs w:val="20"/>
              </w:rPr>
            </w:pPr>
            <w:r>
              <w:rPr>
                <w:rFonts w:ascii="Arial" w:hAnsi="Arial"/>
                <w:noProof/>
                <w:sz w:val="20"/>
              </w:rPr>
              <w:t>Er zijn geen extra geraamde gevolgen voor de nationale begrotingen en overheden. De lidstaten zouden daarentegen profiteren van kosteneffectiever markttoezicht (door betere toegang tot informatie over de prestaties van de producten in de standby- en uitstand).</w:t>
            </w:r>
          </w:p>
        </w:tc>
      </w:tr>
      <w:tr w:rsidR="0018785B" w:rsidRPr="00501394" w14:paraId="497DDB75" w14:textId="77777777" w:rsidTr="00AF552F">
        <w:tc>
          <w:tcPr>
            <w:tcW w:w="10188" w:type="dxa"/>
            <w:tcBorders>
              <w:bottom w:val="single" w:sz="4" w:space="0" w:color="auto"/>
            </w:tcBorders>
            <w:shd w:val="clear" w:color="auto" w:fill="E6E6E6"/>
          </w:tcPr>
          <w:p w14:paraId="497DDB74" w14:textId="18675091" w:rsidR="0018785B" w:rsidRPr="00501394" w:rsidRDefault="0018785B" w:rsidP="0083268B">
            <w:pPr>
              <w:spacing w:before="60"/>
              <w:jc w:val="both"/>
              <w:rPr>
                <w:rFonts w:ascii="Tahoma" w:hAnsi="Tahoma" w:cs="Tahoma"/>
                <w:noProof/>
                <w:sz w:val="20"/>
                <w:szCs w:val="20"/>
              </w:rPr>
            </w:pPr>
            <w:r>
              <w:rPr>
                <w:rFonts w:ascii="Tahoma" w:hAnsi="Tahoma"/>
                <w:b/>
                <w:noProof/>
                <w:sz w:val="20"/>
              </w:rPr>
              <w:t>Zijn er nog andere significante gevolgen?</w:t>
            </w:r>
            <w:r>
              <w:rPr>
                <w:rFonts w:ascii="Tahoma" w:hAnsi="Tahoma"/>
                <w:noProof/>
                <w:sz w:val="20"/>
              </w:rPr>
              <w:t xml:space="preserve"> </w:t>
            </w:r>
          </w:p>
        </w:tc>
      </w:tr>
      <w:tr w:rsidR="0018785B" w:rsidRPr="00B230F2" w14:paraId="497DDB7C" w14:textId="77777777" w:rsidTr="00AF552F">
        <w:tc>
          <w:tcPr>
            <w:tcW w:w="10188" w:type="dxa"/>
            <w:tcBorders>
              <w:bottom w:val="single" w:sz="4" w:space="0" w:color="auto"/>
            </w:tcBorders>
            <w:shd w:val="clear" w:color="auto" w:fill="auto"/>
          </w:tcPr>
          <w:p w14:paraId="497DDB7B" w14:textId="0598893C" w:rsidR="0018785B" w:rsidRDefault="00DF16F2" w:rsidP="0083268B">
            <w:pPr>
              <w:jc w:val="both"/>
              <w:rPr>
                <w:rFonts w:ascii="Arial" w:hAnsi="Arial" w:cs="Arial"/>
                <w:noProof/>
                <w:sz w:val="20"/>
                <w:szCs w:val="20"/>
              </w:rPr>
            </w:pPr>
            <w:r>
              <w:rPr>
                <w:rFonts w:ascii="Arial" w:hAnsi="Arial"/>
                <w:noProof/>
                <w:sz w:val="20"/>
              </w:rPr>
              <w:t>Er worden geen andere significante of negatieve gevolgen verwacht.</w:t>
            </w:r>
          </w:p>
        </w:tc>
      </w:tr>
      <w:tr w:rsidR="0018785B" w:rsidRPr="00501394" w14:paraId="497DDB7E" w14:textId="77777777" w:rsidTr="00AF552F">
        <w:tc>
          <w:tcPr>
            <w:tcW w:w="10188" w:type="dxa"/>
            <w:tcBorders>
              <w:bottom w:val="single" w:sz="4" w:space="0" w:color="auto"/>
            </w:tcBorders>
            <w:shd w:val="clear" w:color="auto" w:fill="C0C0C0"/>
          </w:tcPr>
          <w:p w14:paraId="497DDB7D" w14:textId="77777777" w:rsidR="0018785B" w:rsidRPr="0040097D" w:rsidRDefault="0018785B" w:rsidP="00AF552F">
            <w:pPr>
              <w:spacing w:before="60" w:after="60"/>
              <w:jc w:val="center"/>
              <w:rPr>
                <w:rFonts w:ascii="Tahoma" w:hAnsi="Tahoma" w:cs="Tahoma"/>
                <w:b/>
                <w:noProof/>
                <w:sz w:val="22"/>
                <w:szCs w:val="22"/>
              </w:rPr>
            </w:pPr>
            <w:r>
              <w:rPr>
                <w:rFonts w:ascii="Tahoma" w:hAnsi="Tahoma"/>
                <w:b/>
                <w:noProof/>
                <w:sz w:val="22"/>
              </w:rPr>
              <w:t>D. Evaluatie</w:t>
            </w:r>
          </w:p>
        </w:tc>
      </w:tr>
      <w:tr w:rsidR="0018785B" w:rsidRPr="00501394" w14:paraId="497DDB80" w14:textId="77777777" w:rsidTr="00AF552F">
        <w:tc>
          <w:tcPr>
            <w:tcW w:w="10188" w:type="dxa"/>
            <w:tcBorders>
              <w:bottom w:val="single" w:sz="4" w:space="0" w:color="auto"/>
            </w:tcBorders>
            <w:shd w:val="clear" w:color="auto" w:fill="E6E6E6"/>
          </w:tcPr>
          <w:p w14:paraId="497DDB7F" w14:textId="56BE2C32" w:rsidR="0018785B" w:rsidRPr="00501394" w:rsidRDefault="0018785B" w:rsidP="0083268B">
            <w:pPr>
              <w:spacing w:before="60"/>
              <w:jc w:val="both"/>
              <w:rPr>
                <w:rFonts w:ascii="Tahoma" w:hAnsi="Tahoma" w:cs="Tahoma"/>
                <w:noProof/>
                <w:sz w:val="20"/>
                <w:szCs w:val="20"/>
              </w:rPr>
            </w:pPr>
            <w:r>
              <w:rPr>
                <w:rFonts w:ascii="Tahoma" w:hAnsi="Tahoma"/>
                <w:b/>
                <w:noProof/>
                <w:sz w:val="20"/>
              </w:rPr>
              <w:t xml:space="preserve">Wanneer wordt dit beleid geëvalueerd? </w:t>
            </w:r>
          </w:p>
        </w:tc>
      </w:tr>
      <w:tr w:rsidR="0018785B" w:rsidRPr="00501394" w14:paraId="497DDB84" w14:textId="77777777" w:rsidTr="00AF552F">
        <w:tc>
          <w:tcPr>
            <w:tcW w:w="10188" w:type="dxa"/>
            <w:tcBorders>
              <w:bottom w:val="single" w:sz="4" w:space="0" w:color="auto"/>
            </w:tcBorders>
            <w:shd w:val="clear" w:color="auto" w:fill="auto"/>
          </w:tcPr>
          <w:p w14:paraId="497DDB83" w14:textId="35F7E1EE" w:rsidR="0018785B" w:rsidRPr="0018785B" w:rsidRDefault="009B6F53" w:rsidP="00ED4E21">
            <w:pPr>
              <w:jc w:val="both"/>
              <w:rPr>
                <w:rFonts w:ascii="Tahoma" w:hAnsi="Tahoma" w:cs="Tahoma"/>
                <w:noProof/>
                <w:sz w:val="20"/>
                <w:szCs w:val="20"/>
              </w:rPr>
            </w:pPr>
            <w:r>
              <w:rPr>
                <w:rFonts w:ascii="Tahoma" w:hAnsi="Tahoma"/>
                <w:noProof/>
                <w:sz w:val="20"/>
              </w:rPr>
              <w:t xml:space="preserve">Een herzieningsclausule zal bepalen dat de verordening binnen vijf jaar na de vaststelling ervan wordt herzien. </w:t>
            </w:r>
          </w:p>
        </w:tc>
      </w:tr>
    </w:tbl>
    <w:p w14:paraId="497DDB85" w14:textId="77777777" w:rsidR="0018785B" w:rsidRPr="003F1C46" w:rsidRDefault="0018785B" w:rsidP="00065455">
      <w:pPr>
        <w:rPr>
          <w:noProof/>
        </w:rPr>
      </w:pPr>
    </w:p>
    <w:sectPr w:rsidR="0018785B" w:rsidRPr="003F1C46" w:rsidSect="004D7B02">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851" w:left="1417" w:header="708" w:footer="469" w:gutter="0"/>
      <w:pgNumType w:start="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A7E4" w16cex:dateUtc="2023-03-20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19ABC" w16cid:durableId="27C2A7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DB89" w14:textId="77777777" w:rsidR="007C01F7" w:rsidRDefault="007C01F7" w:rsidP="0018785B">
      <w:r>
        <w:separator/>
      </w:r>
    </w:p>
  </w:endnote>
  <w:endnote w:type="continuationSeparator" w:id="0">
    <w:p w14:paraId="497DDB8A" w14:textId="77777777" w:rsidR="007C01F7" w:rsidRDefault="007C01F7" w:rsidP="0018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93BD" w14:textId="77777777" w:rsidR="00F55CD7" w:rsidRPr="00F55CD7" w:rsidRDefault="00F55CD7" w:rsidP="00F5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44BC3" w14:textId="6D2A47CA" w:rsidR="00B070AE" w:rsidRPr="00F55CD7" w:rsidRDefault="00F55CD7" w:rsidP="00F55CD7">
    <w:pPr>
      <w:pStyle w:val="FooterCoverPage"/>
      <w:rPr>
        <w:rFonts w:ascii="Arial" w:hAnsi="Arial" w:cs="Arial"/>
        <w:b/>
        <w:sz w:val="48"/>
      </w:rPr>
    </w:pPr>
    <w:r w:rsidRPr="00F55CD7">
      <w:rPr>
        <w:rFonts w:ascii="Arial" w:hAnsi="Arial" w:cs="Arial"/>
        <w:b/>
        <w:sz w:val="48"/>
      </w:rPr>
      <w:t>NL</w:t>
    </w:r>
    <w:r w:rsidRPr="00F55CD7">
      <w:rPr>
        <w:rFonts w:ascii="Arial" w:hAnsi="Arial" w:cs="Arial"/>
        <w:b/>
        <w:sz w:val="48"/>
      </w:rPr>
      <w:tab/>
    </w:r>
    <w:r w:rsidRPr="00F55CD7">
      <w:rPr>
        <w:rFonts w:ascii="Arial" w:hAnsi="Arial" w:cs="Arial"/>
        <w:b/>
        <w:sz w:val="48"/>
      </w:rPr>
      <w:tab/>
    </w:r>
    <w:r w:rsidRPr="00F55CD7">
      <w:tab/>
    </w:r>
    <w:r w:rsidRPr="00F55CD7">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A924" w14:textId="77777777" w:rsidR="00F55CD7" w:rsidRPr="00F55CD7" w:rsidRDefault="00F55CD7" w:rsidP="00F55CD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DB93" w14:textId="77777777" w:rsidR="0018785B" w:rsidRDefault="001878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234660"/>
      <w:docPartObj>
        <w:docPartGallery w:val="Page Numbers (Bottom of Page)"/>
        <w:docPartUnique/>
      </w:docPartObj>
    </w:sdtPr>
    <w:sdtEndPr>
      <w:rPr>
        <w:noProof/>
      </w:rPr>
    </w:sdtEndPr>
    <w:sdtContent>
      <w:p w14:paraId="497DDB94" w14:textId="4EFFE24F" w:rsidR="0018785B" w:rsidRDefault="00C03F89" w:rsidP="00C03F89">
        <w:pPr>
          <w:pStyle w:val="Footer"/>
          <w:jc w:val="center"/>
        </w:pPr>
        <w:r>
          <w:fldChar w:fldCharType="begin"/>
        </w:r>
        <w:r>
          <w:instrText xml:space="preserve"> PAGE   \* MERGEFORMAT </w:instrText>
        </w:r>
        <w:r>
          <w:fldChar w:fldCharType="separate"/>
        </w:r>
        <w:r w:rsidR="00F55CD7">
          <w:rPr>
            <w:noProof/>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DB96" w14:textId="77777777" w:rsidR="0018785B" w:rsidRDefault="0018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DDB87" w14:textId="77777777" w:rsidR="007C01F7" w:rsidRDefault="007C01F7" w:rsidP="0018785B">
      <w:r>
        <w:separator/>
      </w:r>
    </w:p>
  </w:footnote>
  <w:footnote w:type="continuationSeparator" w:id="0">
    <w:p w14:paraId="497DDB88" w14:textId="77777777" w:rsidR="007C01F7" w:rsidRDefault="007C01F7" w:rsidP="0018785B">
      <w:r>
        <w:continuationSeparator/>
      </w:r>
    </w:p>
  </w:footnote>
  <w:footnote w:id="1">
    <w:p w14:paraId="398663AF" w14:textId="4945B8D5" w:rsidR="00E20FC1" w:rsidRPr="006E2940" w:rsidRDefault="00E20FC1" w:rsidP="006E2940">
      <w:pPr>
        <w:pStyle w:val="FootnoteText"/>
        <w:ind w:left="284" w:hanging="284"/>
      </w:pPr>
      <w:r>
        <w:rPr>
          <w:rStyle w:val="FootnoteReference"/>
        </w:rPr>
        <w:footnoteRef/>
      </w:r>
      <w:r>
        <w:tab/>
      </w:r>
      <w:hyperlink r:id="rId1" w:history="1">
        <w:r>
          <w:rPr>
            <w:rStyle w:val="Hyperlink"/>
          </w:rPr>
          <w:t>Verordening (EG) nr. 1275/2008 van de Commissie van 17 december 2008 tot vaststelling van uitvoeringsbepalingen van Richtlijn 2005/32/EG van het Europees Parlement en de Raad, wat de voorschriften inzake ecologisch ontwerp voor het elektriciteitsverbruik van elektrische en elektronische huishoud- en kantoorapparatuur in de stand-by- en uit-stand en de netwerkgebonden stand-by-stand betreft (PB L 339 van 18.12.2008, blz. 45)</w:t>
        </w:r>
      </w:hyperlink>
      <w:r>
        <w:t xml:space="preserve"> </w:t>
      </w:r>
      <w:r>
        <w:rPr>
          <w:rStyle w:val="Hyperlink"/>
          <w:color w:val="auto"/>
          <w:u w:val="none"/>
        </w:rPr>
        <w:t>(Verordening ecologisch ontwerp)</w:t>
      </w:r>
      <w:r>
        <w:t>.</w:t>
      </w:r>
      <w:r>
        <w:rPr>
          <w:rStyle w:val="Hyperlink"/>
          <w:color w:val="auto"/>
        </w:rPr>
        <w:t xml:space="preserve"> </w:t>
      </w:r>
    </w:p>
  </w:footnote>
  <w:footnote w:id="2">
    <w:p w14:paraId="23A95B76" w14:textId="530A5E0B" w:rsidR="00191736" w:rsidRPr="00191736" w:rsidRDefault="00191736" w:rsidP="007E383D">
      <w:pPr>
        <w:pStyle w:val="FootnoteText"/>
        <w:ind w:left="284" w:hanging="284"/>
      </w:pPr>
      <w:r>
        <w:rPr>
          <w:rStyle w:val="FootnoteReference"/>
        </w:rPr>
        <w:footnoteRef/>
      </w:r>
      <w:r>
        <w:tab/>
        <w:t>Verordening (EG) nr. 107/2009 van de Commissie van 4 februari 2009 tot uitvoering van Richtlijn 2005/32/EG van het Europees Parlement en de Raad betreffende eisen inzake ecologisch ontwerp voor eenvoudige set-top boxes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33E6F" w14:textId="77777777" w:rsidR="00F55CD7" w:rsidRPr="00F55CD7" w:rsidRDefault="00F55CD7" w:rsidP="00F55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527A" w14:textId="77777777" w:rsidR="00F55CD7" w:rsidRPr="00F55CD7" w:rsidRDefault="00F55CD7" w:rsidP="00F55CD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46EE" w14:textId="77777777" w:rsidR="00F55CD7" w:rsidRPr="00F55CD7" w:rsidRDefault="00F55CD7" w:rsidP="00F55CD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DB91" w14:textId="77777777" w:rsidR="0018785B" w:rsidRDefault="001878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DB92" w14:textId="77777777" w:rsidR="0018785B" w:rsidRDefault="001878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DB95" w14:textId="77777777" w:rsidR="0018785B" w:rsidRDefault="00187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0EEE"/>
    <w:multiLevelType w:val="hybridMultilevel"/>
    <w:tmpl w:val="0A54B8B2"/>
    <w:lvl w:ilvl="0" w:tplc="2FD68C9C">
      <w:start w:val="1"/>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D81432E"/>
    <w:multiLevelType w:val="hybridMultilevel"/>
    <w:tmpl w:val="5904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142D8"/>
    <w:multiLevelType w:val="hybridMultilevel"/>
    <w:tmpl w:val="413E66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9264604"/>
    <w:multiLevelType w:val="hybridMultilevel"/>
    <w:tmpl w:val="742AF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0EA44EA"/>
    <w:multiLevelType w:val="hybridMultilevel"/>
    <w:tmpl w:val="CEE84156"/>
    <w:lvl w:ilvl="0" w:tplc="4CFCC2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84270B"/>
    <w:multiLevelType w:val="hybridMultilevel"/>
    <w:tmpl w:val="5E6CDEEC"/>
    <w:lvl w:ilvl="0" w:tplc="B9C661C6">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ij"/>
    <w:docVar w:name="LW_CORRIGENDUM" w:val="&lt;UNUSED&gt;"/>
    <w:docVar w:name="LW_COVERPAGE_EXISTS" w:val="True"/>
    <w:docVar w:name="LW_COVERPAGE_GUID" w:val="908515D7-A350-4201-AE29-E67E5DA41906"/>
    <w:docVar w:name="LW_COVERPAGE_TYPE" w:val="1"/>
    <w:docVar w:name="LW_CROSSREFERENCE" w:val="{C(2023) 2448 final} - {SEC(2023) 149 final} - {SWD(2023) 86 final}"/>
    <w:docVar w:name="LW_DocType" w:val="NORMAL"/>
    <w:docVar w:name="LW_EMISSION" w:val="17.4.2023"/>
    <w:docVar w:name="LW_EMISSION_ISODATE" w:val="2023-04-17"/>
    <w:docVar w:name="LW_EMISSION_LOCATION" w:val="BRX"/>
    <w:docVar w:name="LW_EMISSION_PREFIX" w:val="Brussel, "/>
    <w:docVar w:name="LW_EMISSION_SUFFIX" w:val=" "/>
    <w:docVar w:name="LW_ID_DOCTYPE_NONLW" w:val="CP-027"/>
    <w:docVar w:name="LW_LANGUE" w:val="NL"/>
    <w:docVar w:name="LW_LEVEL_OF_SENSITIVITY" w:val="Standard treatment"/>
    <w:docVar w:name="LW_NOM.INST" w:val="EUROPESE COMMISSIE"/>
    <w:docVar w:name="LW_NOM.INST_JOINTDOC" w:val="&lt;EMPTY&gt;"/>
    <w:docVar w:name="LW_OBJETACTEPRINCIPAL.CP" w:val="tot vaststelling van eisen inzake ecologisch ontwerp voor het energieverbruik van elektrische en elektronische huishoud- en kantoorapparaten in de uitstand, de standby-stand en de netwerkgebonden standby-stand overeenkomstig Richtlijn 2009/125/EG van het Europees Parlement en de Raad en tot intrekking van Verordening (EG) nr. 1275/2008 van de Commissie en Verordening (EG) nr. 107/2009 van de Commissie"/>
    <w:docVar w:name="LW_PART_NBR" w:val="1"/>
    <w:docVar w:name="LW_PART_NBR_TOTAL" w:val="1"/>
    <w:docVar w:name="LW_REF.INST.NEW" w:val="SWD"/>
    <w:docVar w:name="LW_REF.INST.NEW_ADOPTED" w:val="final"/>
    <w:docVar w:name="LW_REF.INST.NEW_TEXT" w:val="(2023) 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WERKDOCUMENT VAN DE DIENSTEN VAN DE COMMISSIE_x000b__x000b_SAMENVATTING VAN HET EFFECTBEOORDELINGSVERSLAG_x000b_"/>
    <w:docVar w:name="LW_TYPEACTEPRINCIPAL.CP" w:val="VERORDENING (EU) …/... VAN DE COMMISSIE"/>
    <w:docVar w:name="LwApiVersions" w:val="LW4CoDe 1.23.2.0; LW 8.0, Build 20211117"/>
  </w:docVars>
  <w:rsids>
    <w:rsidRoot w:val="0018785B"/>
    <w:rsid w:val="00014FCD"/>
    <w:rsid w:val="00023B12"/>
    <w:rsid w:val="00024C93"/>
    <w:rsid w:val="00025E29"/>
    <w:rsid w:val="0002772B"/>
    <w:rsid w:val="00032B37"/>
    <w:rsid w:val="000379BE"/>
    <w:rsid w:val="0004500D"/>
    <w:rsid w:val="00055CD4"/>
    <w:rsid w:val="00064C02"/>
    <w:rsid w:val="00065455"/>
    <w:rsid w:val="00081F44"/>
    <w:rsid w:val="000938BB"/>
    <w:rsid w:val="000A0604"/>
    <w:rsid w:val="000A6B30"/>
    <w:rsid w:val="000B52AB"/>
    <w:rsid w:val="000C7C72"/>
    <w:rsid w:val="000D297C"/>
    <w:rsid w:val="000D5A94"/>
    <w:rsid w:val="000E10E0"/>
    <w:rsid w:val="000E146C"/>
    <w:rsid w:val="000F69F2"/>
    <w:rsid w:val="00106F8D"/>
    <w:rsid w:val="00112BD2"/>
    <w:rsid w:val="0011388F"/>
    <w:rsid w:val="00116AF2"/>
    <w:rsid w:val="00117D09"/>
    <w:rsid w:val="00147226"/>
    <w:rsid w:val="00147B83"/>
    <w:rsid w:val="00154E4D"/>
    <w:rsid w:val="00155E32"/>
    <w:rsid w:val="00171369"/>
    <w:rsid w:val="0017399E"/>
    <w:rsid w:val="0018785B"/>
    <w:rsid w:val="00191736"/>
    <w:rsid w:val="001B19A2"/>
    <w:rsid w:val="001B70B0"/>
    <w:rsid w:val="001C2378"/>
    <w:rsid w:val="001C6757"/>
    <w:rsid w:val="001D07EF"/>
    <w:rsid w:val="001F2455"/>
    <w:rsid w:val="001F39ED"/>
    <w:rsid w:val="0021319A"/>
    <w:rsid w:val="0021556B"/>
    <w:rsid w:val="00226605"/>
    <w:rsid w:val="00240318"/>
    <w:rsid w:val="00247042"/>
    <w:rsid w:val="00254B65"/>
    <w:rsid w:val="002562AE"/>
    <w:rsid w:val="002728C9"/>
    <w:rsid w:val="0027353A"/>
    <w:rsid w:val="00282A5F"/>
    <w:rsid w:val="00291BD8"/>
    <w:rsid w:val="002C4FDB"/>
    <w:rsid w:val="003035DA"/>
    <w:rsid w:val="00322E2F"/>
    <w:rsid w:val="00324AD5"/>
    <w:rsid w:val="00325111"/>
    <w:rsid w:val="00325EC4"/>
    <w:rsid w:val="00336C8F"/>
    <w:rsid w:val="00337B8B"/>
    <w:rsid w:val="00342522"/>
    <w:rsid w:val="00351789"/>
    <w:rsid w:val="00354C40"/>
    <w:rsid w:val="00386922"/>
    <w:rsid w:val="0039584D"/>
    <w:rsid w:val="003B2E5B"/>
    <w:rsid w:val="003B53E4"/>
    <w:rsid w:val="003B65EE"/>
    <w:rsid w:val="003C022F"/>
    <w:rsid w:val="003C7553"/>
    <w:rsid w:val="003D31D4"/>
    <w:rsid w:val="003F1C46"/>
    <w:rsid w:val="003F2DCD"/>
    <w:rsid w:val="00411AD8"/>
    <w:rsid w:val="00432AFF"/>
    <w:rsid w:val="00440439"/>
    <w:rsid w:val="004404F5"/>
    <w:rsid w:val="00442FBE"/>
    <w:rsid w:val="00450AF1"/>
    <w:rsid w:val="004624B1"/>
    <w:rsid w:val="004A1C2F"/>
    <w:rsid w:val="004D7B02"/>
    <w:rsid w:val="004E2378"/>
    <w:rsid w:val="004E5AD7"/>
    <w:rsid w:val="004F4250"/>
    <w:rsid w:val="00506A9C"/>
    <w:rsid w:val="00512829"/>
    <w:rsid w:val="005130CC"/>
    <w:rsid w:val="00526335"/>
    <w:rsid w:val="005277CC"/>
    <w:rsid w:val="0054728B"/>
    <w:rsid w:val="0057007A"/>
    <w:rsid w:val="005934A0"/>
    <w:rsid w:val="005A72B4"/>
    <w:rsid w:val="005B79FF"/>
    <w:rsid w:val="005C2753"/>
    <w:rsid w:val="005D317B"/>
    <w:rsid w:val="005E1619"/>
    <w:rsid w:val="005E4D46"/>
    <w:rsid w:val="005E6F8B"/>
    <w:rsid w:val="0060001C"/>
    <w:rsid w:val="00600583"/>
    <w:rsid w:val="00636DE9"/>
    <w:rsid w:val="00665ABC"/>
    <w:rsid w:val="00666570"/>
    <w:rsid w:val="00680AC3"/>
    <w:rsid w:val="00695A9D"/>
    <w:rsid w:val="006B48B1"/>
    <w:rsid w:val="006B7062"/>
    <w:rsid w:val="006C6DEB"/>
    <w:rsid w:val="006D3C85"/>
    <w:rsid w:val="006E0D4C"/>
    <w:rsid w:val="006E1AF2"/>
    <w:rsid w:val="006E2940"/>
    <w:rsid w:val="006F5521"/>
    <w:rsid w:val="007245F3"/>
    <w:rsid w:val="00761ADC"/>
    <w:rsid w:val="007711B5"/>
    <w:rsid w:val="0078322C"/>
    <w:rsid w:val="007846A8"/>
    <w:rsid w:val="00785453"/>
    <w:rsid w:val="007866F9"/>
    <w:rsid w:val="007A0CCD"/>
    <w:rsid w:val="007A625C"/>
    <w:rsid w:val="007B493E"/>
    <w:rsid w:val="007C01F7"/>
    <w:rsid w:val="007D54DD"/>
    <w:rsid w:val="007E0936"/>
    <w:rsid w:val="007E383D"/>
    <w:rsid w:val="007F7807"/>
    <w:rsid w:val="0080199E"/>
    <w:rsid w:val="00812A5F"/>
    <w:rsid w:val="008133DF"/>
    <w:rsid w:val="0083268B"/>
    <w:rsid w:val="00844E19"/>
    <w:rsid w:val="008473E5"/>
    <w:rsid w:val="008815C9"/>
    <w:rsid w:val="00895533"/>
    <w:rsid w:val="00897712"/>
    <w:rsid w:val="008B2115"/>
    <w:rsid w:val="008D5C88"/>
    <w:rsid w:val="008F4767"/>
    <w:rsid w:val="00904C60"/>
    <w:rsid w:val="00916E6C"/>
    <w:rsid w:val="00927ADC"/>
    <w:rsid w:val="00936EFA"/>
    <w:rsid w:val="00944674"/>
    <w:rsid w:val="009510B3"/>
    <w:rsid w:val="009702D0"/>
    <w:rsid w:val="009A429E"/>
    <w:rsid w:val="009B6F53"/>
    <w:rsid w:val="009D4AC1"/>
    <w:rsid w:val="009E3BD0"/>
    <w:rsid w:val="009F2DFF"/>
    <w:rsid w:val="00A050BD"/>
    <w:rsid w:val="00A148F5"/>
    <w:rsid w:val="00A300F2"/>
    <w:rsid w:val="00A407E9"/>
    <w:rsid w:val="00A42210"/>
    <w:rsid w:val="00A44FA9"/>
    <w:rsid w:val="00A46F2B"/>
    <w:rsid w:val="00A64E08"/>
    <w:rsid w:val="00A76F5A"/>
    <w:rsid w:val="00A85AE7"/>
    <w:rsid w:val="00A92263"/>
    <w:rsid w:val="00A96FA3"/>
    <w:rsid w:val="00AA3A5F"/>
    <w:rsid w:val="00AD2651"/>
    <w:rsid w:val="00AD3963"/>
    <w:rsid w:val="00AE07D7"/>
    <w:rsid w:val="00AF12A0"/>
    <w:rsid w:val="00AF7E4E"/>
    <w:rsid w:val="00B070AE"/>
    <w:rsid w:val="00B17065"/>
    <w:rsid w:val="00B317B5"/>
    <w:rsid w:val="00B37F07"/>
    <w:rsid w:val="00B425B3"/>
    <w:rsid w:val="00B42968"/>
    <w:rsid w:val="00B467C5"/>
    <w:rsid w:val="00B47141"/>
    <w:rsid w:val="00B57BF1"/>
    <w:rsid w:val="00B61A3F"/>
    <w:rsid w:val="00B84C88"/>
    <w:rsid w:val="00BA2260"/>
    <w:rsid w:val="00BA292E"/>
    <w:rsid w:val="00BC6DAC"/>
    <w:rsid w:val="00BD2F10"/>
    <w:rsid w:val="00BD70C9"/>
    <w:rsid w:val="00BF7FAC"/>
    <w:rsid w:val="00C00388"/>
    <w:rsid w:val="00C0040E"/>
    <w:rsid w:val="00C03F89"/>
    <w:rsid w:val="00C05C45"/>
    <w:rsid w:val="00C1743F"/>
    <w:rsid w:val="00C26D57"/>
    <w:rsid w:val="00C37559"/>
    <w:rsid w:val="00C42ABB"/>
    <w:rsid w:val="00C70E4E"/>
    <w:rsid w:val="00C742E6"/>
    <w:rsid w:val="00C74D84"/>
    <w:rsid w:val="00C859E6"/>
    <w:rsid w:val="00C87B4E"/>
    <w:rsid w:val="00C87E16"/>
    <w:rsid w:val="00C9048C"/>
    <w:rsid w:val="00CA2474"/>
    <w:rsid w:val="00CC2A75"/>
    <w:rsid w:val="00CF36F0"/>
    <w:rsid w:val="00CF5DE8"/>
    <w:rsid w:val="00CF678C"/>
    <w:rsid w:val="00D00F05"/>
    <w:rsid w:val="00D017C0"/>
    <w:rsid w:val="00D52F2F"/>
    <w:rsid w:val="00DA0173"/>
    <w:rsid w:val="00DA4626"/>
    <w:rsid w:val="00DA4EE8"/>
    <w:rsid w:val="00DB0200"/>
    <w:rsid w:val="00DB2834"/>
    <w:rsid w:val="00DC7EA2"/>
    <w:rsid w:val="00DE2C61"/>
    <w:rsid w:val="00DE79D6"/>
    <w:rsid w:val="00DF16F2"/>
    <w:rsid w:val="00DF1A8E"/>
    <w:rsid w:val="00E04A3D"/>
    <w:rsid w:val="00E20FC1"/>
    <w:rsid w:val="00E65594"/>
    <w:rsid w:val="00E94707"/>
    <w:rsid w:val="00EA42BC"/>
    <w:rsid w:val="00EB561F"/>
    <w:rsid w:val="00EB6D84"/>
    <w:rsid w:val="00ED4E21"/>
    <w:rsid w:val="00EE41D4"/>
    <w:rsid w:val="00EE4827"/>
    <w:rsid w:val="00EE661E"/>
    <w:rsid w:val="00EF6A04"/>
    <w:rsid w:val="00F12D8B"/>
    <w:rsid w:val="00F12E9B"/>
    <w:rsid w:val="00F21172"/>
    <w:rsid w:val="00F34901"/>
    <w:rsid w:val="00F44AA1"/>
    <w:rsid w:val="00F55CD7"/>
    <w:rsid w:val="00F56200"/>
    <w:rsid w:val="00F60986"/>
    <w:rsid w:val="00F671DA"/>
    <w:rsid w:val="00F952FC"/>
    <w:rsid w:val="00FA04A8"/>
    <w:rsid w:val="00FA79E7"/>
    <w:rsid w:val="00FB0BF9"/>
    <w:rsid w:val="00FD26CA"/>
    <w:rsid w:val="00FD7897"/>
    <w:rsid w:val="00FD7E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7DDB07"/>
  <w15:docId w15:val="{D4D2555B-17ED-4ABB-848A-CDA2CC26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85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8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85B"/>
    <w:rPr>
      <w:rFonts w:ascii="Tahoma" w:hAnsi="Tahoma" w:cs="Tahoma"/>
      <w:sz w:val="16"/>
      <w:szCs w:val="16"/>
    </w:rPr>
  </w:style>
  <w:style w:type="character" w:customStyle="1" w:styleId="BalloonTextChar">
    <w:name w:val="Balloon Text Char"/>
    <w:basedOn w:val="DefaultParagraphFont"/>
    <w:link w:val="BalloonText"/>
    <w:uiPriority w:val="99"/>
    <w:semiHidden/>
    <w:rsid w:val="0018785B"/>
    <w:rPr>
      <w:rFonts w:ascii="Tahoma" w:eastAsia="Times New Roman" w:hAnsi="Tahoma" w:cs="Tahoma"/>
      <w:sz w:val="16"/>
      <w:szCs w:val="16"/>
      <w:lang w:eastAsia="en-GB"/>
    </w:rPr>
  </w:style>
  <w:style w:type="character" w:customStyle="1" w:styleId="Marker">
    <w:name w:val="Marker"/>
    <w:basedOn w:val="DefaultParagraphFont"/>
    <w:rsid w:val="0018785B"/>
    <w:rPr>
      <w:color w:val="0000FF"/>
      <w:shd w:val="clear" w:color="auto" w:fill="auto"/>
    </w:rPr>
  </w:style>
  <w:style w:type="paragraph" w:customStyle="1" w:styleId="Pagedecouverture">
    <w:name w:val="Page de couverture"/>
    <w:basedOn w:val="Normal"/>
    <w:next w:val="Normal"/>
    <w:rsid w:val="0018785B"/>
    <w:pPr>
      <w:jc w:val="both"/>
    </w:pPr>
    <w:rPr>
      <w:rFonts w:eastAsiaTheme="minorHAnsi"/>
      <w:szCs w:val="22"/>
      <w:lang w:eastAsia="en-US"/>
    </w:rPr>
  </w:style>
  <w:style w:type="paragraph" w:styleId="Header">
    <w:name w:val="header"/>
    <w:basedOn w:val="Normal"/>
    <w:link w:val="HeaderChar"/>
    <w:uiPriority w:val="99"/>
    <w:unhideWhenUsed/>
    <w:rsid w:val="000A0604"/>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sid w:val="000A0604"/>
    <w:rPr>
      <w:rFonts w:ascii="Times New Roman" w:hAnsi="Times New Roman" w:cs="Times New Roman"/>
      <w:sz w:val="24"/>
    </w:rPr>
  </w:style>
  <w:style w:type="paragraph" w:styleId="Footer">
    <w:name w:val="footer"/>
    <w:basedOn w:val="Normal"/>
    <w:link w:val="FooterChar"/>
    <w:uiPriority w:val="99"/>
    <w:unhideWhenUsed/>
    <w:rsid w:val="000A0604"/>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sid w:val="000A0604"/>
    <w:rPr>
      <w:rFonts w:ascii="Times New Roman" w:hAnsi="Times New Roman" w:cs="Times New Roman"/>
      <w:sz w:val="24"/>
    </w:rPr>
  </w:style>
  <w:style w:type="paragraph" w:customStyle="1" w:styleId="FooterCoverPage">
    <w:name w:val="Footer Cover Page"/>
    <w:basedOn w:val="Normal"/>
    <w:link w:val="FooterCoverPageChar"/>
    <w:rsid w:val="0018785B"/>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18785B"/>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rsid w:val="0018785B"/>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18785B"/>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rsid w:val="000A0604"/>
    <w:pPr>
      <w:jc w:val="both"/>
    </w:pPr>
    <w:rPr>
      <w:rFonts w:eastAsiaTheme="minorHAnsi"/>
      <w:szCs w:val="22"/>
      <w:lang w:eastAsia="en-US"/>
    </w:rPr>
  </w:style>
  <w:style w:type="paragraph" w:customStyle="1" w:styleId="HeaderLandscape">
    <w:name w:val="HeaderLandscape"/>
    <w:basedOn w:val="Normal"/>
    <w:rsid w:val="000A0604"/>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rsid w:val="000A0604"/>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rsid w:val="000A0604"/>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rsid w:val="000A0604"/>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ListParagraph">
    <w:name w:val="List Paragraph"/>
    <w:basedOn w:val="Normal"/>
    <w:uiPriority w:val="34"/>
    <w:qFormat/>
    <w:rsid w:val="00023B12"/>
    <w:pPr>
      <w:ind w:left="720"/>
      <w:contextualSpacing/>
    </w:pPr>
  </w:style>
  <w:style w:type="paragraph" w:styleId="CommentText">
    <w:name w:val="annotation text"/>
    <w:basedOn w:val="Normal"/>
    <w:link w:val="CommentTextChar"/>
    <w:uiPriority w:val="99"/>
    <w:semiHidden/>
    <w:unhideWhenUsed/>
    <w:rsid w:val="00F56200"/>
    <w:rPr>
      <w:sz w:val="20"/>
      <w:szCs w:val="20"/>
    </w:rPr>
  </w:style>
  <w:style w:type="character" w:customStyle="1" w:styleId="CommentTextChar">
    <w:name w:val="Comment Text Char"/>
    <w:basedOn w:val="DefaultParagraphFont"/>
    <w:link w:val="CommentText"/>
    <w:uiPriority w:val="99"/>
    <w:semiHidden/>
    <w:rsid w:val="00F56200"/>
    <w:rPr>
      <w:rFonts w:ascii="Times New Roman" w:eastAsia="Times New Roman" w:hAnsi="Times New Roman" w:cs="Times New Roman"/>
      <w:sz w:val="20"/>
      <w:szCs w:val="20"/>
      <w:lang w:eastAsia="en-GB"/>
    </w:rPr>
  </w:style>
  <w:style w:type="character" w:styleId="CommentReference">
    <w:name w:val="annotation reference"/>
    <w:uiPriority w:val="99"/>
    <w:unhideWhenUsed/>
    <w:rsid w:val="00F56200"/>
    <w:rPr>
      <w:rFonts w:ascii="Times New Roman" w:hAnsi="Times New Roman" w:cs="Times New Roman" w:hint="default"/>
      <w:sz w:val="16"/>
      <w:szCs w:val="16"/>
    </w:rPr>
  </w:style>
  <w:style w:type="paragraph" w:styleId="CommentSubject">
    <w:name w:val="annotation subject"/>
    <w:basedOn w:val="CommentText"/>
    <w:next w:val="CommentText"/>
    <w:link w:val="CommentSubjectChar"/>
    <w:uiPriority w:val="99"/>
    <w:semiHidden/>
    <w:unhideWhenUsed/>
    <w:rsid w:val="006B48B1"/>
    <w:rPr>
      <w:b/>
      <w:bCs/>
    </w:rPr>
  </w:style>
  <w:style w:type="character" w:customStyle="1" w:styleId="CommentSubjectChar">
    <w:name w:val="Comment Subject Char"/>
    <w:basedOn w:val="CommentTextChar"/>
    <w:link w:val="CommentSubject"/>
    <w:uiPriority w:val="99"/>
    <w:semiHidden/>
    <w:rsid w:val="006B48B1"/>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E20FC1"/>
    <w:rPr>
      <w:sz w:val="20"/>
      <w:szCs w:val="20"/>
    </w:rPr>
  </w:style>
  <w:style w:type="character" w:customStyle="1" w:styleId="FootnoteTextChar">
    <w:name w:val="Footnote Text Char"/>
    <w:basedOn w:val="DefaultParagraphFont"/>
    <w:link w:val="FootnoteText"/>
    <w:uiPriority w:val="99"/>
    <w:semiHidden/>
    <w:rsid w:val="00E20FC1"/>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20FC1"/>
    <w:rPr>
      <w:vertAlign w:val="superscript"/>
    </w:rPr>
  </w:style>
  <w:style w:type="character" w:styleId="Hyperlink">
    <w:name w:val="Hyperlink"/>
    <w:basedOn w:val="DefaultParagraphFont"/>
    <w:uiPriority w:val="99"/>
    <w:unhideWhenUsed/>
    <w:rsid w:val="00E20FC1"/>
    <w:rPr>
      <w:color w:val="0000FF" w:themeColor="hyperlink"/>
      <w:u w:val="single"/>
    </w:rPr>
  </w:style>
  <w:style w:type="character" w:styleId="FollowedHyperlink">
    <w:name w:val="FollowedHyperlink"/>
    <w:basedOn w:val="DefaultParagraphFont"/>
    <w:uiPriority w:val="99"/>
    <w:semiHidden/>
    <w:unhideWhenUsed/>
    <w:rsid w:val="00785453"/>
    <w:rPr>
      <w:color w:val="800080" w:themeColor="followedHyperlink"/>
      <w:u w:val="single"/>
    </w:rPr>
  </w:style>
  <w:style w:type="character" w:customStyle="1" w:styleId="UnresolvedMention1">
    <w:name w:val="Unresolved Mention1"/>
    <w:basedOn w:val="DefaultParagraphFont"/>
    <w:uiPriority w:val="99"/>
    <w:semiHidden/>
    <w:unhideWhenUsed/>
    <w:rsid w:val="00FD7897"/>
    <w:rPr>
      <w:color w:val="605E5C"/>
      <w:shd w:val="clear" w:color="auto" w:fill="E1DFDD"/>
    </w:rPr>
  </w:style>
  <w:style w:type="paragraph" w:customStyle="1" w:styleId="SecurityMarking">
    <w:name w:val="SecurityMarking"/>
    <w:basedOn w:val="Normal"/>
    <w:rsid w:val="00B42968"/>
    <w:pPr>
      <w:spacing w:line="276" w:lineRule="auto"/>
      <w:ind w:left="5103"/>
    </w:pPr>
    <w:rPr>
      <w:rFonts w:eastAsiaTheme="minorHAnsi"/>
      <w:sz w:val="28"/>
      <w:szCs w:val="22"/>
      <w:lang w:eastAsia="en-US"/>
    </w:rPr>
  </w:style>
  <w:style w:type="paragraph" w:customStyle="1" w:styleId="DateMarking">
    <w:name w:val="DateMarking"/>
    <w:basedOn w:val="Normal"/>
    <w:rsid w:val="00B42968"/>
    <w:pPr>
      <w:spacing w:line="276" w:lineRule="auto"/>
      <w:ind w:left="5103"/>
    </w:pPr>
    <w:rPr>
      <w:rFonts w:eastAsiaTheme="minorHAnsi"/>
      <w:i/>
      <w:sz w:val="28"/>
      <w:szCs w:val="22"/>
      <w:lang w:eastAsia="en-US"/>
    </w:rPr>
  </w:style>
  <w:style w:type="paragraph" w:customStyle="1" w:styleId="ReleasableTo">
    <w:name w:val="ReleasableTo"/>
    <w:basedOn w:val="Normal"/>
    <w:rsid w:val="00B42968"/>
    <w:pPr>
      <w:spacing w:line="276" w:lineRule="auto"/>
      <w:ind w:left="5103"/>
    </w:pPr>
    <w:rPr>
      <w:rFonts w:eastAsiaTheme="minorHAnsi"/>
      <w:i/>
      <w:sz w:val="28"/>
      <w:szCs w:val="22"/>
      <w:lang w:eastAsia="en-US"/>
    </w:rPr>
  </w:style>
  <w:style w:type="paragraph" w:customStyle="1" w:styleId="HeaderSensitivityRight">
    <w:name w:val="Header Sensitivity Right"/>
    <w:basedOn w:val="Normal"/>
    <w:rsid w:val="00B42968"/>
    <w:pPr>
      <w:spacing w:after="120"/>
      <w:jc w:val="right"/>
    </w:pPr>
    <w:rPr>
      <w:sz w:val="28"/>
    </w:rPr>
  </w:style>
  <w:style w:type="paragraph" w:styleId="Revision">
    <w:name w:val="Revision"/>
    <w:hidden/>
    <w:uiPriority w:val="99"/>
    <w:semiHidden/>
    <w:rsid w:val="009D4AC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2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ALL/?uri=CELEX:32008R1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67B228E3-FEEC-429F-8C93-CFCC37DE565D}">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5E84E-A1E3-43D6-BF5E-6D158D13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1379</Words>
  <Characters>8579</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33</cp:revision>
  <cp:lastPrinted>2018-10-18T06:58:00Z</cp:lastPrinted>
  <dcterms:created xsi:type="dcterms:W3CDTF">2023-03-20T11:30:00Z</dcterms:created>
  <dcterms:modified xsi:type="dcterms:W3CDTF">2023-04-05T07:12:00Z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8.1, Build 20230124</vt:lpwstr>
  </property>
  <property fmtid="{D5CDD505-2E9C-101B-9397-08002B2CF9AE}" pid="12" name="Created using">
    <vt:lpwstr>LW 6.0.1, Build 20180503</vt:lpwstr>
  </property>
  <property fmtid="{D5CDD505-2E9C-101B-9397-08002B2CF9AE}" pid="13" name="CPTemplateID">
    <vt:lpwstr>CP-027</vt:lpwstr>
  </property>
  <property fmtid="{D5CDD505-2E9C-101B-9397-08002B2CF9AE}" pid="14" name="_LW_INVALIDATED__LW_INVALIDATED__LW_INVALIDATED__LW_INVALIDATED_ContentTypeId">
    <vt:lpwstr>0x010100AB6DCF41F10D214DBDDF7E1F5EB8F7C1</vt:lpwstr>
  </property>
  <property fmtid="{D5CDD505-2E9C-101B-9397-08002B2CF9AE}" pid="15" name="MSIP_Label_6bd9ddd1-4d20-43f6-abfa-fc3c07406f94_Enabled">
    <vt:lpwstr>true</vt:lpwstr>
  </property>
  <property fmtid="{D5CDD505-2E9C-101B-9397-08002B2CF9AE}" pid="16" name="MSIP_Label_6bd9ddd1-4d20-43f6-abfa-fc3c07406f94_SetDate">
    <vt:lpwstr>2022-06-21T14:39:17Z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a18aedef-627a-4e5e-8d5e-e2141042219c</vt:lpwstr>
  </property>
  <property fmtid="{D5CDD505-2E9C-101B-9397-08002B2CF9AE}" pid="21" name="MSIP_Label_6bd9ddd1-4d20-43f6-abfa-fc3c07406f94_ContentBits">
    <vt:lpwstr>0</vt:lpwstr>
  </property>
  <property name="OP_sanitized" fmtid="{D5CDD505-2E9C-101B-9397-08002B2CF9AE}" pid="22">
    <vt:lpwstr>True</vt:lpwstr>
  </property>
</Properties>
</file>