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318D0" w14:textId="1CE5DCCC" w:rsidR="00F16A2C" w:rsidRDefault="00C503C9" w:rsidP="00C503C9">
      <w:pPr>
        <w:pStyle w:val="Pagedecouverture"/>
        <w:rPr>
          <w:noProof/>
        </w:rPr>
      </w:pPr>
      <w:bookmarkStart w:id="0" w:name="LW_BM_COVERPAGE"/>
      <w:r>
        <w:rPr>
          <w:noProof/>
        </w:rPr>
        <w:pict w14:anchorId="6807D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E683299-0DF5-4202-B755-F71BC49EB5E5" style="width:455.25pt;height:425.25pt">
            <v:imagedata r:id="rId11" o:title=""/>
          </v:shape>
        </w:pict>
      </w:r>
    </w:p>
    <w:bookmarkEnd w:id="0"/>
    <w:p w14:paraId="4E8B9637" w14:textId="77777777" w:rsidR="00F16A2C" w:rsidRDefault="00F16A2C">
      <w:pPr>
        <w:rPr>
          <w:noProof/>
        </w:rPr>
        <w:sectPr w:rsidR="00F16A2C" w:rsidSect="00C503C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C0E8DBA" w14:textId="77777777" w:rsidR="00F16A2C" w:rsidRDefault="006836D1">
      <w:pPr>
        <w:rPr>
          <w:noProof/>
        </w:rPr>
      </w:pPr>
      <w:bookmarkStart w:id="1" w:name="_GoBack"/>
      <w:bookmarkEnd w:id="1"/>
      <w:r>
        <w:rPr>
          <w:noProof/>
        </w:rPr>
        <w:lastRenderedPageBreak/>
        <w:t>Gezien:</w:t>
      </w:r>
    </w:p>
    <w:p w14:paraId="355FF8EE" w14:textId="77777777" w:rsidR="00F16A2C" w:rsidRDefault="006836D1">
      <w:pPr>
        <w:pStyle w:val="Tiret0"/>
        <w:tabs>
          <w:tab w:val="clear" w:pos="850"/>
          <w:tab w:val="num" w:pos="1004"/>
        </w:tabs>
        <w:rPr>
          <w:noProof/>
        </w:rPr>
      </w:pPr>
      <w:r>
        <w:rPr>
          <w:noProof/>
        </w:rPr>
        <w:t>het Verdrag betreffende de werking van de Europese Unie, en met name artikel 314, in samenhang met het Verdrag tot oprichting van de Europese Gemeenschap voor Atoomenergie, en met name artikel 106 bis,</w:t>
      </w:r>
    </w:p>
    <w:p w14:paraId="3DDD8C91" w14:textId="77777777" w:rsidR="00F16A2C" w:rsidRDefault="006836D1">
      <w:pPr>
        <w:pStyle w:val="Tiret0"/>
        <w:rPr>
          <w:noProof/>
        </w:rPr>
      </w:pPr>
      <w:r>
        <w:rPr>
          <w:noProof/>
        </w:rPr>
        <w:t>Besluit (EU, Euratom) 2020/2053 van de Raad van 14 december 2020 betreffende het stelsel van eigen middelen van de Europese Unie</w:t>
      </w:r>
      <w:r>
        <w:rPr>
          <w:rStyle w:val="FootnoteReference"/>
          <w:noProof/>
        </w:rPr>
        <w:footnoteReference w:id="2"/>
      </w:r>
      <w:r>
        <w:rPr>
          <w:noProof/>
        </w:rPr>
        <w:t>, dat op 1 juni 2021 in werking is getreden,</w:t>
      </w:r>
    </w:p>
    <w:p w14:paraId="776662CD" w14:textId="77777777" w:rsidR="00F16A2C" w:rsidRDefault="006836D1">
      <w:pPr>
        <w:pStyle w:val="Tiret0"/>
        <w:tabs>
          <w:tab w:val="clear" w:pos="850"/>
          <w:tab w:val="num" w:pos="927"/>
        </w:tabs>
        <w:rPr>
          <w:rFonts w:cs="Arial"/>
          <w:noProof/>
        </w:rPr>
      </w:pPr>
      <w:r>
        <w:rPr>
          <w:noProof/>
        </w:rPr>
        <w:t>Verordening (EU, Euratom) 2018/1046 van het Europees Parlement en de Raad van 18 juli 2018 tot vaststelling van de financiële regels van toepassing op de algemene begroting van de Unie (...)</w:t>
      </w:r>
      <w:r>
        <w:rPr>
          <w:rStyle w:val="FootnoteReference"/>
          <w:noProof/>
        </w:rPr>
        <w:footnoteReference w:id="3"/>
      </w:r>
      <w:r>
        <w:rPr>
          <w:noProof/>
        </w:rPr>
        <w:t>, en met name artikel 42,</w:t>
      </w:r>
    </w:p>
    <w:p w14:paraId="2DE9414B" w14:textId="720E506D" w:rsidR="00F16A2C" w:rsidRDefault="006836D1">
      <w:pPr>
        <w:pStyle w:val="Tiret0"/>
        <w:tabs>
          <w:tab w:val="clear" w:pos="850"/>
          <w:tab w:val="num" w:pos="927"/>
        </w:tabs>
        <w:rPr>
          <w:noProof/>
        </w:rPr>
      </w:pPr>
      <w:r>
        <w:rPr>
          <w:noProof/>
        </w:rPr>
        <w:t>het ontwerp van algemene begroting van de Europese Unie voor het begrotingsjaar 2024, zoals goedgekeurd door de Commissie op 5 juli 2023</w:t>
      </w:r>
      <w:r>
        <w:rPr>
          <w:rStyle w:val="FootnoteReference"/>
          <w:noProof/>
        </w:rPr>
        <w:footnoteReference w:id="4"/>
      </w:r>
      <w:r>
        <w:rPr>
          <w:noProof/>
        </w:rPr>
        <w:t>,</w:t>
      </w:r>
    </w:p>
    <w:p w14:paraId="687AA699" w14:textId="2A30528C" w:rsidR="00F16A2C" w:rsidRDefault="006836D1">
      <w:pPr>
        <w:spacing w:after="600"/>
        <w:jc w:val="both"/>
        <w:rPr>
          <w:noProof/>
        </w:rPr>
      </w:pPr>
      <w:r>
        <w:rPr>
          <w:noProof/>
        </w:rPr>
        <w:t>dient de Europese Commissie, om de in de toelichting vermelde redenen, bij het Europees Parlement en de Raad nota van wijzigingen nr. 1 bij het ontwerp van algemene begroting van de Europese Unie voor het begrotingsjaar 2024 in.</w:t>
      </w:r>
    </w:p>
    <w:p w14:paraId="445618F1" w14:textId="77777777" w:rsidR="00F16A2C" w:rsidRDefault="006836D1">
      <w:pPr>
        <w:spacing w:after="240"/>
        <w:jc w:val="both"/>
        <w:rPr>
          <w:b/>
          <w:noProof/>
          <w:u w:val="single"/>
        </w:rPr>
      </w:pPr>
      <w:r>
        <w:rPr>
          <w:b/>
          <w:noProof/>
          <w:u w:val="single"/>
        </w:rPr>
        <w:t>WIJZIGINGEN IN DE STAAT VAN ONTVANGSTEN EN UITGAVEN PER AFDELING</w:t>
      </w:r>
    </w:p>
    <w:p w14:paraId="3607BBD4" w14:textId="77777777" w:rsidR="00F16A2C" w:rsidRDefault="006836D1">
      <w:pPr>
        <w:jc w:val="both"/>
        <w:rPr>
          <w:noProof/>
        </w:rPr>
      </w:pPr>
      <w:r>
        <w:rPr>
          <w:noProof/>
        </w:rPr>
        <w:t>De wijzigingen in de algemene staat van uitgaven en ontvangsten en in de staten van ontvangsten en uitgaven per afdeling zijn beschikbaar via EUR-Lex (</w:t>
      </w:r>
      <w:hyperlink r:id="rId18" w:history="1">
        <w:r>
          <w:rPr>
            <w:rStyle w:val="Hyperlink"/>
            <w:noProof/>
            <w:color w:val="auto"/>
          </w:rPr>
          <w:t>https://eur-lex.europa.eu/budget/www/index-nl.htm</w:t>
        </w:r>
      </w:hyperlink>
      <w:r>
        <w:rPr>
          <w:noProof/>
        </w:rPr>
        <w:t>). Ter informatie is een Engelse versie van de wijzigingen in deze staat als budgettaire bijlage bijgevoegd.</w:t>
      </w:r>
    </w:p>
    <w:p w14:paraId="61BD8B88" w14:textId="77777777" w:rsidR="00F16A2C" w:rsidRDefault="00F16A2C">
      <w:pPr>
        <w:rPr>
          <w:noProof/>
        </w:rPr>
        <w:sectPr w:rsidR="00F16A2C" w:rsidSect="00BD4680">
          <w:headerReference w:type="even" r:id="rId19"/>
          <w:headerReference w:type="default" r:id="rId20"/>
          <w:footerReference w:type="even" r:id="rId21"/>
          <w:footerReference w:type="default" r:id="rId22"/>
          <w:headerReference w:type="first" r:id="rId23"/>
          <w:footerReference w:type="first" r:id="rId24"/>
          <w:pgSz w:w="11907" w:h="16839"/>
          <w:pgMar w:top="1418" w:right="1418" w:bottom="1418" w:left="1418" w:header="709" w:footer="709" w:gutter="0"/>
          <w:cols w:space="720"/>
          <w:docGrid w:linePitch="360"/>
        </w:sectPr>
      </w:pPr>
    </w:p>
    <w:p w14:paraId="2F2DF879" w14:textId="77777777" w:rsidR="00F16A2C" w:rsidRDefault="006836D1">
      <w:pPr>
        <w:pStyle w:val="ManualHeading1"/>
        <w:spacing w:before="240"/>
        <w:ind w:left="0" w:firstLine="0"/>
        <w:rPr>
          <w:noProof/>
        </w:rPr>
      </w:pPr>
      <w:bookmarkStart w:id="2" w:name="_Toc462410042"/>
      <w:bookmarkStart w:id="3" w:name="_Toc526753779"/>
      <w:bookmarkStart w:id="4" w:name="_Toc54770308"/>
      <w:bookmarkStart w:id="5" w:name="_Toc55807118"/>
      <w:bookmarkStart w:id="6" w:name="_Toc114838626"/>
      <w:bookmarkStart w:id="7" w:name="_Toc145922819"/>
      <w:bookmarkStart w:id="8" w:name="_Toc294675429"/>
      <w:bookmarkStart w:id="9" w:name="_Toc272133653"/>
      <w:bookmarkStart w:id="10" w:name="_Toc294673202"/>
      <w:bookmarkStart w:id="11" w:name="_Toc318365572"/>
      <w:bookmarkStart w:id="12" w:name="_Toc361649893"/>
      <w:bookmarkStart w:id="13" w:name="_Toc387301589"/>
      <w:bookmarkStart w:id="14" w:name="_Toc385506031"/>
      <w:bookmarkStart w:id="15" w:name="_Toc430865946"/>
      <w:bookmarkStart w:id="16" w:name="_Toc430867524"/>
      <w:bookmarkStart w:id="17" w:name="_Toc463264162"/>
      <w:bookmarkStart w:id="18" w:name="_Toc351469332"/>
      <w:bookmarkStart w:id="19" w:name="_Toc361649879"/>
      <w:r>
        <w:rPr>
          <w:noProof/>
        </w:rPr>
        <w:t>1.</w:t>
      </w:r>
      <w:r>
        <w:rPr>
          <w:noProof/>
        </w:rPr>
        <w:tab/>
      </w:r>
      <w:bookmarkEnd w:id="2"/>
      <w:bookmarkEnd w:id="3"/>
      <w:bookmarkEnd w:id="4"/>
      <w:bookmarkEnd w:id="5"/>
      <w:r>
        <w:rPr>
          <w:noProof/>
        </w:rPr>
        <w:t>Inleiding</w:t>
      </w:r>
      <w:bookmarkEnd w:id="6"/>
      <w:bookmarkEnd w:id="7"/>
    </w:p>
    <w:bookmarkEnd w:id="8"/>
    <w:bookmarkEnd w:id="9"/>
    <w:bookmarkEnd w:id="10"/>
    <w:bookmarkEnd w:id="11"/>
    <w:bookmarkEnd w:id="12"/>
    <w:bookmarkEnd w:id="13"/>
    <w:bookmarkEnd w:id="14"/>
    <w:bookmarkEnd w:id="15"/>
    <w:bookmarkEnd w:id="16"/>
    <w:bookmarkEnd w:id="17"/>
    <w:bookmarkEnd w:id="18"/>
    <w:bookmarkEnd w:id="19"/>
    <w:p w14:paraId="11A20902" w14:textId="4EA3D4BB" w:rsidR="00F16A2C" w:rsidRDefault="006836D1">
      <w:pPr>
        <w:spacing w:before="120" w:after="120"/>
        <w:jc w:val="both"/>
        <w:rPr>
          <w:noProof/>
        </w:rPr>
      </w:pPr>
      <w:r>
        <w:rPr>
          <w:noProof/>
        </w:rPr>
        <w:t>Nota van wijzigingen nr. 1 (NvW 1/2024) bij de ontwerpbegroting voor het jaar 2024 (OB 2024) heeft betrekking op de volgende elementen:</w:t>
      </w:r>
    </w:p>
    <w:p w14:paraId="11C87FAA" w14:textId="3500AAE4" w:rsidR="000C3D34" w:rsidRPr="00E40411" w:rsidRDefault="00B0407D"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Neerwaartse herziening van de behoeften voor de rentepost voor NextGenerationEU, in het kader van een lager niveau van de uitbetalingen van NextGenerationEU in 2023 dan eerder geraamd;</w:t>
      </w:r>
    </w:p>
    <w:p w14:paraId="5405E163" w14:textId="3C6FCE43" w:rsidR="00F16A2C" w:rsidRPr="00E40411" w:rsidRDefault="00457AD8" w:rsidP="00B77C02">
      <w:pPr>
        <w:numPr>
          <w:ilvl w:val="0"/>
          <w:numId w:val="13"/>
        </w:numPr>
        <w:spacing w:before="120" w:after="120"/>
        <w:jc w:val="both"/>
        <w:rPr>
          <w:noProof/>
          <w:szCs w:val="20"/>
        </w:rPr>
      </w:pPr>
      <w:r>
        <w:rPr>
          <w:noProof/>
        </w:rPr>
        <w:t>Actualisering van de geraamde behoeften, bestemmingsontvangsten en kredieten voor landbouwuitgaven. In NvW 1/2024 wordt niet alleen rekening gehouden met veranderende marktfactoren, maar ook met de impact van de besluiten die in de landbouwsector zijn genomen sinds de vaststelling van de OB 2024 in juli 2023, alsmede met andere voorstellen die naar verwachting tijdens het begrotingsjaar een aanzienlijk effect zullen sorteren;</w:t>
      </w:r>
    </w:p>
    <w:p w14:paraId="00A4671D" w14:textId="40326F42" w:rsidR="00F16A2C" w:rsidRPr="00E40411" w:rsidRDefault="47F97539" w:rsidP="42EA40D1">
      <w:pPr>
        <w:numPr>
          <w:ilvl w:val="0"/>
          <w:numId w:val="13"/>
        </w:numPr>
        <w:spacing w:before="120" w:after="120"/>
        <w:jc w:val="both"/>
        <w:rPr>
          <w:noProof/>
        </w:rPr>
      </w:pPr>
      <w:r>
        <w:rPr>
          <w:noProof/>
        </w:rPr>
        <w:t>Actualisering van de geraamde behoeften voor de partnerschapsovereenkomsten inzake duurzame visserij (PODV’s), rekening houdend met de onlangs ondertekende overeenkomst en het bijbehorende protocol met de Republiek Madagaskar en het nieuwe protocol met de Republiek Kiribati dat op 2 oktober 2023 voorlopig van toepassing is geworden;</w:t>
      </w:r>
    </w:p>
    <w:p w14:paraId="298687AE" w14:textId="4524A934" w:rsidR="00F16A2C" w:rsidRDefault="00457AD8" w:rsidP="00B77C02">
      <w:pPr>
        <w:numPr>
          <w:ilvl w:val="0"/>
          <w:numId w:val="13"/>
        </w:numPr>
        <w:spacing w:before="120" w:after="120"/>
        <w:jc w:val="both"/>
        <w:rPr>
          <w:noProof/>
        </w:rPr>
      </w:pPr>
      <w:r>
        <w:rPr>
          <w:noProof/>
        </w:rPr>
        <w:t>Aanpassingen van het niveau van de kredieten en/of het personeelsbestand van verschillende gedecentraliseerde agentschappen, met name het Agentschap van de Europese Unie voor justitiële samenwerking in strafzaken (Eurojust), het Agentschap van de Europese Unie voor het operationeel beheer van grootschalige IT-systemen op het gebied van vrijheid, veiligheid en recht (eu-LISA) en het Europees Openbaar Ministerie (EOM), rekening houdend met de meest recente wetgevende of politieke ontwikkelingen met betrekking tot hun operaties voor 2024, en bedragen die moeten worden overgeheveld van reserveposten naar operationele begrotingsonderdelen na de vaststelling van wetgevingsvoorstellen;</w:t>
      </w:r>
    </w:p>
    <w:p w14:paraId="1374AC54" w14:textId="3D0E2971" w:rsidR="00855868" w:rsidRPr="00855868" w:rsidRDefault="00855868"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Overdracht van middelen van het Europees Fonds voor regionale ontwikkeling (EFRO) naar Horizon Europa naar aanleiding van een daartoe strekkend verzoek van Litouwen om zijn EFRO-programma te wijzigen overeenkomstig artikel 26 van de verordening gemeenschappelijke bepalingen</w:t>
      </w:r>
      <w:r>
        <w:rPr>
          <w:rStyle w:val="FootnoteReference"/>
          <w:rFonts w:ascii="Times New Roman" w:eastAsia="Times New Roman" w:hAnsi="Times New Roman"/>
          <w:noProof/>
          <w:sz w:val="24"/>
          <w:szCs w:val="24"/>
          <w:lang w:val="en-GB"/>
        </w:rPr>
        <w:footnoteReference w:id="5"/>
      </w:r>
      <w:r>
        <w:rPr>
          <w:rFonts w:ascii="Times New Roman" w:hAnsi="Times New Roman"/>
          <w:noProof/>
          <w:sz w:val="24"/>
        </w:rPr>
        <w:t>;</w:t>
      </w:r>
    </w:p>
    <w:p w14:paraId="09835B50" w14:textId="6FD207B3" w:rsidR="00F16A2C" w:rsidRPr="00E40411" w:rsidRDefault="16DC15BE" w:rsidP="00B77C02">
      <w:pPr>
        <w:numPr>
          <w:ilvl w:val="0"/>
          <w:numId w:val="13"/>
        </w:numPr>
        <w:spacing w:before="120" w:after="120"/>
        <w:jc w:val="both"/>
        <w:rPr>
          <w:noProof/>
        </w:rPr>
      </w:pPr>
      <w:r>
        <w:rPr>
          <w:noProof/>
        </w:rPr>
        <w:t>Aanpassingen van rubriek 7 “Europees openbaar bestuur”, met name met betrekking tot de Europese Dienst voor extern optreden (EDEO) om het militair plannings- en uitvoeringsvermogen (MPCC) verder te versterken, met inbegrip van zowel een personeelsuitbreiding als een versterking van de communicatie- en informatiesystemen, alsook andere kleine aanpassingen voor de rubriek.</w:t>
      </w:r>
    </w:p>
    <w:p w14:paraId="6721DE34" w14:textId="7509C644" w:rsidR="006932EB" w:rsidRDefault="006932EB" w:rsidP="00B77C02">
      <w:pPr>
        <w:numPr>
          <w:ilvl w:val="0"/>
          <w:numId w:val="13"/>
        </w:numPr>
        <w:spacing w:before="120" w:after="120"/>
        <w:jc w:val="both"/>
        <w:rPr>
          <w:noProof/>
        </w:rPr>
      </w:pPr>
      <w:r>
        <w:rPr>
          <w:noProof/>
        </w:rPr>
        <w:t>Bedragen die moeten worden overgeheveld van de reservepost naar het operationele begrotingsonderdeel voor de verordening betreffende de ondersteuning van de productie van munitie (ASAP) en het instrument voor de versterking van de Europese defensie-industrie door middel van gemeenschappelijke aanbestedingen (Edirpa) na de vaststelling van de basisbesluiten.</w:t>
      </w:r>
    </w:p>
    <w:p w14:paraId="6068C61A" w14:textId="0FCA21C1" w:rsidR="00F16A2C" w:rsidRDefault="006836D1">
      <w:pPr>
        <w:spacing w:after="200"/>
        <w:jc w:val="both"/>
        <w:rPr>
          <w:noProof/>
          <w:szCs w:val="20"/>
        </w:rPr>
      </w:pPr>
      <w:bookmarkStart w:id="20" w:name="_Toc463264163"/>
      <w:r>
        <w:rPr>
          <w:noProof/>
        </w:rPr>
        <w:t>Over het geheel genomen is het netto-effect van NvW 1/2024 op de uitgaven in de OB 2024 een daling met 67,4 miljoen EUR aan vastleggings- en betalingskredieten.</w:t>
      </w:r>
    </w:p>
    <w:p w14:paraId="1434C705" w14:textId="77777777" w:rsidR="00F16A2C" w:rsidRDefault="006836D1" w:rsidP="00295C22">
      <w:pPr>
        <w:spacing w:before="120" w:after="120" w:line="259" w:lineRule="auto"/>
        <w:jc w:val="both"/>
        <w:rPr>
          <w:noProof/>
          <w:szCs w:val="20"/>
        </w:rPr>
      </w:pPr>
      <w:bookmarkStart w:id="21" w:name="_Toc526753780"/>
      <w:r>
        <w:rPr>
          <w:noProof/>
        </w:rPr>
        <w:t xml:space="preserve">Meer informatie over elk onderdeel is te vinden in de volgende paragrafen. </w:t>
      </w:r>
    </w:p>
    <w:p w14:paraId="47C3D2AC" w14:textId="5A0823CB" w:rsidR="00F16A2C" w:rsidRDefault="006836D1" w:rsidP="00295C22">
      <w:pPr>
        <w:spacing w:before="120" w:after="120" w:line="259" w:lineRule="auto"/>
        <w:jc w:val="both"/>
        <w:rPr>
          <w:noProof/>
          <w:szCs w:val="20"/>
        </w:rPr>
      </w:pPr>
      <w:r>
        <w:rPr>
          <w:noProof/>
        </w:rPr>
        <w:t>De desbetreffende begrotingsonderdelen zijn in de budgettaire bijlage opgenomen, samen met de actualisering van de ontvangsten die voortvloeien uit de in deze nota van wijzigingen opgenomen wijzigingen in de uitgaven.</w:t>
      </w:r>
    </w:p>
    <w:p w14:paraId="4E306BA3" w14:textId="67646DB4" w:rsidR="000C3D34" w:rsidRDefault="00357691" w:rsidP="000C3D34">
      <w:pPr>
        <w:pStyle w:val="ManualHeading1"/>
        <w:ind w:left="0" w:firstLine="0"/>
        <w:rPr>
          <w:noProof/>
        </w:rPr>
      </w:pPr>
      <w:bookmarkStart w:id="22" w:name="_Toc54770319"/>
      <w:bookmarkStart w:id="23" w:name="_Toc55807129"/>
      <w:bookmarkStart w:id="24" w:name="_Toc114838628"/>
      <w:bookmarkStart w:id="25" w:name="_Toc145922820"/>
      <w:bookmarkStart w:id="26" w:name="_Hlk111642919"/>
      <w:bookmarkStart w:id="27" w:name="_Hlk109912676"/>
      <w:r>
        <w:rPr>
          <w:noProof/>
        </w:rPr>
        <w:t>2.</w:t>
      </w:r>
      <w:r>
        <w:rPr>
          <w:noProof/>
        </w:rPr>
        <w:tab/>
      </w:r>
      <w:bookmarkEnd w:id="22"/>
      <w:bookmarkEnd w:id="23"/>
      <w:r>
        <w:rPr>
          <w:noProof/>
        </w:rPr>
        <w:t>Financiering NextGenerationEU</w:t>
      </w:r>
      <w:bookmarkEnd w:id="24"/>
      <w:bookmarkEnd w:id="25"/>
    </w:p>
    <w:p w14:paraId="5413FD53" w14:textId="055214A4" w:rsidR="00192698" w:rsidRDefault="00C40A78" w:rsidP="000C3D34">
      <w:pPr>
        <w:spacing w:before="120" w:after="120" w:line="259" w:lineRule="auto"/>
        <w:jc w:val="both"/>
        <w:rPr>
          <w:noProof/>
        </w:rPr>
      </w:pPr>
      <w:bookmarkStart w:id="28" w:name="_Hlk115359835"/>
      <w:r>
        <w:rPr>
          <w:noProof/>
        </w:rPr>
        <w:t>In het kader van de OB 2024 heeft de Commissie voorgesteld de EURI-rentepost met 1,9 miljard EUR te verhogen ten opzichte van de financiële programmering voor 2024, op basis van prognoses van rentevoeten en uitbetalingen in het kader van NextGenerationEU tot eind 2023 zoals die op dat moment luidden.</w:t>
      </w:r>
    </w:p>
    <w:p w14:paraId="63DEF4DB" w14:textId="693F8568" w:rsidR="00551C71" w:rsidRDefault="77D59C42" w:rsidP="000C3D34">
      <w:pPr>
        <w:spacing w:before="120" w:after="120" w:line="259" w:lineRule="auto"/>
        <w:jc w:val="both"/>
        <w:rPr>
          <w:noProof/>
        </w:rPr>
      </w:pPr>
      <w:r>
        <w:rPr>
          <w:noProof/>
        </w:rPr>
        <w:t xml:space="preserve">De meest recente prognoses met betrekking tot het EURI-begrotingsonderdeel overeenkomstig de situatie op 8 oktober 2023 wijzen op een totaalbedrag aan uitbetalingen voor de niet-terugbetaalbare steun in 2023 van 79,9 miljard EUR, een daling met ongeveer 3 miljard EUR ten opzichte van het uitbetalingsplan waarmee in de OB 2024 rekening is gehouden. In dit nieuwe scenario, waarin ook rekening wordt gehouden met iets hogere rentetarieven en een stijging met 10 miljoen EUR van het bedrag dat van het jaar 2023 kan worden overgedragen, bedragen de geraamde kosten voor de rentepost 3 790 miljoen EUR, d.w.z. een daling met 74 miljoen EUR. De Commissie stelt voor het niveau van de vastleggings- en betalingskredieten van de EURI-rentepost dienovereenkomstig te verlagen.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C3D34" w:rsidRPr="00B31192" w14:paraId="02AEB056"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5651296A" w14:textId="77777777" w:rsidR="000C3D34" w:rsidRPr="00B31192" w:rsidRDefault="000C3D34" w:rsidP="00E40411">
            <w:pPr>
              <w:widowControl w:val="0"/>
              <w:spacing w:before="15" w:after="15"/>
              <w:jc w:val="right"/>
              <w:rPr>
                <w:i/>
                <w:noProof/>
                <w:sz w:val="20"/>
                <w:szCs w:val="20"/>
              </w:rPr>
            </w:pPr>
            <w:bookmarkStart w:id="29" w:name="_Hlk111646182"/>
            <w:bookmarkEnd w:id="28"/>
            <w:r>
              <w:rPr>
                <w:i/>
                <w:noProof/>
                <w:sz w:val="20"/>
              </w:rPr>
              <w:t>EUR</w:t>
            </w:r>
          </w:p>
        </w:tc>
      </w:tr>
      <w:tr w:rsidR="000C3D34" w:rsidRPr="00B31192" w14:paraId="22730187" w14:textId="77777777" w:rsidTr="42EA40D1">
        <w:trPr>
          <w:jc w:val="center"/>
        </w:trPr>
        <w:tc>
          <w:tcPr>
            <w:tcW w:w="1276" w:type="dxa"/>
            <w:tcBorders>
              <w:top w:val="single" w:sz="4" w:space="0" w:color="auto"/>
            </w:tcBorders>
            <w:shd w:val="clear" w:color="auto" w:fill="D9D9D9" w:themeFill="background1" w:themeFillShade="D9"/>
            <w:vAlign w:val="center"/>
          </w:tcPr>
          <w:p w14:paraId="02AF8B25" w14:textId="3E93520D" w:rsidR="000C3D34" w:rsidRPr="00B31192" w:rsidRDefault="000C3D34" w:rsidP="00E40411">
            <w:pPr>
              <w:keepNext/>
              <w:spacing w:before="15" w:after="15"/>
              <w:jc w:val="center"/>
              <w:rPr>
                <w:b/>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2379AAE4" w14:textId="77777777" w:rsidR="000C3D34" w:rsidRPr="00B31192" w:rsidRDefault="000C3D34" w:rsidP="00E40411">
            <w:pPr>
              <w:widowControl w:val="0"/>
              <w:spacing w:before="15" w:after="15"/>
              <w:jc w:val="center"/>
              <w:rPr>
                <w:b/>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0D9DA9E5" w14:textId="34BF8807" w:rsidR="000C3D34" w:rsidRPr="00B31192" w:rsidRDefault="000C3D34" w:rsidP="00E40411">
            <w:pPr>
              <w:widowControl w:val="0"/>
              <w:spacing w:before="15" w:after="15"/>
              <w:jc w:val="center"/>
              <w:rPr>
                <w:b/>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748B6372" w14:textId="32D23D13" w:rsidR="000C3D34" w:rsidRPr="00B31192" w:rsidRDefault="000C3D34" w:rsidP="00E40411">
            <w:pPr>
              <w:widowControl w:val="0"/>
              <w:spacing w:before="15" w:after="15"/>
              <w:jc w:val="center"/>
              <w:rPr>
                <w:b/>
                <w:noProof/>
                <w:sz w:val="20"/>
                <w:szCs w:val="20"/>
              </w:rPr>
            </w:pPr>
            <w:r>
              <w:rPr>
                <w:b/>
                <w:noProof/>
                <w:sz w:val="20"/>
              </w:rPr>
              <w:t>Betalings</w:t>
            </w:r>
            <w:r w:rsidR="003C5A89">
              <w:rPr>
                <w:b/>
                <w:noProof/>
                <w:sz w:val="20"/>
              </w:rPr>
              <w:t>-</w:t>
            </w:r>
            <w:r>
              <w:rPr>
                <w:b/>
                <w:noProof/>
                <w:sz w:val="20"/>
              </w:rPr>
              <w:t>kredieten</w:t>
            </w:r>
          </w:p>
        </w:tc>
      </w:tr>
      <w:tr w:rsidR="000C3D34" w:rsidRPr="00B31192" w14:paraId="11A9C2FC" w14:textId="77777777" w:rsidTr="42EA40D1">
        <w:trPr>
          <w:jc w:val="center"/>
        </w:trPr>
        <w:tc>
          <w:tcPr>
            <w:tcW w:w="9810" w:type="dxa"/>
            <w:gridSpan w:val="4"/>
            <w:shd w:val="clear" w:color="auto" w:fill="F2F2F2" w:themeFill="background1" w:themeFillShade="F2"/>
            <w:vAlign w:val="center"/>
          </w:tcPr>
          <w:p w14:paraId="310E6E49" w14:textId="77777777" w:rsidR="000C3D34" w:rsidRPr="00B31192" w:rsidRDefault="000C3D34" w:rsidP="00E40411">
            <w:pPr>
              <w:widowControl w:val="0"/>
              <w:spacing w:before="15" w:after="15"/>
              <w:rPr>
                <w:i/>
                <w:noProof/>
                <w:sz w:val="20"/>
                <w:szCs w:val="20"/>
              </w:rPr>
            </w:pPr>
            <w:r>
              <w:rPr>
                <w:i/>
                <w:noProof/>
                <w:sz w:val="20"/>
              </w:rPr>
              <w:t>Afdeling III – Commissie</w:t>
            </w:r>
          </w:p>
        </w:tc>
      </w:tr>
      <w:tr w:rsidR="000C3D34" w:rsidRPr="00B31192" w14:paraId="0E946FF2" w14:textId="77777777" w:rsidTr="42EA40D1">
        <w:trPr>
          <w:jc w:val="center"/>
        </w:trPr>
        <w:tc>
          <w:tcPr>
            <w:tcW w:w="1276" w:type="dxa"/>
          </w:tcPr>
          <w:p w14:paraId="539A4087" w14:textId="77777777" w:rsidR="000C3D34" w:rsidRPr="000C3AD9" w:rsidRDefault="000C3D34" w:rsidP="00E40411">
            <w:pPr>
              <w:widowControl w:val="0"/>
              <w:spacing w:before="15" w:after="15"/>
              <w:ind w:right="-113"/>
              <w:jc w:val="both"/>
              <w:rPr>
                <w:noProof/>
                <w:sz w:val="16"/>
                <w:szCs w:val="16"/>
              </w:rPr>
            </w:pPr>
            <w:r>
              <w:rPr>
                <w:noProof/>
                <w:sz w:val="16"/>
              </w:rPr>
              <w:t>06 04 01</w:t>
            </w:r>
          </w:p>
        </w:tc>
        <w:tc>
          <w:tcPr>
            <w:tcW w:w="5132" w:type="dxa"/>
          </w:tcPr>
          <w:p w14:paraId="5FAA4D76" w14:textId="77777777" w:rsidR="000C3D34" w:rsidRPr="000C3AD9" w:rsidRDefault="000C3D34" w:rsidP="00E40411">
            <w:pPr>
              <w:widowControl w:val="0"/>
              <w:tabs>
                <w:tab w:val="left" w:pos="1350"/>
              </w:tabs>
              <w:spacing w:before="15" w:after="15"/>
              <w:jc w:val="both"/>
              <w:rPr>
                <w:i/>
                <w:noProof/>
                <w:sz w:val="16"/>
                <w:szCs w:val="16"/>
              </w:rPr>
            </w:pPr>
            <w:r>
              <w:rPr>
                <w:noProof/>
                <w:sz w:val="16"/>
              </w:rPr>
              <w:t>Herstelinstrument voor de Europese Unie (EURI) — Periodieke couponbetaling en aflossing op de vervaldatum</w:t>
            </w:r>
          </w:p>
        </w:tc>
        <w:tc>
          <w:tcPr>
            <w:tcW w:w="1701" w:type="dxa"/>
          </w:tcPr>
          <w:p w14:paraId="236AA094" w14:textId="4D54E8A5" w:rsidR="000C3D34" w:rsidRPr="000C3AD9" w:rsidRDefault="016C03CB" w:rsidP="000C3AD9">
            <w:pPr>
              <w:widowControl w:val="0"/>
              <w:spacing w:before="15" w:after="15"/>
              <w:jc w:val="right"/>
              <w:rPr>
                <w:noProof/>
                <w:sz w:val="16"/>
                <w:szCs w:val="16"/>
              </w:rPr>
            </w:pPr>
            <w:r>
              <w:rPr>
                <w:noProof/>
                <w:sz w:val="16"/>
              </w:rPr>
              <w:t>-74 000 000</w:t>
            </w:r>
          </w:p>
        </w:tc>
        <w:tc>
          <w:tcPr>
            <w:tcW w:w="1701" w:type="dxa"/>
          </w:tcPr>
          <w:p w14:paraId="4C9F1925" w14:textId="092569E3" w:rsidR="000C3D34" w:rsidRPr="000C3AD9" w:rsidRDefault="016C03CB" w:rsidP="000C3AD9">
            <w:pPr>
              <w:widowControl w:val="0"/>
              <w:spacing w:before="15" w:after="15"/>
              <w:jc w:val="right"/>
              <w:rPr>
                <w:noProof/>
                <w:sz w:val="16"/>
                <w:szCs w:val="16"/>
              </w:rPr>
            </w:pPr>
            <w:r>
              <w:rPr>
                <w:noProof/>
                <w:sz w:val="16"/>
              </w:rPr>
              <w:t>-74 000 000</w:t>
            </w:r>
          </w:p>
        </w:tc>
      </w:tr>
      <w:tr w:rsidR="000C3D34" w:rsidRPr="00B31192" w14:paraId="5F0DE26D" w14:textId="77777777" w:rsidTr="42EA40D1">
        <w:trPr>
          <w:jc w:val="center"/>
        </w:trPr>
        <w:tc>
          <w:tcPr>
            <w:tcW w:w="6408" w:type="dxa"/>
            <w:gridSpan w:val="2"/>
            <w:shd w:val="clear" w:color="auto" w:fill="D9D9D9" w:themeFill="background1" w:themeFillShade="D9"/>
          </w:tcPr>
          <w:p w14:paraId="6F973FAC" w14:textId="77777777" w:rsidR="000C3D34" w:rsidRPr="000C3AD9" w:rsidRDefault="000C3D34" w:rsidP="00E40411">
            <w:pPr>
              <w:widowControl w:val="0"/>
              <w:spacing w:before="15" w:after="15"/>
              <w:ind w:right="-113"/>
              <w:jc w:val="both"/>
              <w:rPr>
                <w:b/>
                <w:noProof/>
                <w:sz w:val="20"/>
                <w:szCs w:val="20"/>
              </w:rPr>
            </w:pPr>
            <w:r>
              <w:rPr>
                <w:b/>
                <w:noProof/>
                <w:sz w:val="20"/>
              </w:rPr>
              <w:t>Totaal</w:t>
            </w:r>
            <w:r>
              <w:rPr>
                <w:noProof/>
              </w:rPr>
              <w:tab/>
            </w:r>
          </w:p>
        </w:tc>
        <w:tc>
          <w:tcPr>
            <w:tcW w:w="1701" w:type="dxa"/>
            <w:shd w:val="clear" w:color="auto" w:fill="D9D9D9" w:themeFill="background1" w:themeFillShade="D9"/>
          </w:tcPr>
          <w:p w14:paraId="1872A27F" w14:textId="0CB6AC8E" w:rsidR="000C3D34" w:rsidRPr="000C3AD9" w:rsidRDefault="0D726D17" w:rsidP="42EA40D1">
            <w:pPr>
              <w:widowControl w:val="0"/>
              <w:spacing w:before="15" w:after="15"/>
              <w:jc w:val="right"/>
              <w:rPr>
                <w:b/>
                <w:bCs/>
                <w:noProof/>
                <w:sz w:val="20"/>
                <w:szCs w:val="20"/>
              </w:rPr>
            </w:pPr>
            <w:r>
              <w:rPr>
                <w:b/>
                <w:noProof/>
                <w:sz w:val="20"/>
              </w:rPr>
              <w:t>-74 000 000</w:t>
            </w:r>
          </w:p>
        </w:tc>
        <w:tc>
          <w:tcPr>
            <w:tcW w:w="1701" w:type="dxa"/>
            <w:shd w:val="clear" w:color="auto" w:fill="D9D9D9" w:themeFill="background1" w:themeFillShade="D9"/>
          </w:tcPr>
          <w:p w14:paraId="00D0A31B" w14:textId="3045D923" w:rsidR="000C3D34" w:rsidRPr="000C3AD9" w:rsidRDefault="0D726D17" w:rsidP="42EA40D1">
            <w:pPr>
              <w:widowControl w:val="0"/>
              <w:spacing w:before="15" w:after="15"/>
              <w:jc w:val="right"/>
              <w:rPr>
                <w:b/>
                <w:bCs/>
                <w:noProof/>
                <w:sz w:val="20"/>
                <w:szCs w:val="20"/>
              </w:rPr>
            </w:pPr>
            <w:r>
              <w:rPr>
                <w:b/>
                <w:noProof/>
                <w:sz w:val="20"/>
              </w:rPr>
              <w:t>-74 000 000</w:t>
            </w:r>
          </w:p>
        </w:tc>
      </w:tr>
      <w:bookmarkEnd w:id="29"/>
    </w:tbl>
    <w:p w14:paraId="74B3A691" w14:textId="77777777" w:rsidR="004C6BAD" w:rsidRDefault="004C6BAD" w:rsidP="008A03CD">
      <w:pPr>
        <w:spacing w:before="120" w:after="120"/>
        <w:jc w:val="both"/>
        <w:rPr>
          <w:noProof/>
          <w:lang w:eastAsia="de-DE"/>
        </w:rPr>
      </w:pPr>
    </w:p>
    <w:p w14:paraId="15ED44CB" w14:textId="43A7D716" w:rsidR="000C3D34" w:rsidRDefault="53747F01" w:rsidP="008A03CD">
      <w:pPr>
        <w:spacing w:before="120" w:after="120"/>
        <w:jc w:val="both"/>
        <w:rPr>
          <w:noProof/>
        </w:rPr>
      </w:pPr>
      <w:r>
        <w:rPr>
          <w:noProof/>
        </w:rPr>
        <w:t>Met de voorgestelde verlaging zou het beroep op het enkelvoudig marge-instrument in subrubriek 2b met 72,0 miljoen EUR worden verminderd tot 300,8 miljoen EUR.</w:t>
      </w:r>
    </w:p>
    <w:p w14:paraId="1B01474F" w14:textId="607E85E6" w:rsidR="00FF1D72" w:rsidRPr="00FF1D72" w:rsidRDefault="00692727" w:rsidP="00FF1D72">
      <w:pPr>
        <w:pStyle w:val="ManualHeading1"/>
        <w:ind w:left="0" w:firstLine="0"/>
        <w:rPr>
          <w:noProof/>
        </w:rPr>
      </w:pPr>
      <w:bookmarkStart w:id="30" w:name="_Toc54770320"/>
      <w:bookmarkStart w:id="31" w:name="_Toc55807130"/>
      <w:bookmarkStart w:id="32" w:name="_Toc114838631"/>
      <w:bookmarkStart w:id="33" w:name="_Toc145922821"/>
      <w:bookmarkEnd w:id="26"/>
      <w:bookmarkEnd w:id="27"/>
      <w:r>
        <w:rPr>
          <w:noProof/>
        </w:rPr>
        <w:t>3.</w:t>
      </w:r>
      <w:r>
        <w:rPr>
          <w:noProof/>
        </w:rPr>
        <w:tab/>
        <w:t>Europees Landbouwgarantiefonds (ELGF)</w:t>
      </w:r>
      <w:bookmarkEnd w:id="30"/>
      <w:bookmarkEnd w:id="31"/>
      <w:bookmarkEnd w:id="32"/>
      <w:bookmarkEnd w:id="33"/>
    </w:p>
    <w:p w14:paraId="6623D8AC" w14:textId="6B76F37D" w:rsidR="00F16A2C" w:rsidRDefault="006836D1" w:rsidP="00B77C02">
      <w:pPr>
        <w:autoSpaceDE w:val="0"/>
        <w:autoSpaceDN w:val="0"/>
        <w:adjustRightInd w:val="0"/>
        <w:spacing w:before="120" w:after="120" w:line="259" w:lineRule="auto"/>
        <w:jc w:val="both"/>
        <w:rPr>
          <w:noProof/>
        </w:rPr>
      </w:pPr>
      <w:bookmarkStart w:id="34" w:name="_Toc462933829"/>
      <w:bookmarkStart w:id="35" w:name="_Toc462935190"/>
      <w:bookmarkStart w:id="36" w:name="_Toc462935292"/>
      <w:bookmarkStart w:id="37" w:name="_Toc462935340"/>
      <w:bookmarkStart w:id="38" w:name="_Toc462935497"/>
      <w:bookmarkStart w:id="39" w:name="_Toc463004731"/>
      <w:bookmarkStart w:id="40" w:name="_Toc463264164"/>
      <w:bookmarkStart w:id="41" w:name="_Toc463376628"/>
      <w:bookmarkStart w:id="42" w:name="_Toc463438680"/>
      <w:bookmarkStart w:id="43" w:name="_Toc463438848"/>
      <w:bookmarkStart w:id="44" w:name="_Toc463462765"/>
      <w:bookmarkStart w:id="45" w:name="_Toc463974150"/>
      <w:bookmarkStart w:id="46" w:name="_Toc464028191"/>
      <w:bookmarkStart w:id="47" w:name="_Toc462933830"/>
      <w:bookmarkStart w:id="48" w:name="_Toc462935191"/>
      <w:bookmarkStart w:id="49" w:name="_Toc462935293"/>
      <w:bookmarkStart w:id="50" w:name="_Toc462935341"/>
      <w:bookmarkStart w:id="51" w:name="_Toc462935498"/>
      <w:bookmarkStart w:id="52" w:name="_Toc463004732"/>
      <w:bookmarkStart w:id="53" w:name="_Toc463264165"/>
      <w:bookmarkStart w:id="54" w:name="_Toc463376629"/>
      <w:bookmarkStart w:id="55" w:name="_Toc463438681"/>
      <w:bookmarkStart w:id="56" w:name="_Toc463438849"/>
      <w:bookmarkStart w:id="57" w:name="_Toc463462766"/>
      <w:bookmarkStart w:id="58" w:name="_Toc463974151"/>
      <w:bookmarkStart w:id="59" w:name="_Toc464028192"/>
      <w:bookmarkStart w:id="60" w:name="_Toc464028333"/>
      <w:bookmarkStart w:id="61" w:name="_Toc526753782"/>
      <w:bookmarkStart w:id="62" w:name="_Toc5267537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noProof/>
        </w:rPr>
        <w:t xml:space="preserve">NvW 1/2024 actualiseert de ramingen voor landbouwuitgaven op basis van de recentste economische gegevens en het recentste wetgevingskader. In september 2023 beschikte de Commissie over een eerste indicatie van het productieniveau voor 2023 en over de vooruitzichten voor de landbouwmarkten, alsook over de werkelijke cijfers voor het grootste deel van de uitvoering van de begroting 2023 met betrekking tot gedeeld beheer van het ELGF, die de basis vormen voor de geactualiseerde ramingen van de begrotingsbehoeften voor 2024. </w:t>
      </w:r>
    </w:p>
    <w:p w14:paraId="083C315A" w14:textId="6BEA23E6" w:rsidR="00F16A2C" w:rsidRDefault="461A41E1" w:rsidP="00295C22">
      <w:pPr>
        <w:autoSpaceDE w:val="0"/>
        <w:autoSpaceDN w:val="0"/>
        <w:adjustRightInd w:val="0"/>
        <w:spacing w:before="120" w:after="120" w:line="259" w:lineRule="auto"/>
        <w:jc w:val="both"/>
        <w:rPr>
          <w:noProof/>
        </w:rPr>
      </w:pPr>
      <w:r>
        <w:rPr>
          <w:noProof/>
        </w:rPr>
        <w:t xml:space="preserve">Behalve met marktfactoren houdt NvW 1/2024 ook rekening met de impact van wetgevingsbesluiten in de landbouwsector die zijn genomen sinds de vaststelling van de OB 2024 in juli 2023. </w:t>
      </w:r>
    </w:p>
    <w:p w14:paraId="4FB6C60E" w14:textId="451919EB" w:rsidR="003D701A" w:rsidRDefault="0A25AB03" w:rsidP="44803770">
      <w:pPr>
        <w:autoSpaceDE w:val="0"/>
        <w:autoSpaceDN w:val="0"/>
        <w:adjustRightInd w:val="0"/>
        <w:spacing w:before="120" w:after="120" w:line="259" w:lineRule="auto"/>
        <w:jc w:val="both"/>
        <w:rPr>
          <w:noProof/>
        </w:rPr>
      </w:pPr>
      <w:r>
        <w:rPr>
          <w:noProof/>
        </w:rPr>
        <w:t>In totaal worden de ELGF-behoeften voor 2024, met inbegrip van de landbouwreserve (die wordt gefinancierd uit een niet-besteed bedrag ten belope van 200 miljoen EUR van de landbouwreserve voor 2023 en uit de beschikbare ELGF-middelen voor 2024) nu geraamd op 41 450,6 miljoen EUR</w:t>
      </w:r>
      <w:r>
        <w:rPr>
          <w:noProof/>
          <w:vertAlign w:val="superscript"/>
        </w:rPr>
        <w:footnoteReference w:id="6"/>
      </w:r>
      <w:r>
        <w:rPr>
          <w:noProof/>
        </w:rPr>
        <w:t>. Dit is een stijging met 343 miljoen EUR ten opzichte van de OB 2024, die het gevolg is van i) extra behoeften ten belope van 280 miljoen EUR voor post 08 02 01 “Landbouwreserve”, ii) hogere behoeften voor marktmaatregelen en interventies van de lidstaten met 61 miljoen EUR, voornamelijk als gevolg van de grotere behoeften voor de sector groenten en fruit, en iii) een kleine stijging van 2 miljoen EUR voor andere ELGF-uitgaven.</w:t>
      </w:r>
    </w:p>
    <w:p w14:paraId="74E92990" w14:textId="03C81E31" w:rsidR="022E8991" w:rsidRDefault="022E8991" w:rsidP="42EA40D1">
      <w:pPr>
        <w:spacing w:before="120" w:after="120" w:line="259" w:lineRule="auto"/>
        <w:jc w:val="both"/>
        <w:rPr>
          <w:noProof/>
        </w:rPr>
      </w:pPr>
      <w:r>
        <w:rPr>
          <w:noProof/>
        </w:rPr>
        <w:t>In 2023 zijn uitzonderlijke maatregelen getroffen met een totale financiële impact van 530 miljoen EUR om steun te verlenen aan landbouwers die getroffen zijn door aviaire influenza, om de marktverstoringen als gevolg van de toegenomen invoer van Oekraïens graan in de lidstaten in de voorste linie aan te pakken, en om steun te verlenen aan landbouwers die getroffen zijn door extreme weersomstandigheden en andere specifieke problemen. Dit totaalbedrag overschreed de beschikbare middelen van de landbouwreserve voor 2023 met 80 miljoen EUR. Van de 450 miljoen EUR die beschikbaar is, zal naar verwachting 250 miljoen EUR in 2023 worden gebruikt, op basis van de meest recente uitvoeringsgegevens en prognoses van de lidstaten. Het resterende bedrag van 200 miljoen EUR zal worden overgedragen naar het jaar 2024 overeenkomstig artikel 16, lid 2, van de horizontale GLB-verordening</w:t>
      </w:r>
      <w:r>
        <w:rPr>
          <w:rStyle w:val="FootnoteReference"/>
          <w:noProof/>
        </w:rPr>
        <w:footnoteReference w:id="7"/>
      </w:r>
      <w:r>
        <w:rPr>
          <w:noProof/>
        </w:rPr>
        <w:t xml:space="preserve"> en zal worden gebruikt voor de terugbetaling van de uitgaven van de lidstaten in verband met deze uitzonderlijke maatregelen die in 2023 zijn vastgesteld maar na 15 oktober zijn betaald en dus deel uitmaken van het landbouwjaar 2024. Om de resterende buitengewone maatregelen die in 2023 zijn vastgesteld, volledig te kunnen dekken, stelt de Commissie overeenkomstig artikel 16, lid 2, eerste alinea, van de horizontale GLB-verordening voor om de nieuwe kredieten van de landbouwreserve voor 2024 te verhogen tot 530 miljoen EUR, d.w.z. een verhoging met 80 miljoen EUR ten opzichte van de OB 2024. Dit zal het mogelijk maken 450 miljoen EUR te behouden voor nieuwe buitengewone maatregelen die volgend jaar kunnen worden genomen om te reageren op mogelijke marktverstoringen als gevolg van de aanhoudend instabiele geopolitieke context en, in toenemende mate, ongunstige klimaatgebeurtenissen in de hele EU.</w:t>
      </w:r>
    </w:p>
    <w:p w14:paraId="7FC6C90E" w14:textId="70CAE328" w:rsidR="00E573FF" w:rsidRPr="00EC7DDD" w:rsidRDefault="124CBAEA" w:rsidP="42EA40D1">
      <w:pPr>
        <w:autoSpaceDE w:val="0"/>
        <w:autoSpaceDN w:val="0"/>
        <w:adjustRightInd w:val="0"/>
        <w:spacing w:before="120" w:after="120" w:line="259" w:lineRule="auto"/>
        <w:jc w:val="both"/>
        <w:rPr>
          <w:noProof/>
          <w:highlight w:val="yellow"/>
        </w:rPr>
      </w:pPr>
      <w:r>
        <w:rPr>
          <w:noProof/>
        </w:rPr>
        <w:t>De bestemmingsontvangsten waarover naar verwachting in 2024 kan worden beschikt, stijgen van 505,5 miljoen EUR in OB 2024 tot 848,5 miljoen EUR en dekken volledig de extra behoeften. De verwachte stijging van de bestemmingsontvangsten is afkomstig van het verwachte overschot van 2023, dat overeenkomstig artikel 12, lid 2, punt  d), van het Financieel Reglement naar 2024 zal worden overgedragen. Het overschot is toe te schrijven aan de onderbesteding van de landbouwreserve voor 2023, zoals hierboven uiteengezet, alsook aan een relatief geringe onderbesteding van de rechtstreekse betalingen en aan hoger dan verwachte bestemmingsontvangsten in het kader van de goedkeuring van de ELGF-rekeningen.</w:t>
      </w:r>
    </w:p>
    <w:p w14:paraId="613510DC" w14:textId="6AB56624" w:rsidR="00130CFB" w:rsidRDefault="00BD054A" w:rsidP="00295C22">
      <w:pPr>
        <w:autoSpaceDE w:val="0"/>
        <w:autoSpaceDN w:val="0"/>
        <w:adjustRightInd w:val="0"/>
        <w:spacing w:before="120" w:after="120" w:line="259" w:lineRule="auto"/>
        <w:jc w:val="both"/>
        <w:rPr>
          <w:noProof/>
        </w:rPr>
      </w:pPr>
      <w:r>
        <w:rPr>
          <w:noProof/>
        </w:rPr>
        <w:t xml:space="preserve">Bijgevolg blijft het bedrag aan vastleggingskredieten ongewijzigd op 40 602,1 miljoen EUR, inclusief 530 miljoen EUR voor de landbouwreserve. Dit totaalbedrag komt overeen met het voor het ELGF beschikbare nettosaldo, inclusief het effect van de kennisgevingen van de lidstaten op de overdrachten tussen rechtstreekse betalingen en plattelandsontwikkeling, en laat geen marge onder het submaximum. </w:t>
      </w:r>
    </w:p>
    <w:p w14:paraId="6C45491B" w14:textId="24EDA332" w:rsidR="00F16A2C" w:rsidRDefault="00692727" w:rsidP="00295C22">
      <w:pPr>
        <w:pStyle w:val="ManualHeading1"/>
        <w:ind w:left="0" w:firstLine="0"/>
        <w:rPr>
          <w:noProof/>
        </w:rPr>
      </w:pPr>
      <w:bookmarkStart w:id="63" w:name="_Toc55807155"/>
      <w:bookmarkStart w:id="64" w:name="_Toc114838632"/>
      <w:bookmarkStart w:id="65" w:name="_Toc145922822"/>
      <w:bookmarkStart w:id="66" w:name="_Toc54770344"/>
      <w:bookmarkEnd w:id="61"/>
      <w:bookmarkEnd w:id="62"/>
      <w:r>
        <w:rPr>
          <w:noProof/>
        </w:rPr>
        <w:t xml:space="preserve">4. </w:t>
      </w:r>
      <w:r>
        <w:rPr>
          <w:noProof/>
        </w:rPr>
        <w:tab/>
      </w:r>
      <w:bookmarkEnd w:id="63"/>
      <w:r>
        <w:rPr>
          <w:noProof/>
        </w:rPr>
        <w:t>Actualisering van de partnerschapsovereenkomsten inzake duurzame visserij</w:t>
      </w:r>
      <w:bookmarkEnd w:id="64"/>
      <w:bookmarkEnd w:id="65"/>
    </w:p>
    <w:p w14:paraId="27477F8A" w14:textId="25796E6F" w:rsidR="00BD054A" w:rsidRDefault="125CD364" w:rsidP="42EA40D1">
      <w:pPr>
        <w:autoSpaceDE w:val="0"/>
        <w:autoSpaceDN w:val="0"/>
        <w:adjustRightInd w:val="0"/>
        <w:spacing w:before="120" w:after="120" w:line="259" w:lineRule="auto"/>
        <w:jc w:val="both"/>
        <w:rPr>
          <w:noProof/>
        </w:rPr>
      </w:pPr>
      <w:r>
        <w:rPr>
          <w:noProof/>
        </w:rPr>
        <w:t>De Commissie heeft de recentste beschikbare informatie over partnerschapsovereenkomsten inzake duurzame visserij (PODV) onderzocht en de verwachte behoeften voor 2024 geëvalueerd op basis van de ontwikkelingen in de onderhandelingsprocessen met de betrokken derde landen, zoals bepaald in deel II, punt C, van het Interinstitutioneel Akkoord (IIA)</w:t>
      </w:r>
      <w:r>
        <w:rPr>
          <w:noProof/>
          <w:vertAlign w:val="superscript"/>
        </w:rPr>
        <w:footnoteReference w:id="8"/>
      </w:r>
      <w:r>
        <w:rPr>
          <w:noProof/>
        </w:rPr>
        <w:t xml:space="preserve">. Op basis van deze evaluatie stelt de Commissie voor een bedrag van 2 560 000 EUR aan vastleggings- en betalingskredieten over te hevelen van de reserve (begrotingsartikel 30 02 02) naar het operationele artikel (08 05 01 </w:t>
      </w:r>
      <w:r>
        <w:rPr>
          <w:i/>
          <w:noProof/>
        </w:rPr>
        <w:t>Vaststelling van een governancekader voor visserijactiviteiten die vissersvaartuigen van de Unie in wateren van derde landen verrichten</w:t>
      </w:r>
      <w:r>
        <w:rPr>
          <w:noProof/>
        </w:rPr>
        <w:t xml:space="preserve">). Deze begrotingsneutrale overschrijving heeft betrekking op de PODV met de Republiek Madagaskar, die op 1 juli 2023 voorlopig van toepassing is geworden, en die met de Republiek Kiribati, die op 2 oktober 2023 voorlopig van toepassing is geworden. </w:t>
      </w:r>
    </w:p>
    <w:p w14:paraId="57B26DA5" w14:textId="78AA9358" w:rsidR="00A83110" w:rsidRDefault="00BD054A" w:rsidP="42EA40D1">
      <w:pPr>
        <w:autoSpaceDE w:val="0"/>
        <w:autoSpaceDN w:val="0"/>
        <w:adjustRightInd w:val="0"/>
        <w:spacing w:before="120" w:after="120" w:line="259" w:lineRule="auto"/>
        <w:jc w:val="both"/>
        <w:rPr>
          <w:noProof/>
        </w:rPr>
      </w:pPr>
      <w:r>
        <w:rPr>
          <w:noProof/>
        </w:rPr>
        <w:t>De totale beschikbare vastleggingskredieten voor de partnerschapsovereenkomsten inzake duurzame visserij blijven ongewijzigd op 156,7 miljoen EUR, waarvan 66,9 miljoen EUR in de reserve en 89,9 miljoen EUR op het belangrijkste operationele begrotingsonderdeel.</w:t>
      </w:r>
    </w:p>
    <w:p w14:paraId="122F1BDB" w14:textId="74F3DF78" w:rsidR="00BD054A" w:rsidRPr="00BD054A" w:rsidRDefault="00BD054A" w:rsidP="00BD054A">
      <w:pPr>
        <w:autoSpaceDE w:val="0"/>
        <w:autoSpaceDN w:val="0"/>
        <w:adjustRightInd w:val="0"/>
        <w:spacing w:before="120" w:line="259" w:lineRule="auto"/>
        <w:jc w:val="right"/>
        <w:rPr>
          <w:i/>
          <w:iCs/>
          <w:noProof/>
          <w:sz w:val="20"/>
          <w:szCs w:val="20"/>
        </w:rPr>
      </w:pPr>
      <w:r>
        <w:rPr>
          <w:i/>
          <w:noProof/>
          <w:sz w:val="20"/>
        </w:rPr>
        <w:t>EUR</w:t>
      </w:r>
    </w:p>
    <w:tbl>
      <w:tblPr>
        <w:tblW w:w="996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577"/>
        <w:gridCol w:w="1909"/>
        <w:gridCol w:w="2161"/>
      </w:tblGrid>
      <w:tr w:rsidR="00F16A2C" w14:paraId="4E411A56" w14:textId="77777777" w:rsidTr="00F250EB">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AE5E6" w14:textId="467DD526" w:rsidR="00F16A2C" w:rsidRDefault="006836D1">
            <w:pPr>
              <w:widowControl w:val="0"/>
              <w:spacing w:before="15" w:after="15"/>
              <w:jc w:val="center"/>
              <w:rPr>
                <w:b/>
                <w:noProof/>
                <w:sz w:val="20"/>
                <w:szCs w:val="20"/>
              </w:rPr>
            </w:pPr>
            <w:bookmarkStart w:id="67" w:name="_Hlk111108294"/>
            <w:r>
              <w:rPr>
                <w:b/>
                <w:noProof/>
                <w:sz w:val="20"/>
              </w:rPr>
              <w:t>Begrotings</w:t>
            </w:r>
            <w:r w:rsidR="003C5A89">
              <w:rPr>
                <w:b/>
                <w:noProof/>
                <w:sz w:val="20"/>
              </w:rPr>
              <w:t>-</w:t>
            </w:r>
            <w:r>
              <w:rPr>
                <w:b/>
                <w:noProof/>
                <w:sz w:val="20"/>
              </w:rPr>
              <w:t>onderdeel</w:t>
            </w:r>
          </w:p>
        </w:tc>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24B40" w14:textId="77777777" w:rsidR="00F16A2C" w:rsidRDefault="006836D1">
            <w:pPr>
              <w:widowControl w:val="0"/>
              <w:spacing w:before="15" w:after="15"/>
              <w:jc w:val="center"/>
              <w:rPr>
                <w:b/>
                <w:noProof/>
                <w:sz w:val="20"/>
                <w:szCs w:val="20"/>
              </w:rPr>
            </w:pPr>
            <w:r>
              <w:rPr>
                <w:b/>
                <w:noProof/>
                <w:sz w:val="20"/>
              </w:rPr>
              <w:t>Naam</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D8D8C" w14:textId="6466E513" w:rsidR="00F16A2C" w:rsidRDefault="006836D1">
            <w:pPr>
              <w:widowControl w:val="0"/>
              <w:spacing w:before="15" w:after="15"/>
              <w:jc w:val="center"/>
              <w:rPr>
                <w:b/>
                <w:noProof/>
                <w:sz w:val="20"/>
                <w:szCs w:val="20"/>
              </w:rPr>
            </w:pPr>
            <w:r>
              <w:rPr>
                <w:b/>
                <w:noProof/>
                <w:sz w:val="20"/>
              </w:rPr>
              <w:t>Vastleggings</w:t>
            </w:r>
            <w:r w:rsidR="003C5A89">
              <w:rPr>
                <w:b/>
                <w:noProof/>
                <w:sz w:val="20"/>
              </w:rPr>
              <w:t>-</w:t>
            </w:r>
            <w:r>
              <w:rPr>
                <w:b/>
                <w:noProof/>
                <w:sz w:val="20"/>
              </w:rPr>
              <w:t>kredieten</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41E58" w14:textId="77777777" w:rsidR="003C5A89" w:rsidRDefault="006836D1">
            <w:pPr>
              <w:widowControl w:val="0"/>
              <w:spacing w:before="15" w:after="15"/>
              <w:jc w:val="center"/>
              <w:rPr>
                <w:b/>
                <w:noProof/>
                <w:sz w:val="20"/>
              </w:rPr>
            </w:pPr>
            <w:r>
              <w:rPr>
                <w:b/>
                <w:noProof/>
                <w:sz w:val="20"/>
              </w:rPr>
              <w:t>Betalings</w:t>
            </w:r>
            <w:r w:rsidR="003C5A89">
              <w:rPr>
                <w:b/>
                <w:noProof/>
                <w:sz w:val="20"/>
              </w:rPr>
              <w:t>-</w:t>
            </w:r>
          </w:p>
          <w:p w14:paraId="2E8C0FA6" w14:textId="6DAD6477" w:rsidR="00F16A2C" w:rsidRDefault="006836D1">
            <w:pPr>
              <w:widowControl w:val="0"/>
              <w:spacing w:before="15" w:after="15"/>
              <w:jc w:val="center"/>
              <w:rPr>
                <w:b/>
                <w:noProof/>
                <w:sz w:val="20"/>
                <w:szCs w:val="20"/>
              </w:rPr>
            </w:pPr>
            <w:r>
              <w:rPr>
                <w:b/>
                <w:noProof/>
                <w:sz w:val="20"/>
              </w:rPr>
              <w:t>kredieten</w:t>
            </w:r>
          </w:p>
        </w:tc>
      </w:tr>
      <w:tr w:rsidR="00C94B68" w14:paraId="0CBFB1DC" w14:textId="77777777" w:rsidTr="00BD054A">
        <w:tc>
          <w:tcPr>
            <w:tcW w:w="9963" w:type="dxa"/>
            <w:gridSpan w:val="4"/>
            <w:tcBorders>
              <w:top w:val="single" w:sz="4" w:space="0" w:color="auto"/>
              <w:left w:val="single" w:sz="4" w:space="0" w:color="auto"/>
              <w:bottom w:val="single" w:sz="4" w:space="0" w:color="auto"/>
              <w:right w:val="single" w:sz="4" w:space="0" w:color="auto"/>
            </w:tcBorders>
            <w:vAlign w:val="center"/>
          </w:tcPr>
          <w:p w14:paraId="4B399656" w14:textId="649779C5" w:rsidR="0081068A" w:rsidRPr="008D3404" w:rsidRDefault="0081068A" w:rsidP="008D3404">
            <w:pPr>
              <w:widowControl w:val="0"/>
              <w:spacing w:before="15" w:after="15"/>
              <w:rPr>
                <w:i/>
                <w:iCs/>
                <w:noProof/>
                <w:sz w:val="20"/>
                <w:szCs w:val="20"/>
              </w:rPr>
            </w:pPr>
            <w:r>
              <w:rPr>
                <w:i/>
                <w:noProof/>
                <w:sz w:val="20"/>
              </w:rPr>
              <w:t>Afdeling III – Commissie</w:t>
            </w:r>
          </w:p>
        </w:tc>
      </w:tr>
      <w:tr w:rsidR="00F16A2C" w14:paraId="44BC52BE"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329C3693" w14:textId="77777777" w:rsidR="00F16A2C" w:rsidRPr="008D3404" w:rsidRDefault="006836D1">
            <w:pPr>
              <w:jc w:val="center"/>
              <w:rPr>
                <w:noProof/>
                <w:sz w:val="16"/>
                <w:szCs w:val="16"/>
              </w:rPr>
            </w:pPr>
            <w:r>
              <w:rPr>
                <w:noProof/>
                <w:sz w:val="16"/>
              </w:rPr>
              <w:t>08 05 01</w:t>
            </w:r>
          </w:p>
        </w:tc>
        <w:tc>
          <w:tcPr>
            <w:tcW w:w="4577" w:type="dxa"/>
            <w:tcBorders>
              <w:top w:val="single" w:sz="4" w:space="0" w:color="auto"/>
              <w:left w:val="single" w:sz="4" w:space="0" w:color="auto"/>
              <w:bottom w:val="single" w:sz="4" w:space="0" w:color="auto"/>
              <w:right w:val="single" w:sz="4" w:space="0" w:color="auto"/>
            </w:tcBorders>
          </w:tcPr>
          <w:p w14:paraId="2DE67D5F" w14:textId="77777777" w:rsidR="00F16A2C" w:rsidRPr="008D3404" w:rsidRDefault="006836D1">
            <w:pPr>
              <w:widowControl w:val="0"/>
              <w:tabs>
                <w:tab w:val="left" w:pos="1350"/>
              </w:tabs>
              <w:spacing w:before="15" w:after="15"/>
              <w:jc w:val="both"/>
              <w:rPr>
                <w:noProof/>
                <w:sz w:val="16"/>
                <w:szCs w:val="16"/>
              </w:rPr>
            </w:pPr>
            <w:r>
              <w:rPr>
                <w:noProof/>
                <w:sz w:val="16"/>
              </w:rPr>
              <w:t>Vaststelling van een governancekader voor visserijactiviteiten die vissersvaartuigen van de Unie in de wateren van derde landen verrichten</w:t>
            </w:r>
          </w:p>
        </w:tc>
        <w:tc>
          <w:tcPr>
            <w:tcW w:w="1909" w:type="dxa"/>
            <w:tcBorders>
              <w:top w:val="single" w:sz="4" w:space="0" w:color="auto"/>
              <w:left w:val="single" w:sz="4" w:space="0" w:color="auto"/>
              <w:bottom w:val="single" w:sz="4" w:space="0" w:color="auto"/>
              <w:right w:val="single" w:sz="4" w:space="0" w:color="auto"/>
            </w:tcBorders>
            <w:vAlign w:val="center"/>
          </w:tcPr>
          <w:p w14:paraId="7E64626D" w14:textId="0FC54AB8" w:rsidR="00F16A2C" w:rsidRPr="008D3404" w:rsidRDefault="46024E10">
            <w:pPr>
              <w:widowControl w:val="0"/>
              <w:spacing w:before="15" w:after="15"/>
              <w:jc w:val="right"/>
              <w:rPr>
                <w:noProof/>
                <w:sz w:val="16"/>
                <w:szCs w:val="16"/>
              </w:rPr>
            </w:pPr>
            <w:r>
              <w:rPr>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6C20E349" w14:textId="1ED02BC5" w:rsidR="00F16A2C" w:rsidRPr="008D3404" w:rsidRDefault="5D09A752" w:rsidP="42EA40D1">
            <w:pPr>
              <w:widowControl w:val="0"/>
              <w:spacing w:before="15" w:after="15"/>
              <w:jc w:val="right"/>
              <w:rPr>
                <w:noProof/>
                <w:sz w:val="16"/>
                <w:szCs w:val="16"/>
              </w:rPr>
            </w:pPr>
            <w:r>
              <w:rPr>
                <w:noProof/>
                <w:sz w:val="16"/>
              </w:rPr>
              <w:t xml:space="preserve"> 2 560 000</w:t>
            </w:r>
          </w:p>
        </w:tc>
      </w:tr>
      <w:tr w:rsidR="00355BA7" w14:paraId="2B7980D7"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07BF1A2B" w14:textId="77777777" w:rsidR="00355BA7" w:rsidRPr="008D3404" w:rsidRDefault="00355BA7" w:rsidP="00355BA7">
            <w:pPr>
              <w:jc w:val="center"/>
              <w:rPr>
                <w:noProof/>
                <w:sz w:val="16"/>
                <w:szCs w:val="16"/>
              </w:rPr>
            </w:pPr>
            <w:r>
              <w:rPr>
                <w:noProof/>
                <w:sz w:val="16"/>
              </w:rPr>
              <w:t>30 02 02</w:t>
            </w:r>
          </w:p>
        </w:tc>
        <w:tc>
          <w:tcPr>
            <w:tcW w:w="4577" w:type="dxa"/>
            <w:tcBorders>
              <w:top w:val="single" w:sz="4" w:space="0" w:color="auto"/>
              <w:left w:val="single" w:sz="4" w:space="0" w:color="auto"/>
              <w:bottom w:val="single" w:sz="4" w:space="0" w:color="auto"/>
              <w:right w:val="single" w:sz="4" w:space="0" w:color="auto"/>
            </w:tcBorders>
          </w:tcPr>
          <w:p w14:paraId="495BA09D" w14:textId="77777777" w:rsidR="00355BA7" w:rsidRPr="008D3404" w:rsidRDefault="00355BA7" w:rsidP="00355BA7">
            <w:pPr>
              <w:widowControl w:val="0"/>
              <w:tabs>
                <w:tab w:val="left" w:pos="1350"/>
              </w:tabs>
              <w:spacing w:before="15" w:after="15"/>
              <w:jc w:val="both"/>
              <w:rPr>
                <w:noProof/>
                <w:sz w:val="16"/>
                <w:szCs w:val="16"/>
              </w:rPr>
            </w:pPr>
            <w:r>
              <w:rPr>
                <w:noProof/>
                <w:sz w:val="16"/>
              </w:rPr>
              <w:t>Gesplitste kredieten (</w:t>
            </w:r>
            <w:r>
              <w:rPr>
                <w:i/>
                <w:noProof/>
                <w:sz w:val="16"/>
              </w:rPr>
              <w:t>Reserve voor begrotingsartikel 08 05 01</w:t>
            </w:r>
            <w:r>
              <w:rPr>
                <w:noProof/>
                <w:sz w:val="16"/>
              </w:rPr>
              <w:t>)</w:t>
            </w:r>
          </w:p>
        </w:tc>
        <w:tc>
          <w:tcPr>
            <w:tcW w:w="1909" w:type="dxa"/>
            <w:tcBorders>
              <w:top w:val="single" w:sz="4" w:space="0" w:color="auto"/>
              <w:left w:val="single" w:sz="4" w:space="0" w:color="auto"/>
              <w:bottom w:val="single" w:sz="4" w:space="0" w:color="auto"/>
              <w:right w:val="single" w:sz="4" w:space="0" w:color="auto"/>
            </w:tcBorders>
            <w:vAlign w:val="center"/>
          </w:tcPr>
          <w:p w14:paraId="5B2D7B54" w14:textId="332BDD83" w:rsidR="00355BA7" w:rsidRPr="00355BA7" w:rsidRDefault="69B17A07"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7AE12C9D" w14:textId="6E7045BA" w:rsidR="00355BA7" w:rsidRPr="00355BA7" w:rsidRDefault="76D20290"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- 2 560 000</w:t>
            </w:r>
          </w:p>
        </w:tc>
      </w:tr>
      <w:tr w:rsidR="00F16A2C" w14:paraId="6FAD22A2" w14:textId="77777777" w:rsidTr="00BD054A">
        <w:tc>
          <w:tcPr>
            <w:tcW w:w="58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0910B" w14:textId="77777777" w:rsidR="00F16A2C" w:rsidRDefault="006836D1">
            <w:pPr>
              <w:widowControl w:val="0"/>
              <w:tabs>
                <w:tab w:val="left" w:pos="975"/>
              </w:tabs>
              <w:spacing w:before="15" w:after="15"/>
              <w:jc w:val="both"/>
              <w:rPr>
                <w:b/>
                <w:noProof/>
                <w:sz w:val="20"/>
                <w:szCs w:val="20"/>
              </w:rPr>
            </w:pPr>
            <w:r>
              <w:rPr>
                <w:b/>
                <w:noProof/>
                <w:sz w:val="20"/>
              </w:rPr>
              <w:t>Totaal</w:t>
            </w:r>
            <w:r>
              <w:rPr>
                <w:noProof/>
              </w:rPr>
              <w:tab/>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94424" w14:textId="2C3B7394" w:rsidR="00F16A2C" w:rsidRDefault="00F057ED">
            <w:pPr>
              <w:widowControl w:val="0"/>
              <w:spacing w:before="15" w:after="15"/>
              <w:jc w:val="right"/>
              <w:rPr>
                <w:b/>
                <w:noProof/>
                <w:sz w:val="20"/>
                <w:szCs w:val="20"/>
              </w:rPr>
            </w:pPr>
            <w:r>
              <w:rPr>
                <w:b/>
                <w:noProof/>
                <w:sz w:val="20"/>
              </w:rPr>
              <w:t>0</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7D758" w14:textId="156D82A1" w:rsidR="00F16A2C" w:rsidRDefault="00F057ED">
            <w:pPr>
              <w:widowControl w:val="0"/>
              <w:spacing w:before="15" w:after="15"/>
              <w:jc w:val="right"/>
              <w:rPr>
                <w:b/>
                <w:noProof/>
                <w:sz w:val="20"/>
                <w:szCs w:val="20"/>
              </w:rPr>
            </w:pPr>
            <w:r>
              <w:rPr>
                <w:b/>
                <w:noProof/>
                <w:sz w:val="20"/>
              </w:rPr>
              <w:t>0</w:t>
            </w:r>
          </w:p>
        </w:tc>
      </w:tr>
    </w:tbl>
    <w:p w14:paraId="15DD15C1" w14:textId="01DA7D25" w:rsidR="00F16A2C" w:rsidRDefault="00692727" w:rsidP="00E21EFB">
      <w:pPr>
        <w:pStyle w:val="ManualHeading1"/>
        <w:ind w:left="0" w:firstLine="0"/>
        <w:rPr>
          <w:noProof/>
        </w:rPr>
      </w:pPr>
      <w:bookmarkStart w:id="68" w:name="_Toc462933859"/>
      <w:bookmarkStart w:id="69" w:name="_Toc462935220"/>
      <w:bookmarkStart w:id="70" w:name="_Toc462935322"/>
      <w:bookmarkStart w:id="71" w:name="_Toc462935370"/>
      <w:bookmarkStart w:id="72" w:name="_Toc462935527"/>
      <w:bookmarkStart w:id="73" w:name="_Toc463004747"/>
      <w:bookmarkStart w:id="74" w:name="_Toc463974174"/>
      <w:bookmarkStart w:id="75" w:name="_Toc464028219"/>
      <w:bookmarkStart w:id="76" w:name="_Toc464028351"/>
      <w:bookmarkStart w:id="77" w:name="_Toc463974178"/>
      <w:bookmarkStart w:id="78" w:name="_Toc464028223"/>
      <w:bookmarkStart w:id="79" w:name="_Toc464028355"/>
      <w:bookmarkStart w:id="80" w:name="_Toc54770327"/>
      <w:bookmarkStart w:id="81" w:name="_Toc55807137"/>
      <w:bookmarkStart w:id="82" w:name="_Toc114838635"/>
      <w:bookmarkStart w:id="83" w:name="_Toc145922823"/>
      <w:bookmarkStart w:id="84" w:name="_Toc526753785"/>
      <w:bookmarkEnd w:id="20"/>
      <w:bookmarkEnd w:id="21"/>
      <w:bookmarkEnd w:id="66"/>
      <w:bookmarkEnd w:id="67"/>
      <w:bookmarkEnd w:id="68"/>
      <w:bookmarkEnd w:id="69"/>
      <w:bookmarkEnd w:id="70"/>
      <w:bookmarkEnd w:id="71"/>
      <w:bookmarkEnd w:id="72"/>
      <w:bookmarkEnd w:id="73"/>
      <w:bookmarkEnd w:id="74"/>
      <w:bookmarkEnd w:id="75"/>
      <w:bookmarkEnd w:id="76"/>
      <w:bookmarkEnd w:id="77"/>
      <w:bookmarkEnd w:id="78"/>
      <w:bookmarkEnd w:id="79"/>
      <w:r>
        <w:rPr>
          <w:noProof/>
        </w:rPr>
        <w:t>5.</w:t>
      </w:r>
      <w:r>
        <w:rPr>
          <w:noProof/>
        </w:rPr>
        <w:tab/>
        <w:t>Gedecentraliseerde agentschappen</w:t>
      </w:r>
      <w:bookmarkEnd w:id="80"/>
      <w:bookmarkEnd w:id="81"/>
      <w:r>
        <w:rPr>
          <w:noProof/>
        </w:rPr>
        <w:t xml:space="preserve"> en Europees Openbaar Ministerie</w:t>
      </w:r>
      <w:bookmarkEnd w:id="82"/>
      <w:bookmarkEnd w:id="83"/>
    </w:p>
    <w:p w14:paraId="7286B648" w14:textId="511D87BD" w:rsidR="00F16A2C" w:rsidRDefault="00692727">
      <w:pPr>
        <w:keepNext/>
        <w:tabs>
          <w:tab w:val="left" w:pos="850"/>
        </w:tabs>
        <w:spacing w:before="360" w:after="120"/>
        <w:ind w:left="357" w:hanging="357"/>
        <w:jc w:val="both"/>
        <w:outlineLvl w:val="1"/>
        <w:rPr>
          <w:rFonts w:eastAsia="Calibri"/>
          <w:b/>
          <w:noProof/>
        </w:rPr>
      </w:pPr>
      <w:bookmarkStart w:id="85" w:name="_Toc114838639"/>
      <w:bookmarkStart w:id="86" w:name="_Toc145922824"/>
      <w:r>
        <w:rPr>
          <w:b/>
          <w:noProof/>
        </w:rPr>
        <w:t>5.1.</w:t>
      </w:r>
      <w:r>
        <w:rPr>
          <w:noProof/>
        </w:rPr>
        <w:tab/>
      </w:r>
      <w:r>
        <w:rPr>
          <w:b/>
          <w:noProof/>
        </w:rPr>
        <w:t>Europees Openbaar Ministerie (EOM)</w:t>
      </w:r>
      <w:bookmarkEnd w:id="85"/>
      <w:bookmarkEnd w:id="86"/>
    </w:p>
    <w:p w14:paraId="217420DB" w14:textId="33A5ABC5" w:rsidR="006C27D4" w:rsidRDefault="00C84646" w:rsidP="006C27D4">
      <w:pPr>
        <w:spacing w:before="240"/>
        <w:jc w:val="both"/>
        <w:rPr>
          <w:rFonts w:eastAsia="Calibri"/>
          <w:noProof/>
        </w:rPr>
      </w:pPr>
      <w:r>
        <w:rPr>
          <w:noProof/>
        </w:rPr>
        <w:t>In OGB nr. 4/2023</w:t>
      </w:r>
      <w:r>
        <w:rPr>
          <w:rStyle w:val="FootnoteReference"/>
          <w:noProof/>
          <w:lang w:val="en-IE"/>
        </w:rPr>
        <w:footnoteReference w:id="9"/>
      </w:r>
      <w:r>
        <w:rPr>
          <w:noProof/>
        </w:rPr>
        <w:t xml:space="preserve"> heeft de Commissie voorgesteld de EU-bijdrage aan het EOM voor de beveiliging van het gebouw en de IT-systemen te verhogen en acht extra posten voor tijdelijke functionarissen toe te wijzen. Voorgesteld wordt de begroting voor 2024 van het EOM te verhogen met 2 miljoen EUR ter dekking van een eenmalige versterking van de veiligheid op het gebied van IT en gebouwen, alsook van de salarissen van het nieuwe personeel dat naar verwachting in 2023 op basis van een volledig jaar zal worden aangeworven.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6C27D4" w:rsidRPr="007E687E" w14:paraId="1DFCE69B" w14:textId="77777777">
        <w:trPr>
          <w:jc w:val="center"/>
        </w:trPr>
        <w:tc>
          <w:tcPr>
            <w:tcW w:w="9810" w:type="dxa"/>
            <w:gridSpan w:val="4"/>
            <w:tcBorders>
              <w:top w:val="nil"/>
              <w:left w:val="nil"/>
              <w:bottom w:val="single" w:sz="4" w:space="0" w:color="auto"/>
              <w:right w:val="nil"/>
            </w:tcBorders>
            <w:shd w:val="clear" w:color="auto" w:fill="auto"/>
            <w:vAlign w:val="center"/>
          </w:tcPr>
          <w:p w14:paraId="7F1D3165" w14:textId="77777777" w:rsidR="006C27D4" w:rsidRPr="007E687E" w:rsidRDefault="006C27D4">
            <w:pPr>
              <w:widowControl w:val="0"/>
              <w:spacing w:before="15" w:after="15"/>
              <w:jc w:val="right"/>
              <w:rPr>
                <w:rFonts w:eastAsia="Calibri"/>
                <w:i/>
                <w:noProof/>
                <w:sz w:val="20"/>
                <w:szCs w:val="20"/>
              </w:rPr>
            </w:pPr>
            <w:r>
              <w:rPr>
                <w:i/>
                <w:noProof/>
                <w:sz w:val="20"/>
              </w:rPr>
              <w:t>EUR</w:t>
            </w:r>
          </w:p>
        </w:tc>
      </w:tr>
      <w:tr w:rsidR="006C27D4" w:rsidRPr="007E687E" w14:paraId="0870A6FC" w14:textId="77777777">
        <w:trPr>
          <w:jc w:val="center"/>
        </w:trPr>
        <w:tc>
          <w:tcPr>
            <w:tcW w:w="1276" w:type="dxa"/>
            <w:tcBorders>
              <w:top w:val="single" w:sz="4" w:space="0" w:color="auto"/>
            </w:tcBorders>
            <w:shd w:val="clear" w:color="auto" w:fill="D9D9D9"/>
            <w:vAlign w:val="center"/>
          </w:tcPr>
          <w:p w14:paraId="0A2785FA" w14:textId="66F5CEA6" w:rsidR="006C27D4" w:rsidRPr="007E687E" w:rsidRDefault="006C27D4">
            <w:pPr>
              <w:keepNext/>
              <w:spacing w:before="15" w:after="15"/>
              <w:jc w:val="center"/>
              <w:rPr>
                <w:rFonts w:eastAsia="Calibri"/>
                <w:b/>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vAlign w:val="center"/>
          </w:tcPr>
          <w:p w14:paraId="294B8E1B" w14:textId="77777777" w:rsidR="006C27D4" w:rsidRPr="007E687E" w:rsidRDefault="006C27D4">
            <w:pPr>
              <w:widowControl w:val="0"/>
              <w:spacing w:before="15" w:after="15"/>
              <w:jc w:val="center"/>
              <w:rPr>
                <w:rFonts w:eastAsia="Calibri"/>
                <w:b/>
                <w:noProof/>
                <w:sz w:val="20"/>
                <w:szCs w:val="20"/>
              </w:rPr>
            </w:pPr>
            <w:r>
              <w:rPr>
                <w:b/>
                <w:noProof/>
                <w:sz w:val="20"/>
              </w:rPr>
              <w:t>Naam</w:t>
            </w:r>
          </w:p>
        </w:tc>
        <w:tc>
          <w:tcPr>
            <w:tcW w:w="1701" w:type="dxa"/>
            <w:tcBorders>
              <w:top w:val="single" w:sz="4" w:space="0" w:color="auto"/>
            </w:tcBorders>
            <w:shd w:val="clear" w:color="auto" w:fill="D9D9D9"/>
            <w:vAlign w:val="center"/>
          </w:tcPr>
          <w:p w14:paraId="529763D2" w14:textId="133EB015" w:rsidR="006C27D4" w:rsidRPr="007E687E" w:rsidRDefault="006C27D4">
            <w:pPr>
              <w:widowControl w:val="0"/>
              <w:spacing w:before="15" w:after="15"/>
              <w:jc w:val="center"/>
              <w:rPr>
                <w:rFonts w:eastAsia="Calibri"/>
                <w:b/>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vAlign w:val="center"/>
          </w:tcPr>
          <w:p w14:paraId="14DD4A1B" w14:textId="433CEC36" w:rsidR="006C27D4" w:rsidRPr="007E687E" w:rsidRDefault="006C27D4">
            <w:pPr>
              <w:widowControl w:val="0"/>
              <w:spacing w:before="15" w:after="15"/>
              <w:jc w:val="center"/>
              <w:rPr>
                <w:rFonts w:eastAsia="Calibri"/>
                <w:b/>
                <w:noProof/>
                <w:sz w:val="20"/>
                <w:szCs w:val="20"/>
              </w:rPr>
            </w:pPr>
            <w:r>
              <w:rPr>
                <w:b/>
                <w:noProof/>
                <w:sz w:val="20"/>
              </w:rPr>
              <w:t>Betalings</w:t>
            </w:r>
            <w:r w:rsidR="003C5A89">
              <w:rPr>
                <w:b/>
                <w:noProof/>
                <w:sz w:val="20"/>
              </w:rPr>
              <w:t>-</w:t>
            </w:r>
            <w:r>
              <w:rPr>
                <w:b/>
                <w:noProof/>
                <w:sz w:val="20"/>
              </w:rPr>
              <w:t>kredieten</w:t>
            </w:r>
          </w:p>
        </w:tc>
      </w:tr>
      <w:tr w:rsidR="006C27D4" w:rsidRPr="007E687E" w14:paraId="1CB483E2" w14:textId="77777777">
        <w:trPr>
          <w:jc w:val="center"/>
        </w:trPr>
        <w:tc>
          <w:tcPr>
            <w:tcW w:w="9810" w:type="dxa"/>
            <w:gridSpan w:val="4"/>
            <w:tcBorders>
              <w:bottom w:val="single" w:sz="4" w:space="0" w:color="auto"/>
            </w:tcBorders>
            <w:shd w:val="clear" w:color="auto" w:fill="F2F2F2"/>
            <w:vAlign w:val="center"/>
          </w:tcPr>
          <w:p w14:paraId="64C2B55C" w14:textId="77777777" w:rsidR="006C27D4" w:rsidRPr="007E687E" w:rsidRDefault="006C27D4">
            <w:pPr>
              <w:widowControl w:val="0"/>
              <w:spacing w:before="15" w:after="15"/>
              <w:rPr>
                <w:rFonts w:eastAsia="Calibri"/>
                <w:i/>
                <w:noProof/>
                <w:sz w:val="20"/>
                <w:szCs w:val="20"/>
              </w:rPr>
            </w:pPr>
            <w:r>
              <w:rPr>
                <w:i/>
                <w:noProof/>
                <w:sz w:val="20"/>
              </w:rPr>
              <w:t>Afdeling III – Commissie</w:t>
            </w:r>
          </w:p>
        </w:tc>
      </w:tr>
      <w:tr w:rsidR="006C27D4" w:rsidRPr="007E687E" w14:paraId="6B20054A" w14:textId="77777777">
        <w:trPr>
          <w:jc w:val="center"/>
        </w:trPr>
        <w:tc>
          <w:tcPr>
            <w:tcW w:w="1276" w:type="dxa"/>
          </w:tcPr>
          <w:p w14:paraId="5434396F" w14:textId="77777777" w:rsidR="006C27D4" w:rsidRPr="00885900" w:rsidRDefault="006C27D4" w:rsidP="0068221C">
            <w:pPr>
              <w:widowControl w:val="0"/>
              <w:tabs>
                <w:tab w:val="left" w:pos="1350"/>
              </w:tabs>
              <w:spacing w:before="15" w:after="15"/>
              <w:jc w:val="both"/>
              <w:rPr>
                <w:rFonts w:eastAsia="Calibri"/>
                <w:noProof/>
                <w:sz w:val="16"/>
                <w:szCs w:val="16"/>
              </w:rPr>
            </w:pPr>
            <w:r>
              <w:rPr>
                <w:noProof/>
                <w:sz w:val="16"/>
              </w:rPr>
              <w:t>07 10 08</w:t>
            </w:r>
          </w:p>
        </w:tc>
        <w:tc>
          <w:tcPr>
            <w:tcW w:w="5132" w:type="dxa"/>
          </w:tcPr>
          <w:p w14:paraId="728C4A56" w14:textId="77777777" w:rsidR="006C27D4" w:rsidRPr="00885900" w:rsidRDefault="006C27D4">
            <w:pPr>
              <w:widowControl w:val="0"/>
              <w:tabs>
                <w:tab w:val="left" w:pos="1350"/>
              </w:tabs>
              <w:spacing w:before="15" w:after="15"/>
              <w:jc w:val="both"/>
              <w:rPr>
                <w:rFonts w:eastAsia="Calibri"/>
                <w:noProof/>
                <w:sz w:val="16"/>
                <w:szCs w:val="16"/>
              </w:rPr>
            </w:pPr>
            <w:r>
              <w:rPr>
                <w:noProof/>
                <w:sz w:val="16"/>
              </w:rPr>
              <w:t>Europees Openbaar Ministerie (EOM)</w:t>
            </w:r>
          </w:p>
        </w:tc>
        <w:tc>
          <w:tcPr>
            <w:tcW w:w="1701" w:type="dxa"/>
          </w:tcPr>
          <w:p w14:paraId="0B0CBE7B" w14:textId="561175B9" w:rsidR="006C27D4" w:rsidRPr="00885900" w:rsidRDefault="006C27D4">
            <w:pPr>
              <w:widowControl w:val="0"/>
              <w:spacing w:before="15" w:after="15"/>
              <w:jc w:val="right"/>
              <w:rPr>
                <w:rFonts w:eastAsia="Calibri"/>
                <w:noProof/>
                <w:sz w:val="16"/>
                <w:szCs w:val="16"/>
              </w:rPr>
            </w:pPr>
            <w:r>
              <w:rPr>
                <w:noProof/>
                <w:sz w:val="16"/>
              </w:rPr>
              <w:t>2 000 000</w:t>
            </w:r>
          </w:p>
        </w:tc>
        <w:tc>
          <w:tcPr>
            <w:tcW w:w="1701" w:type="dxa"/>
          </w:tcPr>
          <w:p w14:paraId="02F42444" w14:textId="59B2B8E3" w:rsidR="006C27D4" w:rsidRPr="00885900" w:rsidRDefault="006C27D4">
            <w:pPr>
              <w:widowControl w:val="0"/>
              <w:spacing w:before="15" w:after="15"/>
              <w:jc w:val="right"/>
              <w:rPr>
                <w:rFonts w:eastAsia="Calibri"/>
                <w:noProof/>
                <w:sz w:val="16"/>
                <w:szCs w:val="16"/>
              </w:rPr>
            </w:pPr>
            <w:r>
              <w:rPr>
                <w:noProof/>
                <w:sz w:val="16"/>
              </w:rPr>
              <w:t>2 000 000</w:t>
            </w:r>
          </w:p>
        </w:tc>
      </w:tr>
      <w:tr w:rsidR="006C27D4" w:rsidRPr="007E687E" w14:paraId="256CA46A" w14:textId="77777777">
        <w:trPr>
          <w:jc w:val="center"/>
        </w:trPr>
        <w:tc>
          <w:tcPr>
            <w:tcW w:w="6408" w:type="dxa"/>
            <w:gridSpan w:val="2"/>
            <w:shd w:val="clear" w:color="auto" w:fill="D9D9D9"/>
          </w:tcPr>
          <w:p w14:paraId="4677D7C1" w14:textId="77777777" w:rsidR="006C27D4" w:rsidRPr="007E687E" w:rsidRDefault="006C27D4">
            <w:pPr>
              <w:widowControl w:val="0"/>
              <w:spacing w:before="15" w:after="15"/>
              <w:ind w:right="-113"/>
              <w:jc w:val="both"/>
              <w:rPr>
                <w:rFonts w:eastAsia="Calibri"/>
                <w:noProof/>
                <w:sz w:val="20"/>
                <w:szCs w:val="20"/>
              </w:rPr>
            </w:pPr>
            <w:r>
              <w:rPr>
                <w:b/>
                <w:noProof/>
                <w:sz w:val="20"/>
              </w:rPr>
              <w:t>Totaal</w:t>
            </w:r>
            <w:r>
              <w:rPr>
                <w:noProof/>
              </w:rPr>
              <w:tab/>
            </w:r>
          </w:p>
        </w:tc>
        <w:tc>
          <w:tcPr>
            <w:tcW w:w="1701" w:type="dxa"/>
            <w:shd w:val="clear" w:color="auto" w:fill="D9D9D9"/>
          </w:tcPr>
          <w:p w14:paraId="7E9CD8DB" w14:textId="07908C87" w:rsidR="006C27D4" w:rsidRPr="00DC3D08" w:rsidRDefault="006C27D4">
            <w:pPr>
              <w:widowControl w:val="0"/>
              <w:spacing w:before="15" w:after="15"/>
              <w:jc w:val="right"/>
              <w:rPr>
                <w:rFonts w:eastAsia="Calibri"/>
                <w:b/>
                <w:bCs/>
                <w:noProof/>
                <w:sz w:val="20"/>
                <w:szCs w:val="20"/>
              </w:rPr>
            </w:pPr>
            <w:r>
              <w:rPr>
                <w:b/>
                <w:noProof/>
                <w:sz w:val="20"/>
              </w:rPr>
              <w:t>2 000 000</w:t>
            </w:r>
          </w:p>
        </w:tc>
        <w:tc>
          <w:tcPr>
            <w:tcW w:w="1701" w:type="dxa"/>
            <w:shd w:val="clear" w:color="auto" w:fill="D9D9D9"/>
          </w:tcPr>
          <w:p w14:paraId="62385047" w14:textId="54E8C0D6" w:rsidR="006C27D4" w:rsidRPr="00DC3D08" w:rsidRDefault="006C27D4">
            <w:pPr>
              <w:widowControl w:val="0"/>
              <w:spacing w:before="15" w:after="15"/>
              <w:jc w:val="right"/>
              <w:rPr>
                <w:rFonts w:eastAsia="Calibri"/>
                <w:b/>
                <w:bCs/>
                <w:noProof/>
                <w:sz w:val="20"/>
                <w:szCs w:val="20"/>
              </w:rPr>
            </w:pPr>
            <w:r>
              <w:rPr>
                <w:b/>
                <w:noProof/>
                <w:sz w:val="20"/>
              </w:rPr>
              <w:t>2 000 000</w:t>
            </w:r>
          </w:p>
        </w:tc>
      </w:tr>
    </w:tbl>
    <w:p w14:paraId="54F30E4E" w14:textId="206A2567" w:rsidR="00667956" w:rsidRPr="00667956" w:rsidRDefault="00667956" w:rsidP="00CD35E9">
      <w:pPr>
        <w:keepNext/>
        <w:tabs>
          <w:tab w:val="left" w:pos="850"/>
        </w:tabs>
        <w:spacing w:before="360" w:after="120"/>
        <w:ind w:left="357" w:hanging="357"/>
        <w:jc w:val="both"/>
        <w:outlineLvl w:val="1"/>
        <w:rPr>
          <w:rFonts w:eastAsia="Calibri"/>
          <w:noProof/>
        </w:rPr>
      </w:pPr>
      <w:bookmarkStart w:id="87" w:name="_Toc145922825"/>
      <w:r>
        <w:rPr>
          <w:noProof/>
        </w:rPr>
        <w:t>De overeenkomstige wijzigingen aan de personeelsformatie zijn opgenomen in de budgettaire bijlage.</w:t>
      </w:r>
    </w:p>
    <w:p w14:paraId="545C2AF4" w14:textId="5364969E" w:rsidR="00CD35E9" w:rsidRDefault="00692727" w:rsidP="00CD35E9">
      <w:pPr>
        <w:keepNext/>
        <w:tabs>
          <w:tab w:val="left" w:pos="850"/>
        </w:tabs>
        <w:spacing w:before="360" w:after="120"/>
        <w:ind w:left="357" w:hanging="357"/>
        <w:jc w:val="both"/>
        <w:outlineLvl w:val="1"/>
        <w:rPr>
          <w:rFonts w:eastAsia="Calibri"/>
          <w:b/>
          <w:noProof/>
        </w:rPr>
      </w:pPr>
      <w:r>
        <w:rPr>
          <w:b/>
          <w:noProof/>
        </w:rPr>
        <w:t xml:space="preserve">5.2. </w:t>
      </w:r>
      <w:r>
        <w:rPr>
          <w:noProof/>
        </w:rPr>
        <w:tab/>
      </w:r>
      <w:r>
        <w:rPr>
          <w:b/>
          <w:noProof/>
        </w:rPr>
        <w:t>Agentschap van de Europese Unie voor justitiële samenwerking in strafzaken (Eurojust)</w:t>
      </w:r>
      <w:bookmarkEnd w:id="87"/>
    </w:p>
    <w:p w14:paraId="5501FDC5" w14:textId="10FDB7CC" w:rsidR="00994278" w:rsidRDefault="00D063D3" w:rsidP="00994278">
      <w:pPr>
        <w:autoSpaceDE w:val="0"/>
        <w:autoSpaceDN w:val="0"/>
        <w:adjustRightInd w:val="0"/>
        <w:spacing w:before="120" w:after="120" w:line="259" w:lineRule="auto"/>
        <w:jc w:val="both"/>
        <w:rPr>
          <w:noProof/>
        </w:rPr>
      </w:pPr>
      <w:r>
        <w:rPr>
          <w:noProof/>
        </w:rPr>
        <w:t>Na de oprichting van het Internationaal Centrum voor de vervolging van het misdrijf agressie tegen Oekraïne (ICPA) zal Eurojust operationele, juridische, financiële en logistieke steun verlenen, onder meer voor het bewaren, opslaan en analyseren van bewijsmateriaal. Dit werk is van essentieel belang voor de voorbereiding van toekomstige processen, bij nationale of internationale rechtbanken, met inbegrip van een eventueel tribunaal voor het misdrijf agressie of het Internationaal Strafhof (ICC) voor misdrijven die onder de rechtsmacht van dit hof vallen. De bijbehorende extra ICPA-taken voor Eurojust vereisen een versterking van de personeelsformatie van het agentschap met vier tijdelijke functionarissen in 2024. De daarmee verband houdende verhoging van de EU-bijdrage aan Eurojust zal worden betaald met middelen voor de instrumenten voor het buitenlands beleid (FPI) via bijdrageovereenkomsten voor de ICPA-taken, zodat er geen extra kredieten uit de EU-begroting nodig zijn.</w:t>
      </w:r>
    </w:p>
    <w:p w14:paraId="44BD26F1" w14:textId="487163E7" w:rsidR="000643FD" w:rsidRPr="00994278" w:rsidRDefault="000643FD" w:rsidP="00994278">
      <w:pPr>
        <w:autoSpaceDE w:val="0"/>
        <w:autoSpaceDN w:val="0"/>
        <w:adjustRightInd w:val="0"/>
        <w:spacing w:before="120" w:after="120" w:line="259" w:lineRule="auto"/>
        <w:jc w:val="both"/>
        <w:rPr>
          <w:noProof/>
        </w:rPr>
      </w:pPr>
      <w:r>
        <w:rPr>
          <w:noProof/>
        </w:rPr>
        <w:t>De overeenkomstige wijzigingen aan de personeelsformatie zijn opgenomen in de budgettaire bijlage.</w:t>
      </w:r>
    </w:p>
    <w:p w14:paraId="2B30B71C" w14:textId="79657E8D" w:rsidR="009D3DD6" w:rsidRDefault="11A19F37" w:rsidP="42EA40D1">
      <w:pPr>
        <w:keepNext/>
        <w:tabs>
          <w:tab w:val="left" w:pos="850"/>
        </w:tabs>
        <w:spacing w:before="360" w:after="120"/>
        <w:ind w:left="357" w:hanging="357"/>
        <w:jc w:val="both"/>
        <w:outlineLvl w:val="1"/>
        <w:rPr>
          <w:rFonts w:eastAsia="Calibri"/>
          <w:b/>
          <w:bCs/>
          <w:noProof/>
        </w:rPr>
      </w:pPr>
      <w:bookmarkStart w:id="88" w:name="_Toc145922826"/>
      <w:r>
        <w:rPr>
          <w:b/>
          <w:noProof/>
        </w:rPr>
        <w:t>5.3. Agentschap van de Europese Unie voor het operationeel beheer van grootschalige IT-systemen op het gebied van vrijheid, veiligheid en recht (eu-LISA)</w:t>
      </w:r>
      <w:bookmarkEnd w:id="88"/>
    </w:p>
    <w:p w14:paraId="6D9EE2E9" w14:textId="78EC89A6" w:rsidR="000643FD" w:rsidRDefault="09F3D1C8" w:rsidP="44803770">
      <w:pPr>
        <w:spacing w:before="120" w:after="120" w:line="259" w:lineRule="auto"/>
        <w:jc w:val="both"/>
        <w:rPr>
          <w:rFonts w:eastAsiaTheme="minorEastAsia"/>
          <w:noProof/>
        </w:rPr>
      </w:pPr>
      <w:bookmarkStart w:id="89" w:name="_Toc114838640"/>
      <w:r>
        <w:rPr>
          <w:noProof/>
        </w:rPr>
        <w:t>Na de afronding van de politieke onderhandelingen over de verordening betreffende de digitalisering van de visumprocedure</w:t>
      </w:r>
      <w:r>
        <w:rPr>
          <w:rStyle w:val="FootnoteReference"/>
          <w:noProof/>
        </w:rPr>
        <w:footnoteReference w:id="10"/>
      </w:r>
      <w:r>
        <w:rPr>
          <w:noProof/>
        </w:rPr>
        <w:t xml:space="preserve"> moet de begroting voor eu-LISA voor 2024 worden geactualiseerd in overeenstemming met het geactualiseerde financieel memorandum. Dit leidt tot een vermindering van het aantal tijdelijke functionarissen (van vijf naar één) en het aantal arbeidscontractanten (van drie naar nul). Het bereikte politieke akkoord houdt ook een verlaging van de voor 2024 vereiste kredieten in. Van het geplande bedrag van 19 945 000 EUR in de reserve voor deze verordening, dat werd gecompenseerd door het instrument voor financiële steun voor grensbeheer en visumbeleid (BMVI), wordt voorgesteld 86 000 EUR over te schrijven naar het operationele begrotingsonderdeel en 19 859 000 EUR terug naar het BMVI. </w:t>
      </w:r>
    </w:p>
    <w:p w14:paraId="6CA5D366" w14:textId="77777777" w:rsidR="000643FD" w:rsidRPr="007E687E" w:rsidRDefault="000643FD" w:rsidP="000643FD">
      <w:pPr>
        <w:spacing w:before="240"/>
        <w:jc w:val="both"/>
        <w:rPr>
          <w:rFonts w:eastAsia="Calibri"/>
          <w:noProof/>
        </w:rPr>
      </w:pPr>
      <w:r>
        <w:rPr>
          <w:noProof/>
        </w:rPr>
        <w:t>De overeenkomstige wijzigingen aan de personeelsformatie zijn opgenomen in de budgettaire bijlage.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643FD" w:rsidRPr="007E687E" w14:paraId="4CF69F46" w14:textId="77777777">
        <w:trPr>
          <w:jc w:val="center"/>
        </w:trPr>
        <w:tc>
          <w:tcPr>
            <w:tcW w:w="9810" w:type="dxa"/>
            <w:gridSpan w:val="4"/>
            <w:tcBorders>
              <w:top w:val="nil"/>
              <w:left w:val="nil"/>
              <w:bottom w:val="single" w:sz="4" w:space="0" w:color="auto"/>
              <w:right w:val="nil"/>
            </w:tcBorders>
            <w:shd w:val="clear" w:color="auto" w:fill="auto"/>
            <w:vAlign w:val="center"/>
          </w:tcPr>
          <w:p w14:paraId="30ABE17F" w14:textId="77777777" w:rsidR="000643FD" w:rsidRPr="007E687E" w:rsidRDefault="000643FD">
            <w:pPr>
              <w:widowControl w:val="0"/>
              <w:spacing w:before="15" w:after="15"/>
              <w:jc w:val="right"/>
              <w:rPr>
                <w:rFonts w:eastAsia="Calibri"/>
                <w:i/>
                <w:noProof/>
                <w:sz w:val="20"/>
                <w:szCs w:val="20"/>
              </w:rPr>
            </w:pPr>
            <w:r>
              <w:rPr>
                <w:i/>
                <w:noProof/>
                <w:sz w:val="20"/>
              </w:rPr>
              <w:t>EUR</w:t>
            </w:r>
          </w:p>
        </w:tc>
      </w:tr>
      <w:tr w:rsidR="000643FD" w:rsidRPr="007E687E" w14:paraId="63F1C613" w14:textId="77777777">
        <w:trPr>
          <w:jc w:val="center"/>
        </w:trPr>
        <w:tc>
          <w:tcPr>
            <w:tcW w:w="1276" w:type="dxa"/>
            <w:tcBorders>
              <w:top w:val="single" w:sz="4" w:space="0" w:color="auto"/>
            </w:tcBorders>
            <w:shd w:val="clear" w:color="auto" w:fill="D9D9D9"/>
            <w:vAlign w:val="center"/>
          </w:tcPr>
          <w:p w14:paraId="2C492DFA" w14:textId="7F0598E8" w:rsidR="000643FD" w:rsidRPr="007E687E" w:rsidRDefault="000643FD">
            <w:pPr>
              <w:keepNext/>
              <w:spacing w:before="15" w:after="15"/>
              <w:jc w:val="center"/>
              <w:rPr>
                <w:rFonts w:eastAsia="Calibri"/>
                <w:b/>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vAlign w:val="center"/>
          </w:tcPr>
          <w:p w14:paraId="0E7598BB" w14:textId="77777777" w:rsidR="000643FD" w:rsidRPr="007E687E" w:rsidRDefault="000643FD">
            <w:pPr>
              <w:widowControl w:val="0"/>
              <w:spacing w:before="15" w:after="15"/>
              <w:jc w:val="center"/>
              <w:rPr>
                <w:rFonts w:eastAsia="Calibri"/>
                <w:b/>
                <w:noProof/>
                <w:sz w:val="20"/>
                <w:szCs w:val="20"/>
              </w:rPr>
            </w:pPr>
            <w:r>
              <w:rPr>
                <w:b/>
                <w:noProof/>
                <w:sz w:val="20"/>
              </w:rPr>
              <w:t>Naam</w:t>
            </w:r>
          </w:p>
        </w:tc>
        <w:tc>
          <w:tcPr>
            <w:tcW w:w="1701" w:type="dxa"/>
            <w:tcBorders>
              <w:top w:val="single" w:sz="4" w:space="0" w:color="auto"/>
            </w:tcBorders>
            <w:shd w:val="clear" w:color="auto" w:fill="D9D9D9"/>
            <w:vAlign w:val="center"/>
          </w:tcPr>
          <w:p w14:paraId="5070E74B" w14:textId="14C7FDFC" w:rsidR="000643FD" w:rsidRPr="007E687E" w:rsidRDefault="000643FD">
            <w:pPr>
              <w:widowControl w:val="0"/>
              <w:spacing w:before="15" w:after="15"/>
              <w:jc w:val="center"/>
              <w:rPr>
                <w:rFonts w:eastAsia="Calibri"/>
                <w:b/>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vAlign w:val="center"/>
          </w:tcPr>
          <w:p w14:paraId="16660C47" w14:textId="57677035" w:rsidR="000643FD" w:rsidRPr="007E687E" w:rsidRDefault="000643FD">
            <w:pPr>
              <w:widowControl w:val="0"/>
              <w:spacing w:before="15" w:after="15"/>
              <w:jc w:val="center"/>
              <w:rPr>
                <w:rFonts w:eastAsia="Calibri"/>
                <w:b/>
                <w:noProof/>
                <w:sz w:val="20"/>
                <w:szCs w:val="20"/>
              </w:rPr>
            </w:pPr>
            <w:r>
              <w:rPr>
                <w:b/>
                <w:noProof/>
                <w:sz w:val="20"/>
              </w:rPr>
              <w:t>Betalings</w:t>
            </w:r>
            <w:r w:rsidR="003C5A89">
              <w:rPr>
                <w:b/>
                <w:noProof/>
                <w:sz w:val="20"/>
              </w:rPr>
              <w:t>-</w:t>
            </w:r>
            <w:r>
              <w:rPr>
                <w:b/>
                <w:noProof/>
                <w:sz w:val="20"/>
              </w:rPr>
              <w:t>kredieten</w:t>
            </w:r>
          </w:p>
        </w:tc>
      </w:tr>
      <w:tr w:rsidR="000643FD" w:rsidRPr="007E687E" w14:paraId="7879119A" w14:textId="77777777">
        <w:trPr>
          <w:jc w:val="center"/>
        </w:trPr>
        <w:tc>
          <w:tcPr>
            <w:tcW w:w="9810" w:type="dxa"/>
            <w:gridSpan w:val="4"/>
            <w:tcBorders>
              <w:bottom w:val="single" w:sz="4" w:space="0" w:color="auto"/>
            </w:tcBorders>
            <w:shd w:val="clear" w:color="auto" w:fill="F2F2F2"/>
            <w:vAlign w:val="center"/>
          </w:tcPr>
          <w:p w14:paraId="4D48AF47" w14:textId="77777777" w:rsidR="000643FD" w:rsidRPr="007E687E" w:rsidRDefault="000643FD">
            <w:pPr>
              <w:widowControl w:val="0"/>
              <w:spacing w:before="15" w:after="15"/>
              <w:rPr>
                <w:rFonts w:eastAsia="Calibri"/>
                <w:i/>
                <w:noProof/>
                <w:sz w:val="20"/>
                <w:szCs w:val="20"/>
              </w:rPr>
            </w:pPr>
            <w:r>
              <w:rPr>
                <w:i/>
                <w:noProof/>
                <w:sz w:val="20"/>
              </w:rPr>
              <w:t>Afdeling III – Commissie</w:t>
            </w:r>
          </w:p>
        </w:tc>
      </w:tr>
      <w:tr w:rsidR="001D42D1" w:rsidRPr="007E687E" w14:paraId="18C0A36D" w14:textId="77777777" w:rsidTr="00667956">
        <w:trPr>
          <w:jc w:val="center"/>
        </w:trPr>
        <w:tc>
          <w:tcPr>
            <w:tcW w:w="1276" w:type="dxa"/>
            <w:vAlign w:val="center"/>
          </w:tcPr>
          <w:p w14:paraId="0EA6B246" w14:textId="09C3E1EE" w:rsidR="001D42D1" w:rsidRPr="00BB59FE" w:rsidRDefault="001D42D1" w:rsidP="001D42D1">
            <w:pPr>
              <w:widowControl w:val="0"/>
              <w:tabs>
                <w:tab w:val="left" w:pos="1350"/>
              </w:tabs>
              <w:spacing w:before="15" w:after="15"/>
              <w:jc w:val="both"/>
              <w:rPr>
                <w:noProof/>
                <w:sz w:val="16"/>
                <w:szCs w:val="16"/>
              </w:rPr>
            </w:pPr>
            <w:r>
              <w:rPr>
                <w:noProof/>
                <w:sz w:val="16"/>
              </w:rPr>
              <w:t>30 02 02</w:t>
            </w:r>
          </w:p>
        </w:tc>
        <w:tc>
          <w:tcPr>
            <w:tcW w:w="5132" w:type="dxa"/>
          </w:tcPr>
          <w:p w14:paraId="2C11F309" w14:textId="2EEDA5FF" w:rsidR="001D42D1" w:rsidRPr="00BB59FE" w:rsidRDefault="001D42D1" w:rsidP="001D42D1">
            <w:pPr>
              <w:widowControl w:val="0"/>
              <w:tabs>
                <w:tab w:val="left" w:pos="1350"/>
              </w:tabs>
              <w:spacing w:before="15" w:after="15"/>
              <w:jc w:val="both"/>
              <w:rPr>
                <w:noProof/>
                <w:sz w:val="16"/>
                <w:szCs w:val="16"/>
              </w:rPr>
            </w:pPr>
            <w:r>
              <w:rPr>
                <w:noProof/>
                <w:sz w:val="16"/>
              </w:rPr>
              <w:t>Gesplitste kredieten (</w:t>
            </w:r>
            <w:r>
              <w:rPr>
                <w:i/>
                <w:noProof/>
                <w:sz w:val="16"/>
              </w:rPr>
              <w:t>Reserve voor begrotingsartikel 11 10 02</w:t>
            </w:r>
            <w:r>
              <w:rPr>
                <w:noProof/>
                <w:sz w:val="16"/>
              </w:rPr>
              <w:t>)</w:t>
            </w:r>
          </w:p>
        </w:tc>
        <w:tc>
          <w:tcPr>
            <w:tcW w:w="1701" w:type="dxa"/>
            <w:vAlign w:val="center"/>
          </w:tcPr>
          <w:p w14:paraId="47A55E4F" w14:textId="7A66C39D" w:rsidR="001D42D1" w:rsidDel="00ED1745" w:rsidRDefault="001D42D1" w:rsidP="001D42D1">
            <w:pPr>
              <w:widowControl w:val="0"/>
              <w:spacing w:before="15" w:after="15"/>
              <w:jc w:val="right"/>
              <w:rPr>
                <w:rFonts w:eastAsia="Calibri"/>
                <w:noProof/>
                <w:sz w:val="16"/>
                <w:szCs w:val="16"/>
              </w:rPr>
            </w:pPr>
            <w:r>
              <w:rPr>
                <w:noProof/>
                <w:sz w:val="16"/>
              </w:rPr>
              <w:t>-19 945 000</w:t>
            </w:r>
          </w:p>
        </w:tc>
        <w:tc>
          <w:tcPr>
            <w:tcW w:w="1701" w:type="dxa"/>
            <w:vAlign w:val="center"/>
          </w:tcPr>
          <w:p w14:paraId="2E1FE5D3" w14:textId="536B491B" w:rsidR="001D42D1" w:rsidRDefault="001D42D1" w:rsidP="001D42D1">
            <w:pPr>
              <w:widowControl w:val="0"/>
              <w:spacing w:before="15" w:after="15"/>
              <w:jc w:val="right"/>
              <w:rPr>
                <w:rFonts w:eastAsia="Calibri"/>
                <w:noProof/>
                <w:sz w:val="16"/>
                <w:szCs w:val="16"/>
              </w:rPr>
            </w:pPr>
            <w:r>
              <w:rPr>
                <w:noProof/>
                <w:sz w:val="16"/>
              </w:rPr>
              <w:t>-19 945 000</w:t>
            </w:r>
          </w:p>
        </w:tc>
      </w:tr>
      <w:tr w:rsidR="001D42D1" w:rsidRPr="007E687E" w14:paraId="6E46C8B5" w14:textId="77777777" w:rsidTr="00667956">
        <w:trPr>
          <w:jc w:val="center"/>
        </w:trPr>
        <w:tc>
          <w:tcPr>
            <w:tcW w:w="1276" w:type="dxa"/>
          </w:tcPr>
          <w:p w14:paraId="57A546D7" w14:textId="4C011A99" w:rsidR="001D42D1" w:rsidRPr="00885900" w:rsidRDefault="001D42D1" w:rsidP="001D42D1">
            <w:pPr>
              <w:widowControl w:val="0"/>
              <w:tabs>
                <w:tab w:val="left" w:pos="1350"/>
              </w:tabs>
              <w:spacing w:before="15" w:after="15"/>
              <w:jc w:val="both"/>
              <w:rPr>
                <w:rFonts w:eastAsia="Calibri"/>
                <w:noProof/>
                <w:sz w:val="16"/>
                <w:szCs w:val="16"/>
              </w:rPr>
            </w:pPr>
            <w:r>
              <w:rPr>
                <w:noProof/>
                <w:sz w:val="16"/>
              </w:rPr>
              <w:t>11 10 02</w:t>
            </w:r>
          </w:p>
        </w:tc>
        <w:tc>
          <w:tcPr>
            <w:tcW w:w="5132" w:type="dxa"/>
          </w:tcPr>
          <w:p w14:paraId="7A9B96B8" w14:textId="4F59FD87" w:rsidR="001D42D1" w:rsidRPr="00885900" w:rsidRDefault="001D42D1" w:rsidP="001D42D1">
            <w:pPr>
              <w:widowControl w:val="0"/>
              <w:tabs>
                <w:tab w:val="left" w:pos="1350"/>
              </w:tabs>
              <w:spacing w:before="15" w:after="15"/>
              <w:jc w:val="both"/>
              <w:rPr>
                <w:rFonts w:eastAsia="Calibri"/>
                <w:noProof/>
                <w:sz w:val="16"/>
                <w:szCs w:val="16"/>
              </w:rPr>
            </w:pPr>
            <w:r>
              <w:rPr>
                <w:noProof/>
                <w:sz w:val="16"/>
              </w:rPr>
              <w:t>Agentschap van de Europese Unie voor het operationeel beheer van grootschalige IT-systemen op het gebied van vrijheid, veiligheid en recht (eu-LISA)</w:t>
            </w:r>
          </w:p>
        </w:tc>
        <w:tc>
          <w:tcPr>
            <w:tcW w:w="1701" w:type="dxa"/>
            <w:vAlign w:val="center"/>
          </w:tcPr>
          <w:p w14:paraId="3DF21145" w14:textId="079D6C02" w:rsidR="001D42D1" w:rsidRPr="00885900" w:rsidRDefault="001D42D1" w:rsidP="001D42D1">
            <w:pPr>
              <w:widowControl w:val="0"/>
              <w:spacing w:before="15" w:after="15"/>
              <w:jc w:val="right"/>
              <w:rPr>
                <w:rFonts w:eastAsia="Calibri"/>
                <w:noProof/>
                <w:sz w:val="16"/>
                <w:szCs w:val="16"/>
              </w:rPr>
            </w:pPr>
            <w:r>
              <w:rPr>
                <w:noProof/>
                <w:sz w:val="16"/>
              </w:rPr>
              <w:t>86 000</w:t>
            </w:r>
          </w:p>
        </w:tc>
        <w:tc>
          <w:tcPr>
            <w:tcW w:w="1701" w:type="dxa"/>
            <w:vAlign w:val="center"/>
          </w:tcPr>
          <w:p w14:paraId="0A8D6ACC" w14:textId="3D4530BD" w:rsidR="001D42D1" w:rsidRPr="00885900" w:rsidRDefault="001D42D1" w:rsidP="001D42D1">
            <w:pPr>
              <w:widowControl w:val="0"/>
              <w:spacing w:before="15" w:after="15"/>
              <w:jc w:val="right"/>
              <w:rPr>
                <w:rFonts w:eastAsia="Calibri"/>
                <w:noProof/>
                <w:sz w:val="16"/>
                <w:szCs w:val="16"/>
              </w:rPr>
            </w:pPr>
            <w:r>
              <w:rPr>
                <w:noProof/>
                <w:sz w:val="16"/>
              </w:rPr>
              <w:t>86 000</w:t>
            </w:r>
          </w:p>
        </w:tc>
      </w:tr>
      <w:tr w:rsidR="001D42D1" w:rsidRPr="007E687E" w14:paraId="7E647C2F" w14:textId="77777777" w:rsidTr="00667956">
        <w:trPr>
          <w:jc w:val="center"/>
        </w:trPr>
        <w:tc>
          <w:tcPr>
            <w:tcW w:w="1276" w:type="dxa"/>
          </w:tcPr>
          <w:p w14:paraId="0F2EA5BB" w14:textId="603775A8" w:rsidR="001D42D1" w:rsidRPr="00BB59FE" w:rsidRDefault="001D42D1" w:rsidP="001D42D1">
            <w:pPr>
              <w:widowControl w:val="0"/>
              <w:tabs>
                <w:tab w:val="left" w:pos="1350"/>
              </w:tabs>
              <w:spacing w:before="15" w:after="15"/>
              <w:jc w:val="both"/>
              <w:rPr>
                <w:noProof/>
                <w:sz w:val="16"/>
                <w:szCs w:val="16"/>
              </w:rPr>
            </w:pPr>
            <w:r>
              <w:rPr>
                <w:noProof/>
                <w:sz w:val="16"/>
              </w:rPr>
              <w:t>11 02 01</w:t>
            </w:r>
          </w:p>
        </w:tc>
        <w:tc>
          <w:tcPr>
            <w:tcW w:w="5132" w:type="dxa"/>
          </w:tcPr>
          <w:p w14:paraId="0B98AC10" w14:textId="40B3487B" w:rsidR="001D42D1" w:rsidRPr="00BB59FE" w:rsidRDefault="001D42D1" w:rsidP="001D42D1">
            <w:pPr>
              <w:widowControl w:val="0"/>
              <w:tabs>
                <w:tab w:val="left" w:pos="1350"/>
              </w:tabs>
              <w:spacing w:before="15" w:after="15"/>
              <w:jc w:val="both"/>
              <w:rPr>
                <w:noProof/>
                <w:sz w:val="16"/>
                <w:szCs w:val="16"/>
              </w:rPr>
            </w:pPr>
            <w:r>
              <w:rPr>
                <w:noProof/>
                <w:sz w:val="16"/>
              </w:rPr>
              <w:t>Instrument voor financiële steun voor grensbeheer en visa</w:t>
            </w:r>
          </w:p>
        </w:tc>
        <w:tc>
          <w:tcPr>
            <w:tcW w:w="1701" w:type="dxa"/>
            <w:vAlign w:val="center"/>
          </w:tcPr>
          <w:p w14:paraId="7B0D8CF8" w14:textId="5562FD61" w:rsidR="001D42D1" w:rsidRDefault="001D42D1" w:rsidP="001D42D1">
            <w:pPr>
              <w:widowControl w:val="0"/>
              <w:spacing w:before="15" w:after="15"/>
              <w:jc w:val="right"/>
              <w:rPr>
                <w:rFonts w:eastAsia="Calibri"/>
                <w:noProof/>
                <w:sz w:val="16"/>
                <w:szCs w:val="16"/>
              </w:rPr>
            </w:pPr>
            <w:r>
              <w:rPr>
                <w:noProof/>
                <w:sz w:val="16"/>
              </w:rPr>
              <w:t>19 859 000</w:t>
            </w:r>
          </w:p>
        </w:tc>
        <w:tc>
          <w:tcPr>
            <w:tcW w:w="1701" w:type="dxa"/>
            <w:vAlign w:val="center"/>
          </w:tcPr>
          <w:p w14:paraId="51E5F7E9" w14:textId="4996983D" w:rsidR="001D42D1" w:rsidRDefault="001D42D1" w:rsidP="001D42D1">
            <w:pPr>
              <w:widowControl w:val="0"/>
              <w:spacing w:before="15" w:after="15"/>
              <w:jc w:val="right"/>
              <w:rPr>
                <w:rFonts w:eastAsia="Calibri"/>
                <w:noProof/>
                <w:sz w:val="16"/>
                <w:szCs w:val="16"/>
              </w:rPr>
            </w:pPr>
            <w:r>
              <w:rPr>
                <w:noProof/>
                <w:sz w:val="16"/>
              </w:rPr>
              <w:t>19 859 000</w:t>
            </w:r>
          </w:p>
        </w:tc>
      </w:tr>
      <w:tr w:rsidR="001D42D1" w:rsidRPr="007E687E" w14:paraId="41DDA296" w14:textId="77777777">
        <w:trPr>
          <w:jc w:val="center"/>
        </w:trPr>
        <w:tc>
          <w:tcPr>
            <w:tcW w:w="6408" w:type="dxa"/>
            <w:gridSpan w:val="2"/>
            <w:shd w:val="clear" w:color="auto" w:fill="D9D9D9"/>
          </w:tcPr>
          <w:p w14:paraId="2C8EB53A" w14:textId="77777777" w:rsidR="001D42D1" w:rsidRPr="007E687E" w:rsidRDefault="001D42D1" w:rsidP="001D42D1">
            <w:pPr>
              <w:widowControl w:val="0"/>
              <w:spacing w:before="15" w:after="15"/>
              <w:ind w:right="-113"/>
              <w:jc w:val="both"/>
              <w:rPr>
                <w:rFonts w:eastAsia="Calibri"/>
                <w:noProof/>
                <w:sz w:val="20"/>
                <w:szCs w:val="20"/>
              </w:rPr>
            </w:pPr>
            <w:r>
              <w:rPr>
                <w:b/>
                <w:noProof/>
                <w:sz w:val="20"/>
              </w:rPr>
              <w:t>Totaal</w:t>
            </w:r>
            <w:r>
              <w:rPr>
                <w:noProof/>
              </w:rPr>
              <w:tab/>
            </w:r>
          </w:p>
        </w:tc>
        <w:tc>
          <w:tcPr>
            <w:tcW w:w="1701" w:type="dxa"/>
            <w:shd w:val="clear" w:color="auto" w:fill="D9D9D9"/>
          </w:tcPr>
          <w:p w14:paraId="79CB3414" w14:textId="226B9C5A" w:rsidR="001D42D1" w:rsidRPr="00DC3D08" w:rsidRDefault="001D42D1" w:rsidP="001D42D1">
            <w:pPr>
              <w:widowControl w:val="0"/>
              <w:spacing w:before="15" w:after="15"/>
              <w:jc w:val="right"/>
              <w:rPr>
                <w:rFonts w:eastAsia="Calibri"/>
                <w:b/>
                <w:bCs/>
                <w:noProof/>
                <w:sz w:val="20"/>
                <w:szCs w:val="20"/>
              </w:rPr>
            </w:pPr>
            <w:r>
              <w:rPr>
                <w:b/>
                <w:noProof/>
                <w:sz w:val="20"/>
              </w:rPr>
              <w:t>0</w:t>
            </w:r>
          </w:p>
        </w:tc>
        <w:tc>
          <w:tcPr>
            <w:tcW w:w="1701" w:type="dxa"/>
            <w:shd w:val="clear" w:color="auto" w:fill="D9D9D9"/>
          </w:tcPr>
          <w:p w14:paraId="0399E472" w14:textId="1559EC6F" w:rsidR="001D42D1" w:rsidRPr="00DC3D08" w:rsidRDefault="001D42D1" w:rsidP="001D42D1">
            <w:pPr>
              <w:widowControl w:val="0"/>
              <w:spacing w:before="15" w:after="15"/>
              <w:jc w:val="right"/>
              <w:rPr>
                <w:rFonts w:eastAsia="Calibri"/>
                <w:b/>
                <w:bCs/>
                <w:noProof/>
                <w:sz w:val="20"/>
                <w:szCs w:val="20"/>
              </w:rPr>
            </w:pPr>
            <w:r>
              <w:rPr>
                <w:b/>
                <w:noProof/>
                <w:sz w:val="20"/>
              </w:rPr>
              <w:t>0</w:t>
            </w:r>
          </w:p>
        </w:tc>
      </w:tr>
    </w:tbl>
    <w:p w14:paraId="3DB0482D" w14:textId="2C0FA9CA" w:rsidR="00606BE2" w:rsidRPr="00A16167" w:rsidRDefault="00692727" w:rsidP="00AA6580">
      <w:pPr>
        <w:keepNext/>
        <w:tabs>
          <w:tab w:val="left" w:pos="850"/>
        </w:tabs>
        <w:spacing w:before="360" w:after="120"/>
        <w:ind w:left="357" w:hanging="357"/>
        <w:jc w:val="both"/>
        <w:outlineLvl w:val="1"/>
        <w:rPr>
          <w:rFonts w:eastAsia="Calibri"/>
          <w:b/>
          <w:noProof/>
        </w:rPr>
      </w:pPr>
      <w:bookmarkStart w:id="90" w:name="_Toc145922827"/>
      <w:r>
        <w:rPr>
          <w:b/>
          <w:noProof/>
        </w:rPr>
        <w:t xml:space="preserve">5.4. </w:t>
      </w:r>
      <w:r>
        <w:rPr>
          <w:noProof/>
        </w:rPr>
        <w:tab/>
      </w:r>
      <w:r>
        <w:rPr>
          <w:b/>
          <w:noProof/>
        </w:rPr>
        <w:t>Overdrachten van de reserves naar de operationele begrotingsonderdelen van gedecentraliseerde agentschappen als gevolg van de vaststelling van rechtshandelingen.</w:t>
      </w:r>
      <w:bookmarkEnd w:id="89"/>
      <w:bookmarkEnd w:id="90"/>
      <w:r>
        <w:rPr>
          <w:b/>
          <w:noProof/>
        </w:rPr>
        <w:t xml:space="preserve"> </w:t>
      </w:r>
    </w:p>
    <w:p w14:paraId="2ECDB77F" w14:textId="26E6EB87" w:rsidR="00606BE2" w:rsidRPr="009D7190" w:rsidRDefault="00606BE2" w:rsidP="00606BE2">
      <w:pPr>
        <w:jc w:val="both"/>
        <w:rPr>
          <w:noProof/>
        </w:rPr>
      </w:pPr>
      <w:r>
        <w:rPr>
          <w:noProof/>
        </w:rPr>
        <w:t xml:space="preserve">Naar aanleiding van de aanstaande of reeds uitgevoerde vaststelling van de volgende rechtshandelingen door de medewetgevers, stelt de Commissie voor de bedragen die momenteel in de reserve zijn geplaatst voor de uitvoering van deze rechtshandelingen over te hevelen naar de operationele begrotingsonderdelen van de betrokken gedecentraliseerde agentschappen: </w:t>
      </w:r>
    </w:p>
    <w:p w14:paraId="3C75318A" w14:textId="03AF9918" w:rsidR="00606BE2" w:rsidRDefault="00606BE2" w:rsidP="00606BE2">
      <w:pPr>
        <w:jc w:val="both"/>
        <w:rPr>
          <w:rFonts w:eastAsiaTheme="minorHAnsi"/>
          <w:noProof/>
          <w:lang w:eastAsia="en-US"/>
        </w:rPr>
      </w:pPr>
    </w:p>
    <w:p w14:paraId="0290E8EB" w14:textId="19A6BD5A" w:rsidR="00642EB5" w:rsidRPr="00642EB5" w:rsidRDefault="1F1B1A32" w:rsidP="42EA40D1">
      <w:pPr>
        <w:pStyle w:val="ListParagraph"/>
        <w:numPr>
          <w:ilvl w:val="0"/>
          <w:numId w:val="45"/>
        </w:numPr>
        <w:ind w:left="360"/>
        <w:jc w:val="both"/>
        <w:rPr>
          <w:rFonts w:ascii="Times New Roman" w:eastAsia="Times New Roman" w:hAnsi="Times New Roman"/>
          <w:noProof/>
          <w:sz w:val="24"/>
          <w:szCs w:val="24"/>
        </w:rPr>
      </w:pPr>
      <w:r>
        <w:rPr>
          <w:rFonts w:ascii="Times New Roman" w:hAnsi="Times New Roman"/>
          <w:b/>
          <w:i/>
          <w:noProof/>
          <w:sz w:val="24"/>
        </w:rPr>
        <w:t>Europees Agentschap voor de veiligheid van de luchtvaart (EASA) (02 10 01)</w:t>
      </w:r>
      <w:r>
        <w:rPr>
          <w:rFonts w:ascii="Times New Roman" w:hAnsi="Times New Roman"/>
          <w:noProof/>
          <w:sz w:val="24"/>
        </w:rPr>
        <w:t>: Na het politieke akkoord over het voorstel van de Commissie om een gelijk speelveld voor duurzaam luchtvervoer te waarborgen</w:t>
      </w:r>
      <w:r>
        <w:rPr>
          <w:rStyle w:val="FootnoteReference"/>
          <w:rFonts w:ascii="Times New Roman" w:eastAsiaTheme="minorEastAsia" w:hAnsi="Times New Roman"/>
          <w:noProof/>
          <w:sz w:val="24"/>
          <w:szCs w:val="24"/>
          <w:lang w:val="en-GB"/>
        </w:rPr>
        <w:footnoteReference w:id="11"/>
      </w:r>
      <w:r>
        <w:rPr>
          <w:rFonts w:ascii="Times New Roman" w:hAnsi="Times New Roman"/>
          <w:noProof/>
          <w:sz w:val="24"/>
        </w:rPr>
        <w:t>, zal een bedrag van 2 774 000 EUR aan vastleggings- en betalingskredieten worden overgedragen van de reserve naar het operationele begrotingsonderdeel.</w:t>
      </w:r>
    </w:p>
    <w:p w14:paraId="0F51B298" w14:textId="6223D6E5" w:rsidR="00950AAE" w:rsidRPr="00950AAE" w:rsidRDefault="237F037D" w:rsidP="42EA40D1">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Europees Agentschap voor maritieme veiligheid (EMSA) (02 10 02)</w:t>
      </w:r>
      <w:r>
        <w:rPr>
          <w:rFonts w:ascii="Times New Roman" w:hAnsi="Times New Roman"/>
          <w:noProof/>
          <w:sz w:val="24"/>
        </w:rPr>
        <w:t>: Na de vaststelling van Verordening (EU) 2023/1805 van het Europees Parlement en de Raad van 13 september 2023 betreffende het gebruik van hernieuwbare en koolstofarme brandstoffen in het zeevervoer, en tot wijziging van Richtlijn 2009/16/EG</w:t>
      </w:r>
      <w:r>
        <w:rPr>
          <w:rStyle w:val="FootnoteReference"/>
          <w:rFonts w:ascii="Times New Roman" w:eastAsiaTheme="minorEastAsia" w:hAnsi="Times New Roman"/>
          <w:noProof/>
          <w:sz w:val="24"/>
          <w:szCs w:val="24"/>
          <w:lang w:val="en-GB"/>
        </w:rPr>
        <w:footnoteReference w:id="12"/>
      </w:r>
      <w:r>
        <w:rPr>
          <w:rFonts w:ascii="Times New Roman" w:hAnsi="Times New Roman"/>
          <w:noProof/>
          <w:sz w:val="24"/>
        </w:rPr>
        <w:t xml:space="preserve"> zal een bedrag van 1 191 000 EUR aan vastleggings- en betalingskredieten worden overgedragen van de reserve naar het operationele begrotingsonderdeel.</w:t>
      </w:r>
    </w:p>
    <w:p w14:paraId="5F0AA8A5" w14:textId="1841121D" w:rsidR="00950AAE" w:rsidRDefault="007E358B" w:rsidP="007E358B">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Europese Autoriteit voor effecten en markten (ESMA) (03 10 04)</w:t>
      </w:r>
      <w:r>
        <w:rPr>
          <w:rFonts w:ascii="Times New Roman" w:hAnsi="Times New Roman"/>
          <w:noProof/>
          <w:sz w:val="24"/>
        </w:rPr>
        <w:t>: Na het politieke akkoord over het voorstel van de Commissie inzake een European Single Acces Point</w:t>
      </w:r>
      <w:r>
        <w:rPr>
          <w:rStyle w:val="FootnoteReference"/>
          <w:rFonts w:ascii="Times New Roman" w:eastAsiaTheme="minorEastAsia" w:hAnsi="Times New Roman"/>
          <w:noProof/>
          <w:sz w:val="24"/>
          <w:szCs w:val="24"/>
          <w:lang w:val="en-GB"/>
        </w:rPr>
        <w:footnoteReference w:id="13"/>
      </w:r>
      <w:r>
        <w:rPr>
          <w:rFonts w:ascii="Times New Roman" w:hAnsi="Times New Roman"/>
          <w:noProof/>
          <w:sz w:val="24"/>
        </w:rPr>
        <w:t>, zal een bedrag van 1 007 000 EUR aan vastleggings- en betalingskredieten worden overgedragen van de reserve naar het operationele begrotingsonderdeel.</w:t>
      </w:r>
    </w:p>
    <w:p w14:paraId="22D94C27" w14:textId="3ABAB503" w:rsidR="009241D9" w:rsidRPr="00295C22" w:rsidRDefault="009241D9">
      <w:pPr>
        <w:jc w:val="both"/>
        <w:rPr>
          <w:rFonts w:eastAsiaTheme="minorEastAsia"/>
          <w:noProof/>
        </w:rPr>
      </w:pPr>
      <w:bookmarkStart w:id="91" w:name="_Hlk114245085"/>
      <w:r>
        <w:rPr>
          <w:noProof/>
        </w:rPr>
        <w:t>Onderstaande tabel geeft een overzicht van de bedragen die worden voorgesteld uit de reserve vrij te geven na de vaststelling van de desbetreffende basisbesluiten:</w:t>
      </w:r>
    </w:p>
    <w:bookmarkEnd w:id="91"/>
    <w:p w14:paraId="34755A7A" w14:textId="77777777" w:rsidR="009241D9" w:rsidRPr="00EE5FA8" w:rsidRDefault="009241D9" w:rsidP="00EE5FA8">
      <w:pPr>
        <w:jc w:val="both"/>
        <w:rPr>
          <w:rFonts w:eastAsiaTheme="minorEastAsia"/>
          <w:noProo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843"/>
        <w:gridCol w:w="1843"/>
      </w:tblGrid>
      <w:tr w:rsidR="00D6716A" w14:paraId="4108208D" w14:textId="77777777" w:rsidTr="007B3725">
        <w:tc>
          <w:tcPr>
            <w:tcW w:w="1276" w:type="dxa"/>
            <w:tcBorders>
              <w:top w:val="single" w:sz="4" w:space="0" w:color="auto"/>
            </w:tcBorders>
            <w:shd w:val="clear" w:color="auto" w:fill="D9D9D9" w:themeFill="background1" w:themeFillShade="D9"/>
            <w:vAlign w:val="center"/>
          </w:tcPr>
          <w:p w14:paraId="0CBCFCA2" w14:textId="36487BEB" w:rsidR="00D6716A" w:rsidRDefault="00D6716A" w:rsidP="007B3725">
            <w:pPr>
              <w:widowControl w:val="0"/>
              <w:spacing w:before="15" w:after="15"/>
              <w:jc w:val="center"/>
              <w:rPr>
                <w:b/>
                <w:noProof/>
                <w:sz w:val="20"/>
                <w:szCs w:val="20"/>
              </w:rPr>
            </w:pPr>
            <w:r>
              <w:rPr>
                <w:b/>
                <w:noProof/>
                <w:sz w:val="20"/>
              </w:rPr>
              <w:t>Begrotings</w:t>
            </w:r>
            <w:r w:rsidR="003C5A89">
              <w:rPr>
                <w:b/>
                <w:noProof/>
                <w:sz w:val="20"/>
              </w:rPr>
              <w:t>-</w:t>
            </w:r>
            <w:r>
              <w:rPr>
                <w:b/>
                <w:noProof/>
                <w:sz w:val="20"/>
              </w:rPr>
              <w:t>onderdeel</w:t>
            </w:r>
          </w:p>
        </w:tc>
        <w:tc>
          <w:tcPr>
            <w:tcW w:w="4961" w:type="dxa"/>
            <w:tcBorders>
              <w:top w:val="single" w:sz="4" w:space="0" w:color="auto"/>
            </w:tcBorders>
            <w:shd w:val="clear" w:color="auto" w:fill="D9D9D9" w:themeFill="background1" w:themeFillShade="D9"/>
            <w:vAlign w:val="center"/>
          </w:tcPr>
          <w:p w14:paraId="49347C70" w14:textId="77777777" w:rsidR="00D6716A" w:rsidRDefault="00D6716A" w:rsidP="007B3725">
            <w:pPr>
              <w:widowControl w:val="0"/>
              <w:spacing w:before="15" w:after="15"/>
              <w:ind w:right="176"/>
              <w:jc w:val="center"/>
              <w:rPr>
                <w:b/>
                <w:noProof/>
                <w:sz w:val="20"/>
                <w:szCs w:val="20"/>
              </w:rPr>
            </w:pPr>
            <w:r>
              <w:rPr>
                <w:b/>
                <w:noProof/>
                <w:sz w:val="20"/>
              </w:rPr>
              <w:t>Naam</w:t>
            </w:r>
          </w:p>
        </w:tc>
        <w:tc>
          <w:tcPr>
            <w:tcW w:w="1843" w:type="dxa"/>
            <w:tcBorders>
              <w:top w:val="single" w:sz="4" w:space="0" w:color="auto"/>
            </w:tcBorders>
            <w:shd w:val="clear" w:color="auto" w:fill="D9D9D9" w:themeFill="background1" w:themeFillShade="D9"/>
          </w:tcPr>
          <w:p w14:paraId="7D96A741" w14:textId="15C6B7F9" w:rsidR="00D6716A" w:rsidRDefault="00D6716A" w:rsidP="007B3725">
            <w:pPr>
              <w:widowControl w:val="0"/>
              <w:spacing w:before="15" w:after="15"/>
              <w:jc w:val="center"/>
              <w:rPr>
                <w:b/>
                <w:noProof/>
                <w:sz w:val="20"/>
                <w:szCs w:val="20"/>
              </w:rPr>
            </w:pPr>
            <w:r>
              <w:rPr>
                <w:b/>
                <w:noProof/>
                <w:sz w:val="20"/>
              </w:rPr>
              <w:t>Vastleggings</w:t>
            </w:r>
            <w:r w:rsidR="003C5A89">
              <w:rPr>
                <w:b/>
                <w:noProof/>
                <w:sz w:val="20"/>
              </w:rPr>
              <w:t>-</w:t>
            </w:r>
            <w:r>
              <w:rPr>
                <w:b/>
                <w:noProof/>
                <w:sz w:val="20"/>
              </w:rPr>
              <w:t>kredieten</w:t>
            </w:r>
          </w:p>
        </w:tc>
        <w:tc>
          <w:tcPr>
            <w:tcW w:w="1843" w:type="dxa"/>
            <w:tcBorders>
              <w:top w:val="single" w:sz="4" w:space="0" w:color="auto"/>
            </w:tcBorders>
            <w:shd w:val="clear" w:color="auto" w:fill="D9D9D9" w:themeFill="background1" w:themeFillShade="D9"/>
            <w:vAlign w:val="center"/>
          </w:tcPr>
          <w:p w14:paraId="179B6F43" w14:textId="038C7785" w:rsidR="00D6716A" w:rsidRDefault="00D6716A" w:rsidP="007B3725">
            <w:pPr>
              <w:widowControl w:val="0"/>
              <w:spacing w:before="15" w:after="15"/>
              <w:jc w:val="center"/>
              <w:rPr>
                <w:b/>
                <w:noProof/>
                <w:sz w:val="20"/>
                <w:szCs w:val="20"/>
              </w:rPr>
            </w:pPr>
            <w:r>
              <w:rPr>
                <w:b/>
                <w:noProof/>
                <w:sz w:val="20"/>
              </w:rPr>
              <w:t>Betalings</w:t>
            </w:r>
            <w:r w:rsidR="003C5A89">
              <w:rPr>
                <w:b/>
                <w:noProof/>
                <w:sz w:val="20"/>
              </w:rPr>
              <w:t>-</w:t>
            </w:r>
            <w:r>
              <w:rPr>
                <w:b/>
                <w:noProof/>
                <w:sz w:val="20"/>
              </w:rPr>
              <w:t>kredieten</w:t>
            </w:r>
          </w:p>
        </w:tc>
      </w:tr>
      <w:tr w:rsidR="009241D9" w14:paraId="0910728B" w14:textId="77777777" w:rsidTr="007B3725">
        <w:tc>
          <w:tcPr>
            <w:tcW w:w="1276" w:type="dxa"/>
          </w:tcPr>
          <w:p w14:paraId="61CAA0CF" w14:textId="243E4FDF" w:rsidR="009241D9" w:rsidRPr="00CD5E8A" w:rsidRDefault="00950AAE" w:rsidP="007B3725">
            <w:pPr>
              <w:widowControl w:val="0"/>
              <w:spacing w:before="15" w:after="15"/>
              <w:ind w:right="-113"/>
              <w:jc w:val="both"/>
              <w:rPr>
                <w:noProof/>
                <w:sz w:val="16"/>
                <w:szCs w:val="16"/>
              </w:rPr>
            </w:pPr>
            <w:r>
              <w:rPr>
                <w:noProof/>
                <w:sz w:val="16"/>
              </w:rPr>
              <w:t>02 10 01</w:t>
            </w:r>
          </w:p>
        </w:tc>
        <w:tc>
          <w:tcPr>
            <w:tcW w:w="4961" w:type="dxa"/>
          </w:tcPr>
          <w:p w14:paraId="3587FD77" w14:textId="47FEF3A8" w:rsidR="009241D9" w:rsidRPr="00CD5E8A" w:rsidRDefault="000C0FFA" w:rsidP="007B3725">
            <w:pPr>
              <w:widowControl w:val="0"/>
              <w:spacing w:before="15" w:after="15"/>
              <w:ind w:right="-113"/>
              <w:jc w:val="both"/>
              <w:rPr>
                <w:noProof/>
                <w:sz w:val="16"/>
                <w:szCs w:val="16"/>
              </w:rPr>
            </w:pPr>
            <w:r>
              <w:rPr>
                <w:noProof/>
                <w:sz w:val="16"/>
              </w:rPr>
              <w:t>Europees Agentschap voor de veiligheid van de luchtvaart (EASA)</w:t>
            </w:r>
          </w:p>
        </w:tc>
        <w:tc>
          <w:tcPr>
            <w:tcW w:w="1843" w:type="dxa"/>
          </w:tcPr>
          <w:p w14:paraId="3D139705" w14:textId="0F03A638" w:rsidR="009241D9" w:rsidRPr="00CD5E8A" w:rsidRDefault="007C0D4D" w:rsidP="007B3725">
            <w:pPr>
              <w:jc w:val="right"/>
              <w:rPr>
                <w:noProof/>
                <w:color w:val="000000"/>
                <w:sz w:val="16"/>
                <w:szCs w:val="16"/>
              </w:rPr>
            </w:pPr>
            <w:r>
              <w:rPr>
                <w:noProof/>
                <w:color w:val="000000"/>
                <w:sz w:val="16"/>
              </w:rPr>
              <w:t>2 774 000</w:t>
            </w:r>
          </w:p>
        </w:tc>
        <w:tc>
          <w:tcPr>
            <w:tcW w:w="1843" w:type="dxa"/>
          </w:tcPr>
          <w:p w14:paraId="33957E06" w14:textId="1A0C6B24" w:rsidR="009241D9" w:rsidRPr="00CD5E8A" w:rsidRDefault="007C0D4D" w:rsidP="007B3725">
            <w:pPr>
              <w:widowControl w:val="0"/>
              <w:spacing w:before="15" w:after="15"/>
              <w:jc w:val="right"/>
              <w:rPr>
                <w:noProof/>
                <w:sz w:val="16"/>
                <w:szCs w:val="16"/>
              </w:rPr>
            </w:pPr>
            <w:r>
              <w:rPr>
                <w:noProof/>
                <w:sz w:val="16"/>
              </w:rPr>
              <w:t>2 774 000</w:t>
            </w:r>
          </w:p>
        </w:tc>
      </w:tr>
      <w:tr w:rsidR="00D83413" w14:paraId="31884696" w14:textId="77777777" w:rsidTr="007B3725">
        <w:tc>
          <w:tcPr>
            <w:tcW w:w="1276" w:type="dxa"/>
          </w:tcPr>
          <w:p w14:paraId="51CC7B1A" w14:textId="2AEF72EA"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2C9B728F" w14:textId="2B4AEC1D" w:rsidR="00D83413" w:rsidRPr="00CD5E8A" w:rsidRDefault="00D83413" w:rsidP="00D83413">
            <w:pPr>
              <w:widowControl w:val="0"/>
              <w:spacing w:before="15" w:after="15"/>
              <w:ind w:right="-113"/>
              <w:jc w:val="both"/>
              <w:rPr>
                <w:noProof/>
                <w:sz w:val="16"/>
                <w:szCs w:val="16"/>
              </w:rPr>
            </w:pPr>
            <w:r>
              <w:rPr>
                <w:noProof/>
                <w:sz w:val="16"/>
              </w:rPr>
              <w:t xml:space="preserve">Gesplitste kredieten </w:t>
            </w:r>
            <w:r>
              <w:rPr>
                <w:i/>
                <w:noProof/>
                <w:sz w:val="16"/>
              </w:rPr>
              <w:t>(Reserve voor begrotingsartikel 02 10 01)</w:t>
            </w:r>
          </w:p>
        </w:tc>
        <w:tc>
          <w:tcPr>
            <w:tcW w:w="1843" w:type="dxa"/>
          </w:tcPr>
          <w:p w14:paraId="628690D1" w14:textId="697711C7" w:rsidR="00D83413" w:rsidRPr="00CD5E8A" w:rsidRDefault="00D83413" w:rsidP="00D83413">
            <w:pPr>
              <w:jc w:val="right"/>
              <w:rPr>
                <w:noProof/>
                <w:color w:val="000000"/>
                <w:sz w:val="16"/>
                <w:szCs w:val="16"/>
              </w:rPr>
            </w:pPr>
            <w:r>
              <w:rPr>
                <w:noProof/>
                <w:color w:val="000000"/>
                <w:sz w:val="16"/>
              </w:rPr>
              <w:t>-2 774 000</w:t>
            </w:r>
          </w:p>
        </w:tc>
        <w:tc>
          <w:tcPr>
            <w:tcW w:w="1843" w:type="dxa"/>
          </w:tcPr>
          <w:p w14:paraId="5F6E9CF5" w14:textId="17F1E6FF" w:rsidR="00D83413" w:rsidRPr="00CD5E8A" w:rsidRDefault="00D83413" w:rsidP="00D83413">
            <w:pPr>
              <w:widowControl w:val="0"/>
              <w:spacing w:before="15" w:after="15"/>
              <w:jc w:val="right"/>
              <w:rPr>
                <w:noProof/>
                <w:sz w:val="16"/>
                <w:szCs w:val="16"/>
              </w:rPr>
            </w:pPr>
            <w:r>
              <w:rPr>
                <w:noProof/>
                <w:sz w:val="16"/>
              </w:rPr>
              <w:t>-2 774 000</w:t>
            </w:r>
          </w:p>
        </w:tc>
      </w:tr>
      <w:tr w:rsidR="000C0FFA" w14:paraId="75DA053F" w14:textId="77777777" w:rsidTr="007B3725">
        <w:tc>
          <w:tcPr>
            <w:tcW w:w="1276" w:type="dxa"/>
          </w:tcPr>
          <w:p w14:paraId="30578454" w14:textId="6F864D9F" w:rsidR="000C0FFA" w:rsidRPr="00CD5E8A" w:rsidRDefault="000C0FFA" w:rsidP="000C0FFA">
            <w:pPr>
              <w:widowControl w:val="0"/>
              <w:spacing w:before="15" w:after="15"/>
              <w:ind w:right="-113"/>
              <w:jc w:val="both"/>
              <w:rPr>
                <w:noProof/>
                <w:sz w:val="16"/>
                <w:szCs w:val="16"/>
              </w:rPr>
            </w:pPr>
            <w:r>
              <w:rPr>
                <w:noProof/>
                <w:sz w:val="16"/>
              </w:rPr>
              <w:t>02 10 02</w:t>
            </w:r>
          </w:p>
        </w:tc>
        <w:tc>
          <w:tcPr>
            <w:tcW w:w="4961" w:type="dxa"/>
          </w:tcPr>
          <w:p w14:paraId="287C4B2E" w14:textId="0C62ED70" w:rsidR="000C0FFA" w:rsidRPr="00CD5E8A" w:rsidRDefault="000C0FFA" w:rsidP="000C0FFA">
            <w:pPr>
              <w:widowControl w:val="0"/>
              <w:spacing w:before="15" w:after="15"/>
              <w:ind w:right="-113"/>
              <w:jc w:val="both"/>
              <w:rPr>
                <w:noProof/>
                <w:sz w:val="16"/>
                <w:szCs w:val="16"/>
              </w:rPr>
            </w:pPr>
            <w:r>
              <w:rPr>
                <w:noProof/>
                <w:sz w:val="16"/>
              </w:rPr>
              <w:t>Europees Agentschap voor maritieme veiligheid (EMSA)</w:t>
            </w:r>
          </w:p>
        </w:tc>
        <w:tc>
          <w:tcPr>
            <w:tcW w:w="1843" w:type="dxa"/>
          </w:tcPr>
          <w:p w14:paraId="435CF42F" w14:textId="36378719" w:rsidR="000C0FFA" w:rsidRPr="00CD5E8A" w:rsidRDefault="00D83413" w:rsidP="000C0FFA">
            <w:pPr>
              <w:jc w:val="right"/>
              <w:rPr>
                <w:noProof/>
                <w:color w:val="000000"/>
                <w:sz w:val="16"/>
                <w:szCs w:val="16"/>
              </w:rPr>
            </w:pPr>
            <w:r>
              <w:rPr>
                <w:noProof/>
                <w:color w:val="000000"/>
                <w:sz w:val="16"/>
              </w:rPr>
              <w:t>1 191 000</w:t>
            </w:r>
          </w:p>
        </w:tc>
        <w:tc>
          <w:tcPr>
            <w:tcW w:w="1843" w:type="dxa"/>
          </w:tcPr>
          <w:p w14:paraId="60108C0F" w14:textId="0B46A858" w:rsidR="000C0FFA" w:rsidRPr="00CD5E8A" w:rsidRDefault="00D83413" w:rsidP="000C0FFA">
            <w:pPr>
              <w:widowControl w:val="0"/>
              <w:spacing w:before="15" w:after="15"/>
              <w:jc w:val="right"/>
              <w:rPr>
                <w:noProof/>
                <w:sz w:val="16"/>
                <w:szCs w:val="16"/>
              </w:rPr>
            </w:pPr>
            <w:r>
              <w:rPr>
                <w:noProof/>
                <w:sz w:val="16"/>
              </w:rPr>
              <w:t>1 191 000</w:t>
            </w:r>
          </w:p>
        </w:tc>
      </w:tr>
      <w:tr w:rsidR="00D83413" w14:paraId="627E1182" w14:textId="77777777" w:rsidTr="007B3725">
        <w:tc>
          <w:tcPr>
            <w:tcW w:w="1276" w:type="dxa"/>
          </w:tcPr>
          <w:p w14:paraId="389DBFF6" w14:textId="325423AF"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16DA0694" w14:textId="0F235E18" w:rsidR="00D83413" w:rsidRPr="00CD5E8A" w:rsidRDefault="00D83413" w:rsidP="00D83413">
            <w:pPr>
              <w:widowControl w:val="0"/>
              <w:spacing w:before="15" w:after="15"/>
              <w:ind w:right="-113"/>
              <w:jc w:val="both"/>
              <w:rPr>
                <w:noProof/>
                <w:sz w:val="16"/>
                <w:szCs w:val="16"/>
              </w:rPr>
            </w:pPr>
            <w:r>
              <w:rPr>
                <w:noProof/>
                <w:sz w:val="16"/>
              </w:rPr>
              <w:t xml:space="preserve">Gesplitste kredieten </w:t>
            </w:r>
            <w:r>
              <w:rPr>
                <w:i/>
                <w:noProof/>
                <w:sz w:val="16"/>
              </w:rPr>
              <w:t>(Reserve voor begrotingsartikel 02 10 02)</w:t>
            </w:r>
          </w:p>
        </w:tc>
        <w:tc>
          <w:tcPr>
            <w:tcW w:w="1843" w:type="dxa"/>
          </w:tcPr>
          <w:p w14:paraId="453B16CF" w14:textId="30B4FEC7" w:rsidR="00D83413" w:rsidRPr="00CD5E8A" w:rsidRDefault="00FA0837" w:rsidP="00D83413">
            <w:pPr>
              <w:jc w:val="right"/>
              <w:rPr>
                <w:noProof/>
                <w:color w:val="000000"/>
                <w:sz w:val="16"/>
                <w:szCs w:val="16"/>
              </w:rPr>
            </w:pPr>
            <w:r>
              <w:rPr>
                <w:noProof/>
                <w:color w:val="000000"/>
                <w:sz w:val="16"/>
              </w:rPr>
              <w:t>- 1 191 000</w:t>
            </w:r>
          </w:p>
        </w:tc>
        <w:tc>
          <w:tcPr>
            <w:tcW w:w="1843" w:type="dxa"/>
          </w:tcPr>
          <w:p w14:paraId="06E6E223" w14:textId="2A9EE4B9" w:rsidR="00D83413" w:rsidRPr="00CD5E8A" w:rsidRDefault="00FA0837" w:rsidP="00D83413">
            <w:pPr>
              <w:widowControl w:val="0"/>
              <w:spacing w:before="15" w:after="15"/>
              <w:jc w:val="right"/>
              <w:rPr>
                <w:noProof/>
                <w:sz w:val="16"/>
                <w:szCs w:val="16"/>
              </w:rPr>
            </w:pPr>
            <w:r>
              <w:rPr>
                <w:noProof/>
                <w:sz w:val="16"/>
              </w:rPr>
              <w:t>-1 191 000</w:t>
            </w:r>
          </w:p>
        </w:tc>
      </w:tr>
      <w:tr w:rsidR="004B2BDF" w14:paraId="3EC289D6" w14:textId="77777777" w:rsidTr="007B3725">
        <w:tc>
          <w:tcPr>
            <w:tcW w:w="1276" w:type="dxa"/>
          </w:tcPr>
          <w:p w14:paraId="0EE371AE" w14:textId="082DE52C" w:rsidR="004B2BDF" w:rsidRPr="00CD5E8A" w:rsidRDefault="004B2BDF" w:rsidP="004B2BDF">
            <w:pPr>
              <w:widowControl w:val="0"/>
              <w:spacing w:before="15" w:after="15"/>
              <w:ind w:right="-113"/>
              <w:jc w:val="both"/>
              <w:rPr>
                <w:noProof/>
                <w:sz w:val="16"/>
                <w:szCs w:val="16"/>
              </w:rPr>
            </w:pPr>
            <w:r>
              <w:rPr>
                <w:noProof/>
                <w:sz w:val="16"/>
              </w:rPr>
              <w:t>03 10 04</w:t>
            </w:r>
          </w:p>
        </w:tc>
        <w:tc>
          <w:tcPr>
            <w:tcW w:w="4961" w:type="dxa"/>
          </w:tcPr>
          <w:p w14:paraId="468CE3DF" w14:textId="1FAE2AA3" w:rsidR="004B2BDF" w:rsidRPr="00CD5E8A" w:rsidRDefault="004B2BDF" w:rsidP="004B2BDF">
            <w:pPr>
              <w:widowControl w:val="0"/>
              <w:spacing w:before="15" w:after="15"/>
              <w:ind w:right="-113"/>
              <w:jc w:val="both"/>
              <w:rPr>
                <w:noProof/>
                <w:sz w:val="16"/>
                <w:szCs w:val="16"/>
              </w:rPr>
            </w:pPr>
            <w:r>
              <w:rPr>
                <w:noProof/>
                <w:sz w:val="16"/>
              </w:rPr>
              <w:t>Europese Autoriteit voor effecten en markten (ESMA)</w:t>
            </w:r>
          </w:p>
        </w:tc>
        <w:tc>
          <w:tcPr>
            <w:tcW w:w="1843" w:type="dxa"/>
          </w:tcPr>
          <w:p w14:paraId="260EBCAD" w14:textId="60F3A4AE" w:rsidR="004B2BDF" w:rsidRPr="00CD5E8A" w:rsidRDefault="004B2BDF" w:rsidP="004B2BDF">
            <w:pPr>
              <w:jc w:val="right"/>
              <w:rPr>
                <w:noProof/>
                <w:color w:val="000000"/>
                <w:sz w:val="16"/>
                <w:szCs w:val="16"/>
              </w:rPr>
            </w:pPr>
            <w:r>
              <w:rPr>
                <w:noProof/>
                <w:color w:val="000000"/>
                <w:sz w:val="16"/>
              </w:rPr>
              <w:t>1 007 000</w:t>
            </w:r>
          </w:p>
        </w:tc>
        <w:tc>
          <w:tcPr>
            <w:tcW w:w="1843" w:type="dxa"/>
          </w:tcPr>
          <w:p w14:paraId="1E690A72" w14:textId="7E019C78" w:rsidR="004B2BDF" w:rsidRPr="00CD5E8A" w:rsidRDefault="004B2BDF" w:rsidP="004B2BDF">
            <w:pPr>
              <w:widowControl w:val="0"/>
              <w:spacing w:before="15" w:after="15"/>
              <w:jc w:val="right"/>
              <w:rPr>
                <w:noProof/>
                <w:sz w:val="16"/>
                <w:szCs w:val="16"/>
              </w:rPr>
            </w:pPr>
            <w:r>
              <w:rPr>
                <w:noProof/>
                <w:sz w:val="16"/>
              </w:rPr>
              <w:t>1 007 000</w:t>
            </w:r>
          </w:p>
        </w:tc>
      </w:tr>
      <w:tr w:rsidR="004B2BDF" w14:paraId="15CA4A72" w14:textId="77777777" w:rsidTr="007B3725">
        <w:tc>
          <w:tcPr>
            <w:tcW w:w="1276" w:type="dxa"/>
          </w:tcPr>
          <w:p w14:paraId="482EA917" w14:textId="7D88D43E" w:rsidR="004B2BDF" w:rsidRPr="00CD5E8A" w:rsidRDefault="004B2BDF" w:rsidP="004B2BDF">
            <w:pPr>
              <w:widowControl w:val="0"/>
              <w:spacing w:before="15" w:after="15"/>
              <w:ind w:right="-113"/>
              <w:jc w:val="both"/>
              <w:rPr>
                <w:noProof/>
                <w:sz w:val="16"/>
                <w:szCs w:val="16"/>
              </w:rPr>
            </w:pPr>
            <w:r>
              <w:rPr>
                <w:noProof/>
                <w:sz w:val="16"/>
              </w:rPr>
              <w:t>30 02 02</w:t>
            </w:r>
          </w:p>
        </w:tc>
        <w:tc>
          <w:tcPr>
            <w:tcW w:w="4961" w:type="dxa"/>
          </w:tcPr>
          <w:p w14:paraId="4119A2BC" w14:textId="3CDB3B4D" w:rsidR="004B2BDF" w:rsidRPr="00CD5E8A" w:rsidRDefault="004B2BDF" w:rsidP="004B2BDF">
            <w:pPr>
              <w:widowControl w:val="0"/>
              <w:spacing w:before="15" w:after="15"/>
              <w:ind w:right="-113"/>
              <w:jc w:val="both"/>
              <w:rPr>
                <w:noProof/>
                <w:sz w:val="16"/>
                <w:szCs w:val="16"/>
              </w:rPr>
            </w:pPr>
            <w:r>
              <w:rPr>
                <w:noProof/>
                <w:sz w:val="16"/>
              </w:rPr>
              <w:t xml:space="preserve">Gesplitste kredieten </w:t>
            </w:r>
            <w:r>
              <w:rPr>
                <w:i/>
                <w:noProof/>
                <w:sz w:val="16"/>
              </w:rPr>
              <w:t>(Reserve voor begrotingsartikel 03 10 04)</w:t>
            </w:r>
          </w:p>
        </w:tc>
        <w:tc>
          <w:tcPr>
            <w:tcW w:w="1843" w:type="dxa"/>
          </w:tcPr>
          <w:p w14:paraId="0F84D5CD" w14:textId="1EDCB210" w:rsidR="004B2BDF" w:rsidRPr="00CD5E8A" w:rsidRDefault="004B2BDF" w:rsidP="004B2BDF">
            <w:pPr>
              <w:jc w:val="right"/>
              <w:rPr>
                <w:noProof/>
                <w:color w:val="000000"/>
                <w:sz w:val="16"/>
                <w:szCs w:val="16"/>
              </w:rPr>
            </w:pPr>
            <w:r>
              <w:rPr>
                <w:noProof/>
                <w:color w:val="000000"/>
                <w:sz w:val="16"/>
              </w:rPr>
              <w:t>- 1 007 000</w:t>
            </w:r>
          </w:p>
        </w:tc>
        <w:tc>
          <w:tcPr>
            <w:tcW w:w="1843" w:type="dxa"/>
          </w:tcPr>
          <w:p w14:paraId="760AC23B" w14:textId="13A7DD11" w:rsidR="004B2BDF" w:rsidRPr="00CD5E8A" w:rsidRDefault="004B2BDF" w:rsidP="004B2BDF">
            <w:pPr>
              <w:widowControl w:val="0"/>
              <w:spacing w:before="15" w:after="15"/>
              <w:jc w:val="right"/>
              <w:rPr>
                <w:noProof/>
                <w:sz w:val="16"/>
                <w:szCs w:val="16"/>
              </w:rPr>
            </w:pPr>
            <w:r>
              <w:rPr>
                <w:noProof/>
                <w:sz w:val="16"/>
              </w:rPr>
              <w:t>-1 007 000</w:t>
            </w:r>
          </w:p>
        </w:tc>
      </w:tr>
      <w:tr w:rsidR="000C0FFA" w14:paraId="686ECA24" w14:textId="77777777" w:rsidTr="007B3725">
        <w:tc>
          <w:tcPr>
            <w:tcW w:w="6237" w:type="dxa"/>
            <w:gridSpan w:val="2"/>
            <w:shd w:val="clear" w:color="auto" w:fill="D9D9D9" w:themeFill="background1" w:themeFillShade="D9"/>
          </w:tcPr>
          <w:p w14:paraId="7C78335C" w14:textId="77777777" w:rsidR="000C0FFA" w:rsidRDefault="000C0FFA" w:rsidP="000C0FFA">
            <w:pPr>
              <w:widowControl w:val="0"/>
              <w:tabs>
                <w:tab w:val="left" w:pos="975"/>
              </w:tabs>
              <w:spacing w:before="15" w:after="15"/>
              <w:jc w:val="both"/>
              <w:rPr>
                <w:b/>
                <w:noProof/>
                <w:sz w:val="20"/>
                <w:szCs w:val="20"/>
              </w:rPr>
            </w:pPr>
            <w:r>
              <w:rPr>
                <w:b/>
                <w:noProof/>
                <w:sz w:val="20"/>
              </w:rPr>
              <w:t>Totaal</w:t>
            </w:r>
            <w:r>
              <w:rPr>
                <w:noProof/>
              </w:rPr>
              <w:tab/>
            </w:r>
          </w:p>
        </w:tc>
        <w:tc>
          <w:tcPr>
            <w:tcW w:w="1843" w:type="dxa"/>
            <w:shd w:val="clear" w:color="auto" w:fill="D9D9D9" w:themeFill="background1" w:themeFillShade="D9"/>
          </w:tcPr>
          <w:p w14:paraId="2A573D98" w14:textId="480F6833" w:rsidR="000C0FFA" w:rsidRDefault="000C0FFA" w:rsidP="000C0FFA">
            <w:pPr>
              <w:jc w:val="right"/>
              <w:rPr>
                <w:b/>
                <w:noProof/>
                <w:color w:val="000000"/>
                <w:sz w:val="20"/>
                <w:szCs w:val="20"/>
              </w:rPr>
            </w:pPr>
            <w:r>
              <w:rPr>
                <w:b/>
                <w:noProof/>
                <w:color w:val="000000"/>
                <w:sz w:val="20"/>
              </w:rPr>
              <w:t>0</w:t>
            </w:r>
          </w:p>
        </w:tc>
        <w:tc>
          <w:tcPr>
            <w:tcW w:w="1843" w:type="dxa"/>
            <w:shd w:val="clear" w:color="auto" w:fill="D9D9D9" w:themeFill="background1" w:themeFillShade="D9"/>
          </w:tcPr>
          <w:p w14:paraId="6FE2BCB8" w14:textId="0B1DF36C" w:rsidR="000C0FFA" w:rsidRDefault="000C0FFA" w:rsidP="000C0FFA">
            <w:pPr>
              <w:jc w:val="right"/>
              <w:rPr>
                <w:b/>
                <w:noProof/>
                <w:sz w:val="20"/>
                <w:szCs w:val="20"/>
              </w:rPr>
            </w:pPr>
            <w:r>
              <w:rPr>
                <w:b/>
                <w:noProof/>
                <w:sz w:val="20"/>
              </w:rPr>
              <w:t>0</w:t>
            </w:r>
          </w:p>
        </w:tc>
      </w:tr>
    </w:tbl>
    <w:p w14:paraId="7190E912" w14:textId="448001B5" w:rsidR="00BA114A" w:rsidRDefault="00692727" w:rsidP="00BA114A">
      <w:pPr>
        <w:pStyle w:val="ManualHeading1"/>
        <w:ind w:left="0" w:firstLine="0"/>
        <w:rPr>
          <w:noProof/>
        </w:rPr>
      </w:pPr>
      <w:bookmarkStart w:id="92" w:name="_Toc145922828"/>
      <w:bookmarkStart w:id="93" w:name="_Toc54770334"/>
      <w:bookmarkStart w:id="94" w:name="_Toc55807144"/>
      <w:bookmarkStart w:id="95" w:name="_Toc114838641"/>
      <w:bookmarkStart w:id="96" w:name="_Toc526753789"/>
      <w:bookmarkEnd w:id="84"/>
      <w:r>
        <w:rPr>
          <w:noProof/>
        </w:rPr>
        <w:t>6.</w:t>
      </w:r>
      <w:r>
        <w:rPr>
          <w:noProof/>
        </w:rPr>
        <w:tab/>
        <w:t>Overdracht van middelen uit het Europees Fonds voor regionale ontwikkeling naar Horizon Europa voor Litouwen</w:t>
      </w:r>
      <w:bookmarkEnd w:id="92"/>
    </w:p>
    <w:p w14:paraId="5F4A4994" w14:textId="27BF06D0" w:rsidR="00BA114A" w:rsidRDefault="00BA114A" w:rsidP="00BA114A">
      <w:pPr>
        <w:pStyle w:val="Text1"/>
        <w:ind w:left="0"/>
        <w:rPr>
          <w:noProof/>
        </w:rPr>
      </w:pPr>
      <w:r>
        <w:rPr>
          <w:noProof/>
        </w:rPr>
        <w:t>Na het verzoek van Litouwen in een wijziging van zijn EFRO-programma</w:t>
      </w:r>
      <w:r>
        <w:rPr>
          <w:rStyle w:val="FootnoteReference"/>
          <w:noProof/>
        </w:rPr>
        <w:footnoteReference w:id="14"/>
      </w:r>
      <w:r>
        <w:rPr>
          <w:noProof/>
        </w:rPr>
        <w:t xml:space="preserve"> om middelen over te dragen op grond van artikel 26 van de verordening gemeenschappelijke bepalingen (GB-verordening), kunnen aanvullende middelen in het kader van Horizon Europa worden ingezet overeenkomstig de regels van het instrument, ten voordele van de betrokken lidstaat. De kredieten zijn opgenomen in afzonderlijke begrotingsonderdelen.</w:t>
      </w:r>
    </w:p>
    <w:p w14:paraId="3FF59E4A" w14:textId="54F50E11" w:rsidR="00BA114A" w:rsidRDefault="441B11EA" w:rsidP="00BA114A">
      <w:pPr>
        <w:pStyle w:val="Text1"/>
        <w:ind w:left="0"/>
        <w:rPr>
          <w:noProof/>
        </w:rPr>
      </w:pPr>
      <w:r>
        <w:rPr>
          <w:noProof/>
        </w:rPr>
        <w:t>Op basis hiervan stelt de Commissie de volgende wijzigingen voor van de betrokken begrotingsonderdelen in de OB 2024:</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A114A" w:rsidRPr="00B31192" w14:paraId="6DFCFFC4"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4CC64976" w14:textId="77777777" w:rsidR="00BA114A" w:rsidRPr="00B31192" w:rsidRDefault="00BA114A">
            <w:pPr>
              <w:widowControl w:val="0"/>
              <w:spacing w:before="15" w:after="15"/>
              <w:jc w:val="right"/>
              <w:rPr>
                <w:i/>
                <w:noProof/>
                <w:sz w:val="20"/>
                <w:szCs w:val="20"/>
              </w:rPr>
            </w:pPr>
            <w:r>
              <w:rPr>
                <w:i/>
                <w:noProof/>
                <w:sz w:val="20"/>
              </w:rPr>
              <w:t>EUR</w:t>
            </w:r>
          </w:p>
        </w:tc>
      </w:tr>
      <w:tr w:rsidR="00BA114A" w:rsidRPr="00B31192" w14:paraId="326BF4F9" w14:textId="77777777" w:rsidTr="42EA40D1">
        <w:trPr>
          <w:jc w:val="center"/>
        </w:trPr>
        <w:tc>
          <w:tcPr>
            <w:tcW w:w="1276" w:type="dxa"/>
            <w:tcBorders>
              <w:top w:val="single" w:sz="4" w:space="0" w:color="auto"/>
            </w:tcBorders>
            <w:shd w:val="clear" w:color="auto" w:fill="D9D9D9" w:themeFill="background1" w:themeFillShade="D9"/>
            <w:vAlign w:val="center"/>
          </w:tcPr>
          <w:p w14:paraId="1DED027C" w14:textId="3ED1D54D" w:rsidR="00BA114A" w:rsidRPr="00B31192" w:rsidRDefault="00BA114A">
            <w:pPr>
              <w:keepNext/>
              <w:spacing w:before="15" w:after="15"/>
              <w:jc w:val="center"/>
              <w:rPr>
                <w:b/>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28850153" w14:textId="77777777" w:rsidR="00BA114A" w:rsidRPr="00B31192" w:rsidRDefault="00BA114A">
            <w:pPr>
              <w:widowControl w:val="0"/>
              <w:spacing w:before="15" w:after="15"/>
              <w:jc w:val="center"/>
              <w:rPr>
                <w:b/>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1190A26D" w14:textId="12F0B65B" w:rsidR="00BA114A" w:rsidRPr="00B31192" w:rsidRDefault="00BA114A">
            <w:pPr>
              <w:widowControl w:val="0"/>
              <w:spacing w:before="15" w:after="15"/>
              <w:jc w:val="center"/>
              <w:rPr>
                <w:b/>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74B3D7D5" w14:textId="37906A32" w:rsidR="00BA114A" w:rsidRPr="00B31192" w:rsidRDefault="00BA114A">
            <w:pPr>
              <w:widowControl w:val="0"/>
              <w:spacing w:before="15" w:after="15"/>
              <w:jc w:val="center"/>
              <w:rPr>
                <w:b/>
                <w:noProof/>
                <w:sz w:val="20"/>
                <w:szCs w:val="20"/>
              </w:rPr>
            </w:pPr>
            <w:r>
              <w:rPr>
                <w:b/>
                <w:noProof/>
                <w:sz w:val="20"/>
              </w:rPr>
              <w:t>Betalings</w:t>
            </w:r>
            <w:r w:rsidR="003C5A89">
              <w:rPr>
                <w:b/>
                <w:noProof/>
                <w:sz w:val="20"/>
              </w:rPr>
              <w:t>-</w:t>
            </w:r>
            <w:r>
              <w:rPr>
                <w:b/>
                <w:noProof/>
                <w:sz w:val="20"/>
              </w:rPr>
              <w:t>kredieten</w:t>
            </w:r>
          </w:p>
        </w:tc>
      </w:tr>
      <w:tr w:rsidR="00BA114A" w:rsidRPr="00B31192" w14:paraId="4509848E" w14:textId="77777777" w:rsidTr="42EA40D1">
        <w:trPr>
          <w:jc w:val="center"/>
        </w:trPr>
        <w:tc>
          <w:tcPr>
            <w:tcW w:w="9810" w:type="dxa"/>
            <w:gridSpan w:val="4"/>
            <w:shd w:val="clear" w:color="auto" w:fill="F2F2F2" w:themeFill="background1" w:themeFillShade="F2"/>
            <w:vAlign w:val="center"/>
          </w:tcPr>
          <w:p w14:paraId="72A1D231" w14:textId="77777777" w:rsidR="00BA114A" w:rsidRPr="00B31192" w:rsidRDefault="00BA114A">
            <w:pPr>
              <w:widowControl w:val="0"/>
              <w:spacing w:before="15" w:after="15"/>
              <w:rPr>
                <w:i/>
                <w:noProof/>
                <w:sz w:val="20"/>
                <w:szCs w:val="20"/>
              </w:rPr>
            </w:pPr>
            <w:r>
              <w:rPr>
                <w:i/>
                <w:noProof/>
                <w:sz w:val="20"/>
              </w:rPr>
              <w:t>Afdeling III – Commissie</w:t>
            </w:r>
          </w:p>
        </w:tc>
      </w:tr>
      <w:tr w:rsidR="00BA114A" w:rsidRPr="00B31192" w14:paraId="2032A471" w14:textId="77777777" w:rsidTr="42EA40D1">
        <w:trPr>
          <w:jc w:val="center"/>
        </w:trPr>
        <w:tc>
          <w:tcPr>
            <w:tcW w:w="1276" w:type="dxa"/>
          </w:tcPr>
          <w:p w14:paraId="192F2503" w14:textId="059F0F7E" w:rsidR="00BA114A" w:rsidRDefault="00BA114A">
            <w:pPr>
              <w:widowControl w:val="0"/>
              <w:spacing w:before="15" w:after="15"/>
              <w:ind w:right="-113"/>
              <w:jc w:val="both"/>
              <w:rPr>
                <w:noProof/>
                <w:sz w:val="16"/>
                <w:szCs w:val="16"/>
              </w:rPr>
            </w:pPr>
            <w:r>
              <w:rPr>
                <w:noProof/>
                <w:sz w:val="16"/>
              </w:rPr>
              <w:t>05 02 01</w:t>
            </w:r>
          </w:p>
        </w:tc>
        <w:tc>
          <w:tcPr>
            <w:tcW w:w="5132" w:type="dxa"/>
          </w:tcPr>
          <w:p w14:paraId="40ABAD5F" w14:textId="5604403B" w:rsidR="00BA114A" w:rsidRDefault="00BA114A">
            <w:pPr>
              <w:widowControl w:val="0"/>
              <w:tabs>
                <w:tab w:val="left" w:pos="1350"/>
              </w:tabs>
              <w:spacing w:before="15" w:after="15"/>
              <w:jc w:val="both"/>
              <w:rPr>
                <w:noProof/>
                <w:sz w:val="16"/>
                <w:szCs w:val="16"/>
              </w:rPr>
            </w:pPr>
            <w:r>
              <w:rPr>
                <w:noProof/>
                <w:sz w:val="16"/>
              </w:rPr>
              <w:t>EFRO – Beleidsuitgaven</w:t>
            </w:r>
          </w:p>
        </w:tc>
        <w:tc>
          <w:tcPr>
            <w:tcW w:w="1701" w:type="dxa"/>
          </w:tcPr>
          <w:p w14:paraId="1526E1B7" w14:textId="21FDAC66" w:rsidR="00BA114A" w:rsidDel="00DF0FD8" w:rsidRDefault="00BA114A">
            <w:pPr>
              <w:widowControl w:val="0"/>
              <w:spacing w:before="15" w:after="15"/>
              <w:jc w:val="right"/>
              <w:rPr>
                <w:noProof/>
                <w:sz w:val="16"/>
                <w:szCs w:val="16"/>
              </w:rPr>
            </w:pPr>
            <w:r>
              <w:rPr>
                <w:noProof/>
                <w:sz w:val="16"/>
              </w:rPr>
              <w:t>-10 543 750</w:t>
            </w:r>
          </w:p>
        </w:tc>
        <w:tc>
          <w:tcPr>
            <w:tcW w:w="1701" w:type="dxa"/>
          </w:tcPr>
          <w:p w14:paraId="0FADF8E8" w14:textId="582996C3" w:rsidR="00BA114A" w:rsidDel="00DF0FD8" w:rsidRDefault="358B1BB4">
            <w:pPr>
              <w:widowControl w:val="0"/>
              <w:spacing w:before="15" w:after="15"/>
              <w:jc w:val="right"/>
              <w:rPr>
                <w:noProof/>
                <w:sz w:val="16"/>
                <w:szCs w:val="16"/>
              </w:rPr>
            </w:pPr>
            <w:r>
              <w:rPr>
                <w:noProof/>
                <w:sz w:val="16"/>
              </w:rPr>
              <w:t>0</w:t>
            </w:r>
          </w:p>
        </w:tc>
      </w:tr>
      <w:tr w:rsidR="00BA114A" w:rsidRPr="00B31192" w14:paraId="69A5EBC9" w14:textId="77777777" w:rsidTr="42EA40D1">
        <w:trPr>
          <w:jc w:val="center"/>
        </w:trPr>
        <w:tc>
          <w:tcPr>
            <w:tcW w:w="1276" w:type="dxa"/>
          </w:tcPr>
          <w:p w14:paraId="5FB9DCF8" w14:textId="77777777" w:rsidR="00BA114A" w:rsidRDefault="00BA114A">
            <w:pPr>
              <w:widowControl w:val="0"/>
              <w:spacing w:before="15" w:after="15"/>
              <w:ind w:right="-113"/>
              <w:jc w:val="both"/>
              <w:rPr>
                <w:noProof/>
                <w:sz w:val="16"/>
                <w:szCs w:val="16"/>
              </w:rPr>
            </w:pPr>
            <w:r>
              <w:rPr>
                <w:noProof/>
                <w:sz w:val="16"/>
              </w:rPr>
              <w:t>05 02 09</w:t>
            </w:r>
          </w:p>
        </w:tc>
        <w:tc>
          <w:tcPr>
            <w:tcW w:w="5132" w:type="dxa"/>
          </w:tcPr>
          <w:p w14:paraId="785F04D6" w14:textId="77777777" w:rsidR="00BA114A" w:rsidRDefault="00BA114A">
            <w:pPr>
              <w:widowControl w:val="0"/>
              <w:tabs>
                <w:tab w:val="left" w:pos="1350"/>
              </w:tabs>
              <w:spacing w:before="15" w:after="15"/>
              <w:jc w:val="both"/>
              <w:rPr>
                <w:noProof/>
                <w:sz w:val="16"/>
                <w:szCs w:val="16"/>
              </w:rPr>
            </w:pPr>
            <w:r>
              <w:rPr>
                <w:noProof/>
                <w:sz w:val="16"/>
              </w:rPr>
              <w:t>Horizon Europa – Bijdrage van het EFRO</w:t>
            </w:r>
          </w:p>
        </w:tc>
        <w:tc>
          <w:tcPr>
            <w:tcW w:w="1701" w:type="dxa"/>
          </w:tcPr>
          <w:p w14:paraId="70497169" w14:textId="77777777" w:rsidR="00BA114A" w:rsidRDefault="00BA114A">
            <w:pPr>
              <w:widowControl w:val="0"/>
              <w:spacing w:before="15" w:after="15"/>
              <w:jc w:val="right"/>
              <w:rPr>
                <w:noProof/>
                <w:sz w:val="16"/>
                <w:szCs w:val="16"/>
              </w:rPr>
            </w:pPr>
            <w:r>
              <w:rPr>
                <w:noProof/>
                <w:sz w:val="16"/>
              </w:rPr>
              <w:t>10 543 750</w:t>
            </w:r>
          </w:p>
        </w:tc>
        <w:tc>
          <w:tcPr>
            <w:tcW w:w="1701" w:type="dxa"/>
          </w:tcPr>
          <w:p w14:paraId="4C90CA18" w14:textId="12238AFC" w:rsidR="00BA114A" w:rsidRDefault="5DB92E59">
            <w:pPr>
              <w:widowControl w:val="0"/>
              <w:spacing w:before="15" w:after="15"/>
              <w:jc w:val="right"/>
              <w:rPr>
                <w:noProof/>
                <w:sz w:val="16"/>
                <w:szCs w:val="16"/>
              </w:rPr>
            </w:pPr>
            <w:r>
              <w:rPr>
                <w:noProof/>
                <w:sz w:val="16"/>
              </w:rPr>
              <w:t>0</w:t>
            </w:r>
          </w:p>
        </w:tc>
      </w:tr>
      <w:tr w:rsidR="00BA114A" w:rsidRPr="00B31192" w14:paraId="61612CD5" w14:textId="77777777" w:rsidTr="42EA40D1">
        <w:trPr>
          <w:jc w:val="center"/>
        </w:trPr>
        <w:tc>
          <w:tcPr>
            <w:tcW w:w="6408" w:type="dxa"/>
            <w:gridSpan w:val="2"/>
            <w:shd w:val="clear" w:color="auto" w:fill="D9D9D9" w:themeFill="background1" w:themeFillShade="D9"/>
          </w:tcPr>
          <w:p w14:paraId="1D535B88" w14:textId="77777777" w:rsidR="00BA114A" w:rsidRPr="00B31192" w:rsidRDefault="00BA114A">
            <w:pPr>
              <w:widowControl w:val="0"/>
              <w:spacing w:before="15" w:after="15"/>
              <w:ind w:right="-113"/>
              <w:jc w:val="both"/>
              <w:rPr>
                <w:noProof/>
                <w:sz w:val="20"/>
                <w:szCs w:val="20"/>
              </w:rPr>
            </w:pPr>
            <w:r>
              <w:rPr>
                <w:b/>
                <w:noProof/>
                <w:sz w:val="20"/>
              </w:rPr>
              <w:t>Totaal</w:t>
            </w:r>
            <w:r>
              <w:rPr>
                <w:noProof/>
              </w:rPr>
              <w:tab/>
            </w:r>
          </w:p>
        </w:tc>
        <w:tc>
          <w:tcPr>
            <w:tcW w:w="1701" w:type="dxa"/>
            <w:shd w:val="clear" w:color="auto" w:fill="D9D9D9" w:themeFill="background1" w:themeFillShade="D9"/>
          </w:tcPr>
          <w:p w14:paraId="21EB3E42" w14:textId="77777777" w:rsidR="00BA114A" w:rsidRPr="00CA6CA7" w:rsidRDefault="00BA114A">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58C03940" w14:textId="77777777" w:rsidR="00BA114A" w:rsidRPr="00CA6CA7" w:rsidRDefault="00BA114A">
            <w:pPr>
              <w:widowControl w:val="0"/>
              <w:spacing w:before="15" w:after="15"/>
              <w:jc w:val="right"/>
              <w:rPr>
                <w:b/>
                <w:noProof/>
                <w:sz w:val="20"/>
                <w:szCs w:val="20"/>
              </w:rPr>
            </w:pPr>
            <w:r>
              <w:rPr>
                <w:b/>
                <w:noProof/>
                <w:sz w:val="20"/>
              </w:rPr>
              <w:t>0</w:t>
            </w:r>
          </w:p>
        </w:tc>
      </w:tr>
    </w:tbl>
    <w:p w14:paraId="6801C663" w14:textId="77777777" w:rsidR="00BA114A" w:rsidRPr="00AA6580" w:rsidRDefault="00BA114A" w:rsidP="00BA114A">
      <w:pPr>
        <w:pStyle w:val="Text1"/>
        <w:ind w:left="0"/>
        <w:rPr>
          <w:noProof/>
        </w:rPr>
      </w:pPr>
    </w:p>
    <w:p w14:paraId="0D927A64" w14:textId="71B7218D" w:rsidR="00F16A2C" w:rsidRDefault="00692727" w:rsidP="004822C2">
      <w:pPr>
        <w:pStyle w:val="ManualHeading1"/>
        <w:spacing w:before="240"/>
        <w:ind w:left="0" w:firstLine="0"/>
        <w:rPr>
          <w:noProof/>
        </w:rPr>
      </w:pPr>
      <w:bookmarkStart w:id="97" w:name="_Toc145922829"/>
      <w:r>
        <w:rPr>
          <w:noProof/>
        </w:rPr>
        <w:t>7.</w:t>
      </w:r>
      <w:r>
        <w:rPr>
          <w:noProof/>
        </w:rPr>
        <w:tab/>
        <w:t>Aanpassingen van rubriek 7 “Europees openbaar bestuur”</w:t>
      </w:r>
      <w:bookmarkEnd w:id="93"/>
      <w:bookmarkEnd w:id="94"/>
      <w:bookmarkEnd w:id="95"/>
      <w:bookmarkEnd w:id="97"/>
    </w:p>
    <w:p w14:paraId="53AAB692" w14:textId="2B36CF8E" w:rsidR="002446ED" w:rsidRDefault="6516BD3A" w:rsidP="42EA40D1">
      <w:pPr>
        <w:pStyle w:val="ManualHeading1"/>
        <w:autoSpaceDE w:val="0"/>
        <w:autoSpaceDN w:val="0"/>
        <w:adjustRightInd w:val="0"/>
        <w:spacing w:before="240" w:line="259" w:lineRule="auto"/>
        <w:ind w:left="0" w:firstLine="0"/>
        <w:rPr>
          <w:noProof/>
        </w:rPr>
      </w:pPr>
      <w:bookmarkStart w:id="98" w:name="_Toc145922830"/>
      <w:r>
        <w:rPr>
          <w:noProof/>
        </w:rPr>
        <w:t>7.1 Aanpassingen van de uitgaven van de Europese Dienst voor extern optreden (EDEO) voor de verhoging van het aantal militaire GND’s</w:t>
      </w:r>
      <w:bookmarkEnd w:id="98"/>
    </w:p>
    <w:p w14:paraId="088D303C" w14:textId="454CFC5E" w:rsidR="0077646D" w:rsidRDefault="0077646D" w:rsidP="0077646D">
      <w:pPr>
        <w:autoSpaceDE w:val="0"/>
        <w:autoSpaceDN w:val="0"/>
        <w:adjustRightInd w:val="0"/>
        <w:spacing w:before="120" w:after="120" w:line="259" w:lineRule="auto"/>
        <w:jc w:val="both"/>
        <w:rPr>
          <w:noProof/>
        </w:rPr>
      </w:pPr>
      <w:r>
        <w:rPr>
          <w:noProof/>
        </w:rPr>
        <w:t>In zijn raming van ontvangsten en uitgaven voor 2024 wees de EDEO erop dat een aantal lopende besprekingen nog onvoldoende gevorderd waren om de opneming van de overeenkomstige middelen in de ontwerpbegroting 2024 te rechtvaardigen, maar dat zij in een later stadium deel zouden kunnen uitmaken van een nota van wijzigingen.</w:t>
      </w:r>
    </w:p>
    <w:p w14:paraId="2B801237" w14:textId="6AC877B5" w:rsidR="0077646D" w:rsidRDefault="0077646D" w:rsidP="0077646D">
      <w:pPr>
        <w:autoSpaceDE w:val="0"/>
        <w:autoSpaceDN w:val="0"/>
        <w:adjustRightInd w:val="0"/>
        <w:spacing w:before="120" w:after="120" w:line="259" w:lineRule="auto"/>
        <w:jc w:val="both"/>
        <w:rPr>
          <w:noProof/>
        </w:rPr>
      </w:pPr>
      <w:r>
        <w:rPr>
          <w:noProof/>
        </w:rPr>
        <w:t>Van deze acties is de routekaart voor het militair plannings- en uitvoeringsvermogen (MPCC) voldoende gevorderd om in de nota van wijzigingen te worden opgenomen. De lidstaten verklaarden in het strategisch kompas dat zij ervoor zouden zorgen dat het militair plannings- en uitvoeringsvermogen volledig in staat zou zijn tot planning van en commando en controle over niet-uitvoerende en uitvoerende taken en operaties, alsmede levensechte oefeningen. In dit verband zullen de personele bijdragen worden opgevoerd en zal ervoor worden gezorgd dat de EDEO over de vereiste communicatie- en informatiesystemen, alsook de benodigde faciliteiten beschikt.</w:t>
      </w:r>
    </w:p>
    <w:p w14:paraId="67739936" w14:textId="4CA92022" w:rsidR="0077646D" w:rsidRDefault="0077646D" w:rsidP="0077646D">
      <w:pPr>
        <w:autoSpaceDE w:val="0"/>
        <w:autoSpaceDN w:val="0"/>
        <w:adjustRightInd w:val="0"/>
        <w:spacing w:before="120" w:after="120" w:line="259" w:lineRule="auto"/>
        <w:jc w:val="both"/>
        <w:rPr>
          <w:noProof/>
        </w:rPr>
      </w:pPr>
      <w:r>
        <w:rPr>
          <w:noProof/>
        </w:rPr>
        <w:t xml:space="preserve">In het licht van de ambitie die in het strategisch kompas is vastgesteld voor de toekomstige ontwikkeling van het MPCC als de commando- en controlestructuur die de voorkeur heeft, zou de vereiste versterking van de middelen plaatsvinden door: </w:t>
      </w:r>
    </w:p>
    <w:p w14:paraId="58C989AD" w14:textId="1028E0FE" w:rsidR="0077646D" w:rsidRPr="00BC6233" w:rsidRDefault="0077646D" w:rsidP="00BC6233">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 xml:space="preserve">de financiering van 55 militaire GND’s met kostendeling, waarvan er 20 de in OGB nr. 4/2023 opgenomen kosteloze GND’s zullen vervangen, waardoor het MPCC-personeel wordt uitgebreid tot in totaal 115. Dit vereist een verhoging van de kredieten met 3 394 400 EUR. </w:t>
      </w:r>
    </w:p>
    <w:p w14:paraId="74724908" w14:textId="6D74E9F8" w:rsidR="0077646D" w:rsidRPr="00C6472F" w:rsidRDefault="0077646D" w:rsidP="000703D6">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de gedeeltelijke financiering van de noodzakelijke acties ter dekking van de kosten voor de EDEO als enige dienstverlener van het communicatie- en informatiesysteem (CIS) voor het MPCC (de rest wordt gedragen door de Europese Vredesfaciliteit). In de context van de militaire steun van de EU aan Oekraïne is het veiligheidsklimaat drastisch veranderd, waardoor het noodzakelijk is geworden de bestaande lacunes in het CIS op te vullen. Dit vereist een verhoging van de kredieten met 4 126 000 EUR, met name voor de financiering van de CIS-dienstverlening en van vier deskundigen op dit gebied.</w:t>
      </w:r>
    </w:p>
    <w:p w14:paraId="50185429" w14:textId="5A323776" w:rsidR="0077646D" w:rsidRPr="00C6472F" w:rsidRDefault="0077646D" w:rsidP="00BD3288">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de financiering van vier arbeidscontractanten voor de CIS-ondersteuningsdiensten. Daarom wordt voorgesteld de kredieten met 414 700 EUR te verhogen.</w:t>
      </w:r>
    </w:p>
    <w:p w14:paraId="7757472C" w14:textId="06D622EE" w:rsidR="002446ED" w:rsidRDefault="0077646D" w:rsidP="0077646D">
      <w:pPr>
        <w:autoSpaceDE w:val="0"/>
        <w:autoSpaceDN w:val="0"/>
        <w:adjustRightInd w:val="0"/>
        <w:spacing w:before="120" w:after="120" w:line="259" w:lineRule="auto"/>
        <w:jc w:val="both"/>
        <w:rPr>
          <w:noProof/>
        </w:rPr>
      </w:pPr>
      <w:r>
        <w:rPr>
          <w:noProof/>
        </w:rPr>
        <w:t xml:space="preserve">Alle bovenstaande punten resulteren in een verhoging voor afdeling X EDEO met in totaal  </w:t>
      </w:r>
      <w:r>
        <w:rPr>
          <w:noProof/>
        </w:rPr>
        <w:br/>
        <w:t>7 935 100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168"/>
        <w:gridCol w:w="108"/>
        <w:gridCol w:w="5007"/>
        <w:gridCol w:w="96"/>
        <w:gridCol w:w="1605"/>
        <w:gridCol w:w="96"/>
        <w:gridCol w:w="1605"/>
        <w:gridCol w:w="96"/>
      </w:tblGrid>
      <w:tr w:rsidR="42EA40D1" w14:paraId="5F411957" w14:textId="77777777" w:rsidTr="0074715E">
        <w:trPr>
          <w:gridAfter w:val="1"/>
          <w:wAfter w:w="96" w:type="dxa"/>
          <w:trHeight w:val="300"/>
          <w:jc w:val="center"/>
        </w:trPr>
        <w:tc>
          <w:tcPr>
            <w:tcW w:w="9793" w:type="dxa"/>
            <w:gridSpan w:val="8"/>
            <w:tcBorders>
              <w:top w:val="nil"/>
              <w:left w:val="nil"/>
              <w:bottom w:val="single" w:sz="4" w:space="0" w:color="auto"/>
              <w:right w:val="nil"/>
            </w:tcBorders>
            <w:shd w:val="clear" w:color="auto" w:fill="auto"/>
            <w:vAlign w:val="center"/>
          </w:tcPr>
          <w:p w14:paraId="762B538A" w14:textId="77777777" w:rsidR="42EA40D1" w:rsidRDefault="42EA40D1" w:rsidP="42EA40D1">
            <w:pPr>
              <w:widowControl w:val="0"/>
              <w:spacing w:before="15" w:after="15"/>
              <w:jc w:val="right"/>
              <w:rPr>
                <w:rFonts w:eastAsia="Calibri"/>
                <w:i/>
                <w:iCs/>
                <w:noProof/>
                <w:sz w:val="20"/>
                <w:szCs w:val="20"/>
              </w:rPr>
            </w:pPr>
            <w:r>
              <w:rPr>
                <w:i/>
                <w:noProof/>
                <w:sz w:val="20"/>
              </w:rPr>
              <w:t>EUR</w:t>
            </w:r>
          </w:p>
        </w:tc>
      </w:tr>
      <w:tr w:rsidR="42EA40D1" w14:paraId="1AD08D4E" w14:textId="77777777" w:rsidTr="005E3317">
        <w:trPr>
          <w:gridAfter w:val="1"/>
          <w:wAfter w:w="96" w:type="dxa"/>
          <w:trHeight w:val="300"/>
          <w:jc w:val="center"/>
        </w:trPr>
        <w:tc>
          <w:tcPr>
            <w:tcW w:w="1276" w:type="dxa"/>
            <w:gridSpan w:val="2"/>
            <w:tcBorders>
              <w:top w:val="single" w:sz="4" w:space="0" w:color="auto"/>
            </w:tcBorders>
            <w:shd w:val="clear" w:color="auto" w:fill="D9D9D9" w:themeFill="background1" w:themeFillShade="D9"/>
            <w:vAlign w:val="center"/>
          </w:tcPr>
          <w:p w14:paraId="41A43EBD" w14:textId="3A46CF4A" w:rsidR="42EA40D1" w:rsidRDefault="42EA40D1" w:rsidP="42EA40D1">
            <w:pPr>
              <w:keepNext/>
              <w:spacing w:before="15" w:after="15"/>
              <w:jc w:val="center"/>
              <w:rPr>
                <w:rFonts w:eastAsia="Calibri"/>
                <w:b/>
                <w:bCs/>
                <w:noProof/>
                <w:sz w:val="20"/>
                <w:szCs w:val="20"/>
              </w:rPr>
            </w:pPr>
            <w:r>
              <w:rPr>
                <w:b/>
                <w:noProof/>
                <w:sz w:val="20"/>
              </w:rPr>
              <w:t>Begrotings</w:t>
            </w:r>
            <w:r w:rsidR="003C5A89">
              <w:rPr>
                <w:b/>
                <w:noProof/>
                <w:sz w:val="20"/>
              </w:rPr>
              <w:t>-</w:t>
            </w:r>
            <w:r>
              <w:rPr>
                <w:b/>
                <w:noProof/>
                <w:sz w:val="20"/>
              </w:rPr>
              <w:t>onderdeel</w:t>
            </w:r>
          </w:p>
        </w:tc>
        <w:tc>
          <w:tcPr>
            <w:tcW w:w="5115" w:type="dxa"/>
            <w:gridSpan w:val="2"/>
            <w:tcBorders>
              <w:top w:val="single" w:sz="4" w:space="0" w:color="auto"/>
            </w:tcBorders>
            <w:shd w:val="clear" w:color="auto" w:fill="D9D9D9" w:themeFill="background1" w:themeFillShade="D9"/>
            <w:vAlign w:val="center"/>
          </w:tcPr>
          <w:p w14:paraId="142C370F" w14:textId="77777777" w:rsidR="42EA40D1" w:rsidRDefault="42EA40D1" w:rsidP="42EA40D1">
            <w:pPr>
              <w:widowControl w:val="0"/>
              <w:spacing w:before="15" w:after="15"/>
              <w:jc w:val="center"/>
              <w:rPr>
                <w:rFonts w:eastAsia="Calibri"/>
                <w:b/>
                <w:bCs/>
                <w:noProof/>
                <w:sz w:val="20"/>
                <w:szCs w:val="20"/>
              </w:rPr>
            </w:pPr>
            <w:r>
              <w:rPr>
                <w:b/>
                <w:noProof/>
                <w:sz w:val="20"/>
              </w:rPr>
              <w:t>Naam</w:t>
            </w:r>
          </w:p>
        </w:tc>
        <w:tc>
          <w:tcPr>
            <w:tcW w:w="1701" w:type="dxa"/>
            <w:gridSpan w:val="2"/>
            <w:tcBorders>
              <w:top w:val="single" w:sz="4" w:space="0" w:color="auto"/>
            </w:tcBorders>
            <w:shd w:val="clear" w:color="auto" w:fill="D9D9D9" w:themeFill="background1" w:themeFillShade="D9"/>
            <w:vAlign w:val="center"/>
          </w:tcPr>
          <w:p w14:paraId="66E7760F" w14:textId="498B1C87" w:rsidR="42EA40D1" w:rsidRDefault="42EA40D1" w:rsidP="42EA40D1">
            <w:pPr>
              <w:widowControl w:val="0"/>
              <w:spacing w:before="15" w:after="15"/>
              <w:jc w:val="center"/>
              <w:rPr>
                <w:rFonts w:eastAsia="Calibri"/>
                <w:b/>
                <w:bCs/>
                <w:noProof/>
                <w:sz w:val="20"/>
                <w:szCs w:val="20"/>
              </w:rPr>
            </w:pPr>
            <w:r>
              <w:rPr>
                <w:b/>
                <w:noProof/>
                <w:sz w:val="20"/>
              </w:rPr>
              <w:t>Vastleggings</w:t>
            </w:r>
            <w:r w:rsidR="003C5A89">
              <w:rPr>
                <w:b/>
                <w:noProof/>
                <w:sz w:val="20"/>
              </w:rPr>
              <w:t>-</w:t>
            </w:r>
            <w:r>
              <w:rPr>
                <w:b/>
                <w:noProof/>
                <w:sz w:val="20"/>
              </w:rPr>
              <w:t>kredieten</w:t>
            </w:r>
          </w:p>
        </w:tc>
        <w:tc>
          <w:tcPr>
            <w:tcW w:w="1701" w:type="dxa"/>
            <w:gridSpan w:val="2"/>
            <w:tcBorders>
              <w:top w:val="single" w:sz="4" w:space="0" w:color="auto"/>
            </w:tcBorders>
            <w:shd w:val="clear" w:color="auto" w:fill="D9D9D9" w:themeFill="background1" w:themeFillShade="D9"/>
            <w:vAlign w:val="center"/>
          </w:tcPr>
          <w:p w14:paraId="22A6E656" w14:textId="78D24E4A" w:rsidR="42EA40D1" w:rsidRDefault="42EA40D1" w:rsidP="42EA40D1">
            <w:pPr>
              <w:widowControl w:val="0"/>
              <w:spacing w:before="15" w:after="15"/>
              <w:jc w:val="center"/>
              <w:rPr>
                <w:rFonts w:eastAsia="Calibri"/>
                <w:b/>
                <w:bCs/>
                <w:noProof/>
                <w:sz w:val="20"/>
                <w:szCs w:val="20"/>
              </w:rPr>
            </w:pPr>
            <w:r>
              <w:rPr>
                <w:b/>
                <w:noProof/>
                <w:sz w:val="20"/>
              </w:rPr>
              <w:t>Betalings</w:t>
            </w:r>
            <w:r w:rsidR="003C5A89">
              <w:rPr>
                <w:b/>
                <w:noProof/>
                <w:sz w:val="20"/>
              </w:rPr>
              <w:t>-</w:t>
            </w:r>
            <w:r>
              <w:rPr>
                <w:b/>
                <w:noProof/>
                <w:sz w:val="20"/>
              </w:rPr>
              <w:t>kredieten</w:t>
            </w:r>
          </w:p>
        </w:tc>
      </w:tr>
      <w:tr w:rsidR="42EA40D1" w14:paraId="35FB47E6" w14:textId="77777777" w:rsidTr="0074715E">
        <w:trPr>
          <w:gridAfter w:val="1"/>
          <w:wAfter w:w="96" w:type="dxa"/>
          <w:trHeight w:val="300"/>
          <w:jc w:val="center"/>
        </w:trPr>
        <w:tc>
          <w:tcPr>
            <w:tcW w:w="9793" w:type="dxa"/>
            <w:gridSpan w:val="8"/>
            <w:tcBorders>
              <w:bottom w:val="single" w:sz="4" w:space="0" w:color="auto"/>
            </w:tcBorders>
            <w:shd w:val="clear" w:color="auto" w:fill="F2F2F2" w:themeFill="background1" w:themeFillShade="F2"/>
            <w:vAlign w:val="center"/>
          </w:tcPr>
          <w:p w14:paraId="4E1DCF8E" w14:textId="035D5A2A" w:rsidR="42EA40D1" w:rsidRDefault="42EA40D1" w:rsidP="42EA40D1">
            <w:pPr>
              <w:widowControl w:val="0"/>
              <w:spacing w:before="15" w:after="15"/>
              <w:rPr>
                <w:rFonts w:eastAsia="Calibri"/>
                <w:i/>
                <w:iCs/>
                <w:noProof/>
                <w:sz w:val="20"/>
                <w:szCs w:val="20"/>
              </w:rPr>
            </w:pPr>
            <w:r>
              <w:rPr>
                <w:i/>
                <w:noProof/>
                <w:sz w:val="20"/>
              </w:rPr>
              <w:t xml:space="preserve">Afdeling X – </w:t>
            </w:r>
            <w:bookmarkStart w:id="99" w:name="_Hlk145947102"/>
            <w:r>
              <w:rPr>
                <w:i/>
                <w:noProof/>
                <w:sz w:val="20"/>
              </w:rPr>
              <w:t>Europese Dienst voor extern optreden</w:t>
            </w:r>
            <w:bookmarkEnd w:id="99"/>
            <w:r>
              <w:rPr>
                <w:i/>
                <w:noProof/>
                <w:sz w:val="20"/>
              </w:rPr>
              <w:t xml:space="preserve"> (EDEO)</w:t>
            </w:r>
          </w:p>
        </w:tc>
      </w:tr>
      <w:tr w:rsidR="42EA40D1" w14:paraId="6B02142C" w14:textId="77777777" w:rsidTr="005E3317">
        <w:trPr>
          <w:gridAfter w:val="1"/>
          <w:wAfter w:w="96" w:type="dxa"/>
          <w:trHeight w:val="300"/>
          <w:jc w:val="center"/>
        </w:trPr>
        <w:tc>
          <w:tcPr>
            <w:tcW w:w="1276" w:type="dxa"/>
            <w:gridSpan w:val="2"/>
            <w:vAlign w:val="center"/>
          </w:tcPr>
          <w:p w14:paraId="19015DA2" w14:textId="44321270" w:rsidR="6E246B29" w:rsidRDefault="00745F60" w:rsidP="42EA40D1">
            <w:pPr>
              <w:widowControl w:val="0"/>
              <w:tabs>
                <w:tab w:val="left" w:pos="1350"/>
              </w:tabs>
              <w:spacing w:before="15" w:after="15"/>
              <w:jc w:val="both"/>
              <w:rPr>
                <w:noProof/>
                <w:sz w:val="16"/>
                <w:szCs w:val="16"/>
              </w:rPr>
            </w:pPr>
            <w:r>
              <w:rPr>
                <w:noProof/>
                <w:sz w:val="16"/>
              </w:rPr>
              <w:t>1 2 0 0</w:t>
            </w:r>
          </w:p>
        </w:tc>
        <w:tc>
          <w:tcPr>
            <w:tcW w:w="5115" w:type="dxa"/>
            <w:gridSpan w:val="2"/>
            <w:vAlign w:val="center"/>
          </w:tcPr>
          <w:p w14:paraId="03C638A7" w14:textId="29066A67" w:rsidR="42EA40D1" w:rsidRDefault="00E26325" w:rsidP="42EA40D1">
            <w:pPr>
              <w:widowControl w:val="0"/>
              <w:tabs>
                <w:tab w:val="left" w:pos="1350"/>
              </w:tabs>
              <w:spacing w:before="15" w:after="15"/>
              <w:jc w:val="both"/>
              <w:rPr>
                <w:noProof/>
                <w:sz w:val="16"/>
                <w:szCs w:val="16"/>
              </w:rPr>
            </w:pPr>
            <w:r>
              <w:rPr>
                <w:noProof/>
                <w:sz w:val="16"/>
              </w:rPr>
              <w:t>Arbeidscontractanten</w:t>
            </w:r>
          </w:p>
        </w:tc>
        <w:tc>
          <w:tcPr>
            <w:tcW w:w="1701" w:type="dxa"/>
            <w:gridSpan w:val="2"/>
            <w:vAlign w:val="center"/>
          </w:tcPr>
          <w:p w14:paraId="2E15A7A1" w14:textId="4FFA1BD1" w:rsidR="0823AC78" w:rsidRDefault="00E26325" w:rsidP="00EC7DDD">
            <w:pPr>
              <w:widowControl w:val="0"/>
              <w:spacing w:before="15" w:after="15"/>
              <w:jc w:val="right"/>
              <w:rPr>
                <w:noProof/>
                <w:sz w:val="16"/>
                <w:szCs w:val="16"/>
              </w:rPr>
            </w:pPr>
            <w:r>
              <w:rPr>
                <w:noProof/>
                <w:sz w:val="16"/>
              </w:rPr>
              <w:t>414 700</w:t>
            </w:r>
          </w:p>
        </w:tc>
        <w:tc>
          <w:tcPr>
            <w:tcW w:w="1701" w:type="dxa"/>
            <w:gridSpan w:val="2"/>
            <w:vAlign w:val="center"/>
          </w:tcPr>
          <w:p w14:paraId="0CEF8229" w14:textId="490A058E" w:rsidR="0823AC78" w:rsidRDefault="00E26325" w:rsidP="42EA40D1">
            <w:pPr>
              <w:widowControl w:val="0"/>
              <w:spacing w:before="15" w:after="15"/>
              <w:jc w:val="right"/>
              <w:rPr>
                <w:rFonts w:eastAsia="Calibri"/>
                <w:noProof/>
                <w:sz w:val="16"/>
                <w:szCs w:val="16"/>
              </w:rPr>
            </w:pPr>
            <w:r>
              <w:rPr>
                <w:noProof/>
                <w:sz w:val="16"/>
              </w:rPr>
              <w:t>414 700</w:t>
            </w:r>
          </w:p>
        </w:tc>
      </w:tr>
      <w:tr w:rsidR="00E26325" w:rsidRPr="003C6FAD" w14:paraId="608FD4CF" w14:textId="77777777" w:rsidTr="005E3317">
        <w:tblPrEx>
          <w:jc w:val="left"/>
        </w:tblPrEx>
        <w:trPr>
          <w:gridBefore w:val="1"/>
          <w:wBefore w:w="108" w:type="dxa"/>
          <w:trHeight w:hRule="exact" w:val="284"/>
        </w:trPr>
        <w:tc>
          <w:tcPr>
            <w:tcW w:w="1276" w:type="dxa"/>
            <w:gridSpan w:val="2"/>
            <w:vAlign w:val="center"/>
          </w:tcPr>
          <w:p w14:paraId="17449A79" w14:textId="77777777" w:rsidR="00E26325" w:rsidRPr="00B37189" w:rsidRDefault="00E26325">
            <w:pPr>
              <w:widowControl w:val="0"/>
              <w:spacing w:after="15"/>
              <w:ind w:right="-113"/>
              <w:rPr>
                <w:noProof/>
                <w:color w:val="000000"/>
                <w:sz w:val="16"/>
                <w:szCs w:val="16"/>
              </w:rPr>
            </w:pPr>
            <w:r>
              <w:rPr>
                <w:noProof/>
                <w:color w:val="000000"/>
                <w:sz w:val="16"/>
              </w:rPr>
              <w:t>1 2 0 5</w:t>
            </w:r>
          </w:p>
        </w:tc>
        <w:tc>
          <w:tcPr>
            <w:tcW w:w="5103" w:type="dxa"/>
            <w:gridSpan w:val="2"/>
            <w:vAlign w:val="center"/>
          </w:tcPr>
          <w:p w14:paraId="3DE6C3FD" w14:textId="77777777" w:rsidR="00E26325" w:rsidRPr="00B37189" w:rsidRDefault="00E26325">
            <w:pPr>
              <w:widowControl w:val="0"/>
              <w:spacing w:after="15"/>
              <w:ind w:right="-113"/>
              <w:rPr>
                <w:noProof/>
                <w:color w:val="000000"/>
                <w:sz w:val="16"/>
                <w:szCs w:val="16"/>
              </w:rPr>
            </w:pPr>
            <w:r>
              <w:rPr>
                <w:noProof/>
                <w:color w:val="000000"/>
                <w:sz w:val="16"/>
              </w:rPr>
              <w:t>Gedetacheerde nationale militaire deskundigen</w:t>
            </w:r>
          </w:p>
        </w:tc>
        <w:tc>
          <w:tcPr>
            <w:tcW w:w="1701" w:type="dxa"/>
            <w:gridSpan w:val="2"/>
            <w:vAlign w:val="center"/>
          </w:tcPr>
          <w:p w14:paraId="776E0F0D" w14:textId="70C64671" w:rsidR="00E26325" w:rsidRPr="0074715E" w:rsidRDefault="00E26325" w:rsidP="0074715E">
            <w:pPr>
              <w:widowControl w:val="0"/>
              <w:spacing w:before="15" w:after="15"/>
              <w:jc w:val="right"/>
              <w:rPr>
                <w:rFonts w:eastAsia="Calibri"/>
                <w:noProof/>
                <w:sz w:val="16"/>
                <w:szCs w:val="16"/>
              </w:rPr>
            </w:pPr>
            <w:r>
              <w:rPr>
                <w:noProof/>
                <w:sz w:val="16"/>
              </w:rPr>
              <w:t>3 394 400</w:t>
            </w:r>
          </w:p>
        </w:tc>
        <w:tc>
          <w:tcPr>
            <w:tcW w:w="1701" w:type="dxa"/>
            <w:gridSpan w:val="2"/>
            <w:vAlign w:val="center"/>
          </w:tcPr>
          <w:p w14:paraId="6074167E" w14:textId="01896008" w:rsidR="00E26325" w:rsidRPr="0074715E" w:rsidRDefault="00E26325" w:rsidP="0074715E">
            <w:pPr>
              <w:widowControl w:val="0"/>
              <w:spacing w:before="15" w:after="15"/>
              <w:jc w:val="right"/>
              <w:rPr>
                <w:rFonts w:eastAsia="Calibri"/>
                <w:noProof/>
                <w:sz w:val="16"/>
                <w:szCs w:val="16"/>
              </w:rPr>
            </w:pPr>
            <w:r>
              <w:rPr>
                <w:noProof/>
                <w:sz w:val="16"/>
              </w:rPr>
              <w:t>3 394 400</w:t>
            </w:r>
          </w:p>
        </w:tc>
      </w:tr>
      <w:tr w:rsidR="00E26325" w:rsidRPr="003C6FAD" w14:paraId="7D70F663" w14:textId="77777777" w:rsidTr="005E3317">
        <w:tblPrEx>
          <w:jc w:val="left"/>
        </w:tblPrEx>
        <w:trPr>
          <w:gridBefore w:val="1"/>
          <w:wBefore w:w="108" w:type="dxa"/>
          <w:trHeight w:hRule="exact" w:val="284"/>
        </w:trPr>
        <w:tc>
          <w:tcPr>
            <w:tcW w:w="1276" w:type="dxa"/>
            <w:gridSpan w:val="2"/>
            <w:vAlign w:val="center"/>
          </w:tcPr>
          <w:p w14:paraId="08E3FEC4" w14:textId="77777777" w:rsidR="00E26325" w:rsidRPr="00B37189" w:rsidRDefault="00E26325">
            <w:pPr>
              <w:widowControl w:val="0"/>
              <w:spacing w:after="15"/>
              <w:ind w:right="-113"/>
              <w:rPr>
                <w:noProof/>
                <w:color w:val="000000"/>
                <w:sz w:val="16"/>
                <w:szCs w:val="16"/>
              </w:rPr>
            </w:pPr>
            <w:r>
              <w:rPr>
                <w:noProof/>
                <w:color w:val="000000"/>
                <w:sz w:val="16"/>
              </w:rPr>
              <w:t>2 1 0 0</w:t>
            </w:r>
          </w:p>
        </w:tc>
        <w:tc>
          <w:tcPr>
            <w:tcW w:w="5103" w:type="dxa"/>
            <w:gridSpan w:val="2"/>
            <w:vAlign w:val="center"/>
          </w:tcPr>
          <w:p w14:paraId="2DB15875" w14:textId="77777777" w:rsidR="00E26325" w:rsidRPr="00B37189" w:rsidRDefault="00E26325">
            <w:pPr>
              <w:widowControl w:val="0"/>
              <w:spacing w:after="15"/>
              <w:ind w:right="-113"/>
              <w:rPr>
                <w:noProof/>
                <w:color w:val="000000"/>
                <w:sz w:val="16"/>
                <w:szCs w:val="16"/>
              </w:rPr>
            </w:pPr>
            <w:r>
              <w:rPr>
                <w:noProof/>
                <w:color w:val="000000"/>
                <w:sz w:val="16"/>
              </w:rPr>
              <w:t>Informatie- en communicatietechnologie</w:t>
            </w:r>
          </w:p>
        </w:tc>
        <w:tc>
          <w:tcPr>
            <w:tcW w:w="1701" w:type="dxa"/>
            <w:gridSpan w:val="2"/>
            <w:vAlign w:val="center"/>
          </w:tcPr>
          <w:p w14:paraId="079B3D46" w14:textId="6006AAD3" w:rsidR="00E26325" w:rsidRPr="0074715E" w:rsidRDefault="00BA4BE0" w:rsidP="0074715E">
            <w:pPr>
              <w:widowControl w:val="0"/>
              <w:spacing w:before="15" w:after="15"/>
              <w:jc w:val="right"/>
              <w:rPr>
                <w:rFonts w:eastAsia="Calibri"/>
                <w:noProof/>
                <w:sz w:val="16"/>
                <w:szCs w:val="16"/>
              </w:rPr>
            </w:pPr>
            <w:r>
              <w:rPr>
                <w:noProof/>
                <w:sz w:val="16"/>
              </w:rPr>
              <w:t>2 271 000</w:t>
            </w:r>
          </w:p>
        </w:tc>
        <w:tc>
          <w:tcPr>
            <w:tcW w:w="1701" w:type="dxa"/>
            <w:gridSpan w:val="2"/>
            <w:vAlign w:val="center"/>
          </w:tcPr>
          <w:p w14:paraId="698A65D1" w14:textId="7AD43A7D" w:rsidR="00E26325" w:rsidRPr="0074715E" w:rsidRDefault="00BA4BE0" w:rsidP="0074715E">
            <w:pPr>
              <w:widowControl w:val="0"/>
              <w:spacing w:before="15" w:after="15"/>
              <w:jc w:val="right"/>
              <w:rPr>
                <w:rFonts w:eastAsia="Calibri"/>
                <w:noProof/>
                <w:sz w:val="16"/>
                <w:szCs w:val="16"/>
              </w:rPr>
            </w:pPr>
            <w:r>
              <w:rPr>
                <w:noProof/>
                <w:sz w:val="16"/>
              </w:rPr>
              <w:t>2 271 000</w:t>
            </w:r>
          </w:p>
        </w:tc>
      </w:tr>
      <w:tr w:rsidR="00E26325" w:rsidRPr="003C6FAD" w14:paraId="59142958" w14:textId="77777777" w:rsidTr="005E3317">
        <w:tblPrEx>
          <w:jc w:val="left"/>
        </w:tblPrEx>
        <w:trPr>
          <w:gridBefore w:val="1"/>
          <w:wBefore w:w="108" w:type="dxa"/>
          <w:trHeight w:hRule="exact" w:val="472"/>
        </w:trPr>
        <w:tc>
          <w:tcPr>
            <w:tcW w:w="1276" w:type="dxa"/>
            <w:gridSpan w:val="2"/>
            <w:vAlign w:val="center"/>
          </w:tcPr>
          <w:p w14:paraId="71A930A5" w14:textId="77777777" w:rsidR="00E26325" w:rsidRPr="00B37189" w:rsidRDefault="00E26325">
            <w:pPr>
              <w:widowControl w:val="0"/>
              <w:spacing w:after="15"/>
              <w:ind w:right="-113"/>
              <w:rPr>
                <w:noProof/>
                <w:color w:val="000000"/>
                <w:sz w:val="16"/>
                <w:szCs w:val="16"/>
              </w:rPr>
            </w:pPr>
            <w:r>
              <w:rPr>
                <w:noProof/>
                <w:color w:val="000000"/>
                <w:sz w:val="16"/>
              </w:rPr>
              <w:t>2 1 0 1</w:t>
            </w:r>
          </w:p>
        </w:tc>
        <w:tc>
          <w:tcPr>
            <w:tcW w:w="5103" w:type="dxa"/>
            <w:gridSpan w:val="2"/>
            <w:vAlign w:val="center"/>
          </w:tcPr>
          <w:p w14:paraId="02BC0D60" w14:textId="77777777" w:rsidR="00E26325" w:rsidRPr="00B37189" w:rsidRDefault="00E26325">
            <w:pPr>
              <w:widowControl w:val="0"/>
              <w:spacing w:after="15"/>
              <w:ind w:right="-113"/>
              <w:rPr>
                <w:noProof/>
                <w:color w:val="000000"/>
                <w:sz w:val="16"/>
                <w:szCs w:val="16"/>
              </w:rPr>
            </w:pPr>
            <w:r>
              <w:rPr>
                <w:noProof/>
                <w:color w:val="000000"/>
                <w:sz w:val="16"/>
              </w:rPr>
              <w:t>Cryptografie en streng beveiligde informatie- en communicatietechnologie</w:t>
            </w:r>
          </w:p>
        </w:tc>
        <w:tc>
          <w:tcPr>
            <w:tcW w:w="1701" w:type="dxa"/>
            <w:gridSpan w:val="2"/>
            <w:vAlign w:val="center"/>
          </w:tcPr>
          <w:p w14:paraId="0359D0DA" w14:textId="3AD4C572" w:rsidR="00E26325" w:rsidRPr="0074715E" w:rsidRDefault="00BA4BE0" w:rsidP="0074715E">
            <w:pPr>
              <w:widowControl w:val="0"/>
              <w:spacing w:before="15" w:after="15"/>
              <w:jc w:val="right"/>
              <w:rPr>
                <w:rFonts w:eastAsia="Calibri"/>
                <w:noProof/>
                <w:sz w:val="16"/>
                <w:szCs w:val="16"/>
              </w:rPr>
            </w:pPr>
            <w:r>
              <w:rPr>
                <w:noProof/>
                <w:sz w:val="16"/>
              </w:rPr>
              <w:t>1 855 000</w:t>
            </w:r>
          </w:p>
        </w:tc>
        <w:tc>
          <w:tcPr>
            <w:tcW w:w="1701" w:type="dxa"/>
            <w:gridSpan w:val="2"/>
            <w:vAlign w:val="center"/>
          </w:tcPr>
          <w:p w14:paraId="27ADFEC9" w14:textId="0FA77FF5" w:rsidR="00E26325" w:rsidRPr="0074715E" w:rsidRDefault="00BA4BE0" w:rsidP="0074715E">
            <w:pPr>
              <w:widowControl w:val="0"/>
              <w:spacing w:before="15" w:after="15"/>
              <w:jc w:val="right"/>
              <w:rPr>
                <w:rFonts w:eastAsia="Calibri"/>
                <w:noProof/>
                <w:sz w:val="16"/>
                <w:szCs w:val="16"/>
              </w:rPr>
            </w:pPr>
            <w:r>
              <w:rPr>
                <w:noProof/>
                <w:sz w:val="16"/>
              </w:rPr>
              <w:t>1 855 000</w:t>
            </w:r>
          </w:p>
        </w:tc>
      </w:tr>
      <w:tr w:rsidR="42EA40D1" w14:paraId="793C19A7" w14:textId="77777777" w:rsidTr="005E3317">
        <w:trPr>
          <w:gridAfter w:val="1"/>
          <w:wAfter w:w="96" w:type="dxa"/>
          <w:trHeight w:val="300"/>
          <w:jc w:val="center"/>
        </w:trPr>
        <w:tc>
          <w:tcPr>
            <w:tcW w:w="6391" w:type="dxa"/>
            <w:gridSpan w:val="4"/>
            <w:shd w:val="clear" w:color="auto" w:fill="D9D9D9" w:themeFill="background1" w:themeFillShade="D9"/>
          </w:tcPr>
          <w:p w14:paraId="44836FCE" w14:textId="77777777" w:rsidR="42EA40D1" w:rsidRDefault="42EA40D1" w:rsidP="42EA40D1">
            <w:pPr>
              <w:widowControl w:val="0"/>
              <w:spacing w:before="15" w:after="15"/>
              <w:ind w:right="-113"/>
              <w:jc w:val="both"/>
              <w:rPr>
                <w:rFonts w:eastAsia="Calibri"/>
                <w:noProof/>
                <w:sz w:val="20"/>
                <w:szCs w:val="20"/>
              </w:rPr>
            </w:pPr>
            <w:r>
              <w:rPr>
                <w:b/>
                <w:noProof/>
                <w:sz w:val="20"/>
              </w:rPr>
              <w:t>Totaal</w:t>
            </w:r>
            <w:r>
              <w:rPr>
                <w:noProof/>
              </w:rPr>
              <w:tab/>
            </w:r>
          </w:p>
        </w:tc>
        <w:tc>
          <w:tcPr>
            <w:tcW w:w="1701" w:type="dxa"/>
            <w:gridSpan w:val="2"/>
            <w:shd w:val="clear" w:color="auto" w:fill="D9D9D9" w:themeFill="background1" w:themeFillShade="D9"/>
          </w:tcPr>
          <w:p w14:paraId="5816706B" w14:textId="27E48FCE" w:rsidR="5BAE9245" w:rsidRDefault="00BA4BE0" w:rsidP="42EA40D1">
            <w:pPr>
              <w:widowControl w:val="0"/>
              <w:spacing w:before="15" w:after="15"/>
              <w:jc w:val="right"/>
              <w:rPr>
                <w:noProof/>
                <w:sz w:val="20"/>
                <w:szCs w:val="20"/>
              </w:rPr>
            </w:pPr>
            <w:r>
              <w:rPr>
                <w:b/>
                <w:noProof/>
                <w:sz w:val="20"/>
              </w:rPr>
              <w:t>7 935 100</w:t>
            </w:r>
          </w:p>
        </w:tc>
        <w:tc>
          <w:tcPr>
            <w:tcW w:w="1701" w:type="dxa"/>
            <w:gridSpan w:val="2"/>
            <w:shd w:val="clear" w:color="auto" w:fill="D9D9D9" w:themeFill="background1" w:themeFillShade="D9"/>
          </w:tcPr>
          <w:p w14:paraId="1FECF46E" w14:textId="066D955A" w:rsidR="5BAE9245" w:rsidRDefault="00BA4BE0" w:rsidP="00EC7DDD">
            <w:pPr>
              <w:widowControl w:val="0"/>
              <w:spacing w:before="15" w:after="15"/>
              <w:jc w:val="right"/>
              <w:rPr>
                <w:noProof/>
                <w:sz w:val="20"/>
                <w:szCs w:val="20"/>
              </w:rPr>
            </w:pPr>
            <w:r>
              <w:rPr>
                <w:b/>
                <w:noProof/>
                <w:sz w:val="20"/>
              </w:rPr>
              <w:t>7 935 100</w:t>
            </w:r>
          </w:p>
        </w:tc>
      </w:tr>
    </w:tbl>
    <w:p w14:paraId="6FB6F7B4" w14:textId="56F1D423" w:rsidR="002446ED" w:rsidRDefault="4779BA60" w:rsidP="42EA40D1">
      <w:pPr>
        <w:pStyle w:val="ManualHeading1"/>
        <w:autoSpaceDE w:val="0"/>
        <w:autoSpaceDN w:val="0"/>
        <w:adjustRightInd w:val="0"/>
        <w:spacing w:before="240" w:line="259" w:lineRule="auto"/>
        <w:ind w:left="0" w:firstLine="0"/>
        <w:rPr>
          <w:noProof/>
        </w:rPr>
      </w:pPr>
      <w:bookmarkStart w:id="100" w:name="_Toc145922831"/>
      <w:r>
        <w:rPr>
          <w:noProof/>
        </w:rPr>
        <w:t>7.2 Aanpassingen van de uitgaven van de Europese Rekenkamer (ERK)</w:t>
      </w:r>
      <w:bookmarkEnd w:id="100"/>
      <w:r>
        <w:rPr>
          <w:noProof/>
        </w:rPr>
        <w:t xml:space="preserve"> </w:t>
      </w:r>
    </w:p>
    <w:p w14:paraId="2D91624D" w14:textId="5541D95D" w:rsidR="002446ED" w:rsidRDefault="00230883" w:rsidP="00EC7DDD">
      <w:pPr>
        <w:pStyle w:val="Text1"/>
        <w:ind w:left="0"/>
        <w:rPr>
          <w:noProof/>
        </w:rPr>
      </w:pPr>
      <w:r>
        <w:rPr>
          <w:noProof/>
        </w:rPr>
        <w:t xml:space="preserve">Wegens een administratieve fout heeft de Europese Rekenkamer verzuimd om in haar begrotingsverzoek voor 2024 een bedrag van 330 000 EUR op te nemen met betrekking tot de jaarlijkse vergoedingen die door de Commissie worden aangerekend voor het gebruik van de betaalapplicatie NAP en Sysper. Derhalve wordt voorgesteld het desbetreffende begrotingsonderdeel dienovereenkomstig te verhogen.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1D613E4C"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7EAB75A1" w14:textId="77777777" w:rsidR="42EA40D1" w:rsidRDefault="42EA40D1" w:rsidP="42EA40D1">
            <w:pPr>
              <w:widowControl w:val="0"/>
              <w:spacing w:before="15" w:after="15"/>
              <w:jc w:val="right"/>
              <w:rPr>
                <w:rFonts w:eastAsia="Calibri"/>
                <w:i/>
                <w:iCs/>
                <w:noProof/>
                <w:sz w:val="20"/>
                <w:szCs w:val="20"/>
              </w:rPr>
            </w:pPr>
            <w:r>
              <w:rPr>
                <w:i/>
                <w:noProof/>
                <w:sz w:val="20"/>
              </w:rPr>
              <w:t>EUR</w:t>
            </w:r>
          </w:p>
        </w:tc>
      </w:tr>
      <w:tr w:rsidR="42EA40D1" w14:paraId="542E4DEB"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02575880" w14:textId="371278A0" w:rsidR="42EA40D1" w:rsidRDefault="42EA40D1" w:rsidP="42EA40D1">
            <w:pPr>
              <w:keepNext/>
              <w:spacing w:before="15" w:after="15"/>
              <w:jc w:val="center"/>
              <w:rPr>
                <w:rFonts w:eastAsia="Calibri"/>
                <w:b/>
                <w:bCs/>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442E2341" w14:textId="77777777" w:rsidR="42EA40D1" w:rsidRDefault="42EA40D1" w:rsidP="42EA40D1">
            <w:pPr>
              <w:widowControl w:val="0"/>
              <w:spacing w:before="15" w:after="15"/>
              <w:jc w:val="center"/>
              <w:rPr>
                <w:rFonts w:eastAsia="Calibri"/>
                <w:b/>
                <w:bCs/>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0C1F6A56" w14:textId="5AAA62D2" w:rsidR="42EA40D1" w:rsidRDefault="42EA40D1" w:rsidP="42EA40D1">
            <w:pPr>
              <w:widowControl w:val="0"/>
              <w:spacing w:before="15" w:after="15"/>
              <w:jc w:val="center"/>
              <w:rPr>
                <w:rFonts w:eastAsia="Calibri"/>
                <w:b/>
                <w:bCs/>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4482095F" w14:textId="559E042E" w:rsidR="42EA40D1" w:rsidRDefault="42EA40D1" w:rsidP="42EA40D1">
            <w:pPr>
              <w:widowControl w:val="0"/>
              <w:spacing w:before="15" w:after="15"/>
              <w:jc w:val="center"/>
              <w:rPr>
                <w:rFonts w:eastAsia="Calibri"/>
                <w:b/>
                <w:bCs/>
                <w:noProof/>
                <w:sz w:val="20"/>
                <w:szCs w:val="20"/>
              </w:rPr>
            </w:pPr>
            <w:r>
              <w:rPr>
                <w:b/>
                <w:noProof/>
                <w:sz w:val="20"/>
              </w:rPr>
              <w:t>Betalings</w:t>
            </w:r>
            <w:r w:rsidR="003C5A89">
              <w:rPr>
                <w:b/>
                <w:noProof/>
                <w:sz w:val="20"/>
              </w:rPr>
              <w:t>-</w:t>
            </w:r>
            <w:r>
              <w:rPr>
                <w:b/>
                <w:noProof/>
                <w:sz w:val="20"/>
              </w:rPr>
              <w:t>kredieten</w:t>
            </w:r>
          </w:p>
        </w:tc>
      </w:tr>
      <w:tr w:rsidR="42EA40D1" w14:paraId="3A7D959C"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06BD514D" w14:textId="3B5F289D" w:rsidR="42EA40D1" w:rsidRDefault="42EA40D1" w:rsidP="42EA40D1">
            <w:pPr>
              <w:widowControl w:val="0"/>
              <w:spacing w:before="15" w:after="15"/>
              <w:rPr>
                <w:rFonts w:eastAsia="Calibri"/>
                <w:i/>
                <w:iCs/>
                <w:noProof/>
                <w:sz w:val="20"/>
                <w:szCs w:val="20"/>
              </w:rPr>
            </w:pPr>
            <w:r>
              <w:rPr>
                <w:i/>
                <w:noProof/>
                <w:sz w:val="20"/>
              </w:rPr>
              <w:t>Afdeling V — Europese Rekenkamer</w:t>
            </w:r>
          </w:p>
        </w:tc>
      </w:tr>
      <w:tr w:rsidR="42EA40D1" w14:paraId="075299CC" w14:textId="77777777" w:rsidTr="0074715E">
        <w:trPr>
          <w:trHeight w:val="300"/>
          <w:jc w:val="center"/>
        </w:trPr>
        <w:tc>
          <w:tcPr>
            <w:tcW w:w="1276" w:type="dxa"/>
            <w:vAlign w:val="center"/>
          </w:tcPr>
          <w:p w14:paraId="0F20F764" w14:textId="3E7EBA73" w:rsidR="76DBD801" w:rsidRDefault="00BB3ECD" w:rsidP="42EA40D1">
            <w:pPr>
              <w:widowControl w:val="0"/>
              <w:tabs>
                <w:tab w:val="left" w:pos="1350"/>
              </w:tabs>
              <w:spacing w:before="15" w:after="15"/>
              <w:jc w:val="both"/>
              <w:rPr>
                <w:noProof/>
                <w:sz w:val="16"/>
                <w:szCs w:val="16"/>
              </w:rPr>
            </w:pPr>
            <w:r>
              <w:rPr>
                <w:noProof/>
                <w:sz w:val="16"/>
              </w:rPr>
              <w:t>2 1 0 2</w:t>
            </w:r>
          </w:p>
        </w:tc>
        <w:tc>
          <w:tcPr>
            <w:tcW w:w="5132" w:type="dxa"/>
            <w:vAlign w:val="center"/>
          </w:tcPr>
          <w:p w14:paraId="24FD589F" w14:textId="1BADC239" w:rsidR="42EA40D1" w:rsidRDefault="007B766F" w:rsidP="42EA40D1">
            <w:pPr>
              <w:widowControl w:val="0"/>
              <w:tabs>
                <w:tab w:val="left" w:pos="1350"/>
              </w:tabs>
              <w:spacing w:before="15" w:after="15"/>
              <w:jc w:val="both"/>
              <w:rPr>
                <w:noProof/>
                <w:sz w:val="16"/>
                <w:szCs w:val="16"/>
              </w:rPr>
            </w:pPr>
            <w:r>
              <w:rPr>
                <w:noProof/>
                <w:sz w:val="16"/>
              </w:rPr>
              <w:t>Externe dienstverlening ten behoeve van het exploiteren, ontwikkelen en onderhouden van software en systemen</w:t>
            </w:r>
          </w:p>
        </w:tc>
        <w:tc>
          <w:tcPr>
            <w:tcW w:w="1701" w:type="dxa"/>
            <w:vAlign w:val="center"/>
          </w:tcPr>
          <w:p w14:paraId="0BEF080F" w14:textId="4FBFFE23" w:rsidR="127BAF31" w:rsidRDefault="127BAF31" w:rsidP="42EA40D1">
            <w:pPr>
              <w:widowControl w:val="0"/>
              <w:spacing w:before="15" w:after="15"/>
              <w:jc w:val="right"/>
              <w:rPr>
                <w:rFonts w:eastAsia="Calibri"/>
                <w:noProof/>
                <w:sz w:val="16"/>
                <w:szCs w:val="16"/>
              </w:rPr>
            </w:pPr>
            <w:r>
              <w:rPr>
                <w:noProof/>
                <w:sz w:val="16"/>
              </w:rPr>
              <w:t>330 000</w:t>
            </w:r>
          </w:p>
        </w:tc>
        <w:tc>
          <w:tcPr>
            <w:tcW w:w="1701" w:type="dxa"/>
            <w:vAlign w:val="center"/>
          </w:tcPr>
          <w:p w14:paraId="07C8B1F1" w14:textId="046203A9" w:rsidR="127BAF31" w:rsidRDefault="127BAF31" w:rsidP="00EC7DDD">
            <w:pPr>
              <w:widowControl w:val="0"/>
              <w:spacing w:before="15" w:after="15"/>
              <w:jc w:val="right"/>
              <w:rPr>
                <w:rFonts w:eastAsia="Calibri"/>
                <w:noProof/>
                <w:sz w:val="16"/>
                <w:szCs w:val="16"/>
              </w:rPr>
            </w:pPr>
            <w:r>
              <w:rPr>
                <w:noProof/>
                <w:sz w:val="16"/>
              </w:rPr>
              <w:t>330 000</w:t>
            </w:r>
          </w:p>
        </w:tc>
      </w:tr>
      <w:tr w:rsidR="42EA40D1" w14:paraId="0E63D20E" w14:textId="77777777" w:rsidTr="42EA40D1">
        <w:trPr>
          <w:trHeight w:val="300"/>
          <w:jc w:val="center"/>
        </w:trPr>
        <w:tc>
          <w:tcPr>
            <w:tcW w:w="6408" w:type="dxa"/>
            <w:gridSpan w:val="2"/>
            <w:shd w:val="clear" w:color="auto" w:fill="D9D9D9" w:themeFill="background1" w:themeFillShade="D9"/>
          </w:tcPr>
          <w:p w14:paraId="33B26478" w14:textId="77777777" w:rsidR="42EA40D1" w:rsidRDefault="42EA40D1" w:rsidP="42EA40D1">
            <w:pPr>
              <w:widowControl w:val="0"/>
              <w:spacing w:before="15" w:after="15"/>
              <w:ind w:right="-113"/>
              <w:jc w:val="both"/>
              <w:rPr>
                <w:rFonts w:eastAsia="Calibri"/>
                <w:noProof/>
                <w:sz w:val="20"/>
                <w:szCs w:val="20"/>
              </w:rPr>
            </w:pPr>
            <w:r>
              <w:rPr>
                <w:b/>
                <w:noProof/>
                <w:sz w:val="20"/>
              </w:rPr>
              <w:t>Totaal</w:t>
            </w:r>
            <w:r>
              <w:rPr>
                <w:noProof/>
              </w:rPr>
              <w:tab/>
            </w:r>
          </w:p>
        </w:tc>
        <w:tc>
          <w:tcPr>
            <w:tcW w:w="1701" w:type="dxa"/>
            <w:shd w:val="clear" w:color="auto" w:fill="D9D9D9" w:themeFill="background1" w:themeFillShade="D9"/>
          </w:tcPr>
          <w:p w14:paraId="1FA8B858" w14:textId="679F2295" w:rsidR="73BF19B6" w:rsidRDefault="73BF19B6" w:rsidP="42EA40D1">
            <w:pPr>
              <w:widowControl w:val="0"/>
              <w:spacing w:before="15" w:after="15"/>
              <w:jc w:val="right"/>
              <w:rPr>
                <w:rFonts w:eastAsia="Calibri"/>
                <w:b/>
                <w:bCs/>
                <w:noProof/>
                <w:sz w:val="20"/>
                <w:szCs w:val="20"/>
              </w:rPr>
            </w:pPr>
            <w:r>
              <w:rPr>
                <w:b/>
                <w:noProof/>
                <w:sz w:val="20"/>
              </w:rPr>
              <w:t>330 000</w:t>
            </w:r>
          </w:p>
        </w:tc>
        <w:tc>
          <w:tcPr>
            <w:tcW w:w="1701" w:type="dxa"/>
            <w:shd w:val="clear" w:color="auto" w:fill="D9D9D9" w:themeFill="background1" w:themeFillShade="D9"/>
          </w:tcPr>
          <w:p w14:paraId="41ACB5CA" w14:textId="0966774E" w:rsidR="73BF19B6" w:rsidRDefault="73BF19B6" w:rsidP="00EC7DDD">
            <w:pPr>
              <w:widowControl w:val="0"/>
              <w:spacing w:before="15" w:after="15"/>
              <w:jc w:val="right"/>
              <w:rPr>
                <w:noProof/>
                <w:sz w:val="20"/>
                <w:szCs w:val="20"/>
              </w:rPr>
            </w:pPr>
            <w:r>
              <w:rPr>
                <w:b/>
                <w:noProof/>
                <w:sz w:val="20"/>
              </w:rPr>
              <w:t>330 000</w:t>
            </w:r>
          </w:p>
        </w:tc>
      </w:tr>
    </w:tbl>
    <w:p w14:paraId="33EA781E" w14:textId="49D2B745" w:rsidR="002446ED" w:rsidRDefault="0199877D" w:rsidP="42EA40D1">
      <w:pPr>
        <w:pStyle w:val="ManualHeading1"/>
        <w:autoSpaceDE w:val="0"/>
        <w:autoSpaceDN w:val="0"/>
        <w:adjustRightInd w:val="0"/>
        <w:spacing w:before="240" w:line="259" w:lineRule="auto"/>
        <w:ind w:left="0" w:firstLine="0"/>
        <w:rPr>
          <w:noProof/>
        </w:rPr>
      </w:pPr>
      <w:bookmarkStart w:id="101" w:name="_Toc145922832"/>
      <w:r>
        <w:rPr>
          <w:noProof/>
        </w:rPr>
        <w:t>7.3 Aanpassingen van de uitgaven van het Europees Parlement (EP)</w:t>
      </w:r>
      <w:bookmarkEnd w:id="101"/>
      <w:r>
        <w:rPr>
          <w:noProof/>
        </w:rPr>
        <w:t xml:space="preserve"> </w:t>
      </w:r>
    </w:p>
    <w:p w14:paraId="179D259A" w14:textId="4E2F58AD" w:rsidR="00FA1FA4" w:rsidRPr="001F43F8" w:rsidRDefault="00FA1FA4">
      <w:pPr>
        <w:pStyle w:val="Text1"/>
        <w:spacing w:before="240" w:after="0"/>
        <w:ind w:left="0"/>
        <w:rPr>
          <w:noProof/>
        </w:rPr>
      </w:pPr>
      <w:r>
        <w:rPr>
          <w:noProof/>
        </w:rPr>
        <w:t>In het kader van de behandeling van werkloosheidsdossiers van voormalige parlementaire medewerkers factureert het Bureau voor het beheer en de afwikkeling van de individuele rechten (PMO) momenteel het Europees Parlement (EP) om de daarmee samenhangende werklast te dekken. Gezien het terugkerende karakter van deze dienstverlening, met bijzondere pieken in de nasleep van de Europese verkiezingen, zijn het PMO en het EP overeengekomen dat een deel van de totale jaarlijkse begroting rechtstreeks moet worden toegewezen aan het PMO in plaats van aan het EP, zodat het PMO de arbeidscontractanten kan aanwerven die nodig zijn voor het beheer van deze dossiers op permanente basis. De resterende kosten, die afhangen van het werkelijke jaarlijkse aantal te beheren dossiers, zullen nog steeds aan het EP worden gefactureerd.</w:t>
      </w:r>
    </w:p>
    <w:p w14:paraId="02B835B1" w14:textId="3507440F" w:rsidR="00FA1FA4" w:rsidRPr="001F43F8" w:rsidRDefault="00E5131D" w:rsidP="00FA1FA4">
      <w:pPr>
        <w:pStyle w:val="Text1"/>
        <w:spacing w:before="240" w:after="0"/>
        <w:ind w:left="0"/>
        <w:rPr>
          <w:noProof/>
        </w:rPr>
      </w:pPr>
      <w:r>
        <w:rPr>
          <w:noProof/>
        </w:rPr>
        <w:t>Daarom wordt voorgesteld deze begrotingsneutrale overschrijving op te nemen, hetgeen resulteert in een verlaging van het begrotingsverzoek van het EP voor 2024 met 300 000 EUR en een overeenkomstige verhoging van de begroting van het PMO.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7C55BC92"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6586177D" w14:textId="77777777" w:rsidR="42EA40D1" w:rsidRDefault="42EA40D1" w:rsidP="42EA40D1">
            <w:pPr>
              <w:widowControl w:val="0"/>
              <w:spacing w:before="15" w:after="15"/>
              <w:jc w:val="right"/>
              <w:rPr>
                <w:rFonts w:eastAsia="Calibri"/>
                <w:i/>
                <w:iCs/>
                <w:noProof/>
                <w:sz w:val="20"/>
                <w:szCs w:val="20"/>
              </w:rPr>
            </w:pPr>
            <w:r>
              <w:rPr>
                <w:i/>
                <w:noProof/>
                <w:sz w:val="20"/>
              </w:rPr>
              <w:t>EUR</w:t>
            </w:r>
          </w:p>
        </w:tc>
      </w:tr>
      <w:tr w:rsidR="42EA40D1" w14:paraId="321CF8AC"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4770D883" w14:textId="2A133626" w:rsidR="42EA40D1" w:rsidRDefault="42EA40D1" w:rsidP="42EA40D1">
            <w:pPr>
              <w:keepNext/>
              <w:spacing w:before="15" w:after="15"/>
              <w:jc w:val="center"/>
              <w:rPr>
                <w:rFonts w:eastAsia="Calibri"/>
                <w:b/>
                <w:bCs/>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7AA97CBF" w14:textId="77777777" w:rsidR="42EA40D1" w:rsidRDefault="42EA40D1" w:rsidP="42EA40D1">
            <w:pPr>
              <w:widowControl w:val="0"/>
              <w:spacing w:before="15" w:after="15"/>
              <w:jc w:val="center"/>
              <w:rPr>
                <w:rFonts w:eastAsia="Calibri"/>
                <w:b/>
                <w:bCs/>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05B9390F" w14:textId="3E1116B0" w:rsidR="42EA40D1" w:rsidRDefault="42EA40D1" w:rsidP="42EA40D1">
            <w:pPr>
              <w:widowControl w:val="0"/>
              <w:spacing w:before="15" w:after="15"/>
              <w:jc w:val="center"/>
              <w:rPr>
                <w:rFonts w:eastAsia="Calibri"/>
                <w:b/>
                <w:bCs/>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72F76182" w14:textId="30A03155" w:rsidR="42EA40D1" w:rsidRDefault="42EA40D1" w:rsidP="42EA40D1">
            <w:pPr>
              <w:widowControl w:val="0"/>
              <w:spacing w:before="15" w:after="15"/>
              <w:jc w:val="center"/>
              <w:rPr>
                <w:rFonts w:eastAsia="Calibri"/>
                <w:b/>
                <w:bCs/>
                <w:noProof/>
                <w:sz w:val="20"/>
                <w:szCs w:val="20"/>
              </w:rPr>
            </w:pPr>
            <w:r>
              <w:rPr>
                <w:b/>
                <w:noProof/>
                <w:sz w:val="20"/>
              </w:rPr>
              <w:t>Betalings</w:t>
            </w:r>
            <w:r w:rsidR="003C5A89">
              <w:rPr>
                <w:b/>
                <w:noProof/>
                <w:sz w:val="20"/>
              </w:rPr>
              <w:t>-</w:t>
            </w:r>
            <w:r>
              <w:rPr>
                <w:b/>
                <w:noProof/>
                <w:sz w:val="20"/>
              </w:rPr>
              <w:t>kredieten</w:t>
            </w:r>
          </w:p>
        </w:tc>
      </w:tr>
      <w:tr w:rsidR="42EA40D1" w14:paraId="63DC888C" w14:textId="77777777" w:rsidTr="00EC7DDD">
        <w:trPr>
          <w:trHeight w:val="375"/>
          <w:jc w:val="center"/>
        </w:trPr>
        <w:tc>
          <w:tcPr>
            <w:tcW w:w="9810" w:type="dxa"/>
            <w:gridSpan w:val="4"/>
            <w:tcBorders>
              <w:bottom w:val="single" w:sz="4" w:space="0" w:color="auto"/>
            </w:tcBorders>
            <w:shd w:val="clear" w:color="auto" w:fill="F2F2F2" w:themeFill="background1" w:themeFillShade="F2"/>
            <w:vAlign w:val="center"/>
          </w:tcPr>
          <w:p w14:paraId="0CF5C106" w14:textId="6A8A4C1C" w:rsidR="42EA40D1" w:rsidRDefault="42EA40D1" w:rsidP="42EA40D1">
            <w:pPr>
              <w:widowControl w:val="0"/>
              <w:spacing w:before="15" w:after="15"/>
              <w:rPr>
                <w:rFonts w:eastAsia="Calibri"/>
                <w:i/>
                <w:iCs/>
                <w:noProof/>
                <w:sz w:val="20"/>
                <w:szCs w:val="20"/>
              </w:rPr>
            </w:pPr>
            <w:r>
              <w:rPr>
                <w:i/>
                <w:noProof/>
                <w:sz w:val="20"/>
              </w:rPr>
              <w:t>Afdeling I – Europees Parlement</w:t>
            </w:r>
          </w:p>
        </w:tc>
      </w:tr>
      <w:tr w:rsidR="42EA40D1" w14:paraId="3C7833AF" w14:textId="77777777" w:rsidTr="005C47FF">
        <w:trPr>
          <w:trHeight w:val="300"/>
          <w:jc w:val="center"/>
        </w:trPr>
        <w:tc>
          <w:tcPr>
            <w:tcW w:w="1276" w:type="dxa"/>
            <w:tcBorders>
              <w:bottom w:val="single" w:sz="4" w:space="0" w:color="auto"/>
            </w:tcBorders>
            <w:vAlign w:val="center"/>
          </w:tcPr>
          <w:p w14:paraId="64B1F440" w14:textId="143F5CE5" w:rsidR="42EA40D1" w:rsidRDefault="00E8516E" w:rsidP="0074715E">
            <w:pPr>
              <w:widowControl w:val="0"/>
              <w:tabs>
                <w:tab w:val="left" w:pos="1350"/>
              </w:tabs>
              <w:spacing w:before="15" w:after="15"/>
              <w:jc w:val="both"/>
              <w:rPr>
                <w:noProof/>
                <w:sz w:val="16"/>
                <w:szCs w:val="16"/>
              </w:rPr>
            </w:pPr>
            <w:r>
              <w:rPr>
                <w:noProof/>
                <w:sz w:val="16"/>
              </w:rPr>
              <w:t>1 4 0 0</w:t>
            </w:r>
          </w:p>
        </w:tc>
        <w:tc>
          <w:tcPr>
            <w:tcW w:w="5132" w:type="dxa"/>
            <w:tcBorders>
              <w:bottom w:val="single" w:sz="4" w:space="0" w:color="auto"/>
            </w:tcBorders>
            <w:vAlign w:val="center"/>
          </w:tcPr>
          <w:p w14:paraId="4D56D6D3" w14:textId="63E381A8" w:rsidR="42EA40D1" w:rsidRDefault="006C496D" w:rsidP="42EA40D1">
            <w:pPr>
              <w:widowControl w:val="0"/>
              <w:tabs>
                <w:tab w:val="left" w:pos="1350"/>
              </w:tabs>
              <w:spacing w:before="15" w:after="15"/>
              <w:jc w:val="both"/>
              <w:rPr>
                <w:noProof/>
                <w:sz w:val="16"/>
                <w:szCs w:val="16"/>
              </w:rPr>
            </w:pPr>
            <w:r>
              <w:rPr>
                <w:noProof/>
                <w:sz w:val="16"/>
              </w:rPr>
              <w:t>Andere personeelsleden — Secretariaat-generaal en fracties</w:t>
            </w:r>
          </w:p>
        </w:tc>
        <w:tc>
          <w:tcPr>
            <w:tcW w:w="1701" w:type="dxa"/>
            <w:tcBorders>
              <w:bottom w:val="single" w:sz="4" w:space="0" w:color="auto"/>
            </w:tcBorders>
            <w:vAlign w:val="center"/>
          </w:tcPr>
          <w:p w14:paraId="1C1C9497" w14:textId="0F8D2DFE" w:rsidR="42EA40D1" w:rsidRDefault="42EA40D1" w:rsidP="42EA40D1">
            <w:pPr>
              <w:widowControl w:val="0"/>
              <w:spacing w:before="15" w:after="15"/>
              <w:jc w:val="right"/>
              <w:rPr>
                <w:rFonts w:eastAsia="Calibri"/>
                <w:noProof/>
                <w:sz w:val="16"/>
                <w:szCs w:val="16"/>
              </w:rPr>
            </w:pPr>
            <w:r>
              <w:rPr>
                <w:noProof/>
                <w:sz w:val="16"/>
              </w:rPr>
              <w:t>- 300 000</w:t>
            </w:r>
          </w:p>
        </w:tc>
        <w:tc>
          <w:tcPr>
            <w:tcW w:w="1701" w:type="dxa"/>
            <w:tcBorders>
              <w:bottom w:val="single" w:sz="4" w:space="0" w:color="auto"/>
            </w:tcBorders>
            <w:vAlign w:val="center"/>
          </w:tcPr>
          <w:p w14:paraId="7205FA46" w14:textId="13E3772F" w:rsidR="73C70AF3" w:rsidRDefault="73C70AF3" w:rsidP="00EC7DDD">
            <w:pPr>
              <w:widowControl w:val="0"/>
              <w:spacing w:before="15" w:after="15"/>
              <w:jc w:val="right"/>
              <w:rPr>
                <w:noProof/>
                <w:sz w:val="16"/>
                <w:szCs w:val="16"/>
              </w:rPr>
            </w:pPr>
            <w:r>
              <w:rPr>
                <w:noProof/>
                <w:sz w:val="16"/>
              </w:rPr>
              <w:t>-300 000</w:t>
            </w:r>
          </w:p>
        </w:tc>
      </w:tr>
      <w:tr w:rsidR="0074715E" w14:paraId="25218829" w14:textId="77777777" w:rsidTr="0074715E">
        <w:trPr>
          <w:trHeight w:val="300"/>
          <w:jc w:val="center"/>
        </w:trPr>
        <w:tc>
          <w:tcPr>
            <w:tcW w:w="9810" w:type="dxa"/>
            <w:gridSpan w:val="4"/>
            <w:shd w:val="pct10" w:color="auto" w:fill="auto"/>
          </w:tcPr>
          <w:p w14:paraId="3D2A91A0" w14:textId="5791ED09" w:rsidR="0074715E" w:rsidRPr="42EA40D1" w:rsidRDefault="0074715E" w:rsidP="0074715E">
            <w:pPr>
              <w:widowControl w:val="0"/>
              <w:tabs>
                <w:tab w:val="left" w:pos="1350"/>
              </w:tabs>
              <w:spacing w:before="15" w:after="15"/>
              <w:jc w:val="both"/>
              <w:rPr>
                <w:rFonts w:eastAsia="Calibri"/>
                <w:noProof/>
                <w:sz w:val="16"/>
                <w:szCs w:val="16"/>
              </w:rPr>
            </w:pPr>
            <w:r>
              <w:rPr>
                <w:i/>
                <w:noProof/>
                <w:sz w:val="20"/>
              </w:rPr>
              <w:t>Afdeling III — Europese Commissie</w:t>
            </w:r>
          </w:p>
        </w:tc>
      </w:tr>
      <w:tr w:rsidR="0074715E" w14:paraId="5D50D4B0" w14:textId="77777777" w:rsidTr="005C47FF">
        <w:trPr>
          <w:trHeight w:val="300"/>
          <w:jc w:val="center"/>
        </w:trPr>
        <w:tc>
          <w:tcPr>
            <w:tcW w:w="1276" w:type="dxa"/>
            <w:vAlign w:val="center"/>
          </w:tcPr>
          <w:p w14:paraId="127148FD" w14:textId="2ACE7C2E" w:rsidR="0074715E" w:rsidRDefault="00E5131D" w:rsidP="42EA40D1">
            <w:pPr>
              <w:widowControl w:val="0"/>
              <w:tabs>
                <w:tab w:val="left" w:pos="1350"/>
              </w:tabs>
              <w:spacing w:before="15" w:after="15"/>
              <w:jc w:val="both"/>
              <w:rPr>
                <w:noProof/>
                <w:sz w:val="16"/>
                <w:szCs w:val="16"/>
              </w:rPr>
            </w:pPr>
            <w:r>
              <w:rPr>
                <w:noProof/>
                <w:sz w:val="16"/>
              </w:rPr>
              <w:t>03 01 02</w:t>
            </w:r>
          </w:p>
        </w:tc>
        <w:tc>
          <w:tcPr>
            <w:tcW w:w="5132" w:type="dxa"/>
            <w:vAlign w:val="center"/>
          </w:tcPr>
          <w:p w14:paraId="1F09DF50" w14:textId="3E2D40D0" w:rsidR="0074715E" w:rsidRPr="006C496D" w:rsidRDefault="00E5131D" w:rsidP="42EA40D1">
            <w:pPr>
              <w:widowControl w:val="0"/>
              <w:tabs>
                <w:tab w:val="left" w:pos="1350"/>
              </w:tabs>
              <w:spacing w:before="15" w:after="15"/>
              <w:jc w:val="both"/>
              <w:rPr>
                <w:noProof/>
                <w:sz w:val="16"/>
                <w:szCs w:val="16"/>
              </w:rPr>
            </w:pPr>
            <w:r>
              <w:rPr>
                <w:noProof/>
                <w:sz w:val="16"/>
              </w:rPr>
              <w:t>Extern personeel</w:t>
            </w:r>
          </w:p>
        </w:tc>
        <w:tc>
          <w:tcPr>
            <w:tcW w:w="1701" w:type="dxa"/>
            <w:vAlign w:val="center"/>
          </w:tcPr>
          <w:p w14:paraId="58C8CBE4" w14:textId="109396FA" w:rsidR="0074715E" w:rsidRPr="42EA40D1" w:rsidRDefault="0074715E" w:rsidP="42EA40D1">
            <w:pPr>
              <w:widowControl w:val="0"/>
              <w:spacing w:before="15" w:after="15"/>
              <w:jc w:val="right"/>
              <w:rPr>
                <w:rFonts w:eastAsia="Calibri"/>
                <w:noProof/>
                <w:sz w:val="16"/>
                <w:szCs w:val="16"/>
              </w:rPr>
            </w:pPr>
            <w:r>
              <w:rPr>
                <w:noProof/>
                <w:sz w:val="16"/>
              </w:rPr>
              <w:t>300 000</w:t>
            </w:r>
          </w:p>
        </w:tc>
        <w:tc>
          <w:tcPr>
            <w:tcW w:w="1701" w:type="dxa"/>
            <w:vAlign w:val="center"/>
          </w:tcPr>
          <w:p w14:paraId="2A42BCC7" w14:textId="7E195C1E" w:rsidR="0074715E" w:rsidRPr="42EA40D1" w:rsidRDefault="0074715E" w:rsidP="00EC7DDD">
            <w:pPr>
              <w:widowControl w:val="0"/>
              <w:spacing w:before="15" w:after="15"/>
              <w:jc w:val="right"/>
              <w:rPr>
                <w:rFonts w:eastAsia="Calibri"/>
                <w:noProof/>
                <w:sz w:val="16"/>
                <w:szCs w:val="16"/>
              </w:rPr>
            </w:pPr>
            <w:r>
              <w:rPr>
                <w:noProof/>
                <w:sz w:val="16"/>
              </w:rPr>
              <w:t>300 000</w:t>
            </w:r>
          </w:p>
        </w:tc>
      </w:tr>
      <w:tr w:rsidR="42EA40D1" w14:paraId="0F3B46A0" w14:textId="77777777" w:rsidTr="42EA40D1">
        <w:trPr>
          <w:trHeight w:val="300"/>
          <w:jc w:val="center"/>
        </w:trPr>
        <w:tc>
          <w:tcPr>
            <w:tcW w:w="6408" w:type="dxa"/>
            <w:gridSpan w:val="2"/>
            <w:shd w:val="clear" w:color="auto" w:fill="D9D9D9" w:themeFill="background1" w:themeFillShade="D9"/>
          </w:tcPr>
          <w:p w14:paraId="7F179A04" w14:textId="77777777" w:rsidR="42EA40D1" w:rsidRDefault="42EA40D1" w:rsidP="42EA40D1">
            <w:pPr>
              <w:widowControl w:val="0"/>
              <w:spacing w:before="15" w:after="15"/>
              <w:ind w:right="-113"/>
              <w:jc w:val="both"/>
              <w:rPr>
                <w:rFonts w:eastAsia="Calibri"/>
                <w:noProof/>
                <w:sz w:val="20"/>
                <w:szCs w:val="20"/>
              </w:rPr>
            </w:pPr>
            <w:r>
              <w:rPr>
                <w:b/>
                <w:noProof/>
                <w:sz w:val="20"/>
              </w:rPr>
              <w:t>Totaal</w:t>
            </w:r>
            <w:r>
              <w:rPr>
                <w:noProof/>
              </w:rPr>
              <w:tab/>
            </w:r>
          </w:p>
        </w:tc>
        <w:tc>
          <w:tcPr>
            <w:tcW w:w="1701" w:type="dxa"/>
            <w:shd w:val="clear" w:color="auto" w:fill="D9D9D9" w:themeFill="background1" w:themeFillShade="D9"/>
          </w:tcPr>
          <w:p w14:paraId="008AAB99" w14:textId="65779482" w:rsidR="3D3AB29E" w:rsidRDefault="0074715E" w:rsidP="42EA40D1">
            <w:pPr>
              <w:widowControl w:val="0"/>
              <w:spacing w:before="15" w:after="15"/>
              <w:jc w:val="right"/>
              <w:rPr>
                <w:rFonts w:eastAsia="Calibri"/>
                <w:b/>
                <w:bCs/>
                <w:noProof/>
                <w:sz w:val="20"/>
                <w:szCs w:val="20"/>
              </w:rPr>
            </w:pPr>
            <w:r>
              <w:rPr>
                <w:b/>
                <w:noProof/>
                <w:sz w:val="20"/>
              </w:rPr>
              <w:t>0</w:t>
            </w:r>
          </w:p>
        </w:tc>
        <w:tc>
          <w:tcPr>
            <w:tcW w:w="1701" w:type="dxa"/>
            <w:shd w:val="clear" w:color="auto" w:fill="D9D9D9" w:themeFill="background1" w:themeFillShade="D9"/>
          </w:tcPr>
          <w:p w14:paraId="6ADF3352" w14:textId="22E98376" w:rsidR="3D3AB29E" w:rsidRDefault="0074715E" w:rsidP="00EC7DDD">
            <w:pPr>
              <w:widowControl w:val="0"/>
              <w:spacing w:before="15" w:after="15"/>
              <w:jc w:val="right"/>
              <w:rPr>
                <w:noProof/>
                <w:sz w:val="20"/>
                <w:szCs w:val="20"/>
              </w:rPr>
            </w:pPr>
            <w:r>
              <w:rPr>
                <w:b/>
                <w:noProof/>
                <w:sz w:val="20"/>
              </w:rPr>
              <w:t>0</w:t>
            </w:r>
          </w:p>
        </w:tc>
      </w:tr>
    </w:tbl>
    <w:p w14:paraId="58B393DD" w14:textId="4808205E" w:rsidR="002446ED" w:rsidRDefault="7F8DC785" w:rsidP="42EA40D1">
      <w:pPr>
        <w:pStyle w:val="ManualHeading1"/>
        <w:autoSpaceDE w:val="0"/>
        <w:autoSpaceDN w:val="0"/>
        <w:adjustRightInd w:val="0"/>
        <w:spacing w:before="240" w:line="259" w:lineRule="auto"/>
        <w:ind w:left="0" w:firstLine="0"/>
        <w:rPr>
          <w:noProof/>
        </w:rPr>
      </w:pPr>
      <w:bookmarkStart w:id="102" w:name="_Toc145922833"/>
      <w:r>
        <w:rPr>
          <w:noProof/>
        </w:rPr>
        <w:t>7.4 Aanpassingen van de uitgaven van de Europese Commissie</w:t>
      </w:r>
      <w:bookmarkEnd w:id="102"/>
      <w:r>
        <w:rPr>
          <w:noProof/>
        </w:rPr>
        <w:t xml:space="preserve"> </w:t>
      </w:r>
    </w:p>
    <w:p w14:paraId="2F1F9E74" w14:textId="6932618D" w:rsidR="002446ED" w:rsidRDefault="1B90EC3F" w:rsidP="42EA40D1">
      <w:pPr>
        <w:autoSpaceDE w:val="0"/>
        <w:autoSpaceDN w:val="0"/>
        <w:adjustRightInd w:val="0"/>
        <w:spacing w:before="120" w:after="120" w:line="259" w:lineRule="auto"/>
        <w:jc w:val="both"/>
        <w:rPr>
          <w:noProof/>
        </w:rPr>
      </w:pPr>
      <w:r>
        <w:rPr>
          <w:noProof/>
        </w:rPr>
        <w:t>De Commissie stelt voor om in NvW 1/2024 een verlaging van de salarisuitgaven van de Commissie met 3,7 miljoen EUR op te nemen om rekening te houden met de gevolgen van de omzetting van 78 AST-ambten naar AST-SC, als gevolg van het recente besluit van de Commissie</w:t>
      </w:r>
      <w:r>
        <w:rPr>
          <w:rStyle w:val="FootnoteReference"/>
          <w:noProof/>
        </w:rPr>
        <w:footnoteReference w:id="15"/>
      </w:r>
      <w:r>
        <w:rPr>
          <w:noProof/>
        </w:rPr>
        <w:t xml:space="preserve"> met betrekking tot de personeelsformatie voor 2023 overeenkomstig artikel 53 van het Financieel Reglement.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32"/>
        <w:gridCol w:w="1701"/>
        <w:gridCol w:w="1701"/>
      </w:tblGrid>
      <w:tr w:rsidR="42EA40D1" w14:paraId="68439CB0"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46743300" w14:textId="77777777" w:rsidR="42EA40D1" w:rsidRDefault="42EA40D1" w:rsidP="42EA40D1">
            <w:pPr>
              <w:widowControl w:val="0"/>
              <w:spacing w:before="15" w:after="15"/>
              <w:jc w:val="right"/>
              <w:rPr>
                <w:rFonts w:eastAsia="Calibri"/>
                <w:i/>
                <w:iCs/>
                <w:noProof/>
                <w:sz w:val="20"/>
                <w:szCs w:val="20"/>
              </w:rPr>
            </w:pPr>
            <w:r>
              <w:rPr>
                <w:i/>
                <w:noProof/>
                <w:sz w:val="20"/>
              </w:rPr>
              <w:t>EUR</w:t>
            </w:r>
          </w:p>
        </w:tc>
      </w:tr>
      <w:tr w:rsidR="42EA40D1" w14:paraId="6BD186C3"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2373F18D" w14:textId="0C916A17" w:rsidR="42EA40D1" w:rsidRDefault="42EA40D1" w:rsidP="42EA40D1">
            <w:pPr>
              <w:keepNext/>
              <w:spacing w:before="15" w:after="15"/>
              <w:jc w:val="center"/>
              <w:rPr>
                <w:rFonts w:eastAsia="Calibri"/>
                <w:b/>
                <w:bCs/>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1C90E0CD" w14:textId="77777777" w:rsidR="42EA40D1" w:rsidRDefault="42EA40D1" w:rsidP="42EA40D1">
            <w:pPr>
              <w:widowControl w:val="0"/>
              <w:spacing w:before="15" w:after="15"/>
              <w:jc w:val="center"/>
              <w:rPr>
                <w:rFonts w:eastAsia="Calibri"/>
                <w:b/>
                <w:bCs/>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6674DD72" w14:textId="419FB086" w:rsidR="42EA40D1" w:rsidRDefault="42EA40D1" w:rsidP="42EA40D1">
            <w:pPr>
              <w:widowControl w:val="0"/>
              <w:spacing w:before="15" w:after="15"/>
              <w:jc w:val="center"/>
              <w:rPr>
                <w:rFonts w:eastAsia="Calibri"/>
                <w:b/>
                <w:bCs/>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343A2DA8" w14:textId="2643D90D" w:rsidR="42EA40D1" w:rsidRDefault="42EA40D1" w:rsidP="42EA40D1">
            <w:pPr>
              <w:widowControl w:val="0"/>
              <w:spacing w:before="15" w:after="15"/>
              <w:jc w:val="center"/>
              <w:rPr>
                <w:rFonts w:eastAsia="Calibri"/>
                <w:b/>
                <w:bCs/>
                <w:noProof/>
                <w:sz w:val="20"/>
                <w:szCs w:val="20"/>
              </w:rPr>
            </w:pPr>
            <w:r>
              <w:rPr>
                <w:b/>
                <w:noProof/>
                <w:sz w:val="20"/>
              </w:rPr>
              <w:t>Betalings</w:t>
            </w:r>
            <w:r w:rsidR="003C5A89">
              <w:rPr>
                <w:b/>
                <w:noProof/>
                <w:sz w:val="20"/>
              </w:rPr>
              <w:t>-</w:t>
            </w:r>
            <w:r>
              <w:rPr>
                <w:b/>
                <w:noProof/>
                <w:sz w:val="20"/>
              </w:rPr>
              <w:t>kredieten</w:t>
            </w:r>
          </w:p>
        </w:tc>
      </w:tr>
      <w:tr w:rsidR="42EA40D1" w14:paraId="1DB164C3"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4DFB2622" w14:textId="77777777" w:rsidR="42EA40D1" w:rsidRDefault="42EA40D1" w:rsidP="42EA40D1">
            <w:pPr>
              <w:widowControl w:val="0"/>
              <w:spacing w:before="15" w:after="15"/>
              <w:rPr>
                <w:rFonts w:eastAsia="Calibri"/>
                <w:i/>
                <w:iCs/>
                <w:noProof/>
                <w:sz w:val="20"/>
                <w:szCs w:val="20"/>
              </w:rPr>
            </w:pPr>
            <w:r>
              <w:rPr>
                <w:i/>
                <w:noProof/>
                <w:sz w:val="20"/>
              </w:rPr>
              <w:t>Afdeling III – Commissie</w:t>
            </w:r>
          </w:p>
        </w:tc>
      </w:tr>
      <w:tr w:rsidR="00441153" w14:paraId="144B3750" w14:textId="77777777" w:rsidTr="005C47FF">
        <w:trPr>
          <w:trHeight w:val="300"/>
          <w:jc w:val="center"/>
        </w:trPr>
        <w:tc>
          <w:tcPr>
            <w:tcW w:w="1276" w:type="dxa"/>
            <w:vAlign w:val="center"/>
          </w:tcPr>
          <w:p w14:paraId="38C1612D" w14:textId="5FE80B99" w:rsidR="00441153" w:rsidRDefault="00441153" w:rsidP="00EC7DDD">
            <w:pPr>
              <w:widowControl w:val="0"/>
              <w:tabs>
                <w:tab w:val="left" w:pos="1350"/>
              </w:tabs>
              <w:spacing w:before="15" w:after="15"/>
              <w:jc w:val="both"/>
              <w:rPr>
                <w:noProof/>
                <w:sz w:val="16"/>
                <w:szCs w:val="16"/>
              </w:rPr>
            </w:pPr>
            <w:r>
              <w:rPr>
                <w:noProof/>
                <w:sz w:val="16"/>
              </w:rPr>
              <w:t>20 01 02 01</w:t>
            </w:r>
          </w:p>
        </w:tc>
        <w:tc>
          <w:tcPr>
            <w:tcW w:w="5132" w:type="dxa"/>
            <w:vAlign w:val="center"/>
          </w:tcPr>
          <w:p w14:paraId="40AB541C" w14:textId="7D96394C" w:rsidR="00441153" w:rsidRDefault="00441153" w:rsidP="00441153">
            <w:pPr>
              <w:widowControl w:val="0"/>
              <w:tabs>
                <w:tab w:val="left" w:pos="1350"/>
              </w:tabs>
              <w:spacing w:before="15" w:after="15"/>
              <w:jc w:val="both"/>
              <w:rPr>
                <w:noProof/>
                <w:sz w:val="16"/>
                <w:szCs w:val="16"/>
              </w:rPr>
            </w:pPr>
            <w:r>
              <w:rPr>
                <w:noProof/>
                <w:sz w:val="16"/>
              </w:rPr>
              <w:t>Salarissen en vergoedingen — Centrale diensten en vertegenwoordigingen</w:t>
            </w:r>
          </w:p>
        </w:tc>
        <w:tc>
          <w:tcPr>
            <w:tcW w:w="1701" w:type="dxa"/>
            <w:vAlign w:val="center"/>
          </w:tcPr>
          <w:p w14:paraId="587A62EC" w14:textId="6411E24B" w:rsidR="00441153" w:rsidRDefault="00441153" w:rsidP="00441153">
            <w:pPr>
              <w:widowControl w:val="0"/>
              <w:spacing w:before="15" w:after="15"/>
              <w:jc w:val="right"/>
              <w:rPr>
                <w:rFonts w:eastAsia="Calibri"/>
                <w:noProof/>
                <w:sz w:val="16"/>
                <w:szCs w:val="16"/>
              </w:rPr>
            </w:pPr>
            <w:r>
              <w:rPr>
                <w:noProof/>
                <w:sz w:val="16"/>
              </w:rPr>
              <w:t>-3 677 000</w:t>
            </w:r>
          </w:p>
        </w:tc>
        <w:tc>
          <w:tcPr>
            <w:tcW w:w="1701" w:type="dxa"/>
            <w:vAlign w:val="center"/>
          </w:tcPr>
          <w:p w14:paraId="4880E91C" w14:textId="1D233ECD" w:rsidR="00441153" w:rsidRDefault="00441153" w:rsidP="00441153">
            <w:pPr>
              <w:widowControl w:val="0"/>
              <w:spacing w:before="15" w:after="15"/>
              <w:jc w:val="right"/>
              <w:rPr>
                <w:rFonts w:eastAsia="Calibri"/>
                <w:noProof/>
                <w:sz w:val="16"/>
                <w:szCs w:val="16"/>
              </w:rPr>
            </w:pPr>
            <w:r>
              <w:rPr>
                <w:noProof/>
                <w:sz w:val="16"/>
              </w:rPr>
              <w:t>-3 677 000</w:t>
            </w:r>
          </w:p>
        </w:tc>
      </w:tr>
      <w:tr w:rsidR="005C47FF" w:rsidRPr="005C47FF" w14:paraId="4BDCB926" w14:textId="77777777" w:rsidTr="42EA40D1">
        <w:trPr>
          <w:trHeight w:val="300"/>
          <w:jc w:val="center"/>
        </w:trPr>
        <w:tc>
          <w:tcPr>
            <w:tcW w:w="6408" w:type="dxa"/>
            <w:gridSpan w:val="2"/>
            <w:shd w:val="clear" w:color="auto" w:fill="D9D9D9" w:themeFill="background1" w:themeFillShade="D9"/>
          </w:tcPr>
          <w:p w14:paraId="391170BF" w14:textId="77777777" w:rsidR="005C47FF" w:rsidRPr="005C47FF" w:rsidRDefault="005C47FF" w:rsidP="005C47FF">
            <w:pPr>
              <w:widowControl w:val="0"/>
              <w:spacing w:before="15" w:after="15"/>
              <w:ind w:right="-113"/>
              <w:jc w:val="both"/>
              <w:rPr>
                <w:rFonts w:eastAsia="Calibri"/>
                <w:noProof/>
                <w:sz w:val="20"/>
                <w:szCs w:val="20"/>
              </w:rPr>
            </w:pPr>
            <w:r>
              <w:rPr>
                <w:b/>
                <w:noProof/>
                <w:sz w:val="20"/>
              </w:rPr>
              <w:t>Totaal</w:t>
            </w:r>
            <w:r>
              <w:rPr>
                <w:noProof/>
              </w:rPr>
              <w:tab/>
            </w:r>
          </w:p>
        </w:tc>
        <w:tc>
          <w:tcPr>
            <w:tcW w:w="1701" w:type="dxa"/>
            <w:shd w:val="clear" w:color="auto" w:fill="D9D9D9" w:themeFill="background1" w:themeFillShade="D9"/>
          </w:tcPr>
          <w:p w14:paraId="71A06E32" w14:textId="3802E686" w:rsidR="005C47FF" w:rsidRPr="005C47FF" w:rsidRDefault="005C47FF" w:rsidP="005C47FF">
            <w:pPr>
              <w:widowControl w:val="0"/>
              <w:spacing w:before="15" w:after="15"/>
              <w:jc w:val="right"/>
              <w:rPr>
                <w:b/>
                <w:bCs/>
                <w:noProof/>
                <w:sz w:val="20"/>
                <w:szCs w:val="20"/>
              </w:rPr>
            </w:pPr>
            <w:r>
              <w:rPr>
                <w:b/>
                <w:noProof/>
                <w:sz w:val="20"/>
              </w:rPr>
              <w:t>-3 677 000</w:t>
            </w:r>
          </w:p>
        </w:tc>
        <w:tc>
          <w:tcPr>
            <w:tcW w:w="1701" w:type="dxa"/>
            <w:shd w:val="clear" w:color="auto" w:fill="D9D9D9" w:themeFill="background1" w:themeFillShade="D9"/>
          </w:tcPr>
          <w:p w14:paraId="07B3F566" w14:textId="1262E1C6" w:rsidR="005C47FF" w:rsidRPr="005C47FF" w:rsidRDefault="005C47FF" w:rsidP="005C47FF">
            <w:pPr>
              <w:widowControl w:val="0"/>
              <w:spacing w:before="15" w:after="15"/>
              <w:jc w:val="right"/>
              <w:rPr>
                <w:b/>
                <w:bCs/>
                <w:noProof/>
                <w:sz w:val="20"/>
                <w:szCs w:val="20"/>
              </w:rPr>
            </w:pPr>
            <w:r>
              <w:rPr>
                <w:b/>
                <w:noProof/>
                <w:sz w:val="20"/>
              </w:rPr>
              <w:t>-3 677 000</w:t>
            </w:r>
          </w:p>
        </w:tc>
      </w:tr>
    </w:tbl>
    <w:p w14:paraId="180D63EA" w14:textId="0B4B81E6" w:rsidR="00205233" w:rsidRDefault="16C8B1CF" w:rsidP="00295C22">
      <w:pPr>
        <w:autoSpaceDE w:val="0"/>
        <w:autoSpaceDN w:val="0"/>
        <w:adjustRightInd w:val="0"/>
        <w:spacing w:before="120" w:after="120" w:line="259" w:lineRule="auto"/>
        <w:jc w:val="both"/>
        <w:rPr>
          <w:noProof/>
        </w:rPr>
      </w:pPr>
      <w:r>
        <w:rPr>
          <w:noProof/>
        </w:rPr>
        <w:t xml:space="preserve">Over het geheel genomen is het gecombineerde effect op de in de ontwerpbegroting 2024 geraamde uitgaven voor rubriek 7 een stijging van 4,6 miljoen EUR voor administratieve uitgaven, terwijl de uitgaven voor de pensioenen en de Europese scholen ongewijzigd blijven. </w:t>
      </w:r>
    </w:p>
    <w:p w14:paraId="14BBB917" w14:textId="77777777" w:rsidR="005C47FF" w:rsidRDefault="005C47FF" w:rsidP="005C47FF">
      <w:pPr>
        <w:autoSpaceDE w:val="0"/>
        <w:autoSpaceDN w:val="0"/>
        <w:adjustRightInd w:val="0"/>
        <w:spacing w:before="120" w:line="259" w:lineRule="auto"/>
        <w:jc w:val="both"/>
        <w:rPr>
          <w:noProof/>
        </w:rPr>
      </w:pPr>
      <w:r>
        <w:rPr>
          <w:noProof/>
        </w:rPr>
        <w:t>Het algehele effect op de uitgaven is als volgt:</w:t>
      </w:r>
    </w:p>
    <w:tbl>
      <w:tblPr>
        <w:tblW w:w="9639" w:type="dxa"/>
        <w:tblInd w:w="108" w:type="dxa"/>
        <w:tblLook w:val="04A0" w:firstRow="1" w:lastRow="0" w:firstColumn="1" w:lastColumn="0" w:noHBand="0" w:noVBand="1"/>
      </w:tblPr>
      <w:tblGrid>
        <w:gridCol w:w="4480"/>
        <w:gridCol w:w="1616"/>
        <w:gridCol w:w="1701"/>
        <w:gridCol w:w="1842"/>
      </w:tblGrid>
      <w:tr w:rsidR="005C47FF" w:rsidRPr="00937B4C" w14:paraId="3C7FD39B" w14:textId="77777777" w:rsidTr="005F6C3A">
        <w:trPr>
          <w:trHeight w:val="290"/>
        </w:trPr>
        <w:tc>
          <w:tcPr>
            <w:tcW w:w="9639" w:type="dxa"/>
            <w:gridSpan w:val="4"/>
            <w:tcBorders>
              <w:top w:val="nil"/>
              <w:left w:val="nil"/>
              <w:bottom w:val="nil"/>
              <w:right w:val="nil"/>
            </w:tcBorders>
            <w:shd w:val="clear" w:color="auto" w:fill="FFFFFF" w:themeFill="background1"/>
            <w:vAlign w:val="center"/>
            <w:hideMark/>
          </w:tcPr>
          <w:p w14:paraId="00B86177" w14:textId="2DE276FE" w:rsidR="005C47FF" w:rsidRPr="00937B4C" w:rsidRDefault="005C47FF" w:rsidP="000703D6">
            <w:pPr>
              <w:jc w:val="right"/>
              <w:rPr>
                <w:i/>
                <w:iCs/>
                <w:noProof/>
                <w:color w:val="000000"/>
                <w:sz w:val="20"/>
                <w:szCs w:val="20"/>
              </w:rPr>
            </w:pPr>
            <w:r>
              <w:rPr>
                <w:i/>
                <w:noProof/>
                <w:color w:val="000000"/>
                <w:sz w:val="20"/>
              </w:rPr>
              <w:t>Bedragen in miljoen EUR</w:t>
            </w:r>
          </w:p>
        </w:tc>
      </w:tr>
      <w:tr w:rsidR="005C47FF" w:rsidRPr="00937B4C" w14:paraId="3B387BFE" w14:textId="77777777" w:rsidTr="005F6C3A">
        <w:trPr>
          <w:trHeight w:val="780"/>
        </w:trPr>
        <w:tc>
          <w:tcPr>
            <w:tcW w:w="4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5BA71" w14:textId="77777777" w:rsidR="005C47FF" w:rsidRPr="00937B4C" w:rsidRDefault="005C47FF" w:rsidP="000703D6">
            <w:pPr>
              <w:jc w:val="center"/>
              <w:rPr>
                <w:b/>
                <w:bCs/>
                <w:noProof/>
                <w:color w:val="000000"/>
                <w:sz w:val="20"/>
                <w:szCs w:val="20"/>
              </w:rPr>
            </w:pPr>
            <w:r>
              <w:rPr>
                <w:b/>
                <w:noProof/>
                <w:color w:val="000000"/>
                <w:sz w:val="20"/>
              </w:rPr>
              <w:t xml:space="preserve"> </w:t>
            </w:r>
          </w:p>
        </w:tc>
        <w:tc>
          <w:tcPr>
            <w:tcW w:w="16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2E2F36" w14:textId="77777777" w:rsidR="005C47FF" w:rsidRPr="00937B4C" w:rsidRDefault="005C47FF" w:rsidP="000703D6">
            <w:pPr>
              <w:jc w:val="center"/>
              <w:rPr>
                <w:b/>
                <w:bCs/>
                <w:noProof/>
                <w:color w:val="000000"/>
                <w:sz w:val="20"/>
                <w:szCs w:val="20"/>
              </w:rPr>
            </w:pPr>
            <w:r>
              <w:rPr>
                <w:b/>
                <w:noProof/>
                <w:color w:val="000000"/>
                <w:sz w:val="20"/>
              </w:rPr>
              <w:t>OB 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D5D9E5" w14:textId="77777777" w:rsidR="005C47FF" w:rsidRPr="00937B4C" w:rsidRDefault="005C47FF" w:rsidP="000703D6">
            <w:pPr>
              <w:jc w:val="center"/>
              <w:rPr>
                <w:b/>
                <w:bCs/>
                <w:noProof/>
                <w:color w:val="000000"/>
                <w:sz w:val="20"/>
                <w:szCs w:val="20"/>
              </w:rPr>
            </w:pPr>
            <w:r>
              <w:rPr>
                <w:b/>
                <w:noProof/>
                <w:color w:val="000000"/>
                <w:sz w:val="20"/>
              </w:rPr>
              <w:t>Nota van wijzigingen 1 bij de OB 2024</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517A2" w14:textId="77777777" w:rsidR="005C47FF" w:rsidRPr="00937B4C" w:rsidRDefault="005C47FF" w:rsidP="000703D6">
            <w:pPr>
              <w:jc w:val="center"/>
              <w:rPr>
                <w:b/>
                <w:bCs/>
                <w:noProof/>
                <w:color w:val="000000"/>
                <w:sz w:val="20"/>
                <w:szCs w:val="20"/>
              </w:rPr>
            </w:pPr>
            <w:r>
              <w:rPr>
                <w:b/>
                <w:noProof/>
                <w:color w:val="000000"/>
                <w:sz w:val="20"/>
              </w:rPr>
              <w:t>OB 2024 met NvW 1</w:t>
            </w:r>
          </w:p>
        </w:tc>
      </w:tr>
      <w:tr w:rsidR="005C47FF" w:rsidRPr="00937B4C" w14:paraId="521E2BA7"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F98676" w14:textId="77777777" w:rsidR="005C47FF" w:rsidRPr="00937B4C" w:rsidRDefault="005C47FF" w:rsidP="000703D6">
            <w:pPr>
              <w:rPr>
                <w:b/>
                <w:bCs/>
                <w:noProof/>
                <w:color w:val="000000"/>
                <w:sz w:val="16"/>
                <w:szCs w:val="16"/>
              </w:rPr>
            </w:pPr>
            <w:r>
              <w:rPr>
                <w:b/>
                <w:noProof/>
                <w:color w:val="000000"/>
                <w:sz w:val="16"/>
              </w:rPr>
              <w:t>Pensioenen en Europese scholen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FA7FF68" w14:textId="77777777" w:rsidR="005C47FF" w:rsidRPr="00B131F5" w:rsidRDefault="005C47FF" w:rsidP="000703D6">
            <w:pPr>
              <w:jc w:val="right"/>
              <w:rPr>
                <w:noProof/>
                <w:color w:val="000000"/>
                <w:sz w:val="16"/>
                <w:szCs w:val="16"/>
              </w:rPr>
            </w:pPr>
            <w:r>
              <w:rPr>
                <w:noProof/>
                <w:sz w:val="16"/>
              </w:rPr>
              <w:t>2 812,6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AFE2ED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458EA38" w14:textId="77777777" w:rsidR="005C47FF" w:rsidRDefault="005C47FF" w:rsidP="000703D6">
            <w:pPr>
              <w:jc w:val="right"/>
              <w:rPr>
                <w:noProof/>
                <w:color w:val="000000" w:themeColor="text1"/>
                <w:sz w:val="16"/>
                <w:szCs w:val="16"/>
              </w:rPr>
            </w:pPr>
            <w:r>
              <w:rPr>
                <w:noProof/>
                <w:sz w:val="16"/>
              </w:rPr>
              <w:t>2 812,6</w:t>
            </w:r>
          </w:p>
        </w:tc>
      </w:tr>
      <w:tr w:rsidR="005C47FF" w:rsidRPr="00937B4C" w14:paraId="2C0407E5"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7D802E" w14:textId="77777777" w:rsidR="005C47FF" w:rsidRPr="00937B4C" w:rsidRDefault="005C47FF" w:rsidP="000703D6">
            <w:pPr>
              <w:ind w:firstLineChars="100" w:firstLine="160"/>
              <w:rPr>
                <w:noProof/>
                <w:color w:val="000000"/>
                <w:sz w:val="16"/>
                <w:szCs w:val="16"/>
              </w:rPr>
            </w:pPr>
            <w:r>
              <w:rPr>
                <w:noProof/>
                <w:color w:val="000000"/>
                <w:sz w:val="16"/>
              </w:rPr>
              <w:t>Pensioenen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6BAB4EBB" w14:textId="77777777" w:rsidR="005C47FF" w:rsidRPr="00B131F5" w:rsidRDefault="005C47FF" w:rsidP="000703D6">
            <w:pPr>
              <w:jc w:val="right"/>
              <w:rPr>
                <w:noProof/>
                <w:color w:val="000000"/>
                <w:sz w:val="16"/>
                <w:szCs w:val="16"/>
              </w:rPr>
            </w:pPr>
            <w:r>
              <w:rPr>
                <w:noProof/>
                <w:sz w:val="16"/>
              </w:rPr>
              <w:t>2 565,5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5F85CF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4131B1D" w14:textId="77777777" w:rsidR="005C47FF" w:rsidRDefault="005C47FF" w:rsidP="000703D6">
            <w:pPr>
              <w:jc w:val="right"/>
              <w:rPr>
                <w:noProof/>
                <w:color w:val="000000" w:themeColor="text1"/>
                <w:sz w:val="16"/>
                <w:szCs w:val="16"/>
              </w:rPr>
            </w:pPr>
            <w:r>
              <w:rPr>
                <w:noProof/>
                <w:sz w:val="16"/>
              </w:rPr>
              <w:t>2 565,5</w:t>
            </w:r>
          </w:p>
        </w:tc>
      </w:tr>
      <w:tr w:rsidR="005C47FF" w:rsidRPr="00937B4C" w14:paraId="781477BD"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AFA64C" w14:textId="77777777" w:rsidR="005C47FF" w:rsidRPr="00937B4C" w:rsidRDefault="005C47FF" w:rsidP="000703D6">
            <w:pPr>
              <w:ind w:firstLineChars="100" w:firstLine="160"/>
              <w:rPr>
                <w:noProof/>
                <w:color w:val="000000"/>
                <w:sz w:val="16"/>
                <w:szCs w:val="16"/>
              </w:rPr>
            </w:pPr>
            <w:r>
              <w:rPr>
                <w:noProof/>
                <w:color w:val="000000"/>
                <w:sz w:val="16"/>
              </w:rPr>
              <w:t>Europese Scholen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3A8B7DBD" w14:textId="77777777" w:rsidR="005C47FF" w:rsidRPr="00B131F5" w:rsidRDefault="005C47FF" w:rsidP="000703D6">
            <w:pPr>
              <w:jc w:val="right"/>
              <w:rPr>
                <w:noProof/>
                <w:color w:val="000000"/>
                <w:sz w:val="16"/>
                <w:szCs w:val="16"/>
              </w:rPr>
            </w:pPr>
            <w:r>
              <w:rPr>
                <w:noProof/>
                <w:sz w:val="16"/>
              </w:rPr>
              <w:t>247,2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1463841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8D03F2D" w14:textId="77777777" w:rsidR="005C47FF" w:rsidRDefault="005C47FF" w:rsidP="000703D6">
            <w:pPr>
              <w:jc w:val="right"/>
              <w:rPr>
                <w:noProof/>
                <w:color w:val="000000" w:themeColor="text1"/>
                <w:sz w:val="16"/>
                <w:szCs w:val="16"/>
              </w:rPr>
            </w:pPr>
            <w:r>
              <w:rPr>
                <w:noProof/>
                <w:sz w:val="16"/>
              </w:rPr>
              <w:t>247,2</w:t>
            </w:r>
          </w:p>
        </w:tc>
      </w:tr>
      <w:tr w:rsidR="005C47FF" w:rsidRPr="00937B4C" w14:paraId="7B093ABE"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42780F" w14:textId="77777777" w:rsidR="005C47FF" w:rsidRPr="00937B4C" w:rsidRDefault="005C47FF" w:rsidP="000703D6">
            <w:pPr>
              <w:rPr>
                <w:b/>
                <w:bCs/>
                <w:noProof/>
                <w:color w:val="000000"/>
                <w:sz w:val="16"/>
                <w:szCs w:val="16"/>
              </w:rPr>
            </w:pPr>
            <w:r>
              <w:rPr>
                <w:b/>
                <w:noProof/>
                <w:color w:val="000000"/>
                <w:sz w:val="16"/>
              </w:rPr>
              <w:t>administratieve uitgaven van de instellingen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4504AE97" w14:textId="77777777" w:rsidR="005C47FF" w:rsidRPr="00B131F5" w:rsidRDefault="005C47FF" w:rsidP="000703D6">
            <w:pPr>
              <w:jc w:val="right"/>
              <w:rPr>
                <w:noProof/>
                <w:color w:val="000000"/>
                <w:sz w:val="16"/>
                <w:szCs w:val="16"/>
              </w:rPr>
            </w:pPr>
            <w:r>
              <w:rPr>
                <w:noProof/>
                <w:sz w:val="16"/>
              </w:rPr>
              <w:t>9 137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FAABA35" w14:textId="77777777" w:rsidR="005C47FF" w:rsidRPr="00B131F5" w:rsidRDefault="005C47FF" w:rsidP="000703D6">
            <w:pPr>
              <w:jc w:val="right"/>
              <w:rPr>
                <w:noProof/>
                <w:color w:val="000000"/>
                <w:sz w:val="16"/>
                <w:szCs w:val="16"/>
              </w:rPr>
            </w:pPr>
            <w:r>
              <w:rPr>
                <w:noProof/>
                <w:sz w:val="16"/>
              </w:rPr>
              <w:t>7,3</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3B67DEA" w14:textId="77777777" w:rsidR="005C47FF" w:rsidRPr="00B131F5" w:rsidRDefault="005C47FF" w:rsidP="000703D6">
            <w:pPr>
              <w:jc w:val="right"/>
              <w:rPr>
                <w:noProof/>
                <w:sz w:val="16"/>
                <w:szCs w:val="16"/>
              </w:rPr>
            </w:pPr>
            <w:r>
              <w:rPr>
                <w:noProof/>
                <w:sz w:val="16"/>
              </w:rPr>
              <w:t>9 144,3</w:t>
            </w:r>
          </w:p>
        </w:tc>
      </w:tr>
      <w:tr w:rsidR="005C47FF" w:rsidRPr="00937B4C" w14:paraId="7A8AB384"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1F88D4" w14:textId="77777777" w:rsidR="005C47FF" w:rsidRPr="00937B4C" w:rsidRDefault="005C47FF" w:rsidP="000703D6">
            <w:pPr>
              <w:ind w:firstLineChars="100" w:firstLine="160"/>
              <w:rPr>
                <w:noProof/>
                <w:color w:val="000000"/>
                <w:sz w:val="16"/>
                <w:szCs w:val="16"/>
              </w:rPr>
            </w:pPr>
            <w:r>
              <w:rPr>
                <w:noProof/>
                <w:color w:val="000000"/>
                <w:sz w:val="16"/>
              </w:rPr>
              <w:t>Commissie</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0D105F4" w14:textId="77777777" w:rsidR="005C47FF" w:rsidRPr="00B131F5" w:rsidRDefault="005C47FF" w:rsidP="000703D6">
            <w:pPr>
              <w:jc w:val="right"/>
              <w:rPr>
                <w:noProof/>
                <w:color w:val="000000"/>
                <w:sz w:val="16"/>
                <w:szCs w:val="16"/>
              </w:rPr>
            </w:pPr>
            <w:r>
              <w:rPr>
                <w:noProof/>
                <w:sz w:val="16"/>
              </w:rPr>
              <w:t>4 221,4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DDE52C7" w14:textId="77777777" w:rsidR="005C47FF" w:rsidRPr="00B131F5" w:rsidRDefault="005C47FF" w:rsidP="000703D6">
            <w:pPr>
              <w:jc w:val="right"/>
              <w:rPr>
                <w:noProof/>
                <w:sz w:val="16"/>
                <w:szCs w:val="16"/>
              </w:rPr>
            </w:pPr>
            <w:r>
              <w:rPr>
                <w:noProof/>
                <w:sz w:val="16"/>
              </w:rPr>
              <w:t>-3,4</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551AA722" w14:textId="77777777" w:rsidR="005C47FF" w:rsidRPr="00B131F5" w:rsidRDefault="005C47FF" w:rsidP="000703D6">
            <w:pPr>
              <w:jc w:val="right"/>
              <w:rPr>
                <w:noProof/>
                <w:sz w:val="16"/>
                <w:szCs w:val="16"/>
              </w:rPr>
            </w:pPr>
            <w:r>
              <w:rPr>
                <w:noProof/>
                <w:sz w:val="16"/>
              </w:rPr>
              <w:t xml:space="preserve"> 4 218,1</w:t>
            </w:r>
          </w:p>
        </w:tc>
      </w:tr>
      <w:tr w:rsidR="005C47FF" w:rsidRPr="00937B4C" w14:paraId="2A7D193B"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15CBEF" w14:textId="77777777" w:rsidR="005C47FF" w:rsidRPr="00937B4C" w:rsidRDefault="005C47FF" w:rsidP="000703D6">
            <w:pPr>
              <w:ind w:firstLineChars="100" w:firstLine="160"/>
              <w:rPr>
                <w:noProof/>
                <w:color w:val="000000"/>
                <w:sz w:val="16"/>
                <w:szCs w:val="16"/>
              </w:rPr>
            </w:pPr>
            <w:r>
              <w:rPr>
                <w:noProof/>
                <w:color w:val="000000"/>
                <w:sz w:val="16"/>
              </w:rPr>
              <w:t>Andere instellingen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D3D68C3" w14:textId="77777777" w:rsidR="005C47FF" w:rsidRPr="00B131F5" w:rsidRDefault="005C47FF" w:rsidP="000703D6">
            <w:pPr>
              <w:jc w:val="right"/>
              <w:rPr>
                <w:noProof/>
                <w:color w:val="000000"/>
                <w:sz w:val="16"/>
                <w:szCs w:val="16"/>
              </w:rPr>
            </w:pPr>
            <w:r>
              <w:rPr>
                <w:noProof/>
                <w:sz w:val="16"/>
              </w:rPr>
              <w:t>4 915,6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7E8F1FB" w14:textId="77777777" w:rsidR="005C47FF" w:rsidRPr="00B131F5" w:rsidRDefault="005C47FF" w:rsidP="000703D6">
            <w:pPr>
              <w:jc w:val="right"/>
              <w:rPr>
                <w:noProof/>
                <w:sz w:val="16"/>
                <w:szCs w:val="16"/>
              </w:rPr>
            </w:pPr>
            <w:r>
              <w:rPr>
                <w:noProof/>
                <w:sz w:val="16"/>
              </w:rPr>
              <w:t>10,7</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7E980ECF" w14:textId="77777777" w:rsidR="005C47FF" w:rsidRPr="00B131F5" w:rsidRDefault="005C47FF" w:rsidP="000703D6">
            <w:pPr>
              <w:jc w:val="right"/>
              <w:rPr>
                <w:noProof/>
                <w:sz w:val="16"/>
                <w:szCs w:val="16"/>
              </w:rPr>
            </w:pPr>
            <w:r>
              <w:rPr>
                <w:noProof/>
                <w:sz w:val="16"/>
              </w:rPr>
              <w:t>4 926,2</w:t>
            </w:r>
          </w:p>
        </w:tc>
      </w:tr>
      <w:tr w:rsidR="005C47FF" w:rsidRPr="00937B4C" w14:paraId="33FC11D0"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C3DB3FE" w14:textId="77777777" w:rsidR="005C47FF" w:rsidRPr="00937B4C" w:rsidRDefault="005C47FF" w:rsidP="000703D6">
            <w:pPr>
              <w:ind w:firstLineChars="300" w:firstLine="480"/>
              <w:rPr>
                <w:noProof/>
                <w:color w:val="000000"/>
                <w:sz w:val="16"/>
                <w:szCs w:val="16"/>
              </w:rPr>
            </w:pPr>
            <w:r>
              <w:rPr>
                <w:noProof/>
                <w:color w:val="000000"/>
                <w:sz w:val="16"/>
              </w:rPr>
              <w:t>Europees Parlement</w:t>
            </w:r>
          </w:p>
        </w:tc>
        <w:tc>
          <w:tcPr>
            <w:tcW w:w="1616" w:type="dxa"/>
            <w:tcBorders>
              <w:top w:val="nil"/>
              <w:left w:val="nil"/>
              <w:bottom w:val="single" w:sz="4" w:space="0" w:color="auto"/>
              <w:right w:val="single" w:sz="4" w:space="0" w:color="auto"/>
            </w:tcBorders>
            <w:shd w:val="clear" w:color="auto" w:fill="auto"/>
            <w:vAlign w:val="center"/>
            <w:hideMark/>
          </w:tcPr>
          <w:p w14:paraId="062EDCA9" w14:textId="77777777" w:rsidR="005C47FF" w:rsidRPr="00B131F5" w:rsidRDefault="005C47FF" w:rsidP="000703D6">
            <w:pPr>
              <w:jc w:val="right"/>
              <w:rPr>
                <w:noProof/>
                <w:color w:val="000000"/>
                <w:sz w:val="16"/>
                <w:szCs w:val="16"/>
              </w:rPr>
            </w:pPr>
            <w:r>
              <w:rPr>
                <w:noProof/>
                <w:sz w:val="16"/>
              </w:rPr>
              <w:t>2 354,9</w:t>
            </w:r>
          </w:p>
        </w:tc>
        <w:tc>
          <w:tcPr>
            <w:tcW w:w="1701" w:type="dxa"/>
            <w:tcBorders>
              <w:top w:val="nil"/>
              <w:left w:val="nil"/>
              <w:bottom w:val="single" w:sz="4" w:space="0" w:color="auto"/>
              <w:right w:val="single" w:sz="4" w:space="0" w:color="auto"/>
            </w:tcBorders>
            <w:shd w:val="clear" w:color="auto" w:fill="auto"/>
            <w:vAlign w:val="center"/>
            <w:hideMark/>
          </w:tcPr>
          <w:p w14:paraId="4ED3FA83" w14:textId="77777777" w:rsidR="005C47FF" w:rsidRPr="00B131F5" w:rsidRDefault="005C47FF" w:rsidP="000703D6">
            <w:pPr>
              <w:jc w:val="right"/>
              <w:rPr>
                <w:noProof/>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353E597E" w14:textId="77777777" w:rsidR="005C47FF" w:rsidRPr="00B131F5" w:rsidRDefault="005C47FF" w:rsidP="000703D6">
            <w:pPr>
              <w:jc w:val="right"/>
              <w:rPr>
                <w:noProof/>
                <w:sz w:val="16"/>
                <w:szCs w:val="16"/>
              </w:rPr>
            </w:pPr>
            <w:r>
              <w:rPr>
                <w:noProof/>
                <w:sz w:val="16"/>
              </w:rPr>
              <w:t>2 354,6</w:t>
            </w:r>
          </w:p>
        </w:tc>
      </w:tr>
      <w:tr w:rsidR="005C47FF" w:rsidRPr="00937B4C" w14:paraId="4804D0D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684426A3" w14:textId="77777777" w:rsidR="005C47FF" w:rsidRPr="00937B4C" w:rsidRDefault="005C47FF" w:rsidP="000703D6">
            <w:pPr>
              <w:ind w:firstLineChars="300" w:firstLine="480"/>
              <w:rPr>
                <w:noProof/>
                <w:color w:val="000000"/>
                <w:sz w:val="16"/>
                <w:szCs w:val="16"/>
              </w:rPr>
            </w:pPr>
            <w:r>
              <w:rPr>
                <w:noProof/>
                <w:color w:val="000000"/>
                <w:sz w:val="16"/>
              </w:rPr>
              <w:t>Europese Raad en Raad</w:t>
            </w:r>
          </w:p>
        </w:tc>
        <w:tc>
          <w:tcPr>
            <w:tcW w:w="1616" w:type="dxa"/>
            <w:tcBorders>
              <w:top w:val="nil"/>
              <w:left w:val="nil"/>
              <w:bottom w:val="single" w:sz="4" w:space="0" w:color="auto"/>
              <w:right w:val="single" w:sz="4" w:space="0" w:color="auto"/>
            </w:tcBorders>
            <w:shd w:val="clear" w:color="auto" w:fill="auto"/>
            <w:vAlign w:val="center"/>
            <w:hideMark/>
          </w:tcPr>
          <w:p w14:paraId="198B1F66" w14:textId="77777777" w:rsidR="005C47FF" w:rsidRPr="00B131F5" w:rsidRDefault="005C47FF" w:rsidP="000703D6">
            <w:pPr>
              <w:jc w:val="right"/>
              <w:rPr>
                <w:noProof/>
                <w:color w:val="000000"/>
                <w:sz w:val="16"/>
                <w:szCs w:val="16"/>
              </w:rPr>
            </w:pPr>
            <w:r>
              <w:rPr>
                <w:noProof/>
                <w:sz w:val="16"/>
              </w:rPr>
              <w:t>676,8</w:t>
            </w:r>
          </w:p>
        </w:tc>
        <w:tc>
          <w:tcPr>
            <w:tcW w:w="1701" w:type="dxa"/>
            <w:tcBorders>
              <w:top w:val="nil"/>
              <w:left w:val="nil"/>
              <w:bottom w:val="single" w:sz="4" w:space="0" w:color="auto"/>
              <w:right w:val="single" w:sz="4" w:space="0" w:color="auto"/>
            </w:tcBorders>
            <w:shd w:val="clear" w:color="auto" w:fill="auto"/>
            <w:vAlign w:val="center"/>
            <w:hideMark/>
          </w:tcPr>
          <w:p w14:paraId="094039EA"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7FFA7FC6" w14:textId="77777777" w:rsidR="005C47FF" w:rsidRPr="00B131F5" w:rsidRDefault="005C47FF" w:rsidP="000703D6">
            <w:pPr>
              <w:jc w:val="right"/>
              <w:rPr>
                <w:noProof/>
                <w:color w:val="000000"/>
                <w:sz w:val="16"/>
                <w:szCs w:val="16"/>
              </w:rPr>
            </w:pPr>
            <w:r>
              <w:rPr>
                <w:noProof/>
                <w:sz w:val="16"/>
              </w:rPr>
              <w:t xml:space="preserve"> 676,8</w:t>
            </w:r>
          </w:p>
        </w:tc>
      </w:tr>
      <w:tr w:rsidR="005C47FF" w:rsidRPr="00937B4C" w14:paraId="680734FF"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BCD3A32" w14:textId="77777777" w:rsidR="005C47FF" w:rsidRPr="00937B4C" w:rsidRDefault="005C47FF" w:rsidP="000703D6">
            <w:pPr>
              <w:ind w:firstLineChars="300" w:firstLine="480"/>
              <w:rPr>
                <w:noProof/>
                <w:color w:val="000000"/>
                <w:sz w:val="16"/>
                <w:szCs w:val="16"/>
              </w:rPr>
            </w:pPr>
            <w:r>
              <w:rPr>
                <w:noProof/>
                <w:color w:val="000000"/>
                <w:sz w:val="16"/>
              </w:rPr>
              <w:t>Hof van Justitie van de Europese Unie</w:t>
            </w:r>
          </w:p>
        </w:tc>
        <w:tc>
          <w:tcPr>
            <w:tcW w:w="1616" w:type="dxa"/>
            <w:tcBorders>
              <w:top w:val="nil"/>
              <w:left w:val="nil"/>
              <w:bottom w:val="single" w:sz="4" w:space="0" w:color="auto"/>
              <w:right w:val="single" w:sz="4" w:space="0" w:color="auto"/>
            </w:tcBorders>
            <w:shd w:val="clear" w:color="auto" w:fill="auto"/>
            <w:vAlign w:val="center"/>
            <w:hideMark/>
          </w:tcPr>
          <w:p w14:paraId="0B3E8BCD" w14:textId="77777777" w:rsidR="005C47FF" w:rsidRPr="00B131F5" w:rsidRDefault="005C47FF" w:rsidP="000703D6">
            <w:pPr>
              <w:jc w:val="right"/>
              <w:rPr>
                <w:noProof/>
                <w:color w:val="000000"/>
                <w:sz w:val="16"/>
                <w:szCs w:val="16"/>
              </w:rPr>
            </w:pPr>
            <w:r>
              <w:rPr>
                <w:noProof/>
                <w:sz w:val="16"/>
              </w:rPr>
              <w:t>502,4</w:t>
            </w:r>
          </w:p>
        </w:tc>
        <w:tc>
          <w:tcPr>
            <w:tcW w:w="1701" w:type="dxa"/>
            <w:tcBorders>
              <w:top w:val="nil"/>
              <w:left w:val="nil"/>
              <w:bottom w:val="single" w:sz="4" w:space="0" w:color="auto"/>
              <w:right w:val="single" w:sz="4" w:space="0" w:color="auto"/>
            </w:tcBorders>
            <w:shd w:val="clear" w:color="auto" w:fill="auto"/>
            <w:vAlign w:val="center"/>
            <w:hideMark/>
          </w:tcPr>
          <w:p w14:paraId="7985DFDB"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1FE9D117" w14:textId="77777777" w:rsidR="005C47FF" w:rsidRPr="00B131F5" w:rsidRDefault="005C47FF" w:rsidP="000703D6">
            <w:pPr>
              <w:jc w:val="right"/>
              <w:rPr>
                <w:noProof/>
                <w:color w:val="000000"/>
                <w:sz w:val="16"/>
                <w:szCs w:val="16"/>
              </w:rPr>
            </w:pPr>
            <w:r>
              <w:rPr>
                <w:noProof/>
                <w:sz w:val="16"/>
              </w:rPr>
              <w:t xml:space="preserve"> 502,4</w:t>
            </w:r>
          </w:p>
        </w:tc>
      </w:tr>
      <w:tr w:rsidR="005C47FF" w:rsidRPr="00937B4C" w14:paraId="23F0676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7890C13" w14:textId="77777777" w:rsidR="005C47FF" w:rsidRPr="00937B4C" w:rsidRDefault="005C47FF" w:rsidP="000703D6">
            <w:pPr>
              <w:ind w:firstLineChars="300" w:firstLine="480"/>
              <w:rPr>
                <w:noProof/>
                <w:color w:val="000000"/>
                <w:sz w:val="16"/>
                <w:szCs w:val="16"/>
              </w:rPr>
            </w:pPr>
            <w:r>
              <w:rPr>
                <w:noProof/>
                <w:color w:val="000000"/>
                <w:sz w:val="16"/>
              </w:rPr>
              <w:t>Rekenkamer</w:t>
            </w:r>
          </w:p>
        </w:tc>
        <w:tc>
          <w:tcPr>
            <w:tcW w:w="1616" w:type="dxa"/>
            <w:tcBorders>
              <w:top w:val="nil"/>
              <w:left w:val="nil"/>
              <w:bottom w:val="single" w:sz="4" w:space="0" w:color="auto"/>
              <w:right w:val="single" w:sz="4" w:space="0" w:color="auto"/>
            </w:tcBorders>
            <w:shd w:val="clear" w:color="auto" w:fill="auto"/>
            <w:vAlign w:val="center"/>
            <w:hideMark/>
          </w:tcPr>
          <w:p w14:paraId="5FA13541" w14:textId="77777777" w:rsidR="005C47FF" w:rsidRPr="00B131F5" w:rsidRDefault="005C47FF" w:rsidP="000703D6">
            <w:pPr>
              <w:jc w:val="right"/>
              <w:rPr>
                <w:noProof/>
                <w:color w:val="000000"/>
                <w:sz w:val="16"/>
                <w:szCs w:val="16"/>
              </w:rPr>
            </w:pPr>
            <w:r>
              <w:rPr>
                <w:noProof/>
                <w:sz w:val="16"/>
              </w:rPr>
              <w:t>184,8</w:t>
            </w:r>
          </w:p>
        </w:tc>
        <w:tc>
          <w:tcPr>
            <w:tcW w:w="1701" w:type="dxa"/>
            <w:tcBorders>
              <w:top w:val="nil"/>
              <w:left w:val="nil"/>
              <w:bottom w:val="single" w:sz="4" w:space="0" w:color="auto"/>
              <w:right w:val="single" w:sz="4" w:space="0" w:color="auto"/>
            </w:tcBorders>
            <w:shd w:val="clear" w:color="auto" w:fill="auto"/>
            <w:vAlign w:val="center"/>
            <w:hideMark/>
          </w:tcPr>
          <w:p w14:paraId="4684DE4C" w14:textId="77777777" w:rsidR="005C47FF" w:rsidRPr="00B131F5" w:rsidRDefault="005C47FF" w:rsidP="000703D6">
            <w:pPr>
              <w:jc w:val="right"/>
              <w:rPr>
                <w:noProof/>
                <w:color w:val="000000"/>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7250E1B9" w14:textId="77777777" w:rsidR="005C47FF" w:rsidRPr="00B131F5" w:rsidRDefault="005C47FF" w:rsidP="000703D6">
            <w:pPr>
              <w:jc w:val="right"/>
              <w:rPr>
                <w:noProof/>
                <w:sz w:val="16"/>
                <w:szCs w:val="16"/>
              </w:rPr>
            </w:pPr>
            <w:r>
              <w:rPr>
                <w:noProof/>
                <w:sz w:val="16"/>
              </w:rPr>
              <w:t>185,1</w:t>
            </w:r>
          </w:p>
        </w:tc>
      </w:tr>
      <w:tr w:rsidR="005C47FF" w:rsidRPr="00937B4C" w14:paraId="5509424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8BC85C1" w14:textId="77777777" w:rsidR="005C47FF" w:rsidRPr="00937B4C" w:rsidRDefault="005C47FF" w:rsidP="000703D6">
            <w:pPr>
              <w:ind w:firstLineChars="300" w:firstLine="480"/>
              <w:rPr>
                <w:noProof/>
                <w:color w:val="000000"/>
                <w:sz w:val="16"/>
                <w:szCs w:val="16"/>
              </w:rPr>
            </w:pPr>
            <w:r>
              <w:rPr>
                <w:noProof/>
                <w:color w:val="000000"/>
                <w:sz w:val="16"/>
              </w:rPr>
              <w:t>Europees Economisch en Sociaal Comité</w:t>
            </w:r>
          </w:p>
        </w:tc>
        <w:tc>
          <w:tcPr>
            <w:tcW w:w="1616" w:type="dxa"/>
            <w:tcBorders>
              <w:top w:val="nil"/>
              <w:left w:val="nil"/>
              <w:bottom w:val="single" w:sz="4" w:space="0" w:color="auto"/>
              <w:right w:val="single" w:sz="4" w:space="0" w:color="auto"/>
            </w:tcBorders>
            <w:shd w:val="clear" w:color="auto" w:fill="auto"/>
            <w:vAlign w:val="center"/>
            <w:hideMark/>
          </w:tcPr>
          <w:p w14:paraId="5364300D" w14:textId="77777777" w:rsidR="005C47FF" w:rsidRPr="00B131F5" w:rsidRDefault="005C47FF" w:rsidP="000703D6">
            <w:pPr>
              <w:jc w:val="right"/>
              <w:rPr>
                <w:noProof/>
                <w:color w:val="000000"/>
                <w:sz w:val="16"/>
                <w:szCs w:val="16"/>
              </w:rPr>
            </w:pPr>
            <w:r>
              <w:rPr>
                <w:noProof/>
                <w:sz w:val="16"/>
              </w:rPr>
              <w:t>164,9</w:t>
            </w:r>
          </w:p>
        </w:tc>
        <w:tc>
          <w:tcPr>
            <w:tcW w:w="1701" w:type="dxa"/>
            <w:tcBorders>
              <w:top w:val="nil"/>
              <w:left w:val="nil"/>
              <w:bottom w:val="single" w:sz="4" w:space="0" w:color="auto"/>
              <w:right w:val="single" w:sz="4" w:space="0" w:color="auto"/>
            </w:tcBorders>
            <w:shd w:val="clear" w:color="auto" w:fill="auto"/>
            <w:vAlign w:val="center"/>
            <w:hideMark/>
          </w:tcPr>
          <w:p w14:paraId="459454F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668D47D2" w14:textId="77777777" w:rsidR="005C47FF" w:rsidRPr="00B131F5" w:rsidRDefault="005C47FF" w:rsidP="000703D6">
            <w:pPr>
              <w:jc w:val="right"/>
              <w:rPr>
                <w:noProof/>
                <w:sz w:val="16"/>
                <w:szCs w:val="16"/>
              </w:rPr>
            </w:pPr>
            <w:r>
              <w:rPr>
                <w:noProof/>
                <w:sz w:val="16"/>
              </w:rPr>
              <w:t>164,9</w:t>
            </w:r>
          </w:p>
        </w:tc>
      </w:tr>
      <w:tr w:rsidR="005C47FF" w:rsidRPr="00937B4C" w14:paraId="3BBFCA27"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F410C83" w14:textId="77777777" w:rsidR="005C47FF" w:rsidRPr="00937B4C" w:rsidRDefault="005C47FF" w:rsidP="000703D6">
            <w:pPr>
              <w:ind w:firstLineChars="300" w:firstLine="480"/>
              <w:rPr>
                <w:noProof/>
                <w:color w:val="000000"/>
                <w:sz w:val="16"/>
                <w:szCs w:val="16"/>
              </w:rPr>
            </w:pPr>
            <w:r>
              <w:rPr>
                <w:noProof/>
                <w:color w:val="000000"/>
                <w:sz w:val="16"/>
              </w:rPr>
              <w:t>Comité van de Regio's</w:t>
            </w:r>
          </w:p>
        </w:tc>
        <w:tc>
          <w:tcPr>
            <w:tcW w:w="1616" w:type="dxa"/>
            <w:tcBorders>
              <w:top w:val="nil"/>
              <w:left w:val="nil"/>
              <w:bottom w:val="single" w:sz="4" w:space="0" w:color="auto"/>
              <w:right w:val="single" w:sz="4" w:space="0" w:color="auto"/>
            </w:tcBorders>
            <w:shd w:val="clear" w:color="auto" w:fill="auto"/>
            <w:vAlign w:val="center"/>
            <w:hideMark/>
          </w:tcPr>
          <w:p w14:paraId="5D89F28D" w14:textId="77777777" w:rsidR="005C47FF" w:rsidRPr="00B131F5" w:rsidRDefault="005C47FF" w:rsidP="000703D6">
            <w:pPr>
              <w:jc w:val="right"/>
              <w:rPr>
                <w:noProof/>
                <w:color w:val="000000"/>
                <w:sz w:val="16"/>
                <w:szCs w:val="16"/>
              </w:rPr>
            </w:pPr>
            <w:r>
              <w:rPr>
                <w:noProof/>
                <w:sz w:val="16"/>
              </w:rPr>
              <w:t>121,9</w:t>
            </w:r>
          </w:p>
        </w:tc>
        <w:tc>
          <w:tcPr>
            <w:tcW w:w="1701" w:type="dxa"/>
            <w:tcBorders>
              <w:top w:val="nil"/>
              <w:left w:val="nil"/>
              <w:bottom w:val="single" w:sz="4" w:space="0" w:color="auto"/>
              <w:right w:val="single" w:sz="4" w:space="0" w:color="auto"/>
            </w:tcBorders>
            <w:shd w:val="clear" w:color="auto" w:fill="auto"/>
            <w:vAlign w:val="center"/>
            <w:hideMark/>
          </w:tcPr>
          <w:p w14:paraId="102AF9D2"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5BBEA4A9" w14:textId="77777777" w:rsidR="005C47FF" w:rsidRPr="00B131F5" w:rsidRDefault="005C47FF" w:rsidP="000703D6">
            <w:pPr>
              <w:jc w:val="right"/>
              <w:rPr>
                <w:noProof/>
                <w:sz w:val="16"/>
                <w:szCs w:val="16"/>
              </w:rPr>
            </w:pPr>
            <w:r>
              <w:rPr>
                <w:noProof/>
                <w:sz w:val="16"/>
              </w:rPr>
              <w:t>121,9</w:t>
            </w:r>
          </w:p>
        </w:tc>
      </w:tr>
      <w:tr w:rsidR="005C47FF" w:rsidRPr="00937B4C" w14:paraId="3A1DE35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7BAFD14" w14:textId="77777777" w:rsidR="005C47FF" w:rsidRPr="00937B4C" w:rsidRDefault="005C47FF" w:rsidP="000703D6">
            <w:pPr>
              <w:ind w:firstLineChars="300" w:firstLine="480"/>
              <w:rPr>
                <w:noProof/>
                <w:color w:val="000000"/>
                <w:sz w:val="16"/>
                <w:szCs w:val="16"/>
              </w:rPr>
            </w:pPr>
            <w:r>
              <w:rPr>
                <w:noProof/>
                <w:color w:val="000000"/>
                <w:sz w:val="16"/>
              </w:rPr>
              <w:t>Europese Ombudsman</w:t>
            </w:r>
          </w:p>
        </w:tc>
        <w:tc>
          <w:tcPr>
            <w:tcW w:w="1616" w:type="dxa"/>
            <w:tcBorders>
              <w:top w:val="nil"/>
              <w:left w:val="nil"/>
              <w:bottom w:val="single" w:sz="4" w:space="0" w:color="auto"/>
              <w:right w:val="single" w:sz="4" w:space="0" w:color="auto"/>
            </w:tcBorders>
            <w:shd w:val="clear" w:color="auto" w:fill="auto"/>
            <w:vAlign w:val="center"/>
            <w:hideMark/>
          </w:tcPr>
          <w:p w14:paraId="6B8BC9F8" w14:textId="77777777" w:rsidR="005C47FF" w:rsidRPr="00B131F5" w:rsidRDefault="005C47FF" w:rsidP="000703D6">
            <w:pPr>
              <w:jc w:val="right"/>
              <w:rPr>
                <w:noProof/>
                <w:color w:val="000000"/>
                <w:sz w:val="16"/>
                <w:szCs w:val="16"/>
              </w:rPr>
            </w:pPr>
            <w:r>
              <w:rPr>
                <w:noProof/>
                <w:sz w:val="16"/>
              </w:rPr>
              <w:t>13,7</w:t>
            </w:r>
          </w:p>
        </w:tc>
        <w:tc>
          <w:tcPr>
            <w:tcW w:w="1701" w:type="dxa"/>
            <w:tcBorders>
              <w:top w:val="nil"/>
              <w:left w:val="nil"/>
              <w:bottom w:val="single" w:sz="4" w:space="0" w:color="auto"/>
              <w:right w:val="single" w:sz="4" w:space="0" w:color="auto"/>
            </w:tcBorders>
            <w:shd w:val="clear" w:color="auto" w:fill="auto"/>
            <w:vAlign w:val="center"/>
            <w:hideMark/>
          </w:tcPr>
          <w:p w14:paraId="6CD029E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08E451AC" w14:textId="77777777" w:rsidR="005C47FF" w:rsidRPr="00B131F5" w:rsidRDefault="005C47FF" w:rsidP="000703D6">
            <w:pPr>
              <w:jc w:val="right"/>
              <w:rPr>
                <w:noProof/>
                <w:sz w:val="16"/>
                <w:szCs w:val="16"/>
              </w:rPr>
            </w:pPr>
            <w:r>
              <w:rPr>
                <w:noProof/>
                <w:sz w:val="16"/>
              </w:rPr>
              <w:t>13,7</w:t>
            </w:r>
          </w:p>
        </w:tc>
      </w:tr>
      <w:tr w:rsidR="005C47FF" w:rsidRPr="00937B4C" w14:paraId="7EAEE33C"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7A84340" w14:textId="77777777" w:rsidR="005C47FF" w:rsidRPr="00937B4C" w:rsidRDefault="005C47FF" w:rsidP="000703D6">
            <w:pPr>
              <w:ind w:firstLineChars="300" w:firstLine="480"/>
              <w:rPr>
                <w:noProof/>
                <w:color w:val="000000"/>
                <w:sz w:val="16"/>
                <w:szCs w:val="16"/>
              </w:rPr>
            </w:pPr>
            <w:r>
              <w:rPr>
                <w:noProof/>
                <w:color w:val="000000"/>
                <w:sz w:val="16"/>
              </w:rPr>
              <w:t>Europese Toezichthouder voor gegevensbescherming</w:t>
            </w:r>
          </w:p>
        </w:tc>
        <w:tc>
          <w:tcPr>
            <w:tcW w:w="1616" w:type="dxa"/>
            <w:tcBorders>
              <w:top w:val="nil"/>
              <w:left w:val="nil"/>
              <w:bottom w:val="single" w:sz="4" w:space="0" w:color="auto"/>
              <w:right w:val="single" w:sz="4" w:space="0" w:color="auto"/>
            </w:tcBorders>
            <w:shd w:val="clear" w:color="auto" w:fill="auto"/>
            <w:vAlign w:val="center"/>
            <w:hideMark/>
          </w:tcPr>
          <w:p w14:paraId="7D28A744" w14:textId="77777777" w:rsidR="005C47FF" w:rsidRPr="00B131F5" w:rsidRDefault="005C47FF" w:rsidP="000703D6">
            <w:pPr>
              <w:jc w:val="right"/>
              <w:rPr>
                <w:noProof/>
                <w:color w:val="000000"/>
                <w:sz w:val="16"/>
                <w:szCs w:val="16"/>
              </w:rPr>
            </w:pPr>
            <w:r>
              <w:rPr>
                <w:noProof/>
                <w:sz w:val="16"/>
              </w:rPr>
              <w:t>23,9</w:t>
            </w:r>
          </w:p>
        </w:tc>
        <w:tc>
          <w:tcPr>
            <w:tcW w:w="1701" w:type="dxa"/>
            <w:tcBorders>
              <w:top w:val="nil"/>
              <w:left w:val="nil"/>
              <w:bottom w:val="single" w:sz="4" w:space="0" w:color="auto"/>
              <w:right w:val="single" w:sz="4" w:space="0" w:color="auto"/>
            </w:tcBorders>
            <w:shd w:val="clear" w:color="auto" w:fill="auto"/>
            <w:vAlign w:val="center"/>
            <w:hideMark/>
          </w:tcPr>
          <w:p w14:paraId="1BA5E4A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464275D2" w14:textId="77777777" w:rsidR="005C47FF" w:rsidRPr="00B131F5" w:rsidRDefault="005C47FF" w:rsidP="000703D6">
            <w:pPr>
              <w:jc w:val="right"/>
              <w:rPr>
                <w:noProof/>
                <w:sz w:val="16"/>
                <w:szCs w:val="16"/>
              </w:rPr>
            </w:pPr>
            <w:r>
              <w:rPr>
                <w:noProof/>
                <w:sz w:val="16"/>
              </w:rPr>
              <w:t>23,9</w:t>
            </w:r>
          </w:p>
        </w:tc>
      </w:tr>
      <w:tr w:rsidR="005C47FF" w:rsidRPr="00937B4C" w14:paraId="3ADE27A5"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6506EDC" w14:textId="77777777" w:rsidR="005C47FF" w:rsidRPr="00937B4C" w:rsidRDefault="005C47FF" w:rsidP="000703D6">
            <w:pPr>
              <w:ind w:firstLineChars="300" w:firstLine="480"/>
              <w:rPr>
                <w:noProof/>
                <w:color w:val="000000"/>
                <w:sz w:val="16"/>
                <w:szCs w:val="16"/>
              </w:rPr>
            </w:pPr>
            <w:r>
              <w:rPr>
                <w:noProof/>
                <w:color w:val="000000"/>
                <w:sz w:val="16"/>
              </w:rPr>
              <w:t>Europese Dienst voor extern optreden</w:t>
            </w:r>
          </w:p>
        </w:tc>
        <w:tc>
          <w:tcPr>
            <w:tcW w:w="1616" w:type="dxa"/>
            <w:tcBorders>
              <w:top w:val="nil"/>
              <w:left w:val="nil"/>
              <w:bottom w:val="single" w:sz="4" w:space="0" w:color="auto"/>
              <w:right w:val="single" w:sz="4" w:space="0" w:color="auto"/>
            </w:tcBorders>
            <w:shd w:val="clear" w:color="auto" w:fill="auto"/>
            <w:vAlign w:val="center"/>
            <w:hideMark/>
          </w:tcPr>
          <w:p w14:paraId="26B99D5A" w14:textId="77777777" w:rsidR="005C47FF" w:rsidRPr="00B131F5" w:rsidRDefault="005C47FF" w:rsidP="000703D6">
            <w:pPr>
              <w:jc w:val="right"/>
              <w:rPr>
                <w:noProof/>
                <w:color w:val="000000"/>
                <w:sz w:val="16"/>
                <w:szCs w:val="16"/>
              </w:rPr>
            </w:pPr>
            <w:r>
              <w:rPr>
                <w:noProof/>
                <w:sz w:val="16"/>
              </w:rPr>
              <w:t>872,2</w:t>
            </w:r>
          </w:p>
        </w:tc>
        <w:tc>
          <w:tcPr>
            <w:tcW w:w="1701" w:type="dxa"/>
            <w:tcBorders>
              <w:top w:val="nil"/>
              <w:left w:val="nil"/>
              <w:bottom w:val="single" w:sz="4" w:space="0" w:color="auto"/>
              <w:right w:val="single" w:sz="4" w:space="0" w:color="auto"/>
            </w:tcBorders>
            <w:shd w:val="clear" w:color="auto" w:fill="auto"/>
            <w:vAlign w:val="center"/>
            <w:hideMark/>
          </w:tcPr>
          <w:p w14:paraId="39D65EB6" w14:textId="5520E336" w:rsidR="005C47FF" w:rsidRPr="00B131F5" w:rsidRDefault="00F05039" w:rsidP="000703D6">
            <w:pPr>
              <w:jc w:val="right"/>
              <w:rPr>
                <w:noProof/>
                <w:sz w:val="16"/>
                <w:szCs w:val="16"/>
              </w:rPr>
            </w:pPr>
            <w:r>
              <w:rPr>
                <w:noProof/>
                <w:sz w:val="16"/>
              </w:rPr>
              <w:t>7,9</w:t>
            </w:r>
          </w:p>
        </w:tc>
        <w:tc>
          <w:tcPr>
            <w:tcW w:w="1842" w:type="dxa"/>
            <w:tcBorders>
              <w:top w:val="nil"/>
              <w:left w:val="nil"/>
              <w:bottom w:val="single" w:sz="4" w:space="0" w:color="auto"/>
              <w:right w:val="single" w:sz="4" w:space="0" w:color="auto"/>
            </w:tcBorders>
            <w:shd w:val="clear" w:color="auto" w:fill="auto"/>
            <w:vAlign w:val="center"/>
            <w:hideMark/>
          </w:tcPr>
          <w:p w14:paraId="6FFC3DDD" w14:textId="07AFD047" w:rsidR="005C47FF" w:rsidRPr="00B131F5" w:rsidRDefault="00F05039" w:rsidP="000703D6">
            <w:pPr>
              <w:jc w:val="right"/>
              <w:rPr>
                <w:noProof/>
                <w:sz w:val="16"/>
                <w:szCs w:val="16"/>
              </w:rPr>
            </w:pPr>
            <w:r>
              <w:rPr>
                <w:noProof/>
                <w:sz w:val="16"/>
              </w:rPr>
              <w:t>880,1</w:t>
            </w:r>
          </w:p>
        </w:tc>
      </w:tr>
      <w:tr w:rsidR="005C47FF" w:rsidRPr="00937B4C" w14:paraId="25A35F03"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A3AF31" w14:textId="77777777" w:rsidR="005C47FF" w:rsidRPr="00937B4C" w:rsidRDefault="005C47FF" w:rsidP="000703D6">
            <w:pPr>
              <w:jc w:val="both"/>
              <w:rPr>
                <w:b/>
                <w:bCs/>
                <w:noProof/>
                <w:color w:val="000000"/>
                <w:sz w:val="20"/>
                <w:szCs w:val="20"/>
              </w:rPr>
            </w:pPr>
            <w:r>
              <w:rPr>
                <w:b/>
                <w:noProof/>
                <w:sz w:val="20"/>
              </w:rPr>
              <w:t xml:space="preserve">Totaal </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5D84EB3A" w14:textId="77777777" w:rsidR="005C47FF" w:rsidRPr="00937B4C" w:rsidRDefault="005C47FF" w:rsidP="000703D6">
            <w:pPr>
              <w:jc w:val="right"/>
              <w:rPr>
                <w:b/>
                <w:bCs/>
                <w:noProof/>
                <w:color w:val="000000"/>
                <w:sz w:val="20"/>
                <w:szCs w:val="20"/>
              </w:rPr>
            </w:pPr>
            <w:r>
              <w:rPr>
                <w:b/>
                <w:noProof/>
                <w:sz w:val="20"/>
              </w:rPr>
              <w:t>11 949,6</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4F40F6CC" w14:textId="6D5887C8" w:rsidR="005C47FF" w:rsidRPr="00937B4C" w:rsidRDefault="00F05039" w:rsidP="000703D6">
            <w:pPr>
              <w:jc w:val="right"/>
              <w:rPr>
                <w:noProof/>
                <w:sz w:val="20"/>
                <w:szCs w:val="20"/>
              </w:rPr>
            </w:pPr>
            <w:r>
              <w:rPr>
                <w:b/>
                <w:noProof/>
                <w:color w:val="000000" w:themeColor="text1"/>
                <w:sz w:val="20"/>
              </w:rPr>
              <w:t>4,6</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0A48CB13" w14:textId="47B5F877" w:rsidR="005C47FF" w:rsidRPr="00937B4C" w:rsidRDefault="005C47FF" w:rsidP="000703D6">
            <w:pPr>
              <w:jc w:val="right"/>
              <w:rPr>
                <w:noProof/>
                <w:sz w:val="20"/>
                <w:szCs w:val="20"/>
              </w:rPr>
            </w:pPr>
            <w:r>
              <w:rPr>
                <w:b/>
                <w:noProof/>
                <w:sz w:val="20"/>
              </w:rPr>
              <w:t>11 954,2</w:t>
            </w:r>
          </w:p>
        </w:tc>
      </w:tr>
    </w:tbl>
    <w:p w14:paraId="6FE895F8" w14:textId="370E1BAA" w:rsidR="00C165E3" w:rsidRDefault="704E5325" w:rsidP="005F6C3A">
      <w:pPr>
        <w:autoSpaceDE w:val="0"/>
        <w:autoSpaceDN w:val="0"/>
        <w:adjustRightInd w:val="0"/>
        <w:spacing w:before="120" w:after="120" w:line="259" w:lineRule="auto"/>
        <w:jc w:val="both"/>
        <w:rPr>
          <w:noProof/>
        </w:rPr>
      </w:pPr>
      <w:r>
        <w:rPr>
          <w:noProof/>
        </w:rPr>
        <w:t>Bijgevolg moet het beroep op het enkelvoudig marge-instrument in rubriek 7 worden verhoogd met een bedrag van 4,6 miljoen EUR ten opzichte van de OB 2024, hetgeen leidt tot het gebruik van het enkelvoudig marge-instrument overeenkomstig artikel 11, lid 1, punt a), van de MFK-verordening voor een bedrag van 181,2 miljoen EUR in 2024 om aan alle wettelijke verplichtingen te voldoen. De totale uitgaven voor administratie in rubriek 7 blijven in de periode 2021-2024 echter binnen de maxima die voor deze rubriek in de MFK-verordening zijn vastgesteld, aangezien de ongebruikte marges in rubriek 7 in 2021-2022 467 miljoen EUR bedroegen.</w:t>
      </w:r>
    </w:p>
    <w:p w14:paraId="38FBF8D6" w14:textId="4F699405" w:rsidR="00F16A2C" w:rsidRDefault="00692727" w:rsidP="00295C22">
      <w:pPr>
        <w:pStyle w:val="ManualHeading1"/>
        <w:ind w:left="0" w:firstLine="0"/>
        <w:rPr>
          <w:noProof/>
        </w:rPr>
      </w:pPr>
      <w:bookmarkStart w:id="103" w:name="_Toc114838644"/>
      <w:bookmarkStart w:id="104" w:name="_Toc145922834"/>
      <w:r>
        <w:rPr>
          <w:noProof/>
        </w:rPr>
        <w:t>8.</w:t>
      </w:r>
      <w:r>
        <w:rPr>
          <w:noProof/>
        </w:rPr>
        <w:tab/>
      </w:r>
      <w:bookmarkEnd w:id="103"/>
      <w:r>
        <w:rPr>
          <w:noProof/>
        </w:rPr>
        <w:t>Overdracht van de reserve naar de operationele begrotingsonderdelen</w:t>
      </w:r>
      <w:bookmarkEnd w:id="104"/>
    </w:p>
    <w:p w14:paraId="7564036F" w14:textId="1AA0E3AF" w:rsidR="00CC6269" w:rsidRDefault="00692727" w:rsidP="00A263F6">
      <w:pPr>
        <w:spacing w:after="120" w:line="259" w:lineRule="auto"/>
        <w:jc w:val="both"/>
        <w:rPr>
          <w:noProof/>
        </w:rPr>
      </w:pPr>
      <w:r>
        <w:rPr>
          <w:noProof/>
        </w:rPr>
        <w:t>Naar aanleiding van de vaststelling van de desbetreffende rechtshandelingen door de medewetgevers stelt de Commissie voor de bedragen die momenteel in de reserve zijn opgenomen voor de verordening betreffende de ondersteuning van de productie van munitie (ASAP)</w:t>
      </w:r>
      <w:r>
        <w:rPr>
          <w:rStyle w:val="FootnoteReference"/>
          <w:noProof/>
        </w:rPr>
        <w:footnoteReference w:id="16"/>
      </w:r>
      <w:r>
        <w:rPr>
          <w:noProof/>
        </w:rPr>
        <w:t xml:space="preserve"> en het instrument voor de versterking van de Europese defensie-industrie door middel van gemeenschappelijke aanbestedingen (Edirpa)</w:t>
      </w:r>
      <w:r>
        <w:rPr>
          <w:rStyle w:val="FootnoteReference"/>
          <w:noProof/>
        </w:rPr>
        <w:footnoteReference w:id="17"/>
      </w:r>
      <w:r>
        <w:rPr>
          <w:noProof/>
        </w:rPr>
        <w:t xml:space="preserve"> als volgt over te hevelen naar de operationele begrotingsonderdelen van de betrokken programma’s: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323469" w:rsidRPr="00B31192" w14:paraId="60CD0306" w14:textId="77777777">
        <w:trPr>
          <w:jc w:val="center"/>
        </w:trPr>
        <w:tc>
          <w:tcPr>
            <w:tcW w:w="9810" w:type="dxa"/>
            <w:gridSpan w:val="4"/>
            <w:tcBorders>
              <w:top w:val="nil"/>
              <w:left w:val="nil"/>
              <w:bottom w:val="single" w:sz="4" w:space="0" w:color="auto"/>
              <w:right w:val="nil"/>
            </w:tcBorders>
            <w:shd w:val="clear" w:color="auto" w:fill="auto"/>
            <w:vAlign w:val="center"/>
          </w:tcPr>
          <w:p w14:paraId="112202AB" w14:textId="77777777" w:rsidR="00323469" w:rsidRPr="00B31192" w:rsidRDefault="00323469">
            <w:pPr>
              <w:widowControl w:val="0"/>
              <w:spacing w:before="15" w:after="15"/>
              <w:jc w:val="right"/>
              <w:rPr>
                <w:i/>
                <w:noProof/>
                <w:sz w:val="20"/>
                <w:szCs w:val="20"/>
              </w:rPr>
            </w:pPr>
            <w:r>
              <w:rPr>
                <w:i/>
                <w:noProof/>
                <w:sz w:val="20"/>
              </w:rPr>
              <w:t>EUR</w:t>
            </w:r>
          </w:p>
        </w:tc>
      </w:tr>
      <w:tr w:rsidR="00323469" w:rsidRPr="00B31192" w14:paraId="67D3C1EA" w14:textId="77777777">
        <w:trPr>
          <w:jc w:val="center"/>
        </w:trPr>
        <w:tc>
          <w:tcPr>
            <w:tcW w:w="1276" w:type="dxa"/>
            <w:tcBorders>
              <w:top w:val="single" w:sz="4" w:space="0" w:color="auto"/>
            </w:tcBorders>
            <w:shd w:val="clear" w:color="auto" w:fill="D9D9D9" w:themeFill="background1" w:themeFillShade="D9"/>
            <w:vAlign w:val="center"/>
          </w:tcPr>
          <w:p w14:paraId="33F9F3DE" w14:textId="13EA8F6F" w:rsidR="00323469" w:rsidRPr="00B31192" w:rsidRDefault="00323469">
            <w:pPr>
              <w:keepNext/>
              <w:spacing w:before="15" w:after="15"/>
              <w:jc w:val="center"/>
              <w:rPr>
                <w:b/>
                <w:noProof/>
                <w:sz w:val="20"/>
                <w:szCs w:val="20"/>
              </w:rPr>
            </w:pPr>
            <w:r>
              <w:rPr>
                <w:b/>
                <w:noProof/>
                <w:sz w:val="20"/>
              </w:rPr>
              <w:t>Begrotings</w:t>
            </w:r>
            <w:r w:rsidR="003C5A89">
              <w:rPr>
                <w:b/>
                <w:noProof/>
                <w:sz w:val="20"/>
              </w:rPr>
              <w:t>-</w:t>
            </w:r>
            <w:r>
              <w:rPr>
                <w:b/>
                <w:noProof/>
                <w:sz w:val="20"/>
              </w:rPr>
              <w:t>onderdeel</w:t>
            </w:r>
          </w:p>
        </w:tc>
        <w:tc>
          <w:tcPr>
            <w:tcW w:w="5132" w:type="dxa"/>
            <w:tcBorders>
              <w:top w:val="single" w:sz="4" w:space="0" w:color="auto"/>
            </w:tcBorders>
            <w:shd w:val="clear" w:color="auto" w:fill="D9D9D9" w:themeFill="background1" w:themeFillShade="D9"/>
            <w:vAlign w:val="center"/>
          </w:tcPr>
          <w:p w14:paraId="170D5AB3" w14:textId="77777777" w:rsidR="00323469" w:rsidRPr="00B31192" w:rsidRDefault="00323469">
            <w:pPr>
              <w:widowControl w:val="0"/>
              <w:spacing w:before="15" w:after="15"/>
              <w:jc w:val="center"/>
              <w:rPr>
                <w:b/>
                <w:noProof/>
                <w:sz w:val="20"/>
                <w:szCs w:val="20"/>
              </w:rPr>
            </w:pPr>
            <w:r>
              <w:rPr>
                <w:b/>
                <w:noProof/>
                <w:sz w:val="20"/>
              </w:rPr>
              <w:t>Naam</w:t>
            </w:r>
          </w:p>
        </w:tc>
        <w:tc>
          <w:tcPr>
            <w:tcW w:w="1701" w:type="dxa"/>
            <w:tcBorders>
              <w:top w:val="single" w:sz="4" w:space="0" w:color="auto"/>
            </w:tcBorders>
            <w:shd w:val="clear" w:color="auto" w:fill="D9D9D9" w:themeFill="background1" w:themeFillShade="D9"/>
            <w:vAlign w:val="center"/>
          </w:tcPr>
          <w:p w14:paraId="765D50B4" w14:textId="288D4248" w:rsidR="00323469" w:rsidRPr="00B31192" w:rsidRDefault="00323469">
            <w:pPr>
              <w:widowControl w:val="0"/>
              <w:spacing w:before="15" w:after="15"/>
              <w:jc w:val="center"/>
              <w:rPr>
                <w:b/>
                <w:noProof/>
                <w:sz w:val="20"/>
                <w:szCs w:val="20"/>
              </w:rPr>
            </w:pPr>
            <w:r>
              <w:rPr>
                <w:b/>
                <w:noProof/>
                <w:sz w:val="20"/>
              </w:rPr>
              <w:t>Vastleggings</w:t>
            </w:r>
            <w:r w:rsidR="003C5A89">
              <w:rPr>
                <w:b/>
                <w:noProof/>
                <w:sz w:val="20"/>
              </w:rPr>
              <w:t>-</w:t>
            </w:r>
            <w:r>
              <w:rPr>
                <w:b/>
                <w:noProof/>
                <w:sz w:val="20"/>
              </w:rPr>
              <w:t>kredieten</w:t>
            </w:r>
          </w:p>
        </w:tc>
        <w:tc>
          <w:tcPr>
            <w:tcW w:w="1701" w:type="dxa"/>
            <w:tcBorders>
              <w:top w:val="single" w:sz="4" w:space="0" w:color="auto"/>
            </w:tcBorders>
            <w:shd w:val="clear" w:color="auto" w:fill="D9D9D9" w:themeFill="background1" w:themeFillShade="D9"/>
            <w:vAlign w:val="center"/>
          </w:tcPr>
          <w:p w14:paraId="74EDF4C3" w14:textId="4E349D65" w:rsidR="00323469" w:rsidRPr="00B31192" w:rsidRDefault="00323469">
            <w:pPr>
              <w:widowControl w:val="0"/>
              <w:spacing w:before="15" w:after="15"/>
              <w:jc w:val="center"/>
              <w:rPr>
                <w:b/>
                <w:noProof/>
                <w:sz w:val="20"/>
                <w:szCs w:val="20"/>
              </w:rPr>
            </w:pPr>
            <w:r>
              <w:rPr>
                <w:b/>
                <w:noProof/>
                <w:sz w:val="20"/>
              </w:rPr>
              <w:t>Betalings</w:t>
            </w:r>
            <w:r w:rsidR="003C5A89">
              <w:rPr>
                <w:b/>
                <w:noProof/>
                <w:sz w:val="20"/>
              </w:rPr>
              <w:t>-</w:t>
            </w:r>
            <w:r>
              <w:rPr>
                <w:b/>
                <w:noProof/>
                <w:sz w:val="20"/>
              </w:rPr>
              <w:t>kredieten</w:t>
            </w:r>
          </w:p>
        </w:tc>
      </w:tr>
      <w:tr w:rsidR="00323469" w:rsidRPr="00B31192" w14:paraId="78045CF5" w14:textId="77777777">
        <w:trPr>
          <w:jc w:val="center"/>
        </w:trPr>
        <w:tc>
          <w:tcPr>
            <w:tcW w:w="9810" w:type="dxa"/>
            <w:gridSpan w:val="4"/>
            <w:shd w:val="clear" w:color="auto" w:fill="F2F2F2" w:themeFill="background1" w:themeFillShade="F2"/>
            <w:vAlign w:val="center"/>
          </w:tcPr>
          <w:p w14:paraId="41C32F8F" w14:textId="77777777" w:rsidR="00323469" w:rsidRPr="00B31192" w:rsidRDefault="00323469">
            <w:pPr>
              <w:widowControl w:val="0"/>
              <w:spacing w:before="15" w:after="15"/>
              <w:rPr>
                <w:i/>
                <w:noProof/>
                <w:sz w:val="20"/>
                <w:szCs w:val="20"/>
              </w:rPr>
            </w:pPr>
            <w:r>
              <w:rPr>
                <w:i/>
                <w:noProof/>
                <w:sz w:val="20"/>
              </w:rPr>
              <w:t>Afdeling III – Commissie</w:t>
            </w:r>
          </w:p>
        </w:tc>
      </w:tr>
      <w:tr w:rsidR="009A0A41" w:rsidRPr="00B31192" w14:paraId="6243FE3E" w14:textId="77777777">
        <w:trPr>
          <w:jc w:val="center"/>
        </w:trPr>
        <w:tc>
          <w:tcPr>
            <w:tcW w:w="1276" w:type="dxa"/>
          </w:tcPr>
          <w:p w14:paraId="5A6F254E" w14:textId="5B9EB35A" w:rsidR="009A0A41" w:rsidRDefault="009A0A41" w:rsidP="009A0A41">
            <w:pPr>
              <w:widowControl w:val="0"/>
              <w:spacing w:before="15" w:after="15"/>
              <w:ind w:right="-113"/>
              <w:jc w:val="both"/>
              <w:rPr>
                <w:noProof/>
                <w:sz w:val="16"/>
                <w:szCs w:val="16"/>
              </w:rPr>
            </w:pPr>
            <w:r>
              <w:rPr>
                <w:noProof/>
                <w:sz w:val="16"/>
              </w:rPr>
              <w:t>13 06 01</w:t>
            </w:r>
          </w:p>
        </w:tc>
        <w:tc>
          <w:tcPr>
            <w:tcW w:w="5132" w:type="dxa"/>
          </w:tcPr>
          <w:p w14:paraId="74F6F660" w14:textId="53D1960B" w:rsidR="009A0A41" w:rsidRDefault="009A0A41" w:rsidP="009A0A41">
            <w:pPr>
              <w:widowControl w:val="0"/>
              <w:tabs>
                <w:tab w:val="left" w:pos="1350"/>
              </w:tabs>
              <w:spacing w:before="15" w:after="15"/>
              <w:jc w:val="both"/>
              <w:rPr>
                <w:noProof/>
                <w:sz w:val="16"/>
                <w:szCs w:val="16"/>
              </w:rPr>
            </w:pPr>
            <w:r>
              <w:rPr>
                <w:noProof/>
                <w:sz w:val="16"/>
              </w:rPr>
              <w:t>Kortetermijninstrument voor gemeenschappelijke aanbestedingen op defensiegebied</w:t>
            </w:r>
          </w:p>
        </w:tc>
        <w:tc>
          <w:tcPr>
            <w:tcW w:w="1701" w:type="dxa"/>
          </w:tcPr>
          <w:p w14:paraId="4156C74C" w14:textId="35AB523D" w:rsidR="009A0A41" w:rsidDel="00DF0FD8" w:rsidRDefault="00AF5A08" w:rsidP="009A0A41">
            <w:pPr>
              <w:widowControl w:val="0"/>
              <w:spacing w:before="15" w:after="15"/>
              <w:jc w:val="right"/>
              <w:rPr>
                <w:noProof/>
                <w:sz w:val="16"/>
                <w:szCs w:val="16"/>
              </w:rPr>
            </w:pPr>
            <w:r>
              <w:rPr>
                <w:noProof/>
                <w:sz w:val="16"/>
              </w:rPr>
              <w:t>259 972 301</w:t>
            </w:r>
          </w:p>
        </w:tc>
        <w:tc>
          <w:tcPr>
            <w:tcW w:w="1701" w:type="dxa"/>
          </w:tcPr>
          <w:p w14:paraId="3928835B" w14:textId="2F9F0351" w:rsidR="009A0A41" w:rsidDel="00DF0FD8" w:rsidRDefault="00AF5A08" w:rsidP="009A0A41">
            <w:pPr>
              <w:widowControl w:val="0"/>
              <w:spacing w:before="15" w:after="15"/>
              <w:jc w:val="right"/>
              <w:rPr>
                <w:noProof/>
                <w:sz w:val="16"/>
                <w:szCs w:val="16"/>
              </w:rPr>
            </w:pPr>
            <w:r>
              <w:rPr>
                <w:noProof/>
                <w:sz w:val="16"/>
              </w:rPr>
              <w:t>100 000 000</w:t>
            </w:r>
          </w:p>
        </w:tc>
      </w:tr>
      <w:tr w:rsidR="009A0A41" w:rsidRPr="00B31192" w14:paraId="77A09683" w14:textId="77777777">
        <w:trPr>
          <w:jc w:val="center"/>
        </w:trPr>
        <w:tc>
          <w:tcPr>
            <w:tcW w:w="1276" w:type="dxa"/>
          </w:tcPr>
          <w:p w14:paraId="60A4BCAB" w14:textId="12A548F9" w:rsidR="009A0A41" w:rsidRDefault="009A0A41" w:rsidP="009A0A41">
            <w:pPr>
              <w:widowControl w:val="0"/>
              <w:spacing w:before="15" w:after="15"/>
              <w:ind w:right="-113"/>
              <w:jc w:val="both"/>
              <w:rPr>
                <w:noProof/>
                <w:sz w:val="16"/>
                <w:szCs w:val="16"/>
              </w:rPr>
            </w:pPr>
            <w:r>
              <w:rPr>
                <w:noProof/>
                <w:sz w:val="16"/>
              </w:rPr>
              <w:t>13 07 01</w:t>
            </w:r>
          </w:p>
        </w:tc>
        <w:tc>
          <w:tcPr>
            <w:tcW w:w="5132" w:type="dxa"/>
          </w:tcPr>
          <w:p w14:paraId="2AE6C4D6" w14:textId="4BC83993" w:rsidR="009A0A41" w:rsidRDefault="00361370" w:rsidP="009A0A41">
            <w:pPr>
              <w:widowControl w:val="0"/>
              <w:tabs>
                <w:tab w:val="left" w:pos="1350"/>
              </w:tabs>
              <w:spacing w:before="15" w:after="15"/>
              <w:jc w:val="both"/>
              <w:rPr>
                <w:noProof/>
                <w:sz w:val="16"/>
                <w:szCs w:val="16"/>
              </w:rPr>
            </w:pPr>
            <w:r>
              <w:rPr>
                <w:noProof/>
                <w:sz w:val="16"/>
              </w:rPr>
              <w:t>Instrument voor de versterking van de defensie-industrie</w:t>
            </w:r>
          </w:p>
        </w:tc>
        <w:tc>
          <w:tcPr>
            <w:tcW w:w="1701" w:type="dxa"/>
          </w:tcPr>
          <w:p w14:paraId="721A21FA" w14:textId="29E01241" w:rsidR="009A0A41" w:rsidRDefault="00AF5A08" w:rsidP="009A0A41">
            <w:pPr>
              <w:widowControl w:val="0"/>
              <w:spacing w:before="15" w:after="15"/>
              <w:jc w:val="right"/>
              <w:rPr>
                <w:noProof/>
                <w:sz w:val="16"/>
                <w:szCs w:val="16"/>
              </w:rPr>
            </w:pPr>
            <w:r>
              <w:rPr>
                <w:noProof/>
                <w:sz w:val="16"/>
              </w:rPr>
              <w:t>343 000 000</w:t>
            </w:r>
          </w:p>
        </w:tc>
        <w:tc>
          <w:tcPr>
            <w:tcW w:w="1701" w:type="dxa"/>
          </w:tcPr>
          <w:p w14:paraId="6F9664A9" w14:textId="14F9C5B3" w:rsidR="009A0A41" w:rsidRDefault="00AF5A08" w:rsidP="009A0A41">
            <w:pPr>
              <w:widowControl w:val="0"/>
              <w:spacing w:before="15" w:after="15"/>
              <w:jc w:val="right"/>
              <w:rPr>
                <w:noProof/>
                <w:sz w:val="16"/>
                <w:szCs w:val="16"/>
              </w:rPr>
            </w:pPr>
            <w:r>
              <w:rPr>
                <w:noProof/>
                <w:sz w:val="16"/>
              </w:rPr>
              <w:t>78 500 000</w:t>
            </w:r>
          </w:p>
        </w:tc>
      </w:tr>
      <w:tr w:rsidR="009A0A41" w:rsidRPr="00B31192" w14:paraId="7F92A170" w14:textId="77777777">
        <w:trPr>
          <w:jc w:val="center"/>
        </w:trPr>
        <w:tc>
          <w:tcPr>
            <w:tcW w:w="1276" w:type="dxa"/>
          </w:tcPr>
          <w:p w14:paraId="003C0BB7" w14:textId="7ECED792" w:rsidR="009A0A41" w:rsidRDefault="009A0A41" w:rsidP="009A0A41">
            <w:pPr>
              <w:widowControl w:val="0"/>
              <w:spacing w:before="15" w:after="15"/>
              <w:ind w:right="-113"/>
              <w:jc w:val="both"/>
              <w:rPr>
                <w:noProof/>
                <w:sz w:val="16"/>
                <w:szCs w:val="16"/>
              </w:rPr>
            </w:pPr>
            <w:r>
              <w:rPr>
                <w:noProof/>
                <w:sz w:val="16"/>
              </w:rPr>
              <w:t>30 02 02</w:t>
            </w:r>
          </w:p>
        </w:tc>
        <w:tc>
          <w:tcPr>
            <w:tcW w:w="5132" w:type="dxa"/>
          </w:tcPr>
          <w:p w14:paraId="1A9A1A77" w14:textId="1ABCE6AE" w:rsidR="009A0A41" w:rsidRDefault="009A0A41" w:rsidP="009A0A41">
            <w:pPr>
              <w:widowControl w:val="0"/>
              <w:tabs>
                <w:tab w:val="left" w:pos="1350"/>
              </w:tabs>
              <w:spacing w:before="15" w:after="15"/>
              <w:jc w:val="both"/>
              <w:rPr>
                <w:noProof/>
                <w:sz w:val="16"/>
                <w:szCs w:val="16"/>
              </w:rPr>
            </w:pPr>
            <w:r>
              <w:rPr>
                <w:noProof/>
                <w:sz w:val="16"/>
              </w:rPr>
              <w:t>Gesplitste kredieten (</w:t>
            </w:r>
            <w:r>
              <w:rPr>
                <w:i/>
                <w:noProof/>
                <w:sz w:val="16"/>
              </w:rPr>
              <w:t>Reserve voor begrotingsartikel 13 06 01</w:t>
            </w:r>
            <w:r>
              <w:rPr>
                <w:noProof/>
                <w:sz w:val="16"/>
              </w:rPr>
              <w:t>)</w:t>
            </w:r>
          </w:p>
        </w:tc>
        <w:tc>
          <w:tcPr>
            <w:tcW w:w="1701" w:type="dxa"/>
          </w:tcPr>
          <w:p w14:paraId="24F5F670" w14:textId="29F11B74" w:rsidR="009A0A41" w:rsidRDefault="00AF5A08" w:rsidP="009A0A41">
            <w:pPr>
              <w:widowControl w:val="0"/>
              <w:spacing w:before="15" w:after="15"/>
              <w:jc w:val="right"/>
              <w:rPr>
                <w:noProof/>
                <w:sz w:val="16"/>
                <w:szCs w:val="16"/>
              </w:rPr>
            </w:pPr>
            <w:r>
              <w:rPr>
                <w:noProof/>
                <w:sz w:val="16"/>
              </w:rPr>
              <w:t>-259 972 301</w:t>
            </w:r>
          </w:p>
        </w:tc>
        <w:tc>
          <w:tcPr>
            <w:tcW w:w="1701" w:type="dxa"/>
          </w:tcPr>
          <w:p w14:paraId="0AFBF92B" w14:textId="069ACA79" w:rsidR="009A0A41" w:rsidRDefault="00AF5A08" w:rsidP="009A0A41">
            <w:pPr>
              <w:widowControl w:val="0"/>
              <w:spacing w:before="15" w:after="15"/>
              <w:jc w:val="right"/>
              <w:rPr>
                <w:noProof/>
                <w:sz w:val="16"/>
                <w:szCs w:val="16"/>
              </w:rPr>
            </w:pPr>
            <w:r>
              <w:rPr>
                <w:noProof/>
                <w:sz w:val="16"/>
              </w:rPr>
              <w:t>-100 000 000</w:t>
            </w:r>
          </w:p>
        </w:tc>
      </w:tr>
      <w:tr w:rsidR="009A0A41" w:rsidRPr="00B31192" w14:paraId="05E1C0FA" w14:textId="77777777">
        <w:trPr>
          <w:jc w:val="center"/>
        </w:trPr>
        <w:tc>
          <w:tcPr>
            <w:tcW w:w="1276" w:type="dxa"/>
          </w:tcPr>
          <w:p w14:paraId="657D759A" w14:textId="4EF3EEC1" w:rsidR="009A0A41" w:rsidRPr="00B31192" w:rsidRDefault="009A0A41" w:rsidP="009A0A41">
            <w:pPr>
              <w:widowControl w:val="0"/>
              <w:spacing w:before="15" w:after="15"/>
              <w:ind w:right="-113"/>
              <w:jc w:val="both"/>
              <w:rPr>
                <w:noProof/>
                <w:sz w:val="16"/>
                <w:szCs w:val="16"/>
              </w:rPr>
            </w:pPr>
            <w:r>
              <w:rPr>
                <w:noProof/>
                <w:sz w:val="16"/>
              </w:rPr>
              <w:t>30 02 02</w:t>
            </w:r>
          </w:p>
        </w:tc>
        <w:tc>
          <w:tcPr>
            <w:tcW w:w="5132" w:type="dxa"/>
          </w:tcPr>
          <w:p w14:paraId="19157010" w14:textId="697C82A5" w:rsidR="009A0A41" w:rsidRPr="00CC5C80" w:rsidRDefault="009A0A41" w:rsidP="009A0A41">
            <w:pPr>
              <w:widowControl w:val="0"/>
              <w:tabs>
                <w:tab w:val="left" w:pos="1350"/>
              </w:tabs>
              <w:spacing w:before="15" w:after="15"/>
              <w:jc w:val="both"/>
              <w:rPr>
                <w:i/>
                <w:noProof/>
                <w:sz w:val="16"/>
                <w:szCs w:val="16"/>
              </w:rPr>
            </w:pPr>
            <w:r>
              <w:rPr>
                <w:noProof/>
                <w:sz w:val="16"/>
              </w:rPr>
              <w:t>Gesplitste kredieten (</w:t>
            </w:r>
            <w:r>
              <w:rPr>
                <w:i/>
                <w:noProof/>
                <w:sz w:val="16"/>
              </w:rPr>
              <w:t>Reserve voor begrotingsartikel 13 07 01</w:t>
            </w:r>
            <w:r>
              <w:rPr>
                <w:noProof/>
                <w:sz w:val="16"/>
              </w:rPr>
              <w:t>)</w:t>
            </w:r>
          </w:p>
        </w:tc>
        <w:tc>
          <w:tcPr>
            <w:tcW w:w="1701" w:type="dxa"/>
          </w:tcPr>
          <w:p w14:paraId="6678C47E" w14:textId="1F9991E7" w:rsidR="009A0A41" w:rsidRPr="00BF6AA7" w:rsidRDefault="00AF5A08" w:rsidP="004B18C8">
            <w:pPr>
              <w:widowControl w:val="0"/>
              <w:spacing w:before="15" w:after="15"/>
              <w:jc w:val="right"/>
              <w:rPr>
                <w:noProof/>
                <w:sz w:val="16"/>
                <w:szCs w:val="16"/>
              </w:rPr>
            </w:pPr>
            <w:r>
              <w:rPr>
                <w:noProof/>
                <w:sz w:val="16"/>
              </w:rPr>
              <w:t>-343 000 000</w:t>
            </w:r>
          </w:p>
        </w:tc>
        <w:tc>
          <w:tcPr>
            <w:tcW w:w="1701" w:type="dxa"/>
          </w:tcPr>
          <w:p w14:paraId="4216F5D5" w14:textId="0C5EAECB" w:rsidR="009A0A41" w:rsidRPr="00BF6AA7" w:rsidRDefault="00AF5A08" w:rsidP="004B18C8">
            <w:pPr>
              <w:widowControl w:val="0"/>
              <w:spacing w:before="15" w:after="15"/>
              <w:jc w:val="right"/>
              <w:rPr>
                <w:noProof/>
                <w:sz w:val="16"/>
                <w:szCs w:val="16"/>
              </w:rPr>
            </w:pPr>
            <w:r>
              <w:rPr>
                <w:noProof/>
                <w:sz w:val="16"/>
              </w:rPr>
              <w:t>-78 500 000</w:t>
            </w:r>
          </w:p>
        </w:tc>
      </w:tr>
      <w:tr w:rsidR="009A0A41" w:rsidRPr="00B31192" w14:paraId="176CC6BD" w14:textId="77777777">
        <w:trPr>
          <w:jc w:val="center"/>
        </w:trPr>
        <w:tc>
          <w:tcPr>
            <w:tcW w:w="6408" w:type="dxa"/>
            <w:gridSpan w:val="2"/>
            <w:shd w:val="clear" w:color="auto" w:fill="D9D9D9" w:themeFill="background1" w:themeFillShade="D9"/>
          </w:tcPr>
          <w:p w14:paraId="40B4ED12" w14:textId="77777777" w:rsidR="009A0A41" w:rsidRPr="00B31192" w:rsidRDefault="009A0A41" w:rsidP="009A0A41">
            <w:pPr>
              <w:widowControl w:val="0"/>
              <w:spacing w:before="15" w:after="15"/>
              <w:ind w:right="-113"/>
              <w:jc w:val="both"/>
              <w:rPr>
                <w:noProof/>
                <w:sz w:val="20"/>
                <w:szCs w:val="20"/>
              </w:rPr>
            </w:pPr>
            <w:r>
              <w:rPr>
                <w:b/>
                <w:noProof/>
                <w:sz w:val="20"/>
              </w:rPr>
              <w:t>Totaal</w:t>
            </w:r>
            <w:r>
              <w:rPr>
                <w:noProof/>
              </w:rPr>
              <w:tab/>
            </w:r>
          </w:p>
        </w:tc>
        <w:tc>
          <w:tcPr>
            <w:tcW w:w="1701" w:type="dxa"/>
            <w:shd w:val="clear" w:color="auto" w:fill="D9D9D9" w:themeFill="background1" w:themeFillShade="D9"/>
          </w:tcPr>
          <w:p w14:paraId="77F7927E" w14:textId="4CF2D6BA" w:rsidR="009A0A41" w:rsidRPr="00CA6CA7" w:rsidRDefault="00AF5A08" w:rsidP="009A0A41">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6FBBEC7F" w14:textId="614505F8" w:rsidR="009A0A41" w:rsidRPr="00CA6CA7" w:rsidRDefault="00AF5A08" w:rsidP="009A0A41">
            <w:pPr>
              <w:widowControl w:val="0"/>
              <w:spacing w:before="15" w:after="15"/>
              <w:jc w:val="right"/>
              <w:rPr>
                <w:b/>
                <w:noProof/>
                <w:sz w:val="20"/>
                <w:szCs w:val="20"/>
              </w:rPr>
            </w:pPr>
            <w:r>
              <w:rPr>
                <w:b/>
                <w:noProof/>
                <w:sz w:val="20"/>
              </w:rPr>
              <w:t>0</w:t>
            </w:r>
          </w:p>
        </w:tc>
      </w:tr>
    </w:tbl>
    <w:p w14:paraId="7146B1B9" w14:textId="1699FE39" w:rsidR="00AA05E2" w:rsidRPr="005638C6" w:rsidRDefault="00692727" w:rsidP="00295C22">
      <w:pPr>
        <w:keepNext/>
        <w:tabs>
          <w:tab w:val="left" w:pos="850"/>
        </w:tabs>
        <w:spacing w:before="360" w:after="120"/>
        <w:ind w:left="851" w:hanging="851"/>
        <w:jc w:val="both"/>
        <w:outlineLvl w:val="0"/>
        <w:rPr>
          <w:b/>
          <w:smallCaps/>
          <w:noProof/>
        </w:rPr>
      </w:pPr>
      <w:bookmarkStart w:id="105" w:name="_Toc84231370"/>
      <w:bookmarkStart w:id="106" w:name="_Toc114838645"/>
      <w:bookmarkStart w:id="107" w:name="_Toc145922835"/>
      <w:r>
        <w:rPr>
          <w:b/>
          <w:smallCaps/>
          <w:noProof/>
        </w:rPr>
        <w:t>9.</w:t>
      </w:r>
      <w:r>
        <w:rPr>
          <w:noProof/>
        </w:rPr>
        <w:tab/>
      </w:r>
      <w:r>
        <w:rPr>
          <w:b/>
          <w:smallCaps/>
          <w:noProof/>
        </w:rPr>
        <w:t>Financiering</w:t>
      </w:r>
      <w:bookmarkEnd w:id="105"/>
      <w:bookmarkEnd w:id="106"/>
      <w:bookmarkEnd w:id="107"/>
    </w:p>
    <w:p w14:paraId="401D0104" w14:textId="18F33F7C" w:rsidR="00AA05E2" w:rsidRDefault="00B05016" w:rsidP="00295C22">
      <w:pPr>
        <w:spacing w:after="120" w:line="259" w:lineRule="auto"/>
        <w:jc w:val="both"/>
        <w:rPr>
          <w:noProof/>
        </w:rPr>
      </w:pPr>
      <w:r>
        <w:rPr>
          <w:noProof/>
        </w:rPr>
        <w:t>Over het geheel genomen is het netto-effect van NvW 1/2024 op de uitgaven in de OB 2024 een daling met 67,4 miljoen EUR aan vastleggings- en betalingskredieten.</w:t>
      </w:r>
    </w:p>
    <w:p w14:paraId="1F98B487" w14:textId="46D73F61" w:rsidR="003315B1" w:rsidRDefault="005F66B5" w:rsidP="00F4578F">
      <w:pPr>
        <w:spacing w:line="259" w:lineRule="auto"/>
        <w:jc w:val="both"/>
        <w:rPr>
          <w:noProof/>
        </w:rPr>
      </w:pPr>
      <w:r>
        <w:rPr>
          <w:noProof/>
        </w:rPr>
        <w:t>Het gecombineerde effect van de verlaging van de financieringskosten op de EURI-rentepost en de stijging van de uitgaven voor rubriek 7 leiden tot een verlaging van de bedragen die worden voorgesteld ter beschikking te stellen uit het enkelvoudig marge-instrument met 67,4 miljoen EUR.</w:t>
      </w:r>
      <w:bookmarkStart w:id="108" w:name="_Toc526753799"/>
      <w:bookmarkStart w:id="109" w:name="_Toc54770354"/>
      <w:bookmarkStart w:id="110" w:name="_Toc55807168"/>
      <w:bookmarkStart w:id="111" w:name="_Toc114838646"/>
      <w:bookmarkEnd w:id="96"/>
    </w:p>
    <w:p w14:paraId="517863D0" w14:textId="64B10039" w:rsidR="00283473" w:rsidRDefault="00283473">
      <w:pPr>
        <w:spacing w:after="200" w:line="276" w:lineRule="auto"/>
        <w:rPr>
          <w:b/>
          <w:smallCaps/>
          <w:noProof/>
        </w:rPr>
      </w:pPr>
      <w:r>
        <w:rPr>
          <w:noProof/>
        </w:rPr>
        <w:br w:type="page"/>
      </w:r>
    </w:p>
    <w:p w14:paraId="7562794C" w14:textId="77777777" w:rsidR="00283473" w:rsidRDefault="00283473">
      <w:pPr>
        <w:spacing w:after="200" w:line="276" w:lineRule="auto"/>
        <w:rPr>
          <w:b/>
          <w:smallCaps/>
          <w:noProof/>
          <w:lang w:eastAsia="de-DE"/>
        </w:rPr>
      </w:pPr>
    </w:p>
    <w:p w14:paraId="4D989386" w14:textId="1435597C" w:rsidR="00F16A2C" w:rsidRDefault="006836D1">
      <w:pPr>
        <w:pStyle w:val="ManualHeading1"/>
        <w:spacing w:before="240"/>
        <w:rPr>
          <w:noProof/>
        </w:rPr>
      </w:pPr>
      <w:bookmarkStart w:id="112" w:name="_Toc145922836"/>
      <w:r>
        <w:rPr>
          <w:noProof/>
        </w:rPr>
        <w:t>10.</w:t>
      </w:r>
      <w:r>
        <w:rPr>
          <w:noProof/>
        </w:rPr>
        <w:tab/>
        <w:t>Samenvatting per MFK-rubriek</w:t>
      </w:r>
      <w:bookmarkEnd w:id="108"/>
      <w:bookmarkEnd w:id="109"/>
      <w:bookmarkEnd w:id="110"/>
      <w:bookmarkEnd w:id="111"/>
      <w:bookmarkEnd w:id="112"/>
    </w:p>
    <w:tbl>
      <w:tblPr>
        <w:tblW w:w="10622" w:type="dxa"/>
        <w:tblInd w:w="118" w:type="dxa"/>
        <w:tblLayout w:type="fixed"/>
        <w:tblLook w:val="04A0" w:firstRow="1" w:lastRow="0" w:firstColumn="1" w:lastColumn="0" w:noHBand="0" w:noVBand="1"/>
      </w:tblPr>
      <w:tblGrid>
        <w:gridCol w:w="416"/>
        <w:gridCol w:w="2409"/>
        <w:gridCol w:w="1418"/>
        <w:gridCol w:w="1417"/>
        <w:gridCol w:w="993"/>
        <w:gridCol w:w="992"/>
        <w:gridCol w:w="1559"/>
        <w:gridCol w:w="1418"/>
      </w:tblGrid>
      <w:tr w:rsidR="007C250E" w:rsidRPr="007C250E" w14:paraId="12035D86" w14:textId="77777777" w:rsidTr="003C5A89">
        <w:trPr>
          <w:trHeight w:val="465"/>
        </w:trPr>
        <w:tc>
          <w:tcPr>
            <w:tcW w:w="416" w:type="dxa"/>
            <w:tcBorders>
              <w:top w:val="single" w:sz="8" w:space="0" w:color="auto"/>
              <w:left w:val="single" w:sz="8" w:space="0" w:color="auto"/>
              <w:bottom w:val="nil"/>
              <w:right w:val="nil"/>
            </w:tcBorders>
            <w:shd w:val="clear" w:color="000000" w:fill="BFBFBF"/>
            <w:vAlign w:val="center"/>
            <w:hideMark/>
          </w:tcPr>
          <w:p w14:paraId="3D8A2011" w14:textId="77777777" w:rsidR="007C250E" w:rsidRPr="007C250E" w:rsidRDefault="007C250E" w:rsidP="007C250E">
            <w:pPr>
              <w:jc w:val="both"/>
              <w:rPr>
                <w:noProof/>
                <w:sz w:val="16"/>
                <w:szCs w:val="16"/>
              </w:rPr>
            </w:pPr>
            <w:r>
              <w:rPr>
                <w:noProof/>
                <w:sz w:val="16"/>
              </w:rPr>
              <w:t xml:space="preserve"> </w:t>
            </w:r>
          </w:p>
        </w:tc>
        <w:tc>
          <w:tcPr>
            <w:tcW w:w="2409" w:type="dxa"/>
            <w:tcBorders>
              <w:top w:val="single" w:sz="8" w:space="0" w:color="auto"/>
              <w:left w:val="nil"/>
              <w:bottom w:val="nil"/>
              <w:right w:val="single" w:sz="8" w:space="0" w:color="auto"/>
            </w:tcBorders>
            <w:shd w:val="clear" w:color="000000" w:fill="BFBFBF"/>
            <w:vAlign w:val="center"/>
            <w:hideMark/>
          </w:tcPr>
          <w:p w14:paraId="76FCF5E7" w14:textId="77777777" w:rsidR="007C250E" w:rsidRPr="007C250E" w:rsidRDefault="007C250E" w:rsidP="007C250E">
            <w:pPr>
              <w:jc w:val="both"/>
              <w:rPr>
                <w:noProof/>
                <w:sz w:val="16"/>
                <w:szCs w:val="16"/>
              </w:rPr>
            </w:pPr>
            <w:r>
              <w:rPr>
                <w:noProof/>
                <w:sz w:val="16"/>
              </w:rPr>
              <w:t xml:space="preserve"> </w:t>
            </w:r>
          </w:p>
        </w:tc>
        <w:tc>
          <w:tcPr>
            <w:tcW w:w="2835" w:type="dxa"/>
            <w:gridSpan w:val="2"/>
            <w:tcBorders>
              <w:top w:val="single" w:sz="8" w:space="0" w:color="auto"/>
              <w:left w:val="nil"/>
              <w:bottom w:val="single" w:sz="8" w:space="0" w:color="auto"/>
              <w:right w:val="single" w:sz="8" w:space="0" w:color="000000"/>
            </w:tcBorders>
            <w:shd w:val="clear" w:color="000000" w:fill="BFBFBF"/>
            <w:vAlign w:val="center"/>
            <w:hideMark/>
          </w:tcPr>
          <w:p w14:paraId="617294EE" w14:textId="77777777" w:rsidR="007C250E" w:rsidRPr="007C250E" w:rsidRDefault="007C250E" w:rsidP="007C250E">
            <w:pPr>
              <w:jc w:val="center"/>
              <w:rPr>
                <w:b/>
                <w:bCs/>
                <w:noProof/>
                <w:sz w:val="20"/>
                <w:szCs w:val="20"/>
              </w:rPr>
            </w:pPr>
            <w:r>
              <w:rPr>
                <w:b/>
                <w:noProof/>
                <w:sz w:val="20"/>
              </w:rPr>
              <w:t>Ontwerpbegroting 2024</w:t>
            </w:r>
          </w:p>
        </w:tc>
        <w:tc>
          <w:tcPr>
            <w:tcW w:w="1985" w:type="dxa"/>
            <w:gridSpan w:val="2"/>
            <w:tcBorders>
              <w:top w:val="single" w:sz="8" w:space="0" w:color="auto"/>
              <w:left w:val="nil"/>
              <w:bottom w:val="single" w:sz="8" w:space="0" w:color="auto"/>
              <w:right w:val="single" w:sz="8" w:space="0" w:color="000000"/>
            </w:tcBorders>
            <w:shd w:val="clear" w:color="000000" w:fill="BFBFBF"/>
            <w:vAlign w:val="center"/>
            <w:hideMark/>
          </w:tcPr>
          <w:p w14:paraId="03C84B9A" w14:textId="77777777" w:rsidR="007C250E" w:rsidRPr="007C250E" w:rsidRDefault="007C250E" w:rsidP="007C250E">
            <w:pPr>
              <w:jc w:val="center"/>
              <w:rPr>
                <w:b/>
                <w:bCs/>
                <w:noProof/>
                <w:sz w:val="20"/>
                <w:szCs w:val="20"/>
              </w:rPr>
            </w:pPr>
            <w:r>
              <w:rPr>
                <w:b/>
                <w:noProof/>
                <w:sz w:val="20"/>
              </w:rPr>
              <w:t>Nota van wijzigingen 1 bij de ontwerpbegroting 2024</w:t>
            </w:r>
          </w:p>
        </w:tc>
        <w:tc>
          <w:tcPr>
            <w:tcW w:w="2977" w:type="dxa"/>
            <w:gridSpan w:val="2"/>
            <w:tcBorders>
              <w:top w:val="single" w:sz="8" w:space="0" w:color="auto"/>
              <w:left w:val="nil"/>
              <w:bottom w:val="single" w:sz="8" w:space="0" w:color="auto"/>
              <w:right w:val="single" w:sz="8" w:space="0" w:color="000000"/>
            </w:tcBorders>
            <w:shd w:val="clear" w:color="000000" w:fill="BFBFBF"/>
            <w:vAlign w:val="center"/>
            <w:hideMark/>
          </w:tcPr>
          <w:p w14:paraId="3608FDF5" w14:textId="77777777" w:rsidR="007C250E" w:rsidRPr="007C250E" w:rsidRDefault="007C250E" w:rsidP="007C250E">
            <w:pPr>
              <w:jc w:val="center"/>
              <w:rPr>
                <w:b/>
                <w:bCs/>
                <w:noProof/>
                <w:sz w:val="20"/>
                <w:szCs w:val="20"/>
              </w:rPr>
            </w:pPr>
            <w:r>
              <w:rPr>
                <w:b/>
                <w:noProof/>
                <w:sz w:val="20"/>
              </w:rPr>
              <w:t>Ontwerpbegroting 2024 met NvW 1</w:t>
            </w:r>
          </w:p>
        </w:tc>
      </w:tr>
      <w:tr w:rsidR="007C250E" w:rsidRPr="007C250E" w14:paraId="4DEAE72E" w14:textId="77777777" w:rsidTr="003C5A89">
        <w:trPr>
          <w:trHeight w:val="300"/>
        </w:trPr>
        <w:tc>
          <w:tcPr>
            <w:tcW w:w="416" w:type="dxa"/>
            <w:tcBorders>
              <w:top w:val="nil"/>
              <w:left w:val="single" w:sz="8" w:space="0" w:color="auto"/>
              <w:bottom w:val="single" w:sz="8" w:space="0" w:color="auto"/>
              <w:right w:val="nil"/>
            </w:tcBorders>
            <w:shd w:val="clear" w:color="000000" w:fill="BFBFBF"/>
            <w:vAlign w:val="center"/>
            <w:hideMark/>
          </w:tcPr>
          <w:p w14:paraId="26279607"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000000" w:fill="BFBFBF"/>
            <w:vAlign w:val="center"/>
            <w:hideMark/>
          </w:tcPr>
          <w:p w14:paraId="57B354CC" w14:textId="77777777" w:rsidR="007C250E" w:rsidRPr="007C250E" w:rsidRDefault="007C250E" w:rsidP="007C250E">
            <w:pPr>
              <w:jc w:val="both"/>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000000" w:fill="BFBFBF"/>
            <w:vAlign w:val="center"/>
            <w:hideMark/>
          </w:tcPr>
          <w:p w14:paraId="15C8F02D" w14:textId="77777777" w:rsidR="007C250E" w:rsidRPr="007C250E" w:rsidRDefault="007C250E" w:rsidP="007C250E">
            <w:pPr>
              <w:jc w:val="center"/>
              <w:rPr>
                <w:b/>
                <w:bCs/>
                <w:noProof/>
                <w:color w:val="000000"/>
                <w:sz w:val="16"/>
                <w:szCs w:val="16"/>
              </w:rPr>
            </w:pPr>
            <w:r>
              <w:rPr>
                <w:b/>
                <w:noProof/>
                <w:color w:val="000000"/>
                <w:sz w:val="16"/>
              </w:rPr>
              <w:t>VK</w:t>
            </w:r>
          </w:p>
        </w:tc>
        <w:tc>
          <w:tcPr>
            <w:tcW w:w="1417" w:type="dxa"/>
            <w:tcBorders>
              <w:top w:val="nil"/>
              <w:left w:val="nil"/>
              <w:bottom w:val="single" w:sz="8" w:space="0" w:color="auto"/>
              <w:right w:val="single" w:sz="8" w:space="0" w:color="auto"/>
            </w:tcBorders>
            <w:shd w:val="clear" w:color="000000" w:fill="BFBFBF"/>
            <w:vAlign w:val="center"/>
            <w:hideMark/>
          </w:tcPr>
          <w:p w14:paraId="58B2AE8F" w14:textId="77777777" w:rsidR="007C250E" w:rsidRPr="007C250E" w:rsidRDefault="007C250E" w:rsidP="007C250E">
            <w:pPr>
              <w:jc w:val="center"/>
              <w:rPr>
                <w:b/>
                <w:bCs/>
                <w:noProof/>
                <w:color w:val="000000"/>
                <w:sz w:val="16"/>
                <w:szCs w:val="16"/>
              </w:rPr>
            </w:pPr>
            <w:r>
              <w:rPr>
                <w:b/>
                <w:noProof/>
                <w:color w:val="000000"/>
                <w:sz w:val="16"/>
              </w:rPr>
              <w:t>BK</w:t>
            </w:r>
          </w:p>
        </w:tc>
        <w:tc>
          <w:tcPr>
            <w:tcW w:w="993" w:type="dxa"/>
            <w:tcBorders>
              <w:top w:val="nil"/>
              <w:left w:val="nil"/>
              <w:bottom w:val="single" w:sz="8" w:space="0" w:color="auto"/>
              <w:right w:val="single" w:sz="8" w:space="0" w:color="auto"/>
            </w:tcBorders>
            <w:shd w:val="clear" w:color="000000" w:fill="BFBFBF"/>
            <w:vAlign w:val="center"/>
            <w:hideMark/>
          </w:tcPr>
          <w:p w14:paraId="59DF9756" w14:textId="77777777" w:rsidR="007C250E" w:rsidRPr="007C250E" w:rsidRDefault="007C250E" w:rsidP="007C250E">
            <w:pPr>
              <w:jc w:val="center"/>
              <w:rPr>
                <w:b/>
                <w:bCs/>
                <w:noProof/>
                <w:sz w:val="16"/>
                <w:szCs w:val="16"/>
              </w:rPr>
            </w:pPr>
            <w:r>
              <w:rPr>
                <w:b/>
                <w:noProof/>
                <w:sz w:val="16"/>
              </w:rPr>
              <w:t>VK</w:t>
            </w:r>
          </w:p>
        </w:tc>
        <w:tc>
          <w:tcPr>
            <w:tcW w:w="992" w:type="dxa"/>
            <w:tcBorders>
              <w:top w:val="nil"/>
              <w:left w:val="nil"/>
              <w:bottom w:val="single" w:sz="8" w:space="0" w:color="auto"/>
              <w:right w:val="single" w:sz="8" w:space="0" w:color="auto"/>
            </w:tcBorders>
            <w:shd w:val="clear" w:color="000000" w:fill="BFBFBF"/>
            <w:vAlign w:val="center"/>
            <w:hideMark/>
          </w:tcPr>
          <w:p w14:paraId="71BDB3F4" w14:textId="77777777" w:rsidR="007C250E" w:rsidRPr="007C250E" w:rsidRDefault="007C250E" w:rsidP="007C250E">
            <w:pPr>
              <w:jc w:val="center"/>
              <w:rPr>
                <w:b/>
                <w:bCs/>
                <w:noProof/>
                <w:sz w:val="16"/>
                <w:szCs w:val="16"/>
              </w:rPr>
            </w:pPr>
            <w:r>
              <w:rPr>
                <w:b/>
                <w:noProof/>
                <w:sz w:val="16"/>
              </w:rPr>
              <w:t>BK</w:t>
            </w:r>
          </w:p>
        </w:tc>
        <w:tc>
          <w:tcPr>
            <w:tcW w:w="1559" w:type="dxa"/>
            <w:tcBorders>
              <w:top w:val="nil"/>
              <w:left w:val="nil"/>
              <w:bottom w:val="single" w:sz="8" w:space="0" w:color="auto"/>
              <w:right w:val="single" w:sz="8" w:space="0" w:color="auto"/>
            </w:tcBorders>
            <w:shd w:val="clear" w:color="000000" w:fill="BFBFBF"/>
            <w:vAlign w:val="center"/>
            <w:hideMark/>
          </w:tcPr>
          <w:p w14:paraId="15AD7F32" w14:textId="77777777" w:rsidR="007C250E" w:rsidRPr="007C250E" w:rsidRDefault="007C250E" w:rsidP="007C250E">
            <w:pPr>
              <w:jc w:val="center"/>
              <w:rPr>
                <w:b/>
                <w:bCs/>
                <w:noProof/>
                <w:color w:val="000000"/>
                <w:sz w:val="16"/>
                <w:szCs w:val="16"/>
              </w:rPr>
            </w:pPr>
            <w:r>
              <w:rPr>
                <w:b/>
                <w:noProof/>
                <w:color w:val="000000"/>
                <w:sz w:val="16"/>
              </w:rPr>
              <w:t>VK</w:t>
            </w:r>
          </w:p>
        </w:tc>
        <w:tc>
          <w:tcPr>
            <w:tcW w:w="1418" w:type="dxa"/>
            <w:tcBorders>
              <w:top w:val="nil"/>
              <w:left w:val="nil"/>
              <w:bottom w:val="single" w:sz="8" w:space="0" w:color="auto"/>
              <w:right w:val="single" w:sz="8" w:space="0" w:color="auto"/>
            </w:tcBorders>
            <w:shd w:val="clear" w:color="000000" w:fill="BFBFBF"/>
            <w:vAlign w:val="center"/>
            <w:hideMark/>
          </w:tcPr>
          <w:p w14:paraId="3BF555D7" w14:textId="77777777" w:rsidR="007C250E" w:rsidRPr="007C250E" w:rsidRDefault="007C250E" w:rsidP="007C250E">
            <w:pPr>
              <w:jc w:val="center"/>
              <w:rPr>
                <w:b/>
                <w:bCs/>
                <w:noProof/>
                <w:color w:val="000000"/>
                <w:sz w:val="16"/>
                <w:szCs w:val="16"/>
              </w:rPr>
            </w:pPr>
            <w:r>
              <w:rPr>
                <w:b/>
                <w:noProof/>
                <w:color w:val="000000"/>
                <w:sz w:val="16"/>
              </w:rPr>
              <w:t>BK</w:t>
            </w:r>
          </w:p>
        </w:tc>
      </w:tr>
      <w:tr w:rsidR="007C250E" w:rsidRPr="007C250E" w14:paraId="5171ECF0"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7B3B3E4" w14:textId="77777777" w:rsidR="007C250E" w:rsidRPr="007C250E" w:rsidRDefault="007C250E" w:rsidP="007C250E">
            <w:pPr>
              <w:jc w:val="both"/>
              <w:rPr>
                <w:b/>
                <w:bCs/>
                <w:noProof/>
                <w:sz w:val="16"/>
                <w:szCs w:val="16"/>
              </w:rPr>
            </w:pPr>
            <w:r>
              <w:rPr>
                <w:b/>
                <w:noProof/>
                <w:sz w:val="16"/>
              </w:rPr>
              <w:t>1.</w:t>
            </w:r>
          </w:p>
        </w:tc>
        <w:tc>
          <w:tcPr>
            <w:tcW w:w="2409" w:type="dxa"/>
            <w:tcBorders>
              <w:top w:val="nil"/>
              <w:left w:val="nil"/>
              <w:bottom w:val="single" w:sz="8" w:space="0" w:color="auto"/>
              <w:right w:val="single" w:sz="8" w:space="0" w:color="auto"/>
            </w:tcBorders>
            <w:shd w:val="clear" w:color="000000" w:fill="D9D9D9"/>
            <w:vAlign w:val="center"/>
            <w:hideMark/>
          </w:tcPr>
          <w:p w14:paraId="5409060C" w14:textId="77777777" w:rsidR="007C250E" w:rsidRPr="007C250E" w:rsidRDefault="007C250E" w:rsidP="007C250E">
            <w:pPr>
              <w:jc w:val="both"/>
              <w:rPr>
                <w:b/>
                <w:bCs/>
                <w:noProof/>
                <w:sz w:val="16"/>
                <w:szCs w:val="16"/>
              </w:rPr>
            </w:pPr>
            <w:r>
              <w:rPr>
                <w:b/>
                <w:noProof/>
                <w:sz w:val="16"/>
              </w:rPr>
              <w:t>Eengemaakte markt, innovatie en digitaal beleid</w:t>
            </w:r>
          </w:p>
        </w:tc>
        <w:tc>
          <w:tcPr>
            <w:tcW w:w="1418" w:type="dxa"/>
            <w:tcBorders>
              <w:top w:val="nil"/>
              <w:left w:val="nil"/>
              <w:bottom w:val="single" w:sz="8" w:space="0" w:color="auto"/>
              <w:right w:val="single" w:sz="8" w:space="0" w:color="auto"/>
            </w:tcBorders>
            <w:shd w:val="clear" w:color="000000" w:fill="D9D9D9"/>
            <w:vAlign w:val="center"/>
            <w:hideMark/>
          </w:tcPr>
          <w:p w14:paraId="7939DA7D" w14:textId="77777777" w:rsidR="007C250E" w:rsidRPr="007C250E" w:rsidRDefault="007C250E" w:rsidP="007C250E">
            <w:pPr>
              <w:jc w:val="right"/>
              <w:rPr>
                <w:b/>
                <w:bCs/>
                <w:noProof/>
                <w:sz w:val="16"/>
                <w:szCs w:val="16"/>
              </w:rPr>
            </w:pPr>
            <w:r>
              <w:rPr>
                <w:b/>
                <w:noProof/>
                <w:sz w:val="16"/>
              </w:rPr>
              <w:t>21 431 352 987</w:t>
            </w:r>
          </w:p>
        </w:tc>
        <w:tc>
          <w:tcPr>
            <w:tcW w:w="1417" w:type="dxa"/>
            <w:tcBorders>
              <w:top w:val="nil"/>
              <w:left w:val="nil"/>
              <w:bottom w:val="single" w:sz="8" w:space="0" w:color="auto"/>
              <w:right w:val="single" w:sz="8" w:space="0" w:color="auto"/>
            </w:tcBorders>
            <w:shd w:val="clear" w:color="000000" w:fill="D9D9D9"/>
            <w:vAlign w:val="center"/>
            <w:hideMark/>
          </w:tcPr>
          <w:p w14:paraId="3B7FEF56" w14:textId="77777777" w:rsidR="007C250E" w:rsidRPr="007C250E" w:rsidRDefault="007C250E" w:rsidP="007C250E">
            <w:pPr>
              <w:jc w:val="right"/>
              <w:rPr>
                <w:b/>
                <w:bCs/>
                <w:noProof/>
                <w:sz w:val="16"/>
                <w:szCs w:val="16"/>
              </w:rPr>
            </w:pPr>
            <w:r>
              <w:rPr>
                <w:b/>
                <w:noProof/>
                <w:sz w:val="16"/>
              </w:rPr>
              <w:t>20 916 212 003</w:t>
            </w:r>
          </w:p>
        </w:tc>
        <w:tc>
          <w:tcPr>
            <w:tcW w:w="993" w:type="dxa"/>
            <w:tcBorders>
              <w:top w:val="nil"/>
              <w:left w:val="nil"/>
              <w:bottom w:val="single" w:sz="8" w:space="0" w:color="auto"/>
              <w:right w:val="single" w:sz="8" w:space="0" w:color="auto"/>
            </w:tcBorders>
            <w:shd w:val="clear" w:color="000000" w:fill="D9D9D9"/>
            <w:vAlign w:val="center"/>
            <w:hideMark/>
          </w:tcPr>
          <w:p w14:paraId="360D8EE2" w14:textId="77777777" w:rsidR="007C250E" w:rsidRPr="007C250E" w:rsidRDefault="007C250E" w:rsidP="007C250E">
            <w:pPr>
              <w:jc w:val="right"/>
              <w:rPr>
                <w:b/>
                <w:bCs/>
                <w:noProof/>
                <w:sz w:val="16"/>
                <w:szCs w:val="16"/>
              </w:rPr>
            </w:pPr>
            <w:r>
              <w:rPr>
                <w:b/>
                <w:noProof/>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412F495F" w14:textId="77777777" w:rsidR="007C250E" w:rsidRPr="007C250E" w:rsidRDefault="007C250E" w:rsidP="007C250E">
            <w:pPr>
              <w:jc w:val="right"/>
              <w:rPr>
                <w:b/>
                <w:bCs/>
                <w:noProof/>
                <w:sz w:val="16"/>
                <w:szCs w:val="16"/>
              </w:rPr>
            </w:pPr>
            <w:r>
              <w:rPr>
                <w:b/>
                <w:noProof/>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4E1E901C" w14:textId="77777777" w:rsidR="007C250E" w:rsidRPr="007C250E" w:rsidRDefault="007C250E" w:rsidP="007C250E">
            <w:pPr>
              <w:jc w:val="right"/>
              <w:rPr>
                <w:b/>
                <w:bCs/>
                <w:noProof/>
                <w:sz w:val="16"/>
                <w:szCs w:val="16"/>
              </w:rPr>
            </w:pPr>
            <w:r>
              <w:rPr>
                <w:b/>
                <w:noProof/>
                <w:sz w:val="16"/>
              </w:rPr>
              <w:t xml:space="preserve">21 431 352 987 </w:t>
            </w:r>
          </w:p>
        </w:tc>
        <w:tc>
          <w:tcPr>
            <w:tcW w:w="1418" w:type="dxa"/>
            <w:tcBorders>
              <w:top w:val="nil"/>
              <w:left w:val="nil"/>
              <w:bottom w:val="single" w:sz="8" w:space="0" w:color="auto"/>
              <w:right w:val="single" w:sz="8" w:space="0" w:color="auto"/>
            </w:tcBorders>
            <w:shd w:val="clear" w:color="000000" w:fill="D9D9D9"/>
            <w:vAlign w:val="center"/>
            <w:hideMark/>
          </w:tcPr>
          <w:p w14:paraId="058B70C5" w14:textId="77777777" w:rsidR="007C250E" w:rsidRPr="007C250E" w:rsidRDefault="007C250E" w:rsidP="007C250E">
            <w:pPr>
              <w:jc w:val="right"/>
              <w:rPr>
                <w:b/>
                <w:bCs/>
                <w:noProof/>
                <w:sz w:val="16"/>
                <w:szCs w:val="16"/>
              </w:rPr>
            </w:pPr>
            <w:r>
              <w:rPr>
                <w:b/>
                <w:noProof/>
                <w:sz w:val="16"/>
              </w:rPr>
              <w:t xml:space="preserve">20 916 212 003 </w:t>
            </w:r>
          </w:p>
        </w:tc>
      </w:tr>
      <w:tr w:rsidR="007C250E" w:rsidRPr="007C250E" w14:paraId="2312D02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1A9B95F2"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5DD427D3"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2F08AB5C"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7AA2BCDD"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0345F53"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439C281"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6E7900D"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C8E1D9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C492A3"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23C91468"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420AD40"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24A3576E"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295DCF15"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EDE3458"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D8AD407"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1F51C5C"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434DCD2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C2E24AB"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23A2A8B"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0C7EDA3C"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7986EB10"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47F4CFA5"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5CECDD4"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9BAEC2C"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30329A0"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3B60D0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7C93750"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416D5D" w14:textId="77777777" w:rsidR="007C250E" w:rsidRPr="007C250E" w:rsidRDefault="007C250E" w:rsidP="007C250E">
            <w:pPr>
              <w:jc w:val="right"/>
              <w:rPr>
                <w:b/>
                <w:bCs/>
                <w:i/>
                <w:iCs/>
                <w:noProof/>
                <w:sz w:val="16"/>
                <w:szCs w:val="16"/>
              </w:rPr>
            </w:pPr>
            <w:r>
              <w:rPr>
                <w:b/>
                <w:i/>
                <w:noProof/>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260D804C" w14:textId="77777777" w:rsidR="007C250E" w:rsidRPr="007C250E" w:rsidRDefault="007C250E" w:rsidP="007C250E">
            <w:pPr>
              <w:jc w:val="right"/>
              <w:rPr>
                <w:i/>
                <w:iCs/>
                <w:noProof/>
                <w:sz w:val="16"/>
                <w:szCs w:val="16"/>
              </w:rPr>
            </w:pPr>
            <w:r>
              <w:rPr>
                <w:i/>
                <w:noProof/>
                <w:sz w:val="16"/>
              </w:rPr>
              <w:t>21 598 000 000</w:t>
            </w:r>
          </w:p>
        </w:tc>
        <w:tc>
          <w:tcPr>
            <w:tcW w:w="1417" w:type="dxa"/>
            <w:tcBorders>
              <w:top w:val="nil"/>
              <w:left w:val="nil"/>
              <w:bottom w:val="single" w:sz="8" w:space="0" w:color="auto"/>
              <w:right w:val="single" w:sz="8" w:space="0" w:color="auto"/>
            </w:tcBorders>
            <w:shd w:val="clear" w:color="auto" w:fill="auto"/>
            <w:vAlign w:val="center"/>
            <w:hideMark/>
          </w:tcPr>
          <w:p w14:paraId="6EFFB295"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272E933"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D693918"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8C03950" w14:textId="77777777" w:rsidR="007C250E" w:rsidRPr="007C250E" w:rsidRDefault="007C250E" w:rsidP="007C250E">
            <w:pPr>
              <w:jc w:val="right"/>
              <w:rPr>
                <w:i/>
                <w:iCs/>
                <w:noProof/>
                <w:sz w:val="16"/>
                <w:szCs w:val="16"/>
              </w:rPr>
            </w:pPr>
            <w:r>
              <w:rPr>
                <w:i/>
                <w:noProof/>
                <w:sz w:val="16"/>
              </w:rPr>
              <w:t xml:space="preserve">21 598 000 000 </w:t>
            </w:r>
          </w:p>
        </w:tc>
        <w:tc>
          <w:tcPr>
            <w:tcW w:w="1418" w:type="dxa"/>
            <w:tcBorders>
              <w:top w:val="nil"/>
              <w:left w:val="nil"/>
              <w:bottom w:val="single" w:sz="8" w:space="0" w:color="auto"/>
              <w:right w:val="single" w:sz="8" w:space="0" w:color="auto"/>
            </w:tcBorders>
            <w:shd w:val="clear" w:color="auto" w:fill="auto"/>
            <w:vAlign w:val="center"/>
            <w:hideMark/>
          </w:tcPr>
          <w:p w14:paraId="0163ABFA" w14:textId="77777777" w:rsidR="007C250E" w:rsidRPr="007C250E" w:rsidRDefault="007C250E" w:rsidP="007C250E">
            <w:pPr>
              <w:jc w:val="right"/>
              <w:rPr>
                <w:noProof/>
                <w:sz w:val="16"/>
                <w:szCs w:val="16"/>
              </w:rPr>
            </w:pPr>
            <w:r>
              <w:rPr>
                <w:noProof/>
                <w:sz w:val="16"/>
              </w:rPr>
              <w:t xml:space="preserve"> </w:t>
            </w:r>
          </w:p>
        </w:tc>
      </w:tr>
      <w:tr w:rsidR="007C250E" w:rsidRPr="007C250E" w14:paraId="2FA941AE"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5BD952"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37ACFB40" w14:textId="77777777" w:rsidR="007C250E" w:rsidRPr="007C250E" w:rsidRDefault="007C250E" w:rsidP="007C250E">
            <w:pPr>
              <w:jc w:val="right"/>
              <w:rPr>
                <w:i/>
                <w:iCs/>
                <w:noProof/>
                <w:color w:val="000000"/>
                <w:sz w:val="16"/>
                <w:szCs w:val="16"/>
              </w:rPr>
            </w:pPr>
            <w:r>
              <w:rPr>
                <w:i/>
                <w:noProof/>
                <w:color w:val="000000"/>
                <w:sz w:val="16"/>
              </w:rPr>
              <w:t>166 647 013</w:t>
            </w:r>
          </w:p>
        </w:tc>
        <w:tc>
          <w:tcPr>
            <w:tcW w:w="1417" w:type="dxa"/>
            <w:tcBorders>
              <w:top w:val="nil"/>
              <w:left w:val="nil"/>
              <w:bottom w:val="single" w:sz="8" w:space="0" w:color="auto"/>
              <w:right w:val="single" w:sz="8" w:space="0" w:color="auto"/>
            </w:tcBorders>
            <w:shd w:val="clear" w:color="auto" w:fill="auto"/>
            <w:vAlign w:val="center"/>
            <w:hideMark/>
          </w:tcPr>
          <w:p w14:paraId="022FA5A3"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8F21A7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AEDD5D7"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1319A0F" w14:textId="77777777" w:rsidR="007C250E" w:rsidRPr="007C250E" w:rsidRDefault="007C250E" w:rsidP="007C250E">
            <w:pPr>
              <w:jc w:val="right"/>
              <w:rPr>
                <w:i/>
                <w:iCs/>
                <w:noProof/>
                <w:color w:val="000000"/>
                <w:sz w:val="16"/>
                <w:szCs w:val="16"/>
              </w:rPr>
            </w:pPr>
            <w:r>
              <w:rPr>
                <w:i/>
                <w:noProof/>
                <w:color w:val="000000"/>
                <w:sz w:val="16"/>
              </w:rPr>
              <w:t xml:space="preserve">166 647 013 </w:t>
            </w:r>
          </w:p>
        </w:tc>
        <w:tc>
          <w:tcPr>
            <w:tcW w:w="1418" w:type="dxa"/>
            <w:tcBorders>
              <w:top w:val="nil"/>
              <w:left w:val="nil"/>
              <w:bottom w:val="single" w:sz="8" w:space="0" w:color="auto"/>
              <w:right w:val="single" w:sz="8" w:space="0" w:color="auto"/>
            </w:tcBorders>
            <w:shd w:val="clear" w:color="auto" w:fill="auto"/>
            <w:vAlign w:val="center"/>
            <w:hideMark/>
          </w:tcPr>
          <w:p w14:paraId="36EFFC2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3AEEF2"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B497E11" w14:textId="77777777" w:rsidR="007C250E" w:rsidRPr="007C250E" w:rsidRDefault="007C250E" w:rsidP="007C250E">
            <w:pPr>
              <w:jc w:val="both"/>
              <w:rPr>
                <w:b/>
                <w:bCs/>
                <w:noProof/>
                <w:sz w:val="16"/>
                <w:szCs w:val="16"/>
              </w:rPr>
            </w:pPr>
            <w:r>
              <w:rPr>
                <w:b/>
                <w:noProof/>
                <w:sz w:val="16"/>
              </w:rPr>
              <w:t>2.</w:t>
            </w:r>
          </w:p>
        </w:tc>
        <w:tc>
          <w:tcPr>
            <w:tcW w:w="2409" w:type="dxa"/>
            <w:tcBorders>
              <w:top w:val="nil"/>
              <w:left w:val="nil"/>
              <w:bottom w:val="single" w:sz="8" w:space="0" w:color="auto"/>
              <w:right w:val="single" w:sz="8" w:space="0" w:color="auto"/>
            </w:tcBorders>
            <w:shd w:val="clear" w:color="000000" w:fill="D9D9D9"/>
            <w:vAlign w:val="center"/>
            <w:hideMark/>
          </w:tcPr>
          <w:p w14:paraId="1D75FB17" w14:textId="77777777" w:rsidR="007C250E" w:rsidRPr="007C250E" w:rsidRDefault="007C250E" w:rsidP="007C250E">
            <w:pPr>
              <w:jc w:val="both"/>
              <w:rPr>
                <w:b/>
                <w:bCs/>
                <w:noProof/>
                <w:sz w:val="16"/>
                <w:szCs w:val="16"/>
              </w:rPr>
            </w:pPr>
            <w:r>
              <w:rPr>
                <w:b/>
                <w:noProof/>
                <w:sz w:val="16"/>
              </w:rPr>
              <w:t>Cohesie, veerkracht en waarden</w:t>
            </w:r>
          </w:p>
        </w:tc>
        <w:tc>
          <w:tcPr>
            <w:tcW w:w="1418" w:type="dxa"/>
            <w:tcBorders>
              <w:top w:val="nil"/>
              <w:left w:val="nil"/>
              <w:bottom w:val="single" w:sz="8" w:space="0" w:color="auto"/>
              <w:right w:val="single" w:sz="8" w:space="0" w:color="auto"/>
            </w:tcBorders>
            <w:shd w:val="clear" w:color="000000" w:fill="D9D9D9"/>
            <w:vAlign w:val="center"/>
            <w:hideMark/>
          </w:tcPr>
          <w:p w14:paraId="522E5B93" w14:textId="77777777" w:rsidR="007C250E" w:rsidRPr="007C250E" w:rsidRDefault="007C250E" w:rsidP="007C250E">
            <w:pPr>
              <w:jc w:val="right"/>
              <w:rPr>
                <w:b/>
                <w:bCs/>
                <w:noProof/>
                <w:sz w:val="16"/>
                <w:szCs w:val="16"/>
              </w:rPr>
            </w:pPr>
            <w:r>
              <w:rPr>
                <w:b/>
                <w:noProof/>
                <w:sz w:val="16"/>
              </w:rPr>
              <w:t>74 979 363 449</w:t>
            </w:r>
          </w:p>
        </w:tc>
        <w:tc>
          <w:tcPr>
            <w:tcW w:w="1417" w:type="dxa"/>
            <w:tcBorders>
              <w:top w:val="nil"/>
              <w:left w:val="nil"/>
              <w:bottom w:val="single" w:sz="8" w:space="0" w:color="auto"/>
              <w:right w:val="single" w:sz="8" w:space="0" w:color="auto"/>
            </w:tcBorders>
            <w:shd w:val="clear" w:color="000000" w:fill="D9D9D9"/>
            <w:vAlign w:val="center"/>
            <w:hideMark/>
          </w:tcPr>
          <w:p w14:paraId="577BF569" w14:textId="77777777" w:rsidR="007C250E" w:rsidRPr="007C250E" w:rsidRDefault="007C250E" w:rsidP="007C250E">
            <w:pPr>
              <w:jc w:val="right"/>
              <w:rPr>
                <w:b/>
                <w:bCs/>
                <w:noProof/>
                <w:sz w:val="16"/>
                <w:szCs w:val="16"/>
              </w:rPr>
            </w:pPr>
            <w:r>
              <w:rPr>
                <w:b/>
                <w:noProof/>
                <w:sz w:val="16"/>
              </w:rPr>
              <w:t>34 186 039 329</w:t>
            </w:r>
          </w:p>
        </w:tc>
        <w:tc>
          <w:tcPr>
            <w:tcW w:w="993" w:type="dxa"/>
            <w:tcBorders>
              <w:top w:val="nil"/>
              <w:left w:val="nil"/>
              <w:bottom w:val="single" w:sz="8" w:space="0" w:color="auto"/>
              <w:right w:val="single" w:sz="8" w:space="0" w:color="auto"/>
            </w:tcBorders>
            <w:shd w:val="clear" w:color="000000" w:fill="D9D9D9"/>
            <w:vAlign w:val="center"/>
            <w:hideMark/>
          </w:tcPr>
          <w:p w14:paraId="4982A346" w14:textId="77777777" w:rsidR="007C250E" w:rsidRPr="007C250E" w:rsidRDefault="007C250E" w:rsidP="007C250E">
            <w:pPr>
              <w:jc w:val="right"/>
              <w:rPr>
                <w:b/>
                <w:bCs/>
                <w:noProof/>
                <w:sz w:val="16"/>
                <w:szCs w:val="16"/>
              </w:rPr>
            </w:pPr>
            <w:r>
              <w:rPr>
                <w:b/>
                <w:noProof/>
                <w:sz w:val="16"/>
              </w:rPr>
              <w:t xml:space="preserve">-72 000 000 </w:t>
            </w:r>
          </w:p>
        </w:tc>
        <w:tc>
          <w:tcPr>
            <w:tcW w:w="992" w:type="dxa"/>
            <w:tcBorders>
              <w:top w:val="nil"/>
              <w:left w:val="nil"/>
              <w:bottom w:val="single" w:sz="8" w:space="0" w:color="auto"/>
              <w:right w:val="single" w:sz="8" w:space="0" w:color="auto"/>
            </w:tcBorders>
            <w:shd w:val="clear" w:color="000000" w:fill="D9D9D9"/>
            <w:vAlign w:val="center"/>
            <w:hideMark/>
          </w:tcPr>
          <w:p w14:paraId="33BE7E03" w14:textId="77777777" w:rsidR="007C250E" w:rsidRPr="007C250E" w:rsidRDefault="007C250E" w:rsidP="007C250E">
            <w:pPr>
              <w:jc w:val="right"/>
              <w:rPr>
                <w:b/>
                <w:bCs/>
                <w:noProof/>
                <w:sz w:val="16"/>
                <w:szCs w:val="16"/>
              </w:rPr>
            </w:pPr>
            <w:r>
              <w:rPr>
                <w:b/>
                <w:noProof/>
                <w:sz w:val="16"/>
              </w:rPr>
              <w:t xml:space="preserve">-72 000 000 </w:t>
            </w:r>
          </w:p>
        </w:tc>
        <w:tc>
          <w:tcPr>
            <w:tcW w:w="1559" w:type="dxa"/>
            <w:tcBorders>
              <w:top w:val="nil"/>
              <w:left w:val="nil"/>
              <w:bottom w:val="single" w:sz="8" w:space="0" w:color="auto"/>
              <w:right w:val="single" w:sz="8" w:space="0" w:color="auto"/>
            </w:tcBorders>
            <w:shd w:val="clear" w:color="000000" w:fill="D9D9D9"/>
            <w:vAlign w:val="center"/>
            <w:hideMark/>
          </w:tcPr>
          <w:p w14:paraId="2DF4FACE" w14:textId="77777777" w:rsidR="007C250E" w:rsidRPr="007C250E" w:rsidRDefault="007C250E" w:rsidP="007C250E">
            <w:pPr>
              <w:jc w:val="right"/>
              <w:rPr>
                <w:b/>
                <w:bCs/>
                <w:noProof/>
                <w:sz w:val="16"/>
                <w:szCs w:val="16"/>
              </w:rPr>
            </w:pPr>
            <w:r>
              <w:rPr>
                <w:b/>
                <w:noProof/>
                <w:sz w:val="16"/>
              </w:rPr>
              <w:t xml:space="preserve">74 907 363 449 </w:t>
            </w:r>
          </w:p>
        </w:tc>
        <w:tc>
          <w:tcPr>
            <w:tcW w:w="1418" w:type="dxa"/>
            <w:tcBorders>
              <w:top w:val="nil"/>
              <w:left w:val="nil"/>
              <w:bottom w:val="single" w:sz="8" w:space="0" w:color="auto"/>
              <w:right w:val="single" w:sz="8" w:space="0" w:color="auto"/>
            </w:tcBorders>
            <w:shd w:val="clear" w:color="000000" w:fill="D9D9D9"/>
            <w:vAlign w:val="center"/>
            <w:hideMark/>
          </w:tcPr>
          <w:p w14:paraId="2A466FC7" w14:textId="77777777" w:rsidR="007C250E" w:rsidRPr="007C250E" w:rsidRDefault="007C250E" w:rsidP="007C250E">
            <w:pPr>
              <w:jc w:val="right"/>
              <w:rPr>
                <w:b/>
                <w:bCs/>
                <w:noProof/>
                <w:sz w:val="16"/>
                <w:szCs w:val="16"/>
              </w:rPr>
            </w:pPr>
            <w:r>
              <w:rPr>
                <w:b/>
                <w:noProof/>
                <w:sz w:val="16"/>
              </w:rPr>
              <w:t xml:space="preserve">34 114 039 329 </w:t>
            </w:r>
          </w:p>
        </w:tc>
      </w:tr>
      <w:tr w:rsidR="007C250E" w:rsidRPr="007C250E" w14:paraId="36533532"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4EEDA8F5"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0E77A057" w14:textId="77777777" w:rsidR="007C250E" w:rsidRPr="007C250E" w:rsidRDefault="007C250E" w:rsidP="007C250E">
            <w:pPr>
              <w:jc w:val="right"/>
              <w:rPr>
                <w:b/>
                <w:bCs/>
                <w:noProof/>
                <w:sz w:val="16"/>
                <w:szCs w:val="16"/>
              </w:rPr>
            </w:pPr>
            <w:r>
              <w:rPr>
                <w:b/>
                <w:noProof/>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1E4EDB36" w14:textId="77777777" w:rsidR="007C250E" w:rsidRPr="007C250E" w:rsidRDefault="007C250E" w:rsidP="007C250E">
            <w:pPr>
              <w:jc w:val="right"/>
              <w:rPr>
                <w:i/>
                <w:iCs/>
                <w:noProof/>
                <w:sz w:val="16"/>
                <w:szCs w:val="16"/>
              </w:rPr>
            </w:pPr>
            <w:r>
              <w:rPr>
                <w:i/>
                <w:noProof/>
                <w:sz w:val="16"/>
              </w:rPr>
              <w:t>1 335 350 949</w:t>
            </w:r>
          </w:p>
        </w:tc>
        <w:tc>
          <w:tcPr>
            <w:tcW w:w="1417" w:type="dxa"/>
            <w:tcBorders>
              <w:top w:val="nil"/>
              <w:left w:val="nil"/>
              <w:bottom w:val="single" w:sz="8" w:space="0" w:color="auto"/>
              <w:right w:val="single" w:sz="8" w:space="0" w:color="auto"/>
            </w:tcBorders>
            <w:shd w:val="clear" w:color="auto" w:fill="auto"/>
            <w:vAlign w:val="center"/>
            <w:hideMark/>
          </w:tcPr>
          <w:p w14:paraId="523C6388"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1C34C18"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C4B1FF0"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91537B2" w14:textId="77777777" w:rsidR="007C250E" w:rsidRPr="007C250E" w:rsidRDefault="007C250E" w:rsidP="007C250E">
            <w:pPr>
              <w:jc w:val="right"/>
              <w:rPr>
                <w:i/>
                <w:iCs/>
                <w:noProof/>
                <w:sz w:val="16"/>
                <w:szCs w:val="16"/>
              </w:rPr>
            </w:pPr>
            <w:r>
              <w:rPr>
                <w:i/>
                <w:noProof/>
                <w:sz w:val="16"/>
              </w:rPr>
              <w:t xml:space="preserve">1 335 350 949 </w:t>
            </w:r>
          </w:p>
        </w:tc>
        <w:tc>
          <w:tcPr>
            <w:tcW w:w="1418" w:type="dxa"/>
            <w:tcBorders>
              <w:top w:val="nil"/>
              <w:left w:val="nil"/>
              <w:bottom w:val="single" w:sz="8" w:space="0" w:color="auto"/>
              <w:right w:val="single" w:sz="8" w:space="0" w:color="auto"/>
            </w:tcBorders>
            <w:shd w:val="clear" w:color="auto" w:fill="auto"/>
            <w:vAlign w:val="center"/>
            <w:hideMark/>
          </w:tcPr>
          <w:p w14:paraId="5E0664BB" w14:textId="77777777" w:rsidR="007C250E" w:rsidRPr="007C250E" w:rsidRDefault="007C250E" w:rsidP="007C250E">
            <w:pPr>
              <w:jc w:val="right"/>
              <w:rPr>
                <w:noProof/>
                <w:sz w:val="16"/>
                <w:szCs w:val="16"/>
              </w:rPr>
            </w:pPr>
            <w:r>
              <w:rPr>
                <w:noProof/>
                <w:sz w:val="16"/>
              </w:rPr>
              <w:t xml:space="preserve"> </w:t>
            </w:r>
          </w:p>
        </w:tc>
      </w:tr>
      <w:tr w:rsidR="007C250E" w:rsidRPr="007C250E" w14:paraId="68CE5963"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312CA225"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8553D43" w14:textId="77777777" w:rsidR="007C250E" w:rsidRPr="007C250E" w:rsidRDefault="007C250E" w:rsidP="007C250E">
            <w:pPr>
              <w:jc w:val="right"/>
              <w:rPr>
                <w:b/>
                <w:bCs/>
                <w:noProof/>
                <w:sz w:val="16"/>
                <w:szCs w:val="16"/>
              </w:rPr>
            </w:pPr>
            <w:r>
              <w:rPr>
                <w:b/>
                <w:noProof/>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191BE253" w14:textId="77777777" w:rsidR="007C250E" w:rsidRPr="007C250E" w:rsidRDefault="007C250E" w:rsidP="007C250E">
            <w:pPr>
              <w:jc w:val="right"/>
              <w:rPr>
                <w:i/>
                <w:iCs/>
                <w:noProof/>
                <w:sz w:val="16"/>
                <w:szCs w:val="16"/>
              </w:rPr>
            </w:pPr>
            <w:r>
              <w:rPr>
                <w:i/>
                <w:noProof/>
                <w:sz w:val="16"/>
              </w:rPr>
              <w:t>372 816 884</w:t>
            </w:r>
          </w:p>
        </w:tc>
        <w:tc>
          <w:tcPr>
            <w:tcW w:w="1417" w:type="dxa"/>
            <w:tcBorders>
              <w:top w:val="nil"/>
              <w:left w:val="nil"/>
              <w:bottom w:val="single" w:sz="8" w:space="0" w:color="auto"/>
              <w:right w:val="single" w:sz="8" w:space="0" w:color="auto"/>
            </w:tcBorders>
            <w:shd w:val="clear" w:color="auto" w:fill="auto"/>
            <w:vAlign w:val="center"/>
            <w:hideMark/>
          </w:tcPr>
          <w:p w14:paraId="5DC6395B"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8934289" w14:textId="77777777" w:rsidR="007C250E" w:rsidRPr="007C250E" w:rsidRDefault="007C250E" w:rsidP="007C250E">
            <w:pPr>
              <w:jc w:val="right"/>
              <w:rPr>
                <w:i/>
                <w:iCs/>
                <w:noProof/>
                <w:sz w:val="16"/>
                <w:szCs w:val="16"/>
              </w:rPr>
            </w:pPr>
            <w:r>
              <w:rPr>
                <w:i/>
                <w:noProof/>
                <w:sz w:val="16"/>
              </w:rPr>
              <w:t xml:space="preserve">-72 000 000 </w:t>
            </w:r>
          </w:p>
        </w:tc>
        <w:tc>
          <w:tcPr>
            <w:tcW w:w="992" w:type="dxa"/>
            <w:tcBorders>
              <w:top w:val="nil"/>
              <w:left w:val="nil"/>
              <w:bottom w:val="single" w:sz="8" w:space="0" w:color="auto"/>
              <w:right w:val="single" w:sz="8" w:space="0" w:color="auto"/>
            </w:tcBorders>
            <w:shd w:val="clear" w:color="auto" w:fill="auto"/>
            <w:vAlign w:val="center"/>
            <w:hideMark/>
          </w:tcPr>
          <w:p w14:paraId="646C3984"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6E75C30" w14:textId="77777777" w:rsidR="007C250E" w:rsidRPr="007C250E" w:rsidRDefault="007C250E" w:rsidP="007C250E">
            <w:pPr>
              <w:jc w:val="right"/>
              <w:rPr>
                <w:i/>
                <w:iCs/>
                <w:noProof/>
                <w:sz w:val="16"/>
                <w:szCs w:val="16"/>
              </w:rPr>
            </w:pPr>
            <w:r>
              <w:rPr>
                <w:i/>
                <w:noProof/>
                <w:sz w:val="16"/>
              </w:rPr>
              <w:t xml:space="preserve">300 816 884 </w:t>
            </w:r>
          </w:p>
        </w:tc>
        <w:tc>
          <w:tcPr>
            <w:tcW w:w="1418" w:type="dxa"/>
            <w:tcBorders>
              <w:top w:val="nil"/>
              <w:left w:val="nil"/>
              <w:bottom w:val="single" w:sz="8" w:space="0" w:color="auto"/>
              <w:right w:val="single" w:sz="8" w:space="0" w:color="auto"/>
            </w:tcBorders>
            <w:shd w:val="clear" w:color="auto" w:fill="auto"/>
            <w:vAlign w:val="center"/>
            <w:hideMark/>
          </w:tcPr>
          <w:p w14:paraId="14C8721C" w14:textId="77777777" w:rsidR="007C250E" w:rsidRPr="007C250E" w:rsidRDefault="007C250E" w:rsidP="007C250E">
            <w:pPr>
              <w:jc w:val="right"/>
              <w:rPr>
                <w:noProof/>
                <w:sz w:val="16"/>
                <w:szCs w:val="16"/>
              </w:rPr>
            </w:pPr>
            <w:r>
              <w:rPr>
                <w:noProof/>
                <w:sz w:val="16"/>
              </w:rPr>
              <w:t xml:space="preserve"> </w:t>
            </w:r>
          </w:p>
        </w:tc>
      </w:tr>
      <w:tr w:rsidR="007C250E" w:rsidRPr="007C250E" w14:paraId="1CAC086D"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4F48142A"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B3A6A00"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2B013434"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683C7D30"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39B9385"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2774389"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466C01A"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14E47D6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CAFDB70"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CC0AED" w14:textId="77777777" w:rsidR="007C250E" w:rsidRPr="007C250E" w:rsidRDefault="007C250E" w:rsidP="007C250E">
            <w:pPr>
              <w:jc w:val="right"/>
              <w:rPr>
                <w:b/>
                <w:bCs/>
                <w:i/>
                <w:iCs/>
                <w:noProof/>
                <w:color w:val="000000"/>
                <w:sz w:val="16"/>
                <w:szCs w:val="16"/>
              </w:rPr>
            </w:pPr>
            <w:r>
              <w:rPr>
                <w:b/>
                <w:i/>
                <w:noProof/>
                <w:color w:val="000000"/>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44CBEAF5" w14:textId="77777777" w:rsidR="007C250E" w:rsidRPr="007C250E" w:rsidRDefault="007C250E" w:rsidP="007C250E">
            <w:pPr>
              <w:jc w:val="right"/>
              <w:rPr>
                <w:i/>
                <w:iCs/>
                <w:noProof/>
                <w:color w:val="000000"/>
                <w:sz w:val="16"/>
                <w:szCs w:val="16"/>
              </w:rPr>
            </w:pPr>
            <w:r>
              <w:rPr>
                <w:i/>
                <w:noProof/>
                <w:color w:val="000000"/>
                <w:sz w:val="16"/>
              </w:rPr>
              <w:t>73 289 000 000</w:t>
            </w:r>
          </w:p>
        </w:tc>
        <w:tc>
          <w:tcPr>
            <w:tcW w:w="1417" w:type="dxa"/>
            <w:tcBorders>
              <w:top w:val="nil"/>
              <w:left w:val="nil"/>
              <w:bottom w:val="single" w:sz="8" w:space="0" w:color="auto"/>
              <w:right w:val="single" w:sz="8" w:space="0" w:color="auto"/>
            </w:tcBorders>
            <w:shd w:val="clear" w:color="auto" w:fill="auto"/>
            <w:vAlign w:val="center"/>
            <w:hideMark/>
          </w:tcPr>
          <w:p w14:paraId="5E019012"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D00DEE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5750284"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4EE4252" w14:textId="77777777" w:rsidR="007C250E" w:rsidRPr="007C250E" w:rsidRDefault="007C250E" w:rsidP="007C250E">
            <w:pPr>
              <w:jc w:val="right"/>
              <w:rPr>
                <w:i/>
                <w:iCs/>
                <w:noProof/>
                <w:color w:val="000000"/>
                <w:sz w:val="16"/>
                <w:szCs w:val="16"/>
              </w:rPr>
            </w:pPr>
            <w:r>
              <w:rPr>
                <w:i/>
                <w:noProof/>
                <w:color w:val="000000"/>
                <w:sz w:val="16"/>
              </w:rPr>
              <w:t xml:space="preserve">73 289 000 000 </w:t>
            </w:r>
          </w:p>
        </w:tc>
        <w:tc>
          <w:tcPr>
            <w:tcW w:w="1418" w:type="dxa"/>
            <w:tcBorders>
              <w:top w:val="nil"/>
              <w:left w:val="nil"/>
              <w:bottom w:val="single" w:sz="8" w:space="0" w:color="auto"/>
              <w:right w:val="single" w:sz="8" w:space="0" w:color="auto"/>
            </w:tcBorders>
            <w:shd w:val="clear" w:color="auto" w:fill="auto"/>
            <w:vAlign w:val="center"/>
            <w:hideMark/>
          </w:tcPr>
          <w:p w14:paraId="1372F864"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DE6C03"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8219A0" w14:textId="77777777" w:rsidR="007C250E" w:rsidRPr="007C250E" w:rsidRDefault="007C250E" w:rsidP="007C250E">
            <w:pPr>
              <w:jc w:val="right"/>
              <w:rPr>
                <w:b/>
                <w:bCs/>
                <w:i/>
                <w:iCs/>
                <w:noProof/>
                <w:sz w:val="16"/>
                <w:szCs w:val="16"/>
              </w:rPr>
            </w:pPr>
            <w:r>
              <w:rPr>
                <w:b/>
                <w:i/>
                <w:noProof/>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371DE2F8" w14:textId="77777777" w:rsidR="007C250E" w:rsidRPr="007C250E" w:rsidRDefault="007C250E" w:rsidP="007C250E">
            <w:pPr>
              <w:jc w:val="right"/>
              <w:rPr>
                <w:i/>
                <w:iCs/>
                <w:noProof/>
                <w:sz w:val="16"/>
                <w:szCs w:val="16"/>
              </w:rPr>
            </w:pPr>
            <w:r>
              <w:rPr>
                <w:i/>
                <w:noProof/>
                <w:sz w:val="16"/>
              </w:rPr>
              <w:t>17 804 384</w:t>
            </w:r>
          </w:p>
        </w:tc>
        <w:tc>
          <w:tcPr>
            <w:tcW w:w="1417" w:type="dxa"/>
            <w:tcBorders>
              <w:top w:val="nil"/>
              <w:left w:val="nil"/>
              <w:bottom w:val="single" w:sz="8" w:space="0" w:color="auto"/>
              <w:right w:val="single" w:sz="8" w:space="0" w:color="auto"/>
            </w:tcBorders>
            <w:shd w:val="clear" w:color="auto" w:fill="auto"/>
            <w:vAlign w:val="center"/>
            <w:hideMark/>
          </w:tcPr>
          <w:p w14:paraId="109927C0"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E96BA8E"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77FB034"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89793D4" w14:textId="77777777" w:rsidR="007C250E" w:rsidRPr="007C250E" w:rsidRDefault="007C250E" w:rsidP="007C250E">
            <w:pPr>
              <w:jc w:val="right"/>
              <w:rPr>
                <w:i/>
                <w:iCs/>
                <w:noProof/>
                <w:sz w:val="16"/>
                <w:szCs w:val="16"/>
              </w:rPr>
            </w:pPr>
            <w:r>
              <w:rPr>
                <w:i/>
                <w:noProof/>
                <w:sz w:val="16"/>
              </w:rPr>
              <w:t xml:space="preserve">17 804 384 </w:t>
            </w:r>
          </w:p>
        </w:tc>
        <w:tc>
          <w:tcPr>
            <w:tcW w:w="1418" w:type="dxa"/>
            <w:tcBorders>
              <w:top w:val="nil"/>
              <w:left w:val="nil"/>
              <w:bottom w:val="single" w:sz="8" w:space="0" w:color="auto"/>
              <w:right w:val="single" w:sz="8" w:space="0" w:color="auto"/>
            </w:tcBorders>
            <w:shd w:val="clear" w:color="auto" w:fill="auto"/>
            <w:vAlign w:val="center"/>
            <w:hideMark/>
          </w:tcPr>
          <w:p w14:paraId="4A0F1D28" w14:textId="77777777" w:rsidR="007C250E" w:rsidRPr="007C250E" w:rsidRDefault="007C250E" w:rsidP="007C250E">
            <w:pPr>
              <w:jc w:val="right"/>
              <w:rPr>
                <w:noProof/>
                <w:sz w:val="16"/>
                <w:szCs w:val="16"/>
              </w:rPr>
            </w:pPr>
            <w:r>
              <w:rPr>
                <w:noProof/>
                <w:sz w:val="16"/>
              </w:rPr>
              <w:t xml:space="preserve"> </w:t>
            </w:r>
          </w:p>
        </w:tc>
      </w:tr>
      <w:tr w:rsidR="007C250E" w:rsidRPr="007C250E" w14:paraId="25C4B393"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FE278D2" w14:textId="77777777" w:rsidR="007C250E" w:rsidRPr="007C250E" w:rsidRDefault="007C250E" w:rsidP="007C250E">
            <w:pPr>
              <w:jc w:val="both"/>
              <w:rPr>
                <w:noProof/>
                <w:color w:val="000000"/>
                <w:sz w:val="16"/>
                <w:szCs w:val="16"/>
              </w:rPr>
            </w:pPr>
            <w:r>
              <w:rPr>
                <w:noProof/>
                <w:color w:val="000000"/>
                <w:sz w:val="16"/>
              </w:rPr>
              <w:t>2a.</w:t>
            </w:r>
          </w:p>
        </w:tc>
        <w:tc>
          <w:tcPr>
            <w:tcW w:w="2409" w:type="dxa"/>
            <w:tcBorders>
              <w:top w:val="nil"/>
              <w:left w:val="nil"/>
              <w:bottom w:val="single" w:sz="8" w:space="0" w:color="auto"/>
              <w:right w:val="single" w:sz="8" w:space="0" w:color="auto"/>
            </w:tcBorders>
            <w:shd w:val="clear" w:color="000000" w:fill="D9D9D9"/>
            <w:vAlign w:val="center"/>
            <w:hideMark/>
          </w:tcPr>
          <w:p w14:paraId="1E41DFF1" w14:textId="77777777" w:rsidR="007C250E" w:rsidRPr="007C250E" w:rsidRDefault="007C250E" w:rsidP="007C250E">
            <w:pPr>
              <w:jc w:val="both"/>
              <w:rPr>
                <w:noProof/>
                <w:color w:val="000000"/>
                <w:sz w:val="16"/>
                <w:szCs w:val="16"/>
              </w:rPr>
            </w:pPr>
            <w:r>
              <w:rPr>
                <w:noProof/>
                <w:color w:val="000000"/>
                <w:sz w:val="16"/>
              </w:rPr>
              <w:t>Economische, sociale en territoriale samenhang</w:t>
            </w:r>
          </w:p>
        </w:tc>
        <w:tc>
          <w:tcPr>
            <w:tcW w:w="1418" w:type="dxa"/>
            <w:tcBorders>
              <w:top w:val="nil"/>
              <w:left w:val="nil"/>
              <w:bottom w:val="single" w:sz="8" w:space="0" w:color="auto"/>
              <w:right w:val="single" w:sz="8" w:space="0" w:color="auto"/>
            </w:tcBorders>
            <w:shd w:val="clear" w:color="000000" w:fill="D9D9D9"/>
            <w:vAlign w:val="center"/>
            <w:hideMark/>
          </w:tcPr>
          <w:p w14:paraId="6038D73F" w14:textId="77777777" w:rsidR="007C250E" w:rsidRPr="007C250E" w:rsidRDefault="007C250E" w:rsidP="007C250E">
            <w:pPr>
              <w:jc w:val="right"/>
              <w:rPr>
                <w:noProof/>
                <w:color w:val="000000"/>
                <w:sz w:val="16"/>
                <w:szCs w:val="16"/>
              </w:rPr>
            </w:pPr>
            <w:r>
              <w:rPr>
                <w:noProof/>
                <w:color w:val="000000"/>
                <w:sz w:val="16"/>
              </w:rPr>
              <w:t>64 665 195 616</w:t>
            </w:r>
          </w:p>
        </w:tc>
        <w:tc>
          <w:tcPr>
            <w:tcW w:w="1417" w:type="dxa"/>
            <w:tcBorders>
              <w:top w:val="nil"/>
              <w:left w:val="nil"/>
              <w:bottom w:val="single" w:sz="8" w:space="0" w:color="auto"/>
              <w:right w:val="single" w:sz="8" w:space="0" w:color="auto"/>
            </w:tcBorders>
            <w:shd w:val="clear" w:color="000000" w:fill="D9D9D9"/>
            <w:vAlign w:val="center"/>
            <w:hideMark/>
          </w:tcPr>
          <w:p w14:paraId="7FA67CA6" w14:textId="77777777" w:rsidR="007C250E" w:rsidRPr="007C250E" w:rsidRDefault="007C250E" w:rsidP="007C250E">
            <w:pPr>
              <w:jc w:val="right"/>
              <w:rPr>
                <w:noProof/>
                <w:color w:val="000000"/>
                <w:sz w:val="16"/>
                <w:szCs w:val="16"/>
              </w:rPr>
            </w:pPr>
            <w:r>
              <w:rPr>
                <w:noProof/>
                <w:color w:val="000000"/>
                <w:sz w:val="16"/>
              </w:rPr>
              <w:t>24 155 654 152</w:t>
            </w:r>
          </w:p>
        </w:tc>
        <w:tc>
          <w:tcPr>
            <w:tcW w:w="993" w:type="dxa"/>
            <w:tcBorders>
              <w:top w:val="nil"/>
              <w:left w:val="nil"/>
              <w:bottom w:val="single" w:sz="8" w:space="0" w:color="auto"/>
              <w:right w:val="single" w:sz="8" w:space="0" w:color="auto"/>
            </w:tcBorders>
            <w:shd w:val="clear" w:color="000000" w:fill="D9D9D9"/>
            <w:vAlign w:val="center"/>
            <w:hideMark/>
          </w:tcPr>
          <w:p w14:paraId="3108FAAB"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40855075"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556C6647" w14:textId="77777777" w:rsidR="007C250E" w:rsidRPr="007C250E" w:rsidRDefault="007C250E" w:rsidP="007C250E">
            <w:pPr>
              <w:jc w:val="right"/>
              <w:rPr>
                <w:noProof/>
                <w:color w:val="000000"/>
                <w:sz w:val="16"/>
                <w:szCs w:val="16"/>
              </w:rPr>
            </w:pPr>
            <w:r>
              <w:rPr>
                <w:noProof/>
                <w:color w:val="000000"/>
                <w:sz w:val="16"/>
              </w:rPr>
              <w:t xml:space="preserve">64 665 195 616 </w:t>
            </w:r>
          </w:p>
        </w:tc>
        <w:tc>
          <w:tcPr>
            <w:tcW w:w="1418" w:type="dxa"/>
            <w:tcBorders>
              <w:top w:val="nil"/>
              <w:left w:val="nil"/>
              <w:bottom w:val="single" w:sz="8" w:space="0" w:color="auto"/>
              <w:right w:val="single" w:sz="8" w:space="0" w:color="auto"/>
            </w:tcBorders>
            <w:shd w:val="clear" w:color="000000" w:fill="D9D9D9"/>
            <w:vAlign w:val="center"/>
            <w:hideMark/>
          </w:tcPr>
          <w:p w14:paraId="3A9CA076" w14:textId="77777777" w:rsidR="007C250E" w:rsidRPr="007C250E" w:rsidRDefault="007C250E" w:rsidP="007C250E">
            <w:pPr>
              <w:jc w:val="right"/>
              <w:rPr>
                <w:noProof/>
                <w:color w:val="000000"/>
                <w:sz w:val="16"/>
                <w:szCs w:val="16"/>
              </w:rPr>
            </w:pPr>
            <w:r>
              <w:rPr>
                <w:noProof/>
                <w:color w:val="000000"/>
                <w:sz w:val="16"/>
              </w:rPr>
              <w:t xml:space="preserve">24 155 654 152 </w:t>
            </w:r>
          </w:p>
        </w:tc>
      </w:tr>
      <w:tr w:rsidR="007C250E" w:rsidRPr="007C250E" w14:paraId="4755FDF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0629C6AD"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0BB79E23"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1E3A5C8A"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3FFCD9F9"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242F601"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DE46851"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E82D11A"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7B9CBEF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CAB5211"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48FDB60A"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83D8363"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7AE63A10"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6D4E747E"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5D7E933"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71A4B3A"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6C4DA18"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08EFA57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DC7C95F"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3784AD8"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8DBECE7"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681C28BE"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B53DE29"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B7E9C43"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33DC095"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311F2EA"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2A0CC3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ED032D"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854ED3" w14:textId="77777777" w:rsidR="007C250E" w:rsidRPr="007C250E" w:rsidRDefault="007C250E" w:rsidP="007C250E">
            <w:pPr>
              <w:jc w:val="right"/>
              <w:rPr>
                <w:b/>
                <w:bCs/>
                <w:i/>
                <w:iCs/>
                <w:noProof/>
                <w:color w:val="000000"/>
                <w:sz w:val="16"/>
                <w:szCs w:val="16"/>
              </w:rPr>
            </w:pPr>
            <w:r>
              <w:rPr>
                <w:b/>
                <w:i/>
                <w:noProof/>
                <w:color w:val="000000"/>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392DE4AC" w14:textId="77777777" w:rsidR="007C250E" w:rsidRPr="007C250E" w:rsidRDefault="007C250E" w:rsidP="007C250E">
            <w:pPr>
              <w:jc w:val="right"/>
              <w:rPr>
                <w:i/>
                <w:iCs/>
                <w:noProof/>
                <w:color w:val="000000"/>
                <w:sz w:val="16"/>
                <w:szCs w:val="16"/>
              </w:rPr>
            </w:pPr>
            <w:r>
              <w:rPr>
                <w:i/>
                <w:noProof/>
                <w:color w:val="000000"/>
                <w:sz w:val="16"/>
              </w:rPr>
              <w:t>64 683 000 000</w:t>
            </w:r>
          </w:p>
        </w:tc>
        <w:tc>
          <w:tcPr>
            <w:tcW w:w="1417" w:type="dxa"/>
            <w:tcBorders>
              <w:top w:val="nil"/>
              <w:left w:val="nil"/>
              <w:bottom w:val="single" w:sz="8" w:space="0" w:color="auto"/>
              <w:right w:val="single" w:sz="8" w:space="0" w:color="auto"/>
            </w:tcBorders>
            <w:shd w:val="clear" w:color="auto" w:fill="auto"/>
            <w:vAlign w:val="center"/>
            <w:hideMark/>
          </w:tcPr>
          <w:p w14:paraId="30AA633E"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3AE035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5C1D9F9"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8D3EAFE" w14:textId="77777777" w:rsidR="007C250E" w:rsidRPr="007C250E" w:rsidRDefault="007C250E" w:rsidP="007C250E">
            <w:pPr>
              <w:jc w:val="right"/>
              <w:rPr>
                <w:i/>
                <w:iCs/>
                <w:noProof/>
                <w:color w:val="000000"/>
                <w:sz w:val="16"/>
                <w:szCs w:val="16"/>
              </w:rPr>
            </w:pPr>
            <w:r>
              <w:rPr>
                <w:i/>
                <w:noProof/>
                <w:color w:val="000000"/>
                <w:sz w:val="16"/>
              </w:rPr>
              <w:t xml:space="preserve">64 683 000 000 </w:t>
            </w:r>
          </w:p>
        </w:tc>
        <w:tc>
          <w:tcPr>
            <w:tcW w:w="1418" w:type="dxa"/>
            <w:tcBorders>
              <w:top w:val="nil"/>
              <w:left w:val="nil"/>
              <w:bottom w:val="single" w:sz="8" w:space="0" w:color="auto"/>
              <w:right w:val="single" w:sz="8" w:space="0" w:color="auto"/>
            </w:tcBorders>
            <w:shd w:val="clear" w:color="auto" w:fill="auto"/>
            <w:vAlign w:val="center"/>
            <w:hideMark/>
          </w:tcPr>
          <w:p w14:paraId="04EADB5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EF7563C"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9FB122"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0C5B52C0" w14:textId="77777777" w:rsidR="007C250E" w:rsidRPr="007C250E" w:rsidRDefault="007C250E" w:rsidP="007C250E">
            <w:pPr>
              <w:jc w:val="right"/>
              <w:rPr>
                <w:i/>
                <w:iCs/>
                <w:noProof/>
                <w:color w:val="000000"/>
                <w:sz w:val="16"/>
                <w:szCs w:val="16"/>
              </w:rPr>
            </w:pPr>
            <w:r>
              <w:rPr>
                <w:i/>
                <w:noProof/>
                <w:color w:val="000000"/>
                <w:sz w:val="16"/>
              </w:rPr>
              <w:t>17 804 384</w:t>
            </w:r>
          </w:p>
        </w:tc>
        <w:tc>
          <w:tcPr>
            <w:tcW w:w="1417" w:type="dxa"/>
            <w:tcBorders>
              <w:top w:val="nil"/>
              <w:left w:val="nil"/>
              <w:bottom w:val="single" w:sz="8" w:space="0" w:color="auto"/>
              <w:right w:val="single" w:sz="8" w:space="0" w:color="auto"/>
            </w:tcBorders>
            <w:shd w:val="clear" w:color="auto" w:fill="auto"/>
            <w:vAlign w:val="center"/>
            <w:hideMark/>
          </w:tcPr>
          <w:p w14:paraId="26824AB8"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F794CCF"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B84847B"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5DB3016" w14:textId="77777777" w:rsidR="007C250E" w:rsidRPr="007C250E" w:rsidRDefault="007C250E" w:rsidP="007C250E">
            <w:pPr>
              <w:jc w:val="right"/>
              <w:rPr>
                <w:i/>
                <w:iCs/>
                <w:noProof/>
                <w:color w:val="000000"/>
                <w:sz w:val="16"/>
                <w:szCs w:val="16"/>
              </w:rPr>
            </w:pPr>
            <w:r>
              <w:rPr>
                <w:i/>
                <w:noProof/>
                <w:color w:val="000000"/>
                <w:sz w:val="16"/>
              </w:rPr>
              <w:t xml:space="preserve">17 804 384 </w:t>
            </w:r>
          </w:p>
        </w:tc>
        <w:tc>
          <w:tcPr>
            <w:tcW w:w="1418" w:type="dxa"/>
            <w:tcBorders>
              <w:top w:val="nil"/>
              <w:left w:val="nil"/>
              <w:bottom w:val="single" w:sz="8" w:space="0" w:color="auto"/>
              <w:right w:val="single" w:sz="8" w:space="0" w:color="auto"/>
            </w:tcBorders>
            <w:shd w:val="clear" w:color="auto" w:fill="auto"/>
            <w:vAlign w:val="center"/>
            <w:hideMark/>
          </w:tcPr>
          <w:p w14:paraId="04D087D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693D"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1B41890" w14:textId="77777777" w:rsidR="007C250E" w:rsidRPr="007C250E" w:rsidRDefault="007C250E" w:rsidP="007C250E">
            <w:pPr>
              <w:jc w:val="both"/>
              <w:rPr>
                <w:noProof/>
                <w:sz w:val="16"/>
                <w:szCs w:val="16"/>
              </w:rPr>
            </w:pPr>
            <w:r>
              <w:rPr>
                <w:noProof/>
                <w:sz w:val="16"/>
              </w:rPr>
              <w:t>2b.</w:t>
            </w:r>
          </w:p>
        </w:tc>
        <w:tc>
          <w:tcPr>
            <w:tcW w:w="2409" w:type="dxa"/>
            <w:tcBorders>
              <w:top w:val="nil"/>
              <w:left w:val="nil"/>
              <w:bottom w:val="single" w:sz="8" w:space="0" w:color="auto"/>
              <w:right w:val="single" w:sz="8" w:space="0" w:color="auto"/>
            </w:tcBorders>
            <w:shd w:val="clear" w:color="000000" w:fill="D9D9D9"/>
            <w:vAlign w:val="center"/>
            <w:hideMark/>
          </w:tcPr>
          <w:p w14:paraId="751EFAD7" w14:textId="77777777" w:rsidR="007C250E" w:rsidRPr="007C250E" w:rsidRDefault="007C250E" w:rsidP="007C250E">
            <w:pPr>
              <w:jc w:val="both"/>
              <w:rPr>
                <w:noProof/>
                <w:sz w:val="16"/>
                <w:szCs w:val="16"/>
              </w:rPr>
            </w:pPr>
            <w:r>
              <w:rPr>
                <w:noProof/>
                <w:sz w:val="16"/>
              </w:rPr>
              <w:t>Veerkracht en waarden</w:t>
            </w:r>
          </w:p>
        </w:tc>
        <w:tc>
          <w:tcPr>
            <w:tcW w:w="1418" w:type="dxa"/>
            <w:tcBorders>
              <w:top w:val="nil"/>
              <w:left w:val="nil"/>
              <w:bottom w:val="single" w:sz="8" w:space="0" w:color="auto"/>
              <w:right w:val="single" w:sz="8" w:space="0" w:color="auto"/>
            </w:tcBorders>
            <w:shd w:val="clear" w:color="000000" w:fill="D9D9D9"/>
            <w:vAlign w:val="center"/>
            <w:hideMark/>
          </w:tcPr>
          <w:p w14:paraId="408A0298" w14:textId="77777777" w:rsidR="007C250E" w:rsidRPr="007C250E" w:rsidRDefault="007C250E" w:rsidP="007C250E">
            <w:pPr>
              <w:jc w:val="right"/>
              <w:rPr>
                <w:noProof/>
                <w:sz w:val="16"/>
                <w:szCs w:val="16"/>
              </w:rPr>
            </w:pPr>
            <w:r>
              <w:rPr>
                <w:noProof/>
                <w:sz w:val="16"/>
              </w:rPr>
              <w:t>10 314 167 833</w:t>
            </w:r>
          </w:p>
        </w:tc>
        <w:tc>
          <w:tcPr>
            <w:tcW w:w="1417" w:type="dxa"/>
            <w:tcBorders>
              <w:top w:val="nil"/>
              <w:left w:val="nil"/>
              <w:bottom w:val="single" w:sz="8" w:space="0" w:color="auto"/>
              <w:right w:val="single" w:sz="8" w:space="0" w:color="auto"/>
            </w:tcBorders>
            <w:shd w:val="clear" w:color="000000" w:fill="D9D9D9"/>
            <w:vAlign w:val="center"/>
            <w:hideMark/>
          </w:tcPr>
          <w:p w14:paraId="09924EC6" w14:textId="77777777" w:rsidR="007C250E" w:rsidRPr="007C250E" w:rsidRDefault="007C250E" w:rsidP="007C250E">
            <w:pPr>
              <w:jc w:val="right"/>
              <w:rPr>
                <w:noProof/>
                <w:sz w:val="16"/>
                <w:szCs w:val="16"/>
              </w:rPr>
            </w:pPr>
            <w:r>
              <w:rPr>
                <w:noProof/>
                <w:sz w:val="16"/>
              </w:rPr>
              <w:t>10 030 385 177</w:t>
            </w:r>
          </w:p>
        </w:tc>
        <w:tc>
          <w:tcPr>
            <w:tcW w:w="993" w:type="dxa"/>
            <w:tcBorders>
              <w:top w:val="nil"/>
              <w:left w:val="nil"/>
              <w:bottom w:val="single" w:sz="8" w:space="0" w:color="auto"/>
              <w:right w:val="single" w:sz="8" w:space="0" w:color="auto"/>
            </w:tcBorders>
            <w:shd w:val="clear" w:color="000000" w:fill="D9D9D9"/>
            <w:vAlign w:val="center"/>
            <w:hideMark/>
          </w:tcPr>
          <w:p w14:paraId="4CE4B554" w14:textId="77777777" w:rsidR="007C250E" w:rsidRPr="007C250E" w:rsidRDefault="007C250E" w:rsidP="007C250E">
            <w:pPr>
              <w:jc w:val="right"/>
              <w:rPr>
                <w:noProof/>
                <w:sz w:val="16"/>
                <w:szCs w:val="16"/>
              </w:rPr>
            </w:pPr>
            <w:r>
              <w:rPr>
                <w:noProof/>
                <w:sz w:val="16"/>
              </w:rPr>
              <w:t xml:space="preserve">-72 000 000 </w:t>
            </w:r>
          </w:p>
        </w:tc>
        <w:tc>
          <w:tcPr>
            <w:tcW w:w="992" w:type="dxa"/>
            <w:tcBorders>
              <w:top w:val="nil"/>
              <w:left w:val="nil"/>
              <w:bottom w:val="single" w:sz="8" w:space="0" w:color="auto"/>
              <w:right w:val="single" w:sz="8" w:space="0" w:color="auto"/>
            </w:tcBorders>
            <w:shd w:val="clear" w:color="000000" w:fill="D9D9D9"/>
            <w:vAlign w:val="center"/>
            <w:hideMark/>
          </w:tcPr>
          <w:p w14:paraId="7D0D4894" w14:textId="77777777" w:rsidR="007C250E" w:rsidRPr="007C250E" w:rsidRDefault="007C250E" w:rsidP="007C250E">
            <w:pPr>
              <w:jc w:val="right"/>
              <w:rPr>
                <w:noProof/>
                <w:sz w:val="16"/>
                <w:szCs w:val="16"/>
              </w:rPr>
            </w:pPr>
            <w:r>
              <w:rPr>
                <w:noProof/>
                <w:sz w:val="16"/>
              </w:rPr>
              <w:t xml:space="preserve">-72 000 000 </w:t>
            </w:r>
          </w:p>
        </w:tc>
        <w:tc>
          <w:tcPr>
            <w:tcW w:w="1559" w:type="dxa"/>
            <w:tcBorders>
              <w:top w:val="nil"/>
              <w:left w:val="nil"/>
              <w:bottom w:val="single" w:sz="8" w:space="0" w:color="auto"/>
              <w:right w:val="single" w:sz="8" w:space="0" w:color="auto"/>
            </w:tcBorders>
            <w:shd w:val="clear" w:color="000000" w:fill="D9D9D9"/>
            <w:vAlign w:val="center"/>
            <w:hideMark/>
          </w:tcPr>
          <w:p w14:paraId="01A659A5" w14:textId="77777777" w:rsidR="007C250E" w:rsidRPr="007C250E" w:rsidRDefault="007C250E" w:rsidP="007C250E">
            <w:pPr>
              <w:jc w:val="right"/>
              <w:rPr>
                <w:noProof/>
                <w:sz w:val="16"/>
                <w:szCs w:val="16"/>
              </w:rPr>
            </w:pPr>
            <w:r>
              <w:rPr>
                <w:noProof/>
                <w:sz w:val="16"/>
              </w:rPr>
              <w:t xml:space="preserve">10 242 167 833 </w:t>
            </w:r>
          </w:p>
        </w:tc>
        <w:tc>
          <w:tcPr>
            <w:tcW w:w="1418" w:type="dxa"/>
            <w:tcBorders>
              <w:top w:val="nil"/>
              <w:left w:val="nil"/>
              <w:bottom w:val="single" w:sz="8" w:space="0" w:color="auto"/>
              <w:right w:val="single" w:sz="8" w:space="0" w:color="auto"/>
            </w:tcBorders>
            <w:shd w:val="clear" w:color="000000" w:fill="D9D9D9"/>
            <w:vAlign w:val="center"/>
            <w:hideMark/>
          </w:tcPr>
          <w:p w14:paraId="65C9B66D" w14:textId="77777777" w:rsidR="007C250E" w:rsidRPr="007C250E" w:rsidRDefault="007C250E" w:rsidP="007C250E">
            <w:pPr>
              <w:jc w:val="right"/>
              <w:rPr>
                <w:noProof/>
                <w:sz w:val="16"/>
                <w:szCs w:val="16"/>
              </w:rPr>
            </w:pPr>
            <w:r>
              <w:rPr>
                <w:noProof/>
                <w:sz w:val="16"/>
              </w:rPr>
              <w:t xml:space="preserve">9 958 385 177 </w:t>
            </w:r>
          </w:p>
        </w:tc>
      </w:tr>
      <w:tr w:rsidR="007C250E" w:rsidRPr="007C250E" w14:paraId="16FA0FF7"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6E9A0ED7"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7384B76" w14:textId="77777777" w:rsidR="007C250E" w:rsidRPr="007C250E" w:rsidRDefault="007C250E" w:rsidP="007C250E">
            <w:pPr>
              <w:jc w:val="right"/>
              <w:rPr>
                <w:b/>
                <w:bCs/>
                <w:noProof/>
                <w:sz w:val="16"/>
                <w:szCs w:val="16"/>
              </w:rPr>
            </w:pPr>
            <w:r>
              <w:rPr>
                <w:b/>
                <w:noProof/>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35B3C35C" w14:textId="77777777" w:rsidR="007C250E" w:rsidRPr="007C250E" w:rsidRDefault="007C250E" w:rsidP="007C250E">
            <w:pPr>
              <w:jc w:val="right"/>
              <w:rPr>
                <w:i/>
                <w:iCs/>
                <w:noProof/>
                <w:sz w:val="16"/>
                <w:szCs w:val="16"/>
              </w:rPr>
            </w:pPr>
            <w:r>
              <w:rPr>
                <w:i/>
                <w:noProof/>
                <w:sz w:val="16"/>
              </w:rPr>
              <w:t>1 335 350 949</w:t>
            </w:r>
          </w:p>
        </w:tc>
        <w:tc>
          <w:tcPr>
            <w:tcW w:w="1417" w:type="dxa"/>
            <w:tcBorders>
              <w:top w:val="nil"/>
              <w:left w:val="nil"/>
              <w:bottom w:val="single" w:sz="8" w:space="0" w:color="auto"/>
              <w:right w:val="single" w:sz="8" w:space="0" w:color="auto"/>
            </w:tcBorders>
            <w:shd w:val="clear" w:color="auto" w:fill="auto"/>
            <w:vAlign w:val="center"/>
            <w:hideMark/>
          </w:tcPr>
          <w:p w14:paraId="4C5A83ED"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783FD54"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D9A5E60"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6236112" w14:textId="77777777" w:rsidR="007C250E" w:rsidRPr="007C250E" w:rsidRDefault="007C250E" w:rsidP="007C250E">
            <w:pPr>
              <w:jc w:val="right"/>
              <w:rPr>
                <w:i/>
                <w:iCs/>
                <w:noProof/>
                <w:sz w:val="16"/>
                <w:szCs w:val="16"/>
              </w:rPr>
            </w:pPr>
            <w:r>
              <w:rPr>
                <w:i/>
                <w:noProof/>
                <w:sz w:val="16"/>
              </w:rPr>
              <w:t xml:space="preserve">1 335 350 949 </w:t>
            </w:r>
          </w:p>
        </w:tc>
        <w:tc>
          <w:tcPr>
            <w:tcW w:w="1418" w:type="dxa"/>
            <w:tcBorders>
              <w:top w:val="nil"/>
              <w:left w:val="nil"/>
              <w:bottom w:val="single" w:sz="8" w:space="0" w:color="auto"/>
              <w:right w:val="single" w:sz="8" w:space="0" w:color="auto"/>
            </w:tcBorders>
            <w:shd w:val="clear" w:color="auto" w:fill="auto"/>
            <w:vAlign w:val="center"/>
            <w:hideMark/>
          </w:tcPr>
          <w:p w14:paraId="664F9AFF" w14:textId="77777777" w:rsidR="007C250E" w:rsidRPr="007C250E" w:rsidRDefault="007C250E" w:rsidP="007C250E">
            <w:pPr>
              <w:jc w:val="right"/>
              <w:rPr>
                <w:noProof/>
                <w:sz w:val="16"/>
                <w:szCs w:val="16"/>
              </w:rPr>
            </w:pPr>
            <w:r>
              <w:rPr>
                <w:noProof/>
                <w:sz w:val="16"/>
              </w:rPr>
              <w:t xml:space="preserve"> </w:t>
            </w:r>
          </w:p>
        </w:tc>
      </w:tr>
      <w:tr w:rsidR="007C250E" w:rsidRPr="007C250E" w14:paraId="2EF3BFE5"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12433CB7"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87D04FC" w14:textId="77777777" w:rsidR="007C250E" w:rsidRPr="007C250E" w:rsidRDefault="007C250E" w:rsidP="007C250E">
            <w:pPr>
              <w:jc w:val="right"/>
              <w:rPr>
                <w:b/>
                <w:bCs/>
                <w:noProof/>
                <w:sz w:val="16"/>
                <w:szCs w:val="16"/>
              </w:rPr>
            </w:pPr>
            <w:r>
              <w:rPr>
                <w:b/>
                <w:noProof/>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2F34FC7B" w14:textId="77777777" w:rsidR="007C250E" w:rsidRPr="007C250E" w:rsidRDefault="007C250E" w:rsidP="007C250E">
            <w:pPr>
              <w:jc w:val="right"/>
              <w:rPr>
                <w:i/>
                <w:iCs/>
                <w:noProof/>
                <w:sz w:val="16"/>
                <w:szCs w:val="16"/>
              </w:rPr>
            </w:pPr>
            <w:r>
              <w:rPr>
                <w:i/>
                <w:noProof/>
                <w:sz w:val="16"/>
              </w:rPr>
              <w:t>372 816 884</w:t>
            </w:r>
          </w:p>
        </w:tc>
        <w:tc>
          <w:tcPr>
            <w:tcW w:w="1417" w:type="dxa"/>
            <w:tcBorders>
              <w:top w:val="nil"/>
              <w:left w:val="nil"/>
              <w:bottom w:val="single" w:sz="8" w:space="0" w:color="auto"/>
              <w:right w:val="single" w:sz="8" w:space="0" w:color="auto"/>
            </w:tcBorders>
            <w:shd w:val="clear" w:color="auto" w:fill="auto"/>
            <w:vAlign w:val="center"/>
            <w:hideMark/>
          </w:tcPr>
          <w:p w14:paraId="1EC6D8B9"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D74E31C" w14:textId="77777777" w:rsidR="007C250E" w:rsidRPr="007C250E" w:rsidRDefault="007C250E" w:rsidP="007C250E">
            <w:pPr>
              <w:jc w:val="right"/>
              <w:rPr>
                <w:i/>
                <w:iCs/>
                <w:noProof/>
                <w:sz w:val="16"/>
                <w:szCs w:val="16"/>
              </w:rPr>
            </w:pPr>
            <w:r>
              <w:rPr>
                <w:i/>
                <w:noProof/>
                <w:sz w:val="16"/>
              </w:rPr>
              <w:t xml:space="preserve">-72 000 000 </w:t>
            </w:r>
          </w:p>
        </w:tc>
        <w:tc>
          <w:tcPr>
            <w:tcW w:w="992" w:type="dxa"/>
            <w:tcBorders>
              <w:top w:val="nil"/>
              <w:left w:val="nil"/>
              <w:bottom w:val="single" w:sz="8" w:space="0" w:color="auto"/>
              <w:right w:val="single" w:sz="8" w:space="0" w:color="auto"/>
            </w:tcBorders>
            <w:shd w:val="clear" w:color="auto" w:fill="auto"/>
            <w:vAlign w:val="center"/>
            <w:hideMark/>
          </w:tcPr>
          <w:p w14:paraId="183981F7"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13B9D92" w14:textId="77777777" w:rsidR="007C250E" w:rsidRPr="007C250E" w:rsidRDefault="007C250E" w:rsidP="007C250E">
            <w:pPr>
              <w:jc w:val="right"/>
              <w:rPr>
                <w:i/>
                <w:iCs/>
                <w:noProof/>
                <w:sz w:val="16"/>
                <w:szCs w:val="16"/>
              </w:rPr>
            </w:pPr>
            <w:r>
              <w:rPr>
                <w:i/>
                <w:noProof/>
                <w:sz w:val="16"/>
              </w:rPr>
              <w:t xml:space="preserve">300 816 884 </w:t>
            </w:r>
          </w:p>
        </w:tc>
        <w:tc>
          <w:tcPr>
            <w:tcW w:w="1418" w:type="dxa"/>
            <w:tcBorders>
              <w:top w:val="nil"/>
              <w:left w:val="nil"/>
              <w:bottom w:val="single" w:sz="8" w:space="0" w:color="auto"/>
              <w:right w:val="single" w:sz="8" w:space="0" w:color="auto"/>
            </w:tcBorders>
            <w:shd w:val="clear" w:color="auto" w:fill="auto"/>
            <w:vAlign w:val="center"/>
            <w:hideMark/>
          </w:tcPr>
          <w:p w14:paraId="1718D6C3" w14:textId="77777777" w:rsidR="007C250E" w:rsidRPr="007C250E" w:rsidRDefault="007C250E" w:rsidP="007C250E">
            <w:pPr>
              <w:jc w:val="right"/>
              <w:rPr>
                <w:noProof/>
                <w:sz w:val="16"/>
                <w:szCs w:val="16"/>
              </w:rPr>
            </w:pPr>
            <w:r>
              <w:rPr>
                <w:noProof/>
                <w:sz w:val="16"/>
              </w:rPr>
              <w:t xml:space="preserve"> </w:t>
            </w:r>
          </w:p>
        </w:tc>
      </w:tr>
      <w:tr w:rsidR="007C250E" w:rsidRPr="007C250E" w14:paraId="32A1DE72"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581591DA"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E8933FB"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009C1195"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7E5B3C18"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D1D630D"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B6DB22E"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A595AFC"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104724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E6B573"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DF9987" w14:textId="77777777" w:rsidR="007C250E" w:rsidRPr="007C250E" w:rsidRDefault="007C250E" w:rsidP="007C250E">
            <w:pPr>
              <w:jc w:val="right"/>
              <w:rPr>
                <w:b/>
                <w:bCs/>
                <w:i/>
                <w:iCs/>
                <w:noProof/>
                <w:color w:val="000000"/>
                <w:sz w:val="16"/>
                <w:szCs w:val="16"/>
              </w:rPr>
            </w:pPr>
            <w:r>
              <w:rPr>
                <w:b/>
                <w:i/>
                <w:noProof/>
                <w:color w:val="000000"/>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4B1188EA" w14:textId="77777777" w:rsidR="007C250E" w:rsidRPr="007C250E" w:rsidRDefault="007C250E" w:rsidP="007C250E">
            <w:pPr>
              <w:jc w:val="right"/>
              <w:rPr>
                <w:i/>
                <w:iCs/>
                <w:noProof/>
                <w:color w:val="000000"/>
                <w:sz w:val="16"/>
                <w:szCs w:val="16"/>
              </w:rPr>
            </w:pPr>
            <w:r>
              <w:rPr>
                <w:i/>
                <w:noProof/>
                <w:color w:val="000000"/>
                <w:sz w:val="16"/>
              </w:rPr>
              <w:t>8 606 000 000</w:t>
            </w:r>
          </w:p>
        </w:tc>
        <w:tc>
          <w:tcPr>
            <w:tcW w:w="1417" w:type="dxa"/>
            <w:tcBorders>
              <w:top w:val="nil"/>
              <w:left w:val="nil"/>
              <w:bottom w:val="single" w:sz="8" w:space="0" w:color="auto"/>
              <w:right w:val="single" w:sz="8" w:space="0" w:color="auto"/>
            </w:tcBorders>
            <w:shd w:val="clear" w:color="auto" w:fill="auto"/>
            <w:vAlign w:val="center"/>
            <w:hideMark/>
          </w:tcPr>
          <w:p w14:paraId="7ABE4DAC"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1B6C96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C5A43E0"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DEAA3CA" w14:textId="77777777" w:rsidR="007C250E" w:rsidRPr="007C250E" w:rsidRDefault="007C250E" w:rsidP="007C250E">
            <w:pPr>
              <w:jc w:val="right"/>
              <w:rPr>
                <w:i/>
                <w:iCs/>
                <w:noProof/>
                <w:color w:val="000000"/>
                <w:sz w:val="16"/>
                <w:szCs w:val="16"/>
              </w:rPr>
            </w:pPr>
            <w:r>
              <w:rPr>
                <w:i/>
                <w:noProof/>
                <w:color w:val="000000"/>
                <w:sz w:val="16"/>
              </w:rPr>
              <w:t xml:space="preserve">8 606 000 000 </w:t>
            </w:r>
          </w:p>
        </w:tc>
        <w:tc>
          <w:tcPr>
            <w:tcW w:w="1418" w:type="dxa"/>
            <w:tcBorders>
              <w:top w:val="nil"/>
              <w:left w:val="nil"/>
              <w:bottom w:val="single" w:sz="8" w:space="0" w:color="auto"/>
              <w:right w:val="single" w:sz="8" w:space="0" w:color="auto"/>
            </w:tcBorders>
            <w:shd w:val="clear" w:color="auto" w:fill="auto"/>
            <w:vAlign w:val="center"/>
            <w:hideMark/>
          </w:tcPr>
          <w:p w14:paraId="2D9A7E2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D20FD8"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CBCC5A" w14:textId="77777777" w:rsidR="007C250E" w:rsidRPr="007C250E" w:rsidRDefault="007C250E" w:rsidP="007C250E">
            <w:pPr>
              <w:jc w:val="right"/>
              <w:rPr>
                <w:b/>
                <w:bCs/>
                <w:i/>
                <w:iCs/>
                <w:noProof/>
                <w:sz w:val="16"/>
                <w:szCs w:val="16"/>
              </w:rPr>
            </w:pPr>
            <w:r>
              <w:rPr>
                <w:b/>
                <w:i/>
                <w:noProof/>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686B6EC9" w14:textId="77777777" w:rsidR="007C250E" w:rsidRPr="007C250E" w:rsidRDefault="007C250E" w:rsidP="007C250E">
            <w:pPr>
              <w:jc w:val="right"/>
              <w:rPr>
                <w:noProof/>
                <w:sz w:val="16"/>
                <w:szCs w:val="16"/>
              </w:rPr>
            </w:pPr>
            <w:r>
              <w:rPr>
                <w:noProof/>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7C8609E7"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D36F0E8" w14:textId="77777777" w:rsidR="007C250E" w:rsidRPr="007C250E" w:rsidRDefault="007C250E" w:rsidP="007C250E">
            <w:pPr>
              <w:jc w:val="right"/>
              <w:rPr>
                <w:noProof/>
                <w:sz w:val="16"/>
                <w:szCs w:val="16"/>
              </w:rPr>
            </w:pPr>
            <w:r>
              <w:rPr>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FC4D635"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D5ABEF8" w14:textId="77777777" w:rsidR="007C250E" w:rsidRPr="007C250E" w:rsidRDefault="007C250E" w:rsidP="007C250E">
            <w:pPr>
              <w:jc w:val="right"/>
              <w:rPr>
                <w:noProof/>
                <w:sz w:val="16"/>
                <w:szCs w:val="16"/>
              </w:rPr>
            </w:pPr>
            <w:r>
              <w:rPr>
                <w:noProof/>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5D5CF28E" w14:textId="77777777" w:rsidR="007C250E" w:rsidRPr="007C250E" w:rsidRDefault="007C250E" w:rsidP="007C250E">
            <w:pPr>
              <w:jc w:val="right"/>
              <w:rPr>
                <w:noProof/>
                <w:sz w:val="16"/>
                <w:szCs w:val="16"/>
              </w:rPr>
            </w:pPr>
            <w:r>
              <w:rPr>
                <w:noProof/>
                <w:sz w:val="16"/>
              </w:rPr>
              <w:t xml:space="preserve"> </w:t>
            </w:r>
          </w:p>
        </w:tc>
      </w:tr>
      <w:tr w:rsidR="007C250E" w:rsidRPr="007C250E" w14:paraId="44E7C970"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2B6BEA5" w14:textId="77777777" w:rsidR="007C250E" w:rsidRPr="007C250E" w:rsidRDefault="007C250E" w:rsidP="007C250E">
            <w:pPr>
              <w:jc w:val="both"/>
              <w:rPr>
                <w:b/>
                <w:bCs/>
                <w:noProof/>
                <w:sz w:val="16"/>
                <w:szCs w:val="16"/>
              </w:rPr>
            </w:pPr>
            <w:r>
              <w:rPr>
                <w:b/>
                <w:noProof/>
                <w:sz w:val="16"/>
              </w:rPr>
              <w:t>3.</w:t>
            </w:r>
          </w:p>
        </w:tc>
        <w:tc>
          <w:tcPr>
            <w:tcW w:w="2409" w:type="dxa"/>
            <w:tcBorders>
              <w:top w:val="nil"/>
              <w:left w:val="nil"/>
              <w:bottom w:val="single" w:sz="8" w:space="0" w:color="auto"/>
              <w:right w:val="single" w:sz="8" w:space="0" w:color="auto"/>
            </w:tcBorders>
            <w:shd w:val="clear" w:color="000000" w:fill="D9D9D9"/>
            <w:vAlign w:val="center"/>
            <w:hideMark/>
          </w:tcPr>
          <w:p w14:paraId="37BC6601" w14:textId="77777777" w:rsidR="007C250E" w:rsidRPr="007C250E" w:rsidRDefault="007C250E" w:rsidP="007C250E">
            <w:pPr>
              <w:jc w:val="both"/>
              <w:rPr>
                <w:b/>
                <w:bCs/>
                <w:noProof/>
                <w:sz w:val="16"/>
                <w:szCs w:val="16"/>
              </w:rPr>
            </w:pPr>
            <w:r>
              <w:rPr>
                <w:b/>
                <w:noProof/>
                <w:sz w:val="16"/>
              </w:rPr>
              <w:t>Natuurlijke hulpbronnen en milieu</w:t>
            </w:r>
          </w:p>
        </w:tc>
        <w:tc>
          <w:tcPr>
            <w:tcW w:w="1418" w:type="dxa"/>
            <w:tcBorders>
              <w:top w:val="nil"/>
              <w:left w:val="nil"/>
              <w:bottom w:val="single" w:sz="8" w:space="0" w:color="auto"/>
              <w:right w:val="single" w:sz="8" w:space="0" w:color="auto"/>
            </w:tcBorders>
            <w:shd w:val="clear" w:color="000000" w:fill="D9D9D9"/>
            <w:vAlign w:val="center"/>
            <w:hideMark/>
          </w:tcPr>
          <w:p w14:paraId="51A218B2" w14:textId="77777777" w:rsidR="007C250E" w:rsidRPr="007C250E" w:rsidRDefault="007C250E" w:rsidP="007C250E">
            <w:pPr>
              <w:jc w:val="right"/>
              <w:rPr>
                <w:b/>
                <w:bCs/>
                <w:noProof/>
                <w:sz w:val="16"/>
                <w:szCs w:val="16"/>
              </w:rPr>
            </w:pPr>
            <w:r>
              <w:rPr>
                <w:b/>
                <w:noProof/>
                <w:sz w:val="16"/>
              </w:rPr>
              <w:t>57 388 890 839</w:t>
            </w:r>
          </w:p>
        </w:tc>
        <w:tc>
          <w:tcPr>
            <w:tcW w:w="1417" w:type="dxa"/>
            <w:tcBorders>
              <w:top w:val="nil"/>
              <w:left w:val="nil"/>
              <w:bottom w:val="single" w:sz="8" w:space="0" w:color="auto"/>
              <w:right w:val="single" w:sz="8" w:space="0" w:color="auto"/>
            </w:tcBorders>
            <w:shd w:val="clear" w:color="000000" w:fill="D9D9D9"/>
            <w:vAlign w:val="center"/>
            <w:hideMark/>
          </w:tcPr>
          <w:p w14:paraId="529A3776" w14:textId="77777777" w:rsidR="007C250E" w:rsidRPr="007C250E" w:rsidRDefault="007C250E" w:rsidP="007C250E">
            <w:pPr>
              <w:jc w:val="right"/>
              <w:rPr>
                <w:b/>
                <w:bCs/>
                <w:noProof/>
                <w:sz w:val="16"/>
                <w:szCs w:val="16"/>
              </w:rPr>
            </w:pPr>
            <w:r>
              <w:rPr>
                <w:b/>
                <w:noProof/>
                <w:sz w:val="16"/>
              </w:rPr>
              <w:t>54 232 567 941</w:t>
            </w:r>
          </w:p>
        </w:tc>
        <w:tc>
          <w:tcPr>
            <w:tcW w:w="993" w:type="dxa"/>
            <w:tcBorders>
              <w:top w:val="nil"/>
              <w:left w:val="nil"/>
              <w:bottom w:val="single" w:sz="8" w:space="0" w:color="auto"/>
              <w:right w:val="single" w:sz="8" w:space="0" w:color="auto"/>
            </w:tcBorders>
            <w:shd w:val="clear" w:color="000000" w:fill="D9D9D9"/>
            <w:vAlign w:val="center"/>
            <w:hideMark/>
          </w:tcPr>
          <w:p w14:paraId="014E78B2" w14:textId="77777777" w:rsidR="007C250E" w:rsidRPr="007C250E" w:rsidRDefault="007C250E" w:rsidP="007C250E">
            <w:pPr>
              <w:jc w:val="right"/>
              <w:rPr>
                <w:b/>
                <w:bCs/>
                <w:noProof/>
                <w:sz w:val="16"/>
                <w:szCs w:val="16"/>
              </w:rPr>
            </w:pPr>
            <w:r>
              <w:rPr>
                <w:b/>
                <w:noProof/>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3A78FB70" w14:textId="77777777" w:rsidR="007C250E" w:rsidRPr="007C250E" w:rsidRDefault="007C250E" w:rsidP="007C250E">
            <w:pPr>
              <w:jc w:val="right"/>
              <w:rPr>
                <w:b/>
                <w:bCs/>
                <w:noProof/>
                <w:sz w:val="16"/>
                <w:szCs w:val="16"/>
              </w:rPr>
            </w:pPr>
            <w:r>
              <w:rPr>
                <w:b/>
                <w:noProof/>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4E52C90F" w14:textId="77777777" w:rsidR="007C250E" w:rsidRPr="007C250E" w:rsidRDefault="007C250E" w:rsidP="007C250E">
            <w:pPr>
              <w:jc w:val="right"/>
              <w:rPr>
                <w:b/>
                <w:bCs/>
                <w:noProof/>
                <w:sz w:val="16"/>
                <w:szCs w:val="16"/>
              </w:rPr>
            </w:pPr>
            <w:r>
              <w:rPr>
                <w:b/>
                <w:noProof/>
                <w:sz w:val="16"/>
              </w:rPr>
              <w:t xml:space="preserve">57 388 890 839 </w:t>
            </w:r>
          </w:p>
        </w:tc>
        <w:tc>
          <w:tcPr>
            <w:tcW w:w="1418" w:type="dxa"/>
            <w:tcBorders>
              <w:top w:val="nil"/>
              <w:left w:val="nil"/>
              <w:bottom w:val="single" w:sz="8" w:space="0" w:color="auto"/>
              <w:right w:val="single" w:sz="8" w:space="0" w:color="auto"/>
            </w:tcBorders>
            <w:shd w:val="clear" w:color="000000" w:fill="D9D9D9"/>
            <w:vAlign w:val="center"/>
            <w:hideMark/>
          </w:tcPr>
          <w:p w14:paraId="58F833CB" w14:textId="77777777" w:rsidR="007C250E" w:rsidRPr="007C250E" w:rsidRDefault="007C250E" w:rsidP="007C250E">
            <w:pPr>
              <w:jc w:val="right"/>
              <w:rPr>
                <w:b/>
                <w:bCs/>
                <w:noProof/>
                <w:sz w:val="16"/>
                <w:szCs w:val="16"/>
              </w:rPr>
            </w:pPr>
            <w:r>
              <w:rPr>
                <w:b/>
                <w:noProof/>
                <w:sz w:val="16"/>
              </w:rPr>
              <w:t xml:space="preserve">54 232 567 941 </w:t>
            </w:r>
          </w:p>
        </w:tc>
      </w:tr>
      <w:tr w:rsidR="007C250E" w:rsidRPr="007C250E" w14:paraId="33A8BDF4"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27AD99"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0C3B8D3E"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63A64203"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7C3F59A8"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55F89CE"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D365C68"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983E0F2"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23594B4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9AD7F12"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6B8BFC1A"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4534FB4"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3B2599B6"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2C86B58F"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6EFEBA4"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D2FD15C"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E7FAE02"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734358A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69B0940"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FF0C58F"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2D7C7B5"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4B152C8A"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065A9668"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C48D950"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1C5C17A"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A9C6958"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D8230E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9554B9"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BEB57D" w14:textId="77777777" w:rsidR="007C250E" w:rsidRPr="007C250E" w:rsidRDefault="007C250E" w:rsidP="007C250E">
            <w:pPr>
              <w:jc w:val="right"/>
              <w:rPr>
                <w:b/>
                <w:bCs/>
                <w:i/>
                <w:iCs/>
                <w:noProof/>
                <w:sz w:val="16"/>
                <w:szCs w:val="16"/>
              </w:rPr>
            </w:pPr>
            <w:r>
              <w:rPr>
                <w:b/>
                <w:i/>
                <w:noProof/>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53456310" w14:textId="77777777" w:rsidR="007C250E" w:rsidRPr="007C250E" w:rsidRDefault="007C250E" w:rsidP="007C250E">
            <w:pPr>
              <w:jc w:val="right"/>
              <w:rPr>
                <w:i/>
                <w:iCs/>
                <w:noProof/>
                <w:sz w:val="16"/>
                <w:szCs w:val="16"/>
              </w:rPr>
            </w:pPr>
            <w:r>
              <w:rPr>
                <w:i/>
                <w:noProof/>
                <w:sz w:val="16"/>
              </w:rPr>
              <w:t>57 449 000 000</w:t>
            </w:r>
          </w:p>
        </w:tc>
        <w:tc>
          <w:tcPr>
            <w:tcW w:w="1417" w:type="dxa"/>
            <w:tcBorders>
              <w:top w:val="nil"/>
              <w:left w:val="nil"/>
              <w:bottom w:val="single" w:sz="8" w:space="0" w:color="auto"/>
              <w:right w:val="single" w:sz="8" w:space="0" w:color="auto"/>
            </w:tcBorders>
            <w:shd w:val="clear" w:color="auto" w:fill="auto"/>
            <w:vAlign w:val="center"/>
            <w:hideMark/>
          </w:tcPr>
          <w:p w14:paraId="27F630F5"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AC1002C"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930514E"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DABF573" w14:textId="77777777" w:rsidR="007C250E" w:rsidRPr="007C250E" w:rsidRDefault="007C250E" w:rsidP="007C250E">
            <w:pPr>
              <w:jc w:val="right"/>
              <w:rPr>
                <w:i/>
                <w:iCs/>
                <w:noProof/>
                <w:sz w:val="16"/>
                <w:szCs w:val="16"/>
              </w:rPr>
            </w:pPr>
            <w:r>
              <w:rPr>
                <w:i/>
                <w:noProof/>
                <w:sz w:val="16"/>
              </w:rPr>
              <w:t xml:space="preserve">57 449 000 000 </w:t>
            </w:r>
          </w:p>
        </w:tc>
        <w:tc>
          <w:tcPr>
            <w:tcW w:w="1418" w:type="dxa"/>
            <w:tcBorders>
              <w:top w:val="nil"/>
              <w:left w:val="nil"/>
              <w:bottom w:val="single" w:sz="8" w:space="0" w:color="auto"/>
              <w:right w:val="single" w:sz="8" w:space="0" w:color="auto"/>
            </w:tcBorders>
            <w:shd w:val="clear" w:color="auto" w:fill="auto"/>
            <w:vAlign w:val="center"/>
            <w:hideMark/>
          </w:tcPr>
          <w:p w14:paraId="28F42DFF" w14:textId="77777777" w:rsidR="007C250E" w:rsidRPr="007C250E" w:rsidRDefault="007C250E" w:rsidP="007C250E">
            <w:pPr>
              <w:jc w:val="right"/>
              <w:rPr>
                <w:noProof/>
                <w:sz w:val="16"/>
                <w:szCs w:val="16"/>
              </w:rPr>
            </w:pPr>
            <w:r>
              <w:rPr>
                <w:noProof/>
                <w:sz w:val="16"/>
              </w:rPr>
              <w:t xml:space="preserve"> </w:t>
            </w:r>
          </w:p>
        </w:tc>
      </w:tr>
      <w:tr w:rsidR="007C250E" w:rsidRPr="007C250E" w14:paraId="6BE66426"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E002D2"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65D8DBF2" w14:textId="77777777" w:rsidR="007C250E" w:rsidRPr="007C250E" w:rsidRDefault="007C250E" w:rsidP="007C250E">
            <w:pPr>
              <w:jc w:val="right"/>
              <w:rPr>
                <w:i/>
                <w:iCs/>
                <w:noProof/>
                <w:color w:val="000000"/>
                <w:sz w:val="16"/>
                <w:szCs w:val="16"/>
              </w:rPr>
            </w:pPr>
            <w:r>
              <w:rPr>
                <w:i/>
                <w:noProof/>
                <w:color w:val="000000"/>
                <w:sz w:val="16"/>
              </w:rPr>
              <w:t>60 109 161</w:t>
            </w:r>
          </w:p>
        </w:tc>
        <w:tc>
          <w:tcPr>
            <w:tcW w:w="1417" w:type="dxa"/>
            <w:tcBorders>
              <w:top w:val="nil"/>
              <w:left w:val="nil"/>
              <w:bottom w:val="single" w:sz="8" w:space="0" w:color="auto"/>
              <w:right w:val="single" w:sz="8" w:space="0" w:color="auto"/>
            </w:tcBorders>
            <w:shd w:val="clear" w:color="auto" w:fill="auto"/>
            <w:vAlign w:val="center"/>
            <w:hideMark/>
          </w:tcPr>
          <w:p w14:paraId="4B7AD2D1"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1F67816"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769CDDE"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10B8A61" w14:textId="77777777" w:rsidR="007C250E" w:rsidRPr="007C250E" w:rsidRDefault="007C250E" w:rsidP="007C250E">
            <w:pPr>
              <w:jc w:val="right"/>
              <w:rPr>
                <w:i/>
                <w:iCs/>
                <w:noProof/>
                <w:color w:val="000000"/>
                <w:sz w:val="16"/>
                <w:szCs w:val="16"/>
              </w:rPr>
            </w:pPr>
            <w:r>
              <w:rPr>
                <w:i/>
                <w:noProof/>
                <w:color w:val="000000"/>
                <w:sz w:val="16"/>
              </w:rPr>
              <w:t xml:space="preserve">60 109 161 </w:t>
            </w:r>
          </w:p>
        </w:tc>
        <w:tc>
          <w:tcPr>
            <w:tcW w:w="1418" w:type="dxa"/>
            <w:tcBorders>
              <w:top w:val="nil"/>
              <w:left w:val="nil"/>
              <w:bottom w:val="single" w:sz="8" w:space="0" w:color="auto"/>
              <w:right w:val="single" w:sz="8" w:space="0" w:color="auto"/>
            </w:tcBorders>
            <w:shd w:val="clear" w:color="auto" w:fill="auto"/>
            <w:vAlign w:val="center"/>
            <w:hideMark/>
          </w:tcPr>
          <w:p w14:paraId="52C85EB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CC10" w14:textId="77777777" w:rsidTr="003C5A89">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009D0590"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000000" w:fill="D9D9D9"/>
            <w:vAlign w:val="center"/>
            <w:hideMark/>
          </w:tcPr>
          <w:p w14:paraId="22EB0D40" w14:textId="77777777" w:rsidR="007C250E" w:rsidRPr="007C250E" w:rsidRDefault="007C250E" w:rsidP="007C250E">
            <w:pPr>
              <w:jc w:val="both"/>
              <w:rPr>
                <w:b/>
                <w:bCs/>
                <w:noProof/>
                <w:color w:val="000000"/>
                <w:sz w:val="16"/>
                <w:szCs w:val="16"/>
              </w:rPr>
            </w:pPr>
            <w:r>
              <w:rPr>
                <w:b/>
                <w:noProof/>
                <w:color w:val="000000"/>
                <w:sz w:val="16"/>
              </w:rPr>
              <w:t>waarvan: marktgerelateerde uitgaven en directe betalingen</w:t>
            </w:r>
          </w:p>
        </w:tc>
        <w:tc>
          <w:tcPr>
            <w:tcW w:w="1418" w:type="dxa"/>
            <w:tcBorders>
              <w:top w:val="nil"/>
              <w:left w:val="nil"/>
              <w:bottom w:val="single" w:sz="8" w:space="0" w:color="auto"/>
              <w:right w:val="single" w:sz="8" w:space="0" w:color="auto"/>
            </w:tcBorders>
            <w:shd w:val="clear" w:color="000000" w:fill="D9D9D9"/>
            <w:vAlign w:val="center"/>
            <w:hideMark/>
          </w:tcPr>
          <w:p w14:paraId="2E6822F9" w14:textId="77777777" w:rsidR="007C250E" w:rsidRPr="007C250E" w:rsidRDefault="007C250E" w:rsidP="007C250E">
            <w:pPr>
              <w:jc w:val="right"/>
              <w:rPr>
                <w:b/>
                <w:bCs/>
                <w:noProof/>
                <w:color w:val="000000"/>
                <w:sz w:val="16"/>
                <w:szCs w:val="16"/>
              </w:rPr>
            </w:pPr>
            <w:r>
              <w:rPr>
                <w:b/>
                <w:noProof/>
                <w:color w:val="000000"/>
                <w:sz w:val="16"/>
              </w:rPr>
              <w:t>40 602 078 000</w:t>
            </w:r>
          </w:p>
        </w:tc>
        <w:tc>
          <w:tcPr>
            <w:tcW w:w="1417" w:type="dxa"/>
            <w:tcBorders>
              <w:top w:val="nil"/>
              <w:left w:val="nil"/>
              <w:bottom w:val="single" w:sz="8" w:space="0" w:color="auto"/>
              <w:right w:val="single" w:sz="8" w:space="0" w:color="auto"/>
            </w:tcBorders>
            <w:shd w:val="clear" w:color="000000" w:fill="D9D9D9"/>
            <w:vAlign w:val="center"/>
            <w:hideMark/>
          </w:tcPr>
          <w:p w14:paraId="6C127DD0" w14:textId="77777777" w:rsidR="007C250E" w:rsidRPr="007C250E" w:rsidRDefault="007C250E" w:rsidP="007C250E">
            <w:pPr>
              <w:jc w:val="right"/>
              <w:rPr>
                <w:b/>
                <w:bCs/>
                <w:noProof/>
                <w:color w:val="000000"/>
                <w:sz w:val="16"/>
                <w:szCs w:val="16"/>
              </w:rPr>
            </w:pPr>
            <w:r>
              <w:rPr>
                <w:b/>
                <w:noProof/>
                <w:color w:val="000000"/>
                <w:sz w:val="16"/>
              </w:rPr>
              <w:t>40 590 282 213</w:t>
            </w:r>
          </w:p>
        </w:tc>
        <w:tc>
          <w:tcPr>
            <w:tcW w:w="993" w:type="dxa"/>
            <w:tcBorders>
              <w:top w:val="nil"/>
              <w:left w:val="nil"/>
              <w:bottom w:val="single" w:sz="8" w:space="0" w:color="auto"/>
              <w:right w:val="single" w:sz="8" w:space="0" w:color="auto"/>
            </w:tcBorders>
            <w:shd w:val="clear" w:color="000000" w:fill="D9D9D9"/>
            <w:vAlign w:val="center"/>
            <w:hideMark/>
          </w:tcPr>
          <w:p w14:paraId="1C718478"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49F3C10A"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2741877B" w14:textId="77777777" w:rsidR="007C250E" w:rsidRPr="007C250E" w:rsidRDefault="007C250E" w:rsidP="007C250E">
            <w:pPr>
              <w:jc w:val="right"/>
              <w:rPr>
                <w:b/>
                <w:bCs/>
                <w:noProof/>
                <w:color w:val="000000"/>
                <w:sz w:val="16"/>
                <w:szCs w:val="16"/>
              </w:rPr>
            </w:pPr>
            <w:r>
              <w:rPr>
                <w:b/>
                <w:noProof/>
                <w:color w:val="000000"/>
                <w:sz w:val="16"/>
              </w:rPr>
              <w:t xml:space="preserve">40 602 078 000 </w:t>
            </w:r>
          </w:p>
        </w:tc>
        <w:tc>
          <w:tcPr>
            <w:tcW w:w="1418" w:type="dxa"/>
            <w:tcBorders>
              <w:top w:val="nil"/>
              <w:left w:val="nil"/>
              <w:bottom w:val="single" w:sz="8" w:space="0" w:color="auto"/>
              <w:right w:val="single" w:sz="8" w:space="0" w:color="auto"/>
            </w:tcBorders>
            <w:shd w:val="clear" w:color="000000" w:fill="D9D9D9"/>
            <w:vAlign w:val="center"/>
            <w:hideMark/>
          </w:tcPr>
          <w:p w14:paraId="17F75446" w14:textId="77777777" w:rsidR="007C250E" w:rsidRPr="007C250E" w:rsidRDefault="007C250E" w:rsidP="007C250E">
            <w:pPr>
              <w:jc w:val="right"/>
              <w:rPr>
                <w:b/>
                <w:bCs/>
                <w:noProof/>
                <w:color w:val="000000"/>
                <w:sz w:val="16"/>
                <w:szCs w:val="16"/>
              </w:rPr>
            </w:pPr>
            <w:r>
              <w:rPr>
                <w:b/>
                <w:noProof/>
                <w:color w:val="000000"/>
                <w:sz w:val="16"/>
              </w:rPr>
              <w:t xml:space="preserve">40 590 282 213 </w:t>
            </w:r>
          </w:p>
        </w:tc>
      </w:tr>
      <w:tr w:rsidR="007C250E" w:rsidRPr="007C250E" w14:paraId="5517B951"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D6931FD"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7AFAF3F" w14:textId="77777777" w:rsidR="007C250E" w:rsidRPr="007C250E" w:rsidRDefault="007C250E" w:rsidP="007C250E">
            <w:pPr>
              <w:jc w:val="right"/>
              <w:rPr>
                <w:i/>
                <w:iCs/>
                <w:noProof/>
                <w:color w:val="000000"/>
                <w:sz w:val="16"/>
                <w:szCs w:val="16"/>
              </w:rPr>
            </w:pPr>
            <w:r>
              <w:rPr>
                <w:i/>
                <w:noProof/>
                <w:color w:val="000000"/>
                <w:sz w:val="16"/>
              </w:rPr>
              <w:t>ELGF-submaximum</w:t>
            </w:r>
          </w:p>
        </w:tc>
        <w:tc>
          <w:tcPr>
            <w:tcW w:w="1418" w:type="dxa"/>
            <w:tcBorders>
              <w:top w:val="nil"/>
              <w:left w:val="nil"/>
              <w:bottom w:val="single" w:sz="8" w:space="0" w:color="auto"/>
              <w:right w:val="single" w:sz="8" w:space="0" w:color="auto"/>
            </w:tcBorders>
            <w:shd w:val="clear" w:color="auto" w:fill="auto"/>
            <w:vAlign w:val="center"/>
            <w:hideMark/>
          </w:tcPr>
          <w:p w14:paraId="39E2D2F0"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417" w:type="dxa"/>
            <w:tcBorders>
              <w:top w:val="nil"/>
              <w:left w:val="nil"/>
              <w:bottom w:val="single" w:sz="8" w:space="0" w:color="auto"/>
              <w:right w:val="single" w:sz="8" w:space="0" w:color="auto"/>
            </w:tcBorders>
            <w:shd w:val="clear" w:color="auto" w:fill="auto"/>
            <w:vAlign w:val="center"/>
            <w:hideMark/>
          </w:tcPr>
          <w:p w14:paraId="4DC30CDD"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ED165A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235C309"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3880469"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418" w:type="dxa"/>
            <w:tcBorders>
              <w:top w:val="nil"/>
              <w:left w:val="nil"/>
              <w:bottom w:val="single" w:sz="8" w:space="0" w:color="auto"/>
              <w:right w:val="single" w:sz="8" w:space="0" w:color="auto"/>
            </w:tcBorders>
            <w:shd w:val="clear" w:color="auto" w:fill="auto"/>
            <w:vAlign w:val="center"/>
            <w:hideMark/>
          </w:tcPr>
          <w:p w14:paraId="441E2FA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FAB1DBD"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D3E7B"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04C2B74C" w14:textId="77777777" w:rsidR="007C250E" w:rsidRPr="007C250E" w:rsidRDefault="007C250E" w:rsidP="007C250E">
            <w:pPr>
              <w:jc w:val="right"/>
              <w:rPr>
                <w:i/>
                <w:iCs/>
                <w:noProof/>
                <w:color w:val="000000"/>
                <w:sz w:val="16"/>
                <w:szCs w:val="16"/>
              </w:rPr>
            </w:pPr>
            <w:r>
              <w:rPr>
                <w:i/>
                <w:noProof/>
                <w:color w:val="000000"/>
                <w:sz w:val="16"/>
              </w:rPr>
              <w:t xml:space="preserve"> Afrondingsverschil, niet meegeteld bij de berekening van de submarge</w:t>
            </w:r>
          </w:p>
        </w:tc>
        <w:tc>
          <w:tcPr>
            <w:tcW w:w="1418" w:type="dxa"/>
            <w:tcBorders>
              <w:top w:val="nil"/>
              <w:left w:val="nil"/>
              <w:bottom w:val="single" w:sz="8" w:space="0" w:color="auto"/>
              <w:right w:val="single" w:sz="8" w:space="0" w:color="auto"/>
            </w:tcBorders>
            <w:shd w:val="clear" w:color="auto" w:fill="auto"/>
            <w:vAlign w:val="center"/>
            <w:hideMark/>
          </w:tcPr>
          <w:p w14:paraId="3CFEA471" w14:textId="77777777" w:rsidR="007C250E" w:rsidRPr="007C250E" w:rsidRDefault="007C250E" w:rsidP="007C250E">
            <w:pPr>
              <w:jc w:val="right"/>
              <w:rPr>
                <w:i/>
                <w:iCs/>
                <w:noProof/>
                <w:color w:val="000000"/>
                <w:sz w:val="16"/>
                <w:szCs w:val="16"/>
              </w:rPr>
            </w:pPr>
            <w:r>
              <w:rPr>
                <w:i/>
                <w:noProof/>
                <w:color w:val="000000"/>
                <w:sz w:val="16"/>
              </w:rPr>
              <w:t>922 000</w:t>
            </w:r>
          </w:p>
        </w:tc>
        <w:tc>
          <w:tcPr>
            <w:tcW w:w="1417" w:type="dxa"/>
            <w:tcBorders>
              <w:top w:val="nil"/>
              <w:left w:val="nil"/>
              <w:bottom w:val="single" w:sz="8" w:space="0" w:color="auto"/>
              <w:right w:val="single" w:sz="8" w:space="0" w:color="auto"/>
            </w:tcBorders>
            <w:shd w:val="clear" w:color="auto" w:fill="auto"/>
            <w:vAlign w:val="center"/>
            <w:hideMark/>
          </w:tcPr>
          <w:p w14:paraId="0FF767FC"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15CD5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17207B6"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E9E8A11"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418" w:type="dxa"/>
            <w:tcBorders>
              <w:top w:val="nil"/>
              <w:left w:val="nil"/>
              <w:bottom w:val="single" w:sz="8" w:space="0" w:color="auto"/>
              <w:right w:val="single" w:sz="8" w:space="0" w:color="auto"/>
            </w:tcBorders>
            <w:shd w:val="clear" w:color="auto" w:fill="auto"/>
            <w:vAlign w:val="center"/>
            <w:hideMark/>
          </w:tcPr>
          <w:p w14:paraId="7323637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7F67027"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52A0AD8E"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92F0EE1" w14:textId="77777777" w:rsidR="007C250E" w:rsidRPr="007C250E" w:rsidRDefault="007C250E" w:rsidP="007C250E">
            <w:pPr>
              <w:jc w:val="right"/>
              <w:rPr>
                <w:i/>
                <w:iCs/>
                <w:noProof/>
                <w:color w:val="000000"/>
                <w:sz w:val="16"/>
                <w:szCs w:val="16"/>
              </w:rPr>
            </w:pPr>
            <w:r>
              <w:rPr>
                <w:i/>
                <w:noProof/>
                <w:color w:val="000000"/>
                <w:sz w:val="16"/>
              </w:rPr>
              <w:t>Netto-overdrachten tussen ELGF en Elfpo</w:t>
            </w:r>
          </w:p>
        </w:tc>
        <w:tc>
          <w:tcPr>
            <w:tcW w:w="1418" w:type="dxa"/>
            <w:tcBorders>
              <w:top w:val="nil"/>
              <w:left w:val="nil"/>
              <w:bottom w:val="single" w:sz="8" w:space="0" w:color="auto"/>
              <w:right w:val="single" w:sz="8" w:space="0" w:color="auto"/>
            </w:tcBorders>
            <w:shd w:val="clear" w:color="auto" w:fill="auto"/>
            <w:vAlign w:val="center"/>
            <w:hideMark/>
          </w:tcPr>
          <w:p w14:paraId="1D5AB5F7"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3C0391AF"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FF8AEF4"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25CB250"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93181A7"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B47AE4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C7BCB5"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04395A38"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746C5DA" w14:textId="77777777" w:rsidR="007C250E" w:rsidRPr="007C250E" w:rsidRDefault="007C250E" w:rsidP="007C250E">
            <w:pPr>
              <w:jc w:val="right"/>
              <w:rPr>
                <w:i/>
                <w:iCs/>
                <w:noProof/>
                <w:color w:val="000000"/>
                <w:sz w:val="16"/>
                <w:szCs w:val="16"/>
              </w:rPr>
            </w:pPr>
            <w:r>
              <w:rPr>
                <w:i/>
                <w:noProof/>
                <w:color w:val="000000"/>
                <w:sz w:val="16"/>
              </w:rPr>
              <w:t xml:space="preserve"> Nettosaldo dat voor ELGF-uitgaven beschikbaar is</w:t>
            </w:r>
          </w:p>
        </w:tc>
        <w:tc>
          <w:tcPr>
            <w:tcW w:w="1418" w:type="dxa"/>
            <w:tcBorders>
              <w:top w:val="nil"/>
              <w:left w:val="nil"/>
              <w:bottom w:val="single" w:sz="8" w:space="0" w:color="auto"/>
              <w:right w:val="single" w:sz="8" w:space="0" w:color="auto"/>
            </w:tcBorders>
            <w:shd w:val="clear" w:color="auto" w:fill="auto"/>
            <w:vAlign w:val="center"/>
            <w:hideMark/>
          </w:tcPr>
          <w:p w14:paraId="6120F5D0" w14:textId="77777777" w:rsidR="007C250E" w:rsidRPr="007C250E" w:rsidRDefault="007C250E" w:rsidP="007C250E">
            <w:pPr>
              <w:jc w:val="right"/>
              <w:rPr>
                <w:i/>
                <w:iCs/>
                <w:noProof/>
                <w:color w:val="000000"/>
                <w:sz w:val="16"/>
                <w:szCs w:val="16"/>
              </w:rPr>
            </w:pPr>
            <w:r>
              <w:rPr>
                <w:i/>
                <w:noProof/>
                <w:color w:val="000000"/>
                <w:sz w:val="16"/>
              </w:rPr>
              <w:t>40 602 078 000</w:t>
            </w:r>
          </w:p>
        </w:tc>
        <w:tc>
          <w:tcPr>
            <w:tcW w:w="1417" w:type="dxa"/>
            <w:tcBorders>
              <w:top w:val="nil"/>
              <w:left w:val="nil"/>
              <w:bottom w:val="single" w:sz="8" w:space="0" w:color="auto"/>
              <w:right w:val="single" w:sz="8" w:space="0" w:color="auto"/>
            </w:tcBorders>
            <w:shd w:val="clear" w:color="auto" w:fill="auto"/>
            <w:vAlign w:val="center"/>
            <w:hideMark/>
          </w:tcPr>
          <w:p w14:paraId="4883208D"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984A1F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045FA97"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7AB2A61" w14:textId="77777777" w:rsidR="007C250E" w:rsidRPr="007C250E" w:rsidRDefault="007C250E" w:rsidP="007C250E">
            <w:pPr>
              <w:jc w:val="right"/>
              <w:rPr>
                <w:i/>
                <w:iCs/>
                <w:noProof/>
                <w:color w:val="000000"/>
                <w:sz w:val="16"/>
                <w:szCs w:val="16"/>
              </w:rPr>
            </w:pPr>
            <w:r>
              <w:rPr>
                <w:i/>
                <w:noProof/>
                <w:color w:val="000000"/>
                <w:sz w:val="16"/>
              </w:rPr>
              <w:t xml:space="preserve">40 602 078 000 </w:t>
            </w:r>
          </w:p>
        </w:tc>
        <w:tc>
          <w:tcPr>
            <w:tcW w:w="1418" w:type="dxa"/>
            <w:tcBorders>
              <w:top w:val="nil"/>
              <w:left w:val="nil"/>
              <w:bottom w:val="single" w:sz="8" w:space="0" w:color="auto"/>
              <w:right w:val="single" w:sz="8" w:space="0" w:color="auto"/>
            </w:tcBorders>
            <w:shd w:val="clear" w:color="auto" w:fill="auto"/>
            <w:vAlign w:val="center"/>
            <w:hideMark/>
          </w:tcPr>
          <w:p w14:paraId="3C8595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54134FC"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689F4E35"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2883B2B" w14:textId="77777777" w:rsidR="007C250E" w:rsidRPr="007C250E" w:rsidRDefault="007C250E" w:rsidP="007C250E">
            <w:pPr>
              <w:jc w:val="right"/>
              <w:rPr>
                <w:i/>
                <w:iCs/>
                <w:noProof/>
                <w:color w:val="000000"/>
                <w:sz w:val="16"/>
                <w:szCs w:val="16"/>
              </w:rPr>
            </w:pPr>
            <w:r>
              <w:rPr>
                <w:i/>
                <w:noProof/>
                <w:color w:val="000000"/>
                <w:sz w:val="16"/>
              </w:rPr>
              <w:t xml:space="preserve"> Aangepast ELGF-submaximum gecorrigeerd door overdrachten tussen het ELGF en Elfpo</w:t>
            </w:r>
          </w:p>
        </w:tc>
        <w:tc>
          <w:tcPr>
            <w:tcW w:w="1418" w:type="dxa"/>
            <w:tcBorders>
              <w:top w:val="nil"/>
              <w:left w:val="nil"/>
              <w:bottom w:val="single" w:sz="8" w:space="0" w:color="auto"/>
              <w:right w:val="single" w:sz="8" w:space="0" w:color="auto"/>
            </w:tcBorders>
            <w:shd w:val="clear" w:color="auto" w:fill="auto"/>
            <w:vAlign w:val="center"/>
            <w:hideMark/>
          </w:tcPr>
          <w:p w14:paraId="7F52BA62"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417" w:type="dxa"/>
            <w:tcBorders>
              <w:top w:val="nil"/>
              <w:left w:val="nil"/>
              <w:bottom w:val="single" w:sz="8" w:space="0" w:color="auto"/>
              <w:right w:val="single" w:sz="8" w:space="0" w:color="auto"/>
            </w:tcBorders>
            <w:shd w:val="clear" w:color="auto" w:fill="auto"/>
            <w:vAlign w:val="center"/>
            <w:hideMark/>
          </w:tcPr>
          <w:p w14:paraId="23C532AC"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F35A7B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86F9F93"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D49958E"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418" w:type="dxa"/>
            <w:tcBorders>
              <w:top w:val="nil"/>
              <w:left w:val="nil"/>
              <w:bottom w:val="single" w:sz="8" w:space="0" w:color="auto"/>
              <w:right w:val="single" w:sz="8" w:space="0" w:color="auto"/>
            </w:tcBorders>
            <w:shd w:val="clear" w:color="auto" w:fill="auto"/>
            <w:vAlign w:val="center"/>
            <w:hideMark/>
          </w:tcPr>
          <w:p w14:paraId="6AFB498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DE4CDCC"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19A7924"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E2652DD" w14:textId="77777777" w:rsidR="007C250E" w:rsidRPr="007C250E" w:rsidRDefault="007C250E" w:rsidP="007C250E">
            <w:pPr>
              <w:jc w:val="right"/>
              <w:rPr>
                <w:i/>
                <w:iCs/>
                <w:noProof/>
                <w:color w:val="000000"/>
                <w:sz w:val="16"/>
                <w:szCs w:val="16"/>
              </w:rPr>
            </w:pPr>
            <w:r>
              <w:rPr>
                <w:i/>
                <w:noProof/>
                <w:color w:val="000000"/>
                <w:sz w:val="16"/>
              </w:rPr>
              <w:t>ELGF-submarge</w:t>
            </w:r>
          </w:p>
        </w:tc>
        <w:tc>
          <w:tcPr>
            <w:tcW w:w="1418" w:type="dxa"/>
            <w:tcBorders>
              <w:top w:val="nil"/>
              <w:left w:val="nil"/>
              <w:bottom w:val="single" w:sz="8" w:space="0" w:color="auto"/>
              <w:right w:val="single" w:sz="8" w:space="0" w:color="auto"/>
            </w:tcBorders>
            <w:shd w:val="clear" w:color="auto" w:fill="auto"/>
            <w:vAlign w:val="center"/>
            <w:hideMark/>
          </w:tcPr>
          <w:p w14:paraId="2F45BAA2" w14:textId="77777777" w:rsidR="007C250E" w:rsidRPr="007C250E" w:rsidRDefault="007C250E" w:rsidP="007C250E">
            <w:pPr>
              <w:jc w:val="right"/>
              <w:rPr>
                <w:i/>
                <w:iCs/>
                <w:noProof/>
                <w:color w:val="000000"/>
                <w:sz w:val="16"/>
                <w:szCs w:val="16"/>
              </w:rPr>
            </w:pPr>
            <w:r>
              <w:rPr>
                <w:i/>
                <w:noProof/>
                <w:color w:val="000000"/>
                <w:sz w:val="16"/>
              </w:rPr>
              <w:t>922 000</w:t>
            </w:r>
          </w:p>
        </w:tc>
        <w:tc>
          <w:tcPr>
            <w:tcW w:w="1417" w:type="dxa"/>
            <w:tcBorders>
              <w:top w:val="nil"/>
              <w:left w:val="nil"/>
              <w:bottom w:val="single" w:sz="8" w:space="0" w:color="auto"/>
              <w:right w:val="single" w:sz="8" w:space="0" w:color="auto"/>
            </w:tcBorders>
            <w:shd w:val="clear" w:color="auto" w:fill="auto"/>
            <w:vAlign w:val="center"/>
            <w:hideMark/>
          </w:tcPr>
          <w:p w14:paraId="2115A43B"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64A3AE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8C3B1F2"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68E89ED"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418" w:type="dxa"/>
            <w:tcBorders>
              <w:top w:val="nil"/>
              <w:left w:val="nil"/>
              <w:bottom w:val="single" w:sz="8" w:space="0" w:color="auto"/>
              <w:right w:val="single" w:sz="8" w:space="0" w:color="auto"/>
            </w:tcBorders>
            <w:shd w:val="clear" w:color="auto" w:fill="auto"/>
            <w:vAlign w:val="center"/>
            <w:hideMark/>
          </w:tcPr>
          <w:p w14:paraId="254E0A1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CC20162"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DB7D79D"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60D766F8" w14:textId="77777777" w:rsidR="007C250E" w:rsidRPr="007C250E" w:rsidRDefault="007C250E" w:rsidP="007C250E">
            <w:pPr>
              <w:jc w:val="right"/>
              <w:rPr>
                <w:i/>
                <w:iCs/>
                <w:noProof/>
                <w:color w:val="000000"/>
                <w:sz w:val="16"/>
                <w:szCs w:val="16"/>
              </w:rPr>
            </w:pPr>
            <w:r>
              <w:rPr>
                <w:i/>
                <w:noProof/>
                <w:color w:val="000000"/>
                <w:sz w:val="16"/>
              </w:rPr>
              <w:t>ELGF-submarge (exclusief afrondingsverschil)</w:t>
            </w:r>
          </w:p>
        </w:tc>
        <w:tc>
          <w:tcPr>
            <w:tcW w:w="1418" w:type="dxa"/>
            <w:tcBorders>
              <w:top w:val="nil"/>
              <w:left w:val="nil"/>
              <w:bottom w:val="single" w:sz="8" w:space="0" w:color="auto"/>
              <w:right w:val="single" w:sz="8" w:space="0" w:color="auto"/>
            </w:tcBorders>
            <w:shd w:val="clear" w:color="auto" w:fill="auto"/>
            <w:vAlign w:val="center"/>
            <w:hideMark/>
          </w:tcPr>
          <w:p w14:paraId="42961621"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2DBC842"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49E3E68"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5CCD8A0"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6E9F387B"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D46B60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BC6F18"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9BBFA85" w14:textId="77777777" w:rsidR="007C250E" w:rsidRPr="007C250E" w:rsidRDefault="007C250E" w:rsidP="007C250E">
            <w:pPr>
              <w:jc w:val="both"/>
              <w:rPr>
                <w:b/>
                <w:bCs/>
                <w:noProof/>
                <w:color w:val="000000"/>
                <w:sz w:val="16"/>
                <w:szCs w:val="16"/>
              </w:rPr>
            </w:pPr>
            <w:r>
              <w:rPr>
                <w:b/>
                <w:noProof/>
                <w:color w:val="000000"/>
                <w:sz w:val="16"/>
              </w:rPr>
              <w:t>4.</w:t>
            </w:r>
          </w:p>
        </w:tc>
        <w:tc>
          <w:tcPr>
            <w:tcW w:w="2409" w:type="dxa"/>
            <w:tcBorders>
              <w:top w:val="nil"/>
              <w:left w:val="nil"/>
              <w:bottom w:val="single" w:sz="8" w:space="0" w:color="auto"/>
              <w:right w:val="single" w:sz="8" w:space="0" w:color="auto"/>
            </w:tcBorders>
            <w:shd w:val="clear" w:color="000000" w:fill="D9D9D9"/>
            <w:vAlign w:val="center"/>
            <w:hideMark/>
          </w:tcPr>
          <w:p w14:paraId="4B86AC10" w14:textId="77777777" w:rsidR="007C250E" w:rsidRPr="007C250E" w:rsidRDefault="007C250E" w:rsidP="007C250E">
            <w:pPr>
              <w:jc w:val="both"/>
              <w:rPr>
                <w:b/>
                <w:bCs/>
                <w:noProof/>
                <w:color w:val="000000"/>
                <w:sz w:val="16"/>
                <w:szCs w:val="16"/>
              </w:rPr>
            </w:pPr>
            <w:r>
              <w:rPr>
                <w:b/>
                <w:noProof/>
                <w:color w:val="000000"/>
                <w:sz w:val="16"/>
              </w:rPr>
              <w:t>Migratie en grensbeheer</w:t>
            </w:r>
          </w:p>
        </w:tc>
        <w:tc>
          <w:tcPr>
            <w:tcW w:w="1418" w:type="dxa"/>
            <w:tcBorders>
              <w:top w:val="nil"/>
              <w:left w:val="nil"/>
              <w:bottom w:val="single" w:sz="8" w:space="0" w:color="auto"/>
              <w:right w:val="single" w:sz="8" w:space="0" w:color="auto"/>
            </w:tcBorders>
            <w:shd w:val="clear" w:color="000000" w:fill="D9D9D9"/>
            <w:vAlign w:val="center"/>
            <w:hideMark/>
          </w:tcPr>
          <w:p w14:paraId="0883C34C" w14:textId="77777777" w:rsidR="007C250E" w:rsidRPr="007C250E" w:rsidRDefault="007C250E" w:rsidP="007C250E">
            <w:pPr>
              <w:jc w:val="right"/>
              <w:rPr>
                <w:b/>
                <w:bCs/>
                <w:noProof/>
                <w:color w:val="000000"/>
                <w:sz w:val="16"/>
                <w:szCs w:val="16"/>
              </w:rPr>
            </w:pPr>
            <w:r>
              <w:rPr>
                <w:b/>
                <w:noProof/>
                <w:color w:val="000000"/>
                <w:sz w:val="16"/>
              </w:rPr>
              <w:t>3 896 705 671</w:t>
            </w:r>
          </w:p>
        </w:tc>
        <w:tc>
          <w:tcPr>
            <w:tcW w:w="1417" w:type="dxa"/>
            <w:tcBorders>
              <w:top w:val="nil"/>
              <w:left w:val="nil"/>
              <w:bottom w:val="single" w:sz="8" w:space="0" w:color="auto"/>
              <w:right w:val="single" w:sz="8" w:space="0" w:color="auto"/>
            </w:tcBorders>
            <w:shd w:val="clear" w:color="000000" w:fill="D9D9D9"/>
            <w:vAlign w:val="center"/>
            <w:hideMark/>
          </w:tcPr>
          <w:p w14:paraId="41E7FA26" w14:textId="77777777" w:rsidR="007C250E" w:rsidRPr="007C250E" w:rsidRDefault="007C250E" w:rsidP="007C250E">
            <w:pPr>
              <w:jc w:val="right"/>
              <w:rPr>
                <w:b/>
                <w:bCs/>
                <w:noProof/>
                <w:color w:val="000000"/>
                <w:sz w:val="16"/>
                <w:szCs w:val="16"/>
              </w:rPr>
            </w:pPr>
            <w:r>
              <w:rPr>
                <w:b/>
                <w:noProof/>
                <w:color w:val="000000"/>
                <w:sz w:val="16"/>
              </w:rPr>
              <w:t>3 257 967 443</w:t>
            </w:r>
          </w:p>
        </w:tc>
        <w:tc>
          <w:tcPr>
            <w:tcW w:w="993" w:type="dxa"/>
            <w:tcBorders>
              <w:top w:val="nil"/>
              <w:left w:val="nil"/>
              <w:bottom w:val="single" w:sz="8" w:space="0" w:color="auto"/>
              <w:right w:val="single" w:sz="8" w:space="0" w:color="auto"/>
            </w:tcBorders>
            <w:shd w:val="clear" w:color="000000" w:fill="D9D9D9"/>
            <w:vAlign w:val="center"/>
            <w:hideMark/>
          </w:tcPr>
          <w:p w14:paraId="7B745ED7"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3A67528B"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28D682D4" w14:textId="77777777" w:rsidR="007C250E" w:rsidRPr="007C250E" w:rsidRDefault="007C250E" w:rsidP="007C250E">
            <w:pPr>
              <w:jc w:val="right"/>
              <w:rPr>
                <w:b/>
                <w:bCs/>
                <w:noProof/>
                <w:color w:val="000000"/>
                <w:sz w:val="16"/>
                <w:szCs w:val="16"/>
              </w:rPr>
            </w:pPr>
            <w:r>
              <w:rPr>
                <w:b/>
                <w:noProof/>
                <w:color w:val="000000"/>
                <w:sz w:val="16"/>
              </w:rPr>
              <w:t xml:space="preserve">3 896 705 671 </w:t>
            </w:r>
          </w:p>
        </w:tc>
        <w:tc>
          <w:tcPr>
            <w:tcW w:w="1418" w:type="dxa"/>
            <w:tcBorders>
              <w:top w:val="nil"/>
              <w:left w:val="nil"/>
              <w:bottom w:val="single" w:sz="8" w:space="0" w:color="auto"/>
              <w:right w:val="single" w:sz="8" w:space="0" w:color="auto"/>
            </w:tcBorders>
            <w:shd w:val="clear" w:color="000000" w:fill="D9D9D9"/>
            <w:vAlign w:val="center"/>
            <w:hideMark/>
          </w:tcPr>
          <w:p w14:paraId="4865BACF" w14:textId="77777777" w:rsidR="007C250E" w:rsidRPr="007C250E" w:rsidRDefault="007C250E" w:rsidP="007C250E">
            <w:pPr>
              <w:jc w:val="right"/>
              <w:rPr>
                <w:b/>
                <w:bCs/>
                <w:noProof/>
                <w:color w:val="000000"/>
                <w:sz w:val="16"/>
                <w:szCs w:val="16"/>
              </w:rPr>
            </w:pPr>
            <w:r>
              <w:rPr>
                <w:b/>
                <w:noProof/>
                <w:color w:val="000000"/>
                <w:sz w:val="16"/>
              </w:rPr>
              <w:t xml:space="preserve">3 257 967 443 </w:t>
            </w:r>
          </w:p>
        </w:tc>
      </w:tr>
      <w:tr w:rsidR="007C250E" w:rsidRPr="007C250E" w14:paraId="609B313F"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FEA1AB" w14:textId="77777777" w:rsidR="007C250E" w:rsidRPr="007C250E" w:rsidRDefault="007C250E" w:rsidP="007C250E">
            <w:pPr>
              <w:jc w:val="right"/>
              <w:rPr>
                <w:b/>
                <w:bCs/>
                <w:i/>
                <w:iCs/>
                <w:noProof/>
                <w:color w:val="000000"/>
                <w:sz w:val="16"/>
                <w:szCs w:val="16"/>
              </w:rPr>
            </w:pPr>
            <w:r>
              <w:rPr>
                <w:b/>
                <w:i/>
                <w:noProof/>
                <w:color w:val="000000"/>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278CEE93" w14:textId="77777777" w:rsidR="007C250E" w:rsidRPr="007C250E" w:rsidRDefault="007C250E" w:rsidP="007C250E">
            <w:pPr>
              <w:jc w:val="right"/>
              <w:rPr>
                <w:i/>
                <w:iCs/>
                <w:noProof/>
                <w:color w:val="000000"/>
                <w:sz w:val="16"/>
                <w:szCs w:val="16"/>
              </w:rPr>
            </w:pPr>
            <w:r>
              <w:rPr>
                <w:i/>
                <w:noProof/>
                <w:color w:val="000000"/>
                <w:sz w:val="16"/>
              </w:rPr>
              <w:t>4 020 000 000</w:t>
            </w:r>
          </w:p>
        </w:tc>
        <w:tc>
          <w:tcPr>
            <w:tcW w:w="1417" w:type="dxa"/>
            <w:tcBorders>
              <w:top w:val="nil"/>
              <w:left w:val="nil"/>
              <w:bottom w:val="single" w:sz="8" w:space="0" w:color="auto"/>
              <w:right w:val="single" w:sz="8" w:space="0" w:color="auto"/>
            </w:tcBorders>
            <w:shd w:val="clear" w:color="auto" w:fill="auto"/>
            <w:vAlign w:val="center"/>
            <w:hideMark/>
          </w:tcPr>
          <w:p w14:paraId="64A93286"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A04369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EAE2422"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9ACDC75" w14:textId="77777777" w:rsidR="007C250E" w:rsidRPr="007C250E" w:rsidRDefault="007C250E" w:rsidP="007C250E">
            <w:pPr>
              <w:jc w:val="right"/>
              <w:rPr>
                <w:i/>
                <w:iCs/>
                <w:noProof/>
                <w:color w:val="000000"/>
                <w:sz w:val="16"/>
                <w:szCs w:val="16"/>
              </w:rPr>
            </w:pPr>
            <w:r>
              <w:rPr>
                <w:i/>
                <w:noProof/>
                <w:color w:val="000000"/>
                <w:sz w:val="16"/>
              </w:rPr>
              <w:t xml:space="preserve">4 020 000 000 </w:t>
            </w:r>
          </w:p>
        </w:tc>
        <w:tc>
          <w:tcPr>
            <w:tcW w:w="1418" w:type="dxa"/>
            <w:tcBorders>
              <w:top w:val="nil"/>
              <w:left w:val="nil"/>
              <w:bottom w:val="single" w:sz="8" w:space="0" w:color="auto"/>
              <w:right w:val="single" w:sz="8" w:space="0" w:color="auto"/>
            </w:tcBorders>
            <w:shd w:val="clear" w:color="auto" w:fill="auto"/>
            <w:vAlign w:val="center"/>
            <w:hideMark/>
          </w:tcPr>
          <w:p w14:paraId="17923F8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F18F17E"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3CBD219E"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EBF7B2C"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52E5197B"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3A0F5D00"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7A6F9041"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4FE03DA"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FE68DF3"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0AE06F4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2EC401"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5AF569A8"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3E327AD"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0C75E2EE"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218F7817"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7FEC39A"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3A2BC18"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516B3B2"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42F8786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FEEBC04"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23EFF"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5ED76DF0"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09A17DF6"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369FDD1"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43AFE49"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63A1BAC"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E447791"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3ABC69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2B8FB8F"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AFB687"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33FA210D" w14:textId="77777777" w:rsidR="007C250E" w:rsidRPr="007C250E" w:rsidRDefault="007C250E" w:rsidP="007C250E">
            <w:pPr>
              <w:jc w:val="right"/>
              <w:rPr>
                <w:i/>
                <w:iCs/>
                <w:noProof/>
                <w:color w:val="000000"/>
                <w:sz w:val="16"/>
                <w:szCs w:val="16"/>
              </w:rPr>
            </w:pPr>
            <w:r>
              <w:rPr>
                <w:i/>
                <w:noProof/>
                <w:color w:val="000000"/>
                <w:sz w:val="16"/>
              </w:rPr>
              <w:t>123 294 329</w:t>
            </w:r>
          </w:p>
        </w:tc>
        <w:tc>
          <w:tcPr>
            <w:tcW w:w="1417" w:type="dxa"/>
            <w:tcBorders>
              <w:top w:val="nil"/>
              <w:left w:val="nil"/>
              <w:bottom w:val="single" w:sz="8" w:space="0" w:color="auto"/>
              <w:right w:val="single" w:sz="8" w:space="0" w:color="auto"/>
            </w:tcBorders>
            <w:shd w:val="clear" w:color="auto" w:fill="auto"/>
            <w:vAlign w:val="center"/>
            <w:hideMark/>
          </w:tcPr>
          <w:p w14:paraId="1DD2B88E"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7FEE85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92439C1"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DC88D63" w14:textId="77777777" w:rsidR="007C250E" w:rsidRPr="007C250E" w:rsidRDefault="007C250E" w:rsidP="007C250E">
            <w:pPr>
              <w:jc w:val="right"/>
              <w:rPr>
                <w:i/>
                <w:iCs/>
                <w:noProof/>
                <w:color w:val="000000"/>
                <w:sz w:val="16"/>
                <w:szCs w:val="16"/>
              </w:rPr>
            </w:pPr>
            <w:r>
              <w:rPr>
                <w:i/>
                <w:noProof/>
                <w:color w:val="000000"/>
                <w:sz w:val="16"/>
              </w:rPr>
              <w:t xml:space="preserve">123 294 329 </w:t>
            </w:r>
          </w:p>
        </w:tc>
        <w:tc>
          <w:tcPr>
            <w:tcW w:w="1418" w:type="dxa"/>
            <w:tcBorders>
              <w:top w:val="nil"/>
              <w:left w:val="nil"/>
              <w:bottom w:val="single" w:sz="8" w:space="0" w:color="auto"/>
              <w:right w:val="single" w:sz="8" w:space="0" w:color="auto"/>
            </w:tcBorders>
            <w:shd w:val="clear" w:color="auto" w:fill="auto"/>
            <w:vAlign w:val="center"/>
            <w:hideMark/>
          </w:tcPr>
          <w:p w14:paraId="61E4D47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369FFFA"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D97543F" w14:textId="77777777" w:rsidR="007C250E" w:rsidRPr="007C250E" w:rsidRDefault="007C250E" w:rsidP="007C250E">
            <w:pPr>
              <w:jc w:val="both"/>
              <w:rPr>
                <w:b/>
                <w:bCs/>
                <w:noProof/>
                <w:sz w:val="16"/>
                <w:szCs w:val="16"/>
              </w:rPr>
            </w:pPr>
            <w:r>
              <w:rPr>
                <w:b/>
                <w:noProof/>
                <w:sz w:val="16"/>
              </w:rPr>
              <w:t>5.</w:t>
            </w:r>
          </w:p>
        </w:tc>
        <w:tc>
          <w:tcPr>
            <w:tcW w:w="2409" w:type="dxa"/>
            <w:tcBorders>
              <w:top w:val="nil"/>
              <w:left w:val="nil"/>
              <w:bottom w:val="single" w:sz="8" w:space="0" w:color="auto"/>
              <w:right w:val="single" w:sz="8" w:space="0" w:color="auto"/>
            </w:tcBorders>
            <w:shd w:val="clear" w:color="000000" w:fill="D9D9D9"/>
            <w:vAlign w:val="center"/>
            <w:hideMark/>
          </w:tcPr>
          <w:p w14:paraId="2187D0AD" w14:textId="77777777" w:rsidR="007C250E" w:rsidRPr="007C250E" w:rsidRDefault="007C250E" w:rsidP="007C250E">
            <w:pPr>
              <w:jc w:val="both"/>
              <w:rPr>
                <w:b/>
                <w:bCs/>
                <w:noProof/>
                <w:sz w:val="16"/>
                <w:szCs w:val="16"/>
              </w:rPr>
            </w:pPr>
            <w:r>
              <w:rPr>
                <w:b/>
                <w:noProof/>
                <w:sz w:val="16"/>
              </w:rPr>
              <w:t>Veiligheid en defensie</w:t>
            </w:r>
          </w:p>
        </w:tc>
        <w:tc>
          <w:tcPr>
            <w:tcW w:w="1418" w:type="dxa"/>
            <w:tcBorders>
              <w:top w:val="nil"/>
              <w:left w:val="nil"/>
              <w:bottom w:val="single" w:sz="8" w:space="0" w:color="auto"/>
              <w:right w:val="single" w:sz="8" w:space="0" w:color="auto"/>
            </w:tcBorders>
            <w:shd w:val="clear" w:color="000000" w:fill="D9D9D9"/>
            <w:vAlign w:val="center"/>
            <w:hideMark/>
          </w:tcPr>
          <w:p w14:paraId="725D43E0" w14:textId="77777777" w:rsidR="007C250E" w:rsidRPr="007C250E" w:rsidRDefault="007C250E" w:rsidP="007C250E">
            <w:pPr>
              <w:jc w:val="right"/>
              <w:rPr>
                <w:b/>
                <w:bCs/>
                <w:noProof/>
                <w:sz w:val="16"/>
                <w:szCs w:val="16"/>
              </w:rPr>
            </w:pPr>
            <w:r>
              <w:rPr>
                <w:b/>
                <w:noProof/>
                <w:sz w:val="16"/>
              </w:rPr>
              <w:t>2 304 177 926</w:t>
            </w:r>
          </w:p>
        </w:tc>
        <w:tc>
          <w:tcPr>
            <w:tcW w:w="1417" w:type="dxa"/>
            <w:tcBorders>
              <w:top w:val="nil"/>
              <w:left w:val="nil"/>
              <w:bottom w:val="single" w:sz="8" w:space="0" w:color="auto"/>
              <w:right w:val="single" w:sz="8" w:space="0" w:color="auto"/>
            </w:tcBorders>
            <w:shd w:val="clear" w:color="000000" w:fill="D9D9D9"/>
            <w:vAlign w:val="center"/>
            <w:hideMark/>
          </w:tcPr>
          <w:p w14:paraId="7F01F011" w14:textId="77777777" w:rsidR="007C250E" w:rsidRPr="007C250E" w:rsidRDefault="007C250E" w:rsidP="007C250E">
            <w:pPr>
              <w:jc w:val="right"/>
              <w:rPr>
                <w:b/>
                <w:bCs/>
                <w:noProof/>
                <w:sz w:val="16"/>
                <w:szCs w:val="16"/>
              </w:rPr>
            </w:pPr>
            <w:r>
              <w:rPr>
                <w:b/>
                <w:noProof/>
                <w:sz w:val="16"/>
              </w:rPr>
              <w:t>2 028 413 531</w:t>
            </w:r>
          </w:p>
        </w:tc>
        <w:tc>
          <w:tcPr>
            <w:tcW w:w="993" w:type="dxa"/>
            <w:tcBorders>
              <w:top w:val="nil"/>
              <w:left w:val="nil"/>
              <w:bottom w:val="single" w:sz="8" w:space="0" w:color="auto"/>
              <w:right w:val="single" w:sz="8" w:space="0" w:color="auto"/>
            </w:tcBorders>
            <w:shd w:val="clear" w:color="000000" w:fill="D9D9D9"/>
            <w:vAlign w:val="center"/>
            <w:hideMark/>
          </w:tcPr>
          <w:p w14:paraId="0863BA95" w14:textId="77777777" w:rsidR="007C250E" w:rsidRPr="007C250E" w:rsidRDefault="007C250E" w:rsidP="007C250E">
            <w:pPr>
              <w:jc w:val="right"/>
              <w:rPr>
                <w:b/>
                <w:bCs/>
                <w:noProof/>
                <w:sz w:val="16"/>
                <w:szCs w:val="16"/>
              </w:rPr>
            </w:pPr>
            <w:r>
              <w:rPr>
                <w:b/>
                <w:noProof/>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74F9AA16" w14:textId="77777777" w:rsidR="007C250E" w:rsidRPr="007C250E" w:rsidRDefault="007C250E" w:rsidP="007C250E">
            <w:pPr>
              <w:jc w:val="right"/>
              <w:rPr>
                <w:b/>
                <w:bCs/>
                <w:noProof/>
                <w:sz w:val="16"/>
                <w:szCs w:val="16"/>
              </w:rPr>
            </w:pPr>
            <w:r>
              <w:rPr>
                <w:b/>
                <w:noProof/>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28FF0488" w14:textId="77777777" w:rsidR="007C250E" w:rsidRPr="007C250E" w:rsidRDefault="007C250E" w:rsidP="007C250E">
            <w:pPr>
              <w:jc w:val="right"/>
              <w:rPr>
                <w:b/>
                <w:bCs/>
                <w:noProof/>
                <w:sz w:val="16"/>
                <w:szCs w:val="16"/>
              </w:rPr>
            </w:pPr>
            <w:r>
              <w:rPr>
                <w:b/>
                <w:noProof/>
                <w:sz w:val="16"/>
              </w:rPr>
              <w:t xml:space="preserve">2 304 177 926 </w:t>
            </w:r>
          </w:p>
        </w:tc>
        <w:tc>
          <w:tcPr>
            <w:tcW w:w="1418" w:type="dxa"/>
            <w:tcBorders>
              <w:top w:val="nil"/>
              <w:left w:val="nil"/>
              <w:bottom w:val="single" w:sz="8" w:space="0" w:color="auto"/>
              <w:right w:val="single" w:sz="8" w:space="0" w:color="auto"/>
            </w:tcBorders>
            <w:shd w:val="clear" w:color="000000" w:fill="D9D9D9"/>
            <w:vAlign w:val="center"/>
            <w:hideMark/>
          </w:tcPr>
          <w:p w14:paraId="5A5D96AB" w14:textId="77777777" w:rsidR="007C250E" w:rsidRPr="007C250E" w:rsidRDefault="007C250E" w:rsidP="007C250E">
            <w:pPr>
              <w:jc w:val="right"/>
              <w:rPr>
                <w:b/>
                <w:bCs/>
                <w:noProof/>
                <w:sz w:val="16"/>
                <w:szCs w:val="16"/>
              </w:rPr>
            </w:pPr>
            <w:r>
              <w:rPr>
                <w:b/>
                <w:noProof/>
                <w:sz w:val="16"/>
              </w:rPr>
              <w:t xml:space="preserve">2 028 413 531 </w:t>
            </w:r>
          </w:p>
        </w:tc>
      </w:tr>
      <w:tr w:rsidR="007C250E" w:rsidRPr="007C250E" w14:paraId="00E229E0"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8DFC34" w14:textId="77777777" w:rsidR="007C250E" w:rsidRPr="007C250E" w:rsidRDefault="007C250E" w:rsidP="007C250E">
            <w:pPr>
              <w:jc w:val="right"/>
              <w:rPr>
                <w:b/>
                <w:bCs/>
                <w:i/>
                <w:iCs/>
                <w:noProof/>
                <w:sz w:val="16"/>
                <w:szCs w:val="16"/>
              </w:rPr>
            </w:pPr>
            <w:r>
              <w:rPr>
                <w:b/>
                <w:i/>
                <w:noProof/>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76111D52" w14:textId="77777777" w:rsidR="007C250E" w:rsidRPr="007C250E" w:rsidRDefault="007C250E" w:rsidP="007C250E">
            <w:pPr>
              <w:jc w:val="right"/>
              <w:rPr>
                <w:i/>
                <w:iCs/>
                <w:noProof/>
                <w:sz w:val="16"/>
                <w:szCs w:val="16"/>
              </w:rPr>
            </w:pPr>
            <w:r>
              <w:rPr>
                <w:i/>
                <w:noProof/>
                <w:sz w:val="16"/>
              </w:rPr>
              <w:t>2 004 000 000</w:t>
            </w:r>
          </w:p>
        </w:tc>
        <w:tc>
          <w:tcPr>
            <w:tcW w:w="1417" w:type="dxa"/>
            <w:tcBorders>
              <w:top w:val="nil"/>
              <w:left w:val="nil"/>
              <w:bottom w:val="single" w:sz="8" w:space="0" w:color="auto"/>
              <w:right w:val="single" w:sz="8" w:space="0" w:color="auto"/>
            </w:tcBorders>
            <w:shd w:val="clear" w:color="auto" w:fill="auto"/>
            <w:vAlign w:val="center"/>
            <w:hideMark/>
          </w:tcPr>
          <w:p w14:paraId="099EC91B"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B95BD18"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A84029C"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564D9B0" w14:textId="77777777" w:rsidR="007C250E" w:rsidRPr="007C250E" w:rsidRDefault="007C250E" w:rsidP="007C250E">
            <w:pPr>
              <w:jc w:val="right"/>
              <w:rPr>
                <w:i/>
                <w:iCs/>
                <w:noProof/>
                <w:sz w:val="16"/>
                <w:szCs w:val="16"/>
              </w:rPr>
            </w:pPr>
            <w:r>
              <w:rPr>
                <w:i/>
                <w:noProof/>
                <w:sz w:val="16"/>
              </w:rPr>
              <w:t xml:space="preserve">2 004 000 000 </w:t>
            </w:r>
          </w:p>
        </w:tc>
        <w:tc>
          <w:tcPr>
            <w:tcW w:w="1418" w:type="dxa"/>
            <w:tcBorders>
              <w:top w:val="nil"/>
              <w:left w:val="nil"/>
              <w:bottom w:val="single" w:sz="8" w:space="0" w:color="auto"/>
              <w:right w:val="single" w:sz="8" w:space="0" w:color="auto"/>
            </w:tcBorders>
            <w:shd w:val="clear" w:color="auto" w:fill="auto"/>
            <w:vAlign w:val="center"/>
            <w:hideMark/>
          </w:tcPr>
          <w:p w14:paraId="29000590" w14:textId="77777777" w:rsidR="007C250E" w:rsidRPr="007C250E" w:rsidRDefault="007C250E" w:rsidP="007C250E">
            <w:pPr>
              <w:jc w:val="right"/>
              <w:rPr>
                <w:noProof/>
                <w:sz w:val="16"/>
                <w:szCs w:val="16"/>
              </w:rPr>
            </w:pPr>
            <w:r>
              <w:rPr>
                <w:noProof/>
                <w:sz w:val="16"/>
              </w:rPr>
              <w:t xml:space="preserve"> </w:t>
            </w:r>
          </w:p>
        </w:tc>
      </w:tr>
      <w:tr w:rsidR="007C250E" w:rsidRPr="007C250E" w14:paraId="72BFB383"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F6D3191"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B13748D"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546B0164" w14:textId="77777777" w:rsidR="007C250E" w:rsidRPr="007C250E" w:rsidRDefault="007C250E" w:rsidP="007C250E">
            <w:pPr>
              <w:jc w:val="right"/>
              <w:rPr>
                <w:i/>
                <w:iCs/>
                <w:noProof/>
                <w:color w:val="000000"/>
                <w:sz w:val="16"/>
                <w:szCs w:val="16"/>
              </w:rPr>
            </w:pPr>
            <w:r>
              <w:rPr>
                <w:i/>
                <w:noProof/>
                <w:color w:val="000000"/>
                <w:sz w:val="16"/>
              </w:rPr>
              <w:t>300 177 926</w:t>
            </w:r>
          </w:p>
        </w:tc>
        <w:tc>
          <w:tcPr>
            <w:tcW w:w="1417" w:type="dxa"/>
            <w:tcBorders>
              <w:top w:val="nil"/>
              <w:left w:val="nil"/>
              <w:bottom w:val="single" w:sz="8" w:space="0" w:color="auto"/>
              <w:right w:val="single" w:sz="8" w:space="0" w:color="auto"/>
            </w:tcBorders>
            <w:shd w:val="clear" w:color="auto" w:fill="auto"/>
            <w:vAlign w:val="center"/>
            <w:hideMark/>
          </w:tcPr>
          <w:p w14:paraId="28212DB3"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BE2F3B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CAD469D"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E7AF4A3" w14:textId="77777777" w:rsidR="007C250E" w:rsidRPr="007C250E" w:rsidRDefault="007C250E" w:rsidP="007C250E">
            <w:pPr>
              <w:jc w:val="right"/>
              <w:rPr>
                <w:i/>
                <w:iCs/>
                <w:noProof/>
                <w:color w:val="000000"/>
                <w:sz w:val="16"/>
                <w:szCs w:val="16"/>
              </w:rPr>
            </w:pPr>
            <w:r>
              <w:rPr>
                <w:i/>
                <w:noProof/>
                <w:color w:val="000000"/>
                <w:sz w:val="16"/>
              </w:rPr>
              <w:t xml:space="preserve">300 177 926 </w:t>
            </w:r>
          </w:p>
        </w:tc>
        <w:tc>
          <w:tcPr>
            <w:tcW w:w="1418" w:type="dxa"/>
            <w:tcBorders>
              <w:top w:val="nil"/>
              <w:left w:val="nil"/>
              <w:bottom w:val="single" w:sz="8" w:space="0" w:color="auto"/>
              <w:right w:val="single" w:sz="8" w:space="0" w:color="auto"/>
            </w:tcBorders>
            <w:shd w:val="clear" w:color="auto" w:fill="auto"/>
            <w:vAlign w:val="center"/>
            <w:hideMark/>
          </w:tcPr>
          <w:p w14:paraId="5E07F7F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5E0778F"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3F56960F"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7C7A5D2"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41316A77"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FCE36C4"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517C762"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C48CDB3"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008105C"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0688C6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50FFC61"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2F577EBE"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AA6180A"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60F50961"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3375AE99"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4B7EDB0"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F264510"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A3465A1"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272BC42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8F83E0E"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1FFA2"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21C8E75C"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3360716A"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5EBC3CE"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0C37694"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5A8BCD8"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2561835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CC7C8D"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6716152" w14:textId="77777777" w:rsidR="007C250E" w:rsidRPr="007C250E" w:rsidRDefault="007C250E" w:rsidP="007C250E">
            <w:pPr>
              <w:jc w:val="both"/>
              <w:rPr>
                <w:b/>
                <w:bCs/>
                <w:noProof/>
                <w:sz w:val="16"/>
                <w:szCs w:val="16"/>
              </w:rPr>
            </w:pPr>
            <w:r>
              <w:rPr>
                <w:b/>
                <w:noProof/>
                <w:sz w:val="16"/>
              </w:rPr>
              <w:t>6.</w:t>
            </w:r>
          </w:p>
        </w:tc>
        <w:tc>
          <w:tcPr>
            <w:tcW w:w="2409" w:type="dxa"/>
            <w:tcBorders>
              <w:top w:val="nil"/>
              <w:left w:val="nil"/>
              <w:bottom w:val="single" w:sz="8" w:space="0" w:color="auto"/>
              <w:right w:val="single" w:sz="8" w:space="0" w:color="auto"/>
            </w:tcBorders>
            <w:shd w:val="clear" w:color="000000" w:fill="D9D9D9"/>
            <w:vAlign w:val="center"/>
            <w:hideMark/>
          </w:tcPr>
          <w:p w14:paraId="56AF7682" w14:textId="77777777" w:rsidR="007C250E" w:rsidRPr="007C250E" w:rsidRDefault="007C250E" w:rsidP="007C250E">
            <w:pPr>
              <w:jc w:val="both"/>
              <w:rPr>
                <w:b/>
                <w:bCs/>
                <w:noProof/>
                <w:sz w:val="16"/>
                <w:szCs w:val="16"/>
              </w:rPr>
            </w:pPr>
            <w:r>
              <w:rPr>
                <w:b/>
                <w:noProof/>
                <w:sz w:val="16"/>
              </w:rPr>
              <w:t>Nabuurschap en internationaal beleid</w:t>
            </w:r>
          </w:p>
        </w:tc>
        <w:tc>
          <w:tcPr>
            <w:tcW w:w="1418" w:type="dxa"/>
            <w:tcBorders>
              <w:top w:val="nil"/>
              <w:left w:val="nil"/>
              <w:bottom w:val="single" w:sz="8" w:space="0" w:color="auto"/>
              <w:right w:val="single" w:sz="8" w:space="0" w:color="auto"/>
            </w:tcBorders>
            <w:shd w:val="clear" w:color="000000" w:fill="D9D9D9"/>
            <w:vAlign w:val="center"/>
            <w:hideMark/>
          </w:tcPr>
          <w:p w14:paraId="24622C66" w14:textId="77777777" w:rsidR="007C250E" w:rsidRPr="007C250E" w:rsidRDefault="007C250E" w:rsidP="007C250E">
            <w:pPr>
              <w:jc w:val="right"/>
              <w:rPr>
                <w:b/>
                <w:bCs/>
                <w:noProof/>
                <w:sz w:val="16"/>
                <w:szCs w:val="16"/>
              </w:rPr>
            </w:pPr>
            <w:r>
              <w:rPr>
                <w:b/>
                <w:noProof/>
                <w:sz w:val="16"/>
              </w:rPr>
              <w:t>15 830 000 000</w:t>
            </w:r>
          </w:p>
        </w:tc>
        <w:tc>
          <w:tcPr>
            <w:tcW w:w="1417" w:type="dxa"/>
            <w:tcBorders>
              <w:top w:val="nil"/>
              <w:left w:val="nil"/>
              <w:bottom w:val="single" w:sz="8" w:space="0" w:color="auto"/>
              <w:right w:val="single" w:sz="8" w:space="0" w:color="auto"/>
            </w:tcBorders>
            <w:shd w:val="clear" w:color="000000" w:fill="D9D9D9"/>
            <w:vAlign w:val="center"/>
            <w:hideMark/>
          </w:tcPr>
          <w:p w14:paraId="654E105B" w14:textId="77777777" w:rsidR="007C250E" w:rsidRPr="007C250E" w:rsidRDefault="007C250E" w:rsidP="007C250E">
            <w:pPr>
              <w:jc w:val="right"/>
              <w:rPr>
                <w:b/>
                <w:bCs/>
                <w:noProof/>
                <w:sz w:val="16"/>
                <w:szCs w:val="16"/>
              </w:rPr>
            </w:pPr>
            <w:r>
              <w:rPr>
                <w:b/>
                <w:noProof/>
                <w:sz w:val="16"/>
              </w:rPr>
              <w:t>15 111 157 313</w:t>
            </w:r>
          </w:p>
        </w:tc>
        <w:tc>
          <w:tcPr>
            <w:tcW w:w="993" w:type="dxa"/>
            <w:tcBorders>
              <w:top w:val="nil"/>
              <w:left w:val="nil"/>
              <w:bottom w:val="single" w:sz="8" w:space="0" w:color="auto"/>
              <w:right w:val="single" w:sz="8" w:space="0" w:color="auto"/>
            </w:tcBorders>
            <w:shd w:val="clear" w:color="000000" w:fill="D9D9D9"/>
            <w:vAlign w:val="center"/>
            <w:hideMark/>
          </w:tcPr>
          <w:p w14:paraId="7ED661F3" w14:textId="77777777" w:rsidR="007C250E" w:rsidRPr="007C250E" w:rsidRDefault="007C250E" w:rsidP="007C250E">
            <w:pPr>
              <w:jc w:val="right"/>
              <w:rPr>
                <w:b/>
                <w:bCs/>
                <w:noProof/>
                <w:sz w:val="16"/>
                <w:szCs w:val="16"/>
              </w:rPr>
            </w:pPr>
            <w:r>
              <w:rPr>
                <w:b/>
                <w:noProof/>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0178A0E4" w14:textId="77777777" w:rsidR="007C250E" w:rsidRPr="007C250E" w:rsidRDefault="007C250E" w:rsidP="007C250E">
            <w:pPr>
              <w:jc w:val="right"/>
              <w:rPr>
                <w:b/>
                <w:bCs/>
                <w:noProof/>
                <w:sz w:val="16"/>
                <w:szCs w:val="16"/>
              </w:rPr>
            </w:pPr>
            <w:r>
              <w:rPr>
                <w:b/>
                <w:noProof/>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0BC0F6D1" w14:textId="77777777" w:rsidR="007C250E" w:rsidRPr="007C250E" w:rsidRDefault="007C250E" w:rsidP="007C250E">
            <w:pPr>
              <w:jc w:val="right"/>
              <w:rPr>
                <w:b/>
                <w:bCs/>
                <w:noProof/>
                <w:sz w:val="16"/>
                <w:szCs w:val="16"/>
              </w:rPr>
            </w:pPr>
            <w:r>
              <w:rPr>
                <w:b/>
                <w:noProof/>
                <w:sz w:val="16"/>
              </w:rPr>
              <w:t xml:space="preserve">15 830 000 000 </w:t>
            </w:r>
          </w:p>
        </w:tc>
        <w:tc>
          <w:tcPr>
            <w:tcW w:w="1418" w:type="dxa"/>
            <w:tcBorders>
              <w:top w:val="nil"/>
              <w:left w:val="nil"/>
              <w:bottom w:val="single" w:sz="8" w:space="0" w:color="auto"/>
              <w:right w:val="single" w:sz="8" w:space="0" w:color="auto"/>
            </w:tcBorders>
            <w:shd w:val="clear" w:color="000000" w:fill="D9D9D9"/>
            <w:vAlign w:val="center"/>
            <w:hideMark/>
          </w:tcPr>
          <w:p w14:paraId="04C954F2" w14:textId="77777777" w:rsidR="007C250E" w:rsidRPr="007C250E" w:rsidRDefault="007C250E" w:rsidP="007C250E">
            <w:pPr>
              <w:jc w:val="right"/>
              <w:rPr>
                <w:b/>
                <w:bCs/>
                <w:noProof/>
                <w:sz w:val="16"/>
                <w:szCs w:val="16"/>
              </w:rPr>
            </w:pPr>
            <w:r>
              <w:rPr>
                <w:b/>
                <w:noProof/>
                <w:sz w:val="16"/>
              </w:rPr>
              <w:t xml:space="preserve">15 111 157 313 </w:t>
            </w:r>
          </w:p>
        </w:tc>
      </w:tr>
      <w:tr w:rsidR="007C250E" w:rsidRPr="007C250E" w14:paraId="2E9A481B"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D30AFF"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2859ABA9"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31B2FC4"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5041C9E"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9CA8588"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49718BB8"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2409FF7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0562EA3"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CCFF69" w14:textId="77777777" w:rsidR="007C250E" w:rsidRPr="007C250E" w:rsidRDefault="007C250E" w:rsidP="007C250E">
            <w:pPr>
              <w:jc w:val="right"/>
              <w:rPr>
                <w:b/>
                <w:bCs/>
                <w:i/>
                <w:iCs/>
                <w:noProof/>
                <w:sz w:val="16"/>
                <w:szCs w:val="16"/>
              </w:rPr>
            </w:pPr>
            <w:r>
              <w:rPr>
                <w:b/>
                <w:i/>
                <w:noProof/>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266F438D" w14:textId="77777777" w:rsidR="007C250E" w:rsidRPr="007C250E" w:rsidRDefault="007C250E" w:rsidP="007C250E">
            <w:pPr>
              <w:jc w:val="right"/>
              <w:rPr>
                <w:i/>
                <w:iCs/>
                <w:noProof/>
                <w:sz w:val="16"/>
                <w:szCs w:val="16"/>
              </w:rPr>
            </w:pPr>
            <w:r>
              <w:rPr>
                <w:i/>
                <w:noProof/>
                <w:sz w:val="16"/>
              </w:rPr>
              <w:t>15 830 000 000</w:t>
            </w:r>
          </w:p>
        </w:tc>
        <w:tc>
          <w:tcPr>
            <w:tcW w:w="1417" w:type="dxa"/>
            <w:tcBorders>
              <w:top w:val="nil"/>
              <w:left w:val="nil"/>
              <w:bottom w:val="single" w:sz="8" w:space="0" w:color="auto"/>
              <w:right w:val="single" w:sz="8" w:space="0" w:color="auto"/>
            </w:tcBorders>
            <w:shd w:val="clear" w:color="auto" w:fill="auto"/>
            <w:vAlign w:val="center"/>
            <w:hideMark/>
          </w:tcPr>
          <w:p w14:paraId="157F3AFD"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D06A951"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39A651D"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525D776" w14:textId="77777777" w:rsidR="007C250E" w:rsidRPr="007C250E" w:rsidRDefault="007C250E" w:rsidP="007C250E">
            <w:pPr>
              <w:jc w:val="right"/>
              <w:rPr>
                <w:i/>
                <w:iCs/>
                <w:noProof/>
                <w:sz w:val="16"/>
                <w:szCs w:val="16"/>
              </w:rPr>
            </w:pPr>
            <w:r>
              <w:rPr>
                <w:i/>
                <w:noProof/>
                <w:sz w:val="16"/>
              </w:rPr>
              <w:t xml:space="preserve">15 830 000 000 </w:t>
            </w:r>
          </w:p>
        </w:tc>
        <w:tc>
          <w:tcPr>
            <w:tcW w:w="1418" w:type="dxa"/>
            <w:tcBorders>
              <w:top w:val="nil"/>
              <w:left w:val="nil"/>
              <w:bottom w:val="single" w:sz="8" w:space="0" w:color="auto"/>
              <w:right w:val="single" w:sz="8" w:space="0" w:color="auto"/>
            </w:tcBorders>
            <w:shd w:val="clear" w:color="auto" w:fill="auto"/>
            <w:vAlign w:val="center"/>
            <w:hideMark/>
          </w:tcPr>
          <w:p w14:paraId="37C7A01C" w14:textId="77777777" w:rsidR="007C250E" w:rsidRPr="007C250E" w:rsidRDefault="007C250E" w:rsidP="007C250E">
            <w:pPr>
              <w:jc w:val="right"/>
              <w:rPr>
                <w:noProof/>
                <w:sz w:val="16"/>
                <w:szCs w:val="16"/>
              </w:rPr>
            </w:pPr>
            <w:r>
              <w:rPr>
                <w:noProof/>
                <w:sz w:val="16"/>
              </w:rPr>
              <w:t xml:space="preserve"> </w:t>
            </w:r>
          </w:p>
        </w:tc>
      </w:tr>
      <w:tr w:rsidR="007C250E" w:rsidRPr="007C250E" w14:paraId="3D113C20"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547DC3D"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0D8CC68"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08267522"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46684140"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289C16AC"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71E7B30"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768847B"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3FAF245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5BD02D1"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593C6566"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D0AE8B8"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268EE5EA"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5316FA47"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38C5F71"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B36503D"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DB0F3FF"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88D748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6664002"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21CB3E"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1E7ECFA9"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01F13A79"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E5CF0A7"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E88EF17"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6492D95"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10667A1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ACFF03E"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BB27866" w14:textId="77777777" w:rsidR="007C250E" w:rsidRPr="007C250E" w:rsidRDefault="007C250E" w:rsidP="007C250E">
            <w:pPr>
              <w:jc w:val="both"/>
              <w:rPr>
                <w:b/>
                <w:bCs/>
                <w:noProof/>
                <w:sz w:val="16"/>
                <w:szCs w:val="16"/>
              </w:rPr>
            </w:pPr>
            <w:r>
              <w:rPr>
                <w:b/>
                <w:noProof/>
                <w:sz w:val="16"/>
              </w:rPr>
              <w:t>7.</w:t>
            </w:r>
          </w:p>
        </w:tc>
        <w:tc>
          <w:tcPr>
            <w:tcW w:w="2409" w:type="dxa"/>
            <w:tcBorders>
              <w:top w:val="nil"/>
              <w:left w:val="nil"/>
              <w:bottom w:val="single" w:sz="8" w:space="0" w:color="auto"/>
              <w:right w:val="single" w:sz="8" w:space="0" w:color="auto"/>
            </w:tcBorders>
            <w:shd w:val="clear" w:color="000000" w:fill="D9D9D9"/>
            <w:vAlign w:val="center"/>
            <w:hideMark/>
          </w:tcPr>
          <w:p w14:paraId="68C1BB91" w14:textId="77777777" w:rsidR="007C250E" w:rsidRPr="007C250E" w:rsidRDefault="007C250E" w:rsidP="007C250E">
            <w:pPr>
              <w:jc w:val="both"/>
              <w:rPr>
                <w:b/>
                <w:bCs/>
                <w:noProof/>
                <w:sz w:val="16"/>
                <w:szCs w:val="16"/>
              </w:rPr>
            </w:pPr>
            <w:r>
              <w:rPr>
                <w:b/>
                <w:noProof/>
                <w:sz w:val="16"/>
              </w:rPr>
              <w:t>Europees openbaar bestuur</w:t>
            </w:r>
          </w:p>
        </w:tc>
        <w:tc>
          <w:tcPr>
            <w:tcW w:w="1418" w:type="dxa"/>
            <w:tcBorders>
              <w:top w:val="nil"/>
              <w:left w:val="nil"/>
              <w:bottom w:val="single" w:sz="8" w:space="0" w:color="auto"/>
              <w:right w:val="single" w:sz="8" w:space="0" w:color="auto"/>
            </w:tcBorders>
            <w:shd w:val="clear" w:color="000000" w:fill="D9D9D9"/>
            <w:vAlign w:val="center"/>
            <w:hideMark/>
          </w:tcPr>
          <w:p w14:paraId="6B4593B2" w14:textId="77777777" w:rsidR="007C250E" w:rsidRPr="007C250E" w:rsidRDefault="007C250E" w:rsidP="007C250E">
            <w:pPr>
              <w:jc w:val="right"/>
              <w:rPr>
                <w:b/>
                <w:bCs/>
                <w:noProof/>
                <w:sz w:val="16"/>
                <w:szCs w:val="16"/>
              </w:rPr>
            </w:pPr>
            <w:r>
              <w:rPr>
                <w:b/>
                <w:noProof/>
                <w:sz w:val="16"/>
              </w:rPr>
              <w:t>11 949 625 456</w:t>
            </w:r>
          </w:p>
        </w:tc>
        <w:tc>
          <w:tcPr>
            <w:tcW w:w="1417" w:type="dxa"/>
            <w:tcBorders>
              <w:top w:val="nil"/>
              <w:left w:val="nil"/>
              <w:bottom w:val="single" w:sz="8" w:space="0" w:color="auto"/>
              <w:right w:val="single" w:sz="8" w:space="0" w:color="auto"/>
            </w:tcBorders>
            <w:shd w:val="clear" w:color="000000" w:fill="D9D9D9"/>
            <w:vAlign w:val="center"/>
            <w:hideMark/>
          </w:tcPr>
          <w:p w14:paraId="674014B0" w14:textId="77777777" w:rsidR="007C250E" w:rsidRPr="007C250E" w:rsidRDefault="007C250E" w:rsidP="007C250E">
            <w:pPr>
              <w:jc w:val="right"/>
              <w:rPr>
                <w:b/>
                <w:bCs/>
                <w:noProof/>
                <w:sz w:val="16"/>
                <w:szCs w:val="16"/>
              </w:rPr>
            </w:pPr>
            <w:r>
              <w:rPr>
                <w:b/>
                <w:noProof/>
                <w:sz w:val="16"/>
              </w:rPr>
              <w:t>11 949 625 456</w:t>
            </w:r>
          </w:p>
        </w:tc>
        <w:tc>
          <w:tcPr>
            <w:tcW w:w="993" w:type="dxa"/>
            <w:tcBorders>
              <w:top w:val="nil"/>
              <w:left w:val="nil"/>
              <w:bottom w:val="single" w:sz="8" w:space="0" w:color="auto"/>
              <w:right w:val="single" w:sz="8" w:space="0" w:color="auto"/>
            </w:tcBorders>
            <w:shd w:val="clear" w:color="000000" w:fill="D9D9D9"/>
            <w:vAlign w:val="center"/>
            <w:hideMark/>
          </w:tcPr>
          <w:p w14:paraId="20669C0D" w14:textId="77777777" w:rsidR="007C250E" w:rsidRPr="007C250E" w:rsidRDefault="007C250E" w:rsidP="007C250E">
            <w:pPr>
              <w:jc w:val="right"/>
              <w:rPr>
                <w:b/>
                <w:bCs/>
                <w:noProof/>
                <w:sz w:val="16"/>
                <w:szCs w:val="16"/>
              </w:rPr>
            </w:pPr>
            <w:r>
              <w:rPr>
                <w:b/>
                <w:noProof/>
                <w:sz w:val="16"/>
              </w:rPr>
              <w:t xml:space="preserve">4 588 100 </w:t>
            </w:r>
          </w:p>
        </w:tc>
        <w:tc>
          <w:tcPr>
            <w:tcW w:w="992" w:type="dxa"/>
            <w:tcBorders>
              <w:top w:val="nil"/>
              <w:left w:val="nil"/>
              <w:bottom w:val="single" w:sz="8" w:space="0" w:color="auto"/>
              <w:right w:val="single" w:sz="8" w:space="0" w:color="auto"/>
            </w:tcBorders>
            <w:shd w:val="clear" w:color="000000" w:fill="D9D9D9"/>
            <w:vAlign w:val="center"/>
            <w:hideMark/>
          </w:tcPr>
          <w:p w14:paraId="1B7D58B8" w14:textId="77777777" w:rsidR="007C250E" w:rsidRPr="007C250E" w:rsidRDefault="007C250E" w:rsidP="007C250E">
            <w:pPr>
              <w:jc w:val="right"/>
              <w:rPr>
                <w:b/>
                <w:bCs/>
                <w:noProof/>
                <w:sz w:val="16"/>
                <w:szCs w:val="16"/>
              </w:rPr>
            </w:pPr>
            <w:r>
              <w:rPr>
                <w:b/>
                <w:noProof/>
                <w:sz w:val="16"/>
              </w:rPr>
              <w:t xml:space="preserve">4 588 100 </w:t>
            </w:r>
          </w:p>
        </w:tc>
        <w:tc>
          <w:tcPr>
            <w:tcW w:w="1559" w:type="dxa"/>
            <w:tcBorders>
              <w:top w:val="nil"/>
              <w:left w:val="nil"/>
              <w:bottom w:val="single" w:sz="8" w:space="0" w:color="auto"/>
              <w:right w:val="single" w:sz="8" w:space="0" w:color="auto"/>
            </w:tcBorders>
            <w:shd w:val="clear" w:color="000000" w:fill="D9D9D9"/>
            <w:vAlign w:val="center"/>
            <w:hideMark/>
          </w:tcPr>
          <w:p w14:paraId="32C154F3" w14:textId="77777777" w:rsidR="007C250E" w:rsidRPr="007C250E" w:rsidRDefault="007C250E" w:rsidP="007C250E">
            <w:pPr>
              <w:jc w:val="right"/>
              <w:rPr>
                <w:b/>
                <w:bCs/>
                <w:noProof/>
                <w:sz w:val="16"/>
                <w:szCs w:val="16"/>
              </w:rPr>
            </w:pPr>
            <w:r>
              <w:rPr>
                <w:b/>
                <w:noProof/>
                <w:sz w:val="16"/>
              </w:rPr>
              <w:t xml:space="preserve">11 954 213 556 </w:t>
            </w:r>
          </w:p>
        </w:tc>
        <w:tc>
          <w:tcPr>
            <w:tcW w:w="1418" w:type="dxa"/>
            <w:tcBorders>
              <w:top w:val="nil"/>
              <w:left w:val="nil"/>
              <w:bottom w:val="single" w:sz="8" w:space="0" w:color="auto"/>
              <w:right w:val="single" w:sz="8" w:space="0" w:color="auto"/>
            </w:tcBorders>
            <w:shd w:val="clear" w:color="000000" w:fill="D9D9D9"/>
            <w:vAlign w:val="center"/>
            <w:hideMark/>
          </w:tcPr>
          <w:p w14:paraId="3DE4BA68" w14:textId="77777777" w:rsidR="007C250E" w:rsidRPr="007C250E" w:rsidRDefault="007C250E" w:rsidP="007C250E">
            <w:pPr>
              <w:jc w:val="right"/>
              <w:rPr>
                <w:b/>
                <w:bCs/>
                <w:noProof/>
                <w:sz w:val="16"/>
                <w:szCs w:val="16"/>
              </w:rPr>
            </w:pPr>
            <w:r>
              <w:rPr>
                <w:b/>
                <w:noProof/>
                <w:sz w:val="16"/>
              </w:rPr>
              <w:t xml:space="preserve">11 954 213 556 </w:t>
            </w:r>
          </w:p>
        </w:tc>
      </w:tr>
      <w:tr w:rsidR="007C250E" w:rsidRPr="007C250E" w14:paraId="79539031"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40206F" w14:textId="77777777" w:rsidR="007C250E" w:rsidRPr="007C250E" w:rsidRDefault="007C250E" w:rsidP="007C250E">
            <w:pPr>
              <w:jc w:val="right"/>
              <w:rPr>
                <w:b/>
                <w:bCs/>
                <w:i/>
                <w:iCs/>
                <w:noProof/>
                <w:sz w:val="16"/>
                <w:szCs w:val="16"/>
              </w:rPr>
            </w:pPr>
            <w:r>
              <w:rPr>
                <w:b/>
                <w:i/>
                <w:noProof/>
                <w:sz w:val="16"/>
              </w:rPr>
              <w:t>Maximum</w:t>
            </w:r>
          </w:p>
        </w:tc>
        <w:tc>
          <w:tcPr>
            <w:tcW w:w="1418" w:type="dxa"/>
            <w:tcBorders>
              <w:top w:val="nil"/>
              <w:left w:val="nil"/>
              <w:bottom w:val="single" w:sz="8" w:space="0" w:color="auto"/>
              <w:right w:val="single" w:sz="8" w:space="0" w:color="auto"/>
            </w:tcBorders>
            <w:shd w:val="clear" w:color="auto" w:fill="auto"/>
            <w:vAlign w:val="center"/>
            <w:hideMark/>
          </w:tcPr>
          <w:p w14:paraId="45293F14" w14:textId="77777777" w:rsidR="007C250E" w:rsidRPr="007C250E" w:rsidRDefault="007C250E" w:rsidP="007C250E">
            <w:pPr>
              <w:jc w:val="right"/>
              <w:rPr>
                <w:i/>
                <w:iCs/>
                <w:noProof/>
                <w:sz w:val="16"/>
                <w:szCs w:val="16"/>
              </w:rPr>
            </w:pPr>
            <w:r>
              <w:rPr>
                <w:i/>
                <w:noProof/>
                <w:sz w:val="16"/>
              </w:rPr>
              <w:t>11 773 000 000</w:t>
            </w:r>
          </w:p>
        </w:tc>
        <w:tc>
          <w:tcPr>
            <w:tcW w:w="1417" w:type="dxa"/>
            <w:tcBorders>
              <w:top w:val="nil"/>
              <w:left w:val="nil"/>
              <w:bottom w:val="single" w:sz="8" w:space="0" w:color="auto"/>
              <w:right w:val="single" w:sz="8" w:space="0" w:color="auto"/>
            </w:tcBorders>
            <w:shd w:val="clear" w:color="auto" w:fill="auto"/>
            <w:vAlign w:val="center"/>
            <w:hideMark/>
          </w:tcPr>
          <w:p w14:paraId="5A65CCAA"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E696CE7"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D8396E8"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C413CF0" w14:textId="77777777" w:rsidR="007C250E" w:rsidRPr="007C250E" w:rsidRDefault="007C250E" w:rsidP="007C250E">
            <w:pPr>
              <w:jc w:val="right"/>
              <w:rPr>
                <w:i/>
                <w:iCs/>
                <w:noProof/>
                <w:sz w:val="16"/>
                <w:szCs w:val="16"/>
              </w:rPr>
            </w:pPr>
            <w:r>
              <w:rPr>
                <w:i/>
                <w:noProof/>
                <w:sz w:val="16"/>
              </w:rPr>
              <w:t xml:space="preserve">11 773 000 000 </w:t>
            </w:r>
          </w:p>
        </w:tc>
        <w:tc>
          <w:tcPr>
            <w:tcW w:w="1418" w:type="dxa"/>
            <w:tcBorders>
              <w:top w:val="nil"/>
              <w:left w:val="nil"/>
              <w:bottom w:val="single" w:sz="8" w:space="0" w:color="auto"/>
              <w:right w:val="single" w:sz="8" w:space="0" w:color="auto"/>
            </w:tcBorders>
            <w:shd w:val="clear" w:color="auto" w:fill="auto"/>
            <w:vAlign w:val="center"/>
            <w:hideMark/>
          </w:tcPr>
          <w:p w14:paraId="2DCBAA5D" w14:textId="77777777" w:rsidR="007C250E" w:rsidRPr="007C250E" w:rsidRDefault="007C250E" w:rsidP="007C250E">
            <w:pPr>
              <w:jc w:val="right"/>
              <w:rPr>
                <w:noProof/>
                <w:sz w:val="16"/>
                <w:szCs w:val="16"/>
              </w:rPr>
            </w:pPr>
            <w:r>
              <w:rPr>
                <w:noProof/>
                <w:sz w:val="16"/>
              </w:rPr>
              <w:t xml:space="preserve"> </w:t>
            </w:r>
          </w:p>
        </w:tc>
      </w:tr>
      <w:tr w:rsidR="007C250E" w:rsidRPr="007C250E" w14:paraId="351FE7BA"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15CFA2E9"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59A988E7"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57F5F1F7"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15067BA"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54A7F9A0"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B204BA9"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10378BF"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D3C15DE"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D82D7E0"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24098AA3"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D184E4F" w14:textId="77777777" w:rsidR="007C250E" w:rsidRPr="007C250E" w:rsidRDefault="007C250E" w:rsidP="007C250E">
            <w:pPr>
              <w:jc w:val="right"/>
              <w:rPr>
                <w:b/>
                <w:bCs/>
                <w:noProof/>
                <w:sz w:val="16"/>
                <w:szCs w:val="16"/>
              </w:rPr>
            </w:pPr>
            <w:r>
              <w:rPr>
                <w:b/>
                <w:noProof/>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4880DDED" w14:textId="77777777" w:rsidR="007C250E" w:rsidRPr="007C250E" w:rsidRDefault="007C250E" w:rsidP="007C250E">
            <w:pPr>
              <w:jc w:val="right"/>
              <w:rPr>
                <w:i/>
                <w:iCs/>
                <w:noProof/>
                <w:sz w:val="16"/>
                <w:szCs w:val="16"/>
              </w:rPr>
            </w:pPr>
            <w:r>
              <w:rPr>
                <w:i/>
                <w:noProof/>
                <w:sz w:val="16"/>
              </w:rPr>
              <w:t>176 625 456</w:t>
            </w:r>
          </w:p>
        </w:tc>
        <w:tc>
          <w:tcPr>
            <w:tcW w:w="1417" w:type="dxa"/>
            <w:tcBorders>
              <w:top w:val="nil"/>
              <w:left w:val="nil"/>
              <w:bottom w:val="single" w:sz="8" w:space="0" w:color="auto"/>
              <w:right w:val="single" w:sz="8" w:space="0" w:color="auto"/>
            </w:tcBorders>
            <w:shd w:val="clear" w:color="auto" w:fill="auto"/>
            <w:vAlign w:val="center"/>
            <w:hideMark/>
          </w:tcPr>
          <w:p w14:paraId="12CEB3E7"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1ED8607D" w14:textId="77777777" w:rsidR="007C250E" w:rsidRPr="007C250E" w:rsidRDefault="007C250E" w:rsidP="007C250E">
            <w:pPr>
              <w:jc w:val="right"/>
              <w:rPr>
                <w:i/>
                <w:iCs/>
                <w:noProof/>
                <w:sz w:val="16"/>
                <w:szCs w:val="16"/>
              </w:rPr>
            </w:pPr>
            <w:r>
              <w:rPr>
                <w:i/>
                <w:noProof/>
                <w:sz w:val="16"/>
              </w:rPr>
              <w:t xml:space="preserve">4 588 100 </w:t>
            </w:r>
          </w:p>
        </w:tc>
        <w:tc>
          <w:tcPr>
            <w:tcW w:w="992" w:type="dxa"/>
            <w:tcBorders>
              <w:top w:val="nil"/>
              <w:left w:val="nil"/>
              <w:bottom w:val="single" w:sz="8" w:space="0" w:color="auto"/>
              <w:right w:val="single" w:sz="8" w:space="0" w:color="auto"/>
            </w:tcBorders>
            <w:shd w:val="clear" w:color="auto" w:fill="auto"/>
            <w:vAlign w:val="center"/>
            <w:hideMark/>
          </w:tcPr>
          <w:p w14:paraId="6DFA5E65" w14:textId="77777777" w:rsidR="007C250E" w:rsidRPr="007C250E" w:rsidRDefault="007C250E" w:rsidP="007C250E">
            <w:pPr>
              <w:jc w:val="right"/>
              <w:rPr>
                <w:i/>
                <w:iCs/>
                <w:noProof/>
                <w:sz w:val="16"/>
                <w:szCs w:val="16"/>
              </w:rPr>
            </w:pPr>
            <w:r>
              <w:rPr>
                <w:i/>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904315E" w14:textId="77777777" w:rsidR="007C250E" w:rsidRPr="007C250E" w:rsidRDefault="007C250E" w:rsidP="007C250E">
            <w:pPr>
              <w:jc w:val="right"/>
              <w:rPr>
                <w:i/>
                <w:iCs/>
                <w:noProof/>
                <w:sz w:val="16"/>
                <w:szCs w:val="16"/>
              </w:rPr>
            </w:pPr>
            <w:r>
              <w:rPr>
                <w:i/>
                <w:noProof/>
                <w:sz w:val="16"/>
              </w:rPr>
              <w:t xml:space="preserve">181 213 556 </w:t>
            </w:r>
          </w:p>
        </w:tc>
        <w:tc>
          <w:tcPr>
            <w:tcW w:w="1418" w:type="dxa"/>
            <w:tcBorders>
              <w:top w:val="nil"/>
              <w:left w:val="nil"/>
              <w:bottom w:val="single" w:sz="8" w:space="0" w:color="auto"/>
              <w:right w:val="single" w:sz="8" w:space="0" w:color="auto"/>
            </w:tcBorders>
            <w:shd w:val="clear" w:color="auto" w:fill="auto"/>
            <w:vAlign w:val="center"/>
            <w:hideMark/>
          </w:tcPr>
          <w:p w14:paraId="70E6B38B" w14:textId="77777777" w:rsidR="007C250E" w:rsidRPr="007C250E" w:rsidRDefault="007C250E" w:rsidP="007C250E">
            <w:pPr>
              <w:jc w:val="right"/>
              <w:rPr>
                <w:noProof/>
                <w:sz w:val="16"/>
                <w:szCs w:val="16"/>
              </w:rPr>
            </w:pPr>
            <w:r>
              <w:rPr>
                <w:noProof/>
                <w:sz w:val="16"/>
              </w:rPr>
              <w:t xml:space="preserve"> </w:t>
            </w:r>
          </w:p>
        </w:tc>
      </w:tr>
      <w:tr w:rsidR="007C250E" w:rsidRPr="007C250E" w14:paraId="6CC6A724"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7FA09A4B"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F4C1AFE"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35B463E8"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646988C1"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FB04D46"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9914541"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51AABC1"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6B3BB61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99C87F7"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06EEDD"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51066595"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7D73E209"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61B37C76"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DBAAB2F"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D460EA1"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43AC073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1D4E8B" w14:textId="77777777" w:rsidTr="003C5A89">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4518EC2B"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D9D9D9"/>
            <w:vAlign w:val="center"/>
            <w:hideMark/>
          </w:tcPr>
          <w:p w14:paraId="6828F480" w14:textId="77777777" w:rsidR="007C250E" w:rsidRPr="007C250E" w:rsidRDefault="007C250E" w:rsidP="007C250E">
            <w:pPr>
              <w:jc w:val="both"/>
              <w:rPr>
                <w:b/>
                <w:bCs/>
                <w:noProof/>
                <w:sz w:val="16"/>
                <w:szCs w:val="16"/>
              </w:rPr>
            </w:pPr>
            <w:r>
              <w:rPr>
                <w:b/>
                <w:noProof/>
                <w:sz w:val="16"/>
              </w:rPr>
              <w:t>waarvan: administratieve uitgaven van de instellingen</w:t>
            </w:r>
          </w:p>
        </w:tc>
        <w:tc>
          <w:tcPr>
            <w:tcW w:w="1418" w:type="dxa"/>
            <w:tcBorders>
              <w:top w:val="nil"/>
              <w:left w:val="nil"/>
              <w:bottom w:val="single" w:sz="8" w:space="0" w:color="auto"/>
              <w:right w:val="single" w:sz="8" w:space="0" w:color="auto"/>
            </w:tcBorders>
            <w:shd w:val="clear" w:color="000000" w:fill="D9D9D9"/>
            <w:vAlign w:val="center"/>
            <w:hideMark/>
          </w:tcPr>
          <w:p w14:paraId="0638CC43" w14:textId="77777777" w:rsidR="007C250E" w:rsidRPr="007C250E" w:rsidRDefault="007C250E" w:rsidP="007C250E">
            <w:pPr>
              <w:jc w:val="right"/>
              <w:rPr>
                <w:b/>
                <w:bCs/>
                <w:noProof/>
                <w:sz w:val="16"/>
                <w:szCs w:val="16"/>
              </w:rPr>
            </w:pPr>
            <w:r>
              <w:rPr>
                <w:b/>
                <w:noProof/>
                <w:sz w:val="16"/>
              </w:rPr>
              <w:t>9 137 000 694</w:t>
            </w:r>
          </w:p>
        </w:tc>
        <w:tc>
          <w:tcPr>
            <w:tcW w:w="1417" w:type="dxa"/>
            <w:tcBorders>
              <w:top w:val="nil"/>
              <w:left w:val="nil"/>
              <w:bottom w:val="single" w:sz="8" w:space="0" w:color="auto"/>
              <w:right w:val="single" w:sz="8" w:space="0" w:color="auto"/>
            </w:tcBorders>
            <w:shd w:val="clear" w:color="000000" w:fill="D9D9D9"/>
            <w:vAlign w:val="center"/>
            <w:hideMark/>
          </w:tcPr>
          <w:p w14:paraId="4C00E02F" w14:textId="77777777" w:rsidR="007C250E" w:rsidRPr="007C250E" w:rsidRDefault="007C250E" w:rsidP="007C250E">
            <w:pPr>
              <w:jc w:val="right"/>
              <w:rPr>
                <w:b/>
                <w:bCs/>
                <w:noProof/>
                <w:sz w:val="16"/>
                <w:szCs w:val="16"/>
              </w:rPr>
            </w:pPr>
            <w:r>
              <w:rPr>
                <w:b/>
                <w:noProof/>
                <w:sz w:val="16"/>
              </w:rPr>
              <w:t>9 137 000 694</w:t>
            </w:r>
          </w:p>
        </w:tc>
        <w:tc>
          <w:tcPr>
            <w:tcW w:w="993" w:type="dxa"/>
            <w:tcBorders>
              <w:top w:val="nil"/>
              <w:left w:val="nil"/>
              <w:bottom w:val="single" w:sz="8" w:space="0" w:color="auto"/>
              <w:right w:val="single" w:sz="8" w:space="0" w:color="auto"/>
            </w:tcBorders>
            <w:shd w:val="clear" w:color="000000" w:fill="D9D9D9"/>
            <w:vAlign w:val="center"/>
            <w:hideMark/>
          </w:tcPr>
          <w:p w14:paraId="58A54D9B" w14:textId="77777777" w:rsidR="007C250E" w:rsidRPr="007C250E" w:rsidRDefault="007C250E" w:rsidP="007C250E">
            <w:pPr>
              <w:jc w:val="right"/>
              <w:rPr>
                <w:b/>
                <w:bCs/>
                <w:noProof/>
                <w:sz w:val="16"/>
                <w:szCs w:val="16"/>
              </w:rPr>
            </w:pPr>
            <w:r>
              <w:rPr>
                <w:b/>
                <w:noProof/>
                <w:sz w:val="16"/>
              </w:rPr>
              <w:t xml:space="preserve">4 588 100 </w:t>
            </w:r>
          </w:p>
        </w:tc>
        <w:tc>
          <w:tcPr>
            <w:tcW w:w="992" w:type="dxa"/>
            <w:tcBorders>
              <w:top w:val="nil"/>
              <w:left w:val="nil"/>
              <w:bottom w:val="single" w:sz="8" w:space="0" w:color="auto"/>
              <w:right w:val="single" w:sz="8" w:space="0" w:color="auto"/>
            </w:tcBorders>
            <w:shd w:val="clear" w:color="000000" w:fill="D9D9D9"/>
            <w:vAlign w:val="center"/>
            <w:hideMark/>
          </w:tcPr>
          <w:p w14:paraId="589F07AD" w14:textId="77777777" w:rsidR="007C250E" w:rsidRPr="007C250E" w:rsidRDefault="007C250E" w:rsidP="007C250E">
            <w:pPr>
              <w:jc w:val="right"/>
              <w:rPr>
                <w:b/>
                <w:bCs/>
                <w:noProof/>
                <w:sz w:val="16"/>
                <w:szCs w:val="16"/>
              </w:rPr>
            </w:pPr>
            <w:r>
              <w:rPr>
                <w:b/>
                <w:noProof/>
                <w:sz w:val="16"/>
              </w:rPr>
              <w:t xml:space="preserve">4 588 100 </w:t>
            </w:r>
          </w:p>
        </w:tc>
        <w:tc>
          <w:tcPr>
            <w:tcW w:w="1559" w:type="dxa"/>
            <w:tcBorders>
              <w:top w:val="nil"/>
              <w:left w:val="nil"/>
              <w:bottom w:val="single" w:sz="8" w:space="0" w:color="auto"/>
              <w:right w:val="single" w:sz="8" w:space="0" w:color="auto"/>
            </w:tcBorders>
            <w:shd w:val="clear" w:color="000000" w:fill="D9D9D9"/>
            <w:vAlign w:val="center"/>
            <w:hideMark/>
          </w:tcPr>
          <w:p w14:paraId="67F665EA" w14:textId="77777777" w:rsidR="007C250E" w:rsidRPr="007C250E" w:rsidRDefault="007C250E" w:rsidP="007C250E">
            <w:pPr>
              <w:jc w:val="right"/>
              <w:rPr>
                <w:b/>
                <w:bCs/>
                <w:noProof/>
                <w:sz w:val="16"/>
                <w:szCs w:val="16"/>
              </w:rPr>
            </w:pPr>
            <w:r>
              <w:rPr>
                <w:b/>
                <w:noProof/>
                <w:sz w:val="16"/>
              </w:rPr>
              <w:t xml:space="preserve">9 141 588 794 </w:t>
            </w:r>
          </w:p>
        </w:tc>
        <w:tc>
          <w:tcPr>
            <w:tcW w:w="1418" w:type="dxa"/>
            <w:tcBorders>
              <w:top w:val="nil"/>
              <w:left w:val="nil"/>
              <w:bottom w:val="single" w:sz="8" w:space="0" w:color="auto"/>
              <w:right w:val="single" w:sz="8" w:space="0" w:color="auto"/>
            </w:tcBorders>
            <w:shd w:val="clear" w:color="000000" w:fill="D9D9D9"/>
            <w:vAlign w:val="center"/>
            <w:hideMark/>
          </w:tcPr>
          <w:p w14:paraId="72B0BBB0" w14:textId="77777777" w:rsidR="007C250E" w:rsidRPr="007C250E" w:rsidRDefault="007C250E" w:rsidP="007C250E">
            <w:pPr>
              <w:jc w:val="right"/>
              <w:rPr>
                <w:b/>
                <w:bCs/>
                <w:noProof/>
                <w:sz w:val="16"/>
                <w:szCs w:val="16"/>
              </w:rPr>
            </w:pPr>
            <w:r>
              <w:rPr>
                <w:b/>
                <w:noProof/>
                <w:sz w:val="16"/>
              </w:rPr>
              <w:t xml:space="preserve">9 141 588 794 </w:t>
            </w:r>
          </w:p>
        </w:tc>
      </w:tr>
      <w:tr w:rsidR="007C250E" w:rsidRPr="007C250E" w14:paraId="6818D9E2"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5C5AEADC"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6F0D4E3" w14:textId="77777777" w:rsidR="007C250E" w:rsidRPr="007C250E" w:rsidRDefault="007C250E" w:rsidP="007C250E">
            <w:pPr>
              <w:jc w:val="right"/>
              <w:rPr>
                <w:b/>
                <w:bCs/>
                <w:i/>
                <w:iCs/>
                <w:noProof/>
                <w:sz w:val="16"/>
                <w:szCs w:val="16"/>
              </w:rPr>
            </w:pPr>
            <w:r>
              <w:rPr>
                <w:b/>
                <w:i/>
                <w:noProof/>
                <w:sz w:val="16"/>
              </w:rPr>
              <w:t>Submaximum</w:t>
            </w:r>
          </w:p>
        </w:tc>
        <w:tc>
          <w:tcPr>
            <w:tcW w:w="1418" w:type="dxa"/>
            <w:tcBorders>
              <w:top w:val="nil"/>
              <w:left w:val="nil"/>
              <w:bottom w:val="single" w:sz="8" w:space="0" w:color="auto"/>
              <w:right w:val="single" w:sz="8" w:space="0" w:color="auto"/>
            </w:tcBorders>
            <w:shd w:val="clear" w:color="auto" w:fill="auto"/>
            <w:vAlign w:val="center"/>
            <w:hideMark/>
          </w:tcPr>
          <w:p w14:paraId="0023DB0A" w14:textId="77777777" w:rsidR="007C250E" w:rsidRPr="007C250E" w:rsidRDefault="007C250E" w:rsidP="007C250E">
            <w:pPr>
              <w:jc w:val="right"/>
              <w:rPr>
                <w:i/>
                <w:iCs/>
                <w:noProof/>
                <w:sz w:val="16"/>
                <w:szCs w:val="16"/>
              </w:rPr>
            </w:pPr>
            <w:r>
              <w:rPr>
                <w:i/>
                <w:noProof/>
                <w:sz w:val="16"/>
              </w:rPr>
              <w:t>9 006 000 000</w:t>
            </w:r>
          </w:p>
        </w:tc>
        <w:tc>
          <w:tcPr>
            <w:tcW w:w="1417" w:type="dxa"/>
            <w:tcBorders>
              <w:top w:val="nil"/>
              <w:left w:val="nil"/>
              <w:bottom w:val="single" w:sz="8" w:space="0" w:color="auto"/>
              <w:right w:val="single" w:sz="8" w:space="0" w:color="auto"/>
            </w:tcBorders>
            <w:shd w:val="clear" w:color="auto" w:fill="auto"/>
            <w:vAlign w:val="center"/>
            <w:hideMark/>
          </w:tcPr>
          <w:p w14:paraId="7A96C88D"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0598B2BA"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E0D41D7"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6DA3BEC0" w14:textId="77777777" w:rsidR="007C250E" w:rsidRPr="007C250E" w:rsidRDefault="007C250E" w:rsidP="007C250E">
            <w:pPr>
              <w:jc w:val="right"/>
              <w:rPr>
                <w:i/>
                <w:iCs/>
                <w:noProof/>
                <w:sz w:val="16"/>
                <w:szCs w:val="16"/>
              </w:rPr>
            </w:pPr>
            <w:r>
              <w:rPr>
                <w:i/>
                <w:noProof/>
                <w:sz w:val="16"/>
              </w:rPr>
              <w:t xml:space="preserve">9 006 000 000 </w:t>
            </w:r>
          </w:p>
        </w:tc>
        <w:tc>
          <w:tcPr>
            <w:tcW w:w="1418" w:type="dxa"/>
            <w:tcBorders>
              <w:top w:val="nil"/>
              <w:left w:val="nil"/>
              <w:bottom w:val="single" w:sz="8" w:space="0" w:color="auto"/>
              <w:right w:val="single" w:sz="8" w:space="0" w:color="auto"/>
            </w:tcBorders>
            <w:shd w:val="clear" w:color="auto" w:fill="auto"/>
            <w:vAlign w:val="center"/>
            <w:hideMark/>
          </w:tcPr>
          <w:p w14:paraId="3DD9D04C" w14:textId="77777777" w:rsidR="007C250E" w:rsidRPr="007C250E" w:rsidRDefault="007C250E" w:rsidP="007C250E">
            <w:pPr>
              <w:jc w:val="right"/>
              <w:rPr>
                <w:noProof/>
                <w:sz w:val="16"/>
                <w:szCs w:val="16"/>
              </w:rPr>
            </w:pPr>
            <w:r>
              <w:rPr>
                <w:noProof/>
                <w:sz w:val="16"/>
              </w:rPr>
              <w:t xml:space="preserve"> </w:t>
            </w:r>
          </w:p>
        </w:tc>
      </w:tr>
      <w:tr w:rsidR="007C250E" w:rsidRPr="007C250E" w14:paraId="01EE84C0"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1C6BB0FC"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6A716D04" w14:textId="77777777" w:rsidR="007C250E" w:rsidRPr="007C250E" w:rsidRDefault="007C250E" w:rsidP="007C250E">
            <w:pPr>
              <w:jc w:val="right"/>
              <w:rPr>
                <w:b/>
                <w:bCs/>
                <w:noProof/>
                <w:color w:val="000000"/>
                <w:sz w:val="16"/>
                <w:szCs w:val="16"/>
              </w:rPr>
            </w:pPr>
            <w:r>
              <w:rPr>
                <w:b/>
                <w:noProof/>
                <w:color w:val="000000"/>
                <w:sz w:val="16"/>
              </w:rPr>
              <w:t>waarvan onder flexibiliteitsinstrumenten</w:t>
            </w:r>
          </w:p>
        </w:tc>
        <w:tc>
          <w:tcPr>
            <w:tcW w:w="1418" w:type="dxa"/>
            <w:tcBorders>
              <w:top w:val="nil"/>
              <w:left w:val="nil"/>
              <w:bottom w:val="single" w:sz="8" w:space="0" w:color="auto"/>
              <w:right w:val="single" w:sz="8" w:space="0" w:color="auto"/>
            </w:tcBorders>
            <w:shd w:val="clear" w:color="auto" w:fill="auto"/>
            <w:vAlign w:val="center"/>
            <w:hideMark/>
          </w:tcPr>
          <w:p w14:paraId="1C701882"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1368F5D7"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CABFEF0"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D60221E"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C09A613"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7935042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B01608B"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36676F06"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91B18A4" w14:textId="77777777" w:rsidR="007C250E" w:rsidRPr="007C250E" w:rsidRDefault="007C250E" w:rsidP="007C250E">
            <w:pPr>
              <w:jc w:val="right"/>
              <w:rPr>
                <w:b/>
                <w:bCs/>
                <w:noProof/>
                <w:sz w:val="16"/>
                <w:szCs w:val="16"/>
              </w:rPr>
            </w:pPr>
            <w:r>
              <w:rPr>
                <w:b/>
                <w:noProof/>
                <w:sz w:val="16"/>
              </w:rPr>
              <w:t>waarvan enkelvoudig marge-instrument (artikel 11, lid 1, punt a))</w:t>
            </w:r>
          </w:p>
        </w:tc>
        <w:tc>
          <w:tcPr>
            <w:tcW w:w="1418" w:type="dxa"/>
            <w:tcBorders>
              <w:top w:val="nil"/>
              <w:left w:val="nil"/>
              <w:bottom w:val="single" w:sz="8" w:space="0" w:color="auto"/>
              <w:right w:val="single" w:sz="8" w:space="0" w:color="auto"/>
            </w:tcBorders>
            <w:shd w:val="clear" w:color="auto" w:fill="auto"/>
            <w:vAlign w:val="center"/>
            <w:hideMark/>
          </w:tcPr>
          <w:p w14:paraId="5F8D25CA" w14:textId="77777777" w:rsidR="007C250E" w:rsidRPr="007C250E" w:rsidRDefault="007C250E" w:rsidP="007C250E">
            <w:pPr>
              <w:jc w:val="right"/>
              <w:rPr>
                <w:i/>
                <w:iCs/>
                <w:noProof/>
                <w:sz w:val="16"/>
                <w:szCs w:val="16"/>
              </w:rPr>
            </w:pPr>
            <w:r>
              <w:rPr>
                <w:i/>
                <w:noProof/>
                <w:sz w:val="16"/>
              </w:rPr>
              <w:t>131 000 694</w:t>
            </w:r>
          </w:p>
        </w:tc>
        <w:tc>
          <w:tcPr>
            <w:tcW w:w="1417" w:type="dxa"/>
            <w:tcBorders>
              <w:top w:val="nil"/>
              <w:left w:val="nil"/>
              <w:bottom w:val="single" w:sz="8" w:space="0" w:color="auto"/>
              <w:right w:val="single" w:sz="8" w:space="0" w:color="auto"/>
            </w:tcBorders>
            <w:shd w:val="clear" w:color="auto" w:fill="auto"/>
            <w:vAlign w:val="center"/>
            <w:hideMark/>
          </w:tcPr>
          <w:p w14:paraId="44EFAAE5"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97BFE57" w14:textId="77777777" w:rsidR="007C250E" w:rsidRPr="007C250E" w:rsidRDefault="007C250E" w:rsidP="007C250E">
            <w:pPr>
              <w:jc w:val="right"/>
              <w:rPr>
                <w:i/>
                <w:iCs/>
                <w:noProof/>
                <w:sz w:val="16"/>
                <w:szCs w:val="16"/>
              </w:rPr>
            </w:pPr>
            <w:r>
              <w:rPr>
                <w:i/>
                <w:noProof/>
                <w:sz w:val="16"/>
              </w:rPr>
              <w:t xml:space="preserve">4 588 100 </w:t>
            </w:r>
          </w:p>
        </w:tc>
        <w:tc>
          <w:tcPr>
            <w:tcW w:w="992" w:type="dxa"/>
            <w:tcBorders>
              <w:top w:val="nil"/>
              <w:left w:val="nil"/>
              <w:bottom w:val="single" w:sz="8" w:space="0" w:color="auto"/>
              <w:right w:val="single" w:sz="8" w:space="0" w:color="auto"/>
            </w:tcBorders>
            <w:shd w:val="clear" w:color="auto" w:fill="auto"/>
            <w:vAlign w:val="center"/>
            <w:hideMark/>
          </w:tcPr>
          <w:p w14:paraId="64D91FB4" w14:textId="77777777" w:rsidR="007C250E" w:rsidRPr="007C250E" w:rsidRDefault="007C250E" w:rsidP="007C250E">
            <w:pPr>
              <w:jc w:val="right"/>
              <w:rPr>
                <w:i/>
                <w:iCs/>
                <w:noProof/>
                <w:sz w:val="16"/>
                <w:szCs w:val="16"/>
              </w:rPr>
            </w:pPr>
            <w:r>
              <w:rPr>
                <w:i/>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8A21CE5" w14:textId="77777777" w:rsidR="007C250E" w:rsidRPr="007C250E" w:rsidRDefault="007C250E" w:rsidP="007C250E">
            <w:pPr>
              <w:jc w:val="right"/>
              <w:rPr>
                <w:i/>
                <w:iCs/>
                <w:noProof/>
                <w:sz w:val="16"/>
                <w:szCs w:val="16"/>
              </w:rPr>
            </w:pPr>
            <w:r>
              <w:rPr>
                <w:i/>
                <w:noProof/>
                <w:sz w:val="16"/>
              </w:rPr>
              <w:t xml:space="preserve">135 588 794 </w:t>
            </w:r>
          </w:p>
        </w:tc>
        <w:tc>
          <w:tcPr>
            <w:tcW w:w="1418" w:type="dxa"/>
            <w:tcBorders>
              <w:top w:val="nil"/>
              <w:left w:val="nil"/>
              <w:bottom w:val="single" w:sz="8" w:space="0" w:color="auto"/>
              <w:right w:val="single" w:sz="8" w:space="0" w:color="auto"/>
            </w:tcBorders>
            <w:shd w:val="clear" w:color="auto" w:fill="auto"/>
            <w:vAlign w:val="center"/>
            <w:hideMark/>
          </w:tcPr>
          <w:p w14:paraId="7E3B7B98" w14:textId="77777777" w:rsidR="007C250E" w:rsidRPr="007C250E" w:rsidRDefault="007C250E" w:rsidP="007C250E">
            <w:pPr>
              <w:jc w:val="right"/>
              <w:rPr>
                <w:noProof/>
                <w:sz w:val="16"/>
                <w:szCs w:val="16"/>
              </w:rPr>
            </w:pPr>
            <w:r>
              <w:rPr>
                <w:noProof/>
                <w:sz w:val="16"/>
              </w:rPr>
              <w:t xml:space="preserve"> </w:t>
            </w:r>
          </w:p>
        </w:tc>
      </w:tr>
      <w:tr w:rsidR="007C250E" w:rsidRPr="007C250E" w14:paraId="19D7354C"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0EE184BF"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CAE5B77"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auto" w:fill="auto"/>
            <w:vAlign w:val="center"/>
            <w:hideMark/>
          </w:tcPr>
          <w:p w14:paraId="47F7DA64"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0A821967"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3C154D8C"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84CD87E"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571A0B13"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1D27C5A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BF687D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2467F8"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FB57A3F" w14:textId="77777777" w:rsidR="007C250E" w:rsidRPr="007C250E" w:rsidRDefault="007C250E" w:rsidP="007C250E">
            <w:pPr>
              <w:jc w:val="right"/>
              <w:rPr>
                <w:b/>
                <w:bCs/>
                <w:i/>
                <w:iCs/>
                <w:noProof/>
                <w:color w:val="000000"/>
                <w:sz w:val="16"/>
                <w:szCs w:val="16"/>
              </w:rPr>
            </w:pPr>
            <w:r>
              <w:rPr>
                <w:b/>
                <w:i/>
                <w:noProof/>
                <w:color w:val="000000"/>
                <w:sz w:val="16"/>
              </w:rPr>
              <w:t>Marge</w:t>
            </w:r>
          </w:p>
        </w:tc>
        <w:tc>
          <w:tcPr>
            <w:tcW w:w="1418" w:type="dxa"/>
            <w:tcBorders>
              <w:top w:val="nil"/>
              <w:left w:val="nil"/>
              <w:bottom w:val="single" w:sz="8" w:space="0" w:color="auto"/>
              <w:right w:val="single" w:sz="8" w:space="0" w:color="auto"/>
            </w:tcBorders>
            <w:shd w:val="clear" w:color="auto" w:fill="auto"/>
            <w:vAlign w:val="center"/>
            <w:hideMark/>
          </w:tcPr>
          <w:p w14:paraId="301FA51E"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490E4EC2"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auto" w:fill="auto"/>
            <w:vAlign w:val="center"/>
            <w:hideMark/>
          </w:tcPr>
          <w:p w14:paraId="44F040AB"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FEDB1F1"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6CD051E0"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auto" w:fill="auto"/>
            <w:vAlign w:val="center"/>
            <w:hideMark/>
          </w:tcPr>
          <w:p w14:paraId="0EE1EAB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36BA7DD" w14:textId="77777777" w:rsidTr="003C5A89">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0BC6D5CC"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F2F2F2"/>
            <w:vAlign w:val="center"/>
            <w:hideMark/>
          </w:tcPr>
          <w:p w14:paraId="6604A289" w14:textId="77777777" w:rsidR="007C250E" w:rsidRPr="007C250E" w:rsidRDefault="007C250E" w:rsidP="007C250E">
            <w:pPr>
              <w:rPr>
                <w:noProof/>
                <w:sz w:val="16"/>
                <w:szCs w:val="16"/>
              </w:rPr>
            </w:pPr>
            <w:r>
              <w:rPr>
                <w:noProof/>
                <w:sz w:val="16"/>
              </w:rPr>
              <w:t>Pensioenen en Europese scholen</w:t>
            </w:r>
          </w:p>
        </w:tc>
        <w:tc>
          <w:tcPr>
            <w:tcW w:w="1418" w:type="dxa"/>
            <w:tcBorders>
              <w:top w:val="nil"/>
              <w:left w:val="nil"/>
              <w:bottom w:val="single" w:sz="8" w:space="0" w:color="auto"/>
              <w:right w:val="single" w:sz="8" w:space="0" w:color="auto"/>
            </w:tcBorders>
            <w:shd w:val="clear" w:color="000000" w:fill="F2F2F2"/>
            <w:vAlign w:val="center"/>
            <w:hideMark/>
          </w:tcPr>
          <w:p w14:paraId="5ADC6125" w14:textId="77777777" w:rsidR="007C250E" w:rsidRPr="007C250E" w:rsidRDefault="007C250E" w:rsidP="007C250E">
            <w:pPr>
              <w:jc w:val="right"/>
              <w:rPr>
                <w:noProof/>
                <w:sz w:val="16"/>
                <w:szCs w:val="16"/>
              </w:rPr>
            </w:pPr>
            <w:r>
              <w:rPr>
                <w:noProof/>
                <w:sz w:val="16"/>
              </w:rPr>
              <w:t>2 812 624 762</w:t>
            </w:r>
          </w:p>
        </w:tc>
        <w:tc>
          <w:tcPr>
            <w:tcW w:w="1417" w:type="dxa"/>
            <w:tcBorders>
              <w:top w:val="nil"/>
              <w:left w:val="nil"/>
              <w:bottom w:val="single" w:sz="8" w:space="0" w:color="auto"/>
              <w:right w:val="single" w:sz="8" w:space="0" w:color="auto"/>
            </w:tcBorders>
            <w:shd w:val="clear" w:color="000000" w:fill="F2F2F2"/>
            <w:vAlign w:val="center"/>
            <w:hideMark/>
          </w:tcPr>
          <w:p w14:paraId="5387C08D" w14:textId="77777777" w:rsidR="007C250E" w:rsidRPr="007C250E" w:rsidRDefault="007C250E" w:rsidP="007C250E">
            <w:pPr>
              <w:jc w:val="right"/>
              <w:rPr>
                <w:noProof/>
                <w:sz w:val="16"/>
                <w:szCs w:val="16"/>
              </w:rPr>
            </w:pPr>
            <w:r>
              <w:rPr>
                <w:noProof/>
                <w:sz w:val="16"/>
              </w:rPr>
              <w:t>2 812 624 762</w:t>
            </w:r>
          </w:p>
        </w:tc>
        <w:tc>
          <w:tcPr>
            <w:tcW w:w="993" w:type="dxa"/>
            <w:tcBorders>
              <w:top w:val="nil"/>
              <w:left w:val="nil"/>
              <w:bottom w:val="single" w:sz="8" w:space="0" w:color="auto"/>
              <w:right w:val="single" w:sz="8" w:space="0" w:color="auto"/>
            </w:tcBorders>
            <w:shd w:val="clear" w:color="000000" w:fill="F2F2F2"/>
            <w:vAlign w:val="center"/>
            <w:hideMark/>
          </w:tcPr>
          <w:p w14:paraId="19F2C195" w14:textId="77777777" w:rsidR="007C250E" w:rsidRPr="007C250E" w:rsidRDefault="007C250E" w:rsidP="007C250E">
            <w:pPr>
              <w:jc w:val="right"/>
              <w:rPr>
                <w:noProof/>
                <w:sz w:val="16"/>
                <w:szCs w:val="16"/>
              </w:rPr>
            </w:pPr>
            <w:r>
              <w:rPr>
                <w:noProof/>
                <w:sz w:val="16"/>
              </w:rPr>
              <w:t xml:space="preserve"> </w:t>
            </w:r>
          </w:p>
        </w:tc>
        <w:tc>
          <w:tcPr>
            <w:tcW w:w="992" w:type="dxa"/>
            <w:tcBorders>
              <w:top w:val="nil"/>
              <w:left w:val="nil"/>
              <w:bottom w:val="single" w:sz="8" w:space="0" w:color="auto"/>
              <w:right w:val="single" w:sz="8" w:space="0" w:color="auto"/>
            </w:tcBorders>
            <w:shd w:val="clear" w:color="000000" w:fill="F2F2F2"/>
            <w:vAlign w:val="center"/>
            <w:hideMark/>
          </w:tcPr>
          <w:p w14:paraId="10F93B3C"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000000" w:fill="F2F2F2"/>
            <w:vAlign w:val="center"/>
            <w:hideMark/>
          </w:tcPr>
          <w:p w14:paraId="446238ED" w14:textId="77777777" w:rsidR="007C250E" w:rsidRPr="007C250E" w:rsidRDefault="007C250E" w:rsidP="007C250E">
            <w:pPr>
              <w:jc w:val="right"/>
              <w:rPr>
                <w:noProof/>
                <w:sz w:val="16"/>
                <w:szCs w:val="16"/>
              </w:rPr>
            </w:pPr>
            <w:r>
              <w:rPr>
                <w:noProof/>
                <w:sz w:val="16"/>
              </w:rPr>
              <w:t xml:space="preserve">2 812 624 762 </w:t>
            </w:r>
          </w:p>
        </w:tc>
        <w:tc>
          <w:tcPr>
            <w:tcW w:w="1418" w:type="dxa"/>
            <w:tcBorders>
              <w:top w:val="nil"/>
              <w:left w:val="nil"/>
              <w:bottom w:val="single" w:sz="8" w:space="0" w:color="auto"/>
              <w:right w:val="single" w:sz="8" w:space="0" w:color="auto"/>
            </w:tcBorders>
            <w:shd w:val="clear" w:color="000000" w:fill="F2F2F2"/>
            <w:vAlign w:val="center"/>
            <w:hideMark/>
          </w:tcPr>
          <w:p w14:paraId="072EA48F" w14:textId="77777777" w:rsidR="007C250E" w:rsidRPr="007C250E" w:rsidRDefault="007C250E" w:rsidP="007C250E">
            <w:pPr>
              <w:jc w:val="right"/>
              <w:rPr>
                <w:noProof/>
                <w:sz w:val="16"/>
                <w:szCs w:val="16"/>
              </w:rPr>
            </w:pPr>
            <w:r>
              <w:rPr>
                <w:noProof/>
                <w:sz w:val="16"/>
              </w:rPr>
              <w:t xml:space="preserve">2 812 624 762 </w:t>
            </w:r>
          </w:p>
        </w:tc>
      </w:tr>
      <w:tr w:rsidR="007C250E" w:rsidRPr="007C250E" w14:paraId="42B7BF96"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4139FAD"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FE19A3F" w14:textId="77777777" w:rsidR="007C250E" w:rsidRPr="007C250E" w:rsidRDefault="007C250E" w:rsidP="007C250E">
            <w:pPr>
              <w:jc w:val="right"/>
              <w:rPr>
                <w:i/>
                <w:iCs/>
                <w:noProof/>
                <w:color w:val="000000"/>
                <w:sz w:val="16"/>
                <w:szCs w:val="16"/>
              </w:rPr>
            </w:pPr>
            <w:r>
              <w:rPr>
                <w:i/>
                <w:noProof/>
                <w:color w:val="000000"/>
                <w:sz w:val="16"/>
              </w:rPr>
              <w:t>Pensioenen</w:t>
            </w:r>
          </w:p>
        </w:tc>
        <w:tc>
          <w:tcPr>
            <w:tcW w:w="1418" w:type="dxa"/>
            <w:tcBorders>
              <w:top w:val="nil"/>
              <w:left w:val="nil"/>
              <w:bottom w:val="single" w:sz="8" w:space="0" w:color="auto"/>
              <w:right w:val="single" w:sz="8" w:space="0" w:color="auto"/>
            </w:tcBorders>
            <w:shd w:val="clear" w:color="auto" w:fill="auto"/>
            <w:vAlign w:val="center"/>
            <w:hideMark/>
          </w:tcPr>
          <w:p w14:paraId="7CE73A0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1417" w:type="dxa"/>
            <w:tcBorders>
              <w:top w:val="nil"/>
              <w:left w:val="nil"/>
              <w:bottom w:val="single" w:sz="8" w:space="0" w:color="auto"/>
              <w:right w:val="single" w:sz="8" w:space="0" w:color="auto"/>
            </w:tcBorders>
            <w:shd w:val="clear" w:color="auto" w:fill="auto"/>
            <w:vAlign w:val="center"/>
            <w:hideMark/>
          </w:tcPr>
          <w:p w14:paraId="4DAA01E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993" w:type="dxa"/>
            <w:tcBorders>
              <w:top w:val="nil"/>
              <w:left w:val="nil"/>
              <w:bottom w:val="single" w:sz="8" w:space="0" w:color="auto"/>
              <w:right w:val="single" w:sz="8" w:space="0" w:color="auto"/>
            </w:tcBorders>
            <w:shd w:val="clear" w:color="auto" w:fill="auto"/>
            <w:vAlign w:val="center"/>
            <w:hideMark/>
          </w:tcPr>
          <w:p w14:paraId="0E17A90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CBB33A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4BA430B"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c>
          <w:tcPr>
            <w:tcW w:w="1418" w:type="dxa"/>
            <w:tcBorders>
              <w:top w:val="nil"/>
              <w:left w:val="nil"/>
              <w:bottom w:val="single" w:sz="8" w:space="0" w:color="auto"/>
              <w:right w:val="single" w:sz="8" w:space="0" w:color="auto"/>
            </w:tcBorders>
            <w:shd w:val="clear" w:color="auto" w:fill="auto"/>
            <w:vAlign w:val="center"/>
            <w:hideMark/>
          </w:tcPr>
          <w:p w14:paraId="28AAFCFA"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r>
      <w:tr w:rsidR="007C250E" w:rsidRPr="007C250E" w14:paraId="2ECA82B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1E3DC33F"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27814FD" w14:textId="77777777" w:rsidR="007C250E" w:rsidRPr="007C250E" w:rsidRDefault="007C250E" w:rsidP="007C250E">
            <w:pPr>
              <w:jc w:val="right"/>
              <w:rPr>
                <w:i/>
                <w:iCs/>
                <w:noProof/>
                <w:color w:val="000000"/>
                <w:sz w:val="16"/>
                <w:szCs w:val="16"/>
              </w:rPr>
            </w:pPr>
            <w:r>
              <w:rPr>
                <w:i/>
                <w:noProof/>
                <w:color w:val="000000"/>
                <w:sz w:val="16"/>
              </w:rPr>
              <w:t>Europese Scholen</w:t>
            </w:r>
          </w:p>
        </w:tc>
        <w:tc>
          <w:tcPr>
            <w:tcW w:w="1418" w:type="dxa"/>
            <w:tcBorders>
              <w:top w:val="nil"/>
              <w:left w:val="nil"/>
              <w:bottom w:val="single" w:sz="8" w:space="0" w:color="auto"/>
              <w:right w:val="single" w:sz="8" w:space="0" w:color="auto"/>
            </w:tcBorders>
            <w:shd w:val="clear" w:color="auto" w:fill="auto"/>
            <w:vAlign w:val="center"/>
            <w:hideMark/>
          </w:tcPr>
          <w:p w14:paraId="13CA043B" w14:textId="77777777" w:rsidR="007C250E" w:rsidRPr="007C250E" w:rsidRDefault="007C250E" w:rsidP="007C250E">
            <w:pPr>
              <w:jc w:val="right"/>
              <w:rPr>
                <w:i/>
                <w:iCs/>
                <w:noProof/>
                <w:color w:val="000000"/>
                <w:sz w:val="16"/>
                <w:szCs w:val="16"/>
              </w:rPr>
            </w:pPr>
            <w:r>
              <w:rPr>
                <w:i/>
                <w:noProof/>
                <w:color w:val="000000"/>
                <w:sz w:val="16"/>
              </w:rPr>
              <w:t>247 160 762</w:t>
            </w:r>
          </w:p>
        </w:tc>
        <w:tc>
          <w:tcPr>
            <w:tcW w:w="1417" w:type="dxa"/>
            <w:tcBorders>
              <w:top w:val="nil"/>
              <w:left w:val="nil"/>
              <w:bottom w:val="single" w:sz="8" w:space="0" w:color="auto"/>
              <w:right w:val="single" w:sz="8" w:space="0" w:color="auto"/>
            </w:tcBorders>
            <w:shd w:val="clear" w:color="auto" w:fill="auto"/>
            <w:vAlign w:val="center"/>
            <w:hideMark/>
          </w:tcPr>
          <w:p w14:paraId="48110880" w14:textId="77777777" w:rsidR="007C250E" w:rsidRPr="007C250E" w:rsidRDefault="007C250E" w:rsidP="007C250E">
            <w:pPr>
              <w:jc w:val="right"/>
              <w:rPr>
                <w:i/>
                <w:iCs/>
                <w:noProof/>
                <w:color w:val="000000"/>
                <w:sz w:val="16"/>
                <w:szCs w:val="16"/>
              </w:rPr>
            </w:pPr>
            <w:r>
              <w:rPr>
                <w:i/>
                <w:noProof/>
                <w:color w:val="000000"/>
                <w:sz w:val="16"/>
              </w:rPr>
              <w:t>247 160 762</w:t>
            </w:r>
          </w:p>
        </w:tc>
        <w:tc>
          <w:tcPr>
            <w:tcW w:w="993" w:type="dxa"/>
            <w:tcBorders>
              <w:top w:val="nil"/>
              <w:left w:val="nil"/>
              <w:bottom w:val="single" w:sz="8" w:space="0" w:color="auto"/>
              <w:right w:val="single" w:sz="8" w:space="0" w:color="auto"/>
            </w:tcBorders>
            <w:shd w:val="clear" w:color="auto" w:fill="auto"/>
            <w:vAlign w:val="center"/>
            <w:hideMark/>
          </w:tcPr>
          <w:p w14:paraId="507FF1C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76AA8D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1DB581B"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c>
          <w:tcPr>
            <w:tcW w:w="1418" w:type="dxa"/>
            <w:tcBorders>
              <w:top w:val="nil"/>
              <w:left w:val="nil"/>
              <w:bottom w:val="single" w:sz="8" w:space="0" w:color="auto"/>
              <w:right w:val="single" w:sz="8" w:space="0" w:color="auto"/>
            </w:tcBorders>
            <w:shd w:val="clear" w:color="auto" w:fill="auto"/>
            <w:vAlign w:val="center"/>
            <w:hideMark/>
          </w:tcPr>
          <w:p w14:paraId="46CFD927"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r>
      <w:tr w:rsidR="007C250E" w:rsidRPr="007C250E" w14:paraId="4BD0E98E" w14:textId="77777777" w:rsidTr="003C5A89">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2A0650C6"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F2F2F2"/>
            <w:vAlign w:val="center"/>
            <w:hideMark/>
          </w:tcPr>
          <w:p w14:paraId="4F5573AD" w14:textId="77777777" w:rsidR="007C250E" w:rsidRPr="007C250E" w:rsidRDefault="007C250E" w:rsidP="007C250E">
            <w:pPr>
              <w:rPr>
                <w:noProof/>
                <w:sz w:val="16"/>
                <w:szCs w:val="16"/>
              </w:rPr>
            </w:pPr>
            <w:r>
              <w:rPr>
                <w:noProof/>
                <w:sz w:val="16"/>
              </w:rPr>
              <w:t>administratieve uitgaven van de instellingen</w:t>
            </w:r>
          </w:p>
        </w:tc>
        <w:tc>
          <w:tcPr>
            <w:tcW w:w="1418" w:type="dxa"/>
            <w:tcBorders>
              <w:top w:val="nil"/>
              <w:left w:val="nil"/>
              <w:bottom w:val="single" w:sz="8" w:space="0" w:color="auto"/>
              <w:right w:val="single" w:sz="8" w:space="0" w:color="auto"/>
            </w:tcBorders>
            <w:shd w:val="clear" w:color="000000" w:fill="F2F2F2"/>
            <w:vAlign w:val="center"/>
            <w:hideMark/>
          </w:tcPr>
          <w:p w14:paraId="1C439316" w14:textId="77777777" w:rsidR="007C250E" w:rsidRPr="007C250E" w:rsidRDefault="007C250E" w:rsidP="007C250E">
            <w:pPr>
              <w:jc w:val="right"/>
              <w:rPr>
                <w:noProof/>
                <w:sz w:val="16"/>
                <w:szCs w:val="16"/>
              </w:rPr>
            </w:pPr>
            <w:r>
              <w:rPr>
                <w:noProof/>
                <w:sz w:val="16"/>
              </w:rPr>
              <w:t>9 137 000 694</w:t>
            </w:r>
          </w:p>
        </w:tc>
        <w:tc>
          <w:tcPr>
            <w:tcW w:w="1417" w:type="dxa"/>
            <w:tcBorders>
              <w:top w:val="nil"/>
              <w:left w:val="nil"/>
              <w:bottom w:val="single" w:sz="8" w:space="0" w:color="auto"/>
              <w:right w:val="single" w:sz="8" w:space="0" w:color="auto"/>
            </w:tcBorders>
            <w:shd w:val="clear" w:color="000000" w:fill="F2F2F2"/>
            <w:vAlign w:val="center"/>
            <w:hideMark/>
          </w:tcPr>
          <w:p w14:paraId="676E614C" w14:textId="77777777" w:rsidR="007C250E" w:rsidRPr="007C250E" w:rsidRDefault="007C250E" w:rsidP="007C250E">
            <w:pPr>
              <w:jc w:val="right"/>
              <w:rPr>
                <w:noProof/>
                <w:sz w:val="16"/>
                <w:szCs w:val="16"/>
              </w:rPr>
            </w:pPr>
            <w:r>
              <w:rPr>
                <w:noProof/>
                <w:sz w:val="16"/>
              </w:rPr>
              <w:t>9 137 000 694</w:t>
            </w:r>
          </w:p>
        </w:tc>
        <w:tc>
          <w:tcPr>
            <w:tcW w:w="993" w:type="dxa"/>
            <w:tcBorders>
              <w:top w:val="nil"/>
              <w:left w:val="nil"/>
              <w:bottom w:val="single" w:sz="8" w:space="0" w:color="auto"/>
              <w:right w:val="single" w:sz="8" w:space="0" w:color="auto"/>
            </w:tcBorders>
            <w:shd w:val="clear" w:color="000000" w:fill="F2F2F2"/>
            <w:vAlign w:val="center"/>
            <w:hideMark/>
          </w:tcPr>
          <w:p w14:paraId="10978431" w14:textId="77777777" w:rsidR="007C250E" w:rsidRPr="007C250E" w:rsidRDefault="007C250E" w:rsidP="007C250E">
            <w:pPr>
              <w:jc w:val="right"/>
              <w:rPr>
                <w:noProof/>
                <w:sz w:val="16"/>
                <w:szCs w:val="16"/>
              </w:rPr>
            </w:pPr>
            <w:r>
              <w:rPr>
                <w:noProof/>
                <w:sz w:val="16"/>
              </w:rPr>
              <w:t xml:space="preserve">4 588 100 </w:t>
            </w:r>
          </w:p>
        </w:tc>
        <w:tc>
          <w:tcPr>
            <w:tcW w:w="992" w:type="dxa"/>
            <w:tcBorders>
              <w:top w:val="nil"/>
              <w:left w:val="nil"/>
              <w:bottom w:val="single" w:sz="8" w:space="0" w:color="auto"/>
              <w:right w:val="single" w:sz="8" w:space="0" w:color="auto"/>
            </w:tcBorders>
            <w:shd w:val="clear" w:color="000000" w:fill="F2F2F2"/>
            <w:vAlign w:val="center"/>
            <w:hideMark/>
          </w:tcPr>
          <w:p w14:paraId="1FB70EA4" w14:textId="77777777" w:rsidR="007C250E" w:rsidRPr="007C250E" w:rsidRDefault="007C250E" w:rsidP="007C250E">
            <w:pPr>
              <w:jc w:val="right"/>
              <w:rPr>
                <w:noProof/>
                <w:sz w:val="16"/>
                <w:szCs w:val="16"/>
              </w:rPr>
            </w:pPr>
            <w:r>
              <w:rPr>
                <w:noProof/>
                <w:sz w:val="16"/>
              </w:rPr>
              <w:t xml:space="preserve">4 588 100 </w:t>
            </w:r>
          </w:p>
        </w:tc>
        <w:tc>
          <w:tcPr>
            <w:tcW w:w="1559" w:type="dxa"/>
            <w:tcBorders>
              <w:top w:val="nil"/>
              <w:left w:val="nil"/>
              <w:bottom w:val="single" w:sz="8" w:space="0" w:color="auto"/>
              <w:right w:val="single" w:sz="8" w:space="0" w:color="auto"/>
            </w:tcBorders>
            <w:shd w:val="clear" w:color="000000" w:fill="F2F2F2"/>
            <w:vAlign w:val="center"/>
            <w:hideMark/>
          </w:tcPr>
          <w:p w14:paraId="4CB95DF4" w14:textId="77777777" w:rsidR="007C250E" w:rsidRPr="007C250E" w:rsidRDefault="007C250E" w:rsidP="007C250E">
            <w:pPr>
              <w:jc w:val="right"/>
              <w:rPr>
                <w:noProof/>
                <w:sz w:val="16"/>
                <w:szCs w:val="16"/>
              </w:rPr>
            </w:pPr>
            <w:r>
              <w:rPr>
                <w:noProof/>
                <w:sz w:val="16"/>
              </w:rPr>
              <w:t xml:space="preserve">9 141 588 794 </w:t>
            </w:r>
          </w:p>
        </w:tc>
        <w:tc>
          <w:tcPr>
            <w:tcW w:w="1418" w:type="dxa"/>
            <w:tcBorders>
              <w:top w:val="nil"/>
              <w:left w:val="nil"/>
              <w:bottom w:val="single" w:sz="8" w:space="0" w:color="auto"/>
              <w:right w:val="single" w:sz="8" w:space="0" w:color="auto"/>
            </w:tcBorders>
            <w:shd w:val="clear" w:color="000000" w:fill="F2F2F2"/>
            <w:vAlign w:val="center"/>
            <w:hideMark/>
          </w:tcPr>
          <w:p w14:paraId="7E563234" w14:textId="77777777" w:rsidR="007C250E" w:rsidRPr="007C250E" w:rsidRDefault="007C250E" w:rsidP="007C250E">
            <w:pPr>
              <w:jc w:val="right"/>
              <w:rPr>
                <w:noProof/>
                <w:sz w:val="16"/>
                <w:szCs w:val="16"/>
              </w:rPr>
            </w:pPr>
            <w:r>
              <w:rPr>
                <w:noProof/>
                <w:sz w:val="16"/>
              </w:rPr>
              <w:t xml:space="preserve">9 141 588 794 </w:t>
            </w:r>
          </w:p>
        </w:tc>
      </w:tr>
      <w:tr w:rsidR="007C250E" w:rsidRPr="007C250E" w14:paraId="7CD825FA"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CBF62"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066E16E" w14:textId="77777777" w:rsidR="007C250E" w:rsidRPr="007C250E" w:rsidRDefault="007C250E" w:rsidP="007C250E">
            <w:pPr>
              <w:jc w:val="right"/>
              <w:rPr>
                <w:i/>
                <w:iCs/>
                <w:noProof/>
                <w:color w:val="000000"/>
                <w:sz w:val="16"/>
                <w:szCs w:val="16"/>
              </w:rPr>
            </w:pPr>
            <w:r>
              <w:rPr>
                <w:i/>
                <w:noProof/>
                <w:color w:val="000000"/>
                <w:sz w:val="16"/>
              </w:rPr>
              <w:t>Europees Parlement</w:t>
            </w:r>
          </w:p>
        </w:tc>
        <w:tc>
          <w:tcPr>
            <w:tcW w:w="1418" w:type="dxa"/>
            <w:tcBorders>
              <w:top w:val="nil"/>
              <w:left w:val="nil"/>
              <w:bottom w:val="single" w:sz="8" w:space="0" w:color="auto"/>
              <w:right w:val="single" w:sz="8" w:space="0" w:color="auto"/>
            </w:tcBorders>
            <w:shd w:val="clear" w:color="auto" w:fill="auto"/>
            <w:vAlign w:val="center"/>
            <w:hideMark/>
          </w:tcPr>
          <w:p w14:paraId="25E2EFB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1417" w:type="dxa"/>
            <w:tcBorders>
              <w:top w:val="nil"/>
              <w:left w:val="nil"/>
              <w:bottom w:val="single" w:sz="8" w:space="0" w:color="auto"/>
              <w:right w:val="single" w:sz="8" w:space="0" w:color="auto"/>
            </w:tcBorders>
            <w:shd w:val="clear" w:color="auto" w:fill="auto"/>
            <w:vAlign w:val="center"/>
            <w:hideMark/>
          </w:tcPr>
          <w:p w14:paraId="0E13D0A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993" w:type="dxa"/>
            <w:tcBorders>
              <w:top w:val="nil"/>
              <w:left w:val="nil"/>
              <w:bottom w:val="single" w:sz="8" w:space="0" w:color="auto"/>
              <w:right w:val="single" w:sz="8" w:space="0" w:color="auto"/>
            </w:tcBorders>
            <w:shd w:val="clear" w:color="auto" w:fill="auto"/>
            <w:vAlign w:val="center"/>
            <w:hideMark/>
          </w:tcPr>
          <w:p w14:paraId="29391401"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992" w:type="dxa"/>
            <w:tcBorders>
              <w:top w:val="nil"/>
              <w:left w:val="nil"/>
              <w:bottom w:val="single" w:sz="8" w:space="0" w:color="auto"/>
              <w:right w:val="single" w:sz="8" w:space="0" w:color="auto"/>
            </w:tcBorders>
            <w:shd w:val="clear" w:color="auto" w:fill="auto"/>
            <w:vAlign w:val="center"/>
            <w:hideMark/>
          </w:tcPr>
          <w:p w14:paraId="0DC122B6"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1559" w:type="dxa"/>
            <w:tcBorders>
              <w:top w:val="nil"/>
              <w:left w:val="nil"/>
              <w:bottom w:val="single" w:sz="8" w:space="0" w:color="auto"/>
              <w:right w:val="single" w:sz="8" w:space="0" w:color="auto"/>
            </w:tcBorders>
            <w:shd w:val="clear" w:color="auto" w:fill="auto"/>
            <w:vAlign w:val="center"/>
            <w:hideMark/>
          </w:tcPr>
          <w:p w14:paraId="455D6A5F"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c>
          <w:tcPr>
            <w:tcW w:w="1418" w:type="dxa"/>
            <w:tcBorders>
              <w:top w:val="nil"/>
              <w:left w:val="nil"/>
              <w:bottom w:val="single" w:sz="8" w:space="0" w:color="auto"/>
              <w:right w:val="single" w:sz="8" w:space="0" w:color="auto"/>
            </w:tcBorders>
            <w:shd w:val="clear" w:color="auto" w:fill="auto"/>
            <w:vAlign w:val="center"/>
            <w:hideMark/>
          </w:tcPr>
          <w:p w14:paraId="2BC69894"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r>
      <w:tr w:rsidR="007C250E" w:rsidRPr="007C250E" w14:paraId="10A78000"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35DB37"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C2775F8" w14:textId="77777777" w:rsidR="007C250E" w:rsidRPr="007C250E" w:rsidRDefault="007C250E" w:rsidP="007C250E">
            <w:pPr>
              <w:jc w:val="right"/>
              <w:rPr>
                <w:i/>
                <w:iCs/>
                <w:noProof/>
                <w:color w:val="000000"/>
                <w:sz w:val="16"/>
                <w:szCs w:val="16"/>
              </w:rPr>
            </w:pPr>
            <w:r>
              <w:rPr>
                <w:i/>
                <w:noProof/>
                <w:color w:val="000000"/>
                <w:sz w:val="16"/>
              </w:rPr>
              <w:t>Europese Raad en Raad</w:t>
            </w:r>
          </w:p>
        </w:tc>
        <w:tc>
          <w:tcPr>
            <w:tcW w:w="1418" w:type="dxa"/>
            <w:tcBorders>
              <w:top w:val="nil"/>
              <w:left w:val="nil"/>
              <w:bottom w:val="single" w:sz="8" w:space="0" w:color="auto"/>
              <w:right w:val="single" w:sz="8" w:space="0" w:color="auto"/>
            </w:tcBorders>
            <w:shd w:val="clear" w:color="auto" w:fill="auto"/>
            <w:vAlign w:val="center"/>
            <w:hideMark/>
          </w:tcPr>
          <w:p w14:paraId="00E56C49" w14:textId="77777777" w:rsidR="007C250E" w:rsidRPr="007C250E" w:rsidRDefault="007C250E" w:rsidP="007C250E">
            <w:pPr>
              <w:jc w:val="right"/>
              <w:rPr>
                <w:i/>
                <w:iCs/>
                <w:noProof/>
                <w:color w:val="000000"/>
                <w:sz w:val="16"/>
                <w:szCs w:val="16"/>
              </w:rPr>
            </w:pPr>
            <w:r>
              <w:rPr>
                <w:i/>
                <w:noProof/>
                <w:color w:val="000000"/>
                <w:sz w:val="16"/>
              </w:rPr>
              <w:t>676 842 943</w:t>
            </w:r>
          </w:p>
        </w:tc>
        <w:tc>
          <w:tcPr>
            <w:tcW w:w="1417" w:type="dxa"/>
            <w:tcBorders>
              <w:top w:val="nil"/>
              <w:left w:val="nil"/>
              <w:bottom w:val="single" w:sz="8" w:space="0" w:color="auto"/>
              <w:right w:val="single" w:sz="8" w:space="0" w:color="auto"/>
            </w:tcBorders>
            <w:shd w:val="clear" w:color="auto" w:fill="auto"/>
            <w:vAlign w:val="center"/>
            <w:hideMark/>
          </w:tcPr>
          <w:p w14:paraId="7C77E10A" w14:textId="77777777" w:rsidR="007C250E" w:rsidRPr="007C250E" w:rsidRDefault="007C250E" w:rsidP="007C250E">
            <w:pPr>
              <w:jc w:val="right"/>
              <w:rPr>
                <w:i/>
                <w:iCs/>
                <w:noProof/>
                <w:color w:val="000000"/>
                <w:sz w:val="16"/>
                <w:szCs w:val="16"/>
              </w:rPr>
            </w:pPr>
            <w:r>
              <w:rPr>
                <w:i/>
                <w:noProof/>
                <w:color w:val="000000"/>
                <w:sz w:val="16"/>
              </w:rPr>
              <w:t>676 842 943</w:t>
            </w:r>
          </w:p>
        </w:tc>
        <w:tc>
          <w:tcPr>
            <w:tcW w:w="993" w:type="dxa"/>
            <w:tcBorders>
              <w:top w:val="nil"/>
              <w:left w:val="nil"/>
              <w:bottom w:val="single" w:sz="8" w:space="0" w:color="auto"/>
              <w:right w:val="single" w:sz="8" w:space="0" w:color="auto"/>
            </w:tcBorders>
            <w:shd w:val="clear" w:color="auto" w:fill="auto"/>
            <w:vAlign w:val="center"/>
            <w:hideMark/>
          </w:tcPr>
          <w:p w14:paraId="1E01498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26D851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2E97E281"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c>
          <w:tcPr>
            <w:tcW w:w="1418" w:type="dxa"/>
            <w:tcBorders>
              <w:top w:val="nil"/>
              <w:left w:val="nil"/>
              <w:bottom w:val="single" w:sz="8" w:space="0" w:color="auto"/>
              <w:right w:val="single" w:sz="8" w:space="0" w:color="auto"/>
            </w:tcBorders>
            <w:shd w:val="clear" w:color="auto" w:fill="auto"/>
            <w:vAlign w:val="center"/>
            <w:hideMark/>
          </w:tcPr>
          <w:p w14:paraId="13D94136"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r>
      <w:tr w:rsidR="007C250E" w:rsidRPr="007C250E" w14:paraId="54D7E2CA" w14:textId="77777777" w:rsidTr="003C5A89">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04E62924"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000000" w:fill="FFFFFF"/>
            <w:vAlign w:val="center"/>
            <w:hideMark/>
          </w:tcPr>
          <w:p w14:paraId="0CC4F2D8" w14:textId="77777777" w:rsidR="007C250E" w:rsidRPr="007C250E" w:rsidRDefault="007C250E" w:rsidP="007C250E">
            <w:pPr>
              <w:jc w:val="right"/>
              <w:rPr>
                <w:i/>
                <w:iCs/>
                <w:noProof/>
                <w:color w:val="000000"/>
                <w:sz w:val="16"/>
                <w:szCs w:val="16"/>
              </w:rPr>
            </w:pPr>
            <w:r>
              <w:rPr>
                <w:i/>
                <w:noProof/>
                <w:color w:val="000000"/>
                <w:sz w:val="16"/>
              </w:rPr>
              <w:t>Commissie</w:t>
            </w:r>
          </w:p>
        </w:tc>
        <w:tc>
          <w:tcPr>
            <w:tcW w:w="1418" w:type="dxa"/>
            <w:tcBorders>
              <w:top w:val="nil"/>
              <w:left w:val="nil"/>
              <w:bottom w:val="single" w:sz="8" w:space="0" w:color="auto"/>
              <w:right w:val="single" w:sz="8" w:space="0" w:color="auto"/>
            </w:tcBorders>
            <w:shd w:val="clear" w:color="000000" w:fill="FFFFFF"/>
            <w:vAlign w:val="center"/>
            <w:hideMark/>
          </w:tcPr>
          <w:p w14:paraId="7AA4F4C0"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1417" w:type="dxa"/>
            <w:tcBorders>
              <w:top w:val="nil"/>
              <w:left w:val="nil"/>
              <w:bottom w:val="single" w:sz="8" w:space="0" w:color="auto"/>
              <w:right w:val="single" w:sz="8" w:space="0" w:color="auto"/>
            </w:tcBorders>
            <w:shd w:val="clear" w:color="000000" w:fill="FFFFFF"/>
            <w:vAlign w:val="center"/>
            <w:hideMark/>
          </w:tcPr>
          <w:p w14:paraId="254E5101"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993" w:type="dxa"/>
            <w:tcBorders>
              <w:top w:val="nil"/>
              <w:left w:val="nil"/>
              <w:bottom w:val="single" w:sz="8" w:space="0" w:color="auto"/>
              <w:right w:val="single" w:sz="8" w:space="0" w:color="auto"/>
            </w:tcBorders>
            <w:shd w:val="clear" w:color="000000" w:fill="FFFFFF"/>
            <w:vAlign w:val="center"/>
            <w:hideMark/>
          </w:tcPr>
          <w:p w14:paraId="48865287"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992" w:type="dxa"/>
            <w:tcBorders>
              <w:top w:val="nil"/>
              <w:left w:val="nil"/>
              <w:bottom w:val="single" w:sz="8" w:space="0" w:color="auto"/>
              <w:right w:val="single" w:sz="8" w:space="0" w:color="auto"/>
            </w:tcBorders>
            <w:shd w:val="clear" w:color="000000" w:fill="FFFFFF"/>
            <w:vAlign w:val="center"/>
            <w:hideMark/>
          </w:tcPr>
          <w:p w14:paraId="6418E39A"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1559" w:type="dxa"/>
            <w:tcBorders>
              <w:top w:val="nil"/>
              <w:left w:val="nil"/>
              <w:bottom w:val="single" w:sz="8" w:space="0" w:color="auto"/>
              <w:right w:val="single" w:sz="8" w:space="0" w:color="auto"/>
            </w:tcBorders>
            <w:shd w:val="clear" w:color="000000" w:fill="FFFFFF"/>
            <w:vAlign w:val="center"/>
            <w:hideMark/>
          </w:tcPr>
          <w:p w14:paraId="29E06DA1"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c>
          <w:tcPr>
            <w:tcW w:w="1418" w:type="dxa"/>
            <w:tcBorders>
              <w:top w:val="nil"/>
              <w:left w:val="nil"/>
              <w:bottom w:val="single" w:sz="8" w:space="0" w:color="auto"/>
              <w:right w:val="single" w:sz="8" w:space="0" w:color="auto"/>
            </w:tcBorders>
            <w:shd w:val="clear" w:color="000000" w:fill="FFFFFF"/>
            <w:vAlign w:val="center"/>
            <w:hideMark/>
          </w:tcPr>
          <w:p w14:paraId="21DA756F"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r>
      <w:tr w:rsidR="007C250E" w:rsidRPr="007C250E" w14:paraId="6975BDE6"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243373"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CD6BB55" w14:textId="77777777" w:rsidR="007C250E" w:rsidRPr="007C250E" w:rsidRDefault="007C250E" w:rsidP="007C250E">
            <w:pPr>
              <w:jc w:val="right"/>
              <w:rPr>
                <w:i/>
                <w:iCs/>
                <w:noProof/>
                <w:color w:val="000000"/>
                <w:sz w:val="16"/>
                <w:szCs w:val="16"/>
              </w:rPr>
            </w:pPr>
            <w:r>
              <w:rPr>
                <w:i/>
                <w:noProof/>
                <w:color w:val="000000"/>
                <w:sz w:val="16"/>
              </w:rPr>
              <w:t>Hof van Justitie van de Europese Unie</w:t>
            </w:r>
          </w:p>
        </w:tc>
        <w:tc>
          <w:tcPr>
            <w:tcW w:w="1418" w:type="dxa"/>
            <w:tcBorders>
              <w:top w:val="nil"/>
              <w:left w:val="nil"/>
              <w:bottom w:val="single" w:sz="8" w:space="0" w:color="auto"/>
              <w:right w:val="single" w:sz="8" w:space="0" w:color="auto"/>
            </w:tcBorders>
            <w:shd w:val="clear" w:color="auto" w:fill="auto"/>
            <w:vAlign w:val="center"/>
            <w:hideMark/>
          </w:tcPr>
          <w:p w14:paraId="54DDB61F" w14:textId="77777777" w:rsidR="007C250E" w:rsidRPr="007C250E" w:rsidRDefault="007C250E" w:rsidP="007C250E">
            <w:pPr>
              <w:jc w:val="right"/>
              <w:rPr>
                <w:i/>
                <w:iCs/>
                <w:noProof/>
                <w:color w:val="000000"/>
                <w:sz w:val="16"/>
                <w:szCs w:val="16"/>
              </w:rPr>
            </w:pPr>
            <w:r>
              <w:rPr>
                <w:i/>
                <w:noProof/>
                <w:color w:val="000000"/>
                <w:sz w:val="16"/>
              </w:rPr>
              <w:t>502 443 711</w:t>
            </w:r>
          </w:p>
        </w:tc>
        <w:tc>
          <w:tcPr>
            <w:tcW w:w="1417" w:type="dxa"/>
            <w:tcBorders>
              <w:top w:val="nil"/>
              <w:left w:val="nil"/>
              <w:bottom w:val="single" w:sz="8" w:space="0" w:color="auto"/>
              <w:right w:val="single" w:sz="8" w:space="0" w:color="auto"/>
            </w:tcBorders>
            <w:shd w:val="clear" w:color="auto" w:fill="auto"/>
            <w:vAlign w:val="center"/>
            <w:hideMark/>
          </w:tcPr>
          <w:p w14:paraId="58A0A20B" w14:textId="77777777" w:rsidR="007C250E" w:rsidRPr="007C250E" w:rsidRDefault="007C250E" w:rsidP="007C250E">
            <w:pPr>
              <w:jc w:val="right"/>
              <w:rPr>
                <w:i/>
                <w:iCs/>
                <w:noProof/>
                <w:color w:val="000000"/>
                <w:sz w:val="16"/>
                <w:szCs w:val="16"/>
              </w:rPr>
            </w:pPr>
            <w:r>
              <w:rPr>
                <w:i/>
                <w:noProof/>
                <w:color w:val="000000"/>
                <w:sz w:val="16"/>
              </w:rPr>
              <w:t>502 443 711</w:t>
            </w:r>
          </w:p>
        </w:tc>
        <w:tc>
          <w:tcPr>
            <w:tcW w:w="993" w:type="dxa"/>
            <w:tcBorders>
              <w:top w:val="nil"/>
              <w:left w:val="nil"/>
              <w:bottom w:val="single" w:sz="8" w:space="0" w:color="auto"/>
              <w:right w:val="single" w:sz="8" w:space="0" w:color="auto"/>
            </w:tcBorders>
            <w:shd w:val="clear" w:color="auto" w:fill="auto"/>
            <w:vAlign w:val="center"/>
            <w:hideMark/>
          </w:tcPr>
          <w:p w14:paraId="2575779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679651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A274A7E"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c>
          <w:tcPr>
            <w:tcW w:w="1418" w:type="dxa"/>
            <w:tcBorders>
              <w:top w:val="nil"/>
              <w:left w:val="nil"/>
              <w:bottom w:val="single" w:sz="8" w:space="0" w:color="auto"/>
              <w:right w:val="single" w:sz="8" w:space="0" w:color="auto"/>
            </w:tcBorders>
            <w:shd w:val="clear" w:color="auto" w:fill="auto"/>
            <w:vAlign w:val="center"/>
            <w:hideMark/>
          </w:tcPr>
          <w:p w14:paraId="70618D47"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r>
      <w:tr w:rsidR="007C250E" w:rsidRPr="007C250E" w14:paraId="0F137C19"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650309FA"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0A2AB77" w14:textId="77777777" w:rsidR="007C250E" w:rsidRPr="007C250E" w:rsidRDefault="007C250E" w:rsidP="007C250E">
            <w:pPr>
              <w:jc w:val="right"/>
              <w:rPr>
                <w:i/>
                <w:iCs/>
                <w:noProof/>
                <w:color w:val="000000"/>
                <w:sz w:val="16"/>
                <w:szCs w:val="16"/>
              </w:rPr>
            </w:pPr>
            <w:r>
              <w:rPr>
                <w:i/>
                <w:noProof/>
                <w:color w:val="000000"/>
                <w:sz w:val="16"/>
              </w:rPr>
              <w:t>Europese Rekenkamer</w:t>
            </w:r>
          </w:p>
        </w:tc>
        <w:tc>
          <w:tcPr>
            <w:tcW w:w="1418" w:type="dxa"/>
            <w:tcBorders>
              <w:top w:val="nil"/>
              <w:left w:val="nil"/>
              <w:bottom w:val="single" w:sz="8" w:space="0" w:color="auto"/>
              <w:right w:val="single" w:sz="8" w:space="0" w:color="auto"/>
            </w:tcBorders>
            <w:shd w:val="clear" w:color="auto" w:fill="auto"/>
            <w:vAlign w:val="center"/>
            <w:hideMark/>
          </w:tcPr>
          <w:p w14:paraId="3B98C06F" w14:textId="77777777" w:rsidR="007C250E" w:rsidRPr="007C250E" w:rsidRDefault="007C250E" w:rsidP="007C250E">
            <w:pPr>
              <w:jc w:val="right"/>
              <w:rPr>
                <w:i/>
                <w:iCs/>
                <w:noProof/>
                <w:color w:val="000000"/>
                <w:sz w:val="16"/>
                <w:szCs w:val="16"/>
              </w:rPr>
            </w:pPr>
            <w:r>
              <w:rPr>
                <w:i/>
                <w:noProof/>
                <w:color w:val="000000"/>
                <w:sz w:val="16"/>
              </w:rPr>
              <w:t>184 803 430</w:t>
            </w:r>
          </w:p>
        </w:tc>
        <w:tc>
          <w:tcPr>
            <w:tcW w:w="1417" w:type="dxa"/>
            <w:tcBorders>
              <w:top w:val="nil"/>
              <w:left w:val="nil"/>
              <w:bottom w:val="single" w:sz="8" w:space="0" w:color="auto"/>
              <w:right w:val="single" w:sz="8" w:space="0" w:color="auto"/>
            </w:tcBorders>
            <w:shd w:val="clear" w:color="auto" w:fill="auto"/>
            <w:vAlign w:val="center"/>
            <w:hideMark/>
          </w:tcPr>
          <w:p w14:paraId="6E1B31BF" w14:textId="77777777" w:rsidR="007C250E" w:rsidRPr="007C250E" w:rsidRDefault="007C250E" w:rsidP="007C250E">
            <w:pPr>
              <w:jc w:val="right"/>
              <w:rPr>
                <w:i/>
                <w:iCs/>
                <w:noProof/>
                <w:color w:val="000000"/>
                <w:sz w:val="16"/>
                <w:szCs w:val="16"/>
              </w:rPr>
            </w:pPr>
            <w:r>
              <w:rPr>
                <w:i/>
                <w:noProof/>
                <w:color w:val="000000"/>
                <w:sz w:val="16"/>
              </w:rPr>
              <w:t>184 803 430</w:t>
            </w:r>
          </w:p>
        </w:tc>
        <w:tc>
          <w:tcPr>
            <w:tcW w:w="993" w:type="dxa"/>
            <w:tcBorders>
              <w:top w:val="nil"/>
              <w:left w:val="nil"/>
              <w:bottom w:val="single" w:sz="8" w:space="0" w:color="auto"/>
              <w:right w:val="single" w:sz="8" w:space="0" w:color="auto"/>
            </w:tcBorders>
            <w:shd w:val="clear" w:color="auto" w:fill="auto"/>
            <w:vAlign w:val="center"/>
            <w:hideMark/>
          </w:tcPr>
          <w:p w14:paraId="24505AE8"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992" w:type="dxa"/>
            <w:tcBorders>
              <w:top w:val="nil"/>
              <w:left w:val="nil"/>
              <w:bottom w:val="single" w:sz="8" w:space="0" w:color="auto"/>
              <w:right w:val="single" w:sz="8" w:space="0" w:color="auto"/>
            </w:tcBorders>
            <w:shd w:val="clear" w:color="auto" w:fill="auto"/>
            <w:vAlign w:val="center"/>
            <w:hideMark/>
          </w:tcPr>
          <w:p w14:paraId="39BC4D20"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1559" w:type="dxa"/>
            <w:tcBorders>
              <w:top w:val="nil"/>
              <w:left w:val="nil"/>
              <w:bottom w:val="single" w:sz="8" w:space="0" w:color="auto"/>
              <w:right w:val="single" w:sz="8" w:space="0" w:color="auto"/>
            </w:tcBorders>
            <w:shd w:val="clear" w:color="auto" w:fill="auto"/>
            <w:vAlign w:val="center"/>
            <w:hideMark/>
          </w:tcPr>
          <w:p w14:paraId="07E78C1C"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c>
          <w:tcPr>
            <w:tcW w:w="1418" w:type="dxa"/>
            <w:tcBorders>
              <w:top w:val="nil"/>
              <w:left w:val="nil"/>
              <w:bottom w:val="single" w:sz="8" w:space="0" w:color="auto"/>
              <w:right w:val="single" w:sz="8" w:space="0" w:color="auto"/>
            </w:tcBorders>
            <w:shd w:val="clear" w:color="auto" w:fill="auto"/>
            <w:vAlign w:val="center"/>
            <w:hideMark/>
          </w:tcPr>
          <w:p w14:paraId="58F6CC96"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r>
      <w:tr w:rsidR="007C250E" w:rsidRPr="007C250E" w14:paraId="0CF7DD69"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8C8A3E"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FA07173" w14:textId="77777777" w:rsidR="007C250E" w:rsidRPr="007C250E" w:rsidRDefault="007C250E" w:rsidP="007C250E">
            <w:pPr>
              <w:jc w:val="right"/>
              <w:rPr>
                <w:i/>
                <w:iCs/>
                <w:noProof/>
                <w:color w:val="000000"/>
                <w:sz w:val="16"/>
                <w:szCs w:val="16"/>
              </w:rPr>
            </w:pPr>
            <w:r>
              <w:rPr>
                <w:i/>
                <w:noProof/>
                <w:color w:val="000000"/>
                <w:sz w:val="16"/>
              </w:rPr>
              <w:t>Europees Economisch en Sociaal Comité</w:t>
            </w:r>
          </w:p>
        </w:tc>
        <w:tc>
          <w:tcPr>
            <w:tcW w:w="1418" w:type="dxa"/>
            <w:tcBorders>
              <w:top w:val="nil"/>
              <w:left w:val="nil"/>
              <w:bottom w:val="single" w:sz="8" w:space="0" w:color="auto"/>
              <w:right w:val="single" w:sz="8" w:space="0" w:color="auto"/>
            </w:tcBorders>
            <w:shd w:val="clear" w:color="auto" w:fill="auto"/>
            <w:vAlign w:val="center"/>
            <w:hideMark/>
          </w:tcPr>
          <w:p w14:paraId="692D053E" w14:textId="77777777" w:rsidR="007C250E" w:rsidRPr="007C250E" w:rsidRDefault="007C250E" w:rsidP="007C250E">
            <w:pPr>
              <w:jc w:val="right"/>
              <w:rPr>
                <w:i/>
                <w:iCs/>
                <w:noProof/>
                <w:color w:val="000000"/>
                <w:sz w:val="16"/>
                <w:szCs w:val="16"/>
              </w:rPr>
            </w:pPr>
            <w:r>
              <w:rPr>
                <w:i/>
                <w:noProof/>
                <w:color w:val="000000"/>
                <w:sz w:val="16"/>
              </w:rPr>
              <w:t>164 945 524</w:t>
            </w:r>
          </w:p>
        </w:tc>
        <w:tc>
          <w:tcPr>
            <w:tcW w:w="1417" w:type="dxa"/>
            <w:tcBorders>
              <w:top w:val="nil"/>
              <w:left w:val="nil"/>
              <w:bottom w:val="single" w:sz="8" w:space="0" w:color="auto"/>
              <w:right w:val="single" w:sz="8" w:space="0" w:color="auto"/>
            </w:tcBorders>
            <w:shd w:val="clear" w:color="auto" w:fill="auto"/>
            <w:vAlign w:val="center"/>
            <w:hideMark/>
          </w:tcPr>
          <w:p w14:paraId="7F2F0BC3" w14:textId="77777777" w:rsidR="007C250E" w:rsidRPr="007C250E" w:rsidRDefault="007C250E" w:rsidP="007C250E">
            <w:pPr>
              <w:jc w:val="right"/>
              <w:rPr>
                <w:i/>
                <w:iCs/>
                <w:noProof/>
                <w:color w:val="000000"/>
                <w:sz w:val="16"/>
                <w:szCs w:val="16"/>
              </w:rPr>
            </w:pPr>
            <w:r>
              <w:rPr>
                <w:i/>
                <w:noProof/>
                <w:color w:val="000000"/>
                <w:sz w:val="16"/>
              </w:rPr>
              <w:t>164 945 524</w:t>
            </w:r>
          </w:p>
        </w:tc>
        <w:tc>
          <w:tcPr>
            <w:tcW w:w="993" w:type="dxa"/>
            <w:tcBorders>
              <w:top w:val="nil"/>
              <w:left w:val="nil"/>
              <w:bottom w:val="single" w:sz="8" w:space="0" w:color="auto"/>
              <w:right w:val="single" w:sz="8" w:space="0" w:color="auto"/>
            </w:tcBorders>
            <w:shd w:val="clear" w:color="auto" w:fill="auto"/>
            <w:vAlign w:val="center"/>
            <w:hideMark/>
          </w:tcPr>
          <w:p w14:paraId="4AE33BC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0A79894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3943AE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c>
          <w:tcPr>
            <w:tcW w:w="1418" w:type="dxa"/>
            <w:tcBorders>
              <w:top w:val="nil"/>
              <w:left w:val="nil"/>
              <w:bottom w:val="single" w:sz="8" w:space="0" w:color="auto"/>
              <w:right w:val="single" w:sz="8" w:space="0" w:color="auto"/>
            </w:tcBorders>
            <w:shd w:val="clear" w:color="auto" w:fill="auto"/>
            <w:vAlign w:val="center"/>
            <w:hideMark/>
          </w:tcPr>
          <w:p w14:paraId="18A4FFD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r>
      <w:tr w:rsidR="007C250E" w:rsidRPr="007C250E" w14:paraId="06511975"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1BF5B3C1"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BFDA5D7" w14:textId="77777777" w:rsidR="007C250E" w:rsidRPr="007C250E" w:rsidRDefault="007C250E" w:rsidP="007C250E">
            <w:pPr>
              <w:jc w:val="right"/>
              <w:rPr>
                <w:i/>
                <w:iCs/>
                <w:noProof/>
                <w:color w:val="000000"/>
                <w:sz w:val="16"/>
                <w:szCs w:val="16"/>
              </w:rPr>
            </w:pPr>
            <w:r>
              <w:rPr>
                <w:i/>
                <w:noProof/>
                <w:color w:val="000000"/>
                <w:sz w:val="16"/>
              </w:rPr>
              <w:t>Europees Comité van de Regio's</w:t>
            </w:r>
          </w:p>
        </w:tc>
        <w:tc>
          <w:tcPr>
            <w:tcW w:w="1418" w:type="dxa"/>
            <w:tcBorders>
              <w:top w:val="nil"/>
              <w:left w:val="nil"/>
              <w:bottom w:val="single" w:sz="8" w:space="0" w:color="auto"/>
              <w:right w:val="single" w:sz="8" w:space="0" w:color="auto"/>
            </w:tcBorders>
            <w:shd w:val="clear" w:color="auto" w:fill="auto"/>
            <w:vAlign w:val="center"/>
            <w:hideMark/>
          </w:tcPr>
          <w:p w14:paraId="0CD001D3" w14:textId="77777777" w:rsidR="007C250E" w:rsidRPr="007C250E" w:rsidRDefault="007C250E" w:rsidP="007C250E">
            <w:pPr>
              <w:jc w:val="right"/>
              <w:rPr>
                <w:i/>
                <w:iCs/>
                <w:noProof/>
                <w:color w:val="000000"/>
                <w:sz w:val="16"/>
                <w:szCs w:val="16"/>
              </w:rPr>
            </w:pPr>
            <w:r>
              <w:rPr>
                <w:i/>
                <w:noProof/>
                <w:color w:val="000000"/>
                <w:sz w:val="16"/>
              </w:rPr>
              <w:t>121 878 345</w:t>
            </w:r>
          </w:p>
        </w:tc>
        <w:tc>
          <w:tcPr>
            <w:tcW w:w="1417" w:type="dxa"/>
            <w:tcBorders>
              <w:top w:val="nil"/>
              <w:left w:val="nil"/>
              <w:bottom w:val="single" w:sz="8" w:space="0" w:color="auto"/>
              <w:right w:val="single" w:sz="8" w:space="0" w:color="auto"/>
            </w:tcBorders>
            <w:shd w:val="clear" w:color="auto" w:fill="auto"/>
            <w:vAlign w:val="center"/>
            <w:hideMark/>
          </w:tcPr>
          <w:p w14:paraId="22E2B187" w14:textId="77777777" w:rsidR="007C250E" w:rsidRPr="007C250E" w:rsidRDefault="007C250E" w:rsidP="007C250E">
            <w:pPr>
              <w:jc w:val="right"/>
              <w:rPr>
                <w:i/>
                <w:iCs/>
                <w:noProof/>
                <w:color w:val="000000"/>
                <w:sz w:val="16"/>
                <w:szCs w:val="16"/>
              </w:rPr>
            </w:pPr>
            <w:r>
              <w:rPr>
                <w:i/>
                <w:noProof/>
                <w:color w:val="000000"/>
                <w:sz w:val="16"/>
              </w:rPr>
              <w:t>121 878 345</w:t>
            </w:r>
          </w:p>
        </w:tc>
        <w:tc>
          <w:tcPr>
            <w:tcW w:w="993" w:type="dxa"/>
            <w:tcBorders>
              <w:top w:val="nil"/>
              <w:left w:val="nil"/>
              <w:bottom w:val="single" w:sz="8" w:space="0" w:color="auto"/>
              <w:right w:val="single" w:sz="8" w:space="0" w:color="auto"/>
            </w:tcBorders>
            <w:shd w:val="clear" w:color="auto" w:fill="auto"/>
            <w:vAlign w:val="center"/>
            <w:hideMark/>
          </w:tcPr>
          <w:p w14:paraId="6DC1528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C87A74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6B2975CE"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c>
          <w:tcPr>
            <w:tcW w:w="1418" w:type="dxa"/>
            <w:tcBorders>
              <w:top w:val="nil"/>
              <w:left w:val="nil"/>
              <w:bottom w:val="single" w:sz="8" w:space="0" w:color="auto"/>
              <w:right w:val="single" w:sz="8" w:space="0" w:color="auto"/>
            </w:tcBorders>
            <w:shd w:val="clear" w:color="auto" w:fill="auto"/>
            <w:vAlign w:val="center"/>
            <w:hideMark/>
          </w:tcPr>
          <w:p w14:paraId="30995B52"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r>
      <w:tr w:rsidR="007C250E" w:rsidRPr="007C250E" w14:paraId="2B7D489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4A479C"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6CAA2F05" w14:textId="77777777" w:rsidR="007C250E" w:rsidRPr="007C250E" w:rsidRDefault="007C250E" w:rsidP="007C250E">
            <w:pPr>
              <w:jc w:val="right"/>
              <w:rPr>
                <w:i/>
                <w:iCs/>
                <w:noProof/>
                <w:color w:val="000000"/>
                <w:sz w:val="16"/>
                <w:szCs w:val="16"/>
              </w:rPr>
            </w:pPr>
            <w:r>
              <w:rPr>
                <w:i/>
                <w:noProof/>
                <w:color w:val="000000"/>
                <w:sz w:val="16"/>
              </w:rPr>
              <w:t>Europese Ombudsman</w:t>
            </w:r>
          </w:p>
        </w:tc>
        <w:tc>
          <w:tcPr>
            <w:tcW w:w="1418" w:type="dxa"/>
            <w:tcBorders>
              <w:top w:val="nil"/>
              <w:left w:val="nil"/>
              <w:bottom w:val="single" w:sz="8" w:space="0" w:color="auto"/>
              <w:right w:val="single" w:sz="8" w:space="0" w:color="auto"/>
            </w:tcBorders>
            <w:shd w:val="clear" w:color="auto" w:fill="auto"/>
            <w:vAlign w:val="center"/>
            <w:hideMark/>
          </w:tcPr>
          <w:p w14:paraId="57DABCB0" w14:textId="77777777" w:rsidR="007C250E" w:rsidRPr="007C250E" w:rsidRDefault="007C250E" w:rsidP="007C250E">
            <w:pPr>
              <w:jc w:val="right"/>
              <w:rPr>
                <w:i/>
                <w:iCs/>
                <w:noProof/>
                <w:color w:val="000000"/>
                <w:sz w:val="16"/>
                <w:szCs w:val="16"/>
              </w:rPr>
            </w:pPr>
            <w:r>
              <w:rPr>
                <w:i/>
                <w:noProof/>
                <w:color w:val="000000"/>
                <w:sz w:val="16"/>
              </w:rPr>
              <w:t>13 667 466</w:t>
            </w:r>
          </w:p>
        </w:tc>
        <w:tc>
          <w:tcPr>
            <w:tcW w:w="1417" w:type="dxa"/>
            <w:tcBorders>
              <w:top w:val="nil"/>
              <w:left w:val="nil"/>
              <w:bottom w:val="single" w:sz="8" w:space="0" w:color="auto"/>
              <w:right w:val="single" w:sz="8" w:space="0" w:color="auto"/>
            </w:tcBorders>
            <w:shd w:val="clear" w:color="auto" w:fill="auto"/>
            <w:vAlign w:val="center"/>
            <w:hideMark/>
          </w:tcPr>
          <w:p w14:paraId="7D859F19" w14:textId="77777777" w:rsidR="007C250E" w:rsidRPr="007C250E" w:rsidRDefault="007C250E" w:rsidP="007C250E">
            <w:pPr>
              <w:jc w:val="right"/>
              <w:rPr>
                <w:i/>
                <w:iCs/>
                <w:noProof/>
                <w:color w:val="000000"/>
                <w:sz w:val="16"/>
                <w:szCs w:val="16"/>
              </w:rPr>
            </w:pPr>
            <w:r>
              <w:rPr>
                <w:i/>
                <w:noProof/>
                <w:color w:val="000000"/>
                <w:sz w:val="16"/>
              </w:rPr>
              <w:t>13 667 466</w:t>
            </w:r>
          </w:p>
        </w:tc>
        <w:tc>
          <w:tcPr>
            <w:tcW w:w="993" w:type="dxa"/>
            <w:tcBorders>
              <w:top w:val="nil"/>
              <w:left w:val="nil"/>
              <w:bottom w:val="single" w:sz="8" w:space="0" w:color="auto"/>
              <w:right w:val="single" w:sz="8" w:space="0" w:color="auto"/>
            </w:tcBorders>
            <w:shd w:val="clear" w:color="auto" w:fill="auto"/>
            <w:vAlign w:val="center"/>
            <w:hideMark/>
          </w:tcPr>
          <w:p w14:paraId="0A35894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42DF502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C133507"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c>
          <w:tcPr>
            <w:tcW w:w="1418" w:type="dxa"/>
            <w:tcBorders>
              <w:top w:val="nil"/>
              <w:left w:val="nil"/>
              <w:bottom w:val="single" w:sz="8" w:space="0" w:color="auto"/>
              <w:right w:val="single" w:sz="8" w:space="0" w:color="auto"/>
            </w:tcBorders>
            <w:shd w:val="clear" w:color="auto" w:fill="auto"/>
            <w:vAlign w:val="center"/>
            <w:hideMark/>
          </w:tcPr>
          <w:p w14:paraId="57E5F1E2"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r>
      <w:tr w:rsidR="007C250E" w:rsidRPr="007C250E" w14:paraId="4C63B7F6"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00577CE4"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375EDFBD" w14:textId="77777777" w:rsidR="007C250E" w:rsidRPr="007C250E" w:rsidRDefault="007C250E" w:rsidP="007C250E">
            <w:pPr>
              <w:jc w:val="right"/>
              <w:rPr>
                <w:i/>
                <w:iCs/>
                <w:noProof/>
                <w:color w:val="000000"/>
                <w:sz w:val="16"/>
                <w:szCs w:val="16"/>
              </w:rPr>
            </w:pPr>
            <w:r>
              <w:rPr>
                <w:i/>
                <w:noProof/>
                <w:color w:val="000000"/>
                <w:sz w:val="16"/>
              </w:rPr>
              <w:t>Europese Toezichthouder voor gegevensbescherming</w:t>
            </w:r>
          </w:p>
        </w:tc>
        <w:tc>
          <w:tcPr>
            <w:tcW w:w="1418" w:type="dxa"/>
            <w:tcBorders>
              <w:top w:val="nil"/>
              <w:left w:val="nil"/>
              <w:bottom w:val="single" w:sz="8" w:space="0" w:color="auto"/>
              <w:right w:val="single" w:sz="8" w:space="0" w:color="auto"/>
            </w:tcBorders>
            <w:shd w:val="clear" w:color="auto" w:fill="auto"/>
            <w:vAlign w:val="center"/>
            <w:hideMark/>
          </w:tcPr>
          <w:p w14:paraId="4DBA363E" w14:textId="77777777" w:rsidR="007C250E" w:rsidRPr="007C250E" w:rsidRDefault="007C250E" w:rsidP="007C250E">
            <w:pPr>
              <w:jc w:val="right"/>
              <w:rPr>
                <w:i/>
                <w:iCs/>
                <w:noProof/>
                <w:color w:val="000000"/>
                <w:sz w:val="16"/>
                <w:szCs w:val="16"/>
              </w:rPr>
            </w:pPr>
            <w:r>
              <w:rPr>
                <w:i/>
                <w:noProof/>
                <w:color w:val="000000"/>
                <w:sz w:val="16"/>
              </w:rPr>
              <w:t>23 921 966</w:t>
            </w:r>
          </w:p>
        </w:tc>
        <w:tc>
          <w:tcPr>
            <w:tcW w:w="1417" w:type="dxa"/>
            <w:tcBorders>
              <w:top w:val="nil"/>
              <w:left w:val="nil"/>
              <w:bottom w:val="single" w:sz="8" w:space="0" w:color="auto"/>
              <w:right w:val="single" w:sz="8" w:space="0" w:color="auto"/>
            </w:tcBorders>
            <w:shd w:val="clear" w:color="auto" w:fill="auto"/>
            <w:vAlign w:val="center"/>
            <w:hideMark/>
          </w:tcPr>
          <w:p w14:paraId="7BBFD5EA" w14:textId="77777777" w:rsidR="007C250E" w:rsidRPr="007C250E" w:rsidRDefault="007C250E" w:rsidP="007C250E">
            <w:pPr>
              <w:jc w:val="right"/>
              <w:rPr>
                <w:i/>
                <w:iCs/>
                <w:noProof/>
                <w:color w:val="000000"/>
                <w:sz w:val="16"/>
                <w:szCs w:val="16"/>
              </w:rPr>
            </w:pPr>
            <w:r>
              <w:rPr>
                <w:i/>
                <w:noProof/>
                <w:color w:val="000000"/>
                <w:sz w:val="16"/>
              </w:rPr>
              <w:t>23 921 966</w:t>
            </w:r>
          </w:p>
        </w:tc>
        <w:tc>
          <w:tcPr>
            <w:tcW w:w="993" w:type="dxa"/>
            <w:tcBorders>
              <w:top w:val="nil"/>
              <w:left w:val="nil"/>
              <w:bottom w:val="single" w:sz="8" w:space="0" w:color="auto"/>
              <w:right w:val="single" w:sz="8" w:space="0" w:color="auto"/>
            </w:tcBorders>
            <w:shd w:val="clear" w:color="auto" w:fill="auto"/>
            <w:vAlign w:val="center"/>
            <w:hideMark/>
          </w:tcPr>
          <w:p w14:paraId="097E79B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540FC66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7C3C5435"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c>
          <w:tcPr>
            <w:tcW w:w="1418" w:type="dxa"/>
            <w:tcBorders>
              <w:top w:val="nil"/>
              <w:left w:val="nil"/>
              <w:bottom w:val="single" w:sz="8" w:space="0" w:color="auto"/>
              <w:right w:val="single" w:sz="8" w:space="0" w:color="auto"/>
            </w:tcBorders>
            <w:shd w:val="clear" w:color="auto" w:fill="auto"/>
            <w:vAlign w:val="center"/>
            <w:hideMark/>
          </w:tcPr>
          <w:p w14:paraId="317764D3"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r>
      <w:tr w:rsidR="007C250E" w:rsidRPr="007C250E" w14:paraId="21B9A9C0"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532E2"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7ECDCBC2" w14:textId="77777777" w:rsidR="007C250E" w:rsidRPr="007C250E" w:rsidRDefault="007C250E" w:rsidP="007C250E">
            <w:pPr>
              <w:jc w:val="right"/>
              <w:rPr>
                <w:i/>
                <w:iCs/>
                <w:noProof/>
                <w:color w:val="000000"/>
                <w:sz w:val="16"/>
                <w:szCs w:val="16"/>
              </w:rPr>
            </w:pPr>
            <w:r>
              <w:rPr>
                <w:i/>
                <w:noProof/>
                <w:color w:val="000000"/>
                <w:sz w:val="16"/>
              </w:rPr>
              <w:t>Europese Dienst voor extern optreden</w:t>
            </w:r>
          </w:p>
        </w:tc>
        <w:tc>
          <w:tcPr>
            <w:tcW w:w="1418" w:type="dxa"/>
            <w:tcBorders>
              <w:top w:val="nil"/>
              <w:left w:val="nil"/>
              <w:bottom w:val="single" w:sz="8" w:space="0" w:color="auto"/>
              <w:right w:val="single" w:sz="8" w:space="0" w:color="auto"/>
            </w:tcBorders>
            <w:shd w:val="clear" w:color="auto" w:fill="auto"/>
            <w:vAlign w:val="center"/>
            <w:hideMark/>
          </w:tcPr>
          <w:p w14:paraId="380ED281" w14:textId="77777777" w:rsidR="007C250E" w:rsidRPr="007C250E" w:rsidRDefault="007C250E" w:rsidP="007C250E">
            <w:pPr>
              <w:jc w:val="right"/>
              <w:rPr>
                <w:i/>
                <w:iCs/>
                <w:noProof/>
                <w:color w:val="000000"/>
                <w:sz w:val="16"/>
                <w:szCs w:val="16"/>
              </w:rPr>
            </w:pPr>
            <w:r>
              <w:rPr>
                <w:i/>
                <w:noProof/>
                <w:color w:val="000000"/>
                <w:sz w:val="16"/>
              </w:rPr>
              <w:t>872 195 603</w:t>
            </w:r>
          </w:p>
        </w:tc>
        <w:tc>
          <w:tcPr>
            <w:tcW w:w="1417" w:type="dxa"/>
            <w:tcBorders>
              <w:top w:val="nil"/>
              <w:left w:val="nil"/>
              <w:bottom w:val="single" w:sz="8" w:space="0" w:color="auto"/>
              <w:right w:val="single" w:sz="8" w:space="0" w:color="auto"/>
            </w:tcBorders>
            <w:shd w:val="clear" w:color="auto" w:fill="auto"/>
            <w:vAlign w:val="center"/>
            <w:hideMark/>
          </w:tcPr>
          <w:p w14:paraId="2BAE709D" w14:textId="77777777" w:rsidR="007C250E" w:rsidRPr="007C250E" w:rsidRDefault="007C250E" w:rsidP="007C250E">
            <w:pPr>
              <w:jc w:val="right"/>
              <w:rPr>
                <w:i/>
                <w:iCs/>
                <w:noProof/>
                <w:color w:val="000000"/>
                <w:sz w:val="16"/>
                <w:szCs w:val="16"/>
              </w:rPr>
            </w:pPr>
            <w:r>
              <w:rPr>
                <w:i/>
                <w:noProof/>
                <w:color w:val="000000"/>
                <w:sz w:val="16"/>
              </w:rPr>
              <w:t>872 195 603</w:t>
            </w:r>
          </w:p>
        </w:tc>
        <w:tc>
          <w:tcPr>
            <w:tcW w:w="993" w:type="dxa"/>
            <w:tcBorders>
              <w:top w:val="nil"/>
              <w:left w:val="nil"/>
              <w:bottom w:val="single" w:sz="8" w:space="0" w:color="auto"/>
              <w:right w:val="single" w:sz="8" w:space="0" w:color="auto"/>
            </w:tcBorders>
            <w:shd w:val="clear" w:color="auto" w:fill="auto"/>
            <w:vAlign w:val="center"/>
            <w:hideMark/>
          </w:tcPr>
          <w:p w14:paraId="5E22F107"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992" w:type="dxa"/>
            <w:tcBorders>
              <w:top w:val="nil"/>
              <w:left w:val="nil"/>
              <w:bottom w:val="single" w:sz="8" w:space="0" w:color="auto"/>
              <w:right w:val="single" w:sz="8" w:space="0" w:color="auto"/>
            </w:tcBorders>
            <w:shd w:val="clear" w:color="auto" w:fill="auto"/>
            <w:vAlign w:val="center"/>
            <w:hideMark/>
          </w:tcPr>
          <w:p w14:paraId="7D858A02"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1559" w:type="dxa"/>
            <w:tcBorders>
              <w:top w:val="nil"/>
              <w:left w:val="nil"/>
              <w:bottom w:val="single" w:sz="8" w:space="0" w:color="auto"/>
              <w:right w:val="single" w:sz="8" w:space="0" w:color="auto"/>
            </w:tcBorders>
            <w:shd w:val="clear" w:color="auto" w:fill="auto"/>
            <w:vAlign w:val="center"/>
            <w:hideMark/>
          </w:tcPr>
          <w:p w14:paraId="070C6139"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c>
          <w:tcPr>
            <w:tcW w:w="1418" w:type="dxa"/>
            <w:tcBorders>
              <w:top w:val="nil"/>
              <w:left w:val="nil"/>
              <w:bottom w:val="single" w:sz="8" w:space="0" w:color="auto"/>
              <w:right w:val="single" w:sz="8" w:space="0" w:color="auto"/>
            </w:tcBorders>
            <w:shd w:val="clear" w:color="auto" w:fill="auto"/>
            <w:vAlign w:val="center"/>
            <w:hideMark/>
          </w:tcPr>
          <w:p w14:paraId="00FA69CE"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r>
      <w:tr w:rsidR="007C250E" w:rsidRPr="007C250E" w14:paraId="30622A96"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6AB20124" w14:textId="77777777" w:rsidR="007C250E" w:rsidRPr="007C250E" w:rsidRDefault="007C250E" w:rsidP="007C250E">
            <w:pPr>
              <w:jc w:val="right"/>
              <w:rPr>
                <w:b/>
                <w:bCs/>
                <w:noProof/>
                <w:sz w:val="16"/>
                <w:szCs w:val="16"/>
              </w:rPr>
            </w:pPr>
            <w:r>
              <w:rPr>
                <w:b/>
                <w:noProof/>
                <w:sz w:val="16"/>
              </w:rPr>
              <w:t>Kredieten voor rubrieken</w:t>
            </w:r>
          </w:p>
        </w:tc>
        <w:tc>
          <w:tcPr>
            <w:tcW w:w="1418" w:type="dxa"/>
            <w:tcBorders>
              <w:top w:val="nil"/>
              <w:left w:val="nil"/>
              <w:bottom w:val="single" w:sz="8" w:space="0" w:color="auto"/>
              <w:right w:val="single" w:sz="8" w:space="0" w:color="auto"/>
            </w:tcBorders>
            <w:shd w:val="clear" w:color="000000" w:fill="BFBFBF"/>
            <w:vAlign w:val="center"/>
            <w:hideMark/>
          </w:tcPr>
          <w:p w14:paraId="49E2B7FA" w14:textId="77777777" w:rsidR="007C250E" w:rsidRPr="007C250E" w:rsidRDefault="007C250E" w:rsidP="007C250E">
            <w:pPr>
              <w:jc w:val="right"/>
              <w:rPr>
                <w:b/>
                <w:bCs/>
                <w:noProof/>
                <w:sz w:val="16"/>
                <w:szCs w:val="16"/>
              </w:rPr>
            </w:pPr>
            <w:r>
              <w:rPr>
                <w:b/>
                <w:noProof/>
                <w:sz w:val="16"/>
              </w:rPr>
              <w:t>187 780 116 328</w:t>
            </w:r>
          </w:p>
        </w:tc>
        <w:tc>
          <w:tcPr>
            <w:tcW w:w="1417" w:type="dxa"/>
            <w:tcBorders>
              <w:top w:val="nil"/>
              <w:left w:val="nil"/>
              <w:bottom w:val="single" w:sz="8" w:space="0" w:color="auto"/>
              <w:right w:val="single" w:sz="8" w:space="0" w:color="auto"/>
            </w:tcBorders>
            <w:shd w:val="clear" w:color="000000" w:fill="BFBFBF"/>
            <w:vAlign w:val="center"/>
            <w:hideMark/>
          </w:tcPr>
          <w:p w14:paraId="19B8D793" w14:textId="77777777" w:rsidR="007C250E" w:rsidRPr="007C250E" w:rsidRDefault="007C250E" w:rsidP="007C250E">
            <w:pPr>
              <w:jc w:val="right"/>
              <w:rPr>
                <w:b/>
                <w:bCs/>
                <w:noProof/>
                <w:sz w:val="16"/>
                <w:szCs w:val="16"/>
              </w:rPr>
            </w:pPr>
            <w:r>
              <w:rPr>
                <w:b/>
                <w:noProof/>
                <w:sz w:val="16"/>
              </w:rPr>
              <w:t>141 681 983 016</w:t>
            </w:r>
          </w:p>
        </w:tc>
        <w:tc>
          <w:tcPr>
            <w:tcW w:w="993" w:type="dxa"/>
            <w:tcBorders>
              <w:top w:val="nil"/>
              <w:left w:val="nil"/>
              <w:bottom w:val="single" w:sz="8" w:space="0" w:color="auto"/>
              <w:right w:val="single" w:sz="8" w:space="0" w:color="auto"/>
            </w:tcBorders>
            <w:shd w:val="clear" w:color="000000" w:fill="BFBFBF"/>
            <w:vAlign w:val="center"/>
            <w:hideMark/>
          </w:tcPr>
          <w:p w14:paraId="6332EF80" w14:textId="77777777" w:rsidR="007C250E" w:rsidRPr="007C250E" w:rsidRDefault="007C250E" w:rsidP="007C250E">
            <w:pPr>
              <w:jc w:val="right"/>
              <w:rPr>
                <w:b/>
                <w:bCs/>
                <w:noProof/>
                <w:sz w:val="16"/>
                <w:szCs w:val="16"/>
              </w:rPr>
            </w:pPr>
            <w:r>
              <w:rPr>
                <w:b/>
                <w:noProof/>
                <w:sz w:val="16"/>
              </w:rPr>
              <w:t xml:space="preserve">-67 411 900 </w:t>
            </w:r>
          </w:p>
        </w:tc>
        <w:tc>
          <w:tcPr>
            <w:tcW w:w="992" w:type="dxa"/>
            <w:tcBorders>
              <w:top w:val="nil"/>
              <w:left w:val="nil"/>
              <w:bottom w:val="single" w:sz="8" w:space="0" w:color="auto"/>
              <w:right w:val="single" w:sz="8" w:space="0" w:color="auto"/>
            </w:tcBorders>
            <w:shd w:val="clear" w:color="000000" w:fill="BFBFBF"/>
            <w:vAlign w:val="center"/>
            <w:hideMark/>
          </w:tcPr>
          <w:p w14:paraId="341AFE2F" w14:textId="77777777" w:rsidR="007C250E" w:rsidRPr="007C250E" w:rsidRDefault="007C250E" w:rsidP="007C250E">
            <w:pPr>
              <w:jc w:val="right"/>
              <w:rPr>
                <w:b/>
                <w:bCs/>
                <w:noProof/>
                <w:sz w:val="16"/>
                <w:szCs w:val="16"/>
              </w:rPr>
            </w:pPr>
            <w:r>
              <w:rPr>
                <w:b/>
                <w:noProof/>
                <w:sz w:val="16"/>
              </w:rPr>
              <w:t xml:space="preserve">-67 411 900 </w:t>
            </w:r>
          </w:p>
        </w:tc>
        <w:tc>
          <w:tcPr>
            <w:tcW w:w="1559" w:type="dxa"/>
            <w:tcBorders>
              <w:top w:val="nil"/>
              <w:left w:val="nil"/>
              <w:bottom w:val="single" w:sz="8" w:space="0" w:color="auto"/>
              <w:right w:val="single" w:sz="8" w:space="0" w:color="auto"/>
            </w:tcBorders>
            <w:shd w:val="clear" w:color="000000" w:fill="BFBFBF"/>
            <w:vAlign w:val="center"/>
            <w:hideMark/>
          </w:tcPr>
          <w:p w14:paraId="0A960E25" w14:textId="77777777" w:rsidR="007C250E" w:rsidRPr="007C250E" w:rsidRDefault="007C250E" w:rsidP="007C250E">
            <w:pPr>
              <w:jc w:val="right"/>
              <w:rPr>
                <w:b/>
                <w:bCs/>
                <w:noProof/>
                <w:sz w:val="16"/>
                <w:szCs w:val="16"/>
              </w:rPr>
            </w:pPr>
            <w:r>
              <w:rPr>
                <w:b/>
                <w:noProof/>
                <w:sz w:val="16"/>
              </w:rPr>
              <w:t xml:space="preserve">187 712 704 428 </w:t>
            </w:r>
          </w:p>
        </w:tc>
        <w:tc>
          <w:tcPr>
            <w:tcW w:w="1418" w:type="dxa"/>
            <w:tcBorders>
              <w:top w:val="nil"/>
              <w:left w:val="nil"/>
              <w:bottom w:val="single" w:sz="8" w:space="0" w:color="auto"/>
              <w:right w:val="single" w:sz="8" w:space="0" w:color="auto"/>
            </w:tcBorders>
            <w:shd w:val="clear" w:color="000000" w:fill="BFBFBF"/>
            <w:vAlign w:val="center"/>
            <w:hideMark/>
          </w:tcPr>
          <w:p w14:paraId="39A95657" w14:textId="77777777" w:rsidR="007C250E" w:rsidRPr="007C250E" w:rsidRDefault="007C250E" w:rsidP="007C250E">
            <w:pPr>
              <w:jc w:val="right"/>
              <w:rPr>
                <w:b/>
                <w:bCs/>
                <w:noProof/>
                <w:sz w:val="16"/>
                <w:szCs w:val="16"/>
              </w:rPr>
            </w:pPr>
            <w:r>
              <w:rPr>
                <w:b/>
                <w:noProof/>
                <w:sz w:val="16"/>
              </w:rPr>
              <w:t xml:space="preserve">141 614 571 116 </w:t>
            </w:r>
          </w:p>
        </w:tc>
      </w:tr>
      <w:tr w:rsidR="007C250E" w:rsidRPr="007C250E" w14:paraId="136C488A" w14:textId="77777777" w:rsidTr="003C5A89">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4108944F"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F2F2F2"/>
            <w:vAlign w:val="center"/>
            <w:hideMark/>
          </w:tcPr>
          <w:p w14:paraId="012E700C" w14:textId="77777777" w:rsidR="007C250E" w:rsidRPr="007C250E" w:rsidRDefault="007C250E" w:rsidP="007C250E">
            <w:pPr>
              <w:jc w:val="right"/>
              <w:rPr>
                <w:b/>
                <w:bCs/>
                <w:i/>
                <w:iCs/>
                <w:noProof/>
                <w:sz w:val="16"/>
                <w:szCs w:val="16"/>
              </w:rPr>
            </w:pPr>
            <w:r>
              <w:rPr>
                <w:b/>
                <w:i/>
                <w:noProof/>
                <w:sz w:val="16"/>
              </w:rPr>
              <w:t xml:space="preserve">Maximum </w:t>
            </w:r>
          </w:p>
        </w:tc>
        <w:tc>
          <w:tcPr>
            <w:tcW w:w="1418" w:type="dxa"/>
            <w:tcBorders>
              <w:top w:val="nil"/>
              <w:left w:val="nil"/>
              <w:bottom w:val="single" w:sz="8" w:space="0" w:color="auto"/>
              <w:right w:val="single" w:sz="8" w:space="0" w:color="auto"/>
            </w:tcBorders>
            <w:shd w:val="clear" w:color="000000" w:fill="F2F2F2"/>
            <w:vAlign w:val="center"/>
            <w:hideMark/>
          </w:tcPr>
          <w:p w14:paraId="6D8D2B90" w14:textId="77777777" w:rsidR="007C250E" w:rsidRPr="007C250E" w:rsidRDefault="007C250E" w:rsidP="007C250E">
            <w:pPr>
              <w:jc w:val="right"/>
              <w:rPr>
                <w:b/>
                <w:bCs/>
                <w:i/>
                <w:iCs/>
                <w:noProof/>
                <w:sz w:val="16"/>
                <w:szCs w:val="16"/>
              </w:rPr>
            </w:pPr>
            <w:r>
              <w:rPr>
                <w:b/>
                <w:i/>
                <w:noProof/>
                <w:sz w:val="16"/>
              </w:rPr>
              <w:t>185 963 000 000</w:t>
            </w:r>
          </w:p>
        </w:tc>
        <w:tc>
          <w:tcPr>
            <w:tcW w:w="1417" w:type="dxa"/>
            <w:tcBorders>
              <w:top w:val="nil"/>
              <w:left w:val="nil"/>
              <w:bottom w:val="single" w:sz="8" w:space="0" w:color="auto"/>
              <w:right w:val="single" w:sz="8" w:space="0" w:color="auto"/>
            </w:tcBorders>
            <w:shd w:val="clear" w:color="000000" w:fill="F2F2F2"/>
            <w:vAlign w:val="center"/>
            <w:hideMark/>
          </w:tcPr>
          <w:p w14:paraId="5BCD1DC9" w14:textId="77777777" w:rsidR="007C250E" w:rsidRPr="007C250E" w:rsidRDefault="007C250E" w:rsidP="007C250E">
            <w:pPr>
              <w:jc w:val="right"/>
              <w:rPr>
                <w:b/>
                <w:bCs/>
                <w:i/>
                <w:iCs/>
                <w:noProof/>
                <w:sz w:val="16"/>
                <w:szCs w:val="16"/>
              </w:rPr>
            </w:pPr>
            <w:r>
              <w:rPr>
                <w:b/>
                <w:i/>
                <w:noProof/>
                <w:sz w:val="16"/>
              </w:rPr>
              <w:t>170 543 000 000</w:t>
            </w:r>
          </w:p>
        </w:tc>
        <w:tc>
          <w:tcPr>
            <w:tcW w:w="993" w:type="dxa"/>
            <w:tcBorders>
              <w:top w:val="nil"/>
              <w:left w:val="nil"/>
              <w:bottom w:val="single" w:sz="8" w:space="0" w:color="auto"/>
              <w:right w:val="single" w:sz="8" w:space="0" w:color="auto"/>
            </w:tcBorders>
            <w:shd w:val="clear" w:color="000000" w:fill="F2F2F2"/>
            <w:vAlign w:val="center"/>
            <w:hideMark/>
          </w:tcPr>
          <w:p w14:paraId="66FC91BE" w14:textId="77777777" w:rsidR="007C250E" w:rsidRPr="007C250E" w:rsidRDefault="007C250E" w:rsidP="007C250E">
            <w:pPr>
              <w:jc w:val="right"/>
              <w:rPr>
                <w:b/>
                <w:bCs/>
                <w:i/>
                <w:iCs/>
                <w:noProof/>
                <w:sz w:val="16"/>
                <w:szCs w:val="16"/>
              </w:rPr>
            </w:pPr>
            <w:r>
              <w:rPr>
                <w:b/>
                <w:i/>
                <w:noProof/>
                <w:sz w:val="16"/>
              </w:rPr>
              <w:t xml:space="preserve"> </w:t>
            </w:r>
          </w:p>
        </w:tc>
        <w:tc>
          <w:tcPr>
            <w:tcW w:w="992" w:type="dxa"/>
            <w:tcBorders>
              <w:top w:val="nil"/>
              <w:left w:val="nil"/>
              <w:bottom w:val="single" w:sz="8" w:space="0" w:color="auto"/>
              <w:right w:val="single" w:sz="8" w:space="0" w:color="auto"/>
            </w:tcBorders>
            <w:shd w:val="clear" w:color="000000" w:fill="F2F2F2"/>
            <w:vAlign w:val="center"/>
            <w:hideMark/>
          </w:tcPr>
          <w:p w14:paraId="02700B2E" w14:textId="77777777" w:rsidR="007C250E" w:rsidRPr="007C250E" w:rsidRDefault="007C250E" w:rsidP="007C250E">
            <w:pPr>
              <w:jc w:val="right"/>
              <w:rPr>
                <w:b/>
                <w:bCs/>
                <w:i/>
                <w:iCs/>
                <w:noProof/>
                <w:sz w:val="16"/>
                <w:szCs w:val="16"/>
              </w:rPr>
            </w:pPr>
            <w:r>
              <w:rPr>
                <w:b/>
                <w:i/>
                <w:noProof/>
                <w:sz w:val="16"/>
              </w:rPr>
              <w:t xml:space="preserve"> </w:t>
            </w:r>
          </w:p>
        </w:tc>
        <w:tc>
          <w:tcPr>
            <w:tcW w:w="1559" w:type="dxa"/>
            <w:tcBorders>
              <w:top w:val="nil"/>
              <w:left w:val="nil"/>
              <w:bottom w:val="single" w:sz="8" w:space="0" w:color="auto"/>
              <w:right w:val="single" w:sz="8" w:space="0" w:color="auto"/>
            </w:tcBorders>
            <w:shd w:val="clear" w:color="000000" w:fill="F2F2F2"/>
            <w:vAlign w:val="center"/>
            <w:hideMark/>
          </w:tcPr>
          <w:p w14:paraId="1F699F6E" w14:textId="77777777" w:rsidR="007C250E" w:rsidRPr="007C250E" w:rsidRDefault="007C250E" w:rsidP="007C250E">
            <w:pPr>
              <w:jc w:val="right"/>
              <w:rPr>
                <w:b/>
                <w:bCs/>
                <w:i/>
                <w:iCs/>
                <w:noProof/>
                <w:sz w:val="16"/>
                <w:szCs w:val="16"/>
              </w:rPr>
            </w:pPr>
            <w:r>
              <w:rPr>
                <w:b/>
                <w:i/>
                <w:noProof/>
                <w:sz w:val="16"/>
              </w:rPr>
              <w:t xml:space="preserve">185 963 000 000 </w:t>
            </w:r>
          </w:p>
        </w:tc>
        <w:tc>
          <w:tcPr>
            <w:tcW w:w="1418" w:type="dxa"/>
            <w:tcBorders>
              <w:top w:val="nil"/>
              <w:left w:val="nil"/>
              <w:bottom w:val="single" w:sz="8" w:space="0" w:color="auto"/>
              <w:right w:val="single" w:sz="8" w:space="0" w:color="auto"/>
            </w:tcBorders>
            <w:shd w:val="clear" w:color="000000" w:fill="F2F2F2"/>
            <w:vAlign w:val="center"/>
            <w:hideMark/>
          </w:tcPr>
          <w:p w14:paraId="32160FE3" w14:textId="77777777" w:rsidR="007C250E" w:rsidRPr="007C250E" w:rsidRDefault="007C250E" w:rsidP="007C250E">
            <w:pPr>
              <w:jc w:val="right"/>
              <w:rPr>
                <w:b/>
                <w:bCs/>
                <w:i/>
                <w:iCs/>
                <w:noProof/>
                <w:sz w:val="16"/>
                <w:szCs w:val="16"/>
              </w:rPr>
            </w:pPr>
            <w:r>
              <w:rPr>
                <w:b/>
                <w:i/>
                <w:noProof/>
                <w:sz w:val="16"/>
              </w:rPr>
              <w:t xml:space="preserve">170 543 000 000 </w:t>
            </w:r>
          </w:p>
        </w:tc>
      </w:tr>
      <w:tr w:rsidR="007C250E" w:rsidRPr="007C250E" w14:paraId="66EA0B11" w14:textId="77777777" w:rsidTr="003C5A89">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3C279E24"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F2F2F2"/>
            <w:vAlign w:val="center"/>
            <w:hideMark/>
          </w:tcPr>
          <w:p w14:paraId="56EA93E8" w14:textId="77777777" w:rsidR="007C250E" w:rsidRPr="007C250E" w:rsidRDefault="007C250E" w:rsidP="007C250E">
            <w:pPr>
              <w:jc w:val="right"/>
              <w:rPr>
                <w:b/>
                <w:bCs/>
                <w:i/>
                <w:iCs/>
                <w:noProof/>
                <w:sz w:val="16"/>
                <w:szCs w:val="16"/>
              </w:rPr>
            </w:pPr>
            <w:r>
              <w:rPr>
                <w:b/>
                <w:i/>
                <w:noProof/>
                <w:sz w:val="16"/>
              </w:rPr>
              <w:t>waarvan onder flexibiliteitsinstrument</w:t>
            </w:r>
          </w:p>
        </w:tc>
        <w:tc>
          <w:tcPr>
            <w:tcW w:w="1418" w:type="dxa"/>
            <w:tcBorders>
              <w:top w:val="nil"/>
              <w:left w:val="nil"/>
              <w:bottom w:val="single" w:sz="8" w:space="0" w:color="auto"/>
              <w:right w:val="single" w:sz="8" w:space="0" w:color="auto"/>
            </w:tcBorders>
            <w:shd w:val="clear" w:color="000000" w:fill="F2F2F2"/>
            <w:vAlign w:val="center"/>
            <w:hideMark/>
          </w:tcPr>
          <w:p w14:paraId="00391A67" w14:textId="77777777" w:rsidR="007C250E" w:rsidRPr="007C250E" w:rsidRDefault="007C250E" w:rsidP="007C250E">
            <w:pPr>
              <w:jc w:val="right"/>
              <w:rPr>
                <w:b/>
                <w:bCs/>
                <w:i/>
                <w:iCs/>
                <w:noProof/>
                <w:sz w:val="16"/>
                <w:szCs w:val="16"/>
              </w:rPr>
            </w:pPr>
            <w:r>
              <w:rPr>
                <w:b/>
                <w:i/>
                <w:noProof/>
                <w:sz w:val="16"/>
              </w:rPr>
              <w:t>1 635 528 875</w:t>
            </w:r>
          </w:p>
        </w:tc>
        <w:tc>
          <w:tcPr>
            <w:tcW w:w="1417" w:type="dxa"/>
            <w:tcBorders>
              <w:top w:val="nil"/>
              <w:left w:val="nil"/>
              <w:bottom w:val="single" w:sz="8" w:space="0" w:color="auto"/>
              <w:right w:val="single" w:sz="8" w:space="0" w:color="auto"/>
            </w:tcBorders>
            <w:shd w:val="clear" w:color="000000" w:fill="F2F2F2"/>
            <w:vAlign w:val="center"/>
            <w:hideMark/>
          </w:tcPr>
          <w:p w14:paraId="29B6A335" w14:textId="77777777" w:rsidR="007C250E" w:rsidRPr="007C250E" w:rsidRDefault="007C250E" w:rsidP="007C250E">
            <w:pPr>
              <w:jc w:val="right"/>
              <w:rPr>
                <w:b/>
                <w:bCs/>
                <w:i/>
                <w:iCs/>
                <w:noProof/>
                <w:sz w:val="16"/>
                <w:szCs w:val="16"/>
              </w:rPr>
            </w:pPr>
            <w:r>
              <w:rPr>
                <w:b/>
                <w:i/>
                <w:noProof/>
                <w:sz w:val="16"/>
              </w:rPr>
              <w:t>1 747 272 316</w:t>
            </w:r>
          </w:p>
        </w:tc>
        <w:tc>
          <w:tcPr>
            <w:tcW w:w="993" w:type="dxa"/>
            <w:tcBorders>
              <w:top w:val="nil"/>
              <w:left w:val="nil"/>
              <w:bottom w:val="single" w:sz="8" w:space="0" w:color="auto"/>
              <w:right w:val="single" w:sz="8" w:space="0" w:color="auto"/>
            </w:tcBorders>
            <w:shd w:val="clear" w:color="000000" w:fill="F2F2F2"/>
            <w:vAlign w:val="center"/>
            <w:hideMark/>
          </w:tcPr>
          <w:p w14:paraId="5E9FEE29" w14:textId="77777777" w:rsidR="007C250E" w:rsidRPr="007C250E" w:rsidRDefault="007C250E" w:rsidP="007C250E">
            <w:pPr>
              <w:jc w:val="right"/>
              <w:rPr>
                <w:b/>
                <w:bCs/>
                <w:i/>
                <w:iCs/>
                <w:noProof/>
                <w:sz w:val="16"/>
                <w:szCs w:val="16"/>
              </w:rPr>
            </w:pPr>
            <w:r>
              <w:rPr>
                <w:b/>
                <w:i/>
                <w:noProof/>
                <w:sz w:val="16"/>
              </w:rPr>
              <w:t xml:space="preserve"> </w:t>
            </w:r>
          </w:p>
        </w:tc>
        <w:tc>
          <w:tcPr>
            <w:tcW w:w="992" w:type="dxa"/>
            <w:tcBorders>
              <w:top w:val="nil"/>
              <w:left w:val="nil"/>
              <w:bottom w:val="single" w:sz="8" w:space="0" w:color="auto"/>
              <w:right w:val="single" w:sz="8" w:space="0" w:color="auto"/>
            </w:tcBorders>
            <w:shd w:val="clear" w:color="000000" w:fill="F2F2F2"/>
            <w:vAlign w:val="center"/>
            <w:hideMark/>
          </w:tcPr>
          <w:p w14:paraId="3880952E" w14:textId="77777777" w:rsidR="007C250E" w:rsidRPr="007C250E" w:rsidRDefault="007C250E" w:rsidP="007C250E">
            <w:pPr>
              <w:jc w:val="right"/>
              <w:rPr>
                <w:b/>
                <w:bCs/>
                <w:i/>
                <w:iCs/>
                <w:noProof/>
                <w:sz w:val="16"/>
                <w:szCs w:val="16"/>
              </w:rPr>
            </w:pPr>
            <w:r>
              <w:rPr>
                <w:b/>
                <w:i/>
                <w:noProof/>
                <w:sz w:val="16"/>
              </w:rPr>
              <w:t xml:space="preserve"> </w:t>
            </w:r>
          </w:p>
        </w:tc>
        <w:tc>
          <w:tcPr>
            <w:tcW w:w="1559" w:type="dxa"/>
            <w:tcBorders>
              <w:top w:val="nil"/>
              <w:left w:val="nil"/>
              <w:bottom w:val="single" w:sz="8" w:space="0" w:color="auto"/>
              <w:right w:val="single" w:sz="8" w:space="0" w:color="auto"/>
            </w:tcBorders>
            <w:shd w:val="clear" w:color="000000" w:fill="F2F2F2"/>
            <w:vAlign w:val="center"/>
            <w:hideMark/>
          </w:tcPr>
          <w:p w14:paraId="37E7C9F9" w14:textId="77777777" w:rsidR="007C250E" w:rsidRPr="007C250E" w:rsidRDefault="007C250E" w:rsidP="007C250E">
            <w:pPr>
              <w:jc w:val="right"/>
              <w:rPr>
                <w:b/>
                <w:bCs/>
                <w:i/>
                <w:iCs/>
                <w:noProof/>
                <w:sz w:val="16"/>
                <w:szCs w:val="16"/>
              </w:rPr>
            </w:pPr>
            <w:r>
              <w:rPr>
                <w:b/>
                <w:i/>
                <w:noProof/>
                <w:sz w:val="16"/>
              </w:rPr>
              <w:t xml:space="preserve">1 635 528 875 </w:t>
            </w:r>
          </w:p>
        </w:tc>
        <w:tc>
          <w:tcPr>
            <w:tcW w:w="1418" w:type="dxa"/>
            <w:tcBorders>
              <w:top w:val="nil"/>
              <w:left w:val="nil"/>
              <w:bottom w:val="single" w:sz="8" w:space="0" w:color="auto"/>
              <w:right w:val="single" w:sz="8" w:space="0" w:color="auto"/>
            </w:tcBorders>
            <w:shd w:val="clear" w:color="000000" w:fill="F2F2F2"/>
            <w:vAlign w:val="center"/>
            <w:hideMark/>
          </w:tcPr>
          <w:p w14:paraId="523C1B24" w14:textId="77777777" w:rsidR="007C250E" w:rsidRPr="007C250E" w:rsidRDefault="007C250E" w:rsidP="007C250E">
            <w:pPr>
              <w:jc w:val="right"/>
              <w:rPr>
                <w:b/>
                <w:bCs/>
                <w:i/>
                <w:iCs/>
                <w:noProof/>
                <w:sz w:val="16"/>
                <w:szCs w:val="16"/>
              </w:rPr>
            </w:pPr>
            <w:r>
              <w:rPr>
                <w:b/>
                <w:i/>
                <w:noProof/>
                <w:sz w:val="16"/>
              </w:rPr>
              <w:t xml:space="preserve">1 747 272 316 </w:t>
            </w:r>
          </w:p>
        </w:tc>
      </w:tr>
      <w:tr w:rsidR="007C250E" w:rsidRPr="007C250E" w14:paraId="50E4B0E6" w14:textId="77777777" w:rsidTr="003C5A89">
        <w:trPr>
          <w:trHeight w:val="405"/>
        </w:trPr>
        <w:tc>
          <w:tcPr>
            <w:tcW w:w="2825"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3BB786F5" w14:textId="77777777" w:rsidR="007C250E" w:rsidRPr="007C250E" w:rsidRDefault="007C250E" w:rsidP="007C250E">
            <w:pPr>
              <w:jc w:val="right"/>
              <w:rPr>
                <w:b/>
                <w:bCs/>
                <w:noProof/>
                <w:sz w:val="16"/>
                <w:szCs w:val="16"/>
              </w:rPr>
            </w:pPr>
            <w:r>
              <w:rPr>
                <w:b/>
                <w:noProof/>
                <w:sz w:val="16"/>
              </w:rPr>
              <w:t>waarvan enkelvoudig marge-instrument (artikel 11, lid 1, punt a))</w:t>
            </w:r>
          </w:p>
        </w:tc>
        <w:tc>
          <w:tcPr>
            <w:tcW w:w="1418" w:type="dxa"/>
            <w:tcBorders>
              <w:top w:val="nil"/>
              <w:left w:val="nil"/>
              <w:bottom w:val="single" w:sz="8" w:space="0" w:color="auto"/>
              <w:right w:val="single" w:sz="8" w:space="0" w:color="auto"/>
            </w:tcBorders>
            <w:shd w:val="clear" w:color="000000" w:fill="F2F2F2"/>
            <w:vAlign w:val="center"/>
            <w:hideMark/>
          </w:tcPr>
          <w:p w14:paraId="0AC1418B" w14:textId="77777777" w:rsidR="007C250E" w:rsidRPr="007C250E" w:rsidRDefault="007C250E" w:rsidP="007C250E">
            <w:pPr>
              <w:jc w:val="right"/>
              <w:rPr>
                <w:b/>
                <w:bCs/>
                <w:i/>
                <w:iCs/>
                <w:noProof/>
                <w:sz w:val="16"/>
                <w:szCs w:val="16"/>
              </w:rPr>
            </w:pPr>
            <w:r>
              <w:rPr>
                <w:b/>
                <w:i/>
                <w:noProof/>
                <w:sz w:val="16"/>
              </w:rPr>
              <w:t>549 442 340</w:t>
            </w:r>
          </w:p>
        </w:tc>
        <w:tc>
          <w:tcPr>
            <w:tcW w:w="1417" w:type="dxa"/>
            <w:tcBorders>
              <w:top w:val="nil"/>
              <w:left w:val="nil"/>
              <w:bottom w:val="single" w:sz="8" w:space="0" w:color="auto"/>
              <w:right w:val="single" w:sz="8" w:space="0" w:color="auto"/>
            </w:tcBorders>
            <w:shd w:val="clear" w:color="000000" w:fill="F2F2F2"/>
            <w:vAlign w:val="center"/>
            <w:hideMark/>
          </w:tcPr>
          <w:p w14:paraId="32FC317C" w14:textId="77777777" w:rsidR="007C250E" w:rsidRPr="007C250E" w:rsidRDefault="007C250E" w:rsidP="007C250E">
            <w:pPr>
              <w:jc w:val="right"/>
              <w:rPr>
                <w:noProof/>
                <w:sz w:val="16"/>
                <w:szCs w:val="16"/>
              </w:rPr>
            </w:pPr>
            <w:r>
              <w:rPr>
                <w:noProof/>
                <w:sz w:val="16"/>
              </w:rPr>
              <w:t xml:space="preserve"> </w:t>
            </w:r>
          </w:p>
        </w:tc>
        <w:tc>
          <w:tcPr>
            <w:tcW w:w="993" w:type="dxa"/>
            <w:tcBorders>
              <w:top w:val="nil"/>
              <w:left w:val="nil"/>
              <w:bottom w:val="single" w:sz="8" w:space="0" w:color="auto"/>
              <w:right w:val="single" w:sz="8" w:space="0" w:color="auto"/>
            </w:tcBorders>
            <w:shd w:val="clear" w:color="000000" w:fill="F2F2F2"/>
            <w:vAlign w:val="center"/>
            <w:hideMark/>
          </w:tcPr>
          <w:p w14:paraId="10034089" w14:textId="77777777" w:rsidR="007C250E" w:rsidRPr="007C250E" w:rsidRDefault="007C250E" w:rsidP="007C250E">
            <w:pPr>
              <w:jc w:val="right"/>
              <w:rPr>
                <w:b/>
                <w:bCs/>
                <w:i/>
                <w:iCs/>
                <w:noProof/>
                <w:sz w:val="16"/>
                <w:szCs w:val="16"/>
              </w:rPr>
            </w:pPr>
            <w:r>
              <w:rPr>
                <w:b/>
                <w:i/>
                <w:noProof/>
                <w:sz w:val="16"/>
              </w:rPr>
              <w:t xml:space="preserve">-67 411 900 </w:t>
            </w:r>
          </w:p>
        </w:tc>
        <w:tc>
          <w:tcPr>
            <w:tcW w:w="992" w:type="dxa"/>
            <w:tcBorders>
              <w:top w:val="nil"/>
              <w:left w:val="nil"/>
              <w:bottom w:val="single" w:sz="8" w:space="0" w:color="auto"/>
              <w:right w:val="single" w:sz="8" w:space="0" w:color="auto"/>
            </w:tcBorders>
            <w:shd w:val="clear" w:color="000000" w:fill="F2F2F2"/>
            <w:vAlign w:val="center"/>
            <w:hideMark/>
          </w:tcPr>
          <w:p w14:paraId="67CF7D1E" w14:textId="77777777" w:rsidR="007C250E" w:rsidRPr="007C250E" w:rsidRDefault="007C250E" w:rsidP="007C250E">
            <w:pPr>
              <w:jc w:val="right"/>
              <w:rPr>
                <w:noProof/>
                <w:sz w:val="16"/>
                <w:szCs w:val="16"/>
              </w:rPr>
            </w:pPr>
            <w:r>
              <w:rPr>
                <w:noProof/>
                <w:sz w:val="16"/>
              </w:rPr>
              <w:t xml:space="preserve"> </w:t>
            </w:r>
          </w:p>
        </w:tc>
        <w:tc>
          <w:tcPr>
            <w:tcW w:w="1559" w:type="dxa"/>
            <w:tcBorders>
              <w:top w:val="nil"/>
              <w:left w:val="nil"/>
              <w:bottom w:val="single" w:sz="8" w:space="0" w:color="auto"/>
              <w:right w:val="single" w:sz="8" w:space="0" w:color="auto"/>
            </w:tcBorders>
            <w:shd w:val="clear" w:color="000000" w:fill="F2F2F2"/>
            <w:vAlign w:val="center"/>
            <w:hideMark/>
          </w:tcPr>
          <w:p w14:paraId="1DFFCE54" w14:textId="77777777" w:rsidR="007C250E" w:rsidRPr="007C250E" w:rsidRDefault="007C250E" w:rsidP="007C250E">
            <w:pPr>
              <w:jc w:val="right"/>
              <w:rPr>
                <w:b/>
                <w:bCs/>
                <w:i/>
                <w:iCs/>
                <w:noProof/>
                <w:sz w:val="16"/>
                <w:szCs w:val="16"/>
              </w:rPr>
            </w:pPr>
            <w:r>
              <w:rPr>
                <w:b/>
                <w:i/>
                <w:noProof/>
                <w:sz w:val="16"/>
              </w:rPr>
              <w:t xml:space="preserve">482 030 440 </w:t>
            </w:r>
          </w:p>
        </w:tc>
        <w:tc>
          <w:tcPr>
            <w:tcW w:w="1418" w:type="dxa"/>
            <w:tcBorders>
              <w:top w:val="nil"/>
              <w:left w:val="nil"/>
              <w:bottom w:val="single" w:sz="8" w:space="0" w:color="auto"/>
              <w:right w:val="single" w:sz="8" w:space="0" w:color="auto"/>
            </w:tcBorders>
            <w:shd w:val="clear" w:color="000000" w:fill="F2F2F2"/>
            <w:vAlign w:val="center"/>
            <w:hideMark/>
          </w:tcPr>
          <w:p w14:paraId="799B2B9A" w14:textId="77777777" w:rsidR="007C250E" w:rsidRPr="007C250E" w:rsidRDefault="007C250E" w:rsidP="007C250E">
            <w:pPr>
              <w:jc w:val="right"/>
              <w:rPr>
                <w:noProof/>
                <w:sz w:val="16"/>
                <w:szCs w:val="16"/>
              </w:rPr>
            </w:pPr>
            <w:r>
              <w:rPr>
                <w:noProof/>
                <w:sz w:val="16"/>
              </w:rPr>
              <w:t xml:space="preserve"> </w:t>
            </w:r>
          </w:p>
        </w:tc>
      </w:tr>
      <w:tr w:rsidR="007C250E" w:rsidRPr="007C250E" w14:paraId="05B0A835" w14:textId="77777777" w:rsidTr="003C5A89">
        <w:trPr>
          <w:trHeight w:val="510"/>
        </w:trPr>
        <w:tc>
          <w:tcPr>
            <w:tcW w:w="2825"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70634E6E" w14:textId="77777777" w:rsidR="007C250E" w:rsidRPr="007C250E" w:rsidRDefault="007C250E" w:rsidP="007C250E">
            <w:pPr>
              <w:jc w:val="right"/>
              <w:rPr>
                <w:b/>
                <w:bCs/>
                <w:noProof/>
                <w:color w:val="000000"/>
                <w:sz w:val="16"/>
                <w:szCs w:val="16"/>
              </w:rPr>
            </w:pPr>
            <w:r>
              <w:rPr>
                <w:b/>
                <w:noProof/>
                <w:color w:val="000000"/>
                <w:sz w:val="16"/>
              </w:rPr>
              <w:t>waarvan enkelvoudig marge-instrument (artikel 11, lid 1, punt c))</w:t>
            </w:r>
          </w:p>
        </w:tc>
        <w:tc>
          <w:tcPr>
            <w:tcW w:w="1418" w:type="dxa"/>
            <w:tcBorders>
              <w:top w:val="nil"/>
              <w:left w:val="nil"/>
              <w:bottom w:val="single" w:sz="8" w:space="0" w:color="auto"/>
              <w:right w:val="single" w:sz="8" w:space="0" w:color="auto"/>
            </w:tcBorders>
            <w:shd w:val="clear" w:color="000000" w:fill="F2F2F2"/>
            <w:vAlign w:val="center"/>
            <w:hideMark/>
          </w:tcPr>
          <w:p w14:paraId="2CC4BADD" w14:textId="77777777" w:rsidR="007C250E" w:rsidRPr="007C250E" w:rsidRDefault="007C250E" w:rsidP="007C250E">
            <w:pPr>
              <w:jc w:val="right"/>
              <w:rPr>
                <w:noProof/>
                <w:color w:val="000000"/>
                <w:sz w:val="16"/>
                <w:szCs w:val="16"/>
              </w:rPr>
            </w:pPr>
            <w:r>
              <w:rPr>
                <w:noProof/>
                <w:color w:val="000000"/>
                <w:sz w:val="16"/>
              </w:rPr>
              <w:t xml:space="preserve"> </w:t>
            </w:r>
          </w:p>
        </w:tc>
        <w:tc>
          <w:tcPr>
            <w:tcW w:w="1417" w:type="dxa"/>
            <w:tcBorders>
              <w:top w:val="nil"/>
              <w:left w:val="nil"/>
              <w:bottom w:val="single" w:sz="8" w:space="0" w:color="auto"/>
              <w:right w:val="single" w:sz="8" w:space="0" w:color="auto"/>
            </w:tcBorders>
            <w:shd w:val="clear" w:color="000000" w:fill="F2F2F2"/>
            <w:vAlign w:val="center"/>
            <w:hideMark/>
          </w:tcPr>
          <w:p w14:paraId="12416F27" w14:textId="77777777" w:rsidR="007C250E" w:rsidRPr="007C250E" w:rsidRDefault="007C250E" w:rsidP="007C250E">
            <w:pPr>
              <w:jc w:val="right"/>
              <w:rPr>
                <w:noProof/>
                <w:color w:val="000000"/>
                <w:sz w:val="16"/>
                <w:szCs w:val="16"/>
              </w:rPr>
            </w:pPr>
            <w:r>
              <w:rPr>
                <w:noProof/>
                <w:color w:val="000000"/>
                <w:sz w:val="16"/>
              </w:rPr>
              <w:t xml:space="preserve"> </w:t>
            </w:r>
          </w:p>
        </w:tc>
        <w:tc>
          <w:tcPr>
            <w:tcW w:w="993" w:type="dxa"/>
            <w:tcBorders>
              <w:top w:val="nil"/>
              <w:left w:val="nil"/>
              <w:bottom w:val="single" w:sz="8" w:space="0" w:color="auto"/>
              <w:right w:val="single" w:sz="8" w:space="0" w:color="auto"/>
            </w:tcBorders>
            <w:shd w:val="clear" w:color="000000" w:fill="F2F2F2"/>
            <w:vAlign w:val="center"/>
            <w:hideMark/>
          </w:tcPr>
          <w:p w14:paraId="7351EDDA" w14:textId="77777777" w:rsidR="007C250E" w:rsidRPr="007C250E" w:rsidRDefault="007C250E" w:rsidP="007C250E">
            <w:pPr>
              <w:jc w:val="right"/>
              <w:rPr>
                <w:noProof/>
                <w:color w:val="000000"/>
                <w:sz w:val="16"/>
                <w:szCs w:val="16"/>
              </w:rPr>
            </w:pPr>
            <w:r>
              <w:rPr>
                <w:noProof/>
                <w:color w:val="000000"/>
                <w:sz w:val="16"/>
              </w:rPr>
              <w:t xml:space="preserve"> </w:t>
            </w:r>
          </w:p>
        </w:tc>
        <w:tc>
          <w:tcPr>
            <w:tcW w:w="992" w:type="dxa"/>
            <w:tcBorders>
              <w:top w:val="nil"/>
              <w:left w:val="nil"/>
              <w:bottom w:val="single" w:sz="8" w:space="0" w:color="auto"/>
              <w:right w:val="single" w:sz="8" w:space="0" w:color="auto"/>
            </w:tcBorders>
            <w:shd w:val="clear" w:color="000000" w:fill="F2F2F2"/>
            <w:vAlign w:val="center"/>
            <w:hideMark/>
          </w:tcPr>
          <w:p w14:paraId="291EB75D" w14:textId="77777777" w:rsidR="007C250E" w:rsidRPr="007C250E" w:rsidRDefault="007C250E" w:rsidP="007C250E">
            <w:pPr>
              <w:jc w:val="right"/>
              <w:rPr>
                <w:noProof/>
                <w:color w:val="000000"/>
                <w:sz w:val="16"/>
                <w:szCs w:val="16"/>
              </w:rPr>
            </w:pPr>
            <w:r>
              <w:rPr>
                <w:noProof/>
                <w:color w:val="000000"/>
                <w:sz w:val="16"/>
              </w:rPr>
              <w:t xml:space="preserve"> </w:t>
            </w:r>
          </w:p>
        </w:tc>
        <w:tc>
          <w:tcPr>
            <w:tcW w:w="1559" w:type="dxa"/>
            <w:tcBorders>
              <w:top w:val="nil"/>
              <w:left w:val="nil"/>
              <w:bottom w:val="single" w:sz="8" w:space="0" w:color="auto"/>
              <w:right w:val="single" w:sz="8" w:space="0" w:color="auto"/>
            </w:tcBorders>
            <w:shd w:val="clear" w:color="000000" w:fill="F2F2F2"/>
            <w:vAlign w:val="center"/>
            <w:hideMark/>
          </w:tcPr>
          <w:p w14:paraId="1A6D254F" w14:textId="77777777" w:rsidR="007C250E" w:rsidRPr="007C250E" w:rsidRDefault="007C250E" w:rsidP="007C250E">
            <w:pPr>
              <w:jc w:val="right"/>
              <w:rPr>
                <w:noProof/>
                <w:color w:val="000000"/>
                <w:sz w:val="16"/>
                <w:szCs w:val="16"/>
              </w:rPr>
            </w:pPr>
            <w:r>
              <w:rPr>
                <w:noProof/>
                <w:color w:val="000000"/>
                <w:sz w:val="16"/>
              </w:rPr>
              <w:t xml:space="preserve"> </w:t>
            </w:r>
          </w:p>
        </w:tc>
        <w:tc>
          <w:tcPr>
            <w:tcW w:w="1418" w:type="dxa"/>
            <w:tcBorders>
              <w:top w:val="nil"/>
              <w:left w:val="nil"/>
              <w:bottom w:val="single" w:sz="8" w:space="0" w:color="auto"/>
              <w:right w:val="single" w:sz="8" w:space="0" w:color="auto"/>
            </w:tcBorders>
            <w:shd w:val="clear" w:color="000000" w:fill="F2F2F2"/>
            <w:vAlign w:val="center"/>
            <w:hideMark/>
          </w:tcPr>
          <w:p w14:paraId="683CF5D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E8C57EE" w14:textId="77777777" w:rsidTr="003C5A89">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65319DF8"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F2F2F2"/>
            <w:vAlign w:val="center"/>
            <w:hideMark/>
          </w:tcPr>
          <w:p w14:paraId="3B860D15" w14:textId="77777777" w:rsidR="007C250E" w:rsidRPr="007C250E" w:rsidRDefault="007C250E" w:rsidP="007C250E">
            <w:pPr>
              <w:jc w:val="right"/>
              <w:rPr>
                <w:b/>
                <w:bCs/>
                <w:i/>
                <w:iCs/>
                <w:noProof/>
                <w:sz w:val="16"/>
                <w:szCs w:val="16"/>
              </w:rPr>
            </w:pPr>
            <w:r>
              <w:rPr>
                <w:b/>
                <w:i/>
                <w:noProof/>
                <w:sz w:val="16"/>
              </w:rPr>
              <w:t>Marge</w:t>
            </w:r>
          </w:p>
        </w:tc>
        <w:tc>
          <w:tcPr>
            <w:tcW w:w="1418" w:type="dxa"/>
            <w:tcBorders>
              <w:top w:val="nil"/>
              <w:left w:val="nil"/>
              <w:bottom w:val="single" w:sz="8" w:space="0" w:color="auto"/>
              <w:right w:val="single" w:sz="8" w:space="0" w:color="auto"/>
            </w:tcBorders>
            <w:shd w:val="clear" w:color="000000" w:fill="F2F2F2"/>
            <w:vAlign w:val="center"/>
            <w:hideMark/>
          </w:tcPr>
          <w:p w14:paraId="20B0BE3D" w14:textId="77777777" w:rsidR="007C250E" w:rsidRPr="007C250E" w:rsidRDefault="007C250E" w:rsidP="007C250E">
            <w:pPr>
              <w:jc w:val="right"/>
              <w:rPr>
                <w:b/>
                <w:bCs/>
                <w:i/>
                <w:iCs/>
                <w:noProof/>
                <w:sz w:val="16"/>
                <w:szCs w:val="16"/>
              </w:rPr>
            </w:pPr>
            <w:r>
              <w:rPr>
                <w:b/>
                <w:i/>
                <w:noProof/>
                <w:sz w:val="16"/>
              </w:rPr>
              <w:t>367 854 887</w:t>
            </w:r>
          </w:p>
        </w:tc>
        <w:tc>
          <w:tcPr>
            <w:tcW w:w="1417" w:type="dxa"/>
            <w:tcBorders>
              <w:top w:val="nil"/>
              <w:left w:val="nil"/>
              <w:bottom w:val="single" w:sz="8" w:space="0" w:color="auto"/>
              <w:right w:val="single" w:sz="8" w:space="0" w:color="auto"/>
            </w:tcBorders>
            <w:shd w:val="clear" w:color="000000" w:fill="F2F2F2"/>
            <w:vAlign w:val="center"/>
            <w:hideMark/>
          </w:tcPr>
          <w:p w14:paraId="377EFB4F" w14:textId="77777777" w:rsidR="007C250E" w:rsidRPr="007C250E" w:rsidRDefault="007C250E" w:rsidP="007C250E">
            <w:pPr>
              <w:jc w:val="right"/>
              <w:rPr>
                <w:b/>
                <w:bCs/>
                <w:i/>
                <w:iCs/>
                <w:noProof/>
                <w:sz w:val="16"/>
                <w:szCs w:val="16"/>
              </w:rPr>
            </w:pPr>
            <w:r>
              <w:rPr>
                <w:b/>
                <w:i/>
                <w:noProof/>
                <w:sz w:val="16"/>
              </w:rPr>
              <w:t>30 608 289 300</w:t>
            </w:r>
          </w:p>
        </w:tc>
        <w:tc>
          <w:tcPr>
            <w:tcW w:w="993" w:type="dxa"/>
            <w:tcBorders>
              <w:top w:val="nil"/>
              <w:left w:val="nil"/>
              <w:bottom w:val="single" w:sz="8" w:space="0" w:color="auto"/>
              <w:right w:val="single" w:sz="8" w:space="0" w:color="auto"/>
            </w:tcBorders>
            <w:shd w:val="clear" w:color="000000" w:fill="F2F2F2"/>
            <w:vAlign w:val="center"/>
            <w:hideMark/>
          </w:tcPr>
          <w:p w14:paraId="1D7BD4AD" w14:textId="77777777" w:rsidR="007C250E" w:rsidRPr="007C250E" w:rsidRDefault="007C250E" w:rsidP="007C250E">
            <w:pPr>
              <w:jc w:val="right"/>
              <w:rPr>
                <w:b/>
                <w:bCs/>
                <w:i/>
                <w:iCs/>
                <w:noProof/>
                <w:sz w:val="16"/>
                <w:szCs w:val="16"/>
              </w:rPr>
            </w:pPr>
            <w:r>
              <w:rPr>
                <w:b/>
                <w:i/>
                <w:noProof/>
                <w:sz w:val="16"/>
              </w:rPr>
              <w:t xml:space="preserve"> </w:t>
            </w:r>
          </w:p>
        </w:tc>
        <w:tc>
          <w:tcPr>
            <w:tcW w:w="992" w:type="dxa"/>
            <w:tcBorders>
              <w:top w:val="nil"/>
              <w:left w:val="nil"/>
              <w:bottom w:val="single" w:sz="8" w:space="0" w:color="auto"/>
              <w:right w:val="single" w:sz="8" w:space="0" w:color="auto"/>
            </w:tcBorders>
            <w:shd w:val="clear" w:color="000000" w:fill="F2F2F2"/>
            <w:vAlign w:val="center"/>
            <w:hideMark/>
          </w:tcPr>
          <w:p w14:paraId="329AB58F" w14:textId="77777777" w:rsidR="007C250E" w:rsidRPr="007C250E" w:rsidRDefault="007C250E" w:rsidP="007C250E">
            <w:pPr>
              <w:jc w:val="right"/>
              <w:rPr>
                <w:b/>
                <w:bCs/>
                <w:i/>
                <w:iCs/>
                <w:noProof/>
                <w:sz w:val="16"/>
                <w:szCs w:val="16"/>
              </w:rPr>
            </w:pPr>
            <w:r>
              <w:rPr>
                <w:b/>
                <w:i/>
                <w:noProof/>
                <w:sz w:val="16"/>
              </w:rPr>
              <w:t xml:space="preserve">67 411 900 </w:t>
            </w:r>
          </w:p>
        </w:tc>
        <w:tc>
          <w:tcPr>
            <w:tcW w:w="1559" w:type="dxa"/>
            <w:tcBorders>
              <w:top w:val="nil"/>
              <w:left w:val="nil"/>
              <w:bottom w:val="single" w:sz="8" w:space="0" w:color="auto"/>
              <w:right w:val="single" w:sz="8" w:space="0" w:color="auto"/>
            </w:tcBorders>
            <w:shd w:val="clear" w:color="000000" w:fill="F2F2F2"/>
            <w:vAlign w:val="center"/>
            <w:hideMark/>
          </w:tcPr>
          <w:p w14:paraId="7433F814" w14:textId="77777777" w:rsidR="007C250E" w:rsidRPr="007C250E" w:rsidRDefault="007C250E" w:rsidP="007C250E">
            <w:pPr>
              <w:jc w:val="right"/>
              <w:rPr>
                <w:b/>
                <w:bCs/>
                <w:i/>
                <w:iCs/>
                <w:noProof/>
                <w:sz w:val="16"/>
                <w:szCs w:val="16"/>
              </w:rPr>
            </w:pPr>
            <w:r>
              <w:rPr>
                <w:b/>
                <w:i/>
                <w:noProof/>
                <w:sz w:val="16"/>
              </w:rPr>
              <w:t xml:space="preserve">367 854 887 </w:t>
            </w:r>
          </w:p>
        </w:tc>
        <w:tc>
          <w:tcPr>
            <w:tcW w:w="1418" w:type="dxa"/>
            <w:tcBorders>
              <w:top w:val="nil"/>
              <w:left w:val="nil"/>
              <w:bottom w:val="single" w:sz="8" w:space="0" w:color="auto"/>
              <w:right w:val="single" w:sz="8" w:space="0" w:color="auto"/>
            </w:tcBorders>
            <w:shd w:val="clear" w:color="000000" w:fill="F2F2F2"/>
            <w:vAlign w:val="center"/>
            <w:hideMark/>
          </w:tcPr>
          <w:p w14:paraId="08C0FBE6" w14:textId="77777777" w:rsidR="007C250E" w:rsidRPr="007C250E" w:rsidRDefault="007C250E" w:rsidP="007C250E">
            <w:pPr>
              <w:jc w:val="right"/>
              <w:rPr>
                <w:b/>
                <w:bCs/>
                <w:i/>
                <w:iCs/>
                <w:noProof/>
                <w:sz w:val="16"/>
                <w:szCs w:val="16"/>
              </w:rPr>
            </w:pPr>
            <w:r>
              <w:rPr>
                <w:b/>
                <w:i/>
                <w:noProof/>
                <w:sz w:val="16"/>
              </w:rPr>
              <w:t xml:space="preserve">30 675 701 200 </w:t>
            </w:r>
          </w:p>
        </w:tc>
      </w:tr>
      <w:tr w:rsidR="007C250E" w:rsidRPr="007C250E" w14:paraId="72C7BD89"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19163A34" w14:textId="77777777" w:rsidR="007C250E" w:rsidRPr="007C250E" w:rsidRDefault="007C250E" w:rsidP="007C250E">
            <w:pPr>
              <w:jc w:val="right"/>
              <w:rPr>
                <w:b/>
                <w:bCs/>
                <w:noProof/>
                <w:sz w:val="16"/>
                <w:szCs w:val="16"/>
              </w:rPr>
            </w:pPr>
            <w:r>
              <w:rPr>
                <w:b/>
                <w:noProof/>
                <w:sz w:val="16"/>
              </w:rPr>
              <w:t>Kredieten als % van het bni</w:t>
            </w:r>
          </w:p>
        </w:tc>
        <w:tc>
          <w:tcPr>
            <w:tcW w:w="1418" w:type="dxa"/>
            <w:tcBorders>
              <w:top w:val="nil"/>
              <w:left w:val="nil"/>
              <w:bottom w:val="single" w:sz="8" w:space="0" w:color="auto"/>
              <w:right w:val="single" w:sz="8" w:space="0" w:color="auto"/>
            </w:tcBorders>
            <w:shd w:val="clear" w:color="000000" w:fill="BFBFBF"/>
            <w:vAlign w:val="center"/>
            <w:hideMark/>
          </w:tcPr>
          <w:p w14:paraId="04C3905F" w14:textId="77777777" w:rsidR="007C250E" w:rsidRPr="007C250E" w:rsidRDefault="007C250E" w:rsidP="007C250E">
            <w:pPr>
              <w:jc w:val="right"/>
              <w:rPr>
                <w:b/>
                <w:bCs/>
                <w:noProof/>
                <w:sz w:val="16"/>
                <w:szCs w:val="16"/>
              </w:rPr>
            </w:pPr>
            <w:r>
              <w:rPr>
                <w:b/>
                <w:noProof/>
                <w:sz w:val="16"/>
              </w:rPr>
              <w:t>1,06 %</w:t>
            </w:r>
          </w:p>
        </w:tc>
        <w:tc>
          <w:tcPr>
            <w:tcW w:w="1417" w:type="dxa"/>
            <w:tcBorders>
              <w:top w:val="nil"/>
              <w:left w:val="nil"/>
              <w:bottom w:val="single" w:sz="8" w:space="0" w:color="auto"/>
              <w:right w:val="single" w:sz="8" w:space="0" w:color="auto"/>
            </w:tcBorders>
            <w:shd w:val="clear" w:color="000000" w:fill="BFBFBF"/>
            <w:vAlign w:val="center"/>
            <w:hideMark/>
          </w:tcPr>
          <w:p w14:paraId="5D8637D2" w14:textId="77777777" w:rsidR="007C250E" w:rsidRPr="007C250E" w:rsidRDefault="007C250E" w:rsidP="007C250E">
            <w:pPr>
              <w:jc w:val="right"/>
              <w:rPr>
                <w:b/>
                <w:bCs/>
                <w:noProof/>
                <w:sz w:val="16"/>
                <w:szCs w:val="16"/>
              </w:rPr>
            </w:pPr>
            <w:r>
              <w:rPr>
                <w:b/>
                <w:noProof/>
                <w:sz w:val="16"/>
              </w:rPr>
              <w:t>0,80 %</w:t>
            </w:r>
          </w:p>
        </w:tc>
        <w:tc>
          <w:tcPr>
            <w:tcW w:w="993" w:type="dxa"/>
            <w:tcBorders>
              <w:top w:val="nil"/>
              <w:left w:val="nil"/>
              <w:bottom w:val="single" w:sz="8" w:space="0" w:color="auto"/>
              <w:right w:val="single" w:sz="8" w:space="0" w:color="auto"/>
            </w:tcBorders>
            <w:shd w:val="clear" w:color="000000" w:fill="BFBFBF"/>
            <w:vAlign w:val="center"/>
            <w:hideMark/>
          </w:tcPr>
          <w:p w14:paraId="01184CAF" w14:textId="77777777" w:rsidR="007C250E" w:rsidRPr="007C250E" w:rsidRDefault="007C250E" w:rsidP="007C250E">
            <w:pPr>
              <w:jc w:val="right"/>
              <w:rPr>
                <w:b/>
                <w:bCs/>
                <w:noProof/>
                <w:sz w:val="16"/>
                <w:szCs w:val="16"/>
              </w:rPr>
            </w:pPr>
            <w:r>
              <w:rPr>
                <w:b/>
                <w:noProof/>
                <w:sz w:val="16"/>
              </w:rPr>
              <w:t>0,00 %</w:t>
            </w:r>
          </w:p>
        </w:tc>
        <w:tc>
          <w:tcPr>
            <w:tcW w:w="992" w:type="dxa"/>
            <w:tcBorders>
              <w:top w:val="nil"/>
              <w:left w:val="nil"/>
              <w:bottom w:val="single" w:sz="8" w:space="0" w:color="auto"/>
              <w:right w:val="single" w:sz="8" w:space="0" w:color="auto"/>
            </w:tcBorders>
            <w:shd w:val="clear" w:color="000000" w:fill="BFBFBF"/>
            <w:vAlign w:val="center"/>
            <w:hideMark/>
          </w:tcPr>
          <w:p w14:paraId="1C427D70" w14:textId="77777777" w:rsidR="007C250E" w:rsidRPr="007C250E" w:rsidRDefault="007C250E" w:rsidP="007C250E">
            <w:pPr>
              <w:jc w:val="right"/>
              <w:rPr>
                <w:b/>
                <w:bCs/>
                <w:noProof/>
                <w:sz w:val="16"/>
                <w:szCs w:val="16"/>
              </w:rPr>
            </w:pPr>
            <w:r>
              <w:rPr>
                <w:b/>
                <w:noProof/>
                <w:sz w:val="16"/>
              </w:rPr>
              <w:t>0,00 %</w:t>
            </w:r>
          </w:p>
        </w:tc>
        <w:tc>
          <w:tcPr>
            <w:tcW w:w="1559" w:type="dxa"/>
            <w:tcBorders>
              <w:top w:val="nil"/>
              <w:left w:val="nil"/>
              <w:bottom w:val="single" w:sz="8" w:space="0" w:color="auto"/>
              <w:right w:val="single" w:sz="8" w:space="0" w:color="auto"/>
            </w:tcBorders>
            <w:shd w:val="clear" w:color="000000" w:fill="BFBFBF"/>
            <w:vAlign w:val="center"/>
            <w:hideMark/>
          </w:tcPr>
          <w:p w14:paraId="3DD2FD71" w14:textId="77777777" w:rsidR="007C250E" w:rsidRPr="007C250E" w:rsidRDefault="007C250E" w:rsidP="007C250E">
            <w:pPr>
              <w:jc w:val="right"/>
              <w:rPr>
                <w:b/>
                <w:bCs/>
                <w:noProof/>
                <w:sz w:val="16"/>
                <w:szCs w:val="16"/>
              </w:rPr>
            </w:pPr>
            <w:r>
              <w:rPr>
                <w:b/>
                <w:noProof/>
                <w:sz w:val="16"/>
              </w:rPr>
              <w:t>1,06 %</w:t>
            </w:r>
          </w:p>
        </w:tc>
        <w:tc>
          <w:tcPr>
            <w:tcW w:w="1418" w:type="dxa"/>
            <w:tcBorders>
              <w:top w:val="nil"/>
              <w:left w:val="nil"/>
              <w:bottom w:val="single" w:sz="8" w:space="0" w:color="auto"/>
              <w:right w:val="single" w:sz="8" w:space="0" w:color="auto"/>
            </w:tcBorders>
            <w:shd w:val="clear" w:color="000000" w:fill="BFBFBF"/>
            <w:vAlign w:val="center"/>
            <w:hideMark/>
          </w:tcPr>
          <w:p w14:paraId="6251AF87" w14:textId="77777777" w:rsidR="007C250E" w:rsidRPr="007C250E" w:rsidRDefault="007C250E" w:rsidP="007C250E">
            <w:pPr>
              <w:jc w:val="right"/>
              <w:rPr>
                <w:b/>
                <w:bCs/>
                <w:noProof/>
                <w:sz w:val="16"/>
                <w:szCs w:val="16"/>
              </w:rPr>
            </w:pPr>
            <w:r>
              <w:rPr>
                <w:b/>
                <w:noProof/>
                <w:sz w:val="16"/>
              </w:rPr>
              <w:t>0,80 %</w:t>
            </w:r>
          </w:p>
        </w:tc>
      </w:tr>
      <w:tr w:rsidR="007C250E" w:rsidRPr="007C250E" w14:paraId="78C5C07F" w14:textId="77777777" w:rsidTr="003C5A89">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73BF1565"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000000" w:fill="D9D9D9"/>
            <w:vAlign w:val="center"/>
            <w:hideMark/>
          </w:tcPr>
          <w:p w14:paraId="04A4C1CD" w14:textId="77777777" w:rsidR="007C250E" w:rsidRPr="007C250E" w:rsidRDefault="007C250E" w:rsidP="007C250E">
            <w:pPr>
              <w:jc w:val="right"/>
              <w:rPr>
                <w:b/>
                <w:bCs/>
                <w:noProof/>
                <w:sz w:val="16"/>
                <w:szCs w:val="16"/>
              </w:rPr>
            </w:pPr>
            <w:r>
              <w:rPr>
                <w:b/>
                <w:noProof/>
                <w:sz w:val="16"/>
              </w:rPr>
              <w:t>Thematische speciale instrumenten</w:t>
            </w:r>
          </w:p>
        </w:tc>
        <w:tc>
          <w:tcPr>
            <w:tcW w:w="1418" w:type="dxa"/>
            <w:tcBorders>
              <w:top w:val="nil"/>
              <w:left w:val="nil"/>
              <w:bottom w:val="single" w:sz="8" w:space="0" w:color="auto"/>
              <w:right w:val="single" w:sz="8" w:space="0" w:color="auto"/>
            </w:tcBorders>
            <w:shd w:val="clear" w:color="000000" w:fill="D9D9D9"/>
            <w:vAlign w:val="center"/>
            <w:hideMark/>
          </w:tcPr>
          <w:p w14:paraId="3FAB7D8F" w14:textId="77777777" w:rsidR="007C250E" w:rsidRPr="007C250E" w:rsidRDefault="007C250E" w:rsidP="007C250E">
            <w:pPr>
              <w:jc w:val="right"/>
              <w:rPr>
                <w:b/>
                <w:bCs/>
                <w:noProof/>
                <w:sz w:val="16"/>
                <w:szCs w:val="16"/>
              </w:rPr>
            </w:pPr>
            <w:r>
              <w:rPr>
                <w:b/>
                <w:noProof/>
                <w:sz w:val="16"/>
              </w:rPr>
              <w:t>1 560 861 211</w:t>
            </w:r>
          </w:p>
        </w:tc>
        <w:tc>
          <w:tcPr>
            <w:tcW w:w="1417" w:type="dxa"/>
            <w:tcBorders>
              <w:top w:val="nil"/>
              <w:left w:val="nil"/>
              <w:bottom w:val="single" w:sz="8" w:space="0" w:color="auto"/>
              <w:right w:val="single" w:sz="8" w:space="0" w:color="auto"/>
            </w:tcBorders>
            <w:shd w:val="clear" w:color="000000" w:fill="D9D9D9"/>
            <w:vAlign w:val="center"/>
            <w:hideMark/>
          </w:tcPr>
          <w:p w14:paraId="30FCB79C" w14:textId="77777777" w:rsidR="007C250E" w:rsidRPr="007C250E" w:rsidRDefault="007C250E" w:rsidP="007C250E">
            <w:pPr>
              <w:jc w:val="right"/>
              <w:rPr>
                <w:b/>
                <w:bCs/>
                <w:noProof/>
                <w:sz w:val="16"/>
                <w:szCs w:val="16"/>
              </w:rPr>
            </w:pPr>
            <w:r>
              <w:rPr>
                <w:b/>
                <w:noProof/>
                <w:sz w:val="16"/>
              </w:rPr>
              <w:t>1 371 395 001</w:t>
            </w:r>
          </w:p>
        </w:tc>
        <w:tc>
          <w:tcPr>
            <w:tcW w:w="993" w:type="dxa"/>
            <w:tcBorders>
              <w:top w:val="nil"/>
              <w:left w:val="nil"/>
              <w:bottom w:val="single" w:sz="8" w:space="0" w:color="auto"/>
              <w:right w:val="single" w:sz="8" w:space="0" w:color="auto"/>
            </w:tcBorders>
            <w:shd w:val="clear" w:color="000000" w:fill="D9D9D9"/>
            <w:vAlign w:val="center"/>
            <w:hideMark/>
          </w:tcPr>
          <w:p w14:paraId="6A1C9B49" w14:textId="77777777" w:rsidR="007C250E" w:rsidRPr="007C250E" w:rsidRDefault="007C250E" w:rsidP="007C250E">
            <w:pPr>
              <w:jc w:val="right"/>
              <w:rPr>
                <w:b/>
                <w:bCs/>
                <w:noProof/>
                <w:sz w:val="16"/>
                <w:szCs w:val="16"/>
              </w:rPr>
            </w:pPr>
            <w:r>
              <w:rPr>
                <w:b/>
                <w:noProof/>
                <w:sz w:val="16"/>
              </w:rPr>
              <w:t xml:space="preserve"> </w:t>
            </w:r>
          </w:p>
        </w:tc>
        <w:tc>
          <w:tcPr>
            <w:tcW w:w="992" w:type="dxa"/>
            <w:tcBorders>
              <w:top w:val="nil"/>
              <w:left w:val="nil"/>
              <w:bottom w:val="single" w:sz="8" w:space="0" w:color="auto"/>
              <w:right w:val="single" w:sz="8" w:space="0" w:color="auto"/>
            </w:tcBorders>
            <w:shd w:val="clear" w:color="000000" w:fill="D9D9D9"/>
            <w:vAlign w:val="center"/>
            <w:hideMark/>
          </w:tcPr>
          <w:p w14:paraId="667E2186" w14:textId="77777777" w:rsidR="007C250E" w:rsidRPr="007C250E" w:rsidRDefault="007C250E" w:rsidP="007C250E">
            <w:pPr>
              <w:jc w:val="right"/>
              <w:rPr>
                <w:b/>
                <w:bCs/>
                <w:noProof/>
                <w:sz w:val="16"/>
                <w:szCs w:val="16"/>
              </w:rPr>
            </w:pPr>
            <w:r>
              <w:rPr>
                <w:b/>
                <w:noProof/>
                <w:sz w:val="16"/>
              </w:rPr>
              <w:t xml:space="preserve"> </w:t>
            </w:r>
          </w:p>
        </w:tc>
        <w:tc>
          <w:tcPr>
            <w:tcW w:w="1559" w:type="dxa"/>
            <w:tcBorders>
              <w:top w:val="nil"/>
              <w:left w:val="nil"/>
              <w:bottom w:val="single" w:sz="8" w:space="0" w:color="auto"/>
              <w:right w:val="single" w:sz="8" w:space="0" w:color="auto"/>
            </w:tcBorders>
            <w:shd w:val="clear" w:color="000000" w:fill="D9D9D9"/>
            <w:vAlign w:val="center"/>
            <w:hideMark/>
          </w:tcPr>
          <w:p w14:paraId="0FD90200" w14:textId="77777777" w:rsidR="007C250E" w:rsidRPr="007C250E" w:rsidRDefault="007C250E" w:rsidP="007C250E">
            <w:pPr>
              <w:jc w:val="right"/>
              <w:rPr>
                <w:b/>
                <w:bCs/>
                <w:noProof/>
                <w:sz w:val="16"/>
                <w:szCs w:val="16"/>
              </w:rPr>
            </w:pPr>
            <w:r>
              <w:rPr>
                <w:b/>
                <w:noProof/>
                <w:sz w:val="16"/>
              </w:rPr>
              <w:t xml:space="preserve">1 560 861 211 </w:t>
            </w:r>
          </w:p>
        </w:tc>
        <w:tc>
          <w:tcPr>
            <w:tcW w:w="1418" w:type="dxa"/>
            <w:tcBorders>
              <w:top w:val="nil"/>
              <w:left w:val="nil"/>
              <w:bottom w:val="single" w:sz="8" w:space="0" w:color="auto"/>
              <w:right w:val="single" w:sz="8" w:space="0" w:color="auto"/>
            </w:tcBorders>
            <w:shd w:val="clear" w:color="000000" w:fill="D9D9D9"/>
            <w:vAlign w:val="center"/>
            <w:hideMark/>
          </w:tcPr>
          <w:p w14:paraId="132E7832" w14:textId="77777777" w:rsidR="007C250E" w:rsidRPr="007C250E" w:rsidRDefault="007C250E" w:rsidP="007C250E">
            <w:pPr>
              <w:jc w:val="right"/>
              <w:rPr>
                <w:b/>
                <w:bCs/>
                <w:noProof/>
                <w:sz w:val="16"/>
                <w:szCs w:val="16"/>
              </w:rPr>
            </w:pPr>
            <w:r>
              <w:rPr>
                <w:b/>
                <w:noProof/>
                <w:sz w:val="16"/>
              </w:rPr>
              <w:t xml:space="preserve">1 371 395 001 </w:t>
            </w:r>
          </w:p>
        </w:tc>
      </w:tr>
      <w:tr w:rsidR="007C250E" w:rsidRPr="007C250E" w14:paraId="68BD777E"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5576BA07" w14:textId="77777777" w:rsidR="007C250E" w:rsidRPr="007C250E" w:rsidRDefault="007C250E" w:rsidP="007C250E">
            <w:pPr>
              <w:jc w:val="both"/>
              <w:rPr>
                <w:noProof/>
                <w:sz w:val="16"/>
                <w:szCs w:val="16"/>
              </w:rPr>
            </w:pPr>
            <w:r>
              <w:rPr>
                <w:noProof/>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46CB7BFA" w14:textId="77777777" w:rsidR="007C250E" w:rsidRPr="007C250E" w:rsidRDefault="007C250E" w:rsidP="007C250E">
            <w:pPr>
              <w:jc w:val="right"/>
              <w:rPr>
                <w:i/>
                <w:iCs/>
                <w:noProof/>
                <w:sz w:val="16"/>
                <w:szCs w:val="16"/>
              </w:rPr>
            </w:pPr>
            <w:r>
              <w:rPr>
                <w:i/>
                <w:noProof/>
                <w:sz w:val="16"/>
              </w:rPr>
              <w:t>Reserve voor solidariteit en noodhulp (SEAR)</w:t>
            </w:r>
          </w:p>
        </w:tc>
        <w:tc>
          <w:tcPr>
            <w:tcW w:w="1418" w:type="dxa"/>
            <w:tcBorders>
              <w:top w:val="nil"/>
              <w:left w:val="nil"/>
              <w:bottom w:val="single" w:sz="8" w:space="0" w:color="auto"/>
              <w:right w:val="single" w:sz="8" w:space="0" w:color="auto"/>
            </w:tcBorders>
            <w:shd w:val="clear" w:color="auto" w:fill="auto"/>
            <w:vAlign w:val="center"/>
            <w:hideMark/>
          </w:tcPr>
          <w:p w14:paraId="07601312" w14:textId="77777777" w:rsidR="007C250E" w:rsidRPr="007C250E" w:rsidRDefault="007C250E" w:rsidP="007C250E">
            <w:pPr>
              <w:jc w:val="right"/>
              <w:rPr>
                <w:i/>
                <w:iCs/>
                <w:noProof/>
                <w:sz w:val="16"/>
                <w:szCs w:val="16"/>
              </w:rPr>
            </w:pPr>
            <w:r>
              <w:rPr>
                <w:i/>
                <w:noProof/>
                <w:sz w:val="16"/>
              </w:rPr>
              <w:t>1 351 395 001</w:t>
            </w:r>
          </w:p>
        </w:tc>
        <w:tc>
          <w:tcPr>
            <w:tcW w:w="1417" w:type="dxa"/>
            <w:tcBorders>
              <w:top w:val="nil"/>
              <w:left w:val="nil"/>
              <w:bottom w:val="single" w:sz="8" w:space="0" w:color="auto"/>
              <w:right w:val="single" w:sz="8" w:space="0" w:color="auto"/>
            </w:tcBorders>
            <w:shd w:val="clear" w:color="auto" w:fill="auto"/>
            <w:vAlign w:val="center"/>
            <w:hideMark/>
          </w:tcPr>
          <w:p w14:paraId="0BC84693" w14:textId="77777777" w:rsidR="007C250E" w:rsidRPr="007C250E" w:rsidRDefault="007C250E" w:rsidP="007C250E">
            <w:pPr>
              <w:jc w:val="right"/>
              <w:rPr>
                <w:i/>
                <w:iCs/>
                <w:noProof/>
                <w:sz w:val="16"/>
                <w:szCs w:val="16"/>
              </w:rPr>
            </w:pPr>
            <w:r>
              <w:rPr>
                <w:i/>
                <w:noProof/>
                <w:sz w:val="16"/>
              </w:rPr>
              <w:t>1 351 395 001</w:t>
            </w:r>
          </w:p>
        </w:tc>
        <w:tc>
          <w:tcPr>
            <w:tcW w:w="993" w:type="dxa"/>
            <w:tcBorders>
              <w:top w:val="nil"/>
              <w:left w:val="nil"/>
              <w:bottom w:val="single" w:sz="8" w:space="0" w:color="auto"/>
              <w:right w:val="single" w:sz="8" w:space="0" w:color="auto"/>
            </w:tcBorders>
            <w:shd w:val="clear" w:color="auto" w:fill="auto"/>
            <w:vAlign w:val="center"/>
            <w:hideMark/>
          </w:tcPr>
          <w:p w14:paraId="1D482F40" w14:textId="77777777" w:rsidR="007C250E" w:rsidRPr="007C250E" w:rsidRDefault="007C250E" w:rsidP="007C250E">
            <w:pPr>
              <w:jc w:val="right"/>
              <w:rPr>
                <w:i/>
                <w:iCs/>
                <w:noProof/>
                <w:sz w:val="16"/>
                <w:szCs w:val="16"/>
              </w:rPr>
            </w:pPr>
            <w:r>
              <w:rPr>
                <w:i/>
                <w:noProof/>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7549666A" w14:textId="77777777" w:rsidR="007C250E" w:rsidRPr="007C250E" w:rsidRDefault="007C250E" w:rsidP="007C250E">
            <w:pPr>
              <w:jc w:val="right"/>
              <w:rPr>
                <w:i/>
                <w:iCs/>
                <w:noProof/>
                <w:sz w:val="16"/>
                <w:szCs w:val="16"/>
              </w:rPr>
            </w:pPr>
            <w:r>
              <w:rPr>
                <w:i/>
                <w:noProof/>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1BEAEB3E" w14:textId="77777777" w:rsidR="007C250E" w:rsidRPr="007C250E" w:rsidRDefault="007C250E" w:rsidP="007C250E">
            <w:pPr>
              <w:jc w:val="right"/>
              <w:rPr>
                <w:i/>
                <w:iCs/>
                <w:noProof/>
                <w:sz w:val="16"/>
                <w:szCs w:val="16"/>
              </w:rPr>
            </w:pPr>
            <w:r>
              <w:rPr>
                <w:i/>
                <w:noProof/>
                <w:sz w:val="16"/>
              </w:rPr>
              <w:t xml:space="preserve">1 351 395 001 </w:t>
            </w:r>
          </w:p>
        </w:tc>
        <w:tc>
          <w:tcPr>
            <w:tcW w:w="1418" w:type="dxa"/>
            <w:tcBorders>
              <w:top w:val="nil"/>
              <w:left w:val="nil"/>
              <w:bottom w:val="single" w:sz="8" w:space="0" w:color="auto"/>
              <w:right w:val="single" w:sz="8" w:space="0" w:color="auto"/>
            </w:tcBorders>
            <w:shd w:val="clear" w:color="auto" w:fill="auto"/>
            <w:vAlign w:val="center"/>
            <w:hideMark/>
          </w:tcPr>
          <w:p w14:paraId="1E4F7162" w14:textId="77777777" w:rsidR="007C250E" w:rsidRPr="007C250E" w:rsidRDefault="007C250E" w:rsidP="007C250E">
            <w:pPr>
              <w:jc w:val="right"/>
              <w:rPr>
                <w:i/>
                <w:iCs/>
                <w:noProof/>
                <w:sz w:val="16"/>
                <w:szCs w:val="16"/>
              </w:rPr>
            </w:pPr>
            <w:r>
              <w:rPr>
                <w:i/>
                <w:noProof/>
                <w:sz w:val="16"/>
              </w:rPr>
              <w:t xml:space="preserve">1 351 395 001 </w:t>
            </w:r>
          </w:p>
        </w:tc>
      </w:tr>
      <w:tr w:rsidR="007C250E" w:rsidRPr="007C250E" w14:paraId="0C47B040" w14:textId="77777777" w:rsidTr="003C5A89">
        <w:trPr>
          <w:trHeight w:val="430"/>
        </w:trPr>
        <w:tc>
          <w:tcPr>
            <w:tcW w:w="416" w:type="dxa"/>
            <w:tcBorders>
              <w:top w:val="nil"/>
              <w:left w:val="single" w:sz="8" w:space="0" w:color="auto"/>
              <w:bottom w:val="single" w:sz="8" w:space="0" w:color="auto"/>
              <w:right w:val="nil"/>
            </w:tcBorders>
            <w:shd w:val="clear" w:color="auto" w:fill="auto"/>
            <w:vAlign w:val="center"/>
            <w:hideMark/>
          </w:tcPr>
          <w:p w14:paraId="479E1422"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167743C1" w14:textId="77777777" w:rsidR="007C250E" w:rsidRPr="007C250E" w:rsidRDefault="007C250E" w:rsidP="007C250E">
            <w:pPr>
              <w:jc w:val="right"/>
              <w:rPr>
                <w:i/>
                <w:iCs/>
                <w:noProof/>
                <w:color w:val="000000"/>
                <w:sz w:val="16"/>
                <w:szCs w:val="16"/>
              </w:rPr>
            </w:pPr>
            <w:r>
              <w:rPr>
                <w:i/>
                <w:noProof/>
                <w:color w:val="000000"/>
                <w:sz w:val="16"/>
              </w:rPr>
              <w:t>Europees Fonds voor aanpassing aan de globalisering (EFG)</w:t>
            </w:r>
          </w:p>
        </w:tc>
        <w:tc>
          <w:tcPr>
            <w:tcW w:w="1418" w:type="dxa"/>
            <w:tcBorders>
              <w:top w:val="nil"/>
              <w:left w:val="nil"/>
              <w:bottom w:val="single" w:sz="8" w:space="0" w:color="auto"/>
              <w:right w:val="single" w:sz="8" w:space="0" w:color="auto"/>
            </w:tcBorders>
            <w:shd w:val="clear" w:color="auto" w:fill="auto"/>
            <w:vAlign w:val="center"/>
            <w:hideMark/>
          </w:tcPr>
          <w:p w14:paraId="786F1010" w14:textId="77777777" w:rsidR="007C250E" w:rsidRPr="007C250E" w:rsidRDefault="007C250E" w:rsidP="007C250E">
            <w:pPr>
              <w:jc w:val="right"/>
              <w:rPr>
                <w:i/>
                <w:iCs/>
                <w:noProof/>
                <w:color w:val="000000"/>
                <w:sz w:val="16"/>
                <w:szCs w:val="16"/>
              </w:rPr>
            </w:pPr>
            <w:r>
              <w:rPr>
                <w:i/>
                <w:noProof/>
                <w:color w:val="000000"/>
                <w:sz w:val="16"/>
              </w:rPr>
              <w:t>209 466 210</w:t>
            </w:r>
          </w:p>
        </w:tc>
        <w:tc>
          <w:tcPr>
            <w:tcW w:w="1417" w:type="dxa"/>
            <w:tcBorders>
              <w:top w:val="nil"/>
              <w:left w:val="nil"/>
              <w:bottom w:val="single" w:sz="8" w:space="0" w:color="auto"/>
              <w:right w:val="single" w:sz="8" w:space="0" w:color="auto"/>
            </w:tcBorders>
            <w:shd w:val="clear" w:color="auto" w:fill="auto"/>
            <w:vAlign w:val="center"/>
            <w:hideMark/>
          </w:tcPr>
          <w:p w14:paraId="57C8248E" w14:textId="77777777" w:rsidR="007C250E" w:rsidRPr="007C250E" w:rsidRDefault="007C250E" w:rsidP="007C250E">
            <w:pPr>
              <w:jc w:val="right"/>
              <w:rPr>
                <w:i/>
                <w:iCs/>
                <w:noProof/>
                <w:color w:val="000000"/>
                <w:sz w:val="16"/>
                <w:szCs w:val="16"/>
              </w:rPr>
            </w:pPr>
            <w:r>
              <w:rPr>
                <w:i/>
                <w:noProof/>
                <w:color w:val="000000"/>
                <w:sz w:val="16"/>
              </w:rPr>
              <w:t>20 000 000</w:t>
            </w:r>
          </w:p>
        </w:tc>
        <w:tc>
          <w:tcPr>
            <w:tcW w:w="993" w:type="dxa"/>
            <w:tcBorders>
              <w:top w:val="nil"/>
              <w:left w:val="nil"/>
              <w:bottom w:val="single" w:sz="8" w:space="0" w:color="auto"/>
              <w:right w:val="single" w:sz="8" w:space="0" w:color="auto"/>
            </w:tcBorders>
            <w:shd w:val="clear" w:color="auto" w:fill="auto"/>
            <w:vAlign w:val="center"/>
            <w:hideMark/>
          </w:tcPr>
          <w:p w14:paraId="342F476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14D3493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08AD3E38" w14:textId="77777777" w:rsidR="007C250E" w:rsidRPr="007C250E" w:rsidRDefault="007C250E" w:rsidP="007C250E">
            <w:pPr>
              <w:jc w:val="right"/>
              <w:rPr>
                <w:i/>
                <w:iCs/>
                <w:noProof/>
                <w:color w:val="000000"/>
                <w:sz w:val="16"/>
                <w:szCs w:val="16"/>
              </w:rPr>
            </w:pPr>
            <w:r>
              <w:rPr>
                <w:i/>
                <w:noProof/>
                <w:color w:val="000000"/>
                <w:sz w:val="16"/>
              </w:rPr>
              <w:t xml:space="preserve">209 466 210 </w:t>
            </w:r>
          </w:p>
        </w:tc>
        <w:tc>
          <w:tcPr>
            <w:tcW w:w="1418" w:type="dxa"/>
            <w:tcBorders>
              <w:top w:val="nil"/>
              <w:left w:val="nil"/>
              <w:bottom w:val="single" w:sz="8" w:space="0" w:color="auto"/>
              <w:right w:val="single" w:sz="8" w:space="0" w:color="auto"/>
            </w:tcBorders>
            <w:shd w:val="clear" w:color="auto" w:fill="auto"/>
            <w:vAlign w:val="center"/>
            <w:hideMark/>
          </w:tcPr>
          <w:p w14:paraId="79389F64" w14:textId="77777777" w:rsidR="007C250E" w:rsidRPr="007C250E" w:rsidRDefault="007C250E" w:rsidP="007C250E">
            <w:pPr>
              <w:jc w:val="right"/>
              <w:rPr>
                <w:i/>
                <w:iCs/>
                <w:noProof/>
                <w:color w:val="000000"/>
                <w:sz w:val="16"/>
                <w:szCs w:val="16"/>
              </w:rPr>
            </w:pPr>
            <w:r>
              <w:rPr>
                <w:i/>
                <w:noProof/>
                <w:color w:val="000000"/>
                <w:sz w:val="16"/>
              </w:rPr>
              <w:t xml:space="preserve">20 000 000 </w:t>
            </w:r>
          </w:p>
        </w:tc>
      </w:tr>
      <w:tr w:rsidR="007C250E" w:rsidRPr="007C250E" w14:paraId="517A62AD" w14:textId="77777777" w:rsidTr="003C5A89">
        <w:trPr>
          <w:trHeight w:val="300"/>
        </w:trPr>
        <w:tc>
          <w:tcPr>
            <w:tcW w:w="416" w:type="dxa"/>
            <w:tcBorders>
              <w:top w:val="nil"/>
              <w:left w:val="single" w:sz="8" w:space="0" w:color="auto"/>
              <w:bottom w:val="single" w:sz="8" w:space="0" w:color="auto"/>
              <w:right w:val="nil"/>
            </w:tcBorders>
            <w:shd w:val="clear" w:color="auto" w:fill="auto"/>
            <w:vAlign w:val="center"/>
            <w:hideMark/>
          </w:tcPr>
          <w:p w14:paraId="35413089" w14:textId="77777777" w:rsidR="007C250E" w:rsidRPr="007C250E" w:rsidRDefault="007C250E" w:rsidP="007C250E">
            <w:pPr>
              <w:jc w:val="both"/>
              <w:rPr>
                <w:noProof/>
                <w:color w:val="000000"/>
                <w:sz w:val="16"/>
                <w:szCs w:val="16"/>
              </w:rPr>
            </w:pPr>
            <w:r>
              <w:rPr>
                <w:noProof/>
                <w:color w:val="000000"/>
                <w:sz w:val="16"/>
              </w:rPr>
              <w:t xml:space="preserve"> </w:t>
            </w:r>
          </w:p>
        </w:tc>
        <w:tc>
          <w:tcPr>
            <w:tcW w:w="2409" w:type="dxa"/>
            <w:tcBorders>
              <w:top w:val="nil"/>
              <w:left w:val="nil"/>
              <w:bottom w:val="single" w:sz="8" w:space="0" w:color="auto"/>
              <w:right w:val="single" w:sz="8" w:space="0" w:color="auto"/>
            </w:tcBorders>
            <w:shd w:val="clear" w:color="auto" w:fill="auto"/>
            <w:vAlign w:val="center"/>
            <w:hideMark/>
          </w:tcPr>
          <w:p w14:paraId="20EFD4D5" w14:textId="77777777" w:rsidR="007C250E" w:rsidRPr="007C250E" w:rsidRDefault="007C250E" w:rsidP="007C250E">
            <w:pPr>
              <w:jc w:val="right"/>
              <w:rPr>
                <w:i/>
                <w:iCs/>
                <w:noProof/>
                <w:color w:val="000000"/>
                <w:sz w:val="16"/>
                <w:szCs w:val="16"/>
              </w:rPr>
            </w:pPr>
            <w:r>
              <w:rPr>
                <w:i/>
                <w:noProof/>
                <w:color w:val="000000"/>
                <w:sz w:val="16"/>
              </w:rPr>
              <w:t>Brexitaanpassingsreserve (BAR)</w:t>
            </w:r>
          </w:p>
        </w:tc>
        <w:tc>
          <w:tcPr>
            <w:tcW w:w="1418" w:type="dxa"/>
            <w:tcBorders>
              <w:top w:val="nil"/>
              <w:left w:val="nil"/>
              <w:bottom w:val="single" w:sz="8" w:space="0" w:color="auto"/>
              <w:right w:val="single" w:sz="8" w:space="0" w:color="auto"/>
            </w:tcBorders>
            <w:shd w:val="clear" w:color="auto" w:fill="auto"/>
            <w:vAlign w:val="center"/>
            <w:hideMark/>
          </w:tcPr>
          <w:p w14:paraId="2BC4B9C9" w14:textId="77777777" w:rsidR="007C250E" w:rsidRPr="007C250E" w:rsidRDefault="007C250E" w:rsidP="007C250E">
            <w:pPr>
              <w:jc w:val="right"/>
              <w:rPr>
                <w:i/>
                <w:iCs/>
                <w:noProof/>
                <w:color w:val="000000"/>
                <w:sz w:val="16"/>
                <w:szCs w:val="16"/>
              </w:rPr>
            </w:pPr>
            <w:r>
              <w:rPr>
                <w:i/>
                <w:noProof/>
                <w:color w:val="000000"/>
                <w:sz w:val="16"/>
              </w:rPr>
              <w:t>p.m.</w:t>
            </w:r>
          </w:p>
        </w:tc>
        <w:tc>
          <w:tcPr>
            <w:tcW w:w="1417" w:type="dxa"/>
            <w:tcBorders>
              <w:top w:val="nil"/>
              <w:left w:val="nil"/>
              <w:bottom w:val="single" w:sz="8" w:space="0" w:color="auto"/>
              <w:right w:val="single" w:sz="8" w:space="0" w:color="auto"/>
            </w:tcBorders>
            <w:shd w:val="clear" w:color="auto" w:fill="auto"/>
            <w:vAlign w:val="center"/>
            <w:hideMark/>
          </w:tcPr>
          <w:p w14:paraId="351815A8" w14:textId="77777777" w:rsidR="007C250E" w:rsidRPr="007C250E" w:rsidRDefault="007C250E" w:rsidP="007C250E">
            <w:pPr>
              <w:jc w:val="right"/>
              <w:rPr>
                <w:i/>
                <w:iCs/>
                <w:noProof/>
                <w:color w:val="000000"/>
                <w:sz w:val="16"/>
                <w:szCs w:val="16"/>
              </w:rPr>
            </w:pPr>
            <w:r>
              <w:rPr>
                <w:i/>
                <w:noProof/>
                <w:color w:val="000000"/>
                <w:sz w:val="16"/>
              </w:rPr>
              <w:t>p.m.</w:t>
            </w:r>
          </w:p>
        </w:tc>
        <w:tc>
          <w:tcPr>
            <w:tcW w:w="993" w:type="dxa"/>
            <w:tcBorders>
              <w:top w:val="nil"/>
              <w:left w:val="nil"/>
              <w:bottom w:val="single" w:sz="8" w:space="0" w:color="auto"/>
              <w:right w:val="single" w:sz="8" w:space="0" w:color="auto"/>
            </w:tcBorders>
            <w:shd w:val="clear" w:color="auto" w:fill="auto"/>
            <w:vAlign w:val="center"/>
            <w:hideMark/>
          </w:tcPr>
          <w:p w14:paraId="7803AC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3FF85FE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559" w:type="dxa"/>
            <w:tcBorders>
              <w:top w:val="nil"/>
              <w:left w:val="nil"/>
              <w:bottom w:val="single" w:sz="8" w:space="0" w:color="auto"/>
              <w:right w:val="single" w:sz="8" w:space="0" w:color="auto"/>
            </w:tcBorders>
            <w:shd w:val="clear" w:color="auto" w:fill="auto"/>
            <w:vAlign w:val="center"/>
            <w:hideMark/>
          </w:tcPr>
          <w:p w14:paraId="3684CF8E" w14:textId="77777777" w:rsidR="007C250E" w:rsidRPr="007C250E" w:rsidRDefault="007C250E" w:rsidP="007C250E">
            <w:pPr>
              <w:jc w:val="right"/>
              <w:rPr>
                <w:i/>
                <w:iCs/>
                <w:noProof/>
                <w:color w:val="000000"/>
                <w:sz w:val="16"/>
                <w:szCs w:val="16"/>
              </w:rPr>
            </w:pPr>
            <w:r>
              <w:rPr>
                <w:i/>
                <w:noProof/>
                <w:color w:val="000000"/>
                <w:sz w:val="16"/>
              </w:rPr>
              <w:t>p.m.</w:t>
            </w:r>
          </w:p>
        </w:tc>
        <w:tc>
          <w:tcPr>
            <w:tcW w:w="1418" w:type="dxa"/>
            <w:tcBorders>
              <w:top w:val="nil"/>
              <w:left w:val="nil"/>
              <w:bottom w:val="single" w:sz="8" w:space="0" w:color="auto"/>
              <w:right w:val="single" w:sz="8" w:space="0" w:color="auto"/>
            </w:tcBorders>
            <w:shd w:val="clear" w:color="auto" w:fill="auto"/>
            <w:vAlign w:val="center"/>
            <w:hideMark/>
          </w:tcPr>
          <w:p w14:paraId="201B46DD" w14:textId="77777777" w:rsidR="007C250E" w:rsidRPr="007C250E" w:rsidRDefault="007C250E" w:rsidP="007C250E">
            <w:pPr>
              <w:jc w:val="right"/>
              <w:rPr>
                <w:i/>
                <w:iCs/>
                <w:noProof/>
                <w:color w:val="000000"/>
                <w:sz w:val="16"/>
                <w:szCs w:val="16"/>
              </w:rPr>
            </w:pPr>
            <w:r>
              <w:rPr>
                <w:i/>
                <w:noProof/>
                <w:color w:val="000000"/>
                <w:sz w:val="16"/>
              </w:rPr>
              <w:t>p.m.</w:t>
            </w:r>
          </w:p>
        </w:tc>
      </w:tr>
      <w:tr w:rsidR="007C250E" w:rsidRPr="007C250E" w14:paraId="729EB3D9" w14:textId="77777777" w:rsidTr="003C5A89">
        <w:trPr>
          <w:trHeight w:val="300"/>
        </w:trPr>
        <w:tc>
          <w:tcPr>
            <w:tcW w:w="2825"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F28713F" w14:textId="77777777" w:rsidR="007C250E" w:rsidRPr="007C250E" w:rsidRDefault="007C250E" w:rsidP="007C250E">
            <w:pPr>
              <w:jc w:val="right"/>
              <w:rPr>
                <w:b/>
                <w:bCs/>
                <w:noProof/>
                <w:sz w:val="16"/>
                <w:szCs w:val="16"/>
              </w:rPr>
            </w:pPr>
            <w:r>
              <w:rPr>
                <w:b/>
                <w:noProof/>
                <w:sz w:val="16"/>
              </w:rPr>
              <w:t xml:space="preserve">TOTAAL kredieten </w:t>
            </w:r>
          </w:p>
        </w:tc>
        <w:tc>
          <w:tcPr>
            <w:tcW w:w="1418" w:type="dxa"/>
            <w:tcBorders>
              <w:top w:val="nil"/>
              <w:left w:val="nil"/>
              <w:bottom w:val="single" w:sz="8" w:space="0" w:color="auto"/>
              <w:right w:val="single" w:sz="8" w:space="0" w:color="auto"/>
            </w:tcBorders>
            <w:shd w:val="clear" w:color="000000" w:fill="BFBFBF"/>
            <w:vAlign w:val="center"/>
            <w:hideMark/>
          </w:tcPr>
          <w:p w14:paraId="2D8D5508" w14:textId="77777777" w:rsidR="007C250E" w:rsidRPr="007C250E" w:rsidRDefault="007C250E" w:rsidP="007C250E">
            <w:pPr>
              <w:jc w:val="right"/>
              <w:rPr>
                <w:b/>
                <w:bCs/>
                <w:noProof/>
                <w:sz w:val="16"/>
                <w:szCs w:val="16"/>
              </w:rPr>
            </w:pPr>
            <w:r>
              <w:rPr>
                <w:b/>
                <w:noProof/>
                <w:sz w:val="16"/>
              </w:rPr>
              <w:t>189 340 977 539</w:t>
            </w:r>
          </w:p>
        </w:tc>
        <w:tc>
          <w:tcPr>
            <w:tcW w:w="1417" w:type="dxa"/>
            <w:tcBorders>
              <w:top w:val="nil"/>
              <w:left w:val="nil"/>
              <w:bottom w:val="single" w:sz="8" w:space="0" w:color="auto"/>
              <w:right w:val="single" w:sz="8" w:space="0" w:color="auto"/>
            </w:tcBorders>
            <w:shd w:val="clear" w:color="000000" w:fill="BFBFBF"/>
            <w:vAlign w:val="center"/>
            <w:hideMark/>
          </w:tcPr>
          <w:p w14:paraId="2203D0E6" w14:textId="77777777" w:rsidR="007C250E" w:rsidRPr="007C250E" w:rsidRDefault="007C250E" w:rsidP="007C250E">
            <w:pPr>
              <w:jc w:val="right"/>
              <w:rPr>
                <w:b/>
                <w:bCs/>
                <w:noProof/>
                <w:sz w:val="16"/>
                <w:szCs w:val="16"/>
              </w:rPr>
            </w:pPr>
            <w:r>
              <w:rPr>
                <w:b/>
                <w:noProof/>
                <w:sz w:val="16"/>
              </w:rPr>
              <w:t>143 053 378 017</w:t>
            </w:r>
          </w:p>
        </w:tc>
        <w:tc>
          <w:tcPr>
            <w:tcW w:w="993" w:type="dxa"/>
            <w:tcBorders>
              <w:top w:val="nil"/>
              <w:left w:val="nil"/>
              <w:bottom w:val="single" w:sz="8" w:space="0" w:color="auto"/>
              <w:right w:val="single" w:sz="8" w:space="0" w:color="auto"/>
            </w:tcBorders>
            <w:shd w:val="clear" w:color="000000" w:fill="BFBFBF"/>
            <w:vAlign w:val="center"/>
            <w:hideMark/>
          </w:tcPr>
          <w:p w14:paraId="0771DBDA" w14:textId="77777777" w:rsidR="007C250E" w:rsidRPr="007C250E" w:rsidRDefault="007C250E" w:rsidP="007C250E">
            <w:pPr>
              <w:jc w:val="right"/>
              <w:rPr>
                <w:b/>
                <w:bCs/>
                <w:noProof/>
                <w:sz w:val="16"/>
                <w:szCs w:val="16"/>
              </w:rPr>
            </w:pPr>
            <w:r>
              <w:rPr>
                <w:b/>
                <w:noProof/>
                <w:sz w:val="16"/>
              </w:rPr>
              <w:t xml:space="preserve">-67 411 900 </w:t>
            </w:r>
          </w:p>
        </w:tc>
        <w:tc>
          <w:tcPr>
            <w:tcW w:w="992" w:type="dxa"/>
            <w:tcBorders>
              <w:top w:val="nil"/>
              <w:left w:val="nil"/>
              <w:bottom w:val="single" w:sz="8" w:space="0" w:color="auto"/>
              <w:right w:val="single" w:sz="8" w:space="0" w:color="auto"/>
            </w:tcBorders>
            <w:shd w:val="clear" w:color="000000" w:fill="BFBFBF"/>
            <w:vAlign w:val="center"/>
            <w:hideMark/>
          </w:tcPr>
          <w:p w14:paraId="360BFAEF" w14:textId="77777777" w:rsidR="007C250E" w:rsidRPr="007C250E" w:rsidRDefault="007C250E" w:rsidP="007C250E">
            <w:pPr>
              <w:jc w:val="right"/>
              <w:rPr>
                <w:b/>
                <w:bCs/>
                <w:noProof/>
                <w:sz w:val="16"/>
                <w:szCs w:val="16"/>
              </w:rPr>
            </w:pPr>
            <w:r>
              <w:rPr>
                <w:b/>
                <w:noProof/>
                <w:sz w:val="16"/>
              </w:rPr>
              <w:t xml:space="preserve">-67 411 900 </w:t>
            </w:r>
          </w:p>
        </w:tc>
        <w:tc>
          <w:tcPr>
            <w:tcW w:w="1559" w:type="dxa"/>
            <w:tcBorders>
              <w:top w:val="nil"/>
              <w:left w:val="nil"/>
              <w:bottom w:val="single" w:sz="8" w:space="0" w:color="auto"/>
              <w:right w:val="single" w:sz="8" w:space="0" w:color="auto"/>
            </w:tcBorders>
            <w:shd w:val="clear" w:color="000000" w:fill="BFBFBF"/>
            <w:vAlign w:val="center"/>
            <w:hideMark/>
          </w:tcPr>
          <w:p w14:paraId="04A67A45" w14:textId="77777777" w:rsidR="007C250E" w:rsidRPr="007C250E" w:rsidRDefault="007C250E" w:rsidP="007C250E">
            <w:pPr>
              <w:jc w:val="right"/>
              <w:rPr>
                <w:b/>
                <w:bCs/>
                <w:noProof/>
                <w:sz w:val="16"/>
                <w:szCs w:val="16"/>
              </w:rPr>
            </w:pPr>
            <w:r>
              <w:rPr>
                <w:b/>
                <w:noProof/>
                <w:sz w:val="16"/>
              </w:rPr>
              <w:t xml:space="preserve">189 273 565 639 </w:t>
            </w:r>
          </w:p>
        </w:tc>
        <w:tc>
          <w:tcPr>
            <w:tcW w:w="1418" w:type="dxa"/>
            <w:tcBorders>
              <w:top w:val="nil"/>
              <w:left w:val="nil"/>
              <w:bottom w:val="single" w:sz="8" w:space="0" w:color="auto"/>
              <w:right w:val="single" w:sz="8" w:space="0" w:color="auto"/>
            </w:tcBorders>
            <w:shd w:val="clear" w:color="000000" w:fill="BFBFBF"/>
            <w:vAlign w:val="center"/>
            <w:hideMark/>
          </w:tcPr>
          <w:p w14:paraId="01AD5B92" w14:textId="77777777" w:rsidR="007C250E" w:rsidRPr="007C250E" w:rsidRDefault="007C250E" w:rsidP="007C250E">
            <w:pPr>
              <w:jc w:val="right"/>
              <w:rPr>
                <w:b/>
                <w:bCs/>
                <w:noProof/>
                <w:sz w:val="16"/>
                <w:szCs w:val="16"/>
              </w:rPr>
            </w:pPr>
            <w:r>
              <w:rPr>
                <w:b/>
                <w:noProof/>
                <w:sz w:val="16"/>
              </w:rPr>
              <w:t xml:space="preserve">142 985 966 117 </w:t>
            </w:r>
          </w:p>
        </w:tc>
      </w:tr>
    </w:tbl>
    <w:p w14:paraId="027B4328" w14:textId="53FF734B" w:rsidR="00051699" w:rsidRDefault="00051699" w:rsidP="00051699">
      <w:pPr>
        <w:pStyle w:val="Text1"/>
        <w:ind w:left="0"/>
        <w:rPr>
          <w:noProof/>
        </w:rPr>
      </w:pPr>
    </w:p>
    <w:p w14:paraId="09F6DAB8" w14:textId="6432CD50" w:rsidR="00051699" w:rsidRPr="00051699" w:rsidRDefault="00051699" w:rsidP="00051699">
      <w:pPr>
        <w:pStyle w:val="Text1"/>
        <w:ind w:left="0"/>
        <w:rPr>
          <w:noProof/>
        </w:rPr>
      </w:pPr>
    </w:p>
    <w:sectPr w:rsidR="00051699" w:rsidRPr="00051699" w:rsidSect="00BD4680">
      <w:headerReference w:type="even" r:id="rId25"/>
      <w:headerReference w:type="default" r:id="rId26"/>
      <w:footerReference w:type="even" r:id="rId27"/>
      <w:footerReference w:type="default" r:id="rId28"/>
      <w:headerReference w:type="first" r:id="rId29"/>
      <w:footerReference w:type="first" r:id="rId30"/>
      <w:pgSz w:w="11907" w:h="16839"/>
      <w:pgMar w:top="720" w:right="1021" w:bottom="600" w:left="1021" w:header="28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40C2" w14:textId="77777777" w:rsidR="00D724E0" w:rsidRDefault="00D724E0">
      <w:r>
        <w:separator/>
      </w:r>
    </w:p>
  </w:endnote>
  <w:endnote w:type="continuationSeparator" w:id="0">
    <w:p w14:paraId="557E970C" w14:textId="77777777" w:rsidR="00D724E0" w:rsidRDefault="00D724E0">
      <w:r>
        <w:continuationSeparator/>
      </w:r>
    </w:p>
  </w:endnote>
  <w:endnote w:type="continuationNotice" w:id="1">
    <w:p w14:paraId="5D9F1408" w14:textId="77777777" w:rsidR="00D724E0" w:rsidRDefault="00D7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KOJOD P+ Adv T T 5843c 57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F2F2" w14:textId="0DC9C018" w:rsidR="00503D26" w:rsidRPr="00C503C9" w:rsidRDefault="00503D26" w:rsidP="00C50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5F8B" w14:textId="138418DB" w:rsidR="00503D26" w:rsidRPr="00C503C9" w:rsidRDefault="00C503C9" w:rsidP="00C503C9">
    <w:pPr>
      <w:pStyle w:val="FooterCoverPage"/>
      <w:rPr>
        <w:rFonts w:ascii="Arial" w:hAnsi="Arial" w:cs="Arial"/>
        <w:b/>
        <w:sz w:val="48"/>
      </w:rPr>
    </w:pPr>
    <w:r w:rsidRPr="00C503C9">
      <w:rPr>
        <w:rFonts w:ascii="Arial" w:hAnsi="Arial" w:cs="Arial"/>
        <w:b/>
        <w:sz w:val="48"/>
      </w:rPr>
      <w:t>NL</w:t>
    </w:r>
    <w:r w:rsidRPr="00C503C9">
      <w:rPr>
        <w:rFonts w:ascii="Arial" w:hAnsi="Arial" w:cs="Arial"/>
        <w:b/>
        <w:sz w:val="48"/>
      </w:rPr>
      <w:tab/>
    </w:r>
    <w:r w:rsidRPr="00C503C9">
      <w:rPr>
        <w:rFonts w:ascii="Arial" w:hAnsi="Arial" w:cs="Arial"/>
        <w:b/>
        <w:sz w:val="48"/>
      </w:rPr>
      <w:tab/>
    </w:r>
    <w:r w:rsidRPr="00C503C9">
      <w:tab/>
    </w:r>
    <w:r w:rsidRPr="00C503C9">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1CD9F" w14:textId="77777777" w:rsidR="00C503C9" w:rsidRPr="00C503C9" w:rsidRDefault="00C503C9" w:rsidP="00C503C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D37B" w14:textId="77777777" w:rsidR="0049753C" w:rsidRDefault="004975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FCC6" w14:textId="3C8DDD6E" w:rsidR="0049753C" w:rsidRPr="002F688D" w:rsidRDefault="0049753C">
    <w:pPr>
      <w:pStyle w:val="Footer"/>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C503C9">
      <w:rPr>
        <w:noProof/>
        <w:sz w:val="20"/>
      </w:rPr>
      <w:t>1</w:t>
    </w:r>
    <w:r>
      <w:rPr>
        <w:color w:val="2B579A"/>
        <w:sz w:val="20"/>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DE61" w14:textId="77777777" w:rsidR="0049753C" w:rsidRDefault="004975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031C" w14:textId="77777777" w:rsidR="0049753C" w:rsidRDefault="004975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C4C8" w14:textId="568C0B55" w:rsidR="0049753C" w:rsidRPr="002F688D" w:rsidRDefault="0049753C">
    <w:pPr>
      <w:pStyle w:val="Footer"/>
      <w:tabs>
        <w:tab w:val="clear" w:pos="4535"/>
        <w:tab w:val="center" w:pos="5040"/>
      </w:tabs>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C503C9">
      <w:rPr>
        <w:noProof/>
        <w:sz w:val="20"/>
      </w:rPr>
      <w:t>13</w:t>
    </w:r>
    <w:r>
      <w:rPr>
        <w:color w:val="2B579A"/>
        <w:sz w:val="20"/>
      </w:rPr>
      <w:fldChar w:fldCharType="end"/>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555" w14:textId="77777777" w:rsidR="0049753C" w:rsidRDefault="0049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CDB6" w14:textId="77777777" w:rsidR="00D724E0" w:rsidRDefault="00D724E0">
      <w:r>
        <w:separator/>
      </w:r>
    </w:p>
  </w:footnote>
  <w:footnote w:type="continuationSeparator" w:id="0">
    <w:p w14:paraId="1D3D15BE" w14:textId="77777777" w:rsidR="00D724E0" w:rsidRDefault="00D724E0">
      <w:r>
        <w:continuationSeparator/>
      </w:r>
    </w:p>
  </w:footnote>
  <w:footnote w:type="continuationNotice" w:id="1">
    <w:p w14:paraId="4FF0A3B4" w14:textId="77777777" w:rsidR="00D724E0" w:rsidRDefault="00D724E0"/>
  </w:footnote>
  <w:footnote w:id="2">
    <w:p w14:paraId="0C762AC7" w14:textId="77777777" w:rsidR="0049753C" w:rsidRDefault="0049753C">
      <w:pPr>
        <w:pStyle w:val="FootnoteText"/>
      </w:pPr>
      <w:r>
        <w:rPr>
          <w:rStyle w:val="FootnoteReference"/>
        </w:rPr>
        <w:footnoteRef/>
      </w:r>
      <w:r>
        <w:tab/>
        <w:t>Besluit (EU, Euratom) 2020/2053 van de Raad van 14 december 2020 betreffende het stelsel van eigen middelen van de Europese Unie en tot intrekking van Besluit 2014/335/EU, Euratom (PB L 424 van 15.12.2020).</w:t>
      </w:r>
    </w:p>
  </w:footnote>
  <w:footnote w:id="3">
    <w:p w14:paraId="2C53D76E" w14:textId="77777777" w:rsidR="0049753C" w:rsidRDefault="0049753C">
      <w:pPr>
        <w:pStyle w:val="FootnoteText"/>
      </w:pPr>
      <w:r>
        <w:rPr>
          <w:rStyle w:val="FootnoteReference"/>
        </w:rPr>
        <w:footnoteRef/>
      </w:r>
      <w:r>
        <w:tab/>
        <w:t>PB L 193 van 30.7.2018, blz. 1.</w:t>
      </w:r>
    </w:p>
  </w:footnote>
  <w:footnote w:id="4">
    <w:p w14:paraId="277C6736" w14:textId="51EE508F" w:rsidR="0049753C" w:rsidRDefault="0049753C">
      <w:pPr>
        <w:pStyle w:val="FootnoteText"/>
      </w:pPr>
      <w:r>
        <w:rPr>
          <w:rStyle w:val="FootnoteReference"/>
        </w:rPr>
        <w:footnoteRef/>
      </w:r>
      <w:r>
        <w:tab/>
        <w:t>COM(2023) 300 final van 5.7.2023.</w:t>
      </w:r>
    </w:p>
  </w:footnote>
  <w:footnote w:id="5">
    <w:p w14:paraId="2B21DED8" w14:textId="51CA1D74" w:rsidR="0049753C" w:rsidRPr="00855868" w:rsidRDefault="0049753C">
      <w:pPr>
        <w:pStyle w:val="FootnoteText"/>
      </w:pPr>
      <w:r>
        <w:rPr>
          <w:rStyle w:val="FootnoteReference"/>
        </w:rPr>
        <w:footnoteRef/>
      </w:r>
      <w:r>
        <w:tab/>
        <w:t>Verordening (EU)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visabeleid (PB L 231 van 30.6.2021, blz. 159).</w:t>
      </w:r>
    </w:p>
  </w:footnote>
  <w:footnote w:id="6">
    <w:p w14:paraId="0D3C48A7" w14:textId="2B9D0E5D" w:rsidR="0049753C" w:rsidRDefault="0049753C" w:rsidP="003D701A">
      <w:pPr>
        <w:pStyle w:val="FootnoteText"/>
      </w:pPr>
      <w:r>
        <w:rPr>
          <w:rStyle w:val="FootnoteReference"/>
        </w:rPr>
        <w:footnoteRef/>
      </w:r>
      <w:r>
        <w:tab/>
        <w:t>De behoeften bedragen 40 602,1 miljoen EUR aan verse kredieten plus 848,5 miljoen EUR aan bestemmingsontvangsten.</w:t>
      </w:r>
    </w:p>
  </w:footnote>
  <w:footnote w:id="7">
    <w:p w14:paraId="1E372790" w14:textId="0691DD52" w:rsidR="0049753C" w:rsidRPr="00C6472F" w:rsidRDefault="0049753C">
      <w:pPr>
        <w:pStyle w:val="FootnoteText"/>
      </w:pPr>
      <w:r>
        <w:rPr>
          <w:rStyle w:val="FootnoteReference"/>
        </w:rPr>
        <w:footnoteRef/>
      </w:r>
      <w:r>
        <w:tab/>
        <w:t>Verordening (EU) 2021/2116 van het Europees Parlement en de Raad van 2 december 2021 inzake de financiering, het beheer en de monitoring van het gemeenschappelijk landbouwbeleid en tot intrekking van Verordening (EU) nr. 1306/2013 (PB L 435 van 6.12.2021, blz. 187).</w:t>
      </w:r>
    </w:p>
  </w:footnote>
  <w:footnote w:id="8">
    <w:p w14:paraId="124EB731" w14:textId="77777777" w:rsidR="0049753C" w:rsidRDefault="0049753C" w:rsidP="00A02662">
      <w:pPr>
        <w:pStyle w:val="FootnoteText"/>
      </w:pPr>
      <w:r>
        <w:rPr>
          <w:rStyle w:val="FootnoteReference"/>
        </w:rPr>
        <w:footnoteRef/>
      </w:r>
      <w:r>
        <w:tab/>
        <w:t>Interinstitutioneel Akkoord tussen het Europees Parlement, de Raad van de Europese Unie en de Europese Commissie betreffende begrotingsdiscipline, samenwerking in begrotingszaken en goed financieel beheer, alsmede betreffende nieuwe eigen middelen, met inbegrip van een routekaart voor de invoering van nieuwe eigen middelen (PB L 433 van 20.12.2020, blz. 28).</w:t>
      </w:r>
    </w:p>
  </w:footnote>
  <w:footnote w:id="9">
    <w:p w14:paraId="3C3960EC" w14:textId="0E60C89B" w:rsidR="0049753C" w:rsidRPr="003C5A89" w:rsidRDefault="0049753C">
      <w:pPr>
        <w:pStyle w:val="FootnoteText"/>
        <w:rPr>
          <w:lang w:val="en-IE"/>
        </w:rPr>
      </w:pPr>
      <w:r>
        <w:rPr>
          <w:rStyle w:val="FootnoteReference"/>
        </w:rPr>
        <w:footnoteRef/>
      </w:r>
      <w:r w:rsidRPr="003C5A89">
        <w:rPr>
          <w:lang w:val="en-IE"/>
        </w:rPr>
        <w:t xml:space="preserve"> </w:t>
      </w:r>
      <w:r w:rsidRPr="003C5A89">
        <w:rPr>
          <w:lang w:val="en-IE"/>
        </w:rPr>
        <w:tab/>
        <w:t>COM(2023) 530</w:t>
      </w:r>
    </w:p>
  </w:footnote>
  <w:footnote w:id="10">
    <w:p w14:paraId="374B4B0D" w14:textId="31FC932A" w:rsidR="0049753C" w:rsidRPr="003C5A89" w:rsidRDefault="0049753C">
      <w:pPr>
        <w:pStyle w:val="FootnoteText"/>
        <w:rPr>
          <w:lang w:val="en-IE"/>
        </w:rPr>
      </w:pPr>
      <w:r>
        <w:rPr>
          <w:rStyle w:val="FootnoteReference"/>
        </w:rPr>
        <w:footnoteRef/>
      </w:r>
      <w:r w:rsidRPr="003C5A89">
        <w:rPr>
          <w:lang w:val="en-IE"/>
        </w:rPr>
        <w:t xml:space="preserve"> </w:t>
      </w:r>
      <w:r w:rsidRPr="003C5A89">
        <w:rPr>
          <w:lang w:val="en-IE"/>
        </w:rPr>
        <w:tab/>
        <w:t>COM(2022) 658</w:t>
      </w:r>
    </w:p>
  </w:footnote>
  <w:footnote w:id="11">
    <w:p w14:paraId="342AFFC2" w14:textId="41A67638" w:rsidR="0049753C" w:rsidRPr="003C5A89" w:rsidRDefault="0049753C">
      <w:pPr>
        <w:pStyle w:val="FootnoteText"/>
        <w:rPr>
          <w:lang w:val="en-IE"/>
        </w:rPr>
      </w:pPr>
      <w:r>
        <w:rPr>
          <w:rStyle w:val="FootnoteReference"/>
        </w:rPr>
        <w:footnoteRef/>
      </w:r>
      <w:r w:rsidRPr="003C5A89">
        <w:rPr>
          <w:lang w:val="en-IE"/>
        </w:rPr>
        <w:t xml:space="preserve"> </w:t>
      </w:r>
      <w:r w:rsidRPr="003C5A89">
        <w:rPr>
          <w:lang w:val="en-IE"/>
        </w:rPr>
        <w:tab/>
        <w:t>COM(2021) 561</w:t>
      </w:r>
    </w:p>
  </w:footnote>
  <w:footnote w:id="12">
    <w:p w14:paraId="1DDF7B17" w14:textId="433CE1B9" w:rsidR="0049753C" w:rsidRPr="003C5A89" w:rsidRDefault="0049753C">
      <w:pPr>
        <w:pStyle w:val="FootnoteText"/>
        <w:rPr>
          <w:lang w:val="en-IE"/>
        </w:rPr>
      </w:pPr>
      <w:r>
        <w:rPr>
          <w:rStyle w:val="FootnoteReference"/>
        </w:rPr>
        <w:footnoteRef/>
      </w:r>
      <w:r w:rsidRPr="003C5A89">
        <w:rPr>
          <w:lang w:val="en-IE"/>
        </w:rPr>
        <w:t xml:space="preserve"> </w:t>
      </w:r>
      <w:r w:rsidRPr="003C5A89">
        <w:rPr>
          <w:lang w:val="en-IE"/>
        </w:rPr>
        <w:tab/>
        <w:t>PB L234 van 22.09.2023, blz.48.</w:t>
      </w:r>
    </w:p>
  </w:footnote>
  <w:footnote w:id="13">
    <w:p w14:paraId="0260D0AB" w14:textId="125D396F" w:rsidR="0049753C" w:rsidRPr="003C5A89" w:rsidRDefault="0049753C">
      <w:pPr>
        <w:pStyle w:val="FootnoteText"/>
        <w:rPr>
          <w:lang w:val="en-IE"/>
        </w:rPr>
      </w:pPr>
      <w:r>
        <w:rPr>
          <w:rStyle w:val="FootnoteReference"/>
        </w:rPr>
        <w:footnoteRef/>
      </w:r>
      <w:r w:rsidRPr="003C5A89">
        <w:rPr>
          <w:lang w:val="en-IE"/>
        </w:rPr>
        <w:t xml:space="preserve"> </w:t>
      </w:r>
      <w:r w:rsidRPr="003C5A89">
        <w:rPr>
          <w:lang w:val="en-IE"/>
        </w:rPr>
        <w:tab/>
        <w:t>COM(2021) 725</w:t>
      </w:r>
    </w:p>
  </w:footnote>
  <w:footnote w:id="14">
    <w:p w14:paraId="2724AA18" w14:textId="581E7826" w:rsidR="0049753C" w:rsidRPr="003C5A89" w:rsidRDefault="0049753C" w:rsidP="00BA114A">
      <w:pPr>
        <w:pStyle w:val="FootnoteText"/>
        <w:rPr>
          <w:lang w:val="en-IE"/>
        </w:rPr>
      </w:pPr>
      <w:r>
        <w:rPr>
          <w:rStyle w:val="FootnoteReference"/>
        </w:rPr>
        <w:footnoteRef/>
      </w:r>
      <w:r w:rsidRPr="003C5A89">
        <w:rPr>
          <w:lang w:val="en-IE"/>
        </w:rPr>
        <w:t xml:space="preserve"> </w:t>
      </w:r>
      <w:r w:rsidRPr="003C5A89">
        <w:rPr>
          <w:lang w:val="en-IE"/>
        </w:rPr>
        <w:tab/>
        <w:t>COM(2023) 3269</w:t>
      </w:r>
    </w:p>
  </w:footnote>
  <w:footnote w:id="15">
    <w:p w14:paraId="3970CA16" w14:textId="3B191548" w:rsidR="002D5315" w:rsidRPr="002D5315" w:rsidRDefault="002D5315">
      <w:pPr>
        <w:pStyle w:val="FootnoteText"/>
      </w:pPr>
      <w:r>
        <w:rPr>
          <w:rStyle w:val="FootnoteReference"/>
        </w:rPr>
        <w:footnoteRef/>
      </w:r>
      <w:r>
        <w:tab/>
        <w:t>C(2023) 5001 final van 11.7.2023.</w:t>
      </w:r>
    </w:p>
  </w:footnote>
  <w:footnote w:id="16">
    <w:p w14:paraId="12C7ED46" w14:textId="3C46338D" w:rsidR="0049753C" w:rsidRPr="002743D0" w:rsidRDefault="0049753C">
      <w:pPr>
        <w:pStyle w:val="FootnoteText"/>
      </w:pPr>
      <w:r>
        <w:rPr>
          <w:rStyle w:val="FootnoteReference"/>
        </w:rPr>
        <w:footnoteRef/>
      </w:r>
      <w:r>
        <w:tab/>
        <w:t>Verordening (EU) 2023/1525 van het Europees Parlement en de Raad van 20 juli 2023 betreffende de ondersteuning van de productie van munitie (ASAP) (PB L 185 van 24.7.2023, blz. 7).</w:t>
      </w:r>
    </w:p>
  </w:footnote>
  <w:footnote w:id="17">
    <w:p w14:paraId="6500D42F" w14:textId="3E955CCF" w:rsidR="0049753C" w:rsidRPr="00E57726" w:rsidRDefault="0049753C">
      <w:pPr>
        <w:pStyle w:val="FootnoteText"/>
      </w:pPr>
      <w:r>
        <w:rPr>
          <w:rStyle w:val="FootnoteReference"/>
        </w:rPr>
        <w:footnoteRef/>
      </w:r>
      <w:r>
        <w:tab/>
        <w:t>Verordening (EU) 2023/xxx van het Europees Parlement en de Raad van xx september 2023 tot vaststelling van de wet ter versterking van de Europese defensie-industrie door middel van gemeenschappelijke aanbestedingen, PB L xxx van xx.10.2023, 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C436" w14:textId="77777777" w:rsidR="00C503C9" w:rsidRPr="00C503C9" w:rsidRDefault="00C503C9" w:rsidP="00C50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2474" w14:textId="77777777" w:rsidR="00C503C9" w:rsidRPr="00C503C9" w:rsidRDefault="00C503C9" w:rsidP="00C503C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C59B" w14:textId="77777777" w:rsidR="00C503C9" w:rsidRPr="00C503C9" w:rsidRDefault="00C503C9" w:rsidP="00C503C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53AA" w14:textId="77777777" w:rsidR="0049753C" w:rsidRDefault="004975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08EB" w14:textId="77777777" w:rsidR="0049753C" w:rsidRDefault="004975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D607" w14:textId="77777777" w:rsidR="0049753C" w:rsidRDefault="004975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50D9" w14:textId="77777777" w:rsidR="0049753C" w:rsidRDefault="004975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6C14" w14:textId="77777777" w:rsidR="0049753C" w:rsidRDefault="0049753C">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A376" w14:textId="77777777" w:rsidR="0049753C" w:rsidRDefault="0049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F2A9A2"/>
    <w:lvl w:ilvl="0">
      <w:start w:val="1"/>
      <w:numFmt w:val="bullet"/>
      <w:pStyle w:val="ListBullet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769E46"/>
    <w:lvl w:ilvl="0">
      <w:start w:val="1"/>
      <w:numFmt w:val="bullet"/>
      <w:pStyle w:val="ListNumber5"/>
      <w:lvlText w:val=""/>
      <w:lvlJc w:val="left"/>
      <w:pPr>
        <w:tabs>
          <w:tab w:val="num" w:pos="360"/>
        </w:tabs>
        <w:ind w:left="360" w:hanging="360"/>
      </w:pPr>
      <w:rPr>
        <w:rFonts w:ascii="Symbol" w:hAnsi="Symbol" w:hint="default"/>
      </w:rPr>
    </w:lvl>
  </w:abstractNum>
  <w:abstractNum w:abstractNumId="2" w15:restartNumberingAfterBreak="0">
    <w:nsid w:val="01095784"/>
    <w:multiLevelType w:val="hybridMultilevel"/>
    <w:tmpl w:val="F32EC4C8"/>
    <w:lvl w:ilvl="0" w:tplc="425C5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A57DC"/>
    <w:multiLevelType w:val="hybridMultilevel"/>
    <w:tmpl w:val="B042469C"/>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70122"/>
    <w:multiLevelType w:val="hybridMultilevel"/>
    <w:tmpl w:val="FADC51DA"/>
    <w:lvl w:ilvl="0" w:tplc="A86A583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2D319D6"/>
    <w:multiLevelType w:val="hybridMultilevel"/>
    <w:tmpl w:val="96060D4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C579"/>
    <w:multiLevelType w:val="hybridMultilevel"/>
    <w:tmpl w:val="341EC514"/>
    <w:lvl w:ilvl="0" w:tplc="4B2AD822">
      <w:start w:val="1"/>
      <w:numFmt w:val="bullet"/>
      <w:lvlText w:val="-"/>
      <w:lvlJc w:val="left"/>
      <w:pPr>
        <w:ind w:left="720" w:hanging="360"/>
      </w:pPr>
      <w:rPr>
        <w:rFonts w:ascii="Calibri" w:hAnsi="Calibri" w:hint="default"/>
      </w:rPr>
    </w:lvl>
    <w:lvl w:ilvl="1" w:tplc="11FE8378">
      <w:start w:val="1"/>
      <w:numFmt w:val="bullet"/>
      <w:lvlText w:val="o"/>
      <w:lvlJc w:val="left"/>
      <w:pPr>
        <w:ind w:left="1440" w:hanging="360"/>
      </w:pPr>
      <w:rPr>
        <w:rFonts w:ascii="Courier New" w:hAnsi="Courier New" w:hint="default"/>
      </w:rPr>
    </w:lvl>
    <w:lvl w:ilvl="2" w:tplc="00843BF2">
      <w:start w:val="1"/>
      <w:numFmt w:val="bullet"/>
      <w:lvlText w:val=""/>
      <w:lvlJc w:val="left"/>
      <w:pPr>
        <w:ind w:left="2160" w:hanging="360"/>
      </w:pPr>
      <w:rPr>
        <w:rFonts w:ascii="Wingdings" w:hAnsi="Wingdings" w:hint="default"/>
      </w:rPr>
    </w:lvl>
    <w:lvl w:ilvl="3" w:tplc="17BC0858">
      <w:start w:val="1"/>
      <w:numFmt w:val="bullet"/>
      <w:lvlText w:val=""/>
      <w:lvlJc w:val="left"/>
      <w:pPr>
        <w:ind w:left="2880" w:hanging="360"/>
      </w:pPr>
      <w:rPr>
        <w:rFonts w:ascii="Symbol" w:hAnsi="Symbol" w:hint="default"/>
      </w:rPr>
    </w:lvl>
    <w:lvl w:ilvl="4" w:tplc="93941D6C">
      <w:start w:val="1"/>
      <w:numFmt w:val="bullet"/>
      <w:lvlText w:val="o"/>
      <w:lvlJc w:val="left"/>
      <w:pPr>
        <w:ind w:left="3600" w:hanging="360"/>
      </w:pPr>
      <w:rPr>
        <w:rFonts w:ascii="Courier New" w:hAnsi="Courier New" w:hint="default"/>
      </w:rPr>
    </w:lvl>
    <w:lvl w:ilvl="5" w:tplc="2410015C">
      <w:start w:val="1"/>
      <w:numFmt w:val="bullet"/>
      <w:lvlText w:val=""/>
      <w:lvlJc w:val="left"/>
      <w:pPr>
        <w:ind w:left="4320" w:hanging="360"/>
      </w:pPr>
      <w:rPr>
        <w:rFonts w:ascii="Wingdings" w:hAnsi="Wingdings" w:hint="default"/>
      </w:rPr>
    </w:lvl>
    <w:lvl w:ilvl="6" w:tplc="A8265C1A">
      <w:start w:val="1"/>
      <w:numFmt w:val="bullet"/>
      <w:lvlText w:val=""/>
      <w:lvlJc w:val="left"/>
      <w:pPr>
        <w:ind w:left="5040" w:hanging="360"/>
      </w:pPr>
      <w:rPr>
        <w:rFonts w:ascii="Symbol" w:hAnsi="Symbol" w:hint="default"/>
      </w:rPr>
    </w:lvl>
    <w:lvl w:ilvl="7" w:tplc="E13E9088">
      <w:start w:val="1"/>
      <w:numFmt w:val="bullet"/>
      <w:lvlText w:val="o"/>
      <w:lvlJc w:val="left"/>
      <w:pPr>
        <w:ind w:left="5760" w:hanging="360"/>
      </w:pPr>
      <w:rPr>
        <w:rFonts w:ascii="Courier New" w:hAnsi="Courier New" w:hint="default"/>
      </w:rPr>
    </w:lvl>
    <w:lvl w:ilvl="8" w:tplc="28605BC2">
      <w:start w:val="1"/>
      <w:numFmt w:val="bullet"/>
      <w:lvlText w:val=""/>
      <w:lvlJc w:val="left"/>
      <w:pPr>
        <w:ind w:left="6480" w:hanging="360"/>
      </w:pPr>
      <w:rPr>
        <w:rFonts w:ascii="Wingdings" w:hAnsi="Wingdings" w:hint="default"/>
      </w:rPr>
    </w:lvl>
  </w:abstractNum>
  <w:abstractNum w:abstractNumId="7" w15:restartNumberingAfterBreak="0">
    <w:nsid w:val="1207441D"/>
    <w:multiLevelType w:val="hybridMultilevel"/>
    <w:tmpl w:val="A74C79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35C5869"/>
    <w:multiLevelType w:val="hybridMultilevel"/>
    <w:tmpl w:val="4A4818D4"/>
    <w:lvl w:ilvl="0" w:tplc="D6785FC4">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41085"/>
    <w:multiLevelType w:val="hybridMultilevel"/>
    <w:tmpl w:val="0846A4DA"/>
    <w:lvl w:ilvl="0" w:tplc="8A36BA8C">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87029EA"/>
    <w:multiLevelType w:val="hybridMultilevel"/>
    <w:tmpl w:val="5FD86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3" w15:restartNumberingAfterBreak="0">
    <w:nsid w:val="1BC50770"/>
    <w:multiLevelType w:val="hybridMultilevel"/>
    <w:tmpl w:val="1A92C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C1F1F"/>
    <w:multiLevelType w:val="hybridMultilevel"/>
    <w:tmpl w:val="19CCF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F911729"/>
    <w:multiLevelType w:val="multilevel"/>
    <w:tmpl w:val="EA30B10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13EA4"/>
    <w:multiLevelType w:val="hybridMultilevel"/>
    <w:tmpl w:val="9E047E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1" w15:restartNumberingAfterBreak="0">
    <w:nsid w:val="37D64D9A"/>
    <w:multiLevelType w:val="hybridMultilevel"/>
    <w:tmpl w:val="5A2C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6546C"/>
    <w:multiLevelType w:val="hybridMultilevel"/>
    <w:tmpl w:val="F9967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singleLevel"/>
    <w:tmpl w:val="0809000F"/>
    <w:lvl w:ilvl="0">
      <w:start w:val="1"/>
      <w:numFmt w:val="decimal"/>
      <w:pStyle w:val="ManualHeading2"/>
      <w:lvlText w:val="%1."/>
      <w:lvlJc w:val="left"/>
      <w:pPr>
        <w:ind w:left="720" w:hanging="360"/>
      </w:pPr>
    </w:lvl>
  </w:abstractNum>
  <w:abstractNum w:abstractNumId="24" w15:restartNumberingAfterBreak="0">
    <w:nsid w:val="444B45B2"/>
    <w:multiLevelType w:val="hybridMultilevel"/>
    <w:tmpl w:val="82BC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50426"/>
    <w:multiLevelType w:val="hybridMultilevel"/>
    <w:tmpl w:val="A1AA699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43E64"/>
    <w:multiLevelType w:val="hybridMultilevel"/>
    <w:tmpl w:val="B2063506"/>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EC16C19A">
      <w:numFmt w:val="bullet"/>
      <w:lvlText w:val="•"/>
      <w:lvlJc w:val="left"/>
      <w:pPr>
        <w:ind w:left="2340" w:hanging="720"/>
      </w:pPr>
      <w:rPr>
        <w:rFonts w:ascii="Times New Roman" w:eastAsia="Times New Roman" w:hAnsi="Times New Roman" w:cs="Times New Roman" w:hint="default"/>
      </w:rPr>
    </w:lvl>
    <w:lvl w:ilvl="3" w:tplc="AC466752">
      <w:start w:val="19"/>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514B7CB1"/>
    <w:multiLevelType w:val="hybridMultilevel"/>
    <w:tmpl w:val="0712B7FA"/>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C7C56"/>
    <w:multiLevelType w:val="hybridMultilevel"/>
    <w:tmpl w:val="64B869A6"/>
    <w:lvl w:ilvl="0" w:tplc="8A36BA8C">
      <w:numFmt w:val="bullet"/>
      <w:lvlText w:val=""/>
      <w:lvlJc w:val="left"/>
      <w:pPr>
        <w:ind w:left="360" w:hanging="360"/>
      </w:pPr>
      <w:rPr>
        <w:rFonts w:ascii="Symbol" w:eastAsia="Times New Roman" w:hAnsi="Symbol"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567D37AB"/>
    <w:multiLevelType w:val="hybridMultilevel"/>
    <w:tmpl w:val="AF5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7646D"/>
    <w:multiLevelType w:val="hybridMultilevel"/>
    <w:tmpl w:val="FEDAA060"/>
    <w:lvl w:ilvl="0" w:tplc="A0EE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2356"/>
    <w:multiLevelType w:val="hybridMultilevel"/>
    <w:tmpl w:val="9F4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A2513"/>
    <w:multiLevelType w:val="hybridMultilevel"/>
    <w:tmpl w:val="3C1C7B8A"/>
    <w:lvl w:ilvl="0" w:tplc="48D688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FC72DE3"/>
    <w:multiLevelType w:val="hybridMultilevel"/>
    <w:tmpl w:val="28801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ABCA9"/>
    <w:multiLevelType w:val="hybridMultilevel"/>
    <w:tmpl w:val="A22CF100"/>
    <w:lvl w:ilvl="0" w:tplc="2B721E66">
      <w:start w:val="1"/>
      <w:numFmt w:val="bullet"/>
      <w:lvlText w:val=""/>
      <w:lvlJc w:val="left"/>
      <w:pPr>
        <w:ind w:left="720" w:hanging="360"/>
      </w:pPr>
      <w:rPr>
        <w:rFonts w:ascii="Symbol" w:hAnsi="Symbol" w:hint="default"/>
      </w:rPr>
    </w:lvl>
    <w:lvl w:ilvl="1" w:tplc="7C5E7F0C">
      <w:start w:val="1"/>
      <w:numFmt w:val="bullet"/>
      <w:lvlText w:val="o"/>
      <w:lvlJc w:val="left"/>
      <w:pPr>
        <w:ind w:left="1440" w:hanging="360"/>
      </w:pPr>
      <w:rPr>
        <w:rFonts w:ascii="Courier New" w:hAnsi="Courier New" w:hint="default"/>
      </w:rPr>
    </w:lvl>
    <w:lvl w:ilvl="2" w:tplc="80360974">
      <w:start w:val="1"/>
      <w:numFmt w:val="bullet"/>
      <w:lvlText w:val=""/>
      <w:lvlJc w:val="left"/>
      <w:pPr>
        <w:ind w:left="2160" w:hanging="360"/>
      </w:pPr>
      <w:rPr>
        <w:rFonts w:ascii="Wingdings" w:hAnsi="Wingdings" w:hint="default"/>
      </w:rPr>
    </w:lvl>
    <w:lvl w:ilvl="3" w:tplc="EF122ED4">
      <w:start w:val="1"/>
      <w:numFmt w:val="bullet"/>
      <w:lvlText w:val=""/>
      <w:lvlJc w:val="left"/>
      <w:pPr>
        <w:ind w:left="2880" w:hanging="360"/>
      </w:pPr>
      <w:rPr>
        <w:rFonts w:ascii="Symbol" w:hAnsi="Symbol" w:hint="default"/>
      </w:rPr>
    </w:lvl>
    <w:lvl w:ilvl="4" w:tplc="0B482660">
      <w:start w:val="1"/>
      <w:numFmt w:val="bullet"/>
      <w:lvlText w:val="o"/>
      <w:lvlJc w:val="left"/>
      <w:pPr>
        <w:ind w:left="3600" w:hanging="360"/>
      </w:pPr>
      <w:rPr>
        <w:rFonts w:ascii="Courier New" w:hAnsi="Courier New" w:hint="default"/>
      </w:rPr>
    </w:lvl>
    <w:lvl w:ilvl="5" w:tplc="8EF0FF26">
      <w:start w:val="1"/>
      <w:numFmt w:val="bullet"/>
      <w:lvlText w:val=""/>
      <w:lvlJc w:val="left"/>
      <w:pPr>
        <w:ind w:left="4320" w:hanging="360"/>
      </w:pPr>
      <w:rPr>
        <w:rFonts w:ascii="Wingdings" w:hAnsi="Wingdings" w:hint="default"/>
      </w:rPr>
    </w:lvl>
    <w:lvl w:ilvl="6" w:tplc="DB78150A">
      <w:start w:val="1"/>
      <w:numFmt w:val="bullet"/>
      <w:lvlText w:val=""/>
      <w:lvlJc w:val="left"/>
      <w:pPr>
        <w:ind w:left="5040" w:hanging="360"/>
      </w:pPr>
      <w:rPr>
        <w:rFonts w:ascii="Symbol" w:hAnsi="Symbol" w:hint="default"/>
      </w:rPr>
    </w:lvl>
    <w:lvl w:ilvl="7" w:tplc="6A12AA84">
      <w:start w:val="1"/>
      <w:numFmt w:val="bullet"/>
      <w:lvlText w:val="o"/>
      <w:lvlJc w:val="left"/>
      <w:pPr>
        <w:ind w:left="5760" w:hanging="360"/>
      </w:pPr>
      <w:rPr>
        <w:rFonts w:ascii="Courier New" w:hAnsi="Courier New" w:hint="default"/>
      </w:rPr>
    </w:lvl>
    <w:lvl w:ilvl="8" w:tplc="26AA8C94">
      <w:start w:val="1"/>
      <w:numFmt w:val="bullet"/>
      <w:lvlText w:val=""/>
      <w:lvlJc w:val="left"/>
      <w:pPr>
        <w:ind w:left="6480" w:hanging="360"/>
      </w:pPr>
      <w:rPr>
        <w:rFonts w:ascii="Wingdings" w:hAnsi="Wingdings" w:hint="default"/>
      </w:rPr>
    </w:lvl>
  </w:abstractNum>
  <w:abstractNum w:abstractNumId="36" w15:restartNumberingAfterBreak="0">
    <w:nsid w:val="652A49C2"/>
    <w:multiLevelType w:val="hybridMultilevel"/>
    <w:tmpl w:val="B9AA5F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5A07CBB"/>
    <w:multiLevelType w:val="hybridMultilevel"/>
    <w:tmpl w:val="D0281760"/>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872AB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D3EEE"/>
    <w:multiLevelType w:val="hybridMultilevel"/>
    <w:tmpl w:val="F9E80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1" w15:restartNumberingAfterBreak="0">
    <w:nsid w:val="6DD8544D"/>
    <w:multiLevelType w:val="hybridMultilevel"/>
    <w:tmpl w:val="8952B6A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A5E3354"/>
    <w:multiLevelType w:val="hybridMultilevel"/>
    <w:tmpl w:val="C020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694F3E"/>
    <w:multiLevelType w:val="hybridMultilevel"/>
    <w:tmpl w:val="66C627DA"/>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D20EB"/>
    <w:multiLevelType w:val="hybridMultilevel"/>
    <w:tmpl w:val="1F8EF210"/>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2822CD"/>
    <w:multiLevelType w:val="hybridMultilevel"/>
    <w:tmpl w:val="94E81EF4"/>
    <w:lvl w:ilvl="0" w:tplc="E3E8BBB2">
      <w:start w:val="1"/>
      <w:numFmt w:val="bullet"/>
      <w:lvlText w:val=""/>
      <w:lvlJc w:val="left"/>
      <w:pPr>
        <w:ind w:left="720" w:hanging="360"/>
      </w:pPr>
      <w:rPr>
        <w:rFonts w:ascii="Symbol" w:hAnsi="Symbol" w:hint="default"/>
      </w:rPr>
    </w:lvl>
    <w:lvl w:ilvl="1" w:tplc="40184F24">
      <w:start w:val="1"/>
      <w:numFmt w:val="bullet"/>
      <w:lvlText w:val=""/>
      <w:lvlJc w:val="left"/>
      <w:pPr>
        <w:ind w:left="1440" w:hanging="360"/>
      </w:pPr>
      <w:rPr>
        <w:rFonts w:ascii="Symbol" w:hAnsi="Symbol" w:hint="default"/>
      </w:rPr>
    </w:lvl>
    <w:lvl w:ilvl="2" w:tplc="A72AA860">
      <w:start w:val="1"/>
      <w:numFmt w:val="bullet"/>
      <w:lvlText w:val=""/>
      <w:lvlJc w:val="left"/>
      <w:pPr>
        <w:ind w:left="2160" w:hanging="360"/>
      </w:pPr>
      <w:rPr>
        <w:rFonts w:ascii="Wingdings" w:hAnsi="Wingdings" w:hint="default"/>
      </w:rPr>
    </w:lvl>
    <w:lvl w:ilvl="3" w:tplc="ECA4EC2C">
      <w:start w:val="1"/>
      <w:numFmt w:val="bullet"/>
      <w:lvlText w:val=""/>
      <w:lvlJc w:val="left"/>
      <w:pPr>
        <w:ind w:left="2880" w:hanging="360"/>
      </w:pPr>
      <w:rPr>
        <w:rFonts w:ascii="Symbol" w:hAnsi="Symbol" w:hint="default"/>
      </w:rPr>
    </w:lvl>
    <w:lvl w:ilvl="4" w:tplc="DA1022D2">
      <w:start w:val="1"/>
      <w:numFmt w:val="bullet"/>
      <w:lvlText w:val="o"/>
      <w:lvlJc w:val="left"/>
      <w:pPr>
        <w:ind w:left="3600" w:hanging="360"/>
      </w:pPr>
      <w:rPr>
        <w:rFonts w:ascii="Courier New" w:hAnsi="Courier New" w:hint="default"/>
      </w:rPr>
    </w:lvl>
    <w:lvl w:ilvl="5" w:tplc="16E6B8AA">
      <w:start w:val="1"/>
      <w:numFmt w:val="bullet"/>
      <w:lvlText w:val=""/>
      <w:lvlJc w:val="left"/>
      <w:pPr>
        <w:ind w:left="4320" w:hanging="360"/>
      </w:pPr>
      <w:rPr>
        <w:rFonts w:ascii="Wingdings" w:hAnsi="Wingdings" w:hint="default"/>
      </w:rPr>
    </w:lvl>
    <w:lvl w:ilvl="6" w:tplc="063437B2">
      <w:start w:val="1"/>
      <w:numFmt w:val="bullet"/>
      <w:lvlText w:val=""/>
      <w:lvlJc w:val="left"/>
      <w:pPr>
        <w:ind w:left="5040" w:hanging="360"/>
      </w:pPr>
      <w:rPr>
        <w:rFonts w:ascii="Symbol" w:hAnsi="Symbol" w:hint="default"/>
      </w:rPr>
    </w:lvl>
    <w:lvl w:ilvl="7" w:tplc="2092C87E">
      <w:start w:val="1"/>
      <w:numFmt w:val="bullet"/>
      <w:lvlText w:val="o"/>
      <w:lvlJc w:val="left"/>
      <w:pPr>
        <w:ind w:left="5760" w:hanging="360"/>
      </w:pPr>
      <w:rPr>
        <w:rFonts w:ascii="Courier New" w:hAnsi="Courier New" w:hint="default"/>
      </w:rPr>
    </w:lvl>
    <w:lvl w:ilvl="8" w:tplc="25A0F88C">
      <w:start w:val="1"/>
      <w:numFmt w:val="bullet"/>
      <w:lvlText w:val=""/>
      <w:lvlJc w:val="left"/>
      <w:pPr>
        <w:ind w:left="6480" w:hanging="360"/>
      </w:pPr>
      <w:rPr>
        <w:rFonts w:ascii="Wingdings" w:hAnsi="Wingdings" w:hint="default"/>
      </w:rPr>
    </w:lvl>
  </w:abstractNum>
  <w:abstractNum w:abstractNumId="46" w15:restartNumberingAfterBreak="0">
    <w:nsid w:val="7F071480"/>
    <w:multiLevelType w:val="hybridMultilevel"/>
    <w:tmpl w:val="7D00E074"/>
    <w:lvl w:ilvl="0" w:tplc="12F6CE44">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45"/>
  </w:num>
  <w:num w:numId="4">
    <w:abstractNumId w:val="1"/>
  </w:num>
  <w:num w:numId="5">
    <w:abstractNumId w:val="0"/>
  </w:num>
  <w:num w:numId="6">
    <w:abstractNumId w:val="20"/>
  </w:num>
  <w:num w:numId="7">
    <w:abstractNumId w:val="40"/>
  </w:num>
  <w:num w:numId="8">
    <w:abstractNumId w:val="23"/>
  </w:num>
  <w:num w:numId="9">
    <w:abstractNumId w:val="16"/>
  </w:num>
  <w:num w:numId="10">
    <w:abstractNumId w:val="33"/>
  </w:num>
  <w:num w:numId="11">
    <w:abstractNumId w:val="12"/>
  </w:num>
  <w:num w:numId="12">
    <w:abstractNumId w:val="39"/>
  </w:num>
  <w:num w:numId="13">
    <w:abstractNumId w:val="28"/>
  </w:num>
  <w:num w:numId="14">
    <w:abstractNumId w:val="26"/>
  </w:num>
  <w:num w:numId="15">
    <w:abstractNumId w:val="14"/>
  </w:num>
  <w:num w:numId="16">
    <w:abstractNumId w:val="10"/>
  </w:num>
  <w:num w:numId="17">
    <w:abstractNumId w:val="3"/>
  </w:num>
  <w:num w:numId="18">
    <w:abstractNumId w:val="37"/>
  </w:num>
  <w:num w:numId="19">
    <w:abstractNumId w:val="43"/>
  </w:num>
  <w:num w:numId="20">
    <w:abstractNumId w:val="17"/>
  </w:num>
  <w:num w:numId="21">
    <w:abstractNumId w:val="18"/>
  </w:num>
  <w:num w:numId="22">
    <w:abstractNumId w:val="31"/>
  </w:num>
  <w:num w:numId="23">
    <w:abstractNumId w:val="13"/>
  </w:num>
  <w:num w:numId="24">
    <w:abstractNumId w:val="41"/>
  </w:num>
  <w:num w:numId="25">
    <w:abstractNumId w:val="27"/>
  </w:num>
  <w:num w:numId="26">
    <w:abstractNumId w:val="44"/>
  </w:num>
  <w:num w:numId="27">
    <w:abstractNumId w:val="32"/>
  </w:num>
  <w:num w:numId="28">
    <w:abstractNumId w:val="21"/>
  </w:num>
  <w:num w:numId="29">
    <w:abstractNumId w:val="25"/>
  </w:num>
  <w:num w:numId="30">
    <w:abstractNumId w:val="42"/>
  </w:num>
  <w:num w:numId="31">
    <w:abstractNumId w:val="5"/>
  </w:num>
  <w:num w:numId="32">
    <w:abstractNumId w:val="24"/>
  </w:num>
  <w:num w:numId="33">
    <w:abstractNumId w:val="9"/>
  </w:num>
  <w:num w:numId="34">
    <w:abstractNumId w:val="29"/>
  </w:num>
  <w:num w:numId="35">
    <w:abstractNumId w:val="34"/>
  </w:num>
  <w:num w:numId="36">
    <w:abstractNumId w:val="15"/>
  </w:num>
  <w:num w:numId="37">
    <w:abstractNumId w:val="21"/>
  </w:num>
  <w:num w:numId="38">
    <w:abstractNumId w:val="2"/>
  </w:num>
  <w:num w:numId="39">
    <w:abstractNumId w:val="38"/>
  </w:num>
  <w:num w:numId="40">
    <w:abstractNumId w:val="8"/>
  </w:num>
  <w:num w:numId="41">
    <w:abstractNumId w:val="4"/>
  </w:num>
  <w:num w:numId="42">
    <w:abstractNumId w:val="19"/>
  </w:num>
  <w:num w:numId="43">
    <w:abstractNumId w:val="11"/>
  </w:num>
  <w:num w:numId="44">
    <w:abstractNumId w:val="7"/>
  </w:num>
  <w:num w:numId="45">
    <w:abstractNumId w:val="36"/>
  </w:num>
  <w:num w:numId="46">
    <w:abstractNumId w:val="46"/>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nl-NL"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E683299-0DF5-4202-B755-F71BC49EB5E5"/>
    <w:docVar w:name="LW_COVERPAGE_TYPE" w:val="1"/>
    <w:docVar w:name="LW_CROSSREFERENCE" w:val="&lt;UNUSED&gt;"/>
    <w:docVar w:name="LW_DocType" w:val="NORMAL"/>
    <w:docVar w:name="LW_EMISSION" w:val="9.10.2023"/>
    <w:docVar w:name="LW_EMISSION_ISODATE" w:val="2023-10-09"/>
    <w:docVar w:name="LW_EMISSION_LOCATION" w:val="BRX"/>
    <w:docVar w:name="LW_EMISSION_PREFIX" w:val="Brussel, "/>
    <w:docVar w:name="LW_EMISSION_SUFFIX" w:val=" "/>
    <w:docVar w:name="LW_ID_DOCTYPE_NONLW" w:val="CP-032"/>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BUD"/>
    <w:docVar w:name="LW_REF.II.NEW.CP_NUMBER" w:val="0264"/>
    <w:docVar w:name="LW_REF.II.NEW.CP_YEAR" w:val="2023"/>
    <w:docVar w:name="LW_REF.INST.NEW" w:val="COM"/>
    <w:docVar w:name="LW_REF.INST.NEW_ADOPTED" w:val="final"/>
    <w:docVar w:name="LW_REF.INST.NEW_TEXT" w:val="(2023) 53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 "/>
    <w:docVar w:name="LW_STATUT.CP" w:val=" "/>
    <w:docVar w:name="LW_SUPERTITRE" w:val="&lt;UNUSED&gt;"/>
    <w:docVar w:name="LW_TITRE.OBJ.CP" w:val="_x000d__x000d__x000d__x000d__x000d__x000d__x000d__x000d__x000d__x000b__x000d__x000d__x000d__x000d__x000d__x000d__x000d__x000d__x000d__x000b_Geactualiseerde geraamde behoeften voor landbouwuitgaven_x000d__x000d__x000d__x000d__x000d__x000d__x000d__x000d__x000d__x000b_Andere aanpassingen en technische actualiseringen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d__x000d__x000d__x000d__x000d__x000d__x000d__x000d__x000d__x000d__x000d__x000d__x000d__x000d__x000d__x000d__x000d__x000b_"/>
    <w:docVar w:name="LW_TYPE.DOC.CP" w:val="NOTA VAN WIJZIGINGEN Nr. 1 BIJ HET ONTWERP VAN _x000b_ALGEMENE BEGROTING 2024"/>
    <w:docVar w:name="LwApiVersions" w:val="LW4CoDe 1.23.2.0; LW 8.0, Build 20211117"/>
  </w:docVars>
  <w:rsids>
    <w:rsidRoot w:val="00F16A2C"/>
    <w:rsid w:val="000021D2"/>
    <w:rsid w:val="000021DB"/>
    <w:rsid w:val="0000370B"/>
    <w:rsid w:val="00003C40"/>
    <w:rsid w:val="00006417"/>
    <w:rsid w:val="0001163F"/>
    <w:rsid w:val="00014F4E"/>
    <w:rsid w:val="000207FE"/>
    <w:rsid w:val="00026858"/>
    <w:rsid w:val="00030032"/>
    <w:rsid w:val="000419B1"/>
    <w:rsid w:val="00044A30"/>
    <w:rsid w:val="000450E6"/>
    <w:rsid w:val="00050A38"/>
    <w:rsid w:val="0005117B"/>
    <w:rsid w:val="00051699"/>
    <w:rsid w:val="0005272B"/>
    <w:rsid w:val="00052CAC"/>
    <w:rsid w:val="00057A60"/>
    <w:rsid w:val="000606DB"/>
    <w:rsid w:val="000643FD"/>
    <w:rsid w:val="00064DFF"/>
    <w:rsid w:val="00065129"/>
    <w:rsid w:val="00065236"/>
    <w:rsid w:val="000659FD"/>
    <w:rsid w:val="00066630"/>
    <w:rsid w:val="0006798C"/>
    <w:rsid w:val="000703D6"/>
    <w:rsid w:val="00072B63"/>
    <w:rsid w:val="00073B71"/>
    <w:rsid w:val="00073D61"/>
    <w:rsid w:val="0007482B"/>
    <w:rsid w:val="00075223"/>
    <w:rsid w:val="000752BE"/>
    <w:rsid w:val="0007752A"/>
    <w:rsid w:val="0008039F"/>
    <w:rsid w:val="00080752"/>
    <w:rsid w:val="00081FCA"/>
    <w:rsid w:val="00081FE2"/>
    <w:rsid w:val="00084EBF"/>
    <w:rsid w:val="0008687A"/>
    <w:rsid w:val="00086A47"/>
    <w:rsid w:val="00086CB5"/>
    <w:rsid w:val="00090A31"/>
    <w:rsid w:val="000915CF"/>
    <w:rsid w:val="000926DE"/>
    <w:rsid w:val="00093092"/>
    <w:rsid w:val="00093D12"/>
    <w:rsid w:val="000952EB"/>
    <w:rsid w:val="00095349"/>
    <w:rsid w:val="00095929"/>
    <w:rsid w:val="0009703D"/>
    <w:rsid w:val="000A37D8"/>
    <w:rsid w:val="000A4F6E"/>
    <w:rsid w:val="000A6B17"/>
    <w:rsid w:val="000A7804"/>
    <w:rsid w:val="000B158E"/>
    <w:rsid w:val="000B16A6"/>
    <w:rsid w:val="000B4BB6"/>
    <w:rsid w:val="000B68FB"/>
    <w:rsid w:val="000C0FFA"/>
    <w:rsid w:val="000C1C2A"/>
    <w:rsid w:val="000C2E8F"/>
    <w:rsid w:val="000C3AD9"/>
    <w:rsid w:val="000C3D34"/>
    <w:rsid w:val="000C3D6E"/>
    <w:rsid w:val="000C458F"/>
    <w:rsid w:val="000C71E1"/>
    <w:rsid w:val="000C78A2"/>
    <w:rsid w:val="000D2EDA"/>
    <w:rsid w:val="000D61C4"/>
    <w:rsid w:val="000E30AE"/>
    <w:rsid w:val="000F7C19"/>
    <w:rsid w:val="001020C9"/>
    <w:rsid w:val="0010586A"/>
    <w:rsid w:val="00105922"/>
    <w:rsid w:val="001071C0"/>
    <w:rsid w:val="00110CE6"/>
    <w:rsid w:val="0011101F"/>
    <w:rsid w:val="00111CB9"/>
    <w:rsid w:val="00111FC1"/>
    <w:rsid w:val="001125A7"/>
    <w:rsid w:val="001126AC"/>
    <w:rsid w:val="00116B66"/>
    <w:rsid w:val="00116DF1"/>
    <w:rsid w:val="00117A16"/>
    <w:rsid w:val="00117D65"/>
    <w:rsid w:val="00122FD9"/>
    <w:rsid w:val="00124551"/>
    <w:rsid w:val="001257B4"/>
    <w:rsid w:val="001261A4"/>
    <w:rsid w:val="00130CFB"/>
    <w:rsid w:val="0013139D"/>
    <w:rsid w:val="00133966"/>
    <w:rsid w:val="001353A2"/>
    <w:rsid w:val="00145AC5"/>
    <w:rsid w:val="00150240"/>
    <w:rsid w:val="00155AE2"/>
    <w:rsid w:val="00156A63"/>
    <w:rsid w:val="00157146"/>
    <w:rsid w:val="00157606"/>
    <w:rsid w:val="00161297"/>
    <w:rsid w:val="00161B9A"/>
    <w:rsid w:val="00161E47"/>
    <w:rsid w:val="0016372D"/>
    <w:rsid w:val="00170F75"/>
    <w:rsid w:val="001710E0"/>
    <w:rsid w:val="001723B8"/>
    <w:rsid w:val="00172E43"/>
    <w:rsid w:val="00177282"/>
    <w:rsid w:val="001779BA"/>
    <w:rsid w:val="00180F53"/>
    <w:rsid w:val="0018658D"/>
    <w:rsid w:val="00186823"/>
    <w:rsid w:val="00187037"/>
    <w:rsid w:val="0019020C"/>
    <w:rsid w:val="00192698"/>
    <w:rsid w:val="00194C35"/>
    <w:rsid w:val="001952FD"/>
    <w:rsid w:val="001971B7"/>
    <w:rsid w:val="0019773C"/>
    <w:rsid w:val="00197ED9"/>
    <w:rsid w:val="001A0BA8"/>
    <w:rsid w:val="001A555B"/>
    <w:rsid w:val="001B008E"/>
    <w:rsid w:val="001B00A9"/>
    <w:rsid w:val="001B078E"/>
    <w:rsid w:val="001B1187"/>
    <w:rsid w:val="001B3F30"/>
    <w:rsid w:val="001B6BCF"/>
    <w:rsid w:val="001B703E"/>
    <w:rsid w:val="001C5EFE"/>
    <w:rsid w:val="001C62B6"/>
    <w:rsid w:val="001C75A9"/>
    <w:rsid w:val="001C7E8A"/>
    <w:rsid w:val="001D1D1B"/>
    <w:rsid w:val="001D1F52"/>
    <w:rsid w:val="001D42D1"/>
    <w:rsid w:val="001D5B14"/>
    <w:rsid w:val="001E41EB"/>
    <w:rsid w:val="001E54E6"/>
    <w:rsid w:val="001F00C2"/>
    <w:rsid w:val="001F133C"/>
    <w:rsid w:val="001F54AE"/>
    <w:rsid w:val="0020371C"/>
    <w:rsid w:val="00205233"/>
    <w:rsid w:val="002065F4"/>
    <w:rsid w:val="00206E01"/>
    <w:rsid w:val="00211DE0"/>
    <w:rsid w:val="00211EBD"/>
    <w:rsid w:val="002138F1"/>
    <w:rsid w:val="002160DC"/>
    <w:rsid w:val="00220F4E"/>
    <w:rsid w:val="00222FCF"/>
    <w:rsid w:val="00225DBC"/>
    <w:rsid w:val="00226B8A"/>
    <w:rsid w:val="002271B9"/>
    <w:rsid w:val="00230883"/>
    <w:rsid w:val="00230E0D"/>
    <w:rsid w:val="00233A5B"/>
    <w:rsid w:val="00233DA5"/>
    <w:rsid w:val="00237B7B"/>
    <w:rsid w:val="00240300"/>
    <w:rsid w:val="002405E1"/>
    <w:rsid w:val="00240D8D"/>
    <w:rsid w:val="002413C0"/>
    <w:rsid w:val="00242D25"/>
    <w:rsid w:val="002446ED"/>
    <w:rsid w:val="002472ED"/>
    <w:rsid w:val="00247678"/>
    <w:rsid w:val="00250776"/>
    <w:rsid w:val="00252798"/>
    <w:rsid w:val="0025430B"/>
    <w:rsid w:val="00255AE7"/>
    <w:rsid w:val="0026117B"/>
    <w:rsid w:val="00261775"/>
    <w:rsid w:val="00261D99"/>
    <w:rsid w:val="002622F7"/>
    <w:rsid w:val="00265904"/>
    <w:rsid w:val="00270FDF"/>
    <w:rsid w:val="00271B42"/>
    <w:rsid w:val="00272E4A"/>
    <w:rsid w:val="002737C7"/>
    <w:rsid w:val="002743D0"/>
    <w:rsid w:val="00275E54"/>
    <w:rsid w:val="00281095"/>
    <w:rsid w:val="002816C8"/>
    <w:rsid w:val="00283473"/>
    <w:rsid w:val="0028389D"/>
    <w:rsid w:val="00283989"/>
    <w:rsid w:val="00295C22"/>
    <w:rsid w:val="002A0116"/>
    <w:rsid w:val="002A0F20"/>
    <w:rsid w:val="002A1136"/>
    <w:rsid w:val="002A20B6"/>
    <w:rsid w:val="002A3A8A"/>
    <w:rsid w:val="002A7100"/>
    <w:rsid w:val="002B2C5E"/>
    <w:rsid w:val="002B3D05"/>
    <w:rsid w:val="002B4E0A"/>
    <w:rsid w:val="002B67DA"/>
    <w:rsid w:val="002B70BF"/>
    <w:rsid w:val="002B740C"/>
    <w:rsid w:val="002BA14C"/>
    <w:rsid w:val="002C01DA"/>
    <w:rsid w:val="002C208E"/>
    <w:rsid w:val="002C2FEE"/>
    <w:rsid w:val="002C66CA"/>
    <w:rsid w:val="002C73BB"/>
    <w:rsid w:val="002C7AD5"/>
    <w:rsid w:val="002C7BFD"/>
    <w:rsid w:val="002D2B00"/>
    <w:rsid w:val="002D46D4"/>
    <w:rsid w:val="002D50F4"/>
    <w:rsid w:val="002D5315"/>
    <w:rsid w:val="002D609D"/>
    <w:rsid w:val="002D6500"/>
    <w:rsid w:val="002D7308"/>
    <w:rsid w:val="002D7BD6"/>
    <w:rsid w:val="002D7D49"/>
    <w:rsid w:val="002D7F35"/>
    <w:rsid w:val="002E1916"/>
    <w:rsid w:val="002E1BAB"/>
    <w:rsid w:val="002E2A76"/>
    <w:rsid w:val="002F11D3"/>
    <w:rsid w:val="002F3EAA"/>
    <w:rsid w:val="002F42CE"/>
    <w:rsid w:val="002F646E"/>
    <w:rsid w:val="002F688D"/>
    <w:rsid w:val="002F6E1D"/>
    <w:rsid w:val="00302615"/>
    <w:rsid w:val="00302630"/>
    <w:rsid w:val="003035C1"/>
    <w:rsid w:val="00303B6D"/>
    <w:rsid w:val="00304099"/>
    <w:rsid w:val="0030596F"/>
    <w:rsid w:val="003122A5"/>
    <w:rsid w:val="00315456"/>
    <w:rsid w:val="0032069C"/>
    <w:rsid w:val="00323469"/>
    <w:rsid w:val="00327D25"/>
    <w:rsid w:val="003310D0"/>
    <w:rsid w:val="003312D8"/>
    <w:rsid w:val="003315B1"/>
    <w:rsid w:val="00333862"/>
    <w:rsid w:val="0033501E"/>
    <w:rsid w:val="0033509E"/>
    <w:rsid w:val="003351D3"/>
    <w:rsid w:val="003352FC"/>
    <w:rsid w:val="00337640"/>
    <w:rsid w:val="003403E7"/>
    <w:rsid w:val="00343D17"/>
    <w:rsid w:val="00344BA2"/>
    <w:rsid w:val="00344CA7"/>
    <w:rsid w:val="0035336E"/>
    <w:rsid w:val="00353584"/>
    <w:rsid w:val="003554C4"/>
    <w:rsid w:val="00355521"/>
    <w:rsid w:val="003559DD"/>
    <w:rsid w:val="00355BA7"/>
    <w:rsid w:val="00356AE4"/>
    <w:rsid w:val="003571DF"/>
    <w:rsid w:val="00357691"/>
    <w:rsid w:val="00357735"/>
    <w:rsid w:val="0036064B"/>
    <w:rsid w:val="00361148"/>
    <w:rsid w:val="00361370"/>
    <w:rsid w:val="00364419"/>
    <w:rsid w:val="00367511"/>
    <w:rsid w:val="00373892"/>
    <w:rsid w:val="0037557F"/>
    <w:rsid w:val="00376050"/>
    <w:rsid w:val="00376B81"/>
    <w:rsid w:val="00382315"/>
    <w:rsid w:val="003857D4"/>
    <w:rsid w:val="003858A0"/>
    <w:rsid w:val="00390A75"/>
    <w:rsid w:val="003916EF"/>
    <w:rsid w:val="0039347A"/>
    <w:rsid w:val="003965F0"/>
    <w:rsid w:val="00396BE7"/>
    <w:rsid w:val="00396D3F"/>
    <w:rsid w:val="003A16BD"/>
    <w:rsid w:val="003A23AB"/>
    <w:rsid w:val="003A4305"/>
    <w:rsid w:val="003A5EE8"/>
    <w:rsid w:val="003A933C"/>
    <w:rsid w:val="003B0A7D"/>
    <w:rsid w:val="003B1EF5"/>
    <w:rsid w:val="003B3DDF"/>
    <w:rsid w:val="003B6069"/>
    <w:rsid w:val="003C1214"/>
    <w:rsid w:val="003C1D20"/>
    <w:rsid w:val="003C2B6E"/>
    <w:rsid w:val="003C3928"/>
    <w:rsid w:val="003C3ABB"/>
    <w:rsid w:val="003C5A89"/>
    <w:rsid w:val="003C5CED"/>
    <w:rsid w:val="003C67A0"/>
    <w:rsid w:val="003C69E2"/>
    <w:rsid w:val="003C7099"/>
    <w:rsid w:val="003D0708"/>
    <w:rsid w:val="003D1294"/>
    <w:rsid w:val="003D1689"/>
    <w:rsid w:val="003D1FCB"/>
    <w:rsid w:val="003D69E3"/>
    <w:rsid w:val="003D701A"/>
    <w:rsid w:val="003D7AFB"/>
    <w:rsid w:val="003E2E3F"/>
    <w:rsid w:val="003E7E99"/>
    <w:rsid w:val="003F133E"/>
    <w:rsid w:val="003F2CAA"/>
    <w:rsid w:val="003F3AC6"/>
    <w:rsid w:val="003F3E56"/>
    <w:rsid w:val="003F50DE"/>
    <w:rsid w:val="00400018"/>
    <w:rsid w:val="00401D9E"/>
    <w:rsid w:val="00402058"/>
    <w:rsid w:val="004040F5"/>
    <w:rsid w:val="0040740F"/>
    <w:rsid w:val="00407D5E"/>
    <w:rsid w:val="00407DE3"/>
    <w:rsid w:val="004100EC"/>
    <w:rsid w:val="004109E1"/>
    <w:rsid w:val="00411C9A"/>
    <w:rsid w:val="00417957"/>
    <w:rsid w:val="00417B19"/>
    <w:rsid w:val="00424419"/>
    <w:rsid w:val="0042591E"/>
    <w:rsid w:val="00426B0D"/>
    <w:rsid w:val="00431D29"/>
    <w:rsid w:val="00441153"/>
    <w:rsid w:val="004429BC"/>
    <w:rsid w:val="00442F48"/>
    <w:rsid w:val="004449F6"/>
    <w:rsid w:val="0044551C"/>
    <w:rsid w:val="00447708"/>
    <w:rsid w:val="00452739"/>
    <w:rsid w:val="0045283A"/>
    <w:rsid w:val="004541D5"/>
    <w:rsid w:val="00455CC8"/>
    <w:rsid w:val="00457AD8"/>
    <w:rsid w:val="0046075E"/>
    <w:rsid w:val="004622E3"/>
    <w:rsid w:val="0046251B"/>
    <w:rsid w:val="00467DEB"/>
    <w:rsid w:val="00470871"/>
    <w:rsid w:val="004716ED"/>
    <w:rsid w:val="00471C23"/>
    <w:rsid w:val="00472CCE"/>
    <w:rsid w:val="00473886"/>
    <w:rsid w:val="00473D7D"/>
    <w:rsid w:val="004744BE"/>
    <w:rsid w:val="00474E31"/>
    <w:rsid w:val="00477D38"/>
    <w:rsid w:val="004806AE"/>
    <w:rsid w:val="004806B3"/>
    <w:rsid w:val="00480745"/>
    <w:rsid w:val="004822C2"/>
    <w:rsid w:val="0049540B"/>
    <w:rsid w:val="00496492"/>
    <w:rsid w:val="00497388"/>
    <w:rsid w:val="0049753C"/>
    <w:rsid w:val="004A2856"/>
    <w:rsid w:val="004A664F"/>
    <w:rsid w:val="004A7383"/>
    <w:rsid w:val="004B0188"/>
    <w:rsid w:val="004B18C8"/>
    <w:rsid w:val="004B2BDF"/>
    <w:rsid w:val="004B6CA6"/>
    <w:rsid w:val="004B78F6"/>
    <w:rsid w:val="004C0346"/>
    <w:rsid w:val="004C502E"/>
    <w:rsid w:val="004C6BAD"/>
    <w:rsid w:val="004C6FAA"/>
    <w:rsid w:val="004D133B"/>
    <w:rsid w:val="004D1EAE"/>
    <w:rsid w:val="004D23EC"/>
    <w:rsid w:val="004D3807"/>
    <w:rsid w:val="004D7EB0"/>
    <w:rsid w:val="004D9C96"/>
    <w:rsid w:val="004E411F"/>
    <w:rsid w:val="004ECFF9"/>
    <w:rsid w:val="004F0302"/>
    <w:rsid w:val="004F46E5"/>
    <w:rsid w:val="004F6DFA"/>
    <w:rsid w:val="00500176"/>
    <w:rsid w:val="0050119C"/>
    <w:rsid w:val="00503A1A"/>
    <w:rsid w:val="00503B01"/>
    <w:rsid w:val="00503D26"/>
    <w:rsid w:val="005059F6"/>
    <w:rsid w:val="0050638B"/>
    <w:rsid w:val="005066BD"/>
    <w:rsid w:val="00512D22"/>
    <w:rsid w:val="0051781E"/>
    <w:rsid w:val="00517BB1"/>
    <w:rsid w:val="005214C9"/>
    <w:rsid w:val="00523C1A"/>
    <w:rsid w:val="00527204"/>
    <w:rsid w:val="005304B5"/>
    <w:rsid w:val="00531E89"/>
    <w:rsid w:val="00537A0B"/>
    <w:rsid w:val="00540959"/>
    <w:rsid w:val="00541E36"/>
    <w:rsid w:val="0054378C"/>
    <w:rsid w:val="0054648B"/>
    <w:rsid w:val="00547982"/>
    <w:rsid w:val="00550A8E"/>
    <w:rsid w:val="00551C71"/>
    <w:rsid w:val="00552382"/>
    <w:rsid w:val="00561596"/>
    <w:rsid w:val="005668BF"/>
    <w:rsid w:val="00570CF2"/>
    <w:rsid w:val="0057464E"/>
    <w:rsid w:val="00576F5C"/>
    <w:rsid w:val="005771EA"/>
    <w:rsid w:val="00581633"/>
    <w:rsid w:val="00586908"/>
    <w:rsid w:val="00586E76"/>
    <w:rsid w:val="005902A4"/>
    <w:rsid w:val="0059043C"/>
    <w:rsid w:val="00590FDA"/>
    <w:rsid w:val="00592F5F"/>
    <w:rsid w:val="005A0538"/>
    <w:rsid w:val="005A42B8"/>
    <w:rsid w:val="005B4468"/>
    <w:rsid w:val="005B6975"/>
    <w:rsid w:val="005B750B"/>
    <w:rsid w:val="005C47FF"/>
    <w:rsid w:val="005C52BB"/>
    <w:rsid w:val="005C7B4B"/>
    <w:rsid w:val="005C7F42"/>
    <w:rsid w:val="005D0C2A"/>
    <w:rsid w:val="005D0CE1"/>
    <w:rsid w:val="005D2CA2"/>
    <w:rsid w:val="005E04CC"/>
    <w:rsid w:val="005E3317"/>
    <w:rsid w:val="005E581E"/>
    <w:rsid w:val="005F66B5"/>
    <w:rsid w:val="005F6C3A"/>
    <w:rsid w:val="005F6FAE"/>
    <w:rsid w:val="00602C73"/>
    <w:rsid w:val="00604723"/>
    <w:rsid w:val="006061CE"/>
    <w:rsid w:val="00606979"/>
    <w:rsid w:val="00606BE2"/>
    <w:rsid w:val="00606CE1"/>
    <w:rsid w:val="00607769"/>
    <w:rsid w:val="00613A75"/>
    <w:rsid w:val="0061418C"/>
    <w:rsid w:val="006149BE"/>
    <w:rsid w:val="00616245"/>
    <w:rsid w:val="00616946"/>
    <w:rsid w:val="00616B21"/>
    <w:rsid w:val="006213DC"/>
    <w:rsid w:val="00621B88"/>
    <w:rsid w:val="00623995"/>
    <w:rsid w:val="00623D9A"/>
    <w:rsid w:val="00624532"/>
    <w:rsid w:val="00626434"/>
    <w:rsid w:val="00627F80"/>
    <w:rsid w:val="006309F9"/>
    <w:rsid w:val="006330B6"/>
    <w:rsid w:val="006331DE"/>
    <w:rsid w:val="0063392D"/>
    <w:rsid w:val="00633C14"/>
    <w:rsid w:val="00634480"/>
    <w:rsid w:val="00635F70"/>
    <w:rsid w:val="006374B1"/>
    <w:rsid w:val="00637B3E"/>
    <w:rsid w:val="00640037"/>
    <w:rsid w:val="0064182A"/>
    <w:rsid w:val="006421CB"/>
    <w:rsid w:val="00642EB5"/>
    <w:rsid w:val="006437CE"/>
    <w:rsid w:val="00644EFB"/>
    <w:rsid w:val="00645B31"/>
    <w:rsid w:val="00651C06"/>
    <w:rsid w:val="00652994"/>
    <w:rsid w:val="0065402B"/>
    <w:rsid w:val="006541A4"/>
    <w:rsid w:val="00654A41"/>
    <w:rsid w:val="00655863"/>
    <w:rsid w:val="00661D8F"/>
    <w:rsid w:val="00664F63"/>
    <w:rsid w:val="006673A3"/>
    <w:rsid w:val="00667956"/>
    <w:rsid w:val="0067299E"/>
    <w:rsid w:val="0067326B"/>
    <w:rsid w:val="00673461"/>
    <w:rsid w:val="006744B3"/>
    <w:rsid w:val="00677082"/>
    <w:rsid w:val="00680B0F"/>
    <w:rsid w:val="0068221C"/>
    <w:rsid w:val="006836D1"/>
    <w:rsid w:val="00683759"/>
    <w:rsid w:val="006905BB"/>
    <w:rsid w:val="00691E12"/>
    <w:rsid w:val="00692727"/>
    <w:rsid w:val="006932EB"/>
    <w:rsid w:val="00693CF6"/>
    <w:rsid w:val="00693F87"/>
    <w:rsid w:val="00694813"/>
    <w:rsid w:val="0069651A"/>
    <w:rsid w:val="006A0C74"/>
    <w:rsid w:val="006A0EF2"/>
    <w:rsid w:val="006A38A0"/>
    <w:rsid w:val="006A5DD7"/>
    <w:rsid w:val="006A5FF9"/>
    <w:rsid w:val="006A761F"/>
    <w:rsid w:val="006B0763"/>
    <w:rsid w:val="006B11F0"/>
    <w:rsid w:val="006B2308"/>
    <w:rsid w:val="006B2E92"/>
    <w:rsid w:val="006B4D89"/>
    <w:rsid w:val="006B4F8E"/>
    <w:rsid w:val="006B6ED6"/>
    <w:rsid w:val="006B72F4"/>
    <w:rsid w:val="006C054C"/>
    <w:rsid w:val="006C1A41"/>
    <w:rsid w:val="006C27D4"/>
    <w:rsid w:val="006C2A81"/>
    <w:rsid w:val="006C3D8D"/>
    <w:rsid w:val="006C40E7"/>
    <w:rsid w:val="006C496D"/>
    <w:rsid w:val="006C5427"/>
    <w:rsid w:val="006C7C01"/>
    <w:rsid w:val="006D3C83"/>
    <w:rsid w:val="006E4534"/>
    <w:rsid w:val="006E5D56"/>
    <w:rsid w:val="006E6664"/>
    <w:rsid w:val="006E6788"/>
    <w:rsid w:val="006F0BB3"/>
    <w:rsid w:val="006F67F7"/>
    <w:rsid w:val="00701032"/>
    <w:rsid w:val="0070132B"/>
    <w:rsid w:val="00703452"/>
    <w:rsid w:val="007036B6"/>
    <w:rsid w:val="007057B5"/>
    <w:rsid w:val="0071291A"/>
    <w:rsid w:val="0071582C"/>
    <w:rsid w:val="007203FB"/>
    <w:rsid w:val="00720760"/>
    <w:rsid w:val="00720EBF"/>
    <w:rsid w:val="007237A2"/>
    <w:rsid w:val="007255FC"/>
    <w:rsid w:val="007263F5"/>
    <w:rsid w:val="00731F37"/>
    <w:rsid w:val="00732ABF"/>
    <w:rsid w:val="007337D4"/>
    <w:rsid w:val="00734F18"/>
    <w:rsid w:val="00736D0A"/>
    <w:rsid w:val="007400AF"/>
    <w:rsid w:val="0074198B"/>
    <w:rsid w:val="00743F35"/>
    <w:rsid w:val="00745676"/>
    <w:rsid w:val="00745F60"/>
    <w:rsid w:val="0074715E"/>
    <w:rsid w:val="0074EC27"/>
    <w:rsid w:val="00751738"/>
    <w:rsid w:val="00752EB1"/>
    <w:rsid w:val="0075333A"/>
    <w:rsid w:val="00761196"/>
    <w:rsid w:val="0076791C"/>
    <w:rsid w:val="00767D1A"/>
    <w:rsid w:val="00773030"/>
    <w:rsid w:val="007749EA"/>
    <w:rsid w:val="00775BE9"/>
    <w:rsid w:val="0077646D"/>
    <w:rsid w:val="00776796"/>
    <w:rsid w:val="007835F8"/>
    <w:rsid w:val="00786B94"/>
    <w:rsid w:val="007874EB"/>
    <w:rsid w:val="00787651"/>
    <w:rsid w:val="00787A96"/>
    <w:rsid w:val="007900F7"/>
    <w:rsid w:val="00791E58"/>
    <w:rsid w:val="00792BB1"/>
    <w:rsid w:val="00793CC9"/>
    <w:rsid w:val="00794A31"/>
    <w:rsid w:val="00795AE0"/>
    <w:rsid w:val="007A1984"/>
    <w:rsid w:val="007A46D7"/>
    <w:rsid w:val="007A52CE"/>
    <w:rsid w:val="007A71BE"/>
    <w:rsid w:val="007A7792"/>
    <w:rsid w:val="007A7F64"/>
    <w:rsid w:val="007B1749"/>
    <w:rsid w:val="007B2110"/>
    <w:rsid w:val="007B3725"/>
    <w:rsid w:val="007B5A72"/>
    <w:rsid w:val="007B6579"/>
    <w:rsid w:val="007B766F"/>
    <w:rsid w:val="007B7E96"/>
    <w:rsid w:val="007C0D4D"/>
    <w:rsid w:val="007C250E"/>
    <w:rsid w:val="007C2671"/>
    <w:rsid w:val="007C323B"/>
    <w:rsid w:val="007C4977"/>
    <w:rsid w:val="007C5EB8"/>
    <w:rsid w:val="007C64C6"/>
    <w:rsid w:val="007C6FCA"/>
    <w:rsid w:val="007D2F92"/>
    <w:rsid w:val="007E28AC"/>
    <w:rsid w:val="007E358B"/>
    <w:rsid w:val="007E3726"/>
    <w:rsid w:val="007E3966"/>
    <w:rsid w:val="007E7CEC"/>
    <w:rsid w:val="007F030D"/>
    <w:rsid w:val="007F19BA"/>
    <w:rsid w:val="007F4F5E"/>
    <w:rsid w:val="007F6135"/>
    <w:rsid w:val="007F6D9C"/>
    <w:rsid w:val="007F797F"/>
    <w:rsid w:val="0080074B"/>
    <w:rsid w:val="00801B52"/>
    <w:rsid w:val="00802CB9"/>
    <w:rsid w:val="0080413D"/>
    <w:rsid w:val="008045D1"/>
    <w:rsid w:val="00805267"/>
    <w:rsid w:val="008079B7"/>
    <w:rsid w:val="0081068A"/>
    <w:rsid w:val="00812269"/>
    <w:rsid w:val="00816722"/>
    <w:rsid w:val="00820D2D"/>
    <w:rsid w:val="00822765"/>
    <w:rsid w:val="00822EA2"/>
    <w:rsid w:val="00822F3B"/>
    <w:rsid w:val="0082325A"/>
    <w:rsid w:val="00823F15"/>
    <w:rsid w:val="008254CA"/>
    <w:rsid w:val="008257E0"/>
    <w:rsid w:val="00834274"/>
    <w:rsid w:val="008354F0"/>
    <w:rsid w:val="008404F5"/>
    <w:rsid w:val="008466D4"/>
    <w:rsid w:val="00850597"/>
    <w:rsid w:val="0085191B"/>
    <w:rsid w:val="00854A71"/>
    <w:rsid w:val="00855868"/>
    <w:rsid w:val="00860CB8"/>
    <w:rsid w:val="00864C13"/>
    <w:rsid w:val="00865008"/>
    <w:rsid w:val="008651FD"/>
    <w:rsid w:val="00865BAC"/>
    <w:rsid w:val="0086631C"/>
    <w:rsid w:val="00871FC9"/>
    <w:rsid w:val="0087372C"/>
    <w:rsid w:val="0088443B"/>
    <w:rsid w:val="0088512E"/>
    <w:rsid w:val="0088570C"/>
    <w:rsid w:val="00885900"/>
    <w:rsid w:val="00891B34"/>
    <w:rsid w:val="00892A65"/>
    <w:rsid w:val="00893156"/>
    <w:rsid w:val="00896A42"/>
    <w:rsid w:val="00896A74"/>
    <w:rsid w:val="008A03CD"/>
    <w:rsid w:val="008A0891"/>
    <w:rsid w:val="008A0E01"/>
    <w:rsid w:val="008A1947"/>
    <w:rsid w:val="008A1996"/>
    <w:rsid w:val="008A35B9"/>
    <w:rsid w:val="008A5400"/>
    <w:rsid w:val="008A65AC"/>
    <w:rsid w:val="008A7077"/>
    <w:rsid w:val="008A7B5E"/>
    <w:rsid w:val="008C201F"/>
    <w:rsid w:val="008D1976"/>
    <w:rsid w:val="008D3404"/>
    <w:rsid w:val="008D5E06"/>
    <w:rsid w:val="008D620F"/>
    <w:rsid w:val="008E179C"/>
    <w:rsid w:val="008E2393"/>
    <w:rsid w:val="008E3B96"/>
    <w:rsid w:val="008E517B"/>
    <w:rsid w:val="008E58EF"/>
    <w:rsid w:val="008E6052"/>
    <w:rsid w:val="008E70D4"/>
    <w:rsid w:val="008E7EED"/>
    <w:rsid w:val="008F0E7D"/>
    <w:rsid w:val="008F25EE"/>
    <w:rsid w:val="008F3918"/>
    <w:rsid w:val="008F4551"/>
    <w:rsid w:val="008F73B8"/>
    <w:rsid w:val="00902A43"/>
    <w:rsid w:val="00904BE0"/>
    <w:rsid w:val="00906950"/>
    <w:rsid w:val="009143EB"/>
    <w:rsid w:val="009166F2"/>
    <w:rsid w:val="00916A55"/>
    <w:rsid w:val="00917581"/>
    <w:rsid w:val="009221D8"/>
    <w:rsid w:val="009230A8"/>
    <w:rsid w:val="009241D9"/>
    <w:rsid w:val="009243EF"/>
    <w:rsid w:val="00924C52"/>
    <w:rsid w:val="00927A4E"/>
    <w:rsid w:val="00930EAA"/>
    <w:rsid w:val="00936046"/>
    <w:rsid w:val="00937B4C"/>
    <w:rsid w:val="0094206F"/>
    <w:rsid w:val="009432A9"/>
    <w:rsid w:val="00944A14"/>
    <w:rsid w:val="00947BC9"/>
    <w:rsid w:val="00950AAE"/>
    <w:rsid w:val="00954119"/>
    <w:rsid w:val="009541AA"/>
    <w:rsid w:val="00955022"/>
    <w:rsid w:val="009562DE"/>
    <w:rsid w:val="00957675"/>
    <w:rsid w:val="009634A9"/>
    <w:rsid w:val="00963BE4"/>
    <w:rsid w:val="00972AB6"/>
    <w:rsid w:val="00973B35"/>
    <w:rsid w:val="009742EB"/>
    <w:rsid w:val="00975F43"/>
    <w:rsid w:val="00976166"/>
    <w:rsid w:val="00980316"/>
    <w:rsid w:val="00980B32"/>
    <w:rsid w:val="00981DC6"/>
    <w:rsid w:val="00985E5C"/>
    <w:rsid w:val="0098711B"/>
    <w:rsid w:val="0098795E"/>
    <w:rsid w:val="00992170"/>
    <w:rsid w:val="00992339"/>
    <w:rsid w:val="00992897"/>
    <w:rsid w:val="009937AD"/>
    <w:rsid w:val="00994278"/>
    <w:rsid w:val="00994AA7"/>
    <w:rsid w:val="00997F9B"/>
    <w:rsid w:val="009A0A41"/>
    <w:rsid w:val="009A0CDA"/>
    <w:rsid w:val="009A3A3F"/>
    <w:rsid w:val="009A4E89"/>
    <w:rsid w:val="009A5A3A"/>
    <w:rsid w:val="009B0115"/>
    <w:rsid w:val="009B0781"/>
    <w:rsid w:val="009B0783"/>
    <w:rsid w:val="009B1526"/>
    <w:rsid w:val="009C4246"/>
    <w:rsid w:val="009C564E"/>
    <w:rsid w:val="009C70DE"/>
    <w:rsid w:val="009C728B"/>
    <w:rsid w:val="009D0FB6"/>
    <w:rsid w:val="009D3DD6"/>
    <w:rsid w:val="009D4921"/>
    <w:rsid w:val="009D7190"/>
    <w:rsid w:val="009E039A"/>
    <w:rsid w:val="009E0B7E"/>
    <w:rsid w:val="009E13E9"/>
    <w:rsid w:val="009E1BAC"/>
    <w:rsid w:val="009E2F2A"/>
    <w:rsid w:val="009E57D2"/>
    <w:rsid w:val="009E5A5A"/>
    <w:rsid w:val="009E6FA6"/>
    <w:rsid w:val="009E788A"/>
    <w:rsid w:val="009F24FE"/>
    <w:rsid w:val="009F34DA"/>
    <w:rsid w:val="009F7122"/>
    <w:rsid w:val="00A009A4"/>
    <w:rsid w:val="00A02662"/>
    <w:rsid w:val="00A02C0B"/>
    <w:rsid w:val="00A03E2B"/>
    <w:rsid w:val="00A04C82"/>
    <w:rsid w:val="00A10B94"/>
    <w:rsid w:val="00A118C0"/>
    <w:rsid w:val="00A16167"/>
    <w:rsid w:val="00A16843"/>
    <w:rsid w:val="00A16896"/>
    <w:rsid w:val="00A17006"/>
    <w:rsid w:val="00A17B63"/>
    <w:rsid w:val="00A17BB5"/>
    <w:rsid w:val="00A214D1"/>
    <w:rsid w:val="00A21AD3"/>
    <w:rsid w:val="00A22909"/>
    <w:rsid w:val="00A263F6"/>
    <w:rsid w:val="00A267C2"/>
    <w:rsid w:val="00A30DF9"/>
    <w:rsid w:val="00A311A8"/>
    <w:rsid w:val="00A31970"/>
    <w:rsid w:val="00A31FD6"/>
    <w:rsid w:val="00A33EAA"/>
    <w:rsid w:val="00A35DF6"/>
    <w:rsid w:val="00A40F99"/>
    <w:rsid w:val="00A438F9"/>
    <w:rsid w:val="00A44C99"/>
    <w:rsid w:val="00A508DC"/>
    <w:rsid w:val="00A511D9"/>
    <w:rsid w:val="00A53D2A"/>
    <w:rsid w:val="00A53DD0"/>
    <w:rsid w:val="00A56A11"/>
    <w:rsid w:val="00A56E91"/>
    <w:rsid w:val="00A57D93"/>
    <w:rsid w:val="00A633BC"/>
    <w:rsid w:val="00A64517"/>
    <w:rsid w:val="00A66D4A"/>
    <w:rsid w:val="00A72E48"/>
    <w:rsid w:val="00A730E9"/>
    <w:rsid w:val="00A77627"/>
    <w:rsid w:val="00A81691"/>
    <w:rsid w:val="00A828EF"/>
    <w:rsid w:val="00A83110"/>
    <w:rsid w:val="00A840BD"/>
    <w:rsid w:val="00A844BC"/>
    <w:rsid w:val="00A868BD"/>
    <w:rsid w:val="00A950C8"/>
    <w:rsid w:val="00A96E4E"/>
    <w:rsid w:val="00AA05E2"/>
    <w:rsid w:val="00AA16E4"/>
    <w:rsid w:val="00AA6580"/>
    <w:rsid w:val="00AB4280"/>
    <w:rsid w:val="00AB4644"/>
    <w:rsid w:val="00AB642E"/>
    <w:rsid w:val="00AC36D7"/>
    <w:rsid w:val="00AC3F01"/>
    <w:rsid w:val="00AC512A"/>
    <w:rsid w:val="00AC5785"/>
    <w:rsid w:val="00AD0E19"/>
    <w:rsid w:val="00AD1124"/>
    <w:rsid w:val="00AD39E9"/>
    <w:rsid w:val="00AD4B6C"/>
    <w:rsid w:val="00AE360C"/>
    <w:rsid w:val="00AE38D2"/>
    <w:rsid w:val="00AE4EF6"/>
    <w:rsid w:val="00AF0BB8"/>
    <w:rsid w:val="00AF22C6"/>
    <w:rsid w:val="00AF453A"/>
    <w:rsid w:val="00AF5A08"/>
    <w:rsid w:val="00AF6A6E"/>
    <w:rsid w:val="00B007E0"/>
    <w:rsid w:val="00B02B18"/>
    <w:rsid w:val="00B0407D"/>
    <w:rsid w:val="00B043AF"/>
    <w:rsid w:val="00B05016"/>
    <w:rsid w:val="00B06360"/>
    <w:rsid w:val="00B11BC8"/>
    <w:rsid w:val="00B131F5"/>
    <w:rsid w:val="00B22938"/>
    <w:rsid w:val="00B25119"/>
    <w:rsid w:val="00B3028A"/>
    <w:rsid w:val="00B30908"/>
    <w:rsid w:val="00B36146"/>
    <w:rsid w:val="00B36A8D"/>
    <w:rsid w:val="00B36DDF"/>
    <w:rsid w:val="00B37189"/>
    <w:rsid w:val="00B37587"/>
    <w:rsid w:val="00B4528B"/>
    <w:rsid w:val="00B46397"/>
    <w:rsid w:val="00B51B81"/>
    <w:rsid w:val="00B54B1C"/>
    <w:rsid w:val="00B55191"/>
    <w:rsid w:val="00B56810"/>
    <w:rsid w:val="00B6103B"/>
    <w:rsid w:val="00B61405"/>
    <w:rsid w:val="00B61417"/>
    <w:rsid w:val="00B616D6"/>
    <w:rsid w:val="00B6401C"/>
    <w:rsid w:val="00B70FD5"/>
    <w:rsid w:val="00B73A23"/>
    <w:rsid w:val="00B76801"/>
    <w:rsid w:val="00B77829"/>
    <w:rsid w:val="00B77B85"/>
    <w:rsid w:val="00B77C02"/>
    <w:rsid w:val="00B8090B"/>
    <w:rsid w:val="00B819C2"/>
    <w:rsid w:val="00B81E6A"/>
    <w:rsid w:val="00B82141"/>
    <w:rsid w:val="00B829C0"/>
    <w:rsid w:val="00B86671"/>
    <w:rsid w:val="00B90A73"/>
    <w:rsid w:val="00B91496"/>
    <w:rsid w:val="00B9287A"/>
    <w:rsid w:val="00B93602"/>
    <w:rsid w:val="00B9486C"/>
    <w:rsid w:val="00B97432"/>
    <w:rsid w:val="00BA114A"/>
    <w:rsid w:val="00BA1522"/>
    <w:rsid w:val="00BA18AA"/>
    <w:rsid w:val="00BA1B3D"/>
    <w:rsid w:val="00BA496C"/>
    <w:rsid w:val="00BA4BE0"/>
    <w:rsid w:val="00BA5E5A"/>
    <w:rsid w:val="00BB062C"/>
    <w:rsid w:val="00BB2004"/>
    <w:rsid w:val="00BB3ECD"/>
    <w:rsid w:val="00BB3EFF"/>
    <w:rsid w:val="00BB59FE"/>
    <w:rsid w:val="00BB5E3B"/>
    <w:rsid w:val="00BB6C5E"/>
    <w:rsid w:val="00BC36A5"/>
    <w:rsid w:val="00BC3C6A"/>
    <w:rsid w:val="00BC4579"/>
    <w:rsid w:val="00BC6233"/>
    <w:rsid w:val="00BD054A"/>
    <w:rsid w:val="00BD3288"/>
    <w:rsid w:val="00BD4680"/>
    <w:rsid w:val="00BD4BAB"/>
    <w:rsid w:val="00BD65FD"/>
    <w:rsid w:val="00BD6EB3"/>
    <w:rsid w:val="00BD6EB7"/>
    <w:rsid w:val="00BE1988"/>
    <w:rsid w:val="00BE2EF7"/>
    <w:rsid w:val="00BE60F7"/>
    <w:rsid w:val="00BF21DF"/>
    <w:rsid w:val="00BF30DC"/>
    <w:rsid w:val="00BF417E"/>
    <w:rsid w:val="00BF746E"/>
    <w:rsid w:val="00C00315"/>
    <w:rsid w:val="00C00EFB"/>
    <w:rsid w:val="00C033F1"/>
    <w:rsid w:val="00C05FF5"/>
    <w:rsid w:val="00C10E84"/>
    <w:rsid w:val="00C11608"/>
    <w:rsid w:val="00C12C25"/>
    <w:rsid w:val="00C165E3"/>
    <w:rsid w:val="00C259EB"/>
    <w:rsid w:val="00C26F56"/>
    <w:rsid w:val="00C33E34"/>
    <w:rsid w:val="00C402D8"/>
    <w:rsid w:val="00C40A78"/>
    <w:rsid w:val="00C42CFD"/>
    <w:rsid w:val="00C42DB3"/>
    <w:rsid w:val="00C446CD"/>
    <w:rsid w:val="00C46426"/>
    <w:rsid w:val="00C469F7"/>
    <w:rsid w:val="00C4793A"/>
    <w:rsid w:val="00C503C9"/>
    <w:rsid w:val="00C5239E"/>
    <w:rsid w:val="00C53EE7"/>
    <w:rsid w:val="00C573BA"/>
    <w:rsid w:val="00C64097"/>
    <w:rsid w:val="00C6472F"/>
    <w:rsid w:val="00C64F65"/>
    <w:rsid w:val="00C65E7B"/>
    <w:rsid w:val="00C67D3A"/>
    <w:rsid w:val="00C738D3"/>
    <w:rsid w:val="00C754E2"/>
    <w:rsid w:val="00C76E94"/>
    <w:rsid w:val="00C84140"/>
    <w:rsid w:val="00C841BA"/>
    <w:rsid w:val="00C84646"/>
    <w:rsid w:val="00C84886"/>
    <w:rsid w:val="00C8655A"/>
    <w:rsid w:val="00C875EC"/>
    <w:rsid w:val="00C91094"/>
    <w:rsid w:val="00C92271"/>
    <w:rsid w:val="00C927E4"/>
    <w:rsid w:val="00C94B68"/>
    <w:rsid w:val="00CA2E62"/>
    <w:rsid w:val="00CA3898"/>
    <w:rsid w:val="00CA5062"/>
    <w:rsid w:val="00CA6CA7"/>
    <w:rsid w:val="00CB2DE4"/>
    <w:rsid w:val="00CB4AD3"/>
    <w:rsid w:val="00CB6DAB"/>
    <w:rsid w:val="00CB8406"/>
    <w:rsid w:val="00CC2F4E"/>
    <w:rsid w:val="00CC37FB"/>
    <w:rsid w:val="00CC4617"/>
    <w:rsid w:val="00CC5C80"/>
    <w:rsid w:val="00CC6269"/>
    <w:rsid w:val="00CD1FAB"/>
    <w:rsid w:val="00CD35E9"/>
    <w:rsid w:val="00CD41C6"/>
    <w:rsid w:val="00CD4322"/>
    <w:rsid w:val="00CD5471"/>
    <w:rsid w:val="00CD5E8A"/>
    <w:rsid w:val="00CD6D1F"/>
    <w:rsid w:val="00CE031D"/>
    <w:rsid w:val="00CE177D"/>
    <w:rsid w:val="00CE204A"/>
    <w:rsid w:val="00CE55E0"/>
    <w:rsid w:val="00CF3200"/>
    <w:rsid w:val="00CF3235"/>
    <w:rsid w:val="00D00662"/>
    <w:rsid w:val="00D03235"/>
    <w:rsid w:val="00D063D3"/>
    <w:rsid w:val="00D06E83"/>
    <w:rsid w:val="00D12D62"/>
    <w:rsid w:val="00D13272"/>
    <w:rsid w:val="00D13FBD"/>
    <w:rsid w:val="00D14002"/>
    <w:rsid w:val="00D15F6B"/>
    <w:rsid w:val="00D24592"/>
    <w:rsid w:val="00D24FDA"/>
    <w:rsid w:val="00D2654D"/>
    <w:rsid w:val="00D3040C"/>
    <w:rsid w:val="00D319DA"/>
    <w:rsid w:val="00D3275B"/>
    <w:rsid w:val="00D32765"/>
    <w:rsid w:val="00D33183"/>
    <w:rsid w:val="00D34739"/>
    <w:rsid w:val="00D34D72"/>
    <w:rsid w:val="00D34FFE"/>
    <w:rsid w:val="00D3546A"/>
    <w:rsid w:val="00D42542"/>
    <w:rsid w:val="00D4355D"/>
    <w:rsid w:val="00D43B80"/>
    <w:rsid w:val="00D44D94"/>
    <w:rsid w:val="00D44E9B"/>
    <w:rsid w:val="00D52E96"/>
    <w:rsid w:val="00D56F0E"/>
    <w:rsid w:val="00D63527"/>
    <w:rsid w:val="00D6390A"/>
    <w:rsid w:val="00D64ABF"/>
    <w:rsid w:val="00D65358"/>
    <w:rsid w:val="00D6716A"/>
    <w:rsid w:val="00D67C5B"/>
    <w:rsid w:val="00D724E0"/>
    <w:rsid w:val="00D74388"/>
    <w:rsid w:val="00D74A60"/>
    <w:rsid w:val="00D81682"/>
    <w:rsid w:val="00D82E31"/>
    <w:rsid w:val="00D83413"/>
    <w:rsid w:val="00D90420"/>
    <w:rsid w:val="00D90C31"/>
    <w:rsid w:val="00D91051"/>
    <w:rsid w:val="00D976D6"/>
    <w:rsid w:val="00DA09DF"/>
    <w:rsid w:val="00DA2641"/>
    <w:rsid w:val="00DB1C5B"/>
    <w:rsid w:val="00DB4DB6"/>
    <w:rsid w:val="00DB7AB5"/>
    <w:rsid w:val="00DC270F"/>
    <w:rsid w:val="00DD0674"/>
    <w:rsid w:val="00DD0D51"/>
    <w:rsid w:val="00DD242E"/>
    <w:rsid w:val="00DE098F"/>
    <w:rsid w:val="00DE127E"/>
    <w:rsid w:val="00DE27F5"/>
    <w:rsid w:val="00DF0FD8"/>
    <w:rsid w:val="00DF1D9A"/>
    <w:rsid w:val="00DF1F83"/>
    <w:rsid w:val="00E00182"/>
    <w:rsid w:val="00E004CC"/>
    <w:rsid w:val="00E008AB"/>
    <w:rsid w:val="00E02EB3"/>
    <w:rsid w:val="00E03F8F"/>
    <w:rsid w:val="00E0423C"/>
    <w:rsid w:val="00E077DB"/>
    <w:rsid w:val="00E10CA6"/>
    <w:rsid w:val="00E10F7E"/>
    <w:rsid w:val="00E11339"/>
    <w:rsid w:val="00E13B52"/>
    <w:rsid w:val="00E171EE"/>
    <w:rsid w:val="00E21EFB"/>
    <w:rsid w:val="00E22054"/>
    <w:rsid w:val="00E22C23"/>
    <w:rsid w:val="00E25BDD"/>
    <w:rsid w:val="00E26325"/>
    <w:rsid w:val="00E26AB5"/>
    <w:rsid w:val="00E276E6"/>
    <w:rsid w:val="00E303C8"/>
    <w:rsid w:val="00E3329E"/>
    <w:rsid w:val="00E360A6"/>
    <w:rsid w:val="00E36165"/>
    <w:rsid w:val="00E40411"/>
    <w:rsid w:val="00E4041D"/>
    <w:rsid w:val="00E40699"/>
    <w:rsid w:val="00E429EA"/>
    <w:rsid w:val="00E43703"/>
    <w:rsid w:val="00E451BB"/>
    <w:rsid w:val="00E46539"/>
    <w:rsid w:val="00E46757"/>
    <w:rsid w:val="00E46882"/>
    <w:rsid w:val="00E5131D"/>
    <w:rsid w:val="00E52B37"/>
    <w:rsid w:val="00E566D6"/>
    <w:rsid w:val="00E573FF"/>
    <w:rsid w:val="00E57726"/>
    <w:rsid w:val="00E605F5"/>
    <w:rsid w:val="00E62F3F"/>
    <w:rsid w:val="00E642EF"/>
    <w:rsid w:val="00E66336"/>
    <w:rsid w:val="00E70941"/>
    <w:rsid w:val="00E710D1"/>
    <w:rsid w:val="00E73C77"/>
    <w:rsid w:val="00E8031C"/>
    <w:rsid w:val="00E80588"/>
    <w:rsid w:val="00E805BF"/>
    <w:rsid w:val="00E81D21"/>
    <w:rsid w:val="00E8516E"/>
    <w:rsid w:val="00E90CD3"/>
    <w:rsid w:val="00E90F44"/>
    <w:rsid w:val="00E92A5B"/>
    <w:rsid w:val="00E96513"/>
    <w:rsid w:val="00EA1272"/>
    <w:rsid w:val="00EA2321"/>
    <w:rsid w:val="00EA3798"/>
    <w:rsid w:val="00EA4621"/>
    <w:rsid w:val="00EA4E41"/>
    <w:rsid w:val="00EA6007"/>
    <w:rsid w:val="00EA7FE6"/>
    <w:rsid w:val="00EB267F"/>
    <w:rsid w:val="00EB319A"/>
    <w:rsid w:val="00EB45F9"/>
    <w:rsid w:val="00EB5E50"/>
    <w:rsid w:val="00EB65FD"/>
    <w:rsid w:val="00EB664E"/>
    <w:rsid w:val="00EC7DDD"/>
    <w:rsid w:val="00ED0521"/>
    <w:rsid w:val="00ED0B1D"/>
    <w:rsid w:val="00ED1745"/>
    <w:rsid w:val="00ED239E"/>
    <w:rsid w:val="00ED588D"/>
    <w:rsid w:val="00EE05B4"/>
    <w:rsid w:val="00EE2CC0"/>
    <w:rsid w:val="00EE4EBB"/>
    <w:rsid w:val="00EE5FA8"/>
    <w:rsid w:val="00EE6679"/>
    <w:rsid w:val="00EF04CB"/>
    <w:rsid w:val="00EF3334"/>
    <w:rsid w:val="00EF46D4"/>
    <w:rsid w:val="00EF7068"/>
    <w:rsid w:val="00F03CB9"/>
    <w:rsid w:val="00F05039"/>
    <w:rsid w:val="00F057ED"/>
    <w:rsid w:val="00F0655D"/>
    <w:rsid w:val="00F0663A"/>
    <w:rsid w:val="00F127CA"/>
    <w:rsid w:val="00F13893"/>
    <w:rsid w:val="00F13A0E"/>
    <w:rsid w:val="00F13C61"/>
    <w:rsid w:val="00F16840"/>
    <w:rsid w:val="00F16A2C"/>
    <w:rsid w:val="00F20819"/>
    <w:rsid w:val="00F2240F"/>
    <w:rsid w:val="00F2484B"/>
    <w:rsid w:val="00F250EB"/>
    <w:rsid w:val="00F2536F"/>
    <w:rsid w:val="00F26260"/>
    <w:rsid w:val="00F3092E"/>
    <w:rsid w:val="00F35E95"/>
    <w:rsid w:val="00F40431"/>
    <w:rsid w:val="00F42CC3"/>
    <w:rsid w:val="00F43ADB"/>
    <w:rsid w:val="00F4578F"/>
    <w:rsid w:val="00F462FA"/>
    <w:rsid w:val="00F477AC"/>
    <w:rsid w:val="00F47E3B"/>
    <w:rsid w:val="00F51C90"/>
    <w:rsid w:val="00F53486"/>
    <w:rsid w:val="00F53B37"/>
    <w:rsid w:val="00F541D6"/>
    <w:rsid w:val="00F5433D"/>
    <w:rsid w:val="00F56CB9"/>
    <w:rsid w:val="00F601C2"/>
    <w:rsid w:val="00F61271"/>
    <w:rsid w:val="00F62018"/>
    <w:rsid w:val="00F65157"/>
    <w:rsid w:val="00F65574"/>
    <w:rsid w:val="00F65969"/>
    <w:rsid w:val="00F67932"/>
    <w:rsid w:val="00F7055F"/>
    <w:rsid w:val="00F709BB"/>
    <w:rsid w:val="00F726A3"/>
    <w:rsid w:val="00F73DE6"/>
    <w:rsid w:val="00F83B58"/>
    <w:rsid w:val="00F8450F"/>
    <w:rsid w:val="00FA05BA"/>
    <w:rsid w:val="00FA0837"/>
    <w:rsid w:val="00FA0D79"/>
    <w:rsid w:val="00FA1D46"/>
    <w:rsid w:val="00FA1FA4"/>
    <w:rsid w:val="00FA29C9"/>
    <w:rsid w:val="00FA3589"/>
    <w:rsid w:val="00FA3E0E"/>
    <w:rsid w:val="00FA5633"/>
    <w:rsid w:val="00FA79CB"/>
    <w:rsid w:val="00FB6948"/>
    <w:rsid w:val="00FC2ABC"/>
    <w:rsid w:val="00FC5287"/>
    <w:rsid w:val="00FC6193"/>
    <w:rsid w:val="00FE11B3"/>
    <w:rsid w:val="00FE62DD"/>
    <w:rsid w:val="00FE6B63"/>
    <w:rsid w:val="00FE6F9A"/>
    <w:rsid w:val="00FE7A53"/>
    <w:rsid w:val="00FE7AB1"/>
    <w:rsid w:val="00FF1D72"/>
    <w:rsid w:val="00FF3200"/>
    <w:rsid w:val="011456CE"/>
    <w:rsid w:val="01396536"/>
    <w:rsid w:val="0145F27D"/>
    <w:rsid w:val="016BB1FB"/>
    <w:rsid w:val="016C03CB"/>
    <w:rsid w:val="0186F263"/>
    <w:rsid w:val="0199877D"/>
    <w:rsid w:val="01B62F9B"/>
    <w:rsid w:val="01B7CC79"/>
    <w:rsid w:val="01E376E5"/>
    <w:rsid w:val="022400B5"/>
    <w:rsid w:val="022E8991"/>
    <w:rsid w:val="024D4C3D"/>
    <w:rsid w:val="02527990"/>
    <w:rsid w:val="025E6ED7"/>
    <w:rsid w:val="02861EA2"/>
    <w:rsid w:val="02938117"/>
    <w:rsid w:val="02D53597"/>
    <w:rsid w:val="030D300D"/>
    <w:rsid w:val="032C5B0E"/>
    <w:rsid w:val="033F85B5"/>
    <w:rsid w:val="037F4746"/>
    <w:rsid w:val="03AC450B"/>
    <w:rsid w:val="0439ECEC"/>
    <w:rsid w:val="04408042"/>
    <w:rsid w:val="0497FE8A"/>
    <w:rsid w:val="04BCE560"/>
    <w:rsid w:val="04BE9325"/>
    <w:rsid w:val="05357565"/>
    <w:rsid w:val="0543FE8F"/>
    <w:rsid w:val="057F8E22"/>
    <w:rsid w:val="058609B1"/>
    <w:rsid w:val="05869899"/>
    <w:rsid w:val="059B402D"/>
    <w:rsid w:val="05B08BB5"/>
    <w:rsid w:val="05BFAFBC"/>
    <w:rsid w:val="05E8338C"/>
    <w:rsid w:val="062A4107"/>
    <w:rsid w:val="064C7490"/>
    <w:rsid w:val="06830A8F"/>
    <w:rsid w:val="06B9D413"/>
    <w:rsid w:val="06F92691"/>
    <w:rsid w:val="0705CB14"/>
    <w:rsid w:val="07240CEA"/>
    <w:rsid w:val="0726A507"/>
    <w:rsid w:val="074BBE01"/>
    <w:rsid w:val="07537183"/>
    <w:rsid w:val="07C6FB15"/>
    <w:rsid w:val="07DFA06B"/>
    <w:rsid w:val="07F44138"/>
    <w:rsid w:val="07FEB601"/>
    <w:rsid w:val="080E3E67"/>
    <w:rsid w:val="0823AC78"/>
    <w:rsid w:val="0837FEAB"/>
    <w:rsid w:val="083A59E5"/>
    <w:rsid w:val="08606A72"/>
    <w:rsid w:val="088B8FE6"/>
    <w:rsid w:val="088C173F"/>
    <w:rsid w:val="088D067E"/>
    <w:rsid w:val="08F7FAD3"/>
    <w:rsid w:val="08F95127"/>
    <w:rsid w:val="0946043E"/>
    <w:rsid w:val="097E4B27"/>
    <w:rsid w:val="09E7935C"/>
    <w:rsid w:val="09ED1247"/>
    <w:rsid w:val="09EE88CA"/>
    <w:rsid w:val="09F3D1C8"/>
    <w:rsid w:val="09F59103"/>
    <w:rsid w:val="0A11578E"/>
    <w:rsid w:val="0A12C0C7"/>
    <w:rsid w:val="0A23038D"/>
    <w:rsid w:val="0A25AB03"/>
    <w:rsid w:val="0A85BBA8"/>
    <w:rsid w:val="0A9B42DE"/>
    <w:rsid w:val="0AC6E42A"/>
    <w:rsid w:val="0AD6D7CE"/>
    <w:rsid w:val="0B1CF7D1"/>
    <w:rsid w:val="0BC330A8"/>
    <w:rsid w:val="0BCC5AB0"/>
    <w:rsid w:val="0BEDC36E"/>
    <w:rsid w:val="0BF6F360"/>
    <w:rsid w:val="0C0FFF42"/>
    <w:rsid w:val="0C27114A"/>
    <w:rsid w:val="0C46B896"/>
    <w:rsid w:val="0C819FC6"/>
    <w:rsid w:val="0CB29B57"/>
    <w:rsid w:val="0CB80BAB"/>
    <w:rsid w:val="0CE1B6DC"/>
    <w:rsid w:val="0CF88118"/>
    <w:rsid w:val="0D1839C2"/>
    <w:rsid w:val="0D2CA9EF"/>
    <w:rsid w:val="0D34CBD3"/>
    <w:rsid w:val="0D36473E"/>
    <w:rsid w:val="0D48FBA9"/>
    <w:rsid w:val="0D4F185A"/>
    <w:rsid w:val="0D5F0109"/>
    <w:rsid w:val="0D6077A1"/>
    <w:rsid w:val="0D674F10"/>
    <w:rsid w:val="0D726D17"/>
    <w:rsid w:val="0D8D0D6B"/>
    <w:rsid w:val="0DEC76C1"/>
    <w:rsid w:val="0E11043F"/>
    <w:rsid w:val="0E129749"/>
    <w:rsid w:val="0E1D5E8B"/>
    <w:rsid w:val="0E390450"/>
    <w:rsid w:val="0E549893"/>
    <w:rsid w:val="0E7B66EA"/>
    <w:rsid w:val="0EA2D5B2"/>
    <w:rsid w:val="0EB4F42E"/>
    <w:rsid w:val="0F189C30"/>
    <w:rsid w:val="0F725FC0"/>
    <w:rsid w:val="0F9E292C"/>
    <w:rsid w:val="0FA541E5"/>
    <w:rsid w:val="0FAACC05"/>
    <w:rsid w:val="0FB3325D"/>
    <w:rsid w:val="0FEAA2E6"/>
    <w:rsid w:val="10237D51"/>
    <w:rsid w:val="102C436D"/>
    <w:rsid w:val="10307F70"/>
    <w:rsid w:val="104D7F90"/>
    <w:rsid w:val="10981863"/>
    <w:rsid w:val="109CC77D"/>
    <w:rsid w:val="10A6CD47"/>
    <w:rsid w:val="10B46C91"/>
    <w:rsid w:val="10DC3E61"/>
    <w:rsid w:val="10EE1DBA"/>
    <w:rsid w:val="10EE7557"/>
    <w:rsid w:val="1131430C"/>
    <w:rsid w:val="115C00EC"/>
    <w:rsid w:val="115D55A1"/>
    <w:rsid w:val="1183EDD0"/>
    <w:rsid w:val="118C3955"/>
    <w:rsid w:val="11A19F37"/>
    <w:rsid w:val="12471803"/>
    <w:rsid w:val="124BF344"/>
    <w:rsid w:val="124CBAEA"/>
    <w:rsid w:val="125CD364"/>
    <w:rsid w:val="12795C9E"/>
    <w:rsid w:val="127BAF31"/>
    <w:rsid w:val="1281C268"/>
    <w:rsid w:val="128A45B8"/>
    <w:rsid w:val="12C1FF23"/>
    <w:rsid w:val="12C84443"/>
    <w:rsid w:val="131FBE31"/>
    <w:rsid w:val="132C9659"/>
    <w:rsid w:val="1379A865"/>
    <w:rsid w:val="13A775A4"/>
    <w:rsid w:val="13B5AEBE"/>
    <w:rsid w:val="13E5DFEB"/>
    <w:rsid w:val="14491887"/>
    <w:rsid w:val="144E2240"/>
    <w:rsid w:val="147774B2"/>
    <w:rsid w:val="14AAB1BA"/>
    <w:rsid w:val="14C113A0"/>
    <w:rsid w:val="14CE2387"/>
    <w:rsid w:val="151083AB"/>
    <w:rsid w:val="152CDE7E"/>
    <w:rsid w:val="1545E117"/>
    <w:rsid w:val="154A86AC"/>
    <w:rsid w:val="15529B54"/>
    <w:rsid w:val="156AB075"/>
    <w:rsid w:val="156CD814"/>
    <w:rsid w:val="156EB557"/>
    <w:rsid w:val="1614C8E7"/>
    <w:rsid w:val="1675AB5F"/>
    <w:rsid w:val="16837382"/>
    <w:rsid w:val="16992EB4"/>
    <w:rsid w:val="16A624F2"/>
    <w:rsid w:val="16C6C9FE"/>
    <w:rsid w:val="16C8B1CF"/>
    <w:rsid w:val="16DC15BE"/>
    <w:rsid w:val="16E925E0"/>
    <w:rsid w:val="16FC666B"/>
    <w:rsid w:val="17A040D9"/>
    <w:rsid w:val="17AC8B6D"/>
    <w:rsid w:val="17B13221"/>
    <w:rsid w:val="17B31151"/>
    <w:rsid w:val="17B3AC3D"/>
    <w:rsid w:val="18261E48"/>
    <w:rsid w:val="185033E8"/>
    <w:rsid w:val="18713498"/>
    <w:rsid w:val="188BBDB8"/>
    <w:rsid w:val="18BB34C8"/>
    <w:rsid w:val="18C06A8B"/>
    <w:rsid w:val="18F741FC"/>
    <w:rsid w:val="190055CE"/>
    <w:rsid w:val="19033CBA"/>
    <w:rsid w:val="1918112F"/>
    <w:rsid w:val="19700A9A"/>
    <w:rsid w:val="19D0CF76"/>
    <w:rsid w:val="19EC670B"/>
    <w:rsid w:val="1A49CFC4"/>
    <w:rsid w:val="1A69F84A"/>
    <w:rsid w:val="1AB1DC84"/>
    <w:rsid w:val="1ABB5C5F"/>
    <w:rsid w:val="1AC4222F"/>
    <w:rsid w:val="1ADDBAC6"/>
    <w:rsid w:val="1AE6EA7C"/>
    <w:rsid w:val="1B2B2E15"/>
    <w:rsid w:val="1B3FE50C"/>
    <w:rsid w:val="1B6F5353"/>
    <w:rsid w:val="1B6FEBB8"/>
    <w:rsid w:val="1B7F50E9"/>
    <w:rsid w:val="1B90EC3F"/>
    <w:rsid w:val="1BD56840"/>
    <w:rsid w:val="1C20E9EC"/>
    <w:rsid w:val="1C8562F2"/>
    <w:rsid w:val="1CF57DDE"/>
    <w:rsid w:val="1D0D50BF"/>
    <w:rsid w:val="1D2831B9"/>
    <w:rsid w:val="1D4B5742"/>
    <w:rsid w:val="1D53B583"/>
    <w:rsid w:val="1D8861D7"/>
    <w:rsid w:val="1DA2BAC4"/>
    <w:rsid w:val="1DA47D03"/>
    <w:rsid w:val="1DB9DEE2"/>
    <w:rsid w:val="1E0BE5A3"/>
    <w:rsid w:val="1E0EB510"/>
    <w:rsid w:val="1E155B88"/>
    <w:rsid w:val="1E5FB02B"/>
    <w:rsid w:val="1ECE4926"/>
    <w:rsid w:val="1ECEA6CC"/>
    <w:rsid w:val="1F1B1A32"/>
    <w:rsid w:val="1F1C6DAD"/>
    <w:rsid w:val="1F769B10"/>
    <w:rsid w:val="1FAC90BF"/>
    <w:rsid w:val="1FEB8FCA"/>
    <w:rsid w:val="1FFEB83C"/>
    <w:rsid w:val="20062EBF"/>
    <w:rsid w:val="202282ED"/>
    <w:rsid w:val="202CCDDF"/>
    <w:rsid w:val="2032B5C5"/>
    <w:rsid w:val="204E9643"/>
    <w:rsid w:val="20C7685E"/>
    <w:rsid w:val="212A0614"/>
    <w:rsid w:val="2148AD3F"/>
    <w:rsid w:val="2175B029"/>
    <w:rsid w:val="217C56B1"/>
    <w:rsid w:val="21977753"/>
    <w:rsid w:val="21A089A6"/>
    <w:rsid w:val="21CF4A0D"/>
    <w:rsid w:val="21D331FD"/>
    <w:rsid w:val="220670A0"/>
    <w:rsid w:val="220F5BD4"/>
    <w:rsid w:val="222C986B"/>
    <w:rsid w:val="222D585C"/>
    <w:rsid w:val="223610AF"/>
    <w:rsid w:val="228314EE"/>
    <w:rsid w:val="22C811D2"/>
    <w:rsid w:val="22D6C940"/>
    <w:rsid w:val="22DA39CF"/>
    <w:rsid w:val="22DC9A8C"/>
    <w:rsid w:val="22FE18C3"/>
    <w:rsid w:val="23051493"/>
    <w:rsid w:val="231C9EEF"/>
    <w:rsid w:val="2352B0B8"/>
    <w:rsid w:val="235DFBBB"/>
    <w:rsid w:val="237F037D"/>
    <w:rsid w:val="2391F0CE"/>
    <w:rsid w:val="23A0D111"/>
    <w:rsid w:val="23C928BD"/>
    <w:rsid w:val="242FDED3"/>
    <w:rsid w:val="2457F613"/>
    <w:rsid w:val="24611D41"/>
    <w:rsid w:val="24749FE0"/>
    <w:rsid w:val="2485E6E9"/>
    <w:rsid w:val="24BA0D20"/>
    <w:rsid w:val="24ED0A74"/>
    <w:rsid w:val="251AFF69"/>
    <w:rsid w:val="2530AD16"/>
    <w:rsid w:val="2545BF19"/>
    <w:rsid w:val="25618494"/>
    <w:rsid w:val="2561E23F"/>
    <w:rsid w:val="256E0A9F"/>
    <w:rsid w:val="25707279"/>
    <w:rsid w:val="25A22EF3"/>
    <w:rsid w:val="25A2AF51"/>
    <w:rsid w:val="25C21054"/>
    <w:rsid w:val="263CB555"/>
    <w:rsid w:val="267A5EA9"/>
    <w:rsid w:val="26A86602"/>
    <w:rsid w:val="26B6CFCA"/>
    <w:rsid w:val="26E6EC19"/>
    <w:rsid w:val="272FDFAF"/>
    <w:rsid w:val="27CAC93A"/>
    <w:rsid w:val="28195BE3"/>
    <w:rsid w:val="2839D24B"/>
    <w:rsid w:val="283D0277"/>
    <w:rsid w:val="28D92E15"/>
    <w:rsid w:val="28F3F429"/>
    <w:rsid w:val="29239D62"/>
    <w:rsid w:val="29527C55"/>
    <w:rsid w:val="296FAF6F"/>
    <w:rsid w:val="297BF036"/>
    <w:rsid w:val="29A8089F"/>
    <w:rsid w:val="29DC6244"/>
    <w:rsid w:val="2A537C34"/>
    <w:rsid w:val="2A9A4090"/>
    <w:rsid w:val="2A9E6B80"/>
    <w:rsid w:val="2AA05328"/>
    <w:rsid w:val="2AE8BAC8"/>
    <w:rsid w:val="2B366034"/>
    <w:rsid w:val="2B39A4BA"/>
    <w:rsid w:val="2B40E6BD"/>
    <w:rsid w:val="2B765A1B"/>
    <w:rsid w:val="2B8105E6"/>
    <w:rsid w:val="2B965D03"/>
    <w:rsid w:val="2BAE90E1"/>
    <w:rsid w:val="2BC68BA0"/>
    <w:rsid w:val="2BF014B3"/>
    <w:rsid w:val="2C2873C8"/>
    <w:rsid w:val="2CBCED46"/>
    <w:rsid w:val="2D34308A"/>
    <w:rsid w:val="2D8AE78D"/>
    <w:rsid w:val="2DBFAA5C"/>
    <w:rsid w:val="2DE336AD"/>
    <w:rsid w:val="2DF4259A"/>
    <w:rsid w:val="2E1F214F"/>
    <w:rsid w:val="2E3D50AB"/>
    <w:rsid w:val="2E41C349"/>
    <w:rsid w:val="2E428E43"/>
    <w:rsid w:val="2E4CBAD6"/>
    <w:rsid w:val="2E590281"/>
    <w:rsid w:val="2EB36D4F"/>
    <w:rsid w:val="2EFE2C62"/>
    <w:rsid w:val="2FAE2756"/>
    <w:rsid w:val="2FF23812"/>
    <w:rsid w:val="2FF964FE"/>
    <w:rsid w:val="30252B30"/>
    <w:rsid w:val="309885D2"/>
    <w:rsid w:val="30BC3402"/>
    <w:rsid w:val="30F2AA2A"/>
    <w:rsid w:val="31293CDE"/>
    <w:rsid w:val="31461D48"/>
    <w:rsid w:val="31503B7B"/>
    <w:rsid w:val="315F0342"/>
    <w:rsid w:val="316B7A3E"/>
    <w:rsid w:val="318E6B04"/>
    <w:rsid w:val="31A18004"/>
    <w:rsid w:val="31DB1845"/>
    <w:rsid w:val="31DBBE21"/>
    <w:rsid w:val="320A4822"/>
    <w:rsid w:val="32294D12"/>
    <w:rsid w:val="32382361"/>
    <w:rsid w:val="32407051"/>
    <w:rsid w:val="32C3D85A"/>
    <w:rsid w:val="33075969"/>
    <w:rsid w:val="33086A5F"/>
    <w:rsid w:val="330F86C5"/>
    <w:rsid w:val="333D5065"/>
    <w:rsid w:val="333EAD6B"/>
    <w:rsid w:val="337BA8A0"/>
    <w:rsid w:val="33A72296"/>
    <w:rsid w:val="33C93D85"/>
    <w:rsid w:val="33D08A68"/>
    <w:rsid w:val="33D192A6"/>
    <w:rsid w:val="33D3F3C2"/>
    <w:rsid w:val="3415C383"/>
    <w:rsid w:val="341DD457"/>
    <w:rsid w:val="344B8E74"/>
    <w:rsid w:val="34646FF0"/>
    <w:rsid w:val="34BBDE7F"/>
    <w:rsid w:val="35331289"/>
    <w:rsid w:val="35563228"/>
    <w:rsid w:val="35603980"/>
    <w:rsid w:val="3586CEE6"/>
    <w:rsid w:val="358B1BB4"/>
    <w:rsid w:val="35A8C063"/>
    <w:rsid w:val="36400B21"/>
    <w:rsid w:val="36AB7AA3"/>
    <w:rsid w:val="36B1267D"/>
    <w:rsid w:val="36BFAD83"/>
    <w:rsid w:val="36D0B62A"/>
    <w:rsid w:val="370B9484"/>
    <w:rsid w:val="37179ADB"/>
    <w:rsid w:val="373BD0FF"/>
    <w:rsid w:val="376B4E1A"/>
    <w:rsid w:val="37827916"/>
    <w:rsid w:val="3794E551"/>
    <w:rsid w:val="37A91B19"/>
    <w:rsid w:val="37B3DA59"/>
    <w:rsid w:val="37C9DC9A"/>
    <w:rsid w:val="380E035C"/>
    <w:rsid w:val="3815F41C"/>
    <w:rsid w:val="384ADE17"/>
    <w:rsid w:val="3854F019"/>
    <w:rsid w:val="386960FC"/>
    <w:rsid w:val="38A7D4CA"/>
    <w:rsid w:val="39636E44"/>
    <w:rsid w:val="396F889D"/>
    <w:rsid w:val="399C17FB"/>
    <w:rsid w:val="3A0693B4"/>
    <w:rsid w:val="3A148AA2"/>
    <w:rsid w:val="3A2D8CAE"/>
    <w:rsid w:val="3A4DD87E"/>
    <w:rsid w:val="3A5AC356"/>
    <w:rsid w:val="3A653EDC"/>
    <w:rsid w:val="3A8DE60C"/>
    <w:rsid w:val="3AD90BC3"/>
    <w:rsid w:val="3AF5299A"/>
    <w:rsid w:val="3AF701DC"/>
    <w:rsid w:val="3B159343"/>
    <w:rsid w:val="3B2383D0"/>
    <w:rsid w:val="3B31FF72"/>
    <w:rsid w:val="3B3A5D45"/>
    <w:rsid w:val="3B4ED1A8"/>
    <w:rsid w:val="3B68B3A7"/>
    <w:rsid w:val="3BCA939E"/>
    <w:rsid w:val="3C28992E"/>
    <w:rsid w:val="3C32DFCA"/>
    <w:rsid w:val="3C4FC1FB"/>
    <w:rsid w:val="3C5AAA16"/>
    <w:rsid w:val="3C6CAADA"/>
    <w:rsid w:val="3C7FE073"/>
    <w:rsid w:val="3CCEC11F"/>
    <w:rsid w:val="3CD91B3D"/>
    <w:rsid w:val="3D3AB29E"/>
    <w:rsid w:val="3D98475E"/>
    <w:rsid w:val="3D9CB539"/>
    <w:rsid w:val="3DC4934F"/>
    <w:rsid w:val="3DEBBD63"/>
    <w:rsid w:val="3E0A9DDF"/>
    <w:rsid w:val="3E2BCD1B"/>
    <w:rsid w:val="3E930B06"/>
    <w:rsid w:val="3EABFD7F"/>
    <w:rsid w:val="3EAD0A23"/>
    <w:rsid w:val="3EBE6341"/>
    <w:rsid w:val="3ED344BF"/>
    <w:rsid w:val="3EE4C160"/>
    <w:rsid w:val="3EFF326F"/>
    <w:rsid w:val="3F07A49A"/>
    <w:rsid w:val="3F20DB1B"/>
    <w:rsid w:val="3F615159"/>
    <w:rsid w:val="3FAF94B2"/>
    <w:rsid w:val="3FCDC50A"/>
    <w:rsid w:val="3FEBE2AA"/>
    <w:rsid w:val="40069C2E"/>
    <w:rsid w:val="40ABF569"/>
    <w:rsid w:val="40DC20C2"/>
    <w:rsid w:val="40F2F70F"/>
    <w:rsid w:val="411295F7"/>
    <w:rsid w:val="418D9465"/>
    <w:rsid w:val="420131DB"/>
    <w:rsid w:val="420746F8"/>
    <w:rsid w:val="421368D1"/>
    <w:rsid w:val="428255DA"/>
    <w:rsid w:val="42918777"/>
    <w:rsid w:val="4298B6CC"/>
    <w:rsid w:val="42ADA089"/>
    <w:rsid w:val="42EA40D1"/>
    <w:rsid w:val="42F39EC9"/>
    <w:rsid w:val="42F7BF03"/>
    <w:rsid w:val="4302925A"/>
    <w:rsid w:val="43591474"/>
    <w:rsid w:val="43ABC0D8"/>
    <w:rsid w:val="43D4AF29"/>
    <w:rsid w:val="43E418B9"/>
    <w:rsid w:val="43F7247E"/>
    <w:rsid w:val="441B11EA"/>
    <w:rsid w:val="442359C5"/>
    <w:rsid w:val="4441AA46"/>
    <w:rsid w:val="444E5E78"/>
    <w:rsid w:val="445882F9"/>
    <w:rsid w:val="44664734"/>
    <w:rsid w:val="44684ADB"/>
    <w:rsid w:val="44803770"/>
    <w:rsid w:val="44A0CE2D"/>
    <w:rsid w:val="44A8A575"/>
    <w:rsid w:val="44A983FA"/>
    <w:rsid w:val="44AF1A1B"/>
    <w:rsid w:val="44DB8442"/>
    <w:rsid w:val="44EFF09A"/>
    <w:rsid w:val="4509C2A3"/>
    <w:rsid w:val="450A002B"/>
    <w:rsid w:val="4519A419"/>
    <w:rsid w:val="451FAA40"/>
    <w:rsid w:val="4531E136"/>
    <w:rsid w:val="45367C60"/>
    <w:rsid w:val="453B3E46"/>
    <w:rsid w:val="457256D9"/>
    <w:rsid w:val="458DD573"/>
    <w:rsid w:val="45AD5777"/>
    <w:rsid w:val="45BD0A65"/>
    <w:rsid w:val="45D9FB97"/>
    <w:rsid w:val="45E8CA2E"/>
    <w:rsid w:val="45FECE78"/>
    <w:rsid w:val="46024E10"/>
    <w:rsid w:val="461A41E1"/>
    <w:rsid w:val="4624A80A"/>
    <w:rsid w:val="462F0A0A"/>
    <w:rsid w:val="46759644"/>
    <w:rsid w:val="467BFDE9"/>
    <w:rsid w:val="4683B33B"/>
    <w:rsid w:val="468DC33E"/>
    <w:rsid w:val="46C891A9"/>
    <w:rsid w:val="46D097DE"/>
    <w:rsid w:val="46DAA8F0"/>
    <w:rsid w:val="46E89F1C"/>
    <w:rsid w:val="46F07C8A"/>
    <w:rsid w:val="47674952"/>
    <w:rsid w:val="4779BA60"/>
    <w:rsid w:val="47C06BD6"/>
    <w:rsid w:val="47C0786B"/>
    <w:rsid w:val="47F97539"/>
    <w:rsid w:val="47FCEF9E"/>
    <w:rsid w:val="483BB298"/>
    <w:rsid w:val="483CDA95"/>
    <w:rsid w:val="486981F8"/>
    <w:rsid w:val="487BA684"/>
    <w:rsid w:val="487E840B"/>
    <w:rsid w:val="488964FB"/>
    <w:rsid w:val="488BC640"/>
    <w:rsid w:val="48B1F3A9"/>
    <w:rsid w:val="48C53453"/>
    <w:rsid w:val="48C6EA5C"/>
    <w:rsid w:val="48D49BAC"/>
    <w:rsid w:val="48F452D5"/>
    <w:rsid w:val="492FD398"/>
    <w:rsid w:val="49414BD8"/>
    <w:rsid w:val="495CA285"/>
    <w:rsid w:val="49D3361E"/>
    <w:rsid w:val="49D9229D"/>
    <w:rsid w:val="4A481E39"/>
    <w:rsid w:val="4A499AF5"/>
    <w:rsid w:val="4A614696"/>
    <w:rsid w:val="4A67CEC4"/>
    <w:rsid w:val="4A89EDFA"/>
    <w:rsid w:val="4AA04FE0"/>
    <w:rsid w:val="4AC0A825"/>
    <w:rsid w:val="4AF8192D"/>
    <w:rsid w:val="4B3BDD8D"/>
    <w:rsid w:val="4B3E9489"/>
    <w:rsid w:val="4B7BF8A3"/>
    <w:rsid w:val="4BE3EE9A"/>
    <w:rsid w:val="4BFA66A2"/>
    <w:rsid w:val="4C32209C"/>
    <w:rsid w:val="4C5A59E8"/>
    <w:rsid w:val="4C740935"/>
    <w:rsid w:val="4C99109D"/>
    <w:rsid w:val="4CC2A56B"/>
    <w:rsid w:val="4CD50C6A"/>
    <w:rsid w:val="4D0E59A3"/>
    <w:rsid w:val="4D1C5F58"/>
    <w:rsid w:val="4D593E8C"/>
    <w:rsid w:val="4DB9D72F"/>
    <w:rsid w:val="4DBE819F"/>
    <w:rsid w:val="4DD46591"/>
    <w:rsid w:val="4DEA22EB"/>
    <w:rsid w:val="4DF73254"/>
    <w:rsid w:val="4E1550DF"/>
    <w:rsid w:val="4E169192"/>
    <w:rsid w:val="4E1B626A"/>
    <w:rsid w:val="4E1FE13C"/>
    <w:rsid w:val="4E30AF93"/>
    <w:rsid w:val="4E4508FA"/>
    <w:rsid w:val="4E4FE8E7"/>
    <w:rsid w:val="4E9EB0FB"/>
    <w:rsid w:val="4EA292C6"/>
    <w:rsid w:val="4EEE375E"/>
    <w:rsid w:val="4F16E28A"/>
    <w:rsid w:val="4F220C0F"/>
    <w:rsid w:val="4F7670AE"/>
    <w:rsid w:val="4FAB9C4B"/>
    <w:rsid w:val="4FCA5ACB"/>
    <w:rsid w:val="5026246F"/>
    <w:rsid w:val="50364169"/>
    <w:rsid w:val="50950D5D"/>
    <w:rsid w:val="50DDFFCF"/>
    <w:rsid w:val="511E41CF"/>
    <w:rsid w:val="5129061C"/>
    <w:rsid w:val="5147DF30"/>
    <w:rsid w:val="5166E454"/>
    <w:rsid w:val="51F841F9"/>
    <w:rsid w:val="52112148"/>
    <w:rsid w:val="5213F17E"/>
    <w:rsid w:val="5216F7A6"/>
    <w:rsid w:val="5223D8CF"/>
    <w:rsid w:val="526C86BA"/>
    <w:rsid w:val="52BABC24"/>
    <w:rsid w:val="53524BD6"/>
    <w:rsid w:val="53747F01"/>
    <w:rsid w:val="53970157"/>
    <w:rsid w:val="53B2C807"/>
    <w:rsid w:val="53C1EB08"/>
    <w:rsid w:val="53C46B75"/>
    <w:rsid w:val="543521FD"/>
    <w:rsid w:val="547D7E1A"/>
    <w:rsid w:val="547F72B1"/>
    <w:rsid w:val="549FF792"/>
    <w:rsid w:val="54EB1548"/>
    <w:rsid w:val="54F99592"/>
    <w:rsid w:val="55270001"/>
    <w:rsid w:val="5618E73A"/>
    <w:rsid w:val="56369C17"/>
    <w:rsid w:val="5640617C"/>
    <w:rsid w:val="5652C7B3"/>
    <w:rsid w:val="568C7122"/>
    <w:rsid w:val="56CF0F9C"/>
    <w:rsid w:val="57053CB7"/>
    <w:rsid w:val="572E8EC7"/>
    <w:rsid w:val="5759878A"/>
    <w:rsid w:val="57AD19A4"/>
    <w:rsid w:val="57B6E85E"/>
    <w:rsid w:val="57BE147A"/>
    <w:rsid w:val="58200A05"/>
    <w:rsid w:val="58532180"/>
    <w:rsid w:val="586FCD5F"/>
    <w:rsid w:val="589542BA"/>
    <w:rsid w:val="5899A69D"/>
    <w:rsid w:val="589B884D"/>
    <w:rsid w:val="58B10715"/>
    <w:rsid w:val="58C152EF"/>
    <w:rsid w:val="58CC5CC8"/>
    <w:rsid w:val="58CCDD9C"/>
    <w:rsid w:val="58DA5BE5"/>
    <w:rsid w:val="58DFF2A8"/>
    <w:rsid w:val="596131BF"/>
    <w:rsid w:val="596DB7A3"/>
    <w:rsid w:val="598A6875"/>
    <w:rsid w:val="59AB1E4D"/>
    <w:rsid w:val="59B3B2AD"/>
    <w:rsid w:val="59C3B29B"/>
    <w:rsid w:val="59D6EB7E"/>
    <w:rsid w:val="59E32D8C"/>
    <w:rsid w:val="5A1FBFA0"/>
    <w:rsid w:val="5A26EFEE"/>
    <w:rsid w:val="5AC0737F"/>
    <w:rsid w:val="5AD53050"/>
    <w:rsid w:val="5B000847"/>
    <w:rsid w:val="5B29E279"/>
    <w:rsid w:val="5B8D06D9"/>
    <w:rsid w:val="5B8D9665"/>
    <w:rsid w:val="5B9CC03A"/>
    <w:rsid w:val="5BAE9245"/>
    <w:rsid w:val="5BBAA30E"/>
    <w:rsid w:val="5BEFEA46"/>
    <w:rsid w:val="5C03C2EB"/>
    <w:rsid w:val="5C3B8426"/>
    <w:rsid w:val="5C4519AA"/>
    <w:rsid w:val="5C54AC83"/>
    <w:rsid w:val="5C6CB703"/>
    <w:rsid w:val="5C893853"/>
    <w:rsid w:val="5C98D281"/>
    <w:rsid w:val="5CAB0977"/>
    <w:rsid w:val="5CBB0760"/>
    <w:rsid w:val="5CD9D409"/>
    <w:rsid w:val="5D09A752"/>
    <w:rsid w:val="5D2C61A7"/>
    <w:rsid w:val="5D7AFF7F"/>
    <w:rsid w:val="5DB7EC5B"/>
    <w:rsid w:val="5DB92E59"/>
    <w:rsid w:val="5DBFCB70"/>
    <w:rsid w:val="5DE51F57"/>
    <w:rsid w:val="5E050FEC"/>
    <w:rsid w:val="5E18AED1"/>
    <w:rsid w:val="5E1FE57C"/>
    <w:rsid w:val="5EB41308"/>
    <w:rsid w:val="5EBC69F8"/>
    <w:rsid w:val="5ECB7579"/>
    <w:rsid w:val="5ED28D23"/>
    <w:rsid w:val="5EFDD592"/>
    <w:rsid w:val="5F253AE6"/>
    <w:rsid w:val="5F2B1850"/>
    <w:rsid w:val="5F849D74"/>
    <w:rsid w:val="5F8F7916"/>
    <w:rsid w:val="5FAD2393"/>
    <w:rsid w:val="5FCE1D06"/>
    <w:rsid w:val="5FF94195"/>
    <w:rsid w:val="5FFC9473"/>
    <w:rsid w:val="600DE2C8"/>
    <w:rsid w:val="603BFC75"/>
    <w:rsid w:val="606088F2"/>
    <w:rsid w:val="6063657D"/>
    <w:rsid w:val="607CCB8B"/>
    <w:rsid w:val="60966F1E"/>
    <w:rsid w:val="60A9695B"/>
    <w:rsid w:val="60B2672E"/>
    <w:rsid w:val="60B45434"/>
    <w:rsid w:val="60C286A3"/>
    <w:rsid w:val="60FF662A"/>
    <w:rsid w:val="610D7EB1"/>
    <w:rsid w:val="611AE57F"/>
    <w:rsid w:val="6163494D"/>
    <w:rsid w:val="6169ED67"/>
    <w:rsid w:val="617BFE16"/>
    <w:rsid w:val="617DACBA"/>
    <w:rsid w:val="61B4BBEE"/>
    <w:rsid w:val="61CDFA10"/>
    <w:rsid w:val="61F6C1C3"/>
    <w:rsid w:val="6225F23E"/>
    <w:rsid w:val="62853F3C"/>
    <w:rsid w:val="62910F56"/>
    <w:rsid w:val="62944BC1"/>
    <w:rsid w:val="629F4870"/>
    <w:rsid w:val="62CDC26F"/>
    <w:rsid w:val="62CFE736"/>
    <w:rsid w:val="63D7DD1B"/>
    <w:rsid w:val="645D219D"/>
    <w:rsid w:val="646A0E3D"/>
    <w:rsid w:val="6477B9BD"/>
    <w:rsid w:val="64A6B238"/>
    <w:rsid w:val="64B5C27B"/>
    <w:rsid w:val="64CC609C"/>
    <w:rsid w:val="64EC6A97"/>
    <w:rsid w:val="6516BD3A"/>
    <w:rsid w:val="6558B734"/>
    <w:rsid w:val="6559EA42"/>
    <w:rsid w:val="658564B0"/>
    <w:rsid w:val="6593A1CE"/>
    <w:rsid w:val="65A3F936"/>
    <w:rsid w:val="65C3D6F8"/>
    <w:rsid w:val="660C25DC"/>
    <w:rsid w:val="666D8EF4"/>
    <w:rsid w:val="66985DAD"/>
    <w:rsid w:val="66D0C150"/>
    <w:rsid w:val="66E137BA"/>
    <w:rsid w:val="66EEA484"/>
    <w:rsid w:val="6717F8DF"/>
    <w:rsid w:val="672E9157"/>
    <w:rsid w:val="67ABF07A"/>
    <w:rsid w:val="69126422"/>
    <w:rsid w:val="69306CDA"/>
    <w:rsid w:val="69576784"/>
    <w:rsid w:val="69B17A07"/>
    <w:rsid w:val="69EB5555"/>
    <w:rsid w:val="6A0E750A"/>
    <w:rsid w:val="6A23AAB0"/>
    <w:rsid w:val="6A8A9366"/>
    <w:rsid w:val="6AEC53CD"/>
    <w:rsid w:val="6B2EBF40"/>
    <w:rsid w:val="6B31E6B5"/>
    <w:rsid w:val="6B4CCE49"/>
    <w:rsid w:val="6B583CD5"/>
    <w:rsid w:val="6B7535B2"/>
    <w:rsid w:val="6B9D1A70"/>
    <w:rsid w:val="6BCCF629"/>
    <w:rsid w:val="6C13A29E"/>
    <w:rsid w:val="6C148ED7"/>
    <w:rsid w:val="6C27D180"/>
    <w:rsid w:val="6C4C4526"/>
    <w:rsid w:val="6C52E058"/>
    <w:rsid w:val="6C613058"/>
    <w:rsid w:val="6D0F752F"/>
    <w:rsid w:val="6D1783FA"/>
    <w:rsid w:val="6D9CB4C4"/>
    <w:rsid w:val="6E04574F"/>
    <w:rsid w:val="6E246B29"/>
    <w:rsid w:val="6E3C0B10"/>
    <w:rsid w:val="6E7B9B09"/>
    <w:rsid w:val="6E8B4686"/>
    <w:rsid w:val="6EB5C1FC"/>
    <w:rsid w:val="6EC05746"/>
    <w:rsid w:val="6F2D5960"/>
    <w:rsid w:val="6F4C2F99"/>
    <w:rsid w:val="6F50DA85"/>
    <w:rsid w:val="6F61EEBF"/>
    <w:rsid w:val="6F8656A5"/>
    <w:rsid w:val="70250717"/>
    <w:rsid w:val="7048A6D5"/>
    <w:rsid w:val="704E5325"/>
    <w:rsid w:val="705E034E"/>
    <w:rsid w:val="707A9A51"/>
    <w:rsid w:val="70963402"/>
    <w:rsid w:val="709D44CD"/>
    <w:rsid w:val="70C929C1"/>
    <w:rsid w:val="70D803C3"/>
    <w:rsid w:val="70EBE2CA"/>
    <w:rsid w:val="711EDA5C"/>
    <w:rsid w:val="718DBB1B"/>
    <w:rsid w:val="7197FAEE"/>
    <w:rsid w:val="7209F0A1"/>
    <w:rsid w:val="722E9FF6"/>
    <w:rsid w:val="7260AA70"/>
    <w:rsid w:val="72B0BCAE"/>
    <w:rsid w:val="72E3C030"/>
    <w:rsid w:val="7326066D"/>
    <w:rsid w:val="73537772"/>
    <w:rsid w:val="7368ACAA"/>
    <w:rsid w:val="739B8B1F"/>
    <w:rsid w:val="73BF19B6"/>
    <w:rsid w:val="73C70AF3"/>
    <w:rsid w:val="73DE4D73"/>
    <w:rsid w:val="73EB0828"/>
    <w:rsid w:val="73F56BA6"/>
    <w:rsid w:val="744D7164"/>
    <w:rsid w:val="7467D7C2"/>
    <w:rsid w:val="747AF664"/>
    <w:rsid w:val="74906229"/>
    <w:rsid w:val="74E6BFF4"/>
    <w:rsid w:val="7517EC3F"/>
    <w:rsid w:val="752B39BF"/>
    <w:rsid w:val="760077BC"/>
    <w:rsid w:val="7603CA18"/>
    <w:rsid w:val="7620B92B"/>
    <w:rsid w:val="76338631"/>
    <w:rsid w:val="765AFFA0"/>
    <w:rsid w:val="76855812"/>
    <w:rsid w:val="769054CF"/>
    <w:rsid w:val="76D20290"/>
    <w:rsid w:val="76DBD801"/>
    <w:rsid w:val="771788D1"/>
    <w:rsid w:val="777358AA"/>
    <w:rsid w:val="77CD7AFA"/>
    <w:rsid w:val="77D1AACC"/>
    <w:rsid w:val="77D59C42"/>
    <w:rsid w:val="782C68E5"/>
    <w:rsid w:val="78516579"/>
    <w:rsid w:val="7859CDB8"/>
    <w:rsid w:val="787260D3"/>
    <w:rsid w:val="787D6DBD"/>
    <w:rsid w:val="78840BCB"/>
    <w:rsid w:val="78B8F6B1"/>
    <w:rsid w:val="78CC4388"/>
    <w:rsid w:val="78E315A8"/>
    <w:rsid w:val="78F03C0F"/>
    <w:rsid w:val="78F33182"/>
    <w:rsid w:val="796B26F3"/>
    <w:rsid w:val="79FB78F3"/>
    <w:rsid w:val="7A2398AC"/>
    <w:rsid w:val="7A8231EA"/>
    <w:rsid w:val="7B3CE8E5"/>
    <w:rsid w:val="7B42E594"/>
    <w:rsid w:val="7B522781"/>
    <w:rsid w:val="7B6D11B3"/>
    <w:rsid w:val="7BAA427A"/>
    <w:rsid w:val="7BBACD77"/>
    <w:rsid w:val="7BF06329"/>
    <w:rsid w:val="7C0DE2C4"/>
    <w:rsid w:val="7C1AB66A"/>
    <w:rsid w:val="7C436430"/>
    <w:rsid w:val="7C5519F2"/>
    <w:rsid w:val="7CB6E016"/>
    <w:rsid w:val="7CC2C818"/>
    <w:rsid w:val="7CE49C19"/>
    <w:rsid w:val="7CEFDFBD"/>
    <w:rsid w:val="7D0514E6"/>
    <w:rsid w:val="7D08E214"/>
    <w:rsid w:val="7D275A46"/>
    <w:rsid w:val="7D9FB4AB"/>
    <w:rsid w:val="7E394463"/>
    <w:rsid w:val="7E4BAFA0"/>
    <w:rsid w:val="7E4FE816"/>
    <w:rsid w:val="7E5634E8"/>
    <w:rsid w:val="7E8A6C86"/>
    <w:rsid w:val="7E8B8A18"/>
    <w:rsid w:val="7E9E801C"/>
    <w:rsid w:val="7EB027E0"/>
    <w:rsid w:val="7EBC0C28"/>
    <w:rsid w:val="7EE8F678"/>
    <w:rsid w:val="7F85D1A5"/>
    <w:rsid w:val="7F8DC785"/>
    <w:rsid w:val="7F99B3C0"/>
    <w:rsid w:val="7FC6B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4DE19D"/>
  <w15:docId w15:val="{88BF1E2A-04A5-4FF1-BC82-8B62110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rPr>
      <w:rFonts w:ascii="Arial" w:eastAsia="Times New Roman" w:hAnsi="Arial" w:cs="Arial"/>
      <w:b/>
      <w:bCs/>
      <w:i/>
      <w:sz w:val="26"/>
      <w:szCs w:val="26"/>
      <w:lang w:eastAsia="en-GB"/>
    </w:rPr>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4"/>
      <w:szCs w:val="28"/>
      <w:lang w:eastAsia="de-DE"/>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Char Char Char Char Char Char,Char Char Char"/>
    <w:basedOn w:val="Normal"/>
    <w:link w:val="FootnoteTextChar"/>
    <w:uiPriority w:val="99"/>
    <w:qFormat/>
    <w:pPr>
      <w:ind w:left="720" w:hanging="720"/>
      <w:jc w:val="both"/>
    </w:pPr>
    <w:rPr>
      <w:sz w:val="20"/>
      <w:szCs w:val="20"/>
      <w:lang w:eastAsia="de-D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Pr>
      <w:rFonts w:ascii="Times New Roman" w:eastAsia="Times New Roman" w:hAnsi="Times New Roman" w:cs="Times New Roman"/>
      <w:sz w:val="20"/>
      <w:szCs w:val="20"/>
      <w:lang w:val="nl-NL"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uiPriority w:val="99"/>
    <w:qFormat/>
    <w:rPr>
      <w:rFonts w:cs="Times New Roman"/>
      <w:vertAlign w:val="superscript"/>
    </w:rPr>
  </w:style>
  <w:style w:type="paragraph" w:customStyle="1" w:styleId="Text1">
    <w:name w:val="Text 1"/>
    <w:basedOn w:val="Normal"/>
    <w:qFormat/>
    <w:pPr>
      <w:spacing w:before="120" w:after="120"/>
      <w:ind w:left="850"/>
      <w:jc w:val="both"/>
    </w:pPr>
    <w:rPr>
      <w:lang w:eastAsia="de-DE"/>
    </w:rPr>
  </w:style>
  <w:style w:type="paragraph" w:customStyle="1" w:styleId="Tiret0">
    <w:name w:val="Tiret 0"/>
    <w:basedOn w:val="Normal"/>
    <w:uiPriority w:val="99"/>
    <w:pPr>
      <w:numPr>
        <w:numId w:val="6"/>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numPr>
        <w:numId w:val="8"/>
      </w:numPr>
      <w:spacing w:before="360" w:after="120"/>
      <w:jc w:val="both"/>
      <w:outlineLvl w:val="1"/>
    </w:pPr>
    <w:rPr>
      <w:b/>
      <w:noProof/>
      <w:lang w:eastAsia="en-US"/>
    </w:rPr>
  </w:style>
  <w:style w:type="paragraph" w:customStyle="1" w:styleId="ListDash">
    <w:name w:val="List Dash"/>
    <w:basedOn w:val="Normal"/>
    <w:link w:val="ListDashChar"/>
    <w:uiPriority w:val="99"/>
    <w:pPr>
      <w:spacing w:before="120" w:after="120"/>
      <w:jc w:val="both"/>
    </w:pPr>
    <w:rPr>
      <w:szCs w:val="20"/>
      <w:lang w:eastAsia="de-DE"/>
    </w:rPr>
  </w:style>
  <w:style w:type="paragraph" w:styleId="TOCHeading">
    <w:name w:val="TOC Heading"/>
    <w:basedOn w:val="Normal"/>
    <w:next w:val="Normal"/>
    <w:uiPriority w:val="99"/>
    <w:qFormat/>
    <w:pPr>
      <w:spacing w:before="120" w:after="240"/>
      <w:jc w:val="center"/>
    </w:pPr>
    <w:rPr>
      <w:b/>
      <w:sz w:val="28"/>
      <w:lang w:eastAsia="de-DE"/>
    </w:rPr>
  </w:style>
  <w:style w:type="paragraph" w:customStyle="1" w:styleId="Prliminairetitre">
    <w:name w:val="Préliminaire titre"/>
    <w:basedOn w:val="Normal"/>
    <w:next w:val="Normal"/>
    <w:uiPriority w:val="99"/>
    <w:pPr>
      <w:spacing w:before="360" w:after="360"/>
      <w:jc w:val="center"/>
    </w:pPr>
    <w:rPr>
      <w:b/>
      <w:lang w:eastAsia="de-DE"/>
    </w:rPr>
  </w:style>
  <w:style w:type="paragraph" w:customStyle="1" w:styleId="Prliminairetype">
    <w:name w:val="Préliminaire type"/>
    <w:basedOn w:val="Normal"/>
    <w:next w:val="Normal"/>
    <w:uiPriority w:val="99"/>
    <w:pPr>
      <w:spacing w:before="360"/>
      <w:jc w:val="center"/>
    </w:pPr>
    <w:rPr>
      <w:b/>
      <w:lang w:eastAsia="de-DE"/>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rsid w:val="00F43ADB"/>
    <w:pPr>
      <w:tabs>
        <w:tab w:val="left" w:pos="720"/>
        <w:tab w:val="right" w:leader="dot" w:pos="9061"/>
      </w:tabs>
      <w:spacing w:before="20" w:after="20"/>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7"/>
      </w:numPr>
      <w:spacing w:before="120" w:after="120"/>
      <w:jc w:val="both"/>
    </w:pPr>
    <w:rPr>
      <w:lang w:eastAsia="de-DE"/>
    </w:rPr>
  </w:style>
  <w:style w:type="paragraph" w:customStyle="1" w:styleId="ListDash2">
    <w:name w:val="List Dash 2"/>
    <w:basedOn w:val="Normal"/>
    <w:uiPriority w:val="99"/>
    <w:pPr>
      <w:tabs>
        <w:tab w:val="num" w:pos="1134"/>
      </w:tabs>
      <w:spacing w:before="120" w:after="120"/>
      <w:ind w:left="1134" w:hanging="283"/>
      <w:jc w:val="both"/>
    </w:pPr>
    <w:rPr>
      <w:lang w:eastAsia="de-DE"/>
    </w:rPr>
  </w:style>
  <w:style w:type="paragraph" w:customStyle="1" w:styleId="ListBullet1">
    <w:name w:val="List Bullet 1"/>
    <w:basedOn w:val="Text1"/>
    <w:uiPriority w:val="99"/>
    <w:pPr>
      <w:tabs>
        <w:tab w:val="num" w:pos="765"/>
      </w:tabs>
      <w:spacing w:before="0" w:after="240"/>
      <w:ind w:left="765" w:hanging="283"/>
    </w:pPr>
    <w:rPr>
      <w:szCs w:val="20"/>
      <w:lang w:eastAsia="en-US"/>
    </w:rPr>
  </w:style>
  <w:style w:type="paragraph" w:styleId="ListBullet2">
    <w:name w:val="List Bullet 2"/>
    <w:basedOn w:val="Normal"/>
    <w:uiPriority w:val="99"/>
    <w:pPr>
      <w:numPr>
        <w:numId w:val="9"/>
      </w:numPr>
      <w:spacing w:after="240"/>
      <w:jc w:val="both"/>
    </w:pPr>
    <w:rPr>
      <w:szCs w:val="20"/>
      <w:lang w:eastAsia="en-US"/>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Emphasis">
    <w:name w:val="Emphasis"/>
    <w:basedOn w:val="DefaultParagraphFont"/>
    <w:uiPriority w:val="20"/>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uiPriority w:val="99"/>
    <w:pPr>
      <w:numPr>
        <w:numId w:val="10"/>
      </w:numPr>
      <w:spacing w:before="120" w:after="120"/>
      <w:jc w:val="both"/>
    </w:pPr>
    <w:rPr>
      <w:lang w:eastAsia="de-DE"/>
    </w:rPr>
  </w:style>
  <w:style w:type="paragraph" w:customStyle="1" w:styleId="ListNumberLevel2">
    <w:name w:val="List Number (Level 2)"/>
    <w:basedOn w:val="Normal"/>
    <w:uiPriority w:val="99"/>
    <w:pPr>
      <w:numPr>
        <w:ilvl w:val="1"/>
        <w:numId w:val="10"/>
      </w:numPr>
      <w:spacing w:before="120" w:after="120"/>
      <w:jc w:val="both"/>
    </w:pPr>
    <w:rPr>
      <w:lang w:eastAsia="de-DE"/>
    </w:rPr>
  </w:style>
  <w:style w:type="paragraph" w:customStyle="1" w:styleId="ListNumberLevel3">
    <w:name w:val="List Number (Level 3)"/>
    <w:basedOn w:val="Normal"/>
    <w:uiPriority w:val="99"/>
    <w:pPr>
      <w:numPr>
        <w:ilvl w:val="2"/>
        <w:numId w:val="10"/>
      </w:numPr>
      <w:spacing w:before="120" w:after="120"/>
      <w:jc w:val="both"/>
    </w:pPr>
    <w:rPr>
      <w:lang w:eastAsia="de-DE"/>
    </w:rPr>
  </w:style>
  <w:style w:type="paragraph" w:customStyle="1" w:styleId="ListNumberLevel4">
    <w:name w:val="List Number (Level 4)"/>
    <w:basedOn w:val="Normal"/>
    <w:uiPriority w:val="99"/>
    <w:pPr>
      <w:numPr>
        <w:ilvl w:val="3"/>
        <w:numId w:val="10"/>
      </w:numPr>
      <w:spacing w:before="120" w:after="120"/>
      <w:jc w:val="both"/>
    </w:pPr>
    <w:rPr>
      <w:lang w:eastAsia="de-DE"/>
    </w:rPr>
  </w:style>
  <w:style w:type="character" w:customStyle="1" w:styleId="ListDashChar">
    <w:name w:val="List Dash Char"/>
    <w:link w:val="ListDash"/>
    <w:uiPriority w:val="99"/>
    <w:locked/>
    <w:rPr>
      <w:rFonts w:ascii="Times New Roman" w:eastAsia="Times New Roman" w:hAnsi="Times New Roman" w:cs="Times New Roman"/>
      <w:sz w:val="24"/>
      <w:szCs w:val="20"/>
      <w:lang w:val="nl-NL" w:eastAsia="de-DE"/>
    </w:rPr>
  </w:style>
  <w:style w:type="paragraph" w:customStyle="1" w:styleId="StyleManualHeading2Italic">
    <w:name w:val="Style Manual Heading 2 + Italic"/>
    <w:basedOn w:val="ManualHeading2"/>
    <w:autoRedefine/>
    <w:uiPriority w:val="99"/>
    <w:pPr>
      <w:numPr>
        <w:numId w:val="0"/>
      </w:numPr>
      <w:spacing w:before="160" w:after="160"/>
    </w:pPr>
    <w:rPr>
      <w:bCs/>
      <w:i/>
      <w:iCs/>
    </w:rPr>
  </w:style>
  <w:style w:type="paragraph" w:customStyle="1" w:styleId="NormalCentered">
    <w:name w:val="Normal Centered"/>
    <w:basedOn w:val="Normal"/>
    <w:uiPriority w:val="99"/>
    <w:pPr>
      <w:spacing w:before="120" w:after="120"/>
      <w:jc w:val="center"/>
    </w:pPr>
    <w:rPr>
      <w:lang w:eastAsia="de-DE"/>
    </w:rPr>
  </w:style>
  <w:style w:type="paragraph" w:customStyle="1" w:styleId="NormalRight">
    <w:name w:val="Normal Right"/>
    <w:basedOn w:val="Normal"/>
    <w:uiPriority w:val="99"/>
    <w:pPr>
      <w:spacing w:before="120" w:after="120"/>
      <w:jc w:val="right"/>
    </w:pPr>
    <w:rPr>
      <w:lang w:eastAsia="de-DE"/>
    </w:rPr>
  </w:style>
  <w:style w:type="paragraph" w:customStyle="1" w:styleId="NormalLeft">
    <w:name w:val="Normal Left"/>
    <w:basedOn w:val="Normal"/>
    <w:uiPriority w:val="99"/>
    <w:pPr>
      <w:spacing w:before="120" w:after="120"/>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Statut">
    <w:name w:val="Statut"/>
    <w:basedOn w:val="Normal"/>
    <w:next w:val="Typedudocument"/>
    <w:uiPriority w:val="99"/>
    <w:pPr>
      <w:spacing w:before="360"/>
      <w:jc w:val="center"/>
    </w:pPr>
    <w:rPr>
      <w:szCs w:val="22"/>
      <w:lang w:eastAsia="en-US"/>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11"/>
      </w:numPr>
      <w:spacing w:before="120" w:after="120"/>
      <w:jc w:val="both"/>
    </w:pPr>
    <w:rPr>
      <w:szCs w:val="22"/>
    </w:rPr>
  </w:style>
  <w:style w:type="paragraph" w:customStyle="1" w:styleId="Point1number">
    <w:name w:val="Point 1 (number)"/>
    <w:basedOn w:val="Normal"/>
    <w:uiPriority w:val="99"/>
    <w:pPr>
      <w:numPr>
        <w:ilvl w:val="2"/>
        <w:numId w:val="11"/>
      </w:numPr>
      <w:spacing w:before="120" w:after="120"/>
      <w:jc w:val="both"/>
    </w:pPr>
    <w:rPr>
      <w:szCs w:val="22"/>
    </w:rPr>
  </w:style>
  <w:style w:type="paragraph" w:customStyle="1" w:styleId="Point2number">
    <w:name w:val="Point 2 (number)"/>
    <w:basedOn w:val="Normal"/>
    <w:uiPriority w:val="99"/>
    <w:pPr>
      <w:numPr>
        <w:ilvl w:val="4"/>
        <w:numId w:val="11"/>
      </w:numPr>
      <w:spacing w:before="120" w:after="120"/>
      <w:jc w:val="both"/>
    </w:pPr>
    <w:rPr>
      <w:szCs w:val="22"/>
    </w:rPr>
  </w:style>
  <w:style w:type="paragraph" w:customStyle="1" w:styleId="Point3number">
    <w:name w:val="Point 3 (number)"/>
    <w:basedOn w:val="Normal"/>
    <w:uiPriority w:val="99"/>
    <w:pPr>
      <w:numPr>
        <w:ilvl w:val="6"/>
        <w:numId w:val="11"/>
      </w:numPr>
      <w:spacing w:before="120" w:after="120"/>
      <w:jc w:val="both"/>
    </w:pPr>
    <w:rPr>
      <w:szCs w:val="22"/>
    </w:rPr>
  </w:style>
  <w:style w:type="paragraph" w:customStyle="1" w:styleId="Point0letter">
    <w:name w:val="Point 0 (letter)"/>
    <w:basedOn w:val="Normal"/>
    <w:uiPriority w:val="99"/>
    <w:pPr>
      <w:numPr>
        <w:ilvl w:val="1"/>
        <w:numId w:val="11"/>
      </w:numPr>
      <w:spacing w:before="120" w:after="120"/>
      <w:jc w:val="both"/>
    </w:pPr>
    <w:rPr>
      <w:szCs w:val="22"/>
    </w:rPr>
  </w:style>
  <w:style w:type="paragraph" w:customStyle="1" w:styleId="Point1letter">
    <w:name w:val="Point 1 (letter)"/>
    <w:basedOn w:val="Normal"/>
    <w:uiPriority w:val="99"/>
    <w:pPr>
      <w:numPr>
        <w:ilvl w:val="3"/>
        <w:numId w:val="11"/>
      </w:numPr>
      <w:spacing w:before="120" w:after="120"/>
      <w:jc w:val="both"/>
    </w:pPr>
    <w:rPr>
      <w:szCs w:val="22"/>
    </w:rPr>
  </w:style>
  <w:style w:type="paragraph" w:customStyle="1" w:styleId="Point2letter">
    <w:name w:val="Point 2 (letter)"/>
    <w:basedOn w:val="Normal"/>
    <w:uiPriority w:val="99"/>
    <w:pPr>
      <w:numPr>
        <w:ilvl w:val="5"/>
        <w:numId w:val="11"/>
      </w:numPr>
      <w:spacing w:before="120" w:after="120"/>
      <w:jc w:val="both"/>
    </w:pPr>
    <w:rPr>
      <w:szCs w:val="22"/>
    </w:rPr>
  </w:style>
  <w:style w:type="paragraph" w:customStyle="1" w:styleId="Point3letter">
    <w:name w:val="Point 3 (letter)"/>
    <w:basedOn w:val="Normal"/>
    <w:uiPriority w:val="99"/>
    <w:pPr>
      <w:numPr>
        <w:ilvl w:val="7"/>
        <w:numId w:val="11"/>
      </w:numPr>
      <w:spacing w:before="120" w:after="120"/>
      <w:jc w:val="both"/>
    </w:pPr>
    <w:rPr>
      <w:szCs w:val="22"/>
    </w:rPr>
  </w:style>
  <w:style w:type="paragraph" w:customStyle="1" w:styleId="Point4letter">
    <w:name w:val="Point 4 (letter)"/>
    <w:basedOn w:val="Normal"/>
    <w:uiPriority w:val="99"/>
    <w:pPr>
      <w:numPr>
        <w:ilvl w:val="8"/>
        <w:numId w:val="11"/>
      </w:numPr>
      <w:spacing w:before="120" w:after="120"/>
      <w:jc w:val="both"/>
    </w:pPr>
    <w:rPr>
      <w:szCs w:val="22"/>
    </w:rPr>
  </w:style>
  <w:style w:type="paragraph" w:customStyle="1" w:styleId="Tiret2">
    <w:name w:val="Tiret 2"/>
    <w:basedOn w:val="Normal"/>
    <w:uiPriority w:val="99"/>
    <w:pPr>
      <w:numPr>
        <w:numId w:val="12"/>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0"/>
      <w:lang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cs="Times New Roman"/>
      <w:szCs w:val="20"/>
      <w:lang w:val="nl-NL" w:eastAsia="de-DE"/>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lang w:eastAsia="de-DE"/>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nl-NL" w:eastAsia="de-DE"/>
    </w:rPr>
  </w:style>
  <w:style w:type="paragraph" w:styleId="ListNumber5">
    <w:name w:val="List Number 5"/>
    <w:basedOn w:val="Normal"/>
    <w:uiPriority w:val="99"/>
    <w:pPr>
      <w:numPr>
        <w:numId w:val="4"/>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5"/>
      </w:numPr>
      <w:tabs>
        <w:tab w:val="clear" w:pos="643"/>
        <w:tab w:val="num" w:pos="926"/>
      </w:tabs>
      <w:spacing w:before="120" w:after="120"/>
      <w:ind w:left="926"/>
      <w:contextualSpacing/>
      <w:jc w:val="both"/>
    </w:pPr>
    <w:rPr>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lang w:eastAsia="en-US"/>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ilvl w:val="1"/>
        <w:numId w:val="16"/>
      </w:numPr>
    </w:pPr>
  </w:style>
  <w:style w:type="paragraph" w:customStyle="1" w:styleId="Style3">
    <w:name w:val="Style3"/>
    <w:basedOn w:val="ManualHeading1"/>
    <w:autoRedefine/>
    <w:qFormat/>
    <w:pPr>
      <w:numPr>
        <w:numId w:val="15"/>
      </w:numPr>
    </w:pPr>
    <w:rPr>
      <w:noProof/>
    </w:rPr>
  </w:style>
  <w:style w:type="paragraph" w:customStyle="1" w:styleId="CM1">
    <w:name w:val="CM1"/>
    <w:basedOn w:val="Default"/>
    <w:next w:val="Default"/>
    <w:uiPriority w:val="99"/>
    <w:rPr>
      <w:rFonts w:ascii="KOJOD P+ Adv T T 5843c 571" w:hAnsi="KOJOD P+ Adv T T 5843c 571"/>
      <w:color w:val="auto"/>
      <w:lang w:eastAsia="de-DE"/>
    </w:rPr>
  </w:style>
  <w:style w:type="paragraph" w:customStyle="1" w:styleId="CM3">
    <w:name w:val="CM3"/>
    <w:basedOn w:val="Default"/>
    <w:next w:val="Default"/>
    <w:uiPriority w:val="99"/>
    <w:rPr>
      <w:rFonts w:ascii="KOJOD P+ Adv T T 5843c 571" w:hAnsi="KOJOD P+ Adv T T 5843c 571"/>
      <w:color w:val="auto"/>
      <w:lang w:eastAsia="de-DE"/>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st">
    <w:name w:val="st"/>
    <w:basedOn w:val="DefaultParagraphFont"/>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customStyle="1" w:styleId="acopre">
    <w:name w:val="acopre"/>
    <w:basedOn w:val="DefaultParagraphFont"/>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C94B68"/>
    <w:rPr>
      <w:sz w:val="20"/>
      <w:szCs w:val="20"/>
    </w:rPr>
  </w:style>
  <w:style w:type="character" w:customStyle="1" w:styleId="EndnoteTextChar">
    <w:name w:val="Endnote Text Char"/>
    <w:basedOn w:val="DefaultParagraphFont"/>
    <w:link w:val="EndnoteText"/>
    <w:uiPriority w:val="99"/>
    <w:semiHidden/>
    <w:rsid w:val="00C94B6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94B68"/>
    <w:rPr>
      <w:vertAlign w:val="superscript"/>
    </w:rPr>
  </w:style>
  <w:style w:type="paragraph" w:customStyle="1" w:styleId="msonormal0">
    <w:name w:val="msonormal"/>
    <w:basedOn w:val="Normal"/>
    <w:rsid w:val="00761196"/>
    <w:pPr>
      <w:spacing w:before="100" w:beforeAutospacing="1" w:after="100" w:afterAutospacing="1"/>
    </w:pPr>
    <w:rPr>
      <w:lang w:eastAsia="en-IE"/>
    </w:rPr>
  </w:style>
  <w:style w:type="paragraph" w:customStyle="1" w:styleId="font5">
    <w:name w:val="font5"/>
    <w:basedOn w:val="Normal"/>
    <w:rsid w:val="00761196"/>
    <w:pPr>
      <w:spacing w:before="100" w:beforeAutospacing="1" w:after="100" w:afterAutospacing="1"/>
    </w:pPr>
    <w:rPr>
      <w:rFonts w:ascii="Tahoma" w:hAnsi="Tahoma" w:cs="Tahoma"/>
      <w:color w:val="000000"/>
      <w:sz w:val="18"/>
      <w:szCs w:val="18"/>
      <w:lang w:eastAsia="en-IE"/>
    </w:rPr>
  </w:style>
  <w:style w:type="paragraph" w:customStyle="1" w:styleId="font6">
    <w:name w:val="font6"/>
    <w:basedOn w:val="Normal"/>
    <w:rsid w:val="00761196"/>
    <w:pPr>
      <w:spacing w:before="100" w:beforeAutospacing="1" w:after="100" w:afterAutospacing="1"/>
    </w:pPr>
    <w:rPr>
      <w:rFonts w:ascii="Tahoma" w:hAnsi="Tahoma" w:cs="Tahoma"/>
      <w:b/>
      <w:bCs/>
      <w:color w:val="000000"/>
      <w:sz w:val="18"/>
      <w:szCs w:val="18"/>
      <w:lang w:eastAsia="en-IE"/>
    </w:rPr>
  </w:style>
  <w:style w:type="paragraph" w:customStyle="1" w:styleId="xl65">
    <w:name w:val="xl6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6">
    <w:name w:val="xl6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7">
    <w:name w:val="xl6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68">
    <w:name w:val="xl68"/>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69">
    <w:name w:val="xl69"/>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70">
    <w:name w:val="xl70"/>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1">
    <w:name w:val="xl71"/>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72">
    <w:name w:val="xl72"/>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color w:val="000000"/>
      <w:sz w:val="16"/>
      <w:szCs w:val="16"/>
      <w:lang w:eastAsia="en-IE"/>
    </w:rPr>
  </w:style>
  <w:style w:type="paragraph" w:customStyle="1" w:styleId="xl73">
    <w:name w:val="xl73"/>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74">
    <w:name w:val="xl74"/>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5">
    <w:name w:val="xl7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6">
    <w:name w:val="xl7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7">
    <w:name w:val="xl7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78">
    <w:name w:val="xl78"/>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79">
    <w:name w:val="xl7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80">
    <w:name w:val="xl80"/>
    <w:basedOn w:val="Normal"/>
    <w:rsid w:val="00761196"/>
    <w:pPr>
      <w:pBdr>
        <w:left w:val="single" w:sz="8" w:space="0" w:color="auto"/>
        <w:bottom w:val="single" w:sz="8" w:space="0" w:color="auto"/>
      </w:pBdr>
      <w:shd w:val="clear" w:color="000000" w:fill="FFFFFF"/>
      <w:spacing w:before="100" w:beforeAutospacing="1" w:after="100" w:afterAutospacing="1"/>
      <w:jc w:val="both"/>
      <w:textAlignment w:val="center"/>
    </w:pPr>
    <w:rPr>
      <w:sz w:val="16"/>
      <w:szCs w:val="16"/>
      <w:lang w:eastAsia="en-IE"/>
    </w:rPr>
  </w:style>
  <w:style w:type="paragraph" w:customStyle="1" w:styleId="xl81">
    <w:name w:val="xl81"/>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2">
    <w:name w:val="xl8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3">
    <w:name w:val="xl83"/>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4">
    <w:name w:val="xl8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85">
    <w:name w:val="xl85"/>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86">
    <w:name w:val="xl86"/>
    <w:basedOn w:val="Normal"/>
    <w:rsid w:val="00761196"/>
    <w:pPr>
      <w:spacing w:before="100" w:beforeAutospacing="1" w:after="100" w:afterAutospacing="1"/>
    </w:pPr>
    <w:rPr>
      <w:color w:val="FF0000"/>
      <w:lang w:eastAsia="en-IE"/>
    </w:rPr>
  </w:style>
  <w:style w:type="paragraph" w:customStyle="1" w:styleId="xl87">
    <w:name w:val="xl8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88">
    <w:name w:val="xl88"/>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9">
    <w:name w:val="xl89"/>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0">
    <w:name w:val="xl9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1">
    <w:name w:val="xl91"/>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2">
    <w:name w:val="xl92"/>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93">
    <w:name w:val="xl9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4">
    <w:name w:val="xl9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95">
    <w:name w:val="xl9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6">
    <w:name w:val="xl96"/>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7">
    <w:name w:val="xl97"/>
    <w:basedOn w:val="Normal"/>
    <w:rsid w:val="00761196"/>
    <w:pPr>
      <w:spacing w:before="100" w:beforeAutospacing="1" w:after="100" w:afterAutospacing="1"/>
    </w:pPr>
    <w:rPr>
      <w:lang w:eastAsia="en-IE"/>
    </w:rPr>
  </w:style>
  <w:style w:type="paragraph" w:customStyle="1" w:styleId="xl98">
    <w:name w:val="xl9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99">
    <w:name w:val="xl99"/>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00">
    <w:name w:val="xl100"/>
    <w:basedOn w:val="Normal"/>
    <w:rsid w:val="00761196"/>
    <w:pPr>
      <w:pBdr>
        <w:top w:val="single" w:sz="8" w:space="0" w:color="auto"/>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1">
    <w:name w:val="xl10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2">
    <w:name w:val="xl102"/>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103">
    <w:name w:val="xl103"/>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sz w:val="16"/>
      <w:szCs w:val="16"/>
      <w:lang w:eastAsia="en-IE"/>
    </w:rPr>
  </w:style>
  <w:style w:type="paragraph" w:customStyle="1" w:styleId="xl104">
    <w:name w:val="xl104"/>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5">
    <w:name w:val="xl105"/>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6">
    <w:name w:val="xl106"/>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07">
    <w:name w:val="xl107"/>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8">
    <w:name w:val="xl108"/>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9">
    <w:name w:val="xl10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10">
    <w:name w:val="xl11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11">
    <w:name w:val="xl111"/>
    <w:basedOn w:val="Normal"/>
    <w:rsid w:val="00761196"/>
    <w:pPr>
      <w:pBdr>
        <w:left w:val="single" w:sz="8" w:space="0" w:color="auto"/>
        <w:bottom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2">
    <w:name w:val="xl112"/>
    <w:basedOn w:val="Normal"/>
    <w:rsid w:val="00761196"/>
    <w:pPr>
      <w:pBdr>
        <w:bottom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3">
    <w:name w:val="xl113"/>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4">
    <w:name w:val="xl114"/>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5">
    <w:name w:val="xl115"/>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6">
    <w:name w:val="xl116"/>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7">
    <w:name w:val="xl117"/>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8">
    <w:name w:val="xl118"/>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9">
    <w:name w:val="xl119"/>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0">
    <w:name w:val="xl120"/>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1">
    <w:name w:val="xl121"/>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2">
    <w:name w:val="xl122"/>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3">
    <w:name w:val="xl123"/>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4">
    <w:name w:val="xl124"/>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5">
    <w:name w:val="xl125"/>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eastAsia="en-IE"/>
    </w:rPr>
  </w:style>
  <w:style w:type="paragraph" w:customStyle="1" w:styleId="xl126">
    <w:name w:val="xl126"/>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27">
    <w:name w:val="xl127"/>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8">
    <w:name w:val="xl128"/>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9">
    <w:name w:val="xl129"/>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30">
    <w:name w:val="xl13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31">
    <w:name w:val="xl13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2">
    <w:name w:val="xl132"/>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3">
    <w:name w:val="xl133"/>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4">
    <w:name w:val="xl134"/>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5">
    <w:name w:val="xl135"/>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6">
    <w:name w:val="xl136"/>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7">
    <w:name w:val="xl13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138">
    <w:name w:val="xl13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139">
    <w:name w:val="xl139"/>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140">
    <w:name w:val="xl14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1">
    <w:name w:val="xl141"/>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42">
    <w:name w:val="xl14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143">
    <w:name w:val="xl14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44">
    <w:name w:val="xl14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45">
    <w:name w:val="xl14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6">
    <w:name w:val="xl146"/>
    <w:basedOn w:val="Normal"/>
    <w:rsid w:val="00761196"/>
    <w:pPr>
      <w:pBdr>
        <w:top w:val="single" w:sz="8" w:space="0" w:color="auto"/>
        <w:lef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7">
    <w:name w:val="xl147"/>
    <w:basedOn w:val="Normal"/>
    <w:rsid w:val="00761196"/>
    <w:pPr>
      <w:pBdr>
        <w:top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8">
    <w:name w:val="xl148"/>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lang w:eastAsia="en-IE"/>
    </w:rPr>
  </w:style>
  <w:style w:type="paragraph" w:customStyle="1" w:styleId="xl149">
    <w:name w:val="xl149"/>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lang w:eastAsia="en-IE"/>
    </w:rPr>
  </w:style>
  <w:style w:type="paragraph" w:customStyle="1" w:styleId="xl63">
    <w:name w:val="xl63"/>
    <w:basedOn w:val="Normal"/>
    <w:rsid w:val="00E0423C"/>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4">
    <w:name w:val="xl64"/>
    <w:basedOn w:val="Normal"/>
    <w:rsid w:val="00E0423C"/>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731">
      <w:bodyDiv w:val="1"/>
      <w:marLeft w:val="0"/>
      <w:marRight w:val="0"/>
      <w:marTop w:val="0"/>
      <w:marBottom w:val="0"/>
      <w:divBdr>
        <w:top w:val="none" w:sz="0" w:space="0" w:color="auto"/>
        <w:left w:val="none" w:sz="0" w:space="0" w:color="auto"/>
        <w:bottom w:val="none" w:sz="0" w:space="0" w:color="auto"/>
        <w:right w:val="none" w:sz="0" w:space="0" w:color="auto"/>
      </w:divBdr>
    </w:div>
    <w:div w:id="100801549">
      <w:bodyDiv w:val="1"/>
      <w:marLeft w:val="0"/>
      <w:marRight w:val="0"/>
      <w:marTop w:val="0"/>
      <w:marBottom w:val="0"/>
      <w:divBdr>
        <w:top w:val="none" w:sz="0" w:space="0" w:color="auto"/>
        <w:left w:val="none" w:sz="0" w:space="0" w:color="auto"/>
        <w:bottom w:val="none" w:sz="0" w:space="0" w:color="auto"/>
        <w:right w:val="none" w:sz="0" w:space="0" w:color="auto"/>
      </w:divBdr>
    </w:div>
    <w:div w:id="115678989">
      <w:bodyDiv w:val="1"/>
      <w:marLeft w:val="0"/>
      <w:marRight w:val="0"/>
      <w:marTop w:val="0"/>
      <w:marBottom w:val="0"/>
      <w:divBdr>
        <w:top w:val="none" w:sz="0" w:space="0" w:color="auto"/>
        <w:left w:val="none" w:sz="0" w:space="0" w:color="auto"/>
        <w:bottom w:val="none" w:sz="0" w:space="0" w:color="auto"/>
        <w:right w:val="none" w:sz="0" w:space="0" w:color="auto"/>
      </w:divBdr>
    </w:div>
    <w:div w:id="118183194">
      <w:bodyDiv w:val="1"/>
      <w:marLeft w:val="0"/>
      <w:marRight w:val="0"/>
      <w:marTop w:val="0"/>
      <w:marBottom w:val="0"/>
      <w:divBdr>
        <w:top w:val="none" w:sz="0" w:space="0" w:color="auto"/>
        <w:left w:val="none" w:sz="0" w:space="0" w:color="auto"/>
        <w:bottom w:val="none" w:sz="0" w:space="0" w:color="auto"/>
        <w:right w:val="none" w:sz="0" w:space="0" w:color="auto"/>
      </w:divBdr>
    </w:div>
    <w:div w:id="121971116">
      <w:bodyDiv w:val="1"/>
      <w:marLeft w:val="0"/>
      <w:marRight w:val="0"/>
      <w:marTop w:val="0"/>
      <w:marBottom w:val="0"/>
      <w:divBdr>
        <w:top w:val="none" w:sz="0" w:space="0" w:color="auto"/>
        <w:left w:val="none" w:sz="0" w:space="0" w:color="auto"/>
        <w:bottom w:val="none" w:sz="0" w:space="0" w:color="auto"/>
        <w:right w:val="none" w:sz="0" w:space="0" w:color="auto"/>
      </w:divBdr>
    </w:div>
    <w:div w:id="135994391">
      <w:bodyDiv w:val="1"/>
      <w:marLeft w:val="0"/>
      <w:marRight w:val="0"/>
      <w:marTop w:val="0"/>
      <w:marBottom w:val="0"/>
      <w:divBdr>
        <w:top w:val="none" w:sz="0" w:space="0" w:color="auto"/>
        <w:left w:val="none" w:sz="0" w:space="0" w:color="auto"/>
        <w:bottom w:val="none" w:sz="0" w:space="0" w:color="auto"/>
        <w:right w:val="none" w:sz="0" w:space="0" w:color="auto"/>
      </w:divBdr>
    </w:div>
    <w:div w:id="144780543">
      <w:bodyDiv w:val="1"/>
      <w:marLeft w:val="0"/>
      <w:marRight w:val="0"/>
      <w:marTop w:val="0"/>
      <w:marBottom w:val="0"/>
      <w:divBdr>
        <w:top w:val="none" w:sz="0" w:space="0" w:color="auto"/>
        <w:left w:val="none" w:sz="0" w:space="0" w:color="auto"/>
        <w:bottom w:val="none" w:sz="0" w:space="0" w:color="auto"/>
        <w:right w:val="none" w:sz="0" w:space="0" w:color="auto"/>
      </w:divBdr>
    </w:div>
    <w:div w:id="146629716">
      <w:bodyDiv w:val="1"/>
      <w:marLeft w:val="0"/>
      <w:marRight w:val="0"/>
      <w:marTop w:val="0"/>
      <w:marBottom w:val="0"/>
      <w:divBdr>
        <w:top w:val="none" w:sz="0" w:space="0" w:color="auto"/>
        <w:left w:val="none" w:sz="0" w:space="0" w:color="auto"/>
        <w:bottom w:val="none" w:sz="0" w:space="0" w:color="auto"/>
        <w:right w:val="none" w:sz="0" w:space="0" w:color="auto"/>
      </w:divBdr>
    </w:div>
    <w:div w:id="157774381">
      <w:bodyDiv w:val="1"/>
      <w:marLeft w:val="0"/>
      <w:marRight w:val="0"/>
      <w:marTop w:val="0"/>
      <w:marBottom w:val="0"/>
      <w:divBdr>
        <w:top w:val="none" w:sz="0" w:space="0" w:color="auto"/>
        <w:left w:val="none" w:sz="0" w:space="0" w:color="auto"/>
        <w:bottom w:val="none" w:sz="0" w:space="0" w:color="auto"/>
        <w:right w:val="none" w:sz="0" w:space="0" w:color="auto"/>
      </w:divBdr>
    </w:div>
    <w:div w:id="161823401">
      <w:bodyDiv w:val="1"/>
      <w:marLeft w:val="0"/>
      <w:marRight w:val="0"/>
      <w:marTop w:val="0"/>
      <w:marBottom w:val="0"/>
      <w:divBdr>
        <w:top w:val="none" w:sz="0" w:space="0" w:color="auto"/>
        <w:left w:val="none" w:sz="0" w:space="0" w:color="auto"/>
        <w:bottom w:val="none" w:sz="0" w:space="0" w:color="auto"/>
        <w:right w:val="none" w:sz="0" w:space="0" w:color="auto"/>
      </w:divBdr>
    </w:div>
    <w:div w:id="170419442">
      <w:bodyDiv w:val="1"/>
      <w:marLeft w:val="0"/>
      <w:marRight w:val="0"/>
      <w:marTop w:val="0"/>
      <w:marBottom w:val="0"/>
      <w:divBdr>
        <w:top w:val="none" w:sz="0" w:space="0" w:color="auto"/>
        <w:left w:val="none" w:sz="0" w:space="0" w:color="auto"/>
        <w:bottom w:val="none" w:sz="0" w:space="0" w:color="auto"/>
        <w:right w:val="none" w:sz="0" w:space="0" w:color="auto"/>
      </w:divBdr>
    </w:div>
    <w:div w:id="172570039">
      <w:bodyDiv w:val="1"/>
      <w:marLeft w:val="0"/>
      <w:marRight w:val="0"/>
      <w:marTop w:val="0"/>
      <w:marBottom w:val="0"/>
      <w:divBdr>
        <w:top w:val="none" w:sz="0" w:space="0" w:color="auto"/>
        <w:left w:val="none" w:sz="0" w:space="0" w:color="auto"/>
        <w:bottom w:val="none" w:sz="0" w:space="0" w:color="auto"/>
        <w:right w:val="none" w:sz="0" w:space="0" w:color="auto"/>
      </w:divBdr>
    </w:div>
    <w:div w:id="198906587">
      <w:bodyDiv w:val="1"/>
      <w:marLeft w:val="0"/>
      <w:marRight w:val="0"/>
      <w:marTop w:val="0"/>
      <w:marBottom w:val="0"/>
      <w:divBdr>
        <w:top w:val="none" w:sz="0" w:space="0" w:color="auto"/>
        <w:left w:val="none" w:sz="0" w:space="0" w:color="auto"/>
        <w:bottom w:val="none" w:sz="0" w:space="0" w:color="auto"/>
        <w:right w:val="none" w:sz="0" w:space="0" w:color="auto"/>
      </w:divBdr>
    </w:div>
    <w:div w:id="219633445">
      <w:bodyDiv w:val="1"/>
      <w:marLeft w:val="0"/>
      <w:marRight w:val="0"/>
      <w:marTop w:val="0"/>
      <w:marBottom w:val="0"/>
      <w:divBdr>
        <w:top w:val="none" w:sz="0" w:space="0" w:color="auto"/>
        <w:left w:val="none" w:sz="0" w:space="0" w:color="auto"/>
        <w:bottom w:val="none" w:sz="0" w:space="0" w:color="auto"/>
        <w:right w:val="none" w:sz="0" w:space="0" w:color="auto"/>
      </w:divBdr>
    </w:div>
    <w:div w:id="230769782">
      <w:bodyDiv w:val="1"/>
      <w:marLeft w:val="0"/>
      <w:marRight w:val="0"/>
      <w:marTop w:val="0"/>
      <w:marBottom w:val="0"/>
      <w:divBdr>
        <w:top w:val="none" w:sz="0" w:space="0" w:color="auto"/>
        <w:left w:val="none" w:sz="0" w:space="0" w:color="auto"/>
        <w:bottom w:val="none" w:sz="0" w:space="0" w:color="auto"/>
        <w:right w:val="none" w:sz="0" w:space="0" w:color="auto"/>
      </w:divBdr>
    </w:div>
    <w:div w:id="231743852">
      <w:bodyDiv w:val="1"/>
      <w:marLeft w:val="0"/>
      <w:marRight w:val="0"/>
      <w:marTop w:val="0"/>
      <w:marBottom w:val="0"/>
      <w:divBdr>
        <w:top w:val="none" w:sz="0" w:space="0" w:color="auto"/>
        <w:left w:val="none" w:sz="0" w:space="0" w:color="auto"/>
        <w:bottom w:val="none" w:sz="0" w:space="0" w:color="auto"/>
        <w:right w:val="none" w:sz="0" w:space="0" w:color="auto"/>
      </w:divBdr>
    </w:div>
    <w:div w:id="245501343">
      <w:bodyDiv w:val="1"/>
      <w:marLeft w:val="0"/>
      <w:marRight w:val="0"/>
      <w:marTop w:val="0"/>
      <w:marBottom w:val="0"/>
      <w:divBdr>
        <w:top w:val="none" w:sz="0" w:space="0" w:color="auto"/>
        <w:left w:val="none" w:sz="0" w:space="0" w:color="auto"/>
        <w:bottom w:val="none" w:sz="0" w:space="0" w:color="auto"/>
        <w:right w:val="none" w:sz="0" w:space="0" w:color="auto"/>
      </w:divBdr>
    </w:div>
    <w:div w:id="248538674">
      <w:bodyDiv w:val="1"/>
      <w:marLeft w:val="0"/>
      <w:marRight w:val="0"/>
      <w:marTop w:val="0"/>
      <w:marBottom w:val="0"/>
      <w:divBdr>
        <w:top w:val="none" w:sz="0" w:space="0" w:color="auto"/>
        <w:left w:val="none" w:sz="0" w:space="0" w:color="auto"/>
        <w:bottom w:val="none" w:sz="0" w:space="0" w:color="auto"/>
        <w:right w:val="none" w:sz="0" w:space="0" w:color="auto"/>
      </w:divBdr>
    </w:div>
    <w:div w:id="251937083">
      <w:bodyDiv w:val="1"/>
      <w:marLeft w:val="0"/>
      <w:marRight w:val="0"/>
      <w:marTop w:val="0"/>
      <w:marBottom w:val="0"/>
      <w:divBdr>
        <w:top w:val="none" w:sz="0" w:space="0" w:color="auto"/>
        <w:left w:val="none" w:sz="0" w:space="0" w:color="auto"/>
        <w:bottom w:val="none" w:sz="0" w:space="0" w:color="auto"/>
        <w:right w:val="none" w:sz="0" w:space="0" w:color="auto"/>
      </w:divBdr>
    </w:div>
    <w:div w:id="258220463">
      <w:bodyDiv w:val="1"/>
      <w:marLeft w:val="0"/>
      <w:marRight w:val="0"/>
      <w:marTop w:val="0"/>
      <w:marBottom w:val="0"/>
      <w:divBdr>
        <w:top w:val="none" w:sz="0" w:space="0" w:color="auto"/>
        <w:left w:val="none" w:sz="0" w:space="0" w:color="auto"/>
        <w:bottom w:val="none" w:sz="0" w:space="0" w:color="auto"/>
        <w:right w:val="none" w:sz="0" w:space="0" w:color="auto"/>
      </w:divBdr>
    </w:div>
    <w:div w:id="263734906">
      <w:bodyDiv w:val="1"/>
      <w:marLeft w:val="0"/>
      <w:marRight w:val="0"/>
      <w:marTop w:val="0"/>
      <w:marBottom w:val="0"/>
      <w:divBdr>
        <w:top w:val="none" w:sz="0" w:space="0" w:color="auto"/>
        <w:left w:val="none" w:sz="0" w:space="0" w:color="auto"/>
        <w:bottom w:val="none" w:sz="0" w:space="0" w:color="auto"/>
        <w:right w:val="none" w:sz="0" w:space="0" w:color="auto"/>
      </w:divBdr>
    </w:div>
    <w:div w:id="300575776">
      <w:bodyDiv w:val="1"/>
      <w:marLeft w:val="0"/>
      <w:marRight w:val="0"/>
      <w:marTop w:val="0"/>
      <w:marBottom w:val="0"/>
      <w:divBdr>
        <w:top w:val="none" w:sz="0" w:space="0" w:color="auto"/>
        <w:left w:val="none" w:sz="0" w:space="0" w:color="auto"/>
        <w:bottom w:val="none" w:sz="0" w:space="0" w:color="auto"/>
        <w:right w:val="none" w:sz="0" w:space="0" w:color="auto"/>
      </w:divBdr>
    </w:div>
    <w:div w:id="302198510">
      <w:bodyDiv w:val="1"/>
      <w:marLeft w:val="0"/>
      <w:marRight w:val="0"/>
      <w:marTop w:val="0"/>
      <w:marBottom w:val="0"/>
      <w:divBdr>
        <w:top w:val="none" w:sz="0" w:space="0" w:color="auto"/>
        <w:left w:val="none" w:sz="0" w:space="0" w:color="auto"/>
        <w:bottom w:val="none" w:sz="0" w:space="0" w:color="auto"/>
        <w:right w:val="none" w:sz="0" w:space="0" w:color="auto"/>
      </w:divBdr>
    </w:div>
    <w:div w:id="333267779">
      <w:bodyDiv w:val="1"/>
      <w:marLeft w:val="0"/>
      <w:marRight w:val="0"/>
      <w:marTop w:val="0"/>
      <w:marBottom w:val="0"/>
      <w:divBdr>
        <w:top w:val="none" w:sz="0" w:space="0" w:color="auto"/>
        <w:left w:val="none" w:sz="0" w:space="0" w:color="auto"/>
        <w:bottom w:val="none" w:sz="0" w:space="0" w:color="auto"/>
        <w:right w:val="none" w:sz="0" w:space="0" w:color="auto"/>
      </w:divBdr>
    </w:div>
    <w:div w:id="338000063">
      <w:bodyDiv w:val="1"/>
      <w:marLeft w:val="0"/>
      <w:marRight w:val="0"/>
      <w:marTop w:val="0"/>
      <w:marBottom w:val="0"/>
      <w:divBdr>
        <w:top w:val="none" w:sz="0" w:space="0" w:color="auto"/>
        <w:left w:val="none" w:sz="0" w:space="0" w:color="auto"/>
        <w:bottom w:val="none" w:sz="0" w:space="0" w:color="auto"/>
        <w:right w:val="none" w:sz="0" w:space="0" w:color="auto"/>
      </w:divBdr>
    </w:div>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352000930">
      <w:bodyDiv w:val="1"/>
      <w:marLeft w:val="0"/>
      <w:marRight w:val="0"/>
      <w:marTop w:val="0"/>
      <w:marBottom w:val="0"/>
      <w:divBdr>
        <w:top w:val="none" w:sz="0" w:space="0" w:color="auto"/>
        <w:left w:val="none" w:sz="0" w:space="0" w:color="auto"/>
        <w:bottom w:val="none" w:sz="0" w:space="0" w:color="auto"/>
        <w:right w:val="none" w:sz="0" w:space="0" w:color="auto"/>
      </w:divBdr>
    </w:div>
    <w:div w:id="354353186">
      <w:bodyDiv w:val="1"/>
      <w:marLeft w:val="0"/>
      <w:marRight w:val="0"/>
      <w:marTop w:val="0"/>
      <w:marBottom w:val="0"/>
      <w:divBdr>
        <w:top w:val="none" w:sz="0" w:space="0" w:color="auto"/>
        <w:left w:val="none" w:sz="0" w:space="0" w:color="auto"/>
        <w:bottom w:val="none" w:sz="0" w:space="0" w:color="auto"/>
        <w:right w:val="none" w:sz="0" w:space="0" w:color="auto"/>
      </w:divBdr>
    </w:div>
    <w:div w:id="357051268">
      <w:bodyDiv w:val="1"/>
      <w:marLeft w:val="0"/>
      <w:marRight w:val="0"/>
      <w:marTop w:val="0"/>
      <w:marBottom w:val="0"/>
      <w:divBdr>
        <w:top w:val="none" w:sz="0" w:space="0" w:color="auto"/>
        <w:left w:val="none" w:sz="0" w:space="0" w:color="auto"/>
        <w:bottom w:val="none" w:sz="0" w:space="0" w:color="auto"/>
        <w:right w:val="none" w:sz="0" w:space="0" w:color="auto"/>
      </w:divBdr>
    </w:div>
    <w:div w:id="361790386">
      <w:bodyDiv w:val="1"/>
      <w:marLeft w:val="0"/>
      <w:marRight w:val="0"/>
      <w:marTop w:val="0"/>
      <w:marBottom w:val="0"/>
      <w:divBdr>
        <w:top w:val="none" w:sz="0" w:space="0" w:color="auto"/>
        <w:left w:val="none" w:sz="0" w:space="0" w:color="auto"/>
        <w:bottom w:val="none" w:sz="0" w:space="0" w:color="auto"/>
        <w:right w:val="none" w:sz="0" w:space="0" w:color="auto"/>
      </w:divBdr>
    </w:div>
    <w:div w:id="367877917">
      <w:bodyDiv w:val="1"/>
      <w:marLeft w:val="0"/>
      <w:marRight w:val="0"/>
      <w:marTop w:val="0"/>
      <w:marBottom w:val="0"/>
      <w:divBdr>
        <w:top w:val="none" w:sz="0" w:space="0" w:color="auto"/>
        <w:left w:val="none" w:sz="0" w:space="0" w:color="auto"/>
        <w:bottom w:val="none" w:sz="0" w:space="0" w:color="auto"/>
        <w:right w:val="none" w:sz="0" w:space="0" w:color="auto"/>
      </w:divBdr>
    </w:div>
    <w:div w:id="380905164">
      <w:bodyDiv w:val="1"/>
      <w:marLeft w:val="0"/>
      <w:marRight w:val="0"/>
      <w:marTop w:val="0"/>
      <w:marBottom w:val="0"/>
      <w:divBdr>
        <w:top w:val="none" w:sz="0" w:space="0" w:color="auto"/>
        <w:left w:val="none" w:sz="0" w:space="0" w:color="auto"/>
        <w:bottom w:val="none" w:sz="0" w:space="0" w:color="auto"/>
        <w:right w:val="none" w:sz="0" w:space="0" w:color="auto"/>
      </w:divBdr>
    </w:div>
    <w:div w:id="381052452">
      <w:bodyDiv w:val="1"/>
      <w:marLeft w:val="0"/>
      <w:marRight w:val="0"/>
      <w:marTop w:val="0"/>
      <w:marBottom w:val="0"/>
      <w:divBdr>
        <w:top w:val="none" w:sz="0" w:space="0" w:color="auto"/>
        <w:left w:val="none" w:sz="0" w:space="0" w:color="auto"/>
        <w:bottom w:val="none" w:sz="0" w:space="0" w:color="auto"/>
        <w:right w:val="none" w:sz="0" w:space="0" w:color="auto"/>
      </w:divBdr>
    </w:div>
    <w:div w:id="427698571">
      <w:bodyDiv w:val="1"/>
      <w:marLeft w:val="0"/>
      <w:marRight w:val="0"/>
      <w:marTop w:val="0"/>
      <w:marBottom w:val="0"/>
      <w:divBdr>
        <w:top w:val="none" w:sz="0" w:space="0" w:color="auto"/>
        <w:left w:val="none" w:sz="0" w:space="0" w:color="auto"/>
        <w:bottom w:val="none" w:sz="0" w:space="0" w:color="auto"/>
        <w:right w:val="none" w:sz="0" w:space="0" w:color="auto"/>
      </w:divBdr>
    </w:div>
    <w:div w:id="449472512">
      <w:bodyDiv w:val="1"/>
      <w:marLeft w:val="0"/>
      <w:marRight w:val="0"/>
      <w:marTop w:val="0"/>
      <w:marBottom w:val="0"/>
      <w:divBdr>
        <w:top w:val="none" w:sz="0" w:space="0" w:color="auto"/>
        <w:left w:val="none" w:sz="0" w:space="0" w:color="auto"/>
        <w:bottom w:val="none" w:sz="0" w:space="0" w:color="auto"/>
        <w:right w:val="none" w:sz="0" w:space="0" w:color="auto"/>
      </w:divBdr>
    </w:div>
    <w:div w:id="459958746">
      <w:bodyDiv w:val="1"/>
      <w:marLeft w:val="0"/>
      <w:marRight w:val="0"/>
      <w:marTop w:val="0"/>
      <w:marBottom w:val="0"/>
      <w:divBdr>
        <w:top w:val="none" w:sz="0" w:space="0" w:color="auto"/>
        <w:left w:val="none" w:sz="0" w:space="0" w:color="auto"/>
        <w:bottom w:val="none" w:sz="0" w:space="0" w:color="auto"/>
        <w:right w:val="none" w:sz="0" w:space="0" w:color="auto"/>
      </w:divBdr>
    </w:div>
    <w:div w:id="460655703">
      <w:bodyDiv w:val="1"/>
      <w:marLeft w:val="0"/>
      <w:marRight w:val="0"/>
      <w:marTop w:val="0"/>
      <w:marBottom w:val="0"/>
      <w:divBdr>
        <w:top w:val="none" w:sz="0" w:space="0" w:color="auto"/>
        <w:left w:val="none" w:sz="0" w:space="0" w:color="auto"/>
        <w:bottom w:val="none" w:sz="0" w:space="0" w:color="auto"/>
        <w:right w:val="none" w:sz="0" w:space="0" w:color="auto"/>
      </w:divBdr>
    </w:div>
    <w:div w:id="469246112">
      <w:bodyDiv w:val="1"/>
      <w:marLeft w:val="0"/>
      <w:marRight w:val="0"/>
      <w:marTop w:val="0"/>
      <w:marBottom w:val="0"/>
      <w:divBdr>
        <w:top w:val="none" w:sz="0" w:space="0" w:color="auto"/>
        <w:left w:val="none" w:sz="0" w:space="0" w:color="auto"/>
        <w:bottom w:val="none" w:sz="0" w:space="0" w:color="auto"/>
        <w:right w:val="none" w:sz="0" w:space="0" w:color="auto"/>
      </w:divBdr>
    </w:div>
    <w:div w:id="477767030">
      <w:bodyDiv w:val="1"/>
      <w:marLeft w:val="0"/>
      <w:marRight w:val="0"/>
      <w:marTop w:val="0"/>
      <w:marBottom w:val="0"/>
      <w:divBdr>
        <w:top w:val="none" w:sz="0" w:space="0" w:color="auto"/>
        <w:left w:val="none" w:sz="0" w:space="0" w:color="auto"/>
        <w:bottom w:val="none" w:sz="0" w:space="0" w:color="auto"/>
        <w:right w:val="none" w:sz="0" w:space="0" w:color="auto"/>
      </w:divBdr>
    </w:div>
    <w:div w:id="513302500">
      <w:bodyDiv w:val="1"/>
      <w:marLeft w:val="0"/>
      <w:marRight w:val="0"/>
      <w:marTop w:val="0"/>
      <w:marBottom w:val="0"/>
      <w:divBdr>
        <w:top w:val="none" w:sz="0" w:space="0" w:color="auto"/>
        <w:left w:val="none" w:sz="0" w:space="0" w:color="auto"/>
        <w:bottom w:val="none" w:sz="0" w:space="0" w:color="auto"/>
        <w:right w:val="none" w:sz="0" w:space="0" w:color="auto"/>
      </w:divBdr>
    </w:div>
    <w:div w:id="560868135">
      <w:bodyDiv w:val="1"/>
      <w:marLeft w:val="0"/>
      <w:marRight w:val="0"/>
      <w:marTop w:val="0"/>
      <w:marBottom w:val="0"/>
      <w:divBdr>
        <w:top w:val="none" w:sz="0" w:space="0" w:color="auto"/>
        <w:left w:val="none" w:sz="0" w:space="0" w:color="auto"/>
        <w:bottom w:val="none" w:sz="0" w:space="0" w:color="auto"/>
        <w:right w:val="none" w:sz="0" w:space="0" w:color="auto"/>
      </w:divBdr>
    </w:div>
    <w:div w:id="622808896">
      <w:bodyDiv w:val="1"/>
      <w:marLeft w:val="0"/>
      <w:marRight w:val="0"/>
      <w:marTop w:val="0"/>
      <w:marBottom w:val="0"/>
      <w:divBdr>
        <w:top w:val="none" w:sz="0" w:space="0" w:color="auto"/>
        <w:left w:val="none" w:sz="0" w:space="0" w:color="auto"/>
        <w:bottom w:val="none" w:sz="0" w:space="0" w:color="auto"/>
        <w:right w:val="none" w:sz="0" w:space="0" w:color="auto"/>
      </w:divBdr>
    </w:div>
    <w:div w:id="623778943">
      <w:bodyDiv w:val="1"/>
      <w:marLeft w:val="0"/>
      <w:marRight w:val="0"/>
      <w:marTop w:val="0"/>
      <w:marBottom w:val="0"/>
      <w:divBdr>
        <w:top w:val="none" w:sz="0" w:space="0" w:color="auto"/>
        <w:left w:val="none" w:sz="0" w:space="0" w:color="auto"/>
        <w:bottom w:val="none" w:sz="0" w:space="0" w:color="auto"/>
        <w:right w:val="none" w:sz="0" w:space="0" w:color="auto"/>
      </w:divBdr>
    </w:div>
    <w:div w:id="637994132">
      <w:bodyDiv w:val="1"/>
      <w:marLeft w:val="0"/>
      <w:marRight w:val="0"/>
      <w:marTop w:val="0"/>
      <w:marBottom w:val="0"/>
      <w:divBdr>
        <w:top w:val="none" w:sz="0" w:space="0" w:color="auto"/>
        <w:left w:val="none" w:sz="0" w:space="0" w:color="auto"/>
        <w:bottom w:val="none" w:sz="0" w:space="0" w:color="auto"/>
        <w:right w:val="none" w:sz="0" w:space="0" w:color="auto"/>
      </w:divBdr>
    </w:div>
    <w:div w:id="642539164">
      <w:bodyDiv w:val="1"/>
      <w:marLeft w:val="0"/>
      <w:marRight w:val="0"/>
      <w:marTop w:val="0"/>
      <w:marBottom w:val="0"/>
      <w:divBdr>
        <w:top w:val="none" w:sz="0" w:space="0" w:color="auto"/>
        <w:left w:val="none" w:sz="0" w:space="0" w:color="auto"/>
        <w:bottom w:val="none" w:sz="0" w:space="0" w:color="auto"/>
        <w:right w:val="none" w:sz="0" w:space="0" w:color="auto"/>
      </w:divBdr>
    </w:div>
    <w:div w:id="657423653">
      <w:bodyDiv w:val="1"/>
      <w:marLeft w:val="0"/>
      <w:marRight w:val="0"/>
      <w:marTop w:val="0"/>
      <w:marBottom w:val="0"/>
      <w:divBdr>
        <w:top w:val="none" w:sz="0" w:space="0" w:color="auto"/>
        <w:left w:val="none" w:sz="0" w:space="0" w:color="auto"/>
        <w:bottom w:val="none" w:sz="0" w:space="0" w:color="auto"/>
        <w:right w:val="none" w:sz="0" w:space="0" w:color="auto"/>
      </w:divBdr>
    </w:div>
    <w:div w:id="672298684">
      <w:bodyDiv w:val="1"/>
      <w:marLeft w:val="0"/>
      <w:marRight w:val="0"/>
      <w:marTop w:val="0"/>
      <w:marBottom w:val="0"/>
      <w:divBdr>
        <w:top w:val="none" w:sz="0" w:space="0" w:color="auto"/>
        <w:left w:val="none" w:sz="0" w:space="0" w:color="auto"/>
        <w:bottom w:val="none" w:sz="0" w:space="0" w:color="auto"/>
        <w:right w:val="none" w:sz="0" w:space="0" w:color="auto"/>
      </w:divBdr>
    </w:div>
    <w:div w:id="697702338">
      <w:bodyDiv w:val="1"/>
      <w:marLeft w:val="0"/>
      <w:marRight w:val="0"/>
      <w:marTop w:val="0"/>
      <w:marBottom w:val="0"/>
      <w:divBdr>
        <w:top w:val="none" w:sz="0" w:space="0" w:color="auto"/>
        <w:left w:val="none" w:sz="0" w:space="0" w:color="auto"/>
        <w:bottom w:val="none" w:sz="0" w:space="0" w:color="auto"/>
        <w:right w:val="none" w:sz="0" w:space="0" w:color="auto"/>
      </w:divBdr>
    </w:div>
    <w:div w:id="700017239">
      <w:bodyDiv w:val="1"/>
      <w:marLeft w:val="0"/>
      <w:marRight w:val="0"/>
      <w:marTop w:val="0"/>
      <w:marBottom w:val="0"/>
      <w:divBdr>
        <w:top w:val="none" w:sz="0" w:space="0" w:color="auto"/>
        <w:left w:val="none" w:sz="0" w:space="0" w:color="auto"/>
        <w:bottom w:val="none" w:sz="0" w:space="0" w:color="auto"/>
        <w:right w:val="none" w:sz="0" w:space="0" w:color="auto"/>
      </w:divBdr>
    </w:div>
    <w:div w:id="705300457">
      <w:bodyDiv w:val="1"/>
      <w:marLeft w:val="0"/>
      <w:marRight w:val="0"/>
      <w:marTop w:val="0"/>
      <w:marBottom w:val="0"/>
      <w:divBdr>
        <w:top w:val="none" w:sz="0" w:space="0" w:color="auto"/>
        <w:left w:val="none" w:sz="0" w:space="0" w:color="auto"/>
        <w:bottom w:val="none" w:sz="0" w:space="0" w:color="auto"/>
        <w:right w:val="none" w:sz="0" w:space="0" w:color="auto"/>
      </w:divBdr>
    </w:div>
    <w:div w:id="707684414">
      <w:bodyDiv w:val="1"/>
      <w:marLeft w:val="0"/>
      <w:marRight w:val="0"/>
      <w:marTop w:val="0"/>
      <w:marBottom w:val="0"/>
      <w:divBdr>
        <w:top w:val="none" w:sz="0" w:space="0" w:color="auto"/>
        <w:left w:val="none" w:sz="0" w:space="0" w:color="auto"/>
        <w:bottom w:val="none" w:sz="0" w:space="0" w:color="auto"/>
        <w:right w:val="none" w:sz="0" w:space="0" w:color="auto"/>
      </w:divBdr>
    </w:div>
    <w:div w:id="709764095">
      <w:bodyDiv w:val="1"/>
      <w:marLeft w:val="0"/>
      <w:marRight w:val="0"/>
      <w:marTop w:val="0"/>
      <w:marBottom w:val="0"/>
      <w:divBdr>
        <w:top w:val="none" w:sz="0" w:space="0" w:color="auto"/>
        <w:left w:val="none" w:sz="0" w:space="0" w:color="auto"/>
        <w:bottom w:val="none" w:sz="0" w:space="0" w:color="auto"/>
        <w:right w:val="none" w:sz="0" w:space="0" w:color="auto"/>
      </w:divBdr>
    </w:div>
    <w:div w:id="722605391">
      <w:bodyDiv w:val="1"/>
      <w:marLeft w:val="0"/>
      <w:marRight w:val="0"/>
      <w:marTop w:val="0"/>
      <w:marBottom w:val="0"/>
      <w:divBdr>
        <w:top w:val="none" w:sz="0" w:space="0" w:color="auto"/>
        <w:left w:val="none" w:sz="0" w:space="0" w:color="auto"/>
        <w:bottom w:val="none" w:sz="0" w:space="0" w:color="auto"/>
        <w:right w:val="none" w:sz="0" w:space="0" w:color="auto"/>
      </w:divBdr>
    </w:div>
    <w:div w:id="730542169">
      <w:bodyDiv w:val="1"/>
      <w:marLeft w:val="0"/>
      <w:marRight w:val="0"/>
      <w:marTop w:val="0"/>
      <w:marBottom w:val="0"/>
      <w:divBdr>
        <w:top w:val="none" w:sz="0" w:space="0" w:color="auto"/>
        <w:left w:val="none" w:sz="0" w:space="0" w:color="auto"/>
        <w:bottom w:val="none" w:sz="0" w:space="0" w:color="auto"/>
        <w:right w:val="none" w:sz="0" w:space="0" w:color="auto"/>
      </w:divBdr>
    </w:div>
    <w:div w:id="746926844">
      <w:bodyDiv w:val="1"/>
      <w:marLeft w:val="0"/>
      <w:marRight w:val="0"/>
      <w:marTop w:val="0"/>
      <w:marBottom w:val="0"/>
      <w:divBdr>
        <w:top w:val="none" w:sz="0" w:space="0" w:color="auto"/>
        <w:left w:val="none" w:sz="0" w:space="0" w:color="auto"/>
        <w:bottom w:val="none" w:sz="0" w:space="0" w:color="auto"/>
        <w:right w:val="none" w:sz="0" w:space="0" w:color="auto"/>
      </w:divBdr>
    </w:div>
    <w:div w:id="749043347">
      <w:bodyDiv w:val="1"/>
      <w:marLeft w:val="0"/>
      <w:marRight w:val="0"/>
      <w:marTop w:val="0"/>
      <w:marBottom w:val="0"/>
      <w:divBdr>
        <w:top w:val="none" w:sz="0" w:space="0" w:color="auto"/>
        <w:left w:val="none" w:sz="0" w:space="0" w:color="auto"/>
        <w:bottom w:val="none" w:sz="0" w:space="0" w:color="auto"/>
        <w:right w:val="none" w:sz="0" w:space="0" w:color="auto"/>
      </w:divBdr>
    </w:div>
    <w:div w:id="779687320">
      <w:bodyDiv w:val="1"/>
      <w:marLeft w:val="0"/>
      <w:marRight w:val="0"/>
      <w:marTop w:val="0"/>
      <w:marBottom w:val="0"/>
      <w:divBdr>
        <w:top w:val="none" w:sz="0" w:space="0" w:color="auto"/>
        <w:left w:val="none" w:sz="0" w:space="0" w:color="auto"/>
        <w:bottom w:val="none" w:sz="0" w:space="0" w:color="auto"/>
        <w:right w:val="none" w:sz="0" w:space="0" w:color="auto"/>
      </w:divBdr>
    </w:div>
    <w:div w:id="781613614">
      <w:bodyDiv w:val="1"/>
      <w:marLeft w:val="0"/>
      <w:marRight w:val="0"/>
      <w:marTop w:val="0"/>
      <w:marBottom w:val="0"/>
      <w:divBdr>
        <w:top w:val="none" w:sz="0" w:space="0" w:color="auto"/>
        <w:left w:val="none" w:sz="0" w:space="0" w:color="auto"/>
        <w:bottom w:val="none" w:sz="0" w:space="0" w:color="auto"/>
        <w:right w:val="none" w:sz="0" w:space="0" w:color="auto"/>
      </w:divBdr>
    </w:div>
    <w:div w:id="783036941">
      <w:bodyDiv w:val="1"/>
      <w:marLeft w:val="0"/>
      <w:marRight w:val="0"/>
      <w:marTop w:val="0"/>
      <w:marBottom w:val="0"/>
      <w:divBdr>
        <w:top w:val="none" w:sz="0" w:space="0" w:color="auto"/>
        <w:left w:val="none" w:sz="0" w:space="0" w:color="auto"/>
        <w:bottom w:val="none" w:sz="0" w:space="0" w:color="auto"/>
        <w:right w:val="none" w:sz="0" w:space="0" w:color="auto"/>
      </w:divBdr>
    </w:div>
    <w:div w:id="797182144">
      <w:bodyDiv w:val="1"/>
      <w:marLeft w:val="0"/>
      <w:marRight w:val="0"/>
      <w:marTop w:val="0"/>
      <w:marBottom w:val="0"/>
      <w:divBdr>
        <w:top w:val="none" w:sz="0" w:space="0" w:color="auto"/>
        <w:left w:val="none" w:sz="0" w:space="0" w:color="auto"/>
        <w:bottom w:val="none" w:sz="0" w:space="0" w:color="auto"/>
        <w:right w:val="none" w:sz="0" w:space="0" w:color="auto"/>
      </w:divBdr>
    </w:div>
    <w:div w:id="803549771">
      <w:bodyDiv w:val="1"/>
      <w:marLeft w:val="0"/>
      <w:marRight w:val="0"/>
      <w:marTop w:val="0"/>
      <w:marBottom w:val="0"/>
      <w:divBdr>
        <w:top w:val="none" w:sz="0" w:space="0" w:color="auto"/>
        <w:left w:val="none" w:sz="0" w:space="0" w:color="auto"/>
        <w:bottom w:val="none" w:sz="0" w:space="0" w:color="auto"/>
        <w:right w:val="none" w:sz="0" w:space="0" w:color="auto"/>
      </w:divBdr>
    </w:div>
    <w:div w:id="815728302">
      <w:bodyDiv w:val="1"/>
      <w:marLeft w:val="0"/>
      <w:marRight w:val="0"/>
      <w:marTop w:val="0"/>
      <w:marBottom w:val="0"/>
      <w:divBdr>
        <w:top w:val="none" w:sz="0" w:space="0" w:color="auto"/>
        <w:left w:val="none" w:sz="0" w:space="0" w:color="auto"/>
        <w:bottom w:val="none" w:sz="0" w:space="0" w:color="auto"/>
        <w:right w:val="none" w:sz="0" w:space="0" w:color="auto"/>
      </w:divBdr>
    </w:div>
    <w:div w:id="883835045">
      <w:bodyDiv w:val="1"/>
      <w:marLeft w:val="0"/>
      <w:marRight w:val="0"/>
      <w:marTop w:val="0"/>
      <w:marBottom w:val="0"/>
      <w:divBdr>
        <w:top w:val="none" w:sz="0" w:space="0" w:color="auto"/>
        <w:left w:val="none" w:sz="0" w:space="0" w:color="auto"/>
        <w:bottom w:val="none" w:sz="0" w:space="0" w:color="auto"/>
        <w:right w:val="none" w:sz="0" w:space="0" w:color="auto"/>
      </w:divBdr>
    </w:div>
    <w:div w:id="895968351">
      <w:bodyDiv w:val="1"/>
      <w:marLeft w:val="0"/>
      <w:marRight w:val="0"/>
      <w:marTop w:val="0"/>
      <w:marBottom w:val="0"/>
      <w:divBdr>
        <w:top w:val="none" w:sz="0" w:space="0" w:color="auto"/>
        <w:left w:val="none" w:sz="0" w:space="0" w:color="auto"/>
        <w:bottom w:val="none" w:sz="0" w:space="0" w:color="auto"/>
        <w:right w:val="none" w:sz="0" w:space="0" w:color="auto"/>
      </w:divBdr>
    </w:div>
    <w:div w:id="927928244">
      <w:bodyDiv w:val="1"/>
      <w:marLeft w:val="0"/>
      <w:marRight w:val="0"/>
      <w:marTop w:val="0"/>
      <w:marBottom w:val="0"/>
      <w:divBdr>
        <w:top w:val="none" w:sz="0" w:space="0" w:color="auto"/>
        <w:left w:val="none" w:sz="0" w:space="0" w:color="auto"/>
        <w:bottom w:val="none" w:sz="0" w:space="0" w:color="auto"/>
        <w:right w:val="none" w:sz="0" w:space="0" w:color="auto"/>
      </w:divBdr>
    </w:div>
    <w:div w:id="944733297">
      <w:bodyDiv w:val="1"/>
      <w:marLeft w:val="0"/>
      <w:marRight w:val="0"/>
      <w:marTop w:val="0"/>
      <w:marBottom w:val="0"/>
      <w:divBdr>
        <w:top w:val="none" w:sz="0" w:space="0" w:color="auto"/>
        <w:left w:val="none" w:sz="0" w:space="0" w:color="auto"/>
        <w:bottom w:val="none" w:sz="0" w:space="0" w:color="auto"/>
        <w:right w:val="none" w:sz="0" w:space="0" w:color="auto"/>
      </w:divBdr>
    </w:div>
    <w:div w:id="950741565">
      <w:bodyDiv w:val="1"/>
      <w:marLeft w:val="0"/>
      <w:marRight w:val="0"/>
      <w:marTop w:val="0"/>
      <w:marBottom w:val="0"/>
      <w:divBdr>
        <w:top w:val="none" w:sz="0" w:space="0" w:color="auto"/>
        <w:left w:val="none" w:sz="0" w:space="0" w:color="auto"/>
        <w:bottom w:val="none" w:sz="0" w:space="0" w:color="auto"/>
        <w:right w:val="none" w:sz="0" w:space="0" w:color="auto"/>
      </w:divBdr>
    </w:div>
    <w:div w:id="962880849">
      <w:bodyDiv w:val="1"/>
      <w:marLeft w:val="0"/>
      <w:marRight w:val="0"/>
      <w:marTop w:val="0"/>
      <w:marBottom w:val="0"/>
      <w:divBdr>
        <w:top w:val="none" w:sz="0" w:space="0" w:color="auto"/>
        <w:left w:val="none" w:sz="0" w:space="0" w:color="auto"/>
        <w:bottom w:val="none" w:sz="0" w:space="0" w:color="auto"/>
        <w:right w:val="none" w:sz="0" w:space="0" w:color="auto"/>
      </w:divBdr>
    </w:div>
    <w:div w:id="972829013">
      <w:bodyDiv w:val="1"/>
      <w:marLeft w:val="0"/>
      <w:marRight w:val="0"/>
      <w:marTop w:val="0"/>
      <w:marBottom w:val="0"/>
      <w:divBdr>
        <w:top w:val="none" w:sz="0" w:space="0" w:color="auto"/>
        <w:left w:val="none" w:sz="0" w:space="0" w:color="auto"/>
        <w:bottom w:val="none" w:sz="0" w:space="0" w:color="auto"/>
        <w:right w:val="none" w:sz="0" w:space="0" w:color="auto"/>
      </w:divBdr>
    </w:div>
    <w:div w:id="988560726">
      <w:bodyDiv w:val="1"/>
      <w:marLeft w:val="0"/>
      <w:marRight w:val="0"/>
      <w:marTop w:val="0"/>
      <w:marBottom w:val="0"/>
      <w:divBdr>
        <w:top w:val="none" w:sz="0" w:space="0" w:color="auto"/>
        <w:left w:val="none" w:sz="0" w:space="0" w:color="auto"/>
        <w:bottom w:val="none" w:sz="0" w:space="0" w:color="auto"/>
        <w:right w:val="none" w:sz="0" w:space="0" w:color="auto"/>
      </w:divBdr>
    </w:div>
    <w:div w:id="997461037">
      <w:bodyDiv w:val="1"/>
      <w:marLeft w:val="0"/>
      <w:marRight w:val="0"/>
      <w:marTop w:val="0"/>
      <w:marBottom w:val="0"/>
      <w:divBdr>
        <w:top w:val="none" w:sz="0" w:space="0" w:color="auto"/>
        <w:left w:val="none" w:sz="0" w:space="0" w:color="auto"/>
        <w:bottom w:val="none" w:sz="0" w:space="0" w:color="auto"/>
        <w:right w:val="none" w:sz="0" w:space="0" w:color="auto"/>
      </w:divBdr>
    </w:div>
    <w:div w:id="1024482620">
      <w:bodyDiv w:val="1"/>
      <w:marLeft w:val="0"/>
      <w:marRight w:val="0"/>
      <w:marTop w:val="0"/>
      <w:marBottom w:val="0"/>
      <w:divBdr>
        <w:top w:val="none" w:sz="0" w:space="0" w:color="auto"/>
        <w:left w:val="none" w:sz="0" w:space="0" w:color="auto"/>
        <w:bottom w:val="none" w:sz="0" w:space="0" w:color="auto"/>
        <w:right w:val="none" w:sz="0" w:space="0" w:color="auto"/>
      </w:divBdr>
    </w:div>
    <w:div w:id="1047218506">
      <w:bodyDiv w:val="1"/>
      <w:marLeft w:val="0"/>
      <w:marRight w:val="0"/>
      <w:marTop w:val="0"/>
      <w:marBottom w:val="0"/>
      <w:divBdr>
        <w:top w:val="none" w:sz="0" w:space="0" w:color="auto"/>
        <w:left w:val="none" w:sz="0" w:space="0" w:color="auto"/>
        <w:bottom w:val="none" w:sz="0" w:space="0" w:color="auto"/>
        <w:right w:val="none" w:sz="0" w:space="0" w:color="auto"/>
      </w:divBdr>
    </w:div>
    <w:div w:id="1063262624">
      <w:bodyDiv w:val="1"/>
      <w:marLeft w:val="0"/>
      <w:marRight w:val="0"/>
      <w:marTop w:val="0"/>
      <w:marBottom w:val="0"/>
      <w:divBdr>
        <w:top w:val="none" w:sz="0" w:space="0" w:color="auto"/>
        <w:left w:val="none" w:sz="0" w:space="0" w:color="auto"/>
        <w:bottom w:val="none" w:sz="0" w:space="0" w:color="auto"/>
        <w:right w:val="none" w:sz="0" w:space="0" w:color="auto"/>
      </w:divBdr>
    </w:div>
    <w:div w:id="1092118226">
      <w:bodyDiv w:val="1"/>
      <w:marLeft w:val="0"/>
      <w:marRight w:val="0"/>
      <w:marTop w:val="0"/>
      <w:marBottom w:val="0"/>
      <w:divBdr>
        <w:top w:val="none" w:sz="0" w:space="0" w:color="auto"/>
        <w:left w:val="none" w:sz="0" w:space="0" w:color="auto"/>
        <w:bottom w:val="none" w:sz="0" w:space="0" w:color="auto"/>
        <w:right w:val="none" w:sz="0" w:space="0" w:color="auto"/>
      </w:divBdr>
    </w:div>
    <w:div w:id="1137458779">
      <w:bodyDiv w:val="1"/>
      <w:marLeft w:val="0"/>
      <w:marRight w:val="0"/>
      <w:marTop w:val="0"/>
      <w:marBottom w:val="0"/>
      <w:divBdr>
        <w:top w:val="none" w:sz="0" w:space="0" w:color="auto"/>
        <w:left w:val="none" w:sz="0" w:space="0" w:color="auto"/>
        <w:bottom w:val="none" w:sz="0" w:space="0" w:color="auto"/>
        <w:right w:val="none" w:sz="0" w:space="0" w:color="auto"/>
      </w:divBdr>
    </w:div>
    <w:div w:id="1166870647">
      <w:bodyDiv w:val="1"/>
      <w:marLeft w:val="0"/>
      <w:marRight w:val="0"/>
      <w:marTop w:val="0"/>
      <w:marBottom w:val="0"/>
      <w:divBdr>
        <w:top w:val="none" w:sz="0" w:space="0" w:color="auto"/>
        <w:left w:val="none" w:sz="0" w:space="0" w:color="auto"/>
        <w:bottom w:val="none" w:sz="0" w:space="0" w:color="auto"/>
        <w:right w:val="none" w:sz="0" w:space="0" w:color="auto"/>
      </w:divBdr>
      <w:divsChild>
        <w:div w:id="1197425566">
          <w:marLeft w:val="0"/>
          <w:marRight w:val="0"/>
          <w:marTop w:val="0"/>
          <w:marBottom w:val="0"/>
          <w:divBdr>
            <w:top w:val="none" w:sz="0" w:space="0" w:color="auto"/>
            <w:left w:val="none" w:sz="0" w:space="0" w:color="auto"/>
            <w:bottom w:val="none" w:sz="0" w:space="0" w:color="auto"/>
            <w:right w:val="none" w:sz="0" w:space="0" w:color="auto"/>
          </w:divBdr>
          <w:divsChild>
            <w:div w:id="319162477">
              <w:marLeft w:val="0"/>
              <w:marRight w:val="0"/>
              <w:marTop w:val="0"/>
              <w:marBottom w:val="0"/>
              <w:divBdr>
                <w:top w:val="none" w:sz="0" w:space="0" w:color="auto"/>
                <w:left w:val="none" w:sz="0" w:space="0" w:color="auto"/>
                <w:bottom w:val="none" w:sz="0" w:space="0" w:color="auto"/>
                <w:right w:val="none" w:sz="0" w:space="0" w:color="auto"/>
              </w:divBdr>
              <w:divsChild>
                <w:div w:id="4780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2622">
      <w:bodyDiv w:val="1"/>
      <w:marLeft w:val="0"/>
      <w:marRight w:val="0"/>
      <w:marTop w:val="0"/>
      <w:marBottom w:val="0"/>
      <w:divBdr>
        <w:top w:val="none" w:sz="0" w:space="0" w:color="auto"/>
        <w:left w:val="none" w:sz="0" w:space="0" w:color="auto"/>
        <w:bottom w:val="none" w:sz="0" w:space="0" w:color="auto"/>
        <w:right w:val="none" w:sz="0" w:space="0" w:color="auto"/>
      </w:divBdr>
      <w:divsChild>
        <w:div w:id="1517381040">
          <w:marLeft w:val="0"/>
          <w:marRight w:val="0"/>
          <w:marTop w:val="0"/>
          <w:marBottom w:val="0"/>
          <w:divBdr>
            <w:top w:val="none" w:sz="0" w:space="0" w:color="auto"/>
            <w:left w:val="none" w:sz="0" w:space="0" w:color="auto"/>
            <w:bottom w:val="none" w:sz="0" w:space="0" w:color="auto"/>
            <w:right w:val="none" w:sz="0" w:space="0" w:color="auto"/>
          </w:divBdr>
          <w:divsChild>
            <w:div w:id="17802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1074">
      <w:bodyDiv w:val="1"/>
      <w:marLeft w:val="0"/>
      <w:marRight w:val="0"/>
      <w:marTop w:val="0"/>
      <w:marBottom w:val="0"/>
      <w:divBdr>
        <w:top w:val="none" w:sz="0" w:space="0" w:color="auto"/>
        <w:left w:val="none" w:sz="0" w:space="0" w:color="auto"/>
        <w:bottom w:val="none" w:sz="0" w:space="0" w:color="auto"/>
        <w:right w:val="none" w:sz="0" w:space="0" w:color="auto"/>
      </w:divBdr>
    </w:div>
    <w:div w:id="1185435934">
      <w:bodyDiv w:val="1"/>
      <w:marLeft w:val="0"/>
      <w:marRight w:val="0"/>
      <w:marTop w:val="0"/>
      <w:marBottom w:val="0"/>
      <w:divBdr>
        <w:top w:val="none" w:sz="0" w:space="0" w:color="auto"/>
        <w:left w:val="none" w:sz="0" w:space="0" w:color="auto"/>
        <w:bottom w:val="none" w:sz="0" w:space="0" w:color="auto"/>
        <w:right w:val="none" w:sz="0" w:space="0" w:color="auto"/>
      </w:divBdr>
    </w:div>
    <w:div w:id="1191987678">
      <w:bodyDiv w:val="1"/>
      <w:marLeft w:val="0"/>
      <w:marRight w:val="0"/>
      <w:marTop w:val="0"/>
      <w:marBottom w:val="0"/>
      <w:divBdr>
        <w:top w:val="none" w:sz="0" w:space="0" w:color="auto"/>
        <w:left w:val="none" w:sz="0" w:space="0" w:color="auto"/>
        <w:bottom w:val="none" w:sz="0" w:space="0" w:color="auto"/>
        <w:right w:val="none" w:sz="0" w:space="0" w:color="auto"/>
      </w:divBdr>
    </w:div>
    <w:div w:id="1192955474">
      <w:bodyDiv w:val="1"/>
      <w:marLeft w:val="0"/>
      <w:marRight w:val="0"/>
      <w:marTop w:val="0"/>
      <w:marBottom w:val="0"/>
      <w:divBdr>
        <w:top w:val="none" w:sz="0" w:space="0" w:color="auto"/>
        <w:left w:val="none" w:sz="0" w:space="0" w:color="auto"/>
        <w:bottom w:val="none" w:sz="0" w:space="0" w:color="auto"/>
        <w:right w:val="none" w:sz="0" w:space="0" w:color="auto"/>
      </w:divBdr>
    </w:div>
    <w:div w:id="1206794049">
      <w:bodyDiv w:val="1"/>
      <w:marLeft w:val="0"/>
      <w:marRight w:val="0"/>
      <w:marTop w:val="0"/>
      <w:marBottom w:val="0"/>
      <w:divBdr>
        <w:top w:val="none" w:sz="0" w:space="0" w:color="auto"/>
        <w:left w:val="none" w:sz="0" w:space="0" w:color="auto"/>
        <w:bottom w:val="none" w:sz="0" w:space="0" w:color="auto"/>
        <w:right w:val="none" w:sz="0" w:space="0" w:color="auto"/>
      </w:divBdr>
    </w:div>
    <w:div w:id="1215234627">
      <w:bodyDiv w:val="1"/>
      <w:marLeft w:val="0"/>
      <w:marRight w:val="0"/>
      <w:marTop w:val="0"/>
      <w:marBottom w:val="0"/>
      <w:divBdr>
        <w:top w:val="none" w:sz="0" w:space="0" w:color="auto"/>
        <w:left w:val="none" w:sz="0" w:space="0" w:color="auto"/>
        <w:bottom w:val="none" w:sz="0" w:space="0" w:color="auto"/>
        <w:right w:val="none" w:sz="0" w:space="0" w:color="auto"/>
      </w:divBdr>
    </w:div>
    <w:div w:id="1215895553">
      <w:bodyDiv w:val="1"/>
      <w:marLeft w:val="0"/>
      <w:marRight w:val="0"/>
      <w:marTop w:val="0"/>
      <w:marBottom w:val="0"/>
      <w:divBdr>
        <w:top w:val="none" w:sz="0" w:space="0" w:color="auto"/>
        <w:left w:val="none" w:sz="0" w:space="0" w:color="auto"/>
        <w:bottom w:val="none" w:sz="0" w:space="0" w:color="auto"/>
        <w:right w:val="none" w:sz="0" w:space="0" w:color="auto"/>
      </w:divBdr>
    </w:div>
    <w:div w:id="1229656472">
      <w:bodyDiv w:val="1"/>
      <w:marLeft w:val="0"/>
      <w:marRight w:val="0"/>
      <w:marTop w:val="0"/>
      <w:marBottom w:val="0"/>
      <w:divBdr>
        <w:top w:val="none" w:sz="0" w:space="0" w:color="auto"/>
        <w:left w:val="none" w:sz="0" w:space="0" w:color="auto"/>
        <w:bottom w:val="none" w:sz="0" w:space="0" w:color="auto"/>
        <w:right w:val="none" w:sz="0" w:space="0" w:color="auto"/>
      </w:divBdr>
    </w:div>
    <w:div w:id="1253706765">
      <w:bodyDiv w:val="1"/>
      <w:marLeft w:val="0"/>
      <w:marRight w:val="0"/>
      <w:marTop w:val="0"/>
      <w:marBottom w:val="0"/>
      <w:divBdr>
        <w:top w:val="none" w:sz="0" w:space="0" w:color="auto"/>
        <w:left w:val="none" w:sz="0" w:space="0" w:color="auto"/>
        <w:bottom w:val="none" w:sz="0" w:space="0" w:color="auto"/>
        <w:right w:val="none" w:sz="0" w:space="0" w:color="auto"/>
      </w:divBdr>
    </w:div>
    <w:div w:id="1263294929">
      <w:bodyDiv w:val="1"/>
      <w:marLeft w:val="0"/>
      <w:marRight w:val="0"/>
      <w:marTop w:val="0"/>
      <w:marBottom w:val="0"/>
      <w:divBdr>
        <w:top w:val="none" w:sz="0" w:space="0" w:color="auto"/>
        <w:left w:val="none" w:sz="0" w:space="0" w:color="auto"/>
        <w:bottom w:val="none" w:sz="0" w:space="0" w:color="auto"/>
        <w:right w:val="none" w:sz="0" w:space="0" w:color="auto"/>
      </w:divBdr>
    </w:div>
    <w:div w:id="1278565576">
      <w:bodyDiv w:val="1"/>
      <w:marLeft w:val="0"/>
      <w:marRight w:val="0"/>
      <w:marTop w:val="0"/>
      <w:marBottom w:val="0"/>
      <w:divBdr>
        <w:top w:val="none" w:sz="0" w:space="0" w:color="auto"/>
        <w:left w:val="none" w:sz="0" w:space="0" w:color="auto"/>
        <w:bottom w:val="none" w:sz="0" w:space="0" w:color="auto"/>
        <w:right w:val="none" w:sz="0" w:space="0" w:color="auto"/>
      </w:divBdr>
    </w:div>
    <w:div w:id="1289629196">
      <w:bodyDiv w:val="1"/>
      <w:marLeft w:val="0"/>
      <w:marRight w:val="0"/>
      <w:marTop w:val="0"/>
      <w:marBottom w:val="0"/>
      <w:divBdr>
        <w:top w:val="none" w:sz="0" w:space="0" w:color="auto"/>
        <w:left w:val="none" w:sz="0" w:space="0" w:color="auto"/>
        <w:bottom w:val="none" w:sz="0" w:space="0" w:color="auto"/>
        <w:right w:val="none" w:sz="0" w:space="0" w:color="auto"/>
      </w:divBdr>
    </w:div>
    <w:div w:id="1296181019">
      <w:bodyDiv w:val="1"/>
      <w:marLeft w:val="0"/>
      <w:marRight w:val="0"/>
      <w:marTop w:val="0"/>
      <w:marBottom w:val="0"/>
      <w:divBdr>
        <w:top w:val="none" w:sz="0" w:space="0" w:color="auto"/>
        <w:left w:val="none" w:sz="0" w:space="0" w:color="auto"/>
        <w:bottom w:val="none" w:sz="0" w:space="0" w:color="auto"/>
        <w:right w:val="none" w:sz="0" w:space="0" w:color="auto"/>
      </w:divBdr>
    </w:div>
    <w:div w:id="1297561529">
      <w:bodyDiv w:val="1"/>
      <w:marLeft w:val="0"/>
      <w:marRight w:val="0"/>
      <w:marTop w:val="0"/>
      <w:marBottom w:val="0"/>
      <w:divBdr>
        <w:top w:val="none" w:sz="0" w:space="0" w:color="auto"/>
        <w:left w:val="none" w:sz="0" w:space="0" w:color="auto"/>
        <w:bottom w:val="none" w:sz="0" w:space="0" w:color="auto"/>
        <w:right w:val="none" w:sz="0" w:space="0" w:color="auto"/>
      </w:divBdr>
    </w:div>
    <w:div w:id="1306819201">
      <w:bodyDiv w:val="1"/>
      <w:marLeft w:val="0"/>
      <w:marRight w:val="0"/>
      <w:marTop w:val="0"/>
      <w:marBottom w:val="0"/>
      <w:divBdr>
        <w:top w:val="none" w:sz="0" w:space="0" w:color="auto"/>
        <w:left w:val="none" w:sz="0" w:space="0" w:color="auto"/>
        <w:bottom w:val="none" w:sz="0" w:space="0" w:color="auto"/>
        <w:right w:val="none" w:sz="0" w:space="0" w:color="auto"/>
      </w:divBdr>
    </w:div>
    <w:div w:id="1331983426">
      <w:bodyDiv w:val="1"/>
      <w:marLeft w:val="0"/>
      <w:marRight w:val="0"/>
      <w:marTop w:val="0"/>
      <w:marBottom w:val="0"/>
      <w:divBdr>
        <w:top w:val="none" w:sz="0" w:space="0" w:color="auto"/>
        <w:left w:val="none" w:sz="0" w:space="0" w:color="auto"/>
        <w:bottom w:val="none" w:sz="0" w:space="0" w:color="auto"/>
        <w:right w:val="none" w:sz="0" w:space="0" w:color="auto"/>
      </w:divBdr>
    </w:div>
    <w:div w:id="1358695405">
      <w:bodyDiv w:val="1"/>
      <w:marLeft w:val="0"/>
      <w:marRight w:val="0"/>
      <w:marTop w:val="0"/>
      <w:marBottom w:val="0"/>
      <w:divBdr>
        <w:top w:val="none" w:sz="0" w:space="0" w:color="auto"/>
        <w:left w:val="none" w:sz="0" w:space="0" w:color="auto"/>
        <w:bottom w:val="none" w:sz="0" w:space="0" w:color="auto"/>
        <w:right w:val="none" w:sz="0" w:space="0" w:color="auto"/>
      </w:divBdr>
    </w:div>
    <w:div w:id="1379205867">
      <w:bodyDiv w:val="1"/>
      <w:marLeft w:val="0"/>
      <w:marRight w:val="0"/>
      <w:marTop w:val="0"/>
      <w:marBottom w:val="0"/>
      <w:divBdr>
        <w:top w:val="none" w:sz="0" w:space="0" w:color="auto"/>
        <w:left w:val="none" w:sz="0" w:space="0" w:color="auto"/>
        <w:bottom w:val="none" w:sz="0" w:space="0" w:color="auto"/>
        <w:right w:val="none" w:sz="0" w:space="0" w:color="auto"/>
      </w:divBdr>
    </w:div>
    <w:div w:id="1406411229">
      <w:bodyDiv w:val="1"/>
      <w:marLeft w:val="0"/>
      <w:marRight w:val="0"/>
      <w:marTop w:val="0"/>
      <w:marBottom w:val="0"/>
      <w:divBdr>
        <w:top w:val="none" w:sz="0" w:space="0" w:color="auto"/>
        <w:left w:val="none" w:sz="0" w:space="0" w:color="auto"/>
        <w:bottom w:val="none" w:sz="0" w:space="0" w:color="auto"/>
        <w:right w:val="none" w:sz="0" w:space="0" w:color="auto"/>
      </w:divBdr>
    </w:div>
    <w:div w:id="1419904572">
      <w:bodyDiv w:val="1"/>
      <w:marLeft w:val="0"/>
      <w:marRight w:val="0"/>
      <w:marTop w:val="0"/>
      <w:marBottom w:val="0"/>
      <w:divBdr>
        <w:top w:val="none" w:sz="0" w:space="0" w:color="auto"/>
        <w:left w:val="none" w:sz="0" w:space="0" w:color="auto"/>
        <w:bottom w:val="none" w:sz="0" w:space="0" w:color="auto"/>
        <w:right w:val="none" w:sz="0" w:space="0" w:color="auto"/>
      </w:divBdr>
    </w:div>
    <w:div w:id="1424834332">
      <w:bodyDiv w:val="1"/>
      <w:marLeft w:val="0"/>
      <w:marRight w:val="0"/>
      <w:marTop w:val="0"/>
      <w:marBottom w:val="0"/>
      <w:divBdr>
        <w:top w:val="none" w:sz="0" w:space="0" w:color="auto"/>
        <w:left w:val="none" w:sz="0" w:space="0" w:color="auto"/>
        <w:bottom w:val="none" w:sz="0" w:space="0" w:color="auto"/>
        <w:right w:val="none" w:sz="0" w:space="0" w:color="auto"/>
      </w:divBdr>
    </w:div>
    <w:div w:id="1431271280">
      <w:bodyDiv w:val="1"/>
      <w:marLeft w:val="0"/>
      <w:marRight w:val="0"/>
      <w:marTop w:val="0"/>
      <w:marBottom w:val="0"/>
      <w:divBdr>
        <w:top w:val="none" w:sz="0" w:space="0" w:color="auto"/>
        <w:left w:val="none" w:sz="0" w:space="0" w:color="auto"/>
        <w:bottom w:val="none" w:sz="0" w:space="0" w:color="auto"/>
        <w:right w:val="none" w:sz="0" w:space="0" w:color="auto"/>
      </w:divBdr>
    </w:div>
    <w:div w:id="1445613035">
      <w:bodyDiv w:val="1"/>
      <w:marLeft w:val="0"/>
      <w:marRight w:val="0"/>
      <w:marTop w:val="0"/>
      <w:marBottom w:val="0"/>
      <w:divBdr>
        <w:top w:val="none" w:sz="0" w:space="0" w:color="auto"/>
        <w:left w:val="none" w:sz="0" w:space="0" w:color="auto"/>
        <w:bottom w:val="none" w:sz="0" w:space="0" w:color="auto"/>
        <w:right w:val="none" w:sz="0" w:space="0" w:color="auto"/>
      </w:divBdr>
    </w:div>
    <w:div w:id="1460490682">
      <w:bodyDiv w:val="1"/>
      <w:marLeft w:val="0"/>
      <w:marRight w:val="0"/>
      <w:marTop w:val="0"/>
      <w:marBottom w:val="0"/>
      <w:divBdr>
        <w:top w:val="none" w:sz="0" w:space="0" w:color="auto"/>
        <w:left w:val="none" w:sz="0" w:space="0" w:color="auto"/>
        <w:bottom w:val="none" w:sz="0" w:space="0" w:color="auto"/>
        <w:right w:val="none" w:sz="0" w:space="0" w:color="auto"/>
      </w:divBdr>
    </w:div>
    <w:div w:id="1465656486">
      <w:bodyDiv w:val="1"/>
      <w:marLeft w:val="0"/>
      <w:marRight w:val="0"/>
      <w:marTop w:val="0"/>
      <w:marBottom w:val="0"/>
      <w:divBdr>
        <w:top w:val="none" w:sz="0" w:space="0" w:color="auto"/>
        <w:left w:val="none" w:sz="0" w:space="0" w:color="auto"/>
        <w:bottom w:val="none" w:sz="0" w:space="0" w:color="auto"/>
        <w:right w:val="none" w:sz="0" w:space="0" w:color="auto"/>
      </w:divBdr>
    </w:div>
    <w:div w:id="1475760442">
      <w:bodyDiv w:val="1"/>
      <w:marLeft w:val="0"/>
      <w:marRight w:val="0"/>
      <w:marTop w:val="0"/>
      <w:marBottom w:val="0"/>
      <w:divBdr>
        <w:top w:val="none" w:sz="0" w:space="0" w:color="auto"/>
        <w:left w:val="none" w:sz="0" w:space="0" w:color="auto"/>
        <w:bottom w:val="none" w:sz="0" w:space="0" w:color="auto"/>
        <w:right w:val="none" w:sz="0" w:space="0" w:color="auto"/>
      </w:divBdr>
    </w:div>
    <w:div w:id="1480154110">
      <w:bodyDiv w:val="1"/>
      <w:marLeft w:val="0"/>
      <w:marRight w:val="0"/>
      <w:marTop w:val="0"/>
      <w:marBottom w:val="0"/>
      <w:divBdr>
        <w:top w:val="none" w:sz="0" w:space="0" w:color="auto"/>
        <w:left w:val="none" w:sz="0" w:space="0" w:color="auto"/>
        <w:bottom w:val="none" w:sz="0" w:space="0" w:color="auto"/>
        <w:right w:val="none" w:sz="0" w:space="0" w:color="auto"/>
      </w:divBdr>
    </w:div>
    <w:div w:id="1482384682">
      <w:bodyDiv w:val="1"/>
      <w:marLeft w:val="0"/>
      <w:marRight w:val="0"/>
      <w:marTop w:val="0"/>
      <w:marBottom w:val="0"/>
      <w:divBdr>
        <w:top w:val="none" w:sz="0" w:space="0" w:color="auto"/>
        <w:left w:val="none" w:sz="0" w:space="0" w:color="auto"/>
        <w:bottom w:val="none" w:sz="0" w:space="0" w:color="auto"/>
        <w:right w:val="none" w:sz="0" w:space="0" w:color="auto"/>
      </w:divBdr>
    </w:div>
    <w:div w:id="1485122562">
      <w:bodyDiv w:val="1"/>
      <w:marLeft w:val="0"/>
      <w:marRight w:val="0"/>
      <w:marTop w:val="0"/>
      <w:marBottom w:val="0"/>
      <w:divBdr>
        <w:top w:val="none" w:sz="0" w:space="0" w:color="auto"/>
        <w:left w:val="none" w:sz="0" w:space="0" w:color="auto"/>
        <w:bottom w:val="none" w:sz="0" w:space="0" w:color="auto"/>
        <w:right w:val="none" w:sz="0" w:space="0" w:color="auto"/>
      </w:divBdr>
    </w:div>
    <w:div w:id="1496140486">
      <w:bodyDiv w:val="1"/>
      <w:marLeft w:val="0"/>
      <w:marRight w:val="0"/>
      <w:marTop w:val="0"/>
      <w:marBottom w:val="0"/>
      <w:divBdr>
        <w:top w:val="none" w:sz="0" w:space="0" w:color="auto"/>
        <w:left w:val="none" w:sz="0" w:space="0" w:color="auto"/>
        <w:bottom w:val="none" w:sz="0" w:space="0" w:color="auto"/>
        <w:right w:val="none" w:sz="0" w:space="0" w:color="auto"/>
      </w:divBdr>
    </w:div>
    <w:div w:id="1498837865">
      <w:bodyDiv w:val="1"/>
      <w:marLeft w:val="0"/>
      <w:marRight w:val="0"/>
      <w:marTop w:val="0"/>
      <w:marBottom w:val="0"/>
      <w:divBdr>
        <w:top w:val="none" w:sz="0" w:space="0" w:color="auto"/>
        <w:left w:val="none" w:sz="0" w:space="0" w:color="auto"/>
        <w:bottom w:val="none" w:sz="0" w:space="0" w:color="auto"/>
        <w:right w:val="none" w:sz="0" w:space="0" w:color="auto"/>
      </w:divBdr>
    </w:div>
    <w:div w:id="1498888538">
      <w:bodyDiv w:val="1"/>
      <w:marLeft w:val="0"/>
      <w:marRight w:val="0"/>
      <w:marTop w:val="0"/>
      <w:marBottom w:val="0"/>
      <w:divBdr>
        <w:top w:val="none" w:sz="0" w:space="0" w:color="auto"/>
        <w:left w:val="none" w:sz="0" w:space="0" w:color="auto"/>
        <w:bottom w:val="none" w:sz="0" w:space="0" w:color="auto"/>
        <w:right w:val="none" w:sz="0" w:space="0" w:color="auto"/>
      </w:divBdr>
    </w:div>
    <w:div w:id="1510487881">
      <w:bodyDiv w:val="1"/>
      <w:marLeft w:val="0"/>
      <w:marRight w:val="0"/>
      <w:marTop w:val="0"/>
      <w:marBottom w:val="0"/>
      <w:divBdr>
        <w:top w:val="none" w:sz="0" w:space="0" w:color="auto"/>
        <w:left w:val="none" w:sz="0" w:space="0" w:color="auto"/>
        <w:bottom w:val="none" w:sz="0" w:space="0" w:color="auto"/>
        <w:right w:val="none" w:sz="0" w:space="0" w:color="auto"/>
      </w:divBdr>
    </w:div>
    <w:div w:id="1516723175">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46135753">
      <w:bodyDiv w:val="1"/>
      <w:marLeft w:val="0"/>
      <w:marRight w:val="0"/>
      <w:marTop w:val="0"/>
      <w:marBottom w:val="0"/>
      <w:divBdr>
        <w:top w:val="none" w:sz="0" w:space="0" w:color="auto"/>
        <w:left w:val="none" w:sz="0" w:space="0" w:color="auto"/>
        <w:bottom w:val="none" w:sz="0" w:space="0" w:color="auto"/>
        <w:right w:val="none" w:sz="0" w:space="0" w:color="auto"/>
      </w:divBdr>
    </w:div>
    <w:div w:id="1550799911">
      <w:bodyDiv w:val="1"/>
      <w:marLeft w:val="0"/>
      <w:marRight w:val="0"/>
      <w:marTop w:val="0"/>
      <w:marBottom w:val="0"/>
      <w:divBdr>
        <w:top w:val="none" w:sz="0" w:space="0" w:color="auto"/>
        <w:left w:val="none" w:sz="0" w:space="0" w:color="auto"/>
        <w:bottom w:val="none" w:sz="0" w:space="0" w:color="auto"/>
        <w:right w:val="none" w:sz="0" w:space="0" w:color="auto"/>
      </w:divBdr>
    </w:div>
    <w:div w:id="1552889078">
      <w:bodyDiv w:val="1"/>
      <w:marLeft w:val="0"/>
      <w:marRight w:val="0"/>
      <w:marTop w:val="0"/>
      <w:marBottom w:val="0"/>
      <w:divBdr>
        <w:top w:val="none" w:sz="0" w:space="0" w:color="auto"/>
        <w:left w:val="none" w:sz="0" w:space="0" w:color="auto"/>
        <w:bottom w:val="none" w:sz="0" w:space="0" w:color="auto"/>
        <w:right w:val="none" w:sz="0" w:space="0" w:color="auto"/>
      </w:divBdr>
    </w:div>
    <w:div w:id="1561596928">
      <w:bodyDiv w:val="1"/>
      <w:marLeft w:val="0"/>
      <w:marRight w:val="0"/>
      <w:marTop w:val="0"/>
      <w:marBottom w:val="0"/>
      <w:divBdr>
        <w:top w:val="none" w:sz="0" w:space="0" w:color="auto"/>
        <w:left w:val="none" w:sz="0" w:space="0" w:color="auto"/>
        <w:bottom w:val="none" w:sz="0" w:space="0" w:color="auto"/>
        <w:right w:val="none" w:sz="0" w:space="0" w:color="auto"/>
      </w:divBdr>
    </w:div>
    <w:div w:id="1572733826">
      <w:bodyDiv w:val="1"/>
      <w:marLeft w:val="0"/>
      <w:marRight w:val="0"/>
      <w:marTop w:val="0"/>
      <w:marBottom w:val="0"/>
      <w:divBdr>
        <w:top w:val="none" w:sz="0" w:space="0" w:color="auto"/>
        <w:left w:val="none" w:sz="0" w:space="0" w:color="auto"/>
        <w:bottom w:val="none" w:sz="0" w:space="0" w:color="auto"/>
        <w:right w:val="none" w:sz="0" w:space="0" w:color="auto"/>
      </w:divBdr>
    </w:div>
    <w:div w:id="1601059119">
      <w:bodyDiv w:val="1"/>
      <w:marLeft w:val="0"/>
      <w:marRight w:val="0"/>
      <w:marTop w:val="0"/>
      <w:marBottom w:val="0"/>
      <w:divBdr>
        <w:top w:val="none" w:sz="0" w:space="0" w:color="auto"/>
        <w:left w:val="none" w:sz="0" w:space="0" w:color="auto"/>
        <w:bottom w:val="none" w:sz="0" w:space="0" w:color="auto"/>
        <w:right w:val="none" w:sz="0" w:space="0" w:color="auto"/>
      </w:divBdr>
    </w:div>
    <w:div w:id="1629896554">
      <w:bodyDiv w:val="1"/>
      <w:marLeft w:val="0"/>
      <w:marRight w:val="0"/>
      <w:marTop w:val="0"/>
      <w:marBottom w:val="0"/>
      <w:divBdr>
        <w:top w:val="none" w:sz="0" w:space="0" w:color="auto"/>
        <w:left w:val="none" w:sz="0" w:space="0" w:color="auto"/>
        <w:bottom w:val="none" w:sz="0" w:space="0" w:color="auto"/>
        <w:right w:val="none" w:sz="0" w:space="0" w:color="auto"/>
      </w:divBdr>
    </w:div>
    <w:div w:id="1637024089">
      <w:bodyDiv w:val="1"/>
      <w:marLeft w:val="0"/>
      <w:marRight w:val="0"/>
      <w:marTop w:val="0"/>
      <w:marBottom w:val="0"/>
      <w:divBdr>
        <w:top w:val="none" w:sz="0" w:space="0" w:color="auto"/>
        <w:left w:val="none" w:sz="0" w:space="0" w:color="auto"/>
        <w:bottom w:val="none" w:sz="0" w:space="0" w:color="auto"/>
        <w:right w:val="none" w:sz="0" w:space="0" w:color="auto"/>
      </w:divBdr>
    </w:div>
    <w:div w:id="1644115864">
      <w:bodyDiv w:val="1"/>
      <w:marLeft w:val="0"/>
      <w:marRight w:val="0"/>
      <w:marTop w:val="0"/>
      <w:marBottom w:val="0"/>
      <w:divBdr>
        <w:top w:val="none" w:sz="0" w:space="0" w:color="auto"/>
        <w:left w:val="none" w:sz="0" w:space="0" w:color="auto"/>
        <w:bottom w:val="none" w:sz="0" w:space="0" w:color="auto"/>
        <w:right w:val="none" w:sz="0" w:space="0" w:color="auto"/>
      </w:divBdr>
    </w:div>
    <w:div w:id="1647272341">
      <w:bodyDiv w:val="1"/>
      <w:marLeft w:val="0"/>
      <w:marRight w:val="0"/>
      <w:marTop w:val="0"/>
      <w:marBottom w:val="0"/>
      <w:divBdr>
        <w:top w:val="none" w:sz="0" w:space="0" w:color="auto"/>
        <w:left w:val="none" w:sz="0" w:space="0" w:color="auto"/>
        <w:bottom w:val="none" w:sz="0" w:space="0" w:color="auto"/>
        <w:right w:val="none" w:sz="0" w:space="0" w:color="auto"/>
      </w:divBdr>
    </w:div>
    <w:div w:id="1651179692">
      <w:bodyDiv w:val="1"/>
      <w:marLeft w:val="0"/>
      <w:marRight w:val="0"/>
      <w:marTop w:val="0"/>
      <w:marBottom w:val="0"/>
      <w:divBdr>
        <w:top w:val="none" w:sz="0" w:space="0" w:color="auto"/>
        <w:left w:val="none" w:sz="0" w:space="0" w:color="auto"/>
        <w:bottom w:val="none" w:sz="0" w:space="0" w:color="auto"/>
        <w:right w:val="none" w:sz="0" w:space="0" w:color="auto"/>
      </w:divBdr>
    </w:div>
    <w:div w:id="1687826205">
      <w:bodyDiv w:val="1"/>
      <w:marLeft w:val="0"/>
      <w:marRight w:val="0"/>
      <w:marTop w:val="0"/>
      <w:marBottom w:val="0"/>
      <w:divBdr>
        <w:top w:val="none" w:sz="0" w:space="0" w:color="auto"/>
        <w:left w:val="none" w:sz="0" w:space="0" w:color="auto"/>
        <w:bottom w:val="none" w:sz="0" w:space="0" w:color="auto"/>
        <w:right w:val="none" w:sz="0" w:space="0" w:color="auto"/>
      </w:divBdr>
    </w:div>
    <w:div w:id="1693649028">
      <w:bodyDiv w:val="1"/>
      <w:marLeft w:val="0"/>
      <w:marRight w:val="0"/>
      <w:marTop w:val="0"/>
      <w:marBottom w:val="0"/>
      <w:divBdr>
        <w:top w:val="none" w:sz="0" w:space="0" w:color="auto"/>
        <w:left w:val="none" w:sz="0" w:space="0" w:color="auto"/>
        <w:bottom w:val="none" w:sz="0" w:space="0" w:color="auto"/>
        <w:right w:val="none" w:sz="0" w:space="0" w:color="auto"/>
      </w:divBdr>
    </w:div>
    <w:div w:id="1705519963">
      <w:bodyDiv w:val="1"/>
      <w:marLeft w:val="0"/>
      <w:marRight w:val="0"/>
      <w:marTop w:val="0"/>
      <w:marBottom w:val="0"/>
      <w:divBdr>
        <w:top w:val="none" w:sz="0" w:space="0" w:color="auto"/>
        <w:left w:val="none" w:sz="0" w:space="0" w:color="auto"/>
        <w:bottom w:val="none" w:sz="0" w:space="0" w:color="auto"/>
        <w:right w:val="none" w:sz="0" w:space="0" w:color="auto"/>
      </w:divBdr>
    </w:div>
    <w:div w:id="1715537719">
      <w:bodyDiv w:val="1"/>
      <w:marLeft w:val="0"/>
      <w:marRight w:val="0"/>
      <w:marTop w:val="0"/>
      <w:marBottom w:val="0"/>
      <w:divBdr>
        <w:top w:val="none" w:sz="0" w:space="0" w:color="auto"/>
        <w:left w:val="none" w:sz="0" w:space="0" w:color="auto"/>
        <w:bottom w:val="none" w:sz="0" w:space="0" w:color="auto"/>
        <w:right w:val="none" w:sz="0" w:space="0" w:color="auto"/>
      </w:divBdr>
    </w:div>
    <w:div w:id="1725833797">
      <w:bodyDiv w:val="1"/>
      <w:marLeft w:val="0"/>
      <w:marRight w:val="0"/>
      <w:marTop w:val="0"/>
      <w:marBottom w:val="0"/>
      <w:divBdr>
        <w:top w:val="none" w:sz="0" w:space="0" w:color="auto"/>
        <w:left w:val="none" w:sz="0" w:space="0" w:color="auto"/>
        <w:bottom w:val="none" w:sz="0" w:space="0" w:color="auto"/>
        <w:right w:val="none" w:sz="0" w:space="0" w:color="auto"/>
      </w:divBdr>
    </w:div>
    <w:div w:id="1729183599">
      <w:bodyDiv w:val="1"/>
      <w:marLeft w:val="0"/>
      <w:marRight w:val="0"/>
      <w:marTop w:val="0"/>
      <w:marBottom w:val="0"/>
      <w:divBdr>
        <w:top w:val="none" w:sz="0" w:space="0" w:color="auto"/>
        <w:left w:val="none" w:sz="0" w:space="0" w:color="auto"/>
        <w:bottom w:val="none" w:sz="0" w:space="0" w:color="auto"/>
        <w:right w:val="none" w:sz="0" w:space="0" w:color="auto"/>
      </w:divBdr>
    </w:div>
    <w:div w:id="1738285337">
      <w:bodyDiv w:val="1"/>
      <w:marLeft w:val="0"/>
      <w:marRight w:val="0"/>
      <w:marTop w:val="0"/>
      <w:marBottom w:val="0"/>
      <w:divBdr>
        <w:top w:val="none" w:sz="0" w:space="0" w:color="auto"/>
        <w:left w:val="none" w:sz="0" w:space="0" w:color="auto"/>
        <w:bottom w:val="none" w:sz="0" w:space="0" w:color="auto"/>
        <w:right w:val="none" w:sz="0" w:space="0" w:color="auto"/>
      </w:divBdr>
    </w:div>
    <w:div w:id="1764379179">
      <w:bodyDiv w:val="1"/>
      <w:marLeft w:val="0"/>
      <w:marRight w:val="0"/>
      <w:marTop w:val="0"/>
      <w:marBottom w:val="0"/>
      <w:divBdr>
        <w:top w:val="none" w:sz="0" w:space="0" w:color="auto"/>
        <w:left w:val="none" w:sz="0" w:space="0" w:color="auto"/>
        <w:bottom w:val="none" w:sz="0" w:space="0" w:color="auto"/>
        <w:right w:val="none" w:sz="0" w:space="0" w:color="auto"/>
      </w:divBdr>
    </w:div>
    <w:div w:id="1780686599">
      <w:bodyDiv w:val="1"/>
      <w:marLeft w:val="0"/>
      <w:marRight w:val="0"/>
      <w:marTop w:val="0"/>
      <w:marBottom w:val="0"/>
      <w:divBdr>
        <w:top w:val="none" w:sz="0" w:space="0" w:color="auto"/>
        <w:left w:val="none" w:sz="0" w:space="0" w:color="auto"/>
        <w:bottom w:val="none" w:sz="0" w:space="0" w:color="auto"/>
        <w:right w:val="none" w:sz="0" w:space="0" w:color="auto"/>
      </w:divBdr>
    </w:div>
    <w:div w:id="1786845937">
      <w:bodyDiv w:val="1"/>
      <w:marLeft w:val="0"/>
      <w:marRight w:val="0"/>
      <w:marTop w:val="0"/>
      <w:marBottom w:val="0"/>
      <w:divBdr>
        <w:top w:val="none" w:sz="0" w:space="0" w:color="auto"/>
        <w:left w:val="none" w:sz="0" w:space="0" w:color="auto"/>
        <w:bottom w:val="none" w:sz="0" w:space="0" w:color="auto"/>
        <w:right w:val="none" w:sz="0" w:space="0" w:color="auto"/>
      </w:divBdr>
    </w:div>
    <w:div w:id="1809398168">
      <w:bodyDiv w:val="1"/>
      <w:marLeft w:val="0"/>
      <w:marRight w:val="0"/>
      <w:marTop w:val="0"/>
      <w:marBottom w:val="0"/>
      <w:divBdr>
        <w:top w:val="none" w:sz="0" w:space="0" w:color="auto"/>
        <w:left w:val="none" w:sz="0" w:space="0" w:color="auto"/>
        <w:bottom w:val="none" w:sz="0" w:space="0" w:color="auto"/>
        <w:right w:val="none" w:sz="0" w:space="0" w:color="auto"/>
      </w:divBdr>
    </w:div>
    <w:div w:id="1810438150">
      <w:bodyDiv w:val="1"/>
      <w:marLeft w:val="0"/>
      <w:marRight w:val="0"/>
      <w:marTop w:val="0"/>
      <w:marBottom w:val="0"/>
      <w:divBdr>
        <w:top w:val="none" w:sz="0" w:space="0" w:color="auto"/>
        <w:left w:val="none" w:sz="0" w:space="0" w:color="auto"/>
        <w:bottom w:val="none" w:sz="0" w:space="0" w:color="auto"/>
        <w:right w:val="none" w:sz="0" w:space="0" w:color="auto"/>
      </w:divBdr>
    </w:div>
    <w:div w:id="1816413424">
      <w:bodyDiv w:val="1"/>
      <w:marLeft w:val="0"/>
      <w:marRight w:val="0"/>
      <w:marTop w:val="0"/>
      <w:marBottom w:val="0"/>
      <w:divBdr>
        <w:top w:val="none" w:sz="0" w:space="0" w:color="auto"/>
        <w:left w:val="none" w:sz="0" w:space="0" w:color="auto"/>
        <w:bottom w:val="none" w:sz="0" w:space="0" w:color="auto"/>
        <w:right w:val="none" w:sz="0" w:space="0" w:color="auto"/>
      </w:divBdr>
    </w:div>
    <w:div w:id="1832721176">
      <w:bodyDiv w:val="1"/>
      <w:marLeft w:val="0"/>
      <w:marRight w:val="0"/>
      <w:marTop w:val="0"/>
      <w:marBottom w:val="0"/>
      <w:divBdr>
        <w:top w:val="none" w:sz="0" w:space="0" w:color="auto"/>
        <w:left w:val="none" w:sz="0" w:space="0" w:color="auto"/>
        <w:bottom w:val="none" w:sz="0" w:space="0" w:color="auto"/>
        <w:right w:val="none" w:sz="0" w:space="0" w:color="auto"/>
      </w:divBdr>
    </w:div>
    <w:div w:id="1839732316">
      <w:bodyDiv w:val="1"/>
      <w:marLeft w:val="0"/>
      <w:marRight w:val="0"/>
      <w:marTop w:val="0"/>
      <w:marBottom w:val="0"/>
      <w:divBdr>
        <w:top w:val="none" w:sz="0" w:space="0" w:color="auto"/>
        <w:left w:val="none" w:sz="0" w:space="0" w:color="auto"/>
        <w:bottom w:val="none" w:sz="0" w:space="0" w:color="auto"/>
        <w:right w:val="none" w:sz="0" w:space="0" w:color="auto"/>
      </w:divBdr>
    </w:div>
    <w:div w:id="1848403290">
      <w:bodyDiv w:val="1"/>
      <w:marLeft w:val="0"/>
      <w:marRight w:val="0"/>
      <w:marTop w:val="0"/>
      <w:marBottom w:val="0"/>
      <w:divBdr>
        <w:top w:val="none" w:sz="0" w:space="0" w:color="auto"/>
        <w:left w:val="none" w:sz="0" w:space="0" w:color="auto"/>
        <w:bottom w:val="none" w:sz="0" w:space="0" w:color="auto"/>
        <w:right w:val="none" w:sz="0" w:space="0" w:color="auto"/>
      </w:divBdr>
    </w:div>
    <w:div w:id="1849755493">
      <w:bodyDiv w:val="1"/>
      <w:marLeft w:val="0"/>
      <w:marRight w:val="0"/>
      <w:marTop w:val="0"/>
      <w:marBottom w:val="0"/>
      <w:divBdr>
        <w:top w:val="none" w:sz="0" w:space="0" w:color="auto"/>
        <w:left w:val="none" w:sz="0" w:space="0" w:color="auto"/>
        <w:bottom w:val="none" w:sz="0" w:space="0" w:color="auto"/>
        <w:right w:val="none" w:sz="0" w:space="0" w:color="auto"/>
      </w:divBdr>
    </w:div>
    <w:div w:id="1873612693">
      <w:bodyDiv w:val="1"/>
      <w:marLeft w:val="0"/>
      <w:marRight w:val="0"/>
      <w:marTop w:val="0"/>
      <w:marBottom w:val="0"/>
      <w:divBdr>
        <w:top w:val="none" w:sz="0" w:space="0" w:color="auto"/>
        <w:left w:val="none" w:sz="0" w:space="0" w:color="auto"/>
        <w:bottom w:val="none" w:sz="0" w:space="0" w:color="auto"/>
        <w:right w:val="none" w:sz="0" w:space="0" w:color="auto"/>
      </w:divBdr>
    </w:div>
    <w:div w:id="1897084572">
      <w:bodyDiv w:val="1"/>
      <w:marLeft w:val="0"/>
      <w:marRight w:val="0"/>
      <w:marTop w:val="0"/>
      <w:marBottom w:val="0"/>
      <w:divBdr>
        <w:top w:val="none" w:sz="0" w:space="0" w:color="auto"/>
        <w:left w:val="none" w:sz="0" w:space="0" w:color="auto"/>
        <w:bottom w:val="none" w:sz="0" w:space="0" w:color="auto"/>
        <w:right w:val="none" w:sz="0" w:space="0" w:color="auto"/>
      </w:divBdr>
    </w:div>
    <w:div w:id="1923637665">
      <w:bodyDiv w:val="1"/>
      <w:marLeft w:val="0"/>
      <w:marRight w:val="0"/>
      <w:marTop w:val="0"/>
      <w:marBottom w:val="0"/>
      <w:divBdr>
        <w:top w:val="none" w:sz="0" w:space="0" w:color="auto"/>
        <w:left w:val="none" w:sz="0" w:space="0" w:color="auto"/>
        <w:bottom w:val="none" w:sz="0" w:space="0" w:color="auto"/>
        <w:right w:val="none" w:sz="0" w:space="0" w:color="auto"/>
      </w:divBdr>
    </w:div>
    <w:div w:id="1942377828">
      <w:bodyDiv w:val="1"/>
      <w:marLeft w:val="0"/>
      <w:marRight w:val="0"/>
      <w:marTop w:val="0"/>
      <w:marBottom w:val="0"/>
      <w:divBdr>
        <w:top w:val="none" w:sz="0" w:space="0" w:color="auto"/>
        <w:left w:val="none" w:sz="0" w:space="0" w:color="auto"/>
        <w:bottom w:val="none" w:sz="0" w:space="0" w:color="auto"/>
        <w:right w:val="none" w:sz="0" w:space="0" w:color="auto"/>
      </w:divBdr>
    </w:div>
    <w:div w:id="1961449543">
      <w:bodyDiv w:val="1"/>
      <w:marLeft w:val="0"/>
      <w:marRight w:val="0"/>
      <w:marTop w:val="0"/>
      <w:marBottom w:val="0"/>
      <w:divBdr>
        <w:top w:val="none" w:sz="0" w:space="0" w:color="auto"/>
        <w:left w:val="none" w:sz="0" w:space="0" w:color="auto"/>
        <w:bottom w:val="none" w:sz="0" w:space="0" w:color="auto"/>
        <w:right w:val="none" w:sz="0" w:space="0" w:color="auto"/>
      </w:divBdr>
    </w:div>
    <w:div w:id="1972981541">
      <w:bodyDiv w:val="1"/>
      <w:marLeft w:val="0"/>
      <w:marRight w:val="0"/>
      <w:marTop w:val="0"/>
      <w:marBottom w:val="0"/>
      <w:divBdr>
        <w:top w:val="none" w:sz="0" w:space="0" w:color="auto"/>
        <w:left w:val="none" w:sz="0" w:space="0" w:color="auto"/>
        <w:bottom w:val="none" w:sz="0" w:space="0" w:color="auto"/>
        <w:right w:val="none" w:sz="0" w:space="0" w:color="auto"/>
      </w:divBdr>
    </w:div>
    <w:div w:id="1977298352">
      <w:bodyDiv w:val="1"/>
      <w:marLeft w:val="0"/>
      <w:marRight w:val="0"/>
      <w:marTop w:val="0"/>
      <w:marBottom w:val="0"/>
      <w:divBdr>
        <w:top w:val="none" w:sz="0" w:space="0" w:color="auto"/>
        <w:left w:val="none" w:sz="0" w:space="0" w:color="auto"/>
        <w:bottom w:val="none" w:sz="0" w:space="0" w:color="auto"/>
        <w:right w:val="none" w:sz="0" w:space="0" w:color="auto"/>
      </w:divBdr>
    </w:div>
    <w:div w:id="1978298225">
      <w:bodyDiv w:val="1"/>
      <w:marLeft w:val="0"/>
      <w:marRight w:val="0"/>
      <w:marTop w:val="0"/>
      <w:marBottom w:val="0"/>
      <w:divBdr>
        <w:top w:val="none" w:sz="0" w:space="0" w:color="auto"/>
        <w:left w:val="none" w:sz="0" w:space="0" w:color="auto"/>
        <w:bottom w:val="none" w:sz="0" w:space="0" w:color="auto"/>
        <w:right w:val="none" w:sz="0" w:space="0" w:color="auto"/>
      </w:divBdr>
    </w:div>
    <w:div w:id="1981686913">
      <w:bodyDiv w:val="1"/>
      <w:marLeft w:val="0"/>
      <w:marRight w:val="0"/>
      <w:marTop w:val="0"/>
      <w:marBottom w:val="0"/>
      <w:divBdr>
        <w:top w:val="none" w:sz="0" w:space="0" w:color="auto"/>
        <w:left w:val="none" w:sz="0" w:space="0" w:color="auto"/>
        <w:bottom w:val="none" w:sz="0" w:space="0" w:color="auto"/>
        <w:right w:val="none" w:sz="0" w:space="0" w:color="auto"/>
      </w:divBdr>
    </w:div>
    <w:div w:id="1981837707">
      <w:bodyDiv w:val="1"/>
      <w:marLeft w:val="0"/>
      <w:marRight w:val="0"/>
      <w:marTop w:val="0"/>
      <w:marBottom w:val="0"/>
      <w:divBdr>
        <w:top w:val="none" w:sz="0" w:space="0" w:color="auto"/>
        <w:left w:val="none" w:sz="0" w:space="0" w:color="auto"/>
        <w:bottom w:val="none" w:sz="0" w:space="0" w:color="auto"/>
        <w:right w:val="none" w:sz="0" w:space="0" w:color="auto"/>
      </w:divBdr>
    </w:div>
    <w:div w:id="1991903758">
      <w:bodyDiv w:val="1"/>
      <w:marLeft w:val="0"/>
      <w:marRight w:val="0"/>
      <w:marTop w:val="0"/>
      <w:marBottom w:val="0"/>
      <w:divBdr>
        <w:top w:val="none" w:sz="0" w:space="0" w:color="auto"/>
        <w:left w:val="none" w:sz="0" w:space="0" w:color="auto"/>
        <w:bottom w:val="none" w:sz="0" w:space="0" w:color="auto"/>
        <w:right w:val="none" w:sz="0" w:space="0" w:color="auto"/>
      </w:divBdr>
    </w:div>
    <w:div w:id="1997492637">
      <w:bodyDiv w:val="1"/>
      <w:marLeft w:val="0"/>
      <w:marRight w:val="0"/>
      <w:marTop w:val="0"/>
      <w:marBottom w:val="0"/>
      <w:divBdr>
        <w:top w:val="none" w:sz="0" w:space="0" w:color="auto"/>
        <w:left w:val="none" w:sz="0" w:space="0" w:color="auto"/>
        <w:bottom w:val="none" w:sz="0" w:space="0" w:color="auto"/>
        <w:right w:val="none" w:sz="0" w:space="0" w:color="auto"/>
      </w:divBdr>
    </w:div>
    <w:div w:id="2000159158">
      <w:bodyDiv w:val="1"/>
      <w:marLeft w:val="0"/>
      <w:marRight w:val="0"/>
      <w:marTop w:val="0"/>
      <w:marBottom w:val="0"/>
      <w:divBdr>
        <w:top w:val="none" w:sz="0" w:space="0" w:color="auto"/>
        <w:left w:val="none" w:sz="0" w:space="0" w:color="auto"/>
        <w:bottom w:val="none" w:sz="0" w:space="0" w:color="auto"/>
        <w:right w:val="none" w:sz="0" w:space="0" w:color="auto"/>
      </w:divBdr>
    </w:div>
    <w:div w:id="2022048808">
      <w:bodyDiv w:val="1"/>
      <w:marLeft w:val="0"/>
      <w:marRight w:val="0"/>
      <w:marTop w:val="0"/>
      <w:marBottom w:val="0"/>
      <w:divBdr>
        <w:top w:val="none" w:sz="0" w:space="0" w:color="auto"/>
        <w:left w:val="none" w:sz="0" w:space="0" w:color="auto"/>
        <w:bottom w:val="none" w:sz="0" w:space="0" w:color="auto"/>
        <w:right w:val="none" w:sz="0" w:space="0" w:color="auto"/>
      </w:divBdr>
    </w:div>
    <w:div w:id="2031832290">
      <w:bodyDiv w:val="1"/>
      <w:marLeft w:val="0"/>
      <w:marRight w:val="0"/>
      <w:marTop w:val="0"/>
      <w:marBottom w:val="0"/>
      <w:divBdr>
        <w:top w:val="none" w:sz="0" w:space="0" w:color="auto"/>
        <w:left w:val="none" w:sz="0" w:space="0" w:color="auto"/>
        <w:bottom w:val="none" w:sz="0" w:space="0" w:color="auto"/>
        <w:right w:val="none" w:sz="0" w:space="0" w:color="auto"/>
      </w:divBdr>
    </w:div>
    <w:div w:id="2049329771">
      <w:bodyDiv w:val="1"/>
      <w:marLeft w:val="0"/>
      <w:marRight w:val="0"/>
      <w:marTop w:val="0"/>
      <w:marBottom w:val="0"/>
      <w:divBdr>
        <w:top w:val="none" w:sz="0" w:space="0" w:color="auto"/>
        <w:left w:val="none" w:sz="0" w:space="0" w:color="auto"/>
        <w:bottom w:val="none" w:sz="0" w:space="0" w:color="auto"/>
        <w:right w:val="none" w:sz="0" w:space="0" w:color="auto"/>
      </w:divBdr>
    </w:div>
    <w:div w:id="2058359187">
      <w:bodyDiv w:val="1"/>
      <w:marLeft w:val="0"/>
      <w:marRight w:val="0"/>
      <w:marTop w:val="0"/>
      <w:marBottom w:val="0"/>
      <w:divBdr>
        <w:top w:val="none" w:sz="0" w:space="0" w:color="auto"/>
        <w:left w:val="none" w:sz="0" w:space="0" w:color="auto"/>
        <w:bottom w:val="none" w:sz="0" w:space="0" w:color="auto"/>
        <w:right w:val="none" w:sz="0" w:space="0" w:color="auto"/>
      </w:divBdr>
    </w:div>
    <w:div w:id="2076196347">
      <w:bodyDiv w:val="1"/>
      <w:marLeft w:val="0"/>
      <w:marRight w:val="0"/>
      <w:marTop w:val="0"/>
      <w:marBottom w:val="0"/>
      <w:divBdr>
        <w:top w:val="none" w:sz="0" w:space="0" w:color="auto"/>
        <w:left w:val="none" w:sz="0" w:space="0" w:color="auto"/>
        <w:bottom w:val="none" w:sz="0" w:space="0" w:color="auto"/>
        <w:right w:val="none" w:sz="0" w:space="0" w:color="auto"/>
      </w:divBdr>
    </w:div>
    <w:div w:id="2090762236">
      <w:bodyDiv w:val="1"/>
      <w:marLeft w:val="0"/>
      <w:marRight w:val="0"/>
      <w:marTop w:val="0"/>
      <w:marBottom w:val="0"/>
      <w:divBdr>
        <w:top w:val="none" w:sz="0" w:space="0" w:color="auto"/>
        <w:left w:val="none" w:sz="0" w:space="0" w:color="auto"/>
        <w:bottom w:val="none" w:sz="0" w:space="0" w:color="auto"/>
        <w:right w:val="none" w:sz="0" w:space="0" w:color="auto"/>
      </w:divBdr>
    </w:div>
    <w:div w:id="2095786129">
      <w:bodyDiv w:val="1"/>
      <w:marLeft w:val="0"/>
      <w:marRight w:val="0"/>
      <w:marTop w:val="0"/>
      <w:marBottom w:val="0"/>
      <w:divBdr>
        <w:top w:val="none" w:sz="0" w:space="0" w:color="auto"/>
        <w:left w:val="none" w:sz="0" w:space="0" w:color="auto"/>
        <w:bottom w:val="none" w:sz="0" w:space="0" w:color="auto"/>
        <w:right w:val="none" w:sz="0" w:space="0" w:color="auto"/>
      </w:divBdr>
    </w:div>
    <w:div w:id="2096856546">
      <w:bodyDiv w:val="1"/>
      <w:marLeft w:val="0"/>
      <w:marRight w:val="0"/>
      <w:marTop w:val="0"/>
      <w:marBottom w:val="0"/>
      <w:divBdr>
        <w:top w:val="none" w:sz="0" w:space="0" w:color="auto"/>
        <w:left w:val="none" w:sz="0" w:space="0" w:color="auto"/>
        <w:bottom w:val="none" w:sz="0" w:space="0" w:color="auto"/>
        <w:right w:val="none" w:sz="0" w:space="0" w:color="auto"/>
      </w:divBdr>
    </w:div>
    <w:div w:id="2100325624">
      <w:bodyDiv w:val="1"/>
      <w:marLeft w:val="0"/>
      <w:marRight w:val="0"/>
      <w:marTop w:val="0"/>
      <w:marBottom w:val="0"/>
      <w:divBdr>
        <w:top w:val="none" w:sz="0" w:space="0" w:color="auto"/>
        <w:left w:val="none" w:sz="0" w:space="0" w:color="auto"/>
        <w:bottom w:val="none" w:sz="0" w:space="0" w:color="auto"/>
        <w:right w:val="none" w:sz="0" w:space="0" w:color="auto"/>
      </w:divBdr>
    </w:div>
    <w:div w:id="2117208286">
      <w:bodyDiv w:val="1"/>
      <w:marLeft w:val="0"/>
      <w:marRight w:val="0"/>
      <w:marTop w:val="0"/>
      <w:marBottom w:val="0"/>
      <w:divBdr>
        <w:top w:val="none" w:sz="0" w:space="0" w:color="auto"/>
        <w:left w:val="none" w:sz="0" w:space="0" w:color="auto"/>
        <w:bottom w:val="none" w:sz="0" w:space="0" w:color="auto"/>
        <w:right w:val="none" w:sz="0" w:space="0" w:color="auto"/>
      </w:divBdr>
    </w:div>
    <w:div w:id="2117477312">
      <w:bodyDiv w:val="1"/>
      <w:marLeft w:val="0"/>
      <w:marRight w:val="0"/>
      <w:marTop w:val="0"/>
      <w:marBottom w:val="0"/>
      <w:divBdr>
        <w:top w:val="none" w:sz="0" w:space="0" w:color="auto"/>
        <w:left w:val="none" w:sz="0" w:space="0" w:color="auto"/>
        <w:bottom w:val="none" w:sz="0" w:space="0" w:color="auto"/>
        <w:right w:val="none" w:sz="0" w:space="0" w:color="auto"/>
      </w:divBdr>
    </w:div>
    <w:div w:id="21467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nl.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C5025165-BF64-47A0-A84D-FEB16D0ED423}">
    <t:Anchor>
      <t:Comment id="753012541"/>
    </t:Anchor>
    <t:History>
      <t:Event id="{F79FE02A-338C-4614-B7D1-9586B262355F}" time="2023-09-11T15:17:40.351Z">
        <t:Attribution userId="S::francesco.bonanomi@ec.europa.eu::a2e356af-e8c1-4d65-96e9-8f24c3c1833e" userProvider="AD" userName="BONANOMI Francesco (BUDG)"/>
        <t:Anchor>
          <t:Comment id="687149150"/>
        </t:Anchor>
        <t:Create/>
      </t:Event>
      <t:Event id="{82338177-A392-4DDD-99F1-E4EFC6D92FBA}" time="2023-09-11T15:17:40.351Z">
        <t:Attribution userId="S::francesco.bonanomi@ec.europa.eu::a2e356af-e8c1-4d65-96e9-8f24c3c1833e" userProvider="AD" userName="BONANOMI Francesco (BUDG)"/>
        <t:Anchor>
          <t:Comment id="687149150"/>
        </t:Anchor>
        <t:Assign userId="S::Jeremie.VIAILLY@ec.europa.eu::26a1d493-d36c-480b-93a3-320a36bd0fee" userProvider="AD" userName="VIAILLY Jeremie (BUDG)"/>
      </t:Event>
      <t:Event id="{E46F3AC7-2AC8-4EC6-8EEB-FB13067884A1}" time="2023-09-11T15:17:40.351Z">
        <t:Attribution userId="S::francesco.bonanomi@ec.europa.eu::a2e356af-e8c1-4d65-96e9-8f24c3c1833e" userProvider="AD" userName="BONANOMI Francesco (BUDG)"/>
        <t:Anchor>
          <t:Comment id="687149150"/>
        </t:Anchor>
        <t:SetTitle title="@VIAILLY Jeremie (BUDG) Jérémie, what do you think? For us (InvestEU etc) it was rather a matter for simplification but maybe for HE is OK like Atanas proposes it."/>
      </t:Event>
      <t:Event id="{E6D336BB-9B61-4E8B-88AE-2C184C88B592}" time="2023-09-13T08:40:49.225Z">
        <t:Attribution userId="S::jeremie.viailly@ec.europa.eu::26a1d493-d36c-480b-93a3-320a36bd0fee" userProvider="AD" userName="VIAILLY Jeremie (BUD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D9014476DED49B5A9ADBFCD58139D" ma:contentTypeVersion="8" ma:contentTypeDescription="Create a new document." ma:contentTypeScope="" ma:versionID="5c3a585ad91be72390332a1247289d1d">
  <xsd:schema xmlns:xsd="http://www.w3.org/2001/XMLSchema" xmlns:xs="http://www.w3.org/2001/XMLSchema" xmlns:p="http://schemas.microsoft.com/office/2006/metadata/properties" xmlns:ns2="cdf19970-b5ad-4197-8b86-34b0870b43f7" targetNamespace="http://schemas.microsoft.com/office/2006/metadata/properties" ma:root="true" ma:fieldsID="669d2a59ef20f03eaed17bac64da4fd4" ns2:_="">
    <xsd:import namespace="cdf19970-b5ad-4197-8b86-34b0870b43f7"/>
    <xsd:element name="properties">
      <xsd:complexType>
        <xsd:sequence>
          <xsd:element name="documentManagement">
            <xsd:complexType>
              <xsd:all>
                <xsd:element ref="ns2:Author0"/>
                <xsd:element ref="ns2:Year"/>
                <xsd:element ref="ns2:Step"/>
                <xsd:element ref="ns2:DocType"/>
                <xsd:element ref="ns2:FreeText" minOccurs="0"/>
                <xsd:element ref="ns2:FolderCod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19970-b5ad-4197-8b86-34b0870b43f7" elementFormDefault="qualified">
    <xsd:import namespace="http://schemas.microsoft.com/office/2006/documentManagement/types"/>
    <xsd:import namespace="http://schemas.microsoft.com/office/infopath/2007/PartnerControls"/>
    <xsd:element name="Author0" ma:index="8" ma:displayName="Author"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Year" ma:index="9"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element name="Step" ma:index="10" ma:displayName="Step" ma:format="Dropdown" ma:internalName="Step">
      <xsd:simpleType>
        <xsd:restriction base="dms:Choice">
          <xsd:enumeration value="dab_01"/>
          <xsd:enumeration value="dab_02"/>
          <xsd:enumeration value="dab_03"/>
          <xsd:enumeration value="dab_04"/>
          <xsd:enumeration value="dab_05"/>
          <xsd:enumeration value="dab_06"/>
          <xsd:enumeration value="dab_07"/>
          <xsd:enumeration value="dab_08"/>
          <xsd:enumeration value="dab_09"/>
          <xsd:enumeration value="dab_10"/>
          <xsd:enumeration value="hearings"/>
          <xsd:enumeration value="draft_budget_1"/>
          <xsd:enumeration value="parliament_1"/>
          <xsd:enumeration value="council_1"/>
          <xsd:enumeration value="amending_letter_1"/>
          <xsd:enumeration value="amending_letter_2"/>
          <xsd:enumeration value="draft_budget_2"/>
          <xsd:enumeration value="parliament_2"/>
          <xsd:enumeration value="council_2"/>
          <xsd:enumeration value="budget"/>
          <xsd:enumeration value="tufp"/>
          <xsd:enumeration value="other"/>
        </xsd:restriction>
      </xsd:simpleType>
    </xsd:element>
    <xsd:element name="DocType" ma:index="11" ma:displayName="DocType" ma:format="Dropdown" ma:internalName="DocType">
      <xsd:simpleType>
        <xsd:restriction base="dms:Choice">
          <xsd:enumeration value="Report"/>
          <xsd:enumeration value="Presentation"/>
          <xsd:enumeration value="Spreadsheet"/>
          <xsd:enumeration value="Other"/>
        </xsd:restriction>
      </xsd:simpleType>
    </xsd:element>
    <xsd:element name="FreeText" ma:index="12" nillable="true" ma:displayName="FreeText" ma:internalName="FreeText">
      <xsd:simpleType>
        <xsd:restriction base="dms:Text">
          <xsd:maxLength value="255"/>
        </xsd:restriction>
      </xsd:simpleType>
    </xsd:element>
    <xsd:element name="FolderCode" ma:index="13" nillable="true" ma:displayName="FolderCode" ma:internalName="FolderCod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ep xmlns="cdf19970-b5ad-4197-8b86-34b0870b43f7">amending_letter_1</Step>
    <DocType xmlns="cdf19970-b5ad-4197-8b86-34b0870b43f7">Report</DocType>
    <FreeText xmlns="cdf19970-b5ad-4197-8b86-34b0870b43f7" xsi:nil="true"/>
    <Author0 xmlns="cdf19970-b5ad-4197-8b86-34b0870b43f7">
      <UserInfo>
        <DisplayName>SAIL Etienne (BUDG)</DisplayName>
        <AccountId>12</AccountId>
        <AccountType/>
      </UserInfo>
    </Author0>
    <Year xmlns="cdf19970-b5ad-4197-8b86-34b0870b43f7">2024</Year>
    <FolderCode xmlns="cdf19970-b5ad-4197-8b86-34b0870b43f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3A9A-72D0-4430-A4F6-CAB7F404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19970-b5ad-4197-8b86-34b0870b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43907-64B4-4AEA-96E0-87CE585B63DE}">
  <ds:schemaRefs>
    <ds:schemaRef ds:uri="http://schemas.microsoft.com/office/2006/metadata/properties"/>
    <ds:schemaRef ds:uri="http://schemas.microsoft.com/office/infopath/2007/PartnerControls"/>
    <ds:schemaRef ds:uri="cdf19970-b5ad-4197-8b86-34b0870b43f7"/>
  </ds:schemaRefs>
</ds:datastoreItem>
</file>

<file path=customXml/itemProps3.xml><?xml version="1.0" encoding="utf-8"?>
<ds:datastoreItem xmlns:ds="http://schemas.openxmlformats.org/officeDocument/2006/customXml" ds:itemID="{6BC11443-88C5-4253-9C21-197A7DEA5E1E}">
  <ds:schemaRefs>
    <ds:schemaRef ds:uri="http://schemas.microsoft.com/sharepoint/v3/contenttype/forms"/>
  </ds:schemaRefs>
</ds:datastoreItem>
</file>

<file path=customXml/itemProps4.xml><?xml version="1.0" encoding="utf-8"?>
<ds:datastoreItem xmlns:ds="http://schemas.openxmlformats.org/officeDocument/2006/customXml" ds:itemID="{B05FE6A7-BA86-4DA9-A5DF-87EEB763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5581</Words>
  <Characters>30195</Characters>
  <Application>Microsoft Office Word</Application>
  <DocSecurity>0</DocSecurity>
  <Lines>1509</Lines>
  <Paragraphs>831</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Amending Letter 1</dc:subject>
  <dc:creator/>
  <cp:keywords/>
  <dc:description/>
  <cp:lastModifiedBy/>
  <cp:revision>29</cp:revision>
  <cp:lastPrinted>2023-09-20T06:07:00Z</cp:lastPrinted>
  <dcterms:created xsi:type="dcterms:W3CDTF">2023-10-19T14:18:00Z</dcterms:created>
  <dcterms:modified xsi:type="dcterms:W3CDTF">2023-10-20T09:40:00Z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CPTemplateID">
    <vt:lpwstr>CP-032</vt:lpwstr>
  </property>
  <property fmtid="{D5CDD505-2E9C-101B-9397-08002B2CF9AE}" pid="8" name="_dlc_DocIdItemGuid">
    <vt:lpwstr>a6fba76c-7919-4b47-9f56-93c39888659a</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0x010100258AA79CEB83498886A3A08681123250005B26C1F49889DF4FB58022634B30FA7100ED1E91EEBF4B8B45A53D14591E83EDB5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2022-07-27T13:02:25Z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8026fe53-ad11-4692-804b-f509ddb786aa</vt:lpwstr>
  </property>
  <property fmtid="{D5CDD505-2E9C-101B-9397-08002B2CF9AE}" pid="16" name="MSIP_Label_6bd9ddd1-4d20-43f6-abfa-fc3c07406f94_ContentBits">
    <vt:lpwstr>0</vt:lpwstr>
  </property>
  <property fmtid="{D5CDD505-2E9C-101B-9397-08002B2CF9AE}" pid="17" name="ContentTypeId">
    <vt:lpwstr>0x010100DA7D9014476DED49B5A9ADBFCD58139D</vt:lpwstr>
  </property>
  <property fmtid="{D5CDD505-2E9C-101B-9397-08002B2CF9AE}" pid="18" name="Last edited using">
    <vt:lpwstr>LW 9.0, Build 20230317</vt:lpwstr>
  </property>
  <property name="OP_sanitized" fmtid="{D5CDD505-2E9C-101B-9397-08002B2CF9AE}" pid="19">
    <vt:lpwstr>True</vt:lpwstr>
  </property>
</Properties>
</file>