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38E89" w14:textId="089A9C99" w:rsidR="00C971A3" w:rsidRPr="00B47781" w:rsidRDefault="00684B88" w:rsidP="00684B88">
      <w:pPr>
        <w:pStyle w:val="Pagedecouverture"/>
        <w:rPr>
          <w:noProof/>
        </w:rPr>
      </w:pPr>
      <w:r>
        <w:rPr>
          <w:noProof/>
        </w:rPr>
        <w:pict w14:anchorId="14B01C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9CFCC6FA-B649-48AE-BB0E-01FCEFBB0D89" style="width:455.25pt;height:369.75pt">
            <v:imagedata r:id="rId11" o:title=""/>
          </v:shape>
        </w:pict>
      </w:r>
    </w:p>
    <w:p w14:paraId="463677D8" w14:textId="77777777" w:rsidR="00C95DB4" w:rsidRPr="00B47781" w:rsidRDefault="00C95DB4" w:rsidP="00C95DB4">
      <w:pPr>
        <w:pStyle w:val="Pagedecouverture"/>
        <w:rPr>
          <w:noProof/>
        </w:rPr>
        <w:sectPr w:rsidR="00C95DB4" w:rsidRPr="00B47781" w:rsidSect="00684B8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D4F737E" w14:textId="6C85B58B" w:rsidR="00C95DB4" w:rsidRPr="00B47781" w:rsidRDefault="00C95DB4" w:rsidP="00C95DB4">
      <w:pPr>
        <w:pStyle w:val="Exposdesmotifstitre"/>
        <w:rPr>
          <w:noProof/>
        </w:rPr>
      </w:pPr>
      <w:bookmarkStart w:id="0" w:name="_GoBack"/>
      <w:bookmarkEnd w:id="0"/>
    </w:p>
    <w:p w14:paraId="6092983F" w14:textId="77777777" w:rsidR="00C95DB4" w:rsidRPr="00B47781" w:rsidRDefault="00C95DB4" w:rsidP="00C95DB4">
      <w:pPr>
        <w:rPr>
          <w:noProof/>
        </w:rPr>
      </w:pPr>
    </w:p>
    <w:p w14:paraId="12B55EE2" w14:textId="70889FA4" w:rsidR="00DA2192" w:rsidRDefault="00DA2192" w:rsidP="00DA2192">
      <w:pPr>
        <w:pStyle w:val="Rfrenceinterinstitutionnelle"/>
        <w:rPr>
          <w:noProof/>
        </w:rPr>
      </w:pPr>
      <w:r w:rsidRPr="00DA2192">
        <w:t>2022/0427 (NLE)</w:t>
      </w:r>
    </w:p>
    <w:p w14:paraId="2C238E8A" w14:textId="4707D64F" w:rsidR="00C971A3" w:rsidRPr="00B47781" w:rsidRDefault="004A7B51" w:rsidP="004A7B51">
      <w:pPr>
        <w:pStyle w:val="Statut"/>
        <w:rPr>
          <w:noProof/>
        </w:rPr>
      </w:pPr>
      <w:r w:rsidRPr="004A7B51">
        <w:rPr>
          <w:noProof/>
        </w:rPr>
        <w:t>Voorstel voor een</w:t>
      </w:r>
    </w:p>
    <w:p w14:paraId="2C238E8B" w14:textId="0D5B3901" w:rsidR="00C971A3" w:rsidRPr="00B47781" w:rsidRDefault="004A7B51" w:rsidP="004A7B51">
      <w:pPr>
        <w:pStyle w:val="Typedudocument"/>
        <w:rPr>
          <w:noProof/>
        </w:rPr>
      </w:pPr>
      <w:r w:rsidRPr="004A7B51">
        <w:rPr>
          <w:noProof/>
        </w:rPr>
        <w:t>UITVOERINGSBESLUIT VAN DE RAAD</w:t>
      </w:r>
    </w:p>
    <w:p w14:paraId="2C238E8C" w14:textId="2025338D" w:rsidR="00C971A3" w:rsidRPr="00B47781" w:rsidRDefault="004A7B51" w:rsidP="004A7B51">
      <w:pPr>
        <w:pStyle w:val="Titreobjet"/>
        <w:rPr>
          <w:noProof/>
        </w:rPr>
      </w:pPr>
      <w:r w:rsidRPr="004A7B51">
        <w:rPr>
          <w:noProof/>
        </w:rPr>
        <w:t>tot wijziging van Uitvoeringsbesluit van de Raad (EU) (ST 10155/21; ST 10155/21 ADD 1) betreffende de goedkeuring van de beoordeling van het herstel- en veerkrachtplan voor Luxemburg</w:t>
      </w:r>
    </w:p>
    <w:p w14:paraId="2C238E8D" w14:textId="77777777" w:rsidR="00C971A3" w:rsidRPr="00B47781" w:rsidRDefault="00AB4BDB">
      <w:pPr>
        <w:pStyle w:val="Institutionquiagit"/>
        <w:rPr>
          <w:noProof/>
        </w:rPr>
      </w:pPr>
      <w:r w:rsidRPr="00B47781">
        <w:rPr>
          <w:noProof/>
        </w:rPr>
        <w:t>DE RAAD VAN DE EUROPESE UNIE,</w:t>
      </w:r>
    </w:p>
    <w:p w14:paraId="2C238E8E" w14:textId="77777777" w:rsidR="00C971A3" w:rsidRPr="00B47781" w:rsidRDefault="00AB4BDB">
      <w:pPr>
        <w:rPr>
          <w:noProof/>
        </w:rPr>
      </w:pPr>
      <w:r w:rsidRPr="00B47781">
        <w:rPr>
          <w:noProof/>
        </w:rPr>
        <w:t xml:space="preserve">Gezien het Verdrag betreffende de werking van de Europese Unie, </w:t>
      </w:r>
    </w:p>
    <w:p w14:paraId="2C238E8F" w14:textId="77777777" w:rsidR="00C971A3" w:rsidRPr="00B47781" w:rsidRDefault="00AB4BDB">
      <w:pPr>
        <w:rPr>
          <w:noProof/>
        </w:rPr>
      </w:pPr>
      <w:r w:rsidRPr="00B47781">
        <w:rPr>
          <w:noProof/>
        </w:rPr>
        <w:t>Gezien Verordening (EU) 2021/241 van het Europees Parlement en de Raad van 12 februari 2021 tot instelling van de herstel- en veerkrachtfaciliteit</w:t>
      </w:r>
      <w:r w:rsidRPr="00B47781">
        <w:rPr>
          <w:rStyle w:val="FootnoteReference"/>
          <w:noProof/>
        </w:rPr>
        <w:footnoteReference w:id="2"/>
      </w:r>
      <w:r w:rsidRPr="00B47781">
        <w:rPr>
          <w:noProof/>
        </w:rPr>
        <w:t>, en met name artikel 18, lid 2,</w:t>
      </w:r>
    </w:p>
    <w:p w14:paraId="2C238E90" w14:textId="77777777" w:rsidR="00C971A3" w:rsidRPr="00B47781" w:rsidRDefault="00AB4BDB">
      <w:pPr>
        <w:rPr>
          <w:noProof/>
        </w:rPr>
      </w:pPr>
      <w:r w:rsidRPr="00B47781">
        <w:rPr>
          <w:noProof/>
        </w:rPr>
        <w:t>Gezien het voorstel van de Europese Commissie,</w:t>
      </w:r>
    </w:p>
    <w:p w14:paraId="2C238E91" w14:textId="77777777" w:rsidR="00C971A3" w:rsidRPr="00B47781" w:rsidRDefault="00AB4BDB">
      <w:pPr>
        <w:rPr>
          <w:noProof/>
        </w:rPr>
      </w:pPr>
      <w:r w:rsidRPr="00B47781">
        <w:rPr>
          <w:noProof/>
        </w:rPr>
        <w:t>Overwegende hetgeen volgt:</w:t>
      </w:r>
    </w:p>
    <w:p w14:paraId="2C238E92" w14:textId="253470A2" w:rsidR="00C971A3" w:rsidRPr="00B47781" w:rsidRDefault="00AE3B83" w:rsidP="00AE3B83">
      <w:pPr>
        <w:pStyle w:val="ManualConsidrant"/>
        <w:rPr>
          <w:noProof/>
        </w:rPr>
      </w:pPr>
      <w:r w:rsidRPr="00AE3B83">
        <w:t>(1)</w:t>
      </w:r>
      <w:r w:rsidRPr="00AE3B83">
        <w:tab/>
      </w:r>
      <w:r w:rsidR="00AB4BDB" w:rsidRPr="00B47781">
        <w:rPr>
          <w:noProof/>
          <w:shd w:val="clear" w:color="auto" w:fill="FFFFFF"/>
        </w:rPr>
        <w:t>Luxemburg</w:t>
      </w:r>
      <w:r w:rsidR="00AB4BDB" w:rsidRPr="00B47781">
        <w:rPr>
          <w:noProof/>
        </w:rPr>
        <w:t xml:space="preserve"> heeft op 30 april 2021 zijn nationale herstel- en veerkrachtplan ingediend, waarna de Commissie haar positieve beoordeling aan de Raad heeft voorgesteld. De Raad heeft de positieve beoordeling goedgekeurd door middel van het uitvoeringsbesluit van de Raad van 13 juli 2021</w:t>
      </w:r>
      <w:r w:rsidR="00AB4BDB" w:rsidRPr="00B47781">
        <w:rPr>
          <w:rStyle w:val="FootnoteReference"/>
          <w:noProof/>
        </w:rPr>
        <w:footnoteReference w:id="3"/>
      </w:r>
      <w:r w:rsidR="00AB4BDB" w:rsidRPr="00B47781">
        <w:rPr>
          <w:noProof/>
        </w:rPr>
        <w:t xml:space="preserve">. </w:t>
      </w:r>
    </w:p>
    <w:p w14:paraId="2C238E93" w14:textId="7982AD04" w:rsidR="00C971A3" w:rsidRPr="00B47781" w:rsidRDefault="00AE3B83" w:rsidP="00AE3B83">
      <w:pPr>
        <w:pStyle w:val="ManualConsidrant"/>
        <w:rPr>
          <w:noProof/>
        </w:rPr>
      </w:pPr>
      <w:r w:rsidRPr="00AE3B83">
        <w:t>(2)</w:t>
      </w:r>
      <w:r w:rsidRPr="00AE3B83">
        <w:tab/>
      </w:r>
      <w:r w:rsidR="00AB4BDB" w:rsidRPr="00B47781">
        <w:rPr>
          <w:noProof/>
        </w:rPr>
        <w:t xml:space="preserve">Overeenkomstig artikel 11, lid 2, van Verordening (EU) 2021/241 moet de maximale financiële bijdrage voor niet-terugvorderbare financiële steun van elke lidstaat uiterlijk op 30 juni 2022 worden bijgewerkt aan de hand van de daarin vastgestelde methode. Op 30 juni 2022 heeft de Commissie de bijgewerkte resultaten aan het Europees Parlement en de Raad voorgelegd.  </w:t>
      </w:r>
    </w:p>
    <w:p w14:paraId="2C238E94" w14:textId="66EEFD92" w:rsidR="00C971A3" w:rsidRPr="00B47781" w:rsidRDefault="00AE3B83" w:rsidP="00AE3B83">
      <w:pPr>
        <w:pStyle w:val="ManualConsidrant"/>
        <w:rPr>
          <w:noProof/>
        </w:rPr>
      </w:pPr>
      <w:r w:rsidRPr="00AE3B83">
        <w:t>(3)</w:t>
      </w:r>
      <w:r w:rsidRPr="00AE3B83">
        <w:tab/>
      </w:r>
      <w:r w:rsidR="00AB4BDB" w:rsidRPr="00B47781">
        <w:rPr>
          <w:noProof/>
        </w:rPr>
        <w:t>Op 11 november 2022 heeft Luxemburg zijn bijgewerkte herstel- en veerkrachtplan, inclusief de bijgewerkte maximale financiële bijdrage, overeenkomstig artikel 18, lid 2, van Verordening (EU) 2021/241 bij de Commissie ingediend. Krachtens artikel 19 van Verordening (EU) 2021/241 heeft de Commissie de relevantie, doeltreffendheid, efficiëntie en samenhang van het bijgewerkte herstel- en veerkrachtplan beoordeeld in overeenstemming met de in bijlage V bij die verordening opgenomen beoordelingsrichtsnoeren.</w:t>
      </w:r>
    </w:p>
    <w:p w14:paraId="2C238E95" w14:textId="784E17AB" w:rsidR="00C971A3" w:rsidRPr="00B47781" w:rsidRDefault="00AE3B83" w:rsidP="00AE3B83">
      <w:pPr>
        <w:pStyle w:val="ManualConsidrant"/>
        <w:rPr>
          <w:noProof/>
        </w:rPr>
      </w:pPr>
      <w:r w:rsidRPr="00AE3B83">
        <w:t>(4)</w:t>
      </w:r>
      <w:r w:rsidRPr="00AE3B83">
        <w:tab/>
      </w:r>
      <w:r w:rsidR="009E259E" w:rsidRPr="00B47781">
        <w:rPr>
          <w:noProof/>
        </w:rPr>
        <w:t>Het door Luxemburg ingediende bijgewerkte plan heeft gevolgen voor de investeringen in digitale vaardigheden in het kader van component 1A en de mijlpalen en streefdoelen met de volgnummers 1A-6 tot en met 1A-8 (“Vaardigheden, bij- en omscholing”).</w:t>
      </w:r>
    </w:p>
    <w:p w14:paraId="2C238E96" w14:textId="6DA1EEAB" w:rsidR="00C971A3" w:rsidRPr="00B47781" w:rsidRDefault="00AE3B83" w:rsidP="00AE3B83">
      <w:pPr>
        <w:pStyle w:val="ManualConsidrant"/>
        <w:rPr>
          <w:noProof/>
        </w:rPr>
      </w:pPr>
      <w:r w:rsidRPr="00AE3B83">
        <w:t>(5)</w:t>
      </w:r>
      <w:r w:rsidRPr="00AE3B83">
        <w:tab/>
      </w:r>
      <w:r w:rsidR="00AB4BDB" w:rsidRPr="00B47781">
        <w:rPr>
          <w:noProof/>
        </w:rPr>
        <w:t xml:space="preserve">De investering in digitale vaardigheden, die betrekking heeft op een reeks e-learningcursussen betreffende digitale vaardigheden die gericht zijn op werknemers die tussen januari en maart 2021 in een regeling voor werktijdverkorting zijn geplaatst, is in het bijgewerkte herstel- en veerkrachtplan van Luxemburg geschrapt. De beschrijving van de investeringen in digitale vaardigheden, streefdoel 1A-6 en mijlpalen 1A-7 en 1A-8 moeten worden geschrapt uit het uitvoeringsbesluit van de Raad van 13 juli 2021. </w:t>
      </w:r>
    </w:p>
    <w:p w14:paraId="2C238E98" w14:textId="0BAC5768" w:rsidR="00C971A3" w:rsidRPr="00B47781" w:rsidRDefault="00AE3B83" w:rsidP="00AE3B83">
      <w:pPr>
        <w:pStyle w:val="ManualConsidrant"/>
        <w:rPr>
          <w:noProof/>
          <w:szCs w:val="24"/>
        </w:rPr>
      </w:pPr>
      <w:r w:rsidRPr="00AE3B83">
        <w:t>(6)</w:t>
      </w:r>
      <w:r w:rsidRPr="00AE3B83">
        <w:tab/>
      </w:r>
      <w:r w:rsidR="009C1C01" w:rsidRPr="00B47781">
        <w:rPr>
          <w:noProof/>
        </w:rPr>
        <w:t>De door Luxemburg voorgestelde zeer beperkte wijziging heeft geen invloed op de positieve beoordeling van het herstel- en veerkrachtplan wat betreft de relevantie, doeltreffendheid, efficiëntie en samenhang van het herstel- en veerkrachtplan.</w:t>
      </w:r>
    </w:p>
    <w:p w14:paraId="2C238E99" w14:textId="1439E253" w:rsidR="00C971A3" w:rsidRPr="00B47781" w:rsidRDefault="00AE3B83" w:rsidP="00AE3B83">
      <w:pPr>
        <w:pStyle w:val="ManualConsidrant"/>
        <w:rPr>
          <w:noProof/>
        </w:rPr>
      </w:pPr>
      <w:r w:rsidRPr="00AE3B83">
        <w:t>(7)</w:t>
      </w:r>
      <w:r w:rsidRPr="00AE3B83">
        <w:tab/>
      </w:r>
      <w:r w:rsidR="00AB4BDB" w:rsidRPr="00B47781">
        <w:rPr>
          <w:noProof/>
        </w:rPr>
        <w:t xml:space="preserve">Wat met name het beoordelingscriterium van artikel 19, lid 3, punt b), betreft, blijft het bijgewerkte herstel- en veerkrachtplan, ondanks de schrapping van de investeringen in digitale vaardigheden, alle of een significant deel van de uitdagingen aanpakken die zijn vastgesteld in de landspecifieke aanbevelingen die de Raad in 2019 en 2020 tot Luxemburg heeft gericht, onder meer inzake arbeidsmarktbeleid en de digitale transitie. Het bijgewerkte herstel- en veerkrachtplan bevat nog steeds digitale maatregelen, onder meer op het gebied van bij- en omscholing. In het bijzonder biedt het programma FutureSkills werkzoekenden (specifiek in de leeftijdsgroep 45 jaar en ouder) zachte, digitale en managementvaardigheden. De “Skillsdësch”-hervorming is gericht op het opzetten van beroepsopleidingsprogramma’s (“skillsbridges”) die werknemers en werkzoekenden helpen hun inzetbaarheid tijdens de groene en digitale transitie te vergroten. Voorts worden in het bijgewerkte herstel- en veerkrachtplan een aantal investeringen in digitalisering en innovatie gehandhaafd die bijdragen tot de digitale transitie op het gebied van gezondheidszorg en openbare diensten alsmede tot de ontwikkeling van ultraveilige communicatie-infrastructuur. </w:t>
      </w:r>
    </w:p>
    <w:p w14:paraId="2C238E9A" w14:textId="66BDA398" w:rsidR="00C971A3" w:rsidRPr="00B47781" w:rsidRDefault="00AE3B83" w:rsidP="00AE3B83">
      <w:pPr>
        <w:pStyle w:val="ManualConsidrant"/>
        <w:rPr>
          <w:noProof/>
        </w:rPr>
      </w:pPr>
      <w:r w:rsidRPr="00AE3B83">
        <w:t>(8)</w:t>
      </w:r>
      <w:r w:rsidRPr="00AE3B83">
        <w:tab/>
      </w:r>
      <w:r w:rsidR="00AB4BDB" w:rsidRPr="00B47781">
        <w:rPr>
          <w:noProof/>
        </w:rPr>
        <w:t xml:space="preserve">Wat het beoordelingscriterium van artikel 19, lid 3, punt e), betreft, bedragen de maatregelen die daadwerkelijk bijdragen aan de groene transitie, rekening houdend met de verlaagde maximale financiële bijdrage en het bijgewerkte herstel- en veerkrachtplan, bovendien 68,8 % van de totale toewijzing van het bijgewerkte herstel- en veerkrachtplan, vergeleken met 60,9 % in het oorspronkelijke herstel- en veerkrachtplan. Deze cijfers zijn berekend volgens de in bijlage VI bij Verordening (EU) 2021/241 vastgestelde methode. </w:t>
      </w:r>
    </w:p>
    <w:p w14:paraId="2C238E9B" w14:textId="3E4B385A" w:rsidR="00C971A3" w:rsidRPr="00B47781" w:rsidRDefault="00AE3B83" w:rsidP="00AE3B83">
      <w:pPr>
        <w:pStyle w:val="ManualConsidrant"/>
        <w:rPr>
          <w:noProof/>
        </w:rPr>
      </w:pPr>
      <w:r w:rsidRPr="00AE3B83">
        <w:t>(9)</w:t>
      </w:r>
      <w:r w:rsidRPr="00AE3B83">
        <w:tab/>
      </w:r>
      <w:r w:rsidR="00AB4BDB" w:rsidRPr="00B47781">
        <w:rPr>
          <w:noProof/>
        </w:rPr>
        <w:t xml:space="preserve">Wat het beoordelingscriterium van artikel 19, lid 3, punt f), betreft, zijn de maatregelen die daadwerkelijk bijdragen aan de digitale transitie bovendien goed voor 29,6 % van de totale toewijzing van het bijgewerkte herstel- en veerkrachtplan, vergeleken met 31,6 % in het oorspronkelijke herstel- en veerkrachtplan. Deze cijfers zijn berekend volgens de in bijlage VII bij Verordening (EU) 2021/241 vastgestelde methode. </w:t>
      </w:r>
    </w:p>
    <w:p w14:paraId="2C238E9C" w14:textId="075AB7D6" w:rsidR="00C971A3" w:rsidRPr="00B47781" w:rsidRDefault="00AE3B83" w:rsidP="00AE3B83">
      <w:pPr>
        <w:pStyle w:val="ManualConsidrant"/>
        <w:rPr>
          <w:noProof/>
        </w:rPr>
      </w:pPr>
      <w:r w:rsidRPr="00AE3B83">
        <w:t>(10)</w:t>
      </w:r>
      <w:r w:rsidRPr="00AE3B83">
        <w:tab/>
      </w:r>
      <w:r w:rsidR="00AB4BDB" w:rsidRPr="00B47781">
        <w:rPr>
          <w:noProof/>
        </w:rPr>
        <w:t>Wat de beoordelingscriteria van artikel 19, lid 3, punten a), c), d), g), h), i), j) en k), van Verordening (EU) 2021/241 betreft, hebben de beperkte wijzigingen van het herstel- en veerkrachtplan geen invloed op de positieve beoordeling van het oorspronkelijke plan.</w:t>
      </w:r>
    </w:p>
    <w:p w14:paraId="2C238E9D" w14:textId="620F7DD1" w:rsidR="00C971A3" w:rsidRPr="00B47781" w:rsidRDefault="00AE3B83" w:rsidP="00AE3B83">
      <w:pPr>
        <w:pStyle w:val="ManualConsidrant"/>
        <w:rPr>
          <w:noProof/>
        </w:rPr>
      </w:pPr>
      <w:r w:rsidRPr="00AE3B83">
        <w:t>(11)</w:t>
      </w:r>
      <w:r w:rsidRPr="00AE3B83">
        <w:tab/>
      </w:r>
      <w:r w:rsidR="00AB4BDB" w:rsidRPr="00B47781">
        <w:rPr>
          <w:noProof/>
        </w:rPr>
        <w:t>Na de positieve beoordeling door de Commissie van het bijgewerkte herstel- en veerkrachtplan van Luxemburg met de bevinding dat het herstel- en veerkrachtplan op bevredigende wijze voldoet aan de beoordelingscriteria van Verordening (EU) 2021/241, overeenkomstig artikel 20, lid 2, van en bijlage V bij die verordening, moeten in dit besluit de wijzigingen in de hervormingen en investeringsprojecten worden vastgesteld die nodig zijn om rekening te houden met het bijgewerkte herstel- en veerkrachtplan.</w:t>
      </w:r>
    </w:p>
    <w:p w14:paraId="2C238E9E" w14:textId="2B57CAE5" w:rsidR="00C971A3" w:rsidRPr="00B47781" w:rsidRDefault="00AE3B83" w:rsidP="00AE3B83">
      <w:pPr>
        <w:pStyle w:val="ManualConsidrant"/>
        <w:rPr>
          <w:noProof/>
        </w:rPr>
      </w:pPr>
      <w:r w:rsidRPr="00AE3B83">
        <w:t>(12)</w:t>
      </w:r>
      <w:r w:rsidRPr="00AE3B83">
        <w:tab/>
      </w:r>
      <w:r w:rsidR="00AB4BDB" w:rsidRPr="00B47781">
        <w:rPr>
          <w:noProof/>
        </w:rPr>
        <w:t>De geraamde totale kosten van het bijgewerkte herstel- en veerkrachtplan van Luxemburg bedragen 88 354 077 EUR. Aangezien het bijgewerkte herstel- en veerkrachtplan op bevredigende wijze voldoet aan de beoordelingscriteria van Verordening (EU) 2021/241 en aangezien voorts het bedrag van de geraamde totale kosten van het bijgewerkte herstel- en veerkrachtplan hoger is dan de maximale financiële bijdrage die voor Luxemburg beschikbaar is, moet de aan het bijgewerkte herstel- en veerkrachtplan van Luxemburg toegewezen financiële bijdrage gelijk zijn aan het totale bedrag van de financiële bijdrage die beschikbaar is voor Luxemburg.</w:t>
      </w:r>
    </w:p>
    <w:p w14:paraId="2C238EA1" w14:textId="47B950A6" w:rsidR="00C971A3" w:rsidRPr="00B47781" w:rsidRDefault="00AE3B83" w:rsidP="00AE3B83">
      <w:pPr>
        <w:pStyle w:val="ManualConsidrant"/>
        <w:rPr>
          <w:noProof/>
        </w:rPr>
      </w:pPr>
      <w:r w:rsidRPr="00AE3B83">
        <w:t>(13)</w:t>
      </w:r>
      <w:r w:rsidRPr="00AE3B83">
        <w:tab/>
      </w:r>
      <w:r w:rsidR="00AB4BDB" w:rsidRPr="00B47781">
        <w:rPr>
          <w:noProof/>
        </w:rPr>
        <w:t>Het uitvoeringsbesluit van de Raad van 13 juli 2021 betreffende de goedkeuring van de beoordeling van het herstel- en veerkrachtplan voor Luxemburg moet daarom dienovereenkomstig worden gewijzigd,</w:t>
      </w:r>
    </w:p>
    <w:p w14:paraId="2C238EA2" w14:textId="77777777" w:rsidR="00C971A3" w:rsidRPr="00B47781" w:rsidRDefault="00AB4BDB">
      <w:pPr>
        <w:pStyle w:val="Formuledadoption"/>
        <w:rPr>
          <w:noProof/>
        </w:rPr>
      </w:pPr>
      <w:r w:rsidRPr="00B47781">
        <w:rPr>
          <w:noProof/>
        </w:rPr>
        <w:t xml:space="preserve">HEEFT HET VOLGENDE BESLUIT VASTGESTELD: </w:t>
      </w:r>
    </w:p>
    <w:p w14:paraId="2C238EA3" w14:textId="77777777" w:rsidR="00C971A3" w:rsidRPr="00B47781" w:rsidRDefault="00AB4BDB">
      <w:pPr>
        <w:pStyle w:val="Titrearticle"/>
        <w:rPr>
          <w:noProof/>
        </w:rPr>
      </w:pPr>
      <w:r w:rsidRPr="00B47781">
        <w:rPr>
          <w:noProof/>
        </w:rPr>
        <w:t>Artikel 1</w:t>
      </w:r>
    </w:p>
    <w:p w14:paraId="2C238EA4" w14:textId="77777777" w:rsidR="00C971A3" w:rsidRPr="00B47781" w:rsidRDefault="00AB4BDB">
      <w:pPr>
        <w:rPr>
          <w:noProof/>
        </w:rPr>
      </w:pPr>
      <w:r w:rsidRPr="00B47781">
        <w:rPr>
          <w:noProof/>
        </w:rPr>
        <w:t xml:space="preserve">Uitvoeringsbesluit van de Raad van 13 juli 2021 betreffende de goedkeuring van de beoordeling van het herstel- en veerkrachtplan voor Luxemburg wordt als volgt gewijzigd: </w:t>
      </w:r>
    </w:p>
    <w:p w14:paraId="2C238EA5" w14:textId="77777777" w:rsidR="00C971A3" w:rsidRPr="00B47781" w:rsidRDefault="00C971A3" w:rsidP="00C95DB4">
      <w:pPr>
        <w:rPr>
          <w:noProof/>
        </w:rPr>
      </w:pPr>
    </w:p>
    <w:p w14:paraId="2C238EA6" w14:textId="77777777" w:rsidR="00C971A3" w:rsidRPr="00B47781" w:rsidRDefault="00AB4BDB" w:rsidP="00C95DB4">
      <w:pPr>
        <w:rPr>
          <w:noProof/>
        </w:rPr>
      </w:pPr>
      <w:r w:rsidRPr="00B47781">
        <w:rPr>
          <w:noProof/>
        </w:rPr>
        <w:t xml:space="preserve">1) Artikel 1 wordt vervangen door: </w:t>
      </w:r>
    </w:p>
    <w:p w14:paraId="2C238EA7" w14:textId="77777777" w:rsidR="00C971A3" w:rsidRPr="00B47781" w:rsidRDefault="00AB4BDB">
      <w:pPr>
        <w:rPr>
          <w:noProof/>
        </w:rPr>
      </w:pPr>
      <w:r w:rsidRPr="00B47781">
        <w:rPr>
          <w:noProof/>
        </w:rPr>
        <w:t>De beoordeling van het bijgewerkte herstel- en veerkrachtplan van Luxemburg op grond van de criteria van artikel 19, lid 3, van Verordening (EU) 2021/241 wordt goedgekeurd. De hervormingen en investeringsprojecten in het kader van het herstel- en veerkrachtplan, de regelingen en het tijdschema voor de monitoring en de uitvoering van het herstel- en veerkrachtplan, met inbegrip van de relevante mijlpalen en streefdoelen, de relevante indicatoren voor het bereiken van de beoogde mijlpalen en streefdoelen, en de regelingen voor volledige toegang door de Commissie tot de relevante onderliggende gegevens worden vastgelegd in de bijlage bij dit besluit.</w:t>
      </w:r>
    </w:p>
    <w:p w14:paraId="2C238EA8" w14:textId="77777777" w:rsidR="00C971A3" w:rsidRPr="00B47781" w:rsidRDefault="00AB4BDB">
      <w:pPr>
        <w:rPr>
          <w:noProof/>
        </w:rPr>
      </w:pPr>
      <w:r w:rsidRPr="00B47781">
        <w:rPr>
          <w:noProof/>
        </w:rPr>
        <w:t>2) In artikel 2 worden de leden 1 en 2 vervangen door:</w:t>
      </w:r>
    </w:p>
    <w:p w14:paraId="2C238EA9" w14:textId="050C6632" w:rsidR="00C971A3" w:rsidRPr="00B47781" w:rsidRDefault="00AE3B83" w:rsidP="00AE3B83">
      <w:pPr>
        <w:pStyle w:val="ManualNumPar1"/>
        <w:rPr>
          <w:noProof/>
        </w:rPr>
      </w:pPr>
      <w:r w:rsidRPr="00AE3B83">
        <w:t>1.</w:t>
      </w:r>
      <w:r w:rsidRPr="00AE3B83">
        <w:tab/>
      </w:r>
      <w:r w:rsidR="00AB4BDB" w:rsidRPr="00B47781">
        <w:rPr>
          <w:noProof/>
        </w:rPr>
        <w:t>De Unie stelt Luxemburg een financiële bijdrage ter beschikking in de vorm van niet-terugbetaalbare steun ten bedrage van 82 670 643 EUR</w:t>
      </w:r>
      <w:r w:rsidR="00AB4BDB" w:rsidRPr="00B47781">
        <w:rPr>
          <w:rStyle w:val="FootnoteReference"/>
          <w:noProof/>
        </w:rPr>
        <w:footnoteReference w:id="4"/>
      </w:r>
      <w:r w:rsidR="00AB4BDB" w:rsidRPr="00B47781">
        <w:rPr>
          <w:noProof/>
        </w:rPr>
        <w:t>. Een bedrag van 76 625 886 EUR wordt beschikbaar gesteld om uiterlijk 31 december 2022 in een juridische verbintenis te worden vastgelegd. Van 1 januari 2023 tot en met 31 december 2023 is nog een bedrag van 6 044 757 EUR beschikbaar om in een juridische verbintenis te worden vastgelegd.</w:t>
      </w:r>
    </w:p>
    <w:p w14:paraId="2C238EAA" w14:textId="3DE13DCB" w:rsidR="00C971A3" w:rsidRPr="00B47781" w:rsidRDefault="00AE3B83" w:rsidP="00AE3B83">
      <w:pPr>
        <w:pStyle w:val="ManualNumPar1"/>
        <w:rPr>
          <w:noProof/>
        </w:rPr>
      </w:pPr>
      <w:r w:rsidRPr="00AE3B83">
        <w:t>2.</w:t>
      </w:r>
      <w:r w:rsidRPr="00AE3B83">
        <w:tab/>
      </w:r>
      <w:r w:rsidR="00AB4BDB" w:rsidRPr="00B47781">
        <w:rPr>
          <w:noProof/>
        </w:rPr>
        <w:t>De financiële bijdrage van de Unie wordt door de Commissie aan Luxemburg in termijnen beschikbaar gesteld in overeenstemming met de bijlage bij dit besluit. De termijnen mogen door de Commissie worden uitbetaald in een of meerdere tranches. De omvang van de tranches is afhankelijk van de beschikbaarheid van middelen.</w:t>
      </w:r>
    </w:p>
    <w:p w14:paraId="2C238EAB" w14:textId="77777777" w:rsidR="00C971A3" w:rsidRPr="00B47781" w:rsidRDefault="00C971A3">
      <w:pPr>
        <w:rPr>
          <w:noProof/>
        </w:rPr>
      </w:pPr>
    </w:p>
    <w:p w14:paraId="2C238EAC" w14:textId="77777777" w:rsidR="00C971A3" w:rsidRPr="00B47781" w:rsidRDefault="00AB4BDB">
      <w:pPr>
        <w:rPr>
          <w:noProof/>
        </w:rPr>
      </w:pPr>
      <w:r w:rsidRPr="00B47781">
        <w:rPr>
          <w:noProof/>
        </w:rPr>
        <w:t>3) De bijlage wordt als volgt gewijzigd:</w:t>
      </w:r>
    </w:p>
    <w:p w14:paraId="2C238EAD" w14:textId="77777777" w:rsidR="00C971A3" w:rsidRPr="00B47781" w:rsidRDefault="00C971A3">
      <w:pPr>
        <w:rPr>
          <w:noProof/>
        </w:rPr>
      </w:pPr>
    </w:p>
    <w:p w14:paraId="2C238EAE" w14:textId="5D0A9DE1" w:rsidR="00C971A3" w:rsidRPr="00B47781" w:rsidRDefault="00AB4BDB">
      <w:pPr>
        <w:rPr>
          <w:noProof/>
        </w:rPr>
      </w:pPr>
      <w:r w:rsidRPr="00B47781">
        <w:rPr>
          <w:noProof/>
        </w:rPr>
        <w:t>a) Deel 1: Hervormingen en investeringen in het kader van het herstel- en veerkrachtplan, wordt als volgt gewijzigd:</w:t>
      </w:r>
    </w:p>
    <w:p w14:paraId="2C238EAF" w14:textId="7B57A032" w:rsidR="00C971A3" w:rsidRPr="00B47781" w:rsidRDefault="00AB4BDB">
      <w:pPr>
        <w:rPr>
          <w:noProof/>
        </w:rPr>
      </w:pPr>
      <w:r w:rsidRPr="00B47781">
        <w:rPr>
          <w:noProof/>
        </w:rPr>
        <w:t xml:space="preserve">i) in punt 1. Beschrijving van hervormingen en investeringen; A. Component 1A: Vaardigheden, bij- en omscholing, eerste alinea, wordt de tweede zin vervangen door: </w:t>
      </w:r>
    </w:p>
    <w:p w14:paraId="2C238EB0" w14:textId="77777777" w:rsidR="00C971A3" w:rsidRPr="00B47781" w:rsidRDefault="00AB4BDB">
      <w:pPr>
        <w:rPr>
          <w:noProof/>
        </w:rPr>
      </w:pPr>
      <w:r w:rsidRPr="00B47781">
        <w:rPr>
          <w:noProof/>
        </w:rPr>
        <w:t>“Een opleidingsprogramma, het programma FutureSkills, biedt werkzoekenden (specifiek in de leeftijdsgroep 45 jaar en ouder) vaardigheden.”;</w:t>
      </w:r>
    </w:p>
    <w:p w14:paraId="2C238EB1" w14:textId="018A37B3" w:rsidR="00C971A3" w:rsidRPr="00B47781" w:rsidRDefault="00AB4BDB">
      <w:pPr>
        <w:rPr>
          <w:noProof/>
        </w:rPr>
      </w:pPr>
      <w:r w:rsidRPr="00B47781">
        <w:rPr>
          <w:noProof/>
        </w:rPr>
        <w:t>ii) in punt 1. Beschrijving van hervormingen en investeringen; A. Component 1A: Vaardigheden, bij- en omscholing; A.1. Beschrijving van de hervormingen en investeringen voor niet-terugbetaalbare financiële steun, wordt punt “Investering 2: Digitale vaardigheden” geschrapt;</w:t>
      </w:r>
    </w:p>
    <w:p w14:paraId="2C238EB2" w14:textId="68FC9B4A" w:rsidR="00C971A3" w:rsidRPr="00B47781" w:rsidRDefault="00AB4BDB">
      <w:pPr>
        <w:rPr>
          <w:noProof/>
        </w:rPr>
      </w:pPr>
      <w:r w:rsidRPr="00B47781">
        <w:rPr>
          <w:noProof/>
        </w:rPr>
        <w:t>iii) in punt 1. Beschrijving van hervormingen en investeringen; A. Component 1A: Vaardigheden, bij- en omscholing; A.2. Mijlpalen, streefdoelen, indicatoren en tijdschema voor de monitoring en uitvoering voor niet-terugbetaalbare financiële steun, worden de rijen 1A-6, 1A-7 en 1A-8 geschrapt;</w:t>
      </w:r>
    </w:p>
    <w:p w14:paraId="2C238EB3" w14:textId="55F848C2" w:rsidR="00C971A3" w:rsidRPr="00B47781" w:rsidRDefault="00AB4BDB">
      <w:pPr>
        <w:rPr>
          <w:noProof/>
        </w:rPr>
      </w:pPr>
      <w:r w:rsidRPr="00B47781">
        <w:rPr>
          <w:noProof/>
        </w:rPr>
        <w:t>iv) in punt 2. Geraamde totale kosten van het herstel- en veerkrachtplan, wordt de alinea vervangen door:</w:t>
      </w:r>
    </w:p>
    <w:p w14:paraId="2C238EB4" w14:textId="31F403C2" w:rsidR="00C971A3" w:rsidRPr="00B47781" w:rsidRDefault="00AB4BDB">
      <w:pPr>
        <w:ind w:left="850"/>
        <w:rPr>
          <w:rFonts w:eastAsia="Calibri"/>
          <w:noProof/>
        </w:rPr>
      </w:pPr>
      <w:r w:rsidRPr="00B47781">
        <w:rPr>
          <w:noProof/>
        </w:rPr>
        <w:t>“De geraamde totale kosten van het herstel- en veerkrachtplan van Luxemburg bedragen 88 354 077 EUR.”</w:t>
      </w:r>
    </w:p>
    <w:p w14:paraId="2C238EB5" w14:textId="77777777" w:rsidR="00C971A3" w:rsidRPr="00B47781" w:rsidRDefault="00C971A3">
      <w:pPr>
        <w:ind w:left="850"/>
        <w:rPr>
          <w:rFonts w:eastAsia="Calibri"/>
          <w:noProof/>
        </w:rPr>
      </w:pPr>
    </w:p>
    <w:p w14:paraId="2C238EB6" w14:textId="26387ADD" w:rsidR="00C971A3" w:rsidRPr="00B47781" w:rsidRDefault="00AB4BDB">
      <w:pPr>
        <w:rPr>
          <w:rFonts w:eastAsia="Calibri"/>
          <w:noProof/>
        </w:rPr>
      </w:pPr>
      <w:r w:rsidRPr="00B47781">
        <w:rPr>
          <w:noProof/>
        </w:rPr>
        <w:t>b) Deel 2: Financiële steun wordt als volgt gewijzigd:</w:t>
      </w:r>
    </w:p>
    <w:p w14:paraId="2C238EB7" w14:textId="04836764" w:rsidR="00C971A3" w:rsidRPr="00B47781" w:rsidRDefault="00AB4BDB">
      <w:pPr>
        <w:rPr>
          <w:rFonts w:eastAsia="Calibri"/>
          <w:noProof/>
        </w:rPr>
      </w:pPr>
      <w:r w:rsidRPr="00B47781">
        <w:rPr>
          <w:noProof/>
        </w:rPr>
        <w:t xml:space="preserve">i) in punt 1. Financiële bijdrage, 1.1 Eerste tranche (niet-terugbetaalbare steun), worden de rijen 1A-6, 1A-7 en 1A-8 geschrapt; </w:t>
      </w:r>
    </w:p>
    <w:p w14:paraId="2C238EB8" w14:textId="3A2D02FE" w:rsidR="00C971A3" w:rsidRPr="00B47781" w:rsidRDefault="00AB4BDB">
      <w:pPr>
        <w:rPr>
          <w:noProof/>
        </w:rPr>
      </w:pPr>
      <w:r w:rsidRPr="00B47781">
        <w:rPr>
          <w:noProof/>
        </w:rPr>
        <w:t>ii) in punt 1. Financiële bijdrage, 1.1 Eerste tranche (niet-terugbetaalbare steun), wordt het tranchebedrag “29 858 611 EUR” in de laatste rij en kolom vervangen door “24 858 611 EUR”;</w:t>
      </w:r>
    </w:p>
    <w:p w14:paraId="2C238EB9" w14:textId="0415496D" w:rsidR="00C971A3" w:rsidRPr="00B47781" w:rsidRDefault="00AB4BDB">
      <w:pPr>
        <w:rPr>
          <w:noProof/>
        </w:rPr>
      </w:pPr>
      <w:r w:rsidRPr="00B47781">
        <w:rPr>
          <w:noProof/>
        </w:rPr>
        <w:t>iii) in punt 1. Financiële bijdrage, 1.2 Tweede tranche (niet-terugbetaalbare steun), wordt het tranchebedrag “24 413 757 EUR” in de laatste rij en kolom vervangen door “22 228 500 EUR”;</w:t>
      </w:r>
    </w:p>
    <w:p w14:paraId="2C238EBA" w14:textId="09F36CAE" w:rsidR="00C971A3" w:rsidRPr="00B47781" w:rsidRDefault="00AB4BDB">
      <w:pPr>
        <w:rPr>
          <w:noProof/>
        </w:rPr>
      </w:pPr>
      <w:r w:rsidRPr="00B47781">
        <w:rPr>
          <w:noProof/>
        </w:rPr>
        <w:t>iv) in punt 1. Financiële bijdrage, 1.3 Derde tranche (niet-terugbetaalbare steun), wordt het tranchebedrag “18 626 256 EUR” in de laatste rij en kolom vervangen door “16 959 033 EUR”;</w:t>
      </w:r>
    </w:p>
    <w:p w14:paraId="2C238EBB" w14:textId="49D35D93" w:rsidR="00C971A3" w:rsidRPr="00B47781" w:rsidRDefault="00AB4BDB">
      <w:pPr>
        <w:rPr>
          <w:noProof/>
        </w:rPr>
      </w:pPr>
      <w:r w:rsidRPr="00B47781">
        <w:rPr>
          <w:noProof/>
        </w:rPr>
        <w:t>v) in punt 1. Financiële bijdrage, 1.4 Vierde tranche (niet-terugbetaalbare steun), wordt het tranchebedrag “12 649 505 EUR” in de laatste rij en kolom vervangen door “11 517 256 EUR”;</w:t>
      </w:r>
    </w:p>
    <w:p w14:paraId="2C238EBC" w14:textId="0B7588C9" w:rsidR="00C971A3" w:rsidRPr="00B47781" w:rsidRDefault="00AB4BDB">
      <w:pPr>
        <w:rPr>
          <w:noProof/>
        </w:rPr>
      </w:pPr>
      <w:r w:rsidRPr="00B47781">
        <w:rPr>
          <w:noProof/>
        </w:rPr>
        <w:t>vi) in punt 1. Financiële bijdrage, 1.5 Vijfde tranche (niet-terugbetaalbare steun), wordt het tranchebedrag “7 805 947 EUR” in de laatste rij en kolom vervangen door “7 107 243 EUR”.</w:t>
      </w:r>
    </w:p>
    <w:p w14:paraId="2C238EBF" w14:textId="2DA05DC5" w:rsidR="00C971A3" w:rsidRPr="00B47781" w:rsidRDefault="00AB4BDB" w:rsidP="00A820A1">
      <w:pPr>
        <w:pStyle w:val="Titrearticle"/>
        <w:rPr>
          <w:noProof/>
        </w:rPr>
      </w:pPr>
      <w:r w:rsidRPr="00B47781">
        <w:rPr>
          <w:noProof/>
        </w:rPr>
        <w:t xml:space="preserve">Artikel 2 </w:t>
      </w:r>
      <w:r w:rsidRPr="00B47781">
        <w:rPr>
          <w:noProof/>
        </w:rPr>
        <w:br/>
        <w:t>Geadresseerde</w:t>
      </w:r>
    </w:p>
    <w:p w14:paraId="2C238EC3" w14:textId="77777777" w:rsidR="00C971A3" w:rsidRPr="00B47781" w:rsidRDefault="00AB4BDB">
      <w:pPr>
        <w:keepNext/>
        <w:keepLines/>
        <w:rPr>
          <w:noProof/>
        </w:rPr>
      </w:pPr>
      <w:r w:rsidRPr="00B47781">
        <w:rPr>
          <w:noProof/>
          <w:color w:val="000000"/>
        </w:rPr>
        <w:t>Dit besluit is gericht tot het Groothertogdom Luxemburg</w:t>
      </w:r>
      <w:r w:rsidRPr="00B47781">
        <w:rPr>
          <w:noProof/>
        </w:rPr>
        <w:t>.</w:t>
      </w:r>
    </w:p>
    <w:p w14:paraId="2C238EC4" w14:textId="55F7C365" w:rsidR="00C971A3" w:rsidRPr="00B47781" w:rsidRDefault="00A94640" w:rsidP="00A820A1">
      <w:pPr>
        <w:pStyle w:val="Fait"/>
        <w:rPr>
          <w:noProof/>
        </w:rPr>
      </w:pPr>
      <w:r w:rsidRPr="00A94640">
        <w:t>Gedaan te Brussel,</w:t>
      </w:r>
    </w:p>
    <w:p w14:paraId="2C238EC5" w14:textId="77777777" w:rsidR="00C971A3" w:rsidRPr="00B47781" w:rsidRDefault="00AB4BDB" w:rsidP="00A820A1">
      <w:pPr>
        <w:pStyle w:val="Institutionquisigne"/>
        <w:rPr>
          <w:noProof/>
        </w:rPr>
      </w:pPr>
      <w:r w:rsidRPr="00B47781">
        <w:rPr>
          <w:noProof/>
        </w:rPr>
        <w:tab/>
        <w:t>Voor de Raad</w:t>
      </w:r>
    </w:p>
    <w:p w14:paraId="2C238EC6" w14:textId="77777777" w:rsidR="00C971A3" w:rsidRPr="00B47781" w:rsidRDefault="00AB4BDB">
      <w:pPr>
        <w:pStyle w:val="Personnequisigne"/>
        <w:rPr>
          <w:noProof/>
        </w:rPr>
      </w:pPr>
      <w:r w:rsidRPr="00B47781">
        <w:rPr>
          <w:noProof/>
        </w:rPr>
        <w:tab/>
        <w:t>De voorzitter</w:t>
      </w:r>
    </w:p>
    <w:sectPr w:rsidR="00C971A3" w:rsidRPr="00B47781" w:rsidSect="00684B88">
      <w:footerReference w:type="default" r:id="rId18"/>
      <w:footerReference w:type="first" r:id="rId19"/>
      <w:pgSz w:w="11907" w:h="16839"/>
      <w:pgMar w:top="1134" w:right="1417" w:bottom="1134" w:left="141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238EC9" w16cid:durableId="272B5A7B"/>
  <w16cid:commentId w16cid:paraId="2C238ECA" w16cid:durableId="272B5A7C"/>
  <w16cid:commentId w16cid:paraId="2C238ECB" w16cid:durableId="272B5A7D"/>
  <w16cid:commentId w16cid:paraId="2C238ECC" w16cid:durableId="272B5A7E"/>
  <w16cid:commentId w16cid:paraId="2C238ECD" w16cid:durableId="272B5A7F"/>
  <w16cid:commentId w16cid:paraId="2C238ECE" w16cid:durableId="272B5A80"/>
  <w16cid:commentId w16cid:paraId="2C238ED0" w16cid:durableId="272B5A81"/>
  <w16cid:commentId w16cid:paraId="2C238ED1" w16cid:durableId="272B5A82"/>
  <w16cid:commentId w16cid:paraId="2C238ED2" w16cid:durableId="272B5A83"/>
  <w16cid:commentId w16cid:paraId="2C238ED3" w16cid:durableId="272B5A8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0710B" w14:textId="77777777" w:rsidR="00F2048C" w:rsidRDefault="00F2048C">
      <w:pPr>
        <w:spacing w:before="0" w:after="0"/>
      </w:pPr>
      <w:r>
        <w:separator/>
      </w:r>
    </w:p>
  </w:endnote>
  <w:endnote w:type="continuationSeparator" w:id="0">
    <w:p w14:paraId="32818243" w14:textId="77777777" w:rsidR="00F2048C" w:rsidRDefault="00F2048C">
      <w:pPr>
        <w:spacing w:before="0" w:after="0"/>
      </w:pPr>
      <w:r>
        <w:continuationSeparator/>
      </w:r>
    </w:p>
  </w:endnote>
  <w:endnote w:type="continuationNotice" w:id="1">
    <w:p w14:paraId="172B4752" w14:textId="77777777" w:rsidR="00F2048C" w:rsidRDefault="00F2048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E8F7B" w14:textId="77777777" w:rsidR="00684B88" w:rsidRPr="00684B88" w:rsidRDefault="00684B88" w:rsidP="00684B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7CB11" w14:textId="28E78BA1" w:rsidR="004A7B51" w:rsidRPr="00684B88" w:rsidRDefault="00684B88" w:rsidP="00684B88">
    <w:pPr>
      <w:pStyle w:val="Footer"/>
      <w:rPr>
        <w:rFonts w:ascii="Arial" w:hAnsi="Arial" w:cs="Arial"/>
        <w:b/>
        <w:sz w:val="48"/>
      </w:rPr>
    </w:pPr>
    <w:r w:rsidRPr="00684B88">
      <w:rPr>
        <w:rFonts w:ascii="Arial" w:hAnsi="Arial" w:cs="Arial"/>
        <w:b/>
        <w:sz w:val="48"/>
      </w:rPr>
      <w:t>NL</w:t>
    </w:r>
    <w:r w:rsidRPr="00684B88">
      <w:rPr>
        <w:rFonts w:ascii="Arial" w:hAnsi="Arial" w:cs="Arial"/>
        <w:b/>
        <w:sz w:val="48"/>
      </w:rPr>
      <w:tab/>
    </w:r>
    <w:r w:rsidRPr="00684B88">
      <w:rPr>
        <w:rFonts w:ascii="Arial" w:hAnsi="Arial" w:cs="Arial"/>
        <w:b/>
        <w:sz w:val="48"/>
      </w:rPr>
      <w:tab/>
    </w:r>
    <w:r w:rsidRPr="00684B88">
      <w:tab/>
    </w:r>
    <w:r w:rsidRPr="00684B88">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7481B" w14:textId="77777777" w:rsidR="00684B88" w:rsidRPr="00684B88" w:rsidRDefault="00684B88" w:rsidP="00684B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5473C" w14:textId="535062E1" w:rsidR="00684B88" w:rsidRPr="00684B88" w:rsidRDefault="00684B88" w:rsidP="00684B88">
    <w:pPr>
      <w:pStyle w:val="Footer"/>
      <w:rPr>
        <w:rFonts w:ascii="Arial" w:hAnsi="Arial" w:cs="Arial"/>
        <w:b/>
        <w:sz w:val="48"/>
      </w:rPr>
    </w:pPr>
    <w:r w:rsidRPr="00684B88">
      <w:rPr>
        <w:rFonts w:ascii="Arial" w:hAnsi="Arial" w:cs="Arial"/>
        <w:b/>
        <w:sz w:val="48"/>
      </w:rPr>
      <w:t>NL</w:t>
    </w:r>
    <w:r w:rsidRPr="00684B88">
      <w:rPr>
        <w:rFonts w:ascii="Arial" w:hAnsi="Arial" w:cs="Arial"/>
        <w:b/>
        <w:sz w:val="48"/>
      </w:rPr>
      <w:tab/>
    </w:r>
    <w:r>
      <w:fldChar w:fldCharType="begin"/>
    </w:r>
    <w:r>
      <w:instrText xml:space="preserve"> PAGE  \* MERGEFORMAT </w:instrText>
    </w:r>
    <w:r>
      <w:fldChar w:fldCharType="separate"/>
    </w:r>
    <w:r w:rsidR="00A820A1">
      <w:rPr>
        <w:noProof/>
      </w:rPr>
      <w:t>5</w:t>
    </w:r>
    <w:r>
      <w:fldChar w:fldCharType="end"/>
    </w:r>
    <w:r>
      <w:tab/>
    </w:r>
    <w:r w:rsidRPr="00684B88">
      <w:tab/>
    </w:r>
    <w:r w:rsidRPr="00684B88">
      <w:rPr>
        <w:rFonts w:ascii="Arial" w:hAnsi="Arial" w:cs="Arial"/>
        <w:b/>
        <w:sz w:val="48"/>
      </w:rPr>
      <w:t>NL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54BC5" w14:textId="77777777" w:rsidR="00684B88" w:rsidRPr="00684B88" w:rsidRDefault="00684B88" w:rsidP="00684B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67817" w14:textId="77777777" w:rsidR="00F2048C" w:rsidRDefault="00F2048C">
      <w:pPr>
        <w:spacing w:before="0" w:after="0"/>
      </w:pPr>
      <w:r>
        <w:separator/>
      </w:r>
    </w:p>
  </w:footnote>
  <w:footnote w:type="continuationSeparator" w:id="0">
    <w:p w14:paraId="58DAF931" w14:textId="77777777" w:rsidR="00F2048C" w:rsidRDefault="00F2048C">
      <w:pPr>
        <w:spacing w:before="0" w:after="0"/>
      </w:pPr>
      <w:r>
        <w:continuationSeparator/>
      </w:r>
    </w:p>
  </w:footnote>
  <w:footnote w:type="continuationNotice" w:id="1">
    <w:p w14:paraId="24DCFAC1" w14:textId="77777777" w:rsidR="00F2048C" w:rsidRDefault="00F2048C">
      <w:pPr>
        <w:spacing w:before="0" w:after="0"/>
      </w:pPr>
    </w:p>
  </w:footnote>
  <w:footnote w:id="2">
    <w:p w14:paraId="2C238EE7" w14:textId="77777777" w:rsidR="00C971A3" w:rsidRPr="00B47781" w:rsidRDefault="00AB4BDB">
      <w:pPr>
        <w:pStyle w:val="FootnoteText"/>
      </w:pPr>
      <w:r>
        <w:rPr>
          <w:rStyle w:val="FootnoteReference"/>
        </w:rPr>
        <w:footnoteRef/>
      </w:r>
      <w:r w:rsidRPr="00B47781">
        <w:tab/>
        <w:t>PB L 57 van 18.2.2021, blz. 17.</w:t>
      </w:r>
    </w:p>
  </w:footnote>
  <w:footnote w:id="3">
    <w:p w14:paraId="2C238EE8" w14:textId="5DF9FE93" w:rsidR="00C971A3" w:rsidRPr="00B47781" w:rsidRDefault="00AB4BDB">
      <w:pPr>
        <w:pStyle w:val="FootnoteText"/>
      </w:pPr>
      <w:r>
        <w:rPr>
          <w:rStyle w:val="FootnoteReference"/>
        </w:rPr>
        <w:footnoteRef/>
      </w:r>
      <w:r w:rsidRPr="00B47781">
        <w:tab/>
        <w:t>ST10155/21; ST 10155/21 ADD 1, nog niet gepubliceerd.</w:t>
      </w:r>
    </w:p>
  </w:footnote>
  <w:footnote w:id="4">
    <w:p w14:paraId="2C238EE9" w14:textId="001BA585" w:rsidR="00C971A3" w:rsidRPr="00B47781" w:rsidRDefault="00AB4BDB">
      <w:pPr>
        <w:pStyle w:val="FootnoteText"/>
      </w:pPr>
      <w:r>
        <w:rPr>
          <w:rStyle w:val="FootnoteReference"/>
        </w:rPr>
        <w:footnoteRef/>
      </w:r>
      <w:r w:rsidRPr="00B47781">
        <w:tab/>
        <w:t>Dit bedrag stemt overeen met de financiële toewijzing na aftrek van het proportionele aandeel van Luxemburg in de uitgaven van artikel 6, lid 2, van Verordening (EU) 2021/241, berekend volgens de methode van artikel 11 van die 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1B635" w14:textId="77777777" w:rsidR="00684B88" w:rsidRPr="00684B88" w:rsidRDefault="00684B88" w:rsidP="00684B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5B41E" w14:textId="77777777" w:rsidR="00684B88" w:rsidRPr="00684B88" w:rsidRDefault="00684B88" w:rsidP="00684B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A26DF" w14:textId="77777777" w:rsidR="00684B88" w:rsidRPr="00684B88" w:rsidRDefault="00684B88" w:rsidP="00684B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CF6563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E86D21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EA8FA6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30AB85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0A663F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nl-NL" w:vendorID="64" w:dllVersion="131078" w:nlCheck="1" w:checkStyle="0"/>
  <w:attachedTemplate r:id="rId1"/>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2-12-19 16:20: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CFCC6FA-B649-48AE-BB0E-01FCEFBB0D89"/>
    <w:docVar w:name="LW_COVERPAGE_TYPE" w:val="1"/>
    <w:docVar w:name="LW_CROSSREFERENCE" w:val="&lt;UNUSED&gt;"/>
    <w:docVar w:name="LW_DocType" w:val="COM"/>
    <w:docVar w:name="LW_EMISSION" w:val="9.12.2022"/>
    <w:docVar w:name="LW_EMISSION_ISODATE" w:val="2022-12-09"/>
    <w:docVar w:name="LW_EMISSION_LOCATION" w:val="BRX"/>
    <w:docVar w:name="LW_EMISSION_PREFIX" w:val="Brussel,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NL"/>
    <w:docVar w:name="LW_LEVEL_OF_SENSITIVITY" w:val="Standard treatment"/>
    <w:docVar w:name="LW_NOM.INST" w:val="EUROPESE COMMISSIE"/>
    <w:docVar w:name="LW_NOM.INST_JOINTDOC" w:val="&lt;EMPTY&gt;"/>
    <w:docVar w:name="LW_PART_NBR" w:val="1"/>
    <w:docVar w:name="LW_PART_NBR_TOTAL" w:val="1"/>
    <w:docVar w:name="LW_REF.II.NEW.CP" w:val="NLE"/>
    <w:docVar w:name="LW_REF.II.NEW.CP_NUMBER" w:val="0427"/>
    <w:docVar w:name="LW_REF.II.NEW.CP_YEAR" w:val="2022"/>
    <w:docVar w:name="LW_REF.INST.NEW" w:val="COM"/>
    <w:docVar w:name="LW_REF.INST.NEW_ADOPTED" w:val="final"/>
    <w:docVar w:name="LW_REF.INST.NEW_TEXT" w:val="(2022) 73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orstel voor een"/>
    <w:docVar w:name="LW_SUPERTITRE" w:val="&lt;UNUSED&gt;"/>
    <w:docVar w:name="LW_TITRE.OBJ.CP" w:val="tot wijziging van Uitvoeringsbesluit van de Raad (EU) (ST 10155/21; ST 10155/21 ADD 1) betreffende de goedkeuring van de beoordeling van het herstel- en veerkrachtplan voor Luxemburg"/>
    <w:docVar w:name="LW_TYPE.DOC.CP" w:val="UITVOERINGSBESLUIT VAN DE RAAD"/>
    <w:docVar w:name="LwApiVersions" w:val="LW4CoDe 1.23.2.0; LW 8.0, Build 20211117"/>
  </w:docVars>
  <w:rsids>
    <w:rsidRoot w:val="00C971A3"/>
    <w:rsid w:val="0000224D"/>
    <w:rsid w:val="00012A04"/>
    <w:rsid w:val="000673EF"/>
    <w:rsid w:val="001353EB"/>
    <w:rsid w:val="001575B2"/>
    <w:rsid w:val="00166E71"/>
    <w:rsid w:val="00194AB8"/>
    <w:rsid w:val="002A3192"/>
    <w:rsid w:val="002E0A85"/>
    <w:rsid w:val="00336714"/>
    <w:rsid w:val="003B0237"/>
    <w:rsid w:val="003D2F70"/>
    <w:rsid w:val="00402498"/>
    <w:rsid w:val="0040341C"/>
    <w:rsid w:val="00464516"/>
    <w:rsid w:val="004A7B51"/>
    <w:rsid w:val="004C2E54"/>
    <w:rsid w:val="004F71FF"/>
    <w:rsid w:val="00591E38"/>
    <w:rsid w:val="006063EE"/>
    <w:rsid w:val="00630987"/>
    <w:rsid w:val="006428F2"/>
    <w:rsid w:val="00673C84"/>
    <w:rsid w:val="00684B88"/>
    <w:rsid w:val="00693690"/>
    <w:rsid w:val="006E2AC3"/>
    <w:rsid w:val="00710C61"/>
    <w:rsid w:val="007218BC"/>
    <w:rsid w:val="007541DA"/>
    <w:rsid w:val="00771901"/>
    <w:rsid w:val="007C6E31"/>
    <w:rsid w:val="007D63E5"/>
    <w:rsid w:val="00804528"/>
    <w:rsid w:val="008353FD"/>
    <w:rsid w:val="00860533"/>
    <w:rsid w:val="008849D1"/>
    <w:rsid w:val="008C1598"/>
    <w:rsid w:val="008F5AE8"/>
    <w:rsid w:val="00952889"/>
    <w:rsid w:val="009B5CF8"/>
    <w:rsid w:val="009C1C01"/>
    <w:rsid w:val="009E259E"/>
    <w:rsid w:val="009F482C"/>
    <w:rsid w:val="00A2151A"/>
    <w:rsid w:val="00A23929"/>
    <w:rsid w:val="00A820A1"/>
    <w:rsid w:val="00A94640"/>
    <w:rsid w:val="00A96293"/>
    <w:rsid w:val="00AA5D21"/>
    <w:rsid w:val="00AB4BDB"/>
    <w:rsid w:val="00AE3B83"/>
    <w:rsid w:val="00B162F9"/>
    <w:rsid w:val="00B44DE7"/>
    <w:rsid w:val="00B47781"/>
    <w:rsid w:val="00B86294"/>
    <w:rsid w:val="00BB7142"/>
    <w:rsid w:val="00BC7D57"/>
    <w:rsid w:val="00C4535C"/>
    <w:rsid w:val="00C86F0F"/>
    <w:rsid w:val="00C93C93"/>
    <w:rsid w:val="00C95DB4"/>
    <w:rsid w:val="00C971A3"/>
    <w:rsid w:val="00CF0F21"/>
    <w:rsid w:val="00D32376"/>
    <w:rsid w:val="00D53487"/>
    <w:rsid w:val="00D94B06"/>
    <w:rsid w:val="00DA2192"/>
    <w:rsid w:val="00E5360D"/>
    <w:rsid w:val="00E56BD4"/>
    <w:rsid w:val="00E808C1"/>
    <w:rsid w:val="00EA4BFB"/>
    <w:rsid w:val="00F2048C"/>
    <w:rsid w:val="13E7B0BC"/>
    <w:rsid w:val="429089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238E89"/>
  <w15:docId w15:val="{6485CB8A-C8C4-40C2-83F7-625435271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nl-NL"/>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nl-NL"/>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u w:val="single"/>
    </w:rPr>
  </w:style>
  <w:style w:type="paragraph" w:styleId="Caption">
    <w:name w:val="caption"/>
    <w:basedOn w:val="Normal"/>
    <w:next w:val="Normal"/>
    <w:uiPriority w:val="35"/>
    <w:semiHidden/>
    <w:unhideWhenUsed/>
    <w:qFormat/>
    <w:rsid w:val="00693690"/>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93690"/>
    <w:pPr>
      <w:spacing w:after="0"/>
    </w:pPr>
  </w:style>
  <w:style w:type="paragraph" w:styleId="ListNumber">
    <w:name w:val="List Number"/>
    <w:basedOn w:val="Normal"/>
    <w:uiPriority w:val="99"/>
    <w:semiHidden/>
    <w:unhideWhenUsed/>
    <w:rsid w:val="00693690"/>
    <w:pPr>
      <w:numPr>
        <w:numId w:val="7"/>
      </w:numPr>
      <w:contextualSpacing/>
    </w:pPr>
  </w:style>
  <w:style w:type="paragraph" w:styleId="ListNumber2">
    <w:name w:val="List Number 2"/>
    <w:basedOn w:val="Normal"/>
    <w:uiPriority w:val="99"/>
    <w:semiHidden/>
    <w:unhideWhenUsed/>
    <w:rsid w:val="00693690"/>
    <w:pPr>
      <w:numPr>
        <w:numId w:val="8"/>
      </w:numPr>
      <w:contextualSpacing/>
    </w:pPr>
  </w:style>
  <w:style w:type="paragraph" w:styleId="ListNumber3">
    <w:name w:val="List Number 3"/>
    <w:basedOn w:val="Normal"/>
    <w:uiPriority w:val="99"/>
    <w:semiHidden/>
    <w:unhideWhenUsed/>
    <w:rsid w:val="00693690"/>
    <w:pPr>
      <w:numPr>
        <w:numId w:val="9"/>
      </w:numPr>
      <w:contextualSpacing/>
    </w:pPr>
  </w:style>
  <w:style w:type="paragraph" w:styleId="ListNumber4">
    <w:name w:val="List Number 4"/>
    <w:basedOn w:val="Normal"/>
    <w:uiPriority w:val="99"/>
    <w:semiHidden/>
    <w:unhideWhenUsed/>
    <w:rsid w:val="00693690"/>
    <w:pPr>
      <w:numPr>
        <w:numId w:val="10"/>
      </w:numPr>
      <w:contextualSpacing/>
    </w:pPr>
  </w:style>
  <w:style w:type="paragraph" w:styleId="Header">
    <w:name w:val="header"/>
    <w:basedOn w:val="Normal"/>
    <w:link w:val="HeaderChar"/>
    <w:uiPriority w:val="99"/>
    <w:unhideWhenUsed/>
    <w:rsid w:val="00684B88"/>
    <w:pPr>
      <w:tabs>
        <w:tab w:val="center" w:pos="4535"/>
        <w:tab w:val="right" w:pos="9071"/>
      </w:tabs>
      <w:spacing w:before="0"/>
    </w:pPr>
  </w:style>
  <w:style w:type="character" w:customStyle="1" w:styleId="HeaderChar">
    <w:name w:val="Header Char"/>
    <w:basedOn w:val="DefaultParagraphFont"/>
    <w:link w:val="Header"/>
    <w:uiPriority w:val="99"/>
    <w:rsid w:val="00684B88"/>
    <w:rPr>
      <w:rFonts w:ascii="Times New Roman" w:hAnsi="Times New Roman" w:cs="Times New Roman"/>
      <w:sz w:val="24"/>
      <w:lang w:val="nl-NL"/>
    </w:rPr>
  </w:style>
  <w:style w:type="paragraph" w:styleId="Footer">
    <w:name w:val="footer"/>
    <w:basedOn w:val="Normal"/>
    <w:link w:val="FooterChar"/>
    <w:uiPriority w:val="99"/>
    <w:unhideWhenUsed/>
    <w:rsid w:val="00684B88"/>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684B88"/>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684B88"/>
    <w:pPr>
      <w:tabs>
        <w:tab w:val="center" w:pos="7285"/>
        <w:tab w:val="right" w:pos="14003"/>
      </w:tabs>
      <w:spacing w:before="0"/>
    </w:pPr>
  </w:style>
  <w:style w:type="paragraph" w:customStyle="1" w:styleId="FooterLandscape">
    <w:name w:val="FooterLandscape"/>
    <w:basedOn w:val="Normal"/>
    <w:rsid w:val="00684B88"/>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84B8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84B88"/>
    <w:pPr>
      <w:spacing w:before="0"/>
      <w:jc w:val="right"/>
    </w:pPr>
    <w:rPr>
      <w:sz w:val="28"/>
    </w:rPr>
  </w:style>
  <w:style w:type="paragraph" w:customStyle="1" w:styleId="FooterSensitivity">
    <w:name w:val="Footer Sensitivity"/>
    <w:basedOn w:val="Normal"/>
    <w:rsid w:val="00684B8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E808C1"/>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33396">
      <w:bodyDiv w:val="1"/>
      <w:marLeft w:val="0"/>
      <w:marRight w:val="0"/>
      <w:marTop w:val="0"/>
      <w:marBottom w:val="0"/>
      <w:divBdr>
        <w:top w:val="none" w:sz="0" w:space="0" w:color="auto"/>
        <w:left w:val="none" w:sz="0" w:space="0" w:color="auto"/>
        <w:bottom w:val="none" w:sz="0" w:space="0" w:color="auto"/>
        <w:right w:val="none" w:sz="0" w:space="0" w:color="auto"/>
      </w:divBdr>
    </w:div>
    <w:div w:id="469445378">
      <w:bodyDiv w:val="1"/>
      <w:marLeft w:val="0"/>
      <w:marRight w:val="0"/>
      <w:marTop w:val="0"/>
      <w:marBottom w:val="0"/>
      <w:divBdr>
        <w:top w:val="none" w:sz="0" w:space="0" w:color="auto"/>
        <w:left w:val="none" w:sz="0" w:space="0" w:color="auto"/>
        <w:bottom w:val="none" w:sz="0" w:space="0" w:color="auto"/>
        <w:right w:val="none" w:sz="0" w:space="0" w:color="auto"/>
      </w:divBdr>
    </w:div>
    <w:div w:id="615408967">
      <w:bodyDiv w:val="1"/>
      <w:marLeft w:val="0"/>
      <w:marRight w:val="0"/>
      <w:marTop w:val="0"/>
      <w:marBottom w:val="0"/>
      <w:divBdr>
        <w:top w:val="none" w:sz="0" w:space="0" w:color="auto"/>
        <w:left w:val="none" w:sz="0" w:space="0" w:color="auto"/>
        <w:bottom w:val="none" w:sz="0" w:space="0" w:color="auto"/>
        <w:right w:val="none" w:sz="0" w:space="0" w:color="auto"/>
      </w:divBdr>
    </w:div>
    <w:div w:id="918364583">
      <w:bodyDiv w:val="1"/>
      <w:marLeft w:val="0"/>
      <w:marRight w:val="0"/>
      <w:marTop w:val="0"/>
      <w:marBottom w:val="0"/>
      <w:divBdr>
        <w:top w:val="none" w:sz="0" w:space="0" w:color="auto"/>
        <w:left w:val="none" w:sz="0" w:space="0" w:color="auto"/>
        <w:bottom w:val="none" w:sz="0" w:space="0" w:color="auto"/>
        <w:right w:val="none" w:sz="0" w:space="0" w:color="auto"/>
      </w:divBdr>
    </w:div>
    <w:div w:id="1156140983">
      <w:bodyDiv w:val="1"/>
      <w:marLeft w:val="0"/>
      <w:marRight w:val="0"/>
      <w:marTop w:val="0"/>
      <w:marBottom w:val="0"/>
      <w:divBdr>
        <w:top w:val="none" w:sz="0" w:space="0" w:color="auto"/>
        <w:left w:val="none" w:sz="0" w:space="0" w:color="auto"/>
        <w:bottom w:val="none" w:sz="0" w:space="0" w:color="auto"/>
        <w:right w:val="none" w:sz="0" w:space="0" w:color="auto"/>
      </w:divBdr>
    </w:div>
    <w:div w:id="159308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9" ma:contentTypeDescription="Create a new document." ma:contentTypeScope="" ma:versionID="ee09bfcd48299abea4ec3e67acd0e6e7">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bae70de0d39c0ed2751eaf50b61fe64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5E79C-036B-4988-A1BD-94EC9C05C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995D95-1AD4-4F2F-8975-3CE4A5C2C2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67D341-F4D1-4DD6-A750-AC04D6E8BCD6}">
  <ds:schemaRefs>
    <ds:schemaRef ds:uri="http://schemas.microsoft.com/sharepoint/v3/contenttype/forms"/>
  </ds:schemaRefs>
</ds:datastoreItem>
</file>

<file path=customXml/itemProps4.xml><?xml version="1.0" encoding="utf-8"?>
<ds:datastoreItem xmlns:ds="http://schemas.openxmlformats.org/officeDocument/2006/customXml" ds:itemID="{3AD4296A-0C84-4D5A-B32D-DCF042E6C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109</TotalTime>
  <Pages>6</Pages>
  <Words>1577</Words>
  <Characters>9248</Characters>
  <Application>Microsoft Office Word</Application>
  <DocSecurity>0</DocSecurity>
  <Lines>168</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67</cp:revision>
  <cp:lastPrinted>2022-11-17T18:15:00Z</cp:lastPrinted>
  <dcterms:created xsi:type="dcterms:W3CDTF">2022-11-30T18:50:00Z</dcterms:created>
  <dcterms:modified xsi:type="dcterms:W3CDTF">2022-12-19T15:20:00Z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ContentTypeId">
    <vt:lpwstr>0x0101001904E1EBFBC69D4E9F6EFDF5C754386E</vt:lpwstr>
  </property>
  <property fmtid="{D5CDD505-2E9C-101B-9397-08002B2CF9AE}" pid="10" name="MSIP_Label_6bd9ddd1-4d20-43f6-abfa-fc3c07406f94_Enabled">
    <vt:lpwstr>true</vt:lpwstr>
  </property>
  <property fmtid="{D5CDD505-2E9C-101B-9397-08002B2CF9AE}" pid="11" name="MSIP_Label_6bd9ddd1-4d20-43f6-abfa-fc3c07406f94_SetDate">
    <vt:lpwstr>2022-11-15T09:41:36Z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ba249cad-f9a9-4589-bdf4-8a7aa565bc2c</vt:lpwstr>
  </property>
  <property fmtid="{D5CDD505-2E9C-101B-9397-08002B2CF9AE}" pid="16" name="MSIP_Label_6bd9ddd1-4d20-43f6-abfa-fc3c07406f94_ContentBits">
    <vt:lpwstr>0</vt:lpwstr>
  </property>
  <property fmtid="{D5CDD505-2E9C-101B-9397-08002B2CF9AE}" pid="17" name="Last edited using">
    <vt:lpwstr>LW 8.1, Build 20220902</vt:lpwstr>
  </property>
  <property fmtid="{D5CDD505-2E9C-101B-9397-08002B2CF9AE}" pid="18" name="DQCStatus">
    <vt:lpwstr>Green (DQC version 03)</vt:lpwstr>
  </property>
  <property name="OP_sanitized" fmtid="{D5CDD505-2E9C-101B-9397-08002B2CF9AE}" pid="19">
    <vt:lpwstr>True</vt:lpwstr>
  </property>
</Properties>
</file>