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CD42" w14:textId="409BE3C7" w:rsidR="00131369" w:rsidRPr="00DA11F1" w:rsidRDefault="00D770E7" w:rsidP="00D770E7">
      <w:pPr>
        <w:pStyle w:val="Pagedecouverture"/>
        <w:rPr>
          <w:noProof/>
        </w:rPr>
      </w:pPr>
      <w:bookmarkStart w:id="0" w:name="LW_BM_COVERPAGE"/>
      <w:r>
        <w:rPr>
          <w:noProof/>
        </w:rPr>
        <w:pict w14:anchorId="2997E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E2E89D25-8FED-4D02-8BC7-11CBBD9AB360" style="width:455.15pt;height:351.55pt">
            <v:imagedata r:id="rId11" o:title=""/>
          </v:shape>
        </w:pict>
      </w:r>
    </w:p>
    <w:bookmarkEnd w:id="0"/>
    <w:p w14:paraId="733B3B15" w14:textId="77777777" w:rsidR="00131369" w:rsidRPr="00DA11F1" w:rsidRDefault="00131369" w:rsidP="008E33DB">
      <w:pPr>
        <w:rPr>
          <w:rFonts w:ascii="Times New Roman" w:hAnsi="Times New Roman"/>
          <w:noProof/>
          <w:lang w:val="en-US"/>
        </w:rPr>
        <w:sectPr w:rsidR="00131369" w:rsidRPr="00DA11F1" w:rsidSect="00D770E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Calibri" w:hAnsi="Times New Roman"/>
          <w:b w:val="0"/>
          <w:bCs w:val="0"/>
          <w:noProof/>
          <w:color w:val="auto"/>
          <w:sz w:val="24"/>
          <w:szCs w:val="24"/>
          <w:lang w:eastAsia="en-US"/>
        </w:rPr>
        <w:id w:val="-1133089857"/>
        <w:docPartObj>
          <w:docPartGallery w:val="Table of Contents"/>
          <w:docPartUnique/>
        </w:docPartObj>
      </w:sdtPr>
      <w:sdtEndPr>
        <w:rPr>
          <w:sz w:val="22"/>
          <w:szCs w:val="22"/>
        </w:rPr>
      </w:sdtEndPr>
      <w:sdtContent>
        <w:p w14:paraId="42569A3A" w14:textId="465F9B7C" w:rsidR="00131369" w:rsidRPr="00DA11F1" w:rsidRDefault="009B1524" w:rsidP="008E33DB">
          <w:pPr>
            <w:pStyle w:val="TOCHeading"/>
            <w:spacing w:before="0" w:after="200"/>
            <w:rPr>
              <w:rFonts w:ascii="Times New Roman" w:hAnsi="Times New Roman"/>
              <w:noProof/>
              <w:color w:val="auto"/>
              <w:sz w:val="22"/>
              <w:szCs w:val="22"/>
            </w:rPr>
          </w:pPr>
          <w:r>
            <w:rPr>
              <w:rFonts w:ascii="Times New Roman" w:hAnsi="Times New Roman"/>
              <w:noProof/>
              <w:color w:val="auto"/>
              <w:sz w:val="22"/>
              <w:szCs w:val="22"/>
            </w:rPr>
            <w:t>Inhoudsopgave</w:t>
          </w:r>
        </w:p>
        <w:p w14:paraId="51F91649" w14:textId="14C05A21" w:rsidR="00506CC2" w:rsidRPr="008E33DB" w:rsidRDefault="009B1524" w:rsidP="008E33DB">
          <w:pPr>
            <w:pStyle w:val="TOC1"/>
            <w:rPr>
              <w:rFonts w:ascii="Times New Roman" w:eastAsiaTheme="minorEastAsia" w:hAnsi="Times New Roman"/>
              <w:noProof/>
              <w:lang w:eastAsia="nl-NL"/>
            </w:rPr>
          </w:pPr>
          <w:r w:rsidRPr="00DA11F1">
            <w:rPr>
              <w:rFonts w:ascii="Times New Roman" w:hAnsi="Times New Roman"/>
              <w:b/>
              <w:bCs/>
              <w:noProof/>
            </w:rPr>
            <w:fldChar w:fldCharType="begin"/>
          </w:r>
          <w:r w:rsidRPr="00DA11F1">
            <w:rPr>
              <w:rFonts w:ascii="Times New Roman" w:hAnsi="Times New Roman"/>
              <w:b/>
              <w:bCs/>
              <w:noProof/>
            </w:rPr>
            <w:instrText xml:space="preserve"> TOC \o "1-5" \h \z \u </w:instrText>
          </w:r>
          <w:r w:rsidRPr="00DA11F1">
            <w:rPr>
              <w:rFonts w:ascii="Times New Roman" w:hAnsi="Times New Roman"/>
              <w:b/>
              <w:bCs/>
              <w:noProof/>
            </w:rPr>
            <w:fldChar w:fldCharType="separate"/>
          </w:r>
          <w:hyperlink w:anchor="_Toc89423460" w:history="1">
            <w:r w:rsidR="00506CC2" w:rsidRPr="008E33DB">
              <w:rPr>
                <w:rStyle w:val="Hyperlink"/>
                <w:rFonts w:ascii="Times New Roman" w:hAnsi="Times New Roman"/>
                <w:noProof/>
              </w:rPr>
              <w:t>Lijst van acroniemen en afkortingen</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_Toc89423460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2</w:t>
            </w:r>
            <w:r w:rsidR="00506CC2" w:rsidRPr="008E33DB">
              <w:rPr>
                <w:rFonts w:ascii="Times New Roman" w:hAnsi="Times New Roman"/>
                <w:noProof/>
                <w:webHidden/>
              </w:rPr>
              <w:fldChar w:fldCharType="end"/>
            </w:r>
          </w:hyperlink>
        </w:p>
        <w:p w14:paraId="5BD8C416" w14:textId="05CB5BE2" w:rsidR="00506CC2" w:rsidRPr="008E33DB" w:rsidRDefault="00D770E7" w:rsidP="008E33DB">
          <w:pPr>
            <w:pStyle w:val="TOC1"/>
            <w:rPr>
              <w:rFonts w:ascii="Times New Roman" w:eastAsiaTheme="minorEastAsia" w:hAnsi="Times New Roman"/>
              <w:noProof/>
              <w:lang w:eastAsia="nl-NL"/>
            </w:rPr>
          </w:pPr>
          <w:hyperlink w:anchor="_Toc89423461" w:history="1">
            <w:r w:rsidR="00506CC2" w:rsidRPr="00D4425F">
              <w:rPr>
                <w:rStyle w:val="Hyperlink"/>
                <w:rFonts w:ascii="Times New Roman" w:hAnsi="Times New Roman"/>
                <w:noProof/>
              </w:rPr>
              <w:t>1</w:t>
            </w:r>
            <w:r w:rsidR="00506CC2" w:rsidRPr="008E33DB">
              <w:rPr>
                <w:rStyle w:val="Hyperlink"/>
                <w:rFonts w:ascii="Times New Roman" w:hAnsi="Times New Roman"/>
                <w:noProof/>
              </w:rPr>
              <w:t>. INLEIDING</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_Toc89423461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3</w:t>
            </w:r>
            <w:r w:rsidR="00506CC2" w:rsidRPr="008E33DB">
              <w:rPr>
                <w:rFonts w:ascii="Times New Roman" w:hAnsi="Times New Roman"/>
                <w:noProof/>
                <w:webHidden/>
              </w:rPr>
              <w:fldChar w:fldCharType="end"/>
            </w:r>
          </w:hyperlink>
        </w:p>
        <w:p w14:paraId="25E76A78" w14:textId="7AC30489" w:rsidR="00506CC2" w:rsidRPr="008E33DB" w:rsidRDefault="00D770E7" w:rsidP="008E33DB">
          <w:pPr>
            <w:pStyle w:val="TOC1"/>
            <w:rPr>
              <w:rFonts w:ascii="Times New Roman" w:eastAsiaTheme="minorEastAsia" w:hAnsi="Times New Roman"/>
              <w:noProof/>
              <w:lang w:eastAsia="nl-NL"/>
            </w:rPr>
          </w:pPr>
          <w:hyperlink w:anchor="_Toc89423462" w:history="1">
            <w:r w:rsidR="00506CC2" w:rsidRPr="00D4425F">
              <w:rPr>
                <w:rStyle w:val="Hyperlink"/>
                <w:rFonts w:ascii="Times New Roman" w:hAnsi="Times New Roman"/>
                <w:noProof/>
              </w:rPr>
              <w:t>2</w:t>
            </w:r>
            <w:r w:rsidR="00506CC2" w:rsidRPr="008E33DB">
              <w:rPr>
                <w:rStyle w:val="Hyperlink"/>
                <w:rFonts w:ascii="Times New Roman" w:hAnsi="Times New Roman"/>
                <w:noProof/>
              </w:rPr>
              <w:t>. DE INFRASTRUCTUUR EN WERKINGSSFEER VAN HET EU-ETS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_Toc89423462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5</w:t>
            </w:r>
            <w:r w:rsidR="00506CC2" w:rsidRPr="008E33DB">
              <w:rPr>
                <w:rFonts w:ascii="Times New Roman" w:hAnsi="Times New Roman"/>
                <w:noProof/>
                <w:webHidden/>
              </w:rPr>
              <w:fldChar w:fldCharType="end"/>
            </w:r>
          </w:hyperlink>
        </w:p>
        <w:p w14:paraId="39EC3557" w14:textId="477128BE" w:rsidR="00506CC2" w:rsidRPr="008E33DB" w:rsidRDefault="00D770E7" w:rsidP="008E33DB">
          <w:pPr>
            <w:pStyle w:val="TOC1"/>
            <w:rPr>
              <w:rFonts w:ascii="Times New Roman" w:eastAsiaTheme="minorEastAsia" w:hAnsi="Times New Roman"/>
              <w:noProof/>
              <w:lang w:eastAsia="nl-NL"/>
            </w:rPr>
          </w:pPr>
          <w:hyperlink w:anchor="_Toc89423463" w:history="1">
            <w:r w:rsidR="00506CC2" w:rsidRPr="00D4425F">
              <w:rPr>
                <w:rStyle w:val="Hyperlink"/>
                <w:rFonts w:ascii="Times New Roman" w:hAnsi="Times New Roman"/>
                <w:noProof/>
              </w:rPr>
              <w:t>2</w:t>
            </w:r>
            <w:r w:rsidR="00506CC2" w:rsidRPr="008E33DB">
              <w:rPr>
                <w:rStyle w:val="Hyperlink"/>
                <w:rFonts w:ascii="Times New Roman" w:hAnsi="Times New Roman"/>
                <w:noProof/>
              </w:rPr>
              <w:t>.</w:t>
            </w:r>
            <w:r w:rsidR="00506CC2" w:rsidRPr="00D4425F">
              <w:rPr>
                <w:rStyle w:val="Hyperlink"/>
                <w:rFonts w:ascii="Times New Roman" w:hAnsi="Times New Roman"/>
                <w:noProof/>
              </w:rPr>
              <w:t>1</w:t>
            </w:r>
            <w:r w:rsidR="00506CC2" w:rsidRPr="008E33DB">
              <w:rPr>
                <w:rStyle w:val="Hyperlink"/>
                <w:rFonts w:ascii="Times New Roman" w:hAnsi="Times New Roman"/>
                <w:noProof/>
              </w:rPr>
              <w:t xml:space="preserve"> Het EU-register en het EU-transactielogboek</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_Toc89423463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5</w:t>
            </w:r>
            <w:r w:rsidR="00506CC2" w:rsidRPr="008E33DB">
              <w:rPr>
                <w:rFonts w:ascii="Times New Roman" w:hAnsi="Times New Roman"/>
                <w:noProof/>
                <w:webHidden/>
              </w:rPr>
              <w:fldChar w:fldCharType="end"/>
            </w:r>
          </w:hyperlink>
        </w:p>
        <w:p w14:paraId="35C729D7" w14:textId="14221474" w:rsidR="00506CC2" w:rsidRPr="008E33DB" w:rsidRDefault="00D770E7" w:rsidP="008E33DB">
          <w:pPr>
            <w:pStyle w:val="TOC1"/>
            <w:rPr>
              <w:rFonts w:ascii="Times New Roman" w:eastAsiaTheme="minorEastAsia" w:hAnsi="Times New Roman"/>
              <w:noProof/>
              <w:lang w:eastAsia="nl-NL"/>
            </w:rPr>
          </w:pPr>
          <w:hyperlink w:anchor="_Toc89423464" w:history="1">
            <w:r w:rsidR="00506CC2" w:rsidRPr="00D4425F">
              <w:rPr>
                <w:rStyle w:val="Hyperlink"/>
                <w:rFonts w:ascii="Times New Roman" w:hAnsi="Times New Roman"/>
                <w:noProof/>
              </w:rPr>
              <w:t>3</w:t>
            </w:r>
            <w:r w:rsidR="00506CC2" w:rsidRPr="008E33DB">
              <w:rPr>
                <w:rStyle w:val="Hyperlink"/>
                <w:rFonts w:ascii="Times New Roman" w:hAnsi="Times New Roman"/>
                <w:noProof/>
              </w:rPr>
              <w:t>. WERKING VAN DE KOOLSTOFMARKT</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_Toc89423464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7</w:t>
            </w:r>
            <w:r w:rsidR="00506CC2" w:rsidRPr="008E33DB">
              <w:rPr>
                <w:rFonts w:ascii="Times New Roman" w:hAnsi="Times New Roman"/>
                <w:noProof/>
                <w:webHidden/>
              </w:rPr>
              <w:fldChar w:fldCharType="end"/>
            </w:r>
          </w:hyperlink>
        </w:p>
        <w:p w14:paraId="349CF1C7" w14:textId="51B85CEC" w:rsidR="00506CC2" w:rsidRPr="008E33DB" w:rsidRDefault="00D770E7" w:rsidP="008E33DB">
          <w:pPr>
            <w:pStyle w:val="TOC2"/>
            <w:rPr>
              <w:rFonts w:ascii="Times New Roman" w:eastAsiaTheme="minorEastAsia" w:hAnsi="Times New Roman"/>
              <w:noProof/>
              <w:lang w:eastAsia="nl-NL"/>
            </w:rPr>
          </w:pPr>
          <w:hyperlink w:anchor="_Toc89423465" w:history="1">
            <w:r w:rsidR="00506CC2" w:rsidRPr="00D4425F">
              <w:rPr>
                <w:rStyle w:val="Hyperlink"/>
                <w:rFonts w:ascii="Times New Roman" w:hAnsi="Times New Roman"/>
                <w:noProof/>
              </w:rPr>
              <w:t>3</w:t>
            </w:r>
            <w:r w:rsidR="00506CC2" w:rsidRPr="008E33DB">
              <w:rPr>
                <w:rStyle w:val="Hyperlink"/>
                <w:rFonts w:ascii="Times New Roman" w:hAnsi="Times New Roman"/>
                <w:noProof/>
              </w:rPr>
              <w:t>.</w:t>
            </w:r>
            <w:r w:rsidR="00506CC2" w:rsidRPr="00D4425F">
              <w:rPr>
                <w:rStyle w:val="Hyperlink"/>
                <w:rFonts w:ascii="Times New Roman" w:hAnsi="Times New Roman"/>
                <w:noProof/>
              </w:rPr>
              <w:t>1</w:t>
            </w:r>
            <w:r w:rsidR="00506CC2" w:rsidRPr="008E33DB">
              <w:rPr>
                <w:rStyle w:val="Hyperlink"/>
                <w:rFonts w:ascii="Times New Roman" w:hAnsi="Times New Roman"/>
                <w:noProof/>
              </w:rPr>
              <w:t>. Aanbod: de in omloop gebrachte emissierechten</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_Toc89423465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7</w:t>
            </w:r>
            <w:r w:rsidR="00506CC2" w:rsidRPr="008E33DB">
              <w:rPr>
                <w:rFonts w:ascii="Times New Roman" w:hAnsi="Times New Roman"/>
                <w:noProof/>
                <w:webHidden/>
              </w:rPr>
              <w:fldChar w:fldCharType="end"/>
            </w:r>
          </w:hyperlink>
        </w:p>
        <w:p w14:paraId="03F41C83" w14:textId="0C1E5FDB" w:rsidR="00506CC2" w:rsidRPr="008E33DB" w:rsidRDefault="00D770E7" w:rsidP="008E33DB">
          <w:pPr>
            <w:pStyle w:val="TOC3"/>
            <w:rPr>
              <w:rFonts w:ascii="Times New Roman" w:eastAsiaTheme="minorEastAsia" w:hAnsi="Times New Roman"/>
              <w:noProof/>
              <w:lang w:eastAsia="nl-NL"/>
            </w:rPr>
          </w:pPr>
          <w:hyperlink w:anchor="_Toc89423466"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 Plafond</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_Toc89423466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7</w:t>
            </w:r>
            <w:r w:rsidR="00506CC2" w:rsidRPr="008E33DB">
              <w:rPr>
                <w:rFonts w:ascii="Times New Roman" w:hAnsi="Times New Roman"/>
                <w:noProof/>
                <w:webHidden/>
              </w:rPr>
              <w:fldChar w:fldCharType="end"/>
            </w:r>
          </w:hyperlink>
        </w:p>
        <w:p w14:paraId="46F6906D" w14:textId="0DDB0CBD" w:rsidR="00506CC2" w:rsidRPr="008E33DB" w:rsidRDefault="00D770E7" w:rsidP="008E33DB">
          <w:pPr>
            <w:pStyle w:val="TOC3"/>
            <w:rPr>
              <w:rFonts w:ascii="Times New Roman" w:eastAsiaTheme="minorEastAsia" w:hAnsi="Times New Roman"/>
              <w:noProof/>
              <w:lang w:eastAsia="nl-NL"/>
            </w:rPr>
          </w:pPr>
          <w:hyperlink w:anchor="_Toc89423467"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2</w:t>
            </w:r>
            <w:r w:rsidR="00506CC2" w:rsidRPr="008E33DB">
              <w:rPr>
                <w:rStyle w:val="Hyperlink"/>
                <w:rFonts w:ascii="Times New Roman" w:hAnsi="Times New Roman"/>
                <w:i/>
                <w:noProof/>
              </w:rPr>
              <w:t>. Kosteloze toewijzing</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_Toc89423467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10</w:t>
            </w:r>
            <w:r w:rsidR="00506CC2" w:rsidRPr="008E33DB">
              <w:rPr>
                <w:rFonts w:ascii="Times New Roman" w:hAnsi="Times New Roman"/>
                <w:noProof/>
                <w:webHidden/>
              </w:rPr>
              <w:fldChar w:fldCharType="end"/>
            </w:r>
          </w:hyperlink>
        </w:p>
        <w:p w14:paraId="7C0F8055" w14:textId="1BBE7583" w:rsidR="00506CC2" w:rsidRPr="008E33DB" w:rsidRDefault="00D770E7" w:rsidP="008E33DB">
          <w:pPr>
            <w:pStyle w:val="TOC3"/>
            <w:rPr>
              <w:rFonts w:ascii="Times New Roman" w:eastAsiaTheme="minorEastAsia" w:hAnsi="Times New Roman"/>
              <w:noProof/>
              <w:lang w:eastAsia="nl-NL"/>
            </w:rPr>
          </w:pPr>
          <w:hyperlink w:anchor="_Toc89423468"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3</w:t>
            </w:r>
            <w:r w:rsidR="00506CC2" w:rsidRPr="008E33DB">
              <w:rPr>
                <w:rStyle w:val="Hyperlink"/>
                <w:rFonts w:ascii="Times New Roman" w:hAnsi="Times New Roman"/>
                <w:i/>
                <w:noProof/>
              </w:rPr>
              <w:t>. Veiling van emissierechten</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_Toc89423468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12</w:t>
            </w:r>
            <w:r w:rsidR="00506CC2" w:rsidRPr="008E33DB">
              <w:rPr>
                <w:rFonts w:ascii="Times New Roman" w:hAnsi="Times New Roman"/>
                <w:noProof/>
                <w:webHidden/>
              </w:rPr>
              <w:fldChar w:fldCharType="end"/>
            </w:r>
          </w:hyperlink>
        </w:p>
        <w:p w14:paraId="79BB3BCE" w14:textId="73A48CD8" w:rsidR="00506CC2" w:rsidRPr="008E33DB" w:rsidRDefault="00D770E7" w:rsidP="008E33DB">
          <w:pPr>
            <w:pStyle w:val="TOC3"/>
            <w:rPr>
              <w:rFonts w:ascii="Times New Roman" w:eastAsiaTheme="minorEastAsia" w:hAnsi="Times New Roman"/>
              <w:noProof/>
              <w:lang w:eastAsia="nl-NL"/>
            </w:rPr>
          </w:pPr>
          <w:hyperlink w:anchor="_Toc89423469"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4</w:t>
            </w:r>
            <w:r w:rsidR="00506CC2" w:rsidRPr="008E33DB">
              <w:rPr>
                <w:rStyle w:val="Hyperlink"/>
                <w:rFonts w:ascii="Times New Roman" w:hAnsi="Times New Roman"/>
                <w:i/>
                <w:noProof/>
              </w:rPr>
              <w:t>. Afwijking van volledige veiling voor opwekking van elektriciteit en warmte</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_Toc89423469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15</w:t>
            </w:r>
            <w:r w:rsidR="00506CC2" w:rsidRPr="008E33DB">
              <w:rPr>
                <w:rFonts w:ascii="Times New Roman" w:hAnsi="Times New Roman"/>
                <w:noProof/>
                <w:webHidden/>
              </w:rPr>
              <w:fldChar w:fldCharType="end"/>
            </w:r>
          </w:hyperlink>
        </w:p>
        <w:p w14:paraId="1EF242A7" w14:textId="6F71C944" w:rsidR="00506CC2" w:rsidRPr="008E33DB" w:rsidRDefault="00D770E7" w:rsidP="008E33DB">
          <w:pPr>
            <w:pStyle w:val="TOC3"/>
            <w:rPr>
              <w:rFonts w:ascii="Times New Roman" w:eastAsiaTheme="minorEastAsia" w:hAnsi="Times New Roman"/>
              <w:noProof/>
              <w:lang w:eastAsia="nl-NL"/>
            </w:rPr>
          </w:pPr>
          <w:hyperlink w:anchor="_Toc89423470"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5</w:t>
            </w:r>
            <w:r w:rsidR="00506CC2" w:rsidRPr="008E33DB">
              <w:rPr>
                <w:rStyle w:val="Hyperlink"/>
                <w:rFonts w:ascii="Times New Roman" w:hAnsi="Times New Roman"/>
                <w:i/>
                <w:noProof/>
              </w:rPr>
              <w:t xml:space="preserve"> Het NER</w:t>
            </w:r>
            <w:r w:rsidR="00506CC2" w:rsidRPr="00D4425F">
              <w:rPr>
                <w:rStyle w:val="Hyperlink"/>
                <w:rFonts w:ascii="Times New Roman" w:hAnsi="Times New Roman"/>
                <w:i/>
                <w:noProof/>
              </w:rPr>
              <w:t>300</w:t>
            </w:r>
            <w:r w:rsidR="00506CC2" w:rsidRPr="008E33DB">
              <w:rPr>
                <w:rStyle w:val="Hyperlink"/>
                <w:rFonts w:ascii="Times New Roman" w:hAnsi="Times New Roman"/>
                <w:i/>
                <w:noProof/>
              </w:rPr>
              <w:t>-programma</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_Toc89423470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18</w:t>
            </w:r>
            <w:r w:rsidR="00506CC2" w:rsidRPr="008E33DB">
              <w:rPr>
                <w:rFonts w:ascii="Times New Roman" w:hAnsi="Times New Roman"/>
                <w:noProof/>
                <w:webHidden/>
              </w:rPr>
              <w:fldChar w:fldCharType="end"/>
            </w:r>
          </w:hyperlink>
        </w:p>
        <w:p w14:paraId="4EF3BB09" w14:textId="5C2FFA56" w:rsidR="00506CC2" w:rsidRPr="008E33DB" w:rsidRDefault="00D770E7" w:rsidP="008E33DB">
          <w:pPr>
            <w:pStyle w:val="TOC3"/>
            <w:rPr>
              <w:rFonts w:ascii="Times New Roman" w:eastAsiaTheme="minorEastAsia" w:hAnsi="Times New Roman"/>
              <w:noProof/>
              <w:lang w:eastAsia="nl-NL"/>
            </w:rPr>
          </w:pPr>
          <w:hyperlink w:anchor="_Toc89423471"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6</w:t>
            </w:r>
            <w:r w:rsidR="00506CC2" w:rsidRPr="008E33DB">
              <w:rPr>
                <w:rStyle w:val="Hyperlink"/>
                <w:rFonts w:ascii="Times New Roman" w:hAnsi="Times New Roman"/>
                <w:i/>
                <w:noProof/>
              </w:rPr>
              <w:t>. Het innovatiefonds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_Toc89423471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19</w:t>
            </w:r>
            <w:r w:rsidR="00506CC2" w:rsidRPr="008E33DB">
              <w:rPr>
                <w:rFonts w:ascii="Times New Roman" w:hAnsi="Times New Roman"/>
                <w:noProof/>
                <w:webHidden/>
              </w:rPr>
              <w:fldChar w:fldCharType="end"/>
            </w:r>
          </w:hyperlink>
        </w:p>
        <w:p w14:paraId="775B3536" w14:textId="18EE67B8" w:rsidR="00506CC2" w:rsidRPr="008E33DB" w:rsidRDefault="00D770E7" w:rsidP="008E33DB">
          <w:pPr>
            <w:pStyle w:val="TOC3"/>
            <w:rPr>
              <w:rFonts w:ascii="Times New Roman" w:eastAsiaTheme="minorEastAsia" w:hAnsi="Times New Roman"/>
              <w:noProof/>
              <w:lang w:eastAsia="nl-NL"/>
            </w:rPr>
          </w:pPr>
          <w:hyperlink w:anchor="_Toc89423472"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7</w:t>
            </w:r>
            <w:r w:rsidR="00506CC2" w:rsidRPr="008E33DB">
              <w:rPr>
                <w:rStyle w:val="Hyperlink"/>
                <w:rFonts w:ascii="Times New Roman" w:hAnsi="Times New Roman"/>
                <w:i/>
                <w:noProof/>
              </w:rPr>
              <w:t>. Het moderniseringsfonds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_Toc89423472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20</w:t>
            </w:r>
            <w:r w:rsidR="00506CC2" w:rsidRPr="008E33DB">
              <w:rPr>
                <w:rFonts w:ascii="Times New Roman" w:hAnsi="Times New Roman"/>
                <w:noProof/>
                <w:webHidden/>
              </w:rPr>
              <w:fldChar w:fldCharType="end"/>
            </w:r>
          </w:hyperlink>
        </w:p>
        <w:p w14:paraId="01155CDF" w14:textId="606CB310" w:rsidR="00506CC2" w:rsidRPr="008E33DB" w:rsidRDefault="00D770E7" w:rsidP="008E33DB">
          <w:pPr>
            <w:pStyle w:val="TOC3"/>
            <w:rPr>
              <w:rFonts w:ascii="Times New Roman" w:eastAsiaTheme="minorEastAsia" w:hAnsi="Times New Roman"/>
              <w:noProof/>
              <w:lang w:eastAsia="nl-NL"/>
            </w:rPr>
          </w:pPr>
          <w:hyperlink w:anchor="_Toc89423473"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8</w:t>
            </w:r>
            <w:r w:rsidR="00506CC2" w:rsidRPr="008E33DB">
              <w:rPr>
                <w:rStyle w:val="Hyperlink"/>
                <w:rFonts w:ascii="Times New Roman" w:hAnsi="Times New Roman"/>
                <w:i/>
                <w:noProof/>
              </w:rPr>
              <w:t>. Compensatie van indirecte koolstofkosten</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_Toc89423473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21</w:t>
            </w:r>
            <w:r w:rsidR="00506CC2" w:rsidRPr="008E33DB">
              <w:rPr>
                <w:rFonts w:ascii="Times New Roman" w:hAnsi="Times New Roman"/>
                <w:noProof/>
                <w:webHidden/>
              </w:rPr>
              <w:fldChar w:fldCharType="end"/>
            </w:r>
          </w:hyperlink>
        </w:p>
        <w:p w14:paraId="2B987B0E" w14:textId="3A1E1193" w:rsidR="00506CC2" w:rsidRPr="008E33DB" w:rsidRDefault="00D770E7" w:rsidP="008E33DB">
          <w:pPr>
            <w:pStyle w:val="TOC3"/>
            <w:rPr>
              <w:rFonts w:ascii="Times New Roman" w:eastAsiaTheme="minorEastAsia" w:hAnsi="Times New Roman"/>
              <w:noProof/>
              <w:lang w:eastAsia="nl-NL"/>
            </w:rPr>
          </w:pPr>
          <w:hyperlink w:anchor="_Toc89423474"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w:t>
            </w:r>
            <w:r w:rsidR="00506CC2" w:rsidRPr="00D4425F">
              <w:rPr>
                <w:rStyle w:val="Hyperlink"/>
                <w:rFonts w:ascii="Times New Roman" w:hAnsi="Times New Roman"/>
                <w:i/>
                <w:noProof/>
              </w:rPr>
              <w:t>9</w:t>
            </w:r>
            <w:r w:rsidR="00506CC2" w:rsidRPr="008E33DB">
              <w:rPr>
                <w:rStyle w:val="Hyperlink"/>
                <w:rFonts w:ascii="Times New Roman" w:hAnsi="Times New Roman"/>
                <w:i/>
                <w:noProof/>
              </w:rPr>
              <w:t>. Internationale kredieten</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_Toc89423474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23</w:t>
            </w:r>
            <w:r w:rsidR="00506CC2" w:rsidRPr="008E33DB">
              <w:rPr>
                <w:rFonts w:ascii="Times New Roman" w:hAnsi="Times New Roman"/>
                <w:noProof/>
                <w:webHidden/>
              </w:rPr>
              <w:fldChar w:fldCharType="end"/>
            </w:r>
          </w:hyperlink>
        </w:p>
        <w:p w14:paraId="13B589BA" w14:textId="283BE798" w:rsidR="00506CC2" w:rsidRPr="008E33DB" w:rsidRDefault="00D770E7" w:rsidP="008E33DB">
          <w:pPr>
            <w:pStyle w:val="TOC2"/>
            <w:rPr>
              <w:rFonts w:ascii="Times New Roman" w:eastAsiaTheme="minorEastAsia" w:hAnsi="Times New Roman"/>
              <w:noProof/>
              <w:lang w:eastAsia="nl-NL"/>
            </w:rPr>
          </w:pPr>
          <w:hyperlink w:anchor="_Toc89423475" w:history="1">
            <w:r w:rsidR="00506CC2" w:rsidRPr="00D4425F">
              <w:rPr>
                <w:rStyle w:val="Hyperlink"/>
                <w:rFonts w:ascii="Times New Roman" w:hAnsi="Times New Roman"/>
                <w:noProof/>
              </w:rPr>
              <w:t>3</w:t>
            </w:r>
            <w:r w:rsidR="00506CC2" w:rsidRPr="008E33DB">
              <w:rPr>
                <w:rStyle w:val="Hyperlink"/>
                <w:rFonts w:ascii="Times New Roman" w:hAnsi="Times New Roman"/>
                <w:noProof/>
              </w:rPr>
              <w:t>.</w:t>
            </w:r>
            <w:r w:rsidR="00506CC2" w:rsidRPr="00D4425F">
              <w:rPr>
                <w:rStyle w:val="Hyperlink"/>
                <w:rFonts w:ascii="Times New Roman" w:hAnsi="Times New Roman"/>
                <w:noProof/>
              </w:rPr>
              <w:t>2</w:t>
            </w:r>
            <w:r w:rsidR="00506CC2" w:rsidRPr="008E33DB">
              <w:rPr>
                <w:rStyle w:val="Hyperlink"/>
                <w:rFonts w:ascii="Times New Roman" w:hAnsi="Times New Roman"/>
                <w:noProof/>
              </w:rPr>
              <w:t>. Vraag: emissierechten die uit de omloop worden gehaald</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_Toc89423475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24</w:t>
            </w:r>
            <w:r w:rsidR="00506CC2" w:rsidRPr="008E33DB">
              <w:rPr>
                <w:rFonts w:ascii="Times New Roman" w:hAnsi="Times New Roman"/>
                <w:noProof/>
                <w:webHidden/>
              </w:rPr>
              <w:fldChar w:fldCharType="end"/>
            </w:r>
          </w:hyperlink>
        </w:p>
        <w:p w14:paraId="3671680B" w14:textId="65C2A370" w:rsidR="00506CC2" w:rsidRPr="008E33DB" w:rsidRDefault="00D770E7" w:rsidP="008E33DB">
          <w:pPr>
            <w:pStyle w:val="TOC3"/>
            <w:rPr>
              <w:rFonts w:ascii="Times New Roman" w:eastAsiaTheme="minorEastAsia" w:hAnsi="Times New Roman"/>
              <w:noProof/>
              <w:lang w:eastAsia="nl-NL"/>
            </w:rPr>
          </w:pPr>
          <w:hyperlink w:anchor="_Toc89423476"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2</w:t>
            </w:r>
            <w:r w:rsidR="00506CC2" w:rsidRPr="008E33DB">
              <w:rPr>
                <w:rStyle w:val="Hyperlink"/>
                <w:rFonts w:ascii="Times New Roman" w:hAnsi="Times New Roman"/>
                <w:i/>
                <w:noProof/>
              </w:rPr>
              <w:t>.</w:t>
            </w:r>
            <w:r w:rsidR="00506CC2" w:rsidRPr="00D4425F">
              <w:rPr>
                <w:rStyle w:val="Hyperlink"/>
                <w:rFonts w:ascii="Times New Roman" w:hAnsi="Times New Roman"/>
                <w:i/>
                <w:noProof/>
              </w:rPr>
              <w:t>1</w:t>
            </w:r>
            <w:r w:rsidR="00506CC2" w:rsidRPr="008E33DB">
              <w:rPr>
                <w:rStyle w:val="Hyperlink"/>
                <w:rFonts w:ascii="Times New Roman" w:hAnsi="Times New Roman"/>
                <w:i/>
                <w:noProof/>
              </w:rPr>
              <w:t>. Emissiereducties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_Toc89423476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24</w:t>
            </w:r>
            <w:r w:rsidR="00506CC2" w:rsidRPr="008E33DB">
              <w:rPr>
                <w:rFonts w:ascii="Times New Roman" w:hAnsi="Times New Roman"/>
                <w:noProof/>
                <w:webHidden/>
              </w:rPr>
              <w:fldChar w:fldCharType="end"/>
            </w:r>
          </w:hyperlink>
        </w:p>
        <w:p w14:paraId="37B14A6C" w14:textId="10B51ABC" w:rsidR="00506CC2" w:rsidRPr="008E33DB" w:rsidRDefault="00D770E7" w:rsidP="008E33DB">
          <w:pPr>
            <w:pStyle w:val="TOC3"/>
            <w:rPr>
              <w:rFonts w:ascii="Times New Roman" w:eastAsiaTheme="minorEastAsia" w:hAnsi="Times New Roman"/>
              <w:noProof/>
              <w:lang w:eastAsia="nl-NL"/>
            </w:rPr>
          </w:pPr>
          <w:hyperlink w:anchor="_Toc89423477" w:history="1">
            <w:r w:rsidR="00506CC2" w:rsidRPr="00D4425F">
              <w:rPr>
                <w:rStyle w:val="Hyperlink"/>
                <w:rFonts w:ascii="Times New Roman" w:hAnsi="Times New Roman"/>
                <w:i/>
                <w:noProof/>
              </w:rPr>
              <w:t>3</w:t>
            </w:r>
            <w:r w:rsidR="00506CC2" w:rsidRPr="008E33DB">
              <w:rPr>
                <w:rStyle w:val="Hyperlink"/>
                <w:rFonts w:ascii="Times New Roman" w:hAnsi="Times New Roman"/>
                <w:i/>
                <w:noProof/>
              </w:rPr>
              <w:t>.</w:t>
            </w:r>
            <w:r w:rsidR="00506CC2" w:rsidRPr="00D4425F">
              <w:rPr>
                <w:rStyle w:val="Hyperlink"/>
                <w:rFonts w:ascii="Times New Roman" w:hAnsi="Times New Roman"/>
                <w:i/>
                <w:noProof/>
              </w:rPr>
              <w:t>2</w:t>
            </w:r>
            <w:r w:rsidR="00506CC2" w:rsidRPr="008E33DB">
              <w:rPr>
                <w:rStyle w:val="Hyperlink"/>
                <w:rFonts w:ascii="Times New Roman" w:hAnsi="Times New Roman"/>
                <w:i/>
                <w:noProof/>
              </w:rPr>
              <w:t>.</w:t>
            </w:r>
            <w:r w:rsidR="00506CC2" w:rsidRPr="00D4425F">
              <w:rPr>
                <w:rStyle w:val="Hyperlink"/>
                <w:rFonts w:ascii="Times New Roman" w:hAnsi="Times New Roman"/>
                <w:i/>
                <w:noProof/>
              </w:rPr>
              <w:t>2</w:t>
            </w:r>
            <w:r w:rsidR="00506CC2" w:rsidRPr="008E33DB">
              <w:rPr>
                <w:rStyle w:val="Hyperlink"/>
                <w:rFonts w:ascii="Times New Roman" w:hAnsi="Times New Roman"/>
                <w:i/>
                <w:noProof/>
              </w:rPr>
              <w:t>. Evenwicht tussen vraag en aanbod</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_Toc89423477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29</w:t>
            </w:r>
            <w:r w:rsidR="00506CC2" w:rsidRPr="008E33DB">
              <w:rPr>
                <w:rFonts w:ascii="Times New Roman" w:hAnsi="Times New Roman"/>
                <w:noProof/>
                <w:webHidden/>
              </w:rPr>
              <w:fldChar w:fldCharType="end"/>
            </w:r>
          </w:hyperlink>
        </w:p>
        <w:p w14:paraId="2780D9EB" w14:textId="4394DE30" w:rsidR="00506CC2" w:rsidRPr="008E33DB" w:rsidRDefault="00D770E7" w:rsidP="008E33DB">
          <w:pPr>
            <w:pStyle w:val="TOC1"/>
            <w:rPr>
              <w:rFonts w:ascii="Times New Roman" w:eastAsiaTheme="minorEastAsia" w:hAnsi="Times New Roman"/>
              <w:noProof/>
              <w:lang w:eastAsia="nl-NL"/>
            </w:rPr>
          </w:pPr>
          <w:hyperlink w:anchor="_Toc89423478" w:history="1">
            <w:r w:rsidR="00506CC2" w:rsidRPr="00D4425F">
              <w:rPr>
                <w:rStyle w:val="Hyperlink"/>
                <w:rFonts w:ascii="Times New Roman" w:hAnsi="Times New Roman"/>
                <w:noProof/>
              </w:rPr>
              <w:t>4</w:t>
            </w:r>
            <w:r w:rsidR="00506CC2" w:rsidRPr="008E33DB">
              <w:rPr>
                <w:rStyle w:val="Hyperlink"/>
                <w:rFonts w:ascii="Times New Roman" w:hAnsi="Times New Roman"/>
                <w:noProof/>
              </w:rPr>
              <w:t>. LUCHTVAART</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_Toc89423478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32</w:t>
            </w:r>
            <w:r w:rsidR="00506CC2" w:rsidRPr="008E33DB">
              <w:rPr>
                <w:rFonts w:ascii="Times New Roman" w:hAnsi="Times New Roman"/>
                <w:noProof/>
                <w:webHidden/>
              </w:rPr>
              <w:fldChar w:fldCharType="end"/>
            </w:r>
          </w:hyperlink>
        </w:p>
        <w:p w14:paraId="1534C731" w14:textId="02EC97F0" w:rsidR="00506CC2" w:rsidRPr="008E33DB" w:rsidRDefault="00D770E7" w:rsidP="008E33DB">
          <w:pPr>
            <w:pStyle w:val="TOC1"/>
            <w:rPr>
              <w:rFonts w:ascii="Times New Roman" w:eastAsiaTheme="minorEastAsia" w:hAnsi="Times New Roman"/>
              <w:noProof/>
              <w:lang w:eastAsia="nl-NL"/>
            </w:rPr>
          </w:pPr>
          <w:hyperlink w:anchor="_Toc89423479" w:history="1">
            <w:r w:rsidR="00506CC2" w:rsidRPr="00D4425F">
              <w:rPr>
                <w:rStyle w:val="Hyperlink"/>
                <w:rFonts w:ascii="Times New Roman" w:hAnsi="Times New Roman"/>
                <w:noProof/>
              </w:rPr>
              <w:t>5</w:t>
            </w:r>
            <w:r w:rsidR="00506CC2" w:rsidRPr="008E33DB">
              <w:rPr>
                <w:rStyle w:val="Hyperlink"/>
                <w:rFonts w:ascii="Times New Roman" w:hAnsi="Times New Roman"/>
                <w:noProof/>
              </w:rPr>
              <w:t>. MARKTTOEZICHT</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_Toc89423479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35</w:t>
            </w:r>
            <w:r w:rsidR="00506CC2" w:rsidRPr="008E33DB">
              <w:rPr>
                <w:rFonts w:ascii="Times New Roman" w:hAnsi="Times New Roman"/>
                <w:noProof/>
                <w:webHidden/>
              </w:rPr>
              <w:fldChar w:fldCharType="end"/>
            </w:r>
          </w:hyperlink>
        </w:p>
        <w:p w14:paraId="24CA6CD5" w14:textId="54452854" w:rsidR="00506CC2" w:rsidRPr="008E33DB" w:rsidRDefault="00D770E7" w:rsidP="008E33DB">
          <w:pPr>
            <w:pStyle w:val="TOC1"/>
            <w:rPr>
              <w:rFonts w:ascii="Times New Roman" w:eastAsiaTheme="minorEastAsia" w:hAnsi="Times New Roman"/>
              <w:noProof/>
              <w:lang w:eastAsia="nl-NL"/>
            </w:rPr>
          </w:pPr>
          <w:hyperlink w:anchor="_Toc89423480" w:history="1">
            <w:r w:rsidR="00506CC2" w:rsidRPr="00D4425F">
              <w:rPr>
                <w:rStyle w:val="Hyperlink"/>
                <w:rFonts w:ascii="Times New Roman" w:hAnsi="Times New Roman"/>
                <w:noProof/>
              </w:rPr>
              <w:t>6</w:t>
            </w:r>
            <w:r w:rsidR="00506CC2" w:rsidRPr="008E33DB">
              <w:rPr>
                <w:rStyle w:val="Hyperlink"/>
                <w:rFonts w:ascii="Times New Roman" w:hAnsi="Times New Roman"/>
                <w:noProof/>
              </w:rPr>
              <w:t>. MONITORING, RAPPORTAGE EN VERIFICATIE VAN EMISSIES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_Toc89423480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39</w:t>
            </w:r>
            <w:r w:rsidR="00506CC2" w:rsidRPr="008E33DB">
              <w:rPr>
                <w:rFonts w:ascii="Times New Roman" w:hAnsi="Times New Roman"/>
                <w:noProof/>
                <w:webHidden/>
              </w:rPr>
              <w:fldChar w:fldCharType="end"/>
            </w:r>
          </w:hyperlink>
        </w:p>
        <w:p w14:paraId="04BDEC8B" w14:textId="4D814D90" w:rsidR="00506CC2" w:rsidRPr="008E33DB" w:rsidRDefault="00D770E7" w:rsidP="008E33DB">
          <w:pPr>
            <w:pStyle w:val="TOC1"/>
            <w:rPr>
              <w:rFonts w:ascii="Times New Roman" w:eastAsiaTheme="minorEastAsia" w:hAnsi="Times New Roman"/>
              <w:noProof/>
              <w:lang w:eastAsia="nl-NL"/>
            </w:rPr>
          </w:pPr>
          <w:hyperlink w:anchor="_Toc89423481" w:history="1">
            <w:r w:rsidR="00506CC2" w:rsidRPr="00D4425F">
              <w:rPr>
                <w:rStyle w:val="Hyperlink"/>
                <w:rFonts w:ascii="Times New Roman" w:hAnsi="Times New Roman"/>
                <w:noProof/>
              </w:rPr>
              <w:t>7</w:t>
            </w:r>
            <w:r w:rsidR="00506CC2" w:rsidRPr="008E33DB">
              <w:rPr>
                <w:rStyle w:val="Hyperlink"/>
                <w:rFonts w:ascii="Times New Roman" w:hAnsi="Times New Roman"/>
                <w:noProof/>
              </w:rPr>
              <w:t>. DE KOPPELING TUSSEN HET EU-ETS EN HET ZWITSERSE ETS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_Toc89423481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40</w:t>
            </w:r>
            <w:r w:rsidR="00506CC2" w:rsidRPr="008E33DB">
              <w:rPr>
                <w:rFonts w:ascii="Times New Roman" w:hAnsi="Times New Roman"/>
                <w:noProof/>
                <w:webHidden/>
              </w:rPr>
              <w:fldChar w:fldCharType="end"/>
            </w:r>
          </w:hyperlink>
        </w:p>
        <w:p w14:paraId="052836B7" w14:textId="56DC8E1D" w:rsidR="00506CC2" w:rsidRPr="008E33DB" w:rsidRDefault="00D770E7" w:rsidP="008E33DB">
          <w:pPr>
            <w:pStyle w:val="TOC1"/>
            <w:rPr>
              <w:rFonts w:ascii="Times New Roman" w:eastAsiaTheme="minorEastAsia" w:hAnsi="Times New Roman"/>
              <w:noProof/>
              <w:lang w:eastAsia="nl-NL"/>
            </w:rPr>
          </w:pPr>
          <w:hyperlink w:anchor="_Toc89423482" w:history="1">
            <w:r w:rsidR="00506CC2" w:rsidRPr="00D4425F">
              <w:rPr>
                <w:rStyle w:val="Hyperlink"/>
                <w:rFonts w:ascii="Times New Roman" w:hAnsi="Times New Roman"/>
                <w:noProof/>
              </w:rPr>
              <w:t>8</w:t>
            </w:r>
            <w:r w:rsidR="00506CC2" w:rsidRPr="008E33DB">
              <w:rPr>
                <w:rStyle w:val="Hyperlink"/>
                <w:rFonts w:ascii="Times New Roman" w:hAnsi="Times New Roman"/>
                <w:noProof/>
              </w:rPr>
              <w:t>. DE GEVOLGEN VAN DE UITVOERING VAN DE RICHTLIJN ENERGIE-EFFICIËNTIE EN DE NATIONALE ENERGIE- EN KLIMAATPLANNEN VOOR HET EU-ETS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_Toc89423482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44</w:t>
            </w:r>
            <w:r w:rsidR="00506CC2" w:rsidRPr="008E33DB">
              <w:rPr>
                <w:rFonts w:ascii="Times New Roman" w:hAnsi="Times New Roman"/>
                <w:noProof/>
                <w:webHidden/>
              </w:rPr>
              <w:fldChar w:fldCharType="end"/>
            </w:r>
          </w:hyperlink>
        </w:p>
        <w:p w14:paraId="72C7B004" w14:textId="7A1DC1A5" w:rsidR="00506CC2" w:rsidRPr="008E33DB" w:rsidRDefault="00D770E7" w:rsidP="008E33DB">
          <w:pPr>
            <w:pStyle w:val="TOC2"/>
            <w:rPr>
              <w:rFonts w:ascii="Times New Roman" w:eastAsiaTheme="minorEastAsia" w:hAnsi="Times New Roman"/>
              <w:noProof/>
              <w:lang w:eastAsia="nl-NL"/>
            </w:rPr>
          </w:pPr>
          <w:hyperlink w:anchor="_Toc89423483" w:history="1">
            <w:r w:rsidR="00506CC2" w:rsidRPr="00D4425F">
              <w:rPr>
                <w:rStyle w:val="Hyperlink"/>
                <w:rFonts w:ascii="Times New Roman" w:hAnsi="Times New Roman"/>
                <w:noProof/>
              </w:rPr>
              <w:t>8</w:t>
            </w:r>
            <w:r w:rsidR="00506CC2" w:rsidRPr="008E33DB">
              <w:rPr>
                <w:rStyle w:val="Hyperlink"/>
                <w:rFonts w:ascii="Times New Roman" w:hAnsi="Times New Roman"/>
                <w:noProof/>
              </w:rPr>
              <w:t>.</w:t>
            </w:r>
            <w:r w:rsidR="00506CC2" w:rsidRPr="00D4425F">
              <w:rPr>
                <w:rStyle w:val="Hyperlink"/>
                <w:rFonts w:ascii="Times New Roman" w:hAnsi="Times New Roman"/>
                <w:noProof/>
              </w:rPr>
              <w:t>1</w:t>
            </w:r>
            <w:r w:rsidR="00506CC2" w:rsidRPr="008E33DB">
              <w:rPr>
                <w:rStyle w:val="Hyperlink"/>
                <w:rFonts w:ascii="Times New Roman" w:hAnsi="Times New Roman"/>
                <w:noProof/>
              </w:rPr>
              <w:t xml:space="preserve"> De gevolgen van de uitvoering van de richtlijn energie-efficiëntie op het EU-ETS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_Toc89423483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44</w:t>
            </w:r>
            <w:r w:rsidR="00506CC2" w:rsidRPr="008E33DB">
              <w:rPr>
                <w:rFonts w:ascii="Times New Roman" w:hAnsi="Times New Roman"/>
                <w:noProof/>
                <w:webHidden/>
              </w:rPr>
              <w:fldChar w:fldCharType="end"/>
            </w:r>
          </w:hyperlink>
        </w:p>
        <w:p w14:paraId="71B889BA" w14:textId="67314FB9" w:rsidR="00506CC2" w:rsidRPr="008E33DB" w:rsidRDefault="00D770E7" w:rsidP="008E33DB">
          <w:pPr>
            <w:pStyle w:val="TOC2"/>
            <w:rPr>
              <w:rFonts w:ascii="Times New Roman" w:eastAsiaTheme="minorEastAsia" w:hAnsi="Times New Roman"/>
              <w:noProof/>
              <w:lang w:eastAsia="nl-NL"/>
            </w:rPr>
          </w:pPr>
          <w:hyperlink w:anchor="_Toc89423484" w:history="1">
            <w:r w:rsidR="00506CC2" w:rsidRPr="00D4425F">
              <w:rPr>
                <w:rStyle w:val="Hyperlink"/>
                <w:rFonts w:ascii="Times New Roman" w:hAnsi="Times New Roman"/>
                <w:noProof/>
              </w:rPr>
              <w:t>8</w:t>
            </w:r>
            <w:r w:rsidR="00506CC2" w:rsidRPr="008E33DB">
              <w:rPr>
                <w:rStyle w:val="Hyperlink"/>
                <w:rFonts w:ascii="Times New Roman" w:hAnsi="Times New Roman"/>
                <w:noProof/>
              </w:rPr>
              <w:t>.</w:t>
            </w:r>
            <w:r w:rsidR="00506CC2" w:rsidRPr="00D4425F">
              <w:rPr>
                <w:rStyle w:val="Hyperlink"/>
                <w:rFonts w:ascii="Times New Roman" w:hAnsi="Times New Roman"/>
                <w:noProof/>
              </w:rPr>
              <w:t>2</w:t>
            </w:r>
            <w:r w:rsidR="00506CC2" w:rsidRPr="008E33DB">
              <w:rPr>
                <w:rStyle w:val="Hyperlink"/>
                <w:rFonts w:ascii="Times New Roman" w:hAnsi="Times New Roman"/>
                <w:noProof/>
              </w:rPr>
              <w:t xml:space="preserve"> De gevolgen van de uitvoering van de nationale energie- en klimaatplannen op het EU-ETS</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_Toc89423484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47</w:t>
            </w:r>
            <w:r w:rsidR="00506CC2" w:rsidRPr="008E33DB">
              <w:rPr>
                <w:rFonts w:ascii="Times New Roman" w:hAnsi="Times New Roman"/>
                <w:noProof/>
                <w:webHidden/>
              </w:rPr>
              <w:fldChar w:fldCharType="end"/>
            </w:r>
          </w:hyperlink>
        </w:p>
        <w:p w14:paraId="5C267E31" w14:textId="60CCBC4F" w:rsidR="006C746A" w:rsidRPr="00DA11F1" w:rsidRDefault="00D770E7" w:rsidP="008E33DB">
          <w:pPr>
            <w:pStyle w:val="TOC1"/>
            <w:rPr>
              <w:rFonts w:ascii="Times New Roman" w:hAnsi="Times New Roman"/>
              <w:noProof/>
            </w:rPr>
          </w:pPr>
          <w:hyperlink w:anchor="_Toc89423485" w:history="1">
            <w:r w:rsidR="00506CC2" w:rsidRPr="00D4425F">
              <w:rPr>
                <w:rStyle w:val="Hyperlink"/>
                <w:rFonts w:ascii="Times New Roman" w:hAnsi="Times New Roman"/>
                <w:noProof/>
              </w:rPr>
              <w:t>9</w:t>
            </w:r>
            <w:r w:rsidR="00506CC2" w:rsidRPr="008E33DB">
              <w:rPr>
                <w:rStyle w:val="Hyperlink"/>
                <w:rFonts w:ascii="Times New Roman" w:hAnsi="Times New Roman"/>
                <w:noProof/>
              </w:rPr>
              <w:t>. CONCLUSIES EN VOORUITBLIK</w:t>
            </w:r>
            <w:r w:rsidR="00506CC2" w:rsidRPr="008E33DB">
              <w:rPr>
                <w:rFonts w:ascii="Times New Roman" w:hAnsi="Times New Roman"/>
                <w:noProof/>
                <w:webHidden/>
              </w:rPr>
              <w:tab/>
            </w:r>
            <w:r w:rsidR="00506CC2" w:rsidRPr="008E33DB">
              <w:rPr>
                <w:rFonts w:ascii="Times New Roman" w:hAnsi="Times New Roman"/>
                <w:noProof/>
                <w:webHidden/>
              </w:rPr>
              <w:fldChar w:fldCharType="begin"/>
            </w:r>
            <w:r w:rsidR="00506CC2" w:rsidRPr="008E33DB">
              <w:rPr>
                <w:rFonts w:ascii="Times New Roman" w:hAnsi="Times New Roman"/>
                <w:noProof/>
                <w:webHidden/>
              </w:rPr>
              <w:instrText xml:space="preserve"> PAGEREF _Toc89423485 \h </w:instrText>
            </w:r>
            <w:r w:rsidR="00506CC2" w:rsidRPr="008E33DB">
              <w:rPr>
                <w:rFonts w:ascii="Times New Roman" w:hAnsi="Times New Roman"/>
                <w:noProof/>
                <w:webHidden/>
              </w:rPr>
            </w:r>
            <w:r w:rsidR="00506CC2" w:rsidRPr="008E33DB">
              <w:rPr>
                <w:rFonts w:ascii="Times New Roman" w:hAnsi="Times New Roman"/>
                <w:noProof/>
                <w:webHidden/>
              </w:rPr>
              <w:fldChar w:fldCharType="separate"/>
            </w:r>
            <w:r w:rsidR="00D4425F">
              <w:rPr>
                <w:rFonts w:ascii="Times New Roman" w:hAnsi="Times New Roman"/>
                <w:noProof/>
                <w:webHidden/>
              </w:rPr>
              <w:t>48</w:t>
            </w:r>
            <w:r w:rsidR="00506CC2" w:rsidRPr="008E33DB">
              <w:rPr>
                <w:rFonts w:ascii="Times New Roman" w:hAnsi="Times New Roman"/>
                <w:noProof/>
                <w:webHidden/>
              </w:rPr>
              <w:fldChar w:fldCharType="end"/>
            </w:r>
          </w:hyperlink>
          <w:r w:rsidR="009B1524" w:rsidRPr="00DA11F1">
            <w:rPr>
              <w:rFonts w:ascii="Times New Roman" w:hAnsi="Times New Roman"/>
              <w:b/>
              <w:bCs/>
              <w:noProof/>
            </w:rPr>
            <w:fldChar w:fldCharType="end"/>
          </w:r>
        </w:p>
      </w:sdtContent>
    </w:sdt>
    <w:bookmarkStart w:id="2" w:name="_Toc519009670" w:displacedByCustomXml="prev"/>
    <w:p w14:paraId="65860D23" w14:textId="451BD3E7" w:rsidR="006B4591" w:rsidRDefault="006B4591" w:rsidP="008E33DB">
      <w:pPr>
        <w:rPr>
          <w:rFonts w:ascii="Times New Roman" w:eastAsia="Times New Roman" w:hAnsi="Times New Roman"/>
          <w:b/>
          <w:bCs/>
          <w:noProof/>
          <w:kern w:val="32"/>
          <w:sz w:val="24"/>
          <w:szCs w:val="32"/>
        </w:rPr>
      </w:pPr>
      <w:bookmarkStart w:id="3" w:name="_Toc89423460"/>
    </w:p>
    <w:p w14:paraId="3D89C9CF" w14:textId="35C51A13" w:rsidR="00131369" w:rsidRPr="00DA11F1" w:rsidRDefault="009B1524" w:rsidP="008E33DB">
      <w:pPr>
        <w:pStyle w:val="Heading1"/>
        <w:spacing w:before="0" w:after="200"/>
        <w:rPr>
          <w:noProof/>
          <w:szCs w:val="24"/>
        </w:rPr>
      </w:pPr>
      <w:r>
        <w:rPr>
          <w:noProof/>
        </w:rPr>
        <w:t>Lijst van acroniemen en afkortingen</w:t>
      </w:r>
      <w:bookmarkEnd w:id="3"/>
      <w:bookmarkEnd w:id="2"/>
    </w:p>
    <w:p w14:paraId="6A0FEDB4" w14:textId="2965123E"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AVR</w:t>
      </w:r>
      <w:r w:rsidR="00885E99">
        <w:rPr>
          <w:rFonts w:ascii="Times New Roman" w:hAnsi="Times New Roman"/>
          <w:noProof/>
          <w:sz w:val="24"/>
          <w:szCs w:val="24"/>
        </w:rPr>
        <w:tab/>
      </w:r>
      <w:r>
        <w:rPr>
          <w:rFonts w:ascii="Times New Roman" w:hAnsi="Times New Roman"/>
          <w:noProof/>
          <w:sz w:val="24"/>
          <w:szCs w:val="24"/>
        </w:rPr>
        <w:t>Verordening accreditatie en verificatie</w:t>
      </w:r>
    </w:p>
    <w:p w14:paraId="094F5CAD" w14:textId="676F05DF" w:rsidR="00F02D78" w:rsidRPr="00DA11F1" w:rsidRDefault="00F02D78" w:rsidP="008E33DB">
      <w:pPr>
        <w:tabs>
          <w:tab w:val="left" w:pos="1701"/>
        </w:tabs>
        <w:spacing w:after="0"/>
        <w:ind w:left="1701" w:hanging="1701"/>
        <w:rPr>
          <w:rFonts w:ascii="Times New Roman" w:eastAsia="Times New Roman" w:hAnsi="Times New Roman"/>
          <w:noProof/>
          <w:sz w:val="24"/>
          <w:szCs w:val="24"/>
        </w:rPr>
      </w:pPr>
      <w:r>
        <w:rPr>
          <w:rFonts w:ascii="Times New Roman" w:hAnsi="Times New Roman"/>
          <w:noProof/>
          <w:sz w:val="24"/>
          <w:szCs w:val="24"/>
        </w:rPr>
        <w:t>CEF DI</w:t>
      </w:r>
      <w:r>
        <w:rPr>
          <w:rFonts w:ascii="Times New Roman" w:hAnsi="Times New Roman"/>
          <w:noProof/>
          <w:sz w:val="24"/>
          <w:szCs w:val="24"/>
        </w:rPr>
        <w:tab/>
        <w:t>Schuldinstrument van de Connecting Europe Facility</w:t>
      </w:r>
    </w:p>
    <w:p w14:paraId="2941181A" w14:textId="44E71CB4" w:rsidR="00CC16FA" w:rsidRPr="00DA11F1" w:rsidRDefault="00CC16FA"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CEM’s</w:t>
      </w:r>
      <w:r w:rsidR="00885E99">
        <w:rPr>
          <w:rFonts w:ascii="Times New Roman" w:hAnsi="Times New Roman"/>
          <w:noProof/>
          <w:sz w:val="24"/>
          <w:szCs w:val="24"/>
        </w:rPr>
        <w:tab/>
      </w:r>
      <w:r>
        <w:rPr>
          <w:rFonts w:ascii="Times New Roman" w:hAnsi="Times New Roman"/>
          <w:noProof/>
          <w:sz w:val="24"/>
          <w:szCs w:val="24"/>
        </w:rPr>
        <w:t>Systemen voor continue emissiemeting</w:t>
      </w:r>
    </w:p>
    <w:p w14:paraId="4297A510" w14:textId="7B1CD330" w:rsidR="00F92634" w:rsidRPr="00DA11F1" w:rsidRDefault="00F9263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Cinea</w:t>
      </w:r>
      <w:r>
        <w:rPr>
          <w:rFonts w:ascii="Times New Roman" w:hAnsi="Times New Roman"/>
          <w:noProof/>
          <w:sz w:val="24"/>
          <w:szCs w:val="24"/>
        </w:rPr>
        <w:tab/>
        <w:t>Europees Uitvoerend Agentschap klimaat, infrastructuur en milieu</w:t>
      </w:r>
    </w:p>
    <w:p w14:paraId="1BDED353" w14:textId="7E931104" w:rsidR="00D855A7" w:rsidRPr="00AD2714" w:rsidRDefault="00D855A7" w:rsidP="008E33DB">
      <w:pPr>
        <w:tabs>
          <w:tab w:val="left" w:pos="1701"/>
        </w:tabs>
        <w:spacing w:after="0"/>
        <w:ind w:left="1701" w:hanging="1701"/>
        <w:rPr>
          <w:rFonts w:ascii="Times New Roman" w:hAnsi="Times New Roman"/>
          <w:noProof/>
          <w:sz w:val="24"/>
          <w:szCs w:val="24"/>
          <w:lang w:val="en-GB"/>
        </w:rPr>
      </w:pPr>
      <w:r w:rsidRPr="00AD2714">
        <w:rPr>
          <w:rFonts w:ascii="Times New Roman" w:hAnsi="Times New Roman"/>
          <w:noProof/>
          <w:sz w:val="24"/>
          <w:szCs w:val="24"/>
          <w:lang w:val="en-GB"/>
        </w:rPr>
        <w:t>CO</w:t>
      </w:r>
      <w:r w:rsidRPr="00D4425F">
        <w:rPr>
          <w:rFonts w:ascii="Times New Roman" w:hAnsi="Times New Roman"/>
          <w:noProof/>
          <w:sz w:val="24"/>
          <w:szCs w:val="24"/>
          <w:vertAlign w:val="subscript"/>
          <w:lang w:val="en-GB"/>
        </w:rPr>
        <w:t>2</w:t>
      </w:r>
      <w:r w:rsidR="00885E99">
        <w:rPr>
          <w:rFonts w:ascii="Times New Roman" w:hAnsi="Times New Roman"/>
          <w:noProof/>
          <w:sz w:val="24"/>
          <w:szCs w:val="24"/>
          <w:lang w:val="en-GB"/>
        </w:rPr>
        <w:tab/>
      </w:r>
      <w:r w:rsidRPr="00AD2714">
        <w:rPr>
          <w:rFonts w:ascii="Times New Roman" w:hAnsi="Times New Roman"/>
          <w:noProof/>
          <w:sz w:val="24"/>
          <w:szCs w:val="24"/>
          <w:lang w:val="en-GB"/>
        </w:rPr>
        <w:t>Kooldioxide</w:t>
      </w:r>
    </w:p>
    <w:p w14:paraId="16AC6BE0" w14:textId="18396820" w:rsidR="00D855A7" w:rsidRPr="00AD2714" w:rsidRDefault="00D855A7" w:rsidP="008E33DB">
      <w:pPr>
        <w:tabs>
          <w:tab w:val="left" w:pos="1701"/>
        </w:tabs>
        <w:spacing w:after="0"/>
        <w:ind w:left="1701" w:hanging="1701"/>
        <w:rPr>
          <w:rFonts w:ascii="Times New Roman" w:hAnsi="Times New Roman"/>
          <w:noProof/>
          <w:sz w:val="24"/>
          <w:szCs w:val="24"/>
          <w:lang w:val="en-GB"/>
        </w:rPr>
      </w:pPr>
      <w:r w:rsidRPr="00AD2714">
        <w:rPr>
          <w:rFonts w:ascii="Times New Roman" w:hAnsi="Times New Roman"/>
          <w:noProof/>
          <w:sz w:val="24"/>
          <w:szCs w:val="24"/>
          <w:lang w:val="en-GB"/>
        </w:rPr>
        <w:t>CO</w:t>
      </w:r>
      <w:r w:rsidRPr="00D4425F">
        <w:rPr>
          <w:rFonts w:ascii="Times New Roman" w:hAnsi="Times New Roman"/>
          <w:noProof/>
          <w:sz w:val="24"/>
          <w:szCs w:val="24"/>
          <w:vertAlign w:val="subscript"/>
          <w:lang w:val="en-GB"/>
        </w:rPr>
        <w:t>2</w:t>
      </w:r>
      <w:r w:rsidRPr="00AD2714">
        <w:rPr>
          <w:rFonts w:ascii="Times New Roman" w:hAnsi="Times New Roman"/>
          <w:noProof/>
          <w:sz w:val="24"/>
          <w:szCs w:val="24"/>
          <w:lang w:val="en-GB"/>
        </w:rPr>
        <w:t>-eq</w:t>
      </w:r>
      <w:r w:rsidR="00885E99">
        <w:rPr>
          <w:rFonts w:ascii="Times New Roman" w:hAnsi="Times New Roman"/>
          <w:noProof/>
          <w:sz w:val="24"/>
          <w:szCs w:val="24"/>
          <w:lang w:val="en-GB"/>
        </w:rPr>
        <w:tab/>
      </w:r>
      <w:r w:rsidRPr="00AD2714">
        <w:rPr>
          <w:rFonts w:ascii="Times New Roman" w:hAnsi="Times New Roman"/>
          <w:noProof/>
          <w:sz w:val="24"/>
          <w:szCs w:val="24"/>
          <w:lang w:val="en-GB"/>
        </w:rPr>
        <w:t>Kooldioxide-equivalent</w:t>
      </w:r>
    </w:p>
    <w:p w14:paraId="1C1EAC28" w14:textId="555D44EE"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Corsia</w:t>
      </w:r>
      <w:r>
        <w:rPr>
          <w:rFonts w:ascii="Times New Roman" w:hAnsi="Times New Roman"/>
          <w:noProof/>
          <w:sz w:val="24"/>
          <w:szCs w:val="24"/>
        </w:rPr>
        <w:tab/>
        <w:t>Regeling voor koolstofcompensatie en -reductie voor de internationale luchtvaart</w:t>
      </w:r>
    </w:p>
    <w:p w14:paraId="762A379F" w14:textId="09E0EDF2" w:rsidR="00F92634" w:rsidRPr="00DA11F1" w:rsidRDefault="00F9263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CP</w:t>
      </w:r>
      <w:r w:rsidRPr="00D4425F">
        <w:rPr>
          <w:rFonts w:ascii="Times New Roman" w:hAnsi="Times New Roman"/>
          <w:noProof/>
          <w:sz w:val="24"/>
          <w:szCs w:val="24"/>
        </w:rPr>
        <w:t>2</w:t>
      </w:r>
      <w:r w:rsidR="00885E99">
        <w:rPr>
          <w:rFonts w:ascii="Times New Roman" w:hAnsi="Times New Roman"/>
          <w:noProof/>
          <w:sz w:val="24"/>
          <w:szCs w:val="24"/>
        </w:rPr>
        <w:tab/>
      </w:r>
      <w:r>
        <w:rPr>
          <w:rFonts w:ascii="Times New Roman" w:hAnsi="Times New Roman"/>
          <w:noProof/>
          <w:sz w:val="24"/>
          <w:szCs w:val="24"/>
        </w:rPr>
        <w:t>Tweede verbintenisperiode in het kader van het Protocol van Kyoto</w:t>
      </w:r>
    </w:p>
    <w:p w14:paraId="475CF17B" w14:textId="657B8E7B"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EA</w:t>
      </w:r>
      <w:r w:rsidR="00885E99">
        <w:rPr>
          <w:rFonts w:ascii="Times New Roman" w:hAnsi="Times New Roman"/>
          <w:noProof/>
          <w:sz w:val="24"/>
          <w:szCs w:val="24"/>
        </w:rPr>
        <w:tab/>
      </w:r>
      <w:r>
        <w:rPr>
          <w:rFonts w:ascii="Times New Roman" w:hAnsi="Times New Roman"/>
          <w:noProof/>
          <w:sz w:val="24"/>
          <w:szCs w:val="24"/>
        </w:rPr>
        <w:t>Europese samenwerking voor accreditatie</w:t>
      </w:r>
    </w:p>
    <w:p w14:paraId="53A8D4EC" w14:textId="729645E2"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EER</w:t>
      </w:r>
      <w:r w:rsidR="00885E99">
        <w:rPr>
          <w:rFonts w:ascii="Times New Roman" w:hAnsi="Times New Roman"/>
          <w:noProof/>
          <w:sz w:val="24"/>
          <w:szCs w:val="24"/>
        </w:rPr>
        <w:tab/>
      </w:r>
      <w:r>
        <w:rPr>
          <w:rFonts w:ascii="Times New Roman" w:hAnsi="Times New Roman"/>
          <w:noProof/>
          <w:sz w:val="24"/>
          <w:szCs w:val="24"/>
        </w:rPr>
        <w:t>Europese Economische Ruimte</w:t>
      </w:r>
    </w:p>
    <w:p w14:paraId="44F16B2D" w14:textId="51CCEE6E" w:rsidR="00D76679" w:rsidRPr="00DA11F1" w:rsidRDefault="00D76679"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EED</w:t>
      </w:r>
      <w:r w:rsidR="00885E99">
        <w:rPr>
          <w:rFonts w:ascii="Times New Roman" w:hAnsi="Times New Roman"/>
          <w:noProof/>
          <w:sz w:val="24"/>
          <w:szCs w:val="24"/>
        </w:rPr>
        <w:tab/>
      </w:r>
      <w:r>
        <w:rPr>
          <w:rFonts w:ascii="Times New Roman" w:hAnsi="Times New Roman"/>
          <w:noProof/>
          <w:sz w:val="24"/>
          <w:szCs w:val="24"/>
        </w:rPr>
        <w:t xml:space="preserve">Richtlijn energie-efficiëntie </w:t>
      </w:r>
    </w:p>
    <w:p w14:paraId="0EFD4864" w14:textId="6858DA45"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EEX</w:t>
      </w:r>
      <w:r w:rsidR="00885E99">
        <w:rPr>
          <w:rFonts w:ascii="Times New Roman" w:hAnsi="Times New Roman"/>
          <w:noProof/>
          <w:sz w:val="24"/>
          <w:szCs w:val="24"/>
        </w:rPr>
        <w:tab/>
      </w:r>
      <w:r>
        <w:rPr>
          <w:rFonts w:ascii="Times New Roman" w:hAnsi="Times New Roman"/>
          <w:noProof/>
          <w:sz w:val="24"/>
          <w:szCs w:val="24"/>
        </w:rPr>
        <w:t>European Energy Exchange</w:t>
      </w:r>
    </w:p>
    <w:p w14:paraId="25CED1F6" w14:textId="141765ED"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EIB</w:t>
      </w:r>
      <w:r w:rsidR="00885E99">
        <w:rPr>
          <w:rFonts w:ascii="Times New Roman" w:hAnsi="Times New Roman"/>
          <w:noProof/>
          <w:sz w:val="24"/>
          <w:szCs w:val="24"/>
        </w:rPr>
        <w:tab/>
      </w:r>
      <w:r>
        <w:rPr>
          <w:rFonts w:ascii="Times New Roman" w:hAnsi="Times New Roman"/>
          <w:noProof/>
          <w:sz w:val="24"/>
          <w:szCs w:val="24"/>
        </w:rPr>
        <w:t>Europese Investeringsbank</w:t>
      </w:r>
    </w:p>
    <w:p w14:paraId="29CCD025" w14:textId="0B303C09"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ESMA</w:t>
      </w:r>
      <w:r w:rsidR="00885E99">
        <w:rPr>
          <w:rFonts w:ascii="Times New Roman" w:hAnsi="Times New Roman"/>
          <w:noProof/>
          <w:sz w:val="24"/>
          <w:szCs w:val="24"/>
        </w:rPr>
        <w:tab/>
      </w:r>
      <w:r>
        <w:rPr>
          <w:rFonts w:ascii="Times New Roman" w:hAnsi="Times New Roman"/>
          <w:noProof/>
          <w:sz w:val="24"/>
          <w:szCs w:val="24"/>
        </w:rPr>
        <w:t>Europese Autoriteit voor effecten en markten</w:t>
      </w:r>
    </w:p>
    <w:p w14:paraId="0346073B" w14:textId="2D0ED661" w:rsidR="004144EE" w:rsidRPr="00DA11F1" w:rsidRDefault="004144EE"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EU</w:t>
      </w:r>
      <w:r w:rsidRPr="00D4425F">
        <w:rPr>
          <w:rFonts w:ascii="Times New Roman" w:hAnsi="Times New Roman"/>
          <w:noProof/>
          <w:sz w:val="24"/>
          <w:szCs w:val="24"/>
        </w:rPr>
        <w:t>27</w:t>
      </w:r>
      <w:r w:rsidR="00885E99">
        <w:rPr>
          <w:rFonts w:ascii="Times New Roman" w:hAnsi="Times New Roman"/>
          <w:noProof/>
          <w:sz w:val="24"/>
          <w:szCs w:val="24"/>
        </w:rPr>
        <w:tab/>
      </w:r>
      <w:r>
        <w:rPr>
          <w:rFonts w:ascii="Times New Roman" w:hAnsi="Times New Roman"/>
          <w:noProof/>
          <w:sz w:val="24"/>
          <w:szCs w:val="24"/>
        </w:rPr>
        <w:t>Lidstaten van de Europese Unie</w:t>
      </w:r>
    </w:p>
    <w:p w14:paraId="3159F2CF" w14:textId="77777777"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EU-ETS</w:t>
      </w:r>
      <w:r>
        <w:rPr>
          <w:rFonts w:ascii="Times New Roman" w:hAnsi="Times New Roman"/>
          <w:noProof/>
          <w:sz w:val="24"/>
          <w:szCs w:val="24"/>
        </w:rPr>
        <w:tab/>
        <w:t>EU-emissiehandelssysteem</w:t>
      </w:r>
    </w:p>
    <w:p w14:paraId="62C4C118" w14:textId="03A66A73"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EUTL</w:t>
      </w:r>
      <w:r w:rsidR="00885E99">
        <w:rPr>
          <w:rFonts w:ascii="Times New Roman" w:hAnsi="Times New Roman"/>
          <w:noProof/>
          <w:sz w:val="24"/>
          <w:szCs w:val="24"/>
        </w:rPr>
        <w:tab/>
      </w:r>
      <w:r>
        <w:rPr>
          <w:rFonts w:ascii="Times New Roman" w:hAnsi="Times New Roman"/>
          <w:noProof/>
          <w:sz w:val="24"/>
          <w:szCs w:val="24"/>
        </w:rPr>
        <w:t>EU-transactielogboek</w:t>
      </w:r>
    </w:p>
    <w:p w14:paraId="3130A404" w14:textId="36DCF677"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 xml:space="preserve">BKG  </w:t>
      </w:r>
      <w:r w:rsidR="00885E99">
        <w:rPr>
          <w:rFonts w:ascii="Times New Roman" w:hAnsi="Times New Roman"/>
          <w:noProof/>
          <w:sz w:val="24"/>
          <w:szCs w:val="24"/>
        </w:rPr>
        <w:tab/>
      </w:r>
      <w:r>
        <w:rPr>
          <w:rFonts w:ascii="Times New Roman" w:hAnsi="Times New Roman"/>
          <w:noProof/>
          <w:sz w:val="24"/>
          <w:szCs w:val="24"/>
        </w:rPr>
        <w:t>Broeikasgas</w:t>
      </w:r>
    </w:p>
    <w:p w14:paraId="3210EF51" w14:textId="432D52FF" w:rsidR="00131369" w:rsidRPr="00312334"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ICAO</w:t>
      </w:r>
      <w:r w:rsidR="00885E99">
        <w:rPr>
          <w:rFonts w:ascii="Times New Roman" w:hAnsi="Times New Roman"/>
          <w:noProof/>
          <w:sz w:val="24"/>
          <w:szCs w:val="24"/>
        </w:rPr>
        <w:tab/>
      </w:r>
      <w:r>
        <w:rPr>
          <w:rFonts w:ascii="Times New Roman" w:hAnsi="Times New Roman"/>
          <w:noProof/>
          <w:sz w:val="24"/>
          <w:szCs w:val="24"/>
        </w:rPr>
        <w:t>Internationale Burgerluchtvaartorganisatie</w:t>
      </w:r>
    </w:p>
    <w:p w14:paraId="4EB9C34D" w14:textId="704E4CF8" w:rsidR="00131369" w:rsidRPr="00312334"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ICE</w:t>
      </w:r>
      <w:r w:rsidR="00885E99">
        <w:rPr>
          <w:rFonts w:ascii="Times New Roman" w:hAnsi="Times New Roman"/>
          <w:noProof/>
          <w:sz w:val="24"/>
          <w:szCs w:val="24"/>
        </w:rPr>
        <w:tab/>
      </w:r>
      <w:r>
        <w:rPr>
          <w:rFonts w:ascii="Times New Roman" w:hAnsi="Times New Roman"/>
          <w:noProof/>
          <w:sz w:val="24"/>
          <w:szCs w:val="24"/>
        </w:rPr>
        <w:t xml:space="preserve">InterContinental Exchange Futures Europe </w:t>
      </w:r>
    </w:p>
    <w:p w14:paraId="478648C0" w14:textId="4F5F5971"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 xml:space="preserve">InnovFin EDP </w:t>
      </w:r>
      <w:r w:rsidR="00885E99">
        <w:rPr>
          <w:rFonts w:ascii="Times New Roman" w:hAnsi="Times New Roman"/>
          <w:noProof/>
          <w:sz w:val="24"/>
          <w:szCs w:val="24"/>
        </w:rPr>
        <w:tab/>
      </w:r>
      <w:r>
        <w:rPr>
          <w:rFonts w:ascii="Times New Roman" w:hAnsi="Times New Roman"/>
          <w:noProof/>
          <w:sz w:val="24"/>
          <w:szCs w:val="24"/>
        </w:rPr>
        <w:t xml:space="preserve">InnovFin energiedemonstratieprojecten </w:t>
      </w:r>
    </w:p>
    <w:p w14:paraId="27FD39DA" w14:textId="1A93EC6E"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MAR</w:t>
      </w:r>
      <w:r w:rsidR="00885E99">
        <w:rPr>
          <w:rFonts w:ascii="Times New Roman" w:hAnsi="Times New Roman"/>
          <w:noProof/>
          <w:sz w:val="24"/>
          <w:szCs w:val="24"/>
        </w:rPr>
        <w:tab/>
      </w:r>
      <w:r>
        <w:rPr>
          <w:rFonts w:ascii="Times New Roman" w:hAnsi="Times New Roman"/>
          <w:noProof/>
          <w:sz w:val="24"/>
          <w:szCs w:val="24"/>
        </w:rPr>
        <w:t>Verordening marktmisbruik</w:t>
      </w:r>
    </w:p>
    <w:p w14:paraId="38A12761" w14:textId="77777777"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MiFID</w:t>
      </w:r>
      <w:r w:rsidRPr="00D4425F">
        <w:rPr>
          <w:rFonts w:ascii="Times New Roman" w:hAnsi="Times New Roman"/>
          <w:noProof/>
          <w:sz w:val="24"/>
          <w:szCs w:val="24"/>
        </w:rPr>
        <w:t>2</w:t>
      </w:r>
      <w:r>
        <w:rPr>
          <w:rFonts w:ascii="Times New Roman" w:hAnsi="Times New Roman"/>
          <w:noProof/>
          <w:sz w:val="24"/>
          <w:szCs w:val="24"/>
        </w:rPr>
        <w:tab/>
        <w:t>Richtlijn betreffende markten voor financiële instrumenten</w:t>
      </w:r>
    </w:p>
    <w:p w14:paraId="19707D25" w14:textId="7364FE96"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MiFIR</w:t>
      </w:r>
      <w:r w:rsidR="00885E99">
        <w:rPr>
          <w:rFonts w:ascii="Times New Roman" w:hAnsi="Times New Roman"/>
          <w:noProof/>
          <w:sz w:val="24"/>
          <w:szCs w:val="24"/>
        </w:rPr>
        <w:tab/>
      </w:r>
      <w:r>
        <w:rPr>
          <w:rFonts w:ascii="Times New Roman" w:hAnsi="Times New Roman"/>
          <w:noProof/>
          <w:sz w:val="24"/>
          <w:szCs w:val="24"/>
        </w:rPr>
        <w:t>Verordening betreffende markten in financiële instrumenten</w:t>
      </w:r>
    </w:p>
    <w:p w14:paraId="0B7DC42B" w14:textId="658B2EC2"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MRV</w:t>
      </w:r>
      <w:r w:rsidR="00885E99">
        <w:rPr>
          <w:rFonts w:ascii="Times New Roman" w:hAnsi="Times New Roman"/>
          <w:noProof/>
          <w:sz w:val="24"/>
          <w:szCs w:val="24"/>
        </w:rPr>
        <w:tab/>
      </w:r>
      <w:r>
        <w:rPr>
          <w:rFonts w:ascii="Times New Roman" w:hAnsi="Times New Roman"/>
          <w:noProof/>
          <w:sz w:val="24"/>
          <w:szCs w:val="24"/>
        </w:rPr>
        <w:t>Verordening monitoring en rapportage</w:t>
      </w:r>
    </w:p>
    <w:p w14:paraId="657CD42A" w14:textId="03394554"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 xml:space="preserve">MSR  </w:t>
      </w:r>
      <w:r w:rsidR="00885E99">
        <w:rPr>
          <w:rFonts w:ascii="Times New Roman" w:hAnsi="Times New Roman"/>
          <w:noProof/>
          <w:sz w:val="24"/>
          <w:szCs w:val="24"/>
        </w:rPr>
        <w:tab/>
      </w:r>
      <w:r>
        <w:rPr>
          <w:rFonts w:ascii="Times New Roman" w:hAnsi="Times New Roman"/>
          <w:noProof/>
          <w:sz w:val="24"/>
          <w:szCs w:val="24"/>
        </w:rPr>
        <w:t>Marktstabiliteitsreserve</w:t>
      </w:r>
    </w:p>
    <w:p w14:paraId="7E45F5B2" w14:textId="00CCE0AF" w:rsidR="00D855A7" w:rsidRPr="00DA11F1" w:rsidRDefault="00D855A7"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N</w:t>
      </w:r>
      <w:r w:rsidRPr="00D4425F">
        <w:rPr>
          <w:rFonts w:ascii="Times New Roman" w:hAnsi="Times New Roman"/>
          <w:noProof/>
          <w:sz w:val="24"/>
          <w:szCs w:val="24"/>
          <w:vertAlign w:val="subscript"/>
        </w:rPr>
        <w:t>2</w:t>
      </w:r>
      <w:r>
        <w:rPr>
          <w:rFonts w:ascii="Times New Roman" w:hAnsi="Times New Roman"/>
          <w:noProof/>
          <w:sz w:val="24"/>
          <w:szCs w:val="24"/>
        </w:rPr>
        <w:t>O</w:t>
      </w:r>
      <w:r w:rsidR="00885E99">
        <w:rPr>
          <w:rFonts w:ascii="Times New Roman" w:hAnsi="Times New Roman"/>
          <w:noProof/>
          <w:sz w:val="24"/>
          <w:szCs w:val="24"/>
        </w:rPr>
        <w:tab/>
      </w:r>
      <w:r>
        <w:rPr>
          <w:rFonts w:ascii="Times New Roman" w:hAnsi="Times New Roman"/>
          <w:noProof/>
          <w:sz w:val="24"/>
          <w:szCs w:val="24"/>
        </w:rPr>
        <w:t>Distikstofoxide</w:t>
      </w:r>
    </w:p>
    <w:p w14:paraId="783192C6" w14:textId="3F359912" w:rsidR="00D76679" w:rsidRPr="00DA11F1" w:rsidRDefault="00D76679"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NECP’s</w:t>
      </w:r>
      <w:r w:rsidR="00885E99">
        <w:rPr>
          <w:rFonts w:ascii="Times New Roman" w:hAnsi="Times New Roman"/>
          <w:noProof/>
          <w:sz w:val="24"/>
          <w:szCs w:val="24"/>
        </w:rPr>
        <w:tab/>
      </w:r>
      <w:r>
        <w:rPr>
          <w:rFonts w:ascii="Times New Roman" w:hAnsi="Times New Roman"/>
          <w:noProof/>
          <w:sz w:val="24"/>
          <w:szCs w:val="24"/>
        </w:rPr>
        <w:t>Nationale energie- en klimaatplannen</w:t>
      </w:r>
    </w:p>
    <w:p w14:paraId="4E3CDC68" w14:textId="1A28A5AE" w:rsidR="00131369" w:rsidRPr="00AD2714" w:rsidRDefault="009B1524" w:rsidP="008E33DB">
      <w:pPr>
        <w:tabs>
          <w:tab w:val="left" w:pos="1701"/>
        </w:tabs>
        <w:spacing w:after="0"/>
        <w:ind w:left="1701" w:hanging="1701"/>
        <w:rPr>
          <w:rFonts w:ascii="Times New Roman" w:hAnsi="Times New Roman"/>
          <w:noProof/>
          <w:sz w:val="24"/>
          <w:szCs w:val="24"/>
          <w:lang w:val="en-GB"/>
        </w:rPr>
      </w:pPr>
      <w:r w:rsidRPr="00AD2714">
        <w:rPr>
          <w:rFonts w:ascii="Times New Roman" w:hAnsi="Times New Roman"/>
          <w:noProof/>
          <w:sz w:val="24"/>
          <w:szCs w:val="24"/>
          <w:lang w:val="en-GB"/>
        </w:rPr>
        <w:t>NER</w:t>
      </w:r>
      <w:r w:rsidR="00885E99">
        <w:rPr>
          <w:rFonts w:ascii="Times New Roman" w:hAnsi="Times New Roman"/>
          <w:noProof/>
          <w:sz w:val="24"/>
          <w:szCs w:val="24"/>
          <w:lang w:val="en-GB"/>
        </w:rPr>
        <w:tab/>
      </w:r>
      <w:r w:rsidRPr="00AD2714">
        <w:rPr>
          <w:rFonts w:ascii="Times New Roman" w:hAnsi="Times New Roman"/>
          <w:noProof/>
          <w:sz w:val="24"/>
          <w:szCs w:val="24"/>
          <w:lang w:val="en-GB"/>
        </w:rPr>
        <w:t>Nieuwkomersreserve</w:t>
      </w:r>
    </w:p>
    <w:p w14:paraId="0FE05914" w14:textId="5F72D715" w:rsidR="00131369" w:rsidRPr="00AD2714" w:rsidRDefault="009B1524" w:rsidP="008E33DB">
      <w:pPr>
        <w:tabs>
          <w:tab w:val="left" w:pos="1701"/>
        </w:tabs>
        <w:spacing w:after="0"/>
        <w:ind w:left="1701" w:hanging="1701"/>
        <w:rPr>
          <w:rFonts w:ascii="Times New Roman" w:hAnsi="Times New Roman"/>
          <w:noProof/>
          <w:sz w:val="24"/>
          <w:szCs w:val="24"/>
          <w:lang w:val="en-GB"/>
        </w:rPr>
      </w:pPr>
      <w:r w:rsidRPr="00AD2714">
        <w:rPr>
          <w:rFonts w:ascii="Times New Roman" w:hAnsi="Times New Roman"/>
          <w:noProof/>
          <w:sz w:val="24"/>
          <w:szCs w:val="24"/>
          <w:lang w:val="en-GB"/>
        </w:rPr>
        <w:t>OTC</w:t>
      </w:r>
      <w:r w:rsidR="00885E99">
        <w:rPr>
          <w:rFonts w:ascii="Times New Roman" w:hAnsi="Times New Roman"/>
          <w:noProof/>
          <w:sz w:val="24"/>
          <w:szCs w:val="24"/>
          <w:lang w:val="en-GB"/>
        </w:rPr>
        <w:tab/>
      </w:r>
      <w:r w:rsidRPr="00AD2714">
        <w:rPr>
          <w:rFonts w:ascii="Times New Roman" w:hAnsi="Times New Roman"/>
          <w:noProof/>
          <w:sz w:val="24"/>
          <w:szCs w:val="24"/>
          <w:lang w:val="en-GB"/>
        </w:rPr>
        <w:t>Over-the-counter</w:t>
      </w:r>
    </w:p>
    <w:p w14:paraId="2CC6044C" w14:textId="76A4F19C"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PFK’s</w:t>
      </w:r>
      <w:r w:rsidR="00885E99">
        <w:rPr>
          <w:rFonts w:ascii="Times New Roman" w:hAnsi="Times New Roman"/>
          <w:noProof/>
          <w:sz w:val="24"/>
          <w:szCs w:val="24"/>
        </w:rPr>
        <w:tab/>
      </w:r>
      <w:r>
        <w:rPr>
          <w:rFonts w:ascii="Times New Roman" w:hAnsi="Times New Roman"/>
          <w:noProof/>
          <w:sz w:val="24"/>
          <w:szCs w:val="24"/>
        </w:rPr>
        <w:t>Perfluorkoolstoffen</w:t>
      </w:r>
    </w:p>
    <w:p w14:paraId="5D22E015" w14:textId="1A7817AC" w:rsidR="00131369"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SARP’s</w:t>
      </w:r>
      <w:r w:rsidR="00885E99">
        <w:rPr>
          <w:rFonts w:ascii="Times New Roman" w:hAnsi="Times New Roman"/>
          <w:noProof/>
          <w:sz w:val="24"/>
          <w:szCs w:val="24"/>
        </w:rPr>
        <w:tab/>
      </w:r>
      <w:r>
        <w:rPr>
          <w:rFonts w:ascii="Times New Roman" w:hAnsi="Times New Roman"/>
          <w:noProof/>
          <w:sz w:val="24"/>
          <w:szCs w:val="24"/>
        </w:rPr>
        <w:t>Normen en aanbevolen praktijken van Corsia</w:t>
      </w:r>
    </w:p>
    <w:p w14:paraId="6390D40A" w14:textId="4BCDABDA" w:rsidR="00B75A1C" w:rsidRPr="00DA11F1" w:rsidRDefault="009B1524"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TNAC</w:t>
      </w:r>
      <w:r w:rsidR="00885E99">
        <w:rPr>
          <w:rFonts w:ascii="Times New Roman" w:hAnsi="Times New Roman"/>
          <w:noProof/>
          <w:sz w:val="24"/>
          <w:szCs w:val="24"/>
        </w:rPr>
        <w:tab/>
      </w:r>
      <w:r>
        <w:rPr>
          <w:rFonts w:ascii="Times New Roman" w:hAnsi="Times New Roman"/>
          <w:noProof/>
          <w:sz w:val="24"/>
          <w:szCs w:val="24"/>
        </w:rPr>
        <w:t>Totaal aantal emissierechten in omloop</w:t>
      </w:r>
    </w:p>
    <w:p w14:paraId="59490F27" w14:textId="2F9681D8" w:rsidR="00B75A1C" w:rsidRPr="00DA11F1" w:rsidRDefault="00B75A1C" w:rsidP="008E33DB">
      <w:pPr>
        <w:tabs>
          <w:tab w:val="left" w:pos="1701"/>
        </w:tabs>
        <w:spacing w:after="0"/>
        <w:ind w:left="1701" w:hanging="1701"/>
        <w:rPr>
          <w:rFonts w:ascii="Times New Roman" w:hAnsi="Times New Roman"/>
          <w:noProof/>
          <w:sz w:val="24"/>
          <w:szCs w:val="24"/>
        </w:rPr>
      </w:pPr>
      <w:r>
        <w:rPr>
          <w:rFonts w:ascii="Times New Roman" w:hAnsi="Times New Roman"/>
          <w:noProof/>
          <w:sz w:val="24"/>
          <w:szCs w:val="24"/>
        </w:rPr>
        <w:t>VK</w:t>
      </w:r>
      <w:r w:rsidR="00885E99">
        <w:rPr>
          <w:rFonts w:ascii="Times New Roman" w:hAnsi="Times New Roman"/>
          <w:noProof/>
          <w:sz w:val="24"/>
          <w:szCs w:val="24"/>
        </w:rPr>
        <w:tab/>
      </w:r>
      <w:r>
        <w:rPr>
          <w:rFonts w:ascii="Times New Roman" w:hAnsi="Times New Roman"/>
          <w:noProof/>
          <w:sz w:val="24"/>
          <w:szCs w:val="24"/>
        </w:rPr>
        <w:t>Verenigd Koninkrijk</w:t>
      </w:r>
    </w:p>
    <w:p w14:paraId="50F75FD7" w14:textId="1378D7A0" w:rsidR="00131369" w:rsidRPr="00DA11F1" w:rsidRDefault="00D76679" w:rsidP="008E33DB">
      <w:pPr>
        <w:tabs>
          <w:tab w:val="left" w:pos="1701"/>
        </w:tabs>
        <w:ind w:left="1701" w:hanging="1701"/>
        <w:rPr>
          <w:rFonts w:ascii="Times New Roman" w:hAnsi="Times New Roman"/>
          <w:noProof/>
          <w:szCs w:val="24"/>
        </w:rPr>
      </w:pPr>
      <w:r>
        <w:rPr>
          <w:rFonts w:ascii="Times New Roman" w:hAnsi="Times New Roman"/>
          <w:noProof/>
          <w:sz w:val="24"/>
          <w:szCs w:val="24"/>
        </w:rPr>
        <w:t>UNFCCC</w:t>
      </w:r>
      <w:r>
        <w:rPr>
          <w:rFonts w:ascii="Times New Roman" w:hAnsi="Times New Roman"/>
          <w:noProof/>
          <w:sz w:val="24"/>
          <w:szCs w:val="24"/>
        </w:rPr>
        <w:tab/>
        <w:t>Raamverdrag van de Verenigde Naties inzake klimaatverandering</w:t>
      </w:r>
    </w:p>
    <w:p w14:paraId="387DBC7E" w14:textId="77777777" w:rsidR="00964E0B" w:rsidRPr="00DA11F1" w:rsidRDefault="00964E0B" w:rsidP="008E33DB">
      <w:pPr>
        <w:rPr>
          <w:rFonts w:ascii="Times New Roman" w:eastAsia="Times New Roman" w:hAnsi="Times New Roman"/>
          <w:b/>
          <w:bCs/>
          <w:noProof/>
          <w:kern w:val="32"/>
          <w:sz w:val="24"/>
          <w:szCs w:val="32"/>
        </w:rPr>
      </w:pPr>
      <w:bookmarkStart w:id="4" w:name="_Toc490850418"/>
      <w:bookmarkStart w:id="5" w:name="_Toc519009671"/>
      <w:r>
        <w:rPr>
          <w:noProof/>
        </w:rPr>
        <w:br w:type="page"/>
      </w:r>
    </w:p>
    <w:p w14:paraId="7821B18D" w14:textId="640F42AC" w:rsidR="00131369" w:rsidRPr="00DA11F1" w:rsidRDefault="009B1524" w:rsidP="008E33DB">
      <w:pPr>
        <w:pStyle w:val="Heading1"/>
        <w:spacing w:before="0" w:after="200"/>
        <w:rPr>
          <w:noProof/>
        </w:rPr>
      </w:pPr>
      <w:bookmarkStart w:id="6" w:name="_Toc89423461"/>
      <w:r w:rsidRPr="00D4425F">
        <w:rPr>
          <w:noProof/>
        </w:rPr>
        <w:t>1</w:t>
      </w:r>
      <w:r>
        <w:rPr>
          <w:noProof/>
        </w:rPr>
        <w:t>. INLEIDIN</w:t>
      </w:r>
      <w:bookmarkEnd w:id="4"/>
      <w:bookmarkEnd w:id="5"/>
      <w:r>
        <w:rPr>
          <w:noProof/>
        </w:rPr>
        <w:t>G</w:t>
      </w:r>
      <w:bookmarkEnd w:id="6"/>
    </w:p>
    <w:p w14:paraId="3A2EC02D" w14:textId="42E922D2" w:rsidR="00287718" w:rsidRPr="00DA11F1" w:rsidRDefault="0028370A" w:rsidP="008E33DB">
      <w:pPr>
        <w:jc w:val="both"/>
        <w:rPr>
          <w:rFonts w:ascii="Times New Roman" w:hAnsi="Times New Roman"/>
          <w:noProof/>
          <w:sz w:val="24"/>
          <w:szCs w:val="24"/>
        </w:rPr>
      </w:pPr>
      <w:bookmarkStart w:id="7" w:name="_Toc427931123"/>
      <w:bookmarkEnd w:id="7"/>
      <w:r>
        <w:rPr>
          <w:rFonts w:ascii="Times New Roman" w:hAnsi="Times New Roman"/>
          <w:noProof/>
          <w:sz w:val="24"/>
          <w:szCs w:val="24"/>
        </w:rPr>
        <w:t xml:space="preserve">Het emissiehandelssysteem van de Europese Unie (EU-ETS) vormt sinds </w:t>
      </w:r>
      <w:r w:rsidRPr="00D4425F">
        <w:rPr>
          <w:rFonts w:ascii="Times New Roman" w:hAnsi="Times New Roman"/>
          <w:noProof/>
          <w:sz w:val="24"/>
          <w:szCs w:val="24"/>
        </w:rPr>
        <w:t>2005</w:t>
      </w:r>
      <w:r>
        <w:rPr>
          <w:rFonts w:ascii="Times New Roman" w:hAnsi="Times New Roman"/>
          <w:noProof/>
          <w:sz w:val="24"/>
          <w:szCs w:val="24"/>
        </w:rPr>
        <w:t xml:space="preserve"> een hoeksteen van de EU-strategie om de emissies van broeikasgassen terug te dringen. Sinds de lancering ervan in </w:t>
      </w:r>
      <w:r w:rsidRPr="00D4425F">
        <w:rPr>
          <w:rFonts w:ascii="Times New Roman" w:hAnsi="Times New Roman"/>
          <w:noProof/>
          <w:sz w:val="24"/>
          <w:szCs w:val="24"/>
        </w:rPr>
        <w:t>2005</w:t>
      </w:r>
      <w:r>
        <w:rPr>
          <w:rFonts w:ascii="Times New Roman" w:hAnsi="Times New Roman"/>
          <w:noProof/>
          <w:sz w:val="24"/>
          <w:szCs w:val="24"/>
        </w:rPr>
        <w:t xml:space="preserve"> zijn de emissies in de elektriciteits- en warmteopwekkingssector en in de energie-intensieve industrie, die onder het EU-ETS vallen, met ongeveer </w:t>
      </w:r>
      <w:r w:rsidRPr="00D4425F">
        <w:rPr>
          <w:rFonts w:ascii="Times New Roman" w:hAnsi="Times New Roman"/>
          <w:noProof/>
          <w:sz w:val="24"/>
          <w:szCs w:val="24"/>
        </w:rPr>
        <w:t>43</w:t>
      </w:r>
      <w:r>
        <w:rPr>
          <w:rFonts w:ascii="Times New Roman" w:hAnsi="Times New Roman"/>
          <w:noProof/>
          <w:sz w:val="24"/>
          <w:szCs w:val="24"/>
        </w:rPr>
        <w:t> % gedaald</w:t>
      </w:r>
      <w:r w:rsidR="00B87044" w:rsidRPr="00DA11F1">
        <w:rPr>
          <w:rStyle w:val="FootnoteReference"/>
          <w:rFonts w:ascii="Times New Roman" w:hAnsi="Times New Roman"/>
          <w:noProof/>
          <w:sz w:val="24"/>
          <w:szCs w:val="24"/>
        </w:rPr>
        <w:footnoteReference w:id="2"/>
      </w:r>
      <w:r>
        <w:rPr>
          <w:rFonts w:ascii="Times New Roman" w:hAnsi="Times New Roman"/>
          <w:noProof/>
          <w:sz w:val="24"/>
          <w:szCs w:val="24"/>
        </w:rPr>
        <w:t>. Samen met andere wetgeving, zoals op het gebied van hernieuwbare energie</w:t>
      </w:r>
      <w:r w:rsidR="000E0C73" w:rsidRPr="00DA11F1">
        <w:rPr>
          <w:rStyle w:val="FootnoteReference"/>
          <w:rFonts w:ascii="Times New Roman" w:hAnsi="Times New Roman"/>
          <w:noProof/>
          <w:sz w:val="24"/>
          <w:szCs w:val="24"/>
        </w:rPr>
        <w:footnoteReference w:id="3"/>
      </w:r>
      <w:r>
        <w:rPr>
          <w:rFonts w:ascii="Times New Roman" w:hAnsi="Times New Roman"/>
          <w:noProof/>
          <w:sz w:val="24"/>
          <w:szCs w:val="24"/>
        </w:rPr>
        <w:t xml:space="preserve"> en energie-efficiëntie</w:t>
      </w:r>
      <w:r w:rsidR="000E0C73" w:rsidRPr="00DA11F1">
        <w:rPr>
          <w:rStyle w:val="FootnoteReference"/>
          <w:rFonts w:ascii="Times New Roman" w:hAnsi="Times New Roman"/>
          <w:noProof/>
          <w:sz w:val="24"/>
          <w:szCs w:val="24"/>
        </w:rPr>
        <w:footnoteReference w:id="4"/>
      </w:r>
      <w:r>
        <w:rPr>
          <w:rFonts w:ascii="Times New Roman" w:hAnsi="Times New Roman"/>
          <w:noProof/>
          <w:sz w:val="24"/>
          <w:szCs w:val="24"/>
        </w:rPr>
        <w:t xml:space="preserve">, heeft het in belangrijke mate bijgedragen tot het behalen van de algehele EU-doelstelling om de emissies van broeikasgassen tegen </w:t>
      </w:r>
      <w:r w:rsidRPr="00D4425F">
        <w:rPr>
          <w:rFonts w:ascii="Times New Roman" w:hAnsi="Times New Roman"/>
          <w:noProof/>
          <w:sz w:val="24"/>
          <w:szCs w:val="24"/>
        </w:rPr>
        <w:t>2020</w:t>
      </w:r>
      <w:r>
        <w:rPr>
          <w:rFonts w:ascii="Times New Roman" w:hAnsi="Times New Roman"/>
          <w:noProof/>
          <w:sz w:val="24"/>
          <w:szCs w:val="24"/>
        </w:rPr>
        <w:t xml:space="preserve"> met </w:t>
      </w:r>
      <w:r w:rsidRPr="00D4425F">
        <w:rPr>
          <w:rFonts w:ascii="Times New Roman" w:hAnsi="Times New Roman"/>
          <w:noProof/>
          <w:sz w:val="24"/>
          <w:szCs w:val="24"/>
        </w:rPr>
        <w:t>20</w:t>
      </w:r>
      <w:r>
        <w:rPr>
          <w:rFonts w:ascii="Times New Roman" w:hAnsi="Times New Roman"/>
          <w:noProof/>
          <w:sz w:val="24"/>
          <w:szCs w:val="24"/>
        </w:rPr>
        <w:t xml:space="preserve"> % te verminderen ten opzichte van de niveaus van </w:t>
      </w:r>
      <w:r w:rsidRPr="00D4425F">
        <w:rPr>
          <w:rFonts w:ascii="Times New Roman" w:hAnsi="Times New Roman"/>
          <w:noProof/>
          <w:sz w:val="24"/>
          <w:szCs w:val="24"/>
        </w:rPr>
        <w:t>1990</w:t>
      </w:r>
      <w:r>
        <w:rPr>
          <w:rFonts w:ascii="Times New Roman" w:hAnsi="Times New Roman"/>
          <w:noProof/>
          <w:sz w:val="24"/>
          <w:szCs w:val="24"/>
        </w:rPr>
        <w:t xml:space="preserve">. De EU heeft deze doelstelling overtroffen en de broeikasgasemissies in </w:t>
      </w:r>
      <w:r w:rsidRPr="00D4425F">
        <w:rPr>
          <w:rFonts w:ascii="Times New Roman" w:hAnsi="Times New Roman"/>
          <w:noProof/>
          <w:sz w:val="24"/>
          <w:szCs w:val="24"/>
        </w:rPr>
        <w:t>2020</w:t>
      </w:r>
      <w:r>
        <w:rPr>
          <w:rFonts w:ascii="Times New Roman" w:hAnsi="Times New Roman"/>
          <w:noProof/>
          <w:sz w:val="24"/>
          <w:szCs w:val="24"/>
        </w:rPr>
        <w:t xml:space="preserve"> met ongeveer </w:t>
      </w:r>
      <w:r w:rsidRPr="00D4425F">
        <w:rPr>
          <w:rFonts w:ascii="Times New Roman" w:hAnsi="Times New Roman"/>
          <w:noProof/>
          <w:sz w:val="24"/>
          <w:szCs w:val="24"/>
        </w:rPr>
        <w:t>31</w:t>
      </w:r>
      <w:r>
        <w:rPr>
          <w:rFonts w:ascii="Times New Roman" w:hAnsi="Times New Roman"/>
          <w:noProof/>
          <w:sz w:val="24"/>
          <w:szCs w:val="24"/>
        </w:rPr>
        <w:t> % verminderd</w:t>
      </w:r>
      <w:r w:rsidR="00AC7BFD" w:rsidRPr="00DA11F1">
        <w:rPr>
          <w:rStyle w:val="FootnoteReference"/>
          <w:rFonts w:ascii="Times New Roman" w:hAnsi="Times New Roman"/>
          <w:noProof/>
          <w:sz w:val="24"/>
          <w:szCs w:val="24"/>
        </w:rPr>
        <w:footnoteReference w:id="5"/>
      </w:r>
      <w:r>
        <w:rPr>
          <w:rFonts w:ascii="Times New Roman" w:hAnsi="Times New Roman"/>
          <w:noProof/>
          <w:sz w:val="24"/>
          <w:szCs w:val="24"/>
        </w:rPr>
        <w:t xml:space="preserve"> ten opzichte van </w:t>
      </w:r>
      <w:r w:rsidRPr="00D4425F">
        <w:rPr>
          <w:rFonts w:ascii="Times New Roman" w:hAnsi="Times New Roman"/>
          <w:noProof/>
          <w:sz w:val="24"/>
          <w:szCs w:val="24"/>
        </w:rPr>
        <w:t>1990</w:t>
      </w:r>
      <w:r>
        <w:rPr>
          <w:rFonts w:ascii="Times New Roman" w:hAnsi="Times New Roman"/>
          <w:noProof/>
          <w:sz w:val="24"/>
          <w:szCs w:val="24"/>
        </w:rPr>
        <w:t>.</w:t>
      </w:r>
    </w:p>
    <w:p w14:paraId="10CDBDA8" w14:textId="26464721" w:rsidR="00DB7748" w:rsidRPr="00DA11F1" w:rsidRDefault="007A0C87" w:rsidP="008E33DB">
      <w:pPr>
        <w:jc w:val="both"/>
        <w:rPr>
          <w:rFonts w:ascii="Times New Roman" w:hAnsi="Times New Roman"/>
          <w:noProof/>
          <w:sz w:val="24"/>
          <w:szCs w:val="24"/>
        </w:rPr>
      </w:pPr>
      <w:r>
        <w:rPr>
          <w:rFonts w:ascii="Times New Roman" w:hAnsi="Times New Roman"/>
          <w:noProof/>
          <w:sz w:val="24"/>
          <w:szCs w:val="24"/>
        </w:rPr>
        <w:t xml:space="preserve">In juli </w:t>
      </w:r>
      <w:r w:rsidRPr="00D4425F">
        <w:rPr>
          <w:rFonts w:ascii="Times New Roman" w:hAnsi="Times New Roman"/>
          <w:noProof/>
          <w:sz w:val="24"/>
          <w:szCs w:val="24"/>
        </w:rPr>
        <w:t>2021</w:t>
      </w:r>
      <w:r>
        <w:rPr>
          <w:rFonts w:ascii="Times New Roman" w:hAnsi="Times New Roman"/>
          <w:noProof/>
          <w:sz w:val="24"/>
          <w:szCs w:val="24"/>
        </w:rPr>
        <w:t xml:space="preserve"> heeft de Commissie een pakket voorstellen goedgekeurd om werk te maken van de Europese Green Deal</w:t>
      </w:r>
      <w:r w:rsidR="00964E0B" w:rsidRPr="00DA11F1">
        <w:rPr>
          <w:rStyle w:val="FootnoteReference"/>
          <w:rFonts w:ascii="Times New Roman" w:hAnsi="Times New Roman"/>
          <w:noProof/>
          <w:sz w:val="24"/>
          <w:szCs w:val="24"/>
        </w:rPr>
        <w:footnoteReference w:id="6"/>
      </w:r>
      <w:r>
        <w:rPr>
          <w:rFonts w:ascii="Times New Roman" w:hAnsi="Times New Roman"/>
          <w:noProof/>
          <w:sz w:val="24"/>
          <w:szCs w:val="24"/>
        </w:rPr>
        <w:t xml:space="preserve">. De voorstellen zijn erop gericht het beleid van de EU op het gebied van klimaat, energie, landgebruik, vervoer en belastingen klaar te maken voor het verminderen van de netto-emissies van broeikasgassen tegen </w:t>
      </w:r>
      <w:r w:rsidRPr="00D4425F">
        <w:rPr>
          <w:rFonts w:ascii="Times New Roman" w:hAnsi="Times New Roman"/>
          <w:noProof/>
          <w:sz w:val="24"/>
          <w:szCs w:val="24"/>
        </w:rPr>
        <w:t>2030</w:t>
      </w:r>
      <w:r>
        <w:rPr>
          <w:rFonts w:ascii="Times New Roman" w:hAnsi="Times New Roman"/>
          <w:noProof/>
          <w:sz w:val="24"/>
          <w:szCs w:val="24"/>
        </w:rPr>
        <w:t xml:space="preserve"> met ten minste </w:t>
      </w:r>
      <w:r w:rsidRPr="00D4425F">
        <w:rPr>
          <w:rFonts w:ascii="Times New Roman" w:hAnsi="Times New Roman"/>
          <w:noProof/>
          <w:sz w:val="24"/>
          <w:szCs w:val="24"/>
        </w:rPr>
        <w:t>55</w:t>
      </w:r>
      <w:r>
        <w:rPr>
          <w:rFonts w:ascii="Times New Roman" w:hAnsi="Times New Roman"/>
          <w:noProof/>
          <w:sz w:val="24"/>
          <w:szCs w:val="24"/>
        </w:rPr>
        <w:t xml:space="preserve"> % ten opzichte van </w:t>
      </w:r>
      <w:r w:rsidRPr="00D4425F">
        <w:rPr>
          <w:rFonts w:ascii="Times New Roman" w:hAnsi="Times New Roman"/>
          <w:noProof/>
          <w:sz w:val="24"/>
          <w:szCs w:val="24"/>
        </w:rPr>
        <w:t>1990</w:t>
      </w:r>
      <w:r>
        <w:rPr>
          <w:rFonts w:ascii="Times New Roman" w:hAnsi="Times New Roman"/>
          <w:noProof/>
          <w:sz w:val="24"/>
          <w:szCs w:val="24"/>
        </w:rPr>
        <w:t xml:space="preserve">. Het EU-ETS zal een belangrijke rol spelen bij het bereiken van deze doelstelling. Het pakket bevat een voorstel om het EU-ETS ambitieuzer te maken met een nieuwe doelstelling om tegen </w:t>
      </w:r>
      <w:r w:rsidRPr="00D4425F">
        <w:rPr>
          <w:rFonts w:ascii="Times New Roman" w:hAnsi="Times New Roman"/>
          <w:noProof/>
          <w:sz w:val="24"/>
          <w:szCs w:val="24"/>
        </w:rPr>
        <w:t>2030</w:t>
      </w:r>
      <w:r>
        <w:rPr>
          <w:rFonts w:ascii="Times New Roman" w:hAnsi="Times New Roman"/>
          <w:noProof/>
          <w:sz w:val="24"/>
          <w:szCs w:val="24"/>
        </w:rPr>
        <w:t xml:space="preserve"> de emissies met </w:t>
      </w:r>
      <w:r w:rsidRPr="00D4425F">
        <w:rPr>
          <w:rFonts w:ascii="Times New Roman" w:hAnsi="Times New Roman"/>
          <w:noProof/>
          <w:sz w:val="24"/>
          <w:szCs w:val="24"/>
        </w:rPr>
        <w:t>61</w:t>
      </w:r>
      <w:r>
        <w:rPr>
          <w:rFonts w:ascii="Times New Roman" w:hAnsi="Times New Roman"/>
          <w:noProof/>
          <w:sz w:val="24"/>
          <w:szCs w:val="24"/>
        </w:rPr>
        <w:t> %</w:t>
      </w:r>
      <w:r w:rsidR="00CE2432" w:rsidRPr="00DA11F1">
        <w:rPr>
          <w:rStyle w:val="FootnoteReference"/>
          <w:rFonts w:ascii="Times New Roman" w:hAnsi="Times New Roman"/>
          <w:noProof/>
          <w:sz w:val="24"/>
          <w:szCs w:val="24"/>
        </w:rPr>
        <w:footnoteReference w:id="7"/>
      </w:r>
      <w:r>
        <w:rPr>
          <w:rFonts w:ascii="Times New Roman" w:hAnsi="Times New Roman"/>
          <w:noProof/>
          <w:sz w:val="24"/>
          <w:szCs w:val="24"/>
        </w:rPr>
        <w:t xml:space="preserve"> te verminderen ten opzichte van de niveaus van </w:t>
      </w:r>
      <w:r w:rsidRPr="00D4425F">
        <w:rPr>
          <w:rFonts w:ascii="Times New Roman" w:hAnsi="Times New Roman"/>
          <w:noProof/>
          <w:sz w:val="24"/>
          <w:szCs w:val="24"/>
        </w:rPr>
        <w:t>2005</w:t>
      </w:r>
      <w:r>
        <w:rPr>
          <w:rFonts w:ascii="Times New Roman" w:hAnsi="Times New Roman"/>
          <w:noProof/>
          <w:sz w:val="24"/>
          <w:szCs w:val="24"/>
        </w:rPr>
        <w:t xml:space="preserve"> (ter vergelijking: de huidige vermindering ten opzichte van </w:t>
      </w:r>
      <w:r w:rsidRPr="00D4425F">
        <w:rPr>
          <w:rFonts w:ascii="Times New Roman" w:hAnsi="Times New Roman"/>
          <w:noProof/>
          <w:sz w:val="24"/>
          <w:szCs w:val="24"/>
        </w:rPr>
        <w:t>2005</w:t>
      </w:r>
      <w:r>
        <w:rPr>
          <w:rFonts w:ascii="Times New Roman" w:hAnsi="Times New Roman"/>
          <w:noProof/>
          <w:sz w:val="24"/>
          <w:szCs w:val="24"/>
        </w:rPr>
        <w:t xml:space="preserve"> bedraagt </w:t>
      </w:r>
      <w:r w:rsidRPr="00D4425F">
        <w:rPr>
          <w:rFonts w:ascii="Times New Roman" w:hAnsi="Times New Roman"/>
          <w:noProof/>
          <w:sz w:val="24"/>
          <w:szCs w:val="24"/>
        </w:rPr>
        <w:t>43</w:t>
      </w:r>
      <w:r>
        <w:rPr>
          <w:rFonts w:ascii="Times New Roman" w:hAnsi="Times New Roman"/>
          <w:noProof/>
          <w:sz w:val="24"/>
          <w:szCs w:val="24"/>
        </w:rPr>
        <w:t xml:space="preserve"> %), een lager algemeen emissieplafond en een sterkere jaarlijkse emissiereductie van </w:t>
      </w:r>
      <w:r w:rsidRPr="00D4425F">
        <w:rPr>
          <w:rFonts w:ascii="Times New Roman" w:hAnsi="Times New Roman"/>
          <w:noProof/>
          <w:sz w:val="24"/>
          <w:szCs w:val="24"/>
        </w:rPr>
        <w:t>4</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xml:space="preserve"> % in plaats van de huidige </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 per jaar</w:t>
      </w:r>
      <w:r w:rsidR="007B612B" w:rsidRPr="00DA11F1">
        <w:rPr>
          <w:rStyle w:val="FootnoteReference"/>
          <w:rFonts w:ascii="Times New Roman" w:hAnsi="Times New Roman"/>
          <w:noProof/>
          <w:sz w:val="24"/>
          <w:szCs w:val="24"/>
        </w:rPr>
        <w:footnoteReference w:id="8"/>
      </w:r>
      <w:r>
        <w:rPr>
          <w:rFonts w:ascii="Times New Roman" w:hAnsi="Times New Roman"/>
          <w:noProof/>
          <w:sz w:val="24"/>
          <w:szCs w:val="24"/>
        </w:rPr>
        <w:t>. Daarnaast wordt in het voorstel voor de herziening van het EU-ETS het toepassingsgebied ervan uitgebreid tot maritieme emissies en wordt voorzien in de invoering van een nieuw, afzonderlijk emissiehandelssysteem dat ook emissies omvat van brandstoffen die in de sectoren wegvervoer en gebouwen worden gebruikt</w:t>
      </w:r>
      <w:r w:rsidR="00580C89" w:rsidRPr="00DA11F1">
        <w:rPr>
          <w:rStyle w:val="FootnoteReference"/>
          <w:rFonts w:ascii="Times New Roman" w:hAnsi="Times New Roman"/>
          <w:noProof/>
          <w:sz w:val="24"/>
          <w:szCs w:val="24"/>
        </w:rPr>
        <w:footnoteReference w:id="9"/>
      </w:r>
      <w:r>
        <w:rPr>
          <w:rFonts w:ascii="Times New Roman" w:hAnsi="Times New Roman"/>
          <w:noProof/>
          <w:sz w:val="24"/>
          <w:szCs w:val="24"/>
        </w:rPr>
        <w:t xml:space="preserve">. </w:t>
      </w:r>
    </w:p>
    <w:p w14:paraId="5BAA412E" w14:textId="29444D35" w:rsidR="00782505" w:rsidRPr="00DA11F1" w:rsidRDefault="00782505" w:rsidP="008E33DB">
      <w:pPr>
        <w:jc w:val="both"/>
        <w:rPr>
          <w:rFonts w:ascii="Times New Roman" w:hAnsi="Times New Roman"/>
          <w:noProof/>
          <w:sz w:val="24"/>
          <w:szCs w:val="24"/>
        </w:rPr>
      </w:pPr>
      <w:r>
        <w:rPr>
          <w:rFonts w:ascii="Times New Roman" w:hAnsi="Times New Roman"/>
          <w:noProof/>
          <w:sz w:val="24"/>
          <w:szCs w:val="24"/>
        </w:rPr>
        <w:t>Een afzonderlijk voorstel betreft de versterking van de marktstabiliteitsreserve (MSR)</w:t>
      </w:r>
      <w:r w:rsidR="00AE724E" w:rsidRPr="00DA11F1">
        <w:rPr>
          <w:rStyle w:val="FootnoteReference"/>
          <w:rFonts w:ascii="Times New Roman" w:hAnsi="Times New Roman"/>
          <w:noProof/>
          <w:sz w:val="24"/>
          <w:szCs w:val="24"/>
        </w:rPr>
        <w:footnoteReference w:id="10"/>
      </w:r>
      <w:r>
        <w:rPr>
          <w:rFonts w:ascii="Times New Roman" w:hAnsi="Times New Roman"/>
          <w:noProof/>
          <w:sz w:val="24"/>
          <w:szCs w:val="24"/>
        </w:rPr>
        <w:t xml:space="preserve">, het mechanisme dat het overschot aan emissierechten dat sinds </w:t>
      </w:r>
      <w:r w:rsidRPr="00D4425F">
        <w:rPr>
          <w:rFonts w:ascii="Times New Roman" w:hAnsi="Times New Roman"/>
          <w:noProof/>
          <w:sz w:val="24"/>
          <w:szCs w:val="24"/>
        </w:rPr>
        <w:t>2019</w:t>
      </w:r>
      <w:r>
        <w:rPr>
          <w:rFonts w:ascii="Times New Roman" w:hAnsi="Times New Roman"/>
          <w:noProof/>
          <w:sz w:val="24"/>
          <w:szCs w:val="24"/>
        </w:rPr>
        <w:t xml:space="preserve"> in het EU-ETS is ontstaan, aanpakt en het systeem beter bestand maakt tegen grote schokken door de aanpassing van het aanbod van te veilen emissierechten. </w:t>
      </w:r>
    </w:p>
    <w:p w14:paraId="1AE374DF" w14:textId="05938E7C" w:rsidR="00131369" w:rsidRPr="00DA11F1" w:rsidRDefault="00AA3771" w:rsidP="008E33DB">
      <w:pPr>
        <w:jc w:val="both"/>
        <w:rPr>
          <w:rFonts w:ascii="Times New Roman" w:hAnsi="Times New Roman"/>
          <w:noProof/>
          <w:sz w:val="24"/>
          <w:szCs w:val="24"/>
        </w:rPr>
      </w:pPr>
      <w:r>
        <w:rPr>
          <w:rFonts w:ascii="Times New Roman" w:hAnsi="Times New Roman"/>
          <w:noProof/>
          <w:sz w:val="24"/>
          <w:szCs w:val="24"/>
        </w:rPr>
        <w:t>Twee aanvullende voorstellen uit het julipakket versterken het EU-ETS voor de luchtvaart</w:t>
      </w:r>
      <w:r w:rsidR="003D4197" w:rsidRPr="00DA11F1">
        <w:rPr>
          <w:rStyle w:val="FootnoteReference"/>
          <w:rFonts w:ascii="Times New Roman" w:hAnsi="Times New Roman"/>
          <w:noProof/>
          <w:sz w:val="24"/>
          <w:szCs w:val="24"/>
        </w:rPr>
        <w:footnoteReference w:id="11"/>
      </w:r>
      <w:r>
        <w:rPr>
          <w:rFonts w:ascii="Times New Roman" w:hAnsi="Times New Roman"/>
          <w:noProof/>
          <w:sz w:val="24"/>
          <w:szCs w:val="24"/>
        </w:rPr>
        <w:t xml:space="preserve"> om ervoor te zorgen dat de sector bijdraagt aan de emissiereductiedoelstelling van de EU en om de regeling voor koolstofcompensatie en -reductie voor de internationale luchtvaart (Corsia) in de EU-wetgeving toe te passen op een wijze die strookt met de klimaatdoelstellingen van de EU voor </w:t>
      </w:r>
      <w:r w:rsidRPr="00D4425F">
        <w:rPr>
          <w:rFonts w:ascii="Times New Roman" w:hAnsi="Times New Roman"/>
          <w:noProof/>
          <w:sz w:val="24"/>
          <w:szCs w:val="24"/>
        </w:rPr>
        <w:t>2030</w:t>
      </w:r>
      <w:r>
        <w:rPr>
          <w:rFonts w:ascii="Times New Roman" w:hAnsi="Times New Roman"/>
          <w:noProof/>
          <w:sz w:val="24"/>
          <w:szCs w:val="24"/>
        </w:rPr>
        <w:t>.</w:t>
      </w:r>
    </w:p>
    <w:p w14:paraId="3685CD75" w14:textId="5D24E172" w:rsidR="00C2583A" w:rsidRPr="00DA11F1" w:rsidRDefault="00F51636" w:rsidP="008E33DB">
      <w:pPr>
        <w:jc w:val="both"/>
        <w:rPr>
          <w:rFonts w:ascii="Times New Roman" w:hAnsi="Times New Roman"/>
          <w:noProof/>
          <w:sz w:val="24"/>
          <w:szCs w:val="24"/>
        </w:rPr>
      </w:pPr>
      <w:r>
        <w:rPr>
          <w:rFonts w:ascii="Times New Roman" w:hAnsi="Times New Roman"/>
          <w:noProof/>
          <w:sz w:val="24"/>
          <w:szCs w:val="24"/>
        </w:rPr>
        <w:t>Dit verslag over de werking van de Europese koolstofmarkt wordt ingediend overeenkomstig artikel </w:t>
      </w:r>
      <w:r w:rsidRPr="00D4425F">
        <w:rPr>
          <w:rFonts w:ascii="Times New Roman" w:hAnsi="Times New Roman"/>
          <w:noProof/>
          <w:sz w:val="24"/>
          <w:szCs w:val="24"/>
        </w:rPr>
        <w:t>10</w:t>
      </w:r>
      <w:r>
        <w:rPr>
          <w:rFonts w:ascii="Times New Roman" w:hAnsi="Times New Roman"/>
          <w:noProof/>
          <w:sz w:val="24"/>
          <w:szCs w:val="24"/>
        </w:rPr>
        <w:t>, lid </w:t>
      </w:r>
      <w:r w:rsidRPr="00D4425F">
        <w:rPr>
          <w:rFonts w:ascii="Times New Roman" w:hAnsi="Times New Roman"/>
          <w:noProof/>
          <w:sz w:val="24"/>
          <w:szCs w:val="24"/>
        </w:rPr>
        <w:t>5</w:t>
      </w:r>
      <w:r>
        <w:rPr>
          <w:rFonts w:ascii="Times New Roman" w:hAnsi="Times New Roman"/>
          <w:noProof/>
          <w:sz w:val="24"/>
          <w:szCs w:val="24"/>
        </w:rPr>
        <w:t>, en artikel </w:t>
      </w:r>
      <w:r w:rsidRPr="00D4425F">
        <w:rPr>
          <w:rFonts w:ascii="Times New Roman" w:hAnsi="Times New Roman"/>
          <w:noProof/>
          <w:sz w:val="24"/>
          <w:szCs w:val="24"/>
        </w:rPr>
        <w:t>21</w:t>
      </w:r>
      <w:r>
        <w:rPr>
          <w:rFonts w:ascii="Times New Roman" w:hAnsi="Times New Roman"/>
          <w:noProof/>
          <w:sz w:val="24"/>
          <w:szCs w:val="24"/>
        </w:rPr>
        <w:t>, lid </w:t>
      </w:r>
      <w:r w:rsidRPr="00D4425F">
        <w:rPr>
          <w:rFonts w:ascii="Times New Roman" w:hAnsi="Times New Roman"/>
          <w:noProof/>
          <w:sz w:val="24"/>
          <w:szCs w:val="24"/>
        </w:rPr>
        <w:t>2</w:t>
      </w:r>
      <w:r>
        <w:rPr>
          <w:rFonts w:ascii="Times New Roman" w:hAnsi="Times New Roman"/>
          <w:noProof/>
          <w:sz w:val="24"/>
          <w:szCs w:val="24"/>
        </w:rPr>
        <w:t xml:space="preserve">, van Richtlijn </w:t>
      </w:r>
      <w:r w:rsidRPr="00D4425F">
        <w:rPr>
          <w:rFonts w:ascii="Times New Roman" w:hAnsi="Times New Roman"/>
          <w:noProof/>
          <w:sz w:val="24"/>
          <w:szCs w:val="24"/>
        </w:rPr>
        <w:t>2003</w:t>
      </w:r>
      <w:r>
        <w:rPr>
          <w:rFonts w:ascii="Times New Roman" w:hAnsi="Times New Roman"/>
          <w:noProof/>
          <w:sz w:val="24"/>
          <w:szCs w:val="24"/>
        </w:rPr>
        <w:t>/</w:t>
      </w:r>
      <w:r w:rsidRPr="00D4425F">
        <w:rPr>
          <w:rFonts w:ascii="Times New Roman" w:hAnsi="Times New Roman"/>
          <w:noProof/>
          <w:sz w:val="24"/>
          <w:szCs w:val="24"/>
        </w:rPr>
        <w:t>87</w:t>
      </w:r>
      <w:r>
        <w:rPr>
          <w:rFonts w:ascii="Times New Roman" w:hAnsi="Times New Roman"/>
          <w:noProof/>
          <w:sz w:val="24"/>
          <w:szCs w:val="24"/>
        </w:rPr>
        <w:t>/EG (de EU-ETS-richtlijn)</w:t>
      </w:r>
      <w:r w:rsidR="00973B21" w:rsidRPr="00DA11F1">
        <w:rPr>
          <w:rStyle w:val="FootnoteReference"/>
          <w:rFonts w:ascii="Times New Roman" w:hAnsi="Times New Roman"/>
          <w:noProof/>
          <w:sz w:val="24"/>
          <w:szCs w:val="24"/>
        </w:rPr>
        <w:footnoteReference w:id="12"/>
      </w:r>
      <w:r>
        <w:rPr>
          <w:rFonts w:ascii="Times New Roman" w:hAnsi="Times New Roman"/>
          <w:noProof/>
          <w:sz w:val="24"/>
          <w:szCs w:val="24"/>
        </w:rPr>
        <w:t xml:space="preserve">. Het heeft betrekking op het jaar </w:t>
      </w:r>
      <w:r w:rsidRPr="00D4425F">
        <w:rPr>
          <w:rFonts w:ascii="Times New Roman" w:hAnsi="Times New Roman"/>
          <w:noProof/>
          <w:sz w:val="24"/>
          <w:szCs w:val="24"/>
        </w:rPr>
        <w:t>2020</w:t>
      </w:r>
      <w:r>
        <w:rPr>
          <w:rFonts w:ascii="Times New Roman" w:hAnsi="Times New Roman"/>
          <w:noProof/>
          <w:sz w:val="24"/>
          <w:szCs w:val="24"/>
        </w:rPr>
        <w:t xml:space="preserve"> en de eerste helft van </w:t>
      </w:r>
      <w:r w:rsidRPr="00D4425F">
        <w:rPr>
          <w:rFonts w:ascii="Times New Roman" w:hAnsi="Times New Roman"/>
          <w:noProof/>
          <w:sz w:val="24"/>
          <w:szCs w:val="24"/>
        </w:rPr>
        <w:t>2021</w:t>
      </w:r>
      <w:r>
        <w:rPr>
          <w:rFonts w:ascii="Times New Roman" w:hAnsi="Times New Roman"/>
          <w:noProof/>
          <w:sz w:val="24"/>
          <w:szCs w:val="24"/>
        </w:rPr>
        <w:t xml:space="preserve"> (tot en met </w:t>
      </w:r>
      <w:r w:rsidRPr="00D4425F">
        <w:rPr>
          <w:rFonts w:ascii="Times New Roman" w:hAnsi="Times New Roman"/>
          <w:noProof/>
          <w:sz w:val="24"/>
          <w:szCs w:val="24"/>
        </w:rPr>
        <w:t>30</w:t>
      </w:r>
      <w:r>
        <w:rPr>
          <w:rFonts w:ascii="Times New Roman" w:hAnsi="Times New Roman"/>
          <w:noProof/>
          <w:sz w:val="24"/>
          <w:szCs w:val="24"/>
        </w:rPr>
        <w:t xml:space="preserve"> juni </w:t>
      </w:r>
      <w:r w:rsidRPr="00D4425F">
        <w:rPr>
          <w:rFonts w:ascii="Times New Roman" w:hAnsi="Times New Roman"/>
          <w:noProof/>
          <w:sz w:val="24"/>
          <w:szCs w:val="24"/>
        </w:rPr>
        <w:t>2021</w:t>
      </w:r>
      <w:r>
        <w:rPr>
          <w:rFonts w:ascii="Times New Roman" w:hAnsi="Times New Roman"/>
          <w:noProof/>
          <w:sz w:val="24"/>
          <w:szCs w:val="24"/>
        </w:rPr>
        <w:t xml:space="preserve">); aangezien </w:t>
      </w:r>
      <w:r w:rsidRPr="00D4425F">
        <w:rPr>
          <w:rFonts w:ascii="Times New Roman" w:hAnsi="Times New Roman"/>
          <w:noProof/>
          <w:sz w:val="24"/>
          <w:szCs w:val="24"/>
        </w:rPr>
        <w:t>2020</w:t>
      </w:r>
      <w:r>
        <w:rPr>
          <w:rFonts w:ascii="Times New Roman" w:hAnsi="Times New Roman"/>
          <w:noProof/>
          <w:sz w:val="24"/>
          <w:szCs w:val="24"/>
        </w:rPr>
        <w:t xml:space="preserve"> het laatste jaar van fase </w:t>
      </w:r>
      <w:r w:rsidRPr="00D4425F">
        <w:rPr>
          <w:rFonts w:ascii="Times New Roman" w:hAnsi="Times New Roman"/>
          <w:noProof/>
          <w:sz w:val="24"/>
          <w:szCs w:val="24"/>
        </w:rPr>
        <w:t>3</w:t>
      </w:r>
      <w:r>
        <w:rPr>
          <w:rFonts w:ascii="Times New Roman" w:hAnsi="Times New Roman"/>
          <w:noProof/>
          <w:sz w:val="24"/>
          <w:szCs w:val="24"/>
        </w:rPr>
        <w:t xml:space="preserve"> van het EU-ETS (</w:t>
      </w:r>
      <w:r w:rsidRPr="00D4425F">
        <w:rPr>
          <w:rFonts w:ascii="Times New Roman" w:hAnsi="Times New Roman"/>
          <w:noProof/>
          <w:sz w:val="24"/>
          <w:szCs w:val="24"/>
        </w:rPr>
        <w:t>2013</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is, bevat het verslag ook een overzicht van de belangrijkste ontwikkelingen in deze periode.</w:t>
      </w:r>
    </w:p>
    <w:p w14:paraId="5374E73A" w14:textId="25BFFECF" w:rsidR="00245692" w:rsidRPr="00DA11F1" w:rsidRDefault="00104163" w:rsidP="008E33DB">
      <w:pPr>
        <w:jc w:val="both"/>
        <w:rPr>
          <w:rFonts w:ascii="Times New Roman" w:hAnsi="Times New Roman"/>
          <w:noProof/>
          <w:sz w:val="24"/>
          <w:szCs w:val="24"/>
        </w:rPr>
      </w:pPr>
      <w:r>
        <w:rPr>
          <w:rFonts w:ascii="Times New Roman" w:hAnsi="Times New Roman"/>
          <w:noProof/>
          <w:sz w:val="24"/>
          <w:szCs w:val="24"/>
        </w:rPr>
        <w:t>Het verslag bevat een onderzoek van de aanzienlijke emissiereducties die in fase </w:t>
      </w:r>
      <w:r w:rsidRPr="00D4425F">
        <w:rPr>
          <w:rFonts w:ascii="Times New Roman" w:hAnsi="Times New Roman"/>
          <w:noProof/>
          <w:sz w:val="24"/>
          <w:szCs w:val="24"/>
        </w:rPr>
        <w:t>3</w:t>
      </w:r>
      <w:r>
        <w:rPr>
          <w:rFonts w:ascii="Times New Roman" w:hAnsi="Times New Roman"/>
          <w:noProof/>
          <w:sz w:val="24"/>
          <w:szCs w:val="24"/>
        </w:rPr>
        <w:t xml:space="preserve"> zijn bereikt en de oorzaken daarvan (punt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alsook een analyse van de rol van de marktstabiliteitsreserve bij het verminderen van het overschot aan emissierechten dat in het EU-ETS is ontstaan (punt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Daarnaast wordt aandacht besteed aan de belangrijkste ontwikkelingen in fase </w:t>
      </w:r>
      <w:r w:rsidRPr="00D4425F">
        <w:rPr>
          <w:rFonts w:ascii="Times New Roman" w:hAnsi="Times New Roman"/>
          <w:noProof/>
          <w:sz w:val="24"/>
          <w:szCs w:val="24"/>
        </w:rPr>
        <w:t>3</w:t>
      </w:r>
      <w:r>
        <w:rPr>
          <w:rFonts w:ascii="Times New Roman" w:hAnsi="Times New Roman"/>
          <w:noProof/>
          <w:sz w:val="24"/>
          <w:szCs w:val="24"/>
        </w:rPr>
        <w:t xml:space="preserve"> op het gebied van de luchtvaart (hoofdstuk </w:t>
      </w:r>
      <w:r w:rsidRPr="00D4425F">
        <w:rPr>
          <w:rFonts w:ascii="Times New Roman" w:hAnsi="Times New Roman"/>
          <w:noProof/>
          <w:sz w:val="24"/>
          <w:szCs w:val="24"/>
        </w:rPr>
        <w:t>4</w:t>
      </w:r>
      <w:r>
        <w:rPr>
          <w:rFonts w:ascii="Times New Roman" w:hAnsi="Times New Roman"/>
          <w:noProof/>
          <w:sz w:val="24"/>
          <w:szCs w:val="24"/>
        </w:rPr>
        <w:t>), kosteloze toewijzing (punt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de veiling van emissierechten, de daaruit voortvloeiende veilingopbrengsten en het gebruik ervan (punt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3</w:t>
      </w:r>
      <w:r>
        <w:rPr>
          <w:rFonts w:ascii="Times New Roman" w:hAnsi="Times New Roman"/>
          <w:noProof/>
          <w:sz w:val="24"/>
          <w:szCs w:val="24"/>
        </w:rPr>
        <w:t>), de EU-ETS-financieringsinstrumenten (de punten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4</w:t>
      </w:r>
      <w:r>
        <w:rPr>
          <w:rFonts w:ascii="Times New Roman" w:hAnsi="Times New Roman"/>
          <w:noProof/>
          <w:sz w:val="24"/>
          <w:szCs w:val="24"/>
        </w:rPr>
        <w:t xml:space="preserve"> tot en met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8</w:t>
      </w:r>
      <w:r>
        <w:rPr>
          <w:rFonts w:ascii="Times New Roman" w:hAnsi="Times New Roman"/>
          <w:noProof/>
          <w:sz w:val="24"/>
          <w:szCs w:val="24"/>
        </w:rPr>
        <w:t>), het markttoezicht (hoofdstuk </w:t>
      </w:r>
      <w:r w:rsidRPr="00D4425F">
        <w:rPr>
          <w:rFonts w:ascii="Times New Roman" w:hAnsi="Times New Roman"/>
          <w:noProof/>
          <w:sz w:val="24"/>
          <w:szCs w:val="24"/>
        </w:rPr>
        <w:t>5</w:t>
      </w:r>
      <w:r>
        <w:rPr>
          <w:rFonts w:ascii="Times New Roman" w:hAnsi="Times New Roman"/>
          <w:noProof/>
          <w:sz w:val="24"/>
          <w:szCs w:val="24"/>
        </w:rPr>
        <w:t>) en de doeltreffendheid van de uitvoering van het EU-ETS in de deelnemende landen (hoofdstuk </w:t>
      </w:r>
      <w:r w:rsidRPr="00D4425F">
        <w:rPr>
          <w:rFonts w:ascii="Times New Roman" w:hAnsi="Times New Roman"/>
          <w:noProof/>
          <w:sz w:val="24"/>
          <w:szCs w:val="24"/>
        </w:rPr>
        <w:t>6</w:t>
      </w:r>
      <w:r>
        <w:rPr>
          <w:rFonts w:ascii="Times New Roman" w:hAnsi="Times New Roman"/>
          <w:noProof/>
          <w:sz w:val="24"/>
          <w:szCs w:val="24"/>
        </w:rPr>
        <w:t>). Het omvat twee nieuwe hoofdstukken: in hoofdstuk </w:t>
      </w:r>
      <w:r w:rsidRPr="00D4425F">
        <w:rPr>
          <w:rFonts w:ascii="Times New Roman" w:hAnsi="Times New Roman"/>
          <w:noProof/>
          <w:sz w:val="24"/>
          <w:szCs w:val="24"/>
        </w:rPr>
        <w:t>7</w:t>
      </w:r>
      <w:r>
        <w:rPr>
          <w:rFonts w:ascii="Times New Roman" w:hAnsi="Times New Roman"/>
          <w:noProof/>
          <w:sz w:val="24"/>
          <w:szCs w:val="24"/>
        </w:rPr>
        <w:t xml:space="preserve"> wordt de koppeling tussen het EU-ETS en het Zwitserse ETS beschreven en wordt nagegaan welke gevolgen deze koppeling heeft voor de twee koolstofmarkten, terwijl in hoofdstuk </w:t>
      </w:r>
      <w:r w:rsidRPr="00D4425F">
        <w:rPr>
          <w:rFonts w:ascii="Times New Roman" w:hAnsi="Times New Roman"/>
          <w:noProof/>
          <w:sz w:val="24"/>
          <w:szCs w:val="24"/>
        </w:rPr>
        <w:t>8</w:t>
      </w:r>
      <w:r>
        <w:rPr>
          <w:rFonts w:ascii="Times New Roman" w:hAnsi="Times New Roman"/>
          <w:noProof/>
          <w:sz w:val="24"/>
          <w:szCs w:val="24"/>
        </w:rPr>
        <w:t xml:space="preserve"> de gevolgen van de uitvoering van Richtlijn </w:t>
      </w:r>
      <w:r w:rsidRPr="00D4425F">
        <w:rPr>
          <w:rFonts w:ascii="Times New Roman" w:hAnsi="Times New Roman"/>
          <w:noProof/>
          <w:sz w:val="24"/>
          <w:szCs w:val="24"/>
        </w:rPr>
        <w:t>2012</w:t>
      </w:r>
      <w:r>
        <w:rPr>
          <w:rFonts w:ascii="Times New Roman" w:hAnsi="Times New Roman"/>
          <w:noProof/>
          <w:sz w:val="24"/>
          <w:szCs w:val="24"/>
        </w:rPr>
        <w:t>/</w:t>
      </w:r>
      <w:r w:rsidRPr="00D4425F">
        <w:rPr>
          <w:rFonts w:ascii="Times New Roman" w:hAnsi="Times New Roman"/>
          <w:noProof/>
          <w:sz w:val="24"/>
          <w:szCs w:val="24"/>
        </w:rPr>
        <w:t>27</w:t>
      </w:r>
      <w:r>
        <w:rPr>
          <w:rFonts w:ascii="Times New Roman" w:hAnsi="Times New Roman"/>
          <w:noProof/>
          <w:sz w:val="24"/>
          <w:szCs w:val="24"/>
        </w:rPr>
        <w:t xml:space="preserve">/EU zoals gewijzigd bij Richtlijn (EU) </w:t>
      </w:r>
      <w:r w:rsidRPr="00D4425F">
        <w:rPr>
          <w:rFonts w:ascii="Times New Roman" w:hAnsi="Times New Roman"/>
          <w:noProof/>
          <w:sz w:val="24"/>
          <w:szCs w:val="24"/>
        </w:rPr>
        <w:t>2018</w:t>
      </w:r>
      <w:r>
        <w:rPr>
          <w:rFonts w:ascii="Times New Roman" w:hAnsi="Times New Roman"/>
          <w:noProof/>
          <w:sz w:val="24"/>
          <w:szCs w:val="24"/>
        </w:rPr>
        <w:t>/</w:t>
      </w:r>
      <w:r w:rsidRPr="00D4425F">
        <w:rPr>
          <w:rFonts w:ascii="Times New Roman" w:hAnsi="Times New Roman"/>
          <w:noProof/>
          <w:sz w:val="24"/>
          <w:szCs w:val="24"/>
        </w:rPr>
        <w:t>2002</w:t>
      </w:r>
      <w:r w:rsidR="00531E62" w:rsidRPr="00DA11F1">
        <w:rPr>
          <w:rStyle w:val="FootnoteReference"/>
          <w:rFonts w:ascii="Times New Roman" w:hAnsi="Times New Roman"/>
          <w:noProof/>
          <w:sz w:val="24"/>
          <w:szCs w:val="24"/>
        </w:rPr>
        <w:footnoteReference w:id="13"/>
      </w:r>
      <w:r>
        <w:rPr>
          <w:rFonts w:ascii="Times New Roman" w:hAnsi="Times New Roman"/>
          <w:noProof/>
          <w:sz w:val="24"/>
          <w:szCs w:val="24"/>
        </w:rPr>
        <w:t xml:space="preserve"> (richtlijn energie-efficiëntie) en de nationale energie- en klimaatplannen (NECP’s) van </w:t>
      </w:r>
      <w:r w:rsidRPr="00D4425F">
        <w:rPr>
          <w:rFonts w:ascii="Times New Roman" w:hAnsi="Times New Roman"/>
          <w:noProof/>
          <w:sz w:val="24"/>
          <w:szCs w:val="24"/>
        </w:rPr>
        <w:t>2019</w:t>
      </w:r>
      <w:r>
        <w:rPr>
          <w:rFonts w:ascii="Times New Roman" w:hAnsi="Times New Roman"/>
          <w:noProof/>
          <w:sz w:val="24"/>
          <w:szCs w:val="24"/>
        </w:rPr>
        <w:t xml:space="preserve"> voo</w:t>
      </w:r>
      <w:r w:rsidR="008B0254">
        <w:rPr>
          <w:rFonts w:ascii="Times New Roman" w:hAnsi="Times New Roman"/>
          <w:noProof/>
          <w:sz w:val="24"/>
          <w:szCs w:val="24"/>
        </w:rPr>
        <w:t>r het EU-ETS worden onderzocht.</w:t>
      </w:r>
    </w:p>
    <w:p w14:paraId="59FC7AE9" w14:textId="79E64D55" w:rsidR="0042389A" w:rsidRPr="00DA11F1" w:rsidRDefault="0042389A" w:rsidP="008E33DB">
      <w:pPr>
        <w:jc w:val="both"/>
        <w:rPr>
          <w:rFonts w:ascii="Times New Roman" w:hAnsi="Times New Roman"/>
          <w:noProof/>
          <w:sz w:val="24"/>
          <w:szCs w:val="24"/>
        </w:rPr>
      </w:pPr>
      <w:r>
        <w:rPr>
          <w:rFonts w:ascii="Times New Roman" w:hAnsi="Times New Roman"/>
          <w:noProof/>
          <w:sz w:val="24"/>
          <w:szCs w:val="24"/>
        </w:rPr>
        <w:t xml:space="preserve">De gegevens die in dit verslag zijn gebruikt, zijn de gegevens die algemeen beschikbaar waren of </w:t>
      </w:r>
      <w:r w:rsidR="008B0254">
        <w:rPr>
          <w:rFonts w:ascii="Times New Roman" w:hAnsi="Times New Roman"/>
          <w:noProof/>
          <w:sz w:val="24"/>
          <w:szCs w:val="24"/>
        </w:rPr>
        <w:t>waarover de Commissie eind juni </w:t>
      </w:r>
      <w:r w:rsidRPr="00D4425F">
        <w:rPr>
          <w:rFonts w:ascii="Times New Roman" w:hAnsi="Times New Roman"/>
          <w:noProof/>
          <w:sz w:val="24"/>
          <w:szCs w:val="24"/>
        </w:rPr>
        <w:t>2021</w:t>
      </w:r>
      <w:r>
        <w:rPr>
          <w:rFonts w:ascii="Times New Roman" w:hAnsi="Times New Roman"/>
          <w:noProof/>
          <w:sz w:val="24"/>
          <w:szCs w:val="24"/>
        </w:rPr>
        <w:t xml:space="preserve"> beschikte, tenzij anders vermeld. Het verslag omvat de gegevens over </w:t>
      </w:r>
      <w:r w:rsidRPr="00D4425F">
        <w:rPr>
          <w:rFonts w:ascii="Times New Roman" w:hAnsi="Times New Roman"/>
          <w:noProof/>
          <w:sz w:val="24"/>
          <w:szCs w:val="24"/>
        </w:rPr>
        <w:t>2020</w:t>
      </w:r>
      <w:r>
        <w:rPr>
          <w:rFonts w:ascii="Times New Roman" w:hAnsi="Times New Roman"/>
          <w:noProof/>
          <w:sz w:val="24"/>
          <w:szCs w:val="24"/>
        </w:rPr>
        <w:t xml:space="preserve"> voor het Verenigd Koninkrijk, zodat het overeenstemt met het toepassingsgebied van het EU-ETS tot en met </w:t>
      </w:r>
      <w:r w:rsidRPr="00D4425F">
        <w:rPr>
          <w:rFonts w:ascii="Times New Roman" w:hAnsi="Times New Roman"/>
          <w:noProof/>
          <w:sz w:val="24"/>
          <w:szCs w:val="24"/>
        </w:rPr>
        <w:t>31</w:t>
      </w:r>
      <w:r>
        <w:rPr>
          <w:rFonts w:ascii="Times New Roman" w:hAnsi="Times New Roman"/>
          <w:noProof/>
          <w:sz w:val="24"/>
          <w:szCs w:val="24"/>
        </w:rPr>
        <w:t xml:space="preserve"> december </w:t>
      </w:r>
      <w:r w:rsidRPr="00D4425F">
        <w:rPr>
          <w:rFonts w:ascii="Times New Roman" w:hAnsi="Times New Roman"/>
          <w:noProof/>
          <w:sz w:val="24"/>
          <w:szCs w:val="24"/>
        </w:rPr>
        <w:t>2020</w:t>
      </w:r>
      <w:r>
        <w:rPr>
          <w:rFonts w:ascii="Times New Roman" w:hAnsi="Times New Roman"/>
          <w:noProof/>
          <w:sz w:val="24"/>
          <w:szCs w:val="24"/>
        </w:rPr>
        <w:t>. Zie de aanhangsels van het werkdocument van de diensten van de Commissie bij dit verslag voor technische en beschrijven</w:t>
      </w:r>
      <w:r w:rsidR="008B0254">
        <w:rPr>
          <w:rFonts w:ascii="Times New Roman" w:hAnsi="Times New Roman"/>
          <w:noProof/>
          <w:sz w:val="24"/>
          <w:szCs w:val="24"/>
        </w:rPr>
        <w:t>de informatie over het EU-ETS.</w:t>
      </w:r>
    </w:p>
    <w:p w14:paraId="768A3AD1" w14:textId="7436ADF5" w:rsidR="009C349A" w:rsidRPr="00DA11F1" w:rsidRDefault="00FA7EBD" w:rsidP="008E33DB">
      <w:pPr>
        <w:pStyle w:val="Heading1"/>
        <w:spacing w:before="0" w:after="200"/>
        <w:rPr>
          <w:noProof/>
        </w:rPr>
      </w:pPr>
      <w:bookmarkStart w:id="8" w:name="_Toc426378556"/>
      <w:bookmarkStart w:id="9" w:name="_Toc89423462"/>
      <w:bookmarkStart w:id="10" w:name="_Toc490850421"/>
      <w:bookmarkStart w:id="11" w:name="_Toc519009677"/>
      <w:bookmarkEnd w:id="8"/>
      <w:r w:rsidRPr="00D4425F">
        <w:rPr>
          <w:noProof/>
        </w:rPr>
        <w:t>2</w:t>
      </w:r>
      <w:r>
        <w:rPr>
          <w:noProof/>
        </w:rPr>
        <w:t>. DE INFRASTRUCTUUR EN WERKINGSSFEER VAN HET EU-ETS</w:t>
      </w:r>
      <w:bookmarkEnd w:id="9"/>
    </w:p>
    <w:p w14:paraId="2240193B" w14:textId="57F7AECE" w:rsidR="00C163CB" w:rsidRPr="00DA11F1" w:rsidRDefault="000D6521" w:rsidP="008E33DB">
      <w:pPr>
        <w:suppressAutoHyphens/>
        <w:jc w:val="both"/>
        <w:rPr>
          <w:rFonts w:ascii="Times New Roman" w:hAnsi="Times New Roman"/>
          <w:noProof/>
          <w:sz w:val="24"/>
          <w:szCs w:val="24"/>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van het EU-ETS (</w:t>
      </w:r>
      <w:r w:rsidRPr="00D4425F">
        <w:rPr>
          <w:rFonts w:ascii="Times New Roman" w:hAnsi="Times New Roman"/>
          <w:noProof/>
          <w:sz w:val="24"/>
          <w:szCs w:val="24"/>
        </w:rPr>
        <w:t>2013</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bestreek het systeem </w:t>
      </w:r>
      <w:r w:rsidRPr="00D4425F">
        <w:rPr>
          <w:rFonts w:ascii="Times New Roman" w:hAnsi="Times New Roman"/>
          <w:noProof/>
          <w:sz w:val="24"/>
          <w:szCs w:val="24"/>
        </w:rPr>
        <w:t>28</w:t>
      </w:r>
      <w:r>
        <w:rPr>
          <w:rFonts w:ascii="Times New Roman" w:hAnsi="Times New Roman"/>
          <w:noProof/>
          <w:sz w:val="24"/>
          <w:szCs w:val="24"/>
        </w:rPr>
        <w:t xml:space="preserve"> EU-lidstaten (waaronder het Verenigd Koninkrijk) en drie EVA-landen, te weten IJsland, Liechtenstein en Noorwegen. Met ingang van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2021</w:t>
      </w:r>
      <w:r>
        <w:rPr>
          <w:rFonts w:ascii="Times New Roman" w:hAnsi="Times New Roman"/>
          <w:noProof/>
          <w:sz w:val="24"/>
          <w:szCs w:val="24"/>
        </w:rPr>
        <w:t xml:space="preserve"> bestrijkt het EU-ETS </w:t>
      </w:r>
      <w:r w:rsidRPr="00D4425F">
        <w:rPr>
          <w:rFonts w:ascii="Times New Roman" w:hAnsi="Times New Roman"/>
          <w:noProof/>
          <w:sz w:val="24"/>
          <w:szCs w:val="24"/>
        </w:rPr>
        <w:t>27</w:t>
      </w:r>
      <w:r>
        <w:rPr>
          <w:rFonts w:ascii="Times New Roman" w:hAnsi="Times New Roman"/>
          <w:noProof/>
          <w:sz w:val="24"/>
          <w:szCs w:val="24"/>
        </w:rPr>
        <w:t xml:space="preserve"> lidstaten plus IJsland, Liechtenstein en Noorwegen, alsook installaties voor elektriciteitsopwekking in Noord-Ierland. Sinds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2020</w:t>
      </w:r>
      <w:r>
        <w:rPr>
          <w:rFonts w:ascii="Times New Roman" w:hAnsi="Times New Roman"/>
          <w:noProof/>
          <w:sz w:val="24"/>
          <w:szCs w:val="24"/>
        </w:rPr>
        <w:t xml:space="preserve"> is het EU-ETS gekoppeld aan de Zwitserse koolstofmarkt (zie hoofdstuk </w:t>
      </w:r>
      <w:r w:rsidRPr="00D4425F">
        <w:rPr>
          <w:rFonts w:ascii="Times New Roman" w:hAnsi="Times New Roman"/>
          <w:noProof/>
          <w:sz w:val="24"/>
          <w:szCs w:val="24"/>
        </w:rPr>
        <w:t>7</w:t>
      </w:r>
      <w:r w:rsidR="008B0254">
        <w:rPr>
          <w:rFonts w:ascii="Times New Roman" w:hAnsi="Times New Roman"/>
          <w:noProof/>
          <w:sz w:val="24"/>
          <w:szCs w:val="24"/>
        </w:rPr>
        <w:t>).</w:t>
      </w:r>
    </w:p>
    <w:p w14:paraId="724E336A" w14:textId="13288067" w:rsidR="00E72DBC" w:rsidRPr="00DA11F1" w:rsidRDefault="00686C15" w:rsidP="008E33DB">
      <w:pPr>
        <w:suppressAutoHyphens/>
        <w:jc w:val="both"/>
        <w:rPr>
          <w:rFonts w:ascii="Times New Roman" w:hAnsi="Times New Roman"/>
          <w:noProof/>
          <w:sz w:val="24"/>
          <w:szCs w:val="24"/>
        </w:rPr>
      </w:pPr>
      <w:r>
        <w:rPr>
          <w:rFonts w:ascii="Times New Roman" w:hAnsi="Times New Roman"/>
          <w:noProof/>
          <w:sz w:val="24"/>
          <w:szCs w:val="24"/>
        </w:rPr>
        <w:t xml:space="preserve">In totaal reguleert het EU-ETS de uitstoot van meer dan </w:t>
      </w:r>
      <w:r w:rsidRPr="00D4425F">
        <w:rPr>
          <w:rFonts w:ascii="Times New Roman" w:hAnsi="Times New Roman"/>
          <w:noProof/>
          <w:sz w:val="24"/>
          <w:szCs w:val="24"/>
        </w:rPr>
        <w:t>10</w:t>
      </w:r>
      <w:r>
        <w:rPr>
          <w:rFonts w:ascii="Times New Roman" w:hAnsi="Times New Roman"/>
          <w:noProof/>
          <w:sz w:val="24"/>
          <w:szCs w:val="24"/>
        </w:rPr>
        <w:t> </w:t>
      </w:r>
      <w:r w:rsidRPr="00D4425F">
        <w:rPr>
          <w:rFonts w:ascii="Times New Roman" w:hAnsi="Times New Roman"/>
          <w:noProof/>
          <w:sz w:val="24"/>
          <w:szCs w:val="24"/>
        </w:rPr>
        <w:t>400</w:t>
      </w:r>
      <w:r>
        <w:rPr>
          <w:rFonts w:ascii="Times New Roman" w:hAnsi="Times New Roman"/>
          <w:noProof/>
          <w:sz w:val="24"/>
          <w:szCs w:val="24"/>
        </w:rPr>
        <w:t xml:space="preserve"> elektriciteits- en warmtecentrales en productiefaciliteiten, alsook van ongeveer </w:t>
      </w:r>
      <w:r w:rsidRPr="00D4425F">
        <w:rPr>
          <w:rFonts w:ascii="Times New Roman" w:hAnsi="Times New Roman"/>
          <w:noProof/>
          <w:sz w:val="24"/>
          <w:szCs w:val="24"/>
        </w:rPr>
        <w:t>350</w:t>
      </w:r>
      <w:r>
        <w:rPr>
          <w:rFonts w:ascii="Times New Roman" w:hAnsi="Times New Roman"/>
          <w:noProof/>
          <w:sz w:val="24"/>
          <w:szCs w:val="24"/>
        </w:rPr>
        <w:t> vliegtuigexploitanten die vluchten organiseren tussen luchthavens in de Europese Economische Ruimte (EER) en van de EER naar Zwitserland en het Verenigd Koninkrijk. Hoewel aan het begin van fase </w:t>
      </w:r>
      <w:r w:rsidRPr="00D4425F">
        <w:rPr>
          <w:rFonts w:ascii="Times New Roman" w:hAnsi="Times New Roman"/>
          <w:noProof/>
          <w:sz w:val="24"/>
          <w:szCs w:val="24"/>
        </w:rPr>
        <w:t>3</w:t>
      </w:r>
      <w:r>
        <w:rPr>
          <w:rFonts w:ascii="Times New Roman" w:hAnsi="Times New Roman"/>
          <w:noProof/>
          <w:sz w:val="24"/>
          <w:szCs w:val="24"/>
        </w:rPr>
        <w:t xml:space="preserve"> ongeveer de helft van alle broeikasgasemissies in de EU onder het EU-ETS vielen, geldt dat momenteel voor ongeveer </w:t>
      </w:r>
      <w:r w:rsidRPr="00D4425F">
        <w:rPr>
          <w:rFonts w:ascii="Times New Roman" w:hAnsi="Times New Roman"/>
          <w:noProof/>
          <w:sz w:val="24"/>
          <w:szCs w:val="24"/>
        </w:rPr>
        <w:t>36</w:t>
      </w:r>
      <w:r>
        <w:rPr>
          <w:rFonts w:ascii="Times New Roman" w:hAnsi="Times New Roman"/>
          <w:noProof/>
          <w:sz w:val="24"/>
          <w:szCs w:val="24"/>
        </w:rPr>
        <w:t> % van de broeikasgasemissies van de EU. Zie aanhangsel </w:t>
      </w:r>
      <w:r w:rsidRPr="00D4425F">
        <w:rPr>
          <w:rFonts w:ascii="Times New Roman" w:hAnsi="Times New Roman"/>
          <w:noProof/>
          <w:sz w:val="24"/>
          <w:szCs w:val="24"/>
        </w:rPr>
        <w:t>1</w:t>
      </w:r>
      <w:r>
        <w:rPr>
          <w:rFonts w:ascii="Times New Roman" w:hAnsi="Times New Roman"/>
          <w:noProof/>
          <w:sz w:val="24"/>
          <w:szCs w:val="24"/>
        </w:rPr>
        <w:t xml:space="preserve"> van het werkdocument van de diensten van de Commissie bij dit verslag voor een gedetailleerd overzicht van de werkingssfeer van het EU-ETS in fase </w:t>
      </w:r>
      <w:r w:rsidRPr="00D4425F">
        <w:rPr>
          <w:rFonts w:ascii="Times New Roman" w:hAnsi="Times New Roman"/>
          <w:noProof/>
          <w:sz w:val="24"/>
          <w:szCs w:val="24"/>
        </w:rPr>
        <w:t>3</w:t>
      </w:r>
      <w:r w:rsidR="008B0254">
        <w:rPr>
          <w:rFonts w:ascii="Times New Roman" w:hAnsi="Times New Roman"/>
          <w:noProof/>
          <w:sz w:val="24"/>
          <w:szCs w:val="24"/>
        </w:rPr>
        <w:t>.</w:t>
      </w:r>
    </w:p>
    <w:p w14:paraId="10B8BB53" w14:textId="7B677BD4" w:rsidR="00131369" w:rsidRPr="00DA11F1" w:rsidRDefault="009B1524" w:rsidP="008E33DB">
      <w:pPr>
        <w:pStyle w:val="Heading1"/>
        <w:spacing w:before="0" w:after="200"/>
        <w:rPr>
          <w:rStyle w:val="Heading2Char"/>
          <w:b/>
          <w:bCs/>
          <w:i w:val="0"/>
          <w:iCs w:val="0"/>
          <w:noProof/>
          <w:szCs w:val="32"/>
        </w:rPr>
      </w:pPr>
      <w:bookmarkStart w:id="12" w:name="_Toc89423463"/>
      <w:r w:rsidRPr="00D4425F">
        <w:rPr>
          <w:rStyle w:val="Heading2Char"/>
          <w:b/>
          <w:bCs/>
          <w:i w:val="0"/>
          <w:iCs w:val="0"/>
          <w:noProof/>
          <w:szCs w:val="32"/>
        </w:rPr>
        <w:t>2</w:t>
      </w:r>
      <w:r>
        <w:rPr>
          <w:rStyle w:val="Heading2Char"/>
          <w:b/>
          <w:bCs/>
          <w:i w:val="0"/>
          <w:iCs w:val="0"/>
          <w:noProof/>
          <w:szCs w:val="32"/>
        </w:rPr>
        <w:t>.</w:t>
      </w:r>
      <w:r w:rsidRPr="00D4425F">
        <w:rPr>
          <w:rStyle w:val="Heading2Char"/>
          <w:b/>
          <w:bCs/>
          <w:i w:val="0"/>
          <w:iCs w:val="0"/>
          <w:noProof/>
          <w:szCs w:val="32"/>
        </w:rPr>
        <w:t>1</w:t>
      </w:r>
      <w:r>
        <w:rPr>
          <w:rStyle w:val="Heading2Char"/>
          <w:b/>
          <w:bCs/>
          <w:i w:val="0"/>
          <w:iCs w:val="0"/>
          <w:noProof/>
          <w:szCs w:val="32"/>
        </w:rPr>
        <w:t xml:space="preserve"> Het EU-register en het EU-transactielogboek</w:t>
      </w:r>
      <w:bookmarkEnd w:id="12"/>
      <w:r>
        <w:rPr>
          <w:rStyle w:val="Heading2Char"/>
          <w:b/>
          <w:bCs/>
          <w:i w:val="0"/>
          <w:iCs w:val="0"/>
          <w:noProof/>
          <w:szCs w:val="32"/>
        </w:rPr>
        <w:t xml:space="preserve"> </w:t>
      </w:r>
      <w:bookmarkEnd w:id="10"/>
      <w:bookmarkEnd w:id="11"/>
    </w:p>
    <w:p w14:paraId="36505F23" w14:textId="37AD02EA" w:rsidR="002D560B" w:rsidRPr="00DA11F1" w:rsidRDefault="002D560B" w:rsidP="008E33DB">
      <w:pPr>
        <w:jc w:val="both"/>
        <w:rPr>
          <w:rFonts w:ascii="Times New Roman" w:hAnsi="Times New Roman"/>
          <w:noProof/>
          <w:sz w:val="24"/>
          <w:szCs w:val="24"/>
        </w:rPr>
      </w:pPr>
      <w:r>
        <w:rPr>
          <w:rFonts w:ascii="Times New Roman" w:hAnsi="Times New Roman"/>
          <w:noProof/>
          <w:sz w:val="24"/>
          <w:szCs w:val="24"/>
        </w:rPr>
        <w:t>Het EU-register en het EU-transactielogboek (EUTL) houden de eigendom van algemene en luchtvaartemissierechten bij door de verschuldigde bedragen op de rekeningen en de transacties tussen de rekeningen te registreren. Deze systemen registreren ook de emissies van vaste (elektriciteits-, warmte- en industriële) installaties en vliegtuigexploitanten en de naleving van de verplichtingen die uit deze emissies voortvloeien. Beide systemen worden door de Commissie beheerd en onderhouden, maar de nationale registeradministrateurs in de deelnemende landen blijven de contactpersoon voor de houders en vertegenwoordigers van de rekeningen (bedrijven en particulieren). Het EU-register omvat de rekeningen en registreert informatie over naleving, terwijl het EUTL automatisch alle transacties tussen de rekeningen controleert, registreert en autoriseert en op die manier verzekert dat alle overdrachten aan de rege</w:t>
      </w:r>
      <w:r w:rsidR="008B0254">
        <w:rPr>
          <w:rFonts w:ascii="Times New Roman" w:hAnsi="Times New Roman"/>
          <w:noProof/>
          <w:sz w:val="24"/>
          <w:szCs w:val="24"/>
        </w:rPr>
        <w:t>ls van het EU-ETS beantwoorden.</w:t>
      </w:r>
    </w:p>
    <w:p w14:paraId="445E86CC" w14:textId="5461618B" w:rsidR="002D560B" w:rsidRPr="00DA11F1" w:rsidRDefault="00154570" w:rsidP="008E33DB">
      <w:pPr>
        <w:jc w:val="both"/>
        <w:rPr>
          <w:rFonts w:ascii="Times New Roman" w:hAnsi="Times New Roman"/>
          <w:noProof/>
          <w:sz w:val="24"/>
          <w:szCs w:val="24"/>
        </w:rPr>
      </w:pPr>
      <w:r>
        <w:rPr>
          <w:rFonts w:ascii="Times New Roman" w:hAnsi="Times New Roman"/>
          <w:noProof/>
          <w:sz w:val="24"/>
          <w:szCs w:val="24"/>
        </w:rPr>
        <w:t>De in het EU-register en het EUTL opgenomen gegevens blijven een belangrijke bron van informatie ter ondersteuning van diverse vormen van rapportage in het kader van het EU-ETS, zoals de berekening van de overschotindicator van de marktstabiliteitsreserve (zie punt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en de rapportage door het Europees Milieuagentschap. Het EUTL zorgt ook voor transparantie in het EU-ETS doordat het informatie publiceert over de naleving van de EU-ETS-bepalingen door vaste installaties en vliegtuigexploitanten, en over de transacties tussen rekeningen.</w:t>
      </w:r>
    </w:p>
    <w:p w14:paraId="79662C14" w14:textId="15F4E1B6" w:rsidR="004D6E35" w:rsidRPr="00DA11F1" w:rsidRDefault="004D3B9F" w:rsidP="008E33DB">
      <w:pPr>
        <w:jc w:val="both"/>
        <w:rPr>
          <w:rFonts w:ascii="Times New Roman" w:hAnsi="Times New Roman"/>
          <w:noProof/>
          <w:sz w:val="24"/>
          <w:szCs w:val="24"/>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functioneerde de publieke website van het EUTL betrouwbaar en bleef deze elk jaar, </w:t>
      </w:r>
      <w:r w:rsidRPr="00D4425F">
        <w:rPr>
          <w:rFonts w:ascii="Times New Roman" w:hAnsi="Times New Roman"/>
          <w:noProof/>
          <w:sz w:val="24"/>
          <w:szCs w:val="24"/>
        </w:rPr>
        <w:t>365</w:t>
      </w:r>
      <w:r>
        <w:rPr>
          <w:rFonts w:ascii="Times New Roman" w:hAnsi="Times New Roman"/>
          <w:noProof/>
          <w:sz w:val="24"/>
          <w:szCs w:val="24"/>
        </w:rPr>
        <w:t xml:space="preserve"> dagen lang, </w:t>
      </w:r>
      <w:r w:rsidRPr="00D4425F">
        <w:rPr>
          <w:rFonts w:ascii="Times New Roman" w:hAnsi="Times New Roman"/>
          <w:noProof/>
          <w:sz w:val="24"/>
          <w:szCs w:val="24"/>
        </w:rPr>
        <w:t>24</w:t>
      </w:r>
      <w:r>
        <w:rPr>
          <w:rFonts w:ascii="Times New Roman" w:hAnsi="Times New Roman"/>
          <w:noProof/>
          <w:sz w:val="24"/>
          <w:szCs w:val="24"/>
        </w:rPr>
        <w:t xml:space="preserve"> uur per dag operationeel, met slechts enkele kleine onderbrekingen vanwege geplande technische upgrades. Dit was ook het geval in </w:t>
      </w:r>
      <w:r w:rsidRPr="00D4425F">
        <w:rPr>
          <w:rFonts w:ascii="Times New Roman" w:hAnsi="Times New Roman"/>
          <w:noProof/>
          <w:sz w:val="24"/>
          <w:szCs w:val="24"/>
        </w:rPr>
        <w:t>2020</w:t>
      </w:r>
      <w:r>
        <w:rPr>
          <w:rFonts w:ascii="Times New Roman" w:hAnsi="Times New Roman"/>
          <w:noProof/>
          <w:sz w:val="24"/>
          <w:szCs w:val="24"/>
        </w:rPr>
        <w:t xml:space="preserve">. Een uitzondering was </w:t>
      </w:r>
      <w:r w:rsidRPr="00D4425F">
        <w:rPr>
          <w:rFonts w:ascii="Times New Roman" w:hAnsi="Times New Roman"/>
          <w:noProof/>
          <w:sz w:val="24"/>
          <w:szCs w:val="24"/>
        </w:rPr>
        <w:t>18</w:t>
      </w:r>
      <w:r>
        <w:rPr>
          <w:rFonts w:ascii="Times New Roman" w:hAnsi="Times New Roman"/>
          <w:noProof/>
          <w:sz w:val="24"/>
          <w:szCs w:val="24"/>
        </w:rPr>
        <w:t xml:space="preserve"> augustus </w:t>
      </w:r>
      <w:r w:rsidRPr="00D4425F">
        <w:rPr>
          <w:rFonts w:ascii="Times New Roman" w:hAnsi="Times New Roman"/>
          <w:noProof/>
          <w:sz w:val="24"/>
          <w:szCs w:val="24"/>
        </w:rPr>
        <w:t>2020</w:t>
      </w:r>
      <w:r>
        <w:rPr>
          <w:rFonts w:ascii="Times New Roman" w:hAnsi="Times New Roman"/>
          <w:noProof/>
          <w:sz w:val="24"/>
          <w:szCs w:val="24"/>
        </w:rPr>
        <w:t xml:space="preserve">, toen enkele transacties als gevolg van technische problemen niet correct werden verwerkt. Het EU-register was tussen </w:t>
      </w:r>
      <w:r w:rsidRPr="00D4425F">
        <w:rPr>
          <w:rFonts w:ascii="Times New Roman" w:hAnsi="Times New Roman"/>
          <w:noProof/>
          <w:sz w:val="24"/>
          <w:szCs w:val="24"/>
        </w:rPr>
        <w:t>19</w:t>
      </w:r>
      <w:r>
        <w:rPr>
          <w:rFonts w:ascii="Times New Roman" w:hAnsi="Times New Roman"/>
          <w:noProof/>
          <w:sz w:val="24"/>
          <w:szCs w:val="24"/>
        </w:rPr>
        <w:t xml:space="preserve"> en </w:t>
      </w:r>
      <w:r w:rsidRPr="00D4425F">
        <w:rPr>
          <w:rFonts w:ascii="Times New Roman" w:hAnsi="Times New Roman"/>
          <w:noProof/>
          <w:sz w:val="24"/>
          <w:szCs w:val="24"/>
        </w:rPr>
        <w:t>21</w:t>
      </w:r>
      <w:r>
        <w:rPr>
          <w:rFonts w:ascii="Times New Roman" w:hAnsi="Times New Roman"/>
          <w:noProof/>
          <w:sz w:val="24"/>
          <w:szCs w:val="24"/>
        </w:rPr>
        <w:t> augustus niet beschikbaar vanwege het oplossen van probl</w:t>
      </w:r>
      <w:r w:rsidR="008B0254">
        <w:rPr>
          <w:rFonts w:ascii="Times New Roman" w:hAnsi="Times New Roman"/>
          <w:noProof/>
          <w:sz w:val="24"/>
          <w:szCs w:val="24"/>
        </w:rPr>
        <w:t>emen en reparatiewerkzaamheden.</w:t>
      </w:r>
    </w:p>
    <w:p w14:paraId="62046D35" w14:textId="2B3A08C2" w:rsidR="004D3B9F" w:rsidRPr="00DA11F1" w:rsidRDefault="004D6E35" w:rsidP="008E33DB">
      <w:pPr>
        <w:jc w:val="both"/>
        <w:rPr>
          <w:rFonts w:ascii="Times New Roman" w:hAnsi="Times New Roman"/>
          <w:noProof/>
          <w:sz w:val="24"/>
          <w:szCs w:val="24"/>
        </w:rPr>
      </w:pPr>
      <w:r>
        <w:rPr>
          <w:rFonts w:ascii="Times New Roman" w:hAnsi="Times New Roman"/>
          <w:noProof/>
          <w:sz w:val="24"/>
          <w:szCs w:val="24"/>
        </w:rPr>
        <w:t xml:space="preserve">In </w:t>
      </w:r>
      <w:r w:rsidRPr="00D4425F">
        <w:rPr>
          <w:rFonts w:ascii="Times New Roman" w:hAnsi="Times New Roman"/>
          <w:noProof/>
          <w:sz w:val="24"/>
          <w:szCs w:val="24"/>
        </w:rPr>
        <w:t>2020</w:t>
      </w:r>
      <w:r>
        <w:rPr>
          <w:rFonts w:ascii="Times New Roman" w:hAnsi="Times New Roman"/>
          <w:noProof/>
          <w:sz w:val="24"/>
          <w:szCs w:val="24"/>
        </w:rPr>
        <w:t xml:space="preserve"> en de eerste helft van </w:t>
      </w:r>
      <w:r w:rsidRPr="00D4425F">
        <w:rPr>
          <w:rFonts w:ascii="Times New Roman" w:hAnsi="Times New Roman"/>
          <w:noProof/>
          <w:sz w:val="24"/>
          <w:szCs w:val="24"/>
        </w:rPr>
        <w:t>2021</w:t>
      </w:r>
      <w:r>
        <w:rPr>
          <w:rFonts w:ascii="Times New Roman" w:hAnsi="Times New Roman"/>
          <w:noProof/>
          <w:sz w:val="24"/>
          <w:szCs w:val="24"/>
        </w:rPr>
        <w:t xml:space="preserve"> zijn diverse belangrijke ontwikkelingswerkzaamheden aan het EU-register uitgevoerd. In de eerste plaats is de handels- en samenwerkingsovereenkomst</w:t>
      </w:r>
      <w:r w:rsidR="004D3B9F" w:rsidRPr="00DA11F1">
        <w:rPr>
          <w:rStyle w:val="FootnoteReference"/>
          <w:rFonts w:ascii="Times New Roman" w:hAnsi="Times New Roman"/>
          <w:noProof/>
          <w:sz w:val="24"/>
          <w:szCs w:val="24"/>
        </w:rPr>
        <w:footnoteReference w:id="14"/>
      </w:r>
      <w:r>
        <w:rPr>
          <w:rFonts w:ascii="Times New Roman" w:hAnsi="Times New Roman"/>
          <w:noProof/>
          <w:sz w:val="24"/>
          <w:szCs w:val="24"/>
        </w:rPr>
        <w:t xml:space="preserve"> tussen de EU en het Verenigd Koninkrijk vanaf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2021</w:t>
      </w:r>
      <w:r>
        <w:rPr>
          <w:rFonts w:ascii="Times New Roman" w:hAnsi="Times New Roman"/>
          <w:noProof/>
          <w:sz w:val="24"/>
          <w:szCs w:val="24"/>
        </w:rPr>
        <w:t xml:space="preserve"> voorlopig toegepast en op </w:t>
      </w:r>
      <w:r w:rsidRPr="00D4425F">
        <w:rPr>
          <w:rFonts w:ascii="Times New Roman" w:hAnsi="Times New Roman"/>
          <w:noProof/>
          <w:sz w:val="24"/>
          <w:szCs w:val="24"/>
        </w:rPr>
        <w:t>1</w:t>
      </w:r>
      <w:r>
        <w:rPr>
          <w:rFonts w:ascii="Times New Roman" w:hAnsi="Times New Roman"/>
          <w:noProof/>
          <w:sz w:val="24"/>
          <w:szCs w:val="24"/>
        </w:rPr>
        <w:t xml:space="preserve"> mei </w:t>
      </w:r>
      <w:r w:rsidRPr="00D4425F">
        <w:rPr>
          <w:rFonts w:ascii="Times New Roman" w:hAnsi="Times New Roman"/>
          <w:noProof/>
          <w:sz w:val="24"/>
          <w:szCs w:val="24"/>
        </w:rPr>
        <w:t>2021</w:t>
      </w:r>
      <w:r>
        <w:rPr>
          <w:rFonts w:ascii="Times New Roman" w:hAnsi="Times New Roman"/>
          <w:noProof/>
          <w:sz w:val="24"/>
          <w:szCs w:val="24"/>
        </w:rPr>
        <w:t xml:space="preserve"> in werking getreden.</w:t>
      </w:r>
      <w:r>
        <w:rPr>
          <w:rFonts w:ascii="Times New Roman" w:hAnsi="Times New Roman"/>
          <w:noProof/>
        </w:rPr>
        <w:t xml:space="preserve"> </w:t>
      </w:r>
      <w:r>
        <w:rPr>
          <w:rFonts w:ascii="Times New Roman" w:hAnsi="Times New Roman"/>
          <w:noProof/>
          <w:sz w:val="24"/>
          <w:szCs w:val="24"/>
        </w:rPr>
        <w:t>In de overeenkomst verbinden de EU en het Verenigd Koninkrijk zich ertoe het ambitieniveau van hun kl</w:t>
      </w:r>
      <w:r w:rsidR="008B0254">
        <w:rPr>
          <w:rFonts w:ascii="Times New Roman" w:hAnsi="Times New Roman"/>
          <w:noProof/>
          <w:sz w:val="24"/>
          <w:szCs w:val="24"/>
        </w:rPr>
        <w:t>imaat- en milieubeleid van eind </w:t>
      </w:r>
      <w:r w:rsidRPr="00D4425F">
        <w:rPr>
          <w:rFonts w:ascii="Times New Roman" w:hAnsi="Times New Roman"/>
          <w:noProof/>
          <w:sz w:val="24"/>
          <w:szCs w:val="24"/>
        </w:rPr>
        <w:t>2020</w:t>
      </w:r>
      <w:r>
        <w:rPr>
          <w:rFonts w:ascii="Times New Roman" w:hAnsi="Times New Roman"/>
          <w:noProof/>
          <w:sz w:val="24"/>
          <w:szCs w:val="24"/>
        </w:rPr>
        <w:t xml:space="preserve"> te handhaven en dit beleid aan te passen aan hun internationale verplichtingen. In artikel </w:t>
      </w:r>
      <w:r w:rsidRPr="00D4425F">
        <w:rPr>
          <w:rFonts w:ascii="Times New Roman" w:hAnsi="Times New Roman"/>
          <w:noProof/>
          <w:sz w:val="24"/>
          <w:szCs w:val="24"/>
        </w:rPr>
        <w:t>392</w:t>
      </w:r>
      <w:r>
        <w:rPr>
          <w:rFonts w:ascii="Times New Roman" w:hAnsi="Times New Roman"/>
          <w:noProof/>
          <w:sz w:val="24"/>
          <w:szCs w:val="24"/>
        </w:rPr>
        <w:t xml:space="preserve"> van de overeenkomst is bepaald dat beide partijen met ingang van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2021</w:t>
      </w:r>
      <w:r>
        <w:rPr>
          <w:rFonts w:ascii="Times New Roman" w:hAnsi="Times New Roman"/>
          <w:noProof/>
          <w:sz w:val="24"/>
          <w:szCs w:val="24"/>
        </w:rPr>
        <w:t xml:space="preserve"> moeten beschikken over een systeem voor koolstofbeprijzing dat de broeikasgasemissies van de elektriciteitsopwekking, de warmteopwekking, de industrie en de luchtvaart bestrijkt. Noord-Ierse installaties voor elektriciteitsproductie en vluchten die vanuit de EER naar het Verenigd Koninkrijk vertrekken, blijven onder het EU-ETS vallen, terwijl vluchten van het Verenigd Koninkrijk naar de EER onder het koolstofbeprijzingssysteem van het Verenigd Koninkrijk vallen (zie hoofdstuk </w:t>
      </w:r>
      <w:r w:rsidRPr="00D4425F">
        <w:rPr>
          <w:rFonts w:ascii="Times New Roman" w:hAnsi="Times New Roman"/>
          <w:noProof/>
          <w:sz w:val="24"/>
          <w:szCs w:val="24"/>
        </w:rPr>
        <w:t>4</w:t>
      </w:r>
      <w:r>
        <w:rPr>
          <w:rFonts w:ascii="Times New Roman" w:hAnsi="Times New Roman"/>
          <w:noProof/>
          <w:sz w:val="24"/>
          <w:szCs w:val="24"/>
        </w:rPr>
        <w:t>). Bijgevolg bleven installaties voor elektriciteitsproductie in Noord-Ierland in het EU-register staan en werd de EU-ETS-richtlijn gewijzigd zodat rekening wordt gehouden met veranderingen in de dekking van vluchten</w:t>
      </w:r>
      <w:r w:rsidR="00795EB2" w:rsidRPr="00DA11F1">
        <w:rPr>
          <w:rStyle w:val="FootnoteReference"/>
          <w:rFonts w:ascii="Times New Roman" w:hAnsi="Times New Roman"/>
          <w:noProof/>
          <w:sz w:val="24"/>
          <w:szCs w:val="24"/>
        </w:rPr>
        <w:footnoteReference w:id="15"/>
      </w:r>
      <w:r>
        <w:rPr>
          <w:rFonts w:ascii="Times New Roman" w:hAnsi="Times New Roman"/>
          <w:noProof/>
          <w:sz w:val="24"/>
          <w:szCs w:val="24"/>
        </w:rPr>
        <w:t>.</w:t>
      </w:r>
    </w:p>
    <w:p w14:paraId="5EDE666A" w14:textId="01F5D3D8" w:rsidR="004D3B9F" w:rsidRPr="00DA11F1" w:rsidRDefault="00C65511" w:rsidP="008E33DB">
      <w:pPr>
        <w:jc w:val="both"/>
        <w:rPr>
          <w:rFonts w:ascii="Times New Roman" w:hAnsi="Times New Roman"/>
          <w:noProof/>
          <w:sz w:val="24"/>
          <w:szCs w:val="24"/>
        </w:rPr>
      </w:pPr>
      <w:r>
        <w:rPr>
          <w:rFonts w:ascii="Times New Roman" w:hAnsi="Times New Roman"/>
          <w:noProof/>
          <w:sz w:val="24"/>
          <w:szCs w:val="24"/>
        </w:rPr>
        <w:t xml:space="preserve">Voorts is op </w:t>
      </w:r>
      <w:r w:rsidRPr="00D4425F">
        <w:rPr>
          <w:rFonts w:ascii="Times New Roman" w:hAnsi="Times New Roman"/>
          <w:noProof/>
          <w:sz w:val="24"/>
          <w:szCs w:val="24"/>
        </w:rPr>
        <w:t>31</w:t>
      </w:r>
      <w:r>
        <w:rPr>
          <w:rFonts w:ascii="Times New Roman" w:hAnsi="Times New Roman"/>
          <w:noProof/>
          <w:sz w:val="24"/>
          <w:szCs w:val="24"/>
        </w:rPr>
        <w:t xml:space="preserve"> december </w:t>
      </w:r>
      <w:r w:rsidRPr="00D4425F">
        <w:rPr>
          <w:rFonts w:ascii="Times New Roman" w:hAnsi="Times New Roman"/>
          <w:noProof/>
          <w:sz w:val="24"/>
          <w:szCs w:val="24"/>
        </w:rPr>
        <w:t>2020</w:t>
      </w:r>
      <w:r>
        <w:rPr>
          <w:rFonts w:ascii="Times New Roman" w:hAnsi="Times New Roman"/>
          <w:noProof/>
          <w:sz w:val="24"/>
          <w:szCs w:val="24"/>
        </w:rPr>
        <w:t xml:space="preserve"> de wijziging van Doha tot vaststelling van de tweede verbintenisperiode van het Protocol van Kyoto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2013</w:t>
      </w:r>
      <w:r>
        <w:rPr>
          <w:rFonts w:ascii="Times New Roman" w:hAnsi="Times New Roman"/>
          <w:noProof/>
          <w:sz w:val="24"/>
          <w:szCs w:val="24"/>
        </w:rPr>
        <w:t>-</w:t>
      </w:r>
      <w:r w:rsidRPr="00D4425F">
        <w:rPr>
          <w:rFonts w:ascii="Times New Roman" w:hAnsi="Times New Roman"/>
          <w:noProof/>
          <w:sz w:val="24"/>
          <w:szCs w:val="24"/>
        </w:rPr>
        <w:t>31</w:t>
      </w:r>
      <w:r>
        <w:rPr>
          <w:rFonts w:ascii="Times New Roman" w:hAnsi="Times New Roman"/>
          <w:noProof/>
          <w:sz w:val="24"/>
          <w:szCs w:val="24"/>
        </w:rPr>
        <w:t xml:space="preserve"> december </w:t>
      </w:r>
      <w:r w:rsidRPr="00D4425F">
        <w:rPr>
          <w:rFonts w:ascii="Times New Roman" w:hAnsi="Times New Roman"/>
          <w:noProof/>
          <w:sz w:val="24"/>
          <w:szCs w:val="24"/>
        </w:rPr>
        <w:t>2020</w:t>
      </w:r>
      <w:r>
        <w:rPr>
          <w:rFonts w:ascii="Times New Roman" w:hAnsi="Times New Roman"/>
          <w:noProof/>
          <w:sz w:val="24"/>
          <w:szCs w:val="24"/>
        </w:rPr>
        <w:t>) in werking getreden</w:t>
      </w:r>
      <w:r w:rsidR="004D3B9F" w:rsidRPr="00DA11F1">
        <w:rPr>
          <w:rStyle w:val="FootnoteReference"/>
          <w:rFonts w:ascii="Times New Roman" w:hAnsi="Times New Roman"/>
          <w:noProof/>
          <w:sz w:val="24"/>
          <w:szCs w:val="24"/>
        </w:rPr>
        <w:footnoteReference w:id="16"/>
      </w:r>
      <w:r>
        <w:rPr>
          <w:rFonts w:ascii="Times New Roman" w:hAnsi="Times New Roman"/>
          <w:noProof/>
          <w:sz w:val="24"/>
          <w:szCs w:val="24"/>
        </w:rPr>
        <w:t>. Overeenkomstig artikel </w:t>
      </w:r>
      <w:r w:rsidRPr="00D4425F">
        <w:rPr>
          <w:rFonts w:ascii="Times New Roman" w:hAnsi="Times New Roman"/>
          <w:noProof/>
          <w:sz w:val="24"/>
          <w:szCs w:val="24"/>
        </w:rPr>
        <w:t>5</w:t>
      </w:r>
      <w:r>
        <w:rPr>
          <w:rFonts w:ascii="Times New Roman" w:hAnsi="Times New Roman"/>
          <w:noProof/>
          <w:sz w:val="24"/>
          <w:szCs w:val="24"/>
        </w:rPr>
        <w:t xml:space="preserve"> van Verordening (EU) nr. </w:t>
      </w:r>
      <w:r w:rsidRPr="00D4425F">
        <w:rPr>
          <w:rFonts w:ascii="Times New Roman" w:hAnsi="Times New Roman"/>
          <w:noProof/>
          <w:sz w:val="24"/>
          <w:szCs w:val="24"/>
        </w:rPr>
        <w:t>389</w:t>
      </w:r>
      <w:r>
        <w:rPr>
          <w:rFonts w:ascii="Times New Roman" w:hAnsi="Times New Roman"/>
          <w:noProof/>
          <w:sz w:val="24"/>
          <w:szCs w:val="24"/>
        </w:rPr>
        <w:t>/</w:t>
      </w:r>
      <w:r w:rsidRPr="00D4425F">
        <w:rPr>
          <w:rFonts w:ascii="Times New Roman" w:hAnsi="Times New Roman"/>
          <w:noProof/>
          <w:sz w:val="24"/>
          <w:szCs w:val="24"/>
        </w:rPr>
        <w:t>2013</w:t>
      </w:r>
      <w:r>
        <w:rPr>
          <w:rFonts w:ascii="Times New Roman" w:hAnsi="Times New Roman"/>
          <w:noProof/>
          <w:sz w:val="24"/>
          <w:szCs w:val="24"/>
        </w:rPr>
        <w:t xml:space="preserve"> van de Commissie (registerverordening)</w:t>
      </w:r>
      <w:r w:rsidR="008157E5" w:rsidRPr="00DA11F1">
        <w:rPr>
          <w:rStyle w:val="FootnoteReference"/>
          <w:rFonts w:ascii="Times New Roman" w:hAnsi="Times New Roman"/>
          <w:noProof/>
          <w:sz w:val="24"/>
          <w:szCs w:val="24"/>
        </w:rPr>
        <w:footnoteReference w:id="17"/>
      </w:r>
      <w:r>
        <w:rPr>
          <w:rFonts w:ascii="Times New Roman" w:hAnsi="Times New Roman"/>
          <w:noProof/>
          <w:sz w:val="24"/>
          <w:szCs w:val="24"/>
        </w:rPr>
        <w:t xml:space="preserve"> fungeert de Commissie als administrateur van het “Protocol van Kyoto”-register van de EU, dat deel uitmaakt van het EU-register. Hoewel </w:t>
      </w:r>
      <w:r w:rsidRPr="00D4425F">
        <w:rPr>
          <w:rFonts w:ascii="Times New Roman" w:hAnsi="Times New Roman"/>
          <w:noProof/>
          <w:sz w:val="24"/>
          <w:szCs w:val="24"/>
        </w:rPr>
        <w:t>31</w:t>
      </w:r>
      <w:r>
        <w:rPr>
          <w:rFonts w:ascii="Times New Roman" w:hAnsi="Times New Roman"/>
          <w:noProof/>
          <w:sz w:val="24"/>
          <w:szCs w:val="24"/>
        </w:rPr>
        <w:t xml:space="preserve"> december </w:t>
      </w:r>
      <w:r w:rsidRPr="00D4425F">
        <w:rPr>
          <w:rFonts w:ascii="Times New Roman" w:hAnsi="Times New Roman"/>
          <w:noProof/>
          <w:sz w:val="24"/>
          <w:szCs w:val="24"/>
        </w:rPr>
        <w:t>2020</w:t>
      </w:r>
      <w:r>
        <w:rPr>
          <w:rFonts w:ascii="Times New Roman" w:hAnsi="Times New Roman"/>
          <w:noProof/>
          <w:sz w:val="24"/>
          <w:szCs w:val="24"/>
        </w:rPr>
        <w:t xml:space="preserve"> de laatste dag van de tweede verbintenisperiode was, zal het systeem voor transparantie en naleving van het Protocol van Kyoto operationeel blijven tot aan de laatste nalevingscontrole. In </w:t>
      </w:r>
      <w:r w:rsidRPr="00D4425F">
        <w:rPr>
          <w:rFonts w:ascii="Times New Roman" w:hAnsi="Times New Roman"/>
          <w:noProof/>
          <w:sz w:val="24"/>
          <w:szCs w:val="24"/>
        </w:rPr>
        <w:t>2023</w:t>
      </w:r>
      <w:r>
        <w:rPr>
          <w:rFonts w:ascii="Times New Roman" w:hAnsi="Times New Roman"/>
          <w:noProof/>
          <w:sz w:val="24"/>
          <w:szCs w:val="24"/>
        </w:rPr>
        <w:t xml:space="preserve"> zullen de emissie-inventarissen voor het laatste jaar van de tweede verbintenisperiode worden gerapporteerd en geëvalueerd en zal ee</w:t>
      </w:r>
      <w:r w:rsidR="008B0254">
        <w:rPr>
          <w:rFonts w:ascii="Times New Roman" w:hAnsi="Times New Roman"/>
          <w:noProof/>
          <w:sz w:val="24"/>
          <w:szCs w:val="24"/>
        </w:rPr>
        <w:t>n eindverslag worden ingediend.</w:t>
      </w:r>
    </w:p>
    <w:p w14:paraId="150BDA62" w14:textId="5FE5ADF5" w:rsidR="004D3B9F" w:rsidRPr="00DA11F1" w:rsidRDefault="004D3B9F" w:rsidP="008E33DB">
      <w:pPr>
        <w:jc w:val="both"/>
        <w:rPr>
          <w:rFonts w:ascii="Times New Roman" w:hAnsi="Times New Roman"/>
          <w:noProof/>
          <w:sz w:val="24"/>
          <w:szCs w:val="24"/>
        </w:rPr>
      </w:pPr>
      <w:r>
        <w:rPr>
          <w:rFonts w:ascii="Times New Roman" w:hAnsi="Times New Roman"/>
          <w:noProof/>
          <w:sz w:val="24"/>
          <w:szCs w:val="24"/>
        </w:rPr>
        <w:t>De overeenkomst over de koppeling van het EU-ETS aan het Zwitserse ETS</w:t>
      </w:r>
      <w:r w:rsidRPr="00DA11F1">
        <w:rPr>
          <w:rStyle w:val="FootnoteReference"/>
          <w:rFonts w:ascii="Times New Roman" w:hAnsi="Times New Roman"/>
          <w:noProof/>
          <w:sz w:val="24"/>
          <w:szCs w:val="24"/>
        </w:rPr>
        <w:footnoteReference w:id="18"/>
      </w:r>
      <w:r>
        <w:rPr>
          <w:rFonts w:ascii="Times New Roman" w:hAnsi="Times New Roman"/>
          <w:noProof/>
          <w:sz w:val="24"/>
          <w:szCs w:val="24"/>
        </w:rPr>
        <w:t xml:space="preserve"> is op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2020</w:t>
      </w:r>
      <w:r>
        <w:rPr>
          <w:rFonts w:ascii="Times New Roman" w:hAnsi="Times New Roman"/>
          <w:noProof/>
          <w:sz w:val="24"/>
          <w:szCs w:val="24"/>
        </w:rPr>
        <w:t xml:space="preserve"> in werking getreden. Om de koppeling tussen de systemen operationeel te maken, is op </w:t>
      </w:r>
      <w:r w:rsidRPr="00D4425F">
        <w:rPr>
          <w:rFonts w:ascii="Times New Roman" w:hAnsi="Times New Roman"/>
          <w:noProof/>
          <w:sz w:val="24"/>
          <w:szCs w:val="24"/>
        </w:rPr>
        <w:t>21</w:t>
      </w:r>
      <w:r>
        <w:rPr>
          <w:rFonts w:ascii="Times New Roman" w:hAnsi="Times New Roman"/>
          <w:noProof/>
          <w:sz w:val="24"/>
          <w:szCs w:val="24"/>
        </w:rPr>
        <w:t xml:space="preserve"> september </w:t>
      </w:r>
      <w:r w:rsidRPr="00D4425F">
        <w:rPr>
          <w:rFonts w:ascii="Times New Roman" w:hAnsi="Times New Roman"/>
          <w:noProof/>
          <w:sz w:val="24"/>
          <w:szCs w:val="24"/>
        </w:rPr>
        <w:t>2020</w:t>
      </w:r>
      <w:r>
        <w:rPr>
          <w:rFonts w:ascii="Times New Roman" w:hAnsi="Times New Roman"/>
          <w:noProof/>
          <w:sz w:val="24"/>
          <w:szCs w:val="24"/>
        </w:rPr>
        <w:t xml:space="preserve"> voorzien in een voorlopige oplossing om een koppeling tussen de registers van de twee systemen tot stand te brengen en de overdracht van emissierechten van het ene naar het andere systeem mogelijk te maken (zie hoofdstuk </w:t>
      </w:r>
      <w:r w:rsidRPr="00D4425F">
        <w:rPr>
          <w:rFonts w:ascii="Times New Roman" w:hAnsi="Times New Roman"/>
          <w:noProof/>
          <w:sz w:val="24"/>
          <w:szCs w:val="24"/>
        </w:rPr>
        <w:t>7</w:t>
      </w:r>
      <w:r>
        <w:rPr>
          <w:rFonts w:ascii="Times New Roman" w:hAnsi="Times New Roman"/>
          <w:noProof/>
          <w:sz w:val="24"/>
          <w:szCs w:val="24"/>
        </w:rPr>
        <w:t xml:space="preserve">). </w:t>
      </w:r>
    </w:p>
    <w:p w14:paraId="02C5AE55" w14:textId="0D0C000B" w:rsidR="004D3B9F" w:rsidRPr="00DA11F1" w:rsidRDefault="001D33C2" w:rsidP="008E33DB">
      <w:pPr>
        <w:jc w:val="both"/>
        <w:rPr>
          <w:rFonts w:ascii="Times New Roman" w:hAnsi="Times New Roman"/>
          <w:noProof/>
          <w:sz w:val="24"/>
          <w:szCs w:val="24"/>
        </w:rPr>
      </w:pPr>
      <w:r>
        <w:rPr>
          <w:rFonts w:ascii="Times New Roman" w:hAnsi="Times New Roman"/>
          <w:noProof/>
          <w:sz w:val="24"/>
          <w:szCs w:val="24"/>
        </w:rPr>
        <w:t xml:space="preserve">Ten slotte is de technische uitvoering van de nieuwe regels van Gedelegeerde Verordening (EU) </w:t>
      </w:r>
      <w:r w:rsidRPr="00D4425F">
        <w:rPr>
          <w:rFonts w:ascii="Times New Roman" w:hAnsi="Times New Roman"/>
          <w:noProof/>
          <w:sz w:val="24"/>
          <w:szCs w:val="24"/>
        </w:rPr>
        <w:t>2019</w:t>
      </w:r>
      <w:r>
        <w:rPr>
          <w:rFonts w:ascii="Times New Roman" w:hAnsi="Times New Roman"/>
          <w:noProof/>
          <w:sz w:val="24"/>
          <w:szCs w:val="24"/>
        </w:rPr>
        <w:t>/</w:t>
      </w:r>
      <w:r w:rsidRPr="00D4425F">
        <w:rPr>
          <w:rFonts w:ascii="Times New Roman" w:hAnsi="Times New Roman"/>
          <w:noProof/>
          <w:sz w:val="24"/>
          <w:szCs w:val="24"/>
        </w:rPr>
        <w:t>1122</w:t>
      </w:r>
      <w:r>
        <w:rPr>
          <w:rFonts w:ascii="Times New Roman" w:hAnsi="Times New Roman"/>
          <w:noProof/>
          <w:sz w:val="24"/>
          <w:szCs w:val="24"/>
        </w:rPr>
        <w:t xml:space="preserve"> van de Commissie</w:t>
      </w:r>
      <w:r w:rsidR="001A4B9C" w:rsidRPr="00DA11F1">
        <w:rPr>
          <w:rStyle w:val="FootnoteReference"/>
          <w:rFonts w:ascii="Times New Roman" w:hAnsi="Times New Roman"/>
          <w:noProof/>
          <w:sz w:val="24"/>
          <w:szCs w:val="24"/>
        </w:rPr>
        <w:footnoteReference w:id="19"/>
      </w:r>
      <w:r>
        <w:rPr>
          <w:rFonts w:ascii="Times New Roman" w:hAnsi="Times New Roman"/>
          <w:noProof/>
          <w:sz w:val="24"/>
          <w:szCs w:val="24"/>
        </w:rPr>
        <w:t xml:space="preserve"> met succes afgerond en zijn de nieuwe functionaliteiten per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2021</w:t>
      </w:r>
      <w:r>
        <w:rPr>
          <w:rFonts w:ascii="Times New Roman" w:hAnsi="Times New Roman"/>
          <w:noProof/>
          <w:sz w:val="24"/>
          <w:szCs w:val="24"/>
        </w:rPr>
        <w:t xml:space="preserve"> beschikbaar gekomen in het EU-register.</w:t>
      </w:r>
    </w:p>
    <w:p w14:paraId="144C54C9" w14:textId="0CCCA991" w:rsidR="00131369" w:rsidRPr="00DA11F1" w:rsidRDefault="009B1524" w:rsidP="008E33DB">
      <w:pPr>
        <w:pStyle w:val="Heading1"/>
        <w:spacing w:before="0" w:after="200"/>
        <w:rPr>
          <w:noProof/>
        </w:rPr>
      </w:pPr>
      <w:bookmarkStart w:id="13" w:name="_Toc490850422"/>
      <w:bookmarkStart w:id="14" w:name="_Toc519009678"/>
      <w:bookmarkStart w:id="15" w:name="_Toc89423464"/>
      <w:r w:rsidRPr="00D4425F">
        <w:rPr>
          <w:noProof/>
        </w:rPr>
        <w:t>3</w:t>
      </w:r>
      <w:r>
        <w:rPr>
          <w:noProof/>
        </w:rPr>
        <w:t>. WERKING VAN DE KOOLSTOFMARKT</w:t>
      </w:r>
      <w:bookmarkEnd w:id="13"/>
      <w:bookmarkEnd w:id="14"/>
      <w:bookmarkEnd w:id="15"/>
    </w:p>
    <w:p w14:paraId="4F5E92BC" w14:textId="4DCC2DCB" w:rsidR="00006E10" w:rsidRPr="00DA11F1" w:rsidRDefault="009B1524" w:rsidP="008E33DB">
      <w:pPr>
        <w:pStyle w:val="Heading2"/>
        <w:spacing w:before="0" w:after="200"/>
        <w:rPr>
          <w:i w:val="0"/>
          <w:noProof/>
        </w:rPr>
      </w:pPr>
      <w:bookmarkStart w:id="16" w:name="_Toc490850423"/>
      <w:bookmarkStart w:id="17" w:name="_Toc519009679"/>
      <w:bookmarkStart w:id="18" w:name="_Toc89423465"/>
      <w:r w:rsidRPr="00D4425F">
        <w:rPr>
          <w:i w:val="0"/>
          <w:noProof/>
        </w:rPr>
        <w:t>3</w:t>
      </w:r>
      <w:r>
        <w:rPr>
          <w:i w:val="0"/>
          <w:noProof/>
        </w:rPr>
        <w:t>.</w:t>
      </w:r>
      <w:r w:rsidRPr="00D4425F">
        <w:rPr>
          <w:i w:val="0"/>
          <w:noProof/>
        </w:rPr>
        <w:t>1</w:t>
      </w:r>
      <w:r>
        <w:rPr>
          <w:i w:val="0"/>
          <w:noProof/>
        </w:rPr>
        <w:t>. Aanbod: de in omloop gebrachte emissierechten</w:t>
      </w:r>
      <w:bookmarkEnd w:id="16"/>
      <w:bookmarkEnd w:id="17"/>
      <w:bookmarkEnd w:id="18"/>
      <w:r>
        <w:rPr>
          <w:i w:val="0"/>
          <w:noProof/>
        </w:rPr>
        <w:t xml:space="preserve"> </w:t>
      </w:r>
    </w:p>
    <w:p w14:paraId="4D475B3A" w14:textId="77777777" w:rsidR="00131369" w:rsidRPr="00DA11F1" w:rsidRDefault="009B1524" w:rsidP="008E33DB">
      <w:pPr>
        <w:pStyle w:val="Heading3"/>
        <w:spacing w:before="0" w:after="200"/>
        <w:ind w:left="720"/>
        <w:rPr>
          <w:i/>
          <w:noProof/>
        </w:rPr>
      </w:pPr>
      <w:bookmarkStart w:id="19" w:name="_Toc490850424"/>
      <w:bookmarkStart w:id="20" w:name="_Toc519009680"/>
      <w:bookmarkStart w:id="21" w:name="_Toc89423466"/>
      <w:r w:rsidRPr="00D4425F">
        <w:rPr>
          <w:i/>
          <w:noProof/>
        </w:rPr>
        <w:t>3</w:t>
      </w:r>
      <w:r>
        <w:rPr>
          <w:i/>
          <w:noProof/>
        </w:rPr>
        <w:t>.</w:t>
      </w:r>
      <w:r w:rsidRPr="00D4425F">
        <w:rPr>
          <w:i/>
          <w:noProof/>
        </w:rPr>
        <w:t>1</w:t>
      </w:r>
      <w:r>
        <w:rPr>
          <w:i/>
          <w:noProof/>
        </w:rPr>
        <w:t>.</w:t>
      </w:r>
      <w:r w:rsidRPr="00D4425F">
        <w:rPr>
          <w:i/>
          <w:noProof/>
        </w:rPr>
        <w:t>1</w:t>
      </w:r>
      <w:r>
        <w:rPr>
          <w:i/>
          <w:noProof/>
        </w:rPr>
        <w:t>. Plafond</w:t>
      </w:r>
      <w:bookmarkEnd w:id="19"/>
      <w:bookmarkEnd w:id="20"/>
      <w:bookmarkEnd w:id="21"/>
    </w:p>
    <w:p w14:paraId="363D6FF5" w14:textId="7ADD8489" w:rsidR="00F81DAA" w:rsidRPr="00DA11F1" w:rsidRDefault="00E00988" w:rsidP="008E33DB">
      <w:pPr>
        <w:jc w:val="both"/>
        <w:rPr>
          <w:rFonts w:ascii="Times New Roman" w:hAnsi="Times New Roman"/>
          <w:noProof/>
          <w:sz w:val="24"/>
          <w:szCs w:val="24"/>
        </w:rPr>
      </w:pPr>
      <w:r>
        <w:rPr>
          <w:rFonts w:ascii="Times New Roman" w:hAnsi="Times New Roman"/>
          <w:noProof/>
          <w:sz w:val="24"/>
          <w:szCs w:val="24"/>
        </w:rPr>
        <w:t>Het plafond is de maximale absolute hoeveelheid broeikasgasemissies die onder het EU-ETS vallende entiteiten mogen uitstoten om ervoor te zorgen dat de emissiereductiedoelstelling van het ETS wordt gehaald, overeenkomstig het aantal emissierechten dat in een handelsperiode in omloop is gebracht. Er geldt een gemeenschappelijk, EU-overkoepelend plafond voor het gehele EU-ETS (zie aanhangsel </w:t>
      </w:r>
      <w:r w:rsidRPr="00D4425F">
        <w:rPr>
          <w:rFonts w:ascii="Times New Roman" w:hAnsi="Times New Roman"/>
          <w:noProof/>
          <w:sz w:val="24"/>
          <w:szCs w:val="24"/>
        </w:rPr>
        <w:t>2</w:t>
      </w:r>
      <w:r>
        <w:rPr>
          <w:rFonts w:ascii="Times New Roman" w:hAnsi="Times New Roman"/>
          <w:noProof/>
          <w:sz w:val="24"/>
          <w:szCs w:val="24"/>
        </w:rPr>
        <w:t xml:space="preserve"> van het werkdocument van de diensten van de Commissie bij dit verslag voor gedetailleerde informatie over het plafond). In fase </w:t>
      </w:r>
      <w:r w:rsidRPr="00D4425F">
        <w:rPr>
          <w:rFonts w:ascii="Times New Roman" w:hAnsi="Times New Roman"/>
          <w:noProof/>
          <w:sz w:val="24"/>
          <w:szCs w:val="24"/>
        </w:rPr>
        <w:t>3</w:t>
      </w:r>
      <w:r>
        <w:rPr>
          <w:rFonts w:ascii="Times New Roman" w:hAnsi="Times New Roman"/>
          <w:noProof/>
          <w:sz w:val="24"/>
          <w:szCs w:val="24"/>
        </w:rPr>
        <w:t xml:space="preserve"> van het EU-ETS (</w:t>
      </w:r>
      <w:r w:rsidRPr="00D4425F">
        <w:rPr>
          <w:rFonts w:ascii="Times New Roman" w:hAnsi="Times New Roman"/>
          <w:noProof/>
          <w:sz w:val="24"/>
          <w:szCs w:val="24"/>
        </w:rPr>
        <w:t>2013</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is het plafond elk jaar met een lineaire verminderingsfactor van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74</w:t>
      </w:r>
      <w:r>
        <w:rPr>
          <w:rFonts w:ascii="Times New Roman" w:hAnsi="Times New Roman"/>
          <w:noProof/>
          <w:sz w:val="24"/>
          <w:szCs w:val="24"/>
        </w:rPr>
        <w:t> % verlaagd, waardoor werd verzekerd dat de totale uitstoot afnam (zie punt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In fase </w:t>
      </w:r>
      <w:r w:rsidRPr="00D4425F">
        <w:rPr>
          <w:rFonts w:ascii="Times New Roman" w:hAnsi="Times New Roman"/>
          <w:noProof/>
          <w:sz w:val="24"/>
          <w:szCs w:val="24"/>
        </w:rPr>
        <w:t>4</w:t>
      </w:r>
      <w:r>
        <w:rPr>
          <w:rFonts w:ascii="Times New Roman" w:hAnsi="Times New Roman"/>
          <w:noProof/>
          <w:sz w:val="24"/>
          <w:szCs w:val="24"/>
        </w:rPr>
        <w:t xml:space="preserve"> van het EU-ETS (</w:t>
      </w:r>
      <w:r w:rsidRPr="00D4425F">
        <w:rPr>
          <w:rFonts w:ascii="Times New Roman" w:hAnsi="Times New Roman"/>
          <w:noProof/>
          <w:sz w:val="24"/>
          <w:szCs w:val="24"/>
        </w:rPr>
        <w:t>2021</w:t>
      </w:r>
      <w:r>
        <w:rPr>
          <w:rFonts w:ascii="Times New Roman" w:hAnsi="Times New Roman"/>
          <w:noProof/>
          <w:sz w:val="24"/>
          <w:szCs w:val="24"/>
        </w:rPr>
        <w:t>-</w:t>
      </w:r>
      <w:r w:rsidRPr="00D4425F">
        <w:rPr>
          <w:rFonts w:ascii="Times New Roman" w:hAnsi="Times New Roman"/>
          <w:noProof/>
          <w:sz w:val="24"/>
          <w:szCs w:val="24"/>
        </w:rPr>
        <w:t>2030</w:t>
      </w:r>
      <w:r>
        <w:rPr>
          <w:rFonts w:ascii="Times New Roman" w:hAnsi="Times New Roman"/>
          <w:noProof/>
          <w:sz w:val="24"/>
          <w:szCs w:val="24"/>
        </w:rPr>
        <w:t xml:space="preserve">) neemt het plafond voor zowel vaste installaties als de luchtvaartsector elk jaar lineair af met </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xml:space="preserve"> %. </w:t>
      </w:r>
      <w:r w:rsidR="00561BA5" w:rsidRPr="00DA11F1">
        <w:rPr>
          <w:rFonts w:ascii="Times New Roman" w:hAnsi="Times New Roman"/>
          <w:noProof/>
          <w:sz w:val="28"/>
          <w:szCs w:val="24"/>
        </w:rPr>
        <w:fldChar w:fldCharType="begin"/>
      </w:r>
      <w:r w:rsidR="00561BA5" w:rsidRPr="00DA11F1">
        <w:rPr>
          <w:rFonts w:ascii="Times New Roman" w:hAnsi="Times New Roman"/>
          <w:noProof/>
          <w:sz w:val="28"/>
          <w:szCs w:val="24"/>
        </w:rPr>
        <w:instrText xml:space="preserve"> REF  _Ref85018775 </w:instrText>
      </w:r>
      <w:r w:rsidR="008968F7" w:rsidRPr="00DA11F1">
        <w:rPr>
          <w:rFonts w:ascii="Times New Roman" w:hAnsi="Times New Roman"/>
          <w:noProof/>
          <w:sz w:val="28"/>
          <w:szCs w:val="24"/>
        </w:rPr>
        <w:instrText xml:space="preserve"> \* MERGEFORMAT </w:instrText>
      </w:r>
      <w:r w:rsidR="00561BA5" w:rsidRPr="00DA11F1">
        <w:rPr>
          <w:rFonts w:ascii="Times New Roman" w:hAnsi="Times New Roman"/>
          <w:noProof/>
          <w:sz w:val="28"/>
          <w:szCs w:val="24"/>
        </w:rPr>
        <w:fldChar w:fldCharType="separate"/>
      </w:r>
      <w:r w:rsidR="008B0254">
        <w:rPr>
          <w:rFonts w:ascii="Times New Roman" w:hAnsi="Times New Roman"/>
          <w:noProof/>
          <w:sz w:val="24"/>
        </w:rPr>
        <w:t>Tab</w:t>
      </w:r>
      <w:r w:rsidR="00561BA5" w:rsidRPr="00DA11F1">
        <w:rPr>
          <w:rFonts w:ascii="Times New Roman" w:hAnsi="Times New Roman"/>
          <w:noProof/>
          <w:sz w:val="24"/>
        </w:rPr>
        <w:t>e</w:t>
      </w:r>
      <w:r w:rsidR="008B0254">
        <w:rPr>
          <w:rFonts w:ascii="Times New Roman" w:hAnsi="Times New Roman"/>
          <w:noProof/>
          <w:sz w:val="24"/>
        </w:rPr>
        <w:t>l </w:t>
      </w:r>
      <w:r w:rsidR="00561BA5" w:rsidRPr="00D4425F">
        <w:rPr>
          <w:rFonts w:ascii="Times New Roman" w:hAnsi="Times New Roman"/>
          <w:noProof/>
          <w:sz w:val="24"/>
        </w:rPr>
        <w:t>1</w:t>
      </w:r>
      <w:r w:rsidR="00561BA5" w:rsidRPr="00DA11F1">
        <w:rPr>
          <w:rFonts w:ascii="Times New Roman" w:hAnsi="Times New Roman"/>
          <w:noProof/>
          <w:sz w:val="28"/>
          <w:szCs w:val="24"/>
        </w:rPr>
        <w:fldChar w:fldCharType="end"/>
      </w:r>
      <w:r>
        <w:rPr>
          <w:noProof/>
        </w:rPr>
        <w:t xml:space="preserve"> </w:t>
      </w:r>
      <w:r>
        <w:rPr>
          <w:rFonts w:ascii="Times New Roman" w:hAnsi="Times New Roman"/>
          <w:noProof/>
          <w:sz w:val="24"/>
          <w:szCs w:val="24"/>
        </w:rPr>
        <w:t>omvat de cijfers van het plafond voor emissies van vaste installaties en het aantal luchtvaartemissierechten dat in omloop is gebracht</w:t>
      </w:r>
      <w:r w:rsidR="009B1524" w:rsidRPr="00DA11F1">
        <w:rPr>
          <w:rStyle w:val="FootnoteReference"/>
          <w:rFonts w:ascii="Times New Roman" w:hAnsi="Times New Roman"/>
          <w:noProof/>
          <w:sz w:val="24"/>
          <w:szCs w:val="24"/>
        </w:rPr>
        <w:footnoteReference w:id="20"/>
      </w:r>
      <w:r>
        <w:rPr>
          <w:rFonts w:ascii="Times New Roman" w:hAnsi="Times New Roman"/>
          <w:noProof/>
          <w:sz w:val="24"/>
          <w:szCs w:val="24"/>
        </w:rPr>
        <w:t xml:space="preserve"> voor ieder jaar van fase </w:t>
      </w:r>
      <w:r w:rsidRPr="00D4425F">
        <w:rPr>
          <w:rFonts w:ascii="Times New Roman" w:hAnsi="Times New Roman"/>
          <w:noProof/>
          <w:sz w:val="24"/>
          <w:szCs w:val="24"/>
        </w:rPr>
        <w:t>3</w:t>
      </w:r>
      <w:r>
        <w:rPr>
          <w:rFonts w:ascii="Times New Roman" w:hAnsi="Times New Roman"/>
          <w:noProof/>
          <w:sz w:val="24"/>
          <w:szCs w:val="24"/>
        </w:rPr>
        <w:t xml:space="preserve">. </w:t>
      </w:r>
    </w:p>
    <w:p w14:paraId="4DD3FF59" w14:textId="15F726A9" w:rsidR="00A9289A" w:rsidRPr="00DA11F1" w:rsidRDefault="00A9289A" w:rsidP="008E33DB">
      <w:pPr>
        <w:pStyle w:val="Caption"/>
        <w:keepNext/>
        <w:rPr>
          <w:rFonts w:ascii="Times New Roman" w:hAnsi="Times New Roman"/>
          <w:noProof/>
          <w:sz w:val="22"/>
        </w:rPr>
      </w:pPr>
      <w:bookmarkStart w:id="22" w:name="_Ref85018775"/>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4425F">
        <w:rPr>
          <w:rFonts w:ascii="Times New Roman" w:hAnsi="Times New Roman"/>
          <w:noProof/>
          <w:sz w:val="22"/>
        </w:rPr>
        <w:t>1</w:t>
      </w:r>
      <w:r w:rsidRPr="00DA11F1">
        <w:rPr>
          <w:rFonts w:ascii="Times New Roman" w:hAnsi="Times New Roman"/>
          <w:noProof/>
          <w:sz w:val="22"/>
        </w:rPr>
        <w:fldChar w:fldCharType="end"/>
      </w:r>
      <w:bookmarkEnd w:id="22"/>
      <w:r>
        <w:rPr>
          <w:noProof/>
        </w:rPr>
        <w:t>.</w:t>
      </w:r>
      <w:r>
        <w:rPr>
          <w:rFonts w:ascii="Times New Roman" w:hAnsi="Times New Roman"/>
          <w:noProof/>
          <w:sz w:val="22"/>
        </w:rPr>
        <w:t xml:space="preserve"> EU-ETS-plafond in fase </w:t>
      </w:r>
      <w:r w:rsidRPr="00D4425F">
        <w:rPr>
          <w:rFonts w:ascii="Times New Roman" w:hAnsi="Times New Roman"/>
          <w:noProof/>
          <w:sz w:val="22"/>
        </w:rPr>
        <w:t>3</w:t>
      </w:r>
      <w:r>
        <w:rPr>
          <w:rFonts w:ascii="Times New Roman" w:hAnsi="Times New Roman"/>
          <w:noProof/>
          <w:sz w:val="22"/>
        </w:rPr>
        <w:t xml:space="preserve"> van het EU-ETS (</w:t>
      </w:r>
      <w:r w:rsidRPr="00D4425F">
        <w:rPr>
          <w:rFonts w:ascii="Times New Roman" w:hAnsi="Times New Roman"/>
          <w:noProof/>
          <w:sz w:val="22"/>
        </w:rPr>
        <w:t>2013</w:t>
      </w:r>
      <w:r>
        <w:rPr>
          <w:rFonts w:ascii="Times New Roman" w:hAnsi="Times New Roman"/>
          <w:noProof/>
          <w:sz w:val="22"/>
        </w:rPr>
        <w:t>-</w:t>
      </w:r>
      <w:r w:rsidRPr="00D4425F">
        <w:rPr>
          <w:rFonts w:ascii="Times New Roman" w:hAnsi="Times New Roman"/>
          <w:noProof/>
          <w:sz w:val="22"/>
        </w:rPr>
        <w:t>2020</w:t>
      </w:r>
      <w:r>
        <w:rPr>
          <w:rFonts w:ascii="Times New Roman" w:hAnsi="Times New Roman"/>
          <w:noProof/>
          <w:sz w:val="22"/>
        </w:rPr>
        <w:t>)</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rsidR="00131369" w:rsidRPr="00DA11F1" w14:paraId="34A125D2" w14:textId="77777777" w:rsidTr="00D24249">
        <w:trPr>
          <w:trHeight w:val="615"/>
          <w:jc w:val="center"/>
        </w:trPr>
        <w:tc>
          <w:tcPr>
            <w:tcW w:w="1994" w:type="dxa"/>
            <w:vAlign w:val="center"/>
          </w:tcPr>
          <w:p w14:paraId="06D1F290" w14:textId="5399CE89" w:rsidR="00131369" w:rsidRPr="00DA11F1" w:rsidRDefault="009B1524" w:rsidP="008E33DB">
            <w:pPr>
              <w:spacing w:after="200" w:line="276" w:lineRule="auto"/>
              <w:jc w:val="center"/>
              <w:rPr>
                <w:rFonts w:ascii="Times New Roman" w:hAnsi="Times New Roman"/>
                <w:b/>
                <w:noProof/>
              </w:rPr>
            </w:pPr>
            <w:r>
              <w:rPr>
                <w:rFonts w:ascii="Times New Roman" w:hAnsi="Times New Roman"/>
                <w:b/>
                <w:noProof/>
              </w:rPr>
              <w:t>Jaar</w:t>
            </w:r>
          </w:p>
        </w:tc>
        <w:tc>
          <w:tcPr>
            <w:tcW w:w="3207" w:type="dxa"/>
            <w:vAlign w:val="center"/>
          </w:tcPr>
          <w:p w14:paraId="3F5343FF" w14:textId="5D852561" w:rsidR="00131369" w:rsidRPr="00DA11F1" w:rsidRDefault="009B1524" w:rsidP="008E33DB">
            <w:pPr>
              <w:spacing w:after="200" w:line="276" w:lineRule="auto"/>
              <w:jc w:val="center"/>
              <w:rPr>
                <w:rFonts w:ascii="Times New Roman" w:hAnsi="Times New Roman"/>
                <w:b/>
                <w:noProof/>
              </w:rPr>
            </w:pPr>
            <w:r>
              <w:rPr>
                <w:rFonts w:ascii="Times New Roman" w:hAnsi="Times New Roman"/>
                <w:b/>
                <w:noProof/>
              </w:rPr>
              <w:t>Jaarlijks plafond (vaste installaties)</w:t>
            </w:r>
          </w:p>
        </w:tc>
        <w:tc>
          <w:tcPr>
            <w:tcW w:w="3810" w:type="dxa"/>
            <w:vAlign w:val="center"/>
          </w:tcPr>
          <w:p w14:paraId="3E7549E8" w14:textId="77777777" w:rsidR="00131369" w:rsidRPr="00DA11F1" w:rsidRDefault="009B1524" w:rsidP="008E33DB">
            <w:pPr>
              <w:spacing w:after="200" w:line="276" w:lineRule="auto"/>
              <w:jc w:val="center"/>
              <w:rPr>
                <w:rFonts w:ascii="Times New Roman" w:hAnsi="Times New Roman"/>
                <w:b/>
                <w:noProof/>
              </w:rPr>
            </w:pPr>
            <w:r>
              <w:rPr>
                <w:rFonts w:ascii="Times New Roman" w:hAnsi="Times New Roman"/>
                <w:b/>
                <w:noProof/>
              </w:rPr>
              <w:t>Jaarlijks in omloop gebrachte luchtvaartemissierechten</w:t>
            </w:r>
            <w:r w:rsidRPr="00DA11F1">
              <w:rPr>
                <w:rStyle w:val="FootnoteReference"/>
                <w:rFonts w:ascii="Times New Roman" w:hAnsi="Times New Roman"/>
                <w:b/>
                <w:noProof/>
              </w:rPr>
              <w:footnoteReference w:id="21"/>
            </w:r>
          </w:p>
        </w:tc>
      </w:tr>
      <w:tr w:rsidR="00131369" w:rsidRPr="00DA11F1" w14:paraId="7E1EABD4" w14:textId="77777777" w:rsidTr="00A51737">
        <w:trPr>
          <w:trHeight w:val="546"/>
          <w:jc w:val="center"/>
        </w:trPr>
        <w:tc>
          <w:tcPr>
            <w:tcW w:w="1994" w:type="dxa"/>
            <w:vAlign w:val="center"/>
          </w:tcPr>
          <w:p w14:paraId="704EE746" w14:textId="2A3C6EA3"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2013</w:t>
            </w:r>
          </w:p>
        </w:tc>
        <w:tc>
          <w:tcPr>
            <w:tcW w:w="3207" w:type="dxa"/>
            <w:vAlign w:val="center"/>
          </w:tcPr>
          <w:p w14:paraId="1E0B6A82" w14:textId="70318B8C"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w:t>
            </w:r>
            <w:r>
              <w:rPr>
                <w:rFonts w:ascii="Times New Roman" w:hAnsi="Times New Roman"/>
                <w:noProof/>
              </w:rPr>
              <w:t> </w:t>
            </w:r>
            <w:r w:rsidRPr="00D4425F">
              <w:rPr>
                <w:rFonts w:ascii="Times New Roman" w:hAnsi="Times New Roman"/>
                <w:noProof/>
              </w:rPr>
              <w:t>084</w:t>
            </w:r>
            <w:r>
              <w:rPr>
                <w:rFonts w:ascii="Times New Roman" w:hAnsi="Times New Roman"/>
                <w:noProof/>
              </w:rPr>
              <w:t> </w:t>
            </w:r>
            <w:r w:rsidRPr="00D4425F">
              <w:rPr>
                <w:rFonts w:ascii="Times New Roman" w:hAnsi="Times New Roman"/>
                <w:noProof/>
              </w:rPr>
              <w:t>301</w:t>
            </w:r>
            <w:r>
              <w:rPr>
                <w:rFonts w:ascii="Times New Roman" w:hAnsi="Times New Roman"/>
                <w:noProof/>
              </w:rPr>
              <w:t> </w:t>
            </w:r>
            <w:r w:rsidRPr="00D4425F">
              <w:rPr>
                <w:rFonts w:ascii="Times New Roman" w:hAnsi="Times New Roman"/>
                <w:noProof/>
              </w:rPr>
              <w:t>856</w:t>
            </w:r>
          </w:p>
        </w:tc>
        <w:tc>
          <w:tcPr>
            <w:tcW w:w="3810" w:type="dxa"/>
            <w:vAlign w:val="center"/>
          </w:tcPr>
          <w:p w14:paraId="58C7A556" w14:textId="77777777"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32</w:t>
            </w:r>
            <w:r>
              <w:rPr>
                <w:rFonts w:ascii="Times New Roman" w:hAnsi="Times New Roman"/>
                <w:noProof/>
              </w:rPr>
              <w:t> </w:t>
            </w:r>
            <w:r w:rsidRPr="00D4425F">
              <w:rPr>
                <w:rFonts w:ascii="Times New Roman" w:hAnsi="Times New Roman"/>
                <w:noProof/>
              </w:rPr>
              <w:t>455</w:t>
            </w:r>
            <w:r>
              <w:rPr>
                <w:rFonts w:ascii="Times New Roman" w:hAnsi="Times New Roman"/>
                <w:noProof/>
              </w:rPr>
              <w:t> </w:t>
            </w:r>
            <w:r w:rsidRPr="00D4425F">
              <w:rPr>
                <w:rFonts w:ascii="Times New Roman" w:hAnsi="Times New Roman"/>
                <w:noProof/>
              </w:rPr>
              <w:t>296</w:t>
            </w:r>
          </w:p>
        </w:tc>
      </w:tr>
      <w:tr w:rsidR="00131369" w:rsidRPr="00DA11F1" w14:paraId="2E09E3F1" w14:textId="77777777" w:rsidTr="00A51737">
        <w:trPr>
          <w:trHeight w:val="534"/>
          <w:jc w:val="center"/>
        </w:trPr>
        <w:tc>
          <w:tcPr>
            <w:tcW w:w="1994" w:type="dxa"/>
            <w:vAlign w:val="center"/>
          </w:tcPr>
          <w:p w14:paraId="60DB53A4" w14:textId="701FCD4A"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2014</w:t>
            </w:r>
          </w:p>
        </w:tc>
        <w:tc>
          <w:tcPr>
            <w:tcW w:w="3207" w:type="dxa"/>
            <w:vAlign w:val="center"/>
          </w:tcPr>
          <w:p w14:paraId="5924A400" w14:textId="5AA086AA"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w:t>
            </w:r>
            <w:r>
              <w:rPr>
                <w:rFonts w:ascii="Times New Roman" w:hAnsi="Times New Roman"/>
                <w:noProof/>
              </w:rPr>
              <w:t> </w:t>
            </w:r>
            <w:r w:rsidRPr="00D4425F">
              <w:rPr>
                <w:rFonts w:ascii="Times New Roman" w:hAnsi="Times New Roman"/>
                <w:noProof/>
              </w:rPr>
              <w:t>046</w:t>
            </w:r>
            <w:r>
              <w:rPr>
                <w:rFonts w:ascii="Times New Roman" w:hAnsi="Times New Roman"/>
                <w:noProof/>
              </w:rPr>
              <w:t> </w:t>
            </w:r>
            <w:r w:rsidRPr="00D4425F">
              <w:rPr>
                <w:rFonts w:ascii="Times New Roman" w:hAnsi="Times New Roman"/>
                <w:noProof/>
              </w:rPr>
              <w:t>037</w:t>
            </w:r>
            <w:r>
              <w:rPr>
                <w:rFonts w:ascii="Times New Roman" w:hAnsi="Times New Roman"/>
                <w:noProof/>
              </w:rPr>
              <w:t> </w:t>
            </w:r>
            <w:r w:rsidRPr="00D4425F">
              <w:rPr>
                <w:rFonts w:ascii="Times New Roman" w:hAnsi="Times New Roman"/>
                <w:noProof/>
              </w:rPr>
              <w:t>610</w:t>
            </w:r>
          </w:p>
        </w:tc>
        <w:tc>
          <w:tcPr>
            <w:tcW w:w="3810" w:type="dxa"/>
            <w:vAlign w:val="center"/>
          </w:tcPr>
          <w:p w14:paraId="412B1D25" w14:textId="77777777"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41</w:t>
            </w:r>
            <w:r>
              <w:rPr>
                <w:rFonts w:ascii="Times New Roman" w:hAnsi="Times New Roman"/>
                <w:noProof/>
              </w:rPr>
              <w:t> </w:t>
            </w:r>
            <w:r w:rsidRPr="00D4425F">
              <w:rPr>
                <w:rFonts w:ascii="Times New Roman" w:hAnsi="Times New Roman"/>
                <w:noProof/>
              </w:rPr>
              <w:t>866</w:t>
            </w:r>
            <w:r>
              <w:rPr>
                <w:rFonts w:ascii="Times New Roman" w:hAnsi="Times New Roman"/>
                <w:noProof/>
              </w:rPr>
              <w:t> </w:t>
            </w:r>
            <w:r w:rsidRPr="00D4425F">
              <w:rPr>
                <w:rFonts w:ascii="Times New Roman" w:hAnsi="Times New Roman"/>
                <w:noProof/>
              </w:rPr>
              <w:t>834</w:t>
            </w:r>
          </w:p>
        </w:tc>
      </w:tr>
      <w:tr w:rsidR="00131369" w:rsidRPr="00DA11F1" w14:paraId="0EA117D6" w14:textId="77777777" w:rsidTr="00A51737">
        <w:trPr>
          <w:trHeight w:val="522"/>
          <w:jc w:val="center"/>
        </w:trPr>
        <w:tc>
          <w:tcPr>
            <w:tcW w:w="1994" w:type="dxa"/>
            <w:vAlign w:val="center"/>
          </w:tcPr>
          <w:p w14:paraId="0E4EB67F" w14:textId="2F1B1115"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2015</w:t>
            </w:r>
          </w:p>
        </w:tc>
        <w:tc>
          <w:tcPr>
            <w:tcW w:w="3207" w:type="dxa"/>
            <w:vAlign w:val="center"/>
          </w:tcPr>
          <w:p w14:paraId="7CBBE705" w14:textId="17D70EEA"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w:t>
            </w:r>
            <w:r>
              <w:rPr>
                <w:rFonts w:ascii="Times New Roman" w:hAnsi="Times New Roman"/>
                <w:noProof/>
              </w:rPr>
              <w:t> </w:t>
            </w:r>
            <w:r w:rsidRPr="00D4425F">
              <w:rPr>
                <w:rFonts w:ascii="Times New Roman" w:hAnsi="Times New Roman"/>
                <w:noProof/>
              </w:rPr>
              <w:t>007</w:t>
            </w:r>
            <w:r>
              <w:rPr>
                <w:rFonts w:ascii="Times New Roman" w:hAnsi="Times New Roman"/>
                <w:noProof/>
              </w:rPr>
              <w:t> </w:t>
            </w:r>
            <w:r w:rsidRPr="00D4425F">
              <w:rPr>
                <w:rFonts w:ascii="Times New Roman" w:hAnsi="Times New Roman"/>
                <w:noProof/>
              </w:rPr>
              <w:t>773</w:t>
            </w:r>
            <w:r>
              <w:rPr>
                <w:rFonts w:ascii="Times New Roman" w:hAnsi="Times New Roman"/>
                <w:noProof/>
              </w:rPr>
              <w:t> </w:t>
            </w:r>
            <w:r w:rsidRPr="00D4425F">
              <w:rPr>
                <w:rFonts w:ascii="Times New Roman" w:hAnsi="Times New Roman"/>
                <w:noProof/>
              </w:rPr>
              <w:t>364</w:t>
            </w:r>
          </w:p>
        </w:tc>
        <w:tc>
          <w:tcPr>
            <w:tcW w:w="3810" w:type="dxa"/>
            <w:vAlign w:val="center"/>
          </w:tcPr>
          <w:p w14:paraId="7D5A5CA5" w14:textId="77777777"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50</w:t>
            </w:r>
            <w:r>
              <w:rPr>
                <w:rFonts w:ascii="Times New Roman" w:hAnsi="Times New Roman"/>
                <w:noProof/>
              </w:rPr>
              <w:t> </w:t>
            </w:r>
            <w:r w:rsidRPr="00D4425F">
              <w:rPr>
                <w:rFonts w:ascii="Times New Roman" w:hAnsi="Times New Roman"/>
                <w:noProof/>
              </w:rPr>
              <w:t>669</w:t>
            </w:r>
            <w:r>
              <w:rPr>
                <w:rFonts w:ascii="Times New Roman" w:hAnsi="Times New Roman"/>
                <w:noProof/>
              </w:rPr>
              <w:t> </w:t>
            </w:r>
            <w:r w:rsidRPr="00D4425F">
              <w:rPr>
                <w:rFonts w:ascii="Times New Roman" w:hAnsi="Times New Roman"/>
                <w:noProof/>
              </w:rPr>
              <w:t>024</w:t>
            </w:r>
          </w:p>
        </w:tc>
      </w:tr>
      <w:tr w:rsidR="00131369" w:rsidRPr="00DA11F1" w14:paraId="46BBB521" w14:textId="77777777" w:rsidTr="00A51737">
        <w:trPr>
          <w:trHeight w:val="510"/>
          <w:jc w:val="center"/>
        </w:trPr>
        <w:tc>
          <w:tcPr>
            <w:tcW w:w="1994" w:type="dxa"/>
            <w:vAlign w:val="center"/>
          </w:tcPr>
          <w:p w14:paraId="3396CFCF" w14:textId="392E2A22"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2016</w:t>
            </w:r>
          </w:p>
        </w:tc>
        <w:tc>
          <w:tcPr>
            <w:tcW w:w="3207" w:type="dxa"/>
            <w:vAlign w:val="center"/>
          </w:tcPr>
          <w:p w14:paraId="3BAF0B98" w14:textId="3CF8EA0A"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1</w:t>
            </w:r>
            <w:r>
              <w:rPr>
                <w:rFonts w:ascii="Times New Roman" w:hAnsi="Times New Roman"/>
                <w:noProof/>
              </w:rPr>
              <w:t> </w:t>
            </w:r>
            <w:r w:rsidRPr="00D4425F">
              <w:rPr>
                <w:rFonts w:ascii="Times New Roman" w:hAnsi="Times New Roman"/>
                <w:noProof/>
              </w:rPr>
              <w:t>969</w:t>
            </w:r>
            <w:r>
              <w:rPr>
                <w:rFonts w:ascii="Times New Roman" w:hAnsi="Times New Roman"/>
                <w:noProof/>
              </w:rPr>
              <w:t> </w:t>
            </w:r>
            <w:r w:rsidRPr="00D4425F">
              <w:rPr>
                <w:rFonts w:ascii="Times New Roman" w:hAnsi="Times New Roman"/>
                <w:noProof/>
              </w:rPr>
              <w:t>509</w:t>
            </w:r>
            <w:r>
              <w:rPr>
                <w:rFonts w:ascii="Times New Roman" w:hAnsi="Times New Roman"/>
                <w:noProof/>
              </w:rPr>
              <w:t> </w:t>
            </w:r>
            <w:r w:rsidRPr="00D4425F">
              <w:rPr>
                <w:rFonts w:ascii="Times New Roman" w:hAnsi="Times New Roman"/>
                <w:noProof/>
              </w:rPr>
              <w:t>118</w:t>
            </w:r>
          </w:p>
        </w:tc>
        <w:tc>
          <w:tcPr>
            <w:tcW w:w="3810" w:type="dxa"/>
            <w:vAlign w:val="center"/>
          </w:tcPr>
          <w:p w14:paraId="014B745D" w14:textId="706A3FCF"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38</w:t>
            </w:r>
            <w:r>
              <w:rPr>
                <w:rFonts w:ascii="Times New Roman" w:hAnsi="Times New Roman"/>
                <w:noProof/>
              </w:rPr>
              <w:t> </w:t>
            </w:r>
            <w:r w:rsidRPr="00D4425F">
              <w:rPr>
                <w:rFonts w:ascii="Times New Roman" w:hAnsi="Times New Roman"/>
                <w:noProof/>
              </w:rPr>
              <w:t>879</w:t>
            </w:r>
            <w:r>
              <w:rPr>
                <w:rFonts w:ascii="Times New Roman" w:hAnsi="Times New Roman"/>
                <w:noProof/>
              </w:rPr>
              <w:t> </w:t>
            </w:r>
            <w:r w:rsidRPr="00D4425F">
              <w:rPr>
                <w:rFonts w:ascii="Times New Roman" w:hAnsi="Times New Roman"/>
                <w:noProof/>
              </w:rPr>
              <w:t>316</w:t>
            </w:r>
          </w:p>
        </w:tc>
      </w:tr>
      <w:tr w:rsidR="00131369" w:rsidRPr="00DA11F1" w14:paraId="2C61FFDE" w14:textId="77777777" w:rsidTr="00A51737">
        <w:trPr>
          <w:trHeight w:val="603"/>
          <w:jc w:val="center"/>
        </w:trPr>
        <w:tc>
          <w:tcPr>
            <w:tcW w:w="1994" w:type="dxa"/>
            <w:vAlign w:val="center"/>
          </w:tcPr>
          <w:p w14:paraId="3CCD6967" w14:textId="6A502370"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2017</w:t>
            </w:r>
          </w:p>
        </w:tc>
        <w:tc>
          <w:tcPr>
            <w:tcW w:w="3207" w:type="dxa"/>
            <w:vAlign w:val="center"/>
          </w:tcPr>
          <w:p w14:paraId="2F51730E" w14:textId="5D894857"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1</w:t>
            </w:r>
            <w:r>
              <w:rPr>
                <w:rFonts w:ascii="Times New Roman" w:hAnsi="Times New Roman"/>
                <w:noProof/>
              </w:rPr>
              <w:t> </w:t>
            </w:r>
            <w:r w:rsidRPr="00D4425F">
              <w:rPr>
                <w:rFonts w:ascii="Times New Roman" w:hAnsi="Times New Roman"/>
                <w:noProof/>
              </w:rPr>
              <w:t>931</w:t>
            </w:r>
            <w:r>
              <w:rPr>
                <w:rFonts w:ascii="Times New Roman" w:hAnsi="Times New Roman"/>
                <w:noProof/>
              </w:rPr>
              <w:t> </w:t>
            </w:r>
            <w:r w:rsidRPr="00D4425F">
              <w:rPr>
                <w:rFonts w:ascii="Times New Roman" w:hAnsi="Times New Roman"/>
                <w:noProof/>
              </w:rPr>
              <w:t>244</w:t>
            </w:r>
            <w:r>
              <w:rPr>
                <w:rFonts w:ascii="Times New Roman" w:hAnsi="Times New Roman"/>
                <w:noProof/>
              </w:rPr>
              <w:t> </w:t>
            </w:r>
            <w:r w:rsidRPr="00D4425F">
              <w:rPr>
                <w:rFonts w:ascii="Times New Roman" w:hAnsi="Times New Roman"/>
                <w:noProof/>
              </w:rPr>
              <w:t>873</w:t>
            </w:r>
          </w:p>
        </w:tc>
        <w:tc>
          <w:tcPr>
            <w:tcW w:w="3810" w:type="dxa"/>
            <w:vAlign w:val="center"/>
          </w:tcPr>
          <w:p w14:paraId="3A0351B3" w14:textId="77777777"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38</w:t>
            </w:r>
            <w:r>
              <w:rPr>
                <w:rFonts w:ascii="Times New Roman" w:hAnsi="Times New Roman"/>
                <w:noProof/>
              </w:rPr>
              <w:t> </w:t>
            </w:r>
            <w:r w:rsidRPr="00D4425F">
              <w:rPr>
                <w:rFonts w:ascii="Times New Roman" w:hAnsi="Times New Roman"/>
                <w:noProof/>
              </w:rPr>
              <w:t>711</w:t>
            </w:r>
            <w:r>
              <w:rPr>
                <w:rFonts w:ascii="Times New Roman" w:hAnsi="Times New Roman"/>
                <w:noProof/>
              </w:rPr>
              <w:t> </w:t>
            </w:r>
            <w:r w:rsidRPr="00D4425F">
              <w:rPr>
                <w:rFonts w:ascii="Times New Roman" w:hAnsi="Times New Roman"/>
                <w:noProof/>
              </w:rPr>
              <w:t>651</w:t>
            </w:r>
          </w:p>
        </w:tc>
      </w:tr>
      <w:tr w:rsidR="00131369" w:rsidRPr="00DA11F1" w14:paraId="39A17954" w14:textId="77777777" w:rsidTr="00A51737">
        <w:trPr>
          <w:trHeight w:val="603"/>
          <w:jc w:val="center"/>
        </w:trPr>
        <w:tc>
          <w:tcPr>
            <w:tcW w:w="1994" w:type="dxa"/>
            <w:vAlign w:val="center"/>
          </w:tcPr>
          <w:p w14:paraId="45243A1E" w14:textId="01FC4EF4"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2018</w:t>
            </w:r>
          </w:p>
        </w:tc>
        <w:tc>
          <w:tcPr>
            <w:tcW w:w="3207" w:type="dxa"/>
            <w:vAlign w:val="center"/>
          </w:tcPr>
          <w:p w14:paraId="19D67694" w14:textId="2E040594"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1</w:t>
            </w:r>
            <w:r>
              <w:rPr>
                <w:rFonts w:ascii="Times New Roman" w:hAnsi="Times New Roman"/>
                <w:noProof/>
              </w:rPr>
              <w:t> </w:t>
            </w:r>
            <w:r w:rsidRPr="00D4425F">
              <w:rPr>
                <w:rFonts w:ascii="Times New Roman" w:hAnsi="Times New Roman"/>
                <w:noProof/>
              </w:rPr>
              <w:t>892</w:t>
            </w:r>
            <w:r>
              <w:rPr>
                <w:rFonts w:ascii="Times New Roman" w:hAnsi="Times New Roman"/>
                <w:noProof/>
              </w:rPr>
              <w:t> </w:t>
            </w:r>
            <w:r w:rsidRPr="00D4425F">
              <w:rPr>
                <w:rFonts w:ascii="Times New Roman" w:hAnsi="Times New Roman"/>
                <w:noProof/>
              </w:rPr>
              <w:t>980</w:t>
            </w:r>
            <w:r>
              <w:rPr>
                <w:rFonts w:ascii="Times New Roman" w:hAnsi="Times New Roman"/>
                <w:noProof/>
              </w:rPr>
              <w:t> </w:t>
            </w:r>
            <w:r w:rsidRPr="00D4425F">
              <w:rPr>
                <w:rFonts w:ascii="Times New Roman" w:hAnsi="Times New Roman"/>
                <w:noProof/>
              </w:rPr>
              <w:t>627</w:t>
            </w:r>
          </w:p>
        </w:tc>
        <w:tc>
          <w:tcPr>
            <w:tcW w:w="3810" w:type="dxa"/>
            <w:vAlign w:val="center"/>
          </w:tcPr>
          <w:p w14:paraId="4F743EFE" w14:textId="77777777"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38</w:t>
            </w:r>
            <w:r>
              <w:rPr>
                <w:rFonts w:ascii="Times New Roman" w:hAnsi="Times New Roman"/>
                <w:noProof/>
              </w:rPr>
              <w:t> </w:t>
            </w:r>
            <w:r w:rsidRPr="00D4425F">
              <w:rPr>
                <w:rFonts w:ascii="Times New Roman" w:hAnsi="Times New Roman"/>
                <w:noProof/>
              </w:rPr>
              <w:t>909</w:t>
            </w:r>
            <w:r>
              <w:rPr>
                <w:rFonts w:ascii="Times New Roman" w:hAnsi="Times New Roman"/>
                <w:noProof/>
              </w:rPr>
              <w:t> </w:t>
            </w:r>
            <w:r w:rsidRPr="00D4425F">
              <w:rPr>
                <w:rFonts w:ascii="Times New Roman" w:hAnsi="Times New Roman"/>
                <w:noProof/>
              </w:rPr>
              <w:t>585</w:t>
            </w:r>
          </w:p>
        </w:tc>
      </w:tr>
      <w:tr w:rsidR="00131369" w:rsidRPr="00DA11F1" w14:paraId="0C9A0078" w14:textId="77777777" w:rsidTr="00F81DAA">
        <w:trPr>
          <w:trHeight w:val="603"/>
          <w:jc w:val="center"/>
        </w:trPr>
        <w:tc>
          <w:tcPr>
            <w:tcW w:w="1994" w:type="dxa"/>
            <w:vAlign w:val="center"/>
          </w:tcPr>
          <w:p w14:paraId="77D2DD31" w14:textId="76EC58DD"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2019</w:t>
            </w:r>
          </w:p>
        </w:tc>
        <w:tc>
          <w:tcPr>
            <w:tcW w:w="3207" w:type="dxa"/>
            <w:vAlign w:val="center"/>
          </w:tcPr>
          <w:p w14:paraId="6F7C9D1B" w14:textId="19382462"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1</w:t>
            </w:r>
            <w:r>
              <w:rPr>
                <w:rFonts w:ascii="Times New Roman" w:hAnsi="Times New Roman"/>
                <w:noProof/>
              </w:rPr>
              <w:t> </w:t>
            </w:r>
            <w:r w:rsidRPr="00D4425F">
              <w:rPr>
                <w:rFonts w:ascii="Times New Roman" w:hAnsi="Times New Roman"/>
                <w:noProof/>
              </w:rPr>
              <w:t>854</w:t>
            </w:r>
            <w:r>
              <w:rPr>
                <w:rFonts w:ascii="Times New Roman" w:hAnsi="Times New Roman"/>
                <w:noProof/>
              </w:rPr>
              <w:t> </w:t>
            </w:r>
            <w:r w:rsidRPr="00D4425F">
              <w:rPr>
                <w:rFonts w:ascii="Times New Roman" w:hAnsi="Times New Roman"/>
                <w:noProof/>
              </w:rPr>
              <w:t>716</w:t>
            </w:r>
            <w:r>
              <w:rPr>
                <w:rFonts w:ascii="Times New Roman" w:hAnsi="Times New Roman"/>
                <w:noProof/>
              </w:rPr>
              <w:t> </w:t>
            </w:r>
            <w:r w:rsidRPr="00D4425F">
              <w:rPr>
                <w:rFonts w:ascii="Times New Roman" w:hAnsi="Times New Roman"/>
                <w:noProof/>
              </w:rPr>
              <w:t>381</w:t>
            </w:r>
          </w:p>
        </w:tc>
        <w:tc>
          <w:tcPr>
            <w:tcW w:w="3810" w:type="dxa"/>
            <w:vAlign w:val="center"/>
          </w:tcPr>
          <w:p w14:paraId="342BBA62" w14:textId="4CF5278F" w:rsidR="00131369" w:rsidRPr="00DA11F1" w:rsidRDefault="008157E5" w:rsidP="008E33DB">
            <w:pPr>
              <w:spacing w:after="200" w:line="276" w:lineRule="auto"/>
              <w:jc w:val="center"/>
              <w:rPr>
                <w:rFonts w:ascii="Times New Roman" w:hAnsi="Times New Roman"/>
                <w:noProof/>
                <w:color w:val="000000"/>
              </w:rPr>
            </w:pPr>
            <w:r w:rsidRPr="00D4425F">
              <w:rPr>
                <w:rFonts w:ascii="Times New Roman" w:hAnsi="Times New Roman"/>
                <w:noProof/>
                <w:color w:val="000000"/>
              </w:rPr>
              <w:t>38</w:t>
            </w:r>
            <w:r>
              <w:rPr>
                <w:rFonts w:ascii="Times New Roman" w:hAnsi="Times New Roman"/>
                <w:noProof/>
                <w:color w:val="000000"/>
              </w:rPr>
              <w:t> </w:t>
            </w:r>
            <w:r w:rsidRPr="00D4425F">
              <w:rPr>
                <w:rFonts w:ascii="Times New Roman" w:hAnsi="Times New Roman"/>
                <w:noProof/>
                <w:color w:val="000000"/>
              </w:rPr>
              <w:t>830</w:t>
            </w:r>
            <w:r>
              <w:rPr>
                <w:rFonts w:ascii="Times New Roman" w:hAnsi="Times New Roman"/>
                <w:noProof/>
                <w:color w:val="000000"/>
              </w:rPr>
              <w:t> </w:t>
            </w:r>
            <w:r w:rsidRPr="00D4425F">
              <w:rPr>
                <w:rFonts w:ascii="Times New Roman" w:hAnsi="Times New Roman"/>
                <w:noProof/>
                <w:color w:val="000000"/>
              </w:rPr>
              <w:t>950</w:t>
            </w:r>
          </w:p>
        </w:tc>
      </w:tr>
      <w:tr w:rsidR="00131369" w:rsidRPr="00DA11F1" w14:paraId="55B24EAD" w14:textId="77777777" w:rsidTr="00A51737">
        <w:trPr>
          <w:trHeight w:val="510"/>
          <w:jc w:val="center"/>
        </w:trPr>
        <w:tc>
          <w:tcPr>
            <w:tcW w:w="1994" w:type="dxa"/>
            <w:vAlign w:val="center"/>
          </w:tcPr>
          <w:p w14:paraId="1C609CF6" w14:textId="734A261B"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2020</w:t>
            </w:r>
          </w:p>
        </w:tc>
        <w:tc>
          <w:tcPr>
            <w:tcW w:w="3207" w:type="dxa"/>
            <w:vAlign w:val="center"/>
          </w:tcPr>
          <w:p w14:paraId="417243D0" w14:textId="5CDA4510" w:rsidR="00131369" w:rsidRPr="00DA11F1" w:rsidRDefault="009B1524" w:rsidP="008E33DB">
            <w:pPr>
              <w:spacing w:after="200" w:line="276" w:lineRule="auto"/>
              <w:jc w:val="center"/>
              <w:rPr>
                <w:rFonts w:ascii="Times New Roman" w:hAnsi="Times New Roman"/>
                <w:noProof/>
              </w:rPr>
            </w:pPr>
            <w:r w:rsidRPr="00D4425F">
              <w:rPr>
                <w:rFonts w:ascii="Times New Roman" w:hAnsi="Times New Roman"/>
                <w:noProof/>
              </w:rPr>
              <w:t>1</w:t>
            </w:r>
            <w:r>
              <w:rPr>
                <w:rFonts w:ascii="Times New Roman" w:hAnsi="Times New Roman"/>
                <w:noProof/>
              </w:rPr>
              <w:t> </w:t>
            </w:r>
            <w:r w:rsidRPr="00D4425F">
              <w:rPr>
                <w:rFonts w:ascii="Times New Roman" w:hAnsi="Times New Roman"/>
                <w:noProof/>
              </w:rPr>
              <w:t>816</w:t>
            </w:r>
            <w:r>
              <w:rPr>
                <w:rFonts w:ascii="Times New Roman" w:hAnsi="Times New Roman"/>
                <w:noProof/>
              </w:rPr>
              <w:t> </w:t>
            </w:r>
            <w:r w:rsidRPr="00D4425F">
              <w:rPr>
                <w:rFonts w:ascii="Times New Roman" w:hAnsi="Times New Roman"/>
                <w:noProof/>
              </w:rPr>
              <w:t>452</w:t>
            </w:r>
            <w:r>
              <w:rPr>
                <w:rFonts w:ascii="Times New Roman" w:hAnsi="Times New Roman"/>
                <w:noProof/>
              </w:rPr>
              <w:t> </w:t>
            </w:r>
            <w:r w:rsidRPr="00D4425F">
              <w:rPr>
                <w:rFonts w:ascii="Times New Roman" w:hAnsi="Times New Roman"/>
                <w:noProof/>
              </w:rPr>
              <w:t>135</w:t>
            </w:r>
          </w:p>
        </w:tc>
        <w:tc>
          <w:tcPr>
            <w:tcW w:w="3810" w:type="dxa"/>
            <w:vAlign w:val="center"/>
          </w:tcPr>
          <w:p w14:paraId="3C2E424D" w14:textId="68EA0E63" w:rsidR="00131369" w:rsidRPr="00DA11F1" w:rsidRDefault="000D1780" w:rsidP="008E33DB">
            <w:pPr>
              <w:spacing w:after="200" w:line="276" w:lineRule="auto"/>
              <w:jc w:val="center"/>
              <w:rPr>
                <w:rFonts w:ascii="Times New Roman" w:hAnsi="Times New Roman"/>
                <w:noProof/>
              </w:rPr>
            </w:pPr>
            <w:r w:rsidRPr="00D4425F">
              <w:rPr>
                <w:rFonts w:ascii="Times New Roman" w:hAnsi="Times New Roman"/>
                <w:noProof/>
              </w:rPr>
              <w:t>42</w:t>
            </w:r>
            <w:r>
              <w:rPr>
                <w:rFonts w:ascii="Times New Roman" w:hAnsi="Times New Roman"/>
                <w:noProof/>
              </w:rPr>
              <w:t> </w:t>
            </w:r>
            <w:r w:rsidRPr="00D4425F">
              <w:rPr>
                <w:rFonts w:ascii="Times New Roman" w:hAnsi="Times New Roman"/>
                <w:noProof/>
              </w:rPr>
              <w:t>803</w:t>
            </w:r>
            <w:r>
              <w:rPr>
                <w:rFonts w:ascii="Times New Roman" w:hAnsi="Times New Roman"/>
                <w:noProof/>
              </w:rPr>
              <w:t> </w:t>
            </w:r>
            <w:r w:rsidRPr="00D4425F">
              <w:rPr>
                <w:rFonts w:ascii="Times New Roman" w:hAnsi="Times New Roman"/>
                <w:noProof/>
              </w:rPr>
              <w:t>537</w:t>
            </w:r>
          </w:p>
        </w:tc>
      </w:tr>
    </w:tbl>
    <w:p w14:paraId="542C47B4" w14:textId="4684615F" w:rsidR="00131369" w:rsidRPr="00DA11F1" w:rsidRDefault="009B1524" w:rsidP="009134AF">
      <w:pPr>
        <w:spacing w:before="200"/>
        <w:jc w:val="both"/>
        <w:rPr>
          <w:rFonts w:ascii="Times New Roman" w:hAnsi="Times New Roman"/>
          <w:noProof/>
          <w:sz w:val="24"/>
          <w:szCs w:val="24"/>
        </w:rPr>
      </w:pPr>
      <w:bookmarkStart w:id="23" w:name="_Toc490850425"/>
      <w:bookmarkStart w:id="24" w:name="_Toc519009681"/>
      <w:r>
        <w:rPr>
          <w:rFonts w:ascii="Times New Roman" w:hAnsi="Times New Roman"/>
          <w:noProof/>
          <w:sz w:val="24"/>
          <w:szCs w:val="24"/>
        </w:rPr>
        <w:t xml:space="preserve">Op </w:t>
      </w:r>
      <w:r w:rsidRPr="00D4425F">
        <w:rPr>
          <w:rFonts w:ascii="Times New Roman" w:hAnsi="Times New Roman"/>
          <w:noProof/>
          <w:sz w:val="24"/>
          <w:szCs w:val="24"/>
        </w:rPr>
        <w:t>1</w:t>
      </w:r>
      <w:r>
        <w:rPr>
          <w:rFonts w:ascii="Times New Roman" w:hAnsi="Times New Roman"/>
          <w:noProof/>
          <w:sz w:val="24"/>
          <w:szCs w:val="24"/>
        </w:rPr>
        <w:t xml:space="preserve"> februari </w:t>
      </w:r>
      <w:r w:rsidRPr="00D4425F">
        <w:rPr>
          <w:rFonts w:ascii="Times New Roman" w:hAnsi="Times New Roman"/>
          <w:noProof/>
          <w:sz w:val="24"/>
          <w:szCs w:val="24"/>
        </w:rPr>
        <w:t>2020</w:t>
      </w:r>
      <w:r>
        <w:rPr>
          <w:rFonts w:ascii="Times New Roman" w:hAnsi="Times New Roman"/>
          <w:noProof/>
          <w:sz w:val="24"/>
          <w:szCs w:val="24"/>
        </w:rPr>
        <w:t xml:space="preserve"> is het akkoord inzake de terugtrekking van het Verenigd Koninkrijk uit de Europese Unie</w:t>
      </w:r>
      <w:r w:rsidRPr="00DA11F1">
        <w:rPr>
          <w:rStyle w:val="FootnoteReference"/>
          <w:rFonts w:ascii="Times New Roman" w:hAnsi="Times New Roman"/>
          <w:noProof/>
          <w:sz w:val="24"/>
          <w:szCs w:val="24"/>
        </w:rPr>
        <w:footnoteReference w:id="22"/>
      </w:r>
      <w:r>
        <w:rPr>
          <w:rFonts w:ascii="Times New Roman" w:hAnsi="Times New Roman"/>
          <w:noProof/>
          <w:sz w:val="24"/>
          <w:szCs w:val="24"/>
        </w:rPr>
        <w:t xml:space="preserve"> in werking getreden. De EU-ETS-richtlijn was tot en met </w:t>
      </w:r>
      <w:r w:rsidRPr="00D4425F">
        <w:rPr>
          <w:rFonts w:ascii="Times New Roman" w:hAnsi="Times New Roman"/>
          <w:noProof/>
          <w:sz w:val="24"/>
          <w:szCs w:val="24"/>
        </w:rPr>
        <w:t>31</w:t>
      </w:r>
      <w:r>
        <w:rPr>
          <w:rFonts w:ascii="Times New Roman" w:hAnsi="Times New Roman"/>
          <w:noProof/>
          <w:sz w:val="24"/>
          <w:szCs w:val="24"/>
        </w:rPr>
        <w:t xml:space="preserve"> december </w:t>
      </w:r>
      <w:r w:rsidRPr="00D4425F">
        <w:rPr>
          <w:rFonts w:ascii="Times New Roman" w:hAnsi="Times New Roman"/>
          <w:noProof/>
          <w:sz w:val="24"/>
          <w:szCs w:val="24"/>
        </w:rPr>
        <w:t>2020</w:t>
      </w:r>
      <w:r>
        <w:rPr>
          <w:rFonts w:ascii="Times New Roman" w:hAnsi="Times New Roman"/>
          <w:noProof/>
          <w:sz w:val="24"/>
          <w:szCs w:val="24"/>
        </w:rPr>
        <w:t xml:space="preserve"> van toepassing op het Verenigd Koninkrijk en ingevolge het protocol over Ierland en Noord-Ierland</w:t>
      </w:r>
      <w:r w:rsidRPr="00DA11F1">
        <w:rPr>
          <w:rStyle w:val="FootnoteReference"/>
          <w:rFonts w:ascii="Times New Roman" w:hAnsi="Times New Roman"/>
          <w:noProof/>
          <w:sz w:val="24"/>
          <w:szCs w:val="24"/>
        </w:rPr>
        <w:footnoteReference w:id="23"/>
      </w:r>
      <w:r>
        <w:rPr>
          <w:rFonts w:ascii="Times New Roman" w:hAnsi="Times New Roman"/>
          <w:noProof/>
          <w:sz w:val="24"/>
          <w:szCs w:val="24"/>
        </w:rPr>
        <w:t xml:space="preserve"> blijft de in Noord-Ierland gevestigde elektriciteitsopwekking met alle relevante rechten en verplichtingen onder het EU-ETS vallen. </w:t>
      </w:r>
    </w:p>
    <w:p w14:paraId="4828E735" w14:textId="6D3B7D49" w:rsidR="00124323" w:rsidRPr="00DA11F1" w:rsidRDefault="009B1524" w:rsidP="008E33DB">
      <w:pPr>
        <w:jc w:val="both"/>
        <w:rPr>
          <w:rFonts w:ascii="Times New Roman" w:hAnsi="Times New Roman"/>
          <w:noProof/>
          <w:sz w:val="24"/>
          <w:szCs w:val="24"/>
        </w:rPr>
      </w:pPr>
      <w:r>
        <w:rPr>
          <w:rFonts w:ascii="Times New Roman" w:hAnsi="Times New Roman"/>
          <w:noProof/>
          <w:sz w:val="24"/>
          <w:szCs w:val="24"/>
        </w:rPr>
        <w:t xml:space="preserve">De Commissie heeft op deze veranderingen gereageerd door op </w:t>
      </w:r>
      <w:r w:rsidRPr="00D4425F">
        <w:rPr>
          <w:rFonts w:ascii="Times New Roman" w:hAnsi="Times New Roman"/>
          <w:noProof/>
          <w:sz w:val="24"/>
          <w:szCs w:val="24"/>
        </w:rPr>
        <w:t>16</w:t>
      </w:r>
      <w:r>
        <w:rPr>
          <w:rFonts w:ascii="Times New Roman" w:hAnsi="Times New Roman"/>
          <w:noProof/>
          <w:sz w:val="24"/>
          <w:szCs w:val="24"/>
        </w:rPr>
        <w:t xml:space="preserve"> november </w:t>
      </w:r>
      <w:r w:rsidRPr="00D4425F">
        <w:rPr>
          <w:rFonts w:ascii="Times New Roman" w:hAnsi="Times New Roman"/>
          <w:noProof/>
          <w:sz w:val="24"/>
          <w:szCs w:val="24"/>
        </w:rPr>
        <w:t>2020</w:t>
      </w:r>
      <w:r>
        <w:rPr>
          <w:rFonts w:ascii="Times New Roman" w:hAnsi="Times New Roman"/>
          <w:noProof/>
          <w:sz w:val="24"/>
          <w:szCs w:val="24"/>
        </w:rPr>
        <w:t xml:space="preserve"> het besluit over de aangepaste hoeveelheid emissierechten voor de hele EU</w:t>
      </w:r>
      <w:r w:rsidR="004D276F" w:rsidRPr="00DA11F1">
        <w:rPr>
          <w:rStyle w:val="FootnoteReference"/>
          <w:rFonts w:ascii="Times New Roman" w:hAnsi="Times New Roman"/>
          <w:noProof/>
          <w:sz w:val="24"/>
          <w:szCs w:val="24"/>
        </w:rPr>
        <w:footnoteReference w:id="24"/>
      </w:r>
      <w:r>
        <w:rPr>
          <w:rFonts w:ascii="Times New Roman" w:hAnsi="Times New Roman"/>
          <w:noProof/>
          <w:sz w:val="24"/>
          <w:szCs w:val="24"/>
        </w:rPr>
        <w:t xml:space="preserve"> vast te stellen. Alleen de emissies van elektriciteitsopwekking in Noord-Ierland werden meegerekend in het geactualiseerde plafond (toegepast vanaf de referentieperiode </w:t>
      </w:r>
      <w:r w:rsidRPr="00D4425F">
        <w:rPr>
          <w:rFonts w:ascii="Times New Roman" w:hAnsi="Times New Roman"/>
          <w:noProof/>
          <w:sz w:val="24"/>
          <w:szCs w:val="24"/>
        </w:rPr>
        <w:t>2008</w:t>
      </w:r>
      <w:r>
        <w:rPr>
          <w:rFonts w:ascii="Times New Roman" w:hAnsi="Times New Roman"/>
          <w:noProof/>
          <w:sz w:val="24"/>
          <w:szCs w:val="24"/>
        </w:rPr>
        <w:t>-</w:t>
      </w:r>
      <w:r w:rsidRPr="00D4425F">
        <w:rPr>
          <w:rFonts w:ascii="Times New Roman" w:hAnsi="Times New Roman"/>
          <w:noProof/>
          <w:sz w:val="24"/>
          <w:szCs w:val="24"/>
        </w:rPr>
        <w:t>2012</w:t>
      </w:r>
      <w:r>
        <w:rPr>
          <w:rFonts w:ascii="Times New Roman" w:hAnsi="Times New Roman"/>
          <w:noProof/>
          <w:sz w:val="24"/>
          <w:szCs w:val="24"/>
        </w:rPr>
        <w:t>), waarvoor een verlaging van het plafond werd berekend in verhouding tot de emissies van het Verenigd Koninkrijk die niet meer werden meegerekend</w:t>
      </w:r>
      <w:r w:rsidR="00595C69" w:rsidRPr="00DA11F1">
        <w:rPr>
          <w:rStyle w:val="FootnoteReference"/>
          <w:rFonts w:ascii="Times New Roman" w:hAnsi="Times New Roman"/>
          <w:noProof/>
          <w:sz w:val="24"/>
          <w:szCs w:val="24"/>
        </w:rPr>
        <w:footnoteReference w:id="25"/>
      </w:r>
      <w:r>
        <w:rPr>
          <w:rFonts w:ascii="Times New Roman" w:hAnsi="Times New Roman"/>
          <w:noProof/>
          <w:sz w:val="24"/>
          <w:szCs w:val="24"/>
        </w:rPr>
        <w:t>.</w:t>
      </w:r>
    </w:p>
    <w:p w14:paraId="6A269D00" w14:textId="225229B1" w:rsidR="00131369" w:rsidRPr="00DA11F1" w:rsidRDefault="00522110" w:rsidP="008E33DB">
      <w:pPr>
        <w:jc w:val="both"/>
        <w:rPr>
          <w:rFonts w:ascii="Times New Roman" w:hAnsi="Times New Roman"/>
          <w:b/>
          <w:bCs/>
          <w:noProof/>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_Ref85019140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8B0254">
        <w:rPr>
          <w:rFonts w:ascii="Times New Roman" w:hAnsi="Times New Roman"/>
          <w:noProof/>
          <w:sz w:val="24"/>
          <w:szCs w:val="24"/>
        </w:rPr>
        <w:t>Figuur </w:t>
      </w:r>
      <w:r w:rsidR="00595C69" w:rsidRPr="00D4425F">
        <w:rPr>
          <w:rFonts w:ascii="Times New Roman" w:hAnsi="Times New Roman"/>
          <w:noProof/>
          <w:sz w:val="24"/>
          <w:szCs w:val="24"/>
        </w:rPr>
        <w:t>1</w:t>
      </w:r>
      <w:r w:rsidRPr="00DA11F1">
        <w:rPr>
          <w:rFonts w:ascii="Times New Roman" w:hAnsi="Times New Roman"/>
          <w:noProof/>
          <w:sz w:val="24"/>
          <w:szCs w:val="24"/>
        </w:rPr>
        <w:fldChar w:fldCharType="end"/>
      </w:r>
      <w:r>
        <w:rPr>
          <w:rFonts w:ascii="Times New Roman" w:hAnsi="Times New Roman"/>
          <w:noProof/>
          <w:sz w:val="24"/>
          <w:szCs w:val="24"/>
        </w:rPr>
        <w:t xml:space="preserve"> bevat een overzicht van de verlaging van het plafond na de verhoging van de lineaire verminderingsfactor tot </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xml:space="preserve"> % vanaf </w:t>
      </w:r>
      <w:r w:rsidRPr="00D4425F">
        <w:rPr>
          <w:rFonts w:ascii="Times New Roman" w:hAnsi="Times New Roman"/>
          <w:noProof/>
          <w:sz w:val="24"/>
          <w:szCs w:val="24"/>
        </w:rPr>
        <w:t>2021</w:t>
      </w:r>
      <w:r>
        <w:rPr>
          <w:rFonts w:ascii="Times New Roman" w:hAnsi="Times New Roman"/>
          <w:noProof/>
          <w:sz w:val="24"/>
          <w:szCs w:val="24"/>
        </w:rPr>
        <w:t>. Ook worden de rol van de opname in de marktstabiliteitsreserve en de gebackloade bijdragen van de marktstabiliteitsreserve gevisualiseerd (zie punt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xml:space="preserve">). De stippellijnen in de figuur geven bij benadering het effect weer van de hogere emissiereductiedoelstelling voor </w:t>
      </w:r>
      <w:r w:rsidRPr="00D4425F">
        <w:rPr>
          <w:rFonts w:ascii="Times New Roman" w:hAnsi="Times New Roman"/>
          <w:noProof/>
          <w:sz w:val="24"/>
          <w:szCs w:val="24"/>
        </w:rPr>
        <w:t>2030</w:t>
      </w:r>
      <w:r>
        <w:rPr>
          <w:rFonts w:ascii="Times New Roman" w:hAnsi="Times New Roman"/>
          <w:noProof/>
          <w:sz w:val="24"/>
          <w:szCs w:val="24"/>
        </w:rPr>
        <w:t xml:space="preserve"> zoals op </w:t>
      </w:r>
      <w:r w:rsidRPr="00D4425F">
        <w:rPr>
          <w:rFonts w:ascii="Times New Roman" w:hAnsi="Times New Roman"/>
          <w:noProof/>
          <w:sz w:val="24"/>
          <w:szCs w:val="24"/>
        </w:rPr>
        <w:t>14</w:t>
      </w:r>
      <w:r>
        <w:rPr>
          <w:rFonts w:ascii="Times New Roman" w:hAnsi="Times New Roman"/>
          <w:noProof/>
          <w:sz w:val="24"/>
          <w:szCs w:val="24"/>
        </w:rPr>
        <w:t xml:space="preserve"> juli </w:t>
      </w:r>
      <w:r w:rsidRPr="00D4425F">
        <w:rPr>
          <w:rFonts w:ascii="Times New Roman" w:hAnsi="Times New Roman"/>
          <w:noProof/>
          <w:sz w:val="24"/>
          <w:szCs w:val="24"/>
        </w:rPr>
        <w:t>2021</w:t>
      </w:r>
      <w:r>
        <w:rPr>
          <w:rFonts w:ascii="Times New Roman" w:hAnsi="Times New Roman"/>
          <w:noProof/>
          <w:sz w:val="24"/>
          <w:szCs w:val="24"/>
        </w:rPr>
        <w:t xml:space="preserve"> door de Commissie voorgesteld in het herzieningspakket om werk te maken van de Europese Green Deal.</w:t>
      </w:r>
    </w:p>
    <w:p w14:paraId="46D3F9E9" w14:textId="60EEDACC" w:rsidR="00131369" w:rsidRPr="00DA11F1" w:rsidRDefault="00131369" w:rsidP="008E33DB">
      <w:pPr>
        <w:jc w:val="both"/>
        <w:rPr>
          <w:rFonts w:ascii="Times New Roman" w:hAnsi="Times New Roman"/>
          <w:noProof/>
          <w:sz w:val="24"/>
          <w:szCs w:val="24"/>
        </w:rPr>
      </w:pPr>
    </w:p>
    <w:p w14:paraId="69301BFB" w14:textId="77777777" w:rsidR="006E039C" w:rsidRPr="00DA11F1" w:rsidRDefault="006E039C" w:rsidP="008E33DB">
      <w:pPr>
        <w:pStyle w:val="Caption"/>
        <w:keepNext/>
        <w:jc w:val="both"/>
        <w:rPr>
          <w:rFonts w:ascii="Times New Roman" w:hAnsi="Times New Roman"/>
          <w:noProof/>
          <w:sz w:val="22"/>
        </w:rPr>
        <w:sectPr w:rsidR="006E039C" w:rsidRPr="00DA11F1" w:rsidSect="006F13D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pPr>
      <w:bookmarkStart w:id="25" w:name="_Ref85019140"/>
    </w:p>
    <w:p w14:paraId="7BDB2BFE" w14:textId="1A7EF917" w:rsidR="00522110" w:rsidRPr="00DA11F1" w:rsidRDefault="00522110" w:rsidP="008E33DB">
      <w:pPr>
        <w:pStyle w:val="Caption"/>
        <w:keepNext/>
        <w:jc w:val="both"/>
        <w:rPr>
          <w:rFonts w:ascii="Times New Roman" w:hAnsi="Times New Roman"/>
          <w:noProof/>
          <w:sz w:val="22"/>
        </w:rPr>
      </w:pPr>
      <w:r>
        <w:rPr>
          <w:rFonts w:ascii="Times New Roman" w:hAnsi="Times New Roman"/>
          <w:noProof/>
          <w:sz w:val="22"/>
        </w:rPr>
        <w:t>Figuur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4425F">
        <w:rPr>
          <w:rFonts w:ascii="Times New Roman" w:hAnsi="Times New Roman"/>
          <w:noProof/>
          <w:sz w:val="22"/>
        </w:rPr>
        <w:t>1</w:t>
      </w:r>
      <w:r w:rsidR="00F2602C" w:rsidRPr="00DA11F1">
        <w:rPr>
          <w:rFonts w:ascii="Times New Roman" w:hAnsi="Times New Roman"/>
          <w:noProof/>
          <w:sz w:val="22"/>
        </w:rPr>
        <w:fldChar w:fldCharType="end"/>
      </w:r>
      <w:bookmarkEnd w:id="25"/>
      <w:r>
        <w:rPr>
          <w:rFonts w:ascii="Times New Roman" w:hAnsi="Times New Roman"/>
          <w:noProof/>
          <w:sz w:val="22"/>
        </w:rPr>
        <w:t xml:space="preserve">. Verlaging van het plafond bij toepassing van de lineaire verminderingsfactor van </w:t>
      </w:r>
      <w:r w:rsidRPr="00D4425F">
        <w:rPr>
          <w:rFonts w:ascii="Times New Roman" w:hAnsi="Times New Roman"/>
          <w:noProof/>
          <w:sz w:val="22"/>
        </w:rPr>
        <w:t>2</w:t>
      </w:r>
      <w:r>
        <w:rPr>
          <w:rFonts w:ascii="Times New Roman" w:hAnsi="Times New Roman"/>
          <w:noProof/>
          <w:sz w:val="22"/>
        </w:rPr>
        <w:t>,</w:t>
      </w:r>
      <w:r w:rsidRPr="00D4425F">
        <w:rPr>
          <w:rFonts w:ascii="Times New Roman" w:hAnsi="Times New Roman"/>
          <w:noProof/>
          <w:sz w:val="22"/>
        </w:rPr>
        <w:t>2</w:t>
      </w:r>
      <w:r>
        <w:rPr>
          <w:rFonts w:ascii="Times New Roman" w:hAnsi="Times New Roman"/>
          <w:noProof/>
          <w:sz w:val="22"/>
        </w:rPr>
        <w:t xml:space="preserve"> % vanaf </w:t>
      </w:r>
      <w:r w:rsidRPr="00D4425F">
        <w:rPr>
          <w:rFonts w:ascii="Times New Roman" w:hAnsi="Times New Roman"/>
          <w:noProof/>
          <w:sz w:val="22"/>
        </w:rPr>
        <w:t>2021</w:t>
      </w:r>
      <w:r w:rsidRPr="00DA11F1">
        <w:rPr>
          <w:rFonts w:ascii="Times New Roman" w:hAnsi="Times New Roman"/>
          <w:b w:val="0"/>
          <w:bCs w:val="0"/>
          <w:noProof/>
          <w:sz w:val="22"/>
          <w:vertAlign w:val="superscript"/>
        </w:rPr>
        <w:footnoteReference w:id="26"/>
      </w:r>
    </w:p>
    <w:p w14:paraId="7807FC93" w14:textId="67850C62" w:rsidR="00D3119A" w:rsidRPr="00DA11F1" w:rsidRDefault="00506CC2" w:rsidP="008E33DB">
      <w:pPr>
        <w:jc w:val="both"/>
        <w:rPr>
          <w:rFonts w:ascii="Times New Roman" w:hAnsi="Times New Roman"/>
          <w:noProof/>
          <w:sz w:val="24"/>
          <w:szCs w:val="24"/>
        </w:rPr>
      </w:pPr>
      <w:r w:rsidRPr="0036264C">
        <w:rPr>
          <w:noProof/>
          <w:lang w:val="en-GB" w:eastAsia="en-GB"/>
        </w:rPr>
        <w:drawing>
          <wp:inline distT="0" distB="0" distL="0" distR="0" wp14:anchorId="583CAA58" wp14:editId="0D3BB453">
            <wp:extent cx="8863330" cy="20243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63330" cy="2024380"/>
                    </a:xfrm>
                    <a:prstGeom prst="rect">
                      <a:avLst/>
                    </a:prstGeom>
                    <a:noFill/>
                    <a:ln>
                      <a:noFill/>
                    </a:ln>
                  </pic:spPr>
                </pic:pic>
              </a:graphicData>
            </a:graphic>
          </wp:inline>
        </w:drawing>
      </w:r>
    </w:p>
    <w:p w14:paraId="0214C823" w14:textId="624AF226" w:rsidR="006E039C" w:rsidRPr="00DA11F1" w:rsidRDefault="006E039C" w:rsidP="008E33DB">
      <w:pPr>
        <w:jc w:val="both"/>
        <w:rPr>
          <w:rFonts w:ascii="Times New Roman" w:hAnsi="Times New Roman"/>
          <w:noProof/>
          <w:sz w:val="24"/>
          <w:szCs w:val="24"/>
        </w:rPr>
      </w:pPr>
      <w:r>
        <w:rPr>
          <w:rFonts w:ascii="Times New Roman" w:hAnsi="Times New Roman"/>
          <w:noProof/>
          <w:sz w:val="24"/>
          <w:szCs w:val="24"/>
          <w:lang w:val="en-GB" w:eastAsia="en-GB"/>
        </w:rPr>
        <mc:AlternateContent>
          <mc:Choice Requires="wpg">
            <w:drawing>
              <wp:anchor distT="0" distB="0" distL="114300" distR="114300" simplePos="0" relativeHeight="251660288" behindDoc="0" locked="0" layoutInCell="1" allowOverlap="1" wp14:anchorId="193A379D" wp14:editId="094F3338">
                <wp:simplePos x="0" y="0"/>
                <wp:positionH relativeFrom="column">
                  <wp:posOffset>57874</wp:posOffset>
                </wp:positionH>
                <wp:positionV relativeFrom="paragraph">
                  <wp:posOffset>163750</wp:posOffset>
                </wp:positionV>
                <wp:extent cx="7020521" cy="660414"/>
                <wp:effectExtent l="57150" t="0" r="0" b="25400"/>
                <wp:wrapNone/>
                <wp:docPr id="10" name="Group 56"/>
                <wp:cNvGraphicFramePr/>
                <a:graphic xmlns:a="http://schemas.openxmlformats.org/drawingml/2006/main">
                  <a:graphicData uri="http://schemas.microsoft.com/office/word/2010/wordprocessingGroup">
                    <wpg:wgp>
                      <wpg:cNvGrpSpPr/>
                      <wpg:grpSpPr>
                        <a:xfrm>
                          <a:off x="0" y="0"/>
                          <a:ext cx="7020521" cy="660414"/>
                          <a:chOff x="0" y="0"/>
                          <a:chExt cx="7020521" cy="660414"/>
                        </a:xfrm>
                      </wpg:grpSpPr>
                      <wps:wsp>
                        <wps:cNvPr id="12" name="5-Point Star 12"/>
                        <wps:cNvSpPr/>
                        <wps:spPr>
                          <a:xfrm>
                            <a:off x="35986" y="93773"/>
                            <a:ext cx="71810" cy="71882"/>
                          </a:xfrm>
                          <a:prstGeom prst="star5">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3" name="Isosceles Triangle 13"/>
                        <wps:cNvSpPr/>
                        <wps:spPr>
                          <a:xfrm>
                            <a:off x="38653" y="304342"/>
                            <a:ext cx="66476" cy="71361"/>
                          </a:xfrm>
                          <a:prstGeom prst="triangle">
                            <a:avLst/>
                          </a:prstGeom>
                          <a:solidFill>
                            <a:srgbClr val="133176"/>
                          </a:solidFill>
                          <a:ln>
                            <a:solidFill>
                              <a:srgbClr val="133176"/>
                            </a:solidFill>
                          </a:ln>
                        </wps:spPr>
                        <wps:style>
                          <a:lnRef idx="1">
                            <a:schemeClr val="accent1"/>
                          </a:lnRef>
                          <a:fillRef idx="3">
                            <a:schemeClr val="accent1"/>
                          </a:fillRef>
                          <a:effectRef idx="2">
                            <a:schemeClr val="accent1"/>
                          </a:effectRef>
                          <a:fontRef idx="minor">
                            <a:schemeClr val="lt1"/>
                          </a:fontRef>
                        </wps:style>
                        <wps:bodyPr rtlCol="0" anchor="ctr"/>
                      </wps:wsp>
                      <wps:wsp>
                        <wps:cNvPr id="15" name="Rectangle 15"/>
                        <wps:cNvSpPr/>
                        <wps:spPr>
                          <a:xfrm>
                            <a:off x="0" y="485775"/>
                            <a:ext cx="144016" cy="104172"/>
                          </a:xfrm>
                          <a:prstGeom prst="rect">
                            <a:avLst/>
                          </a:prstGeom>
                          <a:noFill/>
                          <a:ln>
                            <a:solidFill>
                              <a:srgbClr val="133176"/>
                            </a:solidFill>
                            <a:prstDash val="sysDash"/>
                          </a:ln>
                        </wps:spPr>
                        <wps:style>
                          <a:lnRef idx="1">
                            <a:schemeClr val="accent1"/>
                          </a:lnRef>
                          <a:fillRef idx="3">
                            <a:schemeClr val="accent1"/>
                          </a:fillRef>
                          <a:effectRef idx="2">
                            <a:schemeClr val="accent1"/>
                          </a:effectRef>
                          <a:fontRef idx="minor">
                            <a:schemeClr val="lt1"/>
                          </a:fontRef>
                        </wps:style>
                        <wps:bodyPr rtlCol="0" anchor="ctr"/>
                      </wps:wsp>
                      <wps:wsp>
                        <wps:cNvPr id="17" name="TextBox 60"/>
                        <wps:cNvSpPr txBox="1"/>
                        <wps:spPr>
                          <a:xfrm>
                            <a:off x="107911" y="0"/>
                            <a:ext cx="6912610" cy="253365"/>
                          </a:xfrm>
                          <a:prstGeom prst="rect">
                            <a:avLst/>
                          </a:prstGeom>
                          <a:noFill/>
                        </wps:spPr>
                        <wps:txbx>
                          <w:txbxContent>
                            <w:p w14:paraId="7C23D0D2" w14:textId="77777777" w:rsidR="008B0254" w:rsidRPr="006E039C" w:rsidRDefault="008B0254"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Gebackloade emissierechten (totaal 900 miljoen)</w:t>
                              </w:r>
                            </w:p>
                          </w:txbxContent>
                        </wps:txbx>
                        <wps:bodyPr wrap="square" rtlCol="0">
                          <a:spAutoFit/>
                        </wps:bodyPr>
                      </wps:wsp>
                      <wps:wsp>
                        <wps:cNvPr id="18" name="TextBox 61"/>
                        <wps:cNvSpPr txBox="1"/>
                        <wps:spPr>
                          <a:xfrm>
                            <a:off x="107911" y="203525"/>
                            <a:ext cx="6912610" cy="253365"/>
                          </a:xfrm>
                          <a:prstGeom prst="rect">
                            <a:avLst/>
                          </a:prstGeom>
                          <a:noFill/>
                        </wps:spPr>
                        <wps:txbx>
                          <w:txbxContent>
                            <w:p w14:paraId="2928052A" w14:textId="4E10924E" w:rsidR="008B0254" w:rsidRPr="006E039C" w:rsidRDefault="008B0254"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Opname in de marktstabiliteitsreserve </w:t>
                              </w:r>
                            </w:p>
                          </w:txbxContent>
                        </wps:txbx>
                        <wps:bodyPr wrap="square" rtlCol="0">
                          <a:spAutoFit/>
                        </wps:bodyPr>
                      </wps:wsp>
                      <wps:wsp>
                        <wps:cNvPr id="19" name="TextBox 62"/>
                        <wps:cNvSpPr txBox="1"/>
                        <wps:spPr>
                          <a:xfrm>
                            <a:off x="107911" y="407049"/>
                            <a:ext cx="6912610" cy="253365"/>
                          </a:xfrm>
                          <a:prstGeom prst="rect">
                            <a:avLst/>
                          </a:prstGeom>
                          <a:noFill/>
                        </wps:spPr>
                        <wps:txbx>
                          <w:txbxContent>
                            <w:p w14:paraId="5E3E5EA9" w14:textId="77777777" w:rsidR="008B0254" w:rsidRPr="006E039C" w:rsidRDefault="008B0254"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Opname in / teruggave uit de marktstabiliteitsreserve, afhankelijk van het overschot op de markt</w:t>
                              </w:r>
                            </w:p>
                          </w:txbxContent>
                        </wps:txbx>
                        <wps:bodyPr wrap="square" rtlCol="0">
                          <a:spAutoFit/>
                        </wps:bodyPr>
                      </wps:wsp>
                    </wpg:wgp>
                  </a:graphicData>
                </a:graphic>
              </wp:anchor>
            </w:drawing>
          </mc:Choice>
          <mc:Fallback>
            <w:pict>
              <v:group w14:anchorId="193A379D" id="Group 56" o:spid="_x0000_s1026" style="position:absolute;left:0;text-align:left;margin-left:4.55pt;margin-top:12.9pt;width:552.8pt;height:52pt;z-index:251660288" coordsize="70205,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">
                <v:shape id="5-Point Star 12" o:spid="_x0000_s1027" style="position:absolute;left:359;top:937;width:718;height:719;visibility:visible;mso-wrap-style:square;v-text-anchor:middle" coordsize="71810,71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" path="m,27456r27429,1l35905,r8476,27457l71810,27456,49619,44425r8476,27457l35905,54913,13715,71882,22191,44425,,27456xe" fillcolor="#133176" strokecolor="#133176">
                  <v:shadow on="t" color="black" opacity="22937f" origin=",.5" offset="0,.63889mm"/>
                  <v:path arrowok="t" o:connecttype="custom" o:connectlocs="0,27456;27429,27457;35905,0;44381,27457;71810,27456;49619,44425;58095,71882;35905,54913;13715,71882;22191,44425;0,27456" o:connectangles="0,0,0,0,0,0,0,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 o:spid="_x0000_s1028" type="#_x0000_t5" style="position:absolute;left:386;top:3043;width:665;height: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" fillcolor="#133176" strokecolor="#133176">
                  <v:shadow on="t" color="black" opacity="22937f" origin=",.5" offset="0,.63889mm"/>
                </v:shape>
                <v:rect id="Rectangle 15" o:spid="_x0000_s1029" style="position:absolute;top:4857;width:1440;height:1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" filled="f" strokecolor="#133176">
                  <v:stroke dashstyle="3 1"/>
                  <v:shadow on="t" color="black" opacity="22937f" origin=",.5" offset="0,.63889mm"/>
                </v:rect>
                <v:shapetype id="_x0000_t202" coordsize="21600,21600" o:spt="202" path="m,l,21600r21600,l21600,xe">
                  <v:stroke joinstyle="miter"/>
                  <v:path gradientshapeok="t" o:connecttype="rect"/>
                </v:shapetype>
                <v:shape id="TextBox 60" o:spid="_x0000_s1030" type="#_x0000_t202" style="position:absolute;left:1079;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" filled="f" stroked="f">
                  <v:textbox style="mso-fit-shape-to-text:t">
                    <w:txbxContent>
                      <w:p w14:paraId="7C23D0D2" w14:textId="77777777" w:rsidR="008B0254" w:rsidRPr="006E039C" w:rsidRDefault="008B0254"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Gebackloade emissierechten (totaal 900 miljoen)</w:t>
                        </w:r>
                      </w:p>
                    </w:txbxContent>
                  </v:textbox>
                </v:shape>
                <v:shape id="TextBox 61" o:spid="_x0000_s1031" type="#_x0000_t202" style="position:absolute;left:1079;top:2035;width:69126;height:2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" filled="f" stroked="f">
                  <v:textbox style="mso-fit-shape-to-text:t">
                    <w:txbxContent>
                      <w:p w14:paraId="2928052A" w14:textId="4E10924E" w:rsidR="008B0254" w:rsidRPr="006E039C" w:rsidRDefault="008B0254"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 xml:space="preserve">Opname in de marktstabiliteitsreserve </w:t>
                        </w:r>
                      </w:p>
                    </w:txbxContent>
                  </v:textbox>
                </v:shape>
                <v:shape id="TextBox 62" o:spid="_x0000_s1032" type="#_x0000_t202" style="position:absolute;left:1079;top:4070;width:691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" filled="f" stroked="f">
                  <v:textbox style="mso-fit-shape-to-text:t">
                    <w:txbxContent>
                      <w:p w14:paraId="5E3E5EA9" w14:textId="77777777" w:rsidR="008B0254" w:rsidRPr="006E039C" w:rsidRDefault="008B0254" w:rsidP="006E039C">
                        <w:pPr>
                          <w:pStyle w:val="NormalWeb"/>
                          <w:spacing w:before="0" w:beforeAutospacing="0" w:after="0" w:afterAutospacing="0"/>
                          <w:textAlignment w:val="baseline"/>
                          <w:rPr>
                            <w:rFonts w:asciiTheme="minorHAnsi" w:hAnsiTheme="minorHAnsi" w:cstheme="minorHAnsi"/>
                          </w:rPr>
                        </w:pPr>
                        <w:r>
                          <w:rPr>
                            <w:rFonts w:asciiTheme="minorHAnsi" w:hAnsiTheme="minorHAnsi"/>
                            <w:color w:val="0F5494"/>
                            <w:sz w:val="21"/>
                            <w:szCs w:val="21"/>
                          </w:rPr>
                          <w:t>Opname in / teruggave uit de marktstabiliteitsreserve, afhankelijk van het overschot op de markt</w:t>
                        </w:r>
                      </w:p>
                    </w:txbxContent>
                  </v:textbox>
                </v:shape>
              </v:group>
            </w:pict>
          </mc:Fallback>
        </mc:AlternateContent>
      </w:r>
    </w:p>
    <w:p w14:paraId="3F756428" w14:textId="77777777" w:rsidR="006E039C" w:rsidRPr="00DA11F1" w:rsidRDefault="006E039C" w:rsidP="008E33DB">
      <w:pPr>
        <w:pStyle w:val="Heading3"/>
        <w:spacing w:before="0" w:after="200"/>
        <w:ind w:firstLine="720"/>
        <w:rPr>
          <w:i/>
          <w:noProof/>
        </w:rPr>
        <w:sectPr w:rsidR="006E039C" w:rsidRPr="00DA11F1" w:rsidSect="006E039C">
          <w:headerReference w:type="even" r:id="rId25"/>
          <w:headerReference w:type="default" r:id="rId26"/>
          <w:footerReference w:type="even" r:id="rId27"/>
          <w:footerReference w:type="default" r:id="rId28"/>
          <w:headerReference w:type="first" r:id="rId29"/>
          <w:footerReference w:type="first" r:id="rId30"/>
          <w:pgSz w:w="16838" w:h="11906" w:orient="landscape"/>
          <w:pgMar w:top="1440" w:right="1440" w:bottom="1440" w:left="1440" w:header="709" w:footer="709" w:gutter="0"/>
          <w:cols w:space="720"/>
          <w:docGrid w:linePitch="360"/>
        </w:sectPr>
      </w:pPr>
    </w:p>
    <w:p w14:paraId="09988246" w14:textId="75AE6C15" w:rsidR="00131369" w:rsidRPr="00DA11F1" w:rsidRDefault="009B1524" w:rsidP="008E33DB">
      <w:pPr>
        <w:pStyle w:val="Heading3"/>
        <w:spacing w:before="0" w:after="200"/>
        <w:ind w:firstLine="720"/>
        <w:rPr>
          <w:i/>
          <w:noProof/>
        </w:rPr>
      </w:pPr>
      <w:bookmarkStart w:id="26" w:name="_Toc89423467"/>
      <w:r w:rsidRPr="00D4425F">
        <w:rPr>
          <w:i/>
          <w:noProof/>
        </w:rPr>
        <w:t>3</w:t>
      </w:r>
      <w:r>
        <w:rPr>
          <w:i/>
          <w:noProof/>
        </w:rPr>
        <w:t>.</w:t>
      </w:r>
      <w:r w:rsidRPr="00D4425F">
        <w:rPr>
          <w:i/>
          <w:noProof/>
        </w:rPr>
        <w:t>1</w:t>
      </w:r>
      <w:r>
        <w:rPr>
          <w:i/>
          <w:noProof/>
        </w:rPr>
        <w:t>.</w:t>
      </w:r>
      <w:r w:rsidRPr="00D4425F">
        <w:rPr>
          <w:i/>
          <w:noProof/>
        </w:rPr>
        <w:t>2</w:t>
      </w:r>
      <w:r>
        <w:rPr>
          <w:i/>
          <w:noProof/>
        </w:rPr>
        <w:t xml:space="preserve">. </w:t>
      </w:r>
      <w:bookmarkEnd w:id="23"/>
      <w:bookmarkEnd w:id="24"/>
      <w:r>
        <w:rPr>
          <w:i/>
          <w:noProof/>
        </w:rPr>
        <w:t>Kosteloze toewijzing</w:t>
      </w:r>
      <w:bookmarkEnd w:id="26"/>
    </w:p>
    <w:p w14:paraId="4BF51444" w14:textId="3866A0C5" w:rsidR="00CA0B73" w:rsidRPr="00DA11F1" w:rsidRDefault="002D1C0C" w:rsidP="008E33DB">
      <w:pPr>
        <w:jc w:val="both"/>
        <w:rPr>
          <w:rFonts w:ascii="Times New Roman" w:hAnsi="Times New Roman"/>
          <w:noProof/>
          <w:sz w:val="24"/>
          <w:szCs w:val="24"/>
        </w:rPr>
      </w:pPr>
      <w:r>
        <w:rPr>
          <w:rFonts w:ascii="Times New Roman" w:hAnsi="Times New Roman"/>
          <w:noProof/>
          <w:sz w:val="24"/>
          <w:szCs w:val="24"/>
        </w:rPr>
        <w:t>Hoewel sinds fase </w:t>
      </w:r>
      <w:r w:rsidRPr="00D4425F">
        <w:rPr>
          <w:rFonts w:ascii="Times New Roman" w:hAnsi="Times New Roman"/>
          <w:noProof/>
          <w:sz w:val="24"/>
          <w:szCs w:val="24"/>
        </w:rPr>
        <w:t>3</w:t>
      </w:r>
      <w:r>
        <w:rPr>
          <w:rFonts w:ascii="Times New Roman" w:hAnsi="Times New Roman"/>
          <w:noProof/>
          <w:sz w:val="24"/>
          <w:szCs w:val="24"/>
        </w:rPr>
        <w:t xml:space="preserve"> in beginsel </w:t>
      </w:r>
      <w:r w:rsidRPr="00D4425F">
        <w:rPr>
          <w:rFonts w:ascii="Times New Roman" w:hAnsi="Times New Roman"/>
          <w:noProof/>
          <w:sz w:val="24"/>
          <w:szCs w:val="24"/>
        </w:rPr>
        <w:t>57</w:t>
      </w:r>
      <w:r>
        <w:rPr>
          <w:rFonts w:ascii="Times New Roman" w:hAnsi="Times New Roman"/>
          <w:noProof/>
          <w:sz w:val="24"/>
          <w:szCs w:val="24"/>
        </w:rPr>
        <w:t> % van de totale hoeveelheid emissierechten wordt verdeeld door middel van veiling, wordt een aanzienlijk aantal emissierechten kosteloos toegewezen om een antwoord te bieden op het risico van koolstoflekkage (wanneer activiteiten worden verplaatst naar niet-EU-landen met een minder ambitieus klimaatbeleid wat betreft de uitstoot van broeikasgassen, wat kan leiden tot een algehele toename van de uitstoot). De opwekking van elektriciteit kwam niet in aanmerking voor kosteloze toewijzing en de kosteloze toewijzing van emissierechten aan de industrie was gebaseerd op prestatiebenchmarks, zodat exploitanten meer worden gestimuleerd om broeikasgasemissies te verminderen en te innoveren.</w:t>
      </w:r>
    </w:p>
    <w:p w14:paraId="1034E6A0" w14:textId="2446C95A" w:rsidR="007A43A4" w:rsidRPr="00DA11F1" w:rsidRDefault="005E1F51" w:rsidP="008E33DB">
      <w:pPr>
        <w:jc w:val="both"/>
        <w:rPr>
          <w:rFonts w:ascii="Times New Roman" w:hAnsi="Times New Roman"/>
          <w:noProof/>
          <w:sz w:val="24"/>
          <w:szCs w:val="24"/>
        </w:rPr>
      </w:pPr>
      <w:r>
        <w:rPr>
          <w:rFonts w:ascii="Times New Roman" w:hAnsi="Times New Roman"/>
          <w:noProof/>
          <w:sz w:val="24"/>
          <w:szCs w:val="24"/>
        </w:rPr>
        <w:t>Aan het begin van fase </w:t>
      </w:r>
      <w:r w:rsidRPr="00D4425F">
        <w:rPr>
          <w:rFonts w:ascii="Times New Roman" w:hAnsi="Times New Roman"/>
          <w:noProof/>
          <w:sz w:val="24"/>
          <w:szCs w:val="24"/>
        </w:rPr>
        <w:t>3</w:t>
      </w:r>
      <w:r>
        <w:rPr>
          <w:rFonts w:ascii="Times New Roman" w:hAnsi="Times New Roman"/>
          <w:noProof/>
          <w:sz w:val="24"/>
          <w:szCs w:val="24"/>
        </w:rPr>
        <w:t xml:space="preserve"> werd in het EU-ETS de nieuwkomersreserve (NER) in het leven geroepen om extra kosteloze toewijzingen te verstrekken aan nieuwe industriële installaties en installaties met een aanzienlijk uitgebreide capaciteit; deze komt overeen met </w:t>
      </w:r>
      <w:r w:rsidRPr="00D4425F">
        <w:rPr>
          <w:rFonts w:ascii="Times New Roman" w:hAnsi="Times New Roman"/>
          <w:noProof/>
          <w:sz w:val="24"/>
          <w:szCs w:val="24"/>
        </w:rPr>
        <w:t>5</w:t>
      </w:r>
      <w:r>
        <w:rPr>
          <w:rFonts w:ascii="Times New Roman" w:hAnsi="Times New Roman"/>
          <w:noProof/>
          <w:sz w:val="24"/>
          <w:szCs w:val="24"/>
        </w:rPr>
        <w:t> % van het totale aantal emissierechten voor deze periode. De sectoren en subsectoren waar naar verwachting een significant risico van koolstoflekkage bestaat en die daarom een groter aandeel van de kosteloze toewijzing kregen, werden op een koolstoflekkagelijst</w:t>
      </w:r>
      <w:r w:rsidR="00E43CBA" w:rsidRPr="00DA11F1">
        <w:rPr>
          <w:rStyle w:val="FootnoteReference"/>
          <w:rFonts w:ascii="Times New Roman" w:hAnsi="Times New Roman"/>
          <w:noProof/>
          <w:sz w:val="24"/>
          <w:szCs w:val="24"/>
        </w:rPr>
        <w:footnoteReference w:id="27"/>
      </w:r>
      <w:r>
        <w:rPr>
          <w:rFonts w:ascii="Times New Roman" w:hAnsi="Times New Roman"/>
          <w:noProof/>
          <w:sz w:val="24"/>
          <w:szCs w:val="24"/>
        </w:rPr>
        <w:t xml:space="preserve"> geplaatst. Doordat de vraag naar kosteloze toewijzing het beschikbare aanbod oversteeg, werd de toewijzing voor alle installaties met hetzelfde percentage verminderd door toepassing van een transsectorale correctiefactor</w:t>
      </w:r>
      <w:r w:rsidR="00E43CBA" w:rsidRPr="00DA11F1">
        <w:rPr>
          <w:rStyle w:val="FootnoteReference"/>
          <w:rFonts w:ascii="Times New Roman" w:hAnsi="Times New Roman"/>
          <w:noProof/>
          <w:sz w:val="24"/>
          <w:szCs w:val="24"/>
        </w:rPr>
        <w:footnoteReference w:id="28"/>
      </w:r>
      <w:r>
        <w:rPr>
          <w:rFonts w:ascii="Times New Roman" w:hAnsi="Times New Roman"/>
          <w:noProof/>
          <w:sz w:val="24"/>
          <w:szCs w:val="24"/>
        </w:rPr>
        <w:t xml:space="preserve">, die in </w:t>
      </w:r>
      <w:r w:rsidRPr="00D4425F">
        <w:rPr>
          <w:rFonts w:ascii="Times New Roman" w:hAnsi="Times New Roman"/>
          <w:noProof/>
          <w:sz w:val="24"/>
          <w:szCs w:val="24"/>
        </w:rPr>
        <w:t>2017</w:t>
      </w:r>
      <w:r>
        <w:rPr>
          <w:rFonts w:ascii="Times New Roman" w:hAnsi="Times New Roman"/>
          <w:noProof/>
          <w:sz w:val="24"/>
          <w:szCs w:val="24"/>
        </w:rPr>
        <w:t xml:space="preserve"> werd herzien</w:t>
      </w:r>
      <w:r w:rsidR="008606BF" w:rsidRPr="00DA11F1">
        <w:rPr>
          <w:rStyle w:val="FootnoteReference"/>
          <w:rFonts w:ascii="Times New Roman" w:hAnsi="Times New Roman"/>
          <w:noProof/>
          <w:sz w:val="24"/>
          <w:szCs w:val="24"/>
        </w:rPr>
        <w:footnoteReference w:id="29"/>
      </w:r>
      <w:r>
        <w:rPr>
          <w:rFonts w:ascii="Times New Roman" w:hAnsi="Times New Roman"/>
          <w:noProof/>
          <w:sz w:val="24"/>
          <w:szCs w:val="24"/>
        </w:rPr>
        <w:t>. De waarden van de transsectorale correctiefactor zijn opgenomen in tabel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van aanhangsel </w:t>
      </w:r>
      <w:r w:rsidRPr="00D4425F">
        <w:rPr>
          <w:rFonts w:ascii="Times New Roman" w:hAnsi="Times New Roman"/>
          <w:noProof/>
          <w:sz w:val="24"/>
          <w:szCs w:val="24"/>
        </w:rPr>
        <w:t>3</w:t>
      </w:r>
      <w:r>
        <w:rPr>
          <w:rFonts w:ascii="Times New Roman" w:hAnsi="Times New Roman"/>
          <w:noProof/>
          <w:sz w:val="24"/>
          <w:szCs w:val="24"/>
        </w:rPr>
        <w:t xml:space="preserve"> van het begeleidende werkdocument van de diensten van de Commissie.</w:t>
      </w:r>
    </w:p>
    <w:p w14:paraId="7C0B2096" w14:textId="5BE49923" w:rsidR="00AF58CC" w:rsidRPr="00DA11F1" w:rsidRDefault="009B1524" w:rsidP="008E33DB">
      <w:pPr>
        <w:pStyle w:val="NormalWeb"/>
        <w:spacing w:before="0" w:beforeAutospacing="0" w:after="200" w:afterAutospacing="0" w:line="276" w:lineRule="auto"/>
        <w:jc w:val="both"/>
        <w:rPr>
          <w:noProof/>
        </w:rPr>
      </w:pPr>
      <w:r>
        <w:rPr>
          <w:noProof/>
        </w:rPr>
        <w:t xml:space="preserve">In de oorspronkelijke nieuwkomersreserve zaten, na aftrek van de </w:t>
      </w:r>
      <w:r w:rsidRPr="00D4425F">
        <w:rPr>
          <w:noProof/>
        </w:rPr>
        <w:t>300</w:t>
      </w:r>
      <w:r>
        <w:rPr>
          <w:noProof/>
        </w:rPr>
        <w:t> miljoen emissierechten voor het NER</w:t>
      </w:r>
      <w:r w:rsidRPr="00D4425F">
        <w:rPr>
          <w:noProof/>
        </w:rPr>
        <w:t>300</w:t>
      </w:r>
      <w:r>
        <w:rPr>
          <w:noProof/>
        </w:rPr>
        <w:t>-programma ter ondersteuning van innovatie (zie punt </w:t>
      </w:r>
      <w:r w:rsidRPr="00D4425F">
        <w:rPr>
          <w:noProof/>
        </w:rPr>
        <w:t>3</w:t>
      </w:r>
      <w:r>
        <w:rPr>
          <w:noProof/>
        </w:rPr>
        <w:t>.</w:t>
      </w:r>
      <w:r w:rsidRPr="00D4425F">
        <w:rPr>
          <w:noProof/>
        </w:rPr>
        <w:t>1</w:t>
      </w:r>
      <w:r>
        <w:rPr>
          <w:noProof/>
        </w:rPr>
        <w:t>.</w:t>
      </w:r>
      <w:r w:rsidRPr="00D4425F">
        <w:rPr>
          <w:noProof/>
        </w:rPr>
        <w:t>5</w:t>
      </w:r>
      <w:r>
        <w:rPr>
          <w:noProof/>
        </w:rPr>
        <w:t xml:space="preserve">), </w:t>
      </w:r>
      <w:r w:rsidRPr="00D4425F">
        <w:rPr>
          <w:noProof/>
        </w:rPr>
        <w:t>480</w:t>
      </w:r>
      <w:r>
        <w:rPr>
          <w:noProof/>
        </w:rPr>
        <w:t>,</w:t>
      </w:r>
      <w:r w:rsidRPr="00D4425F">
        <w:rPr>
          <w:noProof/>
        </w:rPr>
        <w:t>2</w:t>
      </w:r>
      <w:r>
        <w:rPr>
          <w:noProof/>
        </w:rPr>
        <w:t xml:space="preserve"> miljoen emissierechten. Op </w:t>
      </w:r>
      <w:r w:rsidRPr="00D4425F">
        <w:rPr>
          <w:noProof/>
        </w:rPr>
        <w:t>1</w:t>
      </w:r>
      <w:r>
        <w:rPr>
          <w:noProof/>
        </w:rPr>
        <w:t xml:space="preserve"> juni </w:t>
      </w:r>
      <w:r w:rsidRPr="00D4425F">
        <w:rPr>
          <w:noProof/>
        </w:rPr>
        <w:t>2021</w:t>
      </w:r>
      <w:r>
        <w:rPr>
          <w:noProof/>
        </w:rPr>
        <w:t xml:space="preserve"> waren </w:t>
      </w:r>
      <w:r w:rsidRPr="00D4425F">
        <w:rPr>
          <w:noProof/>
        </w:rPr>
        <w:t>178</w:t>
      </w:r>
      <w:r>
        <w:rPr>
          <w:noProof/>
        </w:rPr>
        <w:t>,</w:t>
      </w:r>
      <w:r w:rsidRPr="00D4425F">
        <w:rPr>
          <w:noProof/>
        </w:rPr>
        <w:t>3</w:t>
      </w:r>
      <w:r>
        <w:rPr>
          <w:noProof/>
        </w:rPr>
        <w:t xml:space="preserve"> miljoen emissierechten voorbehouden aan </w:t>
      </w:r>
      <w:r w:rsidRPr="00D4425F">
        <w:rPr>
          <w:noProof/>
        </w:rPr>
        <w:t>1</w:t>
      </w:r>
      <w:r>
        <w:rPr>
          <w:noProof/>
        </w:rPr>
        <w:t> </w:t>
      </w:r>
      <w:r w:rsidRPr="00D4425F">
        <w:rPr>
          <w:noProof/>
        </w:rPr>
        <w:t>392</w:t>
      </w:r>
      <w:r>
        <w:rPr>
          <w:noProof/>
        </w:rPr>
        <w:t> installaties voor de gehele duur van fase </w:t>
      </w:r>
      <w:r w:rsidRPr="00D4425F">
        <w:rPr>
          <w:noProof/>
        </w:rPr>
        <w:t>3</w:t>
      </w:r>
      <w:r>
        <w:rPr>
          <w:noProof/>
        </w:rPr>
        <w:t xml:space="preserve">. Daarom blijven er </w:t>
      </w:r>
      <w:r w:rsidRPr="00D4425F">
        <w:rPr>
          <w:noProof/>
        </w:rPr>
        <w:t>301</w:t>
      </w:r>
      <w:r>
        <w:rPr>
          <w:noProof/>
        </w:rPr>
        <w:t>,</w:t>
      </w:r>
      <w:r w:rsidRPr="00D4425F">
        <w:rPr>
          <w:noProof/>
        </w:rPr>
        <w:t>9</w:t>
      </w:r>
      <w:r>
        <w:rPr>
          <w:noProof/>
        </w:rPr>
        <w:t xml:space="preserve"> miljoen emissierechten over in de reserve. Hiervan zullen </w:t>
      </w:r>
      <w:r w:rsidRPr="00D4425F">
        <w:rPr>
          <w:noProof/>
        </w:rPr>
        <w:t>200</w:t>
      </w:r>
      <w:r>
        <w:rPr>
          <w:noProof/>
        </w:rPr>
        <w:t> miljoen emissierechten worden opgenomen in de reserve voor fase </w:t>
      </w:r>
      <w:r w:rsidRPr="00D4425F">
        <w:rPr>
          <w:noProof/>
        </w:rPr>
        <w:t>4</w:t>
      </w:r>
      <w:r>
        <w:rPr>
          <w:noProof/>
        </w:rPr>
        <w:t xml:space="preserve"> en de rest wordt in de marktstabiliteitsreserve geplaatst.</w:t>
      </w:r>
    </w:p>
    <w:p w14:paraId="273881FC" w14:textId="638BC7E7" w:rsidR="00131369" w:rsidRPr="00DA11F1" w:rsidRDefault="007446BD" w:rsidP="008E33DB">
      <w:pPr>
        <w:pStyle w:val="NormalWeb"/>
        <w:spacing w:before="0" w:beforeAutospacing="0" w:after="200" w:afterAutospacing="0" w:line="276" w:lineRule="auto"/>
        <w:jc w:val="both"/>
        <w:rPr>
          <w:noProof/>
        </w:rPr>
      </w:pPr>
      <w:r>
        <w:rPr>
          <w:noProof/>
        </w:rPr>
        <w:t>In juni </w:t>
      </w:r>
      <w:r w:rsidRPr="00D4425F">
        <w:rPr>
          <w:noProof/>
        </w:rPr>
        <w:t>2021</w:t>
      </w:r>
      <w:r>
        <w:rPr>
          <w:noProof/>
        </w:rPr>
        <w:t xml:space="preserve"> zijn de oorspronkelijk goedgekeurde kosteloze toewijzingen voor fase </w:t>
      </w:r>
      <w:r w:rsidRPr="00D4425F">
        <w:rPr>
          <w:noProof/>
        </w:rPr>
        <w:t>3</w:t>
      </w:r>
      <w:r>
        <w:rPr>
          <w:noProof/>
        </w:rPr>
        <w:t xml:space="preserve"> met ongeveer </w:t>
      </w:r>
      <w:r w:rsidRPr="00D4425F">
        <w:rPr>
          <w:noProof/>
        </w:rPr>
        <w:t>585</w:t>
      </w:r>
      <w:r>
        <w:rPr>
          <w:noProof/>
        </w:rPr>
        <w:t xml:space="preserve"> miljoen van de </w:t>
      </w:r>
      <w:r w:rsidRPr="00D4425F">
        <w:rPr>
          <w:noProof/>
        </w:rPr>
        <w:t>6</w:t>
      </w:r>
      <w:r>
        <w:rPr>
          <w:noProof/>
        </w:rPr>
        <w:t>,</w:t>
      </w:r>
      <w:r w:rsidRPr="00D4425F">
        <w:rPr>
          <w:noProof/>
        </w:rPr>
        <w:t>5</w:t>
      </w:r>
      <w:r>
        <w:rPr>
          <w:noProof/>
        </w:rPr>
        <w:t xml:space="preserve"> miljard emissierechten verminderd als gevolg van de sluiting of de verminderde productie of productiecapaciteit van bepaalde installaties. </w:t>
      </w:r>
      <w:r w:rsidR="00561BA5" w:rsidRPr="00DA11F1">
        <w:rPr>
          <w:noProof/>
        </w:rPr>
        <w:fldChar w:fldCharType="begin"/>
      </w:r>
      <w:r w:rsidR="00561BA5" w:rsidRPr="00DA11F1">
        <w:rPr>
          <w:noProof/>
        </w:rPr>
        <w:instrText xml:space="preserve"> REF _Ref85020258 </w:instrText>
      </w:r>
      <w:r w:rsidR="008968F7" w:rsidRPr="00DA11F1">
        <w:rPr>
          <w:noProof/>
        </w:rPr>
        <w:instrText xml:space="preserve"> \* MERGEFORMAT </w:instrText>
      </w:r>
      <w:r w:rsidR="00561BA5" w:rsidRPr="00DA11F1">
        <w:rPr>
          <w:noProof/>
        </w:rPr>
        <w:fldChar w:fldCharType="separate"/>
      </w:r>
      <w:r w:rsidR="008B0254">
        <w:rPr>
          <w:noProof/>
        </w:rPr>
        <w:t>Tab</w:t>
      </w:r>
      <w:r w:rsidR="00561BA5" w:rsidRPr="00DA11F1">
        <w:rPr>
          <w:noProof/>
        </w:rPr>
        <w:t>e</w:t>
      </w:r>
      <w:r w:rsidR="008B0254">
        <w:rPr>
          <w:noProof/>
        </w:rPr>
        <w:t>l </w:t>
      </w:r>
      <w:r w:rsidR="00561BA5" w:rsidRPr="00D4425F">
        <w:rPr>
          <w:noProof/>
        </w:rPr>
        <w:t>2</w:t>
      </w:r>
      <w:r w:rsidR="00561BA5" w:rsidRPr="00DA11F1">
        <w:rPr>
          <w:noProof/>
        </w:rPr>
        <w:fldChar w:fldCharType="end"/>
      </w:r>
      <w:r>
        <w:rPr>
          <w:noProof/>
        </w:rPr>
        <w:t xml:space="preserve"> bevat een overzicht van de kosteloze toewijzingen aan de industrie in fase </w:t>
      </w:r>
      <w:r w:rsidRPr="00D4425F">
        <w:rPr>
          <w:noProof/>
        </w:rPr>
        <w:t>3</w:t>
      </w:r>
      <w:r>
        <w:rPr>
          <w:noProof/>
        </w:rPr>
        <w:t xml:space="preserve">. </w:t>
      </w:r>
    </w:p>
    <w:p w14:paraId="28086E4F" w14:textId="22529B24" w:rsidR="00561BA5" w:rsidRPr="00DA11F1" w:rsidRDefault="00561BA5" w:rsidP="008E33DB">
      <w:pPr>
        <w:pStyle w:val="Caption"/>
        <w:keepNext/>
        <w:rPr>
          <w:rFonts w:ascii="Times New Roman" w:hAnsi="Times New Roman"/>
          <w:noProof/>
          <w:sz w:val="22"/>
        </w:rPr>
      </w:pPr>
      <w:bookmarkStart w:id="27" w:name="_Ref85020258"/>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4425F">
        <w:rPr>
          <w:rFonts w:ascii="Times New Roman" w:hAnsi="Times New Roman"/>
          <w:noProof/>
          <w:sz w:val="22"/>
        </w:rPr>
        <w:t>2</w:t>
      </w:r>
      <w:r w:rsidRPr="00DA11F1">
        <w:rPr>
          <w:rFonts w:ascii="Times New Roman" w:hAnsi="Times New Roman"/>
          <w:noProof/>
          <w:sz w:val="22"/>
        </w:rPr>
        <w:fldChar w:fldCharType="end"/>
      </w:r>
      <w:bookmarkEnd w:id="27"/>
      <w:r>
        <w:rPr>
          <w:noProof/>
        </w:rPr>
        <w:t>.</w:t>
      </w:r>
      <w:r>
        <w:rPr>
          <w:rFonts w:ascii="Times New Roman" w:hAnsi="Times New Roman"/>
          <w:noProof/>
          <w:sz w:val="22"/>
        </w:rPr>
        <w:t xml:space="preserve"> Emissierechten die kosteloos aan de industrie zijn toegewezen, januari </w:t>
      </w:r>
      <w:r w:rsidRPr="00D4425F">
        <w:rPr>
          <w:rFonts w:ascii="Times New Roman" w:hAnsi="Times New Roman"/>
          <w:noProof/>
          <w:sz w:val="22"/>
        </w:rPr>
        <w:t>2013</w:t>
      </w:r>
      <w:r>
        <w:rPr>
          <w:rFonts w:ascii="Times New Roman" w:hAnsi="Times New Roman"/>
          <w:noProof/>
          <w:sz w:val="22"/>
        </w:rPr>
        <w:t>-juni </w:t>
      </w:r>
      <w:r w:rsidRPr="00D4425F">
        <w:rPr>
          <w:rFonts w:ascii="Times New Roman" w:hAnsi="Times New Roman"/>
          <w:noProof/>
          <w:sz w:val="22"/>
        </w:rPr>
        <w:t>2021</w:t>
      </w:r>
      <w:r>
        <w:rPr>
          <w:rFonts w:ascii="Times New Roman" w:hAnsi="Times New Roman"/>
          <w:noProof/>
          <w:sz w:val="22"/>
        </w:rPr>
        <w:t xml:space="preserve"> (in miljoen)</w:t>
      </w:r>
      <w:r>
        <w:rPr>
          <w:rStyle w:val="FootnoteReference"/>
          <w:rFonts w:ascii="Times New Roman" w:hAnsi="Times New Roman"/>
          <w:b w:val="0"/>
          <w:noProof/>
          <w:sz w:val="22"/>
          <w:szCs w:val="22"/>
        </w:rPr>
        <w:t xml:space="preserve"> </w:t>
      </w:r>
      <w:r w:rsidRPr="00DA11F1">
        <w:rPr>
          <w:rStyle w:val="FootnoteReference"/>
          <w:rFonts w:ascii="Times New Roman" w:hAnsi="Times New Roman"/>
          <w:b w:val="0"/>
          <w:noProof/>
          <w:sz w:val="22"/>
          <w:szCs w:val="22"/>
          <w:lang w:eastAsia="en-GB"/>
        </w:rPr>
        <w:footnoteReference w:id="30"/>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83"/>
        <w:gridCol w:w="870"/>
        <w:gridCol w:w="877"/>
        <w:gridCol w:w="877"/>
        <w:gridCol w:w="877"/>
        <w:gridCol w:w="879"/>
        <w:gridCol w:w="859"/>
        <w:gridCol w:w="860"/>
        <w:gridCol w:w="860"/>
      </w:tblGrid>
      <w:tr w:rsidR="00131369" w:rsidRPr="00DA11F1" w14:paraId="23712954" w14:textId="77777777" w:rsidTr="00CD4003">
        <w:trPr>
          <w:trHeight w:val="510"/>
        </w:trPr>
        <w:tc>
          <w:tcPr>
            <w:tcW w:w="1201" w:type="pct"/>
            <w:shd w:val="clear" w:color="auto" w:fill="auto"/>
            <w:vAlign w:val="center"/>
          </w:tcPr>
          <w:p w14:paraId="4138FBB5" w14:textId="77777777" w:rsidR="00131369" w:rsidRPr="00DA11F1" w:rsidRDefault="00131369" w:rsidP="008E33DB">
            <w:pPr>
              <w:jc w:val="center"/>
              <w:rPr>
                <w:rFonts w:ascii="Times New Roman" w:hAnsi="Times New Roman"/>
                <w:b/>
                <w:noProof/>
                <w:sz w:val="20"/>
                <w:szCs w:val="20"/>
                <w:lang w:eastAsia="en-GB"/>
              </w:rPr>
            </w:pPr>
          </w:p>
        </w:tc>
        <w:tc>
          <w:tcPr>
            <w:tcW w:w="475" w:type="pct"/>
            <w:shd w:val="clear" w:color="auto" w:fill="auto"/>
            <w:vAlign w:val="center"/>
          </w:tcPr>
          <w:p w14:paraId="421D1D5B" w14:textId="77777777" w:rsidR="00131369" w:rsidRPr="00DA11F1" w:rsidRDefault="009B1524" w:rsidP="008E33DB">
            <w:pPr>
              <w:jc w:val="center"/>
              <w:rPr>
                <w:rFonts w:ascii="Times New Roman" w:hAnsi="Times New Roman"/>
                <w:b/>
                <w:noProof/>
                <w:sz w:val="20"/>
                <w:szCs w:val="20"/>
              </w:rPr>
            </w:pPr>
            <w:r w:rsidRPr="00D4425F">
              <w:rPr>
                <w:rFonts w:ascii="Times New Roman" w:hAnsi="Times New Roman"/>
                <w:b/>
                <w:noProof/>
                <w:sz w:val="20"/>
                <w:szCs w:val="20"/>
              </w:rPr>
              <w:t>2013</w:t>
            </w:r>
          </w:p>
        </w:tc>
        <w:tc>
          <w:tcPr>
            <w:tcW w:w="479" w:type="pct"/>
            <w:shd w:val="clear" w:color="auto" w:fill="auto"/>
            <w:vAlign w:val="center"/>
          </w:tcPr>
          <w:p w14:paraId="71FBF449" w14:textId="77777777" w:rsidR="00131369" w:rsidRPr="00DA11F1" w:rsidRDefault="009B1524" w:rsidP="008E33DB">
            <w:pPr>
              <w:jc w:val="center"/>
              <w:rPr>
                <w:rFonts w:ascii="Times New Roman" w:hAnsi="Times New Roman"/>
                <w:b/>
                <w:noProof/>
                <w:sz w:val="20"/>
                <w:szCs w:val="20"/>
              </w:rPr>
            </w:pPr>
            <w:r w:rsidRPr="00D4425F">
              <w:rPr>
                <w:rFonts w:ascii="Times New Roman" w:hAnsi="Times New Roman"/>
                <w:b/>
                <w:noProof/>
                <w:sz w:val="20"/>
                <w:szCs w:val="20"/>
              </w:rPr>
              <w:t>2014</w:t>
            </w:r>
          </w:p>
        </w:tc>
        <w:tc>
          <w:tcPr>
            <w:tcW w:w="479" w:type="pct"/>
            <w:vAlign w:val="center"/>
          </w:tcPr>
          <w:p w14:paraId="69D7989E" w14:textId="77777777" w:rsidR="00131369" w:rsidRPr="00DA11F1" w:rsidRDefault="009B1524" w:rsidP="008E33DB">
            <w:pPr>
              <w:jc w:val="center"/>
              <w:rPr>
                <w:rFonts w:ascii="Times New Roman" w:hAnsi="Times New Roman"/>
                <w:b/>
                <w:noProof/>
                <w:sz w:val="20"/>
                <w:szCs w:val="20"/>
              </w:rPr>
            </w:pPr>
            <w:r w:rsidRPr="00D4425F">
              <w:rPr>
                <w:rFonts w:ascii="Times New Roman" w:hAnsi="Times New Roman"/>
                <w:b/>
                <w:noProof/>
                <w:sz w:val="20"/>
                <w:szCs w:val="20"/>
              </w:rPr>
              <w:t>2015</w:t>
            </w:r>
          </w:p>
        </w:tc>
        <w:tc>
          <w:tcPr>
            <w:tcW w:w="479" w:type="pct"/>
            <w:vAlign w:val="center"/>
          </w:tcPr>
          <w:p w14:paraId="0F06C83B" w14:textId="77777777" w:rsidR="00131369" w:rsidRPr="00DA11F1" w:rsidRDefault="009B1524" w:rsidP="008E33DB">
            <w:pPr>
              <w:jc w:val="center"/>
              <w:rPr>
                <w:rFonts w:ascii="Times New Roman" w:hAnsi="Times New Roman"/>
                <w:b/>
                <w:noProof/>
                <w:sz w:val="20"/>
                <w:szCs w:val="20"/>
              </w:rPr>
            </w:pPr>
            <w:r w:rsidRPr="00D4425F">
              <w:rPr>
                <w:rFonts w:ascii="Times New Roman" w:hAnsi="Times New Roman"/>
                <w:b/>
                <w:noProof/>
                <w:sz w:val="20"/>
                <w:szCs w:val="20"/>
              </w:rPr>
              <w:t>2016</w:t>
            </w:r>
          </w:p>
        </w:tc>
        <w:tc>
          <w:tcPr>
            <w:tcW w:w="480" w:type="pct"/>
            <w:vAlign w:val="center"/>
          </w:tcPr>
          <w:p w14:paraId="123C4951" w14:textId="77777777" w:rsidR="00131369" w:rsidRPr="00DA11F1" w:rsidRDefault="009B1524" w:rsidP="008E33DB">
            <w:pPr>
              <w:jc w:val="center"/>
              <w:rPr>
                <w:rFonts w:ascii="Times New Roman" w:hAnsi="Times New Roman"/>
                <w:b/>
                <w:noProof/>
                <w:sz w:val="20"/>
                <w:szCs w:val="20"/>
              </w:rPr>
            </w:pPr>
            <w:r w:rsidRPr="00D4425F">
              <w:rPr>
                <w:rFonts w:ascii="Times New Roman" w:hAnsi="Times New Roman"/>
                <w:b/>
                <w:noProof/>
                <w:sz w:val="20"/>
                <w:szCs w:val="20"/>
              </w:rPr>
              <w:t>2017</w:t>
            </w:r>
          </w:p>
        </w:tc>
        <w:tc>
          <w:tcPr>
            <w:tcW w:w="469" w:type="pct"/>
            <w:vAlign w:val="center"/>
          </w:tcPr>
          <w:p w14:paraId="2DD55FA6" w14:textId="77777777" w:rsidR="00131369" w:rsidRPr="00DA11F1" w:rsidRDefault="009B1524" w:rsidP="008E33DB">
            <w:pPr>
              <w:jc w:val="center"/>
              <w:rPr>
                <w:rFonts w:ascii="Times New Roman" w:hAnsi="Times New Roman"/>
                <w:b/>
                <w:noProof/>
                <w:sz w:val="20"/>
                <w:szCs w:val="20"/>
                <w:highlight w:val="yellow"/>
              </w:rPr>
            </w:pPr>
            <w:r w:rsidRPr="00D4425F">
              <w:rPr>
                <w:rFonts w:ascii="Times New Roman" w:hAnsi="Times New Roman"/>
                <w:b/>
                <w:noProof/>
                <w:sz w:val="20"/>
                <w:szCs w:val="20"/>
              </w:rPr>
              <w:t>2018</w:t>
            </w:r>
          </w:p>
        </w:tc>
        <w:tc>
          <w:tcPr>
            <w:tcW w:w="469" w:type="pct"/>
            <w:vAlign w:val="center"/>
          </w:tcPr>
          <w:p w14:paraId="6DC3381F" w14:textId="77777777" w:rsidR="00131369" w:rsidRPr="00DA11F1" w:rsidRDefault="009B1524" w:rsidP="008E33DB">
            <w:pPr>
              <w:jc w:val="center"/>
              <w:rPr>
                <w:rFonts w:ascii="Times New Roman" w:hAnsi="Times New Roman"/>
                <w:b/>
                <w:noProof/>
                <w:sz w:val="20"/>
                <w:szCs w:val="20"/>
              </w:rPr>
            </w:pPr>
            <w:r w:rsidRPr="00D4425F">
              <w:rPr>
                <w:rFonts w:ascii="Times New Roman" w:hAnsi="Times New Roman"/>
                <w:b/>
                <w:noProof/>
                <w:sz w:val="20"/>
                <w:szCs w:val="20"/>
              </w:rPr>
              <w:t>2019</w:t>
            </w:r>
          </w:p>
        </w:tc>
        <w:tc>
          <w:tcPr>
            <w:tcW w:w="469" w:type="pct"/>
            <w:vAlign w:val="center"/>
          </w:tcPr>
          <w:p w14:paraId="754CEEC6" w14:textId="77777777" w:rsidR="00131369" w:rsidRPr="00DA11F1" w:rsidRDefault="009B1524" w:rsidP="008E33DB">
            <w:pPr>
              <w:jc w:val="center"/>
              <w:rPr>
                <w:rFonts w:ascii="Times New Roman" w:hAnsi="Times New Roman"/>
                <w:b/>
                <w:noProof/>
                <w:sz w:val="20"/>
                <w:szCs w:val="20"/>
              </w:rPr>
            </w:pPr>
            <w:r w:rsidRPr="00D4425F">
              <w:rPr>
                <w:rFonts w:ascii="Times New Roman" w:hAnsi="Times New Roman"/>
                <w:b/>
                <w:noProof/>
                <w:sz w:val="20"/>
                <w:szCs w:val="20"/>
              </w:rPr>
              <w:t>2020</w:t>
            </w:r>
          </w:p>
        </w:tc>
      </w:tr>
      <w:tr w:rsidR="00131369" w:rsidRPr="00DA11F1" w14:paraId="23E770DE" w14:textId="77777777" w:rsidTr="006C746A">
        <w:trPr>
          <w:trHeight w:val="1165"/>
        </w:trPr>
        <w:tc>
          <w:tcPr>
            <w:tcW w:w="1201" w:type="pct"/>
            <w:shd w:val="clear" w:color="auto" w:fill="auto"/>
            <w:vAlign w:val="center"/>
          </w:tcPr>
          <w:p w14:paraId="474B37AF" w14:textId="5ED8B1CC" w:rsidR="00131369" w:rsidRPr="00DA11F1" w:rsidRDefault="009B1524" w:rsidP="00D50EDD">
            <w:pPr>
              <w:spacing w:after="0"/>
              <w:rPr>
                <w:rFonts w:ascii="Times New Roman" w:hAnsi="Times New Roman"/>
                <w:b/>
                <w:noProof/>
                <w:sz w:val="20"/>
                <w:szCs w:val="20"/>
              </w:rPr>
            </w:pPr>
            <w:r>
              <w:rPr>
                <w:rFonts w:ascii="Times New Roman" w:hAnsi="Times New Roman"/>
                <w:b/>
                <w:noProof/>
                <w:sz w:val="20"/>
                <w:szCs w:val="20"/>
              </w:rPr>
              <w:t>Kosteloze toewijzing</w:t>
            </w:r>
            <w:r w:rsidRPr="00DA11F1">
              <w:rPr>
                <w:rFonts w:ascii="Times New Roman" w:hAnsi="Times New Roman"/>
                <w:b/>
                <w:noProof/>
                <w:sz w:val="20"/>
                <w:szCs w:val="20"/>
                <w:vertAlign w:val="superscript"/>
                <w:lang w:eastAsia="en-GB"/>
              </w:rPr>
              <w:footnoteReference w:id="31"/>
            </w:r>
            <w:r>
              <w:rPr>
                <w:rFonts w:ascii="Times New Roman" w:hAnsi="Times New Roman"/>
                <w:b/>
                <w:noProof/>
                <w:sz w:val="20"/>
                <w:szCs w:val="20"/>
              </w:rPr>
              <w:t xml:space="preserve"> </w:t>
            </w:r>
            <w:r>
              <w:rPr>
                <w:rFonts w:ascii="Times New Roman" w:hAnsi="Times New Roman"/>
                <w:b/>
                <w:noProof/>
                <w:sz w:val="20"/>
                <w:szCs w:val="20"/>
              </w:rPr>
              <w:br/>
              <w:t>(EU-</w:t>
            </w:r>
            <w:r w:rsidRPr="00D4425F">
              <w:rPr>
                <w:rFonts w:ascii="Times New Roman" w:hAnsi="Times New Roman"/>
                <w:b/>
                <w:noProof/>
                <w:sz w:val="20"/>
                <w:szCs w:val="20"/>
              </w:rPr>
              <w:t>27</w:t>
            </w:r>
            <w:r>
              <w:rPr>
                <w:rFonts w:ascii="Times New Roman" w:hAnsi="Times New Roman"/>
                <w:b/>
                <w:noProof/>
                <w:sz w:val="20"/>
                <w:szCs w:val="20"/>
              </w:rPr>
              <w:t xml:space="preserve"> + VK + IJsland, Liechtenstein en Noorwegen)</w:t>
            </w:r>
          </w:p>
        </w:tc>
        <w:tc>
          <w:tcPr>
            <w:tcW w:w="475" w:type="pct"/>
            <w:shd w:val="clear" w:color="auto" w:fill="auto"/>
            <w:vAlign w:val="center"/>
          </w:tcPr>
          <w:p w14:paraId="2BA408F2"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903</w:t>
            </w:r>
            <w:r>
              <w:rPr>
                <w:rFonts w:ascii="Times New Roman" w:hAnsi="Times New Roman"/>
                <w:noProof/>
                <w:sz w:val="20"/>
                <w:szCs w:val="20"/>
              </w:rPr>
              <w:t>,</w:t>
            </w:r>
            <w:r w:rsidRPr="00D4425F">
              <w:rPr>
                <w:rFonts w:ascii="Times New Roman" w:hAnsi="Times New Roman"/>
                <w:noProof/>
                <w:sz w:val="20"/>
                <w:szCs w:val="20"/>
              </w:rPr>
              <w:t>0</w:t>
            </w:r>
          </w:p>
        </w:tc>
        <w:tc>
          <w:tcPr>
            <w:tcW w:w="479" w:type="pct"/>
            <w:shd w:val="clear" w:color="auto" w:fill="auto"/>
            <w:vAlign w:val="center"/>
          </w:tcPr>
          <w:p w14:paraId="4EF7F39F"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874</w:t>
            </w:r>
            <w:r>
              <w:rPr>
                <w:rFonts w:ascii="Times New Roman" w:hAnsi="Times New Roman"/>
                <w:noProof/>
                <w:sz w:val="20"/>
                <w:szCs w:val="20"/>
              </w:rPr>
              <w:t>,</w:t>
            </w:r>
            <w:r w:rsidRPr="00D4425F">
              <w:rPr>
                <w:rFonts w:ascii="Times New Roman" w:hAnsi="Times New Roman"/>
                <w:noProof/>
                <w:sz w:val="20"/>
                <w:szCs w:val="20"/>
              </w:rPr>
              <w:t>8</w:t>
            </w:r>
          </w:p>
        </w:tc>
        <w:tc>
          <w:tcPr>
            <w:tcW w:w="479" w:type="pct"/>
            <w:vAlign w:val="center"/>
          </w:tcPr>
          <w:p w14:paraId="1949EE16"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847</w:t>
            </w:r>
            <w:r>
              <w:rPr>
                <w:rFonts w:ascii="Times New Roman" w:hAnsi="Times New Roman"/>
                <w:noProof/>
                <w:sz w:val="20"/>
                <w:szCs w:val="20"/>
              </w:rPr>
              <w:t>,</w:t>
            </w:r>
            <w:r w:rsidRPr="00D4425F">
              <w:rPr>
                <w:rFonts w:ascii="Times New Roman" w:hAnsi="Times New Roman"/>
                <w:noProof/>
                <w:sz w:val="20"/>
                <w:szCs w:val="20"/>
              </w:rPr>
              <w:t>6</w:t>
            </w:r>
          </w:p>
        </w:tc>
        <w:tc>
          <w:tcPr>
            <w:tcW w:w="479" w:type="pct"/>
            <w:vAlign w:val="center"/>
          </w:tcPr>
          <w:p w14:paraId="443F74DE"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821</w:t>
            </w:r>
            <w:r>
              <w:rPr>
                <w:rFonts w:ascii="Times New Roman" w:hAnsi="Times New Roman"/>
                <w:noProof/>
                <w:sz w:val="20"/>
                <w:szCs w:val="20"/>
              </w:rPr>
              <w:t>,</w:t>
            </w:r>
            <w:r w:rsidRPr="00D4425F">
              <w:rPr>
                <w:rFonts w:ascii="Times New Roman" w:hAnsi="Times New Roman"/>
                <w:noProof/>
                <w:sz w:val="20"/>
                <w:szCs w:val="20"/>
              </w:rPr>
              <w:t>3</w:t>
            </w:r>
          </w:p>
        </w:tc>
        <w:tc>
          <w:tcPr>
            <w:tcW w:w="480" w:type="pct"/>
            <w:vAlign w:val="center"/>
          </w:tcPr>
          <w:p w14:paraId="51734F4D"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796</w:t>
            </w:r>
            <w:r>
              <w:rPr>
                <w:rFonts w:ascii="Times New Roman" w:hAnsi="Times New Roman"/>
                <w:noProof/>
                <w:sz w:val="20"/>
                <w:szCs w:val="20"/>
              </w:rPr>
              <w:t>,</w:t>
            </w:r>
            <w:r w:rsidRPr="00D4425F">
              <w:rPr>
                <w:rFonts w:ascii="Times New Roman" w:hAnsi="Times New Roman"/>
                <w:noProof/>
                <w:sz w:val="20"/>
                <w:szCs w:val="20"/>
              </w:rPr>
              <w:t>2</w:t>
            </w:r>
          </w:p>
        </w:tc>
        <w:tc>
          <w:tcPr>
            <w:tcW w:w="469" w:type="pct"/>
            <w:vAlign w:val="center"/>
          </w:tcPr>
          <w:p w14:paraId="4FB610F7"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771</w:t>
            </w:r>
            <w:r>
              <w:rPr>
                <w:rFonts w:ascii="Times New Roman" w:hAnsi="Times New Roman"/>
                <w:noProof/>
                <w:sz w:val="20"/>
                <w:szCs w:val="20"/>
              </w:rPr>
              <w:t>,</w:t>
            </w:r>
            <w:r w:rsidRPr="00D4425F">
              <w:rPr>
                <w:rFonts w:ascii="Times New Roman" w:hAnsi="Times New Roman"/>
                <w:noProof/>
                <w:sz w:val="20"/>
                <w:szCs w:val="20"/>
              </w:rPr>
              <w:t>9</w:t>
            </w:r>
          </w:p>
        </w:tc>
        <w:tc>
          <w:tcPr>
            <w:tcW w:w="469" w:type="pct"/>
            <w:vAlign w:val="center"/>
          </w:tcPr>
          <w:p w14:paraId="16B5C553"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748</w:t>
            </w:r>
            <w:r>
              <w:rPr>
                <w:rFonts w:ascii="Times New Roman" w:hAnsi="Times New Roman"/>
                <w:noProof/>
                <w:sz w:val="20"/>
                <w:szCs w:val="20"/>
              </w:rPr>
              <w:t>,</w:t>
            </w:r>
            <w:r w:rsidRPr="00D4425F">
              <w:rPr>
                <w:rFonts w:ascii="Times New Roman" w:hAnsi="Times New Roman"/>
                <w:noProof/>
                <w:sz w:val="20"/>
                <w:szCs w:val="20"/>
              </w:rPr>
              <w:t>1</w:t>
            </w:r>
            <w:r w:rsidRPr="00DA11F1">
              <w:rPr>
                <w:rStyle w:val="FootnoteReference"/>
                <w:rFonts w:ascii="Times New Roman" w:hAnsi="Times New Roman"/>
                <w:noProof/>
                <w:sz w:val="20"/>
                <w:szCs w:val="20"/>
                <w:lang w:eastAsia="en-GB"/>
              </w:rPr>
              <w:footnoteReference w:id="32"/>
            </w:r>
          </w:p>
        </w:tc>
        <w:tc>
          <w:tcPr>
            <w:tcW w:w="469" w:type="pct"/>
            <w:vAlign w:val="center"/>
          </w:tcPr>
          <w:p w14:paraId="3428FFBB" w14:textId="4BFF5301"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724</w:t>
            </w:r>
            <w:r>
              <w:rPr>
                <w:rFonts w:ascii="Times New Roman" w:hAnsi="Times New Roman"/>
                <w:noProof/>
                <w:sz w:val="20"/>
                <w:szCs w:val="20"/>
              </w:rPr>
              <w:t>,</w:t>
            </w:r>
            <w:r w:rsidRPr="00D4425F">
              <w:rPr>
                <w:rFonts w:ascii="Times New Roman" w:hAnsi="Times New Roman"/>
                <w:noProof/>
                <w:sz w:val="20"/>
                <w:szCs w:val="20"/>
              </w:rPr>
              <w:t>8</w:t>
            </w:r>
          </w:p>
        </w:tc>
      </w:tr>
      <w:tr w:rsidR="00131369" w:rsidRPr="00DA11F1" w14:paraId="73EA1F85" w14:textId="77777777" w:rsidTr="006C746A">
        <w:trPr>
          <w:trHeight w:val="1172"/>
        </w:trPr>
        <w:tc>
          <w:tcPr>
            <w:tcW w:w="1201" w:type="pct"/>
            <w:shd w:val="clear" w:color="auto" w:fill="auto"/>
            <w:vAlign w:val="center"/>
          </w:tcPr>
          <w:p w14:paraId="00E1B684" w14:textId="2E0AA153" w:rsidR="00131369" w:rsidRPr="00DA11F1" w:rsidRDefault="009B1524" w:rsidP="00D50EDD">
            <w:pPr>
              <w:spacing w:after="0"/>
              <w:rPr>
                <w:rFonts w:ascii="Times New Roman" w:hAnsi="Times New Roman"/>
                <w:b/>
                <w:noProof/>
                <w:sz w:val="20"/>
                <w:szCs w:val="20"/>
              </w:rPr>
            </w:pPr>
            <w:r>
              <w:rPr>
                <w:rFonts w:ascii="Times New Roman" w:hAnsi="Times New Roman"/>
                <w:b/>
                <w:noProof/>
                <w:sz w:val="20"/>
                <w:szCs w:val="20"/>
              </w:rPr>
              <w:t>Toewijzing uit de nieuwkomersreserve (greenfieldinvesteringen en capaciteitstoenamen)</w:t>
            </w:r>
          </w:p>
        </w:tc>
        <w:tc>
          <w:tcPr>
            <w:tcW w:w="475" w:type="pct"/>
            <w:shd w:val="clear" w:color="auto" w:fill="auto"/>
            <w:vAlign w:val="center"/>
          </w:tcPr>
          <w:p w14:paraId="6E238C77"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11</w:t>
            </w:r>
            <w:r>
              <w:rPr>
                <w:rFonts w:ascii="Times New Roman" w:hAnsi="Times New Roman"/>
                <w:noProof/>
                <w:sz w:val="20"/>
                <w:szCs w:val="20"/>
              </w:rPr>
              <w:t>,</w:t>
            </w:r>
            <w:r w:rsidRPr="00D4425F">
              <w:rPr>
                <w:rFonts w:ascii="Times New Roman" w:hAnsi="Times New Roman"/>
                <w:noProof/>
                <w:sz w:val="20"/>
                <w:szCs w:val="20"/>
              </w:rPr>
              <w:t>7</w:t>
            </w:r>
          </w:p>
        </w:tc>
        <w:tc>
          <w:tcPr>
            <w:tcW w:w="479" w:type="pct"/>
            <w:shd w:val="clear" w:color="auto" w:fill="auto"/>
            <w:vAlign w:val="center"/>
          </w:tcPr>
          <w:p w14:paraId="64D09901"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15</w:t>
            </w:r>
            <w:r>
              <w:rPr>
                <w:rFonts w:ascii="Times New Roman" w:hAnsi="Times New Roman"/>
                <w:noProof/>
                <w:sz w:val="20"/>
                <w:szCs w:val="20"/>
              </w:rPr>
              <w:t>,</w:t>
            </w:r>
            <w:r w:rsidRPr="00D4425F">
              <w:rPr>
                <w:rFonts w:ascii="Times New Roman" w:hAnsi="Times New Roman"/>
                <w:noProof/>
                <w:sz w:val="20"/>
                <w:szCs w:val="20"/>
              </w:rPr>
              <w:t>2</w:t>
            </w:r>
          </w:p>
        </w:tc>
        <w:tc>
          <w:tcPr>
            <w:tcW w:w="479" w:type="pct"/>
            <w:vAlign w:val="center"/>
          </w:tcPr>
          <w:p w14:paraId="318AB6C5" w14:textId="77777777"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18</w:t>
            </w:r>
            <w:r>
              <w:rPr>
                <w:rFonts w:ascii="Times New Roman" w:hAnsi="Times New Roman"/>
                <w:noProof/>
                <w:sz w:val="20"/>
                <w:szCs w:val="20"/>
              </w:rPr>
              <w:t>,</w:t>
            </w:r>
            <w:r w:rsidRPr="00D4425F">
              <w:rPr>
                <w:rFonts w:ascii="Times New Roman" w:hAnsi="Times New Roman"/>
                <w:noProof/>
                <w:sz w:val="20"/>
                <w:szCs w:val="20"/>
              </w:rPr>
              <w:t>9</w:t>
            </w:r>
          </w:p>
        </w:tc>
        <w:tc>
          <w:tcPr>
            <w:tcW w:w="479" w:type="pct"/>
            <w:vAlign w:val="center"/>
          </w:tcPr>
          <w:p w14:paraId="319283A0" w14:textId="570CF48E"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22</w:t>
            </w:r>
            <w:r>
              <w:rPr>
                <w:rFonts w:ascii="Times New Roman" w:hAnsi="Times New Roman"/>
                <w:noProof/>
                <w:sz w:val="20"/>
                <w:szCs w:val="20"/>
              </w:rPr>
              <w:t>,</w:t>
            </w:r>
            <w:r w:rsidRPr="00D4425F">
              <w:rPr>
                <w:rFonts w:ascii="Times New Roman" w:hAnsi="Times New Roman"/>
                <w:noProof/>
                <w:sz w:val="20"/>
                <w:szCs w:val="20"/>
              </w:rPr>
              <w:t>8</w:t>
            </w:r>
          </w:p>
        </w:tc>
        <w:tc>
          <w:tcPr>
            <w:tcW w:w="480" w:type="pct"/>
            <w:vAlign w:val="center"/>
          </w:tcPr>
          <w:p w14:paraId="5CD065B8" w14:textId="270ECE7E"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24</w:t>
            </w:r>
            <w:r>
              <w:rPr>
                <w:rFonts w:ascii="Times New Roman" w:hAnsi="Times New Roman"/>
                <w:noProof/>
                <w:sz w:val="20"/>
                <w:szCs w:val="20"/>
              </w:rPr>
              <w:t>,</w:t>
            </w:r>
            <w:r w:rsidRPr="00D4425F">
              <w:rPr>
                <w:rFonts w:ascii="Times New Roman" w:hAnsi="Times New Roman"/>
                <w:noProof/>
                <w:sz w:val="20"/>
                <w:szCs w:val="20"/>
              </w:rPr>
              <w:t>6</w:t>
            </w:r>
          </w:p>
        </w:tc>
        <w:tc>
          <w:tcPr>
            <w:tcW w:w="469" w:type="pct"/>
            <w:vAlign w:val="center"/>
          </w:tcPr>
          <w:p w14:paraId="41DB2075" w14:textId="7E14889E"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26</w:t>
            </w:r>
            <w:r>
              <w:rPr>
                <w:rFonts w:ascii="Times New Roman" w:hAnsi="Times New Roman"/>
                <w:noProof/>
                <w:sz w:val="20"/>
                <w:szCs w:val="20"/>
              </w:rPr>
              <w:t>,</w:t>
            </w:r>
            <w:r w:rsidRPr="00D4425F">
              <w:rPr>
                <w:rFonts w:ascii="Times New Roman" w:hAnsi="Times New Roman"/>
                <w:noProof/>
                <w:sz w:val="20"/>
                <w:szCs w:val="20"/>
              </w:rPr>
              <w:t>9</w:t>
            </w:r>
          </w:p>
        </w:tc>
        <w:tc>
          <w:tcPr>
            <w:tcW w:w="469" w:type="pct"/>
            <w:vAlign w:val="center"/>
          </w:tcPr>
          <w:p w14:paraId="0E78EF77" w14:textId="079D276B"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29</w:t>
            </w:r>
            <w:r>
              <w:rPr>
                <w:rFonts w:ascii="Times New Roman" w:hAnsi="Times New Roman"/>
                <w:noProof/>
                <w:sz w:val="20"/>
                <w:szCs w:val="20"/>
              </w:rPr>
              <w:t>,</w:t>
            </w:r>
            <w:r w:rsidRPr="00D4425F">
              <w:rPr>
                <w:rFonts w:ascii="Times New Roman" w:hAnsi="Times New Roman"/>
                <w:noProof/>
                <w:sz w:val="20"/>
                <w:szCs w:val="20"/>
              </w:rPr>
              <w:t>1</w:t>
            </w:r>
          </w:p>
        </w:tc>
        <w:tc>
          <w:tcPr>
            <w:tcW w:w="469" w:type="pct"/>
            <w:vAlign w:val="center"/>
          </w:tcPr>
          <w:p w14:paraId="50875C3B" w14:textId="51001A3F"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28</w:t>
            </w:r>
            <w:r>
              <w:rPr>
                <w:rFonts w:ascii="Times New Roman" w:hAnsi="Times New Roman"/>
                <w:noProof/>
                <w:sz w:val="20"/>
                <w:szCs w:val="20"/>
              </w:rPr>
              <w:t>,</w:t>
            </w:r>
            <w:r w:rsidRPr="00D4425F">
              <w:rPr>
                <w:rFonts w:ascii="Times New Roman" w:hAnsi="Times New Roman"/>
                <w:noProof/>
                <w:sz w:val="20"/>
                <w:szCs w:val="20"/>
              </w:rPr>
              <w:t>9</w:t>
            </w:r>
          </w:p>
        </w:tc>
      </w:tr>
      <w:tr w:rsidR="00131369" w:rsidRPr="00DA11F1" w14:paraId="7016D9A7" w14:textId="77777777" w:rsidTr="006C746A">
        <w:trPr>
          <w:trHeight w:val="931"/>
        </w:trPr>
        <w:tc>
          <w:tcPr>
            <w:tcW w:w="1201" w:type="pct"/>
            <w:shd w:val="clear" w:color="auto" w:fill="auto"/>
            <w:vAlign w:val="center"/>
          </w:tcPr>
          <w:p w14:paraId="77C81438" w14:textId="4F8E3243" w:rsidR="00131369" w:rsidRPr="00DA11F1" w:rsidRDefault="009B1524" w:rsidP="00D50EDD">
            <w:pPr>
              <w:spacing w:after="0"/>
              <w:rPr>
                <w:rFonts w:ascii="Times New Roman" w:hAnsi="Times New Roman"/>
                <w:b/>
                <w:noProof/>
                <w:sz w:val="20"/>
                <w:szCs w:val="20"/>
              </w:rPr>
            </w:pPr>
            <w:r>
              <w:rPr>
                <w:rFonts w:ascii="Times New Roman" w:hAnsi="Times New Roman"/>
                <w:b/>
                <w:noProof/>
                <w:sz w:val="20"/>
                <w:szCs w:val="20"/>
              </w:rPr>
              <w:t>Emissierechten die niet kosteloos zijn toegewezen als gevolg van sluitingen of wijzigingen in de productie of productiecapaciteit</w:t>
            </w:r>
          </w:p>
        </w:tc>
        <w:tc>
          <w:tcPr>
            <w:tcW w:w="475" w:type="pct"/>
            <w:shd w:val="clear" w:color="auto" w:fill="auto"/>
            <w:vAlign w:val="center"/>
          </w:tcPr>
          <w:p w14:paraId="51BC9F8E" w14:textId="5389BCFC" w:rsidR="00131369" w:rsidRPr="00DA11F1" w:rsidRDefault="009B1524" w:rsidP="008E33DB">
            <w:pPr>
              <w:jc w:val="center"/>
              <w:rPr>
                <w:rFonts w:ascii="Times New Roman" w:hAnsi="Times New Roman"/>
                <w:noProof/>
                <w:sz w:val="20"/>
                <w:szCs w:val="20"/>
                <w:highlight w:val="yellow"/>
              </w:rPr>
            </w:pPr>
            <w:r w:rsidRPr="00D4425F">
              <w:rPr>
                <w:rFonts w:ascii="Times New Roman" w:hAnsi="Times New Roman"/>
                <w:noProof/>
                <w:sz w:val="20"/>
                <w:szCs w:val="20"/>
              </w:rPr>
              <w:t>41</w:t>
            </w:r>
            <w:r>
              <w:rPr>
                <w:rFonts w:ascii="Times New Roman" w:hAnsi="Times New Roman"/>
                <w:noProof/>
                <w:sz w:val="20"/>
                <w:szCs w:val="20"/>
              </w:rPr>
              <w:t>,</w:t>
            </w:r>
            <w:r w:rsidRPr="00D4425F">
              <w:rPr>
                <w:rFonts w:ascii="Times New Roman" w:hAnsi="Times New Roman"/>
                <w:noProof/>
                <w:sz w:val="20"/>
                <w:szCs w:val="20"/>
              </w:rPr>
              <w:t>9</w:t>
            </w:r>
          </w:p>
        </w:tc>
        <w:tc>
          <w:tcPr>
            <w:tcW w:w="479" w:type="pct"/>
            <w:shd w:val="clear" w:color="auto" w:fill="auto"/>
            <w:vAlign w:val="center"/>
          </w:tcPr>
          <w:p w14:paraId="4C41E420" w14:textId="096FDBA4" w:rsidR="00131369" w:rsidRPr="00DA11F1" w:rsidRDefault="001F5D15" w:rsidP="008E33DB">
            <w:pPr>
              <w:jc w:val="center"/>
              <w:rPr>
                <w:rFonts w:ascii="Times New Roman" w:hAnsi="Times New Roman"/>
                <w:noProof/>
                <w:sz w:val="20"/>
                <w:szCs w:val="20"/>
              </w:rPr>
            </w:pPr>
            <w:r w:rsidRPr="00D4425F">
              <w:rPr>
                <w:rFonts w:ascii="Times New Roman" w:hAnsi="Times New Roman"/>
                <w:noProof/>
                <w:sz w:val="20"/>
                <w:szCs w:val="20"/>
              </w:rPr>
              <w:t>61</w:t>
            </w:r>
            <w:r>
              <w:rPr>
                <w:rFonts w:ascii="Times New Roman" w:hAnsi="Times New Roman"/>
                <w:noProof/>
                <w:sz w:val="20"/>
                <w:szCs w:val="20"/>
              </w:rPr>
              <w:t>,</w:t>
            </w:r>
            <w:r w:rsidRPr="00D4425F">
              <w:rPr>
                <w:rFonts w:ascii="Times New Roman" w:hAnsi="Times New Roman"/>
                <w:noProof/>
                <w:sz w:val="20"/>
                <w:szCs w:val="20"/>
              </w:rPr>
              <w:t>3</w:t>
            </w:r>
          </w:p>
        </w:tc>
        <w:tc>
          <w:tcPr>
            <w:tcW w:w="479" w:type="pct"/>
            <w:vAlign w:val="center"/>
          </w:tcPr>
          <w:p w14:paraId="16D97BCA" w14:textId="653ACB03"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74</w:t>
            </w:r>
            <w:r>
              <w:rPr>
                <w:rFonts w:ascii="Times New Roman" w:hAnsi="Times New Roman"/>
                <w:noProof/>
                <w:sz w:val="20"/>
                <w:szCs w:val="20"/>
              </w:rPr>
              <w:t>,</w:t>
            </w:r>
            <w:r w:rsidRPr="00D4425F">
              <w:rPr>
                <w:rFonts w:ascii="Times New Roman" w:hAnsi="Times New Roman"/>
                <w:noProof/>
                <w:sz w:val="20"/>
                <w:szCs w:val="20"/>
              </w:rPr>
              <w:t>0</w:t>
            </w:r>
          </w:p>
        </w:tc>
        <w:tc>
          <w:tcPr>
            <w:tcW w:w="479" w:type="pct"/>
            <w:vAlign w:val="center"/>
          </w:tcPr>
          <w:p w14:paraId="306EB7E5" w14:textId="1B8B16B9"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76</w:t>
            </w:r>
            <w:r>
              <w:rPr>
                <w:rFonts w:ascii="Times New Roman" w:hAnsi="Times New Roman"/>
                <w:noProof/>
                <w:sz w:val="20"/>
                <w:szCs w:val="20"/>
              </w:rPr>
              <w:t>,</w:t>
            </w:r>
            <w:r w:rsidRPr="00D4425F">
              <w:rPr>
                <w:rFonts w:ascii="Times New Roman" w:hAnsi="Times New Roman"/>
                <w:noProof/>
                <w:sz w:val="20"/>
                <w:szCs w:val="20"/>
              </w:rPr>
              <w:t>5</w:t>
            </w:r>
          </w:p>
        </w:tc>
        <w:tc>
          <w:tcPr>
            <w:tcW w:w="480" w:type="pct"/>
            <w:vAlign w:val="center"/>
          </w:tcPr>
          <w:p w14:paraId="229198EC" w14:textId="41F36883"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79</w:t>
            </w:r>
            <w:r>
              <w:rPr>
                <w:rFonts w:ascii="Times New Roman" w:hAnsi="Times New Roman"/>
                <w:noProof/>
                <w:sz w:val="20"/>
                <w:szCs w:val="20"/>
              </w:rPr>
              <w:t>,</w:t>
            </w:r>
            <w:r w:rsidRPr="00D4425F">
              <w:rPr>
                <w:rFonts w:ascii="Times New Roman" w:hAnsi="Times New Roman"/>
                <w:noProof/>
                <w:sz w:val="20"/>
                <w:szCs w:val="20"/>
              </w:rPr>
              <w:t>9</w:t>
            </w:r>
          </w:p>
        </w:tc>
        <w:tc>
          <w:tcPr>
            <w:tcW w:w="469" w:type="pct"/>
            <w:vAlign w:val="center"/>
          </w:tcPr>
          <w:p w14:paraId="46A44936" w14:textId="594D8472"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85</w:t>
            </w:r>
            <w:r>
              <w:rPr>
                <w:rFonts w:ascii="Times New Roman" w:hAnsi="Times New Roman"/>
                <w:noProof/>
                <w:sz w:val="20"/>
                <w:szCs w:val="20"/>
              </w:rPr>
              <w:t>,</w:t>
            </w:r>
            <w:r w:rsidRPr="00D4425F">
              <w:rPr>
                <w:rFonts w:ascii="Times New Roman" w:hAnsi="Times New Roman"/>
                <w:noProof/>
                <w:sz w:val="20"/>
                <w:szCs w:val="20"/>
              </w:rPr>
              <w:t>1</w:t>
            </w:r>
          </w:p>
        </w:tc>
        <w:tc>
          <w:tcPr>
            <w:tcW w:w="469" w:type="pct"/>
            <w:vAlign w:val="center"/>
          </w:tcPr>
          <w:p w14:paraId="27996E4A" w14:textId="3D226ADE" w:rsidR="00131369" w:rsidRPr="00DA11F1" w:rsidRDefault="001F5D15" w:rsidP="008E33DB">
            <w:pPr>
              <w:jc w:val="center"/>
              <w:rPr>
                <w:rFonts w:ascii="Times New Roman" w:hAnsi="Times New Roman"/>
                <w:noProof/>
                <w:sz w:val="20"/>
                <w:szCs w:val="20"/>
              </w:rPr>
            </w:pPr>
            <w:r w:rsidRPr="00D4425F">
              <w:rPr>
                <w:rFonts w:ascii="Times New Roman" w:hAnsi="Times New Roman"/>
                <w:noProof/>
                <w:sz w:val="20"/>
                <w:szCs w:val="20"/>
              </w:rPr>
              <w:t>80</w:t>
            </w:r>
            <w:r>
              <w:rPr>
                <w:rFonts w:ascii="Times New Roman" w:hAnsi="Times New Roman"/>
                <w:noProof/>
                <w:sz w:val="20"/>
                <w:szCs w:val="20"/>
              </w:rPr>
              <w:t>,</w:t>
            </w:r>
            <w:r w:rsidRPr="00D4425F">
              <w:rPr>
                <w:rFonts w:ascii="Times New Roman" w:hAnsi="Times New Roman"/>
                <w:noProof/>
                <w:sz w:val="20"/>
                <w:szCs w:val="20"/>
              </w:rPr>
              <w:t>3</w:t>
            </w:r>
          </w:p>
        </w:tc>
        <w:tc>
          <w:tcPr>
            <w:tcW w:w="469" w:type="pct"/>
            <w:vAlign w:val="center"/>
          </w:tcPr>
          <w:p w14:paraId="4428E646" w14:textId="52D7DEDB" w:rsidR="00131369" w:rsidRPr="00DA11F1" w:rsidRDefault="009B1524" w:rsidP="008E33DB">
            <w:pPr>
              <w:jc w:val="center"/>
              <w:rPr>
                <w:rFonts w:ascii="Times New Roman" w:hAnsi="Times New Roman"/>
                <w:noProof/>
                <w:sz w:val="20"/>
                <w:szCs w:val="20"/>
              </w:rPr>
            </w:pPr>
            <w:r w:rsidRPr="00D4425F">
              <w:rPr>
                <w:rFonts w:ascii="Times New Roman" w:hAnsi="Times New Roman"/>
                <w:noProof/>
                <w:sz w:val="20"/>
                <w:szCs w:val="20"/>
              </w:rPr>
              <w:t>85</w:t>
            </w:r>
            <w:r>
              <w:rPr>
                <w:rFonts w:ascii="Times New Roman" w:hAnsi="Times New Roman"/>
                <w:noProof/>
                <w:sz w:val="20"/>
                <w:szCs w:val="20"/>
              </w:rPr>
              <w:t>,</w:t>
            </w:r>
            <w:r w:rsidRPr="00D4425F">
              <w:rPr>
                <w:rFonts w:ascii="Times New Roman" w:hAnsi="Times New Roman"/>
                <w:noProof/>
                <w:sz w:val="20"/>
                <w:szCs w:val="20"/>
              </w:rPr>
              <w:t>9</w:t>
            </w:r>
          </w:p>
        </w:tc>
      </w:tr>
    </w:tbl>
    <w:p w14:paraId="70E64CF5" w14:textId="2C5142BC" w:rsidR="00E86B2F" w:rsidRPr="00DA11F1" w:rsidRDefault="00E86B2F" w:rsidP="009134AF">
      <w:pPr>
        <w:pStyle w:val="NormalWeb"/>
        <w:spacing w:before="200" w:beforeAutospacing="0" w:after="200" w:afterAutospacing="0" w:line="276" w:lineRule="auto"/>
        <w:jc w:val="both"/>
        <w:rPr>
          <w:noProof/>
        </w:rPr>
      </w:pPr>
      <w:r>
        <w:rPr>
          <w:noProof/>
        </w:rPr>
        <w:t xml:space="preserve">Hoewel de deelnemende landen in </w:t>
      </w:r>
      <w:r w:rsidRPr="00D4425F">
        <w:rPr>
          <w:noProof/>
        </w:rPr>
        <w:t>2021</w:t>
      </w:r>
      <w:r>
        <w:rPr>
          <w:noProof/>
        </w:rPr>
        <w:t xml:space="preserve"> nog wijzigingen van de kosteloze toewijzing voor het laatste jaar van fase </w:t>
      </w:r>
      <w:r w:rsidRPr="00D4425F">
        <w:rPr>
          <w:noProof/>
        </w:rPr>
        <w:t>3</w:t>
      </w:r>
      <w:r>
        <w:rPr>
          <w:noProof/>
        </w:rPr>
        <w:t xml:space="preserve"> mogen melden, is de overgrote meerderheid van de wijzigingen reeds gemeld. Daarom kan worden geconcludeerd dat er aan het eind van fase </w:t>
      </w:r>
      <w:r w:rsidRPr="00D4425F">
        <w:rPr>
          <w:noProof/>
        </w:rPr>
        <w:t>3</w:t>
      </w:r>
      <w:r>
        <w:rPr>
          <w:noProof/>
        </w:rPr>
        <w:t xml:space="preserve"> sprake was van ongeveer: </w:t>
      </w:r>
    </w:p>
    <w:p w14:paraId="4E234532" w14:textId="0DBB4C39" w:rsidR="00E86B2F" w:rsidRPr="00DA11F1" w:rsidRDefault="00E86B2F" w:rsidP="009134AF">
      <w:pPr>
        <w:pStyle w:val="NormalWeb"/>
        <w:numPr>
          <w:ilvl w:val="0"/>
          <w:numId w:val="25"/>
        </w:numPr>
        <w:spacing w:before="0" w:beforeAutospacing="0" w:after="0" w:afterAutospacing="0" w:line="276" w:lineRule="auto"/>
        <w:ind w:left="714" w:hanging="357"/>
        <w:jc w:val="both"/>
        <w:rPr>
          <w:noProof/>
        </w:rPr>
      </w:pPr>
      <w:r w:rsidRPr="00D4425F">
        <w:rPr>
          <w:noProof/>
        </w:rPr>
        <w:t>1</w:t>
      </w:r>
      <w:r>
        <w:rPr>
          <w:noProof/>
        </w:rPr>
        <w:t> </w:t>
      </w:r>
      <w:r w:rsidRPr="00D4425F">
        <w:rPr>
          <w:noProof/>
        </w:rPr>
        <w:t>821</w:t>
      </w:r>
      <w:r>
        <w:rPr>
          <w:noProof/>
        </w:rPr>
        <w:t xml:space="preserve"> van de </w:t>
      </w:r>
      <w:r w:rsidRPr="00D4425F">
        <w:rPr>
          <w:noProof/>
        </w:rPr>
        <w:t>11</w:t>
      </w:r>
      <w:r>
        <w:rPr>
          <w:noProof/>
        </w:rPr>
        <w:t> </w:t>
      </w:r>
      <w:r w:rsidRPr="00D4425F">
        <w:rPr>
          <w:noProof/>
        </w:rPr>
        <w:t>646</w:t>
      </w:r>
      <w:r>
        <w:rPr>
          <w:noProof/>
        </w:rPr>
        <w:t xml:space="preserve"> installaties die hun activiteiten hebben gestaakt of een fysieke wijziging hebben ondergaan waardoor hun capaciteit tot onder de drempelwaarde is gedaald en bijgevolg hun broeikasgasemissievergunning is ingetrokken; </w:t>
      </w:r>
    </w:p>
    <w:p w14:paraId="3A22621C" w14:textId="55387DA7" w:rsidR="00E86B2F" w:rsidRPr="00DA11F1" w:rsidRDefault="00E86B2F" w:rsidP="009134AF">
      <w:pPr>
        <w:pStyle w:val="NormalWeb"/>
        <w:numPr>
          <w:ilvl w:val="0"/>
          <w:numId w:val="25"/>
        </w:numPr>
        <w:spacing w:before="0" w:beforeAutospacing="0" w:after="0" w:afterAutospacing="0" w:line="276" w:lineRule="auto"/>
        <w:ind w:left="714" w:hanging="357"/>
        <w:jc w:val="both"/>
        <w:rPr>
          <w:noProof/>
        </w:rPr>
      </w:pPr>
      <w:r w:rsidRPr="00D4425F">
        <w:rPr>
          <w:noProof/>
        </w:rPr>
        <w:t>505</w:t>
      </w:r>
      <w:r w:rsidR="008B0254">
        <w:rPr>
          <w:noProof/>
        </w:rPr>
        <w:t> nieuwkomers;</w:t>
      </w:r>
    </w:p>
    <w:p w14:paraId="541AA8EF" w14:textId="1A87E3E1" w:rsidR="00E86B2F" w:rsidRPr="00DA11F1" w:rsidRDefault="00E86B2F" w:rsidP="009134AF">
      <w:pPr>
        <w:pStyle w:val="NormalWeb"/>
        <w:numPr>
          <w:ilvl w:val="0"/>
          <w:numId w:val="25"/>
        </w:numPr>
        <w:spacing w:before="0" w:beforeAutospacing="0" w:after="0" w:afterAutospacing="0" w:line="276" w:lineRule="auto"/>
        <w:ind w:left="714" w:hanging="357"/>
        <w:jc w:val="both"/>
        <w:rPr>
          <w:noProof/>
        </w:rPr>
      </w:pPr>
      <w:r w:rsidRPr="00D4425F">
        <w:rPr>
          <w:noProof/>
        </w:rPr>
        <w:t>887</w:t>
      </w:r>
      <w:r>
        <w:rPr>
          <w:noProof/>
        </w:rPr>
        <w:t> aanzien</w:t>
      </w:r>
      <w:r w:rsidR="008B0254">
        <w:rPr>
          <w:noProof/>
        </w:rPr>
        <w:t>lijke capaciteitsuitbreidingen;</w:t>
      </w:r>
    </w:p>
    <w:p w14:paraId="1DCFADB8" w14:textId="3DED247D" w:rsidR="00E86B2F" w:rsidRPr="00DA11F1" w:rsidRDefault="00E86B2F" w:rsidP="009134AF">
      <w:pPr>
        <w:pStyle w:val="NormalWeb"/>
        <w:numPr>
          <w:ilvl w:val="0"/>
          <w:numId w:val="25"/>
        </w:numPr>
        <w:spacing w:before="0" w:beforeAutospacing="0" w:after="0" w:afterAutospacing="0" w:line="276" w:lineRule="auto"/>
        <w:ind w:left="714" w:hanging="357"/>
        <w:jc w:val="both"/>
        <w:rPr>
          <w:noProof/>
        </w:rPr>
      </w:pPr>
      <w:r w:rsidRPr="00D4425F">
        <w:rPr>
          <w:noProof/>
        </w:rPr>
        <w:t>378</w:t>
      </w:r>
      <w:r>
        <w:rPr>
          <w:noProof/>
        </w:rPr>
        <w:t> aanzienl</w:t>
      </w:r>
      <w:r w:rsidR="008B0254">
        <w:rPr>
          <w:noProof/>
        </w:rPr>
        <w:t>ijke capaciteitsverminderingen;</w:t>
      </w:r>
    </w:p>
    <w:p w14:paraId="43483DF7" w14:textId="050311D0" w:rsidR="00E86B2F" w:rsidRPr="00DA11F1" w:rsidRDefault="00E86B2F" w:rsidP="009134AF">
      <w:pPr>
        <w:pStyle w:val="NormalWeb"/>
        <w:numPr>
          <w:ilvl w:val="0"/>
          <w:numId w:val="25"/>
        </w:numPr>
        <w:spacing w:before="0" w:beforeAutospacing="0" w:after="0" w:afterAutospacing="0" w:line="276" w:lineRule="auto"/>
        <w:ind w:left="714" w:hanging="357"/>
        <w:jc w:val="both"/>
        <w:rPr>
          <w:noProof/>
        </w:rPr>
      </w:pPr>
      <w:r w:rsidRPr="00D4425F">
        <w:rPr>
          <w:noProof/>
        </w:rPr>
        <w:t>2</w:t>
      </w:r>
      <w:r>
        <w:rPr>
          <w:noProof/>
        </w:rPr>
        <w:t> </w:t>
      </w:r>
      <w:r w:rsidRPr="00D4425F">
        <w:rPr>
          <w:noProof/>
        </w:rPr>
        <w:t>985</w:t>
      </w:r>
      <w:r>
        <w:rPr>
          <w:noProof/>
        </w:rPr>
        <w:t xml:space="preserve"> installaties die </w:t>
      </w:r>
      <w:r w:rsidR="008B0254">
        <w:rPr>
          <w:noProof/>
        </w:rPr>
        <w:t>gedeeltelijk zijn stopgezet; en</w:t>
      </w:r>
    </w:p>
    <w:p w14:paraId="457E0991" w14:textId="2790AA07" w:rsidR="00E86B2F" w:rsidRPr="00DA11F1" w:rsidRDefault="00E86B2F" w:rsidP="009134AF">
      <w:pPr>
        <w:pStyle w:val="NormalWeb"/>
        <w:numPr>
          <w:ilvl w:val="0"/>
          <w:numId w:val="25"/>
        </w:numPr>
        <w:spacing w:before="0" w:beforeAutospacing="0" w:after="200" w:afterAutospacing="0" w:line="276" w:lineRule="auto"/>
        <w:ind w:left="714" w:hanging="357"/>
        <w:jc w:val="both"/>
        <w:rPr>
          <w:noProof/>
        </w:rPr>
      </w:pPr>
      <w:r w:rsidRPr="00D4425F">
        <w:rPr>
          <w:noProof/>
        </w:rPr>
        <w:t>1</w:t>
      </w:r>
      <w:r>
        <w:rPr>
          <w:noProof/>
        </w:rPr>
        <w:t> </w:t>
      </w:r>
      <w:r w:rsidRPr="00D4425F">
        <w:rPr>
          <w:noProof/>
        </w:rPr>
        <w:t>434</w:t>
      </w:r>
      <w:r>
        <w:rPr>
          <w:noProof/>
        </w:rPr>
        <w:t> installaties die weer operationeel zijn na</w:t>
      </w:r>
      <w:r w:rsidR="008B0254">
        <w:rPr>
          <w:noProof/>
        </w:rPr>
        <w:t xml:space="preserve"> een gedeeltelijke stopzetting.</w:t>
      </w:r>
    </w:p>
    <w:p w14:paraId="0F41DB8B" w14:textId="5A3A388D" w:rsidR="00E86B2F" w:rsidRPr="00DA11F1" w:rsidRDefault="00B833EF" w:rsidP="008E33DB">
      <w:pPr>
        <w:pStyle w:val="NormalWeb"/>
        <w:spacing w:before="0" w:beforeAutospacing="0" w:after="200" w:afterAutospacing="0" w:line="276" w:lineRule="auto"/>
        <w:jc w:val="both"/>
        <w:rPr>
          <w:noProof/>
        </w:rPr>
      </w:pPr>
      <w:r>
        <w:rPr>
          <w:noProof/>
        </w:rPr>
        <w:t>Emissierechten die niet zijn toegewezen als gevolg van sluitingen, gedeeltelijke stopzettingen of aanzienlijke capaciteitsverminderingen (krachtens artikel </w:t>
      </w:r>
      <w:r w:rsidRPr="00D4425F">
        <w:rPr>
          <w:noProof/>
        </w:rPr>
        <w:t>10</w:t>
      </w:r>
      <w:r>
        <w:rPr>
          <w:noProof/>
        </w:rPr>
        <w:t> bis, leden </w:t>
      </w:r>
      <w:r w:rsidRPr="00D4425F">
        <w:rPr>
          <w:noProof/>
        </w:rPr>
        <w:t>19</w:t>
      </w:r>
      <w:r>
        <w:rPr>
          <w:noProof/>
        </w:rPr>
        <w:t xml:space="preserve"> en </w:t>
      </w:r>
      <w:r w:rsidRPr="00D4425F">
        <w:rPr>
          <w:noProof/>
        </w:rPr>
        <w:t>20</w:t>
      </w:r>
      <w:r>
        <w:rPr>
          <w:noProof/>
        </w:rPr>
        <w:t>, van de EU-ETS-richtlijn) worden in de marktstabiliteitsreserve opgenomen overeenkomstig artikel </w:t>
      </w:r>
      <w:r w:rsidRPr="00D4425F">
        <w:rPr>
          <w:noProof/>
        </w:rPr>
        <w:t>1</w:t>
      </w:r>
      <w:r>
        <w:rPr>
          <w:noProof/>
        </w:rPr>
        <w:t>, lid </w:t>
      </w:r>
      <w:r w:rsidRPr="00D4425F">
        <w:rPr>
          <w:noProof/>
        </w:rPr>
        <w:t>3</w:t>
      </w:r>
      <w:r>
        <w:rPr>
          <w:noProof/>
        </w:rPr>
        <w:t xml:space="preserve">, van Besluit (EU) </w:t>
      </w:r>
      <w:r w:rsidRPr="00D4425F">
        <w:rPr>
          <w:noProof/>
        </w:rPr>
        <w:t>2015</w:t>
      </w:r>
      <w:r>
        <w:rPr>
          <w:noProof/>
        </w:rPr>
        <w:t>/</w:t>
      </w:r>
      <w:r w:rsidRPr="00D4425F">
        <w:rPr>
          <w:noProof/>
        </w:rPr>
        <w:t>1814</w:t>
      </w:r>
      <w:r>
        <w:rPr>
          <w:noProof/>
        </w:rPr>
        <w:t xml:space="preserve"> (MSR-besluit)</w:t>
      </w:r>
      <w:r w:rsidR="006C2372" w:rsidRPr="00DA11F1">
        <w:rPr>
          <w:rStyle w:val="FootnoteReference"/>
          <w:noProof/>
          <w:lang w:val="en"/>
        </w:rPr>
        <w:footnoteReference w:id="33"/>
      </w:r>
      <w:r>
        <w:rPr>
          <w:noProof/>
        </w:rPr>
        <w:t>, net als de niet-toegewezen emissierechten uit de nieuwkomersreserve.</w:t>
      </w:r>
    </w:p>
    <w:p w14:paraId="653E10A7" w14:textId="2E2A0DD5" w:rsidR="00E86B2F" w:rsidRPr="00DA11F1" w:rsidRDefault="00E86B2F" w:rsidP="008E33DB">
      <w:pPr>
        <w:pStyle w:val="NormalWeb"/>
        <w:spacing w:before="0" w:beforeAutospacing="0" w:after="200" w:afterAutospacing="0" w:line="276" w:lineRule="auto"/>
        <w:jc w:val="both"/>
        <w:rPr>
          <w:noProof/>
        </w:rPr>
      </w:pPr>
      <w:r>
        <w:rPr>
          <w:noProof/>
        </w:rPr>
        <w:t>Om het risico van koolstoflekkage te voorkomen wordt de kosteloze toewijzing in fase </w:t>
      </w:r>
      <w:r w:rsidRPr="00D4425F">
        <w:rPr>
          <w:noProof/>
        </w:rPr>
        <w:t>4</w:t>
      </w:r>
      <w:r>
        <w:rPr>
          <w:noProof/>
        </w:rPr>
        <w:t xml:space="preserve"> voortgezet, op basis van geactualiseerde benchmarkwaarden die zijn afgeleid van de prestatie van de </w:t>
      </w:r>
      <w:r w:rsidRPr="00D4425F">
        <w:rPr>
          <w:noProof/>
        </w:rPr>
        <w:t>10</w:t>
      </w:r>
      <w:r>
        <w:rPr>
          <w:noProof/>
        </w:rPr>
        <w:t xml:space="preserve"> % meest efficiënte installaties in de EU. Nadat in november </w:t>
      </w:r>
      <w:r w:rsidRPr="00D4425F">
        <w:rPr>
          <w:noProof/>
        </w:rPr>
        <w:t>2017</w:t>
      </w:r>
      <w:r>
        <w:rPr>
          <w:noProof/>
        </w:rPr>
        <w:t xml:space="preserve"> een politiek akkoord was bereikt over de herziene EU-ETS-richtlijn, heeft de Commissie wetgeving goedgekeurd voor de uitvoering van de kosteloze toewijzing aan de industrie in fase </w:t>
      </w:r>
      <w:r w:rsidRPr="00D4425F">
        <w:rPr>
          <w:noProof/>
        </w:rPr>
        <w:t>4</w:t>
      </w:r>
      <w:r>
        <w:rPr>
          <w:noProof/>
        </w:rPr>
        <w:t>. De vastgestelde rechtshandelingen zijn opgenomen in tabel </w:t>
      </w:r>
      <w:r w:rsidRPr="00D4425F">
        <w:rPr>
          <w:noProof/>
        </w:rPr>
        <w:t>4</w:t>
      </w:r>
      <w:r>
        <w:rPr>
          <w:noProof/>
        </w:rPr>
        <w:t>.</w:t>
      </w:r>
      <w:r w:rsidRPr="00D4425F">
        <w:rPr>
          <w:noProof/>
        </w:rPr>
        <w:t>1</w:t>
      </w:r>
      <w:r>
        <w:rPr>
          <w:noProof/>
        </w:rPr>
        <w:t xml:space="preserve"> van aanhangsel </w:t>
      </w:r>
      <w:r w:rsidRPr="00D4425F">
        <w:rPr>
          <w:noProof/>
        </w:rPr>
        <w:t>4</w:t>
      </w:r>
      <w:r>
        <w:rPr>
          <w:noProof/>
        </w:rPr>
        <w:t xml:space="preserve"> van het begeleidende werkdocument va</w:t>
      </w:r>
      <w:r w:rsidR="008B0254">
        <w:rPr>
          <w:noProof/>
        </w:rPr>
        <w:t>n de diensten van de Commissie.</w:t>
      </w:r>
    </w:p>
    <w:p w14:paraId="074842BB" w14:textId="5AA4678C" w:rsidR="00131369" w:rsidRPr="00DA11F1" w:rsidRDefault="00FA7EBD" w:rsidP="008E33DB">
      <w:pPr>
        <w:pStyle w:val="Heading3"/>
        <w:spacing w:before="0" w:after="200"/>
        <w:ind w:left="720"/>
        <w:rPr>
          <w:i/>
          <w:noProof/>
          <w:color w:val="000000" w:themeColor="text1"/>
        </w:rPr>
      </w:pPr>
      <w:bookmarkStart w:id="28" w:name="_Toc89423468"/>
      <w:r w:rsidRPr="00D4425F">
        <w:rPr>
          <w:i/>
          <w:noProof/>
        </w:rPr>
        <w:t>3</w:t>
      </w:r>
      <w:r>
        <w:rPr>
          <w:i/>
          <w:noProof/>
        </w:rPr>
        <w:t>.</w:t>
      </w:r>
      <w:r w:rsidRPr="00D4425F">
        <w:rPr>
          <w:i/>
          <w:noProof/>
        </w:rPr>
        <w:t>1</w:t>
      </w:r>
      <w:r>
        <w:rPr>
          <w:i/>
          <w:noProof/>
        </w:rPr>
        <w:t>.</w:t>
      </w:r>
      <w:r w:rsidRPr="00D4425F">
        <w:rPr>
          <w:i/>
          <w:noProof/>
        </w:rPr>
        <w:t>3</w:t>
      </w:r>
      <w:r>
        <w:rPr>
          <w:i/>
          <w:noProof/>
        </w:rPr>
        <w:t>. Veiling van emissierechten</w:t>
      </w:r>
      <w:bookmarkEnd w:id="28"/>
    </w:p>
    <w:p w14:paraId="2A88BCFE" w14:textId="20D36F27" w:rsidR="002D27E2" w:rsidRPr="00DA11F1" w:rsidRDefault="002D1C0C" w:rsidP="008E33DB">
      <w:pPr>
        <w:jc w:val="both"/>
        <w:rPr>
          <w:rFonts w:ascii="Times New Roman" w:hAnsi="Times New Roman"/>
          <w:noProof/>
          <w:sz w:val="24"/>
          <w:szCs w:val="24"/>
        </w:rPr>
      </w:pPr>
      <w:r>
        <w:rPr>
          <w:rFonts w:ascii="Times New Roman" w:hAnsi="Times New Roman"/>
          <w:noProof/>
        </w:rPr>
        <w:t>Sinds fase </w:t>
      </w:r>
      <w:r w:rsidRPr="00D4425F">
        <w:rPr>
          <w:rFonts w:ascii="Times New Roman" w:hAnsi="Times New Roman"/>
          <w:noProof/>
        </w:rPr>
        <w:t>3</w:t>
      </w:r>
      <w:r>
        <w:rPr>
          <w:rFonts w:ascii="Times New Roman" w:hAnsi="Times New Roman"/>
          <w:noProof/>
        </w:rPr>
        <w:t xml:space="preserve"> is veilen de voornaamste methode om emissierechten te verdelen in het EU-ETS, goed voor </w:t>
      </w:r>
      <w:r w:rsidRPr="00D4425F">
        <w:rPr>
          <w:rFonts w:ascii="Times New Roman" w:hAnsi="Times New Roman"/>
          <w:noProof/>
        </w:rPr>
        <w:t>57</w:t>
      </w:r>
      <w:r>
        <w:rPr>
          <w:rFonts w:ascii="Times New Roman" w:hAnsi="Times New Roman"/>
          <w:noProof/>
        </w:rPr>
        <w:t> % van de totale hoeveelheid.</w:t>
      </w:r>
      <w:r>
        <w:rPr>
          <w:rFonts w:ascii="Times New Roman" w:hAnsi="Times New Roman"/>
          <w:noProof/>
          <w:sz w:val="24"/>
          <w:szCs w:val="24"/>
        </w:rPr>
        <w:t xml:space="preserve"> Veilingen worden geregeld door Verordening (EU) nr. </w:t>
      </w:r>
      <w:r w:rsidRPr="00D4425F">
        <w:rPr>
          <w:rFonts w:ascii="Times New Roman" w:hAnsi="Times New Roman"/>
          <w:noProof/>
          <w:sz w:val="24"/>
          <w:szCs w:val="24"/>
        </w:rPr>
        <w:t>1031</w:t>
      </w:r>
      <w:r>
        <w:rPr>
          <w:rFonts w:ascii="Times New Roman" w:hAnsi="Times New Roman"/>
          <w:noProof/>
          <w:sz w:val="24"/>
          <w:szCs w:val="24"/>
        </w:rPr>
        <w:t>/</w:t>
      </w:r>
      <w:r w:rsidRPr="00D4425F">
        <w:rPr>
          <w:rFonts w:ascii="Times New Roman" w:hAnsi="Times New Roman"/>
          <w:noProof/>
          <w:sz w:val="24"/>
          <w:szCs w:val="24"/>
        </w:rPr>
        <w:t>2010</w:t>
      </w:r>
      <w:r>
        <w:rPr>
          <w:rFonts w:ascii="Times New Roman" w:hAnsi="Times New Roman"/>
          <w:noProof/>
          <w:sz w:val="24"/>
          <w:szCs w:val="24"/>
        </w:rPr>
        <w:t xml:space="preserve"> van de Commissie</w:t>
      </w:r>
      <w:r w:rsidR="007B08FA" w:rsidRPr="00DA11F1">
        <w:rPr>
          <w:rStyle w:val="FootnoteReference"/>
          <w:rFonts w:ascii="Times New Roman" w:hAnsi="Times New Roman"/>
          <w:noProof/>
          <w:sz w:val="24"/>
          <w:szCs w:val="24"/>
        </w:rPr>
        <w:footnoteReference w:id="34"/>
      </w:r>
      <w:r>
        <w:rPr>
          <w:rFonts w:ascii="Times New Roman" w:hAnsi="Times New Roman"/>
          <w:noProof/>
          <w:sz w:val="24"/>
          <w:szCs w:val="24"/>
        </w:rPr>
        <w:t xml:space="preserve"> (de veilingverordening), die regels bevat voor de tijdstippen, het beheer en andere aspecten van het verloop van veilingen om een open, transparant, geharmoniseerd en niet-discriminerend proces te waarborgen.</w:t>
      </w:r>
    </w:p>
    <w:p w14:paraId="22BC9BF5" w14:textId="19DFA2DA" w:rsidR="002D27E2" w:rsidRPr="00DA11F1" w:rsidRDefault="00B833EF" w:rsidP="008E33DB">
      <w:pPr>
        <w:jc w:val="both"/>
        <w:rPr>
          <w:rFonts w:ascii="Times New Roman" w:hAnsi="Times New Roman"/>
          <w:noProof/>
          <w:sz w:val="24"/>
          <w:szCs w:val="24"/>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hebben de veilingen plaatsgevonden via de volgende veilingplatformen:</w:t>
      </w:r>
    </w:p>
    <w:p w14:paraId="38B7B9EE" w14:textId="272778DE" w:rsidR="002D27E2" w:rsidRPr="00DA11F1" w:rsidRDefault="002D27E2" w:rsidP="008E33DB">
      <w:pPr>
        <w:pStyle w:val="ListParagraph"/>
        <w:numPr>
          <w:ilvl w:val="0"/>
          <w:numId w:val="34"/>
        </w:numPr>
        <w:spacing w:after="200" w:line="276" w:lineRule="auto"/>
        <w:jc w:val="both"/>
        <w:rPr>
          <w:rFonts w:ascii="Times New Roman" w:hAnsi="Times New Roman"/>
          <w:noProof/>
          <w:sz w:val="24"/>
          <w:szCs w:val="24"/>
        </w:rPr>
      </w:pPr>
      <w:r>
        <w:rPr>
          <w:rFonts w:ascii="Times New Roman" w:hAnsi="Times New Roman"/>
          <w:noProof/>
          <w:sz w:val="24"/>
          <w:szCs w:val="24"/>
        </w:rPr>
        <w:t xml:space="preserve">European Energy Exchange AG (EEX), het gemeenschappelijk veilingplatform voor de </w:t>
      </w:r>
      <w:r w:rsidRPr="00D4425F">
        <w:rPr>
          <w:rFonts w:ascii="Times New Roman" w:hAnsi="Times New Roman"/>
          <w:noProof/>
          <w:sz w:val="24"/>
          <w:szCs w:val="24"/>
        </w:rPr>
        <w:t>25</w:t>
      </w:r>
      <w:r>
        <w:rPr>
          <w:rFonts w:ascii="Times New Roman" w:hAnsi="Times New Roman"/>
          <w:noProof/>
          <w:sz w:val="24"/>
          <w:szCs w:val="24"/>
        </w:rPr>
        <w:t> lidstaten die deelnemen aan een gemeenschappelijke inkoopprocedure. Het veilt ook voor Polen (dat niet aan de gemeenschappelijke inkoopprocedure heeft deelgenomen, maar nog geen eigen veilingplatform heeft aangewezen) en, sinds juni</w:t>
      </w:r>
      <w:r w:rsidR="008B0254">
        <w:rPr>
          <w:rFonts w:ascii="Times New Roman" w:hAnsi="Times New Roman"/>
          <w:noProof/>
          <w:sz w:val="24"/>
          <w:szCs w:val="24"/>
        </w:rPr>
        <w:t> </w:t>
      </w:r>
      <w:r w:rsidRPr="00D4425F">
        <w:rPr>
          <w:rFonts w:ascii="Times New Roman" w:hAnsi="Times New Roman"/>
          <w:noProof/>
          <w:sz w:val="24"/>
          <w:szCs w:val="24"/>
        </w:rPr>
        <w:t>2019</w:t>
      </w:r>
      <w:r>
        <w:rPr>
          <w:rFonts w:ascii="Times New Roman" w:hAnsi="Times New Roman"/>
          <w:noProof/>
          <w:sz w:val="24"/>
          <w:szCs w:val="24"/>
        </w:rPr>
        <w:t>, voor IJsland, Liechtenstein en Noorwegen (nadat de EER-overeenkomst was gewijzigd om deze landen in staat te stellen deel te nemen aan de inkoopovereenkomst voor het gemeenschappelijke veilingplatform);</w:t>
      </w:r>
    </w:p>
    <w:p w14:paraId="7B64B494" w14:textId="3B1D3EC1" w:rsidR="002D27E2" w:rsidRPr="00DA11F1" w:rsidRDefault="002D27E2" w:rsidP="008E33DB">
      <w:pPr>
        <w:pStyle w:val="ListParagraph"/>
        <w:numPr>
          <w:ilvl w:val="0"/>
          <w:numId w:val="34"/>
        </w:numPr>
        <w:spacing w:after="200" w:line="276" w:lineRule="auto"/>
        <w:jc w:val="both"/>
        <w:rPr>
          <w:rFonts w:ascii="Times New Roman" w:hAnsi="Times New Roman"/>
          <w:noProof/>
          <w:sz w:val="24"/>
          <w:szCs w:val="24"/>
        </w:rPr>
      </w:pPr>
      <w:r>
        <w:rPr>
          <w:rFonts w:ascii="Times New Roman" w:hAnsi="Times New Roman"/>
          <w:noProof/>
          <w:sz w:val="24"/>
          <w:szCs w:val="24"/>
        </w:rPr>
        <w:t>EEX, dat veilingen houdt voor Duitsland als een “opt-out” veilingplatform;</w:t>
      </w:r>
    </w:p>
    <w:p w14:paraId="0D574BCA" w14:textId="0A238EFB" w:rsidR="002D27E2" w:rsidRPr="00DA11F1" w:rsidRDefault="002D27E2" w:rsidP="008E33DB">
      <w:pPr>
        <w:pStyle w:val="ListParagraph"/>
        <w:numPr>
          <w:ilvl w:val="0"/>
          <w:numId w:val="34"/>
        </w:numPr>
        <w:spacing w:after="200" w:line="276" w:lineRule="auto"/>
        <w:jc w:val="both"/>
        <w:rPr>
          <w:rFonts w:ascii="Times New Roman" w:hAnsi="Times New Roman"/>
          <w:noProof/>
          <w:sz w:val="24"/>
          <w:szCs w:val="24"/>
        </w:rPr>
      </w:pPr>
      <w:r>
        <w:rPr>
          <w:rFonts w:ascii="Times New Roman" w:hAnsi="Times New Roman"/>
          <w:noProof/>
          <w:sz w:val="24"/>
          <w:szCs w:val="24"/>
        </w:rPr>
        <w:t>ICE Futures Europe (ICE), dat veilingen hield voor het Verenigd Koninkrijk als een “op</w:t>
      </w:r>
      <w:r w:rsidR="008B0254">
        <w:rPr>
          <w:rFonts w:ascii="Times New Roman" w:hAnsi="Times New Roman"/>
          <w:noProof/>
          <w:sz w:val="24"/>
          <w:szCs w:val="24"/>
        </w:rPr>
        <w:t>t-out” veilingplatform tot eind </w:t>
      </w:r>
      <w:r w:rsidRPr="00D4425F">
        <w:rPr>
          <w:rFonts w:ascii="Times New Roman" w:hAnsi="Times New Roman"/>
          <w:noProof/>
          <w:sz w:val="24"/>
          <w:szCs w:val="24"/>
        </w:rPr>
        <w:t>2020</w:t>
      </w:r>
      <w:r>
        <w:rPr>
          <w:rFonts w:ascii="Times New Roman" w:hAnsi="Times New Roman"/>
          <w:noProof/>
          <w:sz w:val="24"/>
          <w:szCs w:val="24"/>
        </w:rPr>
        <w:t>.</w:t>
      </w:r>
    </w:p>
    <w:p w14:paraId="0CFC448B" w14:textId="1F14BFE4" w:rsidR="008D20C3" w:rsidRPr="00DA11F1" w:rsidRDefault="008D20C3" w:rsidP="008E33DB">
      <w:pPr>
        <w:jc w:val="both"/>
        <w:rPr>
          <w:rFonts w:ascii="Times New Roman" w:hAnsi="Times New Roman"/>
          <w:noProof/>
          <w:sz w:val="24"/>
          <w:szCs w:val="24"/>
        </w:rPr>
      </w:pPr>
      <w:r>
        <w:rPr>
          <w:rFonts w:ascii="Times New Roman" w:hAnsi="Times New Roman"/>
          <w:noProof/>
          <w:sz w:val="24"/>
          <w:szCs w:val="24"/>
        </w:rPr>
        <w:t xml:space="preserve">EEX werd met ingang van </w:t>
      </w:r>
      <w:r w:rsidRPr="00D4425F">
        <w:rPr>
          <w:rFonts w:ascii="Times New Roman" w:hAnsi="Times New Roman"/>
          <w:noProof/>
          <w:sz w:val="24"/>
          <w:szCs w:val="24"/>
        </w:rPr>
        <w:t>2021</w:t>
      </w:r>
      <w:r>
        <w:rPr>
          <w:rFonts w:ascii="Times New Roman" w:hAnsi="Times New Roman"/>
          <w:noProof/>
          <w:sz w:val="24"/>
          <w:szCs w:val="24"/>
        </w:rPr>
        <w:t xml:space="preserve"> opnieuw aangewezen als het gemeenschappelijk veilingplatform, zonder ingrijpende wijzigingen in de deelname aan veilingen.</w:t>
      </w:r>
    </w:p>
    <w:p w14:paraId="13CCEB40" w14:textId="6F61175F" w:rsidR="002D27E2" w:rsidRPr="00DA11F1" w:rsidRDefault="00FE3846" w:rsidP="008E33DB">
      <w:pPr>
        <w:jc w:val="both"/>
        <w:rPr>
          <w:rFonts w:ascii="Times New Roman" w:hAnsi="Times New Roman"/>
          <w:noProof/>
          <w:sz w:val="24"/>
          <w:szCs w:val="24"/>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werden meer dan </w:t>
      </w:r>
      <w:r w:rsidRPr="00D4425F">
        <w:rPr>
          <w:rFonts w:ascii="Times New Roman" w:hAnsi="Times New Roman"/>
          <w:noProof/>
          <w:sz w:val="24"/>
          <w:szCs w:val="24"/>
        </w:rPr>
        <w:t>1</w:t>
      </w:r>
      <w:r>
        <w:rPr>
          <w:rFonts w:ascii="Times New Roman" w:hAnsi="Times New Roman"/>
          <w:noProof/>
          <w:sz w:val="24"/>
          <w:szCs w:val="24"/>
        </w:rPr>
        <w:t> </w:t>
      </w:r>
      <w:r w:rsidRPr="00D4425F">
        <w:rPr>
          <w:rFonts w:ascii="Times New Roman" w:hAnsi="Times New Roman"/>
          <w:noProof/>
          <w:sz w:val="24"/>
          <w:szCs w:val="24"/>
        </w:rPr>
        <w:t>800</w:t>
      </w:r>
      <w:r>
        <w:rPr>
          <w:rFonts w:ascii="Times New Roman" w:hAnsi="Times New Roman"/>
          <w:noProof/>
          <w:sz w:val="24"/>
          <w:szCs w:val="24"/>
        </w:rPr>
        <w:t xml:space="preserve"> veilingen gehouden en op </w:t>
      </w:r>
      <w:r w:rsidRPr="00D4425F">
        <w:rPr>
          <w:rFonts w:ascii="Times New Roman" w:hAnsi="Times New Roman"/>
          <w:noProof/>
          <w:sz w:val="24"/>
          <w:szCs w:val="24"/>
        </w:rPr>
        <w:t>30</w:t>
      </w:r>
      <w:r>
        <w:rPr>
          <w:rFonts w:ascii="Times New Roman" w:hAnsi="Times New Roman"/>
          <w:noProof/>
          <w:sz w:val="24"/>
          <w:szCs w:val="24"/>
        </w:rPr>
        <w:t xml:space="preserve"> juni </w:t>
      </w:r>
      <w:r w:rsidRPr="00D4425F">
        <w:rPr>
          <w:rFonts w:ascii="Times New Roman" w:hAnsi="Times New Roman"/>
          <w:noProof/>
          <w:sz w:val="24"/>
          <w:szCs w:val="24"/>
        </w:rPr>
        <w:t>2021</w:t>
      </w:r>
      <w:r>
        <w:rPr>
          <w:rFonts w:ascii="Times New Roman" w:hAnsi="Times New Roman"/>
          <w:noProof/>
          <w:sz w:val="24"/>
          <w:szCs w:val="24"/>
        </w:rPr>
        <w:t xml:space="preserve"> lag dit cijfer ruim boven de </w:t>
      </w:r>
      <w:r w:rsidRPr="00D4425F">
        <w:rPr>
          <w:rFonts w:ascii="Times New Roman" w:hAnsi="Times New Roman"/>
          <w:noProof/>
          <w:sz w:val="24"/>
          <w:szCs w:val="24"/>
        </w:rPr>
        <w:t>1</w:t>
      </w:r>
      <w:r>
        <w:rPr>
          <w:rFonts w:ascii="Times New Roman" w:hAnsi="Times New Roman"/>
          <w:noProof/>
          <w:sz w:val="24"/>
          <w:szCs w:val="24"/>
        </w:rPr>
        <w:t> </w:t>
      </w:r>
      <w:r w:rsidRPr="00D4425F">
        <w:rPr>
          <w:rFonts w:ascii="Times New Roman" w:hAnsi="Times New Roman"/>
          <w:noProof/>
          <w:sz w:val="24"/>
          <w:szCs w:val="24"/>
        </w:rPr>
        <w:t>900</w:t>
      </w:r>
      <w:r>
        <w:rPr>
          <w:rFonts w:ascii="Times New Roman" w:hAnsi="Times New Roman"/>
          <w:noProof/>
          <w:sz w:val="24"/>
          <w:szCs w:val="24"/>
        </w:rPr>
        <w:t xml:space="preserve">.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_Ref85022081 </w:instrText>
      </w:r>
      <w:r w:rsidR="008968F7" w:rsidRPr="00DA11F1">
        <w:rPr>
          <w:rFonts w:ascii="Times New Roman" w:hAnsi="Times New Roman"/>
          <w:noProof/>
          <w:sz w:val="24"/>
          <w:szCs w:val="24"/>
        </w:rPr>
        <w:instrText xml:space="preserve"> \* MERGEFORMAT </w:instrText>
      </w:r>
      <w:r w:rsidRPr="00DA11F1">
        <w:rPr>
          <w:rFonts w:ascii="Times New Roman" w:hAnsi="Times New Roman"/>
          <w:noProof/>
          <w:sz w:val="24"/>
          <w:szCs w:val="24"/>
        </w:rPr>
        <w:fldChar w:fldCharType="separate"/>
      </w:r>
      <w:r w:rsidR="008B0254">
        <w:rPr>
          <w:rFonts w:ascii="Times New Roman" w:hAnsi="Times New Roman"/>
          <w:noProof/>
          <w:sz w:val="24"/>
          <w:szCs w:val="24"/>
        </w:rPr>
        <w:t>Tab</w:t>
      </w:r>
      <w:r w:rsidRPr="00DA11F1">
        <w:rPr>
          <w:rFonts w:ascii="Times New Roman" w:hAnsi="Times New Roman"/>
          <w:noProof/>
          <w:sz w:val="24"/>
          <w:szCs w:val="24"/>
        </w:rPr>
        <w:t>e</w:t>
      </w:r>
      <w:r w:rsidR="008B0254">
        <w:rPr>
          <w:rFonts w:ascii="Times New Roman" w:hAnsi="Times New Roman"/>
          <w:noProof/>
          <w:sz w:val="24"/>
          <w:szCs w:val="24"/>
        </w:rPr>
        <w:t>l </w:t>
      </w:r>
      <w:r w:rsidRPr="00D4425F">
        <w:rPr>
          <w:rFonts w:ascii="Times New Roman" w:hAnsi="Times New Roman"/>
          <w:noProof/>
          <w:sz w:val="24"/>
          <w:szCs w:val="24"/>
        </w:rPr>
        <w:t>3</w:t>
      </w:r>
      <w:r w:rsidRPr="00DA11F1">
        <w:rPr>
          <w:rFonts w:ascii="Times New Roman" w:hAnsi="Times New Roman"/>
          <w:noProof/>
          <w:sz w:val="24"/>
          <w:szCs w:val="24"/>
        </w:rPr>
        <w:fldChar w:fldCharType="end"/>
      </w:r>
      <w:r>
        <w:rPr>
          <w:rFonts w:ascii="Times New Roman" w:hAnsi="Times New Roman"/>
          <w:noProof/>
          <w:sz w:val="24"/>
          <w:szCs w:val="24"/>
        </w:rPr>
        <w:t xml:space="preserve"> bevat een overzicht van de aantallen emissierechten</w:t>
      </w:r>
      <w:r w:rsidR="002D27E2" w:rsidRPr="00DA11F1">
        <w:rPr>
          <w:rFonts w:ascii="Times New Roman" w:hAnsi="Times New Roman"/>
          <w:noProof/>
          <w:sz w:val="24"/>
          <w:szCs w:val="24"/>
          <w:vertAlign w:val="superscript"/>
          <w:lang w:val="en-IE"/>
        </w:rPr>
        <w:footnoteReference w:id="35"/>
      </w:r>
      <w:r>
        <w:rPr>
          <w:rFonts w:ascii="Times New Roman" w:hAnsi="Times New Roman"/>
          <w:noProof/>
          <w:sz w:val="24"/>
          <w:szCs w:val="24"/>
        </w:rPr>
        <w:t xml:space="preserve"> die tot </w:t>
      </w:r>
      <w:r w:rsidRPr="00D4425F">
        <w:rPr>
          <w:rFonts w:ascii="Times New Roman" w:hAnsi="Times New Roman"/>
          <w:noProof/>
          <w:sz w:val="24"/>
          <w:szCs w:val="24"/>
        </w:rPr>
        <w:t>30</w:t>
      </w:r>
      <w:r>
        <w:rPr>
          <w:rFonts w:ascii="Times New Roman" w:hAnsi="Times New Roman"/>
          <w:noProof/>
          <w:sz w:val="24"/>
          <w:szCs w:val="24"/>
        </w:rPr>
        <w:t> juni </w:t>
      </w:r>
      <w:r w:rsidRPr="00D4425F">
        <w:rPr>
          <w:rFonts w:ascii="Times New Roman" w:hAnsi="Times New Roman"/>
          <w:noProof/>
          <w:sz w:val="24"/>
          <w:szCs w:val="24"/>
        </w:rPr>
        <w:t>2021</w:t>
      </w:r>
      <w:r>
        <w:rPr>
          <w:rFonts w:ascii="Times New Roman" w:hAnsi="Times New Roman"/>
          <w:noProof/>
          <w:sz w:val="24"/>
          <w:szCs w:val="24"/>
        </w:rPr>
        <w:t xml:space="preserve"> door EEX en ICE geveild zijn, met inbegrip van vooruitgeschoven veilingen</w:t>
      </w:r>
      <w:r w:rsidR="002D27E2" w:rsidRPr="00DA11F1">
        <w:rPr>
          <w:rFonts w:ascii="Times New Roman" w:hAnsi="Times New Roman"/>
          <w:noProof/>
          <w:sz w:val="24"/>
          <w:szCs w:val="24"/>
          <w:vertAlign w:val="superscript"/>
          <w:lang w:val="en-IE"/>
        </w:rPr>
        <w:footnoteReference w:id="36"/>
      </w:r>
      <w:r>
        <w:rPr>
          <w:rFonts w:ascii="Times New Roman" w:hAnsi="Times New Roman"/>
          <w:noProof/>
          <w:sz w:val="24"/>
          <w:szCs w:val="24"/>
        </w:rPr>
        <w:t xml:space="preserve"> van algemene emissierechten.</w:t>
      </w:r>
    </w:p>
    <w:p w14:paraId="4017CD8B" w14:textId="1DCDDE30" w:rsidR="00FE3846" w:rsidRPr="00DA11F1" w:rsidRDefault="00FE3846" w:rsidP="008E33DB">
      <w:pPr>
        <w:pStyle w:val="Caption"/>
        <w:keepNext/>
        <w:rPr>
          <w:rFonts w:ascii="Times New Roman" w:hAnsi="Times New Roman"/>
          <w:noProof/>
          <w:sz w:val="22"/>
        </w:rPr>
      </w:pPr>
      <w:bookmarkStart w:id="29" w:name="_Ref85022081"/>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4425F">
        <w:rPr>
          <w:rFonts w:ascii="Times New Roman" w:hAnsi="Times New Roman"/>
          <w:noProof/>
          <w:sz w:val="22"/>
        </w:rPr>
        <w:t>3</w:t>
      </w:r>
      <w:r w:rsidRPr="00DA11F1">
        <w:rPr>
          <w:rFonts w:ascii="Times New Roman" w:hAnsi="Times New Roman"/>
          <w:noProof/>
          <w:sz w:val="22"/>
        </w:rPr>
        <w:fldChar w:fldCharType="end"/>
      </w:r>
      <w:bookmarkEnd w:id="29"/>
      <w:r>
        <w:rPr>
          <w:noProof/>
        </w:rPr>
        <w:t>.</w:t>
      </w:r>
      <w:r>
        <w:rPr>
          <w:rFonts w:ascii="Times New Roman" w:hAnsi="Times New Roman"/>
          <w:noProof/>
          <w:sz w:val="22"/>
        </w:rPr>
        <w:t xml:space="preserve"> Totale hoev</w:t>
      </w:r>
      <w:r w:rsidR="008B0254">
        <w:rPr>
          <w:rFonts w:ascii="Times New Roman" w:hAnsi="Times New Roman"/>
          <w:noProof/>
          <w:sz w:val="22"/>
        </w:rPr>
        <w:t>eelheid emissierechten uit fase </w:t>
      </w:r>
      <w:r w:rsidRPr="00D4425F">
        <w:rPr>
          <w:rFonts w:ascii="Times New Roman" w:hAnsi="Times New Roman"/>
          <w:noProof/>
          <w:sz w:val="22"/>
        </w:rPr>
        <w:t>3</w:t>
      </w:r>
      <w:r>
        <w:rPr>
          <w:rFonts w:ascii="Times New Roman" w:hAnsi="Times New Roman"/>
          <w:noProof/>
          <w:sz w:val="22"/>
        </w:rPr>
        <w:t xml:space="preserve"> die geveild zij</w:t>
      </w:r>
      <w:r w:rsidR="008B0254">
        <w:rPr>
          <w:rFonts w:ascii="Times New Roman" w:hAnsi="Times New Roman"/>
          <w:noProof/>
          <w:sz w:val="22"/>
        </w:rPr>
        <w:t>n, januari </w:t>
      </w:r>
      <w:r w:rsidRPr="00D4425F">
        <w:rPr>
          <w:rFonts w:ascii="Times New Roman" w:hAnsi="Times New Roman"/>
          <w:noProof/>
          <w:sz w:val="22"/>
        </w:rPr>
        <w:t>2012</w:t>
      </w:r>
      <w:r>
        <w:rPr>
          <w:rFonts w:ascii="Times New Roman" w:hAnsi="Times New Roman"/>
          <w:noProof/>
          <w:sz w:val="22"/>
        </w:rPr>
        <w:t>-</w:t>
      </w:r>
      <w:r w:rsidRPr="00D4425F">
        <w:rPr>
          <w:rFonts w:ascii="Times New Roman" w:hAnsi="Times New Roman"/>
          <w:noProof/>
          <w:sz w:val="22"/>
        </w:rPr>
        <w:t>30</w:t>
      </w:r>
      <w:r w:rsidR="008B0254">
        <w:rPr>
          <w:rFonts w:ascii="Times New Roman" w:hAnsi="Times New Roman"/>
          <w:noProof/>
          <w:sz w:val="22"/>
        </w:rPr>
        <w:t xml:space="preserve"> juni </w:t>
      </w:r>
      <w:r w:rsidRPr="00D4425F">
        <w:rPr>
          <w:rFonts w:ascii="Times New Roman" w:hAnsi="Times New Roman"/>
          <w:noProof/>
          <w:sz w:val="22"/>
        </w:rPr>
        <w:t>2021</w:t>
      </w:r>
      <w:r w:rsidRPr="00DA11F1">
        <w:rPr>
          <w:rStyle w:val="FootnoteReference"/>
          <w:rFonts w:ascii="Times New Roman" w:hAnsi="Times New Roman"/>
          <w:b w:val="0"/>
          <w:bCs w:val="0"/>
          <w:noProof/>
        </w:rPr>
        <w:footnoteReference w:id="37"/>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03"/>
        <w:gridCol w:w="3152"/>
        <w:gridCol w:w="3087"/>
      </w:tblGrid>
      <w:tr w:rsidR="00131369" w:rsidRPr="00DA11F1" w14:paraId="6FE937B2"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C96CFE" w14:textId="77777777" w:rsidR="00131369" w:rsidRPr="00DA11F1" w:rsidRDefault="009B1524" w:rsidP="008758DE">
            <w:pPr>
              <w:spacing w:after="0"/>
              <w:jc w:val="center"/>
              <w:rPr>
                <w:rFonts w:ascii="Times New Roman" w:eastAsia="Times New Roman" w:hAnsi="Times New Roman"/>
                <w:b/>
                <w:noProof/>
                <w:sz w:val="20"/>
                <w:szCs w:val="20"/>
              </w:rPr>
            </w:pPr>
            <w:r>
              <w:rPr>
                <w:rFonts w:ascii="Times New Roman" w:hAnsi="Times New Roman"/>
                <w:b/>
                <w:noProof/>
                <w:sz w:val="20"/>
                <w:szCs w:val="20"/>
              </w:rPr>
              <w:t>Jaar</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7D671BD8" w14:textId="77777777" w:rsidR="00131369" w:rsidRPr="00DA11F1" w:rsidRDefault="009B1524" w:rsidP="008758DE">
            <w:pPr>
              <w:spacing w:after="0"/>
              <w:jc w:val="center"/>
              <w:rPr>
                <w:rFonts w:ascii="Times New Roman" w:eastAsia="Times New Roman" w:hAnsi="Times New Roman"/>
                <w:b/>
                <w:noProof/>
                <w:sz w:val="20"/>
                <w:szCs w:val="20"/>
              </w:rPr>
            </w:pPr>
            <w:r>
              <w:rPr>
                <w:rFonts w:ascii="Times New Roman" w:hAnsi="Times New Roman"/>
                <w:b/>
                <w:noProof/>
                <w:sz w:val="20"/>
                <w:szCs w:val="20"/>
              </w:rPr>
              <w:t xml:space="preserve">Algemene emissierechten </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7A429EC" w14:textId="77777777" w:rsidR="00131369" w:rsidRPr="00DA11F1" w:rsidRDefault="009B1524" w:rsidP="008758DE">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 xml:space="preserve">Luchtvaartemissierechten </w:t>
            </w:r>
          </w:p>
        </w:tc>
      </w:tr>
      <w:tr w:rsidR="00131369" w:rsidRPr="00DA11F1" w14:paraId="3D070D61"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10A9655" w14:textId="1DB81222"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2012</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E361FA8"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89</w:t>
            </w:r>
            <w:r>
              <w:rPr>
                <w:rFonts w:ascii="Times New Roman" w:hAnsi="Times New Roman"/>
                <w:noProof/>
                <w:sz w:val="20"/>
                <w:szCs w:val="20"/>
              </w:rPr>
              <w:t> </w:t>
            </w:r>
            <w:r w:rsidRPr="00D4425F">
              <w:rPr>
                <w:rFonts w:ascii="Times New Roman" w:hAnsi="Times New Roman"/>
                <w:noProof/>
                <w:sz w:val="20"/>
                <w:szCs w:val="20"/>
              </w:rPr>
              <w:t>701</w:t>
            </w:r>
            <w:r>
              <w:rPr>
                <w:rFonts w:ascii="Times New Roman" w:hAnsi="Times New Roman"/>
                <w:noProof/>
                <w:sz w:val="20"/>
                <w:szCs w:val="20"/>
              </w:rPr>
              <w:t> </w:t>
            </w:r>
            <w:r w:rsidRPr="00D4425F">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D6955A3" w14:textId="77777777" w:rsidR="00131369" w:rsidRPr="00DA11F1" w:rsidRDefault="009B1524" w:rsidP="008758DE">
            <w:pPr>
              <w:spacing w:after="0"/>
              <w:jc w:val="center"/>
              <w:rPr>
                <w:rFonts w:ascii="Times New Roman" w:hAnsi="Times New Roman"/>
                <w:bCs/>
                <w:noProof/>
                <w:color w:val="000000"/>
                <w:sz w:val="20"/>
                <w:szCs w:val="20"/>
              </w:rPr>
            </w:pPr>
            <w:r w:rsidRPr="00D4425F">
              <w:rPr>
                <w:rFonts w:ascii="Times New Roman" w:hAnsi="Times New Roman"/>
                <w:bCs/>
                <w:noProof/>
                <w:color w:val="000000"/>
                <w:sz w:val="20"/>
                <w:szCs w:val="20"/>
              </w:rPr>
              <w:t>2</w:t>
            </w:r>
            <w:r>
              <w:rPr>
                <w:rFonts w:ascii="Times New Roman" w:hAnsi="Times New Roman"/>
                <w:bCs/>
                <w:noProof/>
                <w:color w:val="000000"/>
                <w:sz w:val="20"/>
                <w:szCs w:val="20"/>
              </w:rPr>
              <w:t> </w:t>
            </w:r>
            <w:r w:rsidRPr="00D4425F">
              <w:rPr>
                <w:rFonts w:ascii="Times New Roman" w:hAnsi="Times New Roman"/>
                <w:bCs/>
                <w:noProof/>
                <w:color w:val="000000"/>
                <w:sz w:val="20"/>
                <w:szCs w:val="20"/>
              </w:rPr>
              <w:t>500</w:t>
            </w:r>
            <w:r>
              <w:rPr>
                <w:rFonts w:ascii="Times New Roman" w:hAnsi="Times New Roman"/>
                <w:bCs/>
                <w:noProof/>
                <w:color w:val="000000"/>
                <w:sz w:val="20"/>
                <w:szCs w:val="20"/>
              </w:rPr>
              <w:t> </w:t>
            </w:r>
            <w:r w:rsidRPr="00D4425F">
              <w:rPr>
                <w:rFonts w:ascii="Times New Roman" w:hAnsi="Times New Roman"/>
                <w:bCs/>
                <w:noProof/>
                <w:color w:val="000000"/>
                <w:sz w:val="20"/>
                <w:szCs w:val="20"/>
              </w:rPr>
              <w:t>000</w:t>
            </w:r>
          </w:p>
        </w:tc>
      </w:tr>
      <w:tr w:rsidR="00131369" w:rsidRPr="00DA11F1" w14:paraId="755E24C3"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29920CC"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2013</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578C14CA"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808</w:t>
            </w:r>
            <w:r>
              <w:rPr>
                <w:rFonts w:ascii="Times New Roman" w:hAnsi="Times New Roman"/>
                <w:noProof/>
                <w:sz w:val="20"/>
                <w:szCs w:val="20"/>
              </w:rPr>
              <w:t> </w:t>
            </w:r>
            <w:r w:rsidRPr="00D4425F">
              <w:rPr>
                <w:rFonts w:ascii="Times New Roman" w:hAnsi="Times New Roman"/>
                <w:noProof/>
                <w:sz w:val="20"/>
                <w:szCs w:val="20"/>
              </w:rPr>
              <w:t>146</w:t>
            </w:r>
            <w:r>
              <w:rPr>
                <w:rFonts w:ascii="Times New Roman" w:hAnsi="Times New Roman"/>
                <w:noProof/>
                <w:sz w:val="20"/>
                <w:szCs w:val="20"/>
              </w:rPr>
              <w:t> </w:t>
            </w:r>
            <w:r w:rsidRPr="00D4425F">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066BB1" w14:textId="77777777" w:rsidR="00131369" w:rsidRPr="00DA11F1" w:rsidRDefault="009B1524" w:rsidP="008758DE">
            <w:pPr>
              <w:spacing w:after="0"/>
              <w:jc w:val="center"/>
              <w:rPr>
                <w:rFonts w:ascii="Times New Roman" w:hAnsi="Times New Roman"/>
                <w:bCs/>
                <w:noProof/>
                <w:color w:val="000000"/>
                <w:sz w:val="20"/>
                <w:szCs w:val="20"/>
              </w:rPr>
            </w:pPr>
            <w:r w:rsidRPr="00D4425F">
              <w:rPr>
                <w:rFonts w:ascii="Times New Roman" w:hAnsi="Times New Roman"/>
                <w:bCs/>
                <w:noProof/>
                <w:color w:val="000000"/>
                <w:sz w:val="20"/>
                <w:szCs w:val="20"/>
              </w:rPr>
              <w:t>0</w:t>
            </w:r>
            <w:r>
              <w:rPr>
                <w:rFonts w:ascii="Times New Roman" w:hAnsi="Times New Roman"/>
                <w:bCs/>
                <w:noProof/>
                <w:color w:val="000000"/>
                <w:sz w:val="20"/>
                <w:szCs w:val="20"/>
              </w:rPr>
              <w:t xml:space="preserve"> </w:t>
            </w:r>
          </w:p>
        </w:tc>
      </w:tr>
      <w:tr w:rsidR="00131369" w:rsidRPr="00DA11F1" w14:paraId="739208FB"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7B54746"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2014</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07C1AC7"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528</w:t>
            </w:r>
            <w:r>
              <w:rPr>
                <w:rFonts w:ascii="Times New Roman" w:hAnsi="Times New Roman"/>
                <w:noProof/>
                <w:sz w:val="20"/>
                <w:szCs w:val="20"/>
              </w:rPr>
              <w:t> </w:t>
            </w:r>
            <w:r w:rsidRPr="00D4425F">
              <w:rPr>
                <w:rFonts w:ascii="Times New Roman" w:hAnsi="Times New Roman"/>
                <w:noProof/>
                <w:sz w:val="20"/>
                <w:szCs w:val="20"/>
              </w:rPr>
              <w:t>399</w:t>
            </w:r>
            <w:r>
              <w:rPr>
                <w:rFonts w:ascii="Times New Roman" w:hAnsi="Times New Roman"/>
                <w:noProof/>
                <w:sz w:val="20"/>
                <w:szCs w:val="20"/>
              </w:rPr>
              <w:t> </w:t>
            </w:r>
            <w:r w:rsidRPr="00D4425F">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41C0FAB" w14:textId="77777777" w:rsidR="00131369" w:rsidRPr="00DA11F1" w:rsidRDefault="009B1524" w:rsidP="008758DE">
            <w:pPr>
              <w:spacing w:after="0"/>
              <w:jc w:val="center"/>
              <w:rPr>
                <w:rFonts w:ascii="Times New Roman" w:hAnsi="Times New Roman"/>
                <w:bCs/>
                <w:noProof/>
                <w:color w:val="000000"/>
                <w:sz w:val="20"/>
                <w:szCs w:val="20"/>
              </w:rPr>
            </w:pPr>
            <w:r w:rsidRPr="00D4425F">
              <w:rPr>
                <w:rFonts w:ascii="Times New Roman" w:hAnsi="Times New Roman"/>
                <w:bCs/>
                <w:noProof/>
                <w:color w:val="000000"/>
                <w:sz w:val="20"/>
                <w:szCs w:val="20"/>
              </w:rPr>
              <w:t>9</w:t>
            </w:r>
            <w:r>
              <w:rPr>
                <w:rFonts w:ascii="Times New Roman" w:hAnsi="Times New Roman"/>
                <w:bCs/>
                <w:noProof/>
                <w:color w:val="000000"/>
                <w:sz w:val="20"/>
                <w:szCs w:val="20"/>
              </w:rPr>
              <w:t> </w:t>
            </w:r>
            <w:r w:rsidRPr="00D4425F">
              <w:rPr>
                <w:rFonts w:ascii="Times New Roman" w:hAnsi="Times New Roman"/>
                <w:bCs/>
                <w:noProof/>
                <w:color w:val="000000"/>
                <w:sz w:val="20"/>
                <w:szCs w:val="20"/>
              </w:rPr>
              <w:t>278</w:t>
            </w:r>
            <w:r>
              <w:rPr>
                <w:rFonts w:ascii="Times New Roman" w:hAnsi="Times New Roman"/>
                <w:bCs/>
                <w:noProof/>
                <w:color w:val="000000"/>
                <w:sz w:val="20"/>
                <w:szCs w:val="20"/>
              </w:rPr>
              <w:t> </w:t>
            </w:r>
            <w:r w:rsidRPr="00D4425F">
              <w:rPr>
                <w:rFonts w:ascii="Times New Roman" w:hAnsi="Times New Roman"/>
                <w:bCs/>
                <w:noProof/>
                <w:color w:val="000000"/>
                <w:sz w:val="20"/>
                <w:szCs w:val="20"/>
              </w:rPr>
              <w:t>000</w:t>
            </w:r>
          </w:p>
        </w:tc>
      </w:tr>
      <w:tr w:rsidR="00131369" w:rsidRPr="00DA11F1" w14:paraId="7B1B1BA1"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46F7ABF"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2015</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3C4CB14"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632</w:t>
            </w:r>
            <w:r>
              <w:rPr>
                <w:rFonts w:ascii="Times New Roman" w:hAnsi="Times New Roman"/>
                <w:noProof/>
                <w:sz w:val="20"/>
                <w:szCs w:val="20"/>
              </w:rPr>
              <w:t> </w:t>
            </w:r>
            <w:r w:rsidRPr="00D4425F">
              <w:rPr>
                <w:rFonts w:ascii="Times New Roman" w:hAnsi="Times New Roman"/>
                <w:noProof/>
                <w:sz w:val="20"/>
                <w:szCs w:val="20"/>
              </w:rPr>
              <w:t>725</w:t>
            </w:r>
            <w:r>
              <w:rPr>
                <w:rFonts w:ascii="Times New Roman" w:hAnsi="Times New Roman"/>
                <w:noProof/>
                <w:sz w:val="20"/>
                <w:szCs w:val="20"/>
              </w:rPr>
              <w:t> </w:t>
            </w:r>
            <w:r w:rsidRPr="00D4425F">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FAF8201" w14:textId="77777777" w:rsidR="00131369" w:rsidRPr="00DA11F1" w:rsidRDefault="009B1524" w:rsidP="008758DE">
            <w:pPr>
              <w:spacing w:after="0"/>
              <w:jc w:val="center"/>
              <w:rPr>
                <w:rFonts w:ascii="Times New Roman" w:hAnsi="Times New Roman"/>
                <w:bCs/>
                <w:noProof/>
                <w:color w:val="000000"/>
                <w:sz w:val="20"/>
                <w:szCs w:val="20"/>
              </w:rPr>
            </w:pPr>
            <w:r w:rsidRPr="00D4425F">
              <w:rPr>
                <w:rFonts w:ascii="Times New Roman" w:hAnsi="Times New Roman"/>
                <w:bCs/>
                <w:noProof/>
                <w:color w:val="000000"/>
                <w:sz w:val="20"/>
                <w:szCs w:val="20"/>
              </w:rPr>
              <w:t>16</w:t>
            </w:r>
            <w:r>
              <w:rPr>
                <w:rFonts w:ascii="Times New Roman" w:hAnsi="Times New Roman"/>
                <w:bCs/>
                <w:noProof/>
                <w:color w:val="000000"/>
                <w:sz w:val="20"/>
                <w:szCs w:val="20"/>
              </w:rPr>
              <w:t> </w:t>
            </w:r>
            <w:r w:rsidRPr="00D4425F">
              <w:rPr>
                <w:rFonts w:ascii="Times New Roman" w:hAnsi="Times New Roman"/>
                <w:bCs/>
                <w:noProof/>
                <w:color w:val="000000"/>
                <w:sz w:val="20"/>
                <w:szCs w:val="20"/>
              </w:rPr>
              <w:t>390</w:t>
            </w:r>
            <w:r>
              <w:rPr>
                <w:rFonts w:ascii="Times New Roman" w:hAnsi="Times New Roman"/>
                <w:bCs/>
                <w:noProof/>
                <w:color w:val="000000"/>
                <w:sz w:val="20"/>
                <w:szCs w:val="20"/>
              </w:rPr>
              <w:t> </w:t>
            </w:r>
            <w:r w:rsidRPr="00D4425F">
              <w:rPr>
                <w:rFonts w:ascii="Times New Roman" w:hAnsi="Times New Roman"/>
                <w:bCs/>
                <w:noProof/>
                <w:color w:val="000000"/>
                <w:sz w:val="20"/>
                <w:szCs w:val="20"/>
              </w:rPr>
              <w:t>500</w:t>
            </w:r>
          </w:p>
        </w:tc>
      </w:tr>
      <w:tr w:rsidR="00131369" w:rsidRPr="00DA11F1" w14:paraId="22AF5462"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59FFE354"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2016</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8C0E076"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715</w:t>
            </w:r>
            <w:r>
              <w:rPr>
                <w:rFonts w:ascii="Times New Roman" w:hAnsi="Times New Roman"/>
                <w:noProof/>
                <w:sz w:val="20"/>
                <w:szCs w:val="20"/>
              </w:rPr>
              <w:t> </w:t>
            </w:r>
            <w:r w:rsidRPr="00D4425F">
              <w:rPr>
                <w:rFonts w:ascii="Times New Roman" w:hAnsi="Times New Roman"/>
                <w:noProof/>
                <w:sz w:val="20"/>
                <w:szCs w:val="20"/>
              </w:rPr>
              <w:t>289</w:t>
            </w:r>
            <w:r>
              <w:rPr>
                <w:rFonts w:ascii="Times New Roman" w:hAnsi="Times New Roman"/>
                <w:noProof/>
                <w:sz w:val="20"/>
                <w:szCs w:val="20"/>
              </w:rPr>
              <w:t> </w:t>
            </w:r>
            <w:r w:rsidRPr="00D4425F">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2A6FEBA1" w14:textId="77777777" w:rsidR="00131369" w:rsidRPr="00DA11F1" w:rsidRDefault="009B1524" w:rsidP="008758DE">
            <w:pPr>
              <w:spacing w:after="0"/>
              <w:jc w:val="center"/>
              <w:rPr>
                <w:rFonts w:ascii="Times New Roman" w:hAnsi="Times New Roman"/>
                <w:bCs/>
                <w:noProof/>
                <w:color w:val="000000"/>
                <w:sz w:val="20"/>
                <w:szCs w:val="20"/>
              </w:rPr>
            </w:pPr>
            <w:r w:rsidRPr="00D4425F">
              <w:rPr>
                <w:rFonts w:ascii="Times New Roman" w:hAnsi="Times New Roman"/>
                <w:bCs/>
                <w:noProof/>
                <w:color w:val="000000"/>
                <w:sz w:val="20"/>
                <w:szCs w:val="20"/>
              </w:rPr>
              <w:t>5</w:t>
            </w:r>
            <w:r>
              <w:rPr>
                <w:rFonts w:ascii="Times New Roman" w:hAnsi="Times New Roman"/>
                <w:bCs/>
                <w:noProof/>
                <w:color w:val="000000"/>
                <w:sz w:val="20"/>
                <w:szCs w:val="20"/>
              </w:rPr>
              <w:t> </w:t>
            </w:r>
            <w:r w:rsidRPr="00D4425F">
              <w:rPr>
                <w:rFonts w:ascii="Times New Roman" w:hAnsi="Times New Roman"/>
                <w:bCs/>
                <w:noProof/>
                <w:color w:val="000000"/>
                <w:sz w:val="20"/>
                <w:szCs w:val="20"/>
              </w:rPr>
              <w:t>997</w:t>
            </w:r>
            <w:r>
              <w:rPr>
                <w:rFonts w:ascii="Times New Roman" w:hAnsi="Times New Roman"/>
                <w:bCs/>
                <w:noProof/>
                <w:color w:val="000000"/>
                <w:sz w:val="20"/>
                <w:szCs w:val="20"/>
              </w:rPr>
              <w:t> </w:t>
            </w:r>
            <w:r w:rsidRPr="00D4425F">
              <w:rPr>
                <w:rFonts w:ascii="Times New Roman" w:hAnsi="Times New Roman"/>
                <w:bCs/>
                <w:noProof/>
                <w:color w:val="000000"/>
                <w:sz w:val="20"/>
                <w:szCs w:val="20"/>
              </w:rPr>
              <w:t>500</w:t>
            </w:r>
          </w:p>
        </w:tc>
      </w:tr>
      <w:tr w:rsidR="00131369" w:rsidRPr="00DA11F1" w14:paraId="7D7581EB"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3B4505B9"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2017</w:t>
            </w:r>
            <w:r>
              <w:rPr>
                <w:rFonts w:ascii="Times New Roman" w:hAnsi="Times New Roman"/>
                <w:noProof/>
                <w:sz w:val="20"/>
                <w:szCs w:val="20"/>
              </w:rPr>
              <w:t xml:space="preserve">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61F9670B"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951</w:t>
            </w:r>
            <w:r>
              <w:rPr>
                <w:rFonts w:ascii="Times New Roman" w:hAnsi="Times New Roman"/>
                <w:noProof/>
                <w:sz w:val="20"/>
                <w:szCs w:val="20"/>
              </w:rPr>
              <w:t> </w:t>
            </w:r>
            <w:r w:rsidRPr="00D4425F">
              <w:rPr>
                <w:rFonts w:ascii="Times New Roman" w:hAnsi="Times New Roman"/>
                <w:noProof/>
                <w:sz w:val="20"/>
                <w:szCs w:val="20"/>
              </w:rPr>
              <w:t>195</w:t>
            </w:r>
            <w:r>
              <w:rPr>
                <w:rFonts w:ascii="Times New Roman" w:hAnsi="Times New Roman"/>
                <w:noProof/>
                <w:sz w:val="20"/>
                <w:szCs w:val="20"/>
              </w:rPr>
              <w:t> </w:t>
            </w:r>
            <w:r w:rsidRPr="00D4425F">
              <w:rPr>
                <w:rFonts w:ascii="Times New Roman" w:hAnsi="Times New Roman"/>
                <w:noProof/>
                <w:sz w:val="20"/>
                <w:szCs w:val="20"/>
              </w:rPr>
              <w:t>500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7F2ECDC" w14:textId="77777777" w:rsidR="00131369" w:rsidRPr="00DA11F1" w:rsidRDefault="009B1524" w:rsidP="008758DE">
            <w:pPr>
              <w:spacing w:after="0"/>
              <w:jc w:val="center"/>
              <w:rPr>
                <w:rFonts w:ascii="Times New Roman" w:hAnsi="Times New Roman"/>
                <w:bCs/>
                <w:noProof/>
                <w:color w:val="000000"/>
                <w:sz w:val="20"/>
                <w:szCs w:val="20"/>
              </w:rPr>
            </w:pPr>
            <w:r w:rsidRPr="00D4425F">
              <w:rPr>
                <w:rFonts w:ascii="Times New Roman" w:hAnsi="Times New Roman"/>
                <w:bCs/>
                <w:noProof/>
                <w:color w:val="000000"/>
                <w:sz w:val="20"/>
                <w:szCs w:val="20"/>
              </w:rPr>
              <w:t>4</w:t>
            </w:r>
            <w:r>
              <w:rPr>
                <w:rFonts w:ascii="Times New Roman" w:hAnsi="Times New Roman"/>
                <w:bCs/>
                <w:noProof/>
                <w:color w:val="000000"/>
                <w:sz w:val="20"/>
                <w:szCs w:val="20"/>
              </w:rPr>
              <w:t> </w:t>
            </w:r>
            <w:r w:rsidRPr="00D4425F">
              <w:rPr>
                <w:rFonts w:ascii="Times New Roman" w:hAnsi="Times New Roman"/>
                <w:bCs/>
                <w:noProof/>
                <w:color w:val="000000"/>
                <w:sz w:val="20"/>
                <w:szCs w:val="20"/>
              </w:rPr>
              <w:t>730</w:t>
            </w:r>
            <w:r>
              <w:rPr>
                <w:rFonts w:ascii="Times New Roman" w:hAnsi="Times New Roman"/>
                <w:bCs/>
                <w:noProof/>
                <w:color w:val="000000"/>
                <w:sz w:val="20"/>
                <w:szCs w:val="20"/>
              </w:rPr>
              <w:t> </w:t>
            </w:r>
            <w:r w:rsidRPr="00D4425F">
              <w:rPr>
                <w:rFonts w:ascii="Times New Roman" w:hAnsi="Times New Roman"/>
                <w:bCs/>
                <w:noProof/>
                <w:color w:val="000000"/>
                <w:sz w:val="20"/>
                <w:szCs w:val="20"/>
              </w:rPr>
              <w:t>500</w:t>
            </w:r>
          </w:p>
        </w:tc>
      </w:tr>
      <w:tr w:rsidR="00131369" w:rsidRPr="00DA11F1" w14:paraId="23F19399"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200617F3"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2018</w:t>
            </w:r>
            <w:r>
              <w:rPr>
                <w:rFonts w:ascii="Times New Roman" w:hAnsi="Times New Roman"/>
                <w:noProof/>
                <w:sz w:val="20"/>
                <w:szCs w:val="20"/>
              </w:rPr>
              <w:t xml:space="preserve">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24D17742"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915</w:t>
            </w:r>
            <w:r>
              <w:rPr>
                <w:rFonts w:ascii="Times New Roman" w:hAnsi="Times New Roman"/>
                <w:noProof/>
                <w:sz w:val="20"/>
                <w:szCs w:val="20"/>
              </w:rPr>
              <w:t> </w:t>
            </w:r>
            <w:r w:rsidRPr="00D4425F">
              <w:rPr>
                <w:rFonts w:ascii="Times New Roman" w:hAnsi="Times New Roman"/>
                <w:noProof/>
                <w:sz w:val="20"/>
                <w:szCs w:val="20"/>
              </w:rPr>
              <w:t>750</w:t>
            </w:r>
            <w:r>
              <w:rPr>
                <w:rFonts w:ascii="Times New Roman" w:hAnsi="Times New Roman"/>
                <w:noProof/>
                <w:sz w:val="20"/>
                <w:szCs w:val="20"/>
              </w:rPr>
              <w:t> </w:t>
            </w:r>
            <w:r w:rsidRPr="00D4425F">
              <w:rPr>
                <w:rFonts w:ascii="Times New Roman" w:hAnsi="Times New Roman"/>
                <w:noProof/>
                <w:sz w:val="20"/>
                <w:szCs w:val="20"/>
              </w:rPr>
              <w:t>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12D8D860" w14:textId="77777777" w:rsidR="00131369" w:rsidRPr="00DA11F1" w:rsidRDefault="009B1524" w:rsidP="008758DE">
            <w:pPr>
              <w:spacing w:after="0"/>
              <w:jc w:val="center"/>
              <w:rPr>
                <w:rFonts w:ascii="Times New Roman" w:hAnsi="Times New Roman"/>
                <w:bCs/>
                <w:noProof/>
                <w:color w:val="000000"/>
                <w:sz w:val="20"/>
                <w:szCs w:val="20"/>
              </w:rPr>
            </w:pPr>
            <w:r w:rsidRPr="00D4425F">
              <w:rPr>
                <w:rFonts w:ascii="Times New Roman" w:hAnsi="Times New Roman"/>
                <w:noProof/>
                <w:sz w:val="20"/>
                <w:szCs w:val="20"/>
              </w:rPr>
              <w:t>5</w:t>
            </w:r>
            <w:r>
              <w:rPr>
                <w:rFonts w:ascii="Times New Roman" w:hAnsi="Times New Roman"/>
                <w:noProof/>
                <w:sz w:val="20"/>
                <w:szCs w:val="20"/>
              </w:rPr>
              <w:t> </w:t>
            </w:r>
            <w:r w:rsidRPr="00D4425F">
              <w:rPr>
                <w:rFonts w:ascii="Times New Roman" w:hAnsi="Times New Roman"/>
                <w:noProof/>
                <w:sz w:val="20"/>
                <w:szCs w:val="20"/>
              </w:rPr>
              <w:t>601</w:t>
            </w:r>
            <w:r>
              <w:rPr>
                <w:rFonts w:ascii="Times New Roman" w:hAnsi="Times New Roman"/>
                <w:noProof/>
                <w:sz w:val="20"/>
                <w:szCs w:val="20"/>
              </w:rPr>
              <w:t> </w:t>
            </w:r>
            <w:r w:rsidRPr="00D4425F">
              <w:rPr>
                <w:rFonts w:ascii="Times New Roman" w:hAnsi="Times New Roman"/>
                <w:noProof/>
                <w:sz w:val="20"/>
                <w:szCs w:val="20"/>
              </w:rPr>
              <w:t>500</w:t>
            </w:r>
          </w:p>
        </w:tc>
      </w:tr>
      <w:tr w:rsidR="00131369" w:rsidRPr="00DA11F1" w14:paraId="610AA001"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05B81B51"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2019</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2FCB7E3"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588</w:t>
            </w:r>
            <w:r>
              <w:rPr>
                <w:rFonts w:ascii="Times New Roman" w:hAnsi="Times New Roman"/>
                <w:noProof/>
                <w:sz w:val="20"/>
                <w:szCs w:val="20"/>
              </w:rPr>
              <w:t> </w:t>
            </w:r>
            <w:r w:rsidRPr="00D4425F">
              <w:rPr>
                <w:rFonts w:ascii="Times New Roman" w:hAnsi="Times New Roman"/>
                <w:noProof/>
                <w:sz w:val="20"/>
                <w:szCs w:val="20"/>
              </w:rPr>
              <w:t>540</w:t>
            </w:r>
            <w:r>
              <w:rPr>
                <w:rFonts w:ascii="Times New Roman" w:hAnsi="Times New Roman"/>
                <w:noProof/>
                <w:sz w:val="20"/>
                <w:szCs w:val="20"/>
              </w:rPr>
              <w:t> </w:t>
            </w:r>
            <w:r w:rsidRPr="00D4425F">
              <w:rPr>
                <w:rFonts w:ascii="Times New Roman" w:hAnsi="Times New Roman"/>
                <w:noProof/>
                <w:sz w:val="20"/>
                <w:szCs w:val="20"/>
              </w:rPr>
              <w:t>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427418D" w14:textId="77777777"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5</w:t>
            </w:r>
            <w:r>
              <w:rPr>
                <w:rFonts w:ascii="Times New Roman" w:hAnsi="Times New Roman"/>
                <w:noProof/>
                <w:sz w:val="20"/>
                <w:szCs w:val="20"/>
              </w:rPr>
              <w:t> </w:t>
            </w:r>
            <w:r w:rsidRPr="00D4425F">
              <w:rPr>
                <w:rFonts w:ascii="Times New Roman" w:hAnsi="Times New Roman"/>
                <w:noProof/>
                <w:sz w:val="20"/>
                <w:szCs w:val="20"/>
              </w:rPr>
              <w:t>502</w:t>
            </w:r>
            <w:r>
              <w:rPr>
                <w:rFonts w:ascii="Times New Roman" w:hAnsi="Times New Roman"/>
                <w:noProof/>
                <w:sz w:val="20"/>
                <w:szCs w:val="20"/>
              </w:rPr>
              <w:t> </w:t>
            </w:r>
            <w:r w:rsidRPr="00D4425F">
              <w:rPr>
                <w:rFonts w:ascii="Times New Roman" w:hAnsi="Times New Roman"/>
                <w:noProof/>
                <w:sz w:val="20"/>
                <w:szCs w:val="20"/>
              </w:rPr>
              <w:t>500</w:t>
            </w:r>
          </w:p>
        </w:tc>
      </w:tr>
      <w:tr w:rsidR="00131369" w:rsidRPr="00DA11F1" w14:paraId="5A4BFEDD"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6FA938C7" w14:textId="6EDA9B08" w:rsidR="00131369" w:rsidRPr="00DA11F1" w:rsidRDefault="009B1524"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2020</w:t>
            </w:r>
            <w:r>
              <w:rPr>
                <w:rFonts w:ascii="Times New Roman" w:hAnsi="Times New Roman"/>
                <w:noProof/>
                <w:sz w:val="20"/>
                <w:szCs w:val="20"/>
              </w:rPr>
              <w:t xml:space="preserve"> </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49F41225" w14:textId="39FA1716" w:rsidR="00131369" w:rsidRPr="00DA11F1" w:rsidRDefault="00EC03F8"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778</w:t>
            </w:r>
            <w:r>
              <w:rPr>
                <w:rFonts w:ascii="Times New Roman" w:hAnsi="Times New Roman"/>
                <w:noProof/>
                <w:sz w:val="20"/>
                <w:szCs w:val="20"/>
              </w:rPr>
              <w:t> </w:t>
            </w:r>
            <w:r w:rsidRPr="00D4425F">
              <w:rPr>
                <w:rFonts w:ascii="Times New Roman" w:hAnsi="Times New Roman"/>
                <w:noProof/>
                <w:sz w:val="20"/>
                <w:szCs w:val="20"/>
              </w:rPr>
              <w:t>505</w:t>
            </w:r>
            <w:r>
              <w:rPr>
                <w:rFonts w:ascii="Times New Roman" w:hAnsi="Times New Roman"/>
                <w:noProof/>
                <w:sz w:val="20"/>
                <w:szCs w:val="20"/>
              </w:rPr>
              <w:t> </w:t>
            </w:r>
            <w:r w:rsidRPr="00D4425F">
              <w:rPr>
                <w:rFonts w:ascii="Times New Roman" w:hAnsi="Times New Roman"/>
                <w:noProof/>
                <w:sz w:val="20"/>
                <w:szCs w:val="20"/>
              </w:rPr>
              <w:t>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3368E5FE" w14:textId="2D83C5B4" w:rsidR="00131369" w:rsidRPr="00DA11F1" w:rsidRDefault="00933B1C"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7</w:t>
            </w:r>
            <w:r>
              <w:rPr>
                <w:rFonts w:ascii="Times New Roman" w:hAnsi="Times New Roman"/>
                <w:noProof/>
                <w:sz w:val="20"/>
                <w:szCs w:val="20"/>
              </w:rPr>
              <w:t> </w:t>
            </w:r>
            <w:r w:rsidRPr="00D4425F">
              <w:rPr>
                <w:rFonts w:ascii="Times New Roman" w:hAnsi="Times New Roman"/>
                <w:noProof/>
                <w:sz w:val="20"/>
                <w:szCs w:val="20"/>
              </w:rPr>
              <w:t>505</w:t>
            </w:r>
            <w:r>
              <w:rPr>
                <w:rFonts w:ascii="Times New Roman" w:hAnsi="Times New Roman"/>
                <w:noProof/>
                <w:sz w:val="20"/>
                <w:szCs w:val="20"/>
              </w:rPr>
              <w:t> </w:t>
            </w:r>
            <w:r w:rsidRPr="00D4425F">
              <w:rPr>
                <w:rFonts w:ascii="Times New Roman" w:hAnsi="Times New Roman"/>
                <w:noProof/>
                <w:sz w:val="20"/>
                <w:szCs w:val="20"/>
              </w:rPr>
              <w:t>000</w:t>
            </w:r>
          </w:p>
        </w:tc>
      </w:tr>
      <w:tr w:rsidR="00EC03F8" w:rsidRPr="00DA11F1" w14:paraId="25D7524D" w14:textId="77777777" w:rsidTr="00D50EDD">
        <w:trPr>
          <w:trHeight w:val="414"/>
          <w:jc w:val="center"/>
        </w:trPr>
        <w:tc>
          <w:tcPr>
            <w:tcW w:w="1625" w:type="pct"/>
            <w:tcBorders>
              <w:top w:val="double" w:sz="4" w:space="0" w:color="auto"/>
              <w:left w:val="double" w:sz="4" w:space="0" w:color="auto"/>
              <w:bottom w:val="double" w:sz="4" w:space="0" w:color="auto"/>
              <w:right w:val="double" w:sz="4" w:space="0" w:color="auto"/>
            </w:tcBorders>
            <w:shd w:val="clear" w:color="auto" w:fill="auto"/>
            <w:vAlign w:val="center"/>
          </w:tcPr>
          <w:p w14:paraId="4F72FA0F" w14:textId="57F61E59" w:rsidR="00EC03F8" w:rsidRPr="00DA11F1" w:rsidRDefault="00EC03F8"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2021</w:t>
            </w:r>
            <w:r>
              <w:rPr>
                <w:rFonts w:ascii="Times New Roman" w:hAnsi="Times New Roman"/>
                <w:noProof/>
                <w:sz w:val="20"/>
                <w:szCs w:val="20"/>
              </w:rPr>
              <w:t xml:space="preserve"> (tot </w:t>
            </w:r>
            <w:r w:rsidRPr="00D4425F">
              <w:rPr>
                <w:rFonts w:ascii="Times New Roman" w:hAnsi="Times New Roman"/>
                <w:noProof/>
                <w:sz w:val="20"/>
                <w:szCs w:val="20"/>
              </w:rPr>
              <w:t>30</w:t>
            </w:r>
            <w:r>
              <w:rPr>
                <w:rFonts w:ascii="Times New Roman" w:hAnsi="Times New Roman"/>
                <w:noProof/>
                <w:sz w:val="20"/>
                <w:szCs w:val="20"/>
              </w:rPr>
              <w:t xml:space="preserve"> juni </w:t>
            </w:r>
            <w:r w:rsidRPr="00D4425F">
              <w:rPr>
                <w:rFonts w:ascii="Times New Roman" w:hAnsi="Times New Roman"/>
                <w:noProof/>
                <w:sz w:val="20"/>
                <w:szCs w:val="20"/>
              </w:rPr>
              <w:t>2021</w:t>
            </w:r>
            <w:r>
              <w:rPr>
                <w:rFonts w:ascii="Times New Roman" w:hAnsi="Times New Roman"/>
                <w:noProof/>
                <w:sz w:val="20"/>
                <w:szCs w:val="20"/>
              </w:rPr>
              <w:t>)</w:t>
            </w:r>
          </w:p>
        </w:tc>
        <w:tc>
          <w:tcPr>
            <w:tcW w:w="1705" w:type="pct"/>
            <w:tcBorders>
              <w:top w:val="double" w:sz="4" w:space="0" w:color="auto"/>
              <w:left w:val="double" w:sz="4" w:space="0" w:color="auto"/>
              <w:bottom w:val="double" w:sz="4" w:space="0" w:color="auto"/>
              <w:right w:val="double" w:sz="4" w:space="0" w:color="auto"/>
            </w:tcBorders>
            <w:shd w:val="clear" w:color="auto" w:fill="auto"/>
            <w:vAlign w:val="center"/>
          </w:tcPr>
          <w:p w14:paraId="08F0025F" w14:textId="0246F02E" w:rsidR="00EC03F8" w:rsidRPr="00DA11F1" w:rsidRDefault="00EC03F8"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308</w:t>
            </w:r>
            <w:r>
              <w:rPr>
                <w:rFonts w:ascii="Times New Roman" w:hAnsi="Times New Roman"/>
                <w:noProof/>
                <w:sz w:val="20"/>
                <w:szCs w:val="20"/>
              </w:rPr>
              <w:t> </w:t>
            </w:r>
            <w:r w:rsidRPr="00D4425F">
              <w:rPr>
                <w:rFonts w:ascii="Times New Roman" w:hAnsi="Times New Roman"/>
                <w:noProof/>
                <w:sz w:val="20"/>
                <w:szCs w:val="20"/>
              </w:rPr>
              <w:t>326</w:t>
            </w:r>
            <w:r>
              <w:rPr>
                <w:rFonts w:ascii="Times New Roman" w:hAnsi="Times New Roman"/>
                <w:noProof/>
                <w:sz w:val="20"/>
                <w:szCs w:val="20"/>
              </w:rPr>
              <w:t> </w:t>
            </w:r>
            <w:r w:rsidRPr="00D4425F">
              <w:rPr>
                <w:rFonts w:ascii="Times New Roman" w:hAnsi="Times New Roman"/>
                <w:noProof/>
                <w:sz w:val="20"/>
                <w:szCs w:val="20"/>
              </w:rPr>
              <w:t>000</w:t>
            </w:r>
          </w:p>
        </w:tc>
        <w:tc>
          <w:tcPr>
            <w:tcW w:w="1670" w:type="pct"/>
            <w:tcBorders>
              <w:top w:val="double" w:sz="4" w:space="0" w:color="auto"/>
              <w:left w:val="double" w:sz="4" w:space="0" w:color="auto"/>
              <w:bottom w:val="double" w:sz="4" w:space="0" w:color="auto"/>
              <w:right w:val="double" w:sz="4" w:space="0" w:color="auto"/>
            </w:tcBorders>
            <w:shd w:val="clear" w:color="auto" w:fill="auto"/>
            <w:vAlign w:val="center"/>
          </w:tcPr>
          <w:p w14:paraId="7A979FB8" w14:textId="2A13A50C" w:rsidR="00EC03F8" w:rsidRPr="00DA11F1" w:rsidRDefault="00EC03F8" w:rsidP="008758DE">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343</w:t>
            </w:r>
            <w:r>
              <w:rPr>
                <w:rFonts w:ascii="Times New Roman" w:hAnsi="Times New Roman"/>
                <w:noProof/>
                <w:sz w:val="20"/>
                <w:szCs w:val="20"/>
              </w:rPr>
              <w:t> </w:t>
            </w:r>
            <w:r w:rsidRPr="00D4425F">
              <w:rPr>
                <w:rFonts w:ascii="Times New Roman" w:hAnsi="Times New Roman"/>
                <w:noProof/>
                <w:sz w:val="20"/>
                <w:szCs w:val="20"/>
              </w:rPr>
              <w:t>000</w:t>
            </w:r>
          </w:p>
        </w:tc>
      </w:tr>
    </w:tbl>
    <w:p w14:paraId="518B4EDD" w14:textId="77777777" w:rsidR="00131369" w:rsidRPr="00DA11F1" w:rsidRDefault="009B1524" w:rsidP="008E33DB">
      <w:pPr>
        <w:ind w:right="57"/>
        <w:jc w:val="both"/>
        <w:rPr>
          <w:rFonts w:ascii="Times New Roman" w:eastAsia="Times New Roman" w:hAnsi="Times New Roman"/>
          <w:noProof/>
          <w:sz w:val="20"/>
          <w:szCs w:val="18"/>
        </w:rPr>
      </w:pPr>
      <w:r>
        <w:rPr>
          <w:rFonts w:ascii="Times New Roman" w:hAnsi="Times New Roman"/>
          <w:noProof/>
          <w:sz w:val="20"/>
          <w:szCs w:val="18"/>
        </w:rPr>
        <w:t>Bron: EEX</w:t>
      </w:r>
    </w:p>
    <w:p w14:paraId="43C3E631" w14:textId="59A6E054" w:rsidR="008D0350" w:rsidRPr="00DA11F1" w:rsidRDefault="008968F7" w:rsidP="008E33DB">
      <w:pPr>
        <w:jc w:val="both"/>
        <w:rPr>
          <w:rFonts w:ascii="Times New Roman" w:hAnsi="Times New Roman"/>
          <w:noProof/>
          <w:sz w:val="24"/>
          <w:szCs w:val="24"/>
        </w:rPr>
      </w:pPr>
      <w:r>
        <w:rPr>
          <w:rFonts w:ascii="Times New Roman" w:hAnsi="Times New Roman"/>
          <w:noProof/>
          <w:sz w:val="24"/>
          <w:szCs w:val="24"/>
        </w:rPr>
        <w:t>De marktstab</w:t>
      </w:r>
      <w:r w:rsidR="008B0254">
        <w:rPr>
          <w:rFonts w:ascii="Times New Roman" w:hAnsi="Times New Roman"/>
          <w:noProof/>
          <w:sz w:val="24"/>
          <w:szCs w:val="24"/>
        </w:rPr>
        <w:t>iliteitsreserve, die in januari </w:t>
      </w:r>
      <w:r w:rsidRPr="00D4425F">
        <w:rPr>
          <w:rFonts w:ascii="Times New Roman" w:hAnsi="Times New Roman"/>
          <w:noProof/>
          <w:sz w:val="24"/>
          <w:szCs w:val="24"/>
        </w:rPr>
        <w:t>2019</w:t>
      </w:r>
      <w:r>
        <w:rPr>
          <w:rFonts w:ascii="Times New Roman" w:hAnsi="Times New Roman"/>
          <w:noProof/>
          <w:sz w:val="24"/>
          <w:szCs w:val="24"/>
        </w:rPr>
        <w:t xml:space="preserve"> operationeel is geworden, heeft tot een aanzienlijke afname van het aanbod van veilingbare emissierechten geleid. In het algemeen verliepen de veilingen vlot en lagen de toewijzingsprijzen in de lijn van de prijzen op de secundaire markt.</w:t>
      </w:r>
    </w:p>
    <w:p w14:paraId="5EA1F243" w14:textId="43F84871" w:rsidR="00131369" w:rsidRPr="00DA11F1" w:rsidRDefault="008968F7" w:rsidP="008E33DB">
      <w:pPr>
        <w:jc w:val="both"/>
        <w:rPr>
          <w:rFonts w:ascii="Times New Roman" w:hAnsi="Times New Roman"/>
          <w:b/>
          <w:noProof/>
          <w:sz w:val="20"/>
          <w:szCs w:val="20"/>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werden </w:t>
      </w:r>
      <w:r w:rsidRPr="00D4425F">
        <w:rPr>
          <w:rFonts w:ascii="Times New Roman" w:hAnsi="Times New Roman"/>
          <w:noProof/>
          <w:sz w:val="24"/>
          <w:szCs w:val="24"/>
        </w:rPr>
        <w:t>15</w:t>
      </w:r>
      <w:r w:rsidR="008B0254">
        <w:rPr>
          <w:rFonts w:ascii="Times New Roman" w:hAnsi="Times New Roman"/>
          <w:noProof/>
          <w:sz w:val="24"/>
          <w:szCs w:val="24"/>
        </w:rPr>
        <w:t xml:space="preserve"> </w:t>
      </w:r>
      <w:r>
        <w:rPr>
          <w:rFonts w:ascii="Times New Roman" w:hAnsi="Times New Roman"/>
          <w:noProof/>
          <w:sz w:val="24"/>
          <w:szCs w:val="24"/>
        </w:rPr>
        <w:t xml:space="preserve">van de meer dan </w:t>
      </w:r>
      <w:r w:rsidRPr="00D4425F">
        <w:rPr>
          <w:rFonts w:ascii="Times New Roman" w:hAnsi="Times New Roman"/>
          <w:noProof/>
          <w:sz w:val="24"/>
          <w:szCs w:val="24"/>
        </w:rPr>
        <w:t>1</w:t>
      </w:r>
      <w:r>
        <w:rPr>
          <w:rFonts w:ascii="Times New Roman" w:hAnsi="Times New Roman"/>
          <w:noProof/>
          <w:sz w:val="24"/>
          <w:szCs w:val="24"/>
        </w:rPr>
        <w:t> </w:t>
      </w:r>
      <w:r w:rsidRPr="00D4425F">
        <w:rPr>
          <w:rFonts w:ascii="Times New Roman" w:hAnsi="Times New Roman"/>
          <w:noProof/>
          <w:sz w:val="24"/>
          <w:szCs w:val="24"/>
        </w:rPr>
        <w:t>800</w:t>
      </w:r>
      <w:r>
        <w:rPr>
          <w:rFonts w:ascii="Times New Roman" w:hAnsi="Times New Roman"/>
          <w:noProof/>
          <w:sz w:val="24"/>
          <w:szCs w:val="24"/>
        </w:rPr>
        <w:t xml:space="preserve"> veilingen geannuleerd, hetzij omdat de reserveprijs niet werd gehaald, hetzij omdat de totale omvang van de biedingen kleiner was dan de hoeveelheid geveilde emissierechten, overeenkomstig de regels van de veilingverordening. </w:t>
      </w: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_Ref85022371  \* MERGEFORMAT </w:instrText>
      </w:r>
      <w:r w:rsidRPr="00DA11F1">
        <w:rPr>
          <w:rFonts w:ascii="Times New Roman" w:hAnsi="Times New Roman"/>
          <w:noProof/>
          <w:sz w:val="24"/>
          <w:szCs w:val="24"/>
        </w:rPr>
        <w:fldChar w:fldCharType="separate"/>
      </w:r>
      <w:r w:rsidR="00C0162E">
        <w:rPr>
          <w:rFonts w:ascii="Times New Roman" w:hAnsi="Times New Roman"/>
          <w:noProof/>
          <w:sz w:val="24"/>
        </w:rPr>
        <w:t>Figuur</w:t>
      </w:r>
      <w:r w:rsidR="00C0162E">
        <w:rPr>
          <w:rFonts w:ascii="Times New Roman" w:hAnsi="Times New Roman"/>
          <w:noProof/>
        </w:rPr>
        <w:t> </w:t>
      </w:r>
      <w:r w:rsidR="00B1114C" w:rsidRPr="00D4425F">
        <w:rPr>
          <w:rFonts w:ascii="Times New Roman" w:hAnsi="Times New Roman"/>
          <w:noProof/>
        </w:rPr>
        <w:t>2</w:t>
      </w:r>
      <w:r w:rsidRPr="00DA11F1">
        <w:rPr>
          <w:rFonts w:ascii="Times New Roman" w:hAnsi="Times New Roman"/>
          <w:noProof/>
          <w:sz w:val="24"/>
          <w:szCs w:val="24"/>
        </w:rPr>
        <w:fldChar w:fldCharType="end"/>
      </w:r>
      <w:r>
        <w:rPr>
          <w:rFonts w:ascii="Times New Roman" w:hAnsi="Times New Roman"/>
          <w:noProof/>
          <w:sz w:val="24"/>
          <w:szCs w:val="24"/>
        </w:rPr>
        <w:t xml:space="preserve"> bevat een overzicht van de toewijzingsprijzen op de koolstofmarkt van de EU sinds </w:t>
      </w:r>
      <w:r w:rsidRPr="00D4425F">
        <w:rPr>
          <w:rFonts w:ascii="Times New Roman" w:hAnsi="Times New Roman"/>
          <w:noProof/>
          <w:sz w:val="24"/>
          <w:szCs w:val="24"/>
        </w:rPr>
        <w:t>2013</w:t>
      </w:r>
      <w:r>
        <w:rPr>
          <w:rFonts w:ascii="Times New Roman" w:hAnsi="Times New Roman"/>
          <w:noProof/>
          <w:sz w:val="24"/>
          <w:szCs w:val="24"/>
        </w:rPr>
        <w:t xml:space="preserve">. </w:t>
      </w:r>
    </w:p>
    <w:p w14:paraId="00ED68C6" w14:textId="23120829" w:rsidR="008968F7" w:rsidRPr="00DA11F1" w:rsidRDefault="008968F7" w:rsidP="008E33DB">
      <w:pPr>
        <w:pStyle w:val="Caption"/>
        <w:keepNext/>
        <w:rPr>
          <w:rFonts w:ascii="Times New Roman" w:hAnsi="Times New Roman"/>
          <w:noProof/>
          <w:sz w:val="22"/>
        </w:rPr>
      </w:pPr>
      <w:bookmarkStart w:id="30" w:name="_Ref85022371"/>
      <w:r>
        <w:rPr>
          <w:rFonts w:ascii="Times New Roman" w:hAnsi="Times New Roman"/>
          <w:noProof/>
          <w:sz w:val="22"/>
        </w:rPr>
        <w:t>Figuur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4425F">
        <w:rPr>
          <w:rFonts w:ascii="Times New Roman" w:hAnsi="Times New Roman"/>
          <w:noProof/>
          <w:sz w:val="22"/>
        </w:rPr>
        <w:t>2</w:t>
      </w:r>
      <w:r w:rsidR="00F2602C" w:rsidRPr="00DA11F1">
        <w:rPr>
          <w:rFonts w:ascii="Times New Roman" w:hAnsi="Times New Roman"/>
          <w:noProof/>
          <w:sz w:val="22"/>
        </w:rPr>
        <w:fldChar w:fldCharType="end"/>
      </w:r>
      <w:bookmarkEnd w:id="30"/>
      <w:r>
        <w:rPr>
          <w:rFonts w:ascii="Times New Roman" w:hAnsi="Times New Roman"/>
          <w:noProof/>
          <w:sz w:val="22"/>
        </w:rPr>
        <w:t>. Toewijzingsprijzen van veilingen van algemene emissierechten, januari </w:t>
      </w:r>
      <w:r w:rsidRPr="00D4425F">
        <w:rPr>
          <w:rFonts w:ascii="Times New Roman" w:hAnsi="Times New Roman"/>
          <w:noProof/>
          <w:sz w:val="22"/>
        </w:rPr>
        <w:t>2013</w:t>
      </w:r>
      <w:r>
        <w:rPr>
          <w:rFonts w:ascii="Times New Roman" w:hAnsi="Times New Roman"/>
          <w:noProof/>
          <w:sz w:val="22"/>
        </w:rPr>
        <w:t>-</w:t>
      </w:r>
      <w:r w:rsidRPr="00D4425F">
        <w:rPr>
          <w:rFonts w:ascii="Times New Roman" w:hAnsi="Times New Roman"/>
          <w:noProof/>
          <w:sz w:val="22"/>
        </w:rPr>
        <w:t>30</w:t>
      </w:r>
      <w:r>
        <w:rPr>
          <w:rFonts w:ascii="Times New Roman" w:hAnsi="Times New Roman"/>
          <w:noProof/>
          <w:sz w:val="22"/>
        </w:rPr>
        <w:t> juni </w:t>
      </w:r>
      <w:r w:rsidRPr="00D4425F">
        <w:rPr>
          <w:rFonts w:ascii="Times New Roman" w:hAnsi="Times New Roman"/>
          <w:noProof/>
          <w:sz w:val="22"/>
        </w:rPr>
        <w:t>2021</w:t>
      </w:r>
    </w:p>
    <w:p w14:paraId="16ADF4CE" w14:textId="08DFE39D" w:rsidR="00131369" w:rsidRPr="00DA11F1" w:rsidRDefault="00FD0DAB" w:rsidP="008E33DB">
      <w:pPr>
        <w:rPr>
          <w:rFonts w:ascii="Times New Roman" w:hAnsi="Times New Roman"/>
          <w:b/>
          <w:noProof/>
          <w:sz w:val="20"/>
          <w:szCs w:val="20"/>
        </w:rPr>
      </w:pPr>
      <w:r>
        <w:rPr>
          <w:rFonts w:ascii="Times New Roman" w:hAnsi="Times New Roman"/>
          <w:b/>
          <w:noProof/>
          <w:sz w:val="20"/>
          <w:szCs w:val="20"/>
          <w:lang w:val="en-GB" w:eastAsia="en-GB"/>
        </w:rPr>
        <w:drawing>
          <wp:inline distT="0" distB="0" distL="0" distR="0" wp14:anchorId="20F081CE" wp14:editId="41EE5739">
            <wp:extent cx="5773218" cy="291733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76540" cy="2919009"/>
                    </a:xfrm>
                    <a:prstGeom prst="rect">
                      <a:avLst/>
                    </a:prstGeom>
                    <a:noFill/>
                  </pic:spPr>
                </pic:pic>
              </a:graphicData>
            </a:graphic>
          </wp:inline>
        </w:drawing>
      </w:r>
    </w:p>
    <w:p w14:paraId="6BDF499E" w14:textId="6D678632" w:rsidR="008D0350" w:rsidRPr="00DA11F1" w:rsidRDefault="009B1524" w:rsidP="008E33DB">
      <w:pPr>
        <w:ind w:right="57"/>
        <w:jc w:val="both"/>
        <w:rPr>
          <w:rFonts w:ascii="Times New Roman" w:eastAsia="Times New Roman" w:hAnsi="Times New Roman"/>
          <w:noProof/>
          <w:sz w:val="20"/>
          <w:szCs w:val="18"/>
        </w:rPr>
      </w:pPr>
      <w:r>
        <w:rPr>
          <w:rFonts w:ascii="Times New Roman" w:hAnsi="Times New Roman"/>
          <w:noProof/>
          <w:sz w:val="20"/>
          <w:szCs w:val="18"/>
        </w:rPr>
        <w:t>Bron: EEX</w:t>
      </w:r>
    </w:p>
    <w:p w14:paraId="68D4BA6F" w14:textId="07796CD0" w:rsidR="00C72145" w:rsidRPr="00DA11F1" w:rsidRDefault="00C72145" w:rsidP="008E33DB">
      <w:pPr>
        <w:jc w:val="both"/>
        <w:rPr>
          <w:rFonts w:ascii="Times New Roman" w:hAnsi="Times New Roman"/>
          <w:noProof/>
          <w:sz w:val="24"/>
          <w:szCs w:val="24"/>
        </w:rPr>
      </w:pPr>
      <w:r>
        <w:rPr>
          <w:rFonts w:ascii="Times New Roman" w:hAnsi="Times New Roman"/>
          <w:noProof/>
          <w:sz w:val="24"/>
          <w:szCs w:val="24"/>
        </w:rPr>
        <w:t>Zie aanhangsel </w:t>
      </w:r>
      <w:r w:rsidRPr="00D4425F">
        <w:rPr>
          <w:rFonts w:ascii="Times New Roman" w:hAnsi="Times New Roman"/>
          <w:noProof/>
          <w:sz w:val="24"/>
          <w:szCs w:val="24"/>
        </w:rPr>
        <w:t>5</w:t>
      </w:r>
      <w:r>
        <w:rPr>
          <w:rFonts w:ascii="Times New Roman" w:hAnsi="Times New Roman"/>
          <w:noProof/>
          <w:sz w:val="24"/>
          <w:szCs w:val="24"/>
        </w:rPr>
        <w:t xml:space="preserve"> van het werkdocument van de diensten van de Commissie bij dit verslag voor een overzicht van het aantal deelnemers aan de veilingen van algemene emissierechten in fase </w:t>
      </w:r>
      <w:r w:rsidRPr="00D4425F">
        <w:rPr>
          <w:rFonts w:ascii="Times New Roman" w:hAnsi="Times New Roman"/>
          <w:noProof/>
          <w:sz w:val="24"/>
          <w:szCs w:val="24"/>
        </w:rPr>
        <w:t>3</w:t>
      </w:r>
      <w:r>
        <w:rPr>
          <w:rFonts w:ascii="Times New Roman" w:hAnsi="Times New Roman"/>
          <w:noProof/>
          <w:sz w:val="24"/>
          <w:szCs w:val="24"/>
        </w:rPr>
        <w:t>. De veilingplatformen maken de details van de resultaten van elke veiling tijdig bekend op specifieke websites. Meer informatie over het verloop van de veilingen, waaronder de deelname, het dekkingscijfer en de prijzen, is te vinden in de verslagen van de deelnemende landen die op de website van de Commissie worden gepubliceerd</w:t>
      </w:r>
      <w:r w:rsidRPr="00DA11F1">
        <w:rPr>
          <w:rFonts w:ascii="Times New Roman" w:hAnsi="Times New Roman"/>
          <w:noProof/>
          <w:sz w:val="24"/>
          <w:szCs w:val="24"/>
          <w:vertAlign w:val="superscript"/>
          <w:lang w:val="en-IE"/>
        </w:rPr>
        <w:footnoteReference w:id="38"/>
      </w:r>
      <w:r w:rsidR="00C0162E">
        <w:rPr>
          <w:rFonts w:ascii="Times New Roman" w:hAnsi="Times New Roman"/>
          <w:noProof/>
          <w:sz w:val="24"/>
          <w:szCs w:val="24"/>
        </w:rPr>
        <w:t>.</w:t>
      </w:r>
    </w:p>
    <w:p w14:paraId="44011C40" w14:textId="3F4D0BA4" w:rsidR="00C72145" w:rsidRPr="00DA11F1" w:rsidRDefault="00C72145" w:rsidP="008E33DB">
      <w:pPr>
        <w:jc w:val="both"/>
        <w:rPr>
          <w:rFonts w:ascii="Times New Roman" w:hAnsi="Times New Roman"/>
          <w:noProof/>
          <w:sz w:val="24"/>
          <w:szCs w:val="24"/>
        </w:rPr>
      </w:pPr>
      <w:r>
        <w:rPr>
          <w:rFonts w:ascii="Times New Roman" w:hAnsi="Times New Roman"/>
          <w:noProof/>
          <w:sz w:val="24"/>
          <w:szCs w:val="24"/>
        </w:rPr>
        <w:t>Het totaal aan opbrengsten dat de veilingen in fase </w:t>
      </w:r>
      <w:r w:rsidRPr="00D4425F">
        <w:rPr>
          <w:rFonts w:ascii="Times New Roman" w:hAnsi="Times New Roman"/>
          <w:noProof/>
          <w:sz w:val="24"/>
          <w:szCs w:val="24"/>
        </w:rPr>
        <w:t>3</w:t>
      </w:r>
      <w:r>
        <w:rPr>
          <w:rFonts w:ascii="Times New Roman" w:hAnsi="Times New Roman"/>
          <w:noProof/>
          <w:sz w:val="24"/>
          <w:szCs w:val="24"/>
        </w:rPr>
        <w:t xml:space="preserve"> voor de lidstaten, het Verenigd Koninkrijk en IJsland, Liechtenstein en Noorwegen hebben opgeleverd, bedroeg meer dan </w:t>
      </w:r>
      <w:r w:rsidRPr="00D4425F">
        <w:rPr>
          <w:rFonts w:ascii="Times New Roman" w:hAnsi="Times New Roman"/>
          <w:noProof/>
          <w:sz w:val="24"/>
          <w:szCs w:val="24"/>
        </w:rPr>
        <w:t>68</w:t>
      </w:r>
      <w:r>
        <w:rPr>
          <w:rFonts w:ascii="Times New Roman" w:hAnsi="Times New Roman"/>
          <w:noProof/>
          <w:sz w:val="24"/>
          <w:szCs w:val="24"/>
        </w:rPr>
        <w:t> miljard EUR (zie de tabellen </w:t>
      </w:r>
      <w:r w:rsidRPr="00D4425F">
        <w:rPr>
          <w:rFonts w:ascii="Times New Roman" w:hAnsi="Times New Roman"/>
          <w:noProof/>
          <w:sz w:val="24"/>
          <w:szCs w:val="24"/>
        </w:rPr>
        <w:t>5</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w:t>
      </w:r>
      <w:r w:rsidRPr="00D4425F">
        <w:rPr>
          <w:rFonts w:ascii="Times New Roman" w:hAnsi="Times New Roman"/>
          <w:noProof/>
          <w:sz w:val="24"/>
          <w:szCs w:val="24"/>
        </w:rPr>
        <w:t>5</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xml:space="preserve"> en </w:t>
      </w:r>
      <w:r w:rsidRPr="00D4425F">
        <w:rPr>
          <w:rFonts w:ascii="Times New Roman" w:hAnsi="Times New Roman"/>
          <w:noProof/>
          <w:sz w:val="24"/>
          <w:szCs w:val="24"/>
        </w:rPr>
        <w:t>5</w:t>
      </w:r>
      <w:r>
        <w:rPr>
          <w:rFonts w:ascii="Times New Roman" w:hAnsi="Times New Roman"/>
          <w:noProof/>
          <w:sz w:val="24"/>
          <w:szCs w:val="24"/>
        </w:rPr>
        <w:t>.</w:t>
      </w:r>
      <w:r w:rsidRPr="00D4425F">
        <w:rPr>
          <w:rFonts w:ascii="Times New Roman" w:hAnsi="Times New Roman"/>
          <w:noProof/>
          <w:sz w:val="24"/>
          <w:szCs w:val="24"/>
        </w:rPr>
        <w:t>3</w:t>
      </w:r>
      <w:r>
        <w:rPr>
          <w:rFonts w:ascii="Times New Roman" w:hAnsi="Times New Roman"/>
          <w:noProof/>
          <w:sz w:val="24"/>
          <w:szCs w:val="24"/>
        </w:rPr>
        <w:t xml:space="preserve"> in het begeleidende werkdocument van de diensten van de Commissie)</w:t>
      </w:r>
      <w:r w:rsidR="00061ADE" w:rsidRPr="00DA11F1">
        <w:rPr>
          <w:rStyle w:val="FootnoteReference"/>
          <w:rFonts w:ascii="Times New Roman" w:hAnsi="Times New Roman"/>
          <w:noProof/>
          <w:sz w:val="24"/>
          <w:szCs w:val="24"/>
          <w:lang w:val="en-IE"/>
        </w:rPr>
        <w:footnoteReference w:id="39"/>
      </w:r>
      <w:r>
        <w:rPr>
          <w:rFonts w:ascii="Times New Roman" w:hAnsi="Times New Roman"/>
          <w:noProof/>
          <w:sz w:val="24"/>
          <w:szCs w:val="24"/>
        </w:rPr>
        <w:t xml:space="preserve">. Alleen al in </w:t>
      </w:r>
      <w:r w:rsidRPr="00D4425F">
        <w:rPr>
          <w:rFonts w:ascii="Times New Roman" w:hAnsi="Times New Roman"/>
          <w:noProof/>
          <w:sz w:val="24"/>
          <w:szCs w:val="24"/>
        </w:rPr>
        <w:t>2020</w:t>
      </w:r>
      <w:r>
        <w:rPr>
          <w:rFonts w:ascii="Times New Roman" w:hAnsi="Times New Roman"/>
          <w:noProof/>
          <w:sz w:val="24"/>
          <w:szCs w:val="24"/>
        </w:rPr>
        <w:t xml:space="preserve"> bedroeg het totaal aan opbrengsten uit de veilingen meer dan </w:t>
      </w:r>
      <w:r w:rsidRPr="00D4425F">
        <w:rPr>
          <w:rFonts w:ascii="Times New Roman" w:hAnsi="Times New Roman"/>
          <w:noProof/>
          <w:sz w:val="24"/>
          <w:szCs w:val="24"/>
        </w:rPr>
        <w:t>19</w:t>
      </w:r>
      <w:r>
        <w:rPr>
          <w:rFonts w:ascii="Times New Roman" w:hAnsi="Times New Roman"/>
          <w:noProof/>
          <w:sz w:val="24"/>
          <w:szCs w:val="24"/>
        </w:rPr>
        <w:t xml:space="preserve"> miljard EUR, en in de eerste helft van </w:t>
      </w:r>
      <w:r w:rsidRPr="00D4425F">
        <w:rPr>
          <w:rFonts w:ascii="Times New Roman" w:hAnsi="Times New Roman"/>
          <w:noProof/>
          <w:sz w:val="24"/>
          <w:szCs w:val="24"/>
        </w:rPr>
        <w:t>2021</w:t>
      </w:r>
      <w:r>
        <w:rPr>
          <w:rFonts w:ascii="Times New Roman" w:hAnsi="Times New Roman"/>
          <w:noProof/>
          <w:sz w:val="24"/>
          <w:szCs w:val="24"/>
        </w:rPr>
        <w:t xml:space="preserve"> </w:t>
      </w:r>
      <w:r w:rsidRPr="00D4425F">
        <w:rPr>
          <w:rFonts w:ascii="Times New Roman" w:hAnsi="Times New Roman"/>
          <w:noProof/>
          <w:sz w:val="24"/>
          <w:szCs w:val="24"/>
        </w:rPr>
        <w:t>13</w:t>
      </w:r>
      <w:r>
        <w:rPr>
          <w:rFonts w:ascii="Times New Roman" w:hAnsi="Times New Roman"/>
          <w:noProof/>
          <w:sz w:val="24"/>
          <w:szCs w:val="24"/>
        </w:rPr>
        <w:t>,</w:t>
      </w:r>
      <w:r w:rsidRPr="00D4425F">
        <w:rPr>
          <w:rFonts w:ascii="Times New Roman" w:hAnsi="Times New Roman"/>
          <w:noProof/>
          <w:sz w:val="24"/>
          <w:szCs w:val="24"/>
        </w:rPr>
        <w:t>9</w:t>
      </w:r>
      <w:r>
        <w:rPr>
          <w:rFonts w:ascii="Times New Roman" w:hAnsi="Times New Roman"/>
          <w:noProof/>
          <w:sz w:val="24"/>
          <w:szCs w:val="24"/>
        </w:rPr>
        <w:t xml:space="preserve"> miljard EUR. In de EU-ETS-richtlijn is bepaald dat de lidstaten minimaal </w:t>
      </w:r>
      <w:r w:rsidRPr="00D4425F">
        <w:rPr>
          <w:rFonts w:ascii="Times New Roman" w:hAnsi="Times New Roman"/>
          <w:noProof/>
          <w:sz w:val="24"/>
          <w:szCs w:val="24"/>
        </w:rPr>
        <w:t>50</w:t>
      </w:r>
      <w:r>
        <w:rPr>
          <w:rFonts w:ascii="Times New Roman" w:hAnsi="Times New Roman"/>
          <w:noProof/>
          <w:sz w:val="24"/>
          <w:szCs w:val="24"/>
        </w:rPr>
        <w:t> % van hun opbrengsten uit veilingen, waaronder alle opbrengsten uit emissierechten die zijn uitgegeven ten behoeve van solidariteit en groei, en alle opbrengsten uit emissierechten van de luchtvaart</w:t>
      </w:r>
      <w:r w:rsidRPr="00DA11F1">
        <w:rPr>
          <w:rStyle w:val="FootnoteReference"/>
          <w:rFonts w:ascii="Times New Roman" w:hAnsi="Times New Roman"/>
          <w:noProof/>
          <w:sz w:val="24"/>
          <w:szCs w:val="24"/>
          <w:lang w:val="en-IE"/>
        </w:rPr>
        <w:footnoteReference w:id="40"/>
      </w:r>
      <w:r>
        <w:rPr>
          <w:rFonts w:ascii="Times New Roman" w:hAnsi="Times New Roman"/>
          <w:noProof/>
          <w:sz w:val="24"/>
          <w:szCs w:val="24"/>
        </w:rPr>
        <w:t xml:space="preserve">, moeten gebruiken voor doelstellingen die met klimaat en energie te maken hebben. </w:t>
      </w:r>
    </w:p>
    <w:p w14:paraId="79A59A9D" w14:textId="599FBB26" w:rsidR="00C72145" w:rsidRPr="00DA11F1" w:rsidRDefault="00C72145" w:rsidP="008E33DB">
      <w:pPr>
        <w:jc w:val="both"/>
        <w:rPr>
          <w:rFonts w:ascii="Times New Roman" w:hAnsi="Times New Roman"/>
          <w:noProof/>
        </w:rPr>
      </w:pPr>
      <w:r>
        <w:rPr>
          <w:rFonts w:ascii="Times New Roman" w:hAnsi="Times New Roman"/>
          <w:noProof/>
          <w:sz w:val="24"/>
          <w:szCs w:val="24"/>
        </w:rPr>
        <w:t xml:space="preserve">Volgens de informatie die de lidstaten bij de Commissie hebben ingediend, werd in </w:t>
      </w:r>
      <w:r w:rsidRPr="00D4425F">
        <w:rPr>
          <w:rFonts w:ascii="Times New Roman" w:hAnsi="Times New Roman"/>
          <w:noProof/>
          <w:sz w:val="24"/>
          <w:szCs w:val="24"/>
        </w:rPr>
        <w:t>2020</w:t>
      </w:r>
      <w:r>
        <w:rPr>
          <w:rFonts w:ascii="Times New Roman" w:hAnsi="Times New Roman"/>
          <w:noProof/>
          <w:sz w:val="24"/>
          <w:szCs w:val="24"/>
        </w:rPr>
        <w:t xml:space="preserve"> naar schatting ongeveer </w:t>
      </w:r>
      <w:r w:rsidRPr="00D4425F">
        <w:rPr>
          <w:rFonts w:ascii="Times New Roman" w:hAnsi="Times New Roman"/>
          <w:noProof/>
          <w:sz w:val="24"/>
          <w:szCs w:val="24"/>
        </w:rPr>
        <w:t>72</w:t>
      </w:r>
      <w:r>
        <w:rPr>
          <w:rFonts w:ascii="Times New Roman" w:hAnsi="Times New Roman"/>
          <w:noProof/>
          <w:sz w:val="24"/>
          <w:szCs w:val="24"/>
        </w:rPr>
        <w:t> % van de veilingopbrengsten gebruikt voor klimaat- en energiedoeleinden, en in fase </w:t>
      </w:r>
      <w:r w:rsidRPr="00D4425F">
        <w:rPr>
          <w:rFonts w:ascii="Times New Roman" w:hAnsi="Times New Roman"/>
          <w:noProof/>
          <w:sz w:val="24"/>
          <w:szCs w:val="24"/>
        </w:rPr>
        <w:t>3</w:t>
      </w:r>
      <w:r>
        <w:rPr>
          <w:rFonts w:ascii="Times New Roman" w:hAnsi="Times New Roman"/>
          <w:noProof/>
          <w:sz w:val="24"/>
          <w:szCs w:val="24"/>
        </w:rPr>
        <w:t xml:space="preserve"> ongeveer </w:t>
      </w:r>
      <w:r w:rsidRPr="00D4425F">
        <w:rPr>
          <w:rFonts w:ascii="Times New Roman" w:hAnsi="Times New Roman"/>
          <w:noProof/>
          <w:sz w:val="24"/>
          <w:szCs w:val="24"/>
        </w:rPr>
        <w:t>75</w:t>
      </w:r>
      <w:r>
        <w:rPr>
          <w:rFonts w:ascii="Times New Roman" w:hAnsi="Times New Roman"/>
          <w:noProof/>
          <w:sz w:val="24"/>
          <w:szCs w:val="24"/>
        </w:rPr>
        <w:t> % (</w:t>
      </w:r>
      <w:r w:rsidRPr="00D4425F">
        <w:rPr>
          <w:rFonts w:ascii="Times New Roman" w:hAnsi="Times New Roman"/>
          <w:noProof/>
          <w:sz w:val="24"/>
          <w:szCs w:val="24"/>
        </w:rPr>
        <w:t>56</w:t>
      </w:r>
      <w:r>
        <w:rPr>
          <w:rFonts w:ascii="Times New Roman" w:hAnsi="Times New Roman"/>
          <w:noProof/>
          <w:sz w:val="24"/>
          <w:szCs w:val="24"/>
        </w:rPr>
        <w:t>,</w:t>
      </w:r>
      <w:r w:rsidRPr="00D4425F">
        <w:rPr>
          <w:rFonts w:ascii="Times New Roman" w:hAnsi="Times New Roman"/>
          <w:noProof/>
          <w:sz w:val="24"/>
          <w:szCs w:val="24"/>
        </w:rPr>
        <w:t>5</w:t>
      </w:r>
      <w:r>
        <w:rPr>
          <w:rFonts w:ascii="Times New Roman" w:hAnsi="Times New Roman"/>
          <w:noProof/>
          <w:sz w:val="24"/>
          <w:szCs w:val="24"/>
        </w:rPr>
        <w:t xml:space="preserve"> miljard EUR) van de totale opbrengsten. Hoewel een klein deel van dit bedrag (ongeveer </w:t>
      </w:r>
      <w:r w:rsidRPr="00D4425F">
        <w:rPr>
          <w:rFonts w:ascii="Times New Roman" w:hAnsi="Times New Roman"/>
          <w:noProof/>
          <w:sz w:val="24"/>
          <w:szCs w:val="24"/>
        </w:rPr>
        <w:t>3</w:t>
      </w:r>
      <w:r>
        <w:rPr>
          <w:rFonts w:ascii="Times New Roman" w:hAnsi="Times New Roman"/>
          <w:noProof/>
          <w:sz w:val="24"/>
          <w:szCs w:val="24"/>
        </w:rPr>
        <w:t xml:space="preserve"> % van de totale opbrengsten sinds </w:t>
      </w:r>
      <w:r w:rsidRPr="00D4425F">
        <w:rPr>
          <w:rFonts w:ascii="Times New Roman" w:hAnsi="Times New Roman"/>
          <w:noProof/>
          <w:sz w:val="24"/>
          <w:szCs w:val="24"/>
        </w:rPr>
        <w:t>2013</w:t>
      </w:r>
      <w:r>
        <w:rPr>
          <w:rFonts w:ascii="Times New Roman" w:hAnsi="Times New Roman"/>
          <w:noProof/>
          <w:sz w:val="24"/>
          <w:szCs w:val="24"/>
        </w:rPr>
        <w:t>) internationaal werd besteed, werd het grootste deel van de veilingopbrengsten in fase </w:t>
      </w:r>
      <w:r w:rsidRPr="00D4425F">
        <w:rPr>
          <w:rFonts w:ascii="Times New Roman" w:hAnsi="Times New Roman"/>
          <w:noProof/>
          <w:sz w:val="24"/>
          <w:szCs w:val="24"/>
        </w:rPr>
        <w:t>3</w:t>
      </w:r>
      <w:r>
        <w:rPr>
          <w:rFonts w:ascii="Times New Roman" w:hAnsi="Times New Roman"/>
          <w:noProof/>
          <w:sz w:val="24"/>
          <w:szCs w:val="24"/>
        </w:rPr>
        <w:t xml:space="preserve"> besteed aan binnenlandse klimaat- en energiedoeleinden (voornamelijk aan hernieuwbare energie, energie-efficiëntie en onderzoek en ontwikkeling). In de praktijk besteden de lidstaten meer aan klimaat- en energiedoeleinden dan hun veilingopbrengsten</w:t>
      </w:r>
      <w:r w:rsidR="00EC0413" w:rsidRPr="00DA11F1">
        <w:rPr>
          <w:rStyle w:val="FootnoteReference"/>
          <w:rFonts w:ascii="Times New Roman" w:hAnsi="Times New Roman"/>
          <w:noProof/>
          <w:sz w:val="24"/>
          <w:szCs w:val="24"/>
          <w:lang w:val="en-IE"/>
        </w:rPr>
        <w:footnoteReference w:id="41"/>
      </w:r>
      <w:r>
        <w:rPr>
          <w:rFonts w:ascii="Times New Roman" w:hAnsi="Times New Roman"/>
          <w:noProof/>
          <w:sz w:val="24"/>
          <w:szCs w:val="24"/>
        </w:rPr>
        <w:t>.</w:t>
      </w:r>
    </w:p>
    <w:p w14:paraId="7B956BFB" w14:textId="3C902FC9" w:rsidR="00131369" w:rsidRPr="00DA11F1" w:rsidRDefault="00FA7EBD" w:rsidP="008E33DB">
      <w:pPr>
        <w:pStyle w:val="Heading3"/>
        <w:spacing w:before="0" w:after="200"/>
        <w:ind w:left="720"/>
        <w:rPr>
          <w:i/>
          <w:noProof/>
        </w:rPr>
      </w:pPr>
      <w:bookmarkStart w:id="31" w:name="_Toc89423469"/>
      <w:r w:rsidRPr="00D4425F">
        <w:rPr>
          <w:i/>
          <w:noProof/>
        </w:rPr>
        <w:t>3</w:t>
      </w:r>
      <w:r>
        <w:rPr>
          <w:i/>
          <w:noProof/>
        </w:rPr>
        <w:t>.</w:t>
      </w:r>
      <w:r w:rsidRPr="00D4425F">
        <w:rPr>
          <w:i/>
          <w:noProof/>
        </w:rPr>
        <w:t>1</w:t>
      </w:r>
      <w:r>
        <w:rPr>
          <w:i/>
          <w:noProof/>
        </w:rPr>
        <w:t>.</w:t>
      </w:r>
      <w:r w:rsidRPr="00D4425F">
        <w:rPr>
          <w:i/>
          <w:noProof/>
        </w:rPr>
        <w:t>4</w:t>
      </w:r>
      <w:r>
        <w:rPr>
          <w:i/>
          <w:noProof/>
        </w:rPr>
        <w:t>. Afwijking van volledige veiling voor opwekking van elektriciteit en warmte</w:t>
      </w:r>
      <w:bookmarkEnd w:id="31"/>
    </w:p>
    <w:p w14:paraId="202129CB" w14:textId="3A4DBB26" w:rsidR="00BC21AD" w:rsidRPr="00DA11F1" w:rsidRDefault="00666776" w:rsidP="008E33DB">
      <w:pPr>
        <w:jc w:val="both"/>
        <w:rPr>
          <w:rFonts w:ascii="Times New Roman" w:hAnsi="Times New Roman"/>
          <w:noProof/>
          <w:sz w:val="24"/>
          <w:szCs w:val="24"/>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vormde artikel </w:t>
      </w:r>
      <w:r w:rsidRPr="00D4425F">
        <w:rPr>
          <w:rFonts w:ascii="Times New Roman" w:hAnsi="Times New Roman"/>
          <w:noProof/>
          <w:sz w:val="24"/>
          <w:szCs w:val="24"/>
        </w:rPr>
        <w:t>10</w:t>
      </w:r>
      <w:r>
        <w:rPr>
          <w:rFonts w:ascii="Times New Roman" w:hAnsi="Times New Roman"/>
          <w:noProof/>
          <w:sz w:val="24"/>
          <w:szCs w:val="24"/>
        </w:rPr>
        <w:t> quater van de EU-ETS-richtlijn een afwijking van de algemene regel om emissierechten te veilen ter ondersteuning van investeringen in de modernisering van de elektriciteitssector in bepaalde EU-lidstaten met een lager inkomen</w:t>
      </w:r>
      <w:r w:rsidR="00BC21AD" w:rsidRPr="00DA11F1">
        <w:rPr>
          <w:rStyle w:val="FootnoteReference"/>
          <w:rFonts w:ascii="Times New Roman" w:hAnsi="Times New Roman"/>
          <w:noProof/>
          <w:sz w:val="24"/>
          <w:szCs w:val="24"/>
        </w:rPr>
        <w:footnoteReference w:id="42"/>
      </w:r>
      <w:r>
        <w:rPr>
          <w:rFonts w:ascii="Times New Roman" w:hAnsi="Times New Roman"/>
          <w:noProof/>
          <w:sz w:val="24"/>
          <w:szCs w:val="24"/>
        </w:rPr>
        <w:t>. De kosteloze emissierechten die op grond van artikel </w:t>
      </w:r>
      <w:r w:rsidRPr="00D4425F">
        <w:rPr>
          <w:rFonts w:ascii="Times New Roman" w:hAnsi="Times New Roman"/>
          <w:noProof/>
          <w:sz w:val="24"/>
          <w:szCs w:val="24"/>
        </w:rPr>
        <w:t>10</w:t>
      </w:r>
      <w:r>
        <w:rPr>
          <w:rFonts w:ascii="Times New Roman" w:hAnsi="Times New Roman"/>
          <w:noProof/>
          <w:sz w:val="24"/>
          <w:szCs w:val="24"/>
        </w:rPr>
        <w:t> quater werden toegewezen, werden in mindering gebracht op de hoeveelheid emissierechten die de lidstaat anders zou veilen. Aangezien de kosteloze toewijzing van emissierechten aan installaties voor elektriciteitsproductie krachtens artikel </w:t>
      </w:r>
      <w:r w:rsidRPr="00D4425F">
        <w:rPr>
          <w:rFonts w:ascii="Times New Roman" w:hAnsi="Times New Roman"/>
          <w:noProof/>
          <w:sz w:val="24"/>
          <w:szCs w:val="24"/>
        </w:rPr>
        <w:t>10</w:t>
      </w:r>
      <w:r>
        <w:rPr>
          <w:rFonts w:ascii="Times New Roman" w:hAnsi="Times New Roman"/>
          <w:noProof/>
          <w:sz w:val="24"/>
          <w:szCs w:val="24"/>
        </w:rPr>
        <w:t> quater gepaard ging met staatssteun, zijn de voor de toepassing van de afwijking van dat artikel opgezette nationale regelingen met succes getoetst tegen de staatssteunregels en waren zij gebonden aan de richtsnoeren betreffende staatssteun</w:t>
      </w:r>
      <w:r w:rsidR="00BC21AD" w:rsidRPr="00DA11F1">
        <w:rPr>
          <w:rStyle w:val="FootnoteReference"/>
          <w:rFonts w:ascii="Times New Roman" w:hAnsi="Times New Roman"/>
          <w:noProof/>
          <w:sz w:val="24"/>
          <w:szCs w:val="24"/>
        </w:rPr>
        <w:footnoteReference w:id="43"/>
      </w:r>
      <w:r>
        <w:rPr>
          <w:rFonts w:ascii="Times New Roman" w:hAnsi="Times New Roman"/>
          <w:noProof/>
          <w:sz w:val="24"/>
          <w:szCs w:val="24"/>
        </w:rPr>
        <w:t xml:space="preserve">. </w:t>
      </w:r>
    </w:p>
    <w:p w14:paraId="02343918" w14:textId="15203A0B" w:rsidR="00E46C5D" w:rsidRPr="00DA11F1" w:rsidRDefault="00E46C5D" w:rsidP="008E33DB">
      <w:pPr>
        <w:jc w:val="both"/>
        <w:rPr>
          <w:rFonts w:ascii="Times New Roman" w:hAnsi="Times New Roman"/>
          <w:noProof/>
          <w:sz w:val="24"/>
          <w:szCs w:val="24"/>
        </w:rPr>
      </w:pPr>
      <w:r>
        <w:rPr>
          <w:rFonts w:ascii="Times New Roman" w:hAnsi="Times New Roman"/>
          <w:noProof/>
          <w:sz w:val="24"/>
          <w:szCs w:val="24"/>
        </w:rPr>
        <w:t>De totale waarde van de investeringssteun krachtens artikel </w:t>
      </w:r>
      <w:r w:rsidRPr="00D4425F">
        <w:rPr>
          <w:rFonts w:ascii="Times New Roman" w:hAnsi="Times New Roman"/>
          <w:noProof/>
          <w:sz w:val="24"/>
          <w:szCs w:val="24"/>
        </w:rPr>
        <w:t>10</w:t>
      </w:r>
      <w:r>
        <w:rPr>
          <w:rFonts w:ascii="Times New Roman" w:hAnsi="Times New Roman"/>
          <w:noProof/>
          <w:sz w:val="24"/>
          <w:szCs w:val="24"/>
        </w:rPr>
        <w:t xml:space="preserve"> quater die van </w:t>
      </w:r>
      <w:r w:rsidRPr="00D4425F">
        <w:rPr>
          <w:rFonts w:ascii="Times New Roman" w:hAnsi="Times New Roman"/>
          <w:noProof/>
          <w:sz w:val="24"/>
          <w:szCs w:val="24"/>
        </w:rPr>
        <w:t>2009</w:t>
      </w:r>
      <w:r>
        <w:rPr>
          <w:rFonts w:ascii="Times New Roman" w:hAnsi="Times New Roman"/>
          <w:noProof/>
          <w:sz w:val="24"/>
          <w:szCs w:val="24"/>
        </w:rPr>
        <w:t xml:space="preserve"> tot en met </w:t>
      </w:r>
      <w:r w:rsidRPr="00D4425F">
        <w:rPr>
          <w:rFonts w:ascii="Times New Roman" w:hAnsi="Times New Roman"/>
          <w:noProof/>
          <w:sz w:val="24"/>
          <w:szCs w:val="24"/>
        </w:rPr>
        <w:t>2020</w:t>
      </w:r>
      <w:r>
        <w:rPr>
          <w:rFonts w:ascii="Times New Roman" w:hAnsi="Times New Roman"/>
          <w:noProof/>
          <w:sz w:val="24"/>
          <w:szCs w:val="24"/>
        </w:rPr>
        <w:t xml:space="preserve"> is gerapporteerd, bedraagt meer dan </w:t>
      </w:r>
      <w:r w:rsidRPr="00D4425F">
        <w:rPr>
          <w:rFonts w:ascii="Times New Roman" w:hAnsi="Times New Roman"/>
          <w:noProof/>
          <w:sz w:val="24"/>
          <w:szCs w:val="24"/>
        </w:rPr>
        <w:t>13</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miljard EUR. Zoals in </w:t>
      </w:r>
      <w:r w:rsidR="00D1761A" w:rsidRPr="00DA11F1">
        <w:rPr>
          <w:rFonts w:ascii="Times New Roman" w:hAnsi="Times New Roman"/>
          <w:noProof/>
          <w:sz w:val="24"/>
          <w:szCs w:val="24"/>
        </w:rPr>
        <w:fldChar w:fldCharType="begin"/>
      </w:r>
      <w:r w:rsidR="00D1761A" w:rsidRPr="00DA11F1">
        <w:rPr>
          <w:rFonts w:ascii="Times New Roman" w:hAnsi="Times New Roman"/>
          <w:noProof/>
          <w:sz w:val="24"/>
          <w:szCs w:val="24"/>
        </w:rPr>
        <w:instrText xml:space="preserve"> REF _Ref85023567  \* MERGEFORMAT </w:instrText>
      </w:r>
      <w:r w:rsidR="00D1761A" w:rsidRPr="00DA11F1">
        <w:rPr>
          <w:rFonts w:ascii="Times New Roman" w:hAnsi="Times New Roman"/>
          <w:noProof/>
          <w:sz w:val="24"/>
          <w:szCs w:val="24"/>
        </w:rPr>
        <w:fldChar w:fldCharType="separate"/>
      </w:r>
      <w:r w:rsidR="00C0162E">
        <w:rPr>
          <w:rFonts w:ascii="Times New Roman" w:hAnsi="Times New Roman"/>
          <w:noProof/>
          <w:sz w:val="24"/>
          <w:szCs w:val="24"/>
        </w:rPr>
        <w:t>Figuur </w:t>
      </w:r>
      <w:r w:rsidR="00D1761A" w:rsidRPr="00D4425F">
        <w:rPr>
          <w:rFonts w:ascii="Times New Roman" w:hAnsi="Times New Roman"/>
          <w:noProof/>
          <w:sz w:val="24"/>
          <w:szCs w:val="24"/>
        </w:rPr>
        <w:t>3</w:t>
      </w:r>
      <w:r w:rsidR="00D1761A" w:rsidRPr="00DA11F1">
        <w:rPr>
          <w:rFonts w:ascii="Times New Roman" w:hAnsi="Times New Roman"/>
          <w:noProof/>
          <w:sz w:val="24"/>
          <w:szCs w:val="24"/>
        </w:rPr>
        <w:fldChar w:fldCharType="end"/>
      </w:r>
      <w:r>
        <w:rPr>
          <w:rFonts w:ascii="Times New Roman" w:hAnsi="Times New Roman"/>
          <w:noProof/>
          <w:sz w:val="24"/>
          <w:szCs w:val="24"/>
        </w:rPr>
        <w:t xml:space="preserve"> te zien is, werd </w:t>
      </w:r>
      <w:r w:rsidRPr="00D4425F">
        <w:rPr>
          <w:rFonts w:ascii="Times New Roman" w:hAnsi="Times New Roman"/>
          <w:noProof/>
          <w:sz w:val="24"/>
          <w:szCs w:val="24"/>
        </w:rPr>
        <w:t>83</w:t>
      </w:r>
      <w:r>
        <w:rPr>
          <w:rFonts w:ascii="Times New Roman" w:hAnsi="Times New Roman"/>
          <w:noProof/>
          <w:sz w:val="24"/>
          <w:szCs w:val="24"/>
        </w:rPr>
        <w:t> % van dat bedrag gebruikt om infrastructuur te upgraden en te vernieuwen (voornamelijk om steenkool- en gascentrales te moderniseren en om elektriciteits- en warmtenetten te upgraden). De rest is geïnvesteerd in de diversificatie van de energiemix en in de ontwikk</w:t>
      </w:r>
      <w:r w:rsidR="00F36316">
        <w:rPr>
          <w:rFonts w:ascii="Times New Roman" w:hAnsi="Times New Roman"/>
          <w:noProof/>
          <w:sz w:val="24"/>
          <w:szCs w:val="24"/>
        </w:rPr>
        <w:t>eling van schone technologieën.</w:t>
      </w:r>
    </w:p>
    <w:p w14:paraId="2FDB5FD4" w14:textId="3A6D6318" w:rsidR="00D1761A" w:rsidRDefault="00D1761A" w:rsidP="008E33DB">
      <w:pPr>
        <w:pStyle w:val="Caption"/>
        <w:keepNext/>
        <w:jc w:val="both"/>
        <w:rPr>
          <w:rFonts w:ascii="Times New Roman" w:hAnsi="Times New Roman"/>
          <w:noProof/>
          <w:sz w:val="22"/>
        </w:rPr>
      </w:pPr>
      <w:bookmarkStart w:id="32" w:name="_Ref85023567"/>
      <w:r>
        <w:rPr>
          <w:rFonts w:ascii="Times New Roman" w:hAnsi="Times New Roman"/>
          <w:noProof/>
          <w:sz w:val="22"/>
        </w:rPr>
        <w:t>Figuur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4425F">
        <w:rPr>
          <w:rFonts w:ascii="Times New Roman" w:hAnsi="Times New Roman"/>
          <w:noProof/>
          <w:sz w:val="22"/>
        </w:rPr>
        <w:t>3</w:t>
      </w:r>
      <w:r w:rsidR="00F2602C" w:rsidRPr="00DA11F1">
        <w:rPr>
          <w:rFonts w:ascii="Times New Roman" w:hAnsi="Times New Roman"/>
          <w:noProof/>
          <w:sz w:val="22"/>
        </w:rPr>
        <w:fldChar w:fldCharType="end"/>
      </w:r>
      <w:bookmarkEnd w:id="32"/>
      <w:r>
        <w:rPr>
          <w:rFonts w:ascii="Times New Roman" w:hAnsi="Times New Roman"/>
          <w:noProof/>
          <w:sz w:val="22"/>
        </w:rPr>
        <w:t>. Totale steun krachtens artikel </w:t>
      </w:r>
      <w:r w:rsidRPr="00D4425F">
        <w:rPr>
          <w:rFonts w:ascii="Times New Roman" w:hAnsi="Times New Roman"/>
          <w:noProof/>
          <w:sz w:val="22"/>
        </w:rPr>
        <w:t>10</w:t>
      </w:r>
      <w:r>
        <w:rPr>
          <w:rFonts w:ascii="Times New Roman" w:hAnsi="Times New Roman"/>
          <w:noProof/>
          <w:sz w:val="22"/>
        </w:rPr>
        <w:t xml:space="preserve"> quater per soort investering, </w:t>
      </w:r>
      <w:r w:rsidRPr="00D4425F">
        <w:rPr>
          <w:rFonts w:ascii="Times New Roman" w:hAnsi="Times New Roman"/>
          <w:noProof/>
          <w:sz w:val="22"/>
        </w:rPr>
        <w:t>2013</w:t>
      </w:r>
      <w:r>
        <w:rPr>
          <w:rFonts w:ascii="Times New Roman" w:hAnsi="Times New Roman"/>
          <w:noProof/>
          <w:sz w:val="22"/>
        </w:rPr>
        <w:t>-</w:t>
      </w:r>
      <w:r w:rsidRPr="00D4425F">
        <w:rPr>
          <w:rFonts w:ascii="Times New Roman" w:hAnsi="Times New Roman"/>
          <w:noProof/>
          <w:sz w:val="22"/>
        </w:rPr>
        <w:t>2019</w:t>
      </w:r>
    </w:p>
    <w:p w14:paraId="117F510F" w14:textId="55B4B297" w:rsidR="0083767B" w:rsidRDefault="00F36316" w:rsidP="00F36316">
      <w:pPr>
        <w:spacing w:after="0"/>
        <w:rPr>
          <w:noProof/>
        </w:rPr>
      </w:pPr>
      <w:r>
        <w:rPr>
          <w:noProof/>
          <w:lang w:val="en-GB" w:eastAsia="en-GB"/>
        </w:rPr>
        <w:drawing>
          <wp:inline distT="0" distB="0" distL="0" distR="0" wp14:anchorId="103435C8" wp14:editId="5C29B226">
            <wp:extent cx="5731510" cy="30981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31510" cy="3098165"/>
                    </a:xfrm>
                    <a:prstGeom prst="rect">
                      <a:avLst/>
                    </a:prstGeom>
                  </pic:spPr>
                </pic:pic>
              </a:graphicData>
            </a:graphic>
          </wp:inline>
        </w:drawing>
      </w:r>
    </w:p>
    <w:p w14:paraId="620E077C" w14:textId="10373246" w:rsidR="005E0666" w:rsidRPr="00DA11F1" w:rsidRDefault="00F43627" w:rsidP="008E33DB">
      <w:pPr>
        <w:ind w:right="57"/>
        <w:jc w:val="both"/>
        <w:rPr>
          <w:rFonts w:ascii="Times New Roman" w:eastAsia="Times New Roman" w:hAnsi="Times New Roman"/>
          <w:noProof/>
          <w:sz w:val="20"/>
          <w:szCs w:val="18"/>
        </w:rPr>
      </w:pPr>
      <w:r>
        <w:rPr>
          <w:rFonts w:ascii="Times New Roman" w:hAnsi="Times New Roman"/>
          <w:noProof/>
          <w:sz w:val="20"/>
          <w:szCs w:val="18"/>
        </w:rPr>
        <w:t>Bron: DG Klimaat</w:t>
      </w:r>
    </w:p>
    <w:p w14:paraId="0328CD64" w14:textId="65F9AB35" w:rsidR="007A2893" w:rsidRPr="00DA11F1" w:rsidRDefault="00D1761A" w:rsidP="008E33DB">
      <w:pPr>
        <w:jc w:val="both"/>
        <w:rPr>
          <w:rFonts w:ascii="Times New Roman" w:hAnsi="Times New Roman"/>
          <w:noProof/>
          <w:sz w:val="24"/>
          <w:szCs w:val="24"/>
        </w:rPr>
      </w:pPr>
      <w:r w:rsidRPr="00DA11F1">
        <w:rPr>
          <w:rFonts w:ascii="Times New Roman" w:hAnsi="Times New Roman"/>
          <w:noProof/>
          <w:sz w:val="24"/>
          <w:szCs w:val="24"/>
        </w:rPr>
        <w:fldChar w:fldCharType="begin"/>
      </w:r>
      <w:r w:rsidRPr="00DA11F1">
        <w:rPr>
          <w:rFonts w:ascii="Times New Roman" w:hAnsi="Times New Roman"/>
          <w:noProof/>
          <w:sz w:val="24"/>
          <w:szCs w:val="24"/>
        </w:rPr>
        <w:instrText xml:space="preserve"> REF _Ref85023753  \* MERGEFORMAT </w:instrText>
      </w:r>
      <w:r w:rsidRPr="00DA11F1">
        <w:rPr>
          <w:rFonts w:ascii="Times New Roman" w:hAnsi="Times New Roman"/>
          <w:noProof/>
          <w:sz w:val="24"/>
          <w:szCs w:val="24"/>
        </w:rPr>
        <w:fldChar w:fldCharType="separate"/>
      </w:r>
      <w:r w:rsidR="00C0162E">
        <w:rPr>
          <w:rFonts w:ascii="Times New Roman" w:hAnsi="Times New Roman"/>
          <w:noProof/>
          <w:sz w:val="24"/>
          <w:szCs w:val="24"/>
        </w:rPr>
        <w:t>Figuur </w:t>
      </w:r>
      <w:r w:rsidRPr="00D4425F">
        <w:rPr>
          <w:rFonts w:ascii="Times New Roman" w:hAnsi="Times New Roman"/>
          <w:noProof/>
          <w:sz w:val="24"/>
          <w:szCs w:val="24"/>
        </w:rPr>
        <w:t>4</w:t>
      </w:r>
      <w:r w:rsidRPr="00DA11F1">
        <w:rPr>
          <w:rFonts w:ascii="Times New Roman" w:hAnsi="Times New Roman"/>
          <w:noProof/>
          <w:sz w:val="24"/>
          <w:szCs w:val="24"/>
        </w:rPr>
        <w:fldChar w:fldCharType="end"/>
      </w:r>
      <w:r>
        <w:rPr>
          <w:rFonts w:ascii="Times New Roman" w:hAnsi="Times New Roman"/>
          <w:noProof/>
          <w:sz w:val="24"/>
          <w:szCs w:val="24"/>
        </w:rPr>
        <w:t xml:space="preserve"> bevat het aantal emissierechten dat krachtens artikel </w:t>
      </w:r>
      <w:r w:rsidRPr="00D4425F">
        <w:rPr>
          <w:rFonts w:ascii="Times New Roman" w:hAnsi="Times New Roman"/>
          <w:noProof/>
          <w:sz w:val="24"/>
          <w:szCs w:val="24"/>
        </w:rPr>
        <w:t>10</w:t>
      </w:r>
      <w:r>
        <w:rPr>
          <w:rFonts w:ascii="Times New Roman" w:hAnsi="Times New Roman"/>
          <w:noProof/>
          <w:sz w:val="24"/>
          <w:szCs w:val="24"/>
        </w:rPr>
        <w:t xml:space="preserve"> quater voor de periode </w:t>
      </w:r>
      <w:r w:rsidRPr="00D4425F">
        <w:rPr>
          <w:rFonts w:ascii="Times New Roman" w:hAnsi="Times New Roman"/>
          <w:noProof/>
          <w:sz w:val="24"/>
          <w:szCs w:val="24"/>
        </w:rPr>
        <w:t>2013</w:t>
      </w:r>
      <w:r w:rsidR="00C0162E">
        <w:rPr>
          <w:rFonts w:ascii="Times New Roman" w:hAnsi="Times New Roman"/>
          <w:noProof/>
          <w:sz w:val="24"/>
          <w:szCs w:val="24"/>
        </w:rPr>
        <w:noBreakHyphen/>
      </w:r>
      <w:r w:rsidRPr="00D4425F">
        <w:rPr>
          <w:rFonts w:ascii="Times New Roman" w:hAnsi="Times New Roman"/>
          <w:noProof/>
          <w:sz w:val="24"/>
          <w:szCs w:val="24"/>
        </w:rPr>
        <w:t>2019</w:t>
      </w:r>
      <w:r>
        <w:rPr>
          <w:rFonts w:ascii="Times New Roman" w:hAnsi="Times New Roman"/>
          <w:noProof/>
          <w:sz w:val="24"/>
          <w:szCs w:val="24"/>
        </w:rPr>
        <w:t xml:space="preserve"> per EU-lidstaat is toegewezen (voor </w:t>
      </w:r>
      <w:r w:rsidRPr="00D4425F">
        <w:rPr>
          <w:rFonts w:ascii="Times New Roman" w:hAnsi="Times New Roman"/>
          <w:noProof/>
          <w:sz w:val="24"/>
          <w:szCs w:val="24"/>
        </w:rPr>
        <w:t>2020</w:t>
      </w:r>
      <w:r>
        <w:rPr>
          <w:rFonts w:ascii="Times New Roman" w:hAnsi="Times New Roman"/>
          <w:noProof/>
          <w:sz w:val="24"/>
          <w:szCs w:val="24"/>
        </w:rPr>
        <w:t xml:space="preserve"> werden geen rechten toegewezen). </w:t>
      </w:r>
    </w:p>
    <w:p w14:paraId="574F9F0B" w14:textId="53116237" w:rsidR="00D1761A" w:rsidRPr="00DA11F1" w:rsidRDefault="00D1761A" w:rsidP="008E33DB">
      <w:pPr>
        <w:pStyle w:val="Caption"/>
        <w:keepNext/>
        <w:jc w:val="both"/>
        <w:rPr>
          <w:rFonts w:ascii="Times New Roman" w:hAnsi="Times New Roman"/>
          <w:noProof/>
          <w:sz w:val="22"/>
        </w:rPr>
      </w:pPr>
      <w:bookmarkStart w:id="33" w:name="_Ref85023753"/>
      <w:r>
        <w:rPr>
          <w:rFonts w:ascii="Times New Roman" w:hAnsi="Times New Roman"/>
          <w:noProof/>
          <w:sz w:val="22"/>
        </w:rPr>
        <w:t>Figuur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4425F">
        <w:rPr>
          <w:rFonts w:ascii="Times New Roman" w:hAnsi="Times New Roman"/>
          <w:noProof/>
          <w:sz w:val="22"/>
        </w:rPr>
        <w:t>4</w:t>
      </w:r>
      <w:r w:rsidR="00F2602C" w:rsidRPr="00DA11F1">
        <w:rPr>
          <w:rFonts w:ascii="Times New Roman" w:hAnsi="Times New Roman"/>
          <w:noProof/>
          <w:sz w:val="22"/>
        </w:rPr>
        <w:fldChar w:fldCharType="end"/>
      </w:r>
      <w:bookmarkEnd w:id="33"/>
      <w:r>
        <w:rPr>
          <w:rFonts w:ascii="Times New Roman" w:hAnsi="Times New Roman"/>
          <w:noProof/>
          <w:sz w:val="22"/>
        </w:rPr>
        <w:t>. Kosteloos toegewezen emissierechten krachtens artikel </w:t>
      </w:r>
      <w:r w:rsidRPr="00D4425F">
        <w:rPr>
          <w:rFonts w:ascii="Times New Roman" w:hAnsi="Times New Roman"/>
          <w:noProof/>
          <w:sz w:val="22"/>
        </w:rPr>
        <w:t>10</w:t>
      </w:r>
      <w:r>
        <w:rPr>
          <w:rFonts w:ascii="Times New Roman" w:hAnsi="Times New Roman"/>
          <w:noProof/>
          <w:sz w:val="22"/>
        </w:rPr>
        <w:t xml:space="preserve"> quater, </w:t>
      </w:r>
      <w:r w:rsidRPr="00D4425F">
        <w:rPr>
          <w:rFonts w:ascii="Times New Roman" w:hAnsi="Times New Roman"/>
          <w:noProof/>
          <w:sz w:val="22"/>
        </w:rPr>
        <w:t>2013</w:t>
      </w:r>
      <w:r>
        <w:rPr>
          <w:rFonts w:ascii="Times New Roman" w:hAnsi="Times New Roman"/>
          <w:noProof/>
          <w:sz w:val="22"/>
        </w:rPr>
        <w:t>-</w:t>
      </w:r>
      <w:r w:rsidRPr="00D4425F">
        <w:rPr>
          <w:rFonts w:ascii="Times New Roman" w:hAnsi="Times New Roman"/>
          <w:noProof/>
          <w:sz w:val="22"/>
        </w:rPr>
        <w:t>2019</w:t>
      </w:r>
      <w:r w:rsidRPr="00DA11F1">
        <w:rPr>
          <w:rFonts w:ascii="Times New Roman" w:hAnsi="Times New Roman"/>
          <w:b w:val="0"/>
          <w:noProof/>
          <w:sz w:val="22"/>
          <w:vertAlign w:val="superscript"/>
        </w:rPr>
        <w:footnoteReference w:id="44"/>
      </w:r>
    </w:p>
    <w:p w14:paraId="6769DBD8" w14:textId="7C67A8F7" w:rsidR="00513E29" w:rsidRPr="00DA11F1" w:rsidRDefault="00317172" w:rsidP="008E33DB">
      <w:pPr>
        <w:jc w:val="both"/>
        <w:rPr>
          <w:rFonts w:ascii="Times New Roman" w:hAnsi="Times New Roman"/>
          <w:noProof/>
          <w:sz w:val="24"/>
          <w:szCs w:val="24"/>
        </w:rPr>
      </w:pPr>
      <w:r w:rsidRPr="00533E3B">
        <w:rPr>
          <w:noProof/>
          <w:lang w:val="en-GB" w:eastAsia="en-GB"/>
        </w:rPr>
        <w:drawing>
          <wp:inline distT="0" distB="0" distL="0" distR="0" wp14:anchorId="2FC9F7DA" wp14:editId="7236443A">
            <wp:extent cx="5553075" cy="286513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556054" cy="2866668"/>
                    </a:xfrm>
                    <a:prstGeom prst="rect">
                      <a:avLst/>
                    </a:prstGeom>
                    <a:noFill/>
                    <a:ln>
                      <a:noFill/>
                    </a:ln>
                  </pic:spPr>
                </pic:pic>
              </a:graphicData>
            </a:graphic>
          </wp:inline>
        </w:drawing>
      </w:r>
    </w:p>
    <w:p w14:paraId="6DD5B318" w14:textId="77777777" w:rsidR="00F43627" w:rsidRPr="00DA11F1" w:rsidRDefault="00F43627" w:rsidP="008E33DB">
      <w:pPr>
        <w:ind w:right="57"/>
        <w:jc w:val="both"/>
        <w:rPr>
          <w:rFonts w:ascii="Times New Roman" w:eastAsia="Times New Roman" w:hAnsi="Times New Roman"/>
          <w:noProof/>
          <w:sz w:val="20"/>
          <w:szCs w:val="18"/>
        </w:rPr>
      </w:pPr>
      <w:r>
        <w:rPr>
          <w:rFonts w:ascii="Times New Roman" w:hAnsi="Times New Roman"/>
          <w:noProof/>
          <w:sz w:val="20"/>
          <w:szCs w:val="18"/>
        </w:rPr>
        <w:t>Bron: DG Klimaat</w:t>
      </w:r>
    </w:p>
    <w:p w14:paraId="32501985" w14:textId="5CF1C7C6" w:rsidR="00BC3FA4" w:rsidRPr="00DA11F1" w:rsidRDefault="00A36E7B" w:rsidP="008E33DB">
      <w:pPr>
        <w:jc w:val="both"/>
        <w:rPr>
          <w:rFonts w:ascii="Times New Roman" w:hAnsi="Times New Roman"/>
          <w:noProof/>
          <w:sz w:val="24"/>
          <w:szCs w:val="24"/>
        </w:rPr>
      </w:pPr>
      <w:r>
        <w:rPr>
          <w:rFonts w:ascii="Times New Roman" w:hAnsi="Times New Roman"/>
          <w:noProof/>
          <w:sz w:val="24"/>
          <w:szCs w:val="24"/>
        </w:rPr>
        <w:t>In tabel </w:t>
      </w:r>
      <w:r w:rsidRPr="00D4425F">
        <w:rPr>
          <w:rFonts w:ascii="Times New Roman" w:hAnsi="Times New Roman"/>
          <w:noProof/>
          <w:sz w:val="24"/>
          <w:szCs w:val="24"/>
        </w:rPr>
        <w:t>6</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van aanhangsel </w:t>
      </w:r>
      <w:r w:rsidRPr="00D4425F">
        <w:rPr>
          <w:rFonts w:ascii="Times New Roman" w:hAnsi="Times New Roman"/>
          <w:noProof/>
          <w:sz w:val="24"/>
          <w:szCs w:val="24"/>
        </w:rPr>
        <w:t>6</w:t>
      </w:r>
      <w:r>
        <w:rPr>
          <w:rFonts w:ascii="Times New Roman" w:hAnsi="Times New Roman"/>
          <w:noProof/>
          <w:sz w:val="24"/>
          <w:szCs w:val="24"/>
        </w:rPr>
        <w:t xml:space="preserve"> van het werkdocument van de diensten van de Commissie bij dit verslag staat het aantal emissierechten dat in aanmerking komende lidstaten in fase </w:t>
      </w:r>
      <w:r w:rsidRPr="00D4425F">
        <w:rPr>
          <w:rFonts w:ascii="Times New Roman" w:hAnsi="Times New Roman"/>
          <w:noProof/>
          <w:sz w:val="24"/>
          <w:szCs w:val="24"/>
        </w:rPr>
        <w:t>3</w:t>
      </w:r>
      <w:r>
        <w:rPr>
          <w:rFonts w:ascii="Times New Roman" w:hAnsi="Times New Roman"/>
          <w:noProof/>
          <w:sz w:val="24"/>
          <w:szCs w:val="24"/>
        </w:rPr>
        <w:t xml:space="preserve"> kosteloos aan installaties voor elektriciteitsproductie hebben toegewezen. In tabel </w:t>
      </w:r>
      <w:r w:rsidRPr="00D4425F">
        <w:rPr>
          <w:rFonts w:ascii="Times New Roman" w:hAnsi="Times New Roman"/>
          <w:noProof/>
          <w:sz w:val="24"/>
          <w:szCs w:val="24"/>
        </w:rPr>
        <w:t>6</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xml:space="preserve"> van aanhangsel </w:t>
      </w:r>
      <w:r w:rsidRPr="00D4425F">
        <w:rPr>
          <w:rFonts w:ascii="Times New Roman" w:hAnsi="Times New Roman"/>
          <w:noProof/>
          <w:sz w:val="24"/>
          <w:szCs w:val="24"/>
        </w:rPr>
        <w:t>6</w:t>
      </w:r>
      <w:r>
        <w:rPr>
          <w:rFonts w:ascii="Times New Roman" w:hAnsi="Times New Roman"/>
          <w:noProof/>
          <w:sz w:val="24"/>
          <w:szCs w:val="24"/>
        </w:rPr>
        <w:t xml:space="preserve"> staat het maximale aantal emissierechten dat per jaar krachtens artikel </w:t>
      </w:r>
      <w:r w:rsidRPr="00D4425F">
        <w:rPr>
          <w:rFonts w:ascii="Times New Roman" w:hAnsi="Times New Roman"/>
          <w:noProof/>
          <w:sz w:val="24"/>
          <w:szCs w:val="24"/>
        </w:rPr>
        <w:t>10</w:t>
      </w:r>
      <w:r>
        <w:rPr>
          <w:rFonts w:ascii="Times New Roman" w:hAnsi="Times New Roman"/>
          <w:noProof/>
          <w:sz w:val="24"/>
          <w:szCs w:val="24"/>
        </w:rPr>
        <w:t> quater moet worden toegewezen.</w:t>
      </w:r>
    </w:p>
    <w:p w14:paraId="4C9134FD" w14:textId="26F3B84A" w:rsidR="00A227C1" w:rsidRPr="00DA11F1" w:rsidRDefault="0053168B" w:rsidP="008E33DB">
      <w:pPr>
        <w:jc w:val="both"/>
        <w:rPr>
          <w:rFonts w:ascii="Times New Roman" w:hAnsi="Times New Roman"/>
          <w:noProof/>
          <w:sz w:val="24"/>
          <w:szCs w:val="24"/>
        </w:rPr>
      </w:pPr>
      <w:r>
        <w:rPr>
          <w:rFonts w:ascii="Times New Roman" w:hAnsi="Times New Roman"/>
          <w:noProof/>
          <w:sz w:val="24"/>
          <w:szCs w:val="24"/>
        </w:rPr>
        <w:t>De emissierechten krachtens artikel </w:t>
      </w:r>
      <w:r w:rsidRPr="00D4425F">
        <w:rPr>
          <w:rFonts w:ascii="Times New Roman" w:hAnsi="Times New Roman"/>
          <w:noProof/>
          <w:sz w:val="24"/>
          <w:szCs w:val="24"/>
        </w:rPr>
        <w:t>10</w:t>
      </w:r>
      <w:r>
        <w:rPr>
          <w:rFonts w:ascii="Times New Roman" w:hAnsi="Times New Roman"/>
          <w:noProof/>
          <w:sz w:val="24"/>
          <w:szCs w:val="24"/>
        </w:rPr>
        <w:t> quater die niet werden toegewezen in fase </w:t>
      </w:r>
      <w:r w:rsidRPr="00D4425F">
        <w:rPr>
          <w:rFonts w:ascii="Times New Roman" w:hAnsi="Times New Roman"/>
          <w:noProof/>
          <w:sz w:val="24"/>
          <w:szCs w:val="24"/>
        </w:rPr>
        <w:t>3</w:t>
      </w:r>
      <w:r>
        <w:rPr>
          <w:rFonts w:ascii="Times New Roman" w:hAnsi="Times New Roman"/>
          <w:noProof/>
          <w:sz w:val="24"/>
          <w:szCs w:val="24"/>
        </w:rPr>
        <w:t xml:space="preserve"> kunnen worden geveild of, overeenkomstig de EU-ETS-richtlijn, in fase </w:t>
      </w:r>
      <w:r w:rsidRPr="00D4425F">
        <w:rPr>
          <w:rFonts w:ascii="Times New Roman" w:hAnsi="Times New Roman"/>
          <w:noProof/>
          <w:sz w:val="24"/>
          <w:szCs w:val="24"/>
        </w:rPr>
        <w:t>4</w:t>
      </w:r>
      <w:r>
        <w:rPr>
          <w:rFonts w:ascii="Times New Roman" w:hAnsi="Times New Roman"/>
          <w:noProof/>
          <w:sz w:val="24"/>
          <w:szCs w:val="24"/>
        </w:rPr>
        <w:t xml:space="preserve"> worden toegewezen aan investeringen krachtens artikel </w:t>
      </w:r>
      <w:r w:rsidRPr="00D4425F">
        <w:rPr>
          <w:rFonts w:ascii="Times New Roman" w:hAnsi="Times New Roman"/>
          <w:noProof/>
          <w:sz w:val="24"/>
          <w:szCs w:val="24"/>
        </w:rPr>
        <w:t>10</w:t>
      </w:r>
      <w:r>
        <w:rPr>
          <w:rFonts w:ascii="Times New Roman" w:hAnsi="Times New Roman"/>
          <w:noProof/>
          <w:sz w:val="24"/>
          <w:szCs w:val="24"/>
        </w:rPr>
        <w:t xml:space="preserve"> quater die middels de concurrerende biedprocedure zijn geselecteerd, of worden toegewezen aan het moderniseringsfonds. </w:t>
      </w:r>
      <w:r w:rsidR="00DD2B9B" w:rsidRPr="00DA11F1">
        <w:rPr>
          <w:rFonts w:ascii="Times New Roman" w:hAnsi="Times New Roman"/>
          <w:noProof/>
          <w:sz w:val="24"/>
          <w:szCs w:val="24"/>
        </w:rPr>
        <w:fldChar w:fldCharType="begin"/>
      </w:r>
      <w:r w:rsidR="00DD2B9B" w:rsidRPr="00DA11F1">
        <w:rPr>
          <w:rFonts w:ascii="Times New Roman" w:hAnsi="Times New Roman"/>
          <w:noProof/>
          <w:sz w:val="24"/>
          <w:szCs w:val="24"/>
        </w:rPr>
        <w:instrText xml:space="preserve"> REF _Ref85026212  \* MERGEFORMAT </w:instrText>
      </w:r>
      <w:r w:rsidR="00DD2B9B" w:rsidRPr="00DA11F1">
        <w:rPr>
          <w:rFonts w:ascii="Times New Roman" w:hAnsi="Times New Roman"/>
          <w:noProof/>
          <w:sz w:val="24"/>
          <w:szCs w:val="24"/>
        </w:rPr>
        <w:fldChar w:fldCharType="separate"/>
      </w:r>
      <w:r w:rsidR="00C0162E">
        <w:rPr>
          <w:rFonts w:ascii="Times New Roman" w:hAnsi="Times New Roman"/>
          <w:noProof/>
          <w:sz w:val="24"/>
          <w:szCs w:val="24"/>
        </w:rPr>
        <w:t>Figuur </w:t>
      </w:r>
      <w:r w:rsidR="00DD2B9B" w:rsidRPr="00D4425F">
        <w:rPr>
          <w:rFonts w:ascii="Times New Roman" w:hAnsi="Times New Roman"/>
          <w:noProof/>
          <w:sz w:val="24"/>
          <w:szCs w:val="24"/>
        </w:rPr>
        <w:t>5</w:t>
      </w:r>
      <w:r w:rsidR="00DD2B9B" w:rsidRPr="00DA11F1">
        <w:rPr>
          <w:rFonts w:ascii="Times New Roman" w:hAnsi="Times New Roman"/>
          <w:noProof/>
          <w:sz w:val="24"/>
          <w:szCs w:val="24"/>
        </w:rPr>
        <w:fldChar w:fldCharType="end"/>
      </w:r>
      <w:r>
        <w:rPr>
          <w:rFonts w:ascii="Times New Roman" w:hAnsi="Times New Roman"/>
          <w:noProof/>
          <w:sz w:val="24"/>
          <w:szCs w:val="24"/>
        </w:rPr>
        <w:t xml:space="preserve"> laat zien in hoeverre emissierechten krachtens artikel </w:t>
      </w:r>
      <w:r w:rsidRPr="00D4425F">
        <w:rPr>
          <w:rFonts w:ascii="Times New Roman" w:hAnsi="Times New Roman"/>
          <w:noProof/>
          <w:sz w:val="24"/>
          <w:szCs w:val="24"/>
        </w:rPr>
        <w:t>10</w:t>
      </w:r>
      <w:r>
        <w:rPr>
          <w:rFonts w:ascii="Times New Roman" w:hAnsi="Times New Roman"/>
          <w:noProof/>
          <w:sz w:val="24"/>
          <w:szCs w:val="24"/>
        </w:rPr>
        <w:t> quater uit elk jaar van fase </w:t>
      </w:r>
      <w:r w:rsidRPr="00D4425F">
        <w:rPr>
          <w:rFonts w:ascii="Times New Roman" w:hAnsi="Times New Roman"/>
          <w:noProof/>
          <w:sz w:val="24"/>
          <w:szCs w:val="24"/>
        </w:rPr>
        <w:t>3</w:t>
      </w:r>
      <w:r>
        <w:rPr>
          <w:rFonts w:ascii="Times New Roman" w:hAnsi="Times New Roman"/>
          <w:noProof/>
          <w:sz w:val="24"/>
          <w:szCs w:val="24"/>
        </w:rPr>
        <w:t xml:space="preserve"> werden toegewezen, geveild of overgedragen naar fase </w:t>
      </w:r>
      <w:r w:rsidRPr="00D4425F">
        <w:rPr>
          <w:rFonts w:ascii="Times New Roman" w:hAnsi="Times New Roman"/>
          <w:noProof/>
          <w:sz w:val="24"/>
          <w:szCs w:val="24"/>
        </w:rPr>
        <w:t>4</w:t>
      </w:r>
      <w:r>
        <w:rPr>
          <w:rFonts w:ascii="Times New Roman" w:hAnsi="Times New Roman"/>
          <w:noProof/>
          <w:sz w:val="24"/>
          <w:szCs w:val="24"/>
        </w:rPr>
        <w:t>.</w:t>
      </w:r>
    </w:p>
    <w:p w14:paraId="37CC7504" w14:textId="6B0A90E2" w:rsidR="00DD2B9B" w:rsidRPr="00DA11F1" w:rsidRDefault="00DD2B9B" w:rsidP="008E33DB">
      <w:pPr>
        <w:pStyle w:val="Caption"/>
        <w:keepNext/>
        <w:jc w:val="both"/>
        <w:rPr>
          <w:rFonts w:ascii="Times New Roman" w:hAnsi="Times New Roman"/>
          <w:noProof/>
          <w:sz w:val="22"/>
        </w:rPr>
      </w:pPr>
      <w:bookmarkStart w:id="34" w:name="_Ref85026212"/>
      <w:r>
        <w:rPr>
          <w:rFonts w:ascii="Times New Roman" w:hAnsi="Times New Roman"/>
          <w:noProof/>
          <w:sz w:val="22"/>
        </w:rPr>
        <w:t>Figuur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4425F">
        <w:rPr>
          <w:rFonts w:ascii="Times New Roman" w:hAnsi="Times New Roman"/>
          <w:noProof/>
          <w:sz w:val="22"/>
        </w:rPr>
        <w:t>5</w:t>
      </w:r>
      <w:r w:rsidR="00F2602C" w:rsidRPr="00DA11F1">
        <w:rPr>
          <w:rFonts w:ascii="Times New Roman" w:hAnsi="Times New Roman"/>
          <w:noProof/>
          <w:sz w:val="22"/>
        </w:rPr>
        <w:fldChar w:fldCharType="end"/>
      </w:r>
      <w:bookmarkEnd w:id="34"/>
      <w:r>
        <w:rPr>
          <w:noProof/>
          <w:sz w:val="22"/>
        </w:rPr>
        <w:t>.</w:t>
      </w:r>
      <w:r>
        <w:rPr>
          <w:rFonts w:ascii="Times New Roman" w:hAnsi="Times New Roman"/>
          <w:noProof/>
          <w:sz w:val="22"/>
        </w:rPr>
        <w:t xml:space="preserve"> Verdeling van de overgebleven emissierechten krachtens artikel </w:t>
      </w:r>
      <w:r w:rsidRPr="00D4425F">
        <w:rPr>
          <w:rFonts w:ascii="Times New Roman" w:hAnsi="Times New Roman"/>
          <w:noProof/>
          <w:sz w:val="22"/>
        </w:rPr>
        <w:t>10</w:t>
      </w:r>
      <w:r>
        <w:rPr>
          <w:rFonts w:ascii="Times New Roman" w:hAnsi="Times New Roman"/>
          <w:noProof/>
          <w:sz w:val="22"/>
        </w:rPr>
        <w:t> quater (toegewezen, geveild, overgedragen naar fase </w:t>
      </w:r>
      <w:r w:rsidRPr="00D4425F">
        <w:rPr>
          <w:rFonts w:ascii="Times New Roman" w:hAnsi="Times New Roman"/>
          <w:noProof/>
          <w:sz w:val="22"/>
        </w:rPr>
        <w:t>4</w:t>
      </w:r>
      <w:r>
        <w:rPr>
          <w:rFonts w:ascii="Times New Roman" w:hAnsi="Times New Roman"/>
          <w:noProof/>
          <w:sz w:val="22"/>
        </w:rPr>
        <w:t>)</w:t>
      </w:r>
      <w:r>
        <w:rPr>
          <w:rFonts w:ascii="Times New Roman" w:hAnsi="Times New Roman"/>
          <w:b w:val="0"/>
          <w:noProof/>
          <w:vertAlign w:val="superscript"/>
        </w:rPr>
        <w:t xml:space="preserve"> </w:t>
      </w:r>
      <w:r w:rsidRPr="00DA11F1">
        <w:rPr>
          <w:rFonts w:ascii="Times New Roman" w:hAnsi="Times New Roman"/>
          <w:b w:val="0"/>
          <w:noProof/>
          <w:vertAlign w:val="superscript"/>
        </w:rPr>
        <w:footnoteReference w:id="45"/>
      </w:r>
    </w:p>
    <w:p w14:paraId="4F4D6D43" w14:textId="5609010A" w:rsidR="007A2893" w:rsidRPr="00DA11F1" w:rsidRDefault="00317172" w:rsidP="008E33DB">
      <w:pPr>
        <w:jc w:val="both"/>
        <w:rPr>
          <w:rFonts w:ascii="Times New Roman" w:hAnsi="Times New Roman"/>
          <w:noProof/>
          <w:sz w:val="24"/>
          <w:szCs w:val="24"/>
        </w:rPr>
      </w:pPr>
      <w:r w:rsidRPr="00533E3B">
        <w:rPr>
          <w:noProof/>
          <w:lang w:val="en-GB" w:eastAsia="en-GB"/>
        </w:rPr>
        <w:drawing>
          <wp:inline distT="0" distB="0" distL="0" distR="0" wp14:anchorId="3279BC51" wp14:editId="36BEAC58">
            <wp:extent cx="5731510" cy="2825750"/>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31510" cy="2825750"/>
                    </a:xfrm>
                    <a:prstGeom prst="rect">
                      <a:avLst/>
                    </a:prstGeom>
                    <a:noFill/>
                    <a:ln>
                      <a:noFill/>
                    </a:ln>
                  </pic:spPr>
                </pic:pic>
              </a:graphicData>
            </a:graphic>
          </wp:inline>
        </w:drawing>
      </w:r>
    </w:p>
    <w:p w14:paraId="58716F01" w14:textId="77777777" w:rsidR="00F43627" w:rsidRPr="00DA11F1" w:rsidRDefault="00F43627" w:rsidP="008E33DB">
      <w:pPr>
        <w:ind w:right="57"/>
        <w:jc w:val="both"/>
        <w:rPr>
          <w:rFonts w:ascii="Times New Roman" w:eastAsia="Times New Roman" w:hAnsi="Times New Roman"/>
          <w:noProof/>
          <w:sz w:val="20"/>
          <w:szCs w:val="18"/>
        </w:rPr>
      </w:pPr>
      <w:r>
        <w:rPr>
          <w:rFonts w:ascii="Times New Roman" w:hAnsi="Times New Roman"/>
          <w:noProof/>
          <w:sz w:val="20"/>
          <w:szCs w:val="18"/>
        </w:rPr>
        <w:t>Bron: DG Klimaat</w:t>
      </w:r>
    </w:p>
    <w:p w14:paraId="59378776" w14:textId="6239D5BC" w:rsidR="00F43627" w:rsidRPr="00DA11F1" w:rsidRDefault="006B3A67" w:rsidP="008E33DB">
      <w:pPr>
        <w:jc w:val="both"/>
        <w:rPr>
          <w:rFonts w:ascii="Times New Roman" w:hAnsi="Times New Roman"/>
          <w:noProof/>
        </w:rPr>
      </w:pPr>
      <w:r>
        <w:rPr>
          <w:rFonts w:ascii="Times New Roman" w:hAnsi="Times New Roman"/>
          <w:noProof/>
          <w:sz w:val="24"/>
          <w:szCs w:val="24"/>
        </w:rPr>
        <w:t xml:space="preserve">In totaal werd tussen </w:t>
      </w:r>
      <w:r w:rsidRPr="00D4425F">
        <w:rPr>
          <w:rFonts w:ascii="Times New Roman" w:hAnsi="Times New Roman"/>
          <w:noProof/>
          <w:sz w:val="24"/>
          <w:szCs w:val="24"/>
        </w:rPr>
        <w:t>2013</w:t>
      </w:r>
      <w:r>
        <w:rPr>
          <w:rFonts w:ascii="Times New Roman" w:hAnsi="Times New Roman"/>
          <w:noProof/>
          <w:sz w:val="24"/>
          <w:szCs w:val="24"/>
        </w:rPr>
        <w:t xml:space="preserve"> en </w:t>
      </w:r>
      <w:r w:rsidRPr="00D4425F">
        <w:rPr>
          <w:rFonts w:ascii="Times New Roman" w:hAnsi="Times New Roman"/>
          <w:noProof/>
          <w:sz w:val="24"/>
          <w:szCs w:val="24"/>
        </w:rPr>
        <w:t>2019</w:t>
      </w:r>
      <w:r>
        <w:rPr>
          <w:rFonts w:ascii="Times New Roman" w:hAnsi="Times New Roman"/>
          <w:noProof/>
          <w:sz w:val="24"/>
          <w:szCs w:val="24"/>
        </w:rPr>
        <w:t xml:space="preserve"> ongeveer </w:t>
      </w:r>
      <w:r w:rsidRPr="00D4425F">
        <w:rPr>
          <w:rFonts w:ascii="Times New Roman" w:hAnsi="Times New Roman"/>
          <w:noProof/>
          <w:sz w:val="24"/>
          <w:szCs w:val="24"/>
        </w:rPr>
        <w:t>74</w:t>
      </w:r>
      <w:r>
        <w:rPr>
          <w:rFonts w:ascii="Times New Roman" w:hAnsi="Times New Roman"/>
          <w:noProof/>
          <w:sz w:val="24"/>
          <w:szCs w:val="24"/>
        </w:rPr>
        <w:t> % van de krachtens artikel </w:t>
      </w:r>
      <w:r w:rsidRPr="00D4425F">
        <w:rPr>
          <w:rFonts w:ascii="Times New Roman" w:hAnsi="Times New Roman"/>
          <w:noProof/>
          <w:sz w:val="24"/>
          <w:szCs w:val="24"/>
        </w:rPr>
        <w:t>10</w:t>
      </w:r>
      <w:r>
        <w:rPr>
          <w:rFonts w:ascii="Times New Roman" w:hAnsi="Times New Roman"/>
          <w:noProof/>
          <w:sz w:val="24"/>
          <w:szCs w:val="24"/>
        </w:rPr>
        <w:t xml:space="preserve"> quater beschikbare emissierechten toegewezen. Het grootste deel van de overgebleven emissierechten werd geveild en slechts een kleine hoeveelheid (ongeveer </w:t>
      </w:r>
      <w:r w:rsidRPr="00D4425F">
        <w:rPr>
          <w:rFonts w:ascii="Times New Roman" w:hAnsi="Times New Roman"/>
          <w:noProof/>
          <w:sz w:val="24"/>
          <w:szCs w:val="24"/>
        </w:rPr>
        <w:t>0</w:t>
      </w:r>
      <w:r>
        <w:rPr>
          <w:rFonts w:ascii="Times New Roman" w:hAnsi="Times New Roman"/>
          <w:noProof/>
          <w:sz w:val="24"/>
          <w:szCs w:val="24"/>
        </w:rPr>
        <w:t>,</w:t>
      </w:r>
      <w:r w:rsidRPr="00D4425F">
        <w:rPr>
          <w:rFonts w:ascii="Times New Roman" w:hAnsi="Times New Roman"/>
          <w:noProof/>
          <w:sz w:val="24"/>
          <w:szCs w:val="24"/>
        </w:rPr>
        <w:t>5</w:t>
      </w:r>
      <w:r>
        <w:rPr>
          <w:rFonts w:ascii="Times New Roman" w:hAnsi="Times New Roman"/>
          <w:noProof/>
          <w:sz w:val="24"/>
          <w:szCs w:val="24"/>
        </w:rPr>
        <w:t> %) werd overgedragen naar fase </w:t>
      </w:r>
      <w:r w:rsidRPr="00D4425F">
        <w:rPr>
          <w:rFonts w:ascii="Times New Roman" w:hAnsi="Times New Roman"/>
          <w:noProof/>
          <w:sz w:val="24"/>
          <w:szCs w:val="24"/>
        </w:rPr>
        <w:t>4</w:t>
      </w:r>
      <w:r>
        <w:rPr>
          <w:rFonts w:ascii="Times New Roman" w:hAnsi="Times New Roman"/>
          <w:noProof/>
          <w:sz w:val="24"/>
          <w:szCs w:val="24"/>
        </w:rPr>
        <w:t>. Het aantal niet-toegewezen emissierechten dat door de lidstaten op grond van de afwijking van artikel </w:t>
      </w:r>
      <w:r w:rsidRPr="00D4425F">
        <w:rPr>
          <w:rFonts w:ascii="Times New Roman" w:hAnsi="Times New Roman"/>
          <w:noProof/>
          <w:sz w:val="24"/>
          <w:szCs w:val="24"/>
        </w:rPr>
        <w:t>10</w:t>
      </w:r>
      <w:r>
        <w:rPr>
          <w:rFonts w:ascii="Times New Roman" w:hAnsi="Times New Roman"/>
          <w:noProof/>
          <w:sz w:val="24"/>
          <w:szCs w:val="24"/>
        </w:rPr>
        <w:t> quater werd geveild (of dat zij voornemens waren te veilen) in fase </w:t>
      </w:r>
      <w:r w:rsidRPr="00D4425F">
        <w:rPr>
          <w:rFonts w:ascii="Times New Roman" w:hAnsi="Times New Roman"/>
          <w:noProof/>
          <w:sz w:val="24"/>
          <w:szCs w:val="24"/>
        </w:rPr>
        <w:t>3</w:t>
      </w:r>
      <w:r>
        <w:rPr>
          <w:rFonts w:ascii="Times New Roman" w:hAnsi="Times New Roman"/>
          <w:noProof/>
          <w:sz w:val="24"/>
          <w:szCs w:val="24"/>
        </w:rPr>
        <w:t>, staat vermeld in tabel </w:t>
      </w:r>
      <w:r w:rsidRPr="00D4425F">
        <w:rPr>
          <w:rFonts w:ascii="Times New Roman" w:hAnsi="Times New Roman"/>
          <w:noProof/>
          <w:sz w:val="24"/>
          <w:szCs w:val="24"/>
        </w:rPr>
        <w:t>6</w:t>
      </w:r>
      <w:r>
        <w:rPr>
          <w:rFonts w:ascii="Times New Roman" w:hAnsi="Times New Roman"/>
          <w:noProof/>
          <w:sz w:val="24"/>
          <w:szCs w:val="24"/>
        </w:rPr>
        <w:t>.</w:t>
      </w:r>
      <w:r w:rsidRPr="00D4425F">
        <w:rPr>
          <w:rFonts w:ascii="Times New Roman" w:hAnsi="Times New Roman"/>
          <w:noProof/>
          <w:sz w:val="24"/>
          <w:szCs w:val="24"/>
        </w:rPr>
        <w:t>3</w:t>
      </w:r>
      <w:r>
        <w:rPr>
          <w:rFonts w:ascii="Times New Roman" w:hAnsi="Times New Roman"/>
          <w:noProof/>
          <w:sz w:val="24"/>
          <w:szCs w:val="24"/>
        </w:rPr>
        <w:t xml:space="preserve"> van aanhangsel </w:t>
      </w:r>
      <w:r w:rsidRPr="00D4425F">
        <w:rPr>
          <w:rFonts w:ascii="Times New Roman" w:hAnsi="Times New Roman"/>
          <w:noProof/>
          <w:sz w:val="24"/>
          <w:szCs w:val="24"/>
        </w:rPr>
        <w:t>6</w:t>
      </w:r>
      <w:r>
        <w:rPr>
          <w:rFonts w:ascii="Times New Roman" w:hAnsi="Times New Roman"/>
          <w:noProof/>
          <w:sz w:val="24"/>
          <w:szCs w:val="24"/>
        </w:rPr>
        <w:t xml:space="preserve"> van het begeleidende werkdocument van de diensten van de Commissie.</w:t>
      </w:r>
    </w:p>
    <w:p w14:paraId="3768CDE9" w14:textId="1D0FFDC9" w:rsidR="00A227C1" w:rsidRPr="00DA11F1" w:rsidRDefault="00F43627" w:rsidP="008E33DB">
      <w:pPr>
        <w:jc w:val="both"/>
        <w:rPr>
          <w:rFonts w:ascii="Times New Roman" w:hAnsi="Times New Roman"/>
          <w:noProof/>
          <w:sz w:val="24"/>
          <w:szCs w:val="24"/>
        </w:rPr>
      </w:pPr>
      <w:r>
        <w:rPr>
          <w:rFonts w:ascii="Times New Roman" w:hAnsi="Times New Roman"/>
          <w:noProof/>
          <w:sz w:val="24"/>
          <w:szCs w:val="24"/>
        </w:rPr>
        <w:t>De voorlopige kosteloze toewijzing krachtens artikel </w:t>
      </w:r>
      <w:r w:rsidRPr="00D4425F">
        <w:rPr>
          <w:rFonts w:ascii="Times New Roman" w:hAnsi="Times New Roman"/>
          <w:noProof/>
          <w:sz w:val="24"/>
          <w:szCs w:val="24"/>
        </w:rPr>
        <w:t>10</w:t>
      </w:r>
      <w:r>
        <w:rPr>
          <w:rFonts w:ascii="Times New Roman" w:hAnsi="Times New Roman"/>
          <w:noProof/>
          <w:sz w:val="24"/>
          <w:szCs w:val="24"/>
        </w:rPr>
        <w:t> quater van de EU-ETS-richtlijn blijft in fase </w:t>
      </w:r>
      <w:r w:rsidRPr="00D4425F">
        <w:rPr>
          <w:rFonts w:ascii="Times New Roman" w:hAnsi="Times New Roman"/>
          <w:noProof/>
          <w:sz w:val="24"/>
          <w:szCs w:val="24"/>
        </w:rPr>
        <w:t>4</w:t>
      </w:r>
      <w:r>
        <w:rPr>
          <w:rFonts w:ascii="Times New Roman" w:hAnsi="Times New Roman"/>
          <w:noProof/>
          <w:sz w:val="24"/>
          <w:szCs w:val="24"/>
        </w:rPr>
        <w:t xml:space="preserve"> beschikbaar, maar wordt gekoppeld aan verscherpte transparantievoorschriften. Ook krijgen de in aanmerking komende lidstaten de mogelijkheid hun toewijzing krachtens artikel </w:t>
      </w:r>
      <w:r w:rsidRPr="00D4425F">
        <w:rPr>
          <w:rFonts w:ascii="Times New Roman" w:hAnsi="Times New Roman"/>
          <w:noProof/>
          <w:sz w:val="24"/>
          <w:szCs w:val="24"/>
        </w:rPr>
        <w:t>10</w:t>
      </w:r>
      <w:r>
        <w:rPr>
          <w:rFonts w:ascii="Times New Roman" w:hAnsi="Times New Roman"/>
          <w:noProof/>
          <w:sz w:val="24"/>
          <w:szCs w:val="24"/>
        </w:rPr>
        <w:t> quater geheel of gedeeltelijk te gebruiken ter ondersteuning van investeringen in het kader van het moderniseringsfonds. Bulgarije, Roemenië en Hongarije hebben ervoor gekozen om in fase </w:t>
      </w:r>
      <w:r w:rsidRPr="00D4425F">
        <w:rPr>
          <w:rFonts w:ascii="Times New Roman" w:hAnsi="Times New Roman"/>
          <w:noProof/>
          <w:sz w:val="24"/>
          <w:szCs w:val="24"/>
        </w:rPr>
        <w:t>4</w:t>
      </w:r>
      <w:r>
        <w:rPr>
          <w:rFonts w:ascii="Times New Roman" w:hAnsi="Times New Roman"/>
          <w:noProof/>
          <w:sz w:val="24"/>
          <w:szCs w:val="24"/>
        </w:rPr>
        <w:t xml:space="preserve"> gebruik te blijven maken van artikel </w:t>
      </w:r>
      <w:r w:rsidRPr="00D4425F">
        <w:rPr>
          <w:rFonts w:ascii="Times New Roman" w:hAnsi="Times New Roman"/>
          <w:noProof/>
          <w:sz w:val="24"/>
          <w:szCs w:val="24"/>
        </w:rPr>
        <w:t>10</w:t>
      </w:r>
      <w:r>
        <w:rPr>
          <w:rFonts w:ascii="Times New Roman" w:hAnsi="Times New Roman"/>
          <w:noProof/>
          <w:sz w:val="24"/>
          <w:szCs w:val="24"/>
        </w:rPr>
        <w:t> quater</w:t>
      </w:r>
      <w:r w:rsidR="005B62BF">
        <w:rPr>
          <w:rStyle w:val="FootnoteReference"/>
          <w:rFonts w:ascii="Times New Roman" w:hAnsi="Times New Roman"/>
          <w:noProof/>
          <w:sz w:val="24"/>
          <w:szCs w:val="24"/>
        </w:rPr>
        <w:footnoteReference w:id="46"/>
      </w:r>
      <w:r>
        <w:rPr>
          <w:rFonts w:ascii="Times New Roman" w:hAnsi="Times New Roman"/>
          <w:noProof/>
          <w:sz w:val="24"/>
          <w:szCs w:val="24"/>
        </w:rPr>
        <w:t xml:space="preserve"> en zijn bezig met het opstellen van nationale kaders om deze bepaling uit te voeren. Deze moeten door de Commissie worden getoetst tegen de staatssteunregels</w:t>
      </w:r>
      <w:r w:rsidR="00F31B2B" w:rsidRPr="00DA11F1">
        <w:rPr>
          <w:rStyle w:val="FootnoteReference"/>
          <w:rFonts w:ascii="Times New Roman" w:hAnsi="Times New Roman"/>
          <w:noProof/>
          <w:sz w:val="24"/>
          <w:szCs w:val="24"/>
        </w:rPr>
        <w:footnoteReference w:id="47"/>
      </w:r>
      <w:r>
        <w:rPr>
          <w:rFonts w:ascii="Times New Roman" w:hAnsi="Times New Roman"/>
          <w:noProof/>
          <w:sz w:val="24"/>
          <w:szCs w:val="24"/>
        </w:rPr>
        <w:t>. Andere in aanmerking komende lidstaten</w:t>
      </w:r>
      <w:r w:rsidR="00BF031E" w:rsidRPr="00DA11F1">
        <w:rPr>
          <w:rStyle w:val="FootnoteReference"/>
          <w:rFonts w:ascii="Times New Roman" w:hAnsi="Times New Roman"/>
          <w:noProof/>
          <w:sz w:val="24"/>
          <w:szCs w:val="24"/>
        </w:rPr>
        <w:footnoteReference w:id="48"/>
      </w:r>
      <w:r>
        <w:rPr>
          <w:rFonts w:ascii="Times New Roman" w:hAnsi="Times New Roman"/>
          <w:noProof/>
          <w:sz w:val="24"/>
          <w:szCs w:val="24"/>
        </w:rPr>
        <w:t xml:space="preserve"> hebben ervoor gekozen hun emissierechten van fase </w:t>
      </w:r>
      <w:r w:rsidRPr="00D4425F">
        <w:rPr>
          <w:rFonts w:ascii="Times New Roman" w:hAnsi="Times New Roman"/>
          <w:noProof/>
          <w:sz w:val="24"/>
          <w:szCs w:val="24"/>
        </w:rPr>
        <w:t>4</w:t>
      </w:r>
      <w:r>
        <w:rPr>
          <w:rFonts w:ascii="Times New Roman" w:hAnsi="Times New Roman"/>
          <w:noProof/>
          <w:sz w:val="24"/>
          <w:szCs w:val="24"/>
        </w:rPr>
        <w:t xml:space="preserve"> te veilen of over te dragen aan het moderniseringsfonds. Het aantal emissierechten van fase </w:t>
      </w:r>
      <w:r w:rsidRPr="00D4425F">
        <w:rPr>
          <w:rFonts w:ascii="Times New Roman" w:hAnsi="Times New Roman"/>
          <w:noProof/>
          <w:sz w:val="24"/>
          <w:szCs w:val="24"/>
        </w:rPr>
        <w:t>4</w:t>
      </w:r>
      <w:r>
        <w:rPr>
          <w:rFonts w:ascii="Times New Roman" w:hAnsi="Times New Roman"/>
          <w:noProof/>
          <w:sz w:val="24"/>
          <w:szCs w:val="24"/>
        </w:rPr>
        <w:t xml:space="preserve"> dat moet worden gebruikt krachtens de afwijking van artikel </w:t>
      </w:r>
      <w:r w:rsidRPr="00D4425F">
        <w:rPr>
          <w:rFonts w:ascii="Times New Roman" w:hAnsi="Times New Roman"/>
          <w:noProof/>
          <w:sz w:val="24"/>
          <w:szCs w:val="24"/>
        </w:rPr>
        <w:t>10</w:t>
      </w:r>
      <w:r>
        <w:rPr>
          <w:rFonts w:ascii="Times New Roman" w:hAnsi="Times New Roman"/>
          <w:noProof/>
          <w:sz w:val="24"/>
          <w:szCs w:val="24"/>
        </w:rPr>
        <w:t> quater, dat aan het moderniseringsfonds moet worden overgedragen of dat moet worden geveild, staat vermeld in tabel </w:t>
      </w:r>
      <w:r w:rsidRPr="00D4425F">
        <w:rPr>
          <w:rFonts w:ascii="Times New Roman" w:hAnsi="Times New Roman"/>
          <w:noProof/>
          <w:sz w:val="24"/>
          <w:szCs w:val="24"/>
        </w:rPr>
        <w:t>6</w:t>
      </w:r>
      <w:r>
        <w:rPr>
          <w:rFonts w:ascii="Times New Roman" w:hAnsi="Times New Roman"/>
          <w:noProof/>
          <w:sz w:val="24"/>
          <w:szCs w:val="24"/>
        </w:rPr>
        <w:t>.</w:t>
      </w:r>
      <w:r w:rsidRPr="00D4425F">
        <w:rPr>
          <w:rFonts w:ascii="Times New Roman" w:hAnsi="Times New Roman"/>
          <w:noProof/>
          <w:sz w:val="24"/>
          <w:szCs w:val="24"/>
        </w:rPr>
        <w:t>4</w:t>
      </w:r>
      <w:r>
        <w:rPr>
          <w:rFonts w:ascii="Times New Roman" w:hAnsi="Times New Roman"/>
          <w:noProof/>
          <w:sz w:val="24"/>
          <w:szCs w:val="24"/>
        </w:rPr>
        <w:t xml:space="preserve"> van aanhangsel </w:t>
      </w:r>
      <w:r w:rsidRPr="00D4425F">
        <w:rPr>
          <w:rFonts w:ascii="Times New Roman" w:hAnsi="Times New Roman"/>
          <w:noProof/>
          <w:sz w:val="24"/>
          <w:szCs w:val="24"/>
        </w:rPr>
        <w:t>6</w:t>
      </w:r>
      <w:r>
        <w:rPr>
          <w:rFonts w:ascii="Times New Roman" w:hAnsi="Times New Roman"/>
          <w:noProof/>
          <w:sz w:val="24"/>
          <w:szCs w:val="24"/>
        </w:rPr>
        <w:t xml:space="preserve"> van het begeleidende werkdocument va</w:t>
      </w:r>
      <w:r w:rsidR="00C0162E">
        <w:rPr>
          <w:rFonts w:ascii="Times New Roman" w:hAnsi="Times New Roman"/>
          <w:noProof/>
          <w:sz w:val="24"/>
          <w:szCs w:val="24"/>
        </w:rPr>
        <w:t>n de diensten van de Commissie.</w:t>
      </w:r>
    </w:p>
    <w:p w14:paraId="378E918D" w14:textId="17E09717" w:rsidR="00131369" w:rsidRPr="00DA11F1" w:rsidRDefault="00FA7EBD" w:rsidP="008E33DB">
      <w:pPr>
        <w:pStyle w:val="Heading3"/>
        <w:spacing w:before="0" w:after="200"/>
        <w:ind w:left="720"/>
        <w:rPr>
          <w:i/>
          <w:noProof/>
        </w:rPr>
      </w:pPr>
      <w:bookmarkStart w:id="35" w:name="_Toc490850427"/>
      <w:bookmarkStart w:id="36" w:name="_Toc89423470"/>
      <w:r w:rsidRPr="00D4425F">
        <w:rPr>
          <w:i/>
          <w:noProof/>
        </w:rPr>
        <w:t>3</w:t>
      </w:r>
      <w:r>
        <w:rPr>
          <w:i/>
          <w:noProof/>
        </w:rPr>
        <w:t>.</w:t>
      </w:r>
      <w:r w:rsidRPr="00D4425F">
        <w:rPr>
          <w:i/>
          <w:noProof/>
        </w:rPr>
        <w:t>1</w:t>
      </w:r>
      <w:r>
        <w:rPr>
          <w:i/>
          <w:noProof/>
        </w:rPr>
        <w:t>.</w:t>
      </w:r>
      <w:r w:rsidRPr="00D4425F">
        <w:rPr>
          <w:i/>
          <w:noProof/>
        </w:rPr>
        <w:t>5</w:t>
      </w:r>
      <w:r>
        <w:rPr>
          <w:i/>
          <w:noProof/>
        </w:rPr>
        <w:t xml:space="preserve"> Het NER</w:t>
      </w:r>
      <w:r w:rsidRPr="00D4425F">
        <w:rPr>
          <w:i/>
          <w:noProof/>
        </w:rPr>
        <w:t>300</w:t>
      </w:r>
      <w:r>
        <w:rPr>
          <w:i/>
          <w:noProof/>
        </w:rPr>
        <w:t>-programma</w:t>
      </w:r>
      <w:bookmarkEnd w:id="35"/>
      <w:bookmarkEnd w:id="36"/>
      <w:r>
        <w:rPr>
          <w:i/>
          <w:noProof/>
        </w:rPr>
        <w:t xml:space="preserve"> </w:t>
      </w:r>
    </w:p>
    <w:p w14:paraId="14567418" w14:textId="2D09ADCC" w:rsidR="00B04DED" w:rsidRPr="00DA11F1" w:rsidRDefault="001C6F82" w:rsidP="008E33DB">
      <w:pPr>
        <w:pStyle w:val="a3520normalp11"/>
        <w:spacing w:after="200" w:line="276" w:lineRule="auto"/>
        <w:rPr>
          <w:noProof/>
        </w:rPr>
      </w:pPr>
      <w:r>
        <w:rPr>
          <w:noProof/>
        </w:rPr>
        <w:t>In fase </w:t>
      </w:r>
      <w:r w:rsidRPr="00D4425F">
        <w:rPr>
          <w:noProof/>
        </w:rPr>
        <w:t>3</w:t>
      </w:r>
      <w:r>
        <w:rPr>
          <w:noProof/>
        </w:rPr>
        <w:t xml:space="preserve"> was NER</w:t>
      </w:r>
      <w:r w:rsidRPr="00D4425F">
        <w:rPr>
          <w:noProof/>
        </w:rPr>
        <w:t>300</w:t>
      </w:r>
      <w:r>
        <w:rPr>
          <w:noProof/>
        </w:rPr>
        <w:t xml:space="preserve"> een grootschalig financieringsprogramma voor innovatieve, koolstofarme energiedemonstratieprojecten. Het doel was om in de EU op commerciële schaal milieuveilige koolstofafvang en -opslag en innovatieve technologieën voor hernieuwbare energie te demonstreren. NER</w:t>
      </w:r>
      <w:r w:rsidRPr="00D4425F">
        <w:rPr>
          <w:noProof/>
        </w:rPr>
        <w:t>300</w:t>
      </w:r>
      <w:r>
        <w:rPr>
          <w:noProof/>
        </w:rPr>
        <w:t xml:space="preserve"> werd gefinancierd uit de tegeldemaking van </w:t>
      </w:r>
      <w:r w:rsidRPr="00D4425F">
        <w:rPr>
          <w:noProof/>
        </w:rPr>
        <w:t>300</w:t>
      </w:r>
      <w:r>
        <w:rPr>
          <w:noProof/>
        </w:rPr>
        <w:t> miljoen emissierechten uit de nieuwkomersreserve. De middelen werden toegekend aan projecten die geselecteerd zijn na twee oproepen tot het indienen van voorstellen, in december </w:t>
      </w:r>
      <w:r w:rsidRPr="00D4425F">
        <w:rPr>
          <w:noProof/>
        </w:rPr>
        <w:t>2012</w:t>
      </w:r>
      <w:r>
        <w:rPr>
          <w:noProof/>
        </w:rPr>
        <w:t xml:space="preserve"> en juli </w:t>
      </w:r>
      <w:r w:rsidRPr="00D4425F">
        <w:rPr>
          <w:noProof/>
        </w:rPr>
        <w:t>2014</w:t>
      </w:r>
      <w:r w:rsidR="00C0162E">
        <w:rPr>
          <w:noProof/>
        </w:rPr>
        <w:t>.</w:t>
      </w:r>
    </w:p>
    <w:p w14:paraId="07F2504F" w14:textId="1ED620B4" w:rsidR="00085CF6" w:rsidRPr="00DA11F1" w:rsidRDefault="00507A09" w:rsidP="008E33DB">
      <w:pPr>
        <w:ind w:right="57"/>
        <w:jc w:val="both"/>
        <w:rPr>
          <w:rFonts w:ascii="Times New Roman" w:eastAsia="Times New Roman" w:hAnsi="Times New Roman"/>
          <w:noProof/>
          <w:sz w:val="24"/>
          <w:szCs w:val="24"/>
        </w:rPr>
      </w:pPr>
      <w:r>
        <w:rPr>
          <w:rFonts w:ascii="Times New Roman" w:hAnsi="Times New Roman"/>
          <w:noProof/>
          <w:sz w:val="24"/>
          <w:szCs w:val="24"/>
        </w:rPr>
        <w:t xml:space="preserve">In totaal is aan </w:t>
      </w:r>
      <w:r w:rsidRPr="00D4425F">
        <w:rPr>
          <w:rFonts w:ascii="Times New Roman" w:hAnsi="Times New Roman"/>
          <w:noProof/>
          <w:sz w:val="24"/>
          <w:szCs w:val="24"/>
        </w:rPr>
        <w:t>38</w:t>
      </w:r>
      <w:r>
        <w:rPr>
          <w:rFonts w:ascii="Times New Roman" w:hAnsi="Times New Roman"/>
          <w:noProof/>
          <w:sz w:val="24"/>
          <w:szCs w:val="24"/>
        </w:rPr>
        <w:t xml:space="preserve"> projecten op het gebied van hernieuwbare energie en één project voor koolstofafvang en -opslag in twintig lidstaten voor een bedrag van </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miljard EUR steun in het kader van NER</w:t>
      </w:r>
      <w:r w:rsidRPr="00D4425F">
        <w:rPr>
          <w:rFonts w:ascii="Times New Roman" w:hAnsi="Times New Roman"/>
          <w:noProof/>
          <w:sz w:val="24"/>
          <w:szCs w:val="24"/>
        </w:rPr>
        <w:t>300</w:t>
      </w:r>
      <w:r>
        <w:rPr>
          <w:rFonts w:ascii="Times New Roman" w:hAnsi="Times New Roman"/>
          <w:noProof/>
          <w:sz w:val="24"/>
          <w:szCs w:val="24"/>
        </w:rPr>
        <w:t xml:space="preserve"> toegekend. Op </w:t>
      </w:r>
      <w:r w:rsidRPr="00D4425F">
        <w:rPr>
          <w:rFonts w:ascii="Times New Roman" w:hAnsi="Times New Roman"/>
          <w:noProof/>
          <w:sz w:val="24"/>
          <w:szCs w:val="24"/>
        </w:rPr>
        <w:t>30</w:t>
      </w:r>
      <w:r>
        <w:rPr>
          <w:rFonts w:ascii="Times New Roman" w:hAnsi="Times New Roman"/>
          <w:noProof/>
          <w:sz w:val="24"/>
          <w:szCs w:val="24"/>
        </w:rPr>
        <w:t xml:space="preserve"> juni </w:t>
      </w:r>
      <w:r w:rsidRPr="00D4425F">
        <w:rPr>
          <w:rFonts w:ascii="Times New Roman" w:hAnsi="Times New Roman"/>
          <w:noProof/>
          <w:sz w:val="24"/>
          <w:szCs w:val="24"/>
        </w:rPr>
        <w:t>2021</w:t>
      </w:r>
      <w:r>
        <w:rPr>
          <w:rFonts w:ascii="Times New Roman" w:hAnsi="Times New Roman"/>
          <w:noProof/>
          <w:sz w:val="24"/>
          <w:szCs w:val="24"/>
        </w:rPr>
        <w:t xml:space="preserve"> waren acht projecten operationeel: het bio-energieproject Verbiostraw in Duitsland, de windenergieprojecten Windpark Handalm in Oostenrijk (onshore) en Veja Mate en Nordsee One in Duitsland (beide offshore), het smart grid-project Puglia Active Network in Italië, de drijvende offshore-windprojecten Vertimed in Frankrijk en Windfloat in Portugal, evenals het project voor geconcentreerde zonne-energie Minos in Griekenland. Twee projecten, het Italiaanse bio-energieproject BEST en het Zweedse onshore-windenergieproject Windpark Blaiken, worden als voltooid beschouwd</w:t>
      </w:r>
      <w:r w:rsidR="00FE33CF" w:rsidRPr="00DA11F1">
        <w:rPr>
          <w:rStyle w:val="FootnoteReference"/>
          <w:rFonts w:ascii="Times New Roman" w:eastAsia="Times New Roman" w:hAnsi="Times New Roman"/>
          <w:noProof/>
          <w:sz w:val="24"/>
          <w:szCs w:val="24"/>
          <w:lang w:eastAsia="en-GB"/>
        </w:rPr>
        <w:footnoteReference w:id="49"/>
      </w:r>
      <w:r w:rsidR="00C0162E">
        <w:rPr>
          <w:rFonts w:ascii="Times New Roman" w:hAnsi="Times New Roman"/>
          <w:noProof/>
          <w:sz w:val="24"/>
          <w:szCs w:val="24"/>
        </w:rPr>
        <w:t>.</w:t>
      </w:r>
    </w:p>
    <w:p w14:paraId="769AF8C9" w14:textId="593CE1AB" w:rsidR="00085CF6" w:rsidRPr="00DA11F1" w:rsidRDefault="00E60092" w:rsidP="008E33DB">
      <w:pPr>
        <w:ind w:right="57"/>
        <w:jc w:val="both"/>
        <w:rPr>
          <w:rFonts w:ascii="Times New Roman" w:eastAsia="Times New Roman" w:hAnsi="Times New Roman"/>
          <w:noProof/>
          <w:sz w:val="24"/>
          <w:szCs w:val="24"/>
        </w:rPr>
      </w:pPr>
      <w:r>
        <w:rPr>
          <w:rFonts w:ascii="Times New Roman" w:hAnsi="Times New Roman"/>
          <w:noProof/>
          <w:sz w:val="24"/>
          <w:szCs w:val="24"/>
        </w:rPr>
        <w:t>Van nog eens vier projecten die na de tweede oproep tot het indienen van voorstellen zijn geselecteerd, vorderen de voorbereidingen. Als gevolg van de COVID-</w:t>
      </w:r>
      <w:r w:rsidRPr="00D4425F">
        <w:rPr>
          <w:rFonts w:ascii="Times New Roman" w:hAnsi="Times New Roman"/>
          <w:noProof/>
          <w:sz w:val="24"/>
          <w:szCs w:val="24"/>
        </w:rPr>
        <w:t>19</w:t>
      </w:r>
      <w:r>
        <w:rPr>
          <w:rFonts w:ascii="Times New Roman" w:hAnsi="Times New Roman"/>
          <w:noProof/>
          <w:sz w:val="24"/>
          <w:szCs w:val="24"/>
        </w:rPr>
        <w:t>-pandemie zijn de startdata echter gewijzigd</w:t>
      </w:r>
      <w:r w:rsidR="00085CF6" w:rsidRPr="00DA11F1">
        <w:rPr>
          <w:rStyle w:val="FootnoteReference"/>
          <w:rFonts w:ascii="Times New Roman" w:eastAsia="Times New Roman" w:hAnsi="Times New Roman"/>
          <w:noProof/>
          <w:sz w:val="24"/>
          <w:szCs w:val="24"/>
          <w:lang w:eastAsia="en-GB"/>
        </w:rPr>
        <w:footnoteReference w:id="50"/>
      </w:r>
      <w:r>
        <w:rPr>
          <w:rFonts w:ascii="Times New Roman" w:hAnsi="Times New Roman"/>
          <w:noProof/>
          <w:sz w:val="24"/>
          <w:szCs w:val="24"/>
        </w:rPr>
        <w:t>. Gezien de medefinancieringsproblemen ingevolge de NER</w:t>
      </w:r>
      <w:r w:rsidRPr="00D4425F">
        <w:rPr>
          <w:rFonts w:ascii="Times New Roman" w:hAnsi="Times New Roman"/>
          <w:noProof/>
          <w:sz w:val="24"/>
          <w:szCs w:val="24"/>
        </w:rPr>
        <w:t>300</w:t>
      </w:r>
      <w:r>
        <w:rPr>
          <w:rFonts w:ascii="Times New Roman" w:hAnsi="Times New Roman"/>
          <w:noProof/>
          <w:sz w:val="24"/>
          <w:szCs w:val="24"/>
        </w:rPr>
        <w:t xml:space="preserve">-voorschriften en de moeilijke economische en beleidscontext waren </w:t>
      </w:r>
      <w:r w:rsidRPr="00D4425F">
        <w:rPr>
          <w:rFonts w:ascii="Times New Roman" w:hAnsi="Times New Roman"/>
          <w:noProof/>
          <w:sz w:val="24"/>
          <w:szCs w:val="24"/>
        </w:rPr>
        <w:t>23</w:t>
      </w:r>
      <w:r>
        <w:rPr>
          <w:rFonts w:ascii="Times New Roman" w:hAnsi="Times New Roman"/>
          <w:noProof/>
          <w:sz w:val="24"/>
          <w:szCs w:val="24"/>
        </w:rPr>
        <w:t xml:space="preserve"> projecten niet in staat voldoende aanvullende middelen aan te trekken. Deze werden uit het programma geschrapt, waardoor in totaal bijna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5</w:t>
      </w:r>
      <w:r w:rsidR="00C0162E">
        <w:rPr>
          <w:rFonts w:ascii="Times New Roman" w:hAnsi="Times New Roman"/>
          <w:noProof/>
          <w:sz w:val="24"/>
          <w:szCs w:val="24"/>
        </w:rPr>
        <w:t> miljard EUR werd vrijgemaakt.</w:t>
      </w:r>
    </w:p>
    <w:p w14:paraId="6DF40BB7" w14:textId="38C1F303" w:rsidR="009729F0" w:rsidRPr="00DA11F1" w:rsidRDefault="00851E0F" w:rsidP="008E33DB">
      <w:pPr>
        <w:ind w:right="57"/>
        <w:jc w:val="both"/>
        <w:rPr>
          <w:rFonts w:ascii="Times New Roman" w:eastAsia="Times New Roman" w:hAnsi="Times New Roman"/>
          <w:noProof/>
          <w:sz w:val="24"/>
          <w:szCs w:val="24"/>
        </w:rPr>
      </w:pPr>
      <w:r>
        <w:rPr>
          <w:rFonts w:ascii="Times New Roman" w:hAnsi="Times New Roman"/>
          <w:noProof/>
          <w:sz w:val="24"/>
          <w:szCs w:val="24"/>
        </w:rPr>
        <w:t xml:space="preserve">In </w:t>
      </w:r>
      <w:r w:rsidRPr="00D4425F">
        <w:rPr>
          <w:rFonts w:ascii="Times New Roman" w:hAnsi="Times New Roman"/>
          <w:noProof/>
          <w:sz w:val="24"/>
          <w:szCs w:val="24"/>
        </w:rPr>
        <w:t>2017</w:t>
      </w:r>
      <w:r>
        <w:rPr>
          <w:rFonts w:ascii="Times New Roman" w:hAnsi="Times New Roman"/>
          <w:noProof/>
          <w:sz w:val="24"/>
          <w:szCs w:val="24"/>
        </w:rPr>
        <w:t xml:space="preserve"> werd bij het gewijzigde NER</w:t>
      </w:r>
      <w:r w:rsidRPr="00D4425F">
        <w:rPr>
          <w:rFonts w:ascii="Times New Roman" w:hAnsi="Times New Roman"/>
          <w:noProof/>
          <w:sz w:val="24"/>
          <w:szCs w:val="24"/>
        </w:rPr>
        <w:t>300</w:t>
      </w:r>
      <w:r>
        <w:rPr>
          <w:rFonts w:ascii="Times New Roman" w:hAnsi="Times New Roman"/>
          <w:noProof/>
          <w:sz w:val="24"/>
          <w:szCs w:val="24"/>
        </w:rPr>
        <w:t>-besluit</w:t>
      </w:r>
      <w:r w:rsidR="00060393" w:rsidRPr="00DA11F1">
        <w:rPr>
          <w:rFonts w:ascii="Times New Roman" w:eastAsia="Times New Roman" w:hAnsi="Times New Roman"/>
          <w:noProof/>
          <w:sz w:val="24"/>
          <w:szCs w:val="24"/>
          <w:vertAlign w:val="superscript"/>
          <w:lang w:eastAsia="en-GB"/>
        </w:rPr>
        <w:footnoteReference w:id="51"/>
      </w:r>
      <w:r>
        <w:rPr>
          <w:rFonts w:ascii="Times New Roman" w:hAnsi="Times New Roman"/>
          <w:noProof/>
          <w:sz w:val="24"/>
          <w:szCs w:val="24"/>
        </w:rPr>
        <w:t xml:space="preserve"> toestemming gegeven om de middelen die vrijkwamen door de annulering van projecten van de eerste oproep tot het indienen van voorstellen (</w:t>
      </w:r>
      <w:r w:rsidRPr="00D4425F">
        <w:rPr>
          <w:rFonts w:ascii="Times New Roman" w:hAnsi="Times New Roman"/>
          <w:noProof/>
          <w:sz w:val="24"/>
          <w:szCs w:val="24"/>
        </w:rPr>
        <w:t>708</w:t>
      </w:r>
      <w:r>
        <w:rPr>
          <w:rFonts w:ascii="Times New Roman" w:hAnsi="Times New Roman"/>
          <w:noProof/>
          <w:sz w:val="24"/>
          <w:szCs w:val="24"/>
        </w:rPr>
        <w:t>,</w:t>
      </w:r>
      <w:r w:rsidRPr="00D4425F">
        <w:rPr>
          <w:rFonts w:ascii="Times New Roman" w:hAnsi="Times New Roman"/>
          <w:noProof/>
          <w:sz w:val="24"/>
          <w:szCs w:val="24"/>
        </w:rPr>
        <w:t>7</w:t>
      </w:r>
      <w:r>
        <w:rPr>
          <w:rFonts w:ascii="Times New Roman" w:hAnsi="Times New Roman"/>
          <w:noProof/>
          <w:sz w:val="24"/>
          <w:szCs w:val="24"/>
        </w:rPr>
        <w:t> miljoen EUR) opnieuw te investeren in projecten die werden ondersteund in het kader van de bestaande financiële instrumenten, te weten de InnovFin energiedemonstratieprojecten en het schuldinstrument van de Connecting Europe Facility, die allebei door de Europese Investeringsbank worden beheerd.</w:t>
      </w:r>
      <w:r>
        <w:rPr>
          <w:rFonts w:ascii="Times New Roman" w:hAnsi="Times New Roman"/>
          <w:noProof/>
        </w:rPr>
        <w:t xml:space="preserve"> </w:t>
      </w:r>
      <w:r>
        <w:rPr>
          <w:rFonts w:ascii="Times New Roman" w:hAnsi="Times New Roman"/>
          <w:noProof/>
          <w:sz w:val="24"/>
          <w:szCs w:val="24"/>
        </w:rPr>
        <w:t>Deze projecten en de bijbehorende pijpleidingen tonen met succes aan dat het ingestelde combinatiemechanisme efficiënt functioneert. De volledige toewijzing van niet-uitgekeerde NER</w:t>
      </w:r>
      <w:r w:rsidRPr="00D4425F">
        <w:rPr>
          <w:rFonts w:ascii="Times New Roman" w:hAnsi="Times New Roman"/>
          <w:noProof/>
          <w:sz w:val="24"/>
          <w:szCs w:val="24"/>
        </w:rPr>
        <w:t>300</w:t>
      </w:r>
      <w:r>
        <w:rPr>
          <w:rFonts w:ascii="Times New Roman" w:hAnsi="Times New Roman"/>
          <w:noProof/>
          <w:sz w:val="24"/>
          <w:szCs w:val="24"/>
        </w:rPr>
        <w:t xml:space="preserve">-middelen wordt verwacht tegen eind </w:t>
      </w:r>
      <w:r w:rsidRPr="00D4425F">
        <w:rPr>
          <w:rFonts w:ascii="Times New Roman" w:hAnsi="Times New Roman"/>
          <w:noProof/>
          <w:sz w:val="24"/>
          <w:szCs w:val="24"/>
        </w:rPr>
        <w:t>2022</w:t>
      </w:r>
      <w:r>
        <w:rPr>
          <w:rFonts w:ascii="Times New Roman" w:hAnsi="Times New Roman"/>
          <w:noProof/>
          <w:sz w:val="24"/>
          <w:szCs w:val="24"/>
        </w:rPr>
        <w:t>.</w:t>
      </w:r>
    </w:p>
    <w:p w14:paraId="0B02A50A" w14:textId="43CA8A13" w:rsidR="009729F0" w:rsidRPr="00DA11F1" w:rsidRDefault="009729F0" w:rsidP="008E33DB">
      <w:pPr>
        <w:ind w:right="57"/>
        <w:jc w:val="both"/>
        <w:rPr>
          <w:rFonts w:ascii="Times New Roman" w:eastAsia="Times New Roman" w:hAnsi="Times New Roman"/>
          <w:noProof/>
          <w:sz w:val="24"/>
          <w:szCs w:val="24"/>
        </w:rPr>
      </w:pPr>
      <w:r>
        <w:rPr>
          <w:rFonts w:ascii="Times New Roman" w:hAnsi="Times New Roman"/>
          <w:noProof/>
          <w:sz w:val="24"/>
          <w:szCs w:val="24"/>
        </w:rPr>
        <w:t xml:space="preserve">De resterende niet-bestede middelen uit de tweede ronde van oproepen tot het indienen van voorstellen zullen naar het innovatiefonds gaan. Tot dusver is </w:t>
      </w:r>
      <w:r w:rsidRPr="00D4425F">
        <w:rPr>
          <w:rFonts w:ascii="Times New Roman" w:hAnsi="Times New Roman"/>
          <w:noProof/>
          <w:sz w:val="24"/>
          <w:szCs w:val="24"/>
        </w:rPr>
        <w:t>746</w:t>
      </w:r>
      <w:r>
        <w:rPr>
          <w:rFonts w:ascii="Times New Roman" w:hAnsi="Times New Roman"/>
          <w:noProof/>
          <w:sz w:val="24"/>
          <w:szCs w:val="24"/>
        </w:rPr>
        <w:t>,</w:t>
      </w:r>
      <w:r w:rsidRPr="00D4425F">
        <w:rPr>
          <w:rFonts w:ascii="Times New Roman" w:hAnsi="Times New Roman"/>
          <w:noProof/>
          <w:sz w:val="24"/>
          <w:szCs w:val="24"/>
        </w:rPr>
        <w:t>6</w:t>
      </w:r>
      <w:r>
        <w:rPr>
          <w:rFonts w:ascii="Times New Roman" w:hAnsi="Times New Roman"/>
          <w:noProof/>
          <w:sz w:val="24"/>
          <w:szCs w:val="24"/>
        </w:rPr>
        <w:t> miljoen EUR overge</w:t>
      </w:r>
      <w:r w:rsidR="00C0162E">
        <w:rPr>
          <w:rFonts w:ascii="Times New Roman" w:hAnsi="Times New Roman"/>
          <w:noProof/>
          <w:sz w:val="24"/>
          <w:szCs w:val="24"/>
        </w:rPr>
        <w:t>dragen naar het innovatiefonds.</w:t>
      </w:r>
    </w:p>
    <w:p w14:paraId="5BE7C782" w14:textId="7C30578F" w:rsidR="00131369" w:rsidRPr="00DA11F1" w:rsidRDefault="00507A9B" w:rsidP="008E33DB">
      <w:pPr>
        <w:ind w:right="57"/>
        <w:jc w:val="both"/>
        <w:rPr>
          <w:rFonts w:ascii="Times New Roman" w:hAnsi="Times New Roman"/>
          <w:noProof/>
        </w:rPr>
      </w:pPr>
      <w:r>
        <w:rPr>
          <w:rFonts w:ascii="Times New Roman" w:hAnsi="Times New Roman"/>
          <w:noProof/>
          <w:sz w:val="24"/>
          <w:szCs w:val="24"/>
        </w:rPr>
        <w:t>Zie voor meer informatie over NER</w:t>
      </w:r>
      <w:r w:rsidRPr="00D4425F">
        <w:rPr>
          <w:rFonts w:ascii="Times New Roman" w:hAnsi="Times New Roman"/>
          <w:noProof/>
          <w:sz w:val="24"/>
          <w:szCs w:val="24"/>
        </w:rPr>
        <w:t>300</w:t>
      </w:r>
      <w:r>
        <w:rPr>
          <w:rFonts w:ascii="Times New Roman" w:hAnsi="Times New Roman"/>
          <w:noProof/>
          <w:sz w:val="24"/>
          <w:szCs w:val="24"/>
        </w:rPr>
        <w:t xml:space="preserve"> aanhangsel </w:t>
      </w:r>
      <w:r w:rsidRPr="00D4425F">
        <w:rPr>
          <w:rFonts w:ascii="Times New Roman" w:hAnsi="Times New Roman"/>
          <w:noProof/>
          <w:sz w:val="24"/>
          <w:szCs w:val="24"/>
        </w:rPr>
        <w:t>7</w:t>
      </w:r>
      <w:r>
        <w:rPr>
          <w:rFonts w:ascii="Times New Roman" w:hAnsi="Times New Roman"/>
          <w:noProof/>
          <w:sz w:val="24"/>
          <w:szCs w:val="24"/>
        </w:rPr>
        <w:t xml:space="preserve"> van het begeleidende werkdocument van de diensten van de Commissie.</w:t>
      </w:r>
    </w:p>
    <w:p w14:paraId="65DD9F9D" w14:textId="04691D94" w:rsidR="00131369" w:rsidRPr="00DA11F1" w:rsidRDefault="00FA7EBD" w:rsidP="008E33DB">
      <w:pPr>
        <w:pStyle w:val="Heading3"/>
        <w:spacing w:before="0" w:after="200"/>
        <w:ind w:left="720"/>
        <w:rPr>
          <w:i/>
          <w:noProof/>
        </w:rPr>
      </w:pPr>
      <w:bookmarkStart w:id="37" w:name="_Toc89423471"/>
      <w:r w:rsidRPr="00D4425F">
        <w:rPr>
          <w:i/>
          <w:noProof/>
        </w:rPr>
        <w:t>3</w:t>
      </w:r>
      <w:r>
        <w:rPr>
          <w:i/>
          <w:noProof/>
        </w:rPr>
        <w:t>.</w:t>
      </w:r>
      <w:r w:rsidRPr="00D4425F">
        <w:rPr>
          <w:i/>
          <w:noProof/>
        </w:rPr>
        <w:t>1</w:t>
      </w:r>
      <w:r>
        <w:rPr>
          <w:i/>
          <w:noProof/>
        </w:rPr>
        <w:t>.</w:t>
      </w:r>
      <w:r w:rsidRPr="00D4425F">
        <w:rPr>
          <w:i/>
          <w:noProof/>
        </w:rPr>
        <w:t>6</w:t>
      </w:r>
      <w:r>
        <w:rPr>
          <w:i/>
          <w:noProof/>
        </w:rPr>
        <w:t>. Het innovatiefonds</w:t>
      </w:r>
      <w:bookmarkEnd w:id="37"/>
      <w:r>
        <w:rPr>
          <w:i/>
          <w:noProof/>
        </w:rPr>
        <w:t xml:space="preserve"> </w:t>
      </w:r>
    </w:p>
    <w:p w14:paraId="0DE49A10" w14:textId="0FD3D7AA" w:rsidR="007A5FC2" w:rsidRPr="00DA11F1" w:rsidRDefault="007A5FC2" w:rsidP="008E33DB">
      <w:pPr>
        <w:jc w:val="both"/>
        <w:rPr>
          <w:rFonts w:ascii="Times New Roman" w:hAnsi="Times New Roman"/>
          <w:noProof/>
          <w:sz w:val="24"/>
          <w:szCs w:val="24"/>
        </w:rPr>
      </w:pPr>
      <w:r>
        <w:rPr>
          <w:rFonts w:ascii="Times New Roman" w:hAnsi="Times New Roman"/>
          <w:noProof/>
          <w:sz w:val="24"/>
          <w:szCs w:val="24"/>
        </w:rPr>
        <w:t xml:space="preserve">In het innovatiefonds in het kader van het EU-ETS wordt voor de periode </w:t>
      </w:r>
      <w:r w:rsidRPr="00D4425F">
        <w:rPr>
          <w:rFonts w:ascii="Times New Roman" w:hAnsi="Times New Roman"/>
          <w:noProof/>
          <w:sz w:val="24"/>
          <w:szCs w:val="24"/>
        </w:rPr>
        <w:t>2020</w:t>
      </w:r>
      <w:r>
        <w:rPr>
          <w:rFonts w:ascii="Times New Roman" w:hAnsi="Times New Roman"/>
          <w:noProof/>
          <w:sz w:val="24"/>
          <w:szCs w:val="24"/>
        </w:rPr>
        <w:t>-</w:t>
      </w:r>
      <w:r w:rsidRPr="00D4425F">
        <w:rPr>
          <w:rFonts w:ascii="Times New Roman" w:hAnsi="Times New Roman"/>
          <w:noProof/>
          <w:sz w:val="24"/>
          <w:szCs w:val="24"/>
        </w:rPr>
        <w:t>2030</w:t>
      </w:r>
      <w:r>
        <w:rPr>
          <w:rFonts w:ascii="Times New Roman" w:hAnsi="Times New Roman"/>
          <w:noProof/>
          <w:sz w:val="24"/>
          <w:szCs w:val="24"/>
        </w:rPr>
        <w:t xml:space="preserve"> ten minste </w:t>
      </w:r>
      <w:r w:rsidRPr="00D4425F">
        <w:rPr>
          <w:rFonts w:ascii="Times New Roman" w:hAnsi="Times New Roman"/>
          <w:noProof/>
          <w:sz w:val="24"/>
          <w:szCs w:val="24"/>
        </w:rPr>
        <w:t>20</w:t>
      </w:r>
      <w:r>
        <w:rPr>
          <w:rFonts w:ascii="Times New Roman" w:hAnsi="Times New Roman"/>
          <w:noProof/>
          <w:sz w:val="24"/>
          <w:szCs w:val="24"/>
        </w:rPr>
        <w:t> miljard EUR</w:t>
      </w:r>
      <w:r w:rsidR="00B84343" w:rsidRPr="00DA11F1">
        <w:rPr>
          <w:rStyle w:val="FootnoteReference"/>
          <w:rFonts w:ascii="Times New Roman" w:hAnsi="Times New Roman"/>
          <w:noProof/>
          <w:sz w:val="24"/>
          <w:szCs w:val="24"/>
        </w:rPr>
        <w:footnoteReference w:id="52"/>
      </w:r>
      <w:r>
        <w:rPr>
          <w:rFonts w:ascii="Times New Roman" w:hAnsi="Times New Roman"/>
          <w:noProof/>
          <w:sz w:val="24"/>
          <w:szCs w:val="24"/>
        </w:rPr>
        <w:t xml:space="preserve"> bijeengebracht, uit de veiling van </w:t>
      </w:r>
      <w:r w:rsidRPr="00D4425F">
        <w:rPr>
          <w:rFonts w:ascii="Times New Roman" w:hAnsi="Times New Roman"/>
          <w:noProof/>
          <w:sz w:val="24"/>
          <w:szCs w:val="24"/>
        </w:rPr>
        <w:t>450</w:t>
      </w:r>
      <w:r>
        <w:rPr>
          <w:rFonts w:ascii="Times New Roman" w:hAnsi="Times New Roman"/>
          <w:noProof/>
          <w:sz w:val="24"/>
          <w:szCs w:val="24"/>
        </w:rPr>
        <w:t> miljoen emissierechten. Dit maakt het tot een van de grootste programma’s ter wereld gericht op het financieren van de commerciële demonstratie van innovatieve koolstofarme technologieën en industriële oplossingen voor het koolstofvrij maken van de energie-intensieve industrieën in Europa, innovatieve hernieuwbare energiebronnen, energieopslag en koolstofafvang en -opslag.</w:t>
      </w:r>
    </w:p>
    <w:p w14:paraId="315838C1" w14:textId="39A820F6" w:rsidR="001B7C08" w:rsidRPr="00DA11F1" w:rsidRDefault="00AC2F6D" w:rsidP="008E33DB">
      <w:pPr>
        <w:jc w:val="both"/>
        <w:rPr>
          <w:rFonts w:ascii="Times New Roman" w:hAnsi="Times New Roman"/>
          <w:noProof/>
          <w:sz w:val="24"/>
          <w:szCs w:val="24"/>
        </w:rPr>
      </w:pPr>
      <w:r>
        <w:rPr>
          <w:rFonts w:ascii="Times New Roman" w:hAnsi="Times New Roman"/>
          <w:noProof/>
          <w:sz w:val="24"/>
          <w:szCs w:val="24"/>
        </w:rPr>
        <w:t xml:space="preserve">Samen met het Europees Uitvoerend Agentschap klimaat, infrastructuur en milieu heeft de Commissie in </w:t>
      </w:r>
      <w:r w:rsidRPr="00D4425F">
        <w:rPr>
          <w:rFonts w:ascii="Times New Roman" w:hAnsi="Times New Roman"/>
          <w:noProof/>
          <w:sz w:val="24"/>
          <w:szCs w:val="24"/>
        </w:rPr>
        <w:t>2020</w:t>
      </w:r>
      <w:r>
        <w:rPr>
          <w:rFonts w:ascii="Times New Roman" w:hAnsi="Times New Roman"/>
          <w:noProof/>
          <w:sz w:val="24"/>
          <w:szCs w:val="24"/>
        </w:rPr>
        <w:t xml:space="preserve"> de eerste oproepen tot het indienen van voorstellen in het kader van het innovatiefonds gedaan. De oproepen hebben grote belangstelling gewekt van bedrijven, groot en klein, die op zoek zijn naar financiering voor hun innovatieve projecten op het gebied van schone technologie, in verschillende sectoren en in alle lidstaten, plus IJsland en Noorwegen. In het kader van de oproep tot het indienen van grootschalige projecten</w:t>
      </w:r>
      <w:r w:rsidRPr="00DA11F1">
        <w:rPr>
          <w:rStyle w:val="FootnoteReference"/>
          <w:rFonts w:ascii="Times New Roman" w:hAnsi="Times New Roman"/>
          <w:noProof/>
          <w:sz w:val="24"/>
          <w:szCs w:val="24"/>
        </w:rPr>
        <w:footnoteReference w:id="53"/>
      </w:r>
      <w:r>
        <w:rPr>
          <w:rFonts w:ascii="Times New Roman" w:hAnsi="Times New Roman"/>
          <w:noProof/>
          <w:sz w:val="24"/>
          <w:szCs w:val="24"/>
        </w:rPr>
        <w:t xml:space="preserve"> werden de </w:t>
      </w:r>
      <w:r w:rsidRPr="00D4425F">
        <w:rPr>
          <w:rFonts w:ascii="Times New Roman" w:hAnsi="Times New Roman"/>
          <w:noProof/>
          <w:sz w:val="24"/>
          <w:szCs w:val="24"/>
        </w:rPr>
        <w:t>70</w:t>
      </w:r>
      <w:r>
        <w:rPr>
          <w:rFonts w:ascii="Times New Roman" w:hAnsi="Times New Roman"/>
          <w:noProof/>
          <w:sz w:val="24"/>
          <w:szCs w:val="24"/>
        </w:rPr>
        <w:t xml:space="preserve"> hoogst genoteerde projecten (van de </w:t>
      </w:r>
      <w:r w:rsidRPr="00D4425F">
        <w:rPr>
          <w:rFonts w:ascii="Times New Roman" w:hAnsi="Times New Roman"/>
          <w:noProof/>
          <w:sz w:val="24"/>
          <w:szCs w:val="24"/>
        </w:rPr>
        <w:t>311</w:t>
      </w:r>
      <w:r>
        <w:rPr>
          <w:rFonts w:ascii="Times New Roman" w:hAnsi="Times New Roman"/>
          <w:noProof/>
          <w:sz w:val="24"/>
          <w:szCs w:val="24"/>
        </w:rPr>
        <w:t xml:space="preserve"> aanvragen) verzocht uiterlijk op </w:t>
      </w:r>
      <w:r w:rsidRPr="00D4425F">
        <w:rPr>
          <w:rFonts w:ascii="Times New Roman" w:hAnsi="Times New Roman"/>
          <w:noProof/>
          <w:sz w:val="24"/>
          <w:szCs w:val="24"/>
        </w:rPr>
        <w:t>23</w:t>
      </w:r>
      <w:r>
        <w:rPr>
          <w:rFonts w:ascii="Times New Roman" w:hAnsi="Times New Roman"/>
          <w:noProof/>
          <w:sz w:val="24"/>
          <w:szCs w:val="24"/>
        </w:rPr>
        <w:t xml:space="preserve"> juni </w:t>
      </w:r>
      <w:r w:rsidRPr="00D4425F">
        <w:rPr>
          <w:rFonts w:ascii="Times New Roman" w:hAnsi="Times New Roman"/>
          <w:noProof/>
          <w:sz w:val="24"/>
          <w:szCs w:val="24"/>
        </w:rPr>
        <w:t>2021</w:t>
      </w:r>
      <w:r>
        <w:rPr>
          <w:rFonts w:ascii="Times New Roman" w:hAnsi="Times New Roman"/>
          <w:noProof/>
          <w:sz w:val="24"/>
          <w:szCs w:val="24"/>
        </w:rPr>
        <w:t xml:space="preserve"> een volledig voorstel voor de tweede fase in te dienen. Er werden </w:t>
      </w:r>
      <w:r w:rsidRPr="00D4425F">
        <w:rPr>
          <w:rFonts w:ascii="Times New Roman" w:hAnsi="Times New Roman"/>
          <w:noProof/>
          <w:sz w:val="24"/>
          <w:szCs w:val="24"/>
        </w:rPr>
        <w:t>66</w:t>
      </w:r>
      <w:r>
        <w:rPr>
          <w:rFonts w:ascii="Times New Roman" w:hAnsi="Times New Roman"/>
          <w:noProof/>
          <w:sz w:val="24"/>
          <w:szCs w:val="24"/>
        </w:rPr>
        <w:t xml:space="preserve"> volledige voorstellen ingediend met verzoeken om steun voor een totaalbedrag van ongeveer </w:t>
      </w:r>
      <w:r w:rsidRPr="00D4425F">
        <w:rPr>
          <w:rFonts w:ascii="Times New Roman" w:hAnsi="Times New Roman"/>
          <w:noProof/>
          <w:sz w:val="24"/>
          <w:szCs w:val="24"/>
        </w:rPr>
        <w:t>6</w:t>
      </w:r>
      <w:r>
        <w:rPr>
          <w:rFonts w:ascii="Times New Roman" w:hAnsi="Times New Roman"/>
          <w:noProof/>
          <w:sz w:val="24"/>
          <w:szCs w:val="24"/>
        </w:rPr>
        <w:t xml:space="preserve"> miljard EUR, tegen de totale beschikbare financiering in het kader van deze oproep van </w:t>
      </w:r>
      <w:r w:rsidRPr="00D4425F">
        <w:rPr>
          <w:rFonts w:ascii="Times New Roman" w:hAnsi="Times New Roman"/>
          <w:noProof/>
          <w:sz w:val="24"/>
          <w:szCs w:val="24"/>
        </w:rPr>
        <w:t>1</w:t>
      </w:r>
      <w:r>
        <w:rPr>
          <w:rFonts w:ascii="Times New Roman" w:hAnsi="Times New Roman"/>
          <w:noProof/>
          <w:sz w:val="24"/>
          <w:szCs w:val="24"/>
        </w:rPr>
        <w:t xml:space="preserve"> miljard EUR. De resultaten van de beoordeling zullen in het vierde kwartaal van </w:t>
      </w:r>
      <w:r w:rsidRPr="00D4425F">
        <w:rPr>
          <w:rFonts w:ascii="Times New Roman" w:hAnsi="Times New Roman"/>
          <w:noProof/>
          <w:sz w:val="24"/>
          <w:szCs w:val="24"/>
        </w:rPr>
        <w:t>2021</w:t>
      </w:r>
      <w:r>
        <w:rPr>
          <w:rFonts w:ascii="Times New Roman" w:hAnsi="Times New Roman"/>
          <w:noProof/>
          <w:sz w:val="24"/>
          <w:szCs w:val="24"/>
        </w:rPr>
        <w:t xml:space="preserve"> beschikbaar zi</w:t>
      </w:r>
      <w:r w:rsidR="00C0162E">
        <w:rPr>
          <w:rFonts w:ascii="Times New Roman" w:hAnsi="Times New Roman"/>
          <w:noProof/>
          <w:sz w:val="24"/>
          <w:szCs w:val="24"/>
        </w:rPr>
        <w:t>jn.</w:t>
      </w:r>
    </w:p>
    <w:p w14:paraId="05E73AED" w14:textId="147EFCA5" w:rsidR="00AC2F6D" w:rsidRPr="00DA11F1" w:rsidRDefault="001F3C0C" w:rsidP="008E33DB">
      <w:pPr>
        <w:jc w:val="both"/>
        <w:rPr>
          <w:rFonts w:ascii="Times New Roman" w:hAnsi="Times New Roman"/>
          <w:noProof/>
          <w:sz w:val="24"/>
          <w:szCs w:val="24"/>
        </w:rPr>
      </w:pPr>
      <w:r>
        <w:rPr>
          <w:rFonts w:ascii="Times New Roman" w:hAnsi="Times New Roman"/>
          <w:noProof/>
          <w:sz w:val="24"/>
          <w:szCs w:val="24"/>
        </w:rPr>
        <w:t>De oproep tot het indienen van kleinschalige projecten</w:t>
      </w:r>
      <w:r w:rsidR="00EB179F" w:rsidRPr="00DA11F1">
        <w:rPr>
          <w:rStyle w:val="FootnoteReference"/>
          <w:rFonts w:ascii="Times New Roman" w:hAnsi="Times New Roman"/>
          <w:noProof/>
          <w:sz w:val="24"/>
          <w:szCs w:val="24"/>
        </w:rPr>
        <w:footnoteReference w:id="54"/>
      </w:r>
      <w:r>
        <w:rPr>
          <w:rFonts w:ascii="Times New Roman" w:hAnsi="Times New Roman"/>
          <w:noProof/>
          <w:sz w:val="24"/>
          <w:szCs w:val="24"/>
        </w:rPr>
        <w:t xml:space="preserve"> werd op </w:t>
      </w:r>
      <w:r w:rsidRPr="00D4425F">
        <w:rPr>
          <w:rFonts w:ascii="Times New Roman" w:hAnsi="Times New Roman"/>
          <w:noProof/>
          <w:sz w:val="24"/>
          <w:szCs w:val="24"/>
        </w:rPr>
        <w:t>10</w:t>
      </w:r>
      <w:r>
        <w:rPr>
          <w:rFonts w:ascii="Times New Roman" w:hAnsi="Times New Roman"/>
          <w:noProof/>
          <w:sz w:val="24"/>
          <w:szCs w:val="24"/>
        </w:rPr>
        <w:t xml:space="preserve"> maart </w:t>
      </w:r>
      <w:r w:rsidRPr="00D4425F">
        <w:rPr>
          <w:rFonts w:ascii="Times New Roman" w:hAnsi="Times New Roman"/>
          <w:noProof/>
          <w:sz w:val="24"/>
          <w:szCs w:val="24"/>
        </w:rPr>
        <w:t>2021</w:t>
      </w:r>
      <w:r>
        <w:rPr>
          <w:rFonts w:ascii="Times New Roman" w:hAnsi="Times New Roman"/>
          <w:noProof/>
          <w:sz w:val="24"/>
          <w:szCs w:val="24"/>
        </w:rPr>
        <w:t xml:space="preserve"> afgesloten met </w:t>
      </w:r>
      <w:r w:rsidRPr="00D4425F">
        <w:rPr>
          <w:rFonts w:ascii="Times New Roman" w:hAnsi="Times New Roman"/>
          <w:noProof/>
          <w:sz w:val="24"/>
          <w:szCs w:val="24"/>
        </w:rPr>
        <w:t>232</w:t>
      </w:r>
      <w:r>
        <w:rPr>
          <w:rFonts w:ascii="Times New Roman" w:hAnsi="Times New Roman"/>
          <w:noProof/>
          <w:sz w:val="24"/>
          <w:szCs w:val="24"/>
        </w:rPr>
        <w:t xml:space="preserve"> ingediende projecten. </w:t>
      </w:r>
      <w:r>
        <w:rPr>
          <w:rFonts w:ascii="Times New Roman" w:hAnsi="Times New Roman"/>
          <w:noProof/>
        </w:rPr>
        <w:t xml:space="preserve">Er werden </w:t>
      </w:r>
      <w:r w:rsidRPr="00D4425F">
        <w:rPr>
          <w:rFonts w:ascii="Times New Roman" w:hAnsi="Times New Roman"/>
          <w:noProof/>
        </w:rPr>
        <w:t>32</w:t>
      </w:r>
      <w:r>
        <w:rPr>
          <w:rFonts w:ascii="Times New Roman" w:hAnsi="Times New Roman"/>
          <w:noProof/>
        </w:rPr>
        <w:t> kleinschalige projecten geselecteerd voor financiering en uitgenodigd voor de sub</w:t>
      </w:r>
      <w:r w:rsidR="00C0162E">
        <w:rPr>
          <w:rFonts w:ascii="Times New Roman" w:hAnsi="Times New Roman"/>
          <w:noProof/>
        </w:rPr>
        <w:t>sidievoorbereidingsfase in juli </w:t>
      </w:r>
      <w:r w:rsidRPr="00D4425F">
        <w:rPr>
          <w:rFonts w:ascii="Times New Roman" w:hAnsi="Times New Roman"/>
          <w:noProof/>
        </w:rPr>
        <w:t>2021</w:t>
      </w:r>
      <w:r>
        <w:rPr>
          <w:rFonts w:ascii="Times New Roman" w:hAnsi="Times New Roman"/>
          <w:noProof/>
        </w:rPr>
        <w:t xml:space="preserve">, voor een totaalbedrag van </w:t>
      </w:r>
      <w:r w:rsidRPr="00D4425F">
        <w:rPr>
          <w:rFonts w:ascii="Times New Roman" w:hAnsi="Times New Roman"/>
          <w:noProof/>
        </w:rPr>
        <w:t>118</w:t>
      </w:r>
      <w:r>
        <w:rPr>
          <w:rFonts w:ascii="Times New Roman" w:hAnsi="Times New Roman"/>
          <w:noProof/>
        </w:rPr>
        <w:t> miljoen EUR.</w:t>
      </w:r>
      <w:r>
        <w:rPr>
          <w:rFonts w:ascii="Times New Roman" w:hAnsi="Times New Roman"/>
          <w:noProof/>
          <w:sz w:val="24"/>
          <w:szCs w:val="24"/>
        </w:rPr>
        <w:t xml:space="preserve"> De geselecteerde projecten bevinden zich in </w:t>
      </w:r>
      <w:r w:rsidRPr="00D4425F">
        <w:rPr>
          <w:rFonts w:ascii="Times New Roman" w:hAnsi="Times New Roman"/>
          <w:noProof/>
          <w:sz w:val="24"/>
          <w:szCs w:val="24"/>
        </w:rPr>
        <w:t>12</w:t>
      </w:r>
      <w:r>
        <w:rPr>
          <w:rFonts w:ascii="Times New Roman" w:hAnsi="Times New Roman"/>
          <w:noProof/>
          <w:sz w:val="24"/>
          <w:szCs w:val="24"/>
        </w:rPr>
        <w:t> lidstaten plus IJsland en Noorwegen, en zullen de uitstoot van broeikasgassen in zowel de energie- als de in</w:t>
      </w:r>
      <w:r w:rsidR="00C0162E">
        <w:rPr>
          <w:rFonts w:ascii="Times New Roman" w:hAnsi="Times New Roman"/>
          <w:noProof/>
          <w:sz w:val="24"/>
          <w:szCs w:val="24"/>
        </w:rPr>
        <w:t>dustriële sector terugdringen.</w:t>
      </w:r>
    </w:p>
    <w:p w14:paraId="42F1C8CB" w14:textId="2129F28D" w:rsidR="001B7C08" w:rsidRPr="00DA11F1" w:rsidRDefault="009F4C75" w:rsidP="008E33DB">
      <w:pPr>
        <w:jc w:val="both"/>
        <w:rPr>
          <w:rFonts w:ascii="Times New Roman" w:hAnsi="Times New Roman"/>
          <w:noProof/>
          <w:sz w:val="24"/>
          <w:szCs w:val="24"/>
        </w:rPr>
      </w:pPr>
      <w:r>
        <w:rPr>
          <w:rFonts w:ascii="Times New Roman" w:hAnsi="Times New Roman"/>
          <w:noProof/>
          <w:sz w:val="24"/>
          <w:szCs w:val="24"/>
        </w:rPr>
        <w:t xml:space="preserve">Er werden </w:t>
      </w:r>
      <w:r w:rsidRPr="00D4425F">
        <w:rPr>
          <w:rFonts w:ascii="Times New Roman" w:hAnsi="Times New Roman"/>
          <w:noProof/>
          <w:sz w:val="24"/>
          <w:szCs w:val="24"/>
        </w:rPr>
        <w:t>15</w:t>
      </w:r>
      <w:r>
        <w:rPr>
          <w:rFonts w:ascii="Times New Roman" w:hAnsi="Times New Roman"/>
          <w:noProof/>
          <w:sz w:val="24"/>
          <w:szCs w:val="24"/>
        </w:rPr>
        <w:t xml:space="preserve"> grootschalige projecten geselecteerd voor projectontwikkelingsbijstand in het kader van het innovatiefonds voor een totaalbedrag van </w:t>
      </w:r>
      <w:r w:rsidRPr="00D4425F">
        <w:rPr>
          <w:rFonts w:ascii="Times New Roman" w:hAnsi="Times New Roman"/>
          <w:noProof/>
          <w:sz w:val="24"/>
          <w:szCs w:val="24"/>
        </w:rPr>
        <w:t>4</w:t>
      </w:r>
      <w:r w:rsidR="00C0162E">
        <w:rPr>
          <w:rFonts w:ascii="Times New Roman" w:hAnsi="Times New Roman"/>
          <w:noProof/>
          <w:sz w:val="24"/>
          <w:szCs w:val="24"/>
        </w:rPr>
        <w:t> miljoen EUR.</w:t>
      </w:r>
    </w:p>
    <w:p w14:paraId="0D2C8E63" w14:textId="2B8FD0D8" w:rsidR="00131369" w:rsidRPr="00DA11F1" w:rsidRDefault="00FA7EBD" w:rsidP="008E33DB">
      <w:pPr>
        <w:pStyle w:val="Heading3"/>
        <w:spacing w:before="0" w:after="200"/>
        <w:ind w:left="720"/>
        <w:rPr>
          <w:i/>
          <w:noProof/>
        </w:rPr>
      </w:pPr>
      <w:bookmarkStart w:id="38" w:name="_Toc89423472"/>
      <w:r w:rsidRPr="00D4425F">
        <w:rPr>
          <w:i/>
          <w:noProof/>
        </w:rPr>
        <w:t>3</w:t>
      </w:r>
      <w:r>
        <w:rPr>
          <w:i/>
          <w:noProof/>
        </w:rPr>
        <w:t>.</w:t>
      </w:r>
      <w:r w:rsidRPr="00D4425F">
        <w:rPr>
          <w:i/>
          <w:noProof/>
        </w:rPr>
        <w:t>1</w:t>
      </w:r>
      <w:r>
        <w:rPr>
          <w:i/>
          <w:noProof/>
        </w:rPr>
        <w:t>.</w:t>
      </w:r>
      <w:r w:rsidRPr="00D4425F">
        <w:rPr>
          <w:i/>
          <w:noProof/>
        </w:rPr>
        <w:t>7</w:t>
      </w:r>
      <w:r>
        <w:rPr>
          <w:i/>
          <w:noProof/>
        </w:rPr>
        <w:t>. Het moderniseringsfonds</w:t>
      </w:r>
      <w:bookmarkEnd w:id="38"/>
      <w:r>
        <w:rPr>
          <w:i/>
          <w:noProof/>
        </w:rPr>
        <w:t xml:space="preserve"> </w:t>
      </w:r>
    </w:p>
    <w:p w14:paraId="0BEC614C" w14:textId="4EC0D53F" w:rsidR="00407285" w:rsidRPr="00DA11F1" w:rsidRDefault="0085153B" w:rsidP="008E33DB">
      <w:pPr>
        <w:jc w:val="both"/>
        <w:rPr>
          <w:rFonts w:ascii="Times New Roman" w:hAnsi="Times New Roman"/>
          <w:noProof/>
          <w:sz w:val="24"/>
          <w:szCs w:val="24"/>
        </w:rPr>
      </w:pPr>
      <w:r>
        <w:rPr>
          <w:rFonts w:ascii="Times New Roman" w:hAnsi="Times New Roman"/>
          <w:noProof/>
          <w:sz w:val="24"/>
          <w:szCs w:val="24"/>
        </w:rPr>
        <w:t>Het moderniseringsfonds is het belangrijkste financieringsinstrument in het kader van het EU-ETS dat is opgezet om de decarbonisatie in de Midden- en Oost-Europese lidstaten te ondersteunen</w:t>
      </w:r>
      <w:r w:rsidRPr="00DA11F1">
        <w:rPr>
          <w:rStyle w:val="FootnoteReference"/>
          <w:rFonts w:ascii="Times New Roman" w:hAnsi="Times New Roman"/>
          <w:noProof/>
          <w:sz w:val="24"/>
          <w:szCs w:val="24"/>
          <w:lang w:val="en-US"/>
        </w:rPr>
        <w:footnoteReference w:id="55"/>
      </w:r>
      <w:r>
        <w:rPr>
          <w:rFonts w:ascii="Times New Roman" w:hAnsi="Times New Roman"/>
          <w:noProof/>
          <w:sz w:val="24"/>
          <w:szCs w:val="24"/>
        </w:rPr>
        <w:t xml:space="preserve">. In dit fonds wordt ongeveer </w:t>
      </w:r>
      <w:r w:rsidRPr="00D4425F">
        <w:rPr>
          <w:rFonts w:ascii="Times New Roman" w:hAnsi="Times New Roman"/>
          <w:noProof/>
          <w:sz w:val="24"/>
          <w:szCs w:val="24"/>
        </w:rPr>
        <w:t>25</w:t>
      </w:r>
      <w:r>
        <w:rPr>
          <w:rFonts w:ascii="Times New Roman" w:hAnsi="Times New Roman"/>
          <w:noProof/>
          <w:sz w:val="24"/>
          <w:szCs w:val="24"/>
        </w:rPr>
        <w:t> miljard EUR</w:t>
      </w:r>
      <w:r w:rsidRPr="00DA11F1">
        <w:rPr>
          <w:rStyle w:val="FootnoteReference"/>
          <w:rFonts w:ascii="Times New Roman" w:hAnsi="Times New Roman"/>
          <w:noProof/>
          <w:sz w:val="24"/>
          <w:szCs w:val="24"/>
          <w:lang w:val="en-US"/>
        </w:rPr>
        <w:footnoteReference w:id="56"/>
      </w:r>
      <w:r>
        <w:rPr>
          <w:rFonts w:ascii="Times New Roman" w:hAnsi="Times New Roman"/>
          <w:noProof/>
          <w:sz w:val="24"/>
          <w:szCs w:val="24"/>
        </w:rPr>
        <w:t xml:space="preserve"> bijeengebracht, uit de veiling van meer dan </w:t>
      </w:r>
      <w:r w:rsidRPr="00D4425F">
        <w:rPr>
          <w:rFonts w:ascii="Times New Roman" w:hAnsi="Times New Roman"/>
          <w:noProof/>
          <w:sz w:val="24"/>
          <w:szCs w:val="24"/>
        </w:rPr>
        <w:t>643</w:t>
      </w:r>
      <w:r>
        <w:rPr>
          <w:rFonts w:ascii="Times New Roman" w:hAnsi="Times New Roman"/>
          <w:noProof/>
          <w:sz w:val="24"/>
          <w:szCs w:val="24"/>
        </w:rPr>
        <w:t> miljoen emissierechten</w:t>
      </w:r>
      <w:r w:rsidR="009F4C75" w:rsidRPr="00DA11F1">
        <w:rPr>
          <w:rStyle w:val="FootnoteReference"/>
          <w:rFonts w:ascii="Times New Roman" w:hAnsi="Times New Roman"/>
          <w:noProof/>
          <w:sz w:val="24"/>
          <w:szCs w:val="24"/>
          <w:lang w:val="en-US"/>
        </w:rPr>
        <w:footnoteReference w:id="57"/>
      </w:r>
      <w:r>
        <w:rPr>
          <w:rFonts w:ascii="Times New Roman" w:hAnsi="Times New Roman"/>
          <w:noProof/>
          <w:sz w:val="24"/>
          <w:szCs w:val="24"/>
        </w:rPr>
        <w:t xml:space="preserve"> in fase </w:t>
      </w:r>
      <w:r w:rsidRPr="00D4425F">
        <w:rPr>
          <w:rFonts w:ascii="Times New Roman" w:hAnsi="Times New Roman"/>
          <w:noProof/>
          <w:sz w:val="24"/>
          <w:szCs w:val="24"/>
        </w:rPr>
        <w:t>4</w:t>
      </w:r>
      <w:r w:rsidR="00C0162E">
        <w:rPr>
          <w:rFonts w:ascii="Times New Roman" w:hAnsi="Times New Roman"/>
          <w:noProof/>
          <w:sz w:val="24"/>
          <w:szCs w:val="24"/>
        </w:rPr>
        <w:t>.</w:t>
      </w:r>
    </w:p>
    <w:p w14:paraId="79384D3C" w14:textId="788222FC" w:rsidR="00407285" w:rsidRPr="00DA11F1" w:rsidRDefault="0085153B" w:rsidP="008E33DB">
      <w:pPr>
        <w:jc w:val="both"/>
        <w:rPr>
          <w:rFonts w:ascii="Times New Roman" w:hAnsi="Times New Roman"/>
          <w:noProof/>
          <w:sz w:val="24"/>
          <w:szCs w:val="24"/>
        </w:rPr>
      </w:pPr>
      <w:r>
        <w:rPr>
          <w:rFonts w:ascii="Times New Roman" w:hAnsi="Times New Roman"/>
          <w:noProof/>
          <w:sz w:val="24"/>
          <w:szCs w:val="24"/>
        </w:rPr>
        <w:t>Het moderniseringsfo</w:t>
      </w:r>
      <w:r w:rsidR="00C0162E">
        <w:rPr>
          <w:rFonts w:ascii="Times New Roman" w:hAnsi="Times New Roman"/>
          <w:noProof/>
          <w:sz w:val="24"/>
          <w:szCs w:val="24"/>
        </w:rPr>
        <w:t>nds werd in januari </w:t>
      </w:r>
      <w:r w:rsidRPr="00D4425F">
        <w:rPr>
          <w:rFonts w:ascii="Times New Roman" w:hAnsi="Times New Roman"/>
          <w:noProof/>
          <w:sz w:val="24"/>
          <w:szCs w:val="24"/>
        </w:rPr>
        <w:t>2021</w:t>
      </w:r>
      <w:r>
        <w:rPr>
          <w:rFonts w:ascii="Times New Roman" w:hAnsi="Times New Roman"/>
          <w:noProof/>
          <w:sz w:val="24"/>
          <w:szCs w:val="24"/>
        </w:rPr>
        <w:t xml:space="preserve"> operationeel. In de eerste halfjaarlijkse uitbetalingscyclus werden in Hongarije, Polen en Tsjechië zes meerjarige regelingen bevestigd voor een totaalbedrag van </w:t>
      </w:r>
      <w:r w:rsidRPr="00D4425F">
        <w:rPr>
          <w:rFonts w:ascii="Times New Roman" w:hAnsi="Times New Roman"/>
          <w:noProof/>
          <w:sz w:val="24"/>
          <w:szCs w:val="24"/>
        </w:rPr>
        <w:t>304</w:t>
      </w:r>
      <w:r>
        <w:rPr>
          <w:rFonts w:ascii="Times New Roman" w:hAnsi="Times New Roman"/>
          <w:noProof/>
          <w:sz w:val="24"/>
          <w:szCs w:val="24"/>
        </w:rPr>
        <w:t> miljoen EUR. De regelingen omvatten investeringen in hernieuwbare energie, energie-efficiëntie, slimme netten en de ontwikkeling van elektriciteitsnetten en energiegemeenschappen.</w:t>
      </w:r>
    </w:p>
    <w:p w14:paraId="02366EAC" w14:textId="1542DE55" w:rsidR="00131369" w:rsidRPr="00DA11F1" w:rsidRDefault="00BE4015" w:rsidP="008E33DB">
      <w:pPr>
        <w:jc w:val="both"/>
        <w:rPr>
          <w:rFonts w:ascii="Times New Roman" w:hAnsi="Times New Roman"/>
          <w:noProof/>
          <w:sz w:val="24"/>
          <w:szCs w:val="24"/>
        </w:rPr>
      </w:pPr>
      <w:r>
        <w:rPr>
          <w:rFonts w:ascii="Times New Roman" w:hAnsi="Times New Roman"/>
          <w:noProof/>
          <w:sz w:val="24"/>
          <w:szCs w:val="24"/>
        </w:rPr>
        <w:t>Het totale aantal emissierechten per begunstigde lidstaat in fase </w:t>
      </w:r>
      <w:r w:rsidRPr="00D4425F">
        <w:rPr>
          <w:rFonts w:ascii="Times New Roman" w:hAnsi="Times New Roman"/>
          <w:noProof/>
          <w:sz w:val="24"/>
          <w:szCs w:val="24"/>
        </w:rPr>
        <w:t>4</w:t>
      </w:r>
      <w:r>
        <w:rPr>
          <w:rFonts w:ascii="Times New Roman" w:hAnsi="Times New Roman"/>
          <w:noProof/>
          <w:sz w:val="24"/>
          <w:szCs w:val="24"/>
        </w:rPr>
        <w:t xml:space="preserve"> wordt weergegeven in tabel </w:t>
      </w:r>
      <w:r w:rsidRPr="00D4425F">
        <w:rPr>
          <w:rFonts w:ascii="Times New Roman" w:hAnsi="Times New Roman"/>
          <w:noProof/>
          <w:sz w:val="24"/>
          <w:szCs w:val="24"/>
        </w:rPr>
        <w:t>7</w:t>
      </w:r>
      <w:r>
        <w:rPr>
          <w:rFonts w:ascii="Times New Roman" w:hAnsi="Times New Roman"/>
          <w:noProof/>
          <w:sz w:val="24"/>
          <w:szCs w:val="24"/>
        </w:rPr>
        <w:t>.</w:t>
      </w:r>
      <w:r w:rsidRPr="00D4425F">
        <w:rPr>
          <w:rFonts w:ascii="Times New Roman" w:hAnsi="Times New Roman"/>
          <w:noProof/>
          <w:sz w:val="24"/>
          <w:szCs w:val="24"/>
        </w:rPr>
        <w:t>3</w:t>
      </w:r>
      <w:r>
        <w:rPr>
          <w:rFonts w:ascii="Times New Roman" w:hAnsi="Times New Roman"/>
          <w:noProof/>
          <w:sz w:val="24"/>
          <w:szCs w:val="24"/>
        </w:rPr>
        <w:t xml:space="preserve"> van aanhangsel </w:t>
      </w:r>
      <w:r w:rsidRPr="00D4425F">
        <w:rPr>
          <w:rFonts w:ascii="Times New Roman" w:hAnsi="Times New Roman"/>
          <w:noProof/>
          <w:sz w:val="24"/>
          <w:szCs w:val="24"/>
        </w:rPr>
        <w:t>7</w:t>
      </w:r>
      <w:r>
        <w:rPr>
          <w:rFonts w:ascii="Times New Roman" w:hAnsi="Times New Roman"/>
          <w:noProof/>
          <w:sz w:val="24"/>
          <w:szCs w:val="24"/>
        </w:rPr>
        <w:t xml:space="preserve"> van het begeleidende werkdocument va</w:t>
      </w:r>
      <w:r w:rsidR="00C0162E">
        <w:rPr>
          <w:rFonts w:ascii="Times New Roman" w:hAnsi="Times New Roman"/>
          <w:noProof/>
          <w:sz w:val="24"/>
          <w:szCs w:val="24"/>
        </w:rPr>
        <w:t>n de diensten van de Commissie.</w:t>
      </w:r>
    </w:p>
    <w:p w14:paraId="7D40694A" w14:textId="7DEDD768" w:rsidR="00131369" w:rsidRPr="00DA11F1" w:rsidRDefault="00FA7EBD" w:rsidP="008E33DB">
      <w:pPr>
        <w:pStyle w:val="Heading3"/>
        <w:spacing w:before="0" w:after="200"/>
        <w:ind w:left="720"/>
        <w:rPr>
          <w:rStyle w:val="Heading3Char"/>
          <w:b/>
          <w:i/>
          <w:noProof/>
        </w:rPr>
      </w:pPr>
      <w:bookmarkStart w:id="39" w:name="_Toc490850428"/>
      <w:bookmarkStart w:id="40" w:name="_Toc89423473"/>
      <w:r w:rsidRPr="00D4425F">
        <w:rPr>
          <w:i/>
          <w:noProof/>
        </w:rPr>
        <w:t>3</w:t>
      </w:r>
      <w:r>
        <w:rPr>
          <w:rStyle w:val="Heading3Char"/>
          <w:b/>
          <w:i/>
          <w:noProof/>
        </w:rPr>
        <w:t>.</w:t>
      </w:r>
      <w:r w:rsidRPr="00D4425F">
        <w:rPr>
          <w:rStyle w:val="Heading3Char"/>
          <w:b/>
          <w:i/>
          <w:noProof/>
        </w:rPr>
        <w:t>1</w:t>
      </w:r>
      <w:r>
        <w:rPr>
          <w:rStyle w:val="Heading3Char"/>
          <w:b/>
          <w:i/>
          <w:noProof/>
        </w:rPr>
        <w:t>.</w:t>
      </w:r>
      <w:r w:rsidRPr="00D4425F">
        <w:rPr>
          <w:rStyle w:val="Heading3Char"/>
          <w:b/>
          <w:i/>
          <w:noProof/>
        </w:rPr>
        <w:t>8</w:t>
      </w:r>
      <w:r>
        <w:rPr>
          <w:rStyle w:val="Heading3Char"/>
          <w:b/>
          <w:i/>
          <w:noProof/>
        </w:rPr>
        <w:t>. Compensatie van indirecte koolstofkosten</w:t>
      </w:r>
      <w:bookmarkStart w:id="41" w:name="_Toc463015542"/>
      <w:bookmarkStart w:id="42" w:name="_Toc490850429"/>
      <w:bookmarkEnd w:id="39"/>
      <w:bookmarkEnd w:id="40"/>
    </w:p>
    <w:p w14:paraId="6EA5A395" w14:textId="6274C703" w:rsidR="00700047" w:rsidRPr="00DA11F1" w:rsidRDefault="00700047" w:rsidP="008E33DB">
      <w:pPr>
        <w:jc w:val="both"/>
        <w:rPr>
          <w:rFonts w:ascii="Times New Roman" w:hAnsi="Times New Roman"/>
          <w:noProof/>
          <w:sz w:val="24"/>
          <w:szCs w:val="24"/>
        </w:rPr>
      </w:pPr>
      <w:r>
        <w:rPr>
          <w:rFonts w:ascii="Times New Roman" w:hAnsi="Times New Roman"/>
          <w:noProof/>
          <w:sz w:val="24"/>
          <w:szCs w:val="24"/>
        </w:rPr>
        <w:t xml:space="preserve">Naast de kosteloze toewijzing voor het dekken van directe emissies kunnen de lidstaten staatssteun verlenen om enkele elektriciteitsintensieve industrieën te compenseren voor koolstofkosten die voortvloeien uit indirecte emissies, d.w.z. de kosten van hogere elektriciteitsprijzen als gevolg van het feit dat energieproducenten de kosten voor de aankoop van emissierechten doorberekenen aan de consument. Om te verzekeren dat deze regeling ter compensatie van indirecte koolstofkosten in alle lidstaten op geharmoniseerde wijze wordt toegepast en eventuele concurrentievervalsing op de interne markt te minimaliseren, heeft de Commissie de EU-ETS-richtsnoeren betreffende staatssteun goedgekeurd. De eerste uitgave van deze richtsnoeren was van toepassing op de indirecte kosten die zijn gemaakt van </w:t>
      </w:r>
      <w:r w:rsidRPr="00D4425F">
        <w:rPr>
          <w:rFonts w:ascii="Times New Roman" w:hAnsi="Times New Roman"/>
          <w:noProof/>
          <w:sz w:val="24"/>
          <w:szCs w:val="24"/>
        </w:rPr>
        <w:t>2013</w:t>
      </w:r>
      <w:r>
        <w:rPr>
          <w:rFonts w:ascii="Times New Roman" w:hAnsi="Times New Roman"/>
          <w:noProof/>
          <w:sz w:val="24"/>
          <w:szCs w:val="24"/>
        </w:rPr>
        <w:t xml:space="preserve"> tot en met </w:t>
      </w:r>
      <w:r w:rsidRPr="00D4425F">
        <w:rPr>
          <w:rFonts w:ascii="Times New Roman" w:hAnsi="Times New Roman"/>
          <w:noProof/>
          <w:sz w:val="24"/>
          <w:szCs w:val="24"/>
        </w:rPr>
        <w:t>2020</w:t>
      </w:r>
      <w:r w:rsidR="00C00ECD" w:rsidRPr="00DA11F1">
        <w:rPr>
          <w:rStyle w:val="FootnoteReference"/>
          <w:rFonts w:ascii="Times New Roman" w:hAnsi="Times New Roman"/>
          <w:noProof/>
          <w:sz w:val="24"/>
          <w:szCs w:val="24"/>
        </w:rPr>
        <w:footnoteReference w:id="58"/>
      </w:r>
      <w:r>
        <w:rPr>
          <w:rFonts w:ascii="Times New Roman" w:hAnsi="Times New Roman"/>
          <w:noProof/>
          <w:sz w:val="24"/>
          <w:szCs w:val="24"/>
        </w:rPr>
        <w:t xml:space="preserve">. De richtsnoeren werden vervolgens herzien, zodat ze de periode </w:t>
      </w:r>
      <w:r w:rsidRPr="00D4425F">
        <w:rPr>
          <w:rFonts w:ascii="Times New Roman" w:hAnsi="Times New Roman"/>
          <w:noProof/>
          <w:sz w:val="24"/>
          <w:szCs w:val="24"/>
        </w:rPr>
        <w:t>2021</w:t>
      </w:r>
      <w:r w:rsidR="00C0162E">
        <w:rPr>
          <w:rFonts w:ascii="Times New Roman" w:hAnsi="Times New Roman"/>
          <w:noProof/>
          <w:sz w:val="24"/>
          <w:szCs w:val="24"/>
        </w:rPr>
        <w:noBreakHyphen/>
      </w:r>
      <w:r w:rsidRPr="00D4425F">
        <w:rPr>
          <w:rFonts w:ascii="Times New Roman" w:hAnsi="Times New Roman"/>
          <w:noProof/>
          <w:sz w:val="24"/>
          <w:szCs w:val="24"/>
        </w:rPr>
        <w:t>2030</w:t>
      </w:r>
      <w:r w:rsidR="00C00ECD" w:rsidRPr="00DA11F1">
        <w:rPr>
          <w:rStyle w:val="FootnoteReference"/>
          <w:rFonts w:ascii="Times New Roman" w:hAnsi="Times New Roman"/>
          <w:noProof/>
          <w:sz w:val="24"/>
          <w:szCs w:val="24"/>
        </w:rPr>
        <w:footnoteReference w:id="59"/>
      </w:r>
      <w:r w:rsidR="00C0162E">
        <w:rPr>
          <w:rFonts w:ascii="Times New Roman" w:hAnsi="Times New Roman"/>
          <w:noProof/>
          <w:sz w:val="24"/>
          <w:szCs w:val="24"/>
        </w:rPr>
        <w:t xml:space="preserve"> bestrijken.</w:t>
      </w:r>
    </w:p>
    <w:p w14:paraId="638180EA" w14:textId="7ECE20F0" w:rsidR="00700047" w:rsidRPr="00DA11F1" w:rsidRDefault="00B52704" w:rsidP="008E33DB">
      <w:pPr>
        <w:jc w:val="both"/>
        <w:rPr>
          <w:rFonts w:ascii="Times New Roman" w:hAnsi="Times New Roman"/>
          <w:noProof/>
          <w:sz w:val="24"/>
          <w:szCs w:val="24"/>
        </w:rPr>
      </w:pPr>
      <w:r>
        <w:rPr>
          <w:rFonts w:ascii="Times New Roman" w:hAnsi="Times New Roman"/>
          <w:noProof/>
          <w:sz w:val="24"/>
          <w:szCs w:val="24"/>
        </w:rPr>
        <w:t xml:space="preserve">Dit verslag bevat een overzicht van de uitgaven van de lidstaten in </w:t>
      </w:r>
      <w:r w:rsidRPr="00D4425F">
        <w:rPr>
          <w:rFonts w:ascii="Times New Roman" w:hAnsi="Times New Roman"/>
          <w:noProof/>
          <w:sz w:val="24"/>
          <w:szCs w:val="24"/>
        </w:rPr>
        <w:t>2020</w:t>
      </w:r>
      <w:r>
        <w:rPr>
          <w:rFonts w:ascii="Times New Roman" w:hAnsi="Times New Roman"/>
          <w:noProof/>
          <w:sz w:val="24"/>
          <w:szCs w:val="24"/>
        </w:rPr>
        <w:t xml:space="preserve"> voor in </w:t>
      </w:r>
      <w:r w:rsidRPr="00D4425F">
        <w:rPr>
          <w:rFonts w:ascii="Times New Roman" w:hAnsi="Times New Roman"/>
          <w:noProof/>
          <w:sz w:val="24"/>
          <w:szCs w:val="24"/>
        </w:rPr>
        <w:t>2019</w:t>
      </w:r>
      <w:r>
        <w:rPr>
          <w:rFonts w:ascii="Times New Roman" w:hAnsi="Times New Roman"/>
          <w:noProof/>
          <w:sz w:val="24"/>
          <w:szCs w:val="24"/>
        </w:rPr>
        <w:t xml:space="preserve"> gemaakte indirecte kosten, op grond van de eerste uitgave van de richtsnoeren. Er zijn nog geen gegevens beschikbaar over de compensatie van de indirecte kosten in </w:t>
      </w:r>
      <w:r w:rsidRPr="00D4425F">
        <w:rPr>
          <w:rFonts w:ascii="Times New Roman" w:hAnsi="Times New Roman"/>
          <w:noProof/>
          <w:sz w:val="24"/>
          <w:szCs w:val="24"/>
        </w:rPr>
        <w:t>2020</w:t>
      </w:r>
      <w:r>
        <w:rPr>
          <w:rFonts w:ascii="Times New Roman" w:hAnsi="Times New Roman"/>
          <w:noProof/>
          <w:sz w:val="24"/>
          <w:szCs w:val="24"/>
        </w:rPr>
        <w:t xml:space="preserve">. De lidstaten die er op grond van de herziene richtsnoeren voor kiezen te starten of door te gaan met de compensatie van indirecte kosten die in </w:t>
      </w:r>
      <w:r w:rsidRPr="00D4425F">
        <w:rPr>
          <w:rFonts w:ascii="Times New Roman" w:hAnsi="Times New Roman"/>
          <w:noProof/>
          <w:sz w:val="24"/>
          <w:szCs w:val="24"/>
        </w:rPr>
        <w:t>2021</w:t>
      </w:r>
      <w:r>
        <w:rPr>
          <w:rFonts w:ascii="Times New Roman" w:hAnsi="Times New Roman"/>
          <w:noProof/>
          <w:sz w:val="24"/>
          <w:szCs w:val="24"/>
        </w:rPr>
        <w:t xml:space="preserve"> en daarna worden gemaakt, moeten hun regelingen bij de Commissie aanmelden.</w:t>
      </w:r>
    </w:p>
    <w:p w14:paraId="3ABD6C71" w14:textId="23578200" w:rsidR="00700047" w:rsidRPr="00DA11F1" w:rsidRDefault="00A1108B" w:rsidP="008E33DB">
      <w:pPr>
        <w:jc w:val="both"/>
        <w:rPr>
          <w:rFonts w:ascii="Times New Roman" w:eastAsia="Times New Roman" w:hAnsi="Times New Roman"/>
          <w:noProof/>
          <w:sz w:val="24"/>
          <w:szCs w:val="24"/>
        </w:rPr>
      </w:pPr>
      <w:r>
        <w:rPr>
          <w:rFonts w:ascii="Times New Roman" w:hAnsi="Times New Roman"/>
          <w:noProof/>
          <w:sz w:val="24"/>
          <w:szCs w:val="24"/>
        </w:rPr>
        <w:t xml:space="preserve">Steeds meer lidstaten zijn gestart met de compensatie van indirecte kosten. Tot dusver heeft de Commissie </w:t>
      </w:r>
      <w:r w:rsidRPr="00D4425F">
        <w:rPr>
          <w:rFonts w:ascii="Times New Roman" w:hAnsi="Times New Roman"/>
          <w:noProof/>
          <w:sz w:val="24"/>
          <w:szCs w:val="24"/>
        </w:rPr>
        <w:t>16</w:t>
      </w:r>
      <w:r>
        <w:rPr>
          <w:rFonts w:ascii="Times New Roman" w:hAnsi="Times New Roman"/>
          <w:noProof/>
          <w:sz w:val="24"/>
          <w:szCs w:val="24"/>
        </w:rPr>
        <w:t xml:space="preserve"> regelingen in </w:t>
      </w:r>
      <w:r w:rsidRPr="00D4425F">
        <w:rPr>
          <w:rFonts w:ascii="Times New Roman" w:hAnsi="Times New Roman"/>
          <w:noProof/>
          <w:sz w:val="24"/>
          <w:szCs w:val="24"/>
        </w:rPr>
        <w:t>15</w:t>
      </w:r>
      <w:r>
        <w:rPr>
          <w:rFonts w:ascii="Times New Roman" w:hAnsi="Times New Roman"/>
          <w:noProof/>
          <w:sz w:val="24"/>
          <w:szCs w:val="24"/>
        </w:rPr>
        <w:t xml:space="preserve"> lidstaten goedgekeurd. In </w:t>
      </w:r>
      <w:r w:rsidRPr="00D4425F">
        <w:rPr>
          <w:rFonts w:ascii="Times New Roman" w:hAnsi="Times New Roman"/>
          <w:noProof/>
          <w:sz w:val="24"/>
          <w:szCs w:val="24"/>
        </w:rPr>
        <w:t>2020</w:t>
      </w:r>
      <w:r>
        <w:rPr>
          <w:rFonts w:ascii="Times New Roman" w:hAnsi="Times New Roman"/>
          <w:noProof/>
          <w:sz w:val="24"/>
          <w:szCs w:val="24"/>
        </w:rPr>
        <w:t xml:space="preserve"> zijn Polen en Roemenië voor het eerst gestart met de compensatie van indirecte kosten. De Commissie heeft in november </w:t>
      </w:r>
      <w:r w:rsidRPr="00D4425F">
        <w:rPr>
          <w:rFonts w:ascii="Times New Roman" w:hAnsi="Times New Roman"/>
          <w:noProof/>
          <w:sz w:val="24"/>
          <w:szCs w:val="24"/>
        </w:rPr>
        <w:t>2020</w:t>
      </w:r>
      <w:r>
        <w:rPr>
          <w:rFonts w:ascii="Times New Roman" w:hAnsi="Times New Roman"/>
          <w:noProof/>
          <w:sz w:val="24"/>
          <w:szCs w:val="24"/>
        </w:rPr>
        <w:t xml:space="preserve"> een nieuwe Tsjechische regeling</w:t>
      </w:r>
      <w:r w:rsidR="00700047" w:rsidRPr="00DA11F1">
        <w:rPr>
          <w:rStyle w:val="FootnoteReference"/>
          <w:rFonts w:ascii="Times New Roman" w:eastAsia="Times New Roman" w:hAnsi="Times New Roman"/>
          <w:noProof/>
          <w:sz w:val="24"/>
          <w:szCs w:val="24"/>
          <w:lang w:eastAsia="de-DE"/>
        </w:rPr>
        <w:footnoteReference w:id="60"/>
      </w:r>
      <w:r w:rsidR="00C0162E">
        <w:rPr>
          <w:rFonts w:ascii="Times New Roman" w:hAnsi="Times New Roman"/>
          <w:noProof/>
          <w:sz w:val="24"/>
          <w:szCs w:val="24"/>
        </w:rPr>
        <w:t xml:space="preserve"> goedgekeurd en in juli </w:t>
      </w:r>
      <w:r w:rsidRPr="00D4425F">
        <w:rPr>
          <w:rFonts w:ascii="Times New Roman" w:hAnsi="Times New Roman"/>
          <w:noProof/>
          <w:sz w:val="24"/>
          <w:szCs w:val="24"/>
        </w:rPr>
        <w:t>2021</w:t>
      </w:r>
      <w:r>
        <w:rPr>
          <w:rFonts w:ascii="Times New Roman" w:hAnsi="Times New Roman"/>
          <w:noProof/>
          <w:sz w:val="24"/>
          <w:szCs w:val="24"/>
        </w:rPr>
        <w:t xml:space="preserve"> een nieuwe Italiaanse regeling</w:t>
      </w:r>
      <w:r w:rsidR="00700047" w:rsidRPr="00DA11F1">
        <w:rPr>
          <w:rStyle w:val="FootnoteReference"/>
          <w:rFonts w:ascii="Times New Roman" w:eastAsia="Times New Roman" w:hAnsi="Times New Roman"/>
          <w:noProof/>
          <w:sz w:val="24"/>
          <w:szCs w:val="24"/>
          <w:lang w:eastAsia="de-DE"/>
        </w:rPr>
        <w:footnoteReference w:id="61"/>
      </w:r>
      <w:r>
        <w:rPr>
          <w:rFonts w:ascii="Times New Roman" w:hAnsi="Times New Roman"/>
          <w:noProof/>
          <w:sz w:val="24"/>
          <w:szCs w:val="24"/>
        </w:rPr>
        <w:t xml:space="preserve">. Tsjechië en Italië starten in </w:t>
      </w:r>
      <w:r w:rsidRPr="00D4425F">
        <w:rPr>
          <w:rFonts w:ascii="Times New Roman" w:hAnsi="Times New Roman"/>
          <w:noProof/>
          <w:sz w:val="24"/>
          <w:szCs w:val="24"/>
        </w:rPr>
        <w:t>2021</w:t>
      </w:r>
      <w:r>
        <w:rPr>
          <w:rFonts w:ascii="Times New Roman" w:hAnsi="Times New Roman"/>
          <w:noProof/>
          <w:sz w:val="24"/>
          <w:szCs w:val="24"/>
        </w:rPr>
        <w:t xml:space="preserve"> met de compensatie van indirecte kosten (voor in </w:t>
      </w:r>
      <w:r w:rsidRPr="00D4425F">
        <w:rPr>
          <w:rFonts w:ascii="Times New Roman" w:hAnsi="Times New Roman"/>
          <w:noProof/>
          <w:sz w:val="24"/>
          <w:szCs w:val="24"/>
        </w:rPr>
        <w:t>2020</w:t>
      </w:r>
      <w:r>
        <w:rPr>
          <w:rFonts w:ascii="Times New Roman" w:hAnsi="Times New Roman"/>
          <w:noProof/>
          <w:sz w:val="24"/>
          <w:szCs w:val="24"/>
        </w:rPr>
        <w:t xml:space="preserve"> gemaakte kosten).</w:t>
      </w:r>
    </w:p>
    <w:p w14:paraId="6BE45379" w14:textId="696D9776" w:rsidR="00700047" w:rsidRPr="00DA11F1" w:rsidRDefault="00700047" w:rsidP="008E33DB">
      <w:pPr>
        <w:jc w:val="both"/>
        <w:rPr>
          <w:rFonts w:ascii="Times New Roman" w:eastAsia="Times New Roman" w:hAnsi="Times New Roman"/>
          <w:noProof/>
          <w:sz w:val="24"/>
          <w:szCs w:val="24"/>
        </w:rPr>
      </w:pPr>
      <w:r>
        <w:rPr>
          <w:rFonts w:ascii="Times New Roman" w:hAnsi="Times New Roman"/>
          <w:noProof/>
          <w:sz w:val="24"/>
          <w:szCs w:val="24"/>
        </w:rPr>
        <w:t xml:space="preserve">Volgens de EU-ETS-richtlijn moeten de lidstaten die een regeling voor compensatie van indirecte kosten toepassen, binnen drie maanden na het einde van elk jaar het totaalbedrag aan compensatie dat is verstrekt per ontvangende sector en subsector, in een eenvoudig toegankelijke vorm bekendmaken. </w:t>
      </w:r>
      <w:r w:rsidR="00B441CA" w:rsidRPr="00DA11F1">
        <w:rPr>
          <w:rFonts w:ascii="Times New Roman" w:eastAsia="Times New Roman" w:hAnsi="Times New Roman"/>
          <w:noProof/>
          <w:sz w:val="28"/>
          <w:szCs w:val="24"/>
        </w:rPr>
        <w:fldChar w:fldCharType="begin"/>
      </w:r>
      <w:r w:rsidR="00B441CA" w:rsidRPr="00DA11F1">
        <w:rPr>
          <w:rFonts w:ascii="Times New Roman" w:eastAsia="Times New Roman" w:hAnsi="Times New Roman"/>
          <w:noProof/>
          <w:sz w:val="28"/>
          <w:szCs w:val="24"/>
        </w:rPr>
        <w:instrText xml:space="preserve"> REF _Ref85028906  \* MERGEFORMAT </w:instrText>
      </w:r>
      <w:r w:rsidR="00B441CA" w:rsidRPr="00DA11F1">
        <w:rPr>
          <w:rFonts w:ascii="Times New Roman" w:eastAsia="Times New Roman" w:hAnsi="Times New Roman"/>
          <w:noProof/>
          <w:sz w:val="28"/>
          <w:szCs w:val="24"/>
        </w:rPr>
        <w:fldChar w:fldCharType="separate"/>
      </w:r>
      <w:r w:rsidR="00C0162E">
        <w:rPr>
          <w:rFonts w:ascii="Times New Roman" w:hAnsi="Times New Roman"/>
          <w:noProof/>
          <w:sz w:val="24"/>
        </w:rPr>
        <w:t>Tab</w:t>
      </w:r>
      <w:r w:rsidR="00B441CA" w:rsidRPr="00DA11F1">
        <w:rPr>
          <w:rFonts w:ascii="Times New Roman" w:hAnsi="Times New Roman"/>
          <w:noProof/>
          <w:sz w:val="24"/>
        </w:rPr>
        <w:t>e</w:t>
      </w:r>
      <w:r w:rsidR="00C0162E">
        <w:rPr>
          <w:rFonts w:ascii="Times New Roman" w:hAnsi="Times New Roman"/>
          <w:noProof/>
          <w:sz w:val="24"/>
        </w:rPr>
        <w:t>l </w:t>
      </w:r>
      <w:r w:rsidR="00B441CA" w:rsidRPr="00D4425F">
        <w:rPr>
          <w:rFonts w:ascii="Times New Roman" w:hAnsi="Times New Roman"/>
          <w:noProof/>
          <w:sz w:val="24"/>
        </w:rPr>
        <w:t>4</w:t>
      </w:r>
      <w:r w:rsidR="00B441CA"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bevat een samenvatting van de door de lidstaten gepubliceerde gegevens over de in </w:t>
      </w:r>
      <w:r w:rsidRPr="00D4425F">
        <w:rPr>
          <w:rFonts w:ascii="Times New Roman" w:hAnsi="Times New Roman"/>
          <w:noProof/>
          <w:sz w:val="24"/>
          <w:szCs w:val="24"/>
        </w:rPr>
        <w:t>2020</w:t>
      </w:r>
      <w:r>
        <w:rPr>
          <w:rFonts w:ascii="Times New Roman" w:hAnsi="Times New Roman"/>
          <w:noProof/>
          <w:sz w:val="24"/>
          <w:szCs w:val="24"/>
        </w:rPr>
        <w:t xml:space="preserve"> betaalde compensatie voor in </w:t>
      </w:r>
      <w:r w:rsidRPr="00D4425F">
        <w:rPr>
          <w:rFonts w:ascii="Times New Roman" w:hAnsi="Times New Roman"/>
          <w:noProof/>
          <w:sz w:val="24"/>
          <w:szCs w:val="24"/>
        </w:rPr>
        <w:t>2019</w:t>
      </w:r>
      <w:r>
        <w:rPr>
          <w:rFonts w:ascii="Times New Roman" w:hAnsi="Times New Roman"/>
          <w:noProof/>
          <w:sz w:val="24"/>
          <w:szCs w:val="24"/>
        </w:rPr>
        <w:t xml:space="preserve"> gemaakte indirecte kosten. Deze worden vergeleken met de veilingopbrengsten in </w:t>
      </w:r>
      <w:r w:rsidRPr="00D4425F">
        <w:rPr>
          <w:rFonts w:ascii="Times New Roman" w:hAnsi="Times New Roman"/>
          <w:noProof/>
          <w:sz w:val="24"/>
          <w:szCs w:val="24"/>
        </w:rPr>
        <w:t>2019</w:t>
      </w:r>
      <w:r>
        <w:rPr>
          <w:rFonts w:ascii="Times New Roman" w:hAnsi="Times New Roman"/>
          <w:noProof/>
          <w:sz w:val="24"/>
          <w:szCs w:val="24"/>
        </w:rPr>
        <w:t>.</w:t>
      </w:r>
    </w:p>
    <w:p w14:paraId="2A2F4D4D" w14:textId="2632B74B" w:rsidR="00B441CA" w:rsidRPr="00DA11F1" w:rsidRDefault="00B441CA" w:rsidP="008E33DB">
      <w:pPr>
        <w:pStyle w:val="Caption"/>
        <w:keepNext/>
        <w:rPr>
          <w:rFonts w:ascii="Times New Roman" w:hAnsi="Times New Roman"/>
          <w:noProof/>
          <w:sz w:val="22"/>
        </w:rPr>
      </w:pPr>
      <w:bookmarkStart w:id="43" w:name="_Ref85028906"/>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4425F">
        <w:rPr>
          <w:rFonts w:ascii="Times New Roman" w:hAnsi="Times New Roman"/>
          <w:noProof/>
          <w:sz w:val="22"/>
        </w:rPr>
        <w:t>4</w:t>
      </w:r>
      <w:r w:rsidRPr="00DA11F1">
        <w:rPr>
          <w:rFonts w:ascii="Times New Roman" w:hAnsi="Times New Roman"/>
          <w:noProof/>
          <w:sz w:val="22"/>
        </w:rPr>
        <w:fldChar w:fldCharType="end"/>
      </w:r>
      <w:bookmarkEnd w:id="43"/>
      <w:r>
        <w:rPr>
          <w:noProof/>
        </w:rPr>
        <w:t>.</w:t>
      </w:r>
      <w:r>
        <w:rPr>
          <w:rFonts w:ascii="Times New Roman" w:hAnsi="Times New Roman"/>
          <w:noProof/>
          <w:sz w:val="22"/>
        </w:rPr>
        <w:t xml:space="preserve"> De door de EU-lidstaten en het Verenigd Koninkrijk in </w:t>
      </w:r>
      <w:r w:rsidRPr="00D4425F">
        <w:rPr>
          <w:rFonts w:ascii="Times New Roman" w:hAnsi="Times New Roman"/>
          <w:noProof/>
          <w:sz w:val="22"/>
        </w:rPr>
        <w:t>2020</w:t>
      </w:r>
      <w:r>
        <w:rPr>
          <w:rFonts w:ascii="Times New Roman" w:hAnsi="Times New Roman"/>
          <w:noProof/>
          <w:sz w:val="22"/>
        </w:rPr>
        <w:t xml:space="preserve"> uitbetaalde compensatie voor indirecte koolstofkosten</w:t>
      </w:r>
      <w:r w:rsidRPr="00DA11F1">
        <w:rPr>
          <w:rStyle w:val="FootnoteReference"/>
          <w:rFonts w:ascii="Times New Roman" w:eastAsia="Times New Roman" w:hAnsi="Times New Roman"/>
          <w:b w:val="0"/>
          <w:noProof/>
          <w:lang w:eastAsia="en-GB"/>
        </w:rPr>
        <w:footnoteReference w:id="62"/>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1"/>
        <w:gridCol w:w="2430"/>
        <w:gridCol w:w="1452"/>
        <w:gridCol w:w="2410"/>
        <w:gridCol w:w="1839"/>
      </w:tblGrid>
      <w:tr w:rsidR="00700047" w:rsidRPr="00DA11F1" w14:paraId="29E2822C" w14:textId="77777777" w:rsidTr="00865DDA">
        <w:trPr>
          <w:trHeight w:val="1020"/>
        </w:trPr>
        <w:tc>
          <w:tcPr>
            <w:tcW w:w="520" w:type="pct"/>
            <w:shd w:val="clear" w:color="auto" w:fill="auto"/>
            <w:vAlign w:val="center"/>
            <w:hideMark/>
          </w:tcPr>
          <w:p w14:paraId="45DE3F8A" w14:textId="77777777" w:rsidR="00700047" w:rsidRPr="00DA11F1" w:rsidRDefault="00700047" w:rsidP="00F36316">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Lidstaat</w:t>
            </w:r>
          </w:p>
        </w:tc>
        <w:tc>
          <w:tcPr>
            <w:tcW w:w="1456" w:type="pct"/>
            <w:shd w:val="clear" w:color="auto" w:fill="auto"/>
            <w:vAlign w:val="center"/>
            <w:hideMark/>
          </w:tcPr>
          <w:p w14:paraId="7A386F17" w14:textId="77777777" w:rsidR="00700047" w:rsidRPr="00DA11F1" w:rsidRDefault="00700047" w:rsidP="00F36316">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 xml:space="preserve">In </w:t>
            </w:r>
            <w:r w:rsidRPr="00D4425F">
              <w:rPr>
                <w:rFonts w:ascii="Times New Roman" w:hAnsi="Times New Roman"/>
                <w:b/>
                <w:bCs/>
                <w:noProof/>
                <w:color w:val="000000"/>
                <w:sz w:val="20"/>
                <w:szCs w:val="20"/>
              </w:rPr>
              <w:t>2020</w:t>
            </w:r>
            <w:r>
              <w:rPr>
                <w:rFonts w:ascii="Times New Roman" w:hAnsi="Times New Roman"/>
                <w:b/>
                <w:bCs/>
                <w:noProof/>
                <w:color w:val="000000"/>
                <w:sz w:val="20"/>
                <w:szCs w:val="20"/>
              </w:rPr>
              <w:t xml:space="preserve"> uitbetaalde compensatie voor in </w:t>
            </w:r>
            <w:r w:rsidRPr="00D4425F">
              <w:rPr>
                <w:rFonts w:ascii="Times New Roman" w:hAnsi="Times New Roman"/>
                <w:b/>
                <w:bCs/>
                <w:noProof/>
                <w:color w:val="000000"/>
                <w:sz w:val="20"/>
                <w:szCs w:val="20"/>
              </w:rPr>
              <w:t>2019</w:t>
            </w:r>
            <w:r>
              <w:rPr>
                <w:rFonts w:ascii="Times New Roman" w:hAnsi="Times New Roman"/>
                <w:b/>
                <w:bCs/>
                <w:noProof/>
                <w:color w:val="000000"/>
                <w:sz w:val="20"/>
                <w:szCs w:val="20"/>
              </w:rPr>
              <w:t xml:space="preserve"> gemaakte indirecte kosten (in miljoen EUR)</w:t>
            </w:r>
          </w:p>
        </w:tc>
        <w:tc>
          <w:tcPr>
            <w:tcW w:w="926" w:type="pct"/>
            <w:shd w:val="clear" w:color="auto" w:fill="auto"/>
            <w:vAlign w:val="center"/>
            <w:hideMark/>
          </w:tcPr>
          <w:p w14:paraId="620ABD04" w14:textId="77777777" w:rsidR="00700047" w:rsidRPr="00DA11F1" w:rsidRDefault="00700047" w:rsidP="00F36316">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Aantal begunstigden (installaties)</w:t>
            </w:r>
          </w:p>
        </w:tc>
        <w:tc>
          <w:tcPr>
            <w:tcW w:w="975" w:type="pct"/>
            <w:shd w:val="clear" w:color="auto" w:fill="auto"/>
            <w:vAlign w:val="center"/>
            <w:hideMark/>
          </w:tcPr>
          <w:p w14:paraId="51021F70" w14:textId="7E9D0F3F" w:rsidR="00700047" w:rsidRPr="00DA11F1" w:rsidRDefault="00700047" w:rsidP="00F36316">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 xml:space="preserve">veilingopbrengsten in </w:t>
            </w:r>
            <w:r w:rsidRPr="00D4425F">
              <w:rPr>
                <w:rFonts w:ascii="Times New Roman" w:hAnsi="Times New Roman"/>
                <w:b/>
                <w:bCs/>
                <w:noProof/>
                <w:color w:val="000000"/>
                <w:sz w:val="20"/>
                <w:szCs w:val="20"/>
              </w:rPr>
              <w:t>2019</w:t>
            </w:r>
            <w:r>
              <w:rPr>
                <w:rFonts w:ascii="Times New Roman" w:hAnsi="Times New Roman"/>
                <w:b/>
                <w:bCs/>
                <w:noProof/>
                <w:color w:val="000000"/>
                <w:sz w:val="20"/>
                <w:szCs w:val="20"/>
              </w:rPr>
              <w:t xml:space="preserve"> (exclusief luchtvaartemissierechten, in miljoen EUR)</w:t>
            </w:r>
          </w:p>
        </w:tc>
        <w:tc>
          <w:tcPr>
            <w:tcW w:w="1123" w:type="pct"/>
            <w:shd w:val="clear" w:color="auto" w:fill="auto"/>
            <w:vAlign w:val="center"/>
            <w:hideMark/>
          </w:tcPr>
          <w:p w14:paraId="597CF57C" w14:textId="6A5EDD45" w:rsidR="00700047" w:rsidRPr="00DA11F1" w:rsidRDefault="00700047" w:rsidP="00F36316">
            <w:pPr>
              <w:spacing w:after="0"/>
              <w:jc w:val="center"/>
              <w:rPr>
                <w:rFonts w:ascii="Times New Roman" w:eastAsia="Times New Roman" w:hAnsi="Times New Roman"/>
                <w:b/>
                <w:bCs/>
                <w:noProof/>
                <w:color w:val="000000"/>
                <w:sz w:val="20"/>
                <w:szCs w:val="20"/>
              </w:rPr>
            </w:pPr>
            <w:r>
              <w:rPr>
                <w:rFonts w:ascii="Times New Roman" w:hAnsi="Times New Roman"/>
                <w:b/>
                <w:bCs/>
                <w:noProof/>
                <w:color w:val="000000"/>
                <w:sz w:val="20"/>
                <w:szCs w:val="20"/>
              </w:rPr>
              <w:t>Percentage veilingopbrengsten besteed aan compensatie van indirecte kosten</w:t>
            </w:r>
          </w:p>
        </w:tc>
      </w:tr>
      <w:tr w:rsidR="00700047" w:rsidRPr="00DA11F1" w14:paraId="48FD447C" w14:textId="77777777" w:rsidTr="005F2380">
        <w:trPr>
          <w:trHeight w:val="300"/>
        </w:trPr>
        <w:tc>
          <w:tcPr>
            <w:tcW w:w="520" w:type="pct"/>
            <w:shd w:val="clear" w:color="000000" w:fill="FFFFFF"/>
            <w:noWrap/>
            <w:vAlign w:val="center"/>
            <w:hideMark/>
          </w:tcPr>
          <w:p w14:paraId="081EF082"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DE</w:t>
            </w:r>
          </w:p>
        </w:tc>
        <w:tc>
          <w:tcPr>
            <w:tcW w:w="1456" w:type="pct"/>
            <w:shd w:val="clear" w:color="auto" w:fill="auto"/>
            <w:vAlign w:val="center"/>
            <w:hideMark/>
          </w:tcPr>
          <w:p w14:paraId="25FD5DA8" w14:textId="77777777" w:rsidR="00700047" w:rsidRPr="00DA11F1" w:rsidRDefault="00700047" w:rsidP="00F36316">
            <w:pPr>
              <w:spacing w:after="0"/>
              <w:jc w:val="center"/>
              <w:rPr>
                <w:rFonts w:ascii="Times New Roman" w:eastAsia="Times New Roman" w:hAnsi="Times New Roman"/>
                <w:noProof/>
                <w:color w:val="000000"/>
                <w:sz w:val="20"/>
                <w:szCs w:val="20"/>
              </w:rPr>
            </w:pPr>
            <w:r w:rsidRPr="00D4425F">
              <w:rPr>
                <w:rFonts w:ascii="Times New Roman" w:hAnsi="Times New Roman"/>
                <w:noProof/>
                <w:color w:val="000000"/>
                <w:sz w:val="20"/>
                <w:szCs w:val="20"/>
              </w:rPr>
              <w:t>546</w:t>
            </w:r>
          </w:p>
        </w:tc>
        <w:tc>
          <w:tcPr>
            <w:tcW w:w="926" w:type="pct"/>
            <w:shd w:val="clear" w:color="auto" w:fill="auto"/>
            <w:vAlign w:val="center"/>
            <w:hideMark/>
          </w:tcPr>
          <w:p w14:paraId="03FEB2E1" w14:textId="77777777" w:rsidR="00700047" w:rsidRPr="00DA11F1" w:rsidRDefault="00700047" w:rsidP="00F36316">
            <w:pPr>
              <w:spacing w:after="0"/>
              <w:jc w:val="center"/>
              <w:rPr>
                <w:rFonts w:ascii="Times New Roman" w:eastAsia="Times New Roman" w:hAnsi="Times New Roman"/>
                <w:noProof/>
                <w:color w:val="000000"/>
                <w:sz w:val="20"/>
                <w:szCs w:val="20"/>
              </w:rPr>
            </w:pPr>
            <w:r w:rsidRPr="00D4425F">
              <w:rPr>
                <w:rFonts w:ascii="Times New Roman" w:hAnsi="Times New Roman"/>
                <w:noProof/>
                <w:color w:val="000000"/>
                <w:sz w:val="20"/>
                <w:szCs w:val="20"/>
              </w:rPr>
              <w:t>902</w:t>
            </w:r>
          </w:p>
        </w:tc>
        <w:tc>
          <w:tcPr>
            <w:tcW w:w="975" w:type="pct"/>
            <w:shd w:val="clear" w:color="auto" w:fill="auto"/>
            <w:vAlign w:val="center"/>
            <w:hideMark/>
          </w:tcPr>
          <w:p w14:paraId="5D2101BB" w14:textId="52EAE4C7" w:rsidR="00700047" w:rsidRPr="00DA11F1" w:rsidRDefault="00D86FF3" w:rsidP="00F36316">
            <w:pPr>
              <w:spacing w:after="0"/>
              <w:jc w:val="center"/>
              <w:rPr>
                <w:rFonts w:ascii="Times New Roman" w:eastAsia="Times New Roman" w:hAnsi="Times New Roman"/>
                <w:noProof/>
                <w:color w:val="000000"/>
                <w:sz w:val="20"/>
                <w:szCs w:val="20"/>
              </w:rPr>
            </w:pPr>
            <w:r w:rsidRPr="00D4425F">
              <w:rPr>
                <w:rFonts w:ascii="Times New Roman" w:hAnsi="Times New Roman"/>
                <w:noProof/>
                <w:color w:val="000000"/>
                <w:sz w:val="20"/>
                <w:szCs w:val="20"/>
              </w:rPr>
              <w:t>3146</w:t>
            </w:r>
            <w:r>
              <w:rPr>
                <w:rFonts w:ascii="Times New Roman" w:hAnsi="Times New Roman"/>
                <w:noProof/>
                <w:color w:val="000000"/>
                <w:sz w:val="20"/>
                <w:szCs w:val="20"/>
              </w:rPr>
              <w:t>,</w:t>
            </w:r>
            <w:r w:rsidRPr="00D4425F">
              <w:rPr>
                <w:rFonts w:ascii="Times New Roman" w:hAnsi="Times New Roman"/>
                <w:noProof/>
                <w:color w:val="000000"/>
                <w:sz w:val="20"/>
                <w:szCs w:val="20"/>
              </w:rPr>
              <w:t>1</w:t>
            </w:r>
          </w:p>
        </w:tc>
        <w:tc>
          <w:tcPr>
            <w:tcW w:w="1123" w:type="pct"/>
            <w:shd w:val="clear" w:color="auto" w:fill="auto"/>
            <w:vAlign w:val="center"/>
            <w:hideMark/>
          </w:tcPr>
          <w:p w14:paraId="564C5247" w14:textId="224B66D2" w:rsidR="00700047" w:rsidRPr="00DA11F1" w:rsidRDefault="00D86FF3" w:rsidP="00F36316">
            <w:pPr>
              <w:spacing w:after="0"/>
              <w:jc w:val="center"/>
              <w:rPr>
                <w:rFonts w:ascii="Times New Roman" w:eastAsia="Times New Roman" w:hAnsi="Times New Roman"/>
                <w:noProof/>
                <w:color w:val="000000"/>
                <w:sz w:val="20"/>
                <w:szCs w:val="20"/>
              </w:rPr>
            </w:pPr>
            <w:r w:rsidRPr="00D4425F">
              <w:rPr>
                <w:rFonts w:ascii="Times New Roman" w:hAnsi="Times New Roman"/>
                <w:noProof/>
                <w:color w:val="000000"/>
                <w:sz w:val="20"/>
                <w:szCs w:val="20"/>
              </w:rPr>
              <w:t>17</w:t>
            </w:r>
            <w:r>
              <w:rPr>
                <w:rFonts w:ascii="Times New Roman" w:hAnsi="Times New Roman"/>
                <w:noProof/>
                <w:color w:val="000000"/>
                <w:sz w:val="20"/>
                <w:szCs w:val="20"/>
              </w:rPr>
              <w:t>,</w:t>
            </w:r>
            <w:r w:rsidRPr="00D4425F">
              <w:rPr>
                <w:rFonts w:ascii="Times New Roman" w:hAnsi="Times New Roman"/>
                <w:noProof/>
                <w:color w:val="000000"/>
                <w:sz w:val="20"/>
                <w:szCs w:val="20"/>
              </w:rPr>
              <w:t>4</w:t>
            </w:r>
            <w:r>
              <w:rPr>
                <w:rFonts w:ascii="Times New Roman" w:hAnsi="Times New Roman"/>
                <w:noProof/>
                <w:color w:val="000000"/>
                <w:sz w:val="20"/>
                <w:szCs w:val="20"/>
              </w:rPr>
              <w:t> %</w:t>
            </w:r>
          </w:p>
        </w:tc>
      </w:tr>
      <w:tr w:rsidR="00700047" w:rsidRPr="00DA11F1" w14:paraId="34852094" w14:textId="77777777" w:rsidTr="005F2380">
        <w:trPr>
          <w:trHeight w:val="300"/>
        </w:trPr>
        <w:tc>
          <w:tcPr>
            <w:tcW w:w="520" w:type="pct"/>
            <w:shd w:val="clear" w:color="000000" w:fill="FFFFFF"/>
            <w:noWrap/>
            <w:vAlign w:val="center"/>
            <w:hideMark/>
          </w:tcPr>
          <w:p w14:paraId="373928F5"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(VL)</w:t>
            </w:r>
          </w:p>
        </w:tc>
        <w:tc>
          <w:tcPr>
            <w:tcW w:w="1456" w:type="pct"/>
            <w:shd w:val="clear" w:color="auto" w:fill="auto"/>
            <w:vAlign w:val="center"/>
            <w:hideMark/>
          </w:tcPr>
          <w:p w14:paraId="26E505AA" w14:textId="03210E0E"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89</w:t>
            </w:r>
            <w:r>
              <w:rPr>
                <w:rFonts w:ascii="Times New Roman" w:hAnsi="Times New Roman"/>
                <w:noProof/>
                <w:sz w:val="20"/>
                <w:szCs w:val="20"/>
              </w:rPr>
              <w:t>,</w:t>
            </w:r>
            <w:r w:rsidRPr="00D4425F">
              <w:rPr>
                <w:rFonts w:ascii="Times New Roman" w:hAnsi="Times New Roman"/>
                <w:noProof/>
                <w:sz w:val="20"/>
                <w:szCs w:val="20"/>
              </w:rPr>
              <w:t>4</w:t>
            </w:r>
          </w:p>
        </w:tc>
        <w:tc>
          <w:tcPr>
            <w:tcW w:w="926" w:type="pct"/>
            <w:shd w:val="clear" w:color="auto" w:fill="auto"/>
            <w:vAlign w:val="center"/>
            <w:hideMark/>
          </w:tcPr>
          <w:p w14:paraId="3B170940" w14:textId="5A8525FE" w:rsidR="00700047" w:rsidRPr="00DA11F1" w:rsidRDefault="00700047" w:rsidP="00F36316">
            <w:pPr>
              <w:spacing w:after="0"/>
              <w:jc w:val="center"/>
              <w:rPr>
                <w:rFonts w:ascii="Times New Roman" w:eastAsia="Times New Roman" w:hAnsi="Times New Roman"/>
                <w:noProof/>
                <w:sz w:val="20"/>
                <w:szCs w:val="20"/>
              </w:rPr>
            </w:pPr>
            <w:r>
              <w:rPr>
                <w:rFonts w:ascii="Times New Roman" w:hAnsi="Times New Roman"/>
                <w:noProof/>
                <w:sz w:val="20"/>
                <w:szCs w:val="20"/>
              </w:rPr>
              <w:t> </w:t>
            </w:r>
            <w:r w:rsidRPr="00D4425F">
              <w:rPr>
                <w:rFonts w:ascii="Times New Roman" w:hAnsi="Times New Roman"/>
                <w:noProof/>
                <w:sz w:val="20"/>
                <w:szCs w:val="20"/>
              </w:rPr>
              <w:t>108</w:t>
            </w:r>
          </w:p>
        </w:tc>
        <w:tc>
          <w:tcPr>
            <w:tcW w:w="975" w:type="pct"/>
            <w:vMerge w:val="restart"/>
            <w:shd w:val="clear" w:color="auto" w:fill="auto"/>
            <w:vAlign w:val="center"/>
            <w:hideMark/>
          </w:tcPr>
          <w:p w14:paraId="7DCAA274" w14:textId="2652B967"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353</w:t>
            </w:r>
            <w:r>
              <w:rPr>
                <w:rFonts w:ascii="Times New Roman" w:hAnsi="Times New Roman"/>
                <w:noProof/>
                <w:sz w:val="20"/>
                <w:szCs w:val="20"/>
              </w:rPr>
              <w:t>,</w:t>
            </w:r>
            <w:r w:rsidRPr="00D4425F">
              <w:rPr>
                <w:rFonts w:ascii="Times New Roman" w:hAnsi="Times New Roman"/>
                <w:noProof/>
                <w:sz w:val="20"/>
                <w:szCs w:val="20"/>
              </w:rPr>
              <w:t>5</w:t>
            </w:r>
          </w:p>
        </w:tc>
        <w:tc>
          <w:tcPr>
            <w:tcW w:w="1123" w:type="pct"/>
            <w:vMerge w:val="restart"/>
            <w:shd w:val="clear" w:color="auto" w:fill="auto"/>
            <w:vAlign w:val="center"/>
            <w:hideMark/>
          </w:tcPr>
          <w:p w14:paraId="61C743E9" w14:textId="210190DC" w:rsidR="00700047" w:rsidRPr="00DA11F1" w:rsidRDefault="00700047" w:rsidP="00F36316">
            <w:pPr>
              <w:spacing w:after="0"/>
              <w:jc w:val="center"/>
              <w:rPr>
                <w:rFonts w:ascii="Times New Roman" w:eastAsia="Times New Roman" w:hAnsi="Times New Roman"/>
                <w:noProof/>
                <w:sz w:val="20"/>
                <w:szCs w:val="20"/>
              </w:rPr>
            </w:pPr>
            <w:r>
              <w:rPr>
                <w:rFonts w:ascii="Times New Roman" w:hAnsi="Times New Roman"/>
                <w:noProof/>
                <w:sz w:val="20"/>
                <w:szCs w:val="20"/>
              </w:rPr>
              <w:t> </w:t>
            </w:r>
            <w:r w:rsidRPr="00D4425F">
              <w:rPr>
                <w:rFonts w:ascii="Times New Roman" w:hAnsi="Times New Roman"/>
                <w:noProof/>
                <w:sz w:val="20"/>
                <w:szCs w:val="20"/>
              </w:rPr>
              <w:t>30</w:t>
            </w:r>
            <w:r>
              <w:rPr>
                <w:rFonts w:ascii="Times New Roman" w:hAnsi="Times New Roman"/>
                <w:noProof/>
                <w:sz w:val="20"/>
                <w:szCs w:val="20"/>
              </w:rPr>
              <w:t>,</w:t>
            </w:r>
            <w:r w:rsidRPr="00D4425F">
              <w:rPr>
                <w:rFonts w:ascii="Times New Roman" w:hAnsi="Times New Roman"/>
                <w:noProof/>
                <w:sz w:val="20"/>
                <w:szCs w:val="20"/>
              </w:rPr>
              <w:t>9</w:t>
            </w:r>
            <w:r>
              <w:rPr>
                <w:rFonts w:ascii="Times New Roman" w:hAnsi="Times New Roman"/>
                <w:noProof/>
                <w:sz w:val="20"/>
                <w:szCs w:val="20"/>
              </w:rPr>
              <w:t> %</w:t>
            </w:r>
          </w:p>
        </w:tc>
      </w:tr>
      <w:tr w:rsidR="00700047" w:rsidRPr="00DA11F1" w14:paraId="3F62D210" w14:textId="77777777" w:rsidTr="005F2380">
        <w:trPr>
          <w:trHeight w:val="300"/>
        </w:trPr>
        <w:tc>
          <w:tcPr>
            <w:tcW w:w="520" w:type="pct"/>
            <w:shd w:val="clear" w:color="000000" w:fill="FFFFFF"/>
            <w:noWrap/>
            <w:vAlign w:val="center"/>
            <w:hideMark/>
          </w:tcPr>
          <w:p w14:paraId="723FACEC"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BE (WAL)</w:t>
            </w:r>
          </w:p>
        </w:tc>
        <w:tc>
          <w:tcPr>
            <w:tcW w:w="1456" w:type="pct"/>
            <w:shd w:val="clear" w:color="auto" w:fill="auto"/>
            <w:vAlign w:val="center"/>
            <w:hideMark/>
          </w:tcPr>
          <w:p w14:paraId="0FD9CDCD" w14:textId="788D6152" w:rsidR="00700047" w:rsidRPr="00DA11F1" w:rsidRDefault="002B3C40"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w:t>
            </w:r>
          </w:p>
        </w:tc>
        <w:tc>
          <w:tcPr>
            <w:tcW w:w="926" w:type="pct"/>
            <w:shd w:val="clear" w:color="auto" w:fill="auto"/>
            <w:vAlign w:val="center"/>
            <w:hideMark/>
          </w:tcPr>
          <w:p w14:paraId="31B8F2E3" w14:textId="1759174C" w:rsidR="00700047" w:rsidRPr="00DA11F1" w:rsidRDefault="00700047" w:rsidP="00F36316">
            <w:pPr>
              <w:spacing w:after="0"/>
              <w:jc w:val="center"/>
              <w:rPr>
                <w:rFonts w:ascii="Times New Roman" w:eastAsia="Times New Roman" w:hAnsi="Times New Roman"/>
                <w:noProof/>
                <w:sz w:val="20"/>
                <w:szCs w:val="20"/>
              </w:rPr>
            </w:pPr>
            <w:r>
              <w:rPr>
                <w:rFonts w:ascii="Times New Roman" w:hAnsi="Times New Roman"/>
                <w:noProof/>
                <w:sz w:val="20"/>
                <w:szCs w:val="20"/>
              </w:rPr>
              <w:t> </w:t>
            </w:r>
            <w:r w:rsidRPr="00D4425F">
              <w:rPr>
                <w:rFonts w:ascii="Times New Roman" w:hAnsi="Times New Roman"/>
                <w:noProof/>
                <w:sz w:val="20"/>
                <w:szCs w:val="20"/>
              </w:rPr>
              <w:t>31</w:t>
            </w:r>
          </w:p>
        </w:tc>
        <w:tc>
          <w:tcPr>
            <w:tcW w:w="975" w:type="pct"/>
            <w:vMerge/>
            <w:vAlign w:val="center"/>
            <w:hideMark/>
          </w:tcPr>
          <w:p w14:paraId="1F4AB7E6" w14:textId="77777777" w:rsidR="00700047" w:rsidRPr="00DA11F1" w:rsidRDefault="00700047" w:rsidP="00F36316">
            <w:pPr>
              <w:spacing w:after="0"/>
              <w:rPr>
                <w:rFonts w:ascii="Times New Roman" w:eastAsia="Times New Roman" w:hAnsi="Times New Roman"/>
                <w:noProof/>
                <w:sz w:val="20"/>
                <w:szCs w:val="20"/>
                <w:lang w:eastAsia="en-GB"/>
              </w:rPr>
            </w:pPr>
          </w:p>
        </w:tc>
        <w:tc>
          <w:tcPr>
            <w:tcW w:w="1123" w:type="pct"/>
            <w:vMerge/>
            <w:vAlign w:val="center"/>
            <w:hideMark/>
          </w:tcPr>
          <w:p w14:paraId="107DA655" w14:textId="77777777" w:rsidR="00700047" w:rsidRPr="00DA11F1" w:rsidRDefault="00700047" w:rsidP="00F36316">
            <w:pPr>
              <w:spacing w:after="0"/>
              <w:rPr>
                <w:rFonts w:ascii="Times New Roman" w:eastAsia="Times New Roman" w:hAnsi="Times New Roman"/>
                <w:noProof/>
                <w:sz w:val="20"/>
                <w:szCs w:val="20"/>
                <w:lang w:eastAsia="en-GB"/>
              </w:rPr>
            </w:pPr>
          </w:p>
        </w:tc>
      </w:tr>
      <w:tr w:rsidR="00700047" w:rsidRPr="00DA11F1" w14:paraId="72B9F7C0" w14:textId="77777777" w:rsidTr="005F2380">
        <w:trPr>
          <w:trHeight w:val="300"/>
        </w:trPr>
        <w:tc>
          <w:tcPr>
            <w:tcW w:w="520" w:type="pct"/>
            <w:shd w:val="clear" w:color="000000" w:fill="FFFFFF"/>
            <w:noWrap/>
            <w:vAlign w:val="center"/>
            <w:hideMark/>
          </w:tcPr>
          <w:p w14:paraId="4D2178B8"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NL</w:t>
            </w:r>
          </w:p>
        </w:tc>
        <w:tc>
          <w:tcPr>
            <w:tcW w:w="1456" w:type="pct"/>
            <w:shd w:val="clear" w:color="auto" w:fill="auto"/>
            <w:vAlign w:val="center"/>
            <w:hideMark/>
          </w:tcPr>
          <w:p w14:paraId="1820FA92" w14:textId="71FC366A"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110</w:t>
            </w:r>
            <w:r>
              <w:rPr>
                <w:rFonts w:ascii="Times New Roman" w:hAnsi="Times New Roman"/>
                <w:noProof/>
                <w:sz w:val="20"/>
                <w:szCs w:val="20"/>
              </w:rPr>
              <w:t>,</w:t>
            </w:r>
            <w:r w:rsidRPr="00D4425F">
              <w:rPr>
                <w:rFonts w:ascii="Times New Roman" w:hAnsi="Times New Roman"/>
                <w:noProof/>
                <w:sz w:val="20"/>
                <w:szCs w:val="20"/>
              </w:rPr>
              <w:t>1</w:t>
            </w:r>
          </w:p>
        </w:tc>
        <w:tc>
          <w:tcPr>
            <w:tcW w:w="926" w:type="pct"/>
            <w:shd w:val="clear" w:color="auto" w:fill="auto"/>
            <w:vAlign w:val="center"/>
            <w:hideMark/>
          </w:tcPr>
          <w:p w14:paraId="443970B5"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93</w:t>
            </w:r>
          </w:p>
        </w:tc>
        <w:tc>
          <w:tcPr>
            <w:tcW w:w="975" w:type="pct"/>
            <w:shd w:val="clear" w:color="auto" w:fill="auto"/>
            <w:vAlign w:val="center"/>
            <w:hideMark/>
          </w:tcPr>
          <w:p w14:paraId="6AA59609" w14:textId="6E6706FF"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435</w:t>
            </w:r>
            <w:r>
              <w:rPr>
                <w:rFonts w:ascii="Times New Roman" w:hAnsi="Times New Roman"/>
                <w:noProof/>
                <w:sz w:val="20"/>
                <w:szCs w:val="20"/>
              </w:rPr>
              <w:t>,</w:t>
            </w:r>
            <w:r w:rsidRPr="00D4425F">
              <w:rPr>
                <w:rFonts w:ascii="Times New Roman" w:hAnsi="Times New Roman"/>
                <w:noProof/>
                <w:sz w:val="20"/>
                <w:szCs w:val="20"/>
              </w:rPr>
              <w:t>6</w:t>
            </w:r>
          </w:p>
        </w:tc>
        <w:tc>
          <w:tcPr>
            <w:tcW w:w="1123" w:type="pct"/>
            <w:shd w:val="clear" w:color="auto" w:fill="auto"/>
            <w:vAlign w:val="center"/>
            <w:hideMark/>
          </w:tcPr>
          <w:p w14:paraId="6D79BFA4" w14:textId="3CAC6ADD"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25</w:t>
            </w:r>
            <w:r>
              <w:rPr>
                <w:rFonts w:ascii="Times New Roman" w:hAnsi="Times New Roman"/>
                <w:noProof/>
                <w:sz w:val="20"/>
                <w:szCs w:val="20"/>
              </w:rPr>
              <w:t>,</w:t>
            </w:r>
            <w:r w:rsidRPr="00D4425F">
              <w:rPr>
                <w:rFonts w:ascii="Times New Roman" w:hAnsi="Times New Roman"/>
                <w:noProof/>
                <w:sz w:val="20"/>
                <w:szCs w:val="20"/>
              </w:rPr>
              <w:t>3</w:t>
            </w:r>
            <w:r>
              <w:rPr>
                <w:rFonts w:ascii="Times New Roman" w:hAnsi="Times New Roman"/>
                <w:noProof/>
                <w:sz w:val="20"/>
                <w:szCs w:val="20"/>
              </w:rPr>
              <w:t> %</w:t>
            </w:r>
          </w:p>
        </w:tc>
      </w:tr>
      <w:tr w:rsidR="00700047" w:rsidRPr="00DA11F1" w14:paraId="55153B27" w14:textId="77777777" w:rsidTr="005F2380">
        <w:trPr>
          <w:trHeight w:val="300"/>
        </w:trPr>
        <w:tc>
          <w:tcPr>
            <w:tcW w:w="520" w:type="pct"/>
            <w:shd w:val="clear" w:color="000000" w:fill="FFFFFF"/>
            <w:noWrap/>
            <w:vAlign w:val="center"/>
            <w:hideMark/>
          </w:tcPr>
          <w:p w14:paraId="636286A5"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EL</w:t>
            </w:r>
          </w:p>
        </w:tc>
        <w:tc>
          <w:tcPr>
            <w:tcW w:w="1456" w:type="pct"/>
            <w:shd w:val="clear" w:color="auto" w:fill="auto"/>
            <w:vAlign w:val="center"/>
            <w:hideMark/>
          </w:tcPr>
          <w:p w14:paraId="55D4588F" w14:textId="3C223DCF"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42</w:t>
            </w:r>
            <w:r>
              <w:rPr>
                <w:rFonts w:ascii="Times New Roman" w:hAnsi="Times New Roman"/>
                <w:noProof/>
                <w:sz w:val="20"/>
                <w:szCs w:val="20"/>
              </w:rPr>
              <w:t>,</w:t>
            </w:r>
            <w:r w:rsidRPr="00D4425F">
              <w:rPr>
                <w:rFonts w:ascii="Times New Roman" w:hAnsi="Times New Roman"/>
                <w:noProof/>
                <w:sz w:val="20"/>
                <w:szCs w:val="20"/>
              </w:rPr>
              <w:t>2</w:t>
            </w:r>
          </w:p>
        </w:tc>
        <w:tc>
          <w:tcPr>
            <w:tcW w:w="926" w:type="pct"/>
            <w:shd w:val="clear" w:color="auto" w:fill="auto"/>
            <w:vAlign w:val="center"/>
            <w:hideMark/>
          </w:tcPr>
          <w:p w14:paraId="4E564003"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48</w:t>
            </w:r>
          </w:p>
        </w:tc>
        <w:tc>
          <w:tcPr>
            <w:tcW w:w="975" w:type="pct"/>
            <w:shd w:val="clear" w:color="auto" w:fill="auto"/>
            <w:vAlign w:val="center"/>
            <w:hideMark/>
          </w:tcPr>
          <w:p w14:paraId="5DE299AA" w14:textId="291AFF32"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503</w:t>
            </w:r>
            <w:r>
              <w:rPr>
                <w:rFonts w:ascii="Times New Roman" w:hAnsi="Times New Roman"/>
                <w:noProof/>
                <w:sz w:val="20"/>
                <w:szCs w:val="20"/>
              </w:rPr>
              <w:t>,</w:t>
            </w:r>
            <w:r w:rsidRPr="00D4425F">
              <w:rPr>
                <w:rFonts w:ascii="Times New Roman" w:hAnsi="Times New Roman"/>
                <w:noProof/>
                <w:sz w:val="20"/>
                <w:szCs w:val="20"/>
              </w:rPr>
              <w:t>3</w:t>
            </w:r>
          </w:p>
        </w:tc>
        <w:tc>
          <w:tcPr>
            <w:tcW w:w="1123" w:type="pct"/>
            <w:shd w:val="clear" w:color="auto" w:fill="auto"/>
            <w:vAlign w:val="center"/>
            <w:hideMark/>
          </w:tcPr>
          <w:p w14:paraId="592E0225" w14:textId="5D1944C7"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8</w:t>
            </w:r>
            <w:r>
              <w:rPr>
                <w:rFonts w:ascii="Times New Roman" w:hAnsi="Times New Roman"/>
                <w:noProof/>
                <w:sz w:val="20"/>
                <w:szCs w:val="20"/>
              </w:rPr>
              <w:t>,</w:t>
            </w:r>
            <w:r w:rsidRPr="00D4425F">
              <w:rPr>
                <w:rFonts w:ascii="Times New Roman" w:hAnsi="Times New Roman"/>
                <w:noProof/>
                <w:sz w:val="20"/>
                <w:szCs w:val="20"/>
              </w:rPr>
              <w:t>3</w:t>
            </w:r>
            <w:r>
              <w:rPr>
                <w:rFonts w:ascii="Times New Roman" w:hAnsi="Times New Roman"/>
                <w:noProof/>
                <w:sz w:val="20"/>
                <w:szCs w:val="20"/>
              </w:rPr>
              <w:t> %</w:t>
            </w:r>
          </w:p>
        </w:tc>
      </w:tr>
      <w:tr w:rsidR="00700047" w:rsidRPr="00DA11F1" w14:paraId="1EDFAF9C" w14:textId="77777777" w:rsidTr="005F2380">
        <w:trPr>
          <w:trHeight w:val="300"/>
        </w:trPr>
        <w:tc>
          <w:tcPr>
            <w:tcW w:w="520" w:type="pct"/>
            <w:shd w:val="clear" w:color="000000" w:fill="FFFFFF"/>
            <w:noWrap/>
            <w:vAlign w:val="center"/>
            <w:hideMark/>
          </w:tcPr>
          <w:p w14:paraId="2A8B2EB8"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LT</w:t>
            </w:r>
          </w:p>
        </w:tc>
        <w:tc>
          <w:tcPr>
            <w:tcW w:w="1456" w:type="pct"/>
            <w:shd w:val="clear" w:color="auto" w:fill="auto"/>
            <w:vAlign w:val="center"/>
            <w:hideMark/>
          </w:tcPr>
          <w:p w14:paraId="388C23BC" w14:textId="452CDF51"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66</w:t>
            </w:r>
          </w:p>
        </w:tc>
        <w:tc>
          <w:tcPr>
            <w:tcW w:w="926" w:type="pct"/>
            <w:shd w:val="clear" w:color="auto" w:fill="auto"/>
            <w:vAlign w:val="center"/>
            <w:hideMark/>
          </w:tcPr>
          <w:p w14:paraId="7343A36F"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1</w:t>
            </w:r>
          </w:p>
        </w:tc>
        <w:tc>
          <w:tcPr>
            <w:tcW w:w="975" w:type="pct"/>
            <w:shd w:val="clear" w:color="auto" w:fill="auto"/>
            <w:vAlign w:val="center"/>
            <w:hideMark/>
          </w:tcPr>
          <w:p w14:paraId="04E1C5C0" w14:textId="53E10672"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83</w:t>
            </w:r>
            <w:r>
              <w:rPr>
                <w:rFonts w:ascii="Times New Roman" w:hAnsi="Times New Roman"/>
                <w:noProof/>
                <w:sz w:val="20"/>
                <w:szCs w:val="20"/>
              </w:rPr>
              <w:t>,</w:t>
            </w:r>
            <w:r w:rsidRPr="00D4425F">
              <w:rPr>
                <w:rFonts w:ascii="Times New Roman" w:hAnsi="Times New Roman"/>
                <w:noProof/>
                <w:sz w:val="20"/>
                <w:szCs w:val="20"/>
              </w:rPr>
              <w:t>7</w:t>
            </w:r>
          </w:p>
        </w:tc>
        <w:tc>
          <w:tcPr>
            <w:tcW w:w="1123" w:type="pct"/>
            <w:shd w:val="clear" w:color="auto" w:fill="auto"/>
            <w:vAlign w:val="center"/>
            <w:hideMark/>
          </w:tcPr>
          <w:p w14:paraId="646C03EE" w14:textId="0BF691A1"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7</w:t>
            </w:r>
            <w:r>
              <w:rPr>
                <w:rFonts w:ascii="Times New Roman" w:hAnsi="Times New Roman"/>
                <w:noProof/>
                <w:sz w:val="20"/>
                <w:szCs w:val="20"/>
              </w:rPr>
              <w:t> %</w:t>
            </w:r>
          </w:p>
        </w:tc>
      </w:tr>
      <w:tr w:rsidR="00700047" w:rsidRPr="00DA11F1" w14:paraId="33D02CA0" w14:textId="77777777" w:rsidTr="005F2380">
        <w:trPr>
          <w:trHeight w:val="300"/>
        </w:trPr>
        <w:tc>
          <w:tcPr>
            <w:tcW w:w="520" w:type="pct"/>
            <w:shd w:val="clear" w:color="000000" w:fill="FFFFFF"/>
            <w:noWrap/>
            <w:vAlign w:val="center"/>
            <w:hideMark/>
          </w:tcPr>
          <w:p w14:paraId="0660A79A"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SK</w:t>
            </w:r>
          </w:p>
        </w:tc>
        <w:tc>
          <w:tcPr>
            <w:tcW w:w="1456" w:type="pct"/>
            <w:shd w:val="clear" w:color="auto" w:fill="auto"/>
            <w:vAlign w:val="center"/>
            <w:hideMark/>
          </w:tcPr>
          <w:p w14:paraId="450A6DB3"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4</w:t>
            </w:r>
          </w:p>
        </w:tc>
        <w:tc>
          <w:tcPr>
            <w:tcW w:w="926" w:type="pct"/>
            <w:shd w:val="clear" w:color="auto" w:fill="auto"/>
            <w:vAlign w:val="center"/>
            <w:hideMark/>
          </w:tcPr>
          <w:p w14:paraId="3C1F530E"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10</w:t>
            </w:r>
          </w:p>
        </w:tc>
        <w:tc>
          <w:tcPr>
            <w:tcW w:w="975" w:type="pct"/>
            <w:shd w:val="clear" w:color="auto" w:fill="auto"/>
            <w:vAlign w:val="center"/>
            <w:hideMark/>
          </w:tcPr>
          <w:p w14:paraId="18C21090" w14:textId="15750901"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244</w:t>
            </w:r>
            <w:r>
              <w:rPr>
                <w:rFonts w:ascii="Times New Roman" w:hAnsi="Times New Roman"/>
                <w:noProof/>
                <w:sz w:val="20"/>
                <w:szCs w:val="20"/>
              </w:rPr>
              <w:t>,</w:t>
            </w:r>
            <w:r w:rsidRPr="00D4425F">
              <w:rPr>
                <w:rFonts w:ascii="Times New Roman" w:hAnsi="Times New Roman"/>
                <w:noProof/>
                <w:sz w:val="20"/>
                <w:szCs w:val="20"/>
              </w:rPr>
              <w:t>4</w:t>
            </w:r>
          </w:p>
        </w:tc>
        <w:tc>
          <w:tcPr>
            <w:tcW w:w="1123" w:type="pct"/>
            <w:shd w:val="clear" w:color="auto" w:fill="auto"/>
            <w:vAlign w:val="center"/>
            <w:hideMark/>
          </w:tcPr>
          <w:p w14:paraId="68021AEF" w14:textId="358A9BB0"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4</w:t>
            </w: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 %</w:t>
            </w:r>
          </w:p>
        </w:tc>
      </w:tr>
      <w:tr w:rsidR="00700047" w:rsidRPr="00DA11F1" w14:paraId="1705D5C0" w14:textId="77777777" w:rsidTr="005F2380">
        <w:trPr>
          <w:trHeight w:val="300"/>
        </w:trPr>
        <w:tc>
          <w:tcPr>
            <w:tcW w:w="520" w:type="pct"/>
            <w:shd w:val="clear" w:color="000000" w:fill="FFFFFF"/>
            <w:noWrap/>
            <w:vAlign w:val="center"/>
            <w:hideMark/>
          </w:tcPr>
          <w:p w14:paraId="544CBBE2"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FR</w:t>
            </w:r>
          </w:p>
        </w:tc>
        <w:tc>
          <w:tcPr>
            <w:tcW w:w="1456" w:type="pct"/>
            <w:shd w:val="clear" w:color="auto" w:fill="auto"/>
            <w:vAlign w:val="center"/>
            <w:hideMark/>
          </w:tcPr>
          <w:p w14:paraId="1ED0AB10" w14:textId="4EF82E15"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266</w:t>
            </w:r>
            <w:r>
              <w:rPr>
                <w:rFonts w:ascii="Times New Roman" w:hAnsi="Times New Roman"/>
                <w:noProof/>
                <w:sz w:val="20"/>
                <w:szCs w:val="20"/>
              </w:rPr>
              <w:t>,</w:t>
            </w:r>
            <w:r w:rsidRPr="00D4425F">
              <w:rPr>
                <w:rFonts w:ascii="Times New Roman" w:hAnsi="Times New Roman"/>
                <w:noProof/>
                <w:sz w:val="20"/>
                <w:szCs w:val="20"/>
              </w:rPr>
              <w:t>4</w:t>
            </w:r>
          </w:p>
        </w:tc>
        <w:tc>
          <w:tcPr>
            <w:tcW w:w="926" w:type="pct"/>
            <w:shd w:val="clear" w:color="auto" w:fill="auto"/>
            <w:vAlign w:val="center"/>
            <w:hideMark/>
          </w:tcPr>
          <w:p w14:paraId="463F561C"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302</w:t>
            </w:r>
          </w:p>
        </w:tc>
        <w:tc>
          <w:tcPr>
            <w:tcW w:w="975" w:type="pct"/>
            <w:shd w:val="clear" w:color="auto" w:fill="auto"/>
            <w:vAlign w:val="center"/>
            <w:hideMark/>
          </w:tcPr>
          <w:p w14:paraId="06D74D16" w14:textId="5BB72BFD"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711</w:t>
            </w:r>
            <w:r>
              <w:rPr>
                <w:rFonts w:ascii="Times New Roman" w:hAnsi="Times New Roman"/>
                <w:noProof/>
                <w:sz w:val="20"/>
                <w:szCs w:val="20"/>
              </w:rPr>
              <w:t>,</w:t>
            </w:r>
            <w:r w:rsidRPr="00D4425F">
              <w:rPr>
                <w:rFonts w:ascii="Times New Roman" w:hAnsi="Times New Roman"/>
                <w:noProof/>
                <w:sz w:val="20"/>
                <w:szCs w:val="20"/>
              </w:rPr>
              <w:t>6</w:t>
            </w:r>
          </w:p>
        </w:tc>
        <w:tc>
          <w:tcPr>
            <w:tcW w:w="1123" w:type="pct"/>
            <w:shd w:val="clear" w:color="auto" w:fill="auto"/>
            <w:vAlign w:val="center"/>
            <w:hideMark/>
          </w:tcPr>
          <w:p w14:paraId="0CB50176" w14:textId="212ED041"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37</w:t>
            </w:r>
            <w:r>
              <w:rPr>
                <w:rFonts w:ascii="Times New Roman" w:hAnsi="Times New Roman"/>
                <w:noProof/>
                <w:sz w:val="20"/>
                <w:szCs w:val="20"/>
              </w:rPr>
              <w:t>,</w:t>
            </w:r>
            <w:r w:rsidRPr="00D4425F">
              <w:rPr>
                <w:rFonts w:ascii="Times New Roman" w:hAnsi="Times New Roman"/>
                <w:noProof/>
                <w:sz w:val="20"/>
                <w:szCs w:val="20"/>
              </w:rPr>
              <w:t>4</w:t>
            </w:r>
            <w:r>
              <w:rPr>
                <w:rFonts w:ascii="Times New Roman" w:hAnsi="Times New Roman"/>
                <w:noProof/>
                <w:sz w:val="20"/>
                <w:szCs w:val="20"/>
              </w:rPr>
              <w:t> %</w:t>
            </w:r>
          </w:p>
        </w:tc>
      </w:tr>
      <w:tr w:rsidR="00700047" w:rsidRPr="00DA11F1" w14:paraId="4F17EFC8" w14:textId="77777777" w:rsidTr="005F2380">
        <w:trPr>
          <w:trHeight w:val="300"/>
        </w:trPr>
        <w:tc>
          <w:tcPr>
            <w:tcW w:w="520" w:type="pct"/>
            <w:shd w:val="clear" w:color="000000" w:fill="FFFFFF"/>
            <w:noWrap/>
            <w:vAlign w:val="center"/>
            <w:hideMark/>
          </w:tcPr>
          <w:p w14:paraId="55E5DDF9"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FI</w:t>
            </w:r>
          </w:p>
        </w:tc>
        <w:tc>
          <w:tcPr>
            <w:tcW w:w="1456" w:type="pct"/>
            <w:shd w:val="clear" w:color="auto" w:fill="auto"/>
            <w:noWrap/>
            <w:vAlign w:val="center"/>
            <w:hideMark/>
          </w:tcPr>
          <w:p w14:paraId="6E816E46" w14:textId="10AB3C01"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74</w:t>
            </w:r>
            <w:r>
              <w:rPr>
                <w:rFonts w:ascii="Times New Roman" w:hAnsi="Times New Roman"/>
                <w:noProof/>
                <w:sz w:val="20"/>
                <w:szCs w:val="20"/>
              </w:rPr>
              <w:t>,</w:t>
            </w:r>
            <w:r w:rsidRPr="00D4425F">
              <w:rPr>
                <w:rFonts w:ascii="Times New Roman" w:hAnsi="Times New Roman"/>
                <w:noProof/>
                <w:sz w:val="20"/>
                <w:szCs w:val="20"/>
              </w:rPr>
              <w:t>6</w:t>
            </w:r>
          </w:p>
        </w:tc>
        <w:tc>
          <w:tcPr>
            <w:tcW w:w="926" w:type="pct"/>
            <w:shd w:val="clear" w:color="auto" w:fill="auto"/>
            <w:noWrap/>
            <w:vAlign w:val="center"/>
            <w:hideMark/>
          </w:tcPr>
          <w:p w14:paraId="767064F1"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61</w:t>
            </w:r>
          </w:p>
        </w:tc>
        <w:tc>
          <w:tcPr>
            <w:tcW w:w="975" w:type="pct"/>
            <w:shd w:val="clear" w:color="auto" w:fill="auto"/>
            <w:vAlign w:val="center"/>
            <w:hideMark/>
          </w:tcPr>
          <w:p w14:paraId="50DD78F2" w14:textId="6B8B8B12"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217</w:t>
            </w:r>
            <w:r>
              <w:rPr>
                <w:rFonts w:ascii="Times New Roman" w:hAnsi="Times New Roman"/>
                <w:noProof/>
                <w:sz w:val="20"/>
                <w:szCs w:val="20"/>
              </w:rPr>
              <w:t>,</w:t>
            </w:r>
            <w:r w:rsidRPr="00D4425F">
              <w:rPr>
                <w:rFonts w:ascii="Times New Roman" w:hAnsi="Times New Roman"/>
                <w:noProof/>
                <w:sz w:val="20"/>
                <w:szCs w:val="20"/>
              </w:rPr>
              <w:t>4</w:t>
            </w:r>
          </w:p>
        </w:tc>
        <w:tc>
          <w:tcPr>
            <w:tcW w:w="1123" w:type="pct"/>
            <w:shd w:val="clear" w:color="auto" w:fill="auto"/>
            <w:vAlign w:val="center"/>
            <w:hideMark/>
          </w:tcPr>
          <w:p w14:paraId="5B75BE72" w14:textId="4630DE2B"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34</w:t>
            </w:r>
            <w:r>
              <w:rPr>
                <w:rFonts w:ascii="Times New Roman" w:hAnsi="Times New Roman"/>
                <w:noProof/>
                <w:sz w:val="20"/>
                <w:szCs w:val="20"/>
              </w:rPr>
              <w:t>,</w:t>
            </w:r>
            <w:r w:rsidRPr="00D4425F">
              <w:rPr>
                <w:rFonts w:ascii="Times New Roman" w:hAnsi="Times New Roman"/>
                <w:noProof/>
                <w:sz w:val="20"/>
                <w:szCs w:val="20"/>
              </w:rPr>
              <w:t>3</w:t>
            </w:r>
            <w:r>
              <w:rPr>
                <w:rFonts w:ascii="Times New Roman" w:hAnsi="Times New Roman"/>
                <w:noProof/>
                <w:sz w:val="20"/>
                <w:szCs w:val="20"/>
              </w:rPr>
              <w:t> %</w:t>
            </w:r>
          </w:p>
        </w:tc>
      </w:tr>
      <w:tr w:rsidR="00700047" w:rsidRPr="00DA11F1" w14:paraId="688F6A35" w14:textId="77777777" w:rsidTr="005F2380">
        <w:trPr>
          <w:trHeight w:val="300"/>
        </w:trPr>
        <w:tc>
          <w:tcPr>
            <w:tcW w:w="520" w:type="pct"/>
            <w:shd w:val="clear" w:color="000000" w:fill="FFFFFF"/>
            <w:noWrap/>
            <w:vAlign w:val="center"/>
            <w:hideMark/>
          </w:tcPr>
          <w:p w14:paraId="6456B9B9"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ES</w:t>
            </w:r>
          </w:p>
        </w:tc>
        <w:tc>
          <w:tcPr>
            <w:tcW w:w="1456" w:type="pct"/>
            <w:tcBorders>
              <w:bottom w:val="double" w:sz="4" w:space="0" w:color="auto"/>
            </w:tcBorders>
            <w:shd w:val="clear" w:color="auto" w:fill="auto"/>
            <w:noWrap/>
            <w:vAlign w:val="center"/>
            <w:hideMark/>
          </w:tcPr>
          <w:p w14:paraId="6E1FE7E3"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61</w:t>
            </w:r>
          </w:p>
        </w:tc>
        <w:tc>
          <w:tcPr>
            <w:tcW w:w="926" w:type="pct"/>
            <w:tcBorders>
              <w:bottom w:val="double" w:sz="4" w:space="0" w:color="auto"/>
            </w:tcBorders>
            <w:shd w:val="clear" w:color="auto" w:fill="auto"/>
            <w:noWrap/>
            <w:vAlign w:val="center"/>
            <w:hideMark/>
          </w:tcPr>
          <w:p w14:paraId="590FEF11"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204</w:t>
            </w:r>
          </w:p>
        </w:tc>
        <w:tc>
          <w:tcPr>
            <w:tcW w:w="975" w:type="pct"/>
            <w:tcBorders>
              <w:bottom w:val="double" w:sz="4" w:space="0" w:color="auto"/>
            </w:tcBorders>
            <w:shd w:val="clear" w:color="auto" w:fill="auto"/>
            <w:vAlign w:val="center"/>
            <w:hideMark/>
          </w:tcPr>
          <w:p w14:paraId="535345E7" w14:textId="1CA9F731"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1225</w:t>
            </w:r>
            <w:r>
              <w:rPr>
                <w:rFonts w:ascii="Times New Roman" w:hAnsi="Times New Roman"/>
                <w:noProof/>
                <w:sz w:val="20"/>
                <w:szCs w:val="20"/>
              </w:rPr>
              <w:t>,</w:t>
            </w:r>
            <w:r w:rsidRPr="00D4425F">
              <w:rPr>
                <w:rFonts w:ascii="Times New Roman" w:hAnsi="Times New Roman"/>
                <w:noProof/>
                <w:sz w:val="20"/>
                <w:szCs w:val="20"/>
              </w:rPr>
              <w:t>2</w:t>
            </w:r>
          </w:p>
        </w:tc>
        <w:tc>
          <w:tcPr>
            <w:tcW w:w="1123" w:type="pct"/>
            <w:tcBorders>
              <w:bottom w:val="double" w:sz="4" w:space="0" w:color="auto"/>
            </w:tcBorders>
            <w:shd w:val="clear" w:color="auto" w:fill="auto"/>
            <w:vAlign w:val="center"/>
            <w:hideMark/>
          </w:tcPr>
          <w:p w14:paraId="3CAD89E2" w14:textId="198C6B93"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5</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r>
      <w:tr w:rsidR="00700047" w:rsidRPr="00DA11F1" w14:paraId="3A4B652B" w14:textId="77777777" w:rsidTr="005F2380">
        <w:trPr>
          <w:trHeight w:val="300"/>
        </w:trPr>
        <w:tc>
          <w:tcPr>
            <w:tcW w:w="520" w:type="pct"/>
            <w:shd w:val="clear" w:color="000000" w:fill="FFFFFF"/>
            <w:noWrap/>
            <w:vAlign w:val="center"/>
            <w:hideMark/>
          </w:tcPr>
          <w:p w14:paraId="60EA5B8D"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LU</w:t>
            </w:r>
          </w:p>
        </w:tc>
        <w:tc>
          <w:tcPr>
            <w:tcW w:w="1456" w:type="pct"/>
            <w:shd w:val="clear" w:color="auto" w:fill="auto"/>
            <w:noWrap/>
            <w:vAlign w:val="center"/>
            <w:hideMark/>
          </w:tcPr>
          <w:p w14:paraId="19C72A6F" w14:textId="75836C2C"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10</w:t>
            </w:r>
            <w:r>
              <w:rPr>
                <w:rFonts w:ascii="Times New Roman" w:hAnsi="Times New Roman"/>
                <w:noProof/>
                <w:sz w:val="20"/>
                <w:szCs w:val="20"/>
              </w:rPr>
              <w:t>,</w:t>
            </w:r>
            <w:r w:rsidRPr="00D4425F">
              <w:rPr>
                <w:rFonts w:ascii="Times New Roman" w:hAnsi="Times New Roman"/>
                <w:noProof/>
                <w:sz w:val="20"/>
                <w:szCs w:val="20"/>
              </w:rPr>
              <w:t>6</w:t>
            </w:r>
          </w:p>
        </w:tc>
        <w:tc>
          <w:tcPr>
            <w:tcW w:w="926" w:type="pct"/>
            <w:shd w:val="clear" w:color="auto" w:fill="auto"/>
            <w:noWrap/>
            <w:vAlign w:val="center"/>
            <w:hideMark/>
          </w:tcPr>
          <w:p w14:paraId="08B3A19F"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4</w:t>
            </w:r>
          </w:p>
        </w:tc>
        <w:tc>
          <w:tcPr>
            <w:tcW w:w="975" w:type="pct"/>
            <w:shd w:val="clear" w:color="auto" w:fill="auto"/>
            <w:vAlign w:val="center"/>
            <w:hideMark/>
          </w:tcPr>
          <w:p w14:paraId="6E4BF433" w14:textId="3E125B12"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16</w:t>
            </w:r>
            <w:r>
              <w:rPr>
                <w:rFonts w:ascii="Times New Roman" w:hAnsi="Times New Roman"/>
                <w:noProof/>
                <w:sz w:val="20"/>
                <w:szCs w:val="20"/>
              </w:rPr>
              <w:t>,</w:t>
            </w:r>
            <w:r w:rsidRPr="00D4425F">
              <w:rPr>
                <w:rFonts w:ascii="Times New Roman" w:hAnsi="Times New Roman"/>
                <w:noProof/>
                <w:sz w:val="20"/>
                <w:szCs w:val="20"/>
              </w:rPr>
              <w:t>8</w:t>
            </w:r>
          </w:p>
        </w:tc>
        <w:tc>
          <w:tcPr>
            <w:tcW w:w="1123" w:type="pct"/>
            <w:shd w:val="clear" w:color="auto" w:fill="auto"/>
            <w:vAlign w:val="center"/>
            <w:hideMark/>
          </w:tcPr>
          <w:p w14:paraId="72E44581" w14:textId="2081A303"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63</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r>
      <w:tr w:rsidR="00700047" w:rsidRPr="00DA11F1" w14:paraId="3CF8B15D" w14:textId="77777777" w:rsidTr="005F2380">
        <w:trPr>
          <w:trHeight w:val="300"/>
        </w:trPr>
        <w:tc>
          <w:tcPr>
            <w:tcW w:w="520" w:type="pct"/>
            <w:shd w:val="clear" w:color="000000" w:fill="FFFFFF"/>
            <w:noWrap/>
            <w:vAlign w:val="center"/>
            <w:hideMark/>
          </w:tcPr>
          <w:p w14:paraId="7974ED79"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PL</w:t>
            </w:r>
          </w:p>
        </w:tc>
        <w:tc>
          <w:tcPr>
            <w:tcW w:w="1456" w:type="pct"/>
            <w:shd w:val="clear" w:color="auto" w:fill="auto"/>
            <w:noWrap/>
            <w:vAlign w:val="center"/>
            <w:hideMark/>
          </w:tcPr>
          <w:p w14:paraId="15C72668" w14:textId="6D8E4E8A"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76</w:t>
            </w:r>
            <w:r>
              <w:rPr>
                <w:rFonts w:ascii="Times New Roman" w:hAnsi="Times New Roman"/>
                <w:noProof/>
                <w:sz w:val="20"/>
                <w:szCs w:val="20"/>
              </w:rPr>
              <w:t>,</w:t>
            </w:r>
            <w:r w:rsidRPr="00D4425F">
              <w:rPr>
                <w:rFonts w:ascii="Times New Roman" w:hAnsi="Times New Roman"/>
                <w:noProof/>
                <w:sz w:val="20"/>
                <w:szCs w:val="20"/>
              </w:rPr>
              <w:t>6</w:t>
            </w:r>
            <w:r>
              <w:rPr>
                <w:rFonts w:ascii="Times New Roman" w:hAnsi="Times New Roman"/>
                <w:noProof/>
                <w:sz w:val="20"/>
                <w:szCs w:val="20"/>
              </w:rPr>
              <w:t> (</w:t>
            </w:r>
            <w:r w:rsidRPr="00D4425F">
              <w:rPr>
                <w:rFonts w:ascii="Times New Roman" w:hAnsi="Times New Roman"/>
                <w:noProof/>
                <w:sz w:val="20"/>
                <w:szCs w:val="20"/>
              </w:rPr>
              <w:t>340</w:t>
            </w:r>
            <w:r>
              <w:rPr>
                <w:rFonts w:ascii="Times New Roman" w:hAnsi="Times New Roman"/>
                <w:noProof/>
                <w:sz w:val="20"/>
                <w:szCs w:val="20"/>
              </w:rPr>
              <w:t>,</w:t>
            </w:r>
            <w:r w:rsidRPr="00D4425F">
              <w:rPr>
                <w:rFonts w:ascii="Times New Roman" w:hAnsi="Times New Roman"/>
                <w:noProof/>
                <w:sz w:val="20"/>
                <w:szCs w:val="20"/>
              </w:rPr>
              <w:t>9</w:t>
            </w:r>
            <w:r>
              <w:rPr>
                <w:rFonts w:ascii="Times New Roman" w:hAnsi="Times New Roman"/>
                <w:noProof/>
                <w:sz w:val="20"/>
                <w:szCs w:val="20"/>
              </w:rPr>
              <w:t xml:space="preserve"> PLN) </w:t>
            </w:r>
          </w:p>
        </w:tc>
        <w:tc>
          <w:tcPr>
            <w:tcW w:w="926" w:type="pct"/>
            <w:shd w:val="clear" w:color="auto" w:fill="auto"/>
            <w:noWrap/>
            <w:vAlign w:val="center"/>
            <w:hideMark/>
          </w:tcPr>
          <w:p w14:paraId="1419298B"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25</w:t>
            </w:r>
          </w:p>
        </w:tc>
        <w:tc>
          <w:tcPr>
            <w:tcW w:w="975" w:type="pct"/>
            <w:shd w:val="clear" w:color="auto" w:fill="auto"/>
            <w:vAlign w:val="center"/>
            <w:hideMark/>
          </w:tcPr>
          <w:p w14:paraId="245B7118" w14:textId="6EF83F2B"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2545</w:t>
            </w:r>
            <w:r>
              <w:rPr>
                <w:rFonts w:ascii="Times New Roman" w:hAnsi="Times New Roman"/>
                <w:noProof/>
                <w:sz w:val="20"/>
                <w:szCs w:val="20"/>
              </w:rPr>
              <w:t>,</w:t>
            </w:r>
            <w:r w:rsidRPr="00D4425F">
              <w:rPr>
                <w:rFonts w:ascii="Times New Roman" w:hAnsi="Times New Roman"/>
                <w:noProof/>
                <w:sz w:val="20"/>
                <w:szCs w:val="20"/>
              </w:rPr>
              <w:t>9</w:t>
            </w:r>
          </w:p>
        </w:tc>
        <w:tc>
          <w:tcPr>
            <w:tcW w:w="1123" w:type="pct"/>
            <w:shd w:val="clear" w:color="auto" w:fill="auto"/>
            <w:noWrap/>
            <w:vAlign w:val="bottom"/>
            <w:hideMark/>
          </w:tcPr>
          <w:p w14:paraId="630E7704" w14:textId="17863EB9" w:rsidR="00700047" w:rsidRPr="00DA11F1" w:rsidRDefault="00700047" w:rsidP="00F36316">
            <w:pPr>
              <w:spacing w:after="0"/>
              <w:jc w:val="center"/>
              <w:rPr>
                <w:rFonts w:ascii="Times New Roman" w:eastAsia="Times New Roman" w:hAnsi="Times New Roman"/>
                <w:noProof/>
                <w:sz w:val="20"/>
                <w:szCs w:val="20"/>
              </w:rPr>
            </w:pPr>
            <w:r>
              <w:rPr>
                <w:rFonts w:ascii="Times New Roman" w:hAnsi="Times New Roman"/>
                <w:noProof/>
                <w:sz w:val="20"/>
                <w:szCs w:val="20"/>
              </w:rPr>
              <w:t> </w:t>
            </w:r>
            <w:r w:rsidRPr="00D4425F">
              <w:rPr>
                <w:rFonts w:ascii="Times New Roman" w:hAnsi="Times New Roman"/>
                <w:noProof/>
                <w:sz w:val="20"/>
                <w:szCs w:val="20"/>
              </w:rPr>
              <w:t>3</w:t>
            </w:r>
            <w:r>
              <w:rPr>
                <w:rFonts w:ascii="Times New Roman" w:hAnsi="Times New Roman"/>
                <w:noProof/>
                <w:sz w:val="20"/>
                <w:szCs w:val="20"/>
              </w:rPr>
              <w:t> %</w:t>
            </w:r>
          </w:p>
        </w:tc>
      </w:tr>
      <w:tr w:rsidR="00700047" w:rsidRPr="00DA11F1" w14:paraId="234944E0" w14:textId="77777777" w:rsidTr="005F2380">
        <w:trPr>
          <w:trHeight w:val="300"/>
        </w:trPr>
        <w:tc>
          <w:tcPr>
            <w:tcW w:w="520" w:type="pct"/>
            <w:tcBorders>
              <w:bottom w:val="single" w:sz="12" w:space="0" w:color="auto"/>
            </w:tcBorders>
            <w:shd w:val="clear" w:color="000000" w:fill="FFFFFF"/>
            <w:noWrap/>
            <w:vAlign w:val="center"/>
            <w:hideMark/>
          </w:tcPr>
          <w:p w14:paraId="2BB91F9E" w14:textId="77777777" w:rsidR="00700047" w:rsidRPr="00DA11F1" w:rsidRDefault="00700047"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RO</w:t>
            </w:r>
          </w:p>
        </w:tc>
        <w:tc>
          <w:tcPr>
            <w:tcW w:w="1456" w:type="pct"/>
            <w:tcBorders>
              <w:bottom w:val="single" w:sz="12" w:space="0" w:color="auto"/>
            </w:tcBorders>
            <w:shd w:val="clear" w:color="auto" w:fill="auto"/>
            <w:noWrap/>
            <w:vAlign w:val="center"/>
            <w:hideMark/>
          </w:tcPr>
          <w:p w14:paraId="77FEBA46" w14:textId="070C941D" w:rsidR="00700047" w:rsidRPr="00DA11F1" w:rsidRDefault="00700047" w:rsidP="00F36316">
            <w:pPr>
              <w:spacing w:after="0"/>
              <w:jc w:val="center"/>
              <w:rPr>
                <w:rFonts w:ascii="Times New Roman" w:eastAsia="Times New Roman" w:hAnsi="Times New Roman"/>
                <w:noProof/>
                <w:sz w:val="20"/>
                <w:szCs w:val="20"/>
              </w:rPr>
            </w:pPr>
            <w:r>
              <w:rPr>
                <w:rFonts w:ascii="Times New Roman" w:hAnsi="Times New Roman"/>
                <w:noProof/>
                <w:sz w:val="20"/>
                <w:szCs w:val="20"/>
              </w:rPr>
              <w:t> n.v.t.</w:t>
            </w:r>
          </w:p>
        </w:tc>
        <w:tc>
          <w:tcPr>
            <w:tcW w:w="926" w:type="pct"/>
            <w:tcBorders>
              <w:bottom w:val="single" w:sz="12" w:space="0" w:color="auto"/>
            </w:tcBorders>
            <w:shd w:val="clear" w:color="auto" w:fill="auto"/>
            <w:noWrap/>
            <w:vAlign w:val="center"/>
            <w:hideMark/>
          </w:tcPr>
          <w:p w14:paraId="023D1362" w14:textId="77777777" w:rsidR="00700047" w:rsidRPr="00DA11F1" w:rsidRDefault="00700047"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44</w:t>
            </w:r>
          </w:p>
        </w:tc>
        <w:tc>
          <w:tcPr>
            <w:tcW w:w="975" w:type="pct"/>
            <w:tcBorders>
              <w:bottom w:val="single" w:sz="12" w:space="0" w:color="auto"/>
            </w:tcBorders>
            <w:shd w:val="clear" w:color="auto" w:fill="auto"/>
            <w:vAlign w:val="center"/>
            <w:hideMark/>
          </w:tcPr>
          <w:p w14:paraId="7C1D4521" w14:textId="19B9BAD8" w:rsidR="00700047" w:rsidRPr="00DA11F1" w:rsidRDefault="00D86FF3"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747</w:t>
            </w:r>
            <w:r>
              <w:rPr>
                <w:rFonts w:ascii="Times New Roman" w:hAnsi="Times New Roman"/>
                <w:noProof/>
                <w:sz w:val="20"/>
                <w:szCs w:val="20"/>
              </w:rPr>
              <w:t>,</w:t>
            </w:r>
            <w:r w:rsidRPr="00D4425F">
              <w:rPr>
                <w:rFonts w:ascii="Times New Roman" w:hAnsi="Times New Roman"/>
                <w:noProof/>
                <w:sz w:val="20"/>
                <w:szCs w:val="20"/>
              </w:rPr>
              <w:t>9</w:t>
            </w:r>
          </w:p>
        </w:tc>
        <w:tc>
          <w:tcPr>
            <w:tcW w:w="1123" w:type="pct"/>
            <w:tcBorders>
              <w:bottom w:val="single" w:sz="12" w:space="0" w:color="auto"/>
            </w:tcBorders>
            <w:shd w:val="clear" w:color="auto" w:fill="auto"/>
            <w:noWrap/>
            <w:vAlign w:val="bottom"/>
            <w:hideMark/>
          </w:tcPr>
          <w:p w14:paraId="09F1FB7B" w14:textId="5C24EC36" w:rsidR="00700047" w:rsidRPr="00DA11F1" w:rsidRDefault="00700047" w:rsidP="00F36316">
            <w:pPr>
              <w:spacing w:after="0"/>
              <w:jc w:val="center"/>
              <w:rPr>
                <w:rFonts w:ascii="Times New Roman" w:eastAsia="Times New Roman" w:hAnsi="Times New Roman"/>
                <w:noProof/>
                <w:sz w:val="20"/>
                <w:szCs w:val="20"/>
              </w:rPr>
            </w:pPr>
            <w:r>
              <w:rPr>
                <w:rFonts w:ascii="Times New Roman" w:hAnsi="Times New Roman"/>
                <w:noProof/>
                <w:sz w:val="20"/>
                <w:szCs w:val="20"/>
              </w:rPr>
              <w:t> n.v.t.</w:t>
            </w:r>
          </w:p>
        </w:tc>
      </w:tr>
      <w:tr w:rsidR="005F2380" w:rsidRPr="00DA11F1" w14:paraId="2E1B5EA0" w14:textId="77777777" w:rsidTr="005F2380">
        <w:trPr>
          <w:trHeight w:val="300"/>
        </w:trPr>
        <w:tc>
          <w:tcPr>
            <w:tcW w:w="520" w:type="pct"/>
            <w:tcBorders>
              <w:top w:val="single" w:sz="12" w:space="0" w:color="auto"/>
            </w:tcBorders>
            <w:shd w:val="clear" w:color="000000" w:fill="FFFFFF"/>
            <w:noWrap/>
            <w:vAlign w:val="center"/>
          </w:tcPr>
          <w:p w14:paraId="1CD0BE85" w14:textId="400BEB4E" w:rsidR="005F2380" w:rsidRPr="00DA11F1" w:rsidRDefault="005F2380" w:rsidP="00F36316">
            <w:pPr>
              <w:spacing w:after="0"/>
              <w:jc w:val="center"/>
              <w:rPr>
                <w:rFonts w:ascii="Times New Roman" w:eastAsia="Times New Roman" w:hAnsi="Times New Roman"/>
                <w:noProof/>
                <w:color w:val="000000"/>
                <w:sz w:val="20"/>
                <w:szCs w:val="20"/>
              </w:rPr>
            </w:pPr>
            <w:r>
              <w:rPr>
                <w:rFonts w:ascii="Times New Roman" w:hAnsi="Times New Roman"/>
                <w:noProof/>
                <w:color w:val="000000"/>
                <w:sz w:val="20"/>
                <w:szCs w:val="20"/>
              </w:rPr>
              <w:t>VK</w:t>
            </w:r>
          </w:p>
        </w:tc>
        <w:tc>
          <w:tcPr>
            <w:tcW w:w="1456" w:type="pct"/>
            <w:tcBorders>
              <w:top w:val="single" w:sz="12" w:space="0" w:color="auto"/>
            </w:tcBorders>
            <w:shd w:val="clear" w:color="auto" w:fill="auto"/>
            <w:noWrap/>
            <w:vAlign w:val="center"/>
          </w:tcPr>
          <w:p w14:paraId="0F29B369" w14:textId="6E71D232" w:rsidR="005F2380" w:rsidRPr="00DA11F1" w:rsidRDefault="005F2380"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57</w:t>
            </w:r>
            <w:r>
              <w:rPr>
                <w:rFonts w:ascii="Times New Roman" w:hAnsi="Times New Roman"/>
                <w:noProof/>
                <w:sz w:val="20"/>
                <w:szCs w:val="20"/>
              </w:rPr>
              <w:t>,</w:t>
            </w:r>
            <w:r w:rsidRPr="00D4425F">
              <w:rPr>
                <w:rFonts w:ascii="Times New Roman" w:hAnsi="Times New Roman"/>
                <w:noProof/>
                <w:sz w:val="20"/>
                <w:szCs w:val="20"/>
              </w:rPr>
              <w:t>25</w:t>
            </w:r>
            <w:r>
              <w:rPr>
                <w:rFonts w:ascii="Times New Roman" w:hAnsi="Times New Roman"/>
                <w:noProof/>
                <w:sz w:val="20"/>
                <w:szCs w:val="20"/>
              </w:rPr>
              <w:t> (</w:t>
            </w:r>
            <w:r w:rsidRPr="00D4425F">
              <w:rPr>
                <w:rFonts w:ascii="Times New Roman" w:hAnsi="Times New Roman"/>
                <w:noProof/>
                <w:sz w:val="20"/>
                <w:szCs w:val="20"/>
              </w:rPr>
              <w:t>50</w:t>
            </w:r>
            <w:r>
              <w:rPr>
                <w:rFonts w:ascii="Times New Roman" w:hAnsi="Times New Roman"/>
                <w:noProof/>
                <w:sz w:val="20"/>
                <w:szCs w:val="20"/>
              </w:rPr>
              <w:t>,</w:t>
            </w:r>
            <w:r w:rsidRPr="00D4425F">
              <w:rPr>
                <w:rFonts w:ascii="Times New Roman" w:hAnsi="Times New Roman"/>
                <w:noProof/>
                <w:sz w:val="20"/>
                <w:szCs w:val="20"/>
              </w:rPr>
              <w:t>9</w:t>
            </w:r>
            <w:r>
              <w:rPr>
                <w:rFonts w:ascii="Times New Roman" w:hAnsi="Times New Roman"/>
                <w:noProof/>
                <w:sz w:val="20"/>
                <w:szCs w:val="20"/>
              </w:rPr>
              <w:t> GBP)</w:t>
            </w:r>
          </w:p>
        </w:tc>
        <w:tc>
          <w:tcPr>
            <w:tcW w:w="926" w:type="pct"/>
            <w:tcBorders>
              <w:top w:val="single" w:sz="12" w:space="0" w:color="auto"/>
            </w:tcBorders>
            <w:shd w:val="clear" w:color="auto" w:fill="auto"/>
            <w:noWrap/>
            <w:vAlign w:val="center"/>
          </w:tcPr>
          <w:p w14:paraId="4DD4745F" w14:textId="06A82330" w:rsidR="005F2380" w:rsidRPr="00DA11F1" w:rsidRDefault="005F2380" w:rsidP="00F36316">
            <w:pPr>
              <w:spacing w:after="0"/>
              <w:jc w:val="center"/>
              <w:rPr>
                <w:rFonts w:ascii="Times New Roman" w:eastAsia="Times New Roman" w:hAnsi="Times New Roman"/>
                <w:noProof/>
                <w:sz w:val="20"/>
                <w:szCs w:val="20"/>
              </w:rPr>
            </w:pPr>
            <w:r w:rsidRPr="00D4425F">
              <w:rPr>
                <w:rFonts w:ascii="Times New Roman" w:hAnsi="Times New Roman"/>
                <w:noProof/>
                <w:sz w:val="20"/>
                <w:szCs w:val="20"/>
              </w:rPr>
              <w:t>61</w:t>
            </w:r>
          </w:p>
        </w:tc>
        <w:tc>
          <w:tcPr>
            <w:tcW w:w="975" w:type="pct"/>
            <w:tcBorders>
              <w:top w:val="single" w:sz="12" w:space="0" w:color="auto"/>
            </w:tcBorders>
            <w:shd w:val="clear" w:color="auto" w:fill="auto"/>
            <w:vAlign w:val="center"/>
          </w:tcPr>
          <w:p w14:paraId="6A814750" w14:textId="5ECB0BA0" w:rsidR="005F2380" w:rsidRPr="00DA11F1" w:rsidRDefault="002B3C40" w:rsidP="00F36316">
            <w:pPr>
              <w:spacing w:after="0"/>
              <w:jc w:val="center"/>
              <w:rPr>
                <w:rFonts w:ascii="Times New Roman" w:eastAsia="Times New Roman" w:hAnsi="Times New Roman"/>
                <w:noProof/>
                <w:sz w:val="20"/>
                <w:szCs w:val="20"/>
              </w:rPr>
            </w:pPr>
            <w:r>
              <w:rPr>
                <w:rFonts w:ascii="Times New Roman" w:hAnsi="Times New Roman"/>
                <w:noProof/>
                <w:sz w:val="20"/>
                <w:szCs w:val="20"/>
              </w:rPr>
              <w:t>n.v.t.</w:t>
            </w:r>
          </w:p>
        </w:tc>
        <w:tc>
          <w:tcPr>
            <w:tcW w:w="1123" w:type="pct"/>
            <w:tcBorders>
              <w:top w:val="single" w:sz="12" w:space="0" w:color="auto"/>
            </w:tcBorders>
            <w:shd w:val="clear" w:color="auto" w:fill="auto"/>
            <w:noWrap/>
            <w:vAlign w:val="bottom"/>
          </w:tcPr>
          <w:p w14:paraId="7C99A9FE" w14:textId="1FF6DE4B" w:rsidR="005F2380" w:rsidRPr="00DA11F1" w:rsidRDefault="002B3C40" w:rsidP="00F36316">
            <w:pPr>
              <w:spacing w:after="0"/>
              <w:jc w:val="center"/>
              <w:rPr>
                <w:rFonts w:ascii="Times New Roman" w:eastAsia="Times New Roman" w:hAnsi="Times New Roman"/>
                <w:noProof/>
              </w:rPr>
            </w:pPr>
            <w:r>
              <w:rPr>
                <w:rFonts w:ascii="Times New Roman" w:hAnsi="Times New Roman"/>
                <w:noProof/>
                <w:sz w:val="20"/>
                <w:szCs w:val="20"/>
              </w:rPr>
              <w:t>n.v.t.</w:t>
            </w:r>
          </w:p>
        </w:tc>
      </w:tr>
    </w:tbl>
    <w:p w14:paraId="60CBB4FF" w14:textId="08550262" w:rsidR="00700047" w:rsidRPr="00DA11F1" w:rsidRDefault="00700047" w:rsidP="00F36316">
      <w:pPr>
        <w:spacing w:before="200"/>
        <w:jc w:val="both"/>
        <w:rPr>
          <w:rFonts w:ascii="Times New Roman" w:eastAsia="Times New Roman" w:hAnsi="Times New Roman"/>
          <w:noProof/>
          <w:sz w:val="24"/>
          <w:szCs w:val="24"/>
        </w:rPr>
      </w:pPr>
      <w:r>
        <w:rPr>
          <w:rFonts w:ascii="Times New Roman" w:hAnsi="Times New Roman"/>
          <w:noProof/>
          <w:sz w:val="24"/>
          <w:szCs w:val="24"/>
        </w:rPr>
        <w:t xml:space="preserve">De totale door </w:t>
      </w:r>
      <w:r w:rsidRPr="00D4425F">
        <w:rPr>
          <w:rFonts w:ascii="Times New Roman" w:hAnsi="Times New Roman"/>
          <w:noProof/>
          <w:sz w:val="24"/>
          <w:szCs w:val="24"/>
        </w:rPr>
        <w:t>13</w:t>
      </w:r>
      <w:r>
        <w:rPr>
          <w:rFonts w:ascii="Times New Roman" w:hAnsi="Times New Roman"/>
          <w:noProof/>
          <w:sz w:val="24"/>
          <w:szCs w:val="24"/>
        </w:rPr>
        <w:t xml:space="preserve"> lidstaten in </w:t>
      </w:r>
      <w:r w:rsidRPr="00D4425F">
        <w:rPr>
          <w:rFonts w:ascii="Times New Roman" w:hAnsi="Times New Roman"/>
          <w:noProof/>
          <w:sz w:val="24"/>
          <w:szCs w:val="24"/>
        </w:rPr>
        <w:t>2020</w:t>
      </w:r>
      <w:r>
        <w:rPr>
          <w:rFonts w:ascii="Times New Roman" w:hAnsi="Times New Roman"/>
          <w:noProof/>
          <w:sz w:val="24"/>
          <w:szCs w:val="24"/>
        </w:rPr>
        <w:t xml:space="preserve"> uitbetaalde compensatie voor in </w:t>
      </w:r>
      <w:r w:rsidRPr="00D4425F">
        <w:rPr>
          <w:rFonts w:ascii="Times New Roman" w:hAnsi="Times New Roman"/>
          <w:noProof/>
          <w:sz w:val="24"/>
          <w:szCs w:val="24"/>
        </w:rPr>
        <w:t>2019</w:t>
      </w:r>
      <w:r>
        <w:rPr>
          <w:rFonts w:ascii="Times New Roman" w:hAnsi="Times New Roman"/>
          <w:noProof/>
          <w:sz w:val="24"/>
          <w:szCs w:val="24"/>
        </w:rPr>
        <w:t xml:space="preserve"> gemaakte indirecte kosten bedroeg ten minste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358</w:t>
      </w:r>
      <w:r>
        <w:rPr>
          <w:rFonts w:ascii="Times New Roman" w:hAnsi="Times New Roman"/>
          <w:noProof/>
          <w:sz w:val="24"/>
          <w:szCs w:val="24"/>
        </w:rPr>
        <w:t xml:space="preserve"> miljoen EUR. Dat is meer dan tweemaal het bedrag dat in </w:t>
      </w:r>
      <w:r w:rsidRPr="00D4425F">
        <w:rPr>
          <w:rFonts w:ascii="Times New Roman" w:hAnsi="Times New Roman"/>
          <w:noProof/>
          <w:sz w:val="24"/>
          <w:szCs w:val="24"/>
        </w:rPr>
        <w:t>2019</w:t>
      </w:r>
      <w:r>
        <w:rPr>
          <w:rFonts w:ascii="Times New Roman" w:hAnsi="Times New Roman"/>
          <w:noProof/>
          <w:sz w:val="24"/>
          <w:szCs w:val="24"/>
        </w:rPr>
        <w:t xml:space="preserve"> is uitbetaald (voor in </w:t>
      </w:r>
      <w:r w:rsidRPr="00D4425F">
        <w:rPr>
          <w:rFonts w:ascii="Times New Roman" w:hAnsi="Times New Roman"/>
          <w:noProof/>
          <w:sz w:val="24"/>
          <w:szCs w:val="24"/>
        </w:rPr>
        <w:t>2018</w:t>
      </w:r>
      <w:r>
        <w:rPr>
          <w:rFonts w:ascii="Times New Roman" w:hAnsi="Times New Roman"/>
          <w:noProof/>
          <w:sz w:val="24"/>
          <w:szCs w:val="24"/>
        </w:rPr>
        <w:t xml:space="preserve"> gemaakte kosten). Deze forse stijging hield voornamelijk verband met de stijging van de koolstofprijzen. In de meeste regelingen is geen vast budget opgenomen, maar vindt compensatie plaats op basis van de werkelijk gemaakte indirecte kosten. Bovendien moeten de lidstaten volgens de in de richtsnoeren betreffende staatssteun vastgestelde formule voor de berekening van de compensatie, bij de berekening van de uitbetaalde compensatie de gemiddelde termijnkoers van de emissierechten van jaar t-</w:t>
      </w:r>
      <w:r w:rsidRPr="00D4425F">
        <w:rPr>
          <w:rFonts w:ascii="Times New Roman" w:hAnsi="Times New Roman"/>
          <w:noProof/>
          <w:sz w:val="24"/>
          <w:szCs w:val="24"/>
        </w:rPr>
        <w:t>1</w:t>
      </w:r>
      <w:r>
        <w:rPr>
          <w:rFonts w:ascii="Times New Roman" w:hAnsi="Times New Roman"/>
          <w:noProof/>
          <w:sz w:val="24"/>
          <w:szCs w:val="24"/>
        </w:rPr>
        <w:t xml:space="preserve"> gebruiken. Dit betekent dat termijnkoersen van </w:t>
      </w:r>
      <w:r w:rsidRPr="00D4425F">
        <w:rPr>
          <w:rFonts w:ascii="Times New Roman" w:hAnsi="Times New Roman"/>
          <w:noProof/>
          <w:sz w:val="24"/>
          <w:szCs w:val="24"/>
        </w:rPr>
        <w:t>2018</w:t>
      </w:r>
      <w:r>
        <w:rPr>
          <w:rFonts w:ascii="Times New Roman" w:hAnsi="Times New Roman"/>
          <w:noProof/>
          <w:sz w:val="24"/>
          <w:szCs w:val="24"/>
        </w:rPr>
        <w:t xml:space="preserve"> worden gebruikt om de compensatie voor in </w:t>
      </w:r>
      <w:r w:rsidRPr="00D4425F">
        <w:rPr>
          <w:rFonts w:ascii="Times New Roman" w:hAnsi="Times New Roman"/>
          <w:noProof/>
          <w:sz w:val="24"/>
          <w:szCs w:val="24"/>
        </w:rPr>
        <w:t>2019</w:t>
      </w:r>
      <w:r>
        <w:rPr>
          <w:rFonts w:ascii="Times New Roman" w:hAnsi="Times New Roman"/>
          <w:noProof/>
          <w:sz w:val="24"/>
          <w:szCs w:val="24"/>
        </w:rPr>
        <w:t xml:space="preserve"> gemaakte indirecte kosten te berekenen. Tussen </w:t>
      </w:r>
      <w:r w:rsidRPr="00D4425F">
        <w:rPr>
          <w:rFonts w:ascii="Times New Roman" w:hAnsi="Times New Roman"/>
          <w:noProof/>
          <w:sz w:val="24"/>
          <w:szCs w:val="24"/>
        </w:rPr>
        <w:t>2018</w:t>
      </w:r>
      <w:r>
        <w:rPr>
          <w:rFonts w:ascii="Times New Roman" w:hAnsi="Times New Roman"/>
          <w:noProof/>
          <w:sz w:val="24"/>
          <w:szCs w:val="24"/>
        </w:rPr>
        <w:t xml:space="preserve"> en </w:t>
      </w:r>
      <w:r w:rsidRPr="00D4425F">
        <w:rPr>
          <w:rFonts w:ascii="Times New Roman" w:hAnsi="Times New Roman"/>
          <w:noProof/>
          <w:sz w:val="24"/>
          <w:szCs w:val="24"/>
        </w:rPr>
        <w:t>2019</w:t>
      </w:r>
      <w:r>
        <w:rPr>
          <w:rFonts w:ascii="Times New Roman" w:hAnsi="Times New Roman"/>
          <w:noProof/>
          <w:sz w:val="24"/>
          <w:szCs w:val="24"/>
        </w:rPr>
        <w:t xml:space="preserve"> steeg de als basis voor de compensatie gebruikte koolstofprijs van ongeveer </w:t>
      </w:r>
      <w:r w:rsidRPr="00D4425F">
        <w:rPr>
          <w:rFonts w:ascii="Times New Roman" w:hAnsi="Times New Roman"/>
          <w:noProof/>
          <w:sz w:val="24"/>
          <w:szCs w:val="24"/>
        </w:rPr>
        <w:t>6</w:t>
      </w:r>
      <w:r>
        <w:rPr>
          <w:rFonts w:ascii="Times New Roman" w:hAnsi="Times New Roman"/>
          <w:noProof/>
          <w:sz w:val="24"/>
          <w:szCs w:val="24"/>
        </w:rPr>
        <w:t xml:space="preserve"> EUR tot ongeveer </w:t>
      </w:r>
      <w:r w:rsidRPr="00D4425F">
        <w:rPr>
          <w:rFonts w:ascii="Times New Roman" w:hAnsi="Times New Roman"/>
          <w:noProof/>
          <w:sz w:val="24"/>
          <w:szCs w:val="24"/>
        </w:rPr>
        <w:t>16</w:t>
      </w:r>
      <w:r w:rsidR="00C0162E">
        <w:rPr>
          <w:rFonts w:ascii="Times New Roman" w:hAnsi="Times New Roman"/>
          <w:noProof/>
          <w:sz w:val="24"/>
          <w:szCs w:val="24"/>
        </w:rPr>
        <w:t> EUR.</w:t>
      </w:r>
    </w:p>
    <w:p w14:paraId="3CFAE3A2" w14:textId="31959495" w:rsidR="001B48F7" w:rsidRPr="00DA11F1" w:rsidRDefault="00700047" w:rsidP="008E33DB">
      <w:pPr>
        <w:jc w:val="both"/>
        <w:rPr>
          <w:rFonts w:ascii="Times New Roman" w:eastAsia="Times New Roman" w:hAnsi="Times New Roman"/>
          <w:noProof/>
          <w:sz w:val="24"/>
          <w:szCs w:val="24"/>
        </w:rPr>
      </w:pPr>
      <w:r>
        <w:rPr>
          <w:rFonts w:ascii="Times New Roman" w:hAnsi="Times New Roman"/>
          <w:noProof/>
          <w:sz w:val="24"/>
          <w:szCs w:val="24"/>
        </w:rPr>
        <w:t xml:space="preserve">Krachtens de transparantieregels van de EU-ETS-richtlijn moeten de lidstaten die in een jaar meer dan </w:t>
      </w:r>
      <w:r w:rsidRPr="00D4425F">
        <w:rPr>
          <w:rFonts w:ascii="Times New Roman" w:hAnsi="Times New Roman"/>
          <w:noProof/>
          <w:sz w:val="24"/>
          <w:szCs w:val="24"/>
        </w:rPr>
        <w:t>25</w:t>
      </w:r>
      <w:r>
        <w:rPr>
          <w:rFonts w:ascii="Times New Roman" w:hAnsi="Times New Roman"/>
          <w:noProof/>
          <w:sz w:val="24"/>
          <w:szCs w:val="24"/>
        </w:rPr>
        <w:t xml:space="preserve"> % van hun veilingopbrengsten aan compensatie voor indirecte kosten besteden, een verslag publiceren met de redenen voor de overschrijding van dat percentage. In </w:t>
      </w:r>
      <w:r w:rsidRPr="00D4425F">
        <w:rPr>
          <w:rFonts w:ascii="Times New Roman" w:hAnsi="Times New Roman"/>
          <w:noProof/>
          <w:sz w:val="24"/>
          <w:szCs w:val="24"/>
        </w:rPr>
        <w:t>2020</w:t>
      </w:r>
      <w:r>
        <w:rPr>
          <w:rFonts w:ascii="Times New Roman" w:hAnsi="Times New Roman"/>
          <w:noProof/>
          <w:sz w:val="24"/>
          <w:szCs w:val="24"/>
        </w:rPr>
        <w:t xml:space="preserve"> overschreden ten minste vijf lidstaten de limiet van </w:t>
      </w:r>
      <w:r w:rsidRPr="00D4425F">
        <w:rPr>
          <w:rFonts w:ascii="Times New Roman" w:hAnsi="Times New Roman"/>
          <w:noProof/>
          <w:sz w:val="24"/>
          <w:szCs w:val="24"/>
        </w:rPr>
        <w:t>25</w:t>
      </w:r>
      <w:r>
        <w:rPr>
          <w:rFonts w:ascii="Times New Roman" w:hAnsi="Times New Roman"/>
          <w:noProof/>
          <w:sz w:val="24"/>
          <w:szCs w:val="24"/>
        </w:rPr>
        <w:t xml:space="preserve"> %, terwijl in </w:t>
      </w:r>
      <w:r w:rsidRPr="00D4425F">
        <w:rPr>
          <w:rFonts w:ascii="Times New Roman" w:hAnsi="Times New Roman"/>
          <w:noProof/>
          <w:sz w:val="24"/>
          <w:szCs w:val="24"/>
        </w:rPr>
        <w:t>2019</w:t>
      </w:r>
      <w:r>
        <w:rPr>
          <w:rFonts w:ascii="Times New Roman" w:hAnsi="Times New Roman"/>
          <w:noProof/>
          <w:sz w:val="24"/>
          <w:szCs w:val="24"/>
        </w:rPr>
        <w:t xml:space="preserve"> geen enkele lidstaat dat had gedaan. Bovendien nam het gemiddelde aandeel van de totale compensatie ten opzichte van de totale veilingopbrengsten aanzienlijk toe: tot </w:t>
      </w:r>
      <w:r w:rsidRPr="00D4425F">
        <w:rPr>
          <w:rFonts w:ascii="Times New Roman" w:hAnsi="Times New Roman"/>
          <w:noProof/>
          <w:sz w:val="24"/>
          <w:szCs w:val="24"/>
        </w:rPr>
        <w:t>13</w:t>
      </w:r>
      <w:r>
        <w:rPr>
          <w:rFonts w:ascii="Times New Roman" w:hAnsi="Times New Roman"/>
          <w:noProof/>
          <w:sz w:val="24"/>
          <w:szCs w:val="24"/>
        </w:rPr>
        <w:t>,</w:t>
      </w:r>
      <w:r w:rsidRPr="00D4425F">
        <w:rPr>
          <w:rFonts w:ascii="Times New Roman" w:hAnsi="Times New Roman"/>
          <w:noProof/>
          <w:sz w:val="24"/>
          <w:szCs w:val="24"/>
        </w:rPr>
        <w:t>7</w:t>
      </w:r>
      <w:r>
        <w:rPr>
          <w:rFonts w:ascii="Times New Roman" w:hAnsi="Times New Roman"/>
          <w:noProof/>
          <w:sz w:val="24"/>
          <w:szCs w:val="24"/>
        </w:rPr>
        <w:t xml:space="preserve"> % in </w:t>
      </w:r>
      <w:r w:rsidRPr="00D4425F">
        <w:rPr>
          <w:rFonts w:ascii="Times New Roman" w:hAnsi="Times New Roman"/>
          <w:noProof/>
          <w:sz w:val="24"/>
          <w:szCs w:val="24"/>
        </w:rPr>
        <w:t>2020</w:t>
      </w:r>
      <w:r>
        <w:rPr>
          <w:rFonts w:ascii="Times New Roman" w:hAnsi="Times New Roman"/>
          <w:noProof/>
          <w:sz w:val="24"/>
          <w:szCs w:val="24"/>
        </w:rPr>
        <w:t xml:space="preserve"> tegenover </w:t>
      </w:r>
      <w:r w:rsidRPr="00D4425F">
        <w:rPr>
          <w:rFonts w:ascii="Times New Roman" w:hAnsi="Times New Roman"/>
          <w:noProof/>
          <w:sz w:val="24"/>
          <w:szCs w:val="24"/>
        </w:rPr>
        <w:t>7</w:t>
      </w:r>
      <w:r>
        <w:rPr>
          <w:rFonts w:ascii="Times New Roman" w:hAnsi="Times New Roman"/>
          <w:noProof/>
          <w:sz w:val="24"/>
          <w:szCs w:val="24"/>
        </w:rPr>
        <w:t>,</w:t>
      </w:r>
      <w:r w:rsidRPr="00D4425F">
        <w:rPr>
          <w:rFonts w:ascii="Times New Roman" w:hAnsi="Times New Roman"/>
          <w:noProof/>
          <w:sz w:val="24"/>
          <w:szCs w:val="24"/>
        </w:rPr>
        <w:t>9</w:t>
      </w:r>
      <w:r>
        <w:rPr>
          <w:rFonts w:ascii="Times New Roman" w:hAnsi="Times New Roman"/>
          <w:noProof/>
          <w:sz w:val="24"/>
          <w:szCs w:val="24"/>
        </w:rPr>
        <w:t xml:space="preserve"> % in </w:t>
      </w:r>
      <w:r w:rsidRPr="00D4425F">
        <w:rPr>
          <w:rFonts w:ascii="Times New Roman" w:hAnsi="Times New Roman"/>
          <w:noProof/>
          <w:sz w:val="24"/>
          <w:szCs w:val="24"/>
        </w:rPr>
        <w:t>2019</w:t>
      </w:r>
      <w:r w:rsidR="00C0162E">
        <w:rPr>
          <w:rFonts w:ascii="Times New Roman" w:hAnsi="Times New Roman"/>
          <w:noProof/>
          <w:sz w:val="24"/>
          <w:szCs w:val="24"/>
        </w:rPr>
        <w:t>.</w:t>
      </w:r>
    </w:p>
    <w:p w14:paraId="44E925AC" w14:textId="51DE2B79" w:rsidR="00717F9C" w:rsidRPr="00DA11F1" w:rsidRDefault="00717F9C" w:rsidP="008E33DB">
      <w:pPr>
        <w:jc w:val="both"/>
        <w:rPr>
          <w:rFonts w:ascii="Times New Roman" w:eastAsia="Times New Roman" w:hAnsi="Times New Roman"/>
          <w:noProof/>
          <w:sz w:val="24"/>
          <w:szCs w:val="24"/>
        </w:rPr>
      </w:pPr>
      <w:r>
        <w:rPr>
          <w:rFonts w:ascii="Times New Roman" w:hAnsi="Times New Roman"/>
          <w:noProof/>
          <w:sz w:val="24"/>
          <w:szCs w:val="24"/>
        </w:rPr>
        <w:t xml:space="preserve">Naarmate de koolstofprijzen stijgen, nemen zowel de veilingopbrengsten als de compensatie voor indirecte kosten toe; daarom moet het relatieve aandeel gelijk blijven. In </w:t>
      </w:r>
      <w:r w:rsidRPr="00D4425F">
        <w:rPr>
          <w:rFonts w:ascii="Times New Roman" w:hAnsi="Times New Roman"/>
          <w:noProof/>
          <w:sz w:val="24"/>
          <w:szCs w:val="24"/>
        </w:rPr>
        <w:t>2019</w:t>
      </w:r>
      <w:r>
        <w:rPr>
          <w:rFonts w:ascii="Times New Roman" w:hAnsi="Times New Roman"/>
          <w:noProof/>
          <w:sz w:val="24"/>
          <w:szCs w:val="24"/>
        </w:rPr>
        <w:t xml:space="preserve"> vertaalden de hogere koolstofprijzen zich echter niet in hogere veilingopbrengsten, omdat dit het eerste jaar was dat de marktstabiliteitsreserve ervoor zorgde dat de hoeveelheid geveilde emissierechten afnam. In </w:t>
      </w:r>
      <w:r w:rsidRPr="00D4425F">
        <w:rPr>
          <w:rFonts w:ascii="Times New Roman" w:hAnsi="Times New Roman"/>
          <w:noProof/>
          <w:sz w:val="24"/>
          <w:szCs w:val="24"/>
        </w:rPr>
        <w:t>2019</w:t>
      </w:r>
      <w:r>
        <w:rPr>
          <w:rFonts w:ascii="Times New Roman" w:hAnsi="Times New Roman"/>
          <w:noProof/>
          <w:sz w:val="24"/>
          <w:szCs w:val="24"/>
        </w:rPr>
        <w:t xml:space="preserve"> werden ongeveer </w:t>
      </w:r>
      <w:r w:rsidRPr="00D4425F">
        <w:rPr>
          <w:rFonts w:ascii="Times New Roman" w:hAnsi="Times New Roman"/>
          <w:noProof/>
          <w:sz w:val="24"/>
          <w:szCs w:val="24"/>
        </w:rPr>
        <w:t>30</w:t>
      </w:r>
      <w:r>
        <w:rPr>
          <w:rFonts w:ascii="Times New Roman" w:hAnsi="Times New Roman"/>
          <w:noProof/>
          <w:sz w:val="24"/>
          <w:szCs w:val="24"/>
        </w:rPr>
        <w:t> % minder emissierechten geveild dan in </w:t>
      </w:r>
      <w:r w:rsidRPr="00D4425F">
        <w:rPr>
          <w:rFonts w:ascii="Times New Roman" w:hAnsi="Times New Roman"/>
          <w:noProof/>
          <w:sz w:val="24"/>
          <w:szCs w:val="24"/>
        </w:rPr>
        <w:t>2018</w:t>
      </w:r>
      <w:r>
        <w:rPr>
          <w:rFonts w:ascii="Times New Roman" w:hAnsi="Times New Roman"/>
          <w:noProof/>
          <w:sz w:val="24"/>
          <w:szCs w:val="24"/>
        </w:rPr>
        <w:t xml:space="preserve">. Bij de vergelijking van de indirecte kosten die in </w:t>
      </w:r>
      <w:r w:rsidRPr="00D4425F">
        <w:rPr>
          <w:rFonts w:ascii="Times New Roman" w:hAnsi="Times New Roman"/>
          <w:noProof/>
          <w:sz w:val="24"/>
          <w:szCs w:val="24"/>
        </w:rPr>
        <w:t>2019</w:t>
      </w:r>
      <w:r>
        <w:rPr>
          <w:rFonts w:ascii="Times New Roman" w:hAnsi="Times New Roman"/>
          <w:noProof/>
          <w:sz w:val="24"/>
          <w:szCs w:val="24"/>
        </w:rPr>
        <w:t xml:space="preserve"> en </w:t>
      </w:r>
      <w:r w:rsidRPr="00D4425F">
        <w:rPr>
          <w:rFonts w:ascii="Times New Roman" w:hAnsi="Times New Roman"/>
          <w:noProof/>
          <w:sz w:val="24"/>
          <w:szCs w:val="24"/>
        </w:rPr>
        <w:t>2018</w:t>
      </w:r>
      <w:r>
        <w:rPr>
          <w:rFonts w:ascii="Times New Roman" w:hAnsi="Times New Roman"/>
          <w:noProof/>
          <w:sz w:val="24"/>
          <w:szCs w:val="24"/>
        </w:rPr>
        <w:t xml:space="preserve"> zijn gemaakt (compensatie uitbetaald in respectievelijk </w:t>
      </w:r>
      <w:r w:rsidRPr="00D4425F">
        <w:rPr>
          <w:rFonts w:ascii="Times New Roman" w:hAnsi="Times New Roman"/>
          <w:noProof/>
          <w:sz w:val="24"/>
          <w:szCs w:val="24"/>
        </w:rPr>
        <w:t>2020</w:t>
      </w:r>
      <w:r>
        <w:rPr>
          <w:rFonts w:ascii="Times New Roman" w:hAnsi="Times New Roman"/>
          <w:noProof/>
          <w:sz w:val="24"/>
          <w:szCs w:val="24"/>
        </w:rPr>
        <w:t xml:space="preserve"> en </w:t>
      </w:r>
      <w:r w:rsidRPr="00D4425F">
        <w:rPr>
          <w:rFonts w:ascii="Times New Roman" w:hAnsi="Times New Roman"/>
          <w:noProof/>
          <w:sz w:val="24"/>
          <w:szCs w:val="24"/>
        </w:rPr>
        <w:t>2019</w:t>
      </w:r>
      <w:r>
        <w:rPr>
          <w:rFonts w:ascii="Times New Roman" w:hAnsi="Times New Roman"/>
          <w:noProof/>
          <w:sz w:val="24"/>
          <w:szCs w:val="24"/>
        </w:rPr>
        <w:t>), is het dus belangrijk rekening te houden met het feit dat voor de vaststelling van de compensatiebedragen toekomstige koolstofprijzen worden gebruikt. Aangezien de gemiddelde prijs in jaar t-</w:t>
      </w:r>
      <w:r w:rsidRPr="00D4425F">
        <w:rPr>
          <w:rFonts w:ascii="Times New Roman" w:hAnsi="Times New Roman"/>
          <w:noProof/>
          <w:sz w:val="24"/>
          <w:szCs w:val="24"/>
        </w:rPr>
        <w:t>1</w:t>
      </w:r>
      <w:r>
        <w:rPr>
          <w:rFonts w:ascii="Times New Roman" w:hAnsi="Times New Roman"/>
          <w:noProof/>
          <w:sz w:val="24"/>
          <w:szCs w:val="24"/>
        </w:rPr>
        <w:t xml:space="preserve"> sterker steeg dan de veilingopbrengsten, nam ook het relatieve aandeel van de compensatie ten opzichte van de veilingopbrengsten toe.</w:t>
      </w:r>
    </w:p>
    <w:p w14:paraId="03A3708A" w14:textId="598D310A" w:rsidR="003A77F9" w:rsidRPr="00DA11F1" w:rsidRDefault="00700047" w:rsidP="008E33DB">
      <w:pPr>
        <w:jc w:val="both"/>
        <w:rPr>
          <w:rFonts w:ascii="Times New Roman" w:eastAsia="Times New Roman" w:hAnsi="Times New Roman"/>
          <w:noProof/>
          <w:sz w:val="24"/>
          <w:szCs w:val="24"/>
        </w:rPr>
      </w:pPr>
      <w:r>
        <w:rPr>
          <w:rFonts w:ascii="Times New Roman" w:hAnsi="Times New Roman"/>
          <w:noProof/>
          <w:sz w:val="24"/>
          <w:szCs w:val="24"/>
        </w:rPr>
        <w:t xml:space="preserve">De daling van de veilingopbrengsten is de belangrijkste reden die door de lidstaten wordt aangevoerd om het hogere aandeel van aan de compensatie van indirecte koolstofkosten bestede veilingopbrengsten in </w:t>
      </w:r>
      <w:r w:rsidRPr="00D4425F">
        <w:rPr>
          <w:rFonts w:ascii="Times New Roman" w:hAnsi="Times New Roman"/>
          <w:noProof/>
          <w:sz w:val="24"/>
          <w:szCs w:val="24"/>
        </w:rPr>
        <w:t>2020</w:t>
      </w:r>
      <w:r>
        <w:rPr>
          <w:rFonts w:ascii="Times New Roman" w:hAnsi="Times New Roman"/>
          <w:noProof/>
          <w:sz w:val="24"/>
          <w:szCs w:val="24"/>
        </w:rPr>
        <w:t xml:space="preserve"> te verklaren. Uit een vergelijking van de veilingopbrengsten van de tien lidstaten die zowel in </w:t>
      </w:r>
      <w:r w:rsidRPr="00D4425F">
        <w:rPr>
          <w:rFonts w:ascii="Times New Roman" w:hAnsi="Times New Roman"/>
          <w:noProof/>
          <w:sz w:val="24"/>
          <w:szCs w:val="24"/>
        </w:rPr>
        <w:t>2019</w:t>
      </w:r>
      <w:r>
        <w:rPr>
          <w:rFonts w:ascii="Times New Roman" w:hAnsi="Times New Roman"/>
          <w:noProof/>
          <w:sz w:val="24"/>
          <w:szCs w:val="24"/>
        </w:rPr>
        <w:t xml:space="preserve"> als in </w:t>
      </w:r>
      <w:r w:rsidRPr="00D4425F">
        <w:rPr>
          <w:rFonts w:ascii="Times New Roman" w:hAnsi="Times New Roman"/>
          <w:noProof/>
          <w:sz w:val="24"/>
          <w:szCs w:val="24"/>
        </w:rPr>
        <w:t>2020</w:t>
      </w:r>
      <w:r>
        <w:rPr>
          <w:rFonts w:ascii="Times New Roman" w:hAnsi="Times New Roman"/>
          <w:noProof/>
          <w:sz w:val="24"/>
          <w:szCs w:val="24"/>
        </w:rPr>
        <w:t xml:space="preserve"> compensatie hebben toegekend (voor de kosten in respectievelijk </w:t>
      </w:r>
      <w:r w:rsidRPr="00D4425F">
        <w:rPr>
          <w:rFonts w:ascii="Times New Roman" w:hAnsi="Times New Roman"/>
          <w:noProof/>
          <w:sz w:val="24"/>
          <w:szCs w:val="24"/>
        </w:rPr>
        <w:t>2018</w:t>
      </w:r>
      <w:r>
        <w:rPr>
          <w:rFonts w:ascii="Times New Roman" w:hAnsi="Times New Roman"/>
          <w:noProof/>
          <w:sz w:val="24"/>
          <w:szCs w:val="24"/>
        </w:rPr>
        <w:t xml:space="preserve"> en </w:t>
      </w:r>
      <w:r w:rsidRPr="00D4425F">
        <w:rPr>
          <w:rFonts w:ascii="Times New Roman" w:hAnsi="Times New Roman"/>
          <w:noProof/>
          <w:sz w:val="24"/>
          <w:szCs w:val="24"/>
        </w:rPr>
        <w:t>2019</w:t>
      </w:r>
      <w:r>
        <w:rPr>
          <w:rFonts w:ascii="Times New Roman" w:hAnsi="Times New Roman"/>
          <w:noProof/>
          <w:sz w:val="24"/>
          <w:szCs w:val="24"/>
        </w:rPr>
        <w:t xml:space="preserve">), blijkt dat de opbrengsten met ongeveer </w:t>
      </w:r>
      <w:r w:rsidRPr="00D4425F">
        <w:rPr>
          <w:rFonts w:ascii="Times New Roman" w:hAnsi="Times New Roman"/>
          <w:noProof/>
          <w:sz w:val="24"/>
          <w:szCs w:val="24"/>
        </w:rPr>
        <w:t>4</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 zijn gedaald als gevolg van de afname van de veilinghoeveelheden door de marktstabiliteitsreserve. Een andere reden is dat in sommige lidstaten sprake is van een relatief groot aandeel elektriciteitsintensieve industrieën, en dus van een relatief hoog bedrag aan compensatie van indirecte kosten. Aangezien deze industrieën geen directe CO</w:t>
      </w:r>
      <w:r w:rsidRPr="00D4425F">
        <w:rPr>
          <w:rFonts w:ascii="Times New Roman" w:hAnsi="Times New Roman"/>
          <w:noProof/>
          <w:sz w:val="24"/>
          <w:szCs w:val="24"/>
          <w:vertAlign w:val="subscript"/>
        </w:rPr>
        <w:t>2</w:t>
      </w:r>
      <w:r>
        <w:rPr>
          <w:rFonts w:ascii="Times New Roman" w:hAnsi="Times New Roman"/>
          <w:noProof/>
          <w:sz w:val="24"/>
          <w:szCs w:val="24"/>
        </w:rPr>
        <w:t>-emittenten zijn, spelen zij geen rol bij de verdeling van de veilingopbrengsten tussen de lidstaten, die gebaseerd is op historische emissies. Tot slot wordt in lidstaten waar de uitstoot altijd al gering is als gevolg van een relatief koolstofarme energiemix, vaak een relatief groot aandeel van de veilingopbrengsten gebruikt voor de compensatie van indir</w:t>
      </w:r>
      <w:r w:rsidR="00C0162E">
        <w:rPr>
          <w:rFonts w:ascii="Times New Roman" w:hAnsi="Times New Roman"/>
          <w:noProof/>
          <w:sz w:val="24"/>
          <w:szCs w:val="24"/>
        </w:rPr>
        <w:t>ecte kosten.</w:t>
      </w:r>
    </w:p>
    <w:p w14:paraId="3E135739" w14:textId="177CA044" w:rsidR="00700047" w:rsidRPr="00DA11F1" w:rsidRDefault="003A77F9" w:rsidP="008E33DB">
      <w:pPr>
        <w:jc w:val="both"/>
        <w:rPr>
          <w:rFonts w:ascii="Times New Roman" w:eastAsia="Times New Roman" w:hAnsi="Times New Roman"/>
          <w:noProof/>
          <w:sz w:val="24"/>
          <w:szCs w:val="24"/>
        </w:rPr>
      </w:pPr>
      <w:r>
        <w:rPr>
          <w:rFonts w:ascii="Times New Roman" w:hAnsi="Times New Roman"/>
          <w:noProof/>
          <w:sz w:val="24"/>
          <w:szCs w:val="24"/>
        </w:rPr>
        <w:t xml:space="preserve">Derhalve kan worden geconcludeerd dat de hogere compensatiebedragen in </w:t>
      </w:r>
      <w:r w:rsidRPr="00D4425F">
        <w:rPr>
          <w:rFonts w:ascii="Times New Roman" w:hAnsi="Times New Roman"/>
          <w:noProof/>
          <w:sz w:val="24"/>
          <w:szCs w:val="24"/>
        </w:rPr>
        <w:t>2020</w:t>
      </w:r>
      <w:r>
        <w:rPr>
          <w:rFonts w:ascii="Times New Roman" w:hAnsi="Times New Roman"/>
          <w:noProof/>
          <w:sz w:val="24"/>
          <w:szCs w:val="24"/>
        </w:rPr>
        <w:t xml:space="preserve"> verband houden met stijgende koolstofprijzen. Het feit dat de compensatieaandelen zijn toegenomen, kan worden verklaard door het gebruik van de termijnkoolstofprijs voor het bepalen van de compensatie en door het feit dat de veilingopbrengsten dalen als gevolg van de afname van de veilinghoeveelheden door de marktstabiliteitsreserve.</w:t>
      </w:r>
    </w:p>
    <w:p w14:paraId="6BEBB3D3" w14:textId="3BA6B121" w:rsidR="00131369" w:rsidRPr="00DA11F1" w:rsidRDefault="00FA7EBD" w:rsidP="008E33DB">
      <w:pPr>
        <w:pStyle w:val="Heading3"/>
        <w:spacing w:before="0" w:after="200"/>
        <w:ind w:left="720"/>
        <w:rPr>
          <w:noProof/>
        </w:rPr>
      </w:pPr>
      <w:bookmarkStart w:id="44" w:name="_Toc490850431"/>
      <w:bookmarkStart w:id="45" w:name="_Toc519009682"/>
      <w:bookmarkStart w:id="46" w:name="_Toc89423474"/>
      <w:bookmarkEnd w:id="41"/>
      <w:bookmarkEnd w:id="42"/>
      <w:r w:rsidRPr="00D4425F">
        <w:rPr>
          <w:i/>
          <w:noProof/>
        </w:rPr>
        <w:t>3</w:t>
      </w:r>
      <w:r>
        <w:rPr>
          <w:i/>
          <w:noProof/>
        </w:rPr>
        <w:t>.</w:t>
      </w:r>
      <w:r w:rsidRPr="00D4425F">
        <w:rPr>
          <w:i/>
          <w:noProof/>
        </w:rPr>
        <w:t>1</w:t>
      </w:r>
      <w:r>
        <w:rPr>
          <w:i/>
          <w:noProof/>
        </w:rPr>
        <w:t>.</w:t>
      </w:r>
      <w:r w:rsidRPr="00D4425F">
        <w:rPr>
          <w:i/>
          <w:noProof/>
        </w:rPr>
        <w:t>9</w:t>
      </w:r>
      <w:r>
        <w:rPr>
          <w:i/>
          <w:noProof/>
        </w:rPr>
        <w:t>. Internationale kredieten</w:t>
      </w:r>
      <w:bookmarkEnd w:id="44"/>
      <w:bookmarkEnd w:id="45"/>
      <w:bookmarkEnd w:id="46"/>
    </w:p>
    <w:p w14:paraId="097E4DB3" w14:textId="1920D617" w:rsidR="008645A8" w:rsidRPr="00DA11F1" w:rsidRDefault="008645A8" w:rsidP="008E33DB">
      <w:pPr>
        <w:jc w:val="both"/>
        <w:rPr>
          <w:rFonts w:ascii="Times New Roman" w:hAnsi="Times New Roman"/>
          <w:noProof/>
          <w:sz w:val="24"/>
          <w:szCs w:val="24"/>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konden deelnemers aan het EU-ETS gebruikmaken van internationale kredieten uit het mechanisme voor schone ontwikkeling en de gezamenlijke uitvoering van het Protocol van Kyoto om aan een deel van hun verplichting in het kader van het EU-ETS te voldoen. Deze kredieten zijn financiële instrumenten die gelijkgesteld moeten worden met een ton CO</w:t>
      </w:r>
      <w:r w:rsidRPr="00D4425F">
        <w:rPr>
          <w:rFonts w:ascii="Times New Roman" w:hAnsi="Times New Roman"/>
          <w:noProof/>
          <w:sz w:val="24"/>
          <w:szCs w:val="24"/>
          <w:vertAlign w:val="subscript"/>
        </w:rPr>
        <w:t>2</w:t>
      </w:r>
      <w:r>
        <w:rPr>
          <w:rFonts w:ascii="Times New Roman" w:hAnsi="Times New Roman"/>
          <w:noProof/>
          <w:sz w:val="24"/>
          <w:szCs w:val="24"/>
        </w:rPr>
        <w:t xml:space="preserve"> die via een project voor emissiereductie uit de atmosfeer wordt gehaald of verminderd. Deelnemers konden tot het einde van de nalevingscyclus </w:t>
      </w:r>
      <w:r w:rsidRPr="00D4425F">
        <w:rPr>
          <w:rFonts w:ascii="Times New Roman" w:hAnsi="Times New Roman"/>
          <w:noProof/>
          <w:sz w:val="24"/>
          <w:szCs w:val="24"/>
        </w:rPr>
        <w:t>2020</w:t>
      </w:r>
      <w:r>
        <w:rPr>
          <w:rFonts w:ascii="Times New Roman" w:hAnsi="Times New Roman"/>
          <w:noProof/>
          <w:sz w:val="24"/>
          <w:szCs w:val="24"/>
        </w:rPr>
        <w:t xml:space="preserve"> gebruikmaken van internationale kredieten</w:t>
      </w:r>
      <w:r w:rsidRPr="00DA11F1">
        <w:rPr>
          <w:rStyle w:val="FootnoteReference"/>
          <w:rFonts w:ascii="Times New Roman" w:hAnsi="Times New Roman"/>
          <w:noProof/>
          <w:sz w:val="24"/>
          <w:szCs w:val="24"/>
        </w:rPr>
        <w:footnoteReference w:id="63"/>
      </w:r>
      <w:r>
        <w:rPr>
          <w:rFonts w:ascii="Times New Roman" w:hAnsi="Times New Roman"/>
          <w:noProof/>
          <w:sz w:val="24"/>
          <w:szCs w:val="24"/>
        </w:rPr>
        <w:t>, waarbij aan kwalitatieve en kwantitatieve normen moest worden voldaan. Kredieten werden niet rechtstreeks ingeleverd, maar werden ingeruild voor EU-ETS-emissierechten.</w:t>
      </w:r>
    </w:p>
    <w:p w14:paraId="127C10E9" w14:textId="0132BB15" w:rsidR="008645A8" w:rsidRPr="00DA11F1" w:rsidRDefault="008645A8" w:rsidP="008E33DB">
      <w:pPr>
        <w:jc w:val="both"/>
        <w:rPr>
          <w:rFonts w:ascii="Times New Roman" w:hAnsi="Times New Roman"/>
          <w:noProof/>
          <w:sz w:val="24"/>
          <w:szCs w:val="24"/>
        </w:rPr>
      </w:pPr>
      <w:r>
        <w:rPr>
          <w:rFonts w:ascii="Times New Roman" w:hAnsi="Times New Roman"/>
          <w:noProof/>
          <w:sz w:val="24"/>
          <w:szCs w:val="24"/>
        </w:rPr>
        <w:t>Aan het begin van fase </w:t>
      </w:r>
      <w:r w:rsidRPr="00D4425F">
        <w:rPr>
          <w:rFonts w:ascii="Times New Roman" w:hAnsi="Times New Roman"/>
          <w:noProof/>
          <w:sz w:val="24"/>
          <w:szCs w:val="24"/>
        </w:rPr>
        <w:t>3</w:t>
      </w:r>
      <w:r>
        <w:rPr>
          <w:rFonts w:ascii="Times New Roman" w:hAnsi="Times New Roman"/>
          <w:noProof/>
          <w:sz w:val="24"/>
          <w:szCs w:val="24"/>
        </w:rPr>
        <w:t xml:space="preserve"> raamden marktanalisten de in de fasen </w:t>
      </w:r>
      <w:r w:rsidRPr="00D4425F">
        <w:rPr>
          <w:rFonts w:ascii="Times New Roman" w:hAnsi="Times New Roman"/>
          <w:noProof/>
          <w:sz w:val="24"/>
          <w:szCs w:val="24"/>
        </w:rPr>
        <w:t>2</w:t>
      </w:r>
      <w:r>
        <w:rPr>
          <w:rFonts w:ascii="Times New Roman" w:hAnsi="Times New Roman"/>
          <w:noProof/>
          <w:sz w:val="24"/>
          <w:szCs w:val="24"/>
        </w:rPr>
        <w:t xml:space="preserve"> en </w:t>
      </w:r>
      <w:r w:rsidRPr="00D4425F">
        <w:rPr>
          <w:rFonts w:ascii="Times New Roman" w:hAnsi="Times New Roman"/>
          <w:noProof/>
          <w:sz w:val="24"/>
          <w:szCs w:val="24"/>
        </w:rPr>
        <w:t>3</w:t>
      </w:r>
      <w:r>
        <w:rPr>
          <w:rFonts w:ascii="Times New Roman" w:hAnsi="Times New Roman"/>
          <w:noProof/>
          <w:sz w:val="24"/>
          <w:szCs w:val="24"/>
        </w:rPr>
        <w:t xml:space="preserve"> (</w:t>
      </w:r>
      <w:r w:rsidRPr="00D4425F">
        <w:rPr>
          <w:rFonts w:ascii="Times New Roman" w:hAnsi="Times New Roman"/>
          <w:noProof/>
          <w:sz w:val="24"/>
          <w:szCs w:val="24"/>
        </w:rPr>
        <w:t>2008</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gebruikte hoeveelheid internationale kredietrechten op ongeveer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6</w:t>
      </w:r>
      <w:r>
        <w:rPr>
          <w:rFonts w:ascii="Times New Roman" w:hAnsi="Times New Roman"/>
          <w:noProof/>
          <w:sz w:val="24"/>
          <w:szCs w:val="24"/>
        </w:rPr>
        <w:t xml:space="preserve"> miljard kredieten. </w:t>
      </w:r>
      <w:r>
        <w:rPr>
          <w:rFonts w:ascii="Times New Roman" w:hAnsi="Times New Roman"/>
          <w:noProof/>
          <w:szCs w:val="24"/>
        </w:rPr>
        <w:t xml:space="preserve">Op </w:t>
      </w:r>
      <w:r w:rsidRPr="00D4425F">
        <w:rPr>
          <w:rFonts w:ascii="Times New Roman" w:hAnsi="Times New Roman"/>
          <w:noProof/>
          <w:szCs w:val="24"/>
        </w:rPr>
        <w:t>1</w:t>
      </w:r>
      <w:r>
        <w:rPr>
          <w:rFonts w:ascii="Times New Roman" w:hAnsi="Times New Roman"/>
          <w:noProof/>
          <w:szCs w:val="24"/>
        </w:rPr>
        <w:t xml:space="preserve"> mei </w:t>
      </w:r>
      <w:r w:rsidRPr="00D4425F">
        <w:rPr>
          <w:rFonts w:ascii="Times New Roman" w:hAnsi="Times New Roman"/>
          <w:noProof/>
          <w:szCs w:val="24"/>
        </w:rPr>
        <w:t>2021</w:t>
      </w:r>
      <w:r w:rsidRPr="00DA11F1">
        <w:rPr>
          <w:rStyle w:val="FootnoteReference"/>
          <w:rFonts w:ascii="Times New Roman" w:hAnsi="Times New Roman"/>
          <w:noProof/>
          <w:szCs w:val="24"/>
        </w:rPr>
        <w:footnoteReference w:id="64"/>
      </w:r>
      <w:r>
        <w:rPr>
          <w:rFonts w:ascii="Times New Roman" w:hAnsi="Times New Roman"/>
          <w:noProof/>
          <w:szCs w:val="24"/>
        </w:rPr>
        <w:t xml:space="preserve"> bedroeg het totale aantal internationale kredieten dat gebruikt of ingeruild is ongeveer </w:t>
      </w:r>
      <w:r w:rsidRPr="00D4425F">
        <w:rPr>
          <w:rFonts w:ascii="Times New Roman" w:hAnsi="Times New Roman"/>
          <w:noProof/>
          <w:szCs w:val="24"/>
        </w:rPr>
        <w:t>1</w:t>
      </w:r>
      <w:r>
        <w:rPr>
          <w:rFonts w:ascii="Times New Roman" w:hAnsi="Times New Roman"/>
          <w:noProof/>
          <w:szCs w:val="24"/>
        </w:rPr>
        <w:t>,</w:t>
      </w:r>
      <w:r w:rsidRPr="00D4425F">
        <w:rPr>
          <w:rFonts w:ascii="Times New Roman" w:hAnsi="Times New Roman"/>
          <w:noProof/>
          <w:szCs w:val="24"/>
        </w:rPr>
        <w:t>57</w:t>
      </w:r>
      <w:r>
        <w:rPr>
          <w:rFonts w:ascii="Times New Roman" w:hAnsi="Times New Roman"/>
          <w:noProof/>
          <w:szCs w:val="24"/>
        </w:rPr>
        <w:t xml:space="preserve"> miljard, bijna </w:t>
      </w:r>
      <w:r w:rsidRPr="00D4425F">
        <w:rPr>
          <w:rFonts w:ascii="Times New Roman" w:hAnsi="Times New Roman"/>
          <w:noProof/>
          <w:szCs w:val="24"/>
        </w:rPr>
        <w:t>98</w:t>
      </w:r>
      <w:r>
        <w:rPr>
          <w:rFonts w:ascii="Times New Roman" w:hAnsi="Times New Roman"/>
          <w:noProof/>
          <w:szCs w:val="24"/>
        </w:rPr>
        <w:t> % van het geraamde maximale aantal.</w:t>
      </w:r>
      <w:r>
        <w:rPr>
          <w:rFonts w:ascii="Times New Roman" w:hAnsi="Times New Roman"/>
          <w:noProof/>
          <w:sz w:val="24"/>
          <w:szCs w:val="24"/>
        </w:rPr>
        <w:t xml:space="preserve"> Het totale aantal in fase </w:t>
      </w:r>
      <w:r w:rsidRPr="00D4425F">
        <w:rPr>
          <w:rFonts w:ascii="Times New Roman" w:hAnsi="Times New Roman"/>
          <w:noProof/>
          <w:sz w:val="24"/>
          <w:szCs w:val="24"/>
        </w:rPr>
        <w:t>3</w:t>
      </w:r>
      <w:r>
        <w:rPr>
          <w:rFonts w:ascii="Times New Roman" w:hAnsi="Times New Roman"/>
          <w:noProof/>
          <w:sz w:val="24"/>
          <w:szCs w:val="24"/>
        </w:rPr>
        <w:t xml:space="preserve"> ingeruilde internationale kredieten bedroeg slechts ongeveer </w:t>
      </w:r>
      <w:r w:rsidRPr="00D4425F">
        <w:rPr>
          <w:rFonts w:ascii="Times New Roman" w:hAnsi="Times New Roman"/>
          <w:noProof/>
          <w:sz w:val="24"/>
          <w:szCs w:val="24"/>
        </w:rPr>
        <w:t>506</w:t>
      </w:r>
      <w:r w:rsidR="00C0162E">
        <w:rPr>
          <w:rFonts w:ascii="Times New Roman" w:hAnsi="Times New Roman"/>
          <w:noProof/>
          <w:sz w:val="24"/>
          <w:szCs w:val="24"/>
        </w:rPr>
        <w:t> miljoen.</w:t>
      </w:r>
    </w:p>
    <w:p w14:paraId="02D32DBB" w14:textId="0F0F87F4" w:rsidR="008645A8" w:rsidRPr="00DA11F1" w:rsidRDefault="008645A8" w:rsidP="008E33DB">
      <w:pPr>
        <w:jc w:val="both"/>
        <w:rPr>
          <w:rFonts w:ascii="Times New Roman" w:hAnsi="Times New Roman"/>
          <w:noProof/>
          <w:sz w:val="24"/>
          <w:szCs w:val="24"/>
        </w:rPr>
      </w:pPr>
      <w:r>
        <w:rPr>
          <w:rFonts w:ascii="Times New Roman" w:hAnsi="Times New Roman"/>
          <w:noProof/>
          <w:sz w:val="24"/>
          <w:szCs w:val="24"/>
        </w:rPr>
        <w:t>Zie voor een volledig overzicht van de ingeleverde en ingeruilde internationale kredieten de tabellen </w:t>
      </w:r>
      <w:r w:rsidRPr="00D4425F">
        <w:rPr>
          <w:rFonts w:ascii="Times New Roman" w:hAnsi="Times New Roman"/>
          <w:noProof/>
          <w:sz w:val="24"/>
          <w:szCs w:val="24"/>
        </w:rPr>
        <w:t>8</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w:t>
      </w:r>
      <w:r w:rsidRPr="00D4425F">
        <w:rPr>
          <w:rFonts w:ascii="Times New Roman" w:hAnsi="Times New Roman"/>
          <w:noProof/>
          <w:sz w:val="24"/>
          <w:szCs w:val="24"/>
        </w:rPr>
        <w:t>8</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xml:space="preserve"> en </w:t>
      </w:r>
      <w:r w:rsidRPr="00D4425F">
        <w:rPr>
          <w:rFonts w:ascii="Times New Roman" w:hAnsi="Times New Roman"/>
          <w:noProof/>
          <w:sz w:val="24"/>
          <w:szCs w:val="24"/>
        </w:rPr>
        <w:t>8</w:t>
      </w:r>
      <w:r>
        <w:rPr>
          <w:rFonts w:ascii="Times New Roman" w:hAnsi="Times New Roman"/>
          <w:noProof/>
          <w:sz w:val="24"/>
          <w:szCs w:val="24"/>
        </w:rPr>
        <w:t>.</w:t>
      </w:r>
      <w:r w:rsidRPr="00D4425F">
        <w:rPr>
          <w:rFonts w:ascii="Times New Roman" w:hAnsi="Times New Roman"/>
          <w:noProof/>
          <w:sz w:val="24"/>
          <w:szCs w:val="24"/>
        </w:rPr>
        <w:t>3</w:t>
      </w:r>
      <w:r>
        <w:rPr>
          <w:rFonts w:ascii="Times New Roman" w:hAnsi="Times New Roman"/>
          <w:noProof/>
          <w:sz w:val="24"/>
          <w:szCs w:val="24"/>
        </w:rPr>
        <w:t xml:space="preserve"> van aanhangsel </w:t>
      </w:r>
      <w:r w:rsidRPr="00D4425F">
        <w:rPr>
          <w:rFonts w:ascii="Times New Roman" w:hAnsi="Times New Roman"/>
          <w:noProof/>
          <w:sz w:val="24"/>
          <w:szCs w:val="24"/>
        </w:rPr>
        <w:t>8</w:t>
      </w:r>
      <w:r>
        <w:rPr>
          <w:rFonts w:ascii="Times New Roman" w:hAnsi="Times New Roman"/>
          <w:noProof/>
          <w:sz w:val="24"/>
          <w:szCs w:val="24"/>
        </w:rPr>
        <w:t xml:space="preserve"> van het werkdocument van de diensten van de Commissie bij dit verslag.</w:t>
      </w:r>
    </w:p>
    <w:p w14:paraId="71C6914D" w14:textId="1098E098" w:rsidR="00131369" w:rsidRPr="00DA11F1" w:rsidRDefault="00131369" w:rsidP="008E33DB">
      <w:pPr>
        <w:jc w:val="both"/>
        <w:rPr>
          <w:rFonts w:ascii="Times New Roman" w:hAnsi="Times New Roman"/>
          <w:noProof/>
          <w:sz w:val="24"/>
          <w:szCs w:val="24"/>
        </w:rPr>
      </w:pPr>
      <w:bookmarkStart w:id="47" w:name="_Toc490850432"/>
      <w:bookmarkStart w:id="48" w:name="_Toc519009683"/>
    </w:p>
    <w:p w14:paraId="30C7D51A" w14:textId="6049D023" w:rsidR="00131369" w:rsidRPr="00DA11F1" w:rsidRDefault="00E437B9" w:rsidP="008E33DB">
      <w:pPr>
        <w:jc w:val="both"/>
        <w:rPr>
          <w:rFonts w:ascii="Times New Roman" w:hAnsi="Times New Roman"/>
          <w:noProof/>
          <w:sz w:val="24"/>
          <w:szCs w:val="24"/>
        </w:rPr>
      </w:pPr>
      <w:r>
        <w:rPr>
          <w:rFonts w:ascii="Times New Roman" w:hAnsi="Times New Roman"/>
          <w:noProof/>
          <w:sz w:val="24"/>
          <w:szCs w:val="24"/>
        </w:rPr>
        <w:t>Overeenkomstig de EU-ETS-richtlijn mogen internationale kredieten me</w:t>
      </w:r>
      <w:r w:rsidR="00C0162E">
        <w:rPr>
          <w:rFonts w:ascii="Times New Roman" w:hAnsi="Times New Roman"/>
          <w:noProof/>
          <w:sz w:val="24"/>
          <w:szCs w:val="24"/>
        </w:rPr>
        <w:t>t ingang van de nalevingscyclus </w:t>
      </w:r>
      <w:r w:rsidRPr="00D4425F">
        <w:rPr>
          <w:rFonts w:ascii="Times New Roman" w:hAnsi="Times New Roman"/>
          <w:noProof/>
          <w:sz w:val="24"/>
          <w:szCs w:val="24"/>
        </w:rPr>
        <w:t>2021</w:t>
      </w:r>
      <w:r>
        <w:rPr>
          <w:rFonts w:ascii="Times New Roman" w:hAnsi="Times New Roman"/>
          <w:noProof/>
          <w:sz w:val="24"/>
          <w:szCs w:val="24"/>
        </w:rPr>
        <w:t xml:space="preserve"> niet meer worden gebruikt voor de naleving van het EU-ETS. Hierdoor wordt gewaarborgd dat de emissies in eigen land worden verminderd, waarbij de milieu-integriteit van het systeem wordt beschermd en overaanbod wordt ingeperkt, waardoor de kostenefficiëntie wordt behouden.</w:t>
      </w:r>
    </w:p>
    <w:p w14:paraId="52832B86" w14:textId="5FA18A49" w:rsidR="00131369" w:rsidRPr="00DA11F1" w:rsidRDefault="009B1524" w:rsidP="008E33DB">
      <w:pPr>
        <w:pStyle w:val="Heading2"/>
        <w:spacing w:before="0" w:after="200"/>
        <w:rPr>
          <w:i w:val="0"/>
          <w:noProof/>
        </w:rPr>
      </w:pPr>
      <w:bookmarkStart w:id="49" w:name="_Toc89423475"/>
      <w:r w:rsidRPr="00D4425F">
        <w:rPr>
          <w:i w:val="0"/>
          <w:noProof/>
        </w:rPr>
        <w:t>3</w:t>
      </w:r>
      <w:r>
        <w:rPr>
          <w:i w:val="0"/>
          <w:noProof/>
        </w:rPr>
        <w:t>.</w:t>
      </w:r>
      <w:r w:rsidRPr="00D4425F">
        <w:rPr>
          <w:i w:val="0"/>
          <w:noProof/>
        </w:rPr>
        <w:t>2</w:t>
      </w:r>
      <w:r>
        <w:rPr>
          <w:i w:val="0"/>
          <w:noProof/>
        </w:rPr>
        <w:t>. Vraag: emissierechten die uit de omloop worden gehaald</w:t>
      </w:r>
      <w:bookmarkEnd w:id="47"/>
      <w:bookmarkEnd w:id="48"/>
      <w:bookmarkEnd w:id="49"/>
    </w:p>
    <w:p w14:paraId="66A403B0" w14:textId="1CAB1E26" w:rsidR="00FC6D24" w:rsidRPr="00DA11F1" w:rsidRDefault="00FC6D24" w:rsidP="008E33DB">
      <w:pPr>
        <w:pStyle w:val="Heading3"/>
        <w:spacing w:before="0" w:after="200"/>
        <w:ind w:left="720"/>
        <w:rPr>
          <w:i/>
          <w:noProof/>
        </w:rPr>
      </w:pPr>
      <w:bookmarkStart w:id="50" w:name="_Toc89423476"/>
      <w:bookmarkStart w:id="51" w:name="_Ref85619942"/>
      <w:bookmarkStart w:id="52" w:name="_Ref85619948"/>
      <w:r w:rsidRPr="00D4425F">
        <w:rPr>
          <w:i/>
          <w:noProof/>
        </w:rPr>
        <w:t>3</w:t>
      </w:r>
      <w:r>
        <w:rPr>
          <w:i/>
          <w:noProof/>
        </w:rPr>
        <w:t>.</w:t>
      </w:r>
      <w:r w:rsidRPr="00D4425F">
        <w:rPr>
          <w:i/>
          <w:noProof/>
        </w:rPr>
        <w:t>2</w:t>
      </w:r>
      <w:r>
        <w:rPr>
          <w:i/>
          <w:noProof/>
        </w:rPr>
        <w:t>.</w:t>
      </w:r>
      <w:r w:rsidRPr="00D4425F">
        <w:rPr>
          <w:i/>
          <w:noProof/>
        </w:rPr>
        <w:t>1</w:t>
      </w:r>
      <w:r>
        <w:rPr>
          <w:i/>
          <w:noProof/>
        </w:rPr>
        <w:t>. Emissiereducties</w:t>
      </w:r>
      <w:bookmarkEnd w:id="50"/>
      <w:r>
        <w:rPr>
          <w:i/>
          <w:noProof/>
        </w:rPr>
        <w:t xml:space="preserve"> </w:t>
      </w:r>
      <w:bookmarkEnd w:id="51"/>
      <w:bookmarkEnd w:id="52"/>
    </w:p>
    <w:p w14:paraId="4FEC2D21" w14:textId="09D042AD" w:rsidR="0079431A" w:rsidRPr="00DA11F1" w:rsidRDefault="00CA4A70" w:rsidP="008E33DB">
      <w:pPr>
        <w:jc w:val="both"/>
        <w:rPr>
          <w:rFonts w:ascii="Times New Roman" w:hAnsi="Times New Roman"/>
          <w:noProof/>
          <w:sz w:val="24"/>
          <w:szCs w:val="24"/>
        </w:rPr>
      </w:pPr>
      <w:r>
        <w:rPr>
          <w:rFonts w:ascii="Times New Roman" w:hAnsi="Times New Roman"/>
          <w:noProof/>
          <w:sz w:val="24"/>
          <w:szCs w:val="24"/>
        </w:rPr>
        <w:t>Sinds het begin van fase </w:t>
      </w:r>
      <w:r w:rsidRPr="00D4425F">
        <w:rPr>
          <w:rFonts w:ascii="Times New Roman" w:hAnsi="Times New Roman"/>
          <w:noProof/>
          <w:sz w:val="24"/>
          <w:szCs w:val="24"/>
        </w:rPr>
        <w:t>3</w:t>
      </w:r>
      <w:r>
        <w:rPr>
          <w:rFonts w:ascii="Times New Roman" w:hAnsi="Times New Roman"/>
          <w:noProof/>
          <w:sz w:val="24"/>
          <w:szCs w:val="24"/>
        </w:rPr>
        <w:t xml:space="preserve"> in </w:t>
      </w:r>
      <w:r w:rsidRPr="00D4425F">
        <w:rPr>
          <w:rFonts w:ascii="Times New Roman" w:hAnsi="Times New Roman"/>
          <w:noProof/>
          <w:sz w:val="24"/>
          <w:szCs w:val="24"/>
        </w:rPr>
        <w:t>2013</w:t>
      </w:r>
      <w:r>
        <w:rPr>
          <w:rFonts w:ascii="Times New Roman" w:hAnsi="Times New Roman"/>
          <w:noProof/>
          <w:sz w:val="24"/>
          <w:szCs w:val="24"/>
        </w:rPr>
        <w:t xml:space="preserve"> is de uitstoot van onder het EU-ETS vallende vaste installaties (elektriciteitscentrales en productiefaciliteiten) met bijna </w:t>
      </w:r>
      <w:r w:rsidRPr="00D4425F">
        <w:rPr>
          <w:rFonts w:ascii="Times New Roman" w:hAnsi="Times New Roman"/>
          <w:noProof/>
          <w:sz w:val="24"/>
          <w:szCs w:val="24"/>
        </w:rPr>
        <w:t>29</w:t>
      </w:r>
      <w:r>
        <w:rPr>
          <w:rFonts w:ascii="Times New Roman" w:hAnsi="Times New Roman"/>
          <w:noProof/>
          <w:sz w:val="24"/>
          <w:szCs w:val="24"/>
        </w:rPr>
        <w:t xml:space="preserve"> % gedaald, wat heeft bijgedragen tot de algemene daling van ongeveer </w:t>
      </w:r>
      <w:r w:rsidRPr="00D4425F">
        <w:rPr>
          <w:rFonts w:ascii="Times New Roman" w:hAnsi="Times New Roman"/>
          <w:noProof/>
          <w:sz w:val="24"/>
          <w:szCs w:val="24"/>
        </w:rPr>
        <w:t>43</w:t>
      </w:r>
      <w:r>
        <w:rPr>
          <w:rFonts w:ascii="Times New Roman" w:hAnsi="Times New Roman"/>
          <w:noProof/>
          <w:sz w:val="24"/>
          <w:szCs w:val="24"/>
        </w:rPr>
        <w:t> % sinds de invoering van het systeem in </w:t>
      </w:r>
      <w:r w:rsidRPr="00D4425F">
        <w:rPr>
          <w:rFonts w:ascii="Times New Roman" w:hAnsi="Times New Roman"/>
          <w:noProof/>
          <w:sz w:val="24"/>
          <w:szCs w:val="24"/>
        </w:rPr>
        <w:t>2005</w:t>
      </w:r>
      <w:r>
        <w:rPr>
          <w:rFonts w:ascii="Times New Roman" w:hAnsi="Times New Roman"/>
          <w:noProof/>
          <w:sz w:val="24"/>
          <w:szCs w:val="24"/>
        </w:rPr>
        <w:t>.</w:t>
      </w:r>
    </w:p>
    <w:p w14:paraId="6F50D1FA" w14:textId="3C9D20B3" w:rsidR="004A71F9" w:rsidRPr="00DA11F1" w:rsidRDefault="00F66898" w:rsidP="008E33DB">
      <w:pPr>
        <w:jc w:val="both"/>
        <w:rPr>
          <w:rFonts w:ascii="Times New Roman" w:hAnsi="Times New Roman"/>
          <w:noProof/>
          <w:sz w:val="24"/>
          <w:szCs w:val="24"/>
        </w:rPr>
      </w:pPr>
      <w:r>
        <w:rPr>
          <w:rFonts w:ascii="Times New Roman" w:hAnsi="Times New Roman"/>
          <w:noProof/>
          <w:sz w:val="24"/>
          <w:szCs w:val="24"/>
        </w:rPr>
        <w:t xml:space="preserve">Op basis van informatie uit het EU-register is vastgesteld dat de geverifieerde emissies van vaste installaties in </w:t>
      </w:r>
      <w:r w:rsidRPr="00D4425F">
        <w:rPr>
          <w:rFonts w:ascii="Times New Roman" w:hAnsi="Times New Roman"/>
          <w:noProof/>
          <w:sz w:val="24"/>
          <w:szCs w:val="24"/>
        </w:rPr>
        <w:t>2020</w:t>
      </w:r>
      <w:r>
        <w:rPr>
          <w:rFonts w:ascii="Times New Roman" w:hAnsi="Times New Roman"/>
          <w:noProof/>
          <w:sz w:val="24"/>
          <w:szCs w:val="24"/>
        </w:rPr>
        <w:t xml:space="preserve">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355</w:t>
      </w:r>
      <w:r w:rsidR="009755A3">
        <w:rPr>
          <w:rFonts w:ascii="Times New Roman" w:hAnsi="Times New Roman"/>
          <w:noProof/>
          <w:sz w:val="24"/>
          <w:szCs w:val="24"/>
        </w:rPr>
        <w:t> miljoen </w:t>
      </w:r>
      <w:r>
        <w:rPr>
          <w:rFonts w:ascii="Times New Roman" w:hAnsi="Times New Roman"/>
          <w:noProof/>
          <w:sz w:val="24"/>
          <w:szCs w:val="24"/>
        </w:rPr>
        <w:t>ton CO</w:t>
      </w:r>
      <w:r w:rsidRPr="00D4425F">
        <w:rPr>
          <w:rFonts w:ascii="Times New Roman" w:hAnsi="Times New Roman"/>
          <w:noProof/>
          <w:sz w:val="24"/>
          <w:szCs w:val="24"/>
          <w:vertAlign w:val="subscript"/>
        </w:rPr>
        <w:t>2</w:t>
      </w:r>
      <w:r>
        <w:rPr>
          <w:rFonts w:ascii="Times New Roman" w:hAnsi="Times New Roman"/>
          <w:noProof/>
          <w:sz w:val="24"/>
          <w:szCs w:val="24"/>
        </w:rPr>
        <w:t xml:space="preserve">-equivalenten bedroegen, een daling van </w:t>
      </w:r>
      <w:r w:rsidRPr="00D4425F">
        <w:rPr>
          <w:rFonts w:ascii="Times New Roman" w:hAnsi="Times New Roman"/>
          <w:noProof/>
          <w:sz w:val="24"/>
          <w:szCs w:val="24"/>
        </w:rPr>
        <w:t>11</w:t>
      </w:r>
      <w:r>
        <w:rPr>
          <w:rFonts w:ascii="Times New Roman" w:hAnsi="Times New Roman"/>
          <w:noProof/>
          <w:sz w:val="24"/>
          <w:szCs w:val="24"/>
        </w:rPr>
        <w:t>,</w:t>
      </w:r>
      <w:r w:rsidRPr="00D4425F">
        <w:rPr>
          <w:rFonts w:ascii="Times New Roman" w:hAnsi="Times New Roman"/>
          <w:noProof/>
          <w:sz w:val="24"/>
          <w:szCs w:val="24"/>
        </w:rPr>
        <w:t>4</w:t>
      </w:r>
      <w:r>
        <w:rPr>
          <w:rFonts w:ascii="Times New Roman" w:hAnsi="Times New Roman"/>
          <w:noProof/>
          <w:sz w:val="24"/>
          <w:szCs w:val="24"/>
        </w:rPr>
        <w:t xml:space="preserve"> % ten opzichte van </w:t>
      </w:r>
      <w:r w:rsidRPr="00D4425F">
        <w:rPr>
          <w:rFonts w:ascii="Times New Roman" w:hAnsi="Times New Roman"/>
          <w:noProof/>
          <w:sz w:val="24"/>
          <w:szCs w:val="24"/>
        </w:rPr>
        <w:t>2019</w:t>
      </w:r>
      <w:r>
        <w:rPr>
          <w:rFonts w:ascii="Times New Roman" w:hAnsi="Times New Roman"/>
          <w:noProof/>
          <w:sz w:val="24"/>
          <w:szCs w:val="24"/>
        </w:rPr>
        <w:t xml:space="preserve">. Zoals blijkt uit </w:t>
      </w:r>
      <w:r w:rsidR="00ED2743" w:rsidRPr="00DA11F1">
        <w:rPr>
          <w:rFonts w:ascii="Times New Roman" w:hAnsi="Times New Roman"/>
          <w:noProof/>
          <w:sz w:val="24"/>
          <w:szCs w:val="24"/>
        </w:rPr>
        <w:fldChar w:fldCharType="begin"/>
      </w:r>
      <w:r w:rsidR="00ED2743" w:rsidRPr="00DA11F1">
        <w:rPr>
          <w:rFonts w:ascii="Times New Roman" w:hAnsi="Times New Roman"/>
          <w:noProof/>
          <w:sz w:val="24"/>
          <w:szCs w:val="24"/>
        </w:rPr>
        <w:instrText xml:space="preserve"> REF _Ref85030711  \* MERGEFORMAT </w:instrText>
      </w:r>
      <w:r w:rsidR="00ED2743" w:rsidRPr="00DA11F1">
        <w:rPr>
          <w:rFonts w:ascii="Times New Roman" w:hAnsi="Times New Roman"/>
          <w:noProof/>
          <w:sz w:val="24"/>
          <w:szCs w:val="24"/>
        </w:rPr>
        <w:fldChar w:fldCharType="separate"/>
      </w:r>
      <w:r w:rsidR="00C0162E">
        <w:rPr>
          <w:rFonts w:ascii="Times New Roman" w:hAnsi="Times New Roman"/>
          <w:noProof/>
          <w:sz w:val="24"/>
          <w:szCs w:val="24"/>
        </w:rPr>
        <w:t>Tab</w:t>
      </w:r>
      <w:r w:rsidR="00ED2743" w:rsidRPr="00DA11F1">
        <w:rPr>
          <w:rFonts w:ascii="Times New Roman" w:hAnsi="Times New Roman"/>
          <w:noProof/>
          <w:sz w:val="24"/>
          <w:szCs w:val="24"/>
        </w:rPr>
        <w:t>e</w:t>
      </w:r>
      <w:r w:rsidR="00C0162E">
        <w:rPr>
          <w:rFonts w:ascii="Times New Roman" w:hAnsi="Times New Roman"/>
          <w:noProof/>
          <w:sz w:val="24"/>
          <w:szCs w:val="24"/>
        </w:rPr>
        <w:t>l </w:t>
      </w:r>
      <w:r w:rsidR="00ED2743" w:rsidRPr="00D4425F">
        <w:rPr>
          <w:rFonts w:ascii="Times New Roman" w:hAnsi="Times New Roman"/>
          <w:noProof/>
          <w:sz w:val="24"/>
          <w:szCs w:val="24"/>
        </w:rPr>
        <w:t>5</w:t>
      </w:r>
      <w:r w:rsidR="00ED2743" w:rsidRPr="00DA11F1">
        <w:rPr>
          <w:rFonts w:ascii="Times New Roman" w:hAnsi="Times New Roman"/>
          <w:noProof/>
          <w:sz w:val="24"/>
          <w:szCs w:val="24"/>
        </w:rPr>
        <w:fldChar w:fldCharType="end"/>
      </w:r>
      <w:r>
        <w:rPr>
          <w:rFonts w:ascii="Times New Roman" w:hAnsi="Times New Roman"/>
          <w:noProof/>
          <w:sz w:val="24"/>
          <w:szCs w:val="24"/>
        </w:rPr>
        <w:t xml:space="preserve"> was de daling van de emissies voornamelijk toe te schrijven aan de opwekking van elektriciteit en warmte, waarbij de emissies met meer dan </w:t>
      </w:r>
      <w:r w:rsidRPr="00D4425F">
        <w:rPr>
          <w:rFonts w:ascii="Times New Roman" w:hAnsi="Times New Roman"/>
          <w:noProof/>
          <w:sz w:val="24"/>
          <w:szCs w:val="24"/>
        </w:rPr>
        <w:t>15</w:t>
      </w:r>
      <w:r>
        <w:rPr>
          <w:rFonts w:ascii="Times New Roman" w:hAnsi="Times New Roman"/>
          <w:noProof/>
          <w:sz w:val="24"/>
          <w:szCs w:val="24"/>
        </w:rPr>
        <w:t xml:space="preserve"> % zijn gedaald ten opzichte van </w:t>
      </w:r>
      <w:r w:rsidRPr="00D4425F">
        <w:rPr>
          <w:rFonts w:ascii="Times New Roman" w:hAnsi="Times New Roman"/>
          <w:noProof/>
          <w:sz w:val="24"/>
          <w:szCs w:val="24"/>
        </w:rPr>
        <w:t>2019</w:t>
      </w:r>
      <w:r>
        <w:rPr>
          <w:rFonts w:ascii="Times New Roman" w:hAnsi="Times New Roman"/>
          <w:noProof/>
          <w:sz w:val="24"/>
          <w:szCs w:val="24"/>
        </w:rPr>
        <w:t>, wat een weerspiegeling is van zowel het lagere elektriciteitsverbruik als gevolg van de COVID-</w:t>
      </w:r>
      <w:r w:rsidRPr="00D4425F">
        <w:rPr>
          <w:rFonts w:ascii="Times New Roman" w:hAnsi="Times New Roman"/>
          <w:noProof/>
          <w:sz w:val="24"/>
          <w:szCs w:val="24"/>
        </w:rPr>
        <w:t>19</w:t>
      </w:r>
      <w:r>
        <w:rPr>
          <w:rFonts w:ascii="Times New Roman" w:hAnsi="Times New Roman"/>
          <w:noProof/>
          <w:sz w:val="24"/>
          <w:szCs w:val="24"/>
        </w:rPr>
        <w:t xml:space="preserve">-pandemie als de eerder waargenomen decarbonisatietrends. Daarbij gaat het zowel om een omschakeling van kolen- naar aardgascentrales voor elektriciteitsopwekking als om de vervanging van fossiele brandstoffen door hernieuwbare energiebronnen. De emissies van industriële installaties zijn met </w:t>
      </w:r>
      <w:r w:rsidRPr="00D4425F">
        <w:rPr>
          <w:rFonts w:ascii="Times New Roman" w:hAnsi="Times New Roman"/>
          <w:noProof/>
          <w:sz w:val="24"/>
          <w:szCs w:val="24"/>
        </w:rPr>
        <w:t>7</w:t>
      </w:r>
      <w:r>
        <w:rPr>
          <w:rFonts w:ascii="Times New Roman" w:hAnsi="Times New Roman"/>
          <w:noProof/>
          <w:sz w:val="24"/>
          <w:szCs w:val="24"/>
        </w:rPr>
        <w:t> % gedaald, de grootste daling sinds het begin van fase </w:t>
      </w:r>
      <w:r w:rsidRPr="00D4425F">
        <w:rPr>
          <w:rFonts w:ascii="Times New Roman" w:hAnsi="Times New Roman"/>
          <w:noProof/>
          <w:sz w:val="24"/>
          <w:szCs w:val="24"/>
        </w:rPr>
        <w:t>3</w:t>
      </w:r>
      <w:r>
        <w:rPr>
          <w:rFonts w:ascii="Times New Roman" w:hAnsi="Times New Roman"/>
          <w:noProof/>
          <w:sz w:val="24"/>
          <w:szCs w:val="24"/>
        </w:rPr>
        <w:t>, en het bbp in de EU-</w:t>
      </w:r>
      <w:r w:rsidRPr="00D4425F">
        <w:rPr>
          <w:rFonts w:ascii="Times New Roman" w:hAnsi="Times New Roman"/>
          <w:noProof/>
          <w:sz w:val="24"/>
          <w:szCs w:val="24"/>
        </w:rPr>
        <w:t>27</w:t>
      </w:r>
      <w:r>
        <w:rPr>
          <w:rFonts w:ascii="Times New Roman" w:hAnsi="Times New Roman"/>
          <w:noProof/>
          <w:sz w:val="24"/>
          <w:szCs w:val="24"/>
        </w:rPr>
        <w:t xml:space="preserve"> is als gevolg van de pandemie met </w:t>
      </w:r>
      <w:r w:rsidRPr="00D4425F">
        <w:rPr>
          <w:rFonts w:ascii="Times New Roman" w:hAnsi="Times New Roman"/>
          <w:noProof/>
          <w:sz w:val="24"/>
          <w:szCs w:val="24"/>
        </w:rPr>
        <w:t>6</w:t>
      </w:r>
      <w:r>
        <w:rPr>
          <w:rFonts w:ascii="Times New Roman" w:hAnsi="Times New Roman"/>
          <w:noProof/>
          <w:sz w:val="24"/>
          <w:szCs w:val="24"/>
        </w:rPr>
        <w:t> % gedaald.</w:t>
      </w:r>
    </w:p>
    <w:p w14:paraId="320C355D" w14:textId="77777777" w:rsidR="004A71F9" w:rsidRPr="00DA11F1" w:rsidRDefault="004A71F9" w:rsidP="008E33DB">
      <w:pPr>
        <w:rPr>
          <w:rFonts w:ascii="Times New Roman" w:hAnsi="Times New Roman"/>
          <w:noProof/>
          <w:sz w:val="24"/>
          <w:szCs w:val="24"/>
        </w:rPr>
      </w:pPr>
      <w:r>
        <w:rPr>
          <w:noProof/>
        </w:rPr>
        <w:br w:type="page"/>
      </w:r>
    </w:p>
    <w:p w14:paraId="5940A2F4" w14:textId="77777777" w:rsidR="004A71F9" w:rsidRPr="00DA11F1" w:rsidRDefault="004A71F9" w:rsidP="008E33DB">
      <w:pPr>
        <w:pStyle w:val="Caption"/>
        <w:keepNext/>
        <w:rPr>
          <w:rFonts w:ascii="Times New Roman" w:hAnsi="Times New Roman"/>
          <w:noProof/>
          <w:sz w:val="22"/>
        </w:rPr>
        <w:sectPr w:rsidR="004A71F9" w:rsidRPr="00DA11F1" w:rsidSect="006F13D7">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20"/>
          <w:docGrid w:linePitch="360"/>
        </w:sectPr>
      </w:pPr>
      <w:bookmarkStart w:id="53" w:name="_Ref85030711"/>
    </w:p>
    <w:p w14:paraId="1E685299" w14:textId="71DD7E3B" w:rsidR="00ED2743" w:rsidRPr="00DA11F1" w:rsidRDefault="00ED2743" w:rsidP="008E33DB">
      <w:pPr>
        <w:pStyle w:val="Caption"/>
        <w:keepNext/>
        <w:rPr>
          <w:rFonts w:ascii="Times New Roman" w:hAnsi="Times New Roman"/>
          <w:noProof/>
          <w:sz w:val="22"/>
        </w:rPr>
      </w:pPr>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4425F">
        <w:rPr>
          <w:rFonts w:ascii="Times New Roman" w:hAnsi="Times New Roman"/>
          <w:noProof/>
          <w:sz w:val="22"/>
        </w:rPr>
        <w:t>5</w:t>
      </w:r>
      <w:r w:rsidRPr="00DA11F1">
        <w:rPr>
          <w:rFonts w:ascii="Times New Roman" w:hAnsi="Times New Roman"/>
          <w:noProof/>
          <w:sz w:val="22"/>
        </w:rPr>
        <w:fldChar w:fldCharType="end"/>
      </w:r>
      <w:bookmarkEnd w:id="53"/>
      <w:r>
        <w:rPr>
          <w:rFonts w:ascii="Times New Roman" w:hAnsi="Times New Roman"/>
          <w:noProof/>
          <w:sz w:val="22"/>
        </w:rPr>
        <w:t>. Geverifieerde emissies van vaste installaties (in miljoen ton CO</w:t>
      </w:r>
      <w:r w:rsidRPr="00D4425F">
        <w:rPr>
          <w:rFonts w:ascii="Times New Roman" w:hAnsi="Times New Roman"/>
          <w:noProof/>
          <w:sz w:val="22"/>
          <w:vertAlign w:val="subscript"/>
        </w:rPr>
        <w:t>2</w:t>
      </w:r>
      <w:r>
        <w:rPr>
          <w:rFonts w:ascii="Times New Roman" w:hAnsi="Times New Roman"/>
          <w:noProof/>
          <w:sz w:val="22"/>
        </w:rPr>
        <w:t>-equivalenten)</w:t>
      </w:r>
      <w:r w:rsidRPr="00DA11F1">
        <w:rPr>
          <w:rStyle w:val="FootnoteReference"/>
          <w:rFonts w:ascii="Times New Roman" w:hAnsi="Times New Roman"/>
          <w:noProof/>
          <w:color w:val="000000"/>
          <w:sz w:val="22"/>
          <w:szCs w:val="22"/>
          <w:lang w:eastAsia="en-GB"/>
        </w:rPr>
        <w:footnoteReference w:id="65"/>
      </w:r>
    </w:p>
    <w:tbl>
      <w:tblPr>
        <w:tblW w:w="5000" w:type="pct"/>
        <w:tblCellMar>
          <w:left w:w="0" w:type="dxa"/>
          <w:right w:w="0" w:type="dxa"/>
        </w:tblCellMar>
        <w:tblLook w:val="04A0" w:firstRow="1" w:lastRow="0" w:firstColumn="1" w:lastColumn="0" w:noHBand="0" w:noVBand="1"/>
      </w:tblPr>
      <w:tblGrid>
        <w:gridCol w:w="2688"/>
        <w:gridCol w:w="1157"/>
        <w:gridCol w:w="1141"/>
        <w:gridCol w:w="1143"/>
        <w:gridCol w:w="1143"/>
        <w:gridCol w:w="1141"/>
        <w:gridCol w:w="1143"/>
        <w:gridCol w:w="1138"/>
        <w:gridCol w:w="1132"/>
        <w:gridCol w:w="1129"/>
        <w:gridCol w:w="1126"/>
      </w:tblGrid>
      <w:tr w:rsidR="007102CE" w:rsidRPr="00DA11F1" w14:paraId="7453CAC3" w14:textId="5F392DCF" w:rsidTr="004A71F9">
        <w:trPr>
          <w:trHeight w:val="474"/>
        </w:trPr>
        <w:tc>
          <w:tcPr>
            <w:tcW w:w="954"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14:paraId="1E0F90DC"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Jaar</w:t>
            </w:r>
          </w:p>
        </w:tc>
        <w:tc>
          <w:tcPr>
            <w:tcW w:w="41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56350E0E"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2011</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C690986"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2012</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9F3CBB"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2013</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1BE9D715"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2014</w:t>
            </w:r>
          </w:p>
        </w:tc>
        <w:tc>
          <w:tcPr>
            <w:tcW w:w="405"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74ED11EC"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2015</w:t>
            </w:r>
          </w:p>
        </w:tc>
        <w:tc>
          <w:tcPr>
            <w:tcW w:w="406"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45D58E02"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2016</w:t>
            </w:r>
          </w:p>
        </w:tc>
        <w:tc>
          <w:tcPr>
            <w:tcW w:w="40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14:paraId="2CB5C58F"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2017</w:t>
            </w:r>
          </w:p>
        </w:tc>
        <w:tc>
          <w:tcPr>
            <w:tcW w:w="402" w:type="pct"/>
            <w:tcBorders>
              <w:top w:val="double" w:sz="4" w:space="0" w:color="auto"/>
              <w:left w:val="nil"/>
              <w:bottom w:val="double" w:sz="4" w:space="0" w:color="auto"/>
              <w:right w:val="double" w:sz="4" w:space="0" w:color="auto"/>
            </w:tcBorders>
            <w:vAlign w:val="center"/>
          </w:tcPr>
          <w:p w14:paraId="5468C8D4"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2018</w:t>
            </w:r>
          </w:p>
        </w:tc>
        <w:tc>
          <w:tcPr>
            <w:tcW w:w="401" w:type="pct"/>
            <w:tcBorders>
              <w:top w:val="double" w:sz="4" w:space="0" w:color="auto"/>
              <w:left w:val="nil"/>
              <w:bottom w:val="double" w:sz="4" w:space="0" w:color="auto"/>
              <w:right w:val="double" w:sz="4" w:space="0" w:color="auto"/>
            </w:tcBorders>
            <w:vAlign w:val="center"/>
          </w:tcPr>
          <w:p w14:paraId="52ED4A9A" w14:textId="77777777"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2019</w:t>
            </w:r>
          </w:p>
        </w:tc>
        <w:tc>
          <w:tcPr>
            <w:tcW w:w="400" w:type="pct"/>
            <w:tcBorders>
              <w:top w:val="double" w:sz="4" w:space="0" w:color="auto"/>
              <w:left w:val="nil"/>
              <w:bottom w:val="double" w:sz="4" w:space="0" w:color="auto"/>
              <w:right w:val="double" w:sz="4" w:space="0" w:color="auto"/>
            </w:tcBorders>
            <w:vAlign w:val="center"/>
          </w:tcPr>
          <w:p w14:paraId="2F9F3B90" w14:textId="195DA8E6" w:rsidR="007102CE" w:rsidRPr="00DA11F1" w:rsidRDefault="007102CE" w:rsidP="00CD3632">
            <w:pPr>
              <w:spacing w:after="0"/>
              <w:jc w:val="center"/>
              <w:rPr>
                <w:rFonts w:ascii="Times New Roman" w:hAnsi="Times New Roman"/>
                <w:b/>
                <w:noProof/>
                <w:sz w:val="20"/>
                <w:szCs w:val="20"/>
              </w:rPr>
            </w:pPr>
            <w:r w:rsidRPr="00D4425F">
              <w:rPr>
                <w:rFonts w:ascii="Times New Roman" w:hAnsi="Times New Roman"/>
                <w:b/>
                <w:noProof/>
                <w:sz w:val="20"/>
                <w:szCs w:val="20"/>
              </w:rPr>
              <w:t>2020</w:t>
            </w:r>
          </w:p>
        </w:tc>
      </w:tr>
      <w:tr w:rsidR="007102CE" w:rsidRPr="00DA11F1" w14:paraId="13D885A5" w14:textId="0ABCC33B" w:rsidTr="004A71F9">
        <w:trPr>
          <w:trHeight w:val="4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D968C5B" w14:textId="77777777" w:rsidR="007102CE" w:rsidRPr="00DA11F1" w:rsidRDefault="007102CE" w:rsidP="00CD3632">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Geverifieerde totale emissies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3936018" w14:textId="77777777"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904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7DA34CF" w14:textId="77777777"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867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928DCF7" w14:textId="77777777"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908</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FB1BB8E" w14:textId="77777777"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814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0752FE6" w14:textId="77777777"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803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ABB4106" w14:textId="43BDF508"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751</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CBA8567" w14:textId="77777777"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755</w:t>
            </w:r>
          </w:p>
        </w:tc>
        <w:tc>
          <w:tcPr>
            <w:tcW w:w="402" w:type="pct"/>
            <w:tcBorders>
              <w:top w:val="nil"/>
              <w:left w:val="nil"/>
              <w:bottom w:val="double" w:sz="4" w:space="0" w:color="auto"/>
              <w:right w:val="double" w:sz="4" w:space="0" w:color="auto"/>
            </w:tcBorders>
            <w:vAlign w:val="center"/>
          </w:tcPr>
          <w:p w14:paraId="1A9CB4EF" w14:textId="696E12D7"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683</w:t>
            </w:r>
          </w:p>
        </w:tc>
        <w:tc>
          <w:tcPr>
            <w:tcW w:w="401" w:type="pct"/>
            <w:tcBorders>
              <w:top w:val="nil"/>
              <w:left w:val="nil"/>
              <w:bottom w:val="double" w:sz="4" w:space="0" w:color="auto"/>
              <w:right w:val="double" w:sz="4" w:space="0" w:color="auto"/>
            </w:tcBorders>
            <w:vAlign w:val="center"/>
          </w:tcPr>
          <w:p w14:paraId="08D5F9B0" w14:textId="77777777"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530</w:t>
            </w:r>
          </w:p>
        </w:tc>
        <w:tc>
          <w:tcPr>
            <w:tcW w:w="400" w:type="pct"/>
            <w:tcBorders>
              <w:top w:val="nil"/>
              <w:left w:val="nil"/>
              <w:bottom w:val="double" w:sz="4" w:space="0" w:color="auto"/>
              <w:right w:val="double" w:sz="4" w:space="0" w:color="auto"/>
            </w:tcBorders>
            <w:vAlign w:val="center"/>
          </w:tcPr>
          <w:p w14:paraId="069A5F97" w14:textId="1DB8D7FF"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355</w:t>
            </w:r>
          </w:p>
        </w:tc>
      </w:tr>
      <w:tr w:rsidR="007102CE" w:rsidRPr="00DA11F1" w14:paraId="58BBE69A" w14:textId="6B51DD53"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748BC0F6"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Wijziging t.o.v. jaar</w:t>
            </w:r>
          </w:p>
          <w:p w14:paraId="30769C26"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w:t>
            </w:r>
            <w:r w:rsidRPr="00D4425F">
              <w:rPr>
                <w:rFonts w:ascii="Times New Roman" w:hAnsi="Times New Roman"/>
                <w:b/>
                <w:bCs/>
                <w:noProof/>
                <w:color w:val="000000"/>
                <w:sz w:val="20"/>
                <w:szCs w:val="20"/>
              </w:rPr>
              <w:t>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1511E2B" w14:textId="77777777" w:rsidR="007102CE" w:rsidRPr="00DA11F1" w:rsidRDefault="007102CE" w:rsidP="00CD3632">
            <w:pPr>
              <w:spacing w:after="0"/>
              <w:jc w:val="center"/>
              <w:rPr>
                <w:rFonts w:ascii="Times New Roman" w:hAnsi="Times New Roman"/>
                <w:noProof/>
                <w:color w:val="FF0000"/>
                <w:sz w:val="20"/>
                <w:szCs w:val="20"/>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FFF3296" w14:textId="77777777" w:rsidR="007102CE" w:rsidRPr="00DA11F1" w:rsidRDefault="007102CE" w:rsidP="00CD3632">
            <w:pPr>
              <w:spacing w:after="0"/>
              <w:jc w:val="center"/>
              <w:rPr>
                <w:rFonts w:ascii="Times New Roman" w:hAnsi="Times New Roman"/>
                <w:noProof/>
                <w:color w:val="FF0000"/>
                <w:sz w:val="20"/>
                <w:szCs w:val="20"/>
              </w:rPr>
            </w:pPr>
            <w:r>
              <w:rPr>
                <w:rFonts w:ascii="Times New Roman" w:hAnsi="Times New Roman"/>
                <w:noProof/>
                <w:sz w:val="20"/>
                <w:szCs w:val="20"/>
              </w:rPr>
              <w:t>-</w:t>
            </w:r>
            <w:r w:rsidRPr="00D4425F">
              <w:rPr>
                <w:rFonts w:ascii="Times New Roman" w:hAnsi="Times New Roman"/>
                <w:noProof/>
                <w:sz w:val="20"/>
                <w:szCs w:val="20"/>
              </w:rPr>
              <w:t>2</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C446B99" w14:textId="77777777" w:rsidR="007102CE" w:rsidRPr="00DA11F1" w:rsidRDefault="007102CE" w:rsidP="00CD3632">
            <w:pPr>
              <w:spacing w:after="0"/>
              <w:jc w:val="center"/>
              <w:rPr>
                <w:rFonts w:ascii="Times New Roman" w:hAnsi="Times New Roman"/>
                <w:noProof/>
                <w:color w:val="FF0000"/>
                <w:sz w:val="20"/>
                <w:szCs w:val="20"/>
              </w:rPr>
            </w:pPr>
            <w:r w:rsidRPr="00D4425F">
              <w:rPr>
                <w:rFonts w:ascii="Times New Roman" w:hAnsi="Times New Roman"/>
                <w:noProof/>
                <w:sz w:val="20"/>
                <w:szCs w:val="20"/>
              </w:rPr>
              <w:t>2</w:t>
            </w:r>
            <w:r>
              <w:rPr>
                <w:rFonts w:ascii="Times New Roman" w:hAnsi="Times New Roman"/>
                <w:noProof/>
                <w:sz w:val="20"/>
                <w:szCs w:val="20"/>
              </w:rPr>
              <w:t>,</w:t>
            </w:r>
            <w:r w:rsidRPr="00D4425F">
              <w:rPr>
                <w:rFonts w:ascii="Times New Roman" w:hAnsi="Times New Roman"/>
                <w:noProof/>
                <w:sz w:val="20"/>
                <w:szCs w:val="20"/>
              </w:rPr>
              <w:t>2</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7E0B4E3" w14:textId="77777777" w:rsidR="007102CE" w:rsidRPr="00DA11F1" w:rsidRDefault="007102CE" w:rsidP="00CD3632">
            <w:pPr>
              <w:spacing w:after="0"/>
              <w:jc w:val="center"/>
              <w:rPr>
                <w:rFonts w:ascii="Times New Roman" w:hAnsi="Times New Roman"/>
                <w:noProof/>
                <w:color w:val="000000"/>
                <w:sz w:val="20"/>
                <w:szCs w:val="20"/>
              </w:rPr>
            </w:pPr>
            <w:r>
              <w:rPr>
                <w:rFonts w:ascii="Times New Roman" w:hAnsi="Times New Roman"/>
                <w:noProof/>
                <w:sz w:val="20"/>
                <w:szCs w:val="20"/>
              </w:rPr>
              <w:t>-</w:t>
            </w:r>
            <w:r w:rsidRPr="00D4425F">
              <w:rPr>
                <w:rFonts w:ascii="Times New Roman" w:hAnsi="Times New Roman"/>
                <w:noProof/>
                <w:sz w:val="20"/>
                <w:szCs w:val="20"/>
              </w:rPr>
              <w:t>4</w:t>
            </w:r>
            <w:r>
              <w:rPr>
                <w:rFonts w:ascii="Times New Roman" w:hAnsi="Times New Roman"/>
                <w:noProof/>
                <w:sz w:val="20"/>
                <w:szCs w:val="20"/>
              </w:rPr>
              <w:t>,</w:t>
            </w:r>
            <w:r w:rsidRPr="00D4425F">
              <w:rPr>
                <w:rFonts w:ascii="Times New Roman" w:hAnsi="Times New Roman"/>
                <w:noProof/>
                <w:sz w:val="20"/>
                <w:szCs w:val="20"/>
              </w:rPr>
              <w:t>9</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28815F3" w14:textId="77777777" w:rsidR="007102CE" w:rsidRPr="00DA11F1" w:rsidRDefault="007102CE" w:rsidP="00CD3632">
            <w:pPr>
              <w:spacing w:after="0"/>
              <w:jc w:val="center"/>
              <w:rPr>
                <w:rFonts w:ascii="Times New Roman" w:hAnsi="Times New Roman"/>
                <w:noProof/>
                <w:color w:val="000000"/>
                <w:sz w:val="20"/>
                <w:szCs w:val="20"/>
              </w:rPr>
            </w:pP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6</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9BEC891" w14:textId="77777777" w:rsidR="007102CE" w:rsidRPr="00DA11F1" w:rsidRDefault="007102CE" w:rsidP="00CD3632">
            <w:pPr>
              <w:spacing w:after="0"/>
              <w:jc w:val="center"/>
              <w:rPr>
                <w:rFonts w:ascii="Times New Roman" w:hAnsi="Times New Roman"/>
                <w:noProof/>
                <w:color w:val="000000"/>
                <w:sz w:val="20"/>
                <w:szCs w:val="20"/>
              </w:rPr>
            </w:pPr>
            <w:r>
              <w:rPr>
                <w:rFonts w:ascii="Times New Roman" w:hAnsi="Times New Roman"/>
                <w:noProof/>
                <w:sz w:val="20"/>
                <w:szCs w:val="20"/>
              </w:rPr>
              <w:t>-</w:t>
            </w:r>
            <w:r w:rsidRPr="00D4425F">
              <w:rPr>
                <w:rFonts w:ascii="Times New Roman" w:hAnsi="Times New Roman"/>
                <w:noProof/>
                <w:sz w:val="20"/>
                <w:szCs w:val="20"/>
              </w:rPr>
              <w:t>2</w:t>
            </w:r>
            <w:r>
              <w:rPr>
                <w:rFonts w:ascii="Times New Roman" w:hAnsi="Times New Roman"/>
                <w:noProof/>
                <w:sz w:val="20"/>
                <w:szCs w:val="20"/>
              </w:rPr>
              <w:t>,</w:t>
            </w:r>
            <w:r w:rsidRPr="00D4425F">
              <w:rPr>
                <w:rFonts w:ascii="Times New Roman" w:hAnsi="Times New Roman"/>
                <w:noProof/>
                <w:sz w:val="20"/>
                <w:szCs w:val="20"/>
              </w:rPr>
              <w:t>9</w:t>
            </w:r>
            <w:r>
              <w:rPr>
                <w:rFonts w:ascii="Times New Roman" w:hAnsi="Times New Roman"/>
                <w:noProof/>
                <w:sz w:val="20"/>
                <w:szCs w:val="20"/>
              </w:rPr>
              <w:t>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72152D9" w14:textId="77777777"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2</w:t>
            </w:r>
            <w:r>
              <w:rPr>
                <w:rFonts w:ascii="Times New Roman" w:hAnsi="Times New Roman"/>
                <w:noProof/>
                <w:sz w:val="20"/>
                <w:szCs w:val="20"/>
              </w:rPr>
              <w:t> %</w:t>
            </w:r>
          </w:p>
        </w:tc>
        <w:tc>
          <w:tcPr>
            <w:tcW w:w="402" w:type="pct"/>
            <w:tcBorders>
              <w:top w:val="nil"/>
              <w:left w:val="nil"/>
              <w:bottom w:val="double" w:sz="4" w:space="0" w:color="auto"/>
              <w:right w:val="double" w:sz="4" w:space="0" w:color="auto"/>
            </w:tcBorders>
            <w:vAlign w:val="center"/>
          </w:tcPr>
          <w:p w14:paraId="2473FF16" w14:textId="77777777" w:rsidR="007102CE" w:rsidRPr="00DA11F1" w:rsidRDefault="007102CE" w:rsidP="00CD3632">
            <w:pPr>
              <w:spacing w:after="0"/>
              <w:jc w:val="center"/>
              <w:rPr>
                <w:rFonts w:ascii="Times New Roman" w:hAnsi="Times New Roman"/>
                <w:noProof/>
                <w:color w:val="000000"/>
                <w:sz w:val="20"/>
                <w:szCs w:val="20"/>
              </w:rPr>
            </w:pPr>
            <w:r>
              <w:rPr>
                <w:rFonts w:ascii="Times New Roman" w:hAnsi="Times New Roman"/>
                <w:noProof/>
                <w:sz w:val="20"/>
                <w:szCs w:val="20"/>
              </w:rPr>
              <w:t>-</w:t>
            </w:r>
            <w:r w:rsidRPr="00D4425F">
              <w:rPr>
                <w:rFonts w:ascii="Times New Roman" w:hAnsi="Times New Roman"/>
                <w:noProof/>
                <w:sz w:val="20"/>
                <w:szCs w:val="20"/>
              </w:rPr>
              <w:t>4</w:t>
            </w: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 %</w:t>
            </w:r>
          </w:p>
        </w:tc>
        <w:tc>
          <w:tcPr>
            <w:tcW w:w="401" w:type="pct"/>
            <w:tcBorders>
              <w:top w:val="nil"/>
              <w:left w:val="nil"/>
              <w:bottom w:val="double" w:sz="4" w:space="0" w:color="auto"/>
              <w:right w:val="double" w:sz="4" w:space="0" w:color="auto"/>
            </w:tcBorders>
            <w:vAlign w:val="center"/>
          </w:tcPr>
          <w:p w14:paraId="110DC7EF" w14:textId="77777777" w:rsidR="007102CE" w:rsidRPr="00DA11F1" w:rsidRDefault="007102CE" w:rsidP="00CD3632">
            <w:pPr>
              <w:spacing w:after="0"/>
              <w:jc w:val="center"/>
              <w:rPr>
                <w:rFonts w:ascii="Times New Roman" w:hAnsi="Times New Roman"/>
                <w:noProof/>
                <w:color w:val="000000"/>
                <w:sz w:val="20"/>
                <w:szCs w:val="20"/>
              </w:rPr>
            </w:pPr>
            <w:r>
              <w:rPr>
                <w:rFonts w:ascii="Times New Roman" w:hAnsi="Times New Roman"/>
                <w:noProof/>
                <w:sz w:val="20"/>
                <w:szCs w:val="20"/>
              </w:rPr>
              <w:t>-</w:t>
            </w:r>
            <w:r w:rsidRPr="00D4425F">
              <w:rPr>
                <w:rFonts w:ascii="Times New Roman" w:hAnsi="Times New Roman"/>
                <w:noProof/>
                <w:sz w:val="20"/>
                <w:szCs w:val="20"/>
              </w:rPr>
              <w:t>9</w:t>
            </w: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 %</w:t>
            </w:r>
          </w:p>
        </w:tc>
        <w:tc>
          <w:tcPr>
            <w:tcW w:w="400" w:type="pct"/>
            <w:tcBorders>
              <w:top w:val="nil"/>
              <w:left w:val="nil"/>
              <w:bottom w:val="double" w:sz="4" w:space="0" w:color="auto"/>
              <w:right w:val="double" w:sz="4" w:space="0" w:color="auto"/>
            </w:tcBorders>
            <w:vAlign w:val="center"/>
          </w:tcPr>
          <w:p w14:paraId="3EA49F35" w14:textId="484F776F" w:rsidR="007102CE" w:rsidRPr="00DA11F1" w:rsidRDefault="007102CE" w:rsidP="00CD3632">
            <w:pPr>
              <w:spacing w:after="0"/>
              <w:jc w:val="center"/>
              <w:rPr>
                <w:rFonts w:ascii="Times New Roman" w:hAnsi="Times New Roman"/>
                <w:noProof/>
                <w:sz w:val="20"/>
                <w:szCs w:val="20"/>
              </w:rPr>
            </w:pPr>
            <w:r>
              <w:rPr>
                <w:rFonts w:ascii="Times New Roman" w:hAnsi="Times New Roman"/>
                <w:noProof/>
                <w:sz w:val="20"/>
                <w:szCs w:val="20"/>
              </w:rPr>
              <w:t>-</w:t>
            </w:r>
            <w:r w:rsidRPr="00D4425F">
              <w:rPr>
                <w:rFonts w:ascii="Times New Roman" w:hAnsi="Times New Roman"/>
                <w:noProof/>
                <w:sz w:val="20"/>
                <w:szCs w:val="20"/>
              </w:rPr>
              <w:t>11</w:t>
            </w:r>
            <w:r>
              <w:rPr>
                <w:rFonts w:ascii="Times New Roman" w:hAnsi="Times New Roman"/>
                <w:noProof/>
                <w:sz w:val="20"/>
                <w:szCs w:val="20"/>
              </w:rPr>
              <w:t>,</w:t>
            </w:r>
            <w:r w:rsidRPr="00D4425F">
              <w:rPr>
                <w:rFonts w:ascii="Times New Roman" w:hAnsi="Times New Roman"/>
                <w:noProof/>
                <w:sz w:val="20"/>
                <w:szCs w:val="20"/>
              </w:rPr>
              <w:t>4</w:t>
            </w:r>
            <w:r>
              <w:rPr>
                <w:rFonts w:ascii="Times New Roman" w:hAnsi="Times New Roman"/>
                <w:noProof/>
                <w:sz w:val="20"/>
                <w:szCs w:val="20"/>
              </w:rPr>
              <w:t> %</w:t>
            </w:r>
          </w:p>
        </w:tc>
      </w:tr>
      <w:tr w:rsidR="007102CE" w:rsidRPr="00DA11F1" w14:paraId="71297D0E" w14:textId="4C7C7704" w:rsidTr="004A71F9">
        <w:trPr>
          <w:trHeight w:val="558"/>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B8A866D"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Geverifieerde emissies door opwekking van elektriciteit en warmte</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C53CD54" w14:textId="3ED5A144"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261</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5F8DF2A" w14:textId="24987B68"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254</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7962B51" w14:textId="08C3061F"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191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708B331" w14:textId="3CCE95B9"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100</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3CF46E1" w14:textId="5C52B877"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091</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1DEE4AE" w14:textId="6C7B9A66"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046</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EF7B0DE" w14:textId="5CDF2DD8"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036</w:t>
            </w:r>
          </w:p>
        </w:tc>
        <w:tc>
          <w:tcPr>
            <w:tcW w:w="402" w:type="pct"/>
            <w:tcBorders>
              <w:top w:val="nil"/>
              <w:left w:val="nil"/>
              <w:bottom w:val="double" w:sz="4" w:space="0" w:color="auto"/>
              <w:right w:val="double" w:sz="4" w:space="0" w:color="auto"/>
            </w:tcBorders>
            <w:vAlign w:val="center"/>
          </w:tcPr>
          <w:p w14:paraId="1F48FD55" w14:textId="78EE9BCB"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964</w:t>
            </w:r>
          </w:p>
        </w:tc>
        <w:tc>
          <w:tcPr>
            <w:tcW w:w="401" w:type="pct"/>
            <w:tcBorders>
              <w:top w:val="nil"/>
              <w:left w:val="nil"/>
              <w:bottom w:val="double" w:sz="4" w:space="0" w:color="auto"/>
              <w:right w:val="double" w:sz="4" w:space="0" w:color="auto"/>
            </w:tcBorders>
            <w:vAlign w:val="center"/>
          </w:tcPr>
          <w:p w14:paraId="4E2B60B2" w14:textId="74DBC343"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822</w:t>
            </w:r>
          </w:p>
        </w:tc>
        <w:tc>
          <w:tcPr>
            <w:tcW w:w="400" w:type="pct"/>
            <w:tcBorders>
              <w:top w:val="nil"/>
              <w:left w:val="nil"/>
              <w:bottom w:val="double" w:sz="4" w:space="0" w:color="auto"/>
              <w:right w:val="double" w:sz="4" w:space="0" w:color="auto"/>
            </w:tcBorders>
            <w:vAlign w:val="center"/>
          </w:tcPr>
          <w:p w14:paraId="5DEEA839" w14:textId="19788191" w:rsidR="007102CE" w:rsidRPr="00DA11F1" w:rsidRDefault="007102CE" w:rsidP="00CD3632">
            <w:pPr>
              <w:spacing w:after="0"/>
              <w:jc w:val="center"/>
              <w:rPr>
                <w:rFonts w:ascii="Times New Roman" w:hAnsi="Times New Roman"/>
                <w:noProof/>
                <w:sz w:val="20"/>
                <w:szCs w:val="20"/>
              </w:rPr>
            </w:pPr>
            <w:r w:rsidRPr="00D4425F">
              <w:rPr>
                <w:rFonts w:ascii="Times New Roman" w:hAnsi="Times New Roman"/>
                <w:noProof/>
                <w:sz w:val="20"/>
                <w:szCs w:val="20"/>
              </w:rPr>
              <w:t>696</w:t>
            </w:r>
          </w:p>
        </w:tc>
      </w:tr>
      <w:tr w:rsidR="007102CE" w:rsidRPr="00DA11F1" w14:paraId="7E29135A" w14:textId="27B86F65"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AF6D9B"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Wijziging t.o.v. jaar</w:t>
            </w:r>
          </w:p>
          <w:p w14:paraId="680CC652"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w:t>
            </w:r>
            <w:r w:rsidRPr="00D4425F">
              <w:rPr>
                <w:rFonts w:ascii="Times New Roman" w:hAnsi="Times New Roman"/>
                <w:b/>
                <w:bCs/>
                <w:noProof/>
                <w:color w:val="000000"/>
                <w:sz w:val="20"/>
                <w:szCs w:val="20"/>
              </w:rPr>
              <w:t>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213106" w14:textId="77777777" w:rsidR="007102CE" w:rsidRPr="00DA11F1" w:rsidRDefault="007102CE" w:rsidP="00CD3632">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0D6288FA" w14:textId="77777777"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5</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82D9179" w14:textId="2DDEDFBF"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5</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732A0B5" w14:textId="5A3A6658"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7</w:t>
            </w:r>
            <w:r>
              <w:rPr>
                <w:rFonts w:ascii="Times New Roman" w:hAnsi="Times New Roman"/>
                <w:noProof/>
                <w:sz w:val="20"/>
                <w:szCs w:val="20"/>
              </w:rPr>
              <w:t>,</w:t>
            </w:r>
            <w:r w:rsidRPr="00D4425F">
              <w:rPr>
                <w:rFonts w:ascii="Times New Roman" w:hAnsi="Times New Roman"/>
                <w:noProof/>
                <w:sz w:val="20"/>
                <w:szCs w:val="20"/>
              </w:rPr>
              <w:t>7</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4BF9BF" w14:textId="0D753482"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8</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9B904DA" w14:textId="77777777"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4</w:t>
            </w: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9FC11AF" w14:textId="646C2056"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c>
          <w:tcPr>
            <w:tcW w:w="402" w:type="pct"/>
            <w:tcBorders>
              <w:top w:val="nil"/>
              <w:left w:val="nil"/>
              <w:bottom w:val="double" w:sz="4" w:space="0" w:color="auto"/>
              <w:right w:val="double" w:sz="4" w:space="0" w:color="auto"/>
            </w:tcBorders>
            <w:vAlign w:val="center"/>
          </w:tcPr>
          <w:p w14:paraId="563F5564" w14:textId="23217D87"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7</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c>
          <w:tcPr>
            <w:tcW w:w="401" w:type="pct"/>
            <w:tcBorders>
              <w:top w:val="nil"/>
              <w:left w:val="nil"/>
              <w:bottom w:val="double" w:sz="4" w:space="0" w:color="auto"/>
              <w:right w:val="double" w:sz="4" w:space="0" w:color="auto"/>
            </w:tcBorders>
            <w:vAlign w:val="center"/>
          </w:tcPr>
          <w:p w14:paraId="56BBD00B" w14:textId="56D9684D"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14</w:t>
            </w:r>
            <w:r>
              <w:rPr>
                <w:rFonts w:ascii="Times New Roman" w:hAnsi="Times New Roman"/>
                <w:noProof/>
                <w:sz w:val="20"/>
                <w:szCs w:val="20"/>
              </w:rPr>
              <w:t>,</w:t>
            </w:r>
            <w:r w:rsidRPr="00D4425F">
              <w:rPr>
                <w:rFonts w:ascii="Times New Roman" w:hAnsi="Times New Roman"/>
                <w:noProof/>
                <w:sz w:val="20"/>
                <w:szCs w:val="20"/>
              </w:rPr>
              <w:t>7</w:t>
            </w:r>
            <w:r>
              <w:rPr>
                <w:rFonts w:ascii="Times New Roman" w:hAnsi="Times New Roman"/>
                <w:noProof/>
                <w:sz w:val="20"/>
                <w:szCs w:val="20"/>
              </w:rPr>
              <w:t> %</w:t>
            </w:r>
          </w:p>
        </w:tc>
        <w:tc>
          <w:tcPr>
            <w:tcW w:w="400" w:type="pct"/>
            <w:tcBorders>
              <w:top w:val="nil"/>
              <w:left w:val="nil"/>
              <w:bottom w:val="double" w:sz="4" w:space="0" w:color="auto"/>
              <w:right w:val="double" w:sz="4" w:space="0" w:color="auto"/>
            </w:tcBorders>
            <w:vAlign w:val="center"/>
          </w:tcPr>
          <w:p w14:paraId="6996439D" w14:textId="68A711BF" w:rsidR="007102CE" w:rsidRPr="00DA11F1" w:rsidRDefault="00DA5553" w:rsidP="00CD3632">
            <w:pPr>
              <w:spacing w:after="0"/>
              <w:jc w:val="center"/>
              <w:rPr>
                <w:rFonts w:ascii="Times New Roman" w:hAnsi="Times New Roman"/>
                <w:noProof/>
                <w:sz w:val="20"/>
                <w:szCs w:val="20"/>
              </w:rPr>
            </w:pPr>
            <w:r>
              <w:rPr>
                <w:rFonts w:ascii="Times New Roman" w:hAnsi="Times New Roman"/>
                <w:noProof/>
                <w:sz w:val="20"/>
                <w:szCs w:val="20"/>
              </w:rPr>
              <w:t>-</w:t>
            </w:r>
            <w:r w:rsidRPr="00D4425F">
              <w:rPr>
                <w:rFonts w:ascii="Times New Roman" w:hAnsi="Times New Roman"/>
                <w:noProof/>
                <w:sz w:val="20"/>
                <w:szCs w:val="20"/>
              </w:rPr>
              <w:t>15</w:t>
            </w:r>
            <w:r>
              <w:rPr>
                <w:rFonts w:ascii="Times New Roman" w:hAnsi="Times New Roman"/>
                <w:noProof/>
                <w:sz w:val="20"/>
                <w:szCs w:val="20"/>
              </w:rPr>
              <w:t>,</w:t>
            </w:r>
            <w:r w:rsidRPr="00D4425F">
              <w:rPr>
                <w:rFonts w:ascii="Times New Roman" w:hAnsi="Times New Roman"/>
                <w:noProof/>
                <w:sz w:val="20"/>
                <w:szCs w:val="20"/>
              </w:rPr>
              <w:t>3</w:t>
            </w:r>
            <w:r>
              <w:rPr>
                <w:rFonts w:ascii="Times New Roman" w:hAnsi="Times New Roman"/>
                <w:noProof/>
                <w:sz w:val="20"/>
                <w:szCs w:val="20"/>
              </w:rPr>
              <w:t> %</w:t>
            </w:r>
          </w:p>
        </w:tc>
      </w:tr>
      <w:tr w:rsidR="007102CE" w:rsidRPr="00DA11F1" w14:paraId="2DEF19AB" w14:textId="44ACDAA4" w:rsidTr="004A71F9">
        <w:trPr>
          <w:trHeight w:val="582"/>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8D87057"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Geverifieerde emissies van industriële installaties</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25A6AD5" w14:textId="6D833E04"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643</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1C1542F" w14:textId="5EEF1CCE"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613</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0C74AA4" w14:textId="163106B2"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717</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875EEE" w14:textId="71DA97CE"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714</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5192C6" w14:textId="69FE9C11"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712</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0788641" w14:textId="67B6171C"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704</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AC33AAA" w14:textId="4FA16C55"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719</w:t>
            </w:r>
          </w:p>
        </w:tc>
        <w:tc>
          <w:tcPr>
            <w:tcW w:w="402" w:type="pct"/>
            <w:tcBorders>
              <w:top w:val="nil"/>
              <w:left w:val="nil"/>
              <w:bottom w:val="double" w:sz="4" w:space="0" w:color="auto"/>
              <w:right w:val="double" w:sz="4" w:space="0" w:color="auto"/>
            </w:tcBorders>
            <w:vAlign w:val="center"/>
          </w:tcPr>
          <w:p w14:paraId="3EAE5770" w14:textId="7EC5C693"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719</w:t>
            </w:r>
          </w:p>
        </w:tc>
        <w:tc>
          <w:tcPr>
            <w:tcW w:w="401" w:type="pct"/>
            <w:tcBorders>
              <w:top w:val="nil"/>
              <w:left w:val="nil"/>
              <w:bottom w:val="double" w:sz="4" w:space="0" w:color="auto"/>
              <w:right w:val="double" w:sz="4" w:space="0" w:color="auto"/>
            </w:tcBorders>
            <w:vAlign w:val="center"/>
          </w:tcPr>
          <w:p w14:paraId="415D28B2" w14:textId="04600378"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708</w:t>
            </w:r>
          </w:p>
        </w:tc>
        <w:tc>
          <w:tcPr>
            <w:tcW w:w="400" w:type="pct"/>
            <w:tcBorders>
              <w:top w:val="nil"/>
              <w:left w:val="nil"/>
              <w:bottom w:val="double" w:sz="4" w:space="0" w:color="auto"/>
              <w:right w:val="double" w:sz="4" w:space="0" w:color="auto"/>
            </w:tcBorders>
            <w:vAlign w:val="center"/>
          </w:tcPr>
          <w:p w14:paraId="364CA20A" w14:textId="37533C1B" w:rsidR="007102CE" w:rsidRPr="00DA11F1" w:rsidRDefault="00DA5553" w:rsidP="00CD3632">
            <w:pPr>
              <w:spacing w:after="0"/>
              <w:jc w:val="center"/>
              <w:rPr>
                <w:rFonts w:ascii="Times New Roman" w:hAnsi="Times New Roman"/>
                <w:noProof/>
                <w:sz w:val="20"/>
                <w:szCs w:val="20"/>
              </w:rPr>
            </w:pPr>
            <w:r w:rsidRPr="00D4425F">
              <w:rPr>
                <w:rFonts w:ascii="Times New Roman" w:hAnsi="Times New Roman"/>
                <w:noProof/>
                <w:sz w:val="20"/>
                <w:szCs w:val="20"/>
              </w:rPr>
              <w:t>659</w:t>
            </w:r>
          </w:p>
        </w:tc>
      </w:tr>
      <w:tr w:rsidR="007102CE" w:rsidRPr="00DA11F1" w14:paraId="05193ACC" w14:textId="34F13904" w:rsidTr="004A71F9">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8B88944"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Wijziging t.o.v. jaar</w:t>
            </w:r>
          </w:p>
          <w:p w14:paraId="6A76CEDE" w14:textId="77777777"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x-</w:t>
            </w:r>
            <w:r w:rsidRPr="00D4425F">
              <w:rPr>
                <w:rFonts w:ascii="Times New Roman" w:hAnsi="Times New Roman"/>
                <w:b/>
                <w:bCs/>
                <w:noProof/>
                <w:color w:val="000000"/>
                <w:sz w:val="20"/>
                <w:szCs w:val="20"/>
              </w:rPr>
              <w:t>1</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6AEAFA54" w14:textId="77777777" w:rsidR="007102CE" w:rsidRPr="00DA11F1" w:rsidRDefault="007102CE" w:rsidP="00CD3632">
            <w:pPr>
              <w:spacing w:after="0"/>
              <w:jc w:val="center"/>
              <w:rPr>
                <w:rFonts w:ascii="Times New Roman" w:hAnsi="Times New Roman"/>
                <w:noProof/>
                <w:color w:val="000000"/>
                <w:sz w:val="20"/>
                <w:szCs w:val="20"/>
                <w:lang w:eastAsia="en-GB"/>
              </w:rPr>
            </w:pP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39266FE" w14:textId="7271D50D"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4</w:t>
            </w:r>
            <w:r>
              <w:rPr>
                <w:rFonts w:ascii="Times New Roman" w:hAnsi="Times New Roman"/>
                <w:noProof/>
                <w:sz w:val="20"/>
                <w:szCs w:val="20"/>
              </w:rPr>
              <w:t>,</w:t>
            </w:r>
            <w:r w:rsidRPr="00D4425F">
              <w:rPr>
                <w:rFonts w:ascii="Times New Roman" w:hAnsi="Times New Roman"/>
                <w:noProof/>
                <w:sz w:val="20"/>
                <w:szCs w:val="20"/>
              </w:rPr>
              <w:t>7</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2860F7E" w14:textId="78D51549"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17</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D19DB" w14:textId="219E9240"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4</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7DA5D287" w14:textId="5B5D571F"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3</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D8A7B6E" w14:textId="26E4311B"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4AE0481" w14:textId="000939BA" w:rsidR="007102CE" w:rsidRPr="00DA11F1" w:rsidRDefault="00D55513"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2</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c>
          <w:tcPr>
            <w:tcW w:w="402" w:type="pct"/>
            <w:tcBorders>
              <w:top w:val="nil"/>
              <w:left w:val="nil"/>
              <w:bottom w:val="double" w:sz="4" w:space="0" w:color="auto"/>
              <w:right w:val="double" w:sz="4" w:space="0" w:color="auto"/>
            </w:tcBorders>
            <w:vAlign w:val="center"/>
          </w:tcPr>
          <w:p w14:paraId="42EF7EA9" w14:textId="5A305A35" w:rsidR="007102CE" w:rsidRPr="00DA11F1" w:rsidRDefault="007102CE" w:rsidP="00CD3632">
            <w:pPr>
              <w:spacing w:after="0"/>
              <w:jc w:val="center"/>
              <w:rPr>
                <w:rFonts w:ascii="Times New Roman" w:hAnsi="Times New Roman"/>
                <w:noProof/>
                <w:color w:val="000000" w:themeColor="text1"/>
                <w:sz w:val="20"/>
                <w:szCs w:val="20"/>
              </w:rPr>
            </w:pP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 %</w:t>
            </w:r>
          </w:p>
        </w:tc>
        <w:tc>
          <w:tcPr>
            <w:tcW w:w="401" w:type="pct"/>
            <w:tcBorders>
              <w:top w:val="nil"/>
              <w:left w:val="nil"/>
              <w:bottom w:val="double" w:sz="4" w:space="0" w:color="auto"/>
              <w:right w:val="double" w:sz="4" w:space="0" w:color="auto"/>
            </w:tcBorders>
            <w:vAlign w:val="center"/>
          </w:tcPr>
          <w:p w14:paraId="78DB0344" w14:textId="0C018124" w:rsidR="007102CE" w:rsidRPr="00DA11F1" w:rsidRDefault="007102CE" w:rsidP="00CD3632">
            <w:pPr>
              <w:spacing w:after="0"/>
              <w:jc w:val="center"/>
              <w:rPr>
                <w:rFonts w:ascii="Times New Roman" w:hAnsi="Times New Roman"/>
                <w:noProof/>
                <w:color w:val="000000" w:themeColor="text1"/>
                <w:sz w:val="20"/>
                <w:szCs w:val="20"/>
              </w:rPr>
            </w:pPr>
            <w:r>
              <w:rPr>
                <w:rFonts w:ascii="Times New Roman" w:hAnsi="Times New Roman"/>
                <w:noProof/>
                <w:sz w:val="20"/>
                <w:szCs w:val="20"/>
              </w:rPr>
              <w:t>-</w:t>
            </w:r>
            <w:r w:rsidRPr="00D4425F">
              <w:rPr>
                <w:rFonts w:ascii="Times New Roman" w:hAnsi="Times New Roman"/>
                <w:noProof/>
                <w:sz w:val="20"/>
                <w:szCs w:val="20"/>
              </w:rPr>
              <w:t>1</w:t>
            </w:r>
            <w:r>
              <w:rPr>
                <w:rFonts w:ascii="Times New Roman" w:hAnsi="Times New Roman"/>
                <w:noProof/>
                <w:sz w:val="20"/>
                <w:szCs w:val="20"/>
              </w:rPr>
              <w:t>,</w:t>
            </w:r>
            <w:r w:rsidRPr="00D4425F">
              <w:rPr>
                <w:rFonts w:ascii="Times New Roman" w:hAnsi="Times New Roman"/>
                <w:noProof/>
                <w:sz w:val="20"/>
                <w:szCs w:val="20"/>
              </w:rPr>
              <w:t>6</w:t>
            </w:r>
            <w:r>
              <w:rPr>
                <w:rFonts w:ascii="Times New Roman" w:hAnsi="Times New Roman"/>
                <w:noProof/>
                <w:sz w:val="20"/>
                <w:szCs w:val="20"/>
              </w:rPr>
              <w:t> %</w:t>
            </w:r>
          </w:p>
        </w:tc>
        <w:tc>
          <w:tcPr>
            <w:tcW w:w="400" w:type="pct"/>
            <w:tcBorders>
              <w:top w:val="nil"/>
              <w:left w:val="nil"/>
              <w:bottom w:val="double" w:sz="4" w:space="0" w:color="auto"/>
              <w:right w:val="double" w:sz="4" w:space="0" w:color="auto"/>
            </w:tcBorders>
            <w:vAlign w:val="center"/>
          </w:tcPr>
          <w:p w14:paraId="25253110" w14:textId="29B3F71A" w:rsidR="007102CE" w:rsidRPr="00DA11F1" w:rsidRDefault="00D55513" w:rsidP="00CD3632">
            <w:pPr>
              <w:spacing w:after="0"/>
              <w:jc w:val="center"/>
              <w:rPr>
                <w:rFonts w:ascii="Times New Roman" w:hAnsi="Times New Roman"/>
                <w:noProof/>
                <w:sz w:val="20"/>
                <w:szCs w:val="20"/>
              </w:rPr>
            </w:pPr>
            <w:r>
              <w:rPr>
                <w:rFonts w:ascii="Times New Roman" w:hAnsi="Times New Roman"/>
                <w:noProof/>
                <w:sz w:val="20"/>
                <w:szCs w:val="20"/>
              </w:rPr>
              <w:t>-</w:t>
            </w:r>
            <w:r w:rsidRPr="00D4425F">
              <w:rPr>
                <w:rFonts w:ascii="Times New Roman" w:hAnsi="Times New Roman"/>
                <w:noProof/>
                <w:sz w:val="20"/>
                <w:szCs w:val="20"/>
              </w:rPr>
              <w:t>7</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r>
      <w:tr w:rsidR="007102CE" w:rsidRPr="00DA11F1" w14:paraId="0915481A" w14:textId="1ED7E7CA" w:rsidTr="004A71F9">
        <w:trPr>
          <w:trHeight w:val="774"/>
        </w:trPr>
        <w:tc>
          <w:tcPr>
            <w:tcW w:w="954"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3F15796" w14:textId="3FAADEC5" w:rsidR="007102CE" w:rsidRPr="00DA11F1" w:rsidRDefault="007102CE" w:rsidP="00CD3632">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Reële bbp-groei EU-</w:t>
            </w:r>
            <w:r w:rsidRPr="00D4425F">
              <w:rPr>
                <w:rFonts w:ascii="Times New Roman" w:hAnsi="Times New Roman"/>
                <w:b/>
                <w:bCs/>
                <w:noProof/>
                <w:color w:val="000000"/>
                <w:sz w:val="20"/>
                <w:szCs w:val="20"/>
              </w:rPr>
              <w:t>27</w:t>
            </w:r>
            <w:r>
              <w:rPr>
                <w:rFonts w:ascii="Times New Roman" w:hAnsi="Times New Roman"/>
                <w:b/>
                <w:bCs/>
                <w:noProof/>
                <w:color w:val="000000"/>
                <w:sz w:val="20"/>
                <w:szCs w:val="20"/>
              </w:rPr>
              <w:t xml:space="preserve"> + VK</w:t>
            </w:r>
          </w:p>
        </w:tc>
        <w:tc>
          <w:tcPr>
            <w:tcW w:w="411" w:type="pct"/>
            <w:tcBorders>
              <w:top w:val="nil"/>
              <w:left w:val="nil"/>
              <w:bottom w:val="double" w:sz="4" w:space="0" w:color="auto"/>
              <w:right w:val="double" w:sz="4" w:space="0" w:color="auto"/>
            </w:tcBorders>
            <w:tcMar>
              <w:top w:w="0" w:type="dxa"/>
              <w:left w:w="108" w:type="dxa"/>
              <w:bottom w:w="0" w:type="dxa"/>
              <w:right w:w="108" w:type="dxa"/>
            </w:tcMar>
            <w:vAlign w:val="center"/>
          </w:tcPr>
          <w:p w14:paraId="4CB9E72A" w14:textId="77777777" w:rsidR="007102CE" w:rsidRPr="00DA11F1" w:rsidRDefault="007102CE" w:rsidP="00CD3632">
            <w:pPr>
              <w:spacing w:after="0"/>
              <w:jc w:val="center"/>
              <w:rPr>
                <w:rFonts w:ascii="Times New Roman" w:hAnsi="Times New Roman"/>
                <w:noProof/>
                <w:color w:val="FF0000"/>
                <w:sz w:val="20"/>
                <w:szCs w:val="20"/>
              </w:rPr>
            </w:pPr>
            <w:r w:rsidRPr="00D4425F">
              <w:rPr>
                <w:rFonts w:ascii="Times New Roman" w:hAnsi="Times New Roman"/>
                <w:noProof/>
                <w:sz w:val="20"/>
                <w:szCs w:val="20"/>
              </w:rPr>
              <w:t>1</w:t>
            </w:r>
            <w:r>
              <w:rPr>
                <w:rFonts w:ascii="Times New Roman" w:hAnsi="Times New Roman"/>
                <w:noProof/>
                <w:sz w:val="20"/>
                <w:szCs w:val="20"/>
              </w:rPr>
              <w:t>,</w:t>
            </w:r>
            <w:r w:rsidRPr="00D4425F">
              <w:rPr>
                <w:rFonts w:ascii="Times New Roman" w:hAnsi="Times New Roman"/>
                <w:noProof/>
                <w:sz w:val="20"/>
                <w:szCs w:val="20"/>
              </w:rPr>
              <w:t>8</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12E60FA6" w14:textId="77777777" w:rsidR="007102CE" w:rsidRPr="00DA11F1" w:rsidRDefault="007102CE" w:rsidP="00CD3632">
            <w:pPr>
              <w:spacing w:after="0"/>
              <w:jc w:val="center"/>
              <w:rPr>
                <w:rFonts w:ascii="Times New Roman" w:hAnsi="Times New Roman"/>
                <w:noProof/>
                <w:color w:val="FF0000"/>
                <w:sz w:val="20"/>
                <w:szCs w:val="20"/>
              </w:rPr>
            </w:pP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4</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1EF32188" w14:textId="77777777" w:rsidR="007102CE" w:rsidRPr="00DA11F1" w:rsidRDefault="007102CE" w:rsidP="00CD3632">
            <w:pPr>
              <w:spacing w:after="0"/>
              <w:jc w:val="center"/>
              <w:rPr>
                <w:rFonts w:ascii="Times New Roman" w:hAnsi="Times New Roman"/>
                <w:noProof/>
                <w:color w:val="FF0000"/>
                <w:sz w:val="20"/>
                <w:szCs w:val="20"/>
              </w:rPr>
            </w:pPr>
            <w:r w:rsidRPr="00D4425F">
              <w:rPr>
                <w:rFonts w:ascii="Times New Roman" w:hAnsi="Times New Roman"/>
                <w:noProof/>
                <w:sz w:val="20"/>
                <w:szCs w:val="20"/>
              </w:rPr>
              <w:t>0</w:t>
            </w:r>
            <w:r>
              <w:rPr>
                <w:rFonts w:ascii="Times New Roman" w:hAnsi="Times New Roman"/>
                <w:noProof/>
                <w:sz w:val="20"/>
                <w:szCs w:val="20"/>
              </w:rPr>
              <w:t>,</w:t>
            </w:r>
            <w:r w:rsidRPr="00D4425F">
              <w:rPr>
                <w:rFonts w:ascii="Times New Roman" w:hAnsi="Times New Roman"/>
                <w:noProof/>
                <w:sz w:val="20"/>
                <w:szCs w:val="20"/>
              </w:rPr>
              <w:t>3</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705A2A28" w14:textId="30C40C69"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w:t>
            </w:r>
            <w:r w:rsidRPr="00D4425F">
              <w:rPr>
                <w:rFonts w:ascii="Times New Roman" w:hAnsi="Times New Roman"/>
                <w:noProof/>
                <w:sz w:val="20"/>
                <w:szCs w:val="20"/>
              </w:rPr>
              <w:t>8</w:t>
            </w:r>
            <w:r>
              <w:rPr>
                <w:rFonts w:ascii="Times New Roman" w:hAnsi="Times New Roman"/>
                <w:noProof/>
                <w:sz w:val="20"/>
                <w:szCs w:val="20"/>
              </w:rPr>
              <w:t> %</w:t>
            </w:r>
          </w:p>
        </w:tc>
        <w:tc>
          <w:tcPr>
            <w:tcW w:w="405" w:type="pct"/>
            <w:tcBorders>
              <w:top w:val="nil"/>
              <w:left w:val="nil"/>
              <w:bottom w:val="double" w:sz="4" w:space="0" w:color="auto"/>
              <w:right w:val="double" w:sz="4" w:space="0" w:color="auto"/>
            </w:tcBorders>
            <w:tcMar>
              <w:top w:w="0" w:type="dxa"/>
              <w:left w:w="108" w:type="dxa"/>
              <w:bottom w:w="0" w:type="dxa"/>
              <w:right w:w="108" w:type="dxa"/>
            </w:tcMar>
            <w:vAlign w:val="center"/>
          </w:tcPr>
          <w:p w14:paraId="4E1032DF" w14:textId="6C1CD2D0"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2</w:t>
            </w:r>
            <w:r>
              <w:rPr>
                <w:rFonts w:ascii="Times New Roman" w:hAnsi="Times New Roman"/>
                <w:noProof/>
                <w:sz w:val="20"/>
                <w:szCs w:val="20"/>
              </w:rPr>
              <w:t>,</w:t>
            </w:r>
            <w:r w:rsidRPr="00D4425F">
              <w:rPr>
                <w:rFonts w:ascii="Times New Roman" w:hAnsi="Times New Roman"/>
                <w:noProof/>
                <w:sz w:val="20"/>
                <w:szCs w:val="20"/>
              </w:rPr>
              <w:t>3</w:t>
            </w:r>
            <w:r>
              <w:rPr>
                <w:rFonts w:ascii="Times New Roman" w:hAnsi="Times New Roman"/>
                <w:noProof/>
                <w:sz w:val="20"/>
                <w:szCs w:val="20"/>
              </w:rPr>
              <w:t> %</w:t>
            </w:r>
          </w:p>
        </w:tc>
        <w:tc>
          <w:tcPr>
            <w:tcW w:w="406" w:type="pct"/>
            <w:tcBorders>
              <w:top w:val="nil"/>
              <w:left w:val="nil"/>
              <w:bottom w:val="double" w:sz="4" w:space="0" w:color="auto"/>
              <w:right w:val="double" w:sz="4" w:space="0" w:color="auto"/>
            </w:tcBorders>
            <w:tcMar>
              <w:top w:w="0" w:type="dxa"/>
              <w:left w:w="108" w:type="dxa"/>
              <w:bottom w:w="0" w:type="dxa"/>
              <w:right w:w="108" w:type="dxa"/>
            </w:tcMar>
            <w:vAlign w:val="center"/>
          </w:tcPr>
          <w:p w14:paraId="5E7C760B" w14:textId="77777777"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2</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c>
          <w:tcPr>
            <w:tcW w:w="404" w:type="pct"/>
            <w:tcBorders>
              <w:top w:val="nil"/>
              <w:left w:val="nil"/>
              <w:bottom w:val="double" w:sz="4" w:space="0" w:color="auto"/>
              <w:right w:val="double" w:sz="4" w:space="0" w:color="auto"/>
            </w:tcBorders>
            <w:tcMar>
              <w:top w:w="0" w:type="dxa"/>
              <w:left w:w="108" w:type="dxa"/>
              <w:bottom w:w="0" w:type="dxa"/>
              <w:right w:w="108" w:type="dxa"/>
            </w:tcMar>
            <w:vAlign w:val="center"/>
          </w:tcPr>
          <w:p w14:paraId="67C96673" w14:textId="77777777"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2</w:t>
            </w:r>
            <w:r>
              <w:rPr>
                <w:rFonts w:ascii="Times New Roman" w:hAnsi="Times New Roman"/>
                <w:noProof/>
                <w:sz w:val="20"/>
                <w:szCs w:val="20"/>
              </w:rPr>
              <w:t>,</w:t>
            </w:r>
            <w:r w:rsidRPr="00D4425F">
              <w:rPr>
                <w:rFonts w:ascii="Times New Roman" w:hAnsi="Times New Roman"/>
                <w:noProof/>
                <w:sz w:val="20"/>
                <w:szCs w:val="20"/>
              </w:rPr>
              <w:t>6</w:t>
            </w:r>
            <w:r>
              <w:rPr>
                <w:rFonts w:ascii="Times New Roman" w:hAnsi="Times New Roman"/>
                <w:noProof/>
                <w:sz w:val="20"/>
                <w:szCs w:val="20"/>
              </w:rPr>
              <w:t> %</w:t>
            </w:r>
          </w:p>
        </w:tc>
        <w:tc>
          <w:tcPr>
            <w:tcW w:w="402" w:type="pct"/>
            <w:tcBorders>
              <w:top w:val="nil"/>
              <w:left w:val="nil"/>
              <w:bottom w:val="double" w:sz="4" w:space="0" w:color="auto"/>
              <w:right w:val="double" w:sz="4" w:space="0" w:color="auto"/>
            </w:tcBorders>
            <w:vAlign w:val="center"/>
          </w:tcPr>
          <w:p w14:paraId="346C3D8B" w14:textId="77777777"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2</w:t>
            </w:r>
            <w:r>
              <w:rPr>
                <w:rFonts w:ascii="Times New Roman" w:hAnsi="Times New Roman"/>
                <w:noProof/>
                <w:sz w:val="20"/>
                <w:szCs w:val="20"/>
              </w:rPr>
              <w:t>,</w:t>
            </w:r>
            <w:r w:rsidRPr="00D4425F">
              <w:rPr>
                <w:rFonts w:ascii="Times New Roman" w:hAnsi="Times New Roman"/>
                <w:noProof/>
                <w:sz w:val="20"/>
                <w:szCs w:val="20"/>
              </w:rPr>
              <w:t>0</w:t>
            </w:r>
            <w:r>
              <w:rPr>
                <w:rFonts w:ascii="Times New Roman" w:hAnsi="Times New Roman"/>
                <w:noProof/>
                <w:sz w:val="20"/>
                <w:szCs w:val="20"/>
              </w:rPr>
              <w:t> %</w:t>
            </w:r>
          </w:p>
        </w:tc>
        <w:tc>
          <w:tcPr>
            <w:tcW w:w="401" w:type="pct"/>
            <w:tcBorders>
              <w:top w:val="nil"/>
              <w:left w:val="nil"/>
              <w:bottom w:val="double" w:sz="4" w:space="0" w:color="auto"/>
              <w:right w:val="double" w:sz="4" w:space="0" w:color="auto"/>
            </w:tcBorders>
            <w:vAlign w:val="center"/>
          </w:tcPr>
          <w:p w14:paraId="3781C953" w14:textId="28D05805" w:rsidR="007102CE" w:rsidRPr="00DA11F1" w:rsidRDefault="007102CE" w:rsidP="00CD3632">
            <w:pPr>
              <w:spacing w:after="0"/>
              <w:jc w:val="center"/>
              <w:rPr>
                <w:rFonts w:ascii="Times New Roman" w:hAnsi="Times New Roman"/>
                <w:noProof/>
                <w:color w:val="000000"/>
                <w:sz w:val="20"/>
                <w:szCs w:val="20"/>
              </w:rPr>
            </w:pPr>
            <w:r w:rsidRPr="00D4425F">
              <w:rPr>
                <w:rFonts w:ascii="Times New Roman" w:hAnsi="Times New Roman"/>
                <w:noProof/>
                <w:sz w:val="20"/>
                <w:szCs w:val="20"/>
              </w:rPr>
              <w:t>1</w:t>
            </w:r>
            <w:r>
              <w:rPr>
                <w:rFonts w:ascii="Times New Roman" w:hAnsi="Times New Roman"/>
                <w:noProof/>
                <w:sz w:val="20"/>
                <w:szCs w:val="20"/>
              </w:rPr>
              <w:t>,</w:t>
            </w:r>
            <w:r w:rsidRPr="00D4425F">
              <w:rPr>
                <w:rFonts w:ascii="Times New Roman" w:hAnsi="Times New Roman"/>
                <w:noProof/>
                <w:sz w:val="20"/>
                <w:szCs w:val="20"/>
              </w:rPr>
              <w:t>6</w:t>
            </w:r>
            <w:r>
              <w:rPr>
                <w:rFonts w:ascii="Times New Roman" w:hAnsi="Times New Roman"/>
                <w:noProof/>
                <w:sz w:val="20"/>
                <w:szCs w:val="20"/>
              </w:rPr>
              <w:t> %</w:t>
            </w:r>
          </w:p>
        </w:tc>
        <w:tc>
          <w:tcPr>
            <w:tcW w:w="400" w:type="pct"/>
            <w:tcBorders>
              <w:top w:val="nil"/>
              <w:left w:val="nil"/>
              <w:bottom w:val="double" w:sz="4" w:space="0" w:color="auto"/>
              <w:right w:val="double" w:sz="4" w:space="0" w:color="auto"/>
            </w:tcBorders>
            <w:vAlign w:val="center"/>
          </w:tcPr>
          <w:p w14:paraId="5BE3F3F7" w14:textId="2CB63889" w:rsidR="007102CE" w:rsidRPr="00DA11F1" w:rsidRDefault="0001267A" w:rsidP="00CD3632">
            <w:pPr>
              <w:spacing w:after="0"/>
              <w:jc w:val="center"/>
              <w:rPr>
                <w:rFonts w:ascii="Times New Roman" w:hAnsi="Times New Roman"/>
                <w:noProof/>
                <w:sz w:val="20"/>
                <w:szCs w:val="20"/>
              </w:rPr>
            </w:pPr>
            <w:r>
              <w:rPr>
                <w:rFonts w:ascii="Times New Roman" w:hAnsi="Times New Roman"/>
                <w:noProof/>
                <w:sz w:val="20"/>
                <w:szCs w:val="20"/>
              </w:rPr>
              <w:t>-</w:t>
            </w:r>
            <w:r w:rsidRPr="00D4425F">
              <w:rPr>
                <w:rFonts w:ascii="Times New Roman" w:hAnsi="Times New Roman"/>
                <w:noProof/>
                <w:sz w:val="20"/>
                <w:szCs w:val="20"/>
              </w:rPr>
              <w:t>6</w:t>
            </w:r>
            <w:r>
              <w:rPr>
                <w:rFonts w:ascii="Times New Roman" w:hAnsi="Times New Roman"/>
                <w:noProof/>
                <w:sz w:val="20"/>
                <w:szCs w:val="20"/>
              </w:rPr>
              <w:t> %</w:t>
            </w:r>
            <w:r w:rsidRPr="00DA11F1">
              <w:rPr>
                <w:rStyle w:val="FootnoteReference"/>
                <w:rFonts w:ascii="Times New Roman" w:hAnsi="Times New Roman"/>
                <w:noProof/>
                <w:sz w:val="20"/>
                <w:szCs w:val="20"/>
              </w:rPr>
              <w:footnoteReference w:id="66"/>
            </w:r>
          </w:p>
        </w:tc>
      </w:tr>
    </w:tbl>
    <w:p w14:paraId="263FDCBB" w14:textId="2C984FC1" w:rsidR="00CF7267" w:rsidRPr="00DA11F1" w:rsidRDefault="009B1524" w:rsidP="008E33DB">
      <w:pPr>
        <w:ind w:right="57"/>
        <w:jc w:val="both"/>
        <w:rPr>
          <w:rFonts w:ascii="Times New Roman" w:eastAsia="Times New Roman" w:hAnsi="Times New Roman"/>
          <w:noProof/>
          <w:sz w:val="20"/>
          <w:szCs w:val="18"/>
        </w:rPr>
      </w:pPr>
      <w:r>
        <w:rPr>
          <w:rFonts w:ascii="Times New Roman" w:hAnsi="Times New Roman"/>
          <w:noProof/>
          <w:sz w:val="20"/>
          <w:szCs w:val="18"/>
        </w:rPr>
        <w:t>Bron: EUTL, bbp-gegevens als weergegeven op Eurostat (tabelcode: tec</w:t>
      </w:r>
      <w:r w:rsidRPr="00D4425F">
        <w:rPr>
          <w:rFonts w:ascii="Times New Roman" w:hAnsi="Times New Roman"/>
          <w:noProof/>
          <w:sz w:val="20"/>
          <w:szCs w:val="18"/>
        </w:rPr>
        <w:t>00115</w:t>
      </w:r>
      <w:r>
        <w:rPr>
          <w:rFonts w:ascii="Times New Roman" w:hAnsi="Times New Roman"/>
          <w:noProof/>
          <w:sz w:val="20"/>
          <w:szCs w:val="18"/>
        </w:rPr>
        <w:t>, geopend in juli </w:t>
      </w:r>
      <w:r w:rsidRPr="00D4425F">
        <w:rPr>
          <w:rFonts w:ascii="Times New Roman" w:hAnsi="Times New Roman"/>
          <w:noProof/>
          <w:sz w:val="20"/>
          <w:szCs w:val="18"/>
        </w:rPr>
        <w:t>2021</w:t>
      </w:r>
      <w:r>
        <w:rPr>
          <w:rFonts w:ascii="Times New Roman" w:hAnsi="Times New Roman"/>
          <w:noProof/>
          <w:sz w:val="20"/>
          <w:szCs w:val="18"/>
        </w:rPr>
        <w:t xml:space="preserve">). </w:t>
      </w:r>
      <w:r>
        <w:rPr>
          <w:rFonts w:ascii="Times New Roman" w:hAnsi="Times New Roman"/>
          <w:noProof/>
          <w:sz w:val="20"/>
        </w:rPr>
        <w:t>Over geverifieerde luchtvaartemissies wordt apart verslag uitgebracht in hoofdstuk </w:t>
      </w:r>
      <w:r w:rsidRPr="00D4425F">
        <w:rPr>
          <w:rFonts w:ascii="Times New Roman" w:hAnsi="Times New Roman"/>
          <w:noProof/>
          <w:sz w:val="20"/>
        </w:rPr>
        <w:t>4</w:t>
      </w:r>
      <w:r>
        <w:rPr>
          <w:rFonts w:ascii="Times New Roman" w:hAnsi="Times New Roman"/>
          <w:noProof/>
          <w:sz w:val="20"/>
        </w:rPr>
        <w:t>.</w:t>
      </w:r>
    </w:p>
    <w:p w14:paraId="7F1BC6D4" w14:textId="77777777" w:rsidR="004A71F9" w:rsidRPr="00DA11F1" w:rsidRDefault="004A71F9" w:rsidP="008E33DB">
      <w:pPr>
        <w:jc w:val="both"/>
        <w:rPr>
          <w:rFonts w:ascii="Times New Roman" w:hAnsi="Times New Roman"/>
          <w:noProof/>
          <w:sz w:val="24"/>
          <w:szCs w:val="24"/>
        </w:rPr>
        <w:sectPr w:rsidR="004A71F9" w:rsidRPr="00DA11F1" w:rsidSect="004A71F9">
          <w:headerReference w:type="even" r:id="rId41"/>
          <w:headerReference w:type="default" r:id="rId42"/>
          <w:footerReference w:type="even" r:id="rId43"/>
          <w:footerReference w:type="default" r:id="rId44"/>
          <w:headerReference w:type="first" r:id="rId45"/>
          <w:footerReference w:type="first" r:id="rId46"/>
          <w:pgSz w:w="16838" w:h="11906" w:orient="landscape"/>
          <w:pgMar w:top="1440" w:right="1440" w:bottom="1440" w:left="1440" w:header="709" w:footer="709" w:gutter="0"/>
          <w:cols w:space="720"/>
          <w:docGrid w:linePitch="360"/>
        </w:sectPr>
      </w:pPr>
    </w:p>
    <w:p w14:paraId="53A24324" w14:textId="5D730232" w:rsidR="00CF7267" w:rsidRPr="00DA11F1" w:rsidRDefault="00CF7267" w:rsidP="008E33DB">
      <w:pPr>
        <w:jc w:val="both"/>
        <w:rPr>
          <w:rFonts w:ascii="Times New Roman" w:hAnsi="Times New Roman"/>
          <w:noProof/>
          <w:sz w:val="24"/>
          <w:szCs w:val="24"/>
        </w:rPr>
      </w:pPr>
      <w:r>
        <w:rPr>
          <w:rFonts w:ascii="Times New Roman" w:hAnsi="Times New Roman"/>
          <w:noProof/>
          <w:sz w:val="24"/>
          <w:szCs w:val="24"/>
        </w:rPr>
        <w:t xml:space="preserve">Door de lagere emissies in </w:t>
      </w:r>
      <w:r w:rsidRPr="00D4425F">
        <w:rPr>
          <w:rFonts w:ascii="Times New Roman" w:hAnsi="Times New Roman"/>
          <w:noProof/>
          <w:sz w:val="24"/>
          <w:szCs w:val="24"/>
        </w:rPr>
        <w:t>2020</w:t>
      </w:r>
      <w:r>
        <w:rPr>
          <w:rFonts w:ascii="Times New Roman" w:hAnsi="Times New Roman"/>
          <w:noProof/>
          <w:sz w:val="24"/>
          <w:szCs w:val="24"/>
        </w:rPr>
        <w:t>, mede als gevolg van de COVID-</w:t>
      </w:r>
      <w:r w:rsidRPr="00D4425F">
        <w:rPr>
          <w:rFonts w:ascii="Times New Roman" w:hAnsi="Times New Roman"/>
          <w:noProof/>
          <w:sz w:val="24"/>
          <w:szCs w:val="24"/>
        </w:rPr>
        <w:t>19</w:t>
      </w:r>
      <w:r>
        <w:rPr>
          <w:rFonts w:ascii="Times New Roman" w:hAnsi="Times New Roman"/>
          <w:noProof/>
          <w:sz w:val="24"/>
          <w:szCs w:val="24"/>
        </w:rPr>
        <w:t xml:space="preserve">-pandemie, is de vraag naar emissierechten afgenomen, wat gevolgen had voor het totale overschot aan emissierechten op de koolstofmarkt van de EU en leidde tot een lichte stijging ten opzichte van </w:t>
      </w:r>
      <w:r w:rsidRPr="00D4425F">
        <w:rPr>
          <w:rFonts w:ascii="Times New Roman" w:hAnsi="Times New Roman"/>
          <w:noProof/>
          <w:sz w:val="24"/>
          <w:szCs w:val="24"/>
        </w:rPr>
        <w:t>2019</w:t>
      </w:r>
      <w:r>
        <w:rPr>
          <w:rFonts w:ascii="Times New Roman" w:hAnsi="Times New Roman"/>
          <w:noProof/>
          <w:sz w:val="24"/>
          <w:szCs w:val="24"/>
        </w:rPr>
        <w:t xml:space="preserve"> (zie punt </w:t>
      </w:r>
      <w:r w:rsidRPr="00D4425F">
        <w:rPr>
          <w:rFonts w:ascii="Times New Roman" w:hAnsi="Times New Roman"/>
          <w:noProof/>
          <w:sz w:val="24"/>
          <w:szCs w:val="24"/>
        </w:rPr>
        <w:t>3</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w:t>
      </w:r>
    </w:p>
    <w:p w14:paraId="6FE97DEF" w14:textId="2A812686" w:rsidR="00C043C1" w:rsidRPr="00DA11F1" w:rsidRDefault="00BF167D" w:rsidP="008E33DB">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Zoals blijkt uit </w:t>
      </w:r>
      <w:r w:rsidR="00C00BD7" w:rsidRPr="00DA11F1">
        <w:rPr>
          <w:rFonts w:ascii="Times New Roman" w:eastAsia="Times New Roman" w:hAnsi="Times New Roman"/>
          <w:noProof/>
          <w:sz w:val="24"/>
          <w:szCs w:val="24"/>
        </w:rPr>
        <w:fldChar w:fldCharType="begin"/>
      </w:r>
      <w:r w:rsidR="00C00BD7" w:rsidRPr="00DA11F1">
        <w:rPr>
          <w:rFonts w:ascii="Times New Roman" w:eastAsia="Times New Roman" w:hAnsi="Times New Roman"/>
          <w:noProof/>
          <w:sz w:val="24"/>
          <w:szCs w:val="24"/>
        </w:rPr>
        <w:instrText xml:space="preserve"> REF _Ref85031151  \* MERGEFORMAT </w:instrText>
      </w:r>
      <w:r w:rsidR="00C00BD7" w:rsidRPr="00DA11F1">
        <w:rPr>
          <w:rFonts w:ascii="Times New Roman" w:eastAsia="Times New Roman" w:hAnsi="Times New Roman"/>
          <w:noProof/>
          <w:sz w:val="24"/>
          <w:szCs w:val="24"/>
        </w:rPr>
        <w:fldChar w:fldCharType="separate"/>
      </w:r>
      <w:r w:rsidR="009755A3">
        <w:rPr>
          <w:rFonts w:ascii="Times New Roman" w:hAnsi="Times New Roman"/>
          <w:noProof/>
          <w:sz w:val="24"/>
          <w:szCs w:val="24"/>
        </w:rPr>
        <w:t>Figuur </w:t>
      </w:r>
      <w:r w:rsidR="00C00BD7" w:rsidRPr="00D4425F">
        <w:rPr>
          <w:rFonts w:ascii="Times New Roman" w:hAnsi="Times New Roman"/>
          <w:noProof/>
          <w:sz w:val="24"/>
          <w:szCs w:val="24"/>
        </w:rPr>
        <w:t>6</w:t>
      </w:r>
      <w:r w:rsidR="00C00BD7" w:rsidRPr="00DA11F1">
        <w:rPr>
          <w:rFonts w:ascii="Times New Roman" w:eastAsia="Times New Roman" w:hAnsi="Times New Roman"/>
          <w:noProof/>
          <w:sz w:val="24"/>
          <w:szCs w:val="24"/>
        </w:rPr>
        <w:fldChar w:fldCharType="end"/>
      </w:r>
      <w:r>
        <w:rPr>
          <w:rFonts w:ascii="Times New Roman" w:hAnsi="Times New Roman"/>
          <w:noProof/>
          <w:sz w:val="24"/>
          <w:szCs w:val="24"/>
        </w:rPr>
        <w:t xml:space="preserve"> waren de belangrijkste energiebronstromen in fase </w:t>
      </w:r>
      <w:r w:rsidRPr="00D4425F">
        <w:rPr>
          <w:rFonts w:ascii="Times New Roman" w:hAnsi="Times New Roman"/>
          <w:noProof/>
          <w:sz w:val="24"/>
          <w:szCs w:val="24"/>
        </w:rPr>
        <w:t>3</w:t>
      </w:r>
      <w:r>
        <w:rPr>
          <w:rFonts w:ascii="Times New Roman" w:hAnsi="Times New Roman"/>
          <w:noProof/>
          <w:sz w:val="24"/>
          <w:szCs w:val="24"/>
        </w:rPr>
        <w:t xml:space="preserve"> steenkool, bruinkool (en subbitumineuze steenkool) en aardgas. Deze drie groepen vertegenwoordigen elk jaar ongeveer </w:t>
      </w:r>
      <w:r w:rsidRPr="00D4425F">
        <w:rPr>
          <w:rFonts w:ascii="Times New Roman" w:hAnsi="Times New Roman"/>
          <w:noProof/>
          <w:sz w:val="24"/>
          <w:szCs w:val="24"/>
        </w:rPr>
        <w:t>75</w:t>
      </w:r>
      <w:r>
        <w:rPr>
          <w:rFonts w:ascii="Times New Roman" w:hAnsi="Times New Roman"/>
          <w:noProof/>
          <w:sz w:val="24"/>
          <w:szCs w:val="24"/>
        </w:rPr>
        <w:t xml:space="preserve"> % van de emissies van fossiele brandstoffen, maar het aandeel steenkool neemt duidelijk af, terwijl het aandeel van aardgas toeneemt. Dit was duidelijker in </w:t>
      </w:r>
      <w:r w:rsidRPr="00D4425F">
        <w:rPr>
          <w:rFonts w:ascii="Times New Roman" w:hAnsi="Times New Roman"/>
          <w:noProof/>
          <w:sz w:val="24"/>
          <w:szCs w:val="24"/>
        </w:rPr>
        <w:t>2019</w:t>
      </w:r>
      <w:r>
        <w:rPr>
          <w:rFonts w:ascii="Times New Roman" w:hAnsi="Times New Roman"/>
          <w:noProof/>
          <w:sz w:val="24"/>
          <w:szCs w:val="24"/>
        </w:rPr>
        <w:t xml:space="preserve"> en </w:t>
      </w:r>
      <w:r w:rsidRPr="00D4425F">
        <w:rPr>
          <w:rFonts w:ascii="Times New Roman" w:hAnsi="Times New Roman"/>
          <w:noProof/>
          <w:sz w:val="24"/>
          <w:szCs w:val="24"/>
        </w:rPr>
        <w:t>2020</w:t>
      </w:r>
      <w:r>
        <w:rPr>
          <w:rFonts w:ascii="Times New Roman" w:hAnsi="Times New Roman"/>
          <w:noProof/>
          <w:sz w:val="24"/>
          <w:szCs w:val="24"/>
        </w:rPr>
        <w:t xml:space="preserve">: de emissies van steenkool vertegenwoordigden slechts </w:t>
      </w:r>
      <w:r w:rsidRPr="00D4425F">
        <w:rPr>
          <w:rFonts w:ascii="Times New Roman" w:hAnsi="Times New Roman"/>
          <w:noProof/>
          <w:sz w:val="24"/>
          <w:szCs w:val="24"/>
        </w:rPr>
        <w:t>16</w:t>
      </w:r>
      <w:r>
        <w:rPr>
          <w:rFonts w:ascii="Times New Roman" w:hAnsi="Times New Roman"/>
          <w:noProof/>
          <w:sz w:val="24"/>
          <w:szCs w:val="24"/>
        </w:rPr>
        <w:t xml:space="preserve"> % van de totale emissies in deze twee jaar (een daling ten opzichte van </w:t>
      </w:r>
      <w:r w:rsidRPr="00D4425F">
        <w:rPr>
          <w:rFonts w:ascii="Times New Roman" w:hAnsi="Times New Roman"/>
          <w:noProof/>
          <w:sz w:val="24"/>
          <w:szCs w:val="24"/>
        </w:rPr>
        <w:t>29</w:t>
      </w:r>
      <w:r>
        <w:rPr>
          <w:rFonts w:ascii="Times New Roman" w:hAnsi="Times New Roman"/>
          <w:noProof/>
          <w:sz w:val="24"/>
          <w:szCs w:val="24"/>
        </w:rPr>
        <w:t xml:space="preserve"> % in </w:t>
      </w:r>
      <w:r w:rsidRPr="00D4425F">
        <w:rPr>
          <w:rFonts w:ascii="Times New Roman" w:hAnsi="Times New Roman"/>
          <w:noProof/>
          <w:sz w:val="24"/>
          <w:szCs w:val="24"/>
        </w:rPr>
        <w:t>2013</w:t>
      </w:r>
      <w:r>
        <w:rPr>
          <w:rFonts w:ascii="Times New Roman" w:hAnsi="Times New Roman"/>
          <w:noProof/>
          <w:sz w:val="24"/>
          <w:szCs w:val="24"/>
        </w:rPr>
        <w:t xml:space="preserve">), de emissies van aardgas in </w:t>
      </w:r>
      <w:r w:rsidRPr="00D4425F">
        <w:rPr>
          <w:rFonts w:ascii="Times New Roman" w:hAnsi="Times New Roman"/>
          <w:noProof/>
          <w:sz w:val="24"/>
          <w:szCs w:val="24"/>
        </w:rPr>
        <w:t>2020</w:t>
      </w:r>
      <w:r>
        <w:rPr>
          <w:rFonts w:ascii="Times New Roman" w:hAnsi="Times New Roman"/>
          <w:noProof/>
          <w:sz w:val="24"/>
          <w:szCs w:val="24"/>
        </w:rPr>
        <w:t xml:space="preserve"> bedroegen </w:t>
      </w:r>
      <w:r w:rsidRPr="00D4425F">
        <w:rPr>
          <w:rFonts w:ascii="Times New Roman" w:hAnsi="Times New Roman"/>
          <w:noProof/>
          <w:sz w:val="24"/>
          <w:szCs w:val="24"/>
        </w:rPr>
        <w:t>35</w:t>
      </w:r>
      <w:r>
        <w:rPr>
          <w:rFonts w:ascii="Times New Roman" w:hAnsi="Times New Roman"/>
          <w:noProof/>
          <w:sz w:val="24"/>
          <w:szCs w:val="24"/>
        </w:rPr>
        <w:t xml:space="preserve"> % (een stijging ten opzichte van </w:t>
      </w:r>
      <w:r w:rsidRPr="00D4425F">
        <w:rPr>
          <w:rFonts w:ascii="Times New Roman" w:hAnsi="Times New Roman"/>
          <w:noProof/>
          <w:sz w:val="24"/>
          <w:szCs w:val="24"/>
        </w:rPr>
        <w:t>24</w:t>
      </w:r>
      <w:r>
        <w:rPr>
          <w:rFonts w:ascii="Times New Roman" w:hAnsi="Times New Roman"/>
          <w:noProof/>
          <w:sz w:val="24"/>
          <w:szCs w:val="24"/>
        </w:rPr>
        <w:t xml:space="preserve"> % in </w:t>
      </w:r>
      <w:r w:rsidRPr="00D4425F">
        <w:rPr>
          <w:rFonts w:ascii="Times New Roman" w:hAnsi="Times New Roman"/>
          <w:noProof/>
          <w:sz w:val="24"/>
          <w:szCs w:val="24"/>
        </w:rPr>
        <w:t>2013</w:t>
      </w:r>
      <w:r>
        <w:rPr>
          <w:rFonts w:ascii="Times New Roman" w:hAnsi="Times New Roman"/>
          <w:noProof/>
          <w:sz w:val="24"/>
          <w:szCs w:val="24"/>
        </w:rPr>
        <w:t xml:space="preserve">), terwijl de emissies van bruinkool licht daalden van een piek van </w:t>
      </w:r>
      <w:r w:rsidRPr="00D4425F">
        <w:rPr>
          <w:rFonts w:ascii="Times New Roman" w:hAnsi="Times New Roman"/>
          <w:noProof/>
          <w:sz w:val="24"/>
          <w:szCs w:val="24"/>
        </w:rPr>
        <w:t>27</w:t>
      </w:r>
      <w:r>
        <w:rPr>
          <w:rFonts w:ascii="Times New Roman" w:hAnsi="Times New Roman"/>
          <w:noProof/>
          <w:sz w:val="24"/>
          <w:szCs w:val="24"/>
        </w:rPr>
        <w:t xml:space="preserve"> % in </w:t>
      </w:r>
      <w:r w:rsidRPr="00D4425F">
        <w:rPr>
          <w:rFonts w:ascii="Times New Roman" w:hAnsi="Times New Roman"/>
          <w:noProof/>
          <w:sz w:val="24"/>
          <w:szCs w:val="24"/>
        </w:rPr>
        <w:t>2014</w:t>
      </w:r>
      <w:r>
        <w:rPr>
          <w:rFonts w:ascii="Times New Roman" w:hAnsi="Times New Roman"/>
          <w:noProof/>
          <w:sz w:val="24"/>
          <w:szCs w:val="24"/>
        </w:rPr>
        <w:t xml:space="preserve"> tot </w:t>
      </w:r>
      <w:r w:rsidRPr="00D4425F">
        <w:rPr>
          <w:rFonts w:ascii="Times New Roman" w:hAnsi="Times New Roman"/>
          <w:noProof/>
          <w:sz w:val="24"/>
          <w:szCs w:val="24"/>
        </w:rPr>
        <w:t>23</w:t>
      </w:r>
      <w:r>
        <w:rPr>
          <w:rFonts w:ascii="Times New Roman" w:hAnsi="Times New Roman"/>
          <w:noProof/>
          <w:sz w:val="24"/>
          <w:szCs w:val="24"/>
        </w:rPr>
        <w:t xml:space="preserve"> % in </w:t>
      </w:r>
      <w:r w:rsidRPr="00D4425F">
        <w:rPr>
          <w:rFonts w:ascii="Times New Roman" w:hAnsi="Times New Roman"/>
          <w:noProof/>
          <w:sz w:val="24"/>
          <w:szCs w:val="24"/>
        </w:rPr>
        <w:t>2020</w:t>
      </w:r>
      <w:r>
        <w:rPr>
          <w:rFonts w:ascii="Times New Roman" w:hAnsi="Times New Roman"/>
          <w:noProof/>
          <w:sz w:val="24"/>
          <w:szCs w:val="24"/>
        </w:rPr>
        <w:t>. Net als in voorgaande jaren waren andere belangrijke energiebronnen in het laatste jaar van fase </w:t>
      </w:r>
      <w:r w:rsidRPr="00D4425F">
        <w:rPr>
          <w:rFonts w:ascii="Times New Roman" w:hAnsi="Times New Roman"/>
          <w:noProof/>
          <w:sz w:val="24"/>
          <w:szCs w:val="24"/>
        </w:rPr>
        <w:t>3</w:t>
      </w:r>
      <w:r>
        <w:rPr>
          <w:rFonts w:ascii="Times New Roman" w:hAnsi="Times New Roman"/>
          <w:noProof/>
          <w:sz w:val="24"/>
          <w:szCs w:val="24"/>
        </w:rPr>
        <w:t xml:space="preserve"> met name raffinaderijgas (en andere gassen die voortkomen uit een procedé) en andere fossiele brandstoffen, die respectievelijk </w:t>
      </w:r>
      <w:r w:rsidRPr="00D4425F">
        <w:rPr>
          <w:rFonts w:ascii="Times New Roman" w:hAnsi="Times New Roman"/>
          <w:noProof/>
          <w:sz w:val="24"/>
          <w:szCs w:val="24"/>
        </w:rPr>
        <w:t>8</w:t>
      </w:r>
      <w:r>
        <w:rPr>
          <w:rFonts w:ascii="Times New Roman" w:hAnsi="Times New Roman"/>
          <w:noProof/>
          <w:sz w:val="24"/>
          <w:szCs w:val="24"/>
        </w:rPr>
        <w:t>,</w:t>
      </w:r>
      <w:r w:rsidRPr="00D4425F">
        <w:rPr>
          <w:rFonts w:ascii="Times New Roman" w:hAnsi="Times New Roman"/>
          <w:noProof/>
          <w:sz w:val="24"/>
          <w:szCs w:val="24"/>
        </w:rPr>
        <w:t>4</w:t>
      </w:r>
      <w:r>
        <w:rPr>
          <w:rFonts w:ascii="Times New Roman" w:hAnsi="Times New Roman"/>
          <w:noProof/>
          <w:sz w:val="24"/>
          <w:szCs w:val="24"/>
        </w:rPr>
        <w:t xml:space="preserve"> % en </w:t>
      </w:r>
      <w:r w:rsidRPr="00D4425F">
        <w:rPr>
          <w:rFonts w:ascii="Times New Roman" w:hAnsi="Times New Roman"/>
          <w:noProof/>
          <w:sz w:val="24"/>
          <w:szCs w:val="24"/>
        </w:rPr>
        <w:t>6</w:t>
      </w:r>
      <w:r>
        <w:rPr>
          <w:rFonts w:ascii="Times New Roman" w:hAnsi="Times New Roman"/>
          <w:noProof/>
          <w:sz w:val="24"/>
          <w:szCs w:val="24"/>
        </w:rPr>
        <w:t>,</w:t>
      </w:r>
      <w:r w:rsidRPr="00D4425F">
        <w:rPr>
          <w:rFonts w:ascii="Times New Roman" w:hAnsi="Times New Roman"/>
          <w:noProof/>
          <w:sz w:val="24"/>
          <w:szCs w:val="24"/>
        </w:rPr>
        <w:t>8</w:t>
      </w:r>
      <w:r>
        <w:rPr>
          <w:rFonts w:ascii="Times New Roman" w:hAnsi="Times New Roman"/>
          <w:noProof/>
          <w:sz w:val="24"/>
          <w:szCs w:val="24"/>
        </w:rPr>
        <w:t> % van de totale gerapporteerde verbrandingsemissies vertegenwoordigde</w:t>
      </w:r>
      <w:r w:rsidR="009755A3">
        <w:rPr>
          <w:rFonts w:ascii="Times New Roman" w:hAnsi="Times New Roman"/>
          <w:noProof/>
          <w:sz w:val="24"/>
          <w:szCs w:val="24"/>
        </w:rPr>
        <w:t>n.</w:t>
      </w:r>
    </w:p>
    <w:p w14:paraId="2603BDD8" w14:textId="1B1E3B99" w:rsidR="00C00BD7" w:rsidRPr="00DA11F1" w:rsidRDefault="00C00BD7" w:rsidP="008E33DB">
      <w:pPr>
        <w:pStyle w:val="Caption"/>
        <w:keepNext/>
        <w:jc w:val="both"/>
        <w:rPr>
          <w:rFonts w:ascii="Times New Roman" w:hAnsi="Times New Roman"/>
          <w:noProof/>
          <w:sz w:val="22"/>
        </w:rPr>
      </w:pPr>
      <w:bookmarkStart w:id="54" w:name="_Ref85031151"/>
      <w:r>
        <w:rPr>
          <w:rFonts w:ascii="Times New Roman" w:hAnsi="Times New Roman"/>
          <w:noProof/>
          <w:sz w:val="22"/>
        </w:rPr>
        <w:t>Figuur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4425F">
        <w:rPr>
          <w:rFonts w:ascii="Times New Roman" w:hAnsi="Times New Roman"/>
          <w:noProof/>
          <w:sz w:val="22"/>
        </w:rPr>
        <w:t>6</w:t>
      </w:r>
      <w:r w:rsidR="00F2602C" w:rsidRPr="00DA11F1">
        <w:rPr>
          <w:rFonts w:ascii="Times New Roman" w:hAnsi="Times New Roman"/>
          <w:noProof/>
          <w:sz w:val="22"/>
        </w:rPr>
        <w:fldChar w:fldCharType="end"/>
      </w:r>
      <w:bookmarkEnd w:id="54"/>
      <w:r>
        <w:rPr>
          <w:noProof/>
          <w:sz w:val="22"/>
        </w:rPr>
        <w:t>.</w:t>
      </w:r>
      <w:r>
        <w:rPr>
          <w:rFonts w:ascii="Times New Roman" w:hAnsi="Times New Roman"/>
          <w:noProof/>
          <w:sz w:val="22"/>
        </w:rPr>
        <w:t xml:space="preserve"> Aandeel van de emissies per brandstoftype (% van de totale brandstofemissies in het EU-ETS, geen percentage vermeld als dit voor een brandstof nooit meer dan </w:t>
      </w:r>
      <w:r w:rsidRPr="00D4425F">
        <w:rPr>
          <w:rFonts w:ascii="Times New Roman" w:hAnsi="Times New Roman"/>
          <w:noProof/>
          <w:sz w:val="22"/>
        </w:rPr>
        <w:t>3</w:t>
      </w:r>
      <w:r>
        <w:rPr>
          <w:rFonts w:ascii="Times New Roman" w:hAnsi="Times New Roman"/>
          <w:noProof/>
          <w:sz w:val="22"/>
        </w:rPr>
        <w:t> % van het totaal bedraagt), [*] vallen niet onder de andere gespecificeerde brandstoffen</w:t>
      </w:r>
      <w:r w:rsidRPr="00DA11F1">
        <w:rPr>
          <w:rStyle w:val="FootnoteReference"/>
          <w:rFonts w:ascii="Times New Roman" w:eastAsia="Times New Roman" w:hAnsi="Times New Roman"/>
          <w:b w:val="0"/>
          <w:bCs w:val="0"/>
          <w:noProof/>
          <w:lang w:eastAsia="en-GB"/>
        </w:rPr>
        <w:footnoteReference w:id="67"/>
      </w:r>
    </w:p>
    <w:p w14:paraId="0B586F16" w14:textId="68A5DDBD" w:rsidR="00CF7267" w:rsidRPr="00DA11F1" w:rsidRDefault="00317172" w:rsidP="008E33DB">
      <w:pPr>
        <w:suppressAutoHyphens/>
        <w:jc w:val="both"/>
        <w:rPr>
          <w:rFonts w:ascii="Times New Roman" w:eastAsia="Times New Roman" w:hAnsi="Times New Roman"/>
          <w:noProof/>
          <w:sz w:val="24"/>
          <w:szCs w:val="24"/>
        </w:rPr>
      </w:pPr>
      <w:r w:rsidRPr="009F369D">
        <w:rPr>
          <w:noProof/>
          <w:lang w:val="en-GB" w:eastAsia="en-GB"/>
        </w:rPr>
        <w:drawing>
          <wp:inline distT="0" distB="0" distL="0" distR="0" wp14:anchorId="3E3893FF" wp14:editId="1D692362">
            <wp:extent cx="5731510" cy="32981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31510" cy="3298190"/>
                    </a:xfrm>
                    <a:prstGeom prst="rect">
                      <a:avLst/>
                    </a:prstGeom>
                    <a:noFill/>
                    <a:ln>
                      <a:noFill/>
                    </a:ln>
                  </pic:spPr>
                </pic:pic>
              </a:graphicData>
            </a:graphic>
          </wp:inline>
        </w:drawing>
      </w:r>
    </w:p>
    <w:p w14:paraId="25DF8CE5" w14:textId="3BECA93D" w:rsidR="00D515FC" w:rsidRPr="00DA11F1" w:rsidRDefault="00D515FC" w:rsidP="008E33DB">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Op basis van de in </w:t>
      </w:r>
      <w:r w:rsidRPr="00D4425F">
        <w:rPr>
          <w:rFonts w:ascii="Times New Roman" w:hAnsi="Times New Roman"/>
          <w:noProof/>
          <w:sz w:val="24"/>
          <w:szCs w:val="24"/>
        </w:rPr>
        <w:t>2021</w:t>
      </w:r>
      <w:r>
        <w:rPr>
          <w:rFonts w:ascii="Times New Roman" w:hAnsi="Times New Roman"/>
          <w:noProof/>
          <w:sz w:val="24"/>
          <w:szCs w:val="24"/>
        </w:rPr>
        <w:t xml:space="preserve"> krachtens artikel </w:t>
      </w:r>
      <w:r w:rsidRPr="00D4425F">
        <w:rPr>
          <w:rFonts w:ascii="Times New Roman" w:hAnsi="Times New Roman"/>
          <w:noProof/>
          <w:sz w:val="24"/>
          <w:szCs w:val="24"/>
        </w:rPr>
        <w:t>21</w:t>
      </w:r>
      <w:r>
        <w:rPr>
          <w:rFonts w:ascii="Times New Roman" w:hAnsi="Times New Roman"/>
          <w:noProof/>
          <w:sz w:val="24"/>
          <w:szCs w:val="24"/>
        </w:rPr>
        <w:t xml:space="preserve"> door de lidstaten</w:t>
      </w:r>
      <w:r w:rsidR="005C4BD5" w:rsidRPr="00DA11F1">
        <w:rPr>
          <w:rStyle w:val="FootnoteReference"/>
          <w:rFonts w:ascii="Times New Roman" w:eastAsia="Times New Roman" w:hAnsi="Times New Roman"/>
          <w:noProof/>
          <w:sz w:val="24"/>
          <w:szCs w:val="24"/>
          <w:lang w:eastAsia="da-DK"/>
        </w:rPr>
        <w:footnoteReference w:id="68"/>
      </w:r>
      <w:r>
        <w:rPr>
          <w:rFonts w:ascii="Times New Roman" w:hAnsi="Times New Roman"/>
          <w:noProof/>
          <w:sz w:val="24"/>
          <w:szCs w:val="24"/>
        </w:rPr>
        <w:t xml:space="preserve"> ingediende verslagen zijn de emissies van biomassa waarvoor het nultarief geldt, gedaald van </w:t>
      </w:r>
      <w:r w:rsidRPr="00D4425F">
        <w:rPr>
          <w:rFonts w:ascii="Times New Roman" w:hAnsi="Times New Roman"/>
          <w:noProof/>
          <w:sz w:val="24"/>
          <w:szCs w:val="24"/>
        </w:rPr>
        <w:t>150</w:t>
      </w:r>
      <w:r>
        <w:rPr>
          <w:rFonts w:ascii="Times New Roman" w:hAnsi="Times New Roman"/>
          <w:noProof/>
          <w:sz w:val="24"/>
          <w:szCs w:val="24"/>
        </w:rPr>
        <w:t xml:space="preserve"> miljoen ton in </w:t>
      </w:r>
      <w:r w:rsidRPr="00D4425F">
        <w:rPr>
          <w:rFonts w:ascii="Times New Roman" w:hAnsi="Times New Roman"/>
          <w:noProof/>
          <w:sz w:val="24"/>
          <w:szCs w:val="24"/>
        </w:rPr>
        <w:t>2019</w:t>
      </w:r>
      <w:r>
        <w:rPr>
          <w:rFonts w:ascii="Times New Roman" w:hAnsi="Times New Roman"/>
          <w:noProof/>
          <w:sz w:val="24"/>
          <w:szCs w:val="24"/>
        </w:rPr>
        <w:t xml:space="preserve"> tot </w:t>
      </w:r>
      <w:r w:rsidRPr="00D4425F">
        <w:rPr>
          <w:rFonts w:ascii="Times New Roman" w:hAnsi="Times New Roman"/>
          <w:noProof/>
          <w:sz w:val="24"/>
          <w:szCs w:val="24"/>
        </w:rPr>
        <w:t>142</w:t>
      </w:r>
      <w:r>
        <w:rPr>
          <w:rFonts w:ascii="Times New Roman" w:hAnsi="Times New Roman"/>
          <w:noProof/>
          <w:sz w:val="24"/>
          <w:szCs w:val="24"/>
        </w:rPr>
        <w:t xml:space="preserve"> miljoen ton in </w:t>
      </w:r>
      <w:r w:rsidRPr="00D4425F">
        <w:rPr>
          <w:rFonts w:ascii="Times New Roman" w:hAnsi="Times New Roman"/>
          <w:noProof/>
          <w:sz w:val="24"/>
          <w:szCs w:val="24"/>
        </w:rPr>
        <w:t>2020</w:t>
      </w:r>
      <w:r>
        <w:rPr>
          <w:noProof/>
          <w:lang w:val="en-GB" w:eastAsia="en-GB"/>
        </w:rPr>
        <mc:AlternateContent>
          <mc:Choice Requires="wps">
            <w:drawing>
              <wp:anchor distT="0" distB="0" distL="114300" distR="114300" simplePos="0" relativeHeight="251657216" behindDoc="0" locked="0" layoutInCell="1" allowOverlap="1" wp14:anchorId="0C2CEAC9" wp14:editId="74117D46">
                <wp:simplePos x="0" y="0"/>
                <wp:positionH relativeFrom="column">
                  <wp:posOffset>-5080</wp:posOffset>
                </wp:positionH>
                <wp:positionV relativeFrom="paragraph">
                  <wp:posOffset>4960620</wp:posOffset>
                </wp:positionV>
                <wp:extent cx="4972050" cy="280670"/>
                <wp:effectExtent l="0" t="0" r="0" b="0"/>
                <wp:wrapNone/>
                <wp:docPr id="7"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280670"/>
                        </a:xfrm>
                        <a:prstGeom prst="rect">
                          <a:avLst/>
                        </a:prstGeom>
                        <a:solidFill>
                          <a:prstClr val="white"/>
                        </a:solidFill>
                        <a:ln>
                          <a:noFill/>
                        </a:ln>
                        <a:effectLst/>
                      </wps:spPr>
                      <wps:txbx>
                        <w:txbxContent>
                          <w:p w14:paraId="70110FF6" w14:textId="77777777" w:rsidR="008B0254" w:rsidRPr="00835319" w:rsidRDefault="008B0254" w:rsidP="00D515FC">
                            <w:pPr>
                              <w:pStyle w:val="Caption"/>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C2CEAC9" id="Textfeld 10" o:spid="_x0000_s1033" type="#_x0000_t202" style="position:absolute;left:0;text-align:left;margin-left:-.4pt;margin-top:390.6pt;width:391.5pt;height:2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" stroked="f">
                <v:path arrowok="t"/>
                <v:textbox style="mso-fit-shape-to-text:t" inset="0,0,0,0">
                  <w:txbxContent>
                    <w:p w14:paraId="70110FF6" w14:textId="77777777" w:rsidR="008B0254" w:rsidRPr="00835319" w:rsidRDefault="008B0254" w:rsidP="00D515FC">
                      <w:pPr>
                        <w:pStyle w:val="Caption"/>
                      </w:pPr>
                    </w:p>
                  </w:txbxContent>
                </v:textbox>
              </v:shape>
            </w:pict>
          </mc:Fallback>
        </mc:AlternateContent>
      </w:r>
      <w:r>
        <w:rPr>
          <w:rFonts w:ascii="Times New Roman" w:hAnsi="Times New Roman"/>
          <w:noProof/>
          <w:sz w:val="24"/>
          <w:szCs w:val="24"/>
        </w:rPr>
        <w:t xml:space="preserve">, een vergelijkbaar niveau als in </w:t>
      </w:r>
      <w:r w:rsidRPr="00D4425F">
        <w:rPr>
          <w:rFonts w:ascii="Times New Roman" w:hAnsi="Times New Roman"/>
          <w:noProof/>
          <w:sz w:val="24"/>
          <w:szCs w:val="24"/>
        </w:rPr>
        <w:t>2018</w:t>
      </w:r>
      <w:r>
        <w:rPr>
          <w:rFonts w:ascii="Times New Roman" w:hAnsi="Times New Roman"/>
          <w:noProof/>
          <w:sz w:val="24"/>
          <w:szCs w:val="24"/>
        </w:rPr>
        <w:t xml:space="preserve">. </w:t>
      </w:r>
      <w:r>
        <w:rPr>
          <w:rFonts w:ascii="Times New Roman" w:hAnsi="Times New Roman"/>
          <w:noProof/>
          <w:sz w:val="24"/>
          <w:szCs w:val="24"/>
        </w:rPr>
        <w:br/>
        <w:t xml:space="preserve">Door </w:t>
      </w:r>
      <w:r w:rsidRPr="00D4425F">
        <w:rPr>
          <w:rFonts w:ascii="Times New Roman" w:hAnsi="Times New Roman"/>
          <w:noProof/>
          <w:sz w:val="24"/>
          <w:szCs w:val="24"/>
        </w:rPr>
        <w:t>2</w:t>
      </w:r>
      <w:r>
        <w:rPr>
          <w:rFonts w:ascii="Times New Roman" w:hAnsi="Times New Roman"/>
          <w:noProof/>
          <w:sz w:val="24"/>
          <w:szCs w:val="24"/>
        </w:rPr>
        <w:t> </w:t>
      </w:r>
      <w:r w:rsidRPr="00D4425F">
        <w:rPr>
          <w:rFonts w:ascii="Times New Roman" w:hAnsi="Times New Roman"/>
          <w:noProof/>
          <w:sz w:val="24"/>
          <w:szCs w:val="24"/>
        </w:rPr>
        <w:t>163</w:t>
      </w:r>
      <w:r>
        <w:rPr>
          <w:rFonts w:ascii="Times New Roman" w:hAnsi="Times New Roman"/>
          <w:noProof/>
          <w:sz w:val="24"/>
          <w:szCs w:val="24"/>
        </w:rPr>
        <w:t xml:space="preserve"> van de </w:t>
      </w:r>
      <w:r w:rsidRPr="00D4425F">
        <w:rPr>
          <w:rFonts w:ascii="Times New Roman" w:hAnsi="Times New Roman"/>
          <w:noProof/>
          <w:sz w:val="24"/>
          <w:szCs w:val="24"/>
        </w:rPr>
        <w:t>9</w:t>
      </w:r>
      <w:r>
        <w:rPr>
          <w:rFonts w:ascii="Times New Roman" w:hAnsi="Times New Roman"/>
          <w:noProof/>
          <w:sz w:val="24"/>
          <w:szCs w:val="24"/>
        </w:rPr>
        <w:t> </w:t>
      </w:r>
      <w:r w:rsidRPr="00D4425F">
        <w:rPr>
          <w:rFonts w:ascii="Times New Roman" w:hAnsi="Times New Roman"/>
          <w:noProof/>
          <w:sz w:val="24"/>
          <w:szCs w:val="24"/>
        </w:rPr>
        <w:t>623</w:t>
      </w:r>
      <w:r>
        <w:rPr>
          <w:rFonts w:ascii="Times New Roman" w:hAnsi="Times New Roman"/>
          <w:noProof/>
          <w:sz w:val="24"/>
          <w:szCs w:val="24"/>
        </w:rPr>
        <w:t> installaties (</w:t>
      </w:r>
      <w:r w:rsidRPr="00D4425F">
        <w:rPr>
          <w:rFonts w:ascii="Times New Roman" w:hAnsi="Times New Roman"/>
          <w:noProof/>
          <w:sz w:val="24"/>
          <w:szCs w:val="24"/>
        </w:rPr>
        <w:t>22</w:t>
      </w:r>
      <w:r>
        <w:rPr>
          <w:rFonts w:ascii="Times New Roman" w:hAnsi="Times New Roman"/>
          <w:noProof/>
          <w:sz w:val="24"/>
          <w:szCs w:val="24"/>
        </w:rPr>
        <w:t>,</w:t>
      </w:r>
      <w:r w:rsidRPr="00D4425F">
        <w:rPr>
          <w:rFonts w:ascii="Times New Roman" w:hAnsi="Times New Roman"/>
          <w:noProof/>
          <w:sz w:val="24"/>
          <w:szCs w:val="24"/>
        </w:rPr>
        <w:t>5</w:t>
      </w:r>
      <w:r>
        <w:rPr>
          <w:rFonts w:ascii="Times New Roman" w:hAnsi="Times New Roman"/>
          <w:noProof/>
          <w:sz w:val="24"/>
          <w:szCs w:val="24"/>
        </w:rPr>
        <w:t xml:space="preserve"> % van alle rapporterende installaties in het EU-ETS) werd het gebruik van biomassa gemeld. De totale emissies uit biomassa in </w:t>
      </w:r>
      <w:r w:rsidRPr="00D4425F">
        <w:rPr>
          <w:rFonts w:ascii="Times New Roman" w:hAnsi="Times New Roman"/>
          <w:noProof/>
          <w:sz w:val="24"/>
          <w:szCs w:val="24"/>
        </w:rPr>
        <w:t>2020</w:t>
      </w:r>
      <w:r>
        <w:rPr>
          <w:rFonts w:ascii="Times New Roman" w:hAnsi="Times New Roman"/>
          <w:noProof/>
          <w:sz w:val="24"/>
          <w:szCs w:val="24"/>
        </w:rPr>
        <w:t xml:space="preserve"> zijn ongeveer tien keer lager dan de emissies van fossiele brandstoffen door onder het EU-ETS vallende sectoren. De emissies van biomassa waarvoor het nultarief niet geldt, zijn met ongeveer </w:t>
      </w:r>
      <w:r w:rsidRPr="00D4425F">
        <w:rPr>
          <w:rFonts w:ascii="Times New Roman" w:hAnsi="Times New Roman"/>
          <w:noProof/>
          <w:sz w:val="24"/>
          <w:szCs w:val="24"/>
        </w:rPr>
        <w:t>0</w:t>
      </w:r>
      <w:r>
        <w:rPr>
          <w:rFonts w:ascii="Times New Roman" w:hAnsi="Times New Roman"/>
          <w:noProof/>
          <w:sz w:val="24"/>
          <w:szCs w:val="24"/>
        </w:rPr>
        <w:t>,</w:t>
      </w:r>
      <w:r w:rsidRPr="00D4425F">
        <w:rPr>
          <w:rFonts w:ascii="Times New Roman" w:hAnsi="Times New Roman"/>
          <w:noProof/>
          <w:sz w:val="24"/>
          <w:szCs w:val="24"/>
        </w:rPr>
        <w:t>9</w:t>
      </w:r>
      <w:r>
        <w:rPr>
          <w:rFonts w:ascii="Times New Roman" w:hAnsi="Times New Roman"/>
          <w:noProof/>
          <w:sz w:val="24"/>
          <w:szCs w:val="24"/>
        </w:rPr>
        <w:t> miljoen ton CO</w:t>
      </w:r>
      <w:r w:rsidRPr="00D4425F">
        <w:rPr>
          <w:rFonts w:ascii="Times New Roman" w:hAnsi="Times New Roman"/>
          <w:noProof/>
          <w:sz w:val="24"/>
          <w:szCs w:val="24"/>
          <w:vertAlign w:val="subscript"/>
        </w:rPr>
        <w:t>2</w:t>
      </w:r>
      <w:r>
        <w:rPr>
          <w:rFonts w:ascii="Times New Roman" w:hAnsi="Times New Roman"/>
          <w:noProof/>
          <w:sz w:val="24"/>
          <w:szCs w:val="24"/>
        </w:rPr>
        <w:t xml:space="preserve">-equivalenten nog steeds minimaal en vertegenwoordigen minder dan </w:t>
      </w:r>
      <w:r w:rsidRPr="00D4425F">
        <w:rPr>
          <w:rFonts w:ascii="Times New Roman" w:hAnsi="Times New Roman"/>
          <w:noProof/>
          <w:sz w:val="24"/>
          <w:szCs w:val="24"/>
        </w:rPr>
        <w:t>0</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 van de totale EU-ETS-emissies.</w:t>
      </w:r>
    </w:p>
    <w:p w14:paraId="7A0BC1F3" w14:textId="465C7906" w:rsidR="004911DB" w:rsidRPr="00DA11F1" w:rsidRDefault="002E3B73" w:rsidP="008E33DB">
      <w:pPr>
        <w:suppressAutoHyphens/>
        <w:jc w:val="both"/>
        <w:rPr>
          <w:rFonts w:ascii="Times New Roman" w:eastAsia="Times New Roman" w:hAnsi="Times New Roman"/>
          <w:noProof/>
          <w:sz w:val="24"/>
          <w:szCs w:val="24"/>
        </w:rPr>
      </w:pPr>
      <w:r>
        <w:rPr>
          <w:rFonts w:ascii="Times New Roman" w:hAnsi="Times New Roman"/>
          <w:noProof/>
          <w:sz w:val="24"/>
          <w:szCs w:val="24"/>
        </w:rPr>
        <w:t xml:space="preserve">Met ingang van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2022</w:t>
      </w:r>
      <w:r>
        <w:rPr>
          <w:rFonts w:ascii="Times New Roman" w:hAnsi="Times New Roman"/>
          <w:noProof/>
          <w:sz w:val="24"/>
          <w:szCs w:val="24"/>
        </w:rPr>
        <w:t xml:space="preserve"> worden de nieuwe criteria inzake duurzaamheid en broeikasgasemissiereductie krachtens Richtlijn </w:t>
      </w:r>
      <w:r w:rsidRPr="00D4425F">
        <w:rPr>
          <w:rFonts w:ascii="Times New Roman" w:hAnsi="Times New Roman"/>
          <w:noProof/>
          <w:sz w:val="24"/>
          <w:szCs w:val="24"/>
        </w:rPr>
        <w:t>2018</w:t>
      </w:r>
      <w:r>
        <w:rPr>
          <w:rFonts w:ascii="Times New Roman" w:hAnsi="Times New Roman"/>
          <w:noProof/>
          <w:sz w:val="24"/>
          <w:szCs w:val="24"/>
        </w:rPr>
        <w:t>/</w:t>
      </w:r>
      <w:r w:rsidRPr="00D4425F">
        <w:rPr>
          <w:rFonts w:ascii="Times New Roman" w:hAnsi="Times New Roman"/>
          <w:noProof/>
          <w:sz w:val="24"/>
          <w:szCs w:val="24"/>
        </w:rPr>
        <w:t>2001</w:t>
      </w:r>
      <w:r>
        <w:rPr>
          <w:rFonts w:ascii="Times New Roman" w:hAnsi="Times New Roman"/>
          <w:noProof/>
          <w:sz w:val="24"/>
          <w:szCs w:val="24"/>
        </w:rPr>
        <w:t xml:space="preserve"> (richtlijn hernieuwbare energie)</w:t>
      </w:r>
      <w:r w:rsidRPr="00DA11F1">
        <w:rPr>
          <w:rFonts w:ascii="Times New Roman" w:eastAsia="Times New Roman" w:hAnsi="Times New Roman"/>
          <w:noProof/>
          <w:sz w:val="24"/>
          <w:szCs w:val="24"/>
          <w:vertAlign w:val="superscript"/>
          <w:lang w:eastAsia="da-DK"/>
        </w:rPr>
        <w:footnoteReference w:id="69"/>
      </w:r>
      <w:r>
        <w:rPr>
          <w:rFonts w:ascii="Times New Roman" w:hAnsi="Times New Roman"/>
          <w:noProof/>
          <w:sz w:val="24"/>
          <w:szCs w:val="24"/>
        </w:rPr>
        <w:t xml:space="preserve"> in het EU-ETS van toepassing op de emissies uit biomassa waarvoor een nultarief geldt. Hierdoor worden de huidige criteria voor biobrandstoffen en vloeibare biomassa in het EU-ETS versterkt en nieuwe criteria voor vaste en gasvormige biomassa toegevoegd. In </w:t>
      </w:r>
      <w:r w:rsidR="00DF3711" w:rsidRPr="00DA11F1">
        <w:rPr>
          <w:rFonts w:ascii="Times New Roman" w:eastAsia="Times New Roman" w:hAnsi="Times New Roman"/>
          <w:noProof/>
          <w:sz w:val="28"/>
          <w:szCs w:val="24"/>
        </w:rPr>
        <w:fldChar w:fldCharType="begin"/>
      </w:r>
      <w:r w:rsidR="00DF3711" w:rsidRPr="00DA11F1">
        <w:rPr>
          <w:rFonts w:ascii="Times New Roman" w:eastAsia="Times New Roman" w:hAnsi="Times New Roman"/>
          <w:noProof/>
          <w:sz w:val="28"/>
          <w:szCs w:val="24"/>
        </w:rPr>
        <w:instrText xml:space="preserve"> REF _Ref85032479  \* MERGEFORMAT </w:instrText>
      </w:r>
      <w:r w:rsidR="00DF3711" w:rsidRPr="00DA11F1">
        <w:rPr>
          <w:rFonts w:ascii="Times New Roman" w:eastAsia="Times New Roman" w:hAnsi="Times New Roman"/>
          <w:noProof/>
          <w:sz w:val="28"/>
          <w:szCs w:val="24"/>
        </w:rPr>
        <w:fldChar w:fldCharType="separate"/>
      </w:r>
      <w:r w:rsidR="009755A3">
        <w:rPr>
          <w:rFonts w:ascii="Times New Roman" w:hAnsi="Times New Roman"/>
          <w:noProof/>
          <w:sz w:val="24"/>
        </w:rPr>
        <w:t>Figuur </w:t>
      </w:r>
      <w:r w:rsidR="00DF3711" w:rsidRPr="00D4425F">
        <w:rPr>
          <w:rFonts w:ascii="Times New Roman" w:hAnsi="Times New Roman"/>
          <w:noProof/>
          <w:sz w:val="24"/>
        </w:rPr>
        <w:t>7</w:t>
      </w:r>
      <w:r w:rsidR="00DF3711" w:rsidRPr="00DA11F1">
        <w:rPr>
          <w:rFonts w:ascii="Times New Roman" w:eastAsia="Times New Roman" w:hAnsi="Times New Roman"/>
          <w:noProof/>
          <w:sz w:val="28"/>
          <w:szCs w:val="24"/>
        </w:rPr>
        <w:fldChar w:fldCharType="end"/>
      </w:r>
      <w:r>
        <w:rPr>
          <w:rFonts w:ascii="Times New Roman" w:hAnsi="Times New Roman"/>
          <w:noProof/>
          <w:sz w:val="24"/>
          <w:szCs w:val="24"/>
        </w:rPr>
        <w:t xml:space="preserve"> wordt onderscheid gemaakt tussen installaties van de categorieën A, B en C</w:t>
      </w:r>
      <w:r w:rsidR="00950562" w:rsidRPr="00DA11F1">
        <w:rPr>
          <w:rStyle w:val="FootnoteReference"/>
          <w:rFonts w:ascii="Times New Roman" w:eastAsia="Times New Roman" w:hAnsi="Times New Roman"/>
          <w:noProof/>
          <w:sz w:val="24"/>
          <w:szCs w:val="24"/>
          <w:lang w:eastAsia="da-DK"/>
        </w:rPr>
        <w:footnoteReference w:id="70"/>
      </w:r>
      <w:r>
        <w:rPr>
          <w:rFonts w:ascii="Times New Roman" w:hAnsi="Times New Roman"/>
          <w:noProof/>
          <w:sz w:val="24"/>
          <w:szCs w:val="24"/>
        </w:rPr>
        <w:t>, en worden de emissies uit biomassa weergegeven die in fase </w:t>
      </w:r>
      <w:r w:rsidRPr="00D4425F">
        <w:rPr>
          <w:rFonts w:ascii="Times New Roman" w:hAnsi="Times New Roman"/>
          <w:noProof/>
          <w:sz w:val="24"/>
          <w:szCs w:val="24"/>
        </w:rPr>
        <w:t>3</w:t>
      </w:r>
      <w:r>
        <w:rPr>
          <w:rFonts w:ascii="Times New Roman" w:hAnsi="Times New Roman"/>
          <w:noProof/>
          <w:sz w:val="24"/>
          <w:szCs w:val="24"/>
        </w:rPr>
        <w:t xml:space="preserve"> zijn gerapporteerd. De absorptiefase en de nettowaarde van de emissies zijn buiten beschouwing gelaten.</w:t>
      </w:r>
    </w:p>
    <w:p w14:paraId="240CB3C9" w14:textId="46224652" w:rsidR="00DF3711" w:rsidRPr="00DA11F1" w:rsidRDefault="00DF3711" w:rsidP="008E33DB">
      <w:pPr>
        <w:pStyle w:val="Caption"/>
        <w:keepNext/>
        <w:jc w:val="both"/>
        <w:rPr>
          <w:rFonts w:ascii="Times New Roman" w:hAnsi="Times New Roman"/>
          <w:noProof/>
          <w:sz w:val="22"/>
        </w:rPr>
      </w:pPr>
      <w:bookmarkStart w:id="55" w:name="_Ref85032479"/>
      <w:r>
        <w:rPr>
          <w:rFonts w:ascii="Times New Roman" w:hAnsi="Times New Roman"/>
          <w:noProof/>
          <w:sz w:val="22"/>
        </w:rPr>
        <w:t>Figuur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4425F">
        <w:rPr>
          <w:rFonts w:ascii="Times New Roman" w:hAnsi="Times New Roman"/>
          <w:noProof/>
          <w:sz w:val="22"/>
        </w:rPr>
        <w:t>7</w:t>
      </w:r>
      <w:r w:rsidR="00F2602C" w:rsidRPr="00DA11F1">
        <w:rPr>
          <w:rFonts w:ascii="Times New Roman" w:hAnsi="Times New Roman"/>
          <w:noProof/>
          <w:sz w:val="22"/>
        </w:rPr>
        <w:fldChar w:fldCharType="end"/>
      </w:r>
      <w:bookmarkEnd w:id="55"/>
      <w:r>
        <w:rPr>
          <w:noProof/>
          <w:sz w:val="22"/>
        </w:rPr>
        <w:t>.</w:t>
      </w:r>
      <w:r>
        <w:rPr>
          <w:rFonts w:ascii="Times New Roman" w:hAnsi="Times New Roman"/>
          <w:noProof/>
          <w:sz w:val="22"/>
        </w:rPr>
        <w:t xml:space="preserve"> Emissies uit biomassa waarvoor een nultarief geldt in fase </w:t>
      </w:r>
      <w:r w:rsidRPr="00D4425F">
        <w:rPr>
          <w:rFonts w:ascii="Times New Roman" w:hAnsi="Times New Roman"/>
          <w:noProof/>
          <w:sz w:val="22"/>
        </w:rPr>
        <w:t>3</w:t>
      </w:r>
      <w:r>
        <w:rPr>
          <w:rFonts w:ascii="Times New Roman" w:hAnsi="Times New Roman"/>
          <w:noProof/>
          <w:sz w:val="22"/>
        </w:rPr>
        <w:t xml:space="preserve"> van het EU-ETS (</w:t>
      </w:r>
      <w:r w:rsidRPr="00D4425F">
        <w:rPr>
          <w:rFonts w:ascii="Times New Roman" w:hAnsi="Times New Roman"/>
          <w:noProof/>
          <w:sz w:val="22"/>
        </w:rPr>
        <w:t>2013</w:t>
      </w:r>
      <w:r w:rsidR="009755A3">
        <w:rPr>
          <w:rFonts w:ascii="Times New Roman" w:hAnsi="Times New Roman"/>
          <w:noProof/>
          <w:sz w:val="22"/>
        </w:rPr>
        <w:noBreakHyphen/>
      </w:r>
      <w:r w:rsidRPr="00D4425F">
        <w:rPr>
          <w:rFonts w:ascii="Times New Roman" w:hAnsi="Times New Roman"/>
          <w:noProof/>
          <w:sz w:val="22"/>
        </w:rPr>
        <w:t>2020</w:t>
      </w:r>
      <w:r w:rsidR="009755A3">
        <w:rPr>
          <w:rFonts w:ascii="Times New Roman" w:hAnsi="Times New Roman"/>
          <w:noProof/>
          <w:sz w:val="22"/>
        </w:rPr>
        <w:t>)</w:t>
      </w:r>
      <w:r>
        <w:rPr>
          <w:rFonts w:ascii="Times New Roman" w:hAnsi="Times New Roman"/>
          <w:noProof/>
          <w:sz w:val="22"/>
        </w:rPr>
        <w:br/>
        <w:t>(in miljoen ton CO</w:t>
      </w:r>
      <w:r w:rsidRPr="00D4425F">
        <w:rPr>
          <w:rFonts w:ascii="Times New Roman" w:hAnsi="Times New Roman"/>
          <w:noProof/>
          <w:sz w:val="22"/>
          <w:vertAlign w:val="subscript"/>
        </w:rPr>
        <w:t>2</w:t>
      </w:r>
      <w:r>
        <w:rPr>
          <w:rFonts w:ascii="Times New Roman" w:hAnsi="Times New Roman"/>
          <w:noProof/>
          <w:sz w:val="22"/>
        </w:rPr>
        <w:t>-equivalenten)</w:t>
      </w:r>
      <w:r w:rsidRPr="00DA11F1">
        <w:rPr>
          <w:rStyle w:val="FootnoteReference"/>
          <w:rFonts w:ascii="Times New Roman" w:hAnsi="Times New Roman"/>
          <w:b w:val="0"/>
          <w:noProof/>
        </w:rPr>
        <w:footnoteReference w:id="71"/>
      </w:r>
    </w:p>
    <w:p w14:paraId="782A65B4" w14:textId="109C491F" w:rsidR="00CF7267" w:rsidRPr="00DA11F1" w:rsidRDefault="00317172" w:rsidP="008E33DB">
      <w:pPr>
        <w:jc w:val="both"/>
        <w:rPr>
          <w:rFonts w:ascii="Times New Roman" w:hAnsi="Times New Roman"/>
          <w:b/>
          <w:noProof/>
          <w:sz w:val="24"/>
          <w:szCs w:val="24"/>
        </w:rPr>
      </w:pPr>
      <w:r w:rsidRPr="009F369D">
        <w:rPr>
          <w:noProof/>
          <w:lang w:val="en-GB" w:eastAsia="en-GB"/>
        </w:rPr>
        <w:drawing>
          <wp:inline distT="0" distB="0" distL="0" distR="0" wp14:anchorId="56ADF5CA" wp14:editId="764B6E71">
            <wp:extent cx="5731510" cy="3054350"/>
            <wp:effectExtent l="0" t="0" r="254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31510" cy="3054350"/>
                    </a:xfrm>
                    <a:prstGeom prst="rect">
                      <a:avLst/>
                    </a:prstGeom>
                    <a:noFill/>
                    <a:ln>
                      <a:noFill/>
                    </a:ln>
                  </pic:spPr>
                </pic:pic>
              </a:graphicData>
            </a:graphic>
          </wp:inline>
        </w:drawing>
      </w:r>
    </w:p>
    <w:p w14:paraId="7C05A3B2" w14:textId="24BB5849" w:rsidR="00295131" w:rsidRPr="00DA11F1" w:rsidRDefault="009B1524" w:rsidP="008E33DB">
      <w:pPr>
        <w:jc w:val="both"/>
        <w:rPr>
          <w:rFonts w:ascii="Times New Roman" w:hAnsi="Times New Roman"/>
          <w:noProof/>
          <w:sz w:val="24"/>
          <w:szCs w:val="24"/>
        </w:rPr>
      </w:pPr>
      <w:r>
        <w:rPr>
          <w:rFonts w:ascii="Times New Roman" w:hAnsi="Times New Roman"/>
          <w:noProof/>
          <w:sz w:val="24"/>
          <w:szCs w:val="24"/>
        </w:rPr>
        <w:t>Zie tabel </w:t>
      </w:r>
      <w:r w:rsidRPr="00D4425F">
        <w:rPr>
          <w:rFonts w:ascii="Times New Roman" w:hAnsi="Times New Roman"/>
          <w:noProof/>
          <w:sz w:val="24"/>
          <w:szCs w:val="24"/>
        </w:rPr>
        <w:t>9</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van aanhangsel </w:t>
      </w:r>
      <w:r w:rsidRPr="00D4425F">
        <w:rPr>
          <w:rFonts w:ascii="Times New Roman" w:hAnsi="Times New Roman"/>
          <w:noProof/>
          <w:sz w:val="24"/>
          <w:szCs w:val="24"/>
        </w:rPr>
        <w:t>9</w:t>
      </w:r>
      <w:r>
        <w:rPr>
          <w:rFonts w:ascii="Times New Roman" w:hAnsi="Times New Roman"/>
          <w:noProof/>
          <w:sz w:val="24"/>
          <w:szCs w:val="24"/>
        </w:rPr>
        <w:t xml:space="preserve"> van het begeleidende werkdocument van de diensten van de Commissie voor een uitsplitsing van de geverifieerde emissies van andere gassen dan CO</w:t>
      </w:r>
      <w:r w:rsidRPr="00D4425F">
        <w:rPr>
          <w:rFonts w:ascii="Times New Roman" w:hAnsi="Times New Roman"/>
          <w:noProof/>
          <w:sz w:val="24"/>
          <w:szCs w:val="24"/>
          <w:vertAlign w:val="subscript"/>
        </w:rPr>
        <w:t>2</w:t>
      </w:r>
      <w:r>
        <w:rPr>
          <w:rFonts w:ascii="Times New Roman" w:hAnsi="Times New Roman"/>
          <w:noProof/>
          <w:sz w:val="24"/>
          <w:szCs w:val="24"/>
        </w:rPr>
        <w:t xml:space="preserve"> door vaste installaties in fase </w:t>
      </w:r>
      <w:r w:rsidRPr="00D4425F">
        <w:rPr>
          <w:rFonts w:ascii="Times New Roman" w:hAnsi="Times New Roman"/>
          <w:noProof/>
          <w:sz w:val="24"/>
          <w:szCs w:val="24"/>
        </w:rPr>
        <w:t>3</w:t>
      </w:r>
      <w:r>
        <w:rPr>
          <w:rFonts w:ascii="Times New Roman" w:hAnsi="Times New Roman"/>
          <w:noProof/>
          <w:sz w:val="24"/>
          <w:szCs w:val="24"/>
        </w:rPr>
        <w:t xml:space="preserve"> naar soort broeikasgas (N</w:t>
      </w:r>
      <w:r w:rsidRPr="00D4425F">
        <w:rPr>
          <w:rFonts w:ascii="Times New Roman" w:hAnsi="Times New Roman"/>
          <w:noProof/>
          <w:sz w:val="24"/>
          <w:szCs w:val="24"/>
          <w:vertAlign w:val="subscript"/>
        </w:rPr>
        <w:t>2</w:t>
      </w:r>
      <w:r>
        <w:rPr>
          <w:rFonts w:ascii="Times New Roman" w:hAnsi="Times New Roman"/>
          <w:noProof/>
          <w:sz w:val="24"/>
          <w:szCs w:val="24"/>
        </w:rPr>
        <w:t>O en PFK’s).</w:t>
      </w:r>
    </w:p>
    <w:p w14:paraId="6A74981D" w14:textId="2AAB305E" w:rsidR="00131369" w:rsidRPr="00DA11F1" w:rsidRDefault="00E55F52" w:rsidP="008E33DB">
      <w:pPr>
        <w:jc w:val="both"/>
        <w:rPr>
          <w:rFonts w:ascii="Times New Roman" w:hAnsi="Times New Roman"/>
          <w:noProof/>
          <w:sz w:val="24"/>
          <w:szCs w:val="24"/>
        </w:rPr>
      </w:pPr>
      <w:r>
        <w:rPr>
          <w:rFonts w:ascii="Times New Roman" w:hAnsi="Times New Roman"/>
          <w:noProof/>
          <w:sz w:val="24"/>
          <w:szCs w:val="24"/>
        </w:rPr>
        <w:t xml:space="preserve">In </w:t>
      </w:r>
      <w:r w:rsidRPr="00D4425F">
        <w:rPr>
          <w:rFonts w:ascii="Times New Roman" w:hAnsi="Times New Roman"/>
          <w:noProof/>
          <w:sz w:val="24"/>
          <w:szCs w:val="24"/>
        </w:rPr>
        <w:t>2020</w:t>
      </w:r>
      <w:r>
        <w:rPr>
          <w:rFonts w:ascii="Times New Roman" w:hAnsi="Times New Roman"/>
          <w:noProof/>
          <w:sz w:val="24"/>
          <w:szCs w:val="24"/>
        </w:rPr>
        <w:t xml:space="preserve"> werden </w:t>
      </w:r>
      <w:r w:rsidRPr="00D4425F">
        <w:rPr>
          <w:rFonts w:ascii="Times New Roman" w:hAnsi="Times New Roman"/>
          <w:noProof/>
          <w:sz w:val="24"/>
          <w:szCs w:val="24"/>
        </w:rPr>
        <w:t>92</w:t>
      </w:r>
      <w:r>
        <w:rPr>
          <w:rFonts w:ascii="Times New Roman" w:hAnsi="Times New Roman"/>
          <w:noProof/>
          <w:sz w:val="24"/>
          <w:szCs w:val="24"/>
        </w:rPr>
        <w:t> </w:t>
      </w:r>
      <w:r w:rsidRPr="00D4425F">
        <w:rPr>
          <w:rFonts w:ascii="Times New Roman" w:hAnsi="Times New Roman"/>
          <w:noProof/>
          <w:sz w:val="24"/>
          <w:szCs w:val="24"/>
        </w:rPr>
        <w:t>812</w:t>
      </w:r>
      <w:r>
        <w:rPr>
          <w:rFonts w:ascii="Times New Roman" w:hAnsi="Times New Roman"/>
          <w:noProof/>
          <w:sz w:val="24"/>
          <w:szCs w:val="24"/>
        </w:rPr>
        <w:t> emissierechten vrijwillig geannuleerd. In fase </w:t>
      </w:r>
      <w:r w:rsidRPr="00D4425F">
        <w:rPr>
          <w:rFonts w:ascii="Times New Roman" w:hAnsi="Times New Roman"/>
          <w:noProof/>
          <w:sz w:val="24"/>
          <w:szCs w:val="24"/>
        </w:rPr>
        <w:t>3</w:t>
      </w:r>
      <w:r w:rsidR="009755A3">
        <w:rPr>
          <w:rFonts w:ascii="Times New Roman" w:hAnsi="Times New Roman"/>
          <w:noProof/>
          <w:sz w:val="24"/>
          <w:szCs w:val="24"/>
        </w:rPr>
        <w:t xml:space="preserve"> werden eind juni </w:t>
      </w:r>
      <w:r w:rsidRPr="00D4425F">
        <w:rPr>
          <w:rFonts w:ascii="Times New Roman" w:hAnsi="Times New Roman"/>
          <w:noProof/>
          <w:sz w:val="24"/>
          <w:szCs w:val="24"/>
        </w:rPr>
        <w:t>2021</w:t>
      </w:r>
      <w:r>
        <w:rPr>
          <w:rFonts w:ascii="Times New Roman" w:hAnsi="Times New Roman"/>
          <w:noProof/>
          <w:sz w:val="24"/>
          <w:szCs w:val="24"/>
        </w:rPr>
        <w:t xml:space="preserve"> in totaal </w:t>
      </w:r>
      <w:r w:rsidRPr="00D4425F">
        <w:rPr>
          <w:rFonts w:ascii="Times New Roman" w:hAnsi="Times New Roman"/>
          <w:noProof/>
          <w:sz w:val="24"/>
          <w:szCs w:val="24"/>
        </w:rPr>
        <w:t>498</w:t>
      </w:r>
      <w:r>
        <w:rPr>
          <w:rFonts w:ascii="Times New Roman" w:hAnsi="Times New Roman"/>
          <w:noProof/>
          <w:sz w:val="24"/>
          <w:szCs w:val="24"/>
        </w:rPr>
        <w:t> </w:t>
      </w:r>
      <w:r w:rsidRPr="00D4425F">
        <w:rPr>
          <w:rFonts w:ascii="Times New Roman" w:hAnsi="Times New Roman"/>
          <w:noProof/>
          <w:sz w:val="24"/>
          <w:szCs w:val="24"/>
        </w:rPr>
        <w:t>435</w:t>
      </w:r>
      <w:r>
        <w:rPr>
          <w:rFonts w:ascii="Times New Roman" w:hAnsi="Times New Roman"/>
          <w:noProof/>
          <w:sz w:val="24"/>
          <w:szCs w:val="24"/>
        </w:rPr>
        <w:t> vrijwillig geannuleerde emissierechten geregistreerd.</w:t>
      </w:r>
      <w:r>
        <w:rPr>
          <w:rFonts w:ascii="Times New Roman" w:hAnsi="Times New Roman"/>
          <w:noProof/>
        </w:rPr>
        <w:t xml:space="preserve"> </w:t>
      </w:r>
      <w:r>
        <w:rPr>
          <w:rFonts w:ascii="Times New Roman" w:hAnsi="Times New Roman"/>
          <w:noProof/>
          <w:sz w:val="24"/>
          <w:szCs w:val="24"/>
        </w:rPr>
        <w:t>De meeste annuleringen in fase </w:t>
      </w:r>
      <w:r w:rsidRPr="00D4425F">
        <w:rPr>
          <w:rFonts w:ascii="Times New Roman" w:hAnsi="Times New Roman"/>
          <w:noProof/>
          <w:sz w:val="24"/>
          <w:szCs w:val="24"/>
        </w:rPr>
        <w:t>3</w:t>
      </w:r>
      <w:r>
        <w:rPr>
          <w:rFonts w:ascii="Times New Roman" w:hAnsi="Times New Roman"/>
          <w:noProof/>
          <w:sz w:val="24"/>
          <w:szCs w:val="24"/>
        </w:rPr>
        <w:t xml:space="preserve"> werden goedgekeurd door rekeninghouders in de registers van Duitsland, Zweden, Noorwegen, Nederland en het Verenigd Koninkrijk.</w:t>
      </w:r>
    </w:p>
    <w:p w14:paraId="1638CC7D" w14:textId="77DA3B34" w:rsidR="00313428" w:rsidRPr="00DA11F1" w:rsidRDefault="00313428" w:rsidP="008E33DB">
      <w:pPr>
        <w:pStyle w:val="Heading3"/>
        <w:spacing w:before="0" w:after="200"/>
        <w:ind w:left="720"/>
        <w:rPr>
          <w:noProof/>
        </w:rPr>
      </w:pPr>
      <w:bookmarkStart w:id="56" w:name="_Toc89423477"/>
      <w:r w:rsidRPr="00D4425F">
        <w:rPr>
          <w:i/>
          <w:noProof/>
        </w:rPr>
        <w:t>3</w:t>
      </w:r>
      <w:r>
        <w:rPr>
          <w:i/>
          <w:noProof/>
        </w:rPr>
        <w:t>.</w:t>
      </w:r>
      <w:r w:rsidRPr="00D4425F">
        <w:rPr>
          <w:i/>
          <w:noProof/>
        </w:rPr>
        <w:t>2</w:t>
      </w:r>
      <w:r>
        <w:rPr>
          <w:i/>
          <w:noProof/>
        </w:rPr>
        <w:t>.</w:t>
      </w:r>
      <w:r w:rsidRPr="00D4425F">
        <w:rPr>
          <w:i/>
          <w:noProof/>
        </w:rPr>
        <w:t>2</w:t>
      </w:r>
      <w:r>
        <w:rPr>
          <w:i/>
          <w:noProof/>
        </w:rPr>
        <w:t>. Evenwicht tussen vraag en aanbod</w:t>
      </w:r>
      <w:bookmarkEnd w:id="56"/>
    </w:p>
    <w:p w14:paraId="257D9D45" w14:textId="25E3B9C9" w:rsidR="00CF452F" w:rsidRDefault="00035110" w:rsidP="008E33DB">
      <w:pPr>
        <w:jc w:val="both"/>
        <w:rPr>
          <w:rFonts w:ascii="Times New Roman" w:eastAsia="Times New Roman" w:hAnsi="Times New Roman"/>
          <w:bCs/>
          <w:iCs/>
          <w:noProof/>
          <w:sz w:val="24"/>
          <w:szCs w:val="24"/>
        </w:rPr>
      </w:pPr>
      <w:r>
        <w:rPr>
          <w:rFonts w:ascii="Times New Roman" w:hAnsi="Times New Roman"/>
          <w:noProof/>
          <w:sz w:val="24"/>
          <w:szCs w:val="24"/>
        </w:rPr>
        <w:t>Bij aanvang van fase </w:t>
      </w:r>
      <w:r w:rsidRPr="00D4425F">
        <w:rPr>
          <w:rFonts w:ascii="Times New Roman" w:hAnsi="Times New Roman"/>
          <w:noProof/>
          <w:sz w:val="24"/>
          <w:szCs w:val="24"/>
        </w:rPr>
        <w:t>3</w:t>
      </w:r>
      <w:r>
        <w:rPr>
          <w:rFonts w:ascii="Times New Roman" w:hAnsi="Times New Roman"/>
          <w:noProof/>
          <w:sz w:val="24"/>
          <w:szCs w:val="24"/>
        </w:rPr>
        <w:t xml:space="preserve"> was er in het EU-ETS sprake van een grote structurele onevenwichtigheid tussen de vraag naar en het aanbod van emissierechten, ten belope van </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miljard emissierechten. Als kortetermijnmaatregel tegen deze onevenwichtigheid heeft de Commissie in </w:t>
      </w:r>
      <w:r w:rsidRPr="00D4425F">
        <w:rPr>
          <w:rFonts w:ascii="Times New Roman" w:hAnsi="Times New Roman"/>
          <w:noProof/>
          <w:sz w:val="24"/>
          <w:szCs w:val="24"/>
        </w:rPr>
        <w:t>2014</w:t>
      </w:r>
      <w:r>
        <w:rPr>
          <w:rFonts w:ascii="Times New Roman" w:hAnsi="Times New Roman"/>
          <w:noProof/>
          <w:sz w:val="24"/>
          <w:szCs w:val="24"/>
        </w:rPr>
        <w:t xml:space="preserve"> de veiling van </w:t>
      </w:r>
      <w:r w:rsidRPr="00D4425F">
        <w:rPr>
          <w:rFonts w:ascii="Times New Roman" w:hAnsi="Times New Roman"/>
          <w:noProof/>
          <w:sz w:val="24"/>
          <w:szCs w:val="24"/>
        </w:rPr>
        <w:t>900</w:t>
      </w:r>
      <w:r>
        <w:rPr>
          <w:rFonts w:ascii="Times New Roman" w:hAnsi="Times New Roman"/>
          <w:noProof/>
          <w:sz w:val="24"/>
          <w:szCs w:val="24"/>
        </w:rPr>
        <w:t xml:space="preserve"> miljoen emissierechten uitgesteld van </w:t>
      </w:r>
      <w:r w:rsidRPr="00D4425F">
        <w:rPr>
          <w:rFonts w:ascii="Times New Roman" w:hAnsi="Times New Roman"/>
          <w:noProof/>
          <w:sz w:val="24"/>
          <w:szCs w:val="24"/>
        </w:rPr>
        <w:t>2014</w:t>
      </w:r>
      <w:r>
        <w:rPr>
          <w:rFonts w:ascii="Times New Roman" w:hAnsi="Times New Roman"/>
          <w:noProof/>
          <w:sz w:val="24"/>
          <w:szCs w:val="24"/>
        </w:rPr>
        <w:t xml:space="preserve">, </w:t>
      </w:r>
      <w:r w:rsidRPr="00D4425F">
        <w:rPr>
          <w:rFonts w:ascii="Times New Roman" w:hAnsi="Times New Roman"/>
          <w:noProof/>
          <w:sz w:val="24"/>
          <w:szCs w:val="24"/>
        </w:rPr>
        <w:t>2015</w:t>
      </w:r>
      <w:r>
        <w:rPr>
          <w:rFonts w:ascii="Times New Roman" w:hAnsi="Times New Roman"/>
          <w:noProof/>
          <w:sz w:val="24"/>
          <w:szCs w:val="24"/>
        </w:rPr>
        <w:t xml:space="preserve"> en </w:t>
      </w:r>
      <w:r w:rsidRPr="00D4425F">
        <w:rPr>
          <w:rFonts w:ascii="Times New Roman" w:hAnsi="Times New Roman"/>
          <w:noProof/>
          <w:sz w:val="24"/>
          <w:szCs w:val="24"/>
        </w:rPr>
        <w:t>2016</w:t>
      </w:r>
      <w:r>
        <w:rPr>
          <w:rFonts w:ascii="Times New Roman" w:hAnsi="Times New Roman"/>
          <w:noProof/>
          <w:sz w:val="24"/>
          <w:szCs w:val="24"/>
        </w:rPr>
        <w:t xml:space="preserve"> tot </w:t>
      </w:r>
      <w:r w:rsidRPr="00D4425F">
        <w:rPr>
          <w:rFonts w:ascii="Times New Roman" w:hAnsi="Times New Roman"/>
          <w:noProof/>
          <w:sz w:val="24"/>
          <w:szCs w:val="24"/>
        </w:rPr>
        <w:t>2019</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en als langetermijnoplossing heeft zij in </w:t>
      </w:r>
      <w:r w:rsidRPr="00D4425F">
        <w:rPr>
          <w:rFonts w:ascii="Times New Roman" w:hAnsi="Times New Roman"/>
          <w:noProof/>
          <w:sz w:val="24"/>
          <w:szCs w:val="24"/>
        </w:rPr>
        <w:t>2015</w:t>
      </w:r>
      <w:r>
        <w:rPr>
          <w:rFonts w:ascii="Times New Roman" w:hAnsi="Times New Roman"/>
          <w:noProof/>
          <w:sz w:val="24"/>
          <w:szCs w:val="24"/>
        </w:rPr>
        <w:t xml:space="preserve"> de marktstabiliteitsreserve ingesteld</w:t>
      </w:r>
      <w:r w:rsidRPr="00DA11F1">
        <w:rPr>
          <w:rFonts w:ascii="Times New Roman" w:hAnsi="Times New Roman"/>
          <w:noProof/>
          <w:sz w:val="24"/>
          <w:szCs w:val="24"/>
          <w:vertAlign w:val="superscript"/>
        </w:rPr>
        <w:footnoteReference w:id="72"/>
      </w:r>
      <w:r>
        <w:rPr>
          <w:rFonts w:ascii="Times New Roman" w:hAnsi="Times New Roman"/>
          <w:noProof/>
          <w:sz w:val="24"/>
          <w:szCs w:val="24"/>
        </w:rPr>
        <w:t>.</w:t>
      </w:r>
      <w:r>
        <w:rPr>
          <w:rFonts w:ascii="Times New Roman" w:hAnsi="Times New Roman"/>
          <w:bCs/>
          <w:iCs/>
          <w:noProof/>
          <w:sz w:val="24"/>
          <w:szCs w:val="24"/>
        </w:rPr>
        <w:t xml:space="preserve"> Door de marktstabiliteitsreserve worden de veilinghoeveelheden aan de hand van vooraf vastgestelde drempels voor het totale aantal emissierechten in omloop aangepast om de koolstofmarkt in evenwicht te houden.</w:t>
      </w:r>
    </w:p>
    <w:p w14:paraId="4DB44F35" w14:textId="148A3E9C" w:rsidR="00131369" w:rsidRPr="00DA11F1" w:rsidRDefault="00035110" w:rsidP="008E33DB">
      <w:pPr>
        <w:jc w:val="both"/>
        <w:rPr>
          <w:rFonts w:ascii="Times New Roman" w:hAnsi="Times New Roman"/>
          <w:noProof/>
          <w:sz w:val="24"/>
          <w:szCs w:val="24"/>
        </w:rPr>
      </w:pPr>
      <w:r>
        <w:rPr>
          <w:rFonts w:ascii="Times New Roman" w:hAnsi="Times New Roman"/>
          <w:noProof/>
          <w:sz w:val="24"/>
          <w:szCs w:val="24"/>
        </w:rPr>
        <w:t xml:space="preserve">Van </w:t>
      </w:r>
      <w:r w:rsidRPr="00D4425F">
        <w:rPr>
          <w:rFonts w:ascii="Times New Roman" w:hAnsi="Times New Roman"/>
          <w:noProof/>
          <w:sz w:val="24"/>
          <w:szCs w:val="24"/>
        </w:rPr>
        <w:t>2018</w:t>
      </w:r>
      <w:r>
        <w:rPr>
          <w:rFonts w:ascii="Times New Roman" w:hAnsi="Times New Roman"/>
          <w:noProof/>
          <w:sz w:val="24"/>
          <w:szCs w:val="24"/>
        </w:rPr>
        <w:t xml:space="preserve"> tot </w:t>
      </w:r>
      <w:r w:rsidRPr="00D4425F">
        <w:rPr>
          <w:rFonts w:ascii="Times New Roman" w:hAnsi="Times New Roman"/>
          <w:noProof/>
          <w:sz w:val="24"/>
          <w:szCs w:val="24"/>
        </w:rPr>
        <w:t>2019</w:t>
      </w:r>
      <w:r>
        <w:rPr>
          <w:rFonts w:ascii="Times New Roman" w:hAnsi="Times New Roman"/>
          <w:noProof/>
          <w:sz w:val="24"/>
          <w:szCs w:val="24"/>
        </w:rPr>
        <w:t xml:space="preserve">, toen de marktstabiliteitsreserve van start ging, daalde het overschot aanzienlijk van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65</w:t>
      </w:r>
      <w:r>
        <w:rPr>
          <w:rFonts w:ascii="Times New Roman" w:hAnsi="Times New Roman"/>
          <w:noProof/>
          <w:sz w:val="24"/>
          <w:szCs w:val="24"/>
        </w:rPr>
        <w:t xml:space="preserve"> miljard tot ongeveer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385</w:t>
      </w:r>
      <w:r>
        <w:rPr>
          <w:rFonts w:ascii="Times New Roman" w:hAnsi="Times New Roman"/>
          <w:noProof/>
          <w:sz w:val="24"/>
          <w:szCs w:val="24"/>
        </w:rPr>
        <w:t xml:space="preserve"> miljard emissierechten. Als gevolg van de lagere vraag steeg het overschot in </w:t>
      </w:r>
      <w:r w:rsidRPr="00D4425F">
        <w:rPr>
          <w:rFonts w:ascii="Times New Roman" w:hAnsi="Times New Roman"/>
          <w:noProof/>
          <w:sz w:val="24"/>
          <w:szCs w:val="24"/>
        </w:rPr>
        <w:t>2020</w:t>
      </w:r>
      <w:r>
        <w:rPr>
          <w:rFonts w:ascii="Times New Roman" w:hAnsi="Times New Roman"/>
          <w:noProof/>
          <w:sz w:val="24"/>
          <w:szCs w:val="24"/>
        </w:rPr>
        <w:t xml:space="preserve"> tot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579</w:t>
      </w:r>
      <w:r>
        <w:rPr>
          <w:rFonts w:ascii="Times New Roman" w:hAnsi="Times New Roman"/>
          <w:noProof/>
          <w:sz w:val="24"/>
          <w:szCs w:val="24"/>
        </w:rPr>
        <w:t xml:space="preserve"> miljard emissierechten. Verwacht wordt dat het extra overschot voor </w:t>
      </w:r>
      <w:r w:rsidRPr="00D4425F">
        <w:rPr>
          <w:rFonts w:ascii="Times New Roman" w:hAnsi="Times New Roman"/>
          <w:noProof/>
          <w:sz w:val="24"/>
          <w:szCs w:val="24"/>
        </w:rPr>
        <w:t>2020</w:t>
      </w:r>
      <w:r>
        <w:rPr>
          <w:rFonts w:ascii="Times New Roman" w:hAnsi="Times New Roman"/>
          <w:noProof/>
          <w:sz w:val="24"/>
          <w:szCs w:val="24"/>
        </w:rPr>
        <w:t xml:space="preserve"> de komende twee tot vier jaar zal worden geabsorbeerd. </w:t>
      </w:r>
      <w:r w:rsidR="00A90A62" w:rsidRPr="00DA11F1">
        <w:rPr>
          <w:rFonts w:ascii="Times New Roman" w:hAnsi="Times New Roman"/>
          <w:noProof/>
          <w:sz w:val="24"/>
          <w:szCs w:val="24"/>
        </w:rPr>
        <w:fldChar w:fldCharType="begin"/>
      </w:r>
      <w:r w:rsidR="00A90A62" w:rsidRPr="00DA11F1">
        <w:rPr>
          <w:rFonts w:ascii="Times New Roman" w:hAnsi="Times New Roman"/>
          <w:noProof/>
          <w:sz w:val="24"/>
          <w:szCs w:val="24"/>
        </w:rPr>
        <w:instrText xml:space="preserve"> REF _Ref85032985  \* MERGEFORMAT </w:instrText>
      </w:r>
      <w:r w:rsidR="00A90A62" w:rsidRPr="00DA11F1">
        <w:rPr>
          <w:rFonts w:ascii="Times New Roman" w:hAnsi="Times New Roman"/>
          <w:noProof/>
          <w:sz w:val="24"/>
          <w:szCs w:val="24"/>
        </w:rPr>
        <w:fldChar w:fldCharType="separate"/>
      </w:r>
      <w:r w:rsidR="009755A3">
        <w:rPr>
          <w:rFonts w:ascii="Times New Roman" w:hAnsi="Times New Roman"/>
          <w:noProof/>
          <w:sz w:val="24"/>
          <w:szCs w:val="24"/>
        </w:rPr>
        <w:t>Figuur </w:t>
      </w:r>
      <w:r w:rsidR="00A90A62" w:rsidRPr="00D4425F">
        <w:rPr>
          <w:rFonts w:ascii="Times New Roman" w:hAnsi="Times New Roman"/>
          <w:noProof/>
          <w:sz w:val="24"/>
          <w:szCs w:val="24"/>
        </w:rPr>
        <w:t>8</w:t>
      </w:r>
      <w:r w:rsidR="00A90A62" w:rsidRPr="00DA11F1">
        <w:rPr>
          <w:rFonts w:ascii="Times New Roman" w:hAnsi="Times New Roman"/>
          <w:noProof/>
          <w:sz w:val="24"/>
          <w:szCs w:val="24"/>
        </w:rPr>
        <w:fldChar w:fldCharType="end"/>
      </w:r>
      <w:r>
        <w:rPr>
          <w:rFonts w:ascii="Times New Roman" w:hAnsi="Times New Roman"/>
          <w:noProof/>
          <w:sz w:val="24"/>
          <w:szCs w:val="24"/>
        </w:rPr>
        <w:t xml:space="preserve"> laat de ontwikkeling zien van het overschot op de Europese koolstofmarkt tot eind </w:t>
      </w:r>
      <w:r w:rsidRPr="00D4425F">
        <w:rPr>
          <w:rFonts w:ascii="Times New Roman" w:hAnsi="Times New Roman"/>
          <w:noProof/>
          <w:sz w:val="24"/>
          <w:szCs w:val="24"/>
        </w:rPr>
        <w:t>2020</w:t>
      </w:r>
      <w:r>
        <w:rPr>
          <w:rFonts w:ascii="Times New Roman" w:hAnsi="Times New Roman"/>
          <w:noProof/>
          <w:sz w:val="24"/>
          <w:szCs w:val="24"/>
        </w:rPr>
        <w:t xml:space="preserve">. </w:t>
      </w:r>
    </w:p>
    <w:p w14:paraId="7FA05199" w14:textId="7D9B778D" w:rsidR="00A90A62" w:rsidRPr="00DA11F1" w:rsidRDefault="00A90A62" w:rsidP="008E33DB">
      <w:pPr>
        <w:pStyle w:val="Caption"/>
        <w:keepNext/>
        <w:jc w:val="both"/>
        <w:rPr>
          <w:rFonts w:ascii="Times New Roman" w:hAnsi="Times New Roman"/>
          <w:noProof/>
          <w:sz w:val="22"/>
        </w:rPr>
      </w:pPr>
      <w:bookmarkStart w:id="57" w:name="_Ref85032985"/>
      <w:r>
        <w:rPr>
          <w:rFonts w:ascii="Times New Roman" w:hAnsi="Times New Roman"/>
          <w:noProof/>
          <w:sz w:val="22"/>
        </w:rPr>
        <w:t>Figuur </w:t>
      </w:r>
      <w:r w:rsidR="00F2602C" w:rsidRPr="00DA11F1">
        <w:rPr>
          <w:rFonts w:ascii="Times New Roman" w:hAnsi="Times New Roman"/>
          <w:noProof/>
          <w:sz w:val="22"/>
        </w:rPr>
        <w:fldChar w:fldCharType="begin"/>
      </w:r>
      <w:r w:rsidR="00F2602C" w:rsidRPr="00DA11F1">
        <w:rPr>
          <w:rFonts w:ascii="Times New Roman" w:hAnsi="Times New Roman"/>
          <w:noProof/>
          <w:sz w:val="22"/>
        </w:rPr>
        <w:instrText xml:space="preserve"> SEQ Figure \* ARABIC </w:instrText>
      </w:r>
      <w:r w:rsidR="00F2602C" w:rsidRPr="00DA11F1">
        <w:rPr>
          <w:rFonts w:ascii="Times New Roman" w:hAnsi="Times New Roman"/>
          <w:noProof/>
          <w:sz w:val="22"/>
        </w:rPr>
        <w:fldChar w:fldCharType="separate"/>
      </w:r>
      <w:r w:rsidR="00F2602C" w:rsidRPr="00D4425F">
        <w:rPr>
          <w:rFonts w:ascii="Times New Roman" w:hAnsi="Times New Roman"/>
          <w:noProof/>
          <w:sz w:val="22"/>
        </w:rPr>
        <w:t>8</w:t>
      </w:r>
      <w:r w:rsidR="00F2602C" w:rsidRPr="00DA11F1">
        <w:rPr>
          <w:rFonts w:ascii="Times New Roman" w:hAnsi="Times New Roman"/>
          <w:noProof/>
          <w:sz w:val="22"/>
        </w:rPr>
        <w:fldChar w:fldCharType="end"/>
      </w:r>
      <w:bookmarkEnd w:id="57"/>
      <w:r>
        <w:rPr>
          <w:rFonts w:ascii="Times New Roman" w:hAnsi="Times New Roman"/>
          <w:noProof/>
          <w:sz w:val="22"/>
        </w:rPr>
        <w:t>. Overschot aan emissierechten in fase </w:t>
      </w:r>
      <w:r w:rsidRPr="00D4425F">
        <w:rPr>
          <w:rFonts w:ascii="Times New Roman" w:hAnsi="Times New Roman"/>
          <w:noProof/>
          <w:sz w:val="22"/>
        </w:rPr>
        <w:t>3</w:t>
      </w:r>
      <w:r>
        <w:rPr>
          <w:rFonts w:ascii="Times New Roman" w:hAnsi="Times New Roman"/>
          <w:noProof/>
          <w:sz w:val="22"/>
        </w:rPr>
        <w:t xml:space="preserve"> van het EU-ETS (</w:t>
      </w:r>
      <w:r w:rsidRPr="00D4425F">
        <w:rPr>
          <w:rFonts w:ascii="Times New Roman" w:hAnsi="Times New Roman"/>
          <w:noProof/>
          <w:sz w:val="22"/>
        </w:rPr>
        <w:t>2013</w:t>
      </w:r>
      <w:r>
        <w:rPr>
          <w:rFonts w:ascii="Times New Roman" w:hAnsi="Times New Roman"/>
          <w:noProof/>
          <w:sz w:val="22"/>
        </w:rPr>
        <w:t>-</w:t>
      </w:r>
      <w:r w:rsidRPr="00D4425F">
        <w:rPr>
          <w:rFonts w:ascii="Times New Roman" w:hAnsi="Times New Roman"/>
          <w:noProof/>
          <w:sz w:val="22"/>
        </w:rPr>
        <w:t>2020</w:t>
      </w:r>
      <w:r>
        <w:rPr>
          <w:rFonts w:ascii="Times New Roman" w:hAnsi="Times New Roman"/>
          <w:noProof/>
          <w:sz w:val="22"/>
        </w:rPr>
        <w:t>)</w:t>
      </w:r>
    </w:p>
    <w:p w14:paraId="197A1255" w14:textId="2FE59783" w:rsidR="00131369" w:rsidRPr="00DA11F1" w:rsidRDefault="00317172" w:rsidP="008E33DB">
      <w:pPr>
        <w:jc w:val="both"/>
        <w:rPr>
          <w:rFonts w:ascii="Times New Roman" w:hAnsi="Times New Roman"/>
          <w:b/>
          <w:noProof/>
        </w:rPr>
      </w:pPr>
      <w:r w:rsidRPr="009F369D">
        <w:rPr>
          <w:noProof/>
          <w:lang w:val="en-GB" w:eastAsia="en-GB"/>
        </w:rPr>
        <w:drawing>
          <wp:inline distT="0" distB="0" distL="0" distR="0" wp14:anchorId="15F25921" wp14:editId="4F5169C9">
            <wp:extent cx="5731510" cy="2957195"/>
            <wp:effectExtent l="0" t="0" r="254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31510" cy="2957195"/>
                    </a:xfrm>
                    <a:prstGeom prst="rect">
                      <a:avLst/>
                    </a:prstGeom>
                    <a:noFill/>
                    <a:ln>
                      <a:noFill/>
                    </a:ln>
                  </pic:spPr>
                </pic:pic>
              </a:graphicData>
            </a:graphic>
          </wp:inline>
        </w:drawing>
      </w:r>
    </w:p>
    <w:p w14:paraId="7B1E115B" w14:textId="6208DE35" w:rsidR="00131369" w:rsidRPr="00DA11F1" w:rsidRDefault="009B1524" w:rsidP="008E33DB">
      <w:pPr>
        <w:jc w:val="both"/>
        <w:rPr>
          <w:rFonts w:ascii="Times New Roman" w:eastAsia="Times New Roman" w:hAnsi="Times New Roman"/>
          <w:noProof/>
          <w:sz w:val="20"/>
          <w:szCs w:val="18"/>
        </w:rPr>
      </w:pPr>
      <w:r>
        <w:rPr>
          <w:rFonts w:ascii="Times New Roman" w:hAnsi="Times New Roman"/>
          <w:noProof/>
          <w:sz w:val="20"/>
          <w:szCs w:val="18"/>
        </w:rPr>
        <w:t>Bron: DG Klimaat</w:t>
      </w:r>
    </w:p>
    <w:p w14:paraId="6DC8F6BD" w14:textId="06EDA335" w:rsidR="00CC7FE3" w:rsidRPr="00DA11F1" w:rsidRDefault="00A90A62" w:rsidP="008E33DB">
      <w:pPr>
        <w:jc w:val="both"/>
        <w:rPr>
          <w:rFonts w:ascii="Times New Roman" w:hAnsi="Times New Roman"/>
          <w:noProof/>
          <w:sz w:val="24"/>
          <w:szCs w:val="24"/>
        </w:rPr>
      </w:pPr>
      <w:r>
        <w:rPr>
          <w:rFonts w:ascii="Times New Roman" w:hAnsi="Times New Roman"/>
          <w:bCs/>
          <w:iCs/>
          <w:noProof/>
          <w:sz w:val="24"/>
          <w:szCs w:val="24"/>
        </w:rPr>
        <w:t xml:space="preserve">Bij de herziening van het EU-ETS in </w:t>
      </w:r>
      <w:r w:rsidRPr="00D4425F">
        <w:rPr>
          <w:rFonts w:ascii="Times New Roman" w:hAnsi="Times New Roman"/>
          <w:bCs/>
          <w:iCs/>
          <w:noProof/>
          <w:sz w:val="24"/>
          <w:szCs w:val="24"/>
        </w:rPr>
        <w:t>2018</w:t>
      </w:r>
      <w:r w:rsidR="00CC7FE3" w:rsidRPr="00DA11F1">
        <w:rPr>
          <w:rFonts w:ascii="Times New Roman" w:eastAsia="Times New Roman" w:hAnsi="Times New Roman"/>
          <w:bCs/>
          <w:iCs/>
          <w:noProof/>
          <w:sz w:val="24"/>
          <w:szCs w:val="24"/>
          <w:vertAlign w:val="superscript"/>
          <w:lang w:eastAsia="en-GB"/>
        </w:rPr>
        <w:footnoteReference w:id="73"/>
      </w:r>
      <w:r>
        <w:rPr>
          <w:rFonts w:ascii="Times New Roman" w:hAnsi="Times New Roman"/>
          <w:bCs/>
          <w:iCs/>
          <w:noProof/>
          <w:sz w:val="24"/>
          <w:szCs w:val="24"/>
        </w:rPr>
        <w:t xml:space="preserve"> zijn belangrijke wijzigingen aangebracht in de werking van de marktstabiliteitsreserve, zoals weergegeven in figuur </w:t>
      </w:r>
      <w:r w:rsidRPr="00D4425F">
        <w:rPr>
          <w:rFonts w:ascii="Times New Roman" w:hAnsi="Times New Roman"/>
          <w:bCs/>
          <w:iCs/>
          <w:noProof/>
          <w:sz w:val="24"/>
          <w:szCs w:val="24"/>
        </w:rPr>
        <w:t>10</w:t>
      </w:r>
      <w:r>
        <w:rPr>
          <w:rFonts w:ascii="Times New Roman" w:hAnsi="Times New Roman"/>
          <w:bCs/>
          <w:iCs/>
          <w:noProof/>
          <w:sz w:val="24"/>
          <w:szCs w:val="24"/>
        </w:rPr>
        <w:t>.</w:t>
      </w:r>
      <w:r w:rsidRPr="00D4425F">
        <w:rPr>
          <w:rFonts w:ascii="Times New Roman" w:hAnsi="Times New Roman"/>
          <w:bCs/>
          <w:iCs/>
          <w:noProof/>
          <w:sz w:val="24"/>
          <w:szCs w:val="24"/>
        </w:rPr>
        <w:t>1</w:t>
      </w:r>
      <w:r>
        <w:rPr>
          <w:rFonts w:ascii="Times New Roman" w:hAnsi="Times New Roman"/>
          <w:bCs/>
          <w:iCs/>
          <w:noProof/>
          <w:sz w:val="24"/>
          <w:szCs w:val="24"/>
        </w:rPr>
        <w:t xml:space="preserve"> van aanhangsel </w:t>
      </w:r>
      <w:r w:rsidRPr="00D4425F">
        <w:rPr>
          <w:rFonts w:ascii="Times New Roman" w:hAnsi="Times New Roman"/>
          <w:bCs/>
          <w:iCs/>
          <w:noProof/>
          <w:sz w:val="24"/>
          <w:szCs w:val="24"/>
        </w:rPr>
        <w:t>10</w:t>
      </w:r>
      <w:r>
        <w:rPr>
          <w:rFonts w:ascii="Times New Roman" w:hAnsi="Times New Roman"/>
          <w:bCs/>
          <w:iCs/>
          <w:noProof/>
          <w:sz w:val="24"/>
          <w:szCs w:val="24"/>
        </w:rPr>
        <w:t xml:space="preserve"> van het werkdocument van de diensten van de Commissie bij dit verslag.</w:t>
      </w:r>
    </w:p>
    <w:p w14:paraId="246C69B4" w14:textId="184E80ED" w:rsidR="005F6CC0" w:rsidRPr="00DA11F1" w:rsidRDefault="00D21DEF" w:rsidP="008E33DB">
      <w:pPr>
        <w:jc w:val="both"/>
        <w:rPr>
          <w:rFonts w:ascii="Times New Roman" w:hAnsi="Times New Roman"/>
          <w:noProof/>
        </w:rPr>
      </w:pPr>
      <w:r>
        <w:rPr>
          <w:rFonts w:ascii="Times New Roman" w:hAnsi="Times New Roman"/>
          <w:noProof/>
          <w:sz w:val="24"/>
          <w:szCs w:val="24"/>
        </w:rPr>
        <w:t xml:space="preserve">In dit verslag worden de cijfers voor vraag en aanbod geconsolideerd, die worden bekendgemaakt volgens het tijdschema voor de rapportageplichten als vastgelegd in de EU-ETS-richtlijn en de uitvoeringsbepalingen ervan. </w:t>
      </w:r>
      <w:r w:rsidR="00F2602C" w:rsidRPr="00DA11F1">
        <w:rPr>
          <w:rFonts w:ascii="Times New Roman" w:hAnsi="Times New Roman"/>
          <w:noProof/>
          <w:sz w:val="24"/>
          <w:szCs w:val="24"/>
        </w:rPr>
        <w:fldChar w:fldCharType="begin"/>
      </w:r>
      <w:r w:rsidR="00F2602C" w:rsidRPr="00DA11F1">
        <w:rPr>
          <w:rFonts w:ascii="Times New Roman" w:hAnsi="Times New Roman"/>
          <w:noProof/>
          <w:sz w:val="24"/>
          <w:szCs w:val="24"/>
        </w:rPr>
        <w:instrText xml:space="preserve"> REF _Ref85624062 \h </w:instrText>
      </w:r>
      <w:r w:rsidR="004A71F9" w:rsidRPr="00DA11F1">
        <w:rPr>
          <w:rFonts w:ascii="Times New Roman" w:hAnsi="Times New Roman"/>
          <w:noProof/>
          <w:sz w:val="24"/>
          <w:szCs w:val="24"/>
        </w:rPr>
        <w:instrText xml:space="preserve"> \* MERGEFORMAT </w:instrText>
      </w:r>
      <w:r w:rsidR="00F2602C" w:rsidRPr="00DA11F1">
        <w:rPr>
          <w:rFonts w:ascii="Times New Roman" w:hAnsi="Times New Roman"/>
          <w:noProof/>
          <w:sz w:val="24"/>
          <w:szCs w:val="24"/>
        </w:rPr>
      </w:r>
      <w:r w:rsidR="00F2602C" w:rsidRPr="00DA11F1">
        <w:rPr>
          <w:rFonts w:ascii="Times New Roman" w:hAnsi="Times New Roman"/>
          <w:noProof/>
          <w:sz w:val="24"/>
          <w:szCs w:val="24"/>
        </w:rPr>
        <w:fldChar w:fldCharType="separate"/>
      </w:r>
      <w:r w:rsidR="00F2602C" w:rsidRPr="00DA11F1">
        <w:rPr>
          <w:rFonts w:ascii="Times New Roman" w:hAnsi="Times New Roman"/>
          <w:noProof/>
          <w:sz w:val="24"/>
          <w:szCs w:val="24"/>
        </w:rPr>
        <w:t>Figu</w:t>
      </w:r>
      <w:r w:rsidR="009755A3">
        <w:rPr>
          <w:rFonts w:ascii="Times New Roman" w:hAnsi="Times New Roman"/>
          <w:noProof/>
          <w:sz w:val="24"/>
          <w:szCs w:val="24"/>
        </w:rPr>
        <w:t>u</w:t>
      </w:r>
      <w:r w:rsidR="00F2602C" w:rsidRPr="00DA11F1">
        <w:rPr>
          <w:rFonts w:ascii="Times New Roman" w:hAnsi="Times New Roman"/>
          <w:noProof/>
          <w:sz w:val="24"/>
          <w:szCs w:val="24"/>
        </w:rPr>
        <w:t>r</w:t>
      </w:r>
      <w:r w:rsidR="009755A3">
        <w:rPr>
          <w:rFonts w:ascii="Times New Roman" w:hAnsi="Times New Roman"/>
          <w:noProof/>
          <w:sz w:val="24"/>
          <w:szCs w:val="24"/>
        </w:rPr>
        <w:t> </w:t>
      </w:r>
      <w:r w:rsidR="00F2602C" w:rsidRPr="00D4425F">
        <w:rPr>
          <w:rFonts w:ascii="Times New Roman" w:hAnsi="Times New Roman"/>
          <w:noProof/>
          <w:sz w:val="24"/>
          <w:szCs w:val="24"/>
        </w:rPr>
        <w:t>9</w:t>
      </w:r>
      <w:r w:rsidR="00F2602C" w:rsidRPr="00DA11F1">
        <w:rPr>
          <w:rFonts w:ascii="Times New Roman" w:hAnsi="Times New Roman"/>
          <w:noProof/>
          <w:sz w:val="24"/>
          <w:szCs w:val="24"/>
        </w:rPr>
        <w:fldChar w:fldCharType="end"/>
      </w:r>
      <w:r>
        <w:rPr>
          <w:rFonts w:ascii="Times New Roman" w:hAnsi="Times New Roman"/>
          <w:noProof/>
          <w:sz w:val="24"/>
          <w:szCs w:val="24"/>
        </w:rPr>
        <w:t xml:space="preserve"> geeft de samenstelling weer van de cumulatieve vraag en het cumulatieve aanbod in </w:t>
      </w:r>
      <w:r w:rsidRPr="00D4425F">
        <w:rPr>
          <w:rFonts w:ascii="Times New Roman" w:hAnsi="Times New Roman"/>
          <w:noProof/>
          <w:sz w:val="24"/>
          <w:szCs w:val="24"/>
        </w:rPr>
        <w:t>2020</w:t>
      </w:r>
      <w:r>
        <w:rPr>
          <w:rFonts w:ascii="Times New Roman" w:hAnsi="Times New Roman"/>
          <w:noProof/>
          <w:sz w:val="24"/>
          <w:szCs w:val="24"/>
        </w:rPr>
        <w:t xml:space="preserve">. </w:t>
      </w:r>
      <w:r>
        <w:rPr>
          <w:rFonts w:ascii="Times New Roman" w:hAnsi="Times New Roman"/>
          <w:noProof/>
        </w:rPr>
        <w:t>De relevante gegevens zijn ook gepubliceerd in de mededeling van de Commissie over het totale aantal emissierechten in omloop ten behoeve van de marktstabiliteitsreserve</w:t>
      </w:r>
      <w:r w:rsidR="002E6DE2" w:rsidRPr="00DA11F1">
        <w:rPr>
          <w:rFonts w:ascii="Times New Roman" w:hAnsi="Times New Roman"/>
          <w:noProof/>
          <w:sz w:val="24"/>
          <w:szCs w:val="24"/>
          <w:vertAlign w:val="superscript"/>
        </w:rPr>
        <w:footnoteReference w:id="74"/>
      </w:r>
      <w:r>
        <w:rPr>
          <w:rFonts w:ascii="Times New Roman" w:hAnsi="Times New Roman"/>
          <w:noProof/>
        </w:rPr>
        <w:t>.</w:t>
      </w:r>
    </w:p>
    <w:p w14:paraId="190A9966" w14:textId="1070FA8C" w:rsidR="00F2602C" w:rsidRPr="00DA11F1" w:rsidRDefault="00F2602C" w:rsidP="008E33DB">
      <w:pPr>
        <w:pStyle w:val="Caption"/>
        <w:keepNext/>
        <w:rPr>
          <w:rFonts w:ascii="Times New Roman" w:hAnsi="Times New Roman"/>
          <w:noProof/>
          <w:sz w:val="22"/>
        </w:rPr>
      </w:pPr>
      <w:bookmarkStart w:id="58" w:name="_Ref85624062"/>
      <w:r>
        <w:rPr>
          <w:rFonts w:ascii="Times New Roman" w:hAnsi="Times New Roman"/>
          <w:noProof/>
          <w:sz w:val="22"/>
        </w:rPr>
        <w:t>Figuur </w:t>
      </w:r>
      <w:r w:rsidRPr="00DA11F1">
        <w:rPr>
          <w:rFonts w:ascii="Times New Roman" w:hAnsi="Times New Roman"/>
          <w:noProof/>
          <w:sz w:val="22"/>
        </w:rPr>
        <w:fldChar w:fldCharType="begin"/>
      </w:r>
      <w:r w:rsidRPr="00DA11F1">
        <w:rPr>
          <w:rFonts w:ascii="Times New Roman" w:hAnsi="Times New Roman"/>
          <w:noProof/>
          <w:sz w:val="22"/>
        </w:rPr>
        <w:instrText xml:space="preserve"> SEQ Figure \* ARABIC </w:instrText>
      </w:r>
      <w:r w:rsidRPr="00DA11F1">
        <w:rPr>
          <w:rFonts w:ascii="Times New Roman" w:hAnsi="Times New Roman"/>
          <w:noProof/>
          <w:sz w:val="22"/>
        </w:rPr>
        <w:fldChar w:fldCharType="separate"/>
      </w:r>
      <w:r w:rsidRPr="00D4425F">
        <w:rPr>
          <w:rFonts w:ascii="Times New Roman" w:hAnsi="Times New Roman"/>
          <w:noProof/>
          <w:sz w:val="22"/>
        </w:rPr>
        <w:t>9</w:t>
      </w:r>
      <w:r w:rsidRPr="00DA11F1">
        <w:rPr>
          <w:rFonts w:ascii="Times New Roman" w:hAnsi="Times New Roman"/>
          <w:noProof/>
          <w:sz w:val="22"/>
        </w:rPr>
        <w:fldChar w:fldCharType="end"/>
      </w:r>
      <w:bookmarkEnd w:id="58"/>
      <w:r>
        <w:rPr>
          <w:rFonts w:ascii="Times New Roman" w:hAnsi="Times New Roman"/>
          <w:noProof/>
          <w:sz w:val="22"/>
        </w:rPr>
        <w:t>. De cumulatieve vraag en het cumulatiev</w:t>
      </w:r>
      <w:r w:rsidR="009755A3">
        <w:rPr>
          <w:rFonts w:ascii="Times New Roman" w:hAnsi="Times New Roman"/>
          <w:noProof/>
          <w:sz w:val="22"/>
        </w:rPr>
        <w:t>e aanbod in het EU-ETS per eind </w:t>
      </w:r>
      <w:r w:rsidRPr="00D4425F">
        <w:rPr>
          <w:rFonts w:ascii="Times New Roman" w:hAnsi="Times New Roman"/>
          <w:noProof/>
          <w:sz w:val="22"/>
        </w:rPr>
        <w:t>2020</w:t>
      </w:r>
    </w:p>
    <w:p w14:paraId="53480C44" w14:textId="77777777" w:rsidR="00F2602C" w:rsidRPr="00DA11F1" w:rsidRDefault="00F2602C" w:rsidP="008E33DB">
      <w:pPr>
        <w:jc w:val="center"/>
        <w:rPr>
          <w:rFonts w:ascii="Times New Roman" w:hAnsi="Times New Roman"/>
          <w:noProof/>
          <w:sz w:val="20"/>
          <w:szCs w:val="20"/>
        </w:rPr>
      </w:pPr>
      <w:r>
        <w:rPr>
          <w:rFonts w:ascii="Times New Roman" w:hAnsi="Times New Roman"/>
          <w:b/>
          <w:bCs/>
          <w:noProof/>
          <w:color w:val="000000"/>
          <w:sz w:val="20"/>
          <w:szCs w:val="20"/>
        </w:rPr>
        <w:t xml:space="preserve">Aanbod </w:t>
      </w:r>
      <w:r>
        <w:rPr>
          <w:rFonts w:ascii="Times New Roman" w:hAnsi="Times New Roman"/>
          <w:noProof/>
          <w:color w:val="000000"/>
          <w:sz w:val="20"/>
          <w:szCs w:val="20"/>
        </w:rPr>
        <w:t>(cumulatief, miljard)</w:t>
      </w:r>
      <w:r>
        <w:rPr>
          <w:rFonts w:ascii="Times New Roman" w:hAnsi="Times New Roman"/>
          <w:noProof/>
          <w:color w:val="000000"/>
          <w:sz w:val="20"/>
          <w:szCs w:val="20"/>
        </w:rPr>
        <w:tab/>
        <w:t xml:space="preserve">                                               </w:t>
      </w:r>
      <w:r>
        <w:rPr>
          <w:rFonts w:ascii="Times New Roman" w:hAnsi="Times New Roman"/>
          <w:b/>
          <w:bCs/>
          <w:noProof/>
          <w:color w:val="000000"/>
          <w:sz w:val="20"/>
          <w:szCs w:val="20"/>
        </w:rPr>
        <w:t xml:space="preserve">Vraag </w:t>
      </w:r>
      <w:r>
        <w:rPr>
          <w:rFonts w:ascii="Times New Roman" w:hAnsi="Times New Roman"/>
          <w:noProof/>
          <w:color w:val="000000"/>
          <w:sz w:val="20"/>
          <w:szCs w:val="20"/>
        </w:rPr>
        <w:t>(cumulatief, miljard)</w:t>
      </w:r>
    </w:p>
    <w:p w14:paraId="7625F8E5" w14:textId="35AF7D11" w:rsidR="00A90A62" w:rsidRPr="00DA11F1" w:rsidRDefault="00317172" w:rsidP="008E33DB">
      <w:pPr>
        <w:rPr>
          <w:rFonts w:ascii="Times New Roman" w:hAnsi="Times New Roman"/>
          <w:noProof/>
        </w:rPr>
      </w:pPr>
      <w:r w:rsidRPr="00EA240E">
        <w:rPr>
          <w:noProof/>
          <w:lang w:val="en-GB" w:eastAsia="en-GB"/>
        </w:rPr>
        <w:drawing>
          <wp:inline distT="0" distB="0" distL="0" distR="0" wp14:anchorId="285DB757" wp14:editId="672B145C">
            <wp:extent cx="5731510" cy="3545205"/>
            <wp:effectExtent l="0" t="0" r="254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731510" cy="3545205"/>
                    </a:xfrm>
                    <a:prstGeom prst="rect">
                      <a:avLst/>
                    </a:prstGeom>
                    <a:noFill/>
                    <a:ln>
                      <a:noFill/>
                    </a:ln>
                  </pic:spPr>
                </pic:pic>
              </a:graphicData>
            </a:graphic>
          </wp:inline>
        </w:drawing>
      </w:r>
    </w:p>
    <w:p w14:paraId="25763A64" w14:textId="5F95AEE2" w:rsidR="009A6CDD" w:rsidRPr="00DA11F1" w:rsidRDefault="005574A7" w:rsidP="008E33DB">
      <w:pPr>
        <w:jc w:val="both"/>
        <w:rPr>
          <w:rFonts w:ascii="Times New Roman" w:eastAsia="Times New Roman" w:hAnsi="Times New Roman"/>
          <w:noProof/>
          <w:sz w:val="20"/>
          <w:szCs w:val="18"/>
        </w:rPr>
      </w:pPr>
      <w:r>
        <w:rPr>
          <w:rFonts w:ascii="Times New Roman" w:hAnsi="Times New Roman"/>
          <w:noProof/>
          <w:sz w:val="20"/>
          <w:szCs w:val="18"/>
        </w:rPr>
        <w:t>Bron: DG Klimaat (*Het definitieve cijfer van de emissierechten die niet aan installaties waren toegewezen op grond van artikel </w:t>
      </w:r>
      <w:r w:rsidRPr="00D4425F">
        <w:rPr>
          <w:rFonts w:ascii="Times New Roman" w:hAnsi="Times New Roman"/>
          <w:noProof/>
          <w:sz w:val="20"/>
          <w:szCs w:val="18"/>
        </w:rPr>
        <w:t>10</w:t>
      </w:r>
      <w:r>
        <w:rPr>
          <w:rFonts w:ascii="Times New Roman" w:hAnsi="Times New Roman"/>
          <w:noProof/>
          <w:sz w:val="20"/>
          <w:szCs w:val="18"/>
        </w:rPr>
        <w:t> bis, lid </w:t>
      </w:r>
      <w:r w:rsidRPr="00D4425F">
        <w:rPr>
          <w:rFonts w:ascii="Times New Roman" w:hAnsi="Times New Roman"/>
          <w:noProof/>
          <w:sz w:val="20"/>
          <w:szCs w:val="18"/>
        </w:rPr>
        <w:t>7</w:t>
      </w:r>
      <w:r>
        <w:rPr>
          <w:rFonts w:ascii="Times New Roman" w:hAnsi="Times New Roman"/>
          <w:noProof/>
          <w:sz w:val="20"/>
          <w:szCs w:val="18"/>
        </w:rPr>
        <w:t xml:space="preserve">, van Richtlijn </w:t>
      </w:r>
      <w:r w:rsidRPr="00D4425F">
        <w:rPr>
          <w:rFonts w:ascii="Times New Roman" w:hAnsi="Times New Roman"/>
          <w:noProof/>
          <w:sz w:val="20"/>
          <w:szCs w:val="18"/>
        </w:rPr>
        <w:t>2003</w:t>
      </w:r>
      <w:r>
        <w:rPr>
          <w:rFonts w:ascii="Times New Roman" w:hAnsi="Times New Roman"/>
          <w:noProof/>
          <w:sz w:val="20"/>
          <w:szCs w:val="18"/>
        </w:rPr>
        <w:t>/</w:t>
      </w:r>
      <w:r w:rsidRPr="00D4425F">
        <w:rPr>
          <w:rFonts w:ascii="Times New Roman" w:hAnsi="Times New Roman"/>
          <w:noProof/>
          <w:sz w:val="20"/>
          <w:szCs w:val="18"/>
        </w:rPr>
        <w:t>87</w:t>
      </w:r>
      <w:r>
        <w:rPr>
          <w:rFonts w:ascii="Times New Roman" w:hAnsi="Times New Roman"/>
          <w:noProof/>
          <w:sz w:val="20"/>
          <w:szCs w:val="18"/>
        </w:rPr>
        <w:t>/EG en emissierechten die niet aan installaties waren toegewezen als gevolg van de toepassing van artikel </w:t>
      </w:r>
      <w:r w:rsidRPr="00D4425F">
        <w:rPr>
          <w:rFonts w:ascii="Times New Roman" w:hAnsi="Times New Roman"/>
          <w:noProof/>
          <w:sz w:val="20"/>
          <w:szCs w:val="18"/>
        </w:rPr>
        <w:t>10</w:t>
      </w:r>
      <w:r>
        <w:rPr>
          <w:rFonts w:ascii="Times New Roman" w:hAnsi="Times New Roman"/>
          <w:noProof/>
          <w:sz w:val="20"/>
          <w:szCs w:val="18"/>
        </w:rPr>
        <w:t> bis, leden </w:t>
      </w:r>
      <w:r w:rsidRPr="00D4425F">
        <w:rPr>
          <w:rFonts w:ascii="Times New Roman" w:hAnsi="Times New Roman"/>
          <w:noProof/>
          <w:sz w:val="20"/>
          <w:szCs w:val="18"/>
        </w:rPr>
        <w:t>19</w:t>
      </w:r>
      <w:r>
        <w:rPr>
          <w:rFonts w:ascii="Times New Roman" w:hAnsi="Times New Roman"/>
          <w:noProof/>
          <w:sz w:val="20"/>
          <w:szCs w:val="18"/>
        </w:rPr>
        <w:t xml:space="preserve"> en </w:t>
      </w:r>
      <w:r w:rsidRPr="00D4425F">
        <w:rPr>
          <w:rFonts w:ascii="Times New Roman" w:hAnsi="Times New Roman"/>
          <w:noProof/>
          <w:sz w:val="20"/>
          <w:szCs w:val="18"/>
        </w:rPr>
        <w:t>20</w:t>
      </w:r>
      <w:r>
        <w:rPr>
          <w:rFonts w:ascii="Times New Roman" w:hAnsi="Times New Roman"/>
          <w:noProof/>
          <w:sz w:val="20"/>
          <w:szCs w:val="18"/>
        </w:rPr>
        <w:t>, van die richtlijn, was ten tijde van de afronding van dit verslag nog niet beschikbaar.)</w:t>
      </w:r>
    </w:p>
    <w:p w14:paraId="3E7C4C4E" w14:textId="7E742BE6" w:rsidR="005574A7" w:rsidRPr="00DA11F1" w:rsidRDefault="00D21DEF" w:rsidP="008E33DB">
      <w:pPr>
        <w:jc w:val="both"/>
        <w:rPr>
          <w:rFonts w:ascii="Times New Roman" w:hAnsi="Times New Roman"/>
          <w:noProof/>
          <w:sz w:val="24"/>
          <w:szCs w:val="24"/>
        </w:rPr>
      </w:pPr>
      <w:r>
        <w:rPr>
          <w:rFonts w:ascii="Times New Roman" w:hAnsi="Times New Roman"/>
          <w:noProof/>
          <w:sz w:val="24"/>
          <w:szCs w:val="24"/>
        </w:rPr>
        <w:t xml:space="preserve">In afwachting van het operationeel worden van de marktstabiliteitsreserve in </w:t>
      </w:r>
      <w:r w:rsidRPr="00D4425F">
        <w:rPr>
          <w:rFonts w:ascii="Times New Roman" w:hAnsi="Times New Roman"/>
          <w:noProof/>
          <w:sz w:val="24"/>
          <w:szCs w:val="24"/>
        </w:rPr>
        <w:t>2019</w:t>
      </w:r>
      <w:r>
        <w:rPr>
          <w:rFonts w:ascii="Times New Roman" w:hAnsi="Times New Roman"/>
          <w:noProof/>
          <w:sz w:val="24"/>
          <w:szCs w:val="24"/>
        </w:rPr>
        <w:t xml:space="preserve"> hee</w:t>
      </w:r>
      <w:r w:rsidR="009755A3">
        <w:rPr>
          <w:rFonts w:ascii="Times New Roman" w:hAnsi="Times New Roman"/>
          <w:noProof/>
          <w:sz w:val="24"/>
          <w:szCs w:val="24"/>
        </w:rPr>
        <w:t>ft de Commissie sinds medio mei </w:t>
      </w:r>
      <w:r w:rsidRPr="00D4425F">
        <w:rPr>
          <w:rFonts w:ascii="Times New Roman" w:hAnsi="Times New Roman"/>
          <w:noProof/>
          <w:sz w:val="24"/>
          <w:szCs w:val="24"/>
        </w:rPr>
        <w:t>2017</w:t>
      </w:r>
      <w:r>
        <w:rPr>
          <w:rFonts w:ascii="Times New Roman" w:hAnsi="Times New Roman"/>
          <w:noProof/>
          <w:sz w:val="24"/>
          <w:szCs w:val="24"/>
        </w:rPr>
        <w:t xml:space="preserve"> regelmatig het totale aantal emissierechten in omloop voor het voorbije jaar gepubliceerd</w:t>
      </w:r>
      <w:r w:rsidR="00BA0871" w:rsidRPr="00DA11F1">
        <w:rPr>
          <w:rFonts w:ascii="Times New Roman" w:hAnsi="Times New Roman"/>
          <w:noProof/>
          <w:sz w:val="24"/>
          <w:szCs w:val="24"/>
          <w:vertAlign w:val="superscript"/>
        </w:rPr>
        <w:footnoteReference w:id="75"/>
      </w:r>
      <w:r>
        <w:rPr>
          <w:rFonts w:ascii="Times New Roman" w:hAnsi="Times New Roman"/>
          <w:noProof/>
          <w:sz w:val="24"/>
          <w:szCs w:val="24"/>
        </w:rPr>
        <w:t>. In mei </w:t>
      </w:r>
      <w:r w:rsidRPr="00D4425F">
        <w:rPr>
          <w:rFonts w:ascii="Times New Roman" w:hAnsi="Times New Roman"/>
          <w:noProof/>
          <w:sz w:val="24"/>
          <w:szCs w:val="24"/>
        </w:rPr>
        <w:t>2021</w:t>
      </w:r>
      <w:r>
        <w:rPr>
          <w:rFonts w:ascii="Times New Roman" w:hAnsi="Times New Roman"/>
          <w:noProof/>
          <w:sz w:val="24"/>
          <w:szCs w:val="24"/>
        </w:rPr>
        <w:t xml:space="preserve"> werd het totale aantal emissierechten in omloop voor de vijfde maal gepubliceerd; het bedroeg toen </w:t>
      </w:r>
      <w:r w:rsidRPr="00D4425F">
        <w:rPr>
          <w:rFonts w:ascii="Times New Roman" w:hAnsi="Times New Roman"/>
          <w:noProof/>
          <w:sz w:val="24"/>
          <w:szCs w:val="24"/>
        </w:rPr>
        <w:t>1</w:t>
      </w:r>
      <w:r>
        <w:rPr>
          <w:rFonts w:ascii="Times New Roman" w:hAnsi="Times New Roman"/>
          <w:noProof/>
          <w:sz w:val="24"/>
          <w:szCs w:val="24"/>
        </w:rPr>
        <w:t> </w:t>
      </w:r>
      <w:r w:rsidRPr="00D4425F">
        <w:rPr>
          <w:rFonts w:ascii="Times New Roman" w:hAnsi="Times New Roman"/>
          <w:noProof/>
          <w:sz w:val="24"/>
          <w:szCs w:val="24"/>
        </w:rPr>
        <w:t>578</w:t>
      </w:r>
      <w:r>
        <w:rPr>
          <w:rFonts w:ascii="Times New Roman" w:hAnsi="Times New Roman"/>
          <w:noProof/>
          <w:sz w:val="24"/>
          <w:szCs w:val="24"/>
        </w:rPr>
        <w:t> </w:t>
      </w:r>
      <w:r w:rsidRPr="00D4425F">
        <w:rPr>
          <w:rFonts w:ascii="Times New Roman" w:hAnsi="Times New Roman"/>
          <w:noProof/>
          <w:sz w:val="24"/>
          <w:szCs w:val="24"/>
        </w:rPr>
        <w:t>772</w:t>
      </w:r>
      <w:r>
        <w:rPr>
          <w:rFonts w:ascii="Times New Roman" w:hAnsi="Times New Roman"/>
          <w:noProof/>
          <w:sz w:val="24"/>
          <w:szCs w:val="24"/>
        </w:rPr>
        <w:t> </w:t>
      </w:r>
      <w:r w:rsidRPr="00D4425F">
        <w:rPr>
          <w:rFonts w:ascii="Times New Roman" w:hAnsi="Times New Roman"/>
          <w:noProof/>
          <w:sz w:val="24"/>
          <w:szCs w:val="24"/>
        </w:rPr>
        <w:t>426</w:t>
      </w:r>
      <w:r>
        <w:rPr>
          <w:rFonts w:ascii="Times New Roman" w:hAnsi="Times New Roman"/>
          <w:noProof/>
          <w:sz w:val="24"/>
          <w:szCs w:val="24"/>
        </w:rPr>
        <w:t> emissierechten</w:t>
      </w:r>
      <w:r w:rsidRPr="00DA11F1">
        <w:rPr>
          <w:rFonts w:ascii="Times New Roman" w:hAnsi="Times New Roman"/>
          <w:noProof/>
          <w:sz w:val="24"/>
          <w:szCs w:val="24"/>
          <w:vertAlign w:val="superscript"/>
        </w:rPr>
        <w:footnoteReference w:id="76"/>
      </w:r>
      <w:r>
        <w:rPr>
          <w:rFonts w:ascii="Times New Roman" w:hAnsi="Times New Roman"/>
          <w:noProof/>
          <w:sz w:val="24"/>
          <w:szCs w:val="24"/>
        </w:rPr>
        <w:t xml:space="preserve">. De mededeling leidt opnieuw tot de onderbrenging van emissierechten in de marktstabiliteitsreserve, waardoor het veilingvolume voor </w:t>
      </w:r>
      <w:r w:rsidRPr="00D4425F">
        <w:rPr>
          <w:rFonts w:ascii="Times New Roman" w:hAnsi="Times New Roman"/>
          <w:noProof/>
          <w:sz w:val="24"/>
          <w:szCs w:val="24"/>
        </w:rPr>
        <w:t>2021</w:t>
      </w:r>
      <w:r>
        <w:rPr>
          <w:rFonts w:ascii="Times New Roman" w:hAnsi="Times New Roman"/>
          <w:noProof/>
          <w:sz w:val="24"/>
          <w:szCs w:val="24"/>
        </w:rPr>
        <w:t xml:space="preserve"> en </w:t>
      </w:r>
      <w:r w:rsidRPr="00D4425F">
        <w:rPr>
          <w:rFonts w:ascii="Times New Roman" w:hAnsi="Times New Roman"/>
          <w:noProof/>
          <w:sz w:val="24"/>
          <w:szCs w:val="24"/>
        </w:rPr>
        <w:t>2022</w:t>
      </w:r>
      <w:r>
        <w:rPr>
          <w:rFonts w:ascii="Times New Roman" w:hAnsi="Times New Roman"/>
          <w:noProof/>
          <w:sz w:val="24"/>
          <w:szCs w:val="24"/>
        </w:rPr>
        <w:t xml:space="preserve"> zal afnemen.</w:t>
      </w:r>
    </w:p>
    <w:p w14:paraId="757051F8" w14:textId="1215F681" w:rsidR="004707AB" w:rsidRPr="00DA11F1" w:rsidRDefault="00A33951" w:rsidP="008E33DB">
      <w:pPr>
        <w:jc w:val="both"/>
        <w:rPr>
          <w:rFonts w:ascii="Times New Roman" w:hAnsi="Times New Roman"/>
          <w:noProof/>
          <w:sz w:val="24"/>
          <w:szCs w:val="24"/>
        </w:rPr>
      </w:pPr>
      <w:r>
        <w:rPr>
          <w:rFonts w:ascii="Times New Roman" w:hAnsi="Times New Roman"/>
          <w:noProof/>
          <w:sz w:val="24"/>
          <w:szCs w:val="24"/>
        </w:rPr>
        <w:t xml:space="preserve">Op basis van de werking van het EU-ETS in </w:t>
      </w:r>
      <w:r w:rsidRPr="00D4425F">
        <w:rPr>
          <w:rFonts w:ascii="Times New Roman" w:hAnsi="Times New Roman"/>
          <w:noProof/>
          <w:sz w:val="24"/>
          <w:szCs w:val="24"/>
        </w:rPr>
        <w:t>2020</w:t>
      </w:r>
      <w:r>
        <w:rPr>
          <w:rFonts w:ascii="Times New Roman" w:hAnsi="Times New Roman"/>
          <w:noProof/>
          <w:sz w:val="24"/>
          <w:szCs w:val="24"/>
        </w:rPr>
        <w:t xml:space="preserve"> en </w:t>
      </w:r>
      <w:r w:rsidRPr="00D4425F">
        <w:rPr>
          <w:rFonts w:ascii="Times New Roman" w:hAnsi="Times New Roman"/>
          <w:noProof/>
          <w:sz w:val="24"/>
          <w:szCs w:val="24"/>
        </w:rPr>
        <w:t>2021</w:t>
      </w:r>
      <w:r>
        <w:rPr>
          <w:rFonts w:ascii="Times New Roman" w:hAnsi="Times New Roman"/>
          <w:noProof/>
          <w:sz w:val="24"/>
          <w:szCs w:val="24"/>
        </w:rPr>
        <w:t xml:space="preserve">, het totale aantal emissierechten in omloop en de herziene wetgeving werden de veilinghoeveelheden in </w:t>
      </w:r>
      <w:r w:rsidRPr="00D4425F">
        <w:rPr>
          <w:rFonts w:ascii="Times New Roman" w:hAnsi="Times New Roman"/>
          <w:noProof/>
          <w:sz w:val="24"/>
          <w:szCs w:val="24"/>
        </w:rPr>
        <w:t>2021</w:t>
      </w:r>
      <w:r>
        <w:rPr>
          <w:rFonts w:ascii="Times New Roman" w:hAnsi="Times New Roman"/>
          <w:noProof/>
          <w:sz w:val="24"/>
          <w:szCs w:val="24"/>
        </w:rPr>
        <w:t xml:space="preserve"> verminderd met bijna </w:t>
      </w:r>
      <w:r w:rsidRPr="00D4425F">
        <w:rPr>
          <w:rFonts w:ascii="Times New Roman" w:hAnsi="Times New Roman"/>
          <w:noProof/>
          <w:sz w:val="24"/>
          <w:szCs w:val="24"/>
        </w:rPr>
        <w:t>40</w:t>
      </w:r>
      <w:r>
        <w:rPr>
          <w:rFonts w:ascii="Times New Roman" w:hAnsi="Times New Roman"/>
          <w:noProof/>
          <w:sz w:val="24"/>
          <w:szCs w:val="24"/>
        </w:rPr>
        <w:t xml:space="preserve"> %, een kleine </w:t>
      </w:r>
      <w:r w:rsidRPr="00D4425F">
        <w:rPr>
          <w:rFonts w:ascii="Times New Roman" w:hAnsi="Times New Roman"/>
          <w:noProof/>
          <w:sz w:val="24"/>
          <w:szCs w:val="24"/>
        </w:rPr>
        <w:t>320</w:t>
      </w:r>
      <w:r>
        <w:rPr>
          <w:rFonts w:ascii="Times New Roman" w:hAnsi="Times New Roman"/>
          <w:noProof/>
          <w:sz w:val="24"/>
          <w:szCs w:val="24"/>
        </w:rPr>
        <w:t xml:space="preserve"> miljoen emissierechten. De veilinghoeveelheden voor </w:t>
      </w:r>
      <w:r w:rsidRPr="00D4425F">
        <w:rPr>
          <w:rFonts w:ascii="Times New Roman" w:hAnsi="Times New Roman"/>
          <w:noProof/>
          <w:sz w:val="24"/>
          <w:szCs w:val="24"/>
        </w:rPr>
        <w:t>2022</w:t>
      </w:r>
      <w:r>
        <w:rPr>
          <w:rFonts w:ascii="Times New Roman" w:hAnsi="Times New Roman"/>
          <w:noProof/>
          <w:sz w:val="24"/>
          <w:szCs w:val="24"/>
        </w:rPr>
        <w:t xml:space="preserve"> zullen op soortgelijke wijze worden teruggebracht. Tabel </w:t>
      </w:r>
      <w:r w:rsidRPr="00D4425F">
        <w:rPr>
          <w:rFonts w:ascii="Times New Roman" w:hAnsi="Times New Roman"/>
          <w:noProof/>
          <w:sz w:val="24"/>
          <w:szCs w:val="24"/>
        </w:rPr>
        <w:t>10</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van aanhangsel </w:t>
      </w:r>
      <w:r w:rsidRPr="00D4425F">
        <w:rPr>
          <w:rFonts w:ascii="Times New Roman" w:hAnsi="Times New Roman"/>
          <w:noProof/>
          <w:sz w:val="24"/>
          <w:szCs w:val="24"/>
        </w:rPr>
        <w:t>10</w:t>
      </w:r>
      <w:r>
        <w:rPr>
          <w:rFonts w:ascii="Times New Roman" w:hAnsi="Times New Roman"/>
          <w:noProof/>
          <w:sz w:val="24"/>
          <w:szCs w:val="24"/>
        </w:rPr>
        <w:t xml:space="preserve"> van het begeleidende werkdocument van de diensten van de Commissie bevat informatie over de bijdragen aan de marktstabiliteitsreserve per lidstaat sinds deze operationeel werd in </w:t>
      </w:r>
      <w:r w:rsidRPr="00D4425F">
        <w:rPr>
          <w:rFonts w:ascii="Times New Roman" w:hAnsi="Times New Roman"/>
          <w:noProof/>
          <w:sz w:val="24"/>
          <w:szCs w:val="24"/>
        </w:rPr>
        <w:t>2019</w:t>
      </w:r>
      <w:r>
        <w:rPr>
          <w:rFonts w:ascii="Times New Roman" w:hAnsi="Times New Roman"/>
          <w:noProof/>
          <w:sz w:val="24"/>
          <w:szCs w:val="24"/>
        </w:rPr>
        <w:t xml:space="preserve"> tot eind </w:t>
      </w:r>
      <w:r w:rsidRPr="00D4425F">
        <w:rPr>
          <w:rFonts w:ascii="Times New Roman" w:hAnsi="Times New Roman"/>
          <w:noProof/>
          <w:sz w:val="24"/>
          <w:szCs w:val="24"/>
        </w:rPr>
        <w:t>2021</w:t>
      </w:r>
      <w:r>
        <w:rPr>
          <w:rFonts w:ascii="Times New Roman" w:hAnsi="Times New Roman"/>
          <w:noProof/>
          <w:sz w:val="24"/>
          <w:szCs w:val="24"/>
        </w:rPr>
        <w:t>.</w:t>
      </w:r>
    </w:p>
    <w:p w14:paraId="7F47C7D1" w14:textId="486276CC" w:rsidR="004707AB" w:rsidRPr="00DA11F1" w:rsidRDefault="004707AB" w:rsidP="008E33DB">
      <w:pPr>
        <w:jc w:val="both"/>
        <w:rPr>
          <w:rFonts w:ascii="Times New Roman" w:hAnsi="Times New Roman"/>
          <w:noProof/>
        </w:rPr>
      </w:pPr>
      <w:r>
        <w:rPr>
          <w:rFonts w:ascii="Times New Roman" w:hAnsi="Times New Roman"/>
          <w:noProof/>
          <w:sz w:val="24"/>
          <w:szCs w:val="24"/>
        </w:rPr>
        <w:t xml:space="preserve">In </w:t>
      </w:r>
      <w:r w:rsidRPr="00D4425F">
        <w:rPr>
          <w:rFonts w:ascii="Times New Roman" w:hAnsi="Times New Roman"/>
          <w:noProof/>
          <w:sz w:val="24"/>
          <w:szCs w:val="24"/>
        </w:rPr>
        <w:t>2021</w:t>
      </w:r>
      <w:r>
        <w:rPr>
          <w:rFonts w:ascii="Times New Roman" w:hAnsi="Times New Roman"/>
          <w:noProof/>
          <w:sz w:val="24"/>
          <w:szCs w:val="24"/>
        </w:rPr>
        <w:t xml:space="preserve"> heeft de Commissie de eerste evaluatie van de marktstabiliteitsreserve uitgevoerd</w:t>
      </w:r>
      <w:r w:rsidRPr="00DA11F1">
        <w:rPr>
          <w:rFonts w:ascii="Times New Roman" w:hAnsi="Times New Roman"/>
          <w:noProof/>
          <w:sz w:val="24"/>
          <w:szCs w:val="24"/>
          <w:vertAlign w:val="superscript"/>
        </w:rPr>
        <w:footnoteReference w:id="77"/>
      </w:r>
      <w:r>
        <w:rPr>
          <w:rFonts w:ascii="Times New Roman" w:hAnsi="Times New Roman"/>
          <w:noProof/>
          <w:sz w:val="24"/>
          <w:szCs w:val="24"/>
        </w:rPr>
        <w:t>, als onderdeel van het bredere initiatief om het EU-ETS te versterken</w:t>
      </w:r>
      <w:r w:rsidR="00CB35FE" w:rsidRPr="00DA11F1">
        <w:rPr>
          <w:rStyle w:val="FootnoteReference"/>
          <w:rFonts w:ascii="Times New Roman" w:hAnsi="Times New Roman"/>
          <w:noProof/>
          <w:sz w:val="24"/>
          <w:szCs w:val="24"/>
        </w:rPr>
        <w:footnoteReference w:id="78"/>
      </w:r>
      <w:r>
        <w:rPr>
          <w:rFonts w:ascii="Times New Roman" w:hAnsi="Times New Roman"/>
          <w:noProof/>
          <w:sz w:val="24"/>
          <w:szCs w:val="24"/>
        </w:rPr>
        <w:t>. Daaruit is gebleken dat de marktstabiliteitsreserve zoals beoogd het overschot aan emissierechten vermindert en de koolstofmarkt van de EU stabiliseert, zelfs tijdens de COVID-</w:t>
      </w:r>
      <w:r w:rsidRPr="00D4425F">
        <w:rPr>
          <w:rFonts w:ascii="Times New Roman" w:hAnsi="Times New Roman"/>
          <w:noProof/>
          <w:sz w:val="24"/>
          <w:szCs w:val="24"/>
        </w:rPr>
        <w:t>19</w:t>
      </w:r>
      <w:r>
        <w:rPr>
          <w:rFonts w:ascii="Times New Roman" w:hAnsi="Times New Roman"/>
          <w:noProof/>
          <w:sz w:val="24"/>
          <w:szCs w:val="24"/>
        </w:rPr>
        <w:t>-pandemie.</w:t>
      </w:r>
    </w:p>
    <w:p w14:paraId="7FC9A046" w14:textId="14F1E9C9" w:rsidR="004707AB" w:rsidRPr="00DA11F1" w:rsidRDefault="004707AB" w:rsidP="008E33DB">
      <w:pPr>
        <w:jc w:val="both"/>
        <w:rPr>
          <w:rFonts w:ascii="Times New Roman" w:hAnsi="Times New Roman"/>
          <w:noProof/>
          <w:sz w:val="24"/>
          <w:szCs w:val="24"/>
        </w:rPr>
      </w:pPr>
      <w:r>
        <w:rPr>
          <w:rFonts w:ascii="Times New Roman" w:hAnsi="Times New Roman"/>
          <w:noProof/>
          <w:sz w:val="24"/>
          <w:szCs w:val="24"/>
        </w:rPr>
        <w:t xml:space="preserve">Sinds </w:t>
      </w:r>
      <w:r w:rsidRPr="00D4425F">
        <w:rPr>
          <w:rFonts w:ascii="Times New Roman" w:hAnsi="Times New Roman"/>
          <w:noProof/>
          <w:sz w:val="24"/>
          <w:szCs w:val="24"/>
        </w:rPr>
        <w:t>2019</w:t>
      </w:r>
      <w:r>
        <w:rPr>
          <w:rFonts w:ascii="Times New Roman" w:hAnsi="Times New Roman"/>
          <w:noProof/>
          <w:sz w:val="24"/>
          <w:szCs w:val="24"/>
        </w:rPr>
        <w:t xml:space="preserve"> vangt de marktstabiliteitsreserve de historische onevenwichtigheden op, hetgeen heeft geleid tot de opname van bijna </w:t>
      </w:r>
      <w:r w:rsidRPr="00D4425F">
        <w:rPr>
          <w:rFonts w:ascii="Times New Roman" w:hAnsi="Times New Roman"/>
          <w:noProof/>
          <w:sz w:val="24"/>
          <w:szCs w:val="24"/>
        </w:rPr>
        <w:t>1</w:t>
      </w:r>
      <w:r>
        <w:rPr>
          <w:rFonts w:ascii="Times New Roman" w:hAnsi="Times New Roman"/>
          <w:noProof/>
          <w:sz w:val="24"/>
          <w:szCs w:val="24"/>
        </w:rPr>
        <w:t xml:space="preserve"> miljard emissierechten. Dit omvat een aanpassing van </w:t>
      </w:r>
      <w:r w:rsidRPr="00D4425F">
        <w:rPr>
          <w:rFonts w:ascii="Times New Roman" w:hAnsi="Times New Roman"/>
          <w:noProof/>
          <w:sz w:val="24"/>
          <w:szCs w:val="24"/>
        </w:rPr>
        <w:t>264</w:t>
      </w:r>
      <w:r>
        <w:rPr>
          <w:rFonts w:ascii="Times New Roman" w:hAnsi="Times New Roman"/>
          <w:noProof/>
          <w:sz w:val="24"/>
          <w:szCs w:val="24"/>
        </w:rPr>
        <w:t xml:space="preserve"> miljoen aan veilinghoeveelheden onttrokken emissierechten in </w:t>
      </w:r>
      <w:r w:rsidRPr="00D4425F">
        <w:rPr>
          <w:rFonts w:ascii="Times New Roman" w:hAnsi="Times New Roman"/>
          <w:noProof/>
          <w:sz w:val="24"/>
          <w:szCs w:val="24"/>
        </w:rPr>
        <w:t>2019</w:t>
      </w:r>
      <w:r>
        <w:rPr>
          <w:rFonts w:ascii="Times New Roman" w:hAnsi="Times New Roman"/>
          <w:noProof/>
          <w:sz w:val="24"/>
          <w:szCs w:val="24"/>
        </w:rPr>
        <w:t xml:space="preserve">, </w:t>
      </w:r>
      <w:r w:rsidRPr="00D4425F">
        <w:rPr>
          <w:rFonts w:ascii="Times New Roman" w:hAnsi="Times New Roman"/>
          <w:noProof/>
          <w:sz w:val="24"/>
          <w:szCs w:val="24"/>
        </w:rPr>
        <w:t>397</w:t>
      </w:r>
      <w:r>
        <w:rPr>
          <w:rFonts w:ascii="Times New Roman" w:hAnsi="Times New Roman"/>
          <w:noProof/>
          <w:sz w:val="24"/>
          <w:szCs w:val="24"/>
        </w:rPr>
        <w:t xml:space="preserve"> miljoen aan veilinghoeveelheden onttrokken emissierechten in de periode </w:t>
      </w:r>
      <w:r w:rsidRPr="00D4425F">
        <w:rPr>
          <w:rFonts w:ascii="Times New Roman" w:hAnsi="Times New Roman"/>
          <w:noProof/>
          <w:sz w:val="24"/>
          <w:szCs w:val="24"/>
        </w:rPr>
        <w:t>2019</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en meer dan </w:t>
      </w:r>
      <w:r w:rsidRPr="00D4425F">
        <w:rPr>
          <w:rFonts w:ascii="Times New Roman" w:hAnsi="Times New Roman"/>
          <w:noProof/>
          <w:sz w:val="24"/>
          <w:szCs w:val="24"/>
        </w:rPr>
        <w:t>300</w:t>
      </w:r>
      <w:r>
        <w:rPr>
          <w:rFonts w:ascii="Times New Roman" w:hAnsi="Times New Roman"/>
          <w:noProof/>
          <w:sz w:val="24"/>
          <w:szCs w:val="24"/>
        </w:rPr>
        <w:t xml:space="preserve"> miljoen emissierechten die in de periode </w:t>
      </w:r>
      <w:r w:rsidRPr="00D4425F">
        <w:rPr>
          <w:rFonts w:ascii="Times New Roman" w:hAnsi="Times New Roman"/>
          <w:noProof/>
          <w:sz w:val="24"/>
          <w:szCs w:val="24"/>
        </w:rPr>
        <w:t>2020</w:t>
      </w:r>
      <w:r>
        <w:rPr>
          <w:rFonts w:ascii="Times New Roman" w:hAnsi="Times New Roman"/>
          <w:noProof/>
          <w:sz w:val="24"/>
          <w:szCs w:val="24"/>
        </w:rPr>
        <w:t>-</w:t>
      </w:r>
      <w:r w:rsidRPr="00D4425F">
        <w:rPr>
          <w:rFonts w:ascii="Times New Roman" w:hAnsi="Times New Roman"/>
          <w:noProof/>
          <w:sz w:val="24"/>
          <w:szCs w:val="24"/>
        </w:rPr>
        <w:t>2021</w:t>
      </w:r>
      <w:r>
        <w:rPr>
          <w:rFonts w:ascii="Times New Roman" w:hAnsi="Times New Roman"/>
          <w:noProof/>
          <w:sz w:val="24"/>
          <w:szCs w:val="24"/>
        </w:rPr>
        <w:t xml:space="preserve"> aan de veilinghoeveelheden moeten worden onttrokken, telkens </w:t>
      </w:r>
      <w:r w:rsidRPr="00D4425F">
        <w:rPr>
          <w:rFonts w:ascii="Times New Roman" w:hAnsi="Times New Roman"/>
          <w:noProof/>
          <w:sz w:val="24"/>
          <w:szCs w:val="24"/>
        </w:rPr>
        <w:t>24</w:t>
      </w:r>
      <w:r>
        <w:rPr>
          <w:rFonts w:ascii="Times New Roman" w:hAnsi="Times New Roman"/>
          <w:noProof/>
          <w:sz w:val="24"/>
          <w:szCs w:val="24"/>
        </w:rPr>
        <w:t xml:space="preserve"> % van het overschot van het voorgaande jaar. De lagere emissies in </w:t>
      </w:r>
      <w:r w:rsidRPr="00D4425F">
        <w:rPr>
          <w:rFonts w:ascii="Times New Roman" w:hAnsi="Times New Roman"/>
          <w:noProof/>
          <w:sz w:val="24"/>
          <w:szCs w:val="24"/>
        </w:rPr>
        <w:t>2020</w:t>
      </w:r>
      <w:r>
        <w:rPr>
          <w:rFonts w:ascii="Times New Roman" w:hAnsi="Times New Roman"/>
          <w:noProof/>
          <w:sz w:val="24"/>
          <w:szCs w:val="24"/>
        </w:rPr>
        <w:t xml:space="preserve"> als gevolg van de COVID-</w:t>
      </w:r>
      <w:r w:rsidRPr="00D4425F">
        <w:rPr>
          <w:rFonts w:ascii="Times New Roman" w:hAnsi="Times New Roman"/>
          <w:noProof/>
          <w:sz w:val="24"/>
          <w:szCs w:val="24"/>
        </w:rPr>
        <w:t>19</w:t>
      </w:r>
      <w:r>
        <w:rPr>
          <w:rFonts w:ascii="Times New Roman" w:hAnsi="Times New Roman"/>
          <w:noProof/>
          <w:sz w:val="24"/>
          <w:szCs w:val="24"/>
        </w:rPr>
        <w:t xml:space="preserve">-crisis zullen in de periode </w:t>
      </w:r>
      <w:r w:rsidRPr="00D4425F">
        <w:rPr>
          <w:rFonts w:ascii="Times New Roman" w:hAnsi="Times New Roman"/>
          <w:noProof/>
          <w:sz w:val="24"/>
          <w:szCs w:val="24"/>
        </w:rPr>
        <w:t>2021</w:t>
      </w:r>
      <w:r>
        <w:rPr>
          <w:rFonts w:ascii="Times New Roman" w:hAnsi="Times New Roman"/>
          <w:noProof/>
          <w:sz w:val="24"/>
          <w:szCs w:val="24"/>
        </w:rPr>
        <w:t>-</w:t>
      </w:r>
      <w:r w:rsidRPr="00D4425F">
        <w:rPr>
          <w:rFonts w:ascii="Times New Roman" w:hAnsi="Times New Roman"/>
          <w:noProof/>
          <w:sz w:val="24"/>
          <w:szCs w:val="24"/>
        </w:rPr>
        <w:t>2022</w:t>
      </w:r>
      <w:r>
        <w:rPr>
          <w:rFonts w:ascii="Times New Roman" w:hAnsi="Times New Roman"/>
          <w:noProof/>
          <w:sz w:val="24"/>
          <w:szCs w:val="24"/>
        </w:rPr>
        <w:t xml:space="preserve"> leiden tot een hogere opname in de marktstabiliteitsreserve van </w:t>
      </w:r>
      <w:r w:rsidRPr="00D4425F">
        <w:rPr>
          <w:rFonts w:ascii="Times New Roman" w:hAnsi="Times New Roman"/>
          <w:noProof/>
          <w:sz w:val="24"/>
          <w:szCs w:val="24"/>
        </w:rPr>
        <w:t>379</w:t>
      </w:r>
      <w:r w:rsidR="009755A3">
        <w:rPr>
          <w:rFonts w:ascii="Times New Roman" w:hAnsi="Times New Roman"/>
          <w:noProof/>
          <w:sz w:val="24"/>
          <w:szCs w:val="24"/>
        </w:rPr>
        <w:t> miljoen emissierechten.</w:t>
      </w:r>
    </w:p>
    <w:p w14:paraId="7C518822" w14:textId="00609B3C" w:rsidR="004707AB" w:rsidRPr="00DA11F1" w:rsidRDefault="004707AB" w:rsidP="008E33DB">
      <w:pPr>
        <w:jc w:val="both"/>
        <w:rPr>
          <w:rFonts w:ascii="Times New Roman" w:hAnsi="Times New Roman"/>
          <w:noProof/>
          <w:sz w:val="24"/>
          <w:szCs w:val="24"/>
        </w:rPr>
      </w:pPr>
      <w:r>
        <w:rPr>
          <w:rFonts w:ascii="Times New Roman" w:hAnsi="Times New Roman"/>
          <w:noProof/>
          <w:sz w:val="24"/>
          <w:szCs w:val="24"/>
        </w:rPr>
        <w:t>Verwacht wordt dat het veilingaanbod de komende jaren zal blijven afnemen door de opname in de marktstabiliteitsreserve, waarbij het overschot hoger blijft dan de bovengrens en de nasleep van de COVID-</w:t>
      </w:r>
      <w:r w:rsidRPr="00D4425F">
        <w:rPr>
          <w:rFonts w:ascii="Times New Roman" w:hAnsi="Times New Roman"/>
          <w:noProof/>
          <w:sz w:val="24"/>
          <w:szCs w:val="24"/>
        </w:rPr>
        <w:t>19</w:t>
      </w:r>
      <w:r>
        <w:rPr>
          <w:rFonts w:ascii="Times New Roman" w:hAnsi="Times New Roman"/>
          <w:noProof/>
          <w:sz w:val="24"/>
          <w:szCs w:val="24"/>
        </w:rPr>
        <w:t>-pandemie gevolgen heeft voor de vraag. De marktstabiliteitsreserve zal de historische onevenwichtigheid die in de fasen </w:t>
      </w:r>
      <w:r w:rsidRPr="00D4425F">
        <w:rPr>
          <w:rFonts w:ascii="Times New Roman" w:hAnsi="Times New Roman"/>
          <w:noProof/>
          <w:sz w:val="24"/>
          <w:szCs w:val="24"/>
        </w:rPr>
        <w:t>2</w:t>
      </w:r>
      <w:r>
        <w:rPr>
          <w:rFonts w:ascii="Times New Roman" w:hAnsi="Times New Roman"/>
          <w:noProof/>
          <w:sz w:val="24"/>
          <w:szCs w:val="24"/>
        </w:rPr>
        <w:t xml:space="preserve"> en </w:t>
      </w:r>
      <w:r w:rsidRPr="00D4425F">
        <w:rPr>
          <w:rFonts w:ascii="Times New Roman" w:hAnsi="Times New Roman"/>
          <w:noProof/>
          <w:sz w:val="24"/>
          <w:szCs w:val="24"/>
        </w:rPr>
        <w:t>3</w:t>
      </w:r>
      <w:r>
        <w:rPr>
          <w:rFonts w:ascii="Times New Roman" w:hAnsi="Times New Roman"/>
          <w:noProof/>
          <w:sz w:val="24"/>
          <w:szCs w:val="24"/>
        </w:rPr>
        <w:t xml:space="preserve"> op de koolstofmarkt van de EU is ontstaan, dus blijven opvangen en tegelijkertijd inspelen op de gevolgen van de door de pa</w:t>
      </w:r>
      <w:r w:rsidR="009755A3">
        <w:rPr>
          <w:rFonts w:ascii="Times New Roman" w:hAnsi="Times New Roman"/>
          <w:noProof/>
          <w:sz w:val="24"/>
          <w:szCs w:val="24"/>
        </w:rPr>
        <w:t>ndemie veroorzaakte vraagschok.</w:t>
      </w:r>
    </w:p>
    <w:p w14:paraId="523E256B" w14:textId="77777777" w:rsidR="00131369" w:rsidRPr="00DA11F1" w:rsidRDefault="009B1524" w:rsidP="008E33DB">
      <w:pPr>
        <w:pStyle w:val="Heading1"/>
        <w:spacing w:before="0" w:after="200"/>
        <w:rPr>
          <w:noProof/>
        </w:rPr>
      </w:pPr>
      <w:bookmarkStart w:id="59" w:name="_Toc490850434"/>
      <w:bookmarkStart w:id="60" w:name="_Toc519009685"/>
      <w:bookmarkStart w:id="61" w:name="_Toc89423478"/>
      <w:r w:rsidRPr="00D4425F">
        <w:rPr>
          <w:noProof/>
        </w:rPr>
        <w:t>4</w:t>
      </w:r>
      <w:r>
        <w:rPr>
          <w:noProof/>
        </w:rPr>
        <w:t>. LUCHTVAART</w:t>
      </w:r>
      <w:bookmarkEnd w:id="59"/>
      <w:bookmarkEnd w:id="60"/>
      <w:bookmarkEnd w:id="61"/>
    </w:p>
    <w:p w14:paraId="501E4825" w14:textId="2882484E" w:rsidR="00745119" w:rsidRPr="00DA11F1" w:rsidRDefault="00745119" w:rsidP="008E33DB">
      <w:pPr>
        <w:jc w:val="both"/>
        <w:rPr>
          <w:rFonts w:ascii="Times New Roman" w:hAnsi="Times New Roman"/>
          <w:noProof/>
          <w:sz w:val="24"/>
          <w:szCs w:val="24"/>
        </w:rPr>
      </w:pPr>
      <w:r>
        <w:rPr>
          <w:rFonts w:ascii="Times New Roman" w:hAnsi="Times New Roman"/>
          <w:noProof/>
          <w:sz w:val="24"/>
          <w:szCs w:val="24"/>
        </w:rPr>
        <w:t xml:space="preserve">De luchtvaartsector valt sinds </w:t>
      </w:r>
      <w:r w:rsidRPr="00D4425F">
        <w:rPr>
          <w:rFonts w:ascii="Times New Roman" w:hAnsi="Times New Roman"/>
          <w:noProof/>
          <w:sz w:val="24"/>
          <w:szCs w:val="24"/>
        </w:rPr>
        <w:t>2012</w:t>
      </w:r>
      <w:r>
        <w:rPr>
          <w:rFonts w:ascii="Times New Roman" w:hAnsi="Times New Roman"/>
          <w:noProof/>
          <w:sz w:val="24"/>
          <w:szCs w:val="24"/>
        </w:rPr>
        <w:t xml:space="preserve"> onder het EU-ETS. De oorspronkelijke wetgeving was van toepassing op alle vluchten naar en uit de EER. De EU heeft de ETS-verplichtingen echter tijdelijk beperkt tot vluchten binnen de EER van alle luchtvaartmaatschappijen, ongeacht het land waarin ze gevestigd zijn, om zo de ontwikkeling van een wereldwijde marktgebaseerde maatregel door de Internationale Burgerluchtvaartorganisatie (ICAO) ter vermindering van de lucht</w:t>
      </w:r>
      <w:r w:rsidR="009755A3">
        <w:rPr>
          <w:rFonts w:ascii="Times New Roman" w:hAnsi="Times New Roman"/>
          <w:noProof/>
          <w:sz w:val="24"/>
          <w:szCs w:val="24"/>
        </w:rPr>
        <w:t>vaartemissies te ondersteunen.</w:t>
      </w:r>
    </w:p>
    <w:p w14:paraId="34C298AC" w14:textId="16532480" w:rsidR="00745119" w:rsidRPr="00DA11F1" w:rsidRDefault="009755A3" w:rsidP="008E33DB">
      <w:pPr>
        <w:jc w:val="both"/>
        <w:rPr>
          <w:rFonts w:ascii="Times New Roman" w:hAnsi="Times New Roman"/>
          <w:noProof/>
          <w:sz w:val="24"/>
          <w:szCs w:val="24"/>
        </w:rPr>
      </w:pPr>
      <w:r>
        <w:rPr>
          <w:rFonts w:ascii="Times New Roman" w:hAnsi="Times New Roman"/>
          <w:noProof/>
          <w:sz w:val="24"/>
          <w:szCs w:val="24"/>
        </w:rPr>
        <w:t>In oktober </w:t>
      </w:r>
      <w:r w:rsidR="00745119" w:rsidRPr="00D4425F">
        <w:rPr>
          <w:rFonts w:ascii="Times New Roman" w:hAnsi="Times New Roman"/>
          <w:noProof/>
          <w:sz w:val="24"/>
          <w:szCs w:val="24"/>
        </w:rPr>
        <w:t>2016</w:t>
      </w:r>
      <w:r w:rsidR="00745119">
        <w:rPr>
          <w:rFonts w:ascii="Times New Roman" w:hAnsi="Times New Roman"/>
          <w:noProof/>
          <w:sz w:val="24"/>
          <w:szCs w:val="24"/>
        </w:rPr>
        <w:t xml:space="preserve"> hechtte de algemene vergadering van de ICAO haar goedkeuring aan Corsia, die van start gaat in </w:t>
      </w:r>
      <w:r w:rsidR="00745119" w:rsidRPr="00D4425F">
        <w:rPr>
          <w:rFonts w:ascii="Times New Roman" w:hAnsi="Times New Roman"/>
          <w:noProof/>
          <w:sz w:val="24"/>
          <w:szCs w:val="24"/>
        </w:rPr>
        <w:t>2021</w:t>
      </w:r>
      <w:r w:rsidR="00745119">
        <w:rPr>
          <w:rFonts w:ascii="Times New Roman" w:hAnsi="Times New Roman"/>
          <w:noProof/>
          <w:sz w:val="24"/>
          <w:szCs w:val="24"/>
        </w:rPr>
        <w:t xml:space="preserve">. Corsia is een regeling voor koolstofcompensatie met als doel de netto-emissies van de internationale luchtvaart op vaste niveaus te stabiliseren door internationale kredieten aan te kopen en te annuleren. In het licht van deze overeenkomst werd de EU-ETS-richtlijn in </w:t>
      </w:r>
      <w:r w:rsidR="00745119" w:rsidRPr="00D4425F">
        <w:rPr>
          <w:rFonts w:ascii="Times New Roman" w:hAnsi="Times New Roman"/>
          <w:noProof/>
          <w:sz w:val="24"/>
          <w:szCs w:val="24"/>
        </w:rPr>
        <w:t>2017</w:t>
      </w:r>
      <w:r w:rsidR="00745119">
        <w:rPr>
          <w:rFonts w:ascii="Times New Roman" w:hAnsi="Times New Roman"/>
          <w:noProof/>
          <w:sz w:val="24"/>
          <w:szCs w:val="24"/>
        </w:rPr>
        <w:t xml:space="preserve"> gewijzigd om de beperking tot vluchten</w:t>
      </w:r>
      <w:r>
        <w:rPr>
          <w:rFonts w:ascii="Times New Roman" w:hAnsi="Times New Roman"/>
          <w:noProof/>
          <w:sz w:val="24"/>
          <w:szCs w:val="24"/>
        </w:rPr>
        <w:t xml:space="preserve"> binnen de EER tot eind </w:t>
      </w:r>
      <w:r w:rsidR="00745119" w:rsidRPr="00D4425F">
        <w:rPr>
          <w:rFonts w:ascii="Times New Roman" w:hAnsi="Times New Roman"/>
          <w:noProof/>
          <w:sz w:val="24"/>
          <w:szCs w:val="24"/>
        </w:rPr>
        <w:t>2023</w:t>
      </w:r>
      <w:r>
        <w:rPr>
          <w:rFonts w:ascii="Times New Roman" w:hAnsi="Times New Roman"/>
          <w:noProof/>
          <w:sz w:val="24"/>
          <w:szCs w:val="24"/>
        </w:rPr>
        <w:t xml:space="preserve"> te verlengen.</w:t>
      </w:r>
    </w:p>
    <w:p w14:paraId="2F6A81CA" w14:textId="48733755" w:rsidR="00745119" w:rsidRPr="00DA11F1" w:rsidRDefault="00745119" w:rsidP="008E33DB">
      <w:pPr>
        <w:jc w:val="both"/>
        <w:rPr>
          <w:rFonts w:ascii="Times New Roman" w:hAnsi="Times New Roman"/>
          <w:noProof/>
          <w:sz w:val="24"/>
          <w:szCs w:val="24"/>
        </w:rPr>
      </w:pPr>
      <w:r>
        <w:rPr>
          <w:rFonts w:ascii="Times New Roman" w:hAnsi="Times New Roman"/>
          <w:noProof/>
          <w:sz w:val="24"/>
          <w:szCs w:val="24"/>
        </w:rPr>
        <w:t>Als gevolg van de overeenkomst tussen de EU en Zwitserland om hun respectieve koolstofmarkten aan elkaar te koppelen (zie hoofdstuk </w:t>
      </w:r>
      <w:r w:rsidRPr="00D4425F">
        <w:rPr>
          <w:rFonts w:ascii="Times New Roman" w:hAnsi="Times New Roman"/>
          <w:noProof/>
          <w:sz w:val="24"/>
          <w:szCs w:val="24"/>
        </w:rPr>
        <w:t>7</w:t>
      </w:r>
      <w:r>
        <w:rPr>
          <w:rFonts w:ascii="Times New Roman" w:hAnsi="Times New Roman"/>
          <w:noProof/>
          <w:sz w:val="24"/>
          <w:szCs w:val="24"/>
        </w:rPr>
        <w:t xml:space="preserve">), is het toepassingsgebied van het luchtvaartdeel van het EU-ETS met ingang van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2020</w:t>
      </w:r>
      <w:r>
        <w:rPr>
          <w:rFonts w:ascii="Times New Roman" w:hAnsi="Times New Roman"/>
          <w:noProof/>
          <w:sz w:val="24"/>
          <w:szCs w:val="24"/>
        </w:rPr>
        <w:t xml:space="preserve"> uitgebreid tot alle vluchten die vanuit de EER naar Zwitserland vertrekken. Zwitserland past zijn ETS op zijn beurt toe op alle vluchten die vertrekken naar luchthavens in de EER. Dit zorgt voor een ge</w:t>
      </w:r>
      <w:r w:rsidR="009755A3">
        <w:rPr>
          <w:rFonts w:ascii="Times New Roman" w:hAnsi="Times New Roman"/>
          <w:noProof/>
          <w:sz w:val="24"/>
          <w:szCs w:val="24"/>
        </w:rPr>
        <w:t>lijk speelveld op beide routes.</w:t>
      </w:r>
    </w:p>
    <w:p w14:paraId="2401DCD4" w14:textId="1CAE375B" w:rsidR="00745119" w:rsidRPr="00DA11F1" w:rsidRDefault="00D4002B" w:rsidP="008E33DB">
      <w:pPr>
        <w:jc w:val="both"/>
        <w:rPr>
          <w:rFonts w:ascii="Times New Roman" w:hAnsi="Times New Roman"/>
          <w:noProof/>
          <w:sz w:val="24"/>
          <w:szCs w:val="24"/>
        </w:rPr>
      </w:pPr>
      <w:r>
        <w:rPr>
          <w:rFonts w:ascii="Times New Roman" w:hAnsi="Times New Roman"/>
          <w:noProof/>
          <w:sz w:val="24"/>
          <w:szCs w:val="24"/>
        </w:rPr>
        <w:t>Op basis van de handels- en samenwerkingsovereenkomst tussen de EU en het Veren</w:t>
      </w:r>
      <w:r w:rsidR="009755A3">
        <w:rPr>
          <w:rFonts w:ascii="Times New Roman" w:hAnsi="Times New Roman"/>
          <w:noProof/>
          <w:sz w:val="24"/>
          <w:szCs w:val="24"/>
        </w:rPr>
        <w:t>igd Koninkrijk, die in december </w:t>
      </w:r>
      <w:r w:rsidRPr="00D4425F">
        <w:rPr>
          <w:rFonts w:ascii="Times New Roman" w:hAnsi="Times New Roman"/>
          <w:noProof/>
          <w:sz w:val="24"/>
          <w:szCs w:val="24"/>
        </w:rPr>
        <w:t>2020</w:t>
      </w:r>
      <w:r>
        <w:rPr>
          <w:rFonts w:ascii="Times New Roman" w:hAnsi="Times New Roman"/>
          <w:noProof/>
          <w:sz w:val="24"/>
          <w:szCs w:val="24"/>
        </w:rPr>
        <w:t xml:space="preserve"> is gesloten en vanaf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2021</w:t>
      </w:r>
      <w:r>
        <w:rPr>
          <w:rFonts w:ascii="Times New Roman" w:hAnsi="Times New Roman"/>
          <w:noProof/>
          <w:sz w:val="24"/>
          <w:szCs w:val="24"/>
        </w:rPr>
        <w:t xml:space="preserve"> van toepassing is, blijft het EU-ETS ook van toepassing op vluchten vanuit de EER naar het Verenigd Koninkrijk, terwijl het nieuwe EU-ETS van het Verenigd Koninkrijk van toepassing is op vluchten die vanuit het Verenigd Koninkrijk naar de EER vertrekken.</w:t>
      </w:r>
    </w:p>
    <w:p w14:paraId="3BE1409C" w14:textId="44DF99A7" w:rsidR="00D4002B" w:rsidRPr="00DA11F1" w:rsidRDefault="00D4002B" w:rsidP="008E33DB">
      <w:pPr>
        <w:jc w:val="both"/>
        <w:rPr>
          <w:rFonts w:ascii="Times New Roman" w:hAnsi="Times New Roman"/>
          <w:noProof/>
          <w:sz w:val="24"/>
          <w:szCs w:val="24"/>
        </w:rPr>
      </w:pPr>
      <w:r>
        <w:rPr>
          <w:rFonts w:ascii="Times New Roman" w:hAnsi="Times New Roman"/>
          <w:noProof/>
          <w:sz w:val="24"/>
          <w:szCs w:val="24"/>
        </w:rPr>
        <w:t xml:space="preserve">In </w:t>
      </w:r>
      <w:r w:rsidRPr="00D4425F">
        <w:rPr>
          <w:rFonts w:ascii="Times New Roman" w:hAnsi="Times New Roman"/>
          <w:noProof/>
          <w:sz w:val="24"/>
          <w:szCs w:val="24"/>
        </w:rPr>
        <w:t>2020</w:t>
      </w:r>
      <w:r>
        <w:rPr>
          <w:rFonts w:ascii="Times New Roman" w:hAnsi="Times New Roman"/>
          <w:noProof/>
          <w:sz w:val="24"/>
          <w:szCs w:val="24"/>
        </w:rPr>
        <w:t xml:space="preserve"> werden emissierechten toegewezen in overeenstemming met het tot de EER beperkte toepassingsgebied van het EU-ETS voor de luchtvaart, uitgebreid tot Zwitserland. Iets meer dan </w:t>
      </w:r>
      <w:r w:rsidRPr="00D4425F">
        <w:rPr>
          <w:rFonts w:ascii="Times New Roman" w:hAnsi="Times New Roman"/>
          <w:noProof/>
          <w:sz w:val="24"/>
          <w:szCs w:val="24"/>
        </w:rPr>
        <w:t>32</w:t>
      </w:r>
      <w:r>
        <w:rPr>
          <w:rFonts w:ascii="Times New Roman" w:hAnsi="Times New Roman"/>
          <w:noProof/>
          <w:sz w:val="24"/>
          <w:szCs w:val="24"/>
        </w:rPr>
        <w:t>,</w:t>
      </w:r>
      <w:r w:rsidRPr="00D4425F">
        <w:rPr>
          <w:rFonts w:ascii="Times New Roman" w:hAnsi="Times New Roman"/>
          <w:noProof/>
          <w:sz w:val="24"/>
          <w:szCs w:val="24"/>
        </w:rPr>
        <w:t>5</w:t>
      </w:r>
      <w:r>
        <w:rPr>
          <w:rFonts w:ascii="Times New Roman" w:hAnsi="Times New Roman"/>
          <w:noProof/>
          <w:sz w:val="24"/>
          <w:szCs w:val="24"/>
        </w:rPr>
        <w:t xml:space="preserve"> miljoen emissierechten werden kosteloos toegewezen. Dit omvat naast de reguliere kosteloos toegewezen emissierechten (iets meer dan </w:t>
      </w:r>
      <w:r w:rsidRPr="00D4425F">
        <w:rPr>
          <w:rFonts w:ascii="Times New Roman" w:hAnsi="Times New Roman"/>
          <w:noProof/>
          <w:sz w:val="24"/>
          <w:szCs w:val="24"/>
        </w:rPr>
        <w:t>31</w:t>
      </w:r>
      <w:r>
        <w:rPr>
          <w:rFonts w:ascii="Times New Roman" w:hAnsi="Times New Roman"/>
          <w:noProof/>
          <w:sz w:val="24"/>
          <w:szCs w:val="24"/>
        </w:rPr>
        <w:t>,</w:t>
      </w:r>
      <w:r w:rsidRPr="00D4425F">
        <w:rPr>
          <w:rFonts w:ascii="Times New Roman" w:hAnsi="Times New Roman"/>
          <w:noProof/>
          <w:sz w:val="24"/>
          <w:szCs w:val="24"/>
        </w:rPr>
        <w:t>7</w:t>
      </w:r>
      <w:r>
        <w:rPr>
          <w:rFonts w:ascii="Times New Roman" w:hAnsi="Times New Roman"/>
          <w:noProof/>
          <w:sz w:val="24"/>
          <w:szCs w:val="24"/>
        </w:rPr>
        <w:t xml:space="preserve"> miljoen rechten) ook de rechten toegewezen uit de speciale nieuwkomersreserve en snel groeiende exploitanten (bijna </w:t>
      </w:r>
      <w:r w:rsidRPr="00D4425F">
        <w:rPr>
          <w:rFonts w:ascii="Times New Roman" w:hAnsi="Times New Roman"/>
          <w:noProof/>
          <w:sz w:val="24"/>
          <w:szCs w:val="24"/>
        </w:rPr>
        <w:t>0</w:t>
      </w:r>
      <w:r>
        <w:rPr>
          <w:rFonts w:ascii="Times New Roman" w:hAnsi="Times New Roman"/>
          <w:noProof/>
          <w:sz w:val="24"/>
          <w:szCs w:val="24"/>
        </w:rPr>
        <w:t>,</w:t>
      </w:r>
      <w:r w:rsidRPr="00D4425F">
        <w:rPr>
          <w:rFonts w:ascii="Times New Roman" w:hAnsi="Times New Roman"/>
          <w:noProof/>
          <w:sz w:val="24"/>
          <w:szCs w:val="24"/>
        </w:rPr>
        <w:t>8</w:t>
      </w:r>
      <w:r>
        <w:rPr>
          <w:rFonts w:ascii="Times New Roman" w:hAnsi="Times New Roman"/>
          <w:noProof/>
          <w:sz w:val="24"/>
          <w:szCs w:val="24"/>
        </w:rPr>
        <w:t xml:space="preserve"> miljoen). Daarnaast hebben vliegtuigexploitanten die worden geadministreerd door nationale administrateurs in de EER ongeveer </w:t>
      </w:r>
      <w:r w:rsidRPr="00D4425F">
        <w:rPr>
          <w:rFonts w:ascii="Times New Roman" w:hAnsi="Times New Roman"/>
          <w:noProof/>
          <w:sz w:val="24"/>
          <w:szCs w:val="24"/>
        </w:rPr>
        <w:t>0</w:t>
      </w:r>
      <w:r>
        <w:rPr>
          <w:rFonts w:ascii="Times New Roman" w:hAnsi="Times New Roman"/>
          <w:noProof/>
          <w:sz w:val="24"/>
          <w:szCs w:val="24"/>
        </w:rPr>
        <w:t>,</w:t>
      </w:r>
      <w:r w:rsidRPr="00D4425F">
        <w:rPr>
          <w:rFonts w:ascii="Times New Roman" w:hAnsi="Times New Roman"/>
          <w:noProof/>
          <w:sz w:val="24"/>
          <w:szCs w:val="24"/>
        </w:rPr>
        <w:t>5</w:t>
      </w:r>
      <w:r>
        <w:rPr>
          <w:rFonts w:ascii="Times New Roman" w:hAnsi="Times New Roman"/>
          <w:noProof/>
          <w:sz w:val="24"/>
          <w:szCs w:val="24"/>
        </w:rPr>
        <w:t> miljoen Zwitserse luchtvaartemissierechten kosteloos ont</w:t>
      </w:r>
      <w:r w:rsidR="009755A3">
        <w:rPr>
          <w:rFonts w:ascii="Times New Roman" w:hAnsi="Times New Roman"/>
          <w:noProof/>
          <w:sz w:val="24"/>
          <w:szCs w:val="24"/>
        </w:rPr>
        <w:t>vangen onder het Zwitserse ETS.</w:t>
      </w:r>
    </w:p>
    <w:p w14:paraId="79523E4C" w14:textId="546AC270" w:rsidR="00792796" w:rsidRPr="00DA11F1" w:rsidRDefault="00D4002B" w:rsidP="008E33DB">
      <w:pPr>
        <w:jc w:val="both"/>
        <w:rPr>
          <w:rFonts w:ascii="Times New Roman" w:hAnsi="Times New Roman"/>
          <w:noProof/>
          <w:sz w:val="24"/>
          <w:szCs w:val="24"/>
        </w:rPr>
      </w:pPr>
      <w:r>
        <w:rPr>
          <w:rFonts w:ascii="Times New Roman" w:hAnsi="Times New Roman"/>
          <w:noProof/>
          <w:sz w:val="24"/>
          <w:szCs w:val="24"/>
        </w:rPr>
        <w:t xml:space="preserve">Het aantal geveilde luchtvaartemissierechten in </w:t>
      </w:r>
      <w:r w:rsidRPr="00D4425F">
        <w:rPr>
          <w:rFonts w:ascii="Times New Roman" w:hAnsi="Times New Roman"/>
          <w:noProof/>
          <w:sz w:val="24"/>
          <w:szCs w:val="24"/>
        </w:rPr>
        <w:t>2020</w:t>
      </w:r>
      <w:r>
        <w:rPr>
          <w:rFonts w:ascii="Times New Roman" w:hAnsi="Times New Roman"/>
          <w:noProof/>
          <w:sz w:val="24"/>
          <w:szCs w:val="24"/>
        </w:rPr>
        <w:t xml:space="preserve"> bedroeg ongeveer </w:t>
      </w:r>
      <w:r w:rsidRPr="00D4425F">
        <w:rPr>
          <w:rFonts w:ascii="Times New Roman" w:hAnsi="Times New Roman"/>
          <w:noProof/>
          <w:sz w:val="24"/>
          <w:szCs w:val="24"/>
        </w:rPr>
        <w:t>9</w:t>
      </w:r>
      <w:r>
        <w:rPr>
          <w:rFonts w:ascii="Times New Roman" w:hAnsi="Times New Roman"/>
          <w:noProof/>
          <w:sz w:val="24"/>
          <w:szCs w:val="24"/>
        </w:rPr>
        <w:t>,</w:t>
      </w:r>
      <w:r w:rsidRPr="00D4425F">
        <w:rPr>
          <w:rFonts w:ascii="Times New Roman" w:hAnsi="Times New Roman"/>
          <w:noProof/>
          <w:sz w:val="24"/>
          <w:szCs w:val="24"/>
        </w:rPr>
        <w:t>2</w:t>
      </w:r>
      <w:r w:rsidR="009755A3">
        <w:rPr>
          <w:rFonts w:ascii="Times New Roman" w:hAnsi="Times New Roman"/>
          <w:noProof/>
          <w:sz w:val="24"/>
          <w:szCs w:val="24"/>
        </w:rPr>
        <w:t> miljoen.</w:t>
      </w:r>
    </w:p>
    <w:p w14:paraId="03E5DC4F" w14:textId="6E31C9D8" w:rsidR="00473D74" w:rsidRPr="00DA11F1" w:rsidRDefault="00FF4081" w:rsidP="008E33DB">
      <w:pPr>
        <w:jc w:val="both"/>
        <w:rPr>
          <w:rFonts w:ascii="Times New Roman" w:hAnsi="Times New Roman"/>
          <w:b/>
          <w:noProof/>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van het EU-ETS (</w:t>
      </w:r>
      <w:r w:rsidRPr="00D4425F">
        <w:rPr>
          <w:rFonts w:ascii="Times New Roman" w:hAnsi="Times New Roman"/>
          <w:noProof/>
          <w:sz w:val="24"/>
          <w:szCs w:val="24"/>
        </w:rPr>
        <w:t>2013</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zijn de luchtvaartemissies elk jaar gestegen tot </w:t>
      </w:r>
      <w:r w:rsidRPr="00D4425F">
        <w:rPr>
          <w:rFonts w:ascii="Times New Roman" w:hAnsi="Times New Roman"/>
          <w:noProof/>
          <w:sz w:val="24"/>
          <w:szCs w:val="24"/>
        </w:rPr>
        <w:t>2020</w:t>
      </w:r>
      <w:r>
        <w:rPr>
          <w:rFonts w:ascii="Times New Roman" w:hAnsi="Times New Roman"/>
          <w:noProof/>
          <w:sz w:val="24"/>
          <w:szCs w:val="24"/>
        </w:rPr>
        <w:t>, toen deze tendens werd omgebogen door de COVID-</w:t>
      </w:r>
      <w:r w:rsidRPr="00D4425F">
        <w:rPr>
          <w:rFonts w:ascii="Times New Roman" w:hAnsi="Times New Roman"/>
          <w:noProof/>
          <w:sz w:val="24"/>
          <w:szCs w:val="24"/>
        </w:rPr>
        <w:t>19</w:t>
      </w:r>
      <w:r>
        <w:rPr>
          <w:rFonts w:ascii="Times New Roman" w:hAnsi="Times New Roman"/>
          <w:noProof/>
          <w:sz w:val="24"/>
          <w:szCs w:val="24"/>
        </w:rPr>
        <w:t xml:space="preserve">-pandemie. Tussen </w:t>
      </w:r>
      <w:r w:rsidRPr="00D4425F">
        <w:rPr>
          <w:rFonts w:ascii="Times New Roman" w:hAnsi="Times New Roman"/>
          <w:noProof/>
          <w:sz w:val="24"/>
          <w:szCs w:val="24"/>
        </w:rPr>
        <w:t>2013</w:t>
      </w:r>
      <w:r>
        <w:rPr>
          <w:rFonts w:ascii="Times New Roman" w:hAnsi="Times New Roman"/>
          <w:noProof/>
          <w:sz w:val="24"/>
          <w:szCs w:val="24"/>
        </w:rPr>
        <w:t xml:space="preserve"> en </w:t>
      </w:r>
      <w:r w:rsidRPr="00D4425F">
        <w:rPr>
          <w:rFonts w:ascii="Times New Roman" w:hAnsi="Times New Roman"/>
          <w:noProof/>
          <w:sz w:val="24"/>
          <w:szCs w:val="24"/>
        </w:rPr>
        <w:t>2019</w:t>
      </w:r>
      <w:r>
        <w:rPr>
          <w:rFonts w:ascii="Times New Roman" w:hAnsi="Times New Roman"/>
          <w:noProof/>
          <w:sz w:val="24"/>
          <w:szCs w:val="24"/>
        </w:rPr>
        <w:t xml:space="preserve"> is de uitstoot van vluchten die onder het EU-ETS vallen, met </w:t>
      </w:r>
      <w:r w:rsidRPr="00D4425F">
        <w:rPr>
          <w:rFonts w:ascii="Times New Roman" w:hAnsi="Times New Roman"/>
          <w:noProof/>
          <w:sz w:val="24"/>
          <w:szCs w:val="24"/>
        </w:rPr>
        <w:t>27</w:t>
      </w:r>
      <w:r>
        <w:rPr>
          <w:rFonts w:ascii="Times New Roman" w:hAnsi="Times New Roman"/>
          <w:noProof/>
          <w:sz w:val="24"/>
          <w:szCs w:val="24"/>
        </w:rPr>
        <w:t>,</w:t>
      </w:r>
      <w:r w:rsidRPr="00D4425F">
        <w:rPr>
          <w:rFonts w:ascii="Times New Roman" w:hAnsi="Times New Roman"/>
          <w:noProof/>
          <w:sz w:val="24"/>
          <w:szCs w:val="24"/>
        </w:rPr>
        <w:t>5</w:t>
      </w:r>
      <w:r>
        <w:rPr>
          <w:rFonts w:ascii="Times New Roman" w:hAnsi="Times New Roman"/>
          <w:noProof/>
          <w:sz w:val="24"/>
          <w:szCs w:val="24"/>
        </w:rPr>
        <w:t xml:space="preserve"> % gestegen. In </w:t>
      </w:r>
      <w:r w:rsidRPr="00D4425F">
        <w:rPr>
          <w:rFonts w:ascii="Times New Roman" w:hAnsi="Times New Roman"/>
          <w:noProof/>
          <w:sz w:val="24"/>
          <w:szCs w:val="24"/>
        </w:rPr>
        <w:t>2020</w:t>
      </w:r>
      <w:r>
        <w:rPr>
          <w:rFonts w:ascii="Times New Roman" w:hAnsi="Times New Roman"/>
          <w:noProof/>
          <w:sz w:val="24"/>
          <w:szCs w:val="24"/>
        </w:rPr>
        <w:t xml:space="preserve"> zijn de geverifieerde emissies van vliegtuigexploitanten die door de EER-staten worden geadministreerd, als gevolg van de pandemie en de daarmee samenhangende reisbeperkingen sterk gedaald met </w:t>
      </w:r>
      <w:r w:rsidRPr="00D4425F">
        <w:rPr>
          <w:rFonts w:ascii="Times New Roman" w:hAnsi="Times New Roman"/>
          <w:noProof/>
          <w:sz w:val="24"/>
          <w:szCs w:val="24"/>
        </w:rPr>
        <w:t>63</w:t>
      </w:r>
      <w:r>
        <w:rPr>
          <w:rFonts w:ascii="Times New Roman" w:hAnsi="Times New Roman"/>
          <w:noProof/>
          <w:sz w:val="24"/>
          <w:szCs w:val="24"/>
        </w:rPr>
        <w:t xml:space="preserve"> % ten opzichte van </w:t>
      </w:r>
      <w:r w:rsidRPr="00D4425F">
        <w:rPr>
          <w:rFonts w:ascii="Times New Roman" w:hAnsi="Times New Roman"/>
          <w:noProof/>
          <w:sz w:val="24"/>
          <w:szCs w:val="24"/>
        </w:rPr>
        <w:t>2019</w:t>
      </w:r>
      <w:r>
        <w:rPr>
          <w:rFonts w:ascii="Times New Roman" w:hAnsi="Times New Roman"/>
          <w:noProof/>
          <w:sz w:val="24"/>
          <w:szCs w:val="24"/>
        </w:rPr>
        <w:t xml:space="preserve">, tot </w:t>
      </w:r>
      <w:r w:rsidRPr="00D4425F">
        <w:rPr>
          <w:rFonts w:ascii="Times New Roman" w:hAnsi="Times New Roman"/>
          <w:noProof/>
          <w:sz w:val="24"/>
          <w:szCs w:val="24"/>
        </w:rPr>
        <w:t>24</w:t>
      </w:r>
      <w:r>
        <w:rPr>
          <w:rFonts w:ascii="Times New Roman" w:hAnsi="Times New Roman"/>
          <w:noProof/>
          <w:sz w:val="24"/>
          <w:szCs w:val="24"/>
        </w:rPr>
        <w:t>,</w:t>
      </w:r>
      <w:r w:rsidRPr="00D4425F">
        <w:rPr>
          <w:rFonts w:ascii="Times New Roman" w:hAnsi="Times New Roman"/>
          <w:noProof/>
          <w:sz w:val="24"/>
          <w:szCs w:val="24"/>
        </w:rPr>
        <w:t>9</w:t>
      </w:r>
      <w:r>
        <w:rPr>
          <w:rFonts w:ascii="Times New Roman" w:hAnsi="Times New Roman"/>
          <w:noProof/>
          <w:sz w:val="24"/>
          <w:szCs w:val="24"/>
        </w:rPr>
        <w:t> miljoen ton CO</w:t>
      </w:r>
      <w:r w:rsidRPr="00D4425F">
        <w:rPr>
          <w:rFonts w:ascii="Times New Roman" w:hAnsi="Times New Roman"/>
          <w:noProof/>
          <w:sz w:val="24"/>
          <w:szCs w:val="24"/>
          <w:vertAlign w:val="subscript"/>
        </w:rPr>
        <w:t>2</w:t>
      </w:r>
      <w:r>
        <w:rPr>
          <w:rFonts w:ascii="Times New Roman" w:hAnsi="Times New Roman"/>
          <w:noProof/>
          <w:sz w:val="24"/>
          <w:szCs w:val="24"/>
        </w:rPr>
        <w:t xml:space="preserve"> onder het EU-ETS en </w:t>
      </w:r>
      <w:r w:rsidRPr="00D4425F">
        <w:rPr>
          <w:rFonts w:ascii="Times New Roman" w:hAnsi="Times New Roman"/>
          <w:noProof/>
          <w:sz w:val="24"/>
          <w:szCs w:val="24"/>
        </w:rPr>
        <w:t>0</w:t>
      </w:r>
      <w:r>
        <w:rPr>
          <w:rFonts w:ascii="Times New Roman" w:hAnsi="Times New Roman"/>
          <w:noProof/>
          <w:sz w:val="24"/>
          <w:szCs w:val="24"/>
        </w:rPr>
        <w:t>,</w:t>
      </w:r>
      <w:r w:rsidRPr="00D4425F">
        <w:rPr>
          <w:rFonts w:ascii="Times New Roman" w:hAnsi="Times New Roman"/>
          <w:noProof/>
          <w:sz w:val="24"/>
          <w:szCs w:val="24"/>
        </w:rPr>
        <w:t>3</w:t>
      </w:r>
      <w:r>
        <w:rPr>
          <w:rFonts w:ascii="Times New Roman" w:hAnsi="Times New Roman"/>
          <w:noProof/>
          <w:sz w:val="24"/>
          <w:szCs w:val="24"/>
        </w:rPr>
        <w:t> miljoen ton onder het Zwitserse ETS (</w:t>
      </w:r>
      <w:r w:rsidRPr="00D4425F">
        <w:rPr>
          <w:rFonts w:ascii="Times New Roman" w:hAnsi="Times New Roman"/>
          <w:noProof/>
          <w:sz w:val="24"/>
          <w:szCs w:val="24"/>
        </w:rPr>
        <w:t>25</w:t>
      </w:r>
      <w:r>
        <w:rPr>
          <w:rFonts w:ascii="Times New Roman" w:hAnsi="Times New Roman"/>
          <w:noProof/>
          <w:sz w:val="24"/>
          <w:szCs w:val="24"/>
        </w:rPr>
        <w:t>,</w:t>
      </w:r>
      <w:r w:rsidRPr="00D4425F">
        <w:rPr>
          <w:rFonts w:ascii="Times New Roman" w:hAnsi="Times New Roman"/>
          <w:noProof/>
          <w:sz w:val="24"/>
          <w:szCs w:val="24"/>
        </w:rPr>
        <w:t>2</w:t>
      </w:r>
      <w:r>
        <w:rPr>
          <w:rFonts w:ascii="Times New Roman" w:hAnsi="Times New Roman"/>
          <w:noProof/>
          <w:sz w:val="24"/>
          <w:szCs w:val="24"/>
        </w:rPr>
        <w:t> miljoen ton CO</w:t>
      </w:r>
      <w:r w:rsidRPr="00D4425F">
        <w:rPr>
          <w:rFonts w:ascii="Times New Roman" w:hAnsi="Times New Roman"/>
          <w:noProof/>
          <w:sz w:val="24"/>
          <w:szCs w:val="24"/>
          <w:vertAlign w:val="subscript"/>
        </w:rPr>
        <w:t>2</w:t>
      </w:r>
      <w:r>
        <w:rPr>
          <w:rFonts w:ascii="Times New Roman" w:hAnsi="Times New Roman"/>
          <w:noProof/>
          <w:sz w:val="24"/>
          <w:szCs w:val="24"/>
        </w:rPr>
        <w:t xml:space="preserve"> in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C023D7" w:rsidRPr="00DA11F1">
        <w:rPr>
          <w:rFonts w:ascii="Times New Roman" w:hAnsi="Times New Roman"/>
          <w:noProof/>
          <w:sz w:val="24"/>
          <w:szCs w:val="24"/>
        </w:rPr>
        <w:t>Tabe</w:t>
      </w:r>
      <w:r w:rsidR="009755A3">
        <w:rPr>
          <w:rFonts w:ascii="Times New Roman" w:hAnsi="Times New Roman"/>
          <w:noProof/>
          <w:sz w:val="24"/>
          <w:szCs w:val="24"/>
        </w:rPr>
        <w:t>l </w:t>
      </w:r>
      <w:r w:rsidR="00C023D7" w:rsidRPr="00D4425F">
        <w:rPr>
          <w:rFonts w:ascii="Times New Roman" w:hAnsi="Times New Roman"/>
          <w:noProof/>
          <w:sz w:val="24"/>
          <w:szCs w:val="24"/>
        </w:rPr>
        <w:t>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hieronder). Dit betekent dat </w:t>
      </w:r>
      <w:r w:rsidRPr="00D4425F">
        <w:rPr>
          <w:rFonts w:ascii="Times New Roman" w:hAnsi="Times New Roman"/>
          <w:noProof/>
          <w:sz w:val="24"/>
          <w:szCs w:val="24"/>
        </w:rPr>
        <w:t>2019</w:t>
      </w:r>
      <w:r>
        <w:rPr>
          <w:rFonts w:ascii="Times New Roman" w:hAnsi="Times New Roman"/>
          <w:noProof/>
          <w:sz w:val="24"/>
          <w:szCs w:val="24"/>
        </w:rPr>
        <w:t xml:space="preserve"> het jaar was met de hoogste luchtvaartemissies tot op heden. </w:t>
      </w:r>
      <w:r w:rsidR="00C023D7" w:rsidRPr="00DA11F1">
        <w:rPr>
          <w:rFonts w:ascii="Times New Roman" w:hAnsi="Times New Roman"/>
          <w:noProof/>
          <w:sz w:val="24"/>
          <w:szCs w:val="24"/>
        </w:rPr>
        <w:fldChar w:fldCharType="begin"/>
      </w:r>
      <w:r w:rsidR="00C023D7" w:rsidRPr="00DA11F1">
        <w:rPr>
          <w:rFonts w:ascii="Times New Roman" w:hAnsi="Times New Roman"/>
          <w:noProof/>
          <w:sz w:val="24"/>
          <w:szCs w:val="24"/>
        </w:rPr>
        <w:instrText xml:space="preserve"> REF _Ref85037379  \* MERGEFORMAT </w:instrText>
      </w:r>
      <w:r w:rsidR="00C023D7" w:rsidRPr="00DA11F1">
        <w:rPr>
          <w:rFonts w:ascii="Times New Roman" w:hAnsi="Times New Roman"/>
          <w:noProof/>
          <w:sz w:val="24"/>
          <w:szCs w:val="24"/>
        </w:rPr>
        <w:fldChar w:fldCharType="separate"/>
      </w:r>
      <w:r w:rsidR="009755A3">
        <w:rPr>
          <w:rFonts w:ascii="Times New Roman" w:hAnsi="Times New Roman"/>
          <w:noProof/>
          <w:sz w:val="24"/>
          <w:szCs w:val="24"/>
        </w:rPr>
        <w:t>Tab</w:t>
      </w:r>
      <w:r w:rsidR="00C023D7" w:rsidRPr="00DA11F1">
        <w:rPr>
          <w:rFonts w:ascii="Times New Roman" w:hAnsi="Times New Roman"/>
          <w:noProof/>
          <w:sz w:val="24"/>
          <w:szCs w:val="24"/>
        </w:rPr>
        <w:t>e</w:t>
      </w:r>
      <w:r w:rsidR="009755A3">
        <w:rPr>
          <w:rFonts w:ascii="Times New Roman" w:hAnsi="Times New Roman"/>
          <w:noProof/>
          <w:sz w:val="24"/>
          <w:szCs w:val="24"/>
        </w:rPr>
        <w:t>l </w:t>
      </w:r>
      <w:r w:rsidR="00C023D7" w:rsidRPr="00D4425F">
        <w:rPr>
          <w:rFonts w:ascii="Times New Roman" w:hAnsi="Times New Roman"/>
          <w:noProof/>
          <w:sz w:val="24"/>
          <w:szCs w:val="24"/>
        </w:rPr>
        <w:t>6</w:t>
      </w:r>
      <w:r w:rsidR="00C023D7" w:rsidRPr="00DA11F1">
        <w:rPr>
          <w:rFonts w:ascii="Times New Roman" w:hAnsi="Times New Roman"/>
          <w:noProof/>
          <w:sz w:val="24"/>
          <w:szCs w:val="24"/>
        </w:rPr>
        <w:fldChar w:fldCharType="end"/>
      </w:r>
      <w:r>
        <w:rPr>
          <w:rFonts w:ascii="Times New Roman" w:hAnsi="Times New Roman"/>
          <w:noProof/>
          <w:sz w:val="24"/>
          <w:szCs w:val="24"/>
        </w:rPr>
        <w:t xml:space="preserve"> </w:t>
      </w:r>
      <w:r>
        <w:rPr>
          <w:rFonts w:ascii="Times New Roman" w:hAnsi="Times New Roman"/>
          <w:noProof/>
        </w:rPr>
        <w:t>bevat een overzicht van de geverifieerde emissies, de kosteloos toegewezen rechten en de veilinghoeveelheden voor de luchtvaartsector sinds de start van fase </w:t>
      </w:r>
      <w:r w:rsidRPr="00D4425F">
        <w:rPr>
          <w:rFonts w:ascii="Times New Roman" w:hAnsi="Times New Roman"/>
          <w:noProof/>
        </w:rPr>
        <w:t>3</w:t>
      </w:r>
      <w:r>
        <w:rPr>
          <w:rFonts w:ascii="Times New Roman" w:hAnsi="Times New Roman"/>
          <w:noProof/>
        </w:rPr>
        <w:t>.</w:t>
      </w:r>
    </w:p>
    <w:p w14:paraId="4E7FEA9A" w14:textId="21BC2932" w:rsidR="00C023D7" w:rsidRPr="00DA11F1" w:rsidRDefault="00C023D7" w:rsidP="008E33DB">
      <w:pPr>
        <w:pStyle w:val="Caption"/>
        <w:keepNext/>
        <w:rPr>
          <w:rFonts w:ascii="Times New Roman" w:hAnsi="Times New Roman"/>
          <w:noProof/>
          <w:sz w:val="22"/>
        </w:rPr>
      </w:pPr>
      <w:bookmarkStart w:id="62" w:name="_Ref85037379"/>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4425F">
        <w:rPr>
          <w:rFonts w:ascii="Times New Roman" w:hAnsi="Times New Roman"/>
          <w:noProof/>
          <w:sz w:val="22"/>
        </w:rPr>
        <w:t>6</w:t>
      </w:r>
      <w:r w:rsidRPr="00DA11F1">
        <w:rPr>
          <w:rFonts w:ascii="Times New Roman" w:hAnsi="Times New Roman"/>
          <w:noProof/>
          <w:sz w:val="22"/>
        </w:rPr>
        <w:fldChar w:fldCharType="end"/>
      </w:r>
      <w:bookmarkEnd w:id="62"/>
      <w:r>
        <w:rPr>
          <w:noProof/>
        </w:rPr>
        <w:t>.</w:t>
      </w:r>
      <w:r>
        <w:rPr>
          <w:rFonts w:ascii="Times New Roman" w:hAnsi="Times New Roman"/>
          <w:noProof/>
          <w:sz w:val="22"/>
        </w:rPr>
        <w:t xml:space="preserve"> Luchtvaartsector: geverifieerde emissies, kosteloos toegewezen rechten en veilinghoeveelheden, </w:t>
      </w:r>
      <w:r w:rsidRPr="00D4425F">
        <w:rPr>
          <w:rFonts w:ascii="Times New Roman" w:hAnsi="Times New Roman"/>
          <w:noProof/>
          <w:sz w:val="22"/>
        </w:rPr>
        <w:t>2013</w:t>
      </w:r>
      <w:r>
        <w:rPr>
          <w:rFonts w:ascii="Times New Roman" w:hAnsi="Times New Roman"/>
          <w:noProof/>
          <w:sz w:val="22"/>
        </w:rPr>
        <w:t>-</w:t>
      </w:r>
      <w:r w:rsidRPr="00D4425F">
        <w:rPr>
          <w:rFonts w:ascii="Times New Roman" w:hAnsi="Times New Roman"/>
          <w:noProof/>
          <w:sz w:val="22"/>
        </w:rPr>
        <w:t>2021</w:t>
      </w:r>
      <w:r>
        <w:rPr>
          <w:rFonts w:ascii="Times New Roman" w:hAnsi="Times New Roman"/>
          <w:noProof/>
          <w:sz w:val="22"/>
        </w:rPr>
        <w:t xml:space="preserve"> </w:t>
      </w:r>
      <w:r>
        <w:rPr>
          <w:rFonts w:ascii="Times New Roman" w:hAnsi="Times New Roman"/>
          <w:noProof/>
          <w:sz w:val="22"/>
        </w:rPr>
        <w:br/>
        <w:t>(in miljoen)</w:t>
      </w:r>
    </w:p>
    <w:tbl>
      <w:tblPr>
        <w:tblW w:w="4941" w:type="pct"/>
        <w:tblInd w:w="108" w:type="dxa"/>
        <w:tblCellMar>
          <w:left w:w="0" w:type="dxa"/>
          <w:right w:w="0" w:type="dxa"/>
        </w:tblCellMar>
        <w:tblLook w:val="04A0" w:firstRow="1" w:lastRow="0" w:firstColumn="1" w:lastColumn="0" w:noHBand="0" w:noVBand="1"/>
      </w:tblPr>
      <w:tblGrid>
        <w:gridCol w:w="2117"/>
        <w:gridCol w:w="847"/>
        <w:gridCol w:w="705"/>
        <w:gridCol w:w="705"/>
        <w:gridCol w:w="703"/>
        <w:gridCol w:w="707"/>
        <w:gridCol w:w="599"/>
        <w:gridCol w:w="665"/>
        <w:gridCol w:w="667"/>
        <w:gridCol w:w="664"/>
        <w:gridCol w:w="662"/>
      </w:tblGrid>
      <w:tr w:rsidR="00AE5BE3" w:rsidRPr="00DA11F1" w14:paraId="3AC82975" w14:textId="77777777" w:rsidTr="00115ADC">
        <w:trPr>
          <w:trHeight w:val="594"/>
        </w:trPr>
        <w:tc>
          <w:tcPr>
            <w:tcW w:w="117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CA5ABBB" w14:textId="1A02FE55" w:rsidR="00AE5BE3" w:rsidRPr="00DA11F1" w:rsidRDefault="00AE5BE3" w:rsidP="00473D74">
            <w:pPr>
              <w:spacing w:after="0"/>
              <w:jc w:val="center"/>
              <w:rPr>
                <w:rFonts w:ascii="Times New Roman" w:hAnsi="Times New Roman"/>
                <w:b/>
                <w:bCs/>
                <w:noProof/>
                <w:sz w:val="20"/>
                <w:szCs w:val="20"/>
              </w:rPr>
            </w:pPr>
            <w:r>
              <w:rPr>
                <w:rFonts w:ascii="Times New Roman" w:hAnsi="Times New Roman"/>
                <w:b/>
                <w:bCs/>
                <w:noProof/>
                <w:sz w:val="20"/>
                <w:szCs w:val="20"/>
              </w:rPr>
              <w:t>Jaar</w:t>
            </w:r>
          </w:p>
        </w:tc>
        <w:tc>
          <w:tcPr>
            <w:tcW w:w="468" w:type="pct"/>
            <w:tcBorders>
              <w:top w:val="double" w:sz="4" w:space="0" w:color="auto"/>
              <w:left w:val="nil"/>
              <w:bottom w:val="double" w:sz="4" w:space="0" w:color="auto"/>
              <w:right w:val="double" w:sz="4" w:space="0" w:color="auto"/>
            </w:tcBorders>
            <w:vAlign w:val="center"/>
          </w:tcPr>
          <w:p w14:paraId="3AB9EC7E"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2012</w:t>
            </w:r>
          </w:p>
        </w:tc>
        <w:tc>
          <w:tcPr>
            <w:tcW w:w="390"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9B26329"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2013</w:t>
            </w:r>
          </w:p>
        </w:tc>
        <w:tc>
          <w:tcPr>
            <w:tcW w:w="390"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1B92D704"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2014</w:t>
            </w:r>
          </w:p>
        </w:tc>
        <w:tc>
          <w:tcPr>
            <w:tcW w:w="389"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B4F73FD"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2015</w:t>
            </w:r>
          </w:p>
        </w:tc>
        <w:tc>
          <w:tcPr>
            <w:tcW w:w="391"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14:paraId="6221B24F"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2016</w:t>
            </w:r>
          </w:p>
        </w:tc>
        <w:tc>
          <w:tcPr>
            <w:tcW w:w="331" w:type="pct"/>
            <w:tcBorders>
              <w:top w:val="double" w:sz="4" w:space="0" w:color="auto"/>
              <w:left w:val="nil"/>
              <w:bottom w:val="double" w:sz="4" w:space="0" w:color="auto"/>
              <w:right w:val="double" w:sz="4" w:space="0" w:color="auto"/>
            </w:tcBorders>
            <w:vAlign w:val="center"/>
          </w:tcPr>
          <w:p w14:paraId="41C27537"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2017</w:t>
            </w:r>
          </w:p>
        </w:tc>
        <w:tc>
          <w:tcPr>
            <w:tcW w:w="368" w:type="pct"/>
            <w:tcBorders>
              <w:top w:val="double" w:sz="4" w:space="0" w:color="auto"/>
              <w:left w:val="nil"/>
              <w:bottom w:val="double" w:sz="4" w:space="0" w:color="auto"/>
              <w:right w:val="double" w:sz="4" w:space="0" w:color="auto"/>
            </w:tcBorders>
            <w:vAlign w:val="center"/>
          </w:tcPr>
          <w:p w14:paraId="5C1783C3"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2018</w:t>
            </w:r>
          </w:p>
        </w:tc>
        <w:tc>
          <w:tcPr>
            <w:tcW w:w="369" w:type="pct"/>
            <w:tcBorders>
              <w:top w:val="double" w:sz="4" w:space="0" w:color="auto"/>
              <w:left w:val="nil"/>
              <w:bottom w:val="double" w:sz="4" w:space="0" w:color="auto"/>
              <w:right w:val="double" w:sz="4" w:space="0" w:color="auto"/>
            </w:tcBorders>
            <w:vAlign w:val="center"/>
          </w:tcPr>
          <w:p w14:paraId="0D26C64E"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2019</w:t>
            </w:r>
          </w:p>
        </w:tc>
        <w:tc>
          <w:tcPr>
            <w:tcW w:w="367" w:type="pct"/>
            <w:tcBorders>
              <w:top w:val="double" w:sz="4" w:space="0" w:color="auto"/>
              <w:left w:val="nil"/>
              <w:bottom w:val="double" w:sz="4" w:space="0" w:color="auto"/>
              <w:right w:val="double" w:sz="4" w:space="0" w:color="auto"/>
            </w:tcBorders>
            <w:vAlign w:val="center"/>
          </w:tcPr>
          <w:p w14:paraId="2392587B"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2020</w:t>
            </w:r>
          </w:p>
        </w:tc>
        <w:tc>
          <w:tcPr>
            <w:tcW w:w="366" w:type="pct"/>
            <w:tcBorders>
              <w:top w:val="double" w:sz="4" w:space="0" w:color="auto"/>
              <w:left w:val="nil"/>
              <w:bottom w:val="double" w:sz="4" w:space="0" w:color="auto"/>
              <w:right w:val="double" w:sz="4" w:space="0" w:color="auto"/>
            </w:tcBorders>
            <w:vAlign w:val="center"/>
          </w:tcPr>
          <w:p w14:paraId="40593EBA" w14:textId="77777777" w:rsidR="00AE5BE3" w:rsidRPr="00DA11F1" w:rsidRDefault="00AE5BE3" w:rsidP="00473D74">
            <w:pPr>
              <w:spacing w:after="0"/>
              <w:jc w:val="center"/>
              <w:rPr>
                <w:rFonts w:ascii="Times New Roman" w:hAnsi="Times New Roman"/>
                <w:b/>
                <w:bCs/>
                <w:noProof/>
                <w:sz w:val="20"/>
                <w:szCs w:val="20"/>
              </w:rPr>
            </w:pPr>
            <w:r w:rsidRPr="00D4425F">
              <w:rPr>
                <w:rFonts w:ascii="Times New Roman" w:hAnsi="Times New Roman"/>
                <w:b/>
                <w:bCs/>
                <w:noProof/>
                <w:sz w:val="20"/>
                <w:szCs w:val="20"/>
              </w:rPr>
              <w:t>2021</w:t>
            </w:r>
          </w:p>
        </w:tc>
      </w:tr>
      <w:tr w:rsidR="00AE5BE3" w:rsidRPr="00DA11F1" w14:paraId="55BB0C6F" w14:textId="77777777" w:rsidTr="00115ADC">
        <w:trPr>
          <w:trHeight w:val="74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2BEB36B6" w14:textId="525CED53" w:rsidR="00AE5BE3" w:rsidRPr="00DA11F1" w:rsidRDefault="00AE5BE3" w:rsidP="00473D74">
            <w:pPr>
              <w:spacing w:after="0"/>
              <w:jc w:val="center"/>
              <w:rPr>
                <w:rFonts w:ascii="Times New Roman" w:hAnsi="Times New Roman"/>
                <w:noProof/>
                <w:color w:val="FF0000"/>
                <w:sz w:val="20"/>
                <w:szCs w:val="20"/>
              </w:rPr>
            </w:pPr>
            <w:r>
              <w:rPr>
                <w:rFonts w:ascii="Times New Roman" w:hAnsi="Times New Roman"/>
                <w:b/>
                <w:bCs/>
                <w:noProof/>
                <w:color w:val="000000"/>
                <w:sz w:val="20"/>
                <w:szCs w:val="20"/>
              </w:rPr>
              <w:t>Geverifieerde emissies (in miljoen ton CO</w:t>
            </w:r>
            <w:r w:rsidRPr="00D4425F">
              <w:rPr>
                <w:rFonts w:ascii="Times New Roman" w:hAnsi="Times New Roman"/>
                <w:b/>
                <w:bCs/>
                <w:noProof/>
                <w:color w:val="000000"/>
                <w:sz w:val="20"/>
                <w:szCs w:val="20"/>
                <w:vertAlign w:val="subscript"/>
              </w:rPr>
              <w:t>2</w:t>
            </w:r>
            <w:r>
              <w:rPr>
                <w:rFonts w:ascii="Times New Roman" w:hAnsi="Times New Roman"/>
                <w:b/>
                <w:bCs/>
                <w:noProof/>
                <w:color w:val="000000"/>
                <w:sz w:val="20"/>
                <w:szCs w:val="20"/>
              </w:rPr>
              <w:t>-equivalenten)</w:t>
            </w:r>
          </w:p>
        </w:tc>
        <w:tc>
          <w:tcPr>
            <w:tcW w:w="468" w:type="pct"/>
            <w:tcBorders>
              <w:top w:val="double" w:sz="4" w:space="0" w:color="auto"/>
              <w:left w:val="nil"/>
              <w:bottom w:val="double" w:sz="4" w:space="0" w:color="auto"/>
              <w:right w:val="double" w:sz="4" w:space="0" w:color="auto"/>
            </w:tcBorders>
            <w:vAlign w:val="center"/>
          </w:tcPr>
          <w:p w14:paraId="799EA959"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84</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6D3B53D"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53</w:t>
            </w:r>
            <w:r>
              <w:rPr>
                <w:rFonts w:ascii="Times New Roman" w:hAnsi="Times New Roman"/>
                <w:noProof/>
                <w:color w:val="000000"/>
                <w:sz w:val="20"/>
                <w:szCs w:val="20"/>
              </w:rPr>
              <w:t>,</w:t>
            </w:r>
            <w:r w:rsidRPr="00D4425F">
              <w:rPr>
                <w:rFonts w:ascii="Times New Roman" w:hAnsi="Times New Roman"/>
                <w:noProof/>
                <w:color w:val="000000"/>
                <w:sz w:val="20"/>
                <w:szCs w:val="20"/>
              </w:rPr>
              <w:t>5</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2DCD362"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54</w:t>
            </w:r>
            <w:r>
              <w:rPr>
                <w:rFonts w:ascii="Times New Roman" w:hAnsi="Times New Roman"/>
                <w:noProof/>
                <w:color w:val="000000"/>
                <w:sz w:val="20"/>
                <w:szCs w:val="20"/>
              </w:rPr>
              <w:t>,</w:t>
            </w:r>
            <w:r w:rsidRPr="00D4425F">
              <w:rPr>
                <w:rFonts w:ascii="Times New Roman" w:hAnsi="Times New Roman"/>
                <w:noProof/>
                <w:color w:val="000000"/>
                <w:sz w:val="20"/>
                <w:szCs w:val="20"/>
              </w:rPr>
              <w:t>8</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A6117F"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57</w:t>
            </w:r>
            <w:r>
              <w:rPr>
                <w:rFonts w:ascii="Times New Roman" w:hAnsi="Times New Roman"/>
                <w:noProof/>
                <w:color w:val="000000"/>
                <w:sz w:val="20"/>
                <w:szCs w:val="20"/>
              </w:rPr>
              <w:t>,</w:t>
            </w:r>
            <w:r w:rsidRPr="00D4425F">
              <w:rPr>
                <w:rFonts w:ascii="Times New Roman" w:hAnsi="Times New Roman"/>
                <w:noProof/>
                <w:color w:val="000000"/>
                <w:sz w:val="20"/>
                <w:szCs w:val="20"/>
              </w:rPr>
              <w:t>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9FA0622"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61</w:t>
            </w:r>
            <w:r>
              <w:rPr>
                <w:rFonts w:ascii="Times New Roman" w:hAnsi="Times New Roman"/>
                <w:noProof/>
                <w:color w:val="000000"/>
                <w:sz w:val="20"/>
                <w:szCs w:val="20"/>
              </w:rPr>
              <w:t>,</w:t>
            </w:r>
            <w:r w:rsidRPr="00D4425F">
              <w:rPr>
                <w:rFonts w:ascii="Times New Roman" w:hAnsi="Times New Roman"/>
                <w:noProof/>
                <w:color w:val="000000"/>
                <w:sz w:val="20"/>
                <w:szCs w:val="20"/>
              </w:rPr>
              <w:t>5</w:t>
            </w:r>
          </w:p>
        </w:tc>
        <w:tc>
          <w:tcPr>
            <w:tcW w:w="331" w:type="pct"/>
            <w:tcBorders>
              <w:top w:val="nil"/>
              <w:left w:val="nil"/>
              <w:bottom w:val="double" w:sz="4" w:space="0" w:color="auto"/>
              <w:right w:val="double" w:sz="4" w:space="0" w:color="auto"/>
            </w:tcBorders>
            <w:vAlign w:val="center"/>
          </w:tcPr>
          <w:p w14:paraId="17CA2DC1"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64</w:t>
            </w:r>
            <w:r>
              <w:rPr>
                <w:rFonts w:ascii="Times New Roman" w:hAnsi="Times New Roman"/>
                <w:noProof/>
                <w:color w:val="000000"/>
                <w:sz w:val="20"/>
                <w:szCs w:val="20"/>
              </w:rPr>
              <w:t>,</w:t>
            </w:r>
            <w:r w:rsidRPr="00D4425F">
              <w:rPr>
                <w:rFonts w:ascii="Times New Roman" w:hAnsi="Times New Roman"/>
                <w:noProof/>
                <w:color w:val="000000"/>
                <w:sz w:val="20"/>
                <w:szCs w:val="20"/>
              </w:rPr>
              <w:t>4</w:t>
            </w:r>
          </w:p>
        </w:tc>
        <w:tc>
          <w:tcPr>
            <w:tcW w:w="368" w:type="pct"/>
            <w:tcBorders>
              <w:top w:val="nil"/>
              <w:left w:val="nil"/>
              <w:bottom w:val="double" w:sz="4" w:space="0" w:color="auto"/>
              <w:right w:val="double" w:sz="4" w:space="0" w:color="auto"/>
            </w:tcBorders>
            <w:vAlign w:val="center"/>
          </w:tcPr>
          <w:p w14:paraId="424A1211"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67</w:t>
            </w:r>
            <w:r>
              <w:rPr>
                <w:rFonts w:ascii="Times New Roman" w:hAnsi="Times New Roman"/>
                <w:noProof/>
                <w:color w:val="000000"/>
                <w:sz w:val="20"/>
                <w:szCs w:val="20"/>
              </w:rPr>
              <w:t>,</w:t>
            </w:r>
            <w:r w:rsidRPr="00D4425F">
              <w:rPr>
                <w:rFonts w:ascii="Times New Roman" w:hAnsi="Times New Roman"/>
                <w:noProof/>
                <w:color w:val="000000"/>
                <w:sz w:val="20"/>
                <w:szCs w:val="20"/>
              </w:rPr>
              <w:t>5</w:t>
            </w:r>
          </w:p>
        </w:tc>
        <w:tc>
          <w:tcPr>
            <w:tcW w:w="369" w:type="pct"/>
            <w:tcBorders>
              <w:top w:val="nil"/>
              <w:left w:val="nil"/>
              <w:bottom w:val="double" w:sz="4" w:space="0" w:color="auto"/>
              <w:right w:val="double" w:sz="4" w:space="0" w:color="auto"/>
            </w:tcBorders>
            <w:vAlign w:val="center"/>
          </w:tcPr>
          <w:p w14:paraId="2EA3DE8F"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68</w:t>
            </w:r>
            <w:r>
              <w:rPr>
                <w:rFonts w:ascii="Times New Roman" w:hAnsi="Times New Roman"/>
                <w:noProof/>
                <w:color w:val="000000"/>
                <w:sz w:val="20"/>
                <w:szCs w:val="20"/>
              </w:rPr>
              <w:t>,</w:t>
            </w:r>
            <w:r w:rsidRPr="00D4425F">
              <w:rPr>
                <w:rFonts w:ascii="Times New Roman" w:hAnsi="Times New Roman"/>
                <w:noProof/>
                <w:color w:val="000000"/>
                <w:sz w:val="20"/>
                <w:szCs w:val="20"/>
              </w:rPr>
              <w:t>2</w:t>
            </w:r>
          </w:p>
        </w:tc>
        <w:tc>
          <w:tcPr>
            <w:tcW w:w="367" w:type="pct"/>
            <w:tcBorders>
              <w:top w:val="nil"/>
              <w:left w:val="nil"/>
              <w:bottom w:val="double" w:sz="4" w:space="0" w:color="auto"/>
              <w:right w:val="double" w:sz="4" w:space="0" w:color="auto"/>
            </w:tcBorders>
            <w:vAlign w:val="center"/>
          </w:tcPr>
          <w:p w14:paraId="5F9DD942"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25</w:t>
            </w:r>
            <w:r>
              <w:rPr>
                <w:rFonts w:ascii="Times New Roman" w:hAnsi="Times New Roman"/>
                <w:noProof/>
                <w:color w:val="000000"/>
                <w:sz w:val="20"/>
                <w:szCs w:val="20"/>
              </w:rPr>
              <w:t>,</w:t>
            </w:r>
            <w:r w:rsidRPr="00D4425F">
              <w:rPr>
                <w:rFonts w:ascii="Times New Roman" w:hAnsi="Times New Roman"/>
                <w:noProof/>
                <w:color w:val="000000"/>
                <w:sz w:val="20"/>
                <w:szCs w:val="20"/>
              </w:rPr>
              <w:t>2</w:t>
            </w:r>
            <w:r w:rsidRPr="00DA11F1">
              <w:rPr>
                <w:rStyle w:val="FootnoteReference"/>
                <w:rFonts w:ascii="Times New Roman" w:hAnsi="Times New Roman"/>
                <w:noProof/>
                <w:color w:val="000000"/>
                <w:sz w:val="20"/>
                <w:szCs w:val="20"/>
                <w:lang w:eastAsia="en-GB"/>
              </w:rPr>
              <w:footnoteReference w:id="79"/>
            </w:r>
          </w:p>
        </w:tc>
        <w:tc>
          <w:tcPr>
            <w:tcW w:w="366" w:type="pct"/>
            <w:tcBorders>
              <w:top w:val="nil"/>
              <w:left w:val="nil"/>
              <w:bottom w:val="double" w:sz="4" w:space="0" w:color="auto"/>
              <w:right w:val="double" w:sz="4" w:space="0" w:color="auto"/>
            </w:tcBorders>
            <w:vAlign w:val="center"/>
          </w:tcPr>
          <w:p w14:paraId="45A4937D" w14:textId="77777777" w:rsidR="00AE5BE3" w:rsidRPr="00DA11F1" w:rsidRDefault="00AE5BE3" w:rsidP="00473D74">
            <w:pPr>
              <w:spacing w:after="0"/>
              <w:jc w:val="center"/>
              <w:rPr>
                <w:rFonts w:ascii="Times New Roman" w:hAnsi="Times New Roman"/>
                <w:noProof/>
                <w:color w:val="000000"/>
                <w:sz w:val="20"/>
                <w:szCs w:val="20"/>
                <w:lang w:eastAsia="en-GB"/>
              </w:rPr>
            </w:pPr>
          </w:p>
        </w:tc>
      </w:tr>
      <w:tr w:rsidR="00AE5BE3" w:rsidRPr="00DA11F1" w14:paraId="1F13CDEA"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3D8D8FE" w14:textId="1F501F1B" w:rsidR="00AE5BE3" w:rsidRPr="00DA11F1" w:rsidRDefault="00AE5BE3" w:rsidP="00473D74">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Verandering in geverifieerde emissies ten opzichte van jaar x-</w:t>
            </w:r>
            <w:r w:rsidRPr="00D4425F">
              <w:rPr>
                <w:rFonts w:ascii="Times New Roman" w:hAnsi="Times New Roman"/>
                <w:b/>
                <w:bCs/>
                <w:noProof/>
                <w:color w:val="000000"/>
                <w:sz w:val="20"/>
                <w:szCs w:val="20"/>
              </w:rPr>
              <w:t>1</w:t>
            </w:r>
          </w:p>
        </w:tc>
        <w:tc>
          <w:tcPr>
            <w:tcW w:w="468" w:type="pct"/>
            <w:tcBorders>
              <w:top w:val="double" w:sz="4" w:space="0" w:color="auto"/>
              <w:left w:val="nil"/>
              <w:bottom w:val="double" w:sz="4" w:space="0" w:color="auto"/>
              <w:right w:val="double" w:sz="4" w:space="0" w:color="auto"/>
            </w:tcBorders>
            <w:vAlign w:val="center"/>
          </w:tcPr>
          <w:p w14:paraId="31093382" w14:textId="77777777" w:rsidR="00AE5BE3" w:rsidRPr="00DA11F1" w:rsidRDefault="00AE5BE3" w:rsidP="00473D74">
            <w:pPr>
              <w:spacing w:after="0"/>
              <w:jc w:val="center"/>
              <w:rPr>
                <w:rFonts w:ascii="Times New Roman" w:hAnsi="Times New Roman"/>
                <w:noProof/>
                <w:color w:val="000000"/>
                <w:sz w:val="20"/>
                <w:szCs w:val="20"/>
                <w:lang w:eastAsia="en-GB"/>
              </w:rPr>
            </w:pP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909D4A6" w14:textId="77777777" w:rsidR="00AE5BE3" w:rsidRPr="00DA11F1" w:rsidRDefault="00AE5BE3" w:rsidP="00473D74">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A11F1">
              <w:rPr>
                <w:rStyle w:val="FootnoteReference"/>
                <w:rFonts w:ascii="Times New Roman" w:hAnsi="Times New Roman"/>
                <w:noProof/>
                <w:color w:val="000000"/>
                <w:sz w:val="20"/>
                <w:szCs w:val="20"/>
                <w:lang w:eastAsia="en-GB"/>
              </w:rPr>
              <w:footnoteReference w:id="80"/>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192FB6A7"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2</w:t>
            </w:r>
            <w:r>
              <w:rPr>
                <w:rFonts w:ascii="Times New Roman" w:hAnsi="Times New Roman"/>
                <w:noProof/>
                <w:color w:val="000000"/>
                <w:sz w:val="20"/>
                <w:szCs w:val="20"/>
              </w:rPr>
              <w:t>,</w:t>
            </w:r>
            <w:r w:rsidRPr="00D4425F">
              <w:rPr>
                <w:rFonts w:ascii="Times New Roman" w:hAnsi="Times New Roman"/>
                <w:noProof/>
                <w:color w:val="000000"/>
                <w:sz w:val="20"/>
                <w:szCs w:val="20"/>
              </w:rPr>
              <w:t>5</w:t>
            </w:r>
            <w:r>
              <w:rPr>
                <w:rFonts w:ascii="Times New Roman" w:hAnsi="Times New Roman"/>
                <w:noProof/>
                <w:color w:val="000000"/>
                <w:sz w:val="20"/>
                <w:szCs w:val="20"/>
              </w:rPr>
              <w:t> %</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67EF00B"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4</w:t>
            </w:r>
            <w:r>
              <w:rPr>
                <w:rFonts w:ascii="Times New Roman" w:hAnsi="Times New Roman"/>
                <w:noProof/>
                <w:color w:val="000000"/>
                <w:sz w:val="20"/>
                <w:szCs w:val="20"/>
              </w:rPr>
              <w:t>,</w:t>
            </w:r>
            <w:r w:rsidRPr="00D4425F">
              <w:rPr>
                <w:rFonts w:ascii="Times New Roman" w:hAnsi="Times New Roman"/>
                <w:noProof/>
                <w:color w:val="000000"/>
                <w:sz w:val="20"/>
                <w:szCs w:val="20"/>
              </w:rPr>
              <w:t>1</w:t>
            </w:r>
            <w:r>
              <w:rPr>
                <w:rFonts w:ascii="Times New Roman" w:hAnsi="Times New Roman"/>
                <w:noProof/>
                <w:color w:val="000000"/>
                <w:sz w:val="20"/>
                <w:szCs w:val="20"/>
              </w:rPr>
              <w:t> %</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ECBCBDB"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7</w:t>
            </w:r>
            <w:r>
              <w:rPr>
                <w:rFonts w:ascii="Times New Roman" w:hAnsi="Times New Roman"/>
                <w:noProof/>
                <w:color w:val="000000"/>
                <w:sz w:val="20"/>
                <w:szCs w:val="20"/>
              </w:rPr>
              <w:t>,</w:t>
            </w:r>
            <w:r w:rsidRPr="00D4425F">
              <w:rPr>
                <w:rFonts w:ascii="Times New Roman" w:hAnsi="Times New Roman"/>
                <w:noProof/>
                <w:color w:val="000000"/>
                <w:sz w:val="20"/>
                <w:szCs w:val="20"/>
              </w:rPr>
              <w:t>7</w:t>
            </w:r>
            <w:r>
              <w:rPr>
                <w:rFonts w:ascii="Times New Roman" w:hAnsi="Times New Roman"/>
                <w:noProof/>
                <w:color w:val="000000"/>
                <w:sz w:val="20"/>
                <w:szCs w:val="20"/>
              </w:rPr>
              <w:t> %</w:t>
            </w:r>
          </w:p>
        </w:tc>
        <w:tc>
          <w:tcPr>
            <w:tcW w:w="331" w:type="pct"/>
            <w:tcBorders>
              <w:top w:val="nil"/>
              <w:left w:val="nil"/>
              <w:bottom w:val="double" w:sz="4" w:space="0" w:color="auto"/>
              <w:right w:val="double" w:sz="4" w:space="0" w:color="auto"/>
            </w:tcBorders>
            <w:vAlign w:val="center"/>
          </w:tcPr>
          <w:p w14:paraId="4B58860C"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4</w:t>
            </w:r>
            <w:r>
              <w:rPr>
                <w:rFonts w:ascii="Times New Roman" w:hAnsi="Times New Roman"/>
                <w:noProof/>
                <w:color w:val="000000"/>
                <w:sz w:val="20"/>
                <w:szCs w:val="20"/>
              </w:rPr>
              <w:t>,</w:t>
            </w:r>
            <w:r w:rsidRPr="00D4425F">
              <w:rPr>
                <w:rFonts w:ascii="Times New Roman" w:hAnsi="Times New Roman"/>
                <w:noProof/>
                <w:color w:val="000000"/>
                <w:sz w:val="20"/>
                <w:szCs w:val="20"/>
              </w:rPr>
              <w:t>8</w:t>
            </w:r>
            <w:r>
              <w:rPr>
                <w:rFonts w:ascii="Times New Roman" w:hAnsi="Times New Roman"/>
                <w:noProof/>
                <w:color w:val="000000"/>
                <w:sz w:val="20"/>
                <w:szCs w:val="20"/>
              </w:rPr>
              <w:t> %</w:t>
            </w:r>
          </w:p>
        </w:tc>
        <w:tc>
          <w:tcPr>
            <w:tcW w:w="368" w:type="pct"/>
            <w:tcBorders>
              <w:top w:val="nil"/>
              <w:left w:val="nil"/>
              <w:bottom w:val="double" w:sz="4" w:space="0" w:color="auto"/>
              <w:right w:val="double" w:sz="4" w:space="0" w:color="auto"/>
            </w:tcBorders>
            <w:vAlign w:val="center"/>
          </w:tcPr>
          <w:p w14:paraId="1E1B4D02"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4</w:t>
            </w:r>
            <w:r>
              <w:rPr>
                <w:rFonts w:ascii="Times New Roman" w:hAnsi="Times New Roman"/>
                <w:noProof/>
                <w:color w:val="000000"/>
                <w:sz w:val="20"/>
                <w:szCs w:val="20"/>
              </w:rPr>
              <w:t>,</w:t>
            </w:r>
            <w:r w:rsidRPr="00D4425F">
              <w:rPr>
                <w:rFonts w:ascii="Times New Roman" w:hAnsi="Times New Roman"/>
                <w:noProof/>
                <w:color w:val="000000"/>
                <w:sz w:val="20"/>
                <w:szCs w:val="20"/>
              </w:rPr>
              <w:t>8</w:t>
            </w:r>
            <w:r>
              <w:rPr>
                <w:rFonts w:ascii="Times New Roman" w:hAnsi="Times New Roman"/>
                <w:noProof/>
                <w:color w:val="000000"/>
                <w:sz w:val="20"/>
                <w:szCs w:val="20"/>
              </w:rPr>
              <w:t> %</w:t>
            </w:r>
          </w:p>
        </w:tc>
        <w:tc>
          <w:tcPr>
            <w:tcW w:w="369" w:type="pct"/>
            <w:tcBorders>
              <w:top w:val="nil"/>
              <w:left w:val="nil"/>
              <w:bottom w:val="double" w:sz="4" w:space="0" w:color="auto"/>
              <w:right w:val="double" w:sz="4" w:space="0" w:color="auto"/>
            </w:tcBorders>
            <w:vAlign w:val="center"/>
          </w:tcPr>
          <w:p w14:paraId="1866069E"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1</w:t>
            </w:r>
            <w:r>
              <w:rPr>
                <w:rFonts w:ascii="Times New Roman" w:hAnsi="Times New Roman"/>
                <w:noProof/>
                <w:color w:val="000000"/>
                <w:sz w:val="20"/>
                <w:szCs w:val="20"/>
              </w:rPr>
              <w:t> %</w:t>
            </w:r>
          </w:p>
        </w:tc>
        <w:tc>
          <w:tcPr>
            <w:tcW w:w="367" w:type="pct"/>
            <w:tcBorders>
              <w:top w:val="nil"/>
              <w:left w:val="nil"/>
              <w:bottom w:val="double" w:sz="4" w:space="0" w:color="auto"/>
              <w:right w:val="double" w:sz="4" w:space="0" w:color="auto"/>
            </w:tcBorders>
            <w:vAlign w:val="center"/>
          </w:tcPr>
          <w:p w14:paraId="1D189A6A" w14:textId="77777777" w:rsidR="00AE5BE3" w:rsidRPr="00DA11F1" w:rsidRDefault="00AE5BE3" w:rsidP="00473D74">
            <w:pPr>
              <w:spacing w:after="0"/>
              <w:jc w:val="center"/>
              <w:rPr>
                <w:rFonts w:ascii="Times New Roman" w:hAnsi="Times New Roman"/>
                <w:noProof/>
                <w:color w:val="000000"/>
                <w:sz w:val="20"/>
                <w:szCs w:val="20"/>
              </w:rPr>
            </w:pPr>
            <w:r>
              <w:rPr>
                <w:rFonts w:ascii="Times New Roman" w:hAnsi="Times New Roman"/>
                <w:noProof/>
                <w:color w:val="000000"/>
                <w:sz w:val="20"/>
                <w:szCs w:val="20"/>
              </w:rPr>
              <w:t>-</w:t>
            </w:r>
            <w:r w:rsidRPr="00D4425F">
              <w:rPr>
                <w:rFonts w:ascii="Times New Roman" w:hAnsi="Times New Roman"/>
                <w:noProof/>
                <w:color w:val="000000"/>
                <w:sz w:val="20"/>
                <w:szCs w:val="20"/>
              </w:rPr>
              <w:t>63</w:t>
            </w:r>
            <w:r>
              <w:rPr>
                <w:rFonts w:ascii="Times New Roman" w:hAnsi="Times New Roman"/>
                <w:noProof/>
                <w:color w:val="000000"/>
                <w:sz w:val="20"/>
                <w:szCs w:val="20"/>
              </w:rPr>
              <w:t> %</w:t>
            </w:r>
          </w:p>
        </w:tc>
        <w:tc>
          <w:tcPr>
            <w:tcW w:w="366" w:type="pct"/>
            <w:tcBorders>
              <w:top w:val="nil"/>
              <w:left w:val="nil"/>
              <w:bottom w:val="double" w:sz="4" w:space="0" w:color="auto"/>
              <w:right w:val="double" w:sz="4" w:space="0" w:color="auto"/>
            </w:tcBorders>
            <w:vAlign w:val="center"/>
          </w:tcPr>
          <w:p w14:paraId="53E8A521" w14:textId="77777777" w:rsidR="00AE5BE3" w:rsidRPr="00DA11F1" w:rsidRDefault="00AE5BE3" w:rsidP="00473D74">
            <w:pPr>
              <w:spacing w:after="0"/>
              <w:jc w:val="center"/>
              <w:rPr>
                <w:rFonts w:ascii="Times New Roman" w:hAnsi="Times New Roman"/>
                <w:noProof/>
                <w:color w:val="000000"/>
                <w:sz w:val="20"/>
                <w:szCs w:val="20"/>
                <w:lang w:eastAsia="en-GB"/>
              </w:rPr>
            </w:pPr>
          </w:p>
        </w:tc>
      </w:tr>
      <w:tr w:rsidR="00AE5BE3" w:rsidRPr="00DA11F1" w14:paraId="598781E5" w14:textId="77777777" w:rsidTr="00115ADC">
        <w:trPr>
          <w:trHeight w:val="758"/>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5CF4533" w14:textId="08F268DD" w:rsidR="00AE5BE3" w:rsidRPr="00DA11F1" w:rsidRDefault="00AE5BE3" w:rsidP="00473D74">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Kosteloze toewijzing (EU-</w:t>
            </w:r>
            <w:r w:rsidRPr="00D4425F">
              <w:rPr>
                <w:rFonts w:ascii="Times New Roman" w:hAnsi="Times New Roman"/>
                <w:b/>
                <w:bCs/>
                <w:noProof/>
                <w:color w:val="000000"/>
                <w:sz w:val="20"/>
                <w:szCs w:val="20"/>
              </w:rPr>
              <w:t>27</w:t>
            </w:r>
            <w:r>
              <w:rPr>
                <w:rFonts w:ascii="Times New Roman" w:hAnsi="Times New Roman"/>
                <w:b/>
                <w:bCs/>
                <w:noProof/>
                <w:color w:val="000000"/>
                <w:sz w:val="20"/>
                <w:szCs w:val="20"/>
              </w:rPr>
              <w:t xml:space="preserve"> + het VK + IJsland, Liechtenstein en Noorwegen </w:t>
            </w:r>
            <w:r>
              <w:rPr>
                <w:rFonts w:ascii="Times New Roman" w:hAnsi="Times New Roman"/>
                <w:b/>
                <w:bCs/>
                <w:noProof/>
                <w:color w:val="000000"/>
                <w:sz w:val="20"/>
                <w:szCs w:val="20"/>
              </w:rPr>
              <w:br/>
              <w:t xml:space="preserve">+ Zwitserland voor </w:t>
            </w:r>
            <w:r w:rsidRPr="00D4425F">
              <w:rPr>
                <w:rFonts w:ascii="Times New Roman" w:hAnsi="Times New Roman"/>
                <w:b/>
                <w:bCs/>
                <w:noProof/>
                <w:color w:val="000000"/>
                <w:sz w:val="20"/>
                <w:szCs w:val="20"/>
              </w:rPr>
              <w:t>2020</w:t>
            </w:r>
            <w:r>
              <w:rPr>
                <w:rFonts w:ascii="Times New Roman" w:hAnsi="Times New Roman"/>
                <w:b/>
                <w:bCs/>
                <w:noProof/>
                <w:color w:val="000000"/>
                <w:sz w:val="20"/>
                <w:szCs w:val="20"/>
              </w:rPr>
              <w:t xml:space="preserve"> en </w:t>
            </w:r>
            <w:r w:rsidRPr="00D4425F">
              <w:rPr>
                <w:rFonts w:ascii="Times New Roman" w:hAnsi="Times New Roman"/>
                <w:b/>
                <w:bCs/>
                <w:noProof/>
                <w:color w:val="000000"/>
                <w:sz w:val="20"/>
                <w:szCs w:val="20"/>
              </w:rPr>
              <w:t>2021</w:t>
            </w:r>
            <w:r>
              <w:rPr>
                <w:rFonts w:ascii="Times New Roman" w:hAnsi="Times New Roman"/>
                <w:b/>
                <w:bCs/>
                <w:noProof/>
                <w:color w:val="000000"/>
                <w:sz w:val="20"/>
                <w:szCs w:val="20"/>
              </w:rPr>
              <w:t>)</w:t>
            </w:r>
            <w:r w:rsidRPr="00DA11F1">
              <w:rPr>
                <w:rStyle w:val="FootnoteReference"/>
                <w:rFonts w:ascii="Times New Roman" w:hAnsi="Times New Roman"/>
                <w:b/>
                <w:bCs/>
                <w:noProof/>
                <w:color w:val="000000"/>
                <w:sz w:val="20"/>
                <w:szCs w:val="20"/>
                <w:lang w:eastAsia="en-GB"/>
              </w:rPr>
              <w:footnoteReference w:id="81"/>
            </w:r>
          </w:p>
        </w:tc>
        <w:tc>
          <w:tcPr>
            <w:tcW w:w="468" w:type="pct"/>
            <w:tcBorders>
              <w:top w:val="double" w:sz="4" w:space="0" w:color="auto"/>
              <w:left w:val="nil"/>
              <w:bottom w:val="double" w:sz="4" w:space="0" w:color="auto"/>
              <w:right w:val="double" w:sz="4" w:space="0" w:color="auto"/>
            </w:tcBorders>
            <w:vAlign w:val="center"/>
          </w:tcPr>
          <w:p w14:paraId="0B9EA267"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173</w:t>
            </w:r>
            <w:r>
              <w:rPr>
                <w:rFonts w:ascii="Times New Roman" w:hAnsi="Times New Roman"/>
                <w:noProof/>
                <w:color w:val="000000"/>
                <w:sz w:val="20"/>
                <w:szCs w:val="20"/>
              </w:rPr>
              <w:t>,</w:t>
            </w:r>
            <w:r w:rsidRPr="00D4425F">
              <w:rPr>
                <w:rFonts w:ascii="Times New Roman" w:hAnsi="Times New Roman"/>
                <w:noProof/>
                <w:color w:val="000000"/>
                <w:sz w:val="20"/>
                <w:szCs w:val="20"/>
              </w:rPr>
              <w:t>8</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5FC8F9F8"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32</w:t>
            </w:r>
            <w:r>
              <w:rPr>
                <w:rFonts w:ascii="Times New Roman" w:hAnsi="Times New Roman"/>
                <w:noProof/>
                <w:color w:val="000000"/>
                <w:sz w:val="20"/>
                <w:szCs w:val="20"/>
              </w:rPr>
              <w:t>,</w:t>
            </w:r>
            <w:r w:rsidRPr="00D4425F">
              <w:rPr>
                <w:rFonts w:ascii="Times New Roman" w:hAnsi="Times New Roman"/>
                <w:noProof/>
                <w:color w:val="000000"/>
                <w:sz w:val="20"/>
                <w:szCs w:val="20"/>
              </w:rPr>
              <w:t>4</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C2A93E8"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32</w:t>
            </w:r>
            <w:r>
              <w:rPr>
                <w:rFonts w:ascii="Times New Roman" w:hAnsi="Times New Roman"/>
                <w:noProof/>
                <w:color w:val="000000"/>
                <w:sz w:val="20"/>
                <w:szCs w:val="20"/>
              </w:rPr>
              <w:t>,</w:t>
            </w:r>
            <w:r w:rsidRPr="00D4425F">
              <w:rPr>
                <w:rFonts w:ascii="Times New Roman" w:hAnsi="Times New Roman"/>
                <w:noProof/>
                <w:color w:val="000000"/>
                <w:sz w:val="20"/>
                <w:szCs w:val="20"/>
              </w:rPr>
              <w:t>4</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48790BF0"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32</w:t>
            </w:r>
            <w:r>
              <w:rPr>
                <w:rFonts w:ascii="Times New Roman" w:hAnsi="Times New Roman"/>
                <w:noProof/>
                <w:color w:val="000000"/>
                <w:sz w:val="20"/>
                <w:szCs w:val="20"/>
              </w:rPr>
              <w:t>,</w:t>
            </w:r>
            <w:r w:rsidRPr="00D4425F">
              <w:rPr>
                <w:rFonts w:ascii="Times New Roman" w:hAnsi="Times New Roman"/>
                <w:noProof/>
                <w:color w:val="000000"/>
                <w:sz w:val="20"/>
                <w:szCs w:val="20"/>
              </w:rPr>
              <w:t>1</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66CBDC2A"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32</w:t>
            </w:r>
            <w:r>
              <w:rPr>
                <w:rFonts w:ascii="Times New Roman" w:hAnsi="Times New Roman"/>
                <w:noProof/>
                <w:color w:val="000000"/>
                <w:sz w:val="20"/>
                <w:szCs w:val="20"/>
              </w:rPr>
              <w:t>,</w:t>
            </w:r>
            <w:r w:rsidRPr="00D4425F">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35CA1944"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33</w:t>
            </w:r>
            <w:r>
              <w:rPr>
                <w:rFonts w:ascii="Times New Roman" w:hAnsi="Times New Roman"/>
                <w:noProof/>
                <w:color w:val="000000"/>
                <w:sz w:val="20"/>
                <w:szCs w:val="20"/>
              </w:rPr>
              <w:t>,</w:t>
            </w:r>
            <w:r w:rsidRPr="00D4425F">
              <w:rPr>
                <w:rFonts w:ascii="Times New Roman" w:hAnsi="Times New Roman"/>
                <w:noProof/>
                <w:color w:val="000000"/>
                <w:sz w:val="20"/>
                <w:szCs w:val="20"/>
              </w:rPr>
              <w:t>1</w:t>
            </w:r>
          </w:p>
        </w:tc>
        <w:tc>
          <w:tcPr>
            <w:tcW w:w="368" w:type="pct"/>
            <w:tcBorders>
              <w:top w:val="nil"/>
              <w:left w:val="nil"/>
              <w:bottom w:val="double" w:sz="4" w:space="0" w:color="auto"/>
              <w:right w:val="double" w:sz="4" w:space="0" w:color="auto"/>
            </w:tcBorders>
            <w:vAlign w:val="center"/>
          </w:tcPr>
          <w:p w14:paraId="25380FA9"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31</w:t>
            </w:r>
            <w:r>
              <w:rPr>
                <w:rFonts w:ascii="Times New Roman" w:hAnsi="Times New Roman"/>
                <w:noProof/>
                <w:color w:val="000000"/>
                <w:sz w:val="20"/>
                <w:szCs w:val="20"/>
              </w:rPr>
              <w:t>,</w:t>
            </w:r>
            <w:r w:rsidRPr="00D4425F">
              <w:rPr>
                <w:rFonts w:ascii="Times New Roman" w:hAnsi="Times New Roman"/>
                <w:noProof/>
                <w:color w:val="000000"/>
                <w:sz w:val="20"/>
                <w:szCs w:val="20"/>
              </w:rPr>
              <w:t>3</w:t>
            </w:r>
          </w:p>
        </w:tc>
        <w:tc>
          <w:tcPr>
            <w:tcW w:w="369" w:type="pct"/>
            <w:tcBorders>
              <w:top w:val="nil"/>
              <w:left w:val="nil"/>
              <w:bottom w:val="double" w:sz="4" w:space="0" w:color="auto"/>
              <w:right w:val="double" w:sz="4" w:space="0" w:color="auto"/>
            </w:tcBorders>
            <w:vAlign w:val="center"/>
          </w:tcPr>
          <w:p w14:paraId="72BD8495"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31</w:t>
            </w:r>
            <w:r>
              <w:rPr>
                <w:rFonts w:ascii="Times New Roman" w:hAnsi="Times New Roman"/>
                <w:noProof/>
                <w:color w:val="000000"/>
                <w:sz w:val="20"/>
                <w:szCs w:val="20"/>
              </w:rPr>
              <w:t>,</w:t>
            </w:r>
            <w:r w:rsidRPr="00D4425F">
              <w:rPr>
                <w:rFonts w:ascii="Times New Roman" w:hAnsi="Times New Roman"/>
                <w:noProof/>
                <w:color w:val="000000"/>
                <w:sz w:val="20"/>
                <w:szCs w:val="20"/>
              </w:rPr>
              <w:t>3</w:t>
            </w:r>
            <w:r w:rsidRPr="00DA11F1">
              <w:rPr>
                <w:rStyle w:val="FootnoteReference"/>
                <w:rFonts w:ascii="Times New Roman" w:hAnsi="Times New Roman"/>
                <w:noProof/>
                <w:color w:val="000000"/>
                <w:sz w:val="20"/>
                <w:szCs w:val="20"/>
                <w:lang w:eastAsia="en-GB"/>
              </w:rPr>
              <w:footnoteReference w:id="82"/>
            </w:r>
          </w:p>
        </w:tc>
        <w:tc>
          <w:tcPr>
            <w:tcW w:w="367" w:type="pct"/>
            <w:tcBorders>
              <w:top w:val="nil"/>
              <w:left w:val="nil"/>
              <w:bottom w:val="double" w:sz="4" w:space="0" w:color="auto"/>
              <w:right w:val="double" w:sz="4" w:space="0" w:color="auto"/>
            </w:tcBorders>
            <w:vAlign w:val="center"/>
          </w:tcPr>
          <w:p w14:paraId="6B943F30" w14:textId="2C64449A"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32</w:t>
            </w:r>
            <w:r>
              <w:rPr>
                <w:rFonts w:ascii="Times New Roman" w:hAnsi="Times New Roman"/>
                <w:noProof/>
                <w:color w:val="000000"/>
                <w:sz w:val="20"/>
                <w:szCs w:val="20"/>
              </w:rPr>
              <w:t>,</w:t>
            </w:r>
            <w:r w:rsidRPr="00D4425F">
              <w:rPr>
                <w:rFonts w:ascii="Times New Roman" w:hAnsi="Times New Roman"/>
                <w:noProof/>
                <w:color w:val="000000"/>
                <w:sz w:val="20"/>
                <w:szCs w:val="20"/>
              </w:rPr>
              <w:t>5</w:t>
            </w:r>
            <w:r w:rsidRPr="00DA11F1">
              <w:rPr>
                <w:rStyle w:val="FootnoteReference"/>
                <w:rFonts w:ascii="Times New Roman" w:hAnsi="Times New Roman"/>
                <w:noProof/>
                <w:color w:val="000000"/>
                <w:sz w:val="20"/>
                <w:szCs w:val="20"/>
                <w:lang w:eastAsia="en-GB"/>
              </w:rPr>
              <w:footnoteReference w:id="83"/>
            </w:r>
          </w:p>
        </w:tc>
        <w:tc>
          <w:tcPr>
            <w:tcW w:w="366" w:type="pct"/>
            <w:tcBorders>
              <w:top w:val="nil"/>
              <w:left w:val="nil"/>
              <w:bottom w:val="double" w:sz="4" w:space="0" w:color="auto"/>
              <w:right w:val="double" w:sz="4" w:space="0" w:color="auto"/>
            </w:tcBorders>
            <w:vAlign w:val="center"/>
          </w:tcPr>
          <w:p w14:paraId="31490668"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17</w:t>
            </w:r>
            <w:r>
              <w:rPr>
                <w:rFonts w:ascii="Times New Roman" w:hAnsi="Times New Roman"/>
                <w:noProof/>
                <w:color w:val="000000"/>
                <w:sz w:val="20"/>
                <w:szCs w:val="20"/>
              </w:rPr>
              <w:t>,</w:t>
            </w:r>
            <w:r w:rsidRPr="00D4425F">
              <w:rPr>
                <w:rFonts w:ascii="Times New Roman" w:hAnsi="Times New Roman"/>
                <w:noProof/>
                <w:color w:val="000000"/>
                <w:sz w:val="20"/>
                <w:szCs w:val="20"/>
              </w:rPr>
              <w:t>3</w:t>
            </w:r>
            <w:r w:rsidRPr="00DA11F1">
              <w:rPr>
                <w:rStyle w:val="FootnoteReference"/>
                <w:rFonts w:ascii="Times New Roman" w:hAnsi="Times New Roman"/>
                <w:noProof/>
                <w:color w:val="000000"/>
                <w:sz w:val="20"/>
                <w:szCs w:val="20"/>
                <w:lang w:eastAsia="en-GB"/>
              </w:rPr>
              <w:footnoteReference w:id="84"/>
            </w:r>
          </w:p>
        </w:tc>
      </w:tr>
      <w:tr w:rsidR="00AE5BE3" w:rsidRPr="00DA11F1" w14:paraId="3C0772C7" w14:textId="77777777" w:rsidTr="00115ADC">
        <w:trPr>
          <w:trHeight w:val="75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3E8F1E49" w14:textId="17BE32CF" w:rsidR="00AE5BE3" w:rsidRPr="00DA11F1" w:rsidRDefault="00AE5BE3" w:rsidP="00473D74">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Kosteloze toewijzingen uit speciale nieuwkomersreserve en snel groeiende exploitanten</w:t>
            </w:r>
          </w:p>
        </w:tc>
        <w:tc>
          <w:tcPr>
            <w:tcW w:w="468" w:type="pct"/>
            <w:tcBorders>
              <w:top w:val="double" w:sz="4" w:space="0" w:color="auto"/>
              <w:left w:val="nil"/>
              <w:bottom w:val="double" w:sz="4" w:space="0" w:color="auto"/>
              <w:right w:val="double" w:sz="4" w:space="0" w:color="auto"/>
            </w:tcBorders>
            <w:vAlign w:val="center"/>
          </w:tcPr>
          <w:p w14:paraId="1389A62C"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0</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tcPr>
          <w:p w14:paraId="22B89CAF"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tcPr>
          <w:p w14:paraId="1F5FAFFB"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0</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tcPr>
          <w:p w14:paraId="34EEF1D2"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0</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tcPr>
          <w:p w14:paraId="4DBFE3A0"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558C3EE6"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1</w:t>
            </w:r>
            <w:r>
              <w:rPr>
                <w:rFonts w:ascii="Times New Roman" w:hAnsi="Times New Roman"/>
                <w:noProof/>
                <w:color w:val="000000"/>
                <w:sz w:val="20"/>
                <w:szCs w:val="20"/>
              </w:rPr>
              <w:t>,</w:t>
            </w:r>
            <w:r w:rsidRPr="00D4425F">
              <w:rPr>
                <w:rFonts w:ascii="Times New Roman" w:hAnsi="Times New Roman"/>
                <w:noProof/>
                <w:color w:val="000000"/>
                <w:sz w:val="20"/>
                <w:szCs w:val="20"/>
              </w:rPr>
              <w:t>1</w:t>
            </w:r>
          </w:p>
        </w:tc>
        <w:tc>
          <w:tcPr>
            <w:tcW w:w="368" w:type="pct"/>
            <w:tcBorders>
              <w:top w:val="nil"/>
              <w:left w:val="nil"/>
              <w:bottom w:val="double" w:sz="4" w:space="0" w:color="auto"/>
              <w:right w:val="double" w:sz="4" w:space="0" w:color="auto"/>
            </w:tcBorders>
            <w:vAlign w:val="center"/>
          </w:tcPr>
          <w:p w14:paraId="0055EC3A"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1</w:t>
            </w:r>
            <w:r>
              <w:rPr>
                <w:rFonts w:ascii="Times New Roman" w:hAnsi="Times New Roman"/>
                <w:noProof/>
                <w:color w:val="000000"/>
                <w:sz w:val="20"/>
                <w:szCs w:val="20"/>
              </w:rPr>
              <w:t>,</w:t>
            </w:r>
            <w:r w:rsidRPr="00D4425F">
              <w:rPr>
                <w:rFonts w:ascii="Times New Roman" w:hAnsi="Times New Roman"/>
                <w:noProof/>
                <w:color w:val="000000"/>
                <w:sz w:val="20"/>
                <w:szCs w:val="20"/>
              </w:rPr>
              <w:t>1</w:t>
            </w:r>
          </w:p>
        </w:tc>
        <w:tc>
          <w:tcPr>
            <w:tcW w:w="369" w:type="pct"/>
            <w:tcBorders>
              <w:top w:val="nil"/>
              <w:left w:val="nil"/>
              <w:bottom w:val="double" w:sz="4" w:space="0" w:color="auto"/>
              <w:right w:val="double" w:sz="4" w:space="0" w:color="auto"/>
            </w:tcBorders>
            <w:vAlign w:val="center"/>
          </w:tcPr>
          <w:p w14:paraId="7B542B68"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1</w:t>
            </w:r>
            <w:r>
              <w:rPr>
                <w:rFonts w:ascii="Times New Roman" w:hAnsi="Times New Roman"/>
                <w:noProof/>
                <w:color w:val="000000"/>
                <w:sz w:val="20"/>
                <w:szCs w:val="20"/>
              </w:rPr>
              <w:t>,</w:t>
            </w:r>
            <w:r w:rsidRPr="00D4425F">
              <w:rPr>
                <w:rFonts w:ascii="Times New Roman" w:hAnsi="Times New Roman"/>
                <w:noProof/>
                <w:color w:val="000000"/>
                <w:sz w:val="20"/>
                <w:szCs w:val="20"/>
              </w:rPr>
              <w:t>0</w:t>
            </w:r>
          </w:p>
        </w:tc>
        <w:tc>
          <w:tcPr>
            <w:tcW w:w="367" w:type="pct"/>
            <w:tcBorders>
              <w:top w:val="nil"/>
              <w:left w:val="nil"/>
              <w:bottom w:val="double" w:sz="4" w:space="0" w:color="auto"/>
              <w:right w:val="double" w:sz="4" w:space="0" w:color="auto"/>
            </w:tcBorders>
            <w:vAlign w:val="center"/>
          </w:tcPr>
          <w:p w14:paraId="671239C7"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0</w:t>
            </w:r>
            <w:r>
              <w:rPr>
                <w:rFonts w:ascii="Times New Roman" w:hAnsi="Times New Roman"/>
                <w:noProof/>
                <w:color w:val="000000"/>
                <w:sz w:val="20"/>
                <w:szCs w:val="20"/>
              </w:rPr>
              <w:t>,</w:t>
            </w:r>
            <w:r w:rsidRPr="00D4425F">
              <w:rPr>
                <w:rFonts w:ascii="Times New Roman" w:hAnsi="Times New Roman"/>
                <w:noProof/>
                <w:color w:val="000000"/>
                <w:sz w:val="20"/>
                <w:szCs w:val="20"/>
              </w:rPr>
              <w:t>8</w:t>
            </w:r>
          </w:p>
        </w:tc>
        <w:tc>
          <w:tcPr>
            <w:tcW w:w="366" w:type="pct"/>
            <w:tcBorders>
              <w:top w:val="nil"/>
              <w:left w:val="nil"/>
              <w:bottom w:val="double" w:sz="4" w:space="0" w:color="auto"/>
              <w:right w:val="double" w:sz="4" w:space="0" w:color="auto"/>
            </w:tcBorders>
            <w:vAlign w:val="center"/>
          </w:tcPr>
          <w:p w14:paraId="413F7F67"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0</w:t>
            </w:r>
            <w:r>
              <w:rPr>
                <w:rFonts w:ascii="Times New Roman" w:hAnsi="Times New Roman"/>
                <w:noProof/>
                <w:color w:val="000000"/>
                <w:sz w:val="20"/>
                <w:szCs w:val="20"/>
              </w:rPr>
              <w:t>,</w:t>
            </w:r>
            <w:r w:rsidRPr="00D4425F">
              <w:rPr>
                <w:rFonts w:ascii="Times New Roman" w:hAnsi="Times New Roman"/>
                <w:noProof/>
                <w:color w:val="000000"/>
                <w:sz w:val="20"/>
                <w:szCs w:val="20"/>
              </w:rPr>
              <w:t>3</w:t>
            </w:r>
          </w:p>
        </w:tc>
      </w:tr>
      <w:tr w:rsidR="00AE5BE3" w:rsidRPr="00DA11F1" w14:paraId="6C571D6F" w14:textId="77777777" w:rsidTr="00115ADC">
        <w:trPr>
          <w:trHeight w:val="620"/>
        </w:trPr>
        <w:tc>
          <w:tcPr>
            <w:tcW w:w="117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04CB0667" w14:textId="77777777" w:rsidR="00AE5BE3" w:rsidRPr="00DA11F1" w:rsidRDefault="00AE5BE3" w:rsidP="00473D74">
            <w:pPr>
              <w:spacing w:after="0"/>
              <w:jc w:val="center"/>
              <w:rPr>
                <w:rFonts w:ascii="Times New Roman" w:hAnsi="Times New Roman"/>
                <w:b/>
                <w:bCs/>
                <w:noProof/>
                <w:color w:val="000000"/>
                <w:sz w:val="20"/>
                <w:szCs w:val="20"/>
              </w:rPr>
            </w:pPr>
            <w:r>
              <w:rPr>
                <w:rFonts w:ascii="Times New Roman" w:hAnsi="Times New Roman"/>
                <w:b/>
                <w:bCs/>
                <w:noProof/>
                <w:color w:val="000000"/>
                <w:sz w:val="20"/>
                <w:szCs w:val="20"/>
              </w:rPr>
              <w:t>Aantallen geveilde emissierechten</w:t>
            </w:r>
          </w:p>
        </w:tc>
        <w:tc>
          <w:tcPr>
            <w:tcW w:w="468" w:type="pct"/>
            <w:tcBorders>
              <w:top w:val="double" w:sz="4" w:space="0" w:color="auto"/>
              <w:left w:val="nil"/>
              <w:bottom w:val="double" w:sz="4" w:space="0" w:color="auto"/>
              <w:right w:val="double" w:sz="4" w:space="0" w:color="auto"/>
            </w:tcBorders>
            <w:vAlign w:val="center"/>
          </w:tcPr>
          <w:p w14:paraId="7BC1432E"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2</w:t>
            </w:r>
            <w:r>
              <w:rPr>
                <w:rFonts w:ascii="Times New Roman" w:hAnsi="Times New Roman"/>
                <w:noProof/>
                <w:color w:val="000000"/>
                <w:sz w:val="20"/>
                <w:szCs w:val="20"/>
              </w:rPr>
              <w:t>,</w:t>
            </w:r>
            <w:r w:rsidRPr="00D4425F">
              <w:rPr>
                <w:rFonts w:ascii="Times New Roman" w:hAnsi="Times New Roman"/>
                <w:noProof/>
                <w:color w:val="000000"/>
                <w:sz w:val="20"/>
                <w:szCs w:val="20"/>
              </w:rPr>
              <w:t>5</w:t>
            </w:r>
          </w:p>
        </w:tc>
        <w:tc>
          <w:tcPr>
            <w:tcW w:w="390"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14:paraId="403B2A88"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0</w:t>
            </w:r>
          </w:p>
        </w:tc>
        <w:tc>
          <w:tcPr>
            <w:tcW w:w="390"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38DB6FC2"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9</w:t>
            </w:r>
            <w:r>
              <w:rPr>
                <w:rFonts w:ascii="Times New Roman" w:hAnsi="Times New Roman"/>
                <w:noProof/>
                <w:color w:val="000000"/>
                <w:sz w:val="20"/>
                <w:szCs w:val="20"/>
              </w:rPr>
              <w:t>,</w:t>
            </w:r>
            <w:r w:rsidRPr="00D4425F">
              <w:rPr>
                <w:rFonts w:ascii="Times New Roman" w:hAnsi="Times New Roman"/>
                <w:noProof/>
                <w:color w:val="000000"/>
                <w:sz w:val="20"/>
                <w:szCs w:val="20"/>
              </w:rPr>
              <w:t>3</w:t>
            </w:r>
          </w:p>
        </w:tc>
        <w:tc>
          <w:tcPr>
            <w:tcW w:w="389"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555B42D6"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16</w:t>
            </w:r>
            <w:r>
              <w:rPr>
                <w:rFonts w:ascii="Times New Roman" w:hAnsi="Times New Roman"/>
                <w:noProof/>
                <w:color w:val="000000"/>
                <w:sz w:val="20"/>
                <w:szCs w:val="20"/>
              </w:rPr>
              <w:t>,</w:t>
            </w:r>
            <w:r w:rsidRPr="00D4425F">
              <w:rPr>
                <w:rFonts w:ascii="Times New Roman" w:hAnsi="Times New Roman"/>
                <w:noProof/>
                <w:color w:val="000000"/>
                <w:sz w:val="20"/>
                <w:szCs w:val="20"/>
              </w:rPr>
              <w:t>4</w:t>
            </w:r>
          </w:p>
        </w:tc>
        <w:tc>
          <w:tcPr>
            <w:tcW w:w="391" w:type="pct"/>
            <w:tcBorders>
              <w:top w:val="nil"/>
              <w:left w:val="nil"/>
              <w:bottom w:val="double" w:sz="4" w:space="0" w:color="auto"/>
              <w:right w:val="double" w:sz="4" w:space="0" w:color="auto"/>
            </w:tcBorders>
            <w:tcMar>
              <w:top w:w="0" w:type="dxa"/>
              <w:left w:w="108" w:type="dxa"/>
              <w:bottom w:w="0" w:type="dxa"/>
              <w:right w:w="108" w:type="dxa"/>
            </w:tcMar>
            <w:vAlign w:val="center"/>
            <w:hideMark/>
          </w:tcPr>
          <w:p w14:paraId="291FF205"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6</w:t>
            </w:r>
            <w:r>
              <w:rPr>
                <w:rFonts w:ascii="Times New Roman" w:hAnsi="Times New Roman"/>
                <w:noProof/>
                <w:color w:val="000000"/>
                <w:sz w:val="20"/>
                <w:szCs w:val="20"/>
              </w:rPr>
              <w:t>,</w:t>
            </w:r>
            <w:r w:rsidRPr="00D4425F">
              <w:rPr>
                <w:rFonts w:ascii="Times New Roman" w:hAnsi="Times New Roman"/>
                <w:noProof/>
                <w:color w:val="000000"/>
                <w:sz w:val="20"/>
                <w:szCs w:val="20"/>
              </w:rPr>
              <w:t>0</w:t>
            </w:r>
          </w:p>
        </w:tc>
        <w:tc>
          <w:tcPr>
            <w:tcW w:w="331" w:type="pct"/>
            <w:tcBorders>
              <w:top w:val="nil"/>
              <w:left w:val="nil"/>
              <w:bottom w:val="double" w:sz="4" w:space="0" w:color="auto"/>
              <w:right w:val="double" w:sz="4" w:space="0" w:color="auto"/>
            </w:tcBorders>
            <w:vAlign w:val="center"/>
          </w:tcPr>
          <w:p w14:paraId="49948155"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4</w:t>
            </w:r>
            <w:r>
              <w:rPr>
                <w:rFonts w:ascii="Times New Roman" w:hAnsi="Times New Roman"/>
                <w:noProof/>
                <w:color w:val="000000"/>
                <w:sz w:val="20"/>
                <w:szCs w:val="20"/>
              </w:rPr>
              <w:t>,</w:t>
            </w:r>
            <w:r w:rsidRPr="00D4425F">
              <w:rPr>
                <w:rFonts w:ascii="Times New Roman" w:hAnsi="Times New Roman"/>
                <w:noProof/>
                <w:color w:val="000000"/>
                <w:sz w:val="20"/>
                <w:szCs w:val="20"/>
              </w:rPr>
              <w:t>7</w:t>
            </w:r>
          </w:p>
        </w:tc>
        <w:tc>
          <w:tcPr>
            <w:tcW w:w="368" w:type="pct"/>
            <w:tcBorders>
              <w:top w:val="nil"/>
              <w:left w:val="nil"/>
              <w:bottom w:val="double" w:sz="4" w:space="0" w:color="auto"/>
              <w:right w:val="double" w:sz="4" w:space="0" w:color="auto"/>
            </w:tcBorders>
            <w:vAlign w:val="center"/>
          </w:tcPr>
          <w:p w14:paraId="613279B6"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5</w:t>
            </w:r>
            <w:r>
              <w:rPr>
                <w:rFonts w:ascii="Times New Roman" w:hAnsi="Times New Roman"/>
                <w:noProof/>
                <w:color w:val="000000"/>
                <w:sz w:val="20"/>
                <w:szCs w:val="20"/>
              </w:rPr>
              <w:t>,</w:t>
            </w:r>
            <w:r w:rsidRPr="00D4425F">
              <w:rPr>
                <w:rFonts w:ascii="Times New Roman" w:hAnsi="Times New Roman"/>
                <w:noProof/>
                <w:color w:val="000000"/>
                <w:sz w:val="20"/>
                <w:szCs w:val="20"/>
              </w:rPr>
              <w:t>6</w:t>
            </w:r>
          </w:p>
        </w:tc>
        <w:tc>
          <w:tcPr>
            <w:tcW w:w="369" w:type="pct"/>
            <w:tcBorders>
              <w:top w:val="nil"/>
              <w:left w:val="nil"/>
              <w:bottom w:val="double" w:sz="4" w:space="0" w:color="auto"/>
              <w:right w:val="double" w:sz="4" w:space="0" w:color="auto"/>
            </w:tcBorders>
            <w:vAlign w:val="center"/>
          </w:tcPr>
          <w:p w14:paraId="6874212B" w14:textId="77777777" w:rsidR="00AE5BE3" w:rsidRPr="00DA11F1" w:rsidRDefault="00AE5BE3" w:rsidP="00473D74">
            <w:pPr>
              <w:spacing w:after="0"/>
              <w:jc w:val="center"/>
              <w:rPr>
                <w:rFonts w:ascii="Times New Roman" w:hAnsi="Times New Roman"/>
                <w:noProof/>
                <w:color w:val="000000"/>
                <w:sz w:val="20"/>
                <w:szCs w:val="20"/>
              </w:rPr>
            </w:pPr>
            <w:r w:rsidRPr="00D4425F">
              <w:rPr>
                <w:rFonts w:ascii="Times New Roman" w:hAnsi="Times New Roman"/>
                <w:noProof/>
                <w:color w:val="000000"/>
                <w:sz w:val="20"/>
                <w:szCs w:val="20"/>
              </w:rPr>
              <w:t>5</w:t>
            </w:r>
            <w:r>
              <w:rPr>
                <w:rFonts w:ascii="Times New Roman" w:hAnsi="Times New Roman"/>
                <w:noProof/>
                <w:color w:val="000000"/>
                <w:sz w:val="20"/>
                <w:szCs w:val="20"/>
              </w:rPr>
              <w:t>,</w:t>
            </w:r>
            <w:r w:rsidRPr="00D4425F">
              <w:rPr>
                <w:rFonts w:ascii="Times New Roman" w:hAnsi="Times New Roman"/>
                <w:noProof/>
                <w:color w:val="000000"/>
                <w:sz w:val="20"/>
                <w:szCs w:val="20"/>
              </w:rPr>
              <w:t>5</w:t>
            </w:r>
          </w:p>
        </w:tc>
        <w:tc>
          <w:tcPr>
            <w:tcW w:w="367" w:type="pct"/>
            <w:tcBorders>
              <w:top w:val="nil"/>
              <w:left w:val="nil"/>
              <w:bottom w:val="double" w:sz="4" w:space="0" w:color="auto"/>
              <w:right w:val="double" w:sz="4" w:space="0" w:color="auto"/>
            </w:tcBorders>
            <w:vAlign w:val="center"/>
          </w:tcPr>
          <w:p w14:paraId="4A295798" w14:textId="77777777" w:rsidR="00AE5BE3" w:rsidRPr="00DA11F1" w:rsidRDefault="00AE5BE3" w:rsidP="00473D74">
            <w:pPr>
              <w:spacing w:after="0"/>
              <w:jc w:val="center"/>
              <w:rPr>
                <w:rFonts w:ascii="Times New Roman" w:hAnsi="Times New Roman"/>
                <w:noProof/>
                <w:color w:val="000000"/>
                <w:sz w:val="20"/>
                <w:szCs w:val="20"/>
                <w:highlight w:val="yellow"/>
              </w:rPr>
            </w:pPr>
            <w:r w:rsidRPr="00D4425F">
              <w:rPr>
                <w:rFonts w:ascii="Times New Roman" w:hAnsi="Times New Roman"/>
                <w:noProof/>
                <w:color w:val="000000"/>
                <w:sz w:val="20"/>
                <w:szCs w:val="20"/>
              </w:rPr>
              <w:t>9</w:t>
            </w:r>
            <w:r>
              <w:rPr>
                <w:rFonts w:ascii="Times New Roman" w:hAnsi="Times New Roman"/>
                <w:noProof/>
                <w:color w:val="000000"/>
                <w:sz w:val="20"/>
                <w:szCs w:val="20"/>
              </w:rPr>
              <w:t>,</w:t>
            </w:r>
            <w:r w:rsidRPr="00D4425F">
              <w:rPr>
                <w:rFonts w:ascii="Times New Roman" w:hAnsi="Times New Roman"/>
                <w:noProof/>
                <w:color w:val="000000"/>
                <w:sz w:val="20"/>
                <w:szCs w:val="20"/>
              </w:rPr>
              <w:t>2</w:t>
            </w:r>
          </w:p>
        </w:tc>
        <w:tc>
          <w:tcPr>
            <w:tcW w:w="366" w:type="pct"/>
            <w:tcBorders>
              <w:top w:val="nil"/>
              <w:left w:val="nil"/>
              <w:bottom w:val="double" w:sz="4" w:space="0" w:color="auto"/>
              <w:right w:val="double" w:sz="4" w:space="0" w:color="auto"/>
            </w:tcBorders>
            <w:vAlign w:val="center"/>
          </w:tcPr>
          <w:p w14:paraId="2F124E6B" w14:textId="77777777" w:rsidR="00AE5BE3" w:rsidRPr="00DA11F1" w:rsidRDefault="00AE5BE3" w:rsidP="00473D74">
            <w:pPr>
              <w:spacing w:after="0"/>
              <w:jc w:val="center"/>
              <w:rPr>
                <w:rFonts w:ascii="Times New Roman" w:hAnsi="Times New Roman"/>
                <w:noProof/>
                <w:color w:val="000000"/>
                <w:sz w:val="20"/>
                <w:szCs w:val="20"/>
                <w:highlight w:val="yellow"/>
              </w:rPr>
            </w:pPr>
            <w:r w:rsidRPr="00D4425F">
              <w:rPr>
                <w:rFonts w:ascii="Times New Roman" w:hAnsi="Times New Roman"/>
                <w:noProof/>
                <w:color w:val="000000"/>
                <w:sz w:val="20"/>
                <w:szCs w:val="20"/>
              </w:rPr>
              <w:t>1</w:t>
            </w:r>
            <w:r>
              <w:rPr>
                <w:rFonts w:ascii="Times New Roman" w:hAnsi="Times New Roman"/>
                <w:noProof/>
                <w:color w:val="000000"/>
                <w:sz w:val="20"/>
                <w:szCs w:val="20"/>
              </w:rPr>
              <w:t>,</w:t>
            </w:r>
            <w:r w:rsidRPr="00D4425F">
              <w:rPr>
                <w:rFonts w:ascii="Times New Roman" w:hAnsi="Times New Roman"/>
                <w:noProof/>
                <w:color w:val="000000"/>
                <w:sz w:val="20"/>
                <w:szCs w:val="20"/>
              </w:rPr>
              <w:t>3</w:t>
            </w:r>
            <w:r w:rsidRPr="00DA11F1">
              <w:rPr>
                <w:rStyle w:val="FootnoteReference"/>
                <w:rFonts w:ascii="Times New Roman" w:hAnsi="Times New Roman"/>
                <w:noProof/>
                <w:color w:val="000000"/>
                <w:sz w:val="20"/>
                <w:szCs w:val="20"/>
                <w:lang w:eastAsia="en-GB"/>
              </w:rPr>
              <w:footnoteReference w:id="85"/>
            </w:r>
          </w:p>
        </w:tc>
      </w:tr>
    </w:tbl>
    <w:p w14:paraId="1CA1EE1E" w14:textId="7DE1D509" w:rsidR="00D4002B" w:rsidRPr="00DA11F1" w:rsidRDefault="00D4002B" w:rsidP="008E33DB">
      <w:pPr>
        <w:jc w:val="both"/>
        <w:rPr>
          <w:rFonts w:ascii="Times New Roman" w:eastAsia="Times New Roman" w:hAnsi="Times New Roman"/>
          <w:noProof/>
          <w:sz w:val="20"/>
          <w:szCs w:val="18"/>
        </w:rPr>
      </w:pPr>
      <w:r>
        <w:rPr>
          <w:rFonts w:ascii="Times New Roman" w:hAnsi="Times New Roman"/>
          <w:noProof/>
          <w:sz w:val="20"/>
          <w:szCs w:val="18"/>
        </w:rPr>
        <w:t>Bronnen: EUTL, DG Klimaat</w:t>
      </w:r>
    </w:p>
    <w:p w14:paraId="036C49ED" w14:textId="5452DB9F" w:rsidR="009A5418" w:rsidRPr="00DA11F1" w:rsidRDefault="009A5418" w:rsidP="008E33DB">
      <w:pPr>
        <w:jc w:val="both"/>
        <w:rPr>
          <w:rFonts w:ascii="Times New Roman" w:hAnsi="Times New Roman"/>
          <w:noProof/>
          <w:sz w:val="24"/>
          <w:szCs w:val="24"/>
        </w:rPr>
      </w:pPr>
      <w:r>
        <w:rPr>
          <w:rFonts w:ascii="Times New Roman" w:hAnsi="Times New Roman"/>
          <w:noProof/>
          <w:sz w:val="24"/>
          <w:szCs w:val="24"/>
        </w:rPr>
        <w:t xml:space="preserve">De aantallen geveilde luchtvaartemissierechten in de periode </w:t>
      </w:r>
      <w:r w:rsidRPr="00D4425F">
        <w:rPr>
          <w:rFonts w:ascii="Times New Roman" w:hAnsi="Times New Roman"/>
          <w:noProof/>
          <w:sz w:val="24"/>
          <w:szCs w:val="24"/>
        </w:rPr>
        <w:t>2013</w:t>
      </w:r>
      <w:r>
        <w:rPr>
          <w:rFonts w:ascii="Times New Roman" w:hAnsi="Times New Roman"/>
          <w:noProof/>
          <w:sz w:val="24"/>
          <w:szCs w:val="24"/>
        </w:rPr>
        <w:t>-</w:t>
      </w:r>
      <w:r w:rsidRPr="00D4425F">
        <w:rPr>
          <w:rFonts w:ascii="Times New Roman" w:hAnsi="Times New Roman"/>
          <w:noProof/>
          <w:sz w:val="24"/>
          <w:szCs w:val="24"/>
        </w:rPr>
        <w:t>2015</w:t>
      </w:r>
      <w:r>
        <w:rPr>
          <w:rFonts w:ascii="Times New Roman" w:hAnsi="Times New Roman"/>
          <w:noProof/>
          <w:sz w:val="24"/>
          <w:szCs w:val="24"/>
        </w:rPr>
        <w:t xml:space="preserve"> geven de beslissing van de medewetgevers uit </w:t>
      </w:r>
      <w:r w:rsidRPr="00D4425F">
        <w:rPr>
          <w:rFonts w:ascii="Times New Roman" w:hAnsi="Times New Roman"/>
          <w:noProof/>
          <w:sz w:val="24"/>
          <w:szCs w:val="24"/>
        </w:rPr>
        <w:t>2014</w:t>
      </w:r>
      <w:r>
        <w:rPr>
          <w:rFonts w:ascii="Times New Roman" w:hAnsi="Times New Roman"/>
          <w:noProof/>
          <w:sz w:val="24"/>
          <w:szCs w:val="24"/>
        </w:rPr>
        <w:t xml:space="preserve"> weer om “de klok stil te zetten”</w:t>
      </w:r>
      <w:r w:rsidRPr="00DA11F1">
        <w:rPr>
          <w:rFonts w:ascii="Times New Roman" w:hAnsi="Times New Roman"/>
          <w:noProof/>
          <w:sz w:val="24"/>
          <w:szCs w:val="24"/>
          <w:vertAlign w:val="superscript"/>
        </w:rPr>
        <w:footnoteReference w:id="86"/>
      </w:r>
      <w:r>
        <w:rPr>
          <w:rFonts w:ascii="Times New Roman" w:hAnsi="Times New Roman"/>
          <w:noProof/>
          <w:sz w:val="24"/>
          <w:szCs w:val="24"/>
        </w:rPr>
        <w:t xml:space="preserve"> en de klimaatverplichtingen te beperken tot alleen vluchten binnen de EER. Voor </w:t>
      </w:r>
      <w:r w:rsidRPr="00D4425F">
        <w:rPr>
          <w:rFonts w:ascii="Times New Roman" w:hAnsi="Times New Roman"/>
          <w:noProof/>
          <w:sz w:val="24"/>
          <w:szCs w:val="24"/>
        </w:rPr>
        <w:t>2013</w:t>
      </w:r>
      <w:r>
        <w:rPr>
          <w:rFonts w:ascii="Times New Roman" w:hAnsi="Times New Roman"/>
          <w:noProof/>
          <w:sz w:val="24"/>
          <w:szCs w:val="24"/>
        </w:rPr>
        <w:t xml:space="preserve"> werd beslist dat naleving voor de luchtvaartsector zou worden uitgesteld</w:t>
      </w:r>
      <w:r w:rsidRPr="00DA11F1">
        <w:rPr>
          <w:rFonts w:ascii="Times New Roman" w:hAnsi="Times New Roman"/>
          <w:noProof/>
          <w:sz w:val="24"/>
          <w:szCs w:val="24"/>
          <w:vertAlign w:val="superscript"/>
        </w:rPr>
        <w:footnoteReference w:id="87"/>
      </w:r>
      <w:r>
        <w:rPr>
          <w:rFonts w:ascii="Times New Roman" w:hAnsi="Times New Roman"/>
          <w:noProof/>
          <w:sz w:val="24"/>
          <w:szCs w:val="24"/>
        </w:rPr>
        <w:t xml:space="preserve">. De naleving voor luchtvaartemissies uit </w:t>
      </w:r>
      <w:r w:rsidRPr="00D4425F">
        <w:rPr>
          <w:rFonts w:ascii="Times New Roman" w:hAnsi="Times New Roman"/>
          <w:noProof/>
          <w:sz w:val="24"/>
          <w:szCs w:val="24"/>
        </w:rPr>
        <w:t>2013</w:t>
      </w:r>
      <w:r>
        <w:rPr>
          <w:rFonts w:ascii="Times New Roman" w:hAnsi="Times New Roman"/>
          <w:noProof/>
          <w:sz w:val="24"/>
          <w:szCs w:val="24"/>
        </w:rPr>
        <w:t xml:space="preserve"> en </w:t>
      </w:r>
      <w:r w:rsidRPr="00D4425F">
        <w:rPr>
          <w:rFonts w:ascii="Times New Roman" w:hAnsi="Times New Roman"/>
          <w:noProof/>
          <w:sz w:val="24"/>
          <w:szCs w:val="24"/>
        </w:rPr>
        <w:t>2014</w:t>
      </w:r>
      <w:r>
        <w:rPr>
          <w:rFonts w:ascii="Times New Roman" w:hAnsi="Times New Roman"/>
          <w:noProof/>
          <w:sz w:val="24"/>
          <w:szCs w:val="24"/>
        </w:rPr>
        <w:t xml:space="preserve"> vond plaats tussen januari en april </w:t>
      </w:r>
      <w:r w:rsidRPr="00D4425F">
        <w:rPr>
          <w:rFonts w:ascii="Times New Roman" w:hAnsi="Times New Roman"/>
          <w:noProof/>
          <w:sz w:val="24"/>
          <w:szCs w:val="24"/>
        </w:rPr>
        <w:t>2015</w:t>
      </w:r>
      <w:r>
        <w:rPr>
          <w:rFonts w:ascii="Times New Roman" w:hAnsi="Times New Roman"/>
          <w:noProof/>
          <w:sz w:val="24"/>
          <w:szCs w:val="24"/>
        </w:rPr>
        <w:t>.</w:t>
      </w:r>
    </w:p>
    <w:p w14:paraId="4EE960C5" w14:textId="62EAF8AF" w:rsidR="009A5418" w:rsidRPr="00DA11F1" w:rsidRDefault="003541AB" w:rsidP="008E33DB">
      <w:pPr>
        <w:jc w:val="both"/>
        <w:rPr>
          <w:rFonts w:ascii="Times New Roman" w:hAnsi="Times New Roman"/>
          <w:noProof/>
          <w:sz w:val="24"/>
          <w:szCs w:val="24"/>
        </w:rPr>
      </w:pPr>
      <w:r>
        <w:rPr>
          <w:rFonts w:ascii="Times New Roman" w:hAnsi="Times New Roman"/>
          <w:noProof/>
          <w:sz w:val="24"/>
          <w:szCs w:val="24"/>
        </w:rPr>
        <w:t>De opname van de luchtvaartsector in het EU-ETS had een significant effect op de milieuprestaties van het systeem als geheel in fase </w:t>
      </w:r>
      <w:r w:rsidRPr="00D4425F">
        <w:rPr>
          <w:rFonts w:ascii="Times New Roman" w:hAnsi="Times New Roman"/>
          <w:noProof/>
          <w:sz w:val="24"/>
          <w:szCs w:val="24"/>
        </w:rPr>
        <w:t>3</w:t>
      </w:r>
      <w:r>
        <w:rPr>
          <w:rFonts w:ascii="Times New Roman" w:hAnsi="Times New Roman"/>
          <w:noProof/>
          <w:sz w:val="24"/>
          <w:szCs w:val="24"/>
        </w:rPr>
        <w:t xml:space="preserve">. Tegen </w:t>
      </w:r>
      <w:r w:rsidRPr="00D4425F">
        <w:rPr>
          <w:rFonts w:ascii="Times New Roman" w:hAnsi="Times New Roman"/>
          <w:noProof/>
          <w:sz w:val="24"/>
          <w:szCs w:val="24"/>
        </w:rPr>
        <w:t>2020</w:t>
      </w:r>
      <w:r>
        <w:rPr>
          <w:rFonts w:ascii="Times New Roman" w:hAnsi="Times New Roman"/>
          <w:noProof/>
          <w:sz w:val="24"/>
          <w:szCs w:val="24"/>
        </w:rPr>
        <w:t xml:space="preserve"> hadden vliegtuigexploitanten </w:t>
      </w:r>
      <w:r w:rsidRPr="00D4425F">
        <w:rPr>
          <w:rFonts w:ascii="Times New Roman" w:hAnsi="Times New Roman"/>
          <w:noProof/>
          <w:sz w:val="24"/>
          <w:szCs w:val="24"/>
        </w:rPr>
        <w:t>308</w:t>
      </w:r>
      <w:r>
        <w:rPr>
          <w:rFonts w:ascii="Times New Roman" w:hAnsi="Times New Roman"/>
          <w:noProof/>
          <w:sz w:val="24"/>
          <w:szCs w:val="24"/>
        </w:rPr>
        <w:t xml:space="preserve"> miljoen luchtvaartemissierechten en </w:t>
      </w:r>
      <w:r w:rsidRPr="00D4425F">
        <w:rPr>
          <w:rFonts w:ascii="Times New Roman" w:hAnsi="Times New Roman"/>
          <w:noProof/>
          <w:sz w:val="24"/>
          <w:szCs w:val="24"/>
        </w:rPr>
        <w:t>139</w:t>
      </w:r>
      <w:r>
        <w:rPr>
          <w:rFonts w:ascii="Times New Roman" w:hAnsi="Times New Roman"/>
          <w:noProof/>
          <w:sz w:val="24"/>
          <w:szCs w:val="24"/>
        </w:rPr>
        <w:t xml:space="preserve"> miljoen algemene emissierechten ingeleverd. Uit dat laatste cijfer blijkt dat de luchtvaartsector grote hoeveelheden emissierechten van vaste installaties moest kopen, wat bijdraagt aan de algemene striktheid en ambitie van het EU-ETS. </w:t>
      </w:r>
    </w:p>
    <w:p w14:paraId="279DD7FC" w14:textId="00B82971" w:rsidR="009A5418" w:rsidRPr="00DA11F1" w:rsidRDefault="009A5418" w:rsidP="008E33DB">
      <w:pPr>
        <w:jc w:val="both"/>
        <w:rPr>
          <w:rFonts w:ascii="Times New Roman" w:hAnsi="Times New Roman"/>
          <w:noProof/>
          <w:sz w:val="24"/>
          <w:szCs w:val="24"/>
        </w:rPr>
      </w:pPr>
      <w:r>
        <w:rPr>
          <w:rFonts w:ascii="Times New Roman" w:hAnsi="Times New Roman"/>
          <w:noProof/>
          <w:sz w:val="24"/>
          <w:szCs w:val="24"/>
        </w:rPr>
        <w:t>De grote impact van COVID-</w:t>
      </w:r>
      <w:r w:rsidRPr="00D4425F">
        <w:rPr>
          <w:rFonts w:ascii="Times New Roman" w:hAnsi="Times New Roman"/>
          <w:noProof/>
          <w:sz w:val="24"/>
          <w:szCs w:val="24"/>
        </w:rPr>
        <w:t>19</w:t>
      </w:r>
      <w:r>
        <w:rPr>
          <w:rFonts w:ascii="Times New Roman" w:hAnsi="Times New Roman"/>
          <w:noProof/>
          <w:sz w:val="24"/>
          <w:szCs w:val="24"/>
        </w:rPr>
        <w:t xml:space="preserve"> op de internationale luchtvaart heeft ook gevolgen gehad voor Corsia. De wereldwijde luchtvaartemissies daalden in </w:t>
      </w:r>
      <w:r w:rsidRPr="00D4425F">
        <w:rPr>
          <w:rFonts w:ascii="Times New Roman" w:hAnsi="Times New Roman"/>
          <w:noProof/>
          <w:sz w:val="24"/>
          <w:szCs w:val="24"/>
        </w:rPr>
        <w:t>2020</w:t>
      </w:r>
      <w:r>
        <w:rPr>
          <w:rFonts w:ascii="Times New Roman" w:hAnsi="Times New Roman"/>
          <w:noProof/>
          <w:sz w:val="24"/>
          <w:szCs w:val="24"/>
        </w:rPr>
        <w:t xml:space="preserve"> tot minder dan </w:t>
      </w:r>
      <w:r w:rsidRPr="00D4425F">
        <w:rPr>
          <w:rFonts w:ascii="Times New Roman" w:hAnsi="Times New Roman"/>
          <w:noProof/>
          <w:sz w:val="24"/>
          <w:szCs w:val="24"/>
        </w:rPr>
        <w:t>54</w:t>
      </w:r>
      <w:r>
        <w:rPr>
          <w:rFonts w:ascii="Times New Roman" w:hAnsi="Times New Roman"/>
          <w:noProof/>
          <w:sz w:val="24"/>
          <w:szCs w:val="24"/>
        </w:rPr>
        <w:t xml:space="preserve"> % van het niveau van </w:t>
      </w:r>
      <w:r w:rsidRPr="00D4425F">
        <w:rPr>
          <w:rFonts w:ascii="Times New Roman" w:hAnsi="Times New Roman"/>
          <w:noProof/>
          <w:sz w:val="24"/>
          <w:szCs w:val="24"/>
        </w:rPr>
        <w:t>2019</w:t>
      </w:r>
      <w:r w:rsidR="00355B68" w:rsidRPr="00DA11F1">
        <w:rPr>
          <w:rStyle w:val="FootnoteReference"/>
          <w:rFonts w:ascii="Times New Roman" w:hAnsi="Times New Roman"/>
          <w:noProof/>
          <w:sz w:val="24"/>
          <w:szCs w:val="24"/>
        </w:rPr>
        <w:footnoteReference w:id="88"/>
      </w:r>
      <w:r>
        <w:rPr>
          <w:rFonts w:ascii="Times New Roman" w:hAnsi="Times New Roman"/>
          <w:noProof/>
          <w:sz w:val="24"/>
          <w:szCs w:val="24"/>
        </w:rPr>
        <w:t xml:space="preserve">. In het licht van deze impact heeft de luchtvaartindustrie, gesteund door talrijke aan de ICAO deelnemende landen, verzocht om de referentiewaarden van Corsia te wijzigen van het oorspronkelijke emissiegemiddelde van </w:t>
      </w:r>
      <w:r w:rsidRPr="00D4425F">
        <w:rPr>
          <w:rFonts w:ascii="Times New Roman" w:hAnsi="Times New Roman"/>
          <w:noProof/>
          <w:sz w:val="24"/>
          <w:szCs w:val="24"/>
        </w:rPr>
        <w:t>2019</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naar de emissies van </w:t>
      </w:r>
      <w:r w:rsidRPr="00D4425F">
        <w:rPr>
          <w:rFonts w:ascii="Times New Roman" w:hAnsi="Times New Roman"/>
          <w:noProof/>
          <w:sz w:val="24"/>
          <w:szCs w:val="24"/>
        </w:rPr>
        <w:t>2019</w:t>
      </w:r>
      <w:r>
        <w:rPr>
          <w:rFonts w:ascii="Times New Roman" w:hAnsi="Times New Roman"/>
          <w:noProof/>
          <w:sz w:val="24"/>
          <w:szCs w:val="24"/>
        </w:rPr>
        <w:t xml:space="preserve"> voor de proeffase (de jaren </w:t>
      </w:r>
      <w:r w:rsidRPr="00D4425F">
        <w:rPr>
          <w:rFonts w:ascii="Times New Roman" w:hAnsi="Times New Roman"/>
          <w:noProof/>
          <w:sz w:val="24"/>
          <w:szCs w:val="24"/>
        </w:rPr>
        <w:t>2021</w:t>
      </w:r>
      <w:r>
        <w:rPr>
          <w:rFonts w:ascii="Times New Roman" w:hAnsi="Times New Roman"/>
          <w:noProof/>
          <w:sz w:val="24"/>
          <w:szCs w:val="24"/>
        </w:rPr>
        <w:t>-</w:t>
      </w:r>
      <w:r w:rsidRPr="00D4425F">
        <w:rPr>
          <w:rFonts w:ascii="Times New Roman" w:hAnsi="Times New Roman"/>
          <w:noProof/>
          <w:sz w:val="24"/>
          <w:szCs w:val="24"/>
        </w:rPr>
        <w:t>2023</w:t>
      </w:r>
      <w:r>
        <w:rPr>
          <w:rFonts w:ascii="Times New Roman" w:hAnsi="Times New Roman"/>
          <w:noProof/>
          <w:sz w:val="24"/>
          <w:szCs w:val="24"/>
        </w:rPr>
        <w:t xml:space="preserve">). Dit verzoek werd ingewilligd. Aangezien de luchtvaartsector zich naar verwachting niet vóór </w:t>
      </w:r>
      <w:r w:rsidRPr="00D4425F">
        <w:rPr>
          <w:rFonts w:ascii="Times New Roman" w:hAnsi="Times New Roman"/>
          <w:noProof/>
          <w:sz w:val="24"/>
          <w:szCs w:val="24"/>
        </w:rPr>
        <w:t>2023</w:t>
      </w:r>
      <w:r>
        <w:rPr>
          <w:rFonts w:ascii="Times New Roman" w:hAnsi="Times New Roman"/>
          <w:noProof/>
          <w:sz w:val="24"/>
          <w:szCs w:val="24"/>
        </w:rPr>
        <w:t xml:space="preserve"> zal herstellen</w:t>
      </w:r>
      <w:r w:rsidR="00355B68" w:rsidRPr="00DA11F1">
        <w:rPr>
          <w:rStyle w:val="FootnoteReference"/>
          <w:rFonts w:ascii="Times New Roman" w:hAnsi="Times New Roman"/>
          <w:noProof/>
          <w:sz w:val="24"/>
          <w:szCs w:val="24"/>
        </w:rPr>
        <w:footnoteReference w:id="89"/>
      </w:r>
      <w:r>
        <w:rPr>
          <w:rFonts w:ascii="Times New Roman" w:hAnsi="Times New Roman"/>
          <w:noProof/>
          <w:sz w:val="24"/>
          <w:szCs w:val="24"/>
        </w:rPr>
        <w:t xml:space="preserve"> (terugkeer naar het verkeersniveau van </w:t>
      </w:r>
      <w:r w:rsidRPr="00D4425F">
        <w:rPr>
          <w:rFonts w:ascii="Times New Roman" w:hAnsi="Times New Roman"/>
          <w:noProof/>
          <w:sz w:val="24"/>
          <w:szCs w:val="24"/>
        </w:rPr>
        <w:t>2019</w:t>
      </w:r>
      <w:r>
        <w:rPr>
          <w:rFonts w:ascii="Times New Roman" w:hAnsi="Times New Roman"/>
          <w:noProof/>
          <w:sz w:val="24"/>
          <w:szCs w:val="24"/>
        </w:rPr>
        <w:t>), zullen de luchtvaartmaatschappijen tijdens de proeffase van Corsia waarschijnlijk geen of weinig co</w:t>
      </w:r>
      <w:r w:rsidR="00AD1EAB">
        <w:rPr>
          <w:rFonts w:ascii="Times New Roman" w:hAnsi="Times New Roman"/>
          <w:noProof/>
          <w:sz w:val="24"/>
          <w:szCs w:val="24"/>
        </w:rPr>
        <w:t>mpensatieverplichtingen hebben.</w:t>
      </w:r>
    </w:p>
    <w:p w14:paraId="1B3A35C1" w14:textId="6FABACA3" w:rsidR="008E044F" w:rsidRPr="00DA11F1" w:rsidRDefault="008E044F" w:rsidP="008E33DB">
      <w:pPr>
        <w:jc w:val="both"/>
        <w:rPr>
          <w:rFonts w:ascii="Times New Roman" w:hAnsi="Times New Roman"/>
          <w:noProof/>
          <w:sz w:val="24"/>
          <w:szCs w:val="24"/>
        </w:rPr>
      </w:pPr>
      <w:r>
        <w:rPr>
          <w:rFonts w:ascii="Times New Roman" w:hAnsi="Times New Roman"/>
          <w:noProof/>
          <w:sz w:val="24"/>
          <w:szCs w:val="24"/>
        </w:rPr>
        <w:t>Krachtens de EU-ETS-richtlijn moet de Commissie bij het Europees Parlement en de Raad verslag uitbrengen over de algemene ambitie en de algehele milieu-integriteit van Corsia. Krachtens artikel </w:t>
      </w:r>
      <w:r w:rsidRPr="00D4425F">
        <w:rPr>
          <w:rFonts w:ascii="Times New Roman" w:hAnsi="Times New Roman"/>
          <w:noProof/>
          <w:sz w:val="24"/>
          <w:szCs w:val="24"/>
        </w:rPr>
        <w:t>3</w:t>
      </w:r>
      <w:r>
        <w:rPr>
          <w:rFonts w:ascii="Times New Roman" w:hAnsi="Times New Roman"/>
          <w:noProof/>
          <w:sz w:val="24"/>
          <w:szCs w:val="24"/>
        </w:rPr>
        <w:t> quinquies van de richtlijn moet de Commissie ook bestuderen “in hoeverre de luchtvaartsector […] de kosten van CO</w:t>
      </w:r>
      <w:r w:rsidRPr="00D4425F">
        <w:rPr>
          <w:rFonts w:ascii="Times New Roman" w:hAnsi="Times New Roman"/>
          <w:noProof/>
          <w:sz w:val="24"/>
          <w:szCs w:val="24"/>
          <w:vertAlign w:val="subscript"/>
        </w:rPr>
        <w:t>2</w:t>
      </w:r>
      <w:r>
        <w:rPr>
          <w:rFonts w:ascii="Times New Roman" w:hAnsi="Times New Roman"/>
          <w:noProof/>
          <w:sz w:val="24"/>
          <w:szCs w:val="24"/>
        </w:rPr>
        <w:t xml:space="preserve"> kan doorberekenen aan zijn klanten” […] “zulks met de bedoeling een voorstel op te stellen om het percentage te veilen rechten te verhogen”.</w:t>
      </w:r>
    </w:p>
    <w:p w14:paraId="726E61F0" w14:textId="2AF5A92A" w:rsidR="00131369" w:rsidRPr="00DA11F1" w:rsidRDefault="00D4002B" w:rsidP="008E33DB">
      <w:pPr>
        <w:jc w:val="both"/>
        <w:rPr>
          <w:rFonts w:ascii="Times New Roman" w:hAnsi="Times New Roman"/>
          <w:noProof/>
          <w:sz w:val="24"/>
          <w:szCs w:val="24"/>
        </w:rPr>
      </w:pPr>
      <w:r>
        <w:rPr>
          <w:rFonts w:ascii="Times New Roman" w:hAnsi="Times New Roman"/>
          <w:noProof/>
          <w:sz w:val="24"/>
          <w:szCs w:val="24"/>
        </w:rPr>
        <w:t xml:space="preserve">Als onderdeel van het op </w:t>
      </w:r>
      <w:r w:rsidRPr="00D4425F">
        <w:rPr>
          <w:rFonts w:ascii="Times New Roman" w:hAnsi="Times New Roman"/>
          <w:noProof/>
          <w:sz w:val="24"/>
          <w:szCs w:val="24"/>
        </w:rPr>
        <w:t>14</w:t>
      </w:r>
      <w:r>
        <w:rPr>
          <w:rFonts w:ascii="Times New Roman" w:hAnsi="Times New Roman"/>
          <w:noProof/>
          <w:sz w:val="24"/>
          <w:szCs w:val="24"/>
        </w:rPr>
        <w:t xml:space="preserve"> juli </w:t>
      </w:r>
      <w:r w:rsidRPr="00D4425F">
        <w:rPr>
          <w:rFonts w:ascii="Times New Roman" w:hAnsi="Times New Roman"/>
          <w:noProof/>
          <w:sz w:val="24"/>
          <w:szCs w:val="24"/>
        </w:rPr>
        <w:t>2021</w:t>
      </w:r>
      <w:r>
        <w:rPr>
          <w:rFonts w:ascii="Times New Roman" w:hAnsi="Times New Roman"/>
          <w:noProof/>
          <w:sz w:val="24"/>
          <w:szCs w:val="24"/>
        </w:rPr>
        <w:t xml:space="preserve"> gepubliceerde bredere pakket om werk te maken van de Europese Green Deal en op basis van de in </w:t>
      </w:r>
      <w:r w:rsidRPr="00D4425F">
        <w:rPr>
          <w:rFonts w:ascii="Times New Roman" w:hAnsi="Times New Roman"/>
          <w:noProof/>
          <w:sz w:val="24"/>
          <w:szCs w:val="24"/>
        </w:rPr>
        <w:t>2017</w:t>
      </w:r>
      <w:r>
        <w:rPr>
          <w:rFonts w:ascii="Times New Roman" w:hAnsi="Times New Roman"/>
          <w:noProof/>
          <w:sz w:val="24"/>
          <w:szCs w:val="24"/>
        </w:rPr>
        <w:t xml:space="preserve"> gewijzigde EU-ETS-richtlijn</w:t>
      </w:r>
      <w:r w:rsidRPr="00DA11F1">
        <w:rPr>
          <w:rFonts w:ascii="Times New Roman" w:hAnsi="Times New Roman"/>
          <w:noProof/>
          <w:sz w:val="24"/>
          <w:szCs w:val="24"/>
          <w:vertAlign w:val="superscript"/>
        </w:rPr>
        <w:footnoteReference w:id="90"/>
      </w:r>
      <w:r>
        <w:rPr>
          <w:rFonts w:ascii="Times New Roman" w:hAnsi="Times New Roman"/>
          <w:noProof/>
          <w:sz w:val="24"/>
          <w:szCs w:val="24"/>
        </w:rPr>
        <w:t xml:space="preserve"> heeft de Commissie voorgesteld om het EU-ETS voor de luchtvaart te wijzigen</w:t>
      </w:r>
      <w:r w:rsidR="008E044F" w:rsidRPr="00DA11F1">
        <w:rPr>
          <w:rFonts w:ascii="Times New Roman" w:hAnsi="Times New Roman"/>
          <w:noProof/>
          <w:sz w:val="24"/>
          <w:szCs w:val="24"/>
          <w:vertAlign w:val="superscript"/>
        </w:rPr>
        <w:footnoteReference w:id="91"/>
      </w:r>
      <w:r>
        <w:rPr>
          <w:rFonts w:ascii="Times New Roman" w:hAnsi="Times New Roman"/>
          <w:noProof/>
          <w:sz w:val="24"/>
          <w:szCs w:val="24"/>
        </w:rPr>
        <w:t>. De effectbeoordeling bij dit voorstel bevat</w:t>
      </w:r>
      <w:r w:rsidR="00697D4B" w:rsidRPr="00DA11F1">
        <w:rPr>
          <w:rStyle w:val="FootnoteReference"/>
          <w:rFonts w:ascii="Times New Roman" w:hAnsi="Times New Roman"/>
          <w:noProof/>
          <w:sz w:val="24"/>
          <w:szCs w:val="24"/>
        </w:rPr>
        <w:footnoteReference w:id="92"/>
      </w:r>
      <w:r>
        <w:rPr>
          <w:rFonts w:ascii="Times New Roman" w:hAnsi="Times New Roman"/>
          <w:noProof/>
          <w:sz w:val="24"/>
          <w:szCs w:val="24"/>
        </w:rPr>
        <w:t xml:space="preserve"> een verslag over de beoordeling van Corsia en de studie van de doorberekening van de kosten. Het doel ervan is Corsia in het EU-recht om te zetten op een manier die strookt met de klimaatdoelstelling van de EU voor </w:t>
      </w:r>
      <w:r w:rsidRPr="00D4425F">
        <w:rPr>
          <w:rFonts w:ascii="Times New Roman" w:hAnsi="Times New Roman"/>
          <w:noProof/>
          <w:sz w:val="24"/>
          <w:szCs w:val="24"/>
        </w:rPr>
        <w:t>2030</w:t>
      </w:r>
      <w:r>
        <w:rPr>
          <w:rFonts w:ascii="Times New Roman" w:hAnsi="Times New Roman"/>
          <w:noProof/>
          <w:sz w:val="24"/>
          <w:szCs w:val="24"/>
        </w:rPr>
        <w:t>.</w:t>
      </w:r>
    </w:p>
    <w:p w14:paraId="4A4ACB2E" w14:textId="1DD64852" w:rsidR="009B3224" w:rsidRPr="00DA11F1" w:rsidRDefault="009B1524" w:rsidP="008E33DB">
      <w:pPr>
        <w:pStyle w:val="Heading1"/>
        <w:spacing w:before="0" w:after="200"/>
        <w:rPr>
          <w:noProof/>
        </w:rPr>
      </w:pPr>
      <w:bookmarkStart w:id="63" w:name="_Toc490850435"/>
      <w:bookmarkStart w:id="64" w:name="_Toc519009686"/>
      <w:bookmarkStart w:id="65" w:name="_Toc89423479"/>
      <w:r w:rsidRPr="00D4425F">
        <w:rPr>
          <w:noProof/>
        </w:rPr>
        <w:t>5</w:t>
      </w:r>
      <w:r>
        <w:rPr>
          <w:noProof/>
        </w:rPr>
        <w:t>. MARKTTOEZICHT</w:t>
      </w:r>
      <w:bookmarkEnd w:id="63"/>
      <w:bookmarkEnd w:id="64"/>
      <w:bookmarkEnd w:id="65"/>
    </w:p>
    <w:p w14:paraId="326191DB" w14:textId="38F57B6F" w:rsidR="009B3224" w:rsidRPr="00DA11F1" w:rsidRDefault="009B3224" w:rsidP="008E33DB">
      <w:pPr>
        <w:jc w:val="both"/>
        <w:rPr>
          <w:rFonts w:ascii="Times New Roman" w:hAnsi="Times New Roman"/>
          <w:noProof/>
          <w:sz w:val="24"/>
          <w:szCs w:val="24"/>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van het EU-ETS (</w:t>
      </w:r>
      <w:r w:rsidRPr="00D4425F">
        <w:rPr>
          <w:rFonts w:ascii="Times New Roman" w:hAnsi="Times New Roman"/>
          <w:noProof/>
          <w:sz w:val="24"/>
          <w:szCs w:val="24"/>
        </w:rPr>
        <w:t>2013</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is een robuust rechtskader opgezet om toezicht te houden op de koolstofmarkt van de EU. Derivaten van emissierechten werden vanaf het begin van het EU-ETS geclassificeerd als financi</w:t>
      </w:r>
      <w:r w:rsidR="00AD1EAB">
        <w:rPr>
          <w:rFonts w:ascii="Times New Roman" w:hAnsi="Times New Roman"/>
          <w:noProof/>
          <w:sz w:val="24"/>
          <w:szCs w:val="24"/>
        </w:rPr>
        <w:t>ële instrumenten. Sinds januari </w:t>
      </w:r>
      <w:r w:rsidRPr="00D4425F">
        <w:rPr>
          <w:rFonts w:ascii="Times New Roman" w:hAnsi="Times New Roman"/>
          <w:noProof/>
          <w:sz w:val="24"/>
          <w:szCs w:val="24"/>
        </w:rPr>
        <w:t>2018</w:t>
      </w:r>
      <w:r>
        <w:rPr>
          <w:rFonts w:ascii="Times New Roman" w:hAnsi="Times New Roman"/>
          <w:noProof/>
          <w:sz w:val="24"/>
          <w:szCs w:val="24"/>
        </w:rPr>
        <w:t xml:space="preserve"> worden emissierechten in de spothandel</w:t>
      </w:r>
      <w:r w:rsidRPr="00DA11F1">
        <w:rPr>
          <w:rStyle w:val="FootnoteReference"/>
          <w:rFonts w:ascii="Times New Roman" w:hAnsi="Times New Roman"/>
          <w:noProof/>
          <w:sz w:val="24"/>
          <w:szCs w:val="24"/>
        </w:rPr>
        <w:footnoteReference w:id="93"/>
      </w:r>
      <w:r>
        <w:rPr>
          <w:rFonts w:ascii="Times New Roman" w:hAnsi="Times New Roman"/>
          <w:noProof/>
          <w:sz w:val="24"/>
          <w:szCs w:val="24"/>
        </w:rPr>
        <w:t xml:space="preserve"> echter ook geclassificeerd als financiële instrumenten krachtens de richtlijn betreffende markten voor financiële instrumenten</w:t>
      </w:r>
      <w:r w:rsidRPr="00DA11F1">
        <w:rPr>
          <w:rStyle w:val="FootnoteReference"/>
          <w:rFonts w:ascii="Times New Roman" w:hAnsi="Times New Roman"/>
          <w:noProof/>
          <w:sz w:val="24"/>
          <w:szCs w:val="24"/>
        </w:rPr>
        <w:footnoteReference w:id="94"/>
      </w:r>
      <w:r>
        <w:rPr>
          <w:rFonts w:ascii="Times New Roman" w:hAnsi="Times New Roman"/>
          <w:noProof/>
          <w:sz w:val="24"/>
          <w:szCs w:val="24"/>
        </w:rPr>
        <w:t xml:space="preserve"> (MiFID). De classificering van emissierechten komt tot uiting in een aantal secundaire wetgevingshandelingen, waaronder de veilingverordening</w:t>
      </w:r>
      <w:r w:rsidR="00AE5689" w:rsidRPr="00DA11F1">
        <w:rPr>
          <w:rStyle w:val="FootnoteReference"/>
          <w:rFonts w:ascii="Times New Roman" w:hAnsi="Times New Roman"/>
          <w:noProof/>
          <w:sz w:val="24"/>
          <w:szCs w:val="24"/>
        </w:rPr>
        <w:footnoteReference w:id="95"/>
      </w:r>
      <w:r>
        <w:rPr>
          <w:rFonts w:ascii="Times New Roman" w:hAnsi="Times New Roman"/>
          <w:noProof/>
          <w:sz w:val="24"/>
          <w:szCs w:val="24"/>
        </w:rPr>
        <w:t>, om toezicht te houden op de primaire markt (veilingen). Daarom is alle handel in emissierechten in feite onderworpen aan dezelfde regeling als die welke van toepassing is op d</w:t>
      </w:r>
      <w:r w:rsidR="00AD1EAB">
        <w:rPr>
          <w:rFonts w:ascii="Times New Roman" w:hAnsi="Times New Roman"/>
          <w:noProof/>
          <w:sz w:val="24"/>
          <w:szCs w:val="24"/>
        </w:rPr>
        <w:t>e financiële markten van de EU.</w:t>
      </w:r>
    </w:p>
    <w:p w14:paraId="642558D8" w14:textId="655FCDAF" w:rsidR="009B3224" w:rsidRPr="00DA11F1" w:rsidRDefault="009B3224" w:rsidP="008E33DB">
      <w:pPr>
        <w:jc w:val="both"/>
        <w:rPr>
          <w:rFonts w:ascii="Times New Roman" w:hAnsi="Times New Roman"/>
          <w:noProof/>
          <w:sz w:val="24"/>
          <w:szCs w:val="24"/>
        </w:rPr>
      </w:pPr>
      <w:r>
        <w:rPr>
          <w:rFonts w:ascii="Times New Roman" w:hAnsi="Times New Roman"/>
          <w:noProof/>
          <w:sz w:val="24"/>
          <w:szCs w:val="24"/>
        </w:rPr>
        <w:t>De belangrijkste regels voor de financiële markten die van toepassing zijn op de handel in emissierechten, z</w:t>
      </w:r>
      <w:r w:rsidR="00AD1EAB">
        <w:rPr>
          <w:rFonts w:ascii="Times New Roman" w:hAnsi="Times New Roman"/>
          <w:noProof/>
          <w:sz w:val="24"/>
          <w:szCs w:val="24"/>
        </w:rPr>
        <w:t>ijn:</w:t>
      </w:r>
    </w:p>
    <w:p w14:paraId="07CE51F4" w14:textId="3EFA6B7F" w:rsidR="009B3224" w:rsidRPr="00DA11F1" w:rsidRDefault="009B3224" w:rsidP="008E33DB">
      <w:pPr>
        <w:pStyle w:val="ListParagraph"/>
        <w:numPr>
          <w:ilvl w:val="0"/>
          <w:numId w:val="27"/>
        </w:numPr>
        <w:spacing w:after="200" w:line="276" w:lineRule="auto"/>
        <w:ind w:left="714" w:hanging="357"/>
        <w:contextualSpacing w:val="0"/>
        <w:jc w:val="both"/>
        <w:rPr>
          <w:rFonts w:ascii="Times New Roman" w:hAnsi="Times New Roman"/>
          <w:noProof/>
          <w:sz w:val="24"/>
          <w:szCs w:val="24"/>
        </w:rPr>
      </w:pPr>
      <w:r>
        <w:rPr>
          <w:rFonts w:ascii="Times New Roman" w:hAnsi="Times New Roman"/>
          <w:b/>
          <w:bCs/>
          <w:noProof/>
          <w:sz w:val="24"/>
          <w:szCs w:val="24"/>
        </w:rPr>
        <w:t>de richtlijn betreffende markten voor financiële instrumenten en de verordening betreffende markten in financiële instrumenten (MiFID II/MiFIR)</w:t>
      </w:r>
      <w:r>
        <w:rPr>
          <w:rFonts w:ascii="Times New Roman" w:hAnsi="Times New Roman"/>
          <w:noProof/>
          <w:sz w:val="24"/>
          <w:szCs w:val="24"/>
        </w:rPr>
        <w:t>, waarin vergunningsvereisten voor handelsplatformen en financiële tussenpersonen (beleggingsondernemingen), belangrijke rapportage- en transparantievereisten ter voorkoming van marktmisbruik en regels inzake toezicht en samenwerking tussen nationale bevoegde</w:t>
      </w:r>
      <w:r w:rsidR="00AD1EAB">
        <w:rPr>
          <w:rFonts w:ascii="Times New Roman" w:hAnsi="Times New Roman"/>
          <w:noProof/>
          <w:sz w:val="24"/>
          <w:szCs w:val="24"/>
        </w:rPr>
        <w:t xml:space="preserve"> autoriteiten zijn vastgesteld;</w:t>
      </w:r>
    </w:p>
    <w:p w14:paraId="112ABE4F" w14:textId="4495CE1D" w:rsidR="009B3224" w:rsidRPr="00DA11F1" w:rsidRDefault="009B3224" w:rsidP="008E33DB">
      <w:pPr>
        <w:pStyle w:val="ListParagraph"/>
        <w:numPr>
          <w:ilvl w:val="0"/>
          <w:numId w:val="27"/>
        </w:numPr>
        <w:spacing w:after="200" w:line="276" w:lineRule="auto"/>
        <w:contextualSpacing w:val="0"/>
        <w:jc w:val="both"/>
        <w:rPr>
          <w:rFonts w:ascii="Times New Roman" w:hAnsi="Times New Roman"/>
          <w:noProof/>
          <w:sz w:val="24"/>
          <w:szCs w:val="24"/>
        </w:rPr>
      </w:pPr>
      <w:r>
        <w:rPr>
          <w:rFonts w:ascii="Times New Roman" w:hAnsi="Times New Roman"/>
          <w:b/>
          <w:bCs/>
          <w:noProof/>
          <w:sz w:val="24"/>
          <w:szCs w:val="24"/>
        </w:rPr>
        <w:t>de verordening marktmisbruik</w:t>
      </w:r>
      <w:r w:rsidRPr="00DA11F1">
        <w:rPr>
          <w:rStyle w:val="FootnoteReference"/>
          <w:rFonts w:ascii="Times New Roman" w:hAnsi="Times New Roman"/>
          <w:b/>
          <w:noProof/>
          <w:sz w:val="24"/>
          <w:szCs w:val="24"/>
        </w:rPr>
        <w:footnoteReference w:id="96"/>
      </w:r>
      <w:r>
        <w:rPr>
          <w:rFonts w:ascii="Times New Roman" w:hAnsi="Times New Roman"/>
          <w:noProof/>
          <w:sz w:val="24"/>
          <w:szCs w:val="24"/>
        </w:rPr>
        <w:t>, met de EU-regels die verschillende vormen van marktmisbruik verbieden, zoals handel met voorwetenschap of marktmanipulatie door middel van praktijken zoals het verspreiden van valse informatie of geruchten. De verordening marktmisbruik is van toepassing op alle marktdeelnemers, ongeacht of het misbruik plaatsvindt in de EU of daarbuiten;</w:t>
      </w:r>
    </w:p>
    <w:p w14:paraId="2FD386CF" w14:textId="59DEDD8F" w:rsidR="009B3224" w:rsidRPr="00DA11F1" w:rsidRDefault="009B3224" w:rsidP="008E33DB">
      <w:pPr>
        <w:pStyle w:val="ListParagraph"/>
        <w:numPr>
          <w:ilvl w:val="0"/>
          <w:numId w:val="27"/>
        </w:numPr>
        <w:spacing w:after="200" w:line="276" w:lineRule="auto"/>
        <w:ind w:left="714" w:hanging="357"/>
        <w:contextualSpacing w:val="0"/>
        <w:jc w:val="both"/>
        <w:rPr>
          <w:rFonts w:ascii="Times New Roman" w:hAnsi="Times New Roman"/>
          <w:noProof/>
          <w:sz w:val="24"/>
          <w:szCs w:val="24"/>
        </w:rPr>
      </w:pPr>
      <w:r>
        <w:rPr>
          <w:rFonts w:ascii="Times New Roman" w:hAnsi="Times New Roman"/>
          <w:b/>
          <w:bCs/>
          <w:noProof/>
          <w:sz w:val="24"/>
          <w:szCs w:val="24"/>
        </w:rPr>
        <w:t>de antiwitwasrichtlijn</w:t>
      </w:r>
      <w:r w:rsidRPr="00DA11F1">
        <w:rPr>
          <w:rStyle w:val="FootnoteReference"/>
          <w:rFonts w:ascii="Times New Roman" w:hAnsi="Times New Roman"/>
          <w:b/>
          <w:noProof/>
          <w:sz w:val="24"/>
          <w:szCs w:val="24"/>
        </w:rPr>
        <w:footnoteReference w:id="97"/>
      </w:r>
      <w:r>
        <w:rPr>
          <w:rFonts w:ascii="Times New Roman" w:hAnsi="Times New Roman"/>
          <w:noProof/>
          <w:sz w:val="24"/>
          <w:szCs w:val="24"/>
        </w:rPr>
        <w:t>, die voorziet in belangrijke waarborgen tegen witwa</w:t>
      </w:r>
      <w:r w:rsidR="00AD1EAB">
        <w:rPr>
          <w:rFonts w:ascii="Times New Roman" w:hAnsi="Times New Roman"/>
          <w:noProof/>
          <w:sz w:val="24"/>
          <w:szCs w:val="24"/>
        </w:rPr>
        <w:t>ssen en terrorismefinanciering.</w:t>
      </w:r>
    </w:p>
    <w:p w14:paraId="60E7902F" w14:textId="04F46E05" w:rsidR="009B3224" w:rsidRPr="00DA11F1" w:rsidRDefault="009B3224" w:rsidP="008E33DB">
      <w:pPr>
        <w:jc w:val="both"/>
        <w:rPr>
          <w:rFonts w:ascii="Times New Roman" w:hAnsi="Times New Roman"/>
          <w:noProof/>
          <w:sz w:val="24"/>
          <w:szCs w:val="24"/>
        </w:rPr>
      </w:pPr>
      <w:r>
        <w:rPr>
          <w:rFonts w:ascii="Times New Roman" w:hAnsi="Times New Roman"/>
          <w:noProof/>
          <w:sz w:val="24"/>
          <w:szCs w:val="24"/>
        </w:rPr>
        <w:t xml:space="preserve">De markt staat onder toezicht van de financiële autoriteiten van </w:t>
      </w:r>
      <w:r w:rsidRPr="00D4425F">
        <w:rPr>
          <w:rFonts w:ascii="Times New Roman" w:hAnsi="Times New Roman"/>
          <w:noProof/>
          <w:sz w:val="24"/>
          <w:szCs w:val="24"/>
        </w:rPr>
        <w:t>27</w:t>
      </w:r>
      <w:r>
        <w:rPr>
          <w:rFonts w:ascii="Times New Roman" w:hAnsi="Times New Roman"/>
          <w:noProof/>
          <w:sz w:val="24"/>
          <w:szCs w:val="24"/>
        </w:rPr>
        <w:t> lidstaten</w:t>
      </w:r>
      <w:r w:rsidRPr="00DA11F1">
        <w:rPr>
          <w:rStyle w:val="FootnoteReference"/>
          <w:rFonts w:ascii="Times New Roman" w:hAnsi="Times New Roman"/>
          <w:noProof/>
          <w:sz w:val="24"/>
          <w:szCs w:val="24"/>
        </w:rPr>
        <w:footnoteReference w:id="98"/>
      </w:r>
      <w:r>
        <w:rPr>
          <w:rFonts w:ascii="Times New Roman" w:hAnsi="Times New Roman"/>
          <w:noProof/>
          <w:sz w:val="24"/>
          <w:szCs w:val="24"/>
        </w:rPr>
        <w:t>, onder coördinatie van de Europese toezichthouder, de Europese Autoriteit voor effecten en markten (ESMA). Overeenkomstig de regels voor de financiële markten gelden voor handelsplatformen en beleggingsondernemingen strenge rapportage- en transparantievereisten. Hierdoor kunnen de bevoegde autoriteiten in de lidstaten toezicht houden op het handelsgedrag van de marktdeelnemers. Bovendien verplicht de verordening marktmisbruik de marktdeelnemers om verdachte orders en transacties onverwijld te melden. De nationale autoriteiten kunnen corrigerende maatregelen of sancties opleggen wanneer bepaald gedrag naar hun oordeel tot marktmisbruik leidt.</w:t>
      </w:r>
    </w:p>
    <w:p w14:paraId="2E9344E0" w14:textId="536CB08B" w:rsidR="009B3224" w:rsidRPr="00DA11F1" w:rsidRDefault="009B3224" w:rsidP="008E33DB">
      <w:pPr>
        <w:jc w:val="both"/>
        <w:rPr>
          <w:rFonts w:ascii="Times New Roman" w:hAnsi="Times New Roman"/>
          <w:noProof/>
          <w:sz w:val="24"/>
          <w:szCs w:val="24"/>
        </w:rPr>
      </w:pPr>
      <w:r>
        <w:rPr>
          <w:rFonts w:ascii="Times New Roman" w:hAnsi="Times New Roman"/>
          <w:noProof/>
          <w:sz w:val="24"/>
          <w:szCs w:val="24"/>
        </w:rPr>
        <w:t xml:space="preserve">De regels voor de financiële markten vormen een belangrijke waarborg voor de integriteit en transparantie van de koolstofmarkt van de EU. Tot dusver heeft het bestaande kader goed gewerkt en is het van essentieel belang </w:t>
      </w:r>
      <w:r w:rsidR="00747425">
        <w:rPr>
          <w:rFonts w:ascii="Times New Roman" w:hAnsi="Times New Roman"/>
          <w:noProof/>
          <w:sz w:val="24"/>
          <w:szCs w:val="24"/>
        </w:rPr>
        <w:t xml:space="preserve">dat wordt gewaarborgd dat </w:t>
      </w:r>
      <w:r>
        <w:rPr>
          <w:rFonts w:ascii="Times New Roman" w:hAnsi="Times New Roman"/>
          <w:noProof/>
          <w:sz w:val="24"/>
          <w:szCs w:val="24"/>
        </w:rPr>
        <w:t>de regels</w:t>
      </w:r>
      <w:r w:rsidR="00747425">
        <w:rPr>
          <w:rFonts w:ascii="Times New Roman" w:hAnsi="Times New Roman"/>
          <w:noProof/>
          <w:sz w:val="24"/>
          <w:szCs w:val="24"/>
        </w:rPr>
        <w:t xml:space="preserve"> naar behoren worden toegepast</w:t>
      </w:r>
      <w:r>
        <w:rPr>
          <w:rFonts w:ascii="Times New Roman" w:hAnsi="Times New Roman"/>
          <w:noProof/>
          <w:sz w:val="24"/>
          <w:szCs w:val="24"/>
        </w:rPr>
        <w:t>.</w:t>
      </w:r>
    </w:p>
    <w:p w14:paraId="62A5F54F" w14:textId="60A15AB6" w:rsidR="009B3224" w:rsidRPr="00DA11F1" w:rsidRDefault="009B3224" w:rsidP="008E33DB">
      <w:pPr>
        <w:jc w:val="both"/>
        <w:rPr>
          <w:rFonts w:ascii="Times New Roman" w:hAnsi="Times New Roman"/>
          <w:noProof/>
          <w:sz w:val="24"/>
          <w:szCs w:val="24"/>
        </w:rPr>
      </w:pPr>
      <w:r>
        <w:rPr>
          <w:rFonts w:ascii="Times New Roman" w:hAnsi="Times New Roman"/>
          <w:noProof/>
          <w:sz w:val="24"/>
          <w:szCs w:val="24"/>
        </w:rPr>
        <w:t xml:space="preserve">Elk jaar publiceert de ESMA een raming van de omvang van verschillende Europese markten, waaronder de koolstofmarkt. In de meest recente raming voor </w:t>
      </w:r>
      <w:r w:rsidRPr="00D4425F">
        <w:rPr>
          <w:rFonts w:ascii="Times New Roman" w:hAnsi="Times New Roman"/>
          <w:noProof/>
          <w:sz w:val="24"/>
          <w:szCs w:val="24"/>
        </w:rPr>
        <w:t>2020</w:t>
      </w:r>
      <w:r>
        <w:rPr>
          <w:rFonts w:ascii="Times New Roman" w:hAnsi="Times New Roman"/>
          <w:noProof/>
          <w:sz w:val="24"/>
          <w:szCs w:val="24"/>
        </w:rPr>
        <w:t xml:space="preserve"> berekende de ESMA de totale handelsactiviteit in emissierechten op ongeveer </w:t>
      </w:r>
      <w:r w:rsidRPr="00D4425F">
        <w:rPr>
          <w:rFonts w:ascii="Times New Roman" w:hAnsi="Times New Roman"/>
          <w:noProof/>
          <w:sz w:val="24"/>
          <w:szCs w:val="24"/>
        </w:rPr>
        <w:t>687</w:t>
      </w:r>
      <w:r>
        <w:rPr>
          <w:rFonts w:ascii="Times New Roman" w:hAnsi="Times New Roman"/>
          <w:noProof/>
          <w:sz w:val="24"/>
          <w:szCs w:val="24"/>
        </w:rPr>
        <w:t> miljard EUR</w:t>
      </w:r>
      <w:r w:rsidRPr="00DA11F1">
        <w:rPr>
          <w:rStyle w:val="FootnoteReference"/>
          <w:rFonts w:ascii="Times New Roman" w:hAnsi="Times New Roman"/>
          <w:noProof/>
          <w:sz w:val="24"/>
          <w:szCs w:val="24"/>
        </w:rPr>
        <w:footnoteReference w:id="99"/>
      </w:r>
      <w:r>
        <w:rPr>
          <w:rFonts w:ascii="Times New Roman" w:hAnsi="Times New Roman"/>
          <w:noProof/>
          <w:sz w:val="24"/>
          <w:szCs w:val="24"/>
        </w:rPr>
        <w:t xml:space="preserve">. Van dit totaal vertegenwoordigen derivaten van emissierechten veruit het grootste marktaandeel. De meeste transacties vinden plaats op handelsplatformen (ongeveer </w:t>
      </w:r>
      <w:r w:rsidRPr="00D4425F">
        <w:rPr>
          <w:rFonts w:ascii="Times New Roman" w:hAnsi="Times New Roman"/>
          <w:noProof/>
          <w:sz w:val="24"/>
          <w:szCs w:val="24"/>
        </w:rPr>
        <w:t>95</w:t>
      </w:r>
      <w:r>
        <w:rPr>
          <w:rFonts w:ascii="Times New Roman" w:hAnsi="Times New Roman"/>
          <w:noProof/>
          <w:sz w:val="24"/>
          <w:szCs w:val="24"/>
        </w:rPr>
        <w:t> %) en slechts een klein aandeel wordt ove</w:t>
      </w:r>
      <w:r w:rsidR="00AD1EAB">
        <w:rPr>
          <w:rFonts w:ascii="Times New Roman" w:hAnsi="Times New Roman"/>
          <w:noProof/>
          <w:sz w:val="24"/>
          <w:szCs w:val="24"/>
        </w:rPr>
        <w:t>r-the-counter (OTC) uitgevoerd.</w:t>
      </w:r>
    </w:p>
    <w:p w14:paraId="13C0CF5D" w14:textId="566480D4" w:rsidR="009B3224" w:rsidRPr="00DA11F1" w:rsidRDefault="009B3224" w:rsidP="008E33DB">
      <w:pPr>
        <w:jc w:val="both"/>
        <w:rPr>
          <w:rFonts w:ascii="Times New Roman" w:hAnsi="Times New Roman"/>
          <w:noProof/>
          <w:sz w:val="24"/>
          <w:szCs w:val="24"/>
        </w:rPr>
      </w:pPr>
      <w:r>
        <w:rPr>
          <w:rFonts w:ascii="Times New Roman" w:hAnsi="Times New Roman"/>
          <w:noProof/>
          <w:sz w:val="24"/>
          <w:szCs w:val="24"/>
        </w:rPr>
        <w:t>Derivaten spelen een cruciale rol, aangezien zij ETS-exploitanten flexibele manieren bieden om hun koolstofprijsrisico te beheersen. Deze contracten worden aangeboden door beurzen en financiële tussenpersonen, die vrij zijn om emissierechten in verschillende financiële producten te “verpakken”, afhankelijk van de marktvoorkeur e</w:t>
      </w:r>
      <w:r w:rsidR="00AD1EAB">
        <w:rPr>
          <w:rFonts w:ascii="Times New Roman" w:hAnsi="Times New Roman"/>
          <w:noProof/>
          <w:sz w:val="24"/>
          <w:szCs w:val="24"/>
        </w:rPr>
        <w:t>n het vastgestelde rechtskader.</w:t>
      </w:r>
    </w:p>
    <w:p w14:paraId="66DFD955" w14:textId="0C80B276" w:rsidR="009B3224" w:rsidRPr="00DA11F1" w:rsidRDefault="009B3224" w:rsidP="008E33DB">
      <w:pPr>
        <w:jc w:val="both"/>
        <w:rPr>
          <w:rFonts w:ascii="Times New Roman" w:hAnsi="Times New Roman"/>
          <w:noProof/>
          <w:sz w:val="24"/>
          <w:szCs w:val="24"/>
        </w:rPr>
      </w:pPr>
      <w:r>
        <w:rPr>
          <w:rFonts w:ascii="Times New Roman" w:hAnsi="Times New Roman"/>
          <w:noProof/>
          <w:sz w:val="24"/>
          <w:szCs w:val="24"/>
        </w:rPr>
        <w:t>Zoals op alle markten waren ook op de koolstofmarkt van de EU de gevolgen van de COVID-</w:t>
      </w:r>
      <w:r w:rsidRPr="00D4425F">
        <w:rPr>
          <w:rFonts w:ascii="Times New Roman" w:hAnsi="Times New Roman"/>
          <w:noProof/>
          <w:sz w:val="24"/>
          <w:szCs w:val="24"/>
        </w:rPr>
        <w:t>19</w:t>
      </w:r>
      <w:r>
        <w:rPr>
          <w:rFonts w:ascii="Times New Roman" w:hAnsi="Times New Roman"/>
          <w:noProof/>
          <w:sz w:val="24"/>
          <w:szCs w:val="24"/>
        </w:rPr>
        <w:t xml:space="preserve">-pandemie in </w:t>
      </w:r>
      <w:r w:rsidRPr="00D4425F">
        <w:rPr>
          <w:rFonts w:ascii="Times New Roman" w:hAnsi="Times New Roman"/>
          <w:noProof/>
          <w:sz w:val="24"/>
          <w:szCs w:val="24"/>
        </w:rPr>
        <w:t>2020</w:t>
      </w:r>
      <w:r>
        <w:rPr>
          <w:rFonts w:ascii="Times New Roman" w:hAnsi="Times New Roman"/>
          <w:noProof/>
          <w:sz w:val="24"/>
          <w:szCs w:val="24"/>
        </w:rPr>
        <w:t xml:space="preserve"> voelbaar. In de nasleep van de crisis zakte de prijs van emissierechten tot </w:t>
      </w:r>
      <w:r w:rsidRPr="00D4425F">
        <w:rPr>
          <w:rFonts w:ascii="Times New Roman" w:hAnsi="Times New Roman"/>
          <w:noProof/>
          <w:sz w:val="24"/>
          <w:szCs w:val="24"/>
        </w:rPr>
        <w:t>14</w:t>
      </w:r>
      <w:r>
        <w:rPr>
          <w:rFonts w:ascii="Times New Roman" w:hAnsi="Times New Roman"/>
          <w:noProof/>
          <w:sz w:val="24"/>
          <w:szCs w:val="24"/>
        </w:rPr>
        <w:t>,</w:t>
      </w:r>
      <w:r w:rsidRPr="00D4425F">
        <w:rPr>
          <w:rFonts w:ascii="Times New Roman" w:hAnsi="Times New Roman"/>
          <w:noProof/>
          <w:sz w:val="24"/>
          <w:szCs w:val="24"/>
        </w:rPr>
        <w:t>71</w:t>
      </w:r>
      <w:r>
        <w:rPr>
          <w:rFonts w:ascii="Times New Roman" w:hAnsi="Times New Roman"/>
          <w:noProof/>
          <w:sz w:val="24"/>
          <w:szCs w:val="24"/>
        </w:rPr>
        <w:t xml:space="preserve"> EUR vanaf een gemiddeld niveau van </w:t>
      </w:r>
      <w:r w:rsidRPr="00D4425F">
        <w:rPr>
          <w:rFonts w:ascii="Times New Roman" w:hAnsi="Times New Roman"/>
          <w:noProof/>
          <w:sz w:val="24"/>
          <w:szCs w:val="24"/>
        </w:rPr>
        <w:t>24</w:t>
      </w:r>
      <w:r>
        <w:rPr>
          <w:rFonts w:ascii="Times New Roman" w:hAnsi="Times New Roman"/>
          <w:noProof/>
          <w:sz w:val="24"/>
          <w:szCs w:val="24"/>
        </w:rPr>
        <w:t>,</w:t>
      </w:r>
      <w:r w:rsidRPr="00D4425F">
        <w:rPr>
          <w:rFonts w:ascii="Times New Roman" w:hAnsi="Times New Roman"/>
          <w:noProof/>
          <w:sz w:val="24"/>
          <w:szCs w:val="24"/>
        </w:rPr>
        <w:t>84</w:t>
      </w:r>
      <w:r>
        <w:rPr>
          <w:rFonts w:ascii="Times New Roman" w:hAnsi="Times New Roman"/>
          <w:noProof/>
          <w:sz w:val="24"/>
          <w:szCs w:val="24"/>
        </w:rPr>
        <w:t xml:space="preserve"> EUR in </w:t>
      </w:r>
      <w:r w:rsidRPr="00D4425F">
        <w:rPr>
          <w:rFonts w:ascii="Times New Roman" w:hAnsi="Times New Roman"/>
          <w:noProof/>
          <w:sz w:val="24"/>
          <w:szCs w:val="24"/>
        </w:rPr>
        <w:t>2019</w:t>
      </w:r>
      <w:r w:rsidRPr="00DA11F1">
        <w:rPr>
          <w:rStyle w:val="FootnoteReference"/>
          <w:rFonts w:ascii="Times New Roman" w:hAnsi="Times New Roman"/>
          <w:noProof/>
          <w:sz w:val="24"/>
          <w:szCs w:val="24"/>
        </w:rPr>
        <w:footnoteReference w:id="100"/>
      </w:r>
      <w:r>
        <w:rPr>
          <w:rFonts w:ascii="Times New Roman" w:hAnsi="Times New Roman"/>
          <w:noProof/>
          <w:sz w:val="24"/>
          <w:szCs w:val="24"/>
        </w:rPr>
        <w:t>. Desondanks herstelden de koolstofprijzen zich snel. Marktanalisten geven aan dat de marktstabiliteitsreserve de veerkracht van de markt ten aanzien van grote schokken in de vraag, zoals de schok als gevolg van de wereldwijde pandemie, aanzienlijk heeft verbeterd.</w:t>
      </w:r>
    </w:p>
    <w:p w14:paraId="310733FF" w14:textId="6617457F" w:rsidR="009B3224" w:rsidRPr="00DA11F1" w:rsidRDefault="00B22445" w:rsidP="008E33DB">
      <w:pPr>
        <w:jc w:val="both"/>
        <w:rPr>
          <w:rFonts w:ascii="Times New Roman" w:hAnsi="Times New Roman"/>
          <w:noProof/>
          <w:sz w:val="24"/>
          <w:szCs w:val="24"/>
        </w:rPr>
      </w:pPr>
      <w:r>
        <w:rPr>
          <w:rFonts w:ascii="Times New Roman" w:hAnsi="Times New Roman"/>
          <w:noProof/>
          <w:sz w:val="24"/>
          <w:szCs w:val="24"/>
        </w:rPr>
        <w:t>Er zijn tal van factoren die van invloed kunnen zijn op de prijs van emissierechten</w:t>
      </w:r>
      <w:r w:rsidR="009A2EF4" w:rsidRPr="00DA11F1">
        <w:rPr>
          <w:rFonts w:ascii="Times New Roman" w:hAnsi="Times New Roman"/>
          <w:noProof/>
          <w:sz w:val="24"/>
          <w:szCs w:val="24"/>
          <w:vertAlign w:val="superscript"/>
        </w:rPr>
        <w:footnoteReference w:id="101"/>
      </w:r>
      <w:r>
        <w:rPr>
          <w:rFonts w:ascii="Times New Roman" w:hAnsi="Times New Roman"/>
          <w:noProof/>
          <w:sz w:val="24"/>
          <w:szCs w:val="24"/>
        </w:rPr>
        <w:t xml:space="preserve">. Vooraanstaande marktanalisten wijzen met name op de marktstabiliteitsreserve, die het marktoverschot opvangt, en op de beleidsverwachtingen op lange termijn van de marktspelers. De koolstofmarkt is toekomstgericht en speelt in op toekomstige wetswijzigingen. De verhoogde klimaatambitie voor </w:t>
      </w:r>
      <w:r w:rsidRPr="00D4425F">
        <w:rPr>
          <w:rFonts w:ascii="Times New Roman" w:hAnsi="Times New Roman"/>
          <w:noProof/>
          <w:sz w:val="24"/>
          <w:szCs w:val="24"/>
        </w:rPr>
        <w:t>2030</w:t>
      </w:r>
      <w:r>
        <w:rPr>
          <w:rFonts w:ascii="Times New Roman" w:hAnsi="Times New Roman"/>
          <w:noProof/>
          <w:sz w:val="24"/>
          <w:szCs w:val="24"/>
        </w:rPr>
        <w:t>, die is vastgelegd in de Europese klimaatwet, vereist een lager emissieplafond in het EU-ETS, waardoor het aanbod aan emissierechten zal afnemen. Volgens analisten houden de marktdeelnemers al rekening met deze verwachte verandering.</w:t>
      </w:r>
    </w:p>
    <w:p w14:paraId="6EA5B7BE" w14:textId="13DA456A" w:rsidR="009A2EF4" w:rsidRPr="00DA11F1" w:rsidRDefault="009A2EF4" w:rsidP="008E33DB">
      <w:pPr>
        <w:jc w:val="both"/>
        <w:rPr>
          <w:rFonts w:ascii="Times New Roman" w:hAnsi="Times New Roman"/>
          <w:noProof/>
          <w:sz w:val="24"/>
          <w:szCs w:val="24"/>
        </w:rPr>
      </w:pPr>
      <w:r>
        <w:rPr>
          <w:rFonts w:ascii="Times New Roman" w:hAnsi="Times New Roman"/>
          <w:noProof/>
          <w:sz w:val="24"/>
          <w:szCs w:val="24"/>
        </w:rPr>
        <w:t>De ETS-nalevingsentiteiten blijven de dominante categorie op zowel de primaire als de secundaire markt. Het aantal bieders dat gerechtigd is om biedingen uit te brengen op de veilingen op het gemeenschappelijke veilingplat</w:t>
      </w:r>
      <w:r w:rsidR="00AD1EAB">
        <w:rPr>
          <w:rFonts w:ascii="Times New Roman" w:hAnsi="Times New Roman"/>
          <w:noProof/>
          <w:sz w:val="24"/>
          <w:szCs w:val="24"/>
        </w:rPr>
        <w:t>form nam licht toe; in december </w:t>
      </w:r>
      <w:r w:rsidRPr="00D4425F">
        <w:rPr>
          <w:rFonts w:ascii="Times New Roman" w:hAnsi="Times New Roman"/>
          <w:noProof/>
          <w:sz w:val="24"/>
          <w:szCs w:val="24"/>
        </w:rPr>
        <w:t>2020</w:t>
      </w:r>
      <w:r>
        <w:rPr>
          <w:rFonts w:ascii="Times New Roman" w:hAnsi="Times New Roman"/>
          <w:noProof/>
          <w:sz w:val="24"/>
          <w:szCs w:val="24"/>
        </w:rPr>
        <w:t xml:space="preserve"> waren er </w:t>
      </w:r>
      <w:r w:rsidRPr="00D4425F">
        <w:rPr>
          <w:rFonts w:ascii="Times New Roman" w:hAnsi="Times New Roman"/>
          <w:noProof/>
          <w:sz w:val="24"/>
          <w:szCs w:val="24"/>
        </w:rPr>
        <w:t>90</w:t>
      </w:r>
      <w:r>
        <w:rPr>
          <w:rFonts w:ascii="Times New Roman" w:hAnsi="Times New Roman"/>
          <w:noProof/>
          <w:sz w:val="24"/>
          <w:szCs w:val="24"/>
        </w:rPr>
        <w:t> deelnemers. De overgrote meerderheid van de deelnemers waren exploitanten (</w:t>
      </w:r>
      <w:r w:rsidRPr="00D4425F">
        <w:rPr>
          <w:rFonts w:ascii="Times New Roman" w:hAnsi="Times New Roman"/>
          <w:noProof/>
          <w:sz w:val="24"/>
          <w:szCs w:val="24"/>
        </w:rPr>
        <w:t>72</w:t>
      </w:r>
      <w:r>
        <w:rPr>
          <w:rFonts w:ascii="Times New Roman" w:hAnsi="Times New Roman"/>
          <w:noProof/>
          <w:sz w:val="24"/>
          <w:szCs w:val="24"/>
        </w:rPr>
        <w:t> %); de overige waren beleggingsondernemingen en kredietinstellingen (</w:t>
      </w:r>
      <w:r w:rsidRPr="00D4425F">
        <w:rPr>
          <w:rFonts w:ascii="Times New Roman" w:hAnsi="Times New Roman"/>
          <w:noProof/>
          <w:sz w:val="24"/>
          <w:szCs w:val="24"/>
        </w:rPr>
        <w:t>18</w:t>
      </w:r>
      <w:r>
        <w:rPr>
          <w:rFonts w:ascii="Times New Roman" w:hAnsi="Times New Roman"/>
          <w:noProof/>
          <w:sz w:val="24"/>
          <w:szCs w:val="24"/>
        </w:rPr>
        <w:t> %), alsmede personen die zijn vrijgesteld van de MiFID-vereisten (</w:t>
      </w:r>
      <w:r w:rsidRPr="00D4425F">
        <w:rPr>
          <w:rFonts w:ascii="Times New Roman" w:hAnsi="Times New Roman"/>
          <w:noProof/>
          <w:sz w:val="24"/>
          <w:szCs w:val="24"/>
        </w:rPr>
        <w:t>10</w:t>
      </w:r>
      <w:r>
        <w:rPr>
          <w:rFonts w:ascii="Times New Roman" w:hAnsi="Times New Roman"/>
          <w:noProof/>
          <w:sz w:val="24"/>
          <w:szCs w:val="24"/>
        </w:rPr>
        <w:t> %)</w:t>
      </w:r>
      <w:r w:rsidR="00380E3A" w:rsidRPr="00DA11F1">
        <w:rPr>
          <w:rStyle w:val="FootnoteReference"/>
          <w:rFonts w:ascii="Times New Roman" w:hAnsi="Times New Roman"/>
          <w:noProof/>
          <w:sz w:val="24"/>
          <w:szCs w:val="24"/>
        </w:rPr>
        <w:footnoteReference w:id="102"/>
      </w:r>
      <w:r w:rsidR="00AD1EAB">
        <w:rPr>
          <w:rFonts w:ascii="Times New Roman" w:hAnsi="Times New Roman"/>
          <w:noProof/>
          <w:sz w:val="24"/>
          <w:szCs w:val="24"/>
        </w:rPr>
        <w:t>.</w:t>
      </w:r>
    </w:p>
    <w:p w14:paraId="6DE9AE86" w14:textId="30FC07B0" w:rsidR="009B3224" w:rsidRPr="00DA11F1" w:rsidRDefault="009B3224" w:rsidP="008E33DB">
      <w:pPr>
        <w:jc w:val="both"/>
        <w:rPr>
          <w:rFonts w:ascii="Times New Roman" w:hAnsi="Times New Roman"/>
          <w:noProof/>
          <w:sz w:val="24"/>
          <w:szCs w:val="24"/>
        </w:rPr>
      </w:pPr>
      <w:r>
        <w:rPr>
          <w:rFonts w:ascii="Times New Roman" w:hAnsi="Times New Roman"/>
          <w:noProof/>
          <w:sz w:val="24"/>
          <w:szCs w:val="24"/>
        </w:rPr>
        <w:t>Op de secundaire markt schrijven de MiFID-regels voor dat handelsplatformen en beleggingsondernemingen hun posities in emissierechten aan de bevoegde autoriteiten rapporteren. De geaggregeerde uitsplitsingen van posities in emissierechten die door verschillende marktdeelnemers, met inbegrip van beleggingsondernemingen, worden aangehouden, worden ook wekelijks openbaar gemaakt en gepubliceerd op de webpagina’s van de ESMA</w:t>
      </w:r>
      <w:r w:rsidRPr="00DA11F1">
        <w:rPr>
          <w:rStyle w:val="FootnoteReference"/>
          <w:rFonts w:ascii="Times New Roman" w:hAnsi="Times New Roman"/>
          <w:noProof/>
          <w:sz w:val="24"/>
          <w:szCs w:val="24"/>
        </w:rPr>
        <w:footnoteReference w:id="103"/>
      </w:r>
      <w:r>
        <w:rPr>
          <w:rFonts w:ascii="Times New Roman" w:hAnsi="Times New Roman"/>
          <w:noProof/>
          <w:sz w:val="24"/>
          <w:szCs w:val="24"/>
        </w:rPr>
        <w:t>. Deze verslagen geven een goede indicatie van de verdeling van de aantallen tussen marktdeelnemers en laten zien dat beleggingsfondsen die met speculatief gedrag in verband kunnen worden gebracht, momenteel een klein deel van de totale posities op de markt aanhouden.</w:t>
      </w:r>
    </w:p>
    <w:p w14:paraId="588C9C5F" w14:textId="7BF0320C" w:rsidR="005811CF" w:rsidRPr="00DA11F1" w:rsidRDefault="009B3224" w:rsidP="008E33DB">
      <w:pPr>
        <w:jc w:val="both"/>
        <w:rPr>
          <w:rFonts w:ascii="Times New Roman" w:hAnsi="Times New Roman"/>
          <w:noProof/>
          <w:sz w:val="24"/>
          <w:szCs w:val="24"/>
        </w:rPr>
      </w:pPr>
      <w:r>
        <w:rPr>
          <w:rFonts w:ascii="Times New Roman" w:hAnsi="Times New Roman"/>
          <w:noProof/>
          <w:sz w:val="24"/>
          <w:szCs w:val="24"/>
        </w:rPr>
        <w:t>De start van fase </w:t>
      </w:r>
      <w:r w:rsidRPr="00D4425F">
        <w:rPr>
          <w:rFonts w:ascii="Times New Roman" w:hAnsi="Times New Roman"/>
          <w:noProof/>
          <w:sz w:val="24"/>
          <w:szCs w:val="24"/>
        </w:rPr>
        <w:t>4</w:t>
      </w:r>
      <w:r>
        <w:rPr>
          <w:rFonts w:ascii="Times New Roman" w:hAnsi="Times New Roman"/>
          <w:noProof/>
          <w:sz w:val="24"/>
          <w:szCs w:val="24"/>
        </w:rPr>
        <w:t xml:space="preserve"> werd gekenmerkt door een aanzienlijke verandering op de secundaire markt. In het verleden vond het grootste deel van de handel op de secundaire markt plaats op het in het Verenigd Koninkrijk gevestigde handelsplatform ICE Futures Europe. Op </w:t>
      </w:r>
      <w:r w:rsidRPr="00D4425F">
        <w:rPr>
          <w:rFonts w:ascii="Times New Roman" w:hAnsi="Times New Roman"/>
          <w:noProof/>
          <w:sz w:val="24"/>
          <w:szCs w:val="24"/>
        </w:rPr>
        <w:t>7</w:t>
      </w:r>
      <w:r>
        <w:rPr>
          <w:rFonts w:ascii="Times New Roman" w:hAnsi="Times New Roman"/>
          <w:noProof/>
          <w:sz w:val="24"/>
          <w:szCs w:val="24"/>
        </w:rPr>
        <w:t xml:space="preserve"> juni </w:t>
      </w:r>
      <w:r w:rsidRPr="00D4425F">
        <w:rPr>
          <w:rFonts w:ascii="Times New Roman" w:hAnsi="Times New Roman"/>
          <w:noProof/>
          <w:sz w:val="24"/>
          <w:szCs w:val="24"/>
        </w:rPr>
        <w:t>2021</w:t>
      </w:r>
      <w:r>
        <w:rPr>
          <w:rFonts w:ascii="Times New Roman" w:hAnsi="Times New Roman"/>
          <w:noProof/>
          <w:sz w:val="24"/>
          <w:szCs w:val="24"/>
        </w:rPr>
        <w:t xml:space="preserve"> heeft ICE London de handel in EU-emissierechten (zowel de spot- als de derivatenhandel) verplaatst naar haar dochteronderneming in Nederland, ICE Endex. De handel op ICE Endex staat onder toezicht van de Autoriteit Financiële Markten.</w:t>
      </w:r>
    </w:p>
    <w:p w14:paraId="48BCECD2" w14:textId="4FBFA981" w:rsidR="00270A58" w:rsidRPr="00DA11F1" w:rsidRDefault="00270A58" w:rsidP="008E33DB">
      <w:pPr>
        <w:jc w:val="both"/>
        <w:rPr>
          <w:rFonts w:ascii="Times New Roman" w:hAnsi="Times New Roman"/>
          <w:noProof/>
          <w:sz w:val="24"/>
          <w:szCs w:val="24"/>
        </w:rPr>
      </w:pPr>
      <w:r>
        <w:rPr>
          <w:rFonts w:ascii="Times New Roman" w:hAnsi="Times New Roman"/>
          <w:noProof/>
          <w:sz w:val="24"/>
          <w:szCs w:val="24"/>
        </w:rPr>
        <w:t xml:space="preserve">Door de stijging van de energieprijzen in </w:t>
      </w:r>
      <w:r w:rsidRPr="00D4425F">
        <w:rPr>
          <w:rFonts w:ascii="Times New Roman" w:hAnsi="Times New Roman"/>
          <w:noProof/>
          <w:sz w:val="24"/>
          <w:szCs w:val="24"/>
        </w:rPr>
        <w:t>2021</w:t>
      </w:r>
      <w:r>
        <w:rPr>
          <w:rFonts w:ascii="Times New Roman" w:hAnsi="Times New Roman"/>
          <w:noProof/>
          <w:sz w:val="24"/>
          <w:szCs w:val="24"/>
        </w:rPr>
        <w:t xml:space="preserve"> zijn de koolstofprijzen en het toezichtsregime voor de koolstofmarkt van de EU opnieuw in de belangstelling komen te staan. Men is het er in het algemeen over eens dat de belangrijkste oorzaak van de stijging de ongekend hoge wereldprijzen van gas zijn, terwijl de hogere koolstofprijs een veel kleiner effect heeft. Uit de mededeling van de Commissie van </w:t>
      </w:r>
      <w:r w:rsidRPr="00D4425F">
        <w:rPr>
          <w:rFonts w:ascii="Times New Roman" w:hAnsi="Times New Roman"/>
          <w:noProof/>
          <w:sz w:val="24"/>
          <w:szCs w:val="24"/>
        </w:rPr>
        <w:t>13</w:t>
      </w:r>
      <w:r>
        <w:rPr>
          <w:rFonts w:ascii="Times New Roman" w:hAnsi="Times New Roman"/>
          <w:noProof/>
          <w:sz w:val="24"/>
          <w:szCs w:val="24"/>
        </w:rPr>
        <w:t xml:space="preserve"> oktober </w:t>
      </w:r>
      <w:r w:rsidRPr="00D4425F">
        <w:rPr>
          <w:rFonts w:ascii="Times New Roman" w:hAnsi="Times New Roman"/>
          <w:noProof/>
          <w:sz w:val="24"/>
          <w:szCs w:val="24"/>
        </w:rPr>
        <w:t>2021</w:t>
      </w:r>
      <w:r w:rsidRPr="00DA11F1">
        <w:rPr>
          <w:rStyle w:val="FootnoteReference"/>
          <w:rFonts w:ascii="Times New Roman" w:hAnsi="Times New Roman"/>
          <w:noProof/>
          <w:sz w:val="24"/>
          <w:szCs w:val="24"/>
        </w:rPr>
        <w:footnoteReference w:id="104"/>
      </w:r>
      <w:r>
        <w:rPr>
          <w:rFonts w:ascii="Times New Roman" w:hAnsi="Times New Roman"/>
          <w:noProof/>
          <w:sz w:val="24"/>
          <w:szCs w:val="24"/>
        </w:rPr>
        <w:t xml:space="preserve"> blijkt dat het effect van de stijging van de gasprijs op de elektriciteitsprijs negen keer groter is dan het effect van de stijging van de koolstofprijs. Een eerlijke prijsvorming en integriteit van de koolstofmarkt van de EU worden gewaarborgd door een robuust toezichtsregime, dat ook op andere financiële markten van toepassing is. Toch heeft de Commissie aangekondigd dat zij de ESMA zal verzoeken het toezicht op de ontwikkelingen op de koolstofmarkt van de EU verder aan te scherpen.</w:t>
      </w:r>
    </w:p>
    <w:p w14:paraId="2557DA68" w14:textId="77777777" w:rsidR="005811CF" w:rsidRPr="00DA11F1" w:rsidRDefault="005811CF" w:rsidP="008E33DB">
      <w:pPr>
        <w:pStyle w:val="Heading1"/>
        <w:spacing w:before="0" w:after="200"/>
        <w:rPr>
          <w:noProof/>
        </w:rPr>
      </w:pPr>
      <w:bookmarkStart w:id="66" w:name="_Toc490850437"/>
      <w:bookmarkStart w:id="67" w:name="_Toc519009688"/>
      <w:bookmarkStart w:id="68" w:name="_Toc89423480"/>
      <w:r w:rsidRPr="00D4425F">
        <w:rPr>
          <w:noProof/>
        </w:rPr>
        <w:t>6</w:t>
      </w:r>
      <w:r>
        <w:rPr>
          <w:noProof/>
        </w:rPr>
        <w:t>. MONITORING, RAPPORTAGE EN VERIFICATIE VAN EMISSIES</w:t>
      </w:r>
      <w:bookmarkEnd w:id="66"/>
      <w:bookmarkEnd w:id="67"/>
      <w:bookmarkEnd w:id="68"/>
    </w:p>
    <w:p w14:paraId="36627EDB" w14:textId="06D6870B" w:rsidR="005811CF" w:rsidRPr="00DA11F1" w:rsidRDefault="005811CF" w:rsidP="008E33DB">
      <w:pPr>
        <w:jc w:val="both"/>
        <w:rPr>
          <w:rFonts w:ascii="Times New Roman" w:hAnsi="Times New Roman"/>
          <w:noProof/>
          <w:sz w:val="24"/>
          <w:szCs w:val="24"/>
        </w:rPr>
      </w:pPr>
      <w:r>
        <w:rPr>
          <w:rFonts w:ascii="Times New Roman" w:hAnsi="Times New Roman"/>
          <w:noProof/>
          <w:szCs w:val="24"/>
        </w:rPr>
        <w:t>Voor fase </w:t>
      </w:r>
      <w:r w:rsidRPr="00D4425F">
        <w:rPr>
          <w:rFonts w:ascii="Times New Roman" w:hAnsi="Times New Roman"/>
          <w:noProof/>
          <w:szCs w:val="24"/>
        </w:rPr>
        <w:t>3</w:t>
      </w:r>
      <w:r>
        <w:rPr>
          <w:rFonts w:ascii="Times New Roman" w:hAnsi="Times New Roman"/>
          <w:noProof/>
          <w:szCs w:val="24"/>
        </w:rPr>
        <w:t xml:space="preserve"> (</w:t>
      </w:r>
      <w:r w:rsidRPr="00D4425F">
        <w:rPr>
          <w:rFonts w:ascii="Times New Roman" w:hAnsi="Times New Roman"/>
          <w:noProof/>
          <w:szCs w:val="24"/>
        </w:rPr>
        <w:t>2013</w:t>
      </w:r>
      <w:r>
        <w:rPr>
          <w:rFonts w:ascii="Times New Roman" w:hAnsi="Times New Roman"/>
          <w:noProof/>
          <w:szCs w:val="24"/>
        </w:rPr>
        <w:t>-</w:t>
      </w:r>
      <w:r w:rsidRPr="00D4425F">
        <w:rPr>
          <w:rFonts w:ascii="Times New Roman" w:hAnsi="Times New Roman"/>
          <w:noProof/>
          <w:szCs w:val="24"/>
        </w:rPr>
        <w:t>2020</w:t>
      </w:r>
      <w:r>
        <w:rPr>
          <w:rFonts w:ascii="Times New Roman" w:hAnsi="Times New Roman"/>
          <w:noProof/>
          <w:szCs w:val="24"/>
        </w:rPr>
        <w:t>) en daarna zijn de vereisten inzake monitoring, rapportage, verificatie en accreditatie van het EU-ETS geharmoniseerd in de verordening monitoring en rapportage (MRR)</w:t>
      </w:r>
      <w:r w:rsidRPr="00DA11F1">
        <w:rPr>
          <w:rStyle w:val="FootnoteReference"/>
          <w:rFonts w:ascii="Times New Roman" w:hAnsi="Times New Roman"/>
          <w:noProof/>
          <w:szCs w:val="24"/>
        </w:rPr>
        <w:footnoteReference w:id="105"/>
      </w:r>
      <w:r>
        <w:rPr>
          <w:rFonts w:ascii="Times New Roman" w:hAnsi="Times New Roman"/>
          <w:noProof/>
          <w:szCs w:val="24"/>
        </w:rPr>
        <w:t xml:space="preserve"> en de verordening accreditatie en verificatie (AVR)</w:t>
      </w:r>
      <w:r w:rsidRPr="00DA11F1">
        <w:rPr>
          <w:rStyle w:val="FootnoteReference"/>
          <w:rFonts w:ascii="Times New Roman" w:hAnsi="Times New Roman"/>
          <w:noProof/>
          <w:szCs w:val="24"/>
        </w:rPr>
        <w:footnoteReference w:id="106"/>
      </w:r>
      <w:r>
        <w:rPr>
          <w:rFonts w:ascii="Times New Roman" w:hAnsi="Times New Roman"/>
          <w:noProof/>
          <w:szCs w:val="24"/>
        </w:rPr>
        <w:t>.</w:t>
      </w:r>
    </w:p>
    <w:p w14:paraId="7BA95E70" w14:textId="57DDD4CB" w:rsidR="005811CF" w:rsidRPr="00DA11F1" w:rsidRDefault="005811CF" w:rsidP="008E33DB">
      <w:pPr>
        <w:jc w:val="both"/>
        <w:rPr>
          <w:rFonts w:ascii="Times New Roman" w:hAnsi="Times New Roman"/>
          <w:noProof/>
          <w:sz w:val="24"/>
          <w:szCs w:val="24"/>
        </w:rPr>
      </w:pPr>
      <w:r>
        <w:rPr>
          <w:rFonts w:ascii="Times New Roman" w:hAnsi="Times New Roman"/>
          <w:noProof/>
          <w:sz w:val="24"/>
          <w:szCs w:val="24"/>
        </w:rPr>
        <w:t>De monitoringregeling in het EU-ETS is opgezet als een modulaire aanpak die exploitanten een hoge mate van flexibiliteit biedt, zodat de kosteneffectiviteit gewaarborgd is, terwijl de gemonitorde emissiegegevens zeer betrouwbaar zijn. In dit kader kunnen exploitanten gebruikmaken van verschillende monitoringmethoden (te weten methoden op basis van berekeningen, methoden op basis van metingen en, in uitzonderlijke gevallen, “fall-back”-methoden), of een combinatie van methoden voor de individuele onderdelen van een installatie. Voor vliegtuigexploitanten zijn alleen methoden op basis van berekeningen toegestaan, waarbij brandstofverbruik centraal staat als parameter die moet worden berekend voor alle vluchten waarop het EU-ETS van toepassing is. De eis dat exploitanten van installaties en vliegtuigen een monitoringplan moeten hebben dat door de desbetreffende bevoegde autoriteit op basis van de MRV is goedgekeurd, voorkomt dat zij de monitoringmethoden en -tijden willekeurig kiezen (zie punt </w:t>
      </w:r>
      <w:r w:rsidRPr="00D4425F">
        <w:rPr>
          <w:rFonts w:ascii="Times New Roman" w:hAnsi="Times New Roman"/>
          <w:noProof/>
          <w:sz w:val="24"/>
          <w:szCs w:val="24"/>
        </w:rPr>
        <w:t>11</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 xml:space="preserve"> van aanhangsel </w:t>
      </w:r>
      <w:r w:rsidRPr="00D4425F">
        <w:rPr>
          <w:rFonts w:ascii="Times New Roman" w:hAnsi="Times New Roman"/>
          <w:noProof/>
          <w:sz w:val="24"/>
          <w:szCs w:val="24"/>
        </w:rPr>
        <w:t>11</w:t>
      </w:r>
      <w:r>
        <w:rPr>
          <w:rFonts w:ascii="Times New Roman" w:hAnsi="Times New Roman"/>
          <w:noProof/>
          <w:sz w:val="24"/>
          <w:szCs w:val="24"/>
        </w:rPr>
        <w:t xml:space="preserve"> van het begeleidende werkdocument van de diensten van de Commissie voor een gedetailleerd overzicht van de monitoring die wordt toegepast in de aan het EU-ETS deelnemende landen).</w:t>
      </w:r>
    </w:p>
    <w:p w14:paraId="2B98E873" w14:textId="04CE8C5A" w:rsidR="005811CF" w:rsidRPr="00DA11F1" w:rsidRDefault="0037484C" w:rsidP="008E33DB">
      <w:pPr>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De AVR heeft gezorgd voor een geharmoniseerde aanpak op EU-niveau voor de accreditatie van verificateurs. Verificateurs moeten door een nationale accreditatie-instantie worden geaccrediteerd voor het verrichten van verificaties overeenkomstig de AVR. Dit uniforme accreditatiesysteem stelt de verificateurs in staat om met wederzijdse erkenning in alle deelnemende landen hun activiteiten uit te voeren, waarbij zij de voordelen van de interne markt volledig benutten en ervoor zorgen dat er in de hele EU voldoende beschikbaarheid is (zie punt </w:t>
      </w:r>
      <w:r w:rsidRPr="00D4425F">
        <w:rPr>
          <w:rFonts w:ascii="Times New Roman" w:hAnsi="Times New Roman"/>
          <w:noProof/>
          <w:color w:val="000000" w:themeColor="text1"/>
          <w:sz w:val="24"/>
          <w:szCs w:val="24"/>
        </w:rPr>
        <w:t>11</w:t>
      </w:r>
      <w:r>
        <w:rPr>
          <w:rFonts w:ascii="Times New Roman" w:hAnsi="Times New Roman"/>
          <w:noProof/>
          <w:color w:val="000000" w:themeColor="text1"/>
          <w:sz w:val="24"/>
          <w:szCs w:val="24"/>
        </w:rPr>
        <w:t>.</w:t>
      </w:r>
      <w:r w:rsidRPr="00D4425F">
        <w:rPr>
          <w:rFonts w:ascii="Times New Roman" w:hAnsi="Times New Roman"/>
          <w:noProof/>
          <w:color w:val="000000" w:themeColor="text1"/>
          <w:sz w:val="24"/>
          <w:szCs w:val="24"/>
        </w:rPr>
        <w:t>2</w:t>
      </w:r>
      <w:r>
        <w:rPr>
          <w:rFonts w:ascii="Times New Roman" w:hAnsi="Times New Roman"/>
          <w:noProof/>
          <w:color w:val="000000" w:themeColor="text1"/>
          <w:sz w:val="24"/>
          <w:szCs w:val="24"/>
        </w:rPr>
        <w:t xml:space="preserve"> van aanhangsel </w:t>
      </w:r>
      <w:r w:rsidRPr="00D4425F">
        <w:rPr>
          <w:rFonts w:ascii="Times New Roman" w:hAnsi="Times New Roman"/>
          <w:noProof/>
          <w:color w:val="000000" w:themeColor="text1"/>
          <w:sz w:val="24"/>
          <w:szCs w:val="24"/>
        </w:rPr>
        <w:t>11</w:t>
      </w:r>
      <w:r>
        <w:rPr>
          <w:rFonts w:ascii="Times New Roman" w:hAnsi="Times New Roman"/>
          <w:noProof/>
          <w:color w:val="000000" w:themeColor="text1"/>
          <w:sz w:val="24"/>
          <w:szCs w:val="24"/>
        </w:rPr>
        <w:t xml:space="preserve"> van het begeleidende werkdocument van de diensten van de Commissie voor een gedetailleerd overzicht van de uitvoering van de AVR in de aan </w:t>
      </w:r>
      <w:r w:rsidR="00AD1EAB">
        <w:rPr>
          <w:rFonts w:ascii="Times New Roman" w:hAnsi="Times New Roman"/>
          <w:noProof/>
          <w:color w:val="000000" w:themeColor="text1"/>
          <w:sz w:val="24"/>
          <w:szCs w:val="24"/>
        </w:rPr>
        <w:t>het EU-ETS deelnemende landen).</w:t>
      </w:r>
    </w:p>
    <w:p w14:paraId="241A3DB3" w14:textId="5AB934F3" w:rsidR="005811CF" w:rsidRPr="00DA11F1" w:rsidRDefault="005811CF" w:rsidP="008E33DB">
      <w:pPr>
        <w:jc w:val="both"/>
        <w:rPr>
          <w:rFonts w:ascii="Times New Roman" w:hAnsi="Times New Roman"/>
          <w:noProof/>
          <w:sz w:val="24"/>
          <w:szCs w:val="24"/>
        </w:rPr>
      </w:pPr>
      <w:r>
        <w:rPr>
          <w:rFonts w:ascii="Times New Roman" w:hAnsi="Times New Roman"/>
          <w:noProof/>
          <w:sz w:val="24"/>
          <w:szCs w:val="24"/>
        </w:rPr>
        <w:t xml:space="preserve">Na de eerste bijwerking van de MRV en de AVR in </w:t>
      </w:r>
      <w:r w:rsidRPr="00D4425F">
        <w:rPr>
          <w:rFonts w:ascii="Times New Roman" w:hAnsi="Times New Roman"/>
          <w:noProof/>
          <w:sz w:val="24"/>
          <w:szCs w:val="24"/>
        </w:rPr>
        <w:t>2018</w:t>
      </w:r>
      <w:r>
        <w:rPr>
          <w:rFonts w:ascii="Times New Roman" w:hAnsi="Times New Roman"/>
          <w:noProof/>
          <w:sz w:val="24"/>
          <w:szCs w:val="24"/>
        </w:rPr>
        <w:t xml:space="preserve"> om de regels voor monitoring, rapportage, verificatie en accreditatie te verbeteren, te verduidelijken en te vereenvoudigen en de efficiëntie van het systeem </w:t>
      </w:r>
      <w:r w:rsidR="00AD1EAB">
        <w:rPr>
          <w:rFonts w:ascii="Times New Roman" w:hAnsi="Times New Roman"/>
          <w:noProof/>
          <w:sz w:val="24"/>
          <w:szCs w:val="24"/>
        </w:rPr>
        <w:t>te verbeteren, werd in februari </w:t>
      </w:r>
      <w:r w:rsidRPr="00D4425F">
        <w:rPr>
          <w:rFonts w:ascii="Times New Roman" w:hAnsi="Times New Roman"/>
          <w:noProof/>
          <w:sz w:val="24"/>
          <w:szCs w:val="24"/>
        </w:rPr>
        <w:t>2019</w:t>
      </w:r>
      <w:r>
        <w:rPr>
          <w:rFonts w:ascii="Times New Roman" w:hAnsi="Times New Roman"/>
          <w:noProof/>
          <w:sz w:val="24"/>
          <w:szCs w:val="24"/>
        </w:rPr>
        <w:t xml:space="preserve"> gestart met een tweede bijwerking van de twee verordeningen. Het doel was om nog openstaande kwesties aan te pakken, zoals de uitvoering van de herschikking van de richtlijn hernieuwbare energie. </w:t>
      </w:r>
      <w:r>
        <w:rPr>
          <w:rFonts w:ascii="Times New Roman" w:hAnsi="Times New Roman"/>
          <w:noProof/>
          <w:szCs w:val="24"/>
        </w:rPr>
        <w:t xml:space="preserve">Dit resulteerde in de vaststelling van Uitvoeringsverordening (EU) </w:t>
      </w:r>
      <w:r w:rsidRPr="00D4425F">
        <w:rPr>
          <w:rFonts w:ascii="Times New Roman" w:hAnsi="Times New Roman"/>
          <w:noProof/>
          <w:szCs w:val="24"/>
        </w:rPr>
        <w:t>2020</w:t>
      </w:r>
      <w:r>
        <w:rPr>
          <w:rFonts w:ascii="Times New Roman" w:hAnsi="Times New Roman"/>
          <w:noProof/>
          <w:szCs w:val="24"/>
        </w:rPr>
        <w:t>/</w:t>
      </w:r>
      <w:r w:rsidRPr="00D4425F">
        <w:rPr>
          <w:rFonts w:ascii="Times New Roman" w:hAnsi="Times New Roman"/>
          <w:noProof/>
          <w:szCs w:val="24"/>
        </w:rPr>
        <w:t>2085</w:t>
      </w:r>
      <w:r>
        <w:rPr>
          <w:rFonts w:ascii="Times New Roman" w:hAnsi="Times New Roman"/>
          <w:noProof/>
          <w:szCs w:val="24"/>
        </w:rPr>
        <w:t xml:space="preserve"> van de Commissie tot wijziging van de MRV</w:t>
      </w:r>
      <w:r w:rsidRPr="00DA11F1">
        <w:rPr>
          <w:rStyle w:val="FootnoteReference"/>
          <w:rFonts w:ascii="Times New Roman" w:hAnsi="Times New Roman"/>
          <w:noProof/>
          <w:szCs w:val="24"/>
        </w:rPr>
        <w:footnoteReference w:id="107"/>
      </w:r>
      <w:r>
        <w:rPr>
          <w:rFonts w:ascii="Times New Roman" w:hAnsi="Times New Roman"/>
          <w:noProof/>
          <w:szCs w:val="24"/>
        </w:rPr>
        <w:t xml:space="preserve"> en Uitvoeringsverordening (EU) </w:t>
      </w:r>
      <w:r w:rsidRPr="00D4425F">
        <w:rPr>
          <w:rFonts w:ascii="Times New Roman" w:hAnsi="Times New Roman"/>
          <w:noProof/>
          <w:szCs w:val="24"/>
        </w:rPr>
        <w:t>2020</w:t>
      </w:r>
      <w:r>
        <w:rPr>
          <w:rFonts w:ascii="Times New Roman" w:hAnsi="Times New Roman"/>
          <w:noProof/>
          <w:szCs w:val="24"/>
        </w:rPr>
        <w:t>/</w:t>
      </w:r>
      <w:r w:rsidRPr="00D4425F">
        <w:rPr>
          <w:rFonts w:ascii="Times New Roman" w:hAnsi="Times New Roman"/>
          <w:noProof/>
          <w:szCs w:val="24"/>
        </w:rPr>
        <w:t>2084</w:t>
      </w:r>
      <w:r>
        <w:rPr>
          <w:rFonts w:ascii="Times New Roman" w:hAnsi="Times New Roman"/>
          <w:noProof/>
          <w:szCs w:val="24"/>
        </w:rPr>
        <w:t xml:space="preserve"> van de Commissie tot wijziging van de AVR</w:t>
      </w:r>
      <w:r w:rsidRPr="00DA11F1">
        <w:rPr>
          <w:rStyle w:val="FootnoteReference"/>
          <w:rFonts w:ascii="Times New Roman" w:hAnsi="Times New Roman"/>
          <w:noProof/>
          <w:szCs w:val="24"/>
        </w:rPr>
        <w:footnoteReference w:id="108"/>
      </w:r>
      <w:r>
        <w:rPr>
          <w:rFonts w:ascii="Times New Roman" w:hAnsi="Times New Roman"/>
          <w:noProof/>
          <w:szCs w:val="24"/>
        </w:rPr>
        <w:t xml:space="preserve"> op </w:t>
      </w:r>
      <w:r w:rsidRPr="00D4425F">
        <w:rPr>
          <w:rFonts w:ascii="Times New Roman" w:hAnsi="Times New Roman"/>
          <w:noProof/>
          <w:szCs w:val="24"/>
        </w:rPr>
        <w:t>14</w:t>
      </w:r>
      <w:r>
        <w:rPr>
          <w:rFonts w:ascii="Times New Roman" w:hAnsi="Times New Roman"/>
          <w:noProof/>
          <w:szCs w:val="24"/>
        </w:rPr>
        <w:t xml:space="preserve"> december </w:t>
      </w:r>
      <w:r w:rsidRPr="00D4425F">
        <w:rPr>
          <w:rFonts w:ascii="Times New Roman" w:hAnsi="Times New Roman"/>
          <w:noProof/>
          <w:szCs w:val="24"/>
        </w:rPr>
        <w:t>2020</w:t>
      </w:r>
      <w:r>
        <w:rPr>
          <w:rFonts w:ascii="Times New Roman" w:hAnsi="Times New Roman"/>
          <w:noProof/>
          <w:szCs w:val="24"/>
        </w:rPr>
        <w:t>.</w:t>
      </w:r>
    </w:p>
    <w:p w14:paraId="3C4AD199" w14:textId="1FB9D0FC" w:rsidR="009A2EF4" w:rsidRPr="00DA11F1" w:rsidRDefault="005811CF" w:rsidP="008E33DB">
      <w:pPr>
        <w:jc w:val="both"/>
        <w:rPr>
          <w:rFonts w:ascii="Times New Roman" w:hAnsi="Times New Roman"/>
          <w:noProof/>
          <w:sz w:val="24"/>
          <w:szCs w:val="24"/>
        </w:rPr>
      </w:pPr>
      <w:r>
        <w:rPr>
          <w:rFonts w:ascii="Times New Roman" w:hAnsi="Times New Roman"/>
          <w:noProof/>
          <w:sz w:val="24"/>
          <w:szCs w:val="24"/>
        </w:rPr>
        <w:t>Landen die aan het EU-ETS deelnemen, hanteren verschillende benaderingen wat betreft de bevoegde autoriteiten die met de uitvoering belast zijn. In sommige landen zijn er meerdere lokale instanties betrokken, terwijl andere landen een veel centralere uitvoering toepassen (zie punt </w:t>
      </w:r>
      <w:r w:rsidRPr="00D4425F">
        <w:rPr>
          <w:rFonts w:ascii="Times New Roman" w:hAnsi="Times New Roman"/>
          <w:noProof/>
          <w:sz w:val="24"/>
          <w:szCs w:val="24"/>
        </w:rPr>
        <w:t>11</w:t>
      </w:r>
      <w:r>
        <w:rPr>
          <w:rFonts w:ascii="Times New Roman" w:hAnsi="Times New Roman"/>
          <w:noProof/>
          <w:sz w:val="24"/>
          <w:szCs w:val="24"/>
        </w:rPr>
        <w:t>.</w:t>
      </w:r>
      <w:r w:rsidRPr="00D4425F">
        <w:rPr>
          <w:rFonts w:ascii="Times New Roman" w:hAnsi="Times New Roman"/>
          <w:noProof/>
          <w:sz w:val="24"/>
          <w:szCs w:val="24"/>
        </w:rPr>
        <w:t>3</w:t>
      </w:r>
      <w:r>
        <w:rPr>
          <w:rFonts w:ascii="Times New Roman" w:hAnsi="Times New Roman"/>
          <w:noProof/>
          <w:sz w:val="24"/>
          <w:szCs w:val="24"/>
        </w:rPr>
        <w:t xml:space="preserve"> van aanhangsel </w:t>
      </w:r>
      <w:r w:rsidRPr="00D4425F">
        <w:rPr>
          <w:rFonts w:ascii="Times New Roman" w:hAnsi="Times New Roman"/>
          <w:noProof/>
          <w:sz w:val="24"/>
          <w:szCs w:val="24"/>
        </w:rPr>
        <w:t>11</w:t>
      </w:r>
      <w:r>
        <w:rPr>
          <w:rFonts w:ascii="Times New Roman" w:hAnsi="Times New Roman"/>
          <w:noProof/>
          <w:sz w:val="24"/>
          <w:szCs w:val="24"/>
        </w:rPr>
        <w:t xml:space="preserve"> van het begeleidende werkdocument van de diensten van de Commissie voor een gedetailleerd overzicht van de administratieve regelingen in de aan het EU-ETS deelnemende landen). Over het algemeen is de organisatie van de EU-ETS-administratie in de deelnemende landen in de loop van fase </w:t>
      </w:r>
      <w:r w:rsidRPr="00D4425F">
        <w:rPr>
          <w:rFonts w:ascii="Times New Roman" w:hAnsi="Times New Roman"/>
          <w:noProof/>
          <w:sz w:val="24"/>
          <w:szCs w:val="24"/>
        </w:rPr>
        <w:t>3</w:t>
      </w:r>
      <w:r>
        <w:rPr>
          <w:rFonts w:ascii="Times New Roman" w:hAnsi="Times New Roman"/>
          <w:noProof/>
          <w:sz w:val="24"/>
          <w:szCs w:val="24"/>
        </w:rPr>
        <w:t xml:space="preserve"> gro</w:t>
      </w:r>
      <w:r w:rsidR="00AD1EAB">
        <w:rPr>
          <w:rFonts w:ascii="Times New Roman" w:hAnsi="Times New Roman"/>
          <w:noProof/>
          <w:sz w:val="24"/>
          <w:szCs w:val="24"/>
        </w:rPr>
        <w:t>tendeels doeltreffend gebleken.</w:t>
      </w:r>
    </w:p>
    <w:p w14:paraId="3CB5BCEF" w14:textId="63DF544A" w:rsidR="009A2EF4" w:rsidRPr="00DA11F1" w:rsidRDefault="009A2EF4" w:rsidP="008E33DB">
      <w:pPr>
        <w:jc w:val="both"/>
        <w:rPr>
          <w:rFonts w:ascii="Times New Roman" w:hAnsi="Times New Roman"/>
          <w:noProof/>
          <w:sz w:val="24"/>
          <w:szCs w:val="24"/>
        </w:rPr>
      </w:pPr>
      <w:r>
        <w:rPr>
          <w:rFonts w:ascii="Times New Roman" w:hAnsi="Times New Roman"/>
          <w:noProof/>
          <w:sz w:val="24"/>
          <w:szCs w:val="24"/>
        </w:rPr>
        <w:t xml:space="preserve">Wat de nalevingsmaatregelen betreft, voorziet de EU-ETS-richtlijn in een boete van </w:t>
      </w:r>
      <w:r w:rsidRPr="00D4425F">
        <w:rPr>
          <w:rFonts w:ascii="Times New Roman" w:hAnsi="Times New Roman"/>
          <w:noProof/>
          <w:sz w:val="24"/>
          <w:szCs w:val="24"/>
        </w:rPr>
        <w:t>100</w:t>
      </w:r>
      <w:r>
        <w:rPr>
          <w:rFonts w:ascii="Times New Roman" w:hAnsi="Times New Roman"/>
          <w:noProof/>
          <w:sz w:val="24"/>
          <w:szCs w:val="24"/>
        </w:rPr>
        <w:t> EUR (geïndexeerd voor inflatie) voor elke ton uitgestoten CO</w:t>
      </w:r>
      <w:r w:rsidRPr="00D4425F">
        <w:rPr>
          <w:rFonts w:ascii="Times New Roman" w:hAnsi="Times New Roman"/>
          <w:noProof/>
          <w:sz w:val="24"/>
          <w:szCs w:val="24"/>
          <w:vertAlign w:val="subscript"/>
        </w:rPr>
        <w:t>2</w:t>
      </w:r>
      <w:r>
        <w:rPr>
          <w:rFonts w:ascii="Times New Roman" w:hAnsi="Times New Roman"/>
          <w:noProof/>
          <w:sz w:val="24"/>
          <w:szCs w:val="24"/>
        </w:rPr>
        <w:t xml:space="preserve"> waarvoor niet tijdig emissierechten zijn ingeleverd, bovenop de prijs van de inlevering. Andere sancties wegens inbreuken bij de uitvoering van het EU-ETS kunnen worden opgelegd op basis van de nationale bepalingen van het betrokken land (zie punt </w:t>
      </w:r>
      <w:r w:rsidRPr="00D4425F">
        <w:rPr>
          <w:rFonts w:ascii="Times New Roman" w:hAnsi="Times New Roman"/>
          <w:noProof/>
          <w:sz w:val="24"/>
          <w:szCs w:val="24"/>
        </w:rPr>
        <w:t>11</w:t>
      </w:r>
      <w:r>
        <w:rPr>
          <w:rFonts w:ascii="Times New Roman" w:hAnsi="Times New Roman"/>
          <w:noProof/>
          <w:sz w:val="24"/>
          <w:szCs w:val="24"/>
        </w:rPr>
        <w:t>.</w:t>
      </w:r>
      <w:r w:rsidRPr="00D4425F">
        <w:rPr>
          <w:rFonts w:ascii="Times New Roman" w:hAnsi="Times New Roman"/>
          <w:noProof/>
          <w:sz w:val="24"/>
          <w:szCs w:val="24"/>
        </w:rPr>
        <w:t>4</w:t>
      </w:r>
      <w:r>
        <w:rPr>
          <w:rFonts w:ascii="Times New Roman" w:hAnsi="Times New Roman"/>
          <w:noProof/>
          <w:sz w:val="24"/>
          <w:szCs w:val="24"/>
        </w:rPr>
        <w:t xml:space="preserve"> van aanhangsel </w:t>
      </w:r>
      <w:r w:rsidRPr="00D4425F">
        <w:rPr>
          <w:rFonts w:ascii="Times New Roman" w:hAnsi="Times New Roman"/>
          <w:noProof/>
          <w:sz w:val="24"/>
          <w:szCs w:val="24"/>
        </w:rPr>
        <w:t>11</w:t>
      </w:r>
      <w:r>
        <w:rPr>
          <w:rFonts w:ascii="Times New Roman" w:hAnsi="Times New Roman"/>
          <w:noProof/>
          <w:sz w:val="24"/>
          <w:szCs w:val="24"/>
        </w:rPr>
        <w:t xml:space="preserve"> van het begeleidende werkdocument van de diensten van de Commissie voor een gedetailleerd overzicht van de naleving van het EU-ETS in de deelnemende landen).</w:t>
      </w:r>
    </w:p>
    <w:p w14:paraId="231DDF83" w14:textId="1B16CDD9" w:rsidR="009A2EF4" w:rsidRPr="00DA11F1" w:rsidRDefault="009A2EF4" w:rsidP="008E33DB">
      <w:pPr>
        <w:jc w:val="both"/>
        <w:rPr>
          <w:rFonts w:ascii="Times New Roman" w:hAnsi="Times New Roman"/>
          <w:noProof/>
          <w:sz w:val="24"/>
          <w:szCs w:val="24"/>
        </w:rPr>
      </w:pPr>
      <w:r>
        <w:rPr>
          <w:rFonts w:ascii="Times New Roman" w:hAnsi="Times New Roman"/>
          <w:noProof/>
          <w:sz w:val="24"/>
          <w:szCs w:val="24"/>
        </w:rPr>
        <w:t>De nalevingsregeling is doeltreffender geworden, aangezien krachtens de MRV de landen elektronische rapportage kunnen verplichten. In fase </w:t>
      </w:r>
      <w:r w:rsidRPr="00D4425F">
        <w:rPr>
          <w:rFonts w:ascii="Times New Roman" w:hAnsi="Times New Roman"/>
          <w:noProof/>
          <w:sz w:val="24"/>
          <w:szCs w:val="24"/>
        </w:rPr>
        <w:t>3</w:t>
      </w:r>
      <w:r>
        <w:rPr>
          <w:rFonts w:ascii="Times New Roman" w:hAnsi="Times New Roman"/>
          <w:noProof/>
          <w:sz w:val="24"/>
          <w:szCs w:val="24"/>
        </w:rPr>
        <w:t xml:space="preserve"> meldde meer dan de helft van de aan het EU-ETS deelnemende landen dat zij voor hun monitoringplannen, emissieverslagen, verificatieverslagen en/of verbeteringsverslagen elektronische modellen gebruikten. De andere helft meldde dat zij voor de EU-ETS-rapportage een geautomatiseerd IT-systeem gebruikten.</w:t>
      </w:r>
    </w:p>
    <w:p w14:paraId="4C147164" w14:textId="71E82316" w:rsidR="009A2EF4" w:rsidRPr="00DA11F1" w:rsidRDefault="009A2EF4" w:rsidP="008E33DB">
      <w:pPr>
        <w:jc w:val="both"/>
        <w:rPr>
          <w:rFonts w:ascii="Times New Roman" w:eastAsia="Times New Roman" w:hAnsi="Times New Roman"/>
          <w:noProof/>
          <w:sz w:val="24"/>
          <w:szCs w:val="24"/>
        </w:rPr>
      </w:pPr>
      <w:r>
        <w:rPr>
          <w:rFonts w:ascii="Times New Roman" w:hAnsi="Times New Roman"/>
          <w:noProof/>
          <w:sz w:val="24"/>
          <w:szCs w:val="24"/>
        </w:rPr>
        <w:t>Ondanks de moeilijke economische situatie als gevolg van de COVID-</w:t>
      </w:r>
      <w:r w:rsidRPr="00D4425F">
        <w:rPr>
          <w:rFonts w:ascii="Times New Roman" w:hAnsi="Times New Roman"/>
          <w:noProof/>
          <w:sz w:val="24"/>
          <w:szCs w:val="24"/>
        </w:rPr>
        <w:t>19</w:t>
      </w:r>
      <w:r>
        <w:rPr>
          <w:rFonts w:ascii="Times New Roman" w:hAnsi="Times New Roman"/>
          <w:noProof/>
          <w:sz w:val="24"/>
          <w:szCs w:val="24"/>
        </w:rPr>
        <w:t xml:space="preserve">-crisis die van invloed is op de nalevingscycli van </w:t>
      </w:r>
      <w:r w:rsidRPr="00D4425F">
        <w:rPr>
          <w:rFonts w:ascii="Times New Roman" w:hAnsi="Times New Roman"/>
          <w:noProof/>
          <w:sz w:val="24"/>
          <w:szCs w:val="24"/>
        </w:rPr>
        <w:t>2020</w:t>
      </w:r>
      <w:r>
        <w:rPr>
          <w:rFonts w:ascii="Times New Roman" w:hAnsi="Times New Roman"/>
          <w:noProof/>
          <w:sz w:val="24"/>
          <w:szCs w:val="24"/>
        </w:rPr>
        <w:t xml:space="preserve"> en </w:t>
      </w:r>
      <w:r w:rsidRPr="00D4425F">
        <w:rPr>
          <w:rFonts w:ascii="Times New Roman" w:hAnsi="Times New Roman"/>
          <w:noProof/>
          <w:sz w:val="24"/>
          <w:szCs w:val="24"/>
        </w:rPr>
        <w:t>2021</w:t>
      </w:r>
      <w:r>
        <w:rPr>
          <w:rFonts w:ascii="Times New Roman" w:hAnsi="Times New Roman"/>
          <w:noProof/>
          <w:sz w:val="24"/>
          <w:szCs w:val="24"/>
        </w:rPr>
        <w:t>, bleef de naleving van het EU-ETS tijdens fase </w:t>
      </w:r>
      <w:r w:rsidRPr="00D4425F">
        <w:rPr>
          <w:rFonts w:ascii="Times New Roman" w:hAnsi="Times New Roman"/>
          <w:noProof/>
          <w:sz w:val="24"/>
          <w:szCs w:val="24"/>
        </w:rPr>
        <w:t>3</w:t>
      </w:r>
      <w:r>
        <w:rPr>
          <w:rFonts w:ascii="Times New Roman" w:hAnsi="Times New Roman"/>
          <w:noProof/>
          <w:sz w:val="24"/>
          <w:szCs w:val="24"/>
        </w:rPr>
        <w:t xml:space="preserve"> steeds op een zeer hoog niveau. De exploitanten die in de meeste jaren verantwoordelijk waren voor meer dan </w:t>
      </w:r>
      <w:r w:rsidRPr="00D4425F">
        <w:rPr>
          <w:rFonts w:ascii="Times New Roman" w:hAnsi="Times New Roman"/>
          <w:noProof/>
          <w:sz w:val="24"/>
          <w:szCs w:val="24"/>
        </w:rPr>
        <w:t>99</w:t>
      </w:r>
      <w:r>
        <w:rPr>
          <w:rFonts w:ascii="Times New Roman" w:hAnsi="Times New Roman"/>
          <w:noProof/>
          <w:sz w:val="24"/>
          <w:szCs w:val="24"/>
        </w:rPr>
        <w:t> % van de emissies van vaste installaties en de luchtvaart, voldeden aan</w:t>
      </w:r>
      <w:r w:rsidR="00AD1EAB">
        <w:rPr>
          <w:rFonts w:ascii="Times New Roman" w:hAnsi="Times New Roman"/>
          <w:noProof/>
          <w:sz w:val="24"/>
          <w:szCs w:val="24"/>
        </w:rPr>
        <w:t xml:space="preserve"> hun wettelijke verplichtingen.</w:t>
      </w:r>
    </w:p>
    <w:p w14:paraId="290DFE83" w14:textId="19C9CE5A" w:rsidR="00066EB2" w:rsidRPr="00DA11F1" w:rsidRDefault="00066EB2" w:rsidP="008E33DB">
      <w:pPr>
        <w:jc w:val="both"/>
        <w:rPr>
          <w:rFonts w:ascii="Times New Roman" w:eastAsia="Times New Roman" w:hAnsi="Times New Roman"/>
          <w:noProof/>
          <w:sz w:val="24"/>
          <w:szCs w:val="24"/>
          <w:lang w:eastAsia="de-DE"/>
        </w:rPr>
      </w:pPr>
    </w:p>
    <w:p w14:paraId="5802E480" w14:textId="4A2A92C9" w:rsidR="00B70767" w:rsidRPr="00DA11F1" w:rsidRDefault="005811CF" w:rsidP="008E33DB">
      <w:pPr>
        <w:jc w:val="both"/>
        <w:rPr>
          <w:rFonts w:ascii="Times New Roman" w:hAnsi="Times New Roman"/>
          <w:b/>
          <w:noProof/>
        </w:rPr>
      </w:pPr>
      <w:bookmarkStart w:id="69" w:name="_Toc89423481"/>
      <w:r w:rsidRPr="00D4425F">
        <w:rPr>
          <w:rStyle w:val="Heading1Char"/>
          <w:rFonts w:eastAsia="Calibri"/>
          <w:noProof/>
        </w:rPr>
        <w:t>7</w:t>
      </w:r>
      <w:r>
        <w:rPr>
          <w:rStyle w:val="Heading1Char"/>
          <w:rFonts w:eastAsia="Calibri"/>
          <w:noProof/>
        </w:rPr>
        <w:t>. DE KOPPELING TUSSEN HET EU-ETS EN HET ZWITSERSE ETS</w:t>
      </w:r>
      <w:bookmarkEnd w:id="69"/>
    </w:p>
    <w:p w14:paraId="3BA2367F" w14:textId="420905A2" w:rsidR="00AA1752" w:rsidRPr="00DA11F1" w:rsidRDefault="00B70767" w:rsidP="008E33DB">
      <w:pPr>
        <w:jc w:val="both"/>
        <w:rPr>
          <w:rFonts w:ascii="Times New Roman" w:eastAsia="SimSun" w:hAnsi="Times New Roman"/>
          <w:noProof/>
          <w:sz w:val="24"/>
          <w:szCs w:val="24"/>
        </w:rPr>
      </w:pPr>
      <w:r>
        <w:rPr>
          <w:rFonts w:ascii="Times New Roman" w:hAnsi="Times New Roman"/>
          <w:noProof/>
          <w:sz w:val="24"/>
          <w:szCs w:val="24"/>
        </w:rPr>
        <w:t xml:space="preserve">De onderhandelingen over de koppeling van het EU-ETS aan de koolstofmarkt van Zwitserland zijn afgerond tijdens de </w:t>
      </w:r>
      <w:r w:rsidRPr="00D4425F">
        <w:rPr>
          <w:rFonts w:ascii="Times New Roman" w:hAnsi="Times New Roman"/>
          <w:noProof/>
          <w:sz w:val="24"/>
          <w:szCs w:val="24"/>
        </w:rPr>
        <w:t>21</w:t>
      </w:r>
      <w:r w:rsidR="00AD1EAB">
        <w:rPr>
          <w:rFonts w:ascii="Times New Roman" w:hAnsi="Times New Roman"/>
          <w:noProof/>
          <w:sz w:val="24"/>
          <w:szCs w:val="24"/>
        </w:rPr>
        <w:t>e </w:t>
      </w:r>
      <w:r>
        <w:rPr>
          <w:rFonts w:ascii="Times New Roman" w:hAnsi="Times New Roman"/>
          <w:noProof/>
          <w:sz w:val="24"/>
          <w:szCs w:val="24"/>
        </w:rPr>
        <w:t>Conferentie van de Part</w:t>
      </w:r>
      <w:r w:rsidR="00AD1EAB">
        <w:rPr>
          <w:rFonts w:ascii="Times New Roman" w:hAnsi="Times New Roman"/>
          <w:noProof/>
          <w:sz w:val="24"/>
          <w:szCs w:val="24"/>
        </w:rPr>
        <w:t>ijen bij het UNFCCC in december </w:t>
      </w:r>
      <w:r w:rsidRPr="00D4425F">
        <w:rPr>
          <w:rFonts w:ascii="Times New Roman" w:hAnsi="Times New Roman"/>
          <w:noProof/>
          <w:sz w:val="24"/>
          <w:szCs w:val="24"/>
        </w:rPr>
        <w:t>2015</w:t>
      </w:r>
      <w:r>
        <w:rPr>
          <w:rFonts w:ascii="Times New Roman" w:hAnsi="Times New Roman"/>
          <w:noProof/>
          <w:sz w:val="24"/>
          <w:szCs w:val="24"/>
        </w:rPr>
        <w:t xml:space="preserve">. Op grond van Besluit (EU) </w:t>
      </w:r>
      <w:r w:rsidRPr="00D4425F">
        <w:rPr>
          <w:rFonts w:ascii="Times New Roman" w:hAnsi="Times New Roman"/>
          <w:noProof/>
          <w:sz w:val="24"/>
          <w:szCs w:val="24"/>
        </w:rPr>
        <w:t>2017</w:t>
      </w:r>
      <w:r>
        <w:rPr>
          <w:rFonts w:ascii="Times New Roman" w:hAnsi="Times New Roman"/>
          <w:noProof/>
          <w:sz w:val="24"/>
          <w:szCs w:val="24"/>
        </w:rPr>
        <w:t>/</w:t>
      </w:r>
      <w:r w:rsidRPr="00D4425F">
        <w:rPr>
          <w:rFonts w:ascii="Times New Roman" w:hAnsi="Times New Roman"/>
          <w:noProof/>
          <w:sz w:val="24"/>
          <w:szCs w:val="24"/>
        </w:rPr>
        <w:t>2240</w:t>
      </w:r>
      <w:r>
        <w:rPr>
          <w:rFonts w:ascii="Times New Roman" w:hAnsi="Times New Roman"/>
          <w:noProof/>
          <w:sz w:val="24"/>
          <w:szCs w:val="24"/>
        </w:rPr>
        <w:t xml:space="preserve"> van de Raad</w:t>
      </w:r>
      <w:r w:rsidRPr="00DA11F1">
        <w:rPr>
          <w:rFonts w:ascii="Times New Roman" w:eastAsia="SimSun" w:hAnsi="Times New Roman"/>
          <w:noProof/>
          <w:sz w:val="24"/>
          <w:szCs w:val="24"/>
          <w:vertAlign w:val="superscript"/>
          <w:lang w:eastAsia="zh-CN"/>
        </w:rPr>
        <w:footnoteReference w:id="109"/>
      </w:r>
      <w:r>
        <w:rPr>
          <w:rFonts w:ascii="Times New Roman" w:hAnsi="Times New Roman"/>
          <w:noProof/>
          <w:sz w:val="24"/>
          <w:szCs w:val="24"/>
        </w:rPr>
        <w:t xml:space="preserve"> is de koppelingsovereenkomst</w:t>
      </w:r>
      <w:r w:rsidRPr="00DA11F1">
        <w:rPr>
          <w:rFonts w:ascii="Times New Roman" w:eastAsia="SimSun" w:hAnsi="Times New Roman"/>
          <w:noProof/>
          <w:sz w:val="24"/>
          <w:szCs w:val="24"/>
          <w:vertAlign w:val="superscript"/>
          <w:lang w:eastAsia="zh-CN"/>
        </w:rPr>
        <w:footnoteReference w:id="110"/>
      </w:r>
      <w:r>
        <w:rPr>
          <w:rFonts w:ascii="Times New Roman" w:hAnsi="Times New Roman"/>
          <w:noProof/>
          <w:sz w:val="24"/>
          <w:szCs w:val="24"/>
        </w:rPr>
        <w:t xml:space="preserve"> ondertekend, voorlopig toegepast vanaf </w:t>
      </w:r>
      <w:r w:rsidRPr="00D4425F">
        <w:rPr>
          <w:rFonts w:ascii="Times New Roman" w:hAnsi="Times New Roman"/>
          <w:noProof/>
          <w:sz w:val="24"/>
          <w:szCs w:val="24"/>
        </w:rPr>
        <w:t>23</w:t>
      </w:r>
      <w:r>
        <w:rPr>
          <w:rFonts w:ascii="Times New Roman" w:hAnsi="Times New Roman"/>
          <w:noProof/>
          <w:sz w:val="24"/>
          <w:szCs w:val="24"/>
        </w:rPr>
        <w:t xml:space="preserve"> november </w:t>
      </w:r>
      <w:r w:rsidRPr="00D4425F">
        <w:rPr>
          <w:rFonts w:ascii="Times New Roman" w:hAnsi="Times New Roman"/>
          <w:noProof/>
          <w:sz w:val="24"/>
          <w:szCs w:val="24"/>
        </w:rPr>
        <w:t>2017</w:t>
      </w:r>
      <w:r>
        <w:rPr>
          <w:rFonts w:ascii="Times New Roman" w:hAnsi="Times New Roman"/>
          <w:noProof/>
          <w:sz w:val="24"/>
          <w:szCs w:val="24"/>
        </w:rPr>
        <w:t xml:space="preserve"> en namens de EU goedgekeurd bij Besluit (EU) </w:t>
      </w:r>
      <w:r w:rsidRPr="00D4425F">
        <w:rPr>
          <w:rFonts w:ascii="Times New Roman" w:hAnsi="Times New Roman"/>
          <w:noProof/>
          <w:sz w:val="24"/>
          <w:szCs w:val="24"/>
        </w:rPr>
        <w:t>2018</w:t>
      </w:r>
      <w:r>
        <w:rPr>
          <w:rFonts w:ascii="Times New Roman" w:hAnsi="Times New Roman"/>
          <w:noProof/>
          <w:sz w:val="24"/>
          <w:szCs w:val="24"/>
        </w:rPr>
        <w:t>/</w:t>
      </w:r>
      <w:r w:rsidRPr="00D4425F">
        <w:rPr>
          <w:rFonts w:ascii="Times New Roman" w:hAnsi="Times New Roman"/>
          <w:noProof/>
          <w:sz w:val="24"/>
          <w:szCs w:val="24"/>
        </w:rPr>
        <w:t>219</w:t>
      </w:r>
      <w:r>
        <w:rPr>
          <w:rFonts w:ascii="Times New Roman" w:hAnsi="Times New Roman"/>
          <w:noProof/>
          <w:sz w:val="24"/>
          <w:szCs w:val="24"/>
        </w:rPr>
        <w:t xml:space="preserve"> van de Raad</w:t>
      </w:r>
      <w:r w:rsidRPr="00DA11F1">
        <w:rPr>
          <w:rFonts w:ascii="Times New Roman" w:eastAsia="SimSun" w:hAnsi="Times New Roman"/>
          <w:noProof/>
          <w:sz w:val="24"/>
          <w:szCs w:val="24"/>
          <w:vertAlign w:val="superscript"/>
          <w:lang w:eastAsia="zh-CN"/>
        </w:rPr>
        <w:footnoteReference w:id="111"/>
      </w:r>
      <w:r>
        <w:rPr>
          <w:rFonts w:ascii="Times New Roman" w:hAnsi="Times New Roman"/>
          <w:noProof/>
          <w:sz w:val="24"/>
          <w:szCs w:val="24"/>
        </w:rPr>
        <w:t xml:space="preserve">. De EU en de Zwitserse Bondsstaat wisselden op </w:t>
      </w:r>
      <w:r w:rsidRPr="00D4425F">
        <w:rPr>
          <w:rFonts w:ascii="Times New Roman" w:hAnsi="Times New Roman"/>
          <w:noProof/>
          <w:sz w:val="24"/>
          <w:szCs w:val="24"/>
        </w:rPr>
        <w:t>6</w:t>
      </w:r>
      <w:r>
        <w:rPr>
          <w:rFonts w:ascii="Times New Roman" w:hAnsi="Times New Roman"/>
          <w:noProof/>
          <w:sz w:val="24"/>
          <w:szCs w:val="24"/>
        </w:rPr>
        <w:t xml:space="preserve"> december </w:t>
      </w:r>
      <w:r w:rsidRPr="00D4425F">
        <w:rPr>
          <w:rFonts w:ascii="Times New Roman" w:hAnsi="Times New Roman"/>
          <w:noProof/>
          <w:sz w:val="24"/>
          <w:szCs w:val="24"/>
        </w:rPr>
        <w:t>2019</w:t>
      </w:r>
      <w:r>
        <w:rPr>
          <w:rFonts w:ascii="Times New Roman" w:hAnsi="Times New Roman"/>
          <w:noProof/>
          <w:sz w:val="24"/>
          <w:szCs w:val="24"/>
        </w:rPr>
        <w:t xml:space="preserve"> de akten van bekrachtiging uit, nadat de Zwitserse Bondsstaat zijn ETS op </w:t>
      </w:r>
      <w:r w:rsidRPr="00D4425F">
        <w:rPr>
          <w:rFonts w:ascii="Times New Roman" w:hAnsi="Times New Roman"/>
          <w:noProof/>
          <w:sz w:val="24"/>
          <w:szCs w:val="24"/>
        </w:rPr>
        <w:t>5</w:t>
      </w:r>
      <w:r>
        <w:rPr>
          <w:rFonts w:ascii="Times New Roman" w:hAnsi="Times New Roman"/>
          <w:noProof/>
          <w:sz w:val="24"/>
          <w:szCs w:val="24"/>
        </w:rPr>
        <w:t xml:space="preserve"> december </w:t>
      </w:r>
      <w:r w:rsidRPr="00D4425F">
        <w:rPr>
          <w:rFonts w:ascii="Times New Roman" w:hAnsi="Times New Roman"/>
          <w:noProof/>
          <w:sz w:val="24"/>
          <w:szCs w:val="24"/>
        </w:rPr>
        <w:t>2019</w:t>
      </w:r>
      <w:r>
        <w:rPr>
          <w:rFonts w:ascii="Times New Roman" w:hAnsi="Times New Roman"/>
          <w:noProof/>
          <w:sz w:val="24"/>
          <w:szCs w:val="24"/>
        </w:rPr>
        <w:t xml:space="preserve"> bij Besluit nr. </w:t>
      </w:r>
      <w:r w:rsidRPr="00D4425F">
        <w:rPr>
          <w:rFonts w:ascii="Times New Roman" w:hAnsi="Times New Roman"/>
          <w:noProof/>
          <w:sz w:val="24"/>
          <w:szCs w:val="24"/>
        </w:rPr>
        <w:t>2</w:t>
      </w:r>
      <w:r>
        <w:rPr>
          <w:rFonts w:ascii="Times New Roman" w:hAnsi="Times New Roman"/>
          <w:noProof/>
          <w:sz w:val="24"/>
          <w:szCs w:val="24"/>
        </w:rPr>
        <w:t>/</w:t>
      </w:r>
      <w:r w:rsidRPr="00D4425F">
        <w:rPr>
          <w:rFonts w:ascii="Times New Roman" w:hAnsi="Times New Roman"/>
          <w:noProof/>
          <w:sz w:val="24"/>
          <w:szCs w:val="24"/>
        </w:rPr>
        <w:t>2019</w:t>
      </w:r>
      <w:r w:rsidR="006F0522" w:rsidRPr="00DA11F1">
        <w:rPr>
          <w:rFonts w:ascii="Times New Roman" w:eastAsia="SimSun" w:hAnsi="Times New Roman"/>
          <w:noProof/>
          <w:sz w:val="24"/>
          <w:szCs w:val="24"/>
          <w:vertAlign w:val="superscript"/>
          <w:lang w:eastAsia="zh-CN"/>
        </w:rPr>
        <w:footnoteReference w:id="112"/>
      </w:r>
      <w:r>
        <w:rPr>
          <w:rFonts w:ascii="Times New Roman" w:hAnsi="Times New Roman"/>
          <w:noProof/>
          <w:sz w:val="24"/>
          <w:szCs w:val="24"/>
        </w:rPr>
        <w:t xml:space="preserve"> had uitgebreid tot de luchtvaart. Bijgevolg is de koppelingsovereenkomst op </w:t>
      </w:r>
      <w:r w:rsidRPr="00D4425F">
        <w:rPr>
          <w:rFonts w:ascii="Times New Roman" w:hAnsi="Times New Roman"/>
          <w:noProof/>
          <w:sz w:val="24"/>
          <w:szCs w:val="24"/>
        </w:rPr>
        <w:t>1</w:t>
      </w:r>
      <w:r>
        <w:rPr>
          <w:rFonts w:ascii="Times New Roman" w:hAnsi="Times New Roman"/>
          <w:noProof/>
          <w:sz w:val="24"/>
          <w:szCs w:val="24"/>
        </w:rPr>
        <w:t xml:space="preserve"> januari </w:t>
      </w:r>
      <w:r w:rsidRPr="00D4425F">
        <w:rPr>
          <w:rFonts w:ascii="Times New Roman" w:hAnsi="Times New Roman"/>
          <w:noProof/>
          <w:sz w:val="24"/>
          <w:szCs w:val="24"/>
        </w:rPr>
        <w:t>2020</w:t>
      </w:r>
      <w:r>
        <w:rPr>
          <w:rFonts w:ascii="Times New Roman" w:hAnsi="Times New Roman"/>
          <w:noProof/>
          <w:sz w:val="24"/>
          <w:szCs w:val="24"/>
        </w:rPr>
        <w:t xml:space="preserve"> in werking getreden</w:t>
      </w:r>
      <w:r w:rsidRPr="00DA11F1">
        <w:rPr>
          <w:rFonts w:ascii="Times New Roman" w:eastAsia="SimSun" w:hAnsi="Times New Roman"/>
          <w:noProof/>
          <w:sz w:val="24"/>
          <w:szCs w:val="24"/>
          <w:vertAlign w:val="superscript"/>
          <w:lang w:eastAsia="zh-CN"/>
        </w:rPr>
        <w:footnoteReference w:id="113"/>
      </w:r>
      <w:r>
        <w:rPr>
          <w:rFonts w:ascii="Times New Roman" w:hAnsi="Times New Roman"/>
          <w:noProof/>
          <w:sz w:val="24"/>
          <w:szCs w:val="24"/>
        </w:rPr>
        <w:t xml:space="preserve">. Sindsdien vallen de emissies in </w:t>
      </w:r>
      <w:r w:rsidRPr="00D4425F">
        <w:rPr>
          <w:rFonts w:ascii="Times New Roman" w:hAnsi="Times New Roman"/>
          <w:noProof/>
          <w:sz w:val="24"/>
          <w:szCs w:val="24"/>
        </w:rPr>
        <w:t>2020</w:t>
      </w:r>
      <w:r>
        <w:rPr>
          <w:rFonts w:ascii="Times New Roman" w:hAnsi="Times New Roman"/>
          <w:noProof/>
          <w:sz w:val="24"/>
          <w:szCs w:val="24"/>
        </w:rPr>
        <w:t xml:space="preserve"> in het EU-ETS en het Zwitserse ETS ond</w:t>
      </w:r>
      <w:r w:rsidR="00AD1EAB">
        <w:rPr>
          <w:rFonts w:ascii="Times New Roman" w:hAnsi="Times New Roman"/>
          <w:noProof/>
          <w:sz w:val="24"/>
          <w:szCs w:val="24"/>
        </w:rPr>
        <w:t>er de gekoppelde systemen.</w:t>
      </w:r>
    </w:p>
    <w:p w14:paraId="4EBA42A9" w14:textId="052EC26A" w:rsidR="00ED4EB3" w:rsidRPr="00DA11F1" w:rsidRDefault="00B70767" w:rsidP="008E33DB">
      <w:pPr>
        <w:jc w:val="both"/>
        <w:rPr>
          <w:rFonts w:ascii="Times New Roman" w:eastAsia="SimSun" w:hAnsi="Times New Roman"/>
          <w:noProof/>
          <w:sz w:val="24"/>
          <w:szCs w:val="24"/>
        </w:rPr>
      </w:pPr>
      <w:r>
        <w:rPr>
          <w:rFonts w:ascii="Times New Roman" w:hAnsi="Times New Roman"/>
          <w:noProof/>
          <w:sz w:val="24"/>
          <w:szCs w:val="24"/>
        </w:rPr>
        <w:t>De koppelingsovereenkomst doet geen afbreuk aan het onafhankelijke karakter van het EU-ETS en het Zwitserse ETS. Beide systemen blijven onafhankelijk, in tegenstelling tot de systemen van IJsland, Liechtenstein en Noorwegen, die volledig in het EU-ETS zijn geïntegreerd door middel van de mechanismen waarin de EER-overeenkomst voorziet. In de koppelingsovereenkomst zijn de voorwaarden en eisen vastgelegd waaronder de twee systemen aan elkaar gekoppeld zijn en wordt het mechanisme vastgesteld dat nodig is om ervoor te zorgen dat aan de koppelingsvoorwaarden van artikel </w:t>
      </w:r>
      <w:r w:rsidRPr="00D4425F">
        <w:rPr>
          <w:rFonts w:ascii="Times New Roman" w:hAnsi="Times New Roman"/>
          <w:noProof/>
          <w:sz w:val="24"/>
          <w:szCs w:val="24"/>
        </w:rPr>
        <w:t>25</w:t>
      </w:r>
      <w:r>
        <w:rPr>
          <w:rFonts w:ascii="Times New Roman" w:hAnsi="Times New Roman"/>
          <w:noProof/>
          <w:sz w:val="24"/>
          <w:szCs w:val="24"/>
        </w:rPr>
        <w:t xml:space="preserve"> van de EU-ETS-richtlijn</w:t>
      </w:r>
      <w:r w:rsidRPr="00DA11F1">
        <w:rPr>
          <w:rFonts w:ascii="Times New Roman" w:eastAsia="SimSun" w:hAnsi="Times New Roman"/>
          <w:noProof/>
          <w:sz w:val="24"/>
          <w:szCs w:val="24"/>
          <w:vertAlign w:val="superscript"/>
          <w:lang w:eastAsia="zh-CN"/>
        </w:rPr>
        <w:footnoteReference w:id="114"/>
      </w:r>
      <w:r>
        <w:rPr>
          <w:rFonts w:ascii="Times New Roman" w:hAnsi="Times New Roman"/>
          <w:noProof/>
          <w:sz w:val="24"/>
          <w:szCs w:val="24"/>
        </w:rPr>
        <w:t xml:space="preserve"> wordt voldaan.</w:t>
      </w:r>
    </w:p>
    <w:p w14:paraId="44DFBFD6" w14:textId="0667A69E" w:rsidR="00ED4EB3" w:rsidRPr="00DA11F1" w:rsidRDefault="00B70767" w:rsidP="008E33DB">
      <w:pPr>
        <w:jc w:val="both"/>
        <w:rPr>
          <w:rFonts w:ascii="Times New Roman" w:eastAsia="SimSun" w:hAnsi="Times New Roman"/>
          <w:noProof/>
          <w:sz w:val="24"/>
          <w:szCs w:val="24"/>
        </w:rPr>
      </w:pPr>
      <w:r>
        <w:rPr>
          <w:rFonts w:ascii="Times New Roman" w:hAnsi="Times New Roman"/>
          <w:noProof/>
          <w:sz w:val="24"/>
          <w:szCs w:val="24"/>
        </w:rPr>
        <w:t>De opname van de luchtvaart in de koppelingsovereenkomst was voor de EU een essentiële voorwaarde. Op basis van artikel </w:t>
      </w:r>
      <w:r w:rsidRPr="00D4425F">
        <w:rPr>
          <w:rFonts w:ascii="Times New Roman" w:hAnsi="Times New Roman"/>
          <w:noProof/>
          <w:sz w:val="24"/>
          <w:szCs w:val="24"/>
        </w:rPr>
        <w:t>6</w:t>
      </w:r>
      <w:r>
        <w:rPr>
          <w:rFonts w:ascii="Times New Roman" w:hAnsi="Times New Roman"/>
          <w:noProof/>
          <w:sz w:val="24"/>
          <w:szCs w:val="24"/>
        </w:rPr>
        <w:t xml:space="preserve"> van de overeenkomst hanteert Zwitserland dezelfde aanpak als het EU-ETS wat het toepassingsgebied, het plafond en de toewijzing van emissierechten betreft. Zwitserse binnenlandse vluchten en vluchten vanuit Zwitserland naar de EER vallen onder het Zwitserse ETS, terwijl vluchten vanuit de EER naar Zwitserland onder het EU-ETS vallen. Hierdoor kan de koppelingsovereenkomst bijdragen tot de milieu-integriteit van zowel het EU-ETS als het ETS van Zwitserland. </w:t>
      </w:r>
    </w:p>
    <w:p w14:paraId="4F5C3228" w14:textId="63102A65" w:rsidR="00B70767" w:rsidRPr="00DA11F1" w:rsidRDefault="005B6D58" w:rsidP="008E33DB">
      <w:pPr>
        <w:jc w:val="both"/>
        <w:rPr>
          <w:rFonts w:ascii="Times New Roman" w:eastAsia="SimSun" w:hAnsi="Times New Roman"/>
          <w:noProof/>
          <w:sz w:val="24"/>
          <w:szCs w:val="24"/>
        </w:rPr>
      </w:pPr>
      <w:r>
        <w:rPr>
          <w:rFonts w:ascii="Times New Roman" w:hAnsi="Times New Roman"/>
          <w:noProof/>
          <w:sz w:val="24"/>
          <w:szCs w:val="24"/>
        </w:rPr>
        <w:t xml:space="preserve">Zoals te zien is in </w:t>
      </w:r>
      <w:r w:rsidR="00E14169" w:rsidRPr="00DA11F1">
        <w:rPr>
          <w:rFonts w:ascii="Times New Roman" w:eastAsia="SimSun" w:hAnsi="Times New Roman"/>
          <w:noProof/>
          <w:sz w:val="24"/>
          <w:szCs w:val="24"/>
        </w:rPr>
        <w:fldChar w:fldCharType="begin"/>
      </w:r>
      <w:r w:rsidR="00E14169" w:rsidRPr="00DA11F1">
        <w:rPr>
          <w:rFonts w:ascii="Times New Roman" w:eastAsia="SimSun" w:hAnsi="Times New Roman"/>
          <w:noProof/>
          <w:sz w:val="24"/>
          <w:szCs w:val="24"/>
        </w:rPr>
        <w:instrText xml:space="preserve"> REF _Ref85055025  \* MERGEFORMAT </w:instrText>
      </w:r>
      <w:r w:rsidR="00E14169" w:rsidRPr="00DA11F1">
        <w:rPr>
          <w:rFonts w:ascii="Times New Roman" w:eastAsia="SimSun" w:hAnsi="Times New Roman"/>
          <w:noProof/>
          <w:sz w:val="24"/>
          <w:szCs w:val="24"/>
        </w:rPr>
        <w:fldChar w:fldCharType="separate"/>
      </w:r>
      <w:r w:rsidR="00E14169" w:rsidRPr="00DA11F1">
        <w:rPr>
          <w:rFonts w:ascii="Times New Roman" w:hAnsi="Times New Roman"/>
          <w:noProof/>
          <w:sz w:val="24"/>
          <w:szCs w:val="24"/>
        </w:rPr>
        <w:t>Tab</w:t>
      </w:r>
      <w:r w:rsidR="00AD1EAB">
        <w:rPr>
          <w:rFonts w:ascii="Times New Roman" w:hAnsi="Times New Roman"/>
          <w:noProof/>
          <w:sz w:val="24"/>
          <w:szCs w:val="24"/>
        </w:rPr>
        <w:t>e</w:t>
      </w:r>
      <w:r w:rsidR="00E14169" w:rsidRPr="00DA11F1">
        <w:rPr>
          <w:rFonts w:ascii="Times New Roman" w:hAnsi="Times New Roman"/>
          <w:noProof/>
          <w:sz w:val="24"/>
          <w:szCs w:val="24"/>
        </w:rPr>
        <w:t>l</w:t>
      </w:r>
      <w:r w:rsidR="00AD1EAB">
        <w:rPr>
          <w:rFonts w:ascii="Times New Roman" w:hAnsi="Times New Roman"/>
          <w:noProof/>
          <w:sz w:val="24"/>
          <w:szCs w:val="24"/>
        </w:rPr>
        <w:t> </w:t>
      </w:r>
      <w:r w:rsidR="00E14169" w:rsidRPr="00D4425F">
        <w:rPr>
          <w:rFonts w:ascii="Times New Roman" w:hAnsi="Times New Roman"/>
          <w:noProof/>
          <w:sz w:val="24"/>
          <w:szCs w:val="24"/>
        </w:rPr>
        <w:t>7</w:t>
      </w:r>
      <w:r w:rsidR="00E14169" w:rsidRPr="00DA11F1">
        <w:rPr>
          <w:rFonts w:ascii="Times New Roman" w:eastAsia="SimSun" w:hAnsi="Times New Roman"/>
          <w:noProof/>
          <w:sz w:val="24"/>
          <w:szCs w:val="24"/>
        </w:rPr>
        <w:fldChar w:fldCharType="end"/>
      </w:r>
      <w:r>
        <w:rPr>
          <w:rFonts w:ascii="Times New Roman" w:hAnsi="Times New Roman"/>
          <w:noProof/>
          <w:sz w:val="24"/>
          <w:szCs w:val="24"/>
        </w:rPr>
        <w:t xml:space="preserve">, is de compatibiliteit van de twee systemen geen kwestie van omvang, maar een kwestie van kwalitatieve eisen en overwegingen om de integriteit van de gekoppelde koolstofmarkten en het gelijke speelveld voor exploitanten te waarborgen. </w:t>
      </w:r>
    </w:p>
    <w:p w14:paraId="0C2480CA" w14:textId="288A5B8F" w:rsidR="00E14169" w:rsidRPr="00DA11F1" w:rsidRDefault="00E14169" w:rsidP="008E33DB">
      <w:pPr>
        <w:pStyle w:val="Caption"/>
        <w:keepNext/>
        <w:rPr>
          <w:rFonts w:ascii="Times New Roman" w:hAnsi="Times New Roman"/>
          <w:noProof/>
          <w:sz w:val="22"/>
        </w:rPr>
      </w:pPr>
      <w:bookmarkStart w:id="70" w:name="_Ref85055025"/>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76166" w:rsidRPr="00D4425F">
        <w:rPr>
          <w:rFonts w:ascii="Times New Roman" w:hAnsi="Times New Roman"/>
          <w:noProof/>
          <w:sz w:val="22"/>
        </w:rPr>
        <w:t>7</w:t>
      </w:r>
      <w:r w:rsidRPr="00DA11F1">
        <w:rPr>
          <w:rFonts w:ascii="Times New Roman" w:hAnsi="Times New Roman"/>
          <w:noProof/>
          <w:sz w:val="22"/>
        </w:rPr>
        <w:fldChar w:fldCharType="end"/>
      </w:r>
      <w:bookmarkEnd w:id="70"/>
      <w:r>
        <w:rPr>
          <w:noProof/>
        </w:rPr>
        <w:t>.</w:t>
      </w:r>
      <w:r>
        <w:rPr>
          <w:rFonts w:ascii="Times New Roman" w:hAnsi="Times New Roman"/>
          <w:noProof/>
          <w:sz w:val="22"/>
        </w:rPr>
        <w:t xml:space="preserve"> Vergelijking van het EU-ETS en het Zwitserse ETS</w:t>
      </w:r>
    </w:p>
    <w:tbl>
      <w:tblPr>
        <w:tblStyle w:val="TableGrid71"/>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26"/>
        <w:gridCol w:w="1856"/>
        <w:gridCol w:w="1802"/>
        <w:gridCol w:w="1802"/>
        <w:gridCol w:w="1856"/>
      </w:tblGrid>
      <w:tr w:rsidR="00ED4EB3" w:rsidRPr="00DA11F1" w14:paraId="7B507A37" w14:textId="77777777" w:rsidTr="00473D74">
        <w:tc>
          <w:tcPr>
            <w:tcW w:w="2518" w:type="dxa"/>
            <w:tcBorders>
              <w:top w:val="double" w:sz="4" w:space="0" w:color="auto"/>
              <w:left w:val="double" w:sz="4" w:space="0" w:color="auto"/>
              <w:bottom w:val="double" w:sz="4" w:space="0" w:color="auto"/>
              <w:right w:val="double" w:sz="4" w:space="0" w:color="auto"/>
            </w:tcBorders>
            <w:vAlign w:val="center"/>
          </w:tcPr>
          <w:p w14:paraId="38C80B21" w14:textId="77777777" w:rsidR="00ED4EB3" w:rsidRPr="00DA11F1" w:rsidRDefault="00ED4EB3" w:rsidP="00473D74">
            <w:pPr>
              <w:spacing w:line="276" w:lineRule="auto"/>
              <w:rPr>
                <w:rFonts w:ascii="Times New Roman" w:eastAsia="SimSun" w:hAnsi="Times New Roman"/>
                <w:noProof/>
                <w:sz w:val="20"/>
                <w:szCs w:val="20"/>
              </w:rPr>
            </w:pPr>
          </w:p>
        </w:tc>
        <w:tc>
          <w:tcPr>
            <w:tcW w:w="3066" w:type="dxa"/>
            <w:gridSpan w:val="2"/>
            <w:tcBorders>
              <w:top w:val="double" w:sz="4" w:space="0" w:color="auto"/>
              <w:left w:val="double" w:sz="4" w:space="0" w:color="auto"/>
              <w:bottom w:val="double" w:sz="4" w:space="0" w:color="auto"/>
              <w:right w:val="double" w:sz="4" w:space="0" w:color="auto"/>
            </w:tcBorders>
            <w:vAlign w:val="center"/>
            <w:hideMark/>
          </w:tcPr>
          <w:p w14:paraId="6D5FB03A" w14:textId="77777777" w:rsidR="00ED4EB3" w:rsidRPr="00DA11F1" w:rsidRDefault="00ED4EB3" w:rsidP="00473D74">
            <w:pPr>
              <w:spacing w:line="276" w:lineRule="auto"/>
              <w:jc w:val="center"/>
              <w:rPr>
                <w:rFonts w:ascii="Times New Roman" w:hAnsi="Times New Roman"/>
                <w:b/>
                <w:noProof/>
                <w:sz w:val="20"/>
                <w:szCs w:val="20"/>
              </w:rPr>
            </w:pPr>
            <w:r>
              <w:rPr>
                <w:rFonts w:ascii="Times New Roman" w:hAnsi="Times New Roman"/>
                <w:b/>
                <w:noProof/>
                <w:sz w:val="20"/>
                <w:szCs w:val="20"/>
              </w:rPr>
              <w:t>EU-ETS</w:t>
            </w:r>
          </w:p>
        </w:tc>
        <w:tc>
          <w:tcPr>
            <w:tcW w:w="3658" w:type="dxa"/>
            <w:gridSpan w:val="2"/>
            <w:tcBorders>
              <w:top w:val="double" w:sz="4" w:space="0" w:color="auto"/>
              <w:left w:val="double" w:sz="4" w:space="0" w:color="auto"/>
              <w:bottom w:val="double" w:sz="4" w:space="0" w:color="auto"/>
              <w:right w:val="double" w:sz="4" w:space="0" w:color="auto"/>
            </w:tcBorders>
            <w:vAlign w:val="center"/>
            <w:hideMark/>
          </w:tcPr>
          <w:p w14:paraId="0AF8869A" w14:textId="77777777" w:rsidR="00ED4EB3" w:rsidRPr="00DA11F1" w:rsidRDefault="00ED4EB3" w:rsidP="00473D74">
            <w:pPr>
              <w:spacing w:line="276" w:lineRule="auto"/>
              <w:jc w:val="center"/>
              <w:rPr>
                <w:rFonts w:ascii="Times New Roman" w:hAnsi="Times New Roman"/>
                <w:b/>
                <w:noProof/>
                <w:sz w:val="20"/>
                <w:szCs w:val="20"/>
                <w:highlight w:val="yellow"/>
              </w:rPr>
            </w:pPr>
            <w:r>
              <w:rPr>
                <w:rFonts w:ascii="Times New Roman" w:hAnsi="Times New Roman"/>
                <w:b/>
                <w:noProof/>
                <w:sz w:val="20"/>
                <w:szCs w:val="20"/>
              </w:rPr>
              <w:t>Zwitsers ETS</w:t>
            </w:r>
          </w:p>
        </w:tc>
      </w:tr>
      <w:tr w:rsidR="00ED4EB3" w:rsidRPr="00DA11F1" w14:paraId="34854B45" w14:textId="77777777" w:rsidTr="00473D74">
        <w:tc>
          <w:tcPr>
            <w:tcW w:w="2518" w:type="dxa"/>
            <w:tcBorders>
              <w:top w:val="double" w:sz="4" w:space="0" w:color="auto"/>
              <w:left w:val="double" w:sz="4" w:space="0" w:color="auto"/>
              <w:bottom w:val="double" w:sz="4" w:space="0" w:color="auto"/>
              <w:right w:val="double" w:sz="4" w:space="0" w:color="auto"/>
            </w:tcBorders>
            <w:vAlign w:val="center"/>
            <w:hideMark/>
          </w:tcPr>
          <w:p w14:paraId="596D79A1" w14:textId="77777777" w:rsidR="00ED4EB3" w:rsidRPr="00DA11F1" w:rsidRDefault="00ED4EB3" w:rsidP="00473D74">
            <w:pPr>
              <w:spacing w:line="276" w:lineRule="auto"/>
              <w:rPr>
                <w:rFonts w:ascii="Times New Roman" w:hAnsi="Times New Roman"/>
                <w:b/>
                <w:noProof/>
                <w:sz w:val="20"/>
                <w:szCs w:val="20"/>
              </w:rPr>
            </w:pPr>
            <w:r>
              <w:rPr>
                <w:rFonts w:ascii="Times New Roman" w:hAnsi="Times New Roman"/>
                <w:b/>
                <w:noProof/>
                <w:sz w:val="20"/>
                <w:szCs w:val="20"/>
              </w:rPr>
              <w:t xml:space="preserve">Aantal geveilde algemene emissierechten in </w:t>
            </w:r>
            <w:r w:rsidRPr="00D4425F">
              <w:rPr>
                <w:rFonts w:ascii="Times New Roman" w:hAnsi="Times New Roman"/>
                <w:b/>
                <w:noProof/>
                <w:sz w:val="20"/>
                <w:szCs w:val="20"/>
              </w:rPr>
              <w:t>2020</w:t>
            </w:r>
          </w:p>
        </w:tc>
        <w:tc>
          <w:tcPr>
            <w:tcW w:w="3066" w:type="dxa"/>
            <w:gridSpan w:val="2"/>
            <w:tcBorders>
              <w:top w:val="double" w:sz="4" w:space="0" w:color="auto"/>
              <w:left w:val="double" w:sz="4" w:space="0" w:color="auto"/>
              <w:bottom w:val="double" w:sz="4" w:space="0" w:color="auto"/>
              <w:right w:val="double" w:sz="4" w:space="0" w:color="auto"/>
            </w:tcBorders>
            <w:vAlign w:val="center"/>
            <w:hideMark/>
          </w:tcPr>
          <w:p w14:paraId="57DFF3D2" w14:textId="0510E559" w:rsidR="00ED4EB3" w:rsidRPr="00DA11F1" w:rsidRDefault="00D5706E" w:rsidP="00473D74">
            <w:pPr>
              <w:spacing w:line="276" w:lineRule="auto"/>
              <w:rPr>
                <w:rFonts w:ascii="Times New Roman" w:hAnsi="Times New Roman"/>
                <w:noProof/>
                <w:sz w:val="20"/>
                <w:szCs w:val="20"/>
              </w:rPr>
            </w:pPr>
            <w:r w:rsidRPr="00D4425F">
              <w:rPr>
                <w:rFonts w:ascii="Times New Roman" w:hAnsi="Times New Roman"/>
                <w:noProof/>
                <w:sz w:val="20"/>
                <w:szCs w:val="20"/>
              </w:rPr>
              <w:t>778</w:t>
            </w:r>
            <w:r>
              <w:rPr>
                <w:rFonts w:ascii="Times New Roman" w:hAnsi="Times New Roman"/>
                <w:noProof/>
                <w:sz w:val="20"/>
                <w:szCs w:val="20"/>
              </w:rPr>
              <w:t> </w:t>
            </w:r>
            <w:r w:rsidRPr="00D4425F">
              <w:rPr>
                <w:rFonts w:ascii="Times New Roman" w:hAnsi="Times New Roman"/>
                <w:noProof/>
                <w:sz w:val="20"/>
                <w:szCs w:val="20"/>
              </w:rPr>
              <w:t>505</w:t>
            </w:r>
            <w:r>
              <w:rPr>
                <w:rFonts w:ascii="Times New Roman" w:hAnsi="Times New Roman"/>
                <w:noProof/>
                <w:sz w:val="20"/>
                <w:szCs w:val="20"/>
              </w:rPr>
              <w:t> </w:t>
            </w:r>
            <w:r w:rsidRPr="00D4425F">
              <w:rPr>
                <w:rFonts w:ascii="Times New Roman" w:hAnsi="Times New Roman"/>
                <w:noProof/>
                <w:sz w:val="20"/>
                <w:szCs w:val="20"/>
              </w:rPr>
              <w:t>000</w:t>
            </w:r>
          </w:p>
        </w:tc>
        <w:tc>
          <w:tcPr>
            <w:tcW w:w="3658" w:type="dxa"/>
            <w:gridSpan w:val="2"/>
            <w:tcBorders>
              <w:top w:val="double" w:sz="4" w:space="0" w:color="auto"/>
              <w:left w:val="double" w:sz="4" w:space="0" w:color="auto"/>
              <w:bottom w:val="double" w:sz="4" w:space="0" w:color="auto"/>
              <w:right w:val="double" w:sz="4" w:space="0" w:color="auto"/>
            </w:tcBorders>
            <w:vAlign w:val="center"/>
            <w:hideMark/>
          </w:tcPr>
          <w:p w14:paraId="4599B36E" w14:textId="46AB1DDD" w:rsidR="00ED4EB3" w:rsidRPr="00DA11F1" w:rsidRDefault="00ED4EB3" w:rsidP="00473D74">
            <w:pPr>
              <w:spacing w:line="276" w:lineRule="auto"/>
              <w:rPr>
                <w:rFonts w:ascii="Times New Roman" w:hAnsi="Times New Roman"/>
                <w:noProof/>
                <w:sz w:val="20"/>
                <w:szCs w:val="20"/>
                <w:highlight w:val="yellow"/>
              </w:rPr>
            </w:pPr>
            <w:r w:rsidRPr="00D4425F">
              <w:rPr>
                <w:rFonts w:ascii="Times New Roman" w:hAnsi="Times New Roman"/>
                <w:noProof/>
                <w:sz w:val="20"/>
                <w:szCs w:val="20"/>
              </w:rPr>
              <w:t>265</w:t>
            </w:r>
            <w:r>
              <w:rPr>
                <w:rFonts w:ascii="Times New Roman" w:hAnsi="Times New Roman"/>
                <w:noProof/>
                <w:sz w:val="20"/>
                <w:szCs w:val="20"/>
              </w:rPr>
              <w:t> </w:t>
            </w:r>
            <w:r w:rsidRPr="00D4425F">
              <w:rPr>
                <w:rFonts w:ascii="Times New Roman" w:hAnsi="Times New Roman"/>
                <w:noProof/>
                <w:sz w:val="20"/>
                <w:szCs w:val="20"/>
              </w:rPr>
              <w:t>000</w:t>
            </w:r>
            <w:r>
              <w:rPr>
                <w:rFonts w:ascii="Times New Roman" w:hAnsi="Times New Roman"/>
                <w:noProof/>
                <w:sz w:val="20"/>
                <w:szCs w:val="20"/>
              </w:rPr>
              <w:t xml:space="preserve"> (waarvan </w:t>
            </w:r>
            <w:r w:rsidRPr="00D4425F">
              <w:rPr>
                <w:rFonts w:ascii="Times New Roman" w:hAnsi="Times New Roman"/>
                <w:noProof/>
                <w:sz w:val="20"/>
                <w:szCs w:val="20"/>
              </w:rPr>
              <w:t>175</w:t>
            </w:r>
            <w:r>
              <w:rPr>
                <w:rFonts w:ascii="Times New Roman" w:hAnsi="Times New Roman"/>
                <w:noProof/>
                <w:sz w:val="20"/>
                <w:szCs w:val="20"/>
              </w:rPr>
              <w:t> </w:t>
            </w:r>
            <w:r w:rsidRPr="00D4425F">
              <w:rPr>
                <w:rFonts w:ascii="Times New Roman" w:hAnsi="Times New Roman"/>
                <w:noProof/>
                <w:sz w:val="20"/>
                <w:szCs w:val="20"/>
              </w:rPr>
              <w:t>000</w:t>
            </w:r>
            <w:r>
              <w:rPr>
                <w:rFonts w:ascii="Times New Roman" w:hAnsi="Times New Roman"/>
                <w:noProof/>
                <w:sz w:val="20"/>
                <w:szCs w:val="20"/>
              </w:rPr>
              <w:t xml:space="preserve"> geveild in </w:t>
            </w:r>
            <w:r w:rsidRPr="00D4425F">
              <w:rPr>
                <w:rFonts w:ascii="Times New Roman" w:hAnsi="Times New Roman"/>
                <w:noProof/>
                <w:sz w:val="20"/>
                <w:szCs w:val="20"/>
              </w:rPr>
              <w:t>2021</w:t>
            </w:r>
            <w:r>
              <w:rPr>
                <w:rFonts w:ascii="Times New Roman" w:hAnsi="Times New Roman"/>
                <w:noProof/>
                <w:sz w:val="20"/>
                <w:szCs w:val="20"/>
              </w:rPr>
              <w:t xml:space="preserve"> vanwege annulering van veilingen in </w:t>
            </w:r>
            <w:r w:rsidRPr="00D4425F">
              <w:rPr>
                <w:rFonts w:ascii="Times New Roman" w:hAnsi="Times New Roman"/>
                <w:noProof/>
                <w:sz w:val="20"/>
                <w:szCs w:val="20"/>
              </w:rPr>
              <w:t>2020</w:t>
            </w:r>
            <w:r>
              <w:rPr>
                <w:rFonts w:ascii="Times New Roman" w:hAnsi="Times New Roman"/>
                <w:noProof/>
                <w:sz w:val="20"/>
                <w:szCs w:val="20"/>
              </w:rPr>
              <w:t>)</w:t>
            </w:r>
          </w:p>
        </w:tc>
      </w:tr>
      <w:tr w:rsidR="00ED4EB3" w:rsidRPr="00DA11F1" w14:paraId="52A990A9" w14:textId="77777777" w:rsidTr="00473D74">
        <w:tc>
          <w:tcPr>
            <w:tcW w:w="2518" w:type="dxa"/>
            <w:tcBorders>
              <w:top w:val="double" w:sz="4" w:space="0" w:color="auto"/>
              <w:left w:val="double" w:sz="4" w:space="0" w:color="auto"/>
              <w:bottom w:val="double" w:sz="4" w:space="0" w:color="auto"/>
              <w:right w:val="double" w:sz="4" w:space="0" w:color="auto"/>
            </w:tcBorders>
            <w:vAlign w:val="center"/>
            <w:hideMark/>
          </w:tcPr>
          <w:p w14:paraId="78A55467" w14:textId="77777777" w:rsidR="00ED4EB3" w:rsidRPr="00DA11F1" w:rsidRDefault="00ED4EB3" w:rsidP="00473D74">
            <w:pPr>
              <w:spacing w:line="276" w:lineRule="auto"/>
              <w:rPr>
                <w:rFonts w:ascii="Times New Roman" w:hAnsi="Times New Roman"/>
                <w:b/>
                <w:noProof/>
                <w:sz w:val="20"/>
                <w:szCs w:val="20"/>
              </w:rPr>
            </w:pPr>
            <w:r>
              <w:rPr>
                <w:rFonts w:ascii="Times New Roman" w:hAnsi="Times New Roman"/>
                <w:b/>
                <w:noProof/>
                <w:sz w:val="20"/>
                <w:szCs w:val="20"/>
              </w:rPr>
              <w:t xml:space="preserve">Aantal geveilde luchtvaartemissierechten in </w:t>
            </w:r>
            <w:r w:rsidRPr="00D4425F">
              <w:rPr>
                <w:rFonts w:ascii="Times New Roman" w:hAnsi="Times New Roman"/>
                <w:b/>
                <w:noProof/>
                <w:sz w:val="20"/>
                <w:szCs w:val="20"/>
              </w:rPr>
              <w:t>2020</w:t>
            </w:r>
          </w:p>
        </w:tc>
        <w:tc>
          <w:tcPr>
            <w:tcW w:w="3066" w:type="dxa"/>
            <w:gridSpan w:val="2"/>
            <w:tcBorders>
              <w:top w:val="double" w:sz="4" w:space="0" w:color="auto"/>
              <w:left w:val="double" w:sz="4" w:space="0" w:color="auto"/>
              <w:bottom w:val="double" w:sz="4" w:space="0" w:color="auto"/>
              <w:right w:val="double" w:sz="4" w:space="0" w:color="auto"/>
            </w:tcBorders>
            <w:vAlign w:val="center"/>
            <w:hideMark/>
          </w:tcPr>
          <w:p w14:paraId="79A3F86A" w14:textId="5DE359F4" w:rsidR="00ED4EB3" w:rsidRPr="00DA11F1" w:rsidRDefault="00D5706E" w:rsidP="00473D74">
            <w:pPr>
              <w:spacing w:line="276" w:lineRule="auto"/>
              <w:rPr>
                <w:rFonts w:ascii="Times New Roman" w:hAnsi="Times New Roman"/>
                <w:noProof/>
                <w:sz w:val="20"/>
                <w:szCs w:val="20"/>
                <w:highlight w:val="yellow"/>
              </w:rPr>
            </w:pPr>
            <w:r w:rsidRPr="00D4425F">
              <w:rPr>
                <w:rFonts w:ascii="Times New Roman" w:hAnsi="Times New Roman"/>
                <w:noProof/>
                <w:sz w:val="20"/>
                <w:szCs w:val="20"/>
              </w:rPr>
              <w:t>9</w:t>
            </w:r>
            <w:r>
              <w:rPr>
                <w:rFonts w:ascii="Times New Roman" w:hAnsi="Times New Roman"/>
                <w:noProof/>
                <w:sz w:val="20"/>
                <w:szCs w:val="20"/>
              </w:rPr>
              <w:t> </w:t>
            </w:r>
            <w:r w:rsidRPr="00D4425F">
              <w:rPr>
                <w:rFonts w:ascii="Times New Roman" w:hAnsi="Times New Roman"/>
                <w:noProof/>
                <w:sz w:val="20"/>
                <w:szCs w:val="20"/>
              </w:rPr>
              <w:t>174</w:t>
            </w:r>
            <w:r>
              <w:rPr>
                <w:rFonts w:ascii="Times New Roman" w:hAnsi="Times New Roman"/>
                <w:noProof/>
                <w:sz w:val="20"/>
                <w:szCs w:val="20"/>
              </w:rPr>
              <w:t> </w:t>
            </w:r>
            <w:r w:rsidRPr="00D4425F">
              <w:rPr>
                <w:rFonts w:ascii="Times New Roman" w:hAnsi="Times New Roman"/>
                <w:noProof/>
                <w:sz w:val="20"/>
                <w:szCs w:val="20"/>
              </w:rPr>
              <w:t>000</w:t>
            </w:r>
          </w:p>
        </w:tc>
        <w:tc>
          <w:tcPr>
            <w:tcW w:w="3658" w:type="dxa"/>
            <w:gridSpan w:val="2"/>
            <w:tcBorders>
              <w:top w:val="double" w:sz="4" w:space="0" w:color="auto"/>
              <w:left w:val="double" w:sz="4" w:space="0" w:color="auto"/>
              <w:bottom w:val="double" w:sz="4" w:space="0" w:color="auto"/>
              <w:right w:val="double" w:sz="4" w:space="0" w:color="auto"/>
            </w:tcBorders>
            <w:vAlign w:val="center"/>
            <w:hideMark/>
          </w:tcPr>
          <w:p w14:paraId="227DE43C" w14:textId="50A68F3D" w:rsidR="00ED4EB3" w:rsidRPr="00DA11F1" w:rsidRDefault="00D5706E" w:rsidP="00473D74">
            <w:pPr>
              <w:spacing w:line="276" w:lineRule="auto"/>
              <w:rPr>
                <w:rFonts w:ascii="Times New Roman" w:hAnsi="Times New Roman"/>
                <w:noProof/>
                <w:sz w:val="20"/>
                <w:szCs w:val="20"/>
                <w:highlight w:val="yellow"/>
              </w:rPr>
            </w:pPr>
            <w:r w:rsidRPr="00D4425F">
              <w:rPr>
                <w:rFonts w:ascii="Times New Roman" w:hAnsi="Times New Roman"/>
                <w:noProof/>
                <w:sz w:val="20"/>
                <w:szCs w:val="20"/>
              </w:rPr>
              <w:t>196</w:t>
            </w:r>
            <w:r>
              <w:rPr>
                <w:rFonts w:ascii="Times New Roman" w:hAnsi="Times New Roman"/>
                <w:noProof/>
                <w:sz w:val="20"/>
                <w:szCs w:val="20"/>
              </w:rPr>
              <w:t> </w:t>
            </w:r>
            <w:r w:rsidRPr="00D4425F">
              <w:rPr>
                <w:rFonts w:ascii="Times New Roman" w:hAnsi="Times New Roman"/>
                <w:noProof/>
                <w:sz w:val="20"/>
                <w:szCs w:val="20"/>
              </w:rPr>
              <w:t>500</w:t>
            </w:r>
          </w:p>
        </w:tc>
      </w:tr>
      <w:tr w:rsidR="00ED4EB3" w:rsidRPr="00DA11F1" w14:paraId="1C9926F0" w14:textId="77777777" w:rsidTr="00473D74">
        <w:tc>
          <w:tcPr>
            <w:tcW w:w="2518" w:type="dxa"/>
            <w:tcBorders>
              <w:top w:val="double" w:sz="4" w:space="0" w:color="auto"/>
              <w:left w:val="double" w:sz="4" w:space="0" w:color="auto"/>
              <w:bottom w:val="double" w:sz="4" w:space="0" w:color="auto"/>
              <w:right w:val="double" w:sz="4" w:space="0" w:color="auto"/>
            </w:tcBorders>
            <w:vAlign w:val="center"/>
            <w:hideMark/>
          </w:tcPr>
          <w:p w14:paraId="4E1F8C72" w14:textId="54E3B401" w:rsidR="00ED4EB3" w:rsidRPr="00DA11F1" w:rsidRDefault="00ED4EB3" w:rsidP="00473D74">
            <w:pPr>
              <w:spacing w:line="276" w:lineRule="auto"/>
              <w:rPr>
                <w:rFonts w:ascii="Times New Roman" w:hAnsi="Times New Roman"/>
                <w:b/>
                <w:noProof/>
                <w:sz w:val="20"/>
                <w:szCs w:val="20"/>
              </w:rPr>
            </w:pPr>
            <w:r>
              <w:rPr>
                <w:rFonts w:ascii="Times New Roman" w:hAnsi="Times New Roman"/>
                <w:b/>
                <w:noProof/>
                <w:sz w:val="20"/>
                <w:szCs w:val="20"/>
              </w:rPr>
              <w:t xml:space="preserve">Aantal kosteloos toegewezen algemene emissierechten in </w:t>
            </w:r>
            <w:r w:rsidRPr="00D4425F">
              <w:rPr>
                <w:rFonts w:ascii="Times New Roman" w:hAnsi="Times New Roman"/>
                <w:b/>
                <w:noProof/>
                <w:sz w:val="20"/>
                <w:szCs w:val="20"/>
              </w:rPr>
              <w:t>2020</w:t>
            </w:r>
          </w:p>
        </w:tc>
        <w:tc>
          <w:tcPr>
            <w:tcW w:w="3066" w:type="dxa"/>
            <w:gridSpan w:val="2"/>
            <w:tcBorders>
              <w:top w:val="double" w:sz="4" w:space="0" w:color="auto"/>
              <w:left w:val="double" w:sz="4" w:space="0" w:color="auto"/>
              <w:bottom w:val="double" w:sz="4" w:space="0" w:color="auto"/>
              <w:right w:val="double" w:sz="4" w:space="0" w:color="auto"/>
            </w:tcBorders>
            <w:vAlign w:val="center"/>
            <w:hideMark/>
          </w:tcPr>
          <w:p w14:paraId="2B5BBE38" w14:textId="1050E032" w:rsidR="00ED4EB3" w:rsidRPr="00DA11F1" w:rsidRDefault="00ED4EB3" w:rsidP="00473D74">
            <w:pPr>
              <w:spacing w:line="276" w:lineRule="auto"/>
              <w:rPr>
                <w:rFonts w:ascii="Times New Roman" w:hAnsi="Times New Roman"/>
                <w:noProof/>
                <w:sz w:val="20"/>
                <w:szCs w:val="20"/>
              </w:rPr>
            </w:pPr>
            <w:r w:rsidRPr="00D4425F">
              <w:rPr>
                <w:rFonts w:ascii="Times New Roman" w:hAnsi="Times New Roman"/>
                <w:noProof/>
                <w:sz w:val="20"/>
                <w:szCs w:val="20"/>
              </w:rPr>
              <w:t>66</w:t>
            </w:r>
            <w:r>
              <w:rPr>
                <w:rFonts w:ascii="Times New Roman" w:hAnsi="Times New Roman"/>
                <w:noProof/>
                <w:sz w:val="20"/>
                <w:szCs w:val="20"/>
              </w:rPr>
              <w:t> </w:t>
            </w:r>
            <w:r w:rsidRPr="00D4425F">
              <w:rPr>
                <w:rFonts w:ascii="Times New Roman" w:hAnsi="Times New Roman"/>
                <w:noProof/>
                <w:sz w:val="20"/>
                <w:szCs w:val="20"/>
              </w:rPr>
              <w:t>775</w:t>
            </w:r>
            <w:r>
              <w:rPr>
                <w:rFonts w:ascii="Times New Roman" w:hAnsi="Times New Roman"/>
                <w:noProof/>
                <w:sz w:val="20"/>
                <w:szCs w:val="20"/>
              </w:rPr>
              <w:t> </w:t>
            </w:r>
            <w:r w:rsidRPr="00D4425F">
              <w:rPr>
                <w:rFonts w:ascii="Times New Roman" w:hAnsi="Times New Roman"/>
                <w:noProof/>
                <w:sz w:val="20"/>
                <w:szCs w:val="20"/>
              </w:rPr>
              <w:t>8544</w:t>
            </w:r>
          </w:p>
        </w:tc>
        <w:tc>
          <w:tcPr>
            <w:tcW w:w="3658" w:type="dxa"/>
            <w:gridSpan w:val="2"/>
            <w:tcBorders>
              <w:top w:val="double" w:sz="4" w:space="0" w:color="auto"/>
              <w:left w:val="double" w:sz="4" w:space="0" w:color="auto"/>
              <w:bottom w:val="double" w:sz="4" w:space="0" w:color="auto"/>
              <w:right w:val="double" w:sz="4" w:space="0" w:color="auto"/>
            </w:tcBorders>
            <w:vAlign w:val="center"/>
            <w:hideMark/>
          </w:tcPr>
          <w:p w14:paraId="799D24C9" w14:textId="29A71FFA" w:rsidR="00ED4EB3" w:rsidRPr="00DA11F1" w:rsidRDefault="00ED4EB3" w:rsidP="00473D74">
            <w:pPr>
              <w:spacing w:line="276" w:lineRule="auto"/>
              <w:rPr>
                <w:rFonts w:ascii="Times New Roman" w:hAnsi="Times New Roman"/>
                <w:noProof/>
                <w:sz w:val="20"/>
                <w:szCs w:val="20"/>
                <w:highlight w:val="yellow"/>
              </w:rPr>
            </w:pPr>
            <w:r w:rsidRPr="00D4425F">
              <w:rPr>
                <w:rFonts w:ascii="Times New Roman" w:hAnsi="Times New Roman"/>
                <w:noProof/>
                <w:sz w:val="20"/>
                <w:szCs w:val="20"/>
              </w:rPr>
              <w:t>4</w:t>
            </w:r>
            <w:r>
              <w:rPr>
                <w:rFonts w:ascii="Times New Roman" w:hAnsi="Times New Roman"/>
                <w:noProof/>
                <w:sz w:val="20"/>
                <w:szCs w:val="20"/>
              </w:rPr>
              <w:t> </w:t>
            </w:r>
            <w:r w:rsidRPr="00D4425F">
              <w:rPr>
                <w:rFonts w:ascii="Times New Roman" w:hAnsi="Times New Roman"/>
                <w:noProof/>
                <w:sz w:val="20"/>
                <w:szCs w:val="20"/>
              </w:rPr>
              <w:t>391</w:t>
            </w:r>
            <w:r>
              <w:rPr>
                <w:rFonts w:ascii="Times New Roman" w:hAnsi="Times New Roman"/>
                <w:noProof/>
                <w:sz w:val="20"/>
                <w:szCs w:val="20"/>
              </w:rPr>
              <w:t> </w:t>
            </w:r>
            <w:r w:rsidRPr="00D4425F">
              <w:rPr>
                <w:rFonts w:ascii="Times New Roman" w:hAnsi="Times New Roman"/>
                <w:noProof/>
                <w:sz w:val="20"/>
                <w:szCs w:val="20"/>
              </w:rPr>
              <w:t>331</w:t>
            </w:r>
          </w:p>
        </w:tc>
      </w:tr>
      <w:tr w:rsidR="00817385" w:rsidRPr="00292813" w14:paraId="681F8263" w14:textId="77777777" w:rsidTr="00473D74">
        <w:tc>
          <w:tcPr>
            <w:tcW w:w="2518" w:type="dxa"/>
            <w:vMerge w:val="restart"/>
            <w:tcBorders>
              <w:top w:val="double" w:sz="4" w:space="0" w:color="auto"/>
              <w:left w:val="double" w:sz="4" w:space="0" w:color="auto"/>
              <w:right w:val="double" w:sz="4" w:space="0" w:color="auto"/>
            </w:tcBorders>
            <w:vAlign w:val="center"/>
            <w:hideMark/>
          </w:tcPr>
          <w:p w14:paraId="3A7778AA" w14:textId="416D4E31" w:rsidR="00817385" w:rsidRPr="00DA11F1" w:rsidRDefault="00817385" w:rsidP="00D4425F">
            <w:pPr>
              <w:spacing w:line="276" w:lineRule="auto"/>
              <w:rPr>
                <w:rFonts w:ascii="Times New Roman" w:hAnsi="Times New Roman"/>
                <w:b/>
                <w:noProof/>
                <w:sz w:val="20"/>
                <w:szCs w:val="20"/>
              </w:rPr>
            </w:pPr>
            <w:r>
              <w:rPr>
                <w:rFonts w:ascii="Times New Roman" w:hAnsi="Times New Roman"/>
                <w:b/>
                <w:noProof/>
                <w:sz w:val="20"/>
                <w:szCs w:val="20"/>
              </w:rPr>
              <w:t xml:space="preserve">Aantal kosteloos aan exploitanten toegewezen luchtvaartemissierechten in </w:t>
            </w:r>
            <w:r w:rsidRPr="00D4425F">
              <w:rPr>
                <w:rFonts w:ascii="Times New Roman" w:hAnsi="Times New Roman"/>
                <w:b/>
                <w:noProof/>
                <w:sz w:val="20"/>
                <w:szCs w:val="20"/>
              </w:rPr>
              <w:t>2020</w:t>
            </w:r>
          </w:p>
        </w:tc>
        <w:tc>
          <w:tcPr>
            <w:tcW w:w="1264" w:type="dxa"/>
            <w:tcBorders>
              <w:top w:val="double" w:sz="4" w:space="0" w:color="auto"/>
              <w:left w:val="double" w:sz="4" w:space="0" w:color="auto"/>
              <w:bottom w:val="double" w:sz="4" w:space="0" w:color="auto"/>
              <w:right w:val="double" w:sz="4" w:space="0" w:color="auto"/>
            </w:tcBorders>
            <w:vAlign w:val="center"/>
            <w:hideMark/>
          </w:tcPr>
          <w:p w14:paraId="145CE36F" w14:textId="5B0A75FF" w:rsidR="00817385" w:rsidRPr="00DA11F1" w:rsidRDefault="00817385" w:rsidP="00473D74">
            <w:pPr>
              <w:spacing w:line="276" w:lineRule="auto"/>
              <w:rPr>
                <w:rFonts w:ascii="Times New Roman" w:hAnsi="Times New Roman"/>
                <w:noProof/>
                <w:sz w:val="20"/>
                <w:szCs w:val="20"/>
              </w:rPr>
            </w:pPr>
            <w:r>
              <w:rPr>
                <w:rFonts w:ascii="Times New Roman" w:hAnsi="Times New Roman"/>
                <w:noProof/>
                <w:sz w:val="20"/>
                <w:szCs w:val="20"/>
              </w:rPr>
              <w:t>Luchtvaartemissierechten van de EU voor het EU-ETS</w:t>
            </w:r>
          </w:p>
        </w:tc>
        <w:tc>
          <w:tcPr>
            <w:tcW w:w="1802" w:type="dxa"/>
            <w:tcBorders>
              <w:top w:val="double" w:sz="4" w:space="0" w:color="auto"/>
              <w:left w:val="double" w:sz="4" w:space="0" w:color="auto"/>
              <w:bottom w:val="double" w:sz="4" w:space="0" w:color="auto"/>
              <w:right w:val="double" w:sz="4" w:space="0" w:color="auto"/>
            </w:tcBorders>
            <w:vAlign w:val="center"/>
          </w:tcPr>
          <w:p w14:paraId="4A8DCC5A" w14:textId="77777777" w:rsidR="00817385" w:rsidRPr="00DA11F1" w:rsidRDefault="00817385" w:rsidP="00473D74">
            <w:pPr>
              <w:spacing w:line="276" w:lineRule="auto"/>
              <w:rPr>
                <w:rFonts w:ascii="Times New Roman" w:hAnsi="Times New Roman"/>
                <w:noProof/>
                <w:sz w:val="20"/>
                <w:szCs w:val="20"/>
              </w:rPr>
            </w:pPr>
            <w:r>
              <w:rPr>
                <w:rFonts w:ascii="Times New Roman" w:hAnsi="Times New Roman"/>
                <w:noProof/>
                <w:sz w:val="20"/>
                <w:szCs w:val="20"/>
              </w:rPr>
              <w:t>Zwitserse luchtvaartemissierechten voor het Zwitserse ETS</w:t>
            </w:r>
          </w:p>
        </w:tc>
        <w:tc>
          <w:tcPr>
            <w:tcW w:w="1802" w:type="dxa"/>
            <w:tcBorders>
              <w:top w:val="double" w:sz="4" w:space="0" w:color="auto"/>
              <w:left w:val="double" w:sz="4" w:space="0" w:color="auto"/>
              <w:bottom w:val="double" w:sz="4" w:space="0" w:color="auto"/>
              <w:right w:val="double" w:sz="4" w:space="0" w:color="auto"/>
            </w:tcBorders>
            <w:vAlign w:val="center"/>
            <w:hideMark/>
          </w:tcPr>
          <w:p w14:paraId="3CE566EC" w14:textId="77777777" w:rsidR="00817385" w:rsidRPr="00DA11F1" w:rsidRDefault="00817385" w:rsidP="00473D74">
            <w:pPr>
              <w:spacing w:line="276" w:lineRule="auto"/>
              <w:rPr>
                <w:rFonts w:ascii="Times New Roman" w:hAnsi="Times New Roman"/>
                <w:noProof/>
                <w:sz w:val="20"/>
                <w:szCs w:val="20"/>
              </w:rPr>
            </w:pPr>
            <w:r>
              <w:rPr>
                <w:rFonts w:ascii="Times New Roman" w:hAnsi="Times New Roman"/>
                <w:noProof/>
                <w:sz w:val="20"/>
                <w:szCs w:val="20"/>
              </w:rPr>
              <w:t>Zwitserse luchtvaartemissierechten voor het Zwitserse ETS</w:t>
            </w:r>
          </w:p>
        </w:tc>
        <w:tc>
          <w:tcPr>
            <w:tcW w:w="1856" w:type="dxa"/>
            <w:tcBorders>
              <w:top w:val="double" w:sz="4" w:space="0" w:color="auto"/>
              <w:left w:val="double" w:sz="4" w:space="0" w:color="auto"/>
              <w:bottom w:val="double" w:sz="4" w:space="0" w:color="auto"/>
              <w:right w:val="double" w:sz="4" w:space="0" w:color="auto"/>
            </w:tcBorders>
            <w:vAlign w:val="center"/>
          </w:tcPr>
          <w:p w14:paraId="47AA377D" w14:textId="77777777" w:rsidR="00817385" w:rsidRPr="00DA11F1" w:rsidRDefault="00817385" w:rsidP="00473D74">
            <w:pPr>
              <w:spacing w:line="276" w:lineRule="auto"/>
              <w:rPr>
                <w:rFonts w:ascii="Times New Roman" w:hAnsi="Times New Roman"/>
                <w:noProof/>
                <w:sz w:val="20"/>
                <w:szCs w:val="20"/>
              </w:rPr>
            </w:pPr>
            <w:r>
              <w:rPr>
                <w:rFonts w:ascii="Times New Roman" w:hAnsi="Times New Roman"/>
                <w:noProof/>
                <w:sz w:val="20"/>
                <w:szCs w:val="20"/>
              </w:rPr>
              <w:t>Luchtvaartemissierechten van de EU voor het EU-ETS</w:t>
            </w:r>
          </w:p>
        </w:tc>
      </w:tr>
      <w:tr w:rsidR="00817385" w:rsidRPr="00DA11F1" w14:paraId="7B5D41EB" w14:textId="77777777" w:rsidTr="00473D74">
        <w:tc>
          <w:tcPr>
            <w:tcW w:w="2518" w:type="dxa"/>
            <w:vMerge/>
            <w:tcBorders>
              <w:left w:val="double" w:sz="4" w:space="0" w:color="auto"/>
              <w:bottom w:val="double" w:sz="4" w:space="0" w:color="auto"/>
              <w:right w:val="double" w:sz="4" w:space="0" w:color="auto"/>
            </w:tcBorders>
            <w:vAlign w:val="center"/>
          </w:tcPr>
          <w:p w14:paraId="1BD9F0DA" w14:textId="77777777" w:rsidR="00817385" w:rsidRPr="00DA11F1" w:rsidRDefault="00817385" w:rsidP="00473D74">
            <w:pPr>
              <w:spacing w:line="276" w:lineRule="auto"/>
              <w:rPr>
                <w:rFonts w:ascii="Times New Roman" w:hAnsi="Times New Roman"/>
                <w:b/>
                <w:noProof/>
                <w:sz w:val="20"/>
                <w:szCs w:val="20"/>
                <w:lang w:val="fr-FR"/>
              </w:rPr>
            </w:pPr>
          </w:p>
        </w:tc>
        <w:tc>
          <w:tcPr>
            <w:tcW w:w="1264" w:type="dxa"/>
            <w:tcBorders>
              <w:top w:val="double" w:sz="4" w:space="0" w:color="auto"/>
              <w:left w:val="double" w:sz="4" w:space="0" w:color="auto"/>
              <w:bottom w:val="double" w:sz="4" w:space="0" w:color="auto"/>
              <w:right w:val="double" w:sz="4" w:space="0" w:color="auto"/>
            </w:tcBorders>
            <w:vAlign w:val="center"/>
          </w:tcPr>
          <w:p w14:paraId="12F9895B" w14:textId="4DBC27A5" w:rsidR="00817385" w:rsidRPr="00DA11F1" w:rsidRDefault="00817385" w:rsidP="00473D74">
            <w:pPr>
              <w:spacing w:line="276" w:lineRule="auto"/>
              <w:rPr>
                <w:rFonts w:ascii="Times New Roman" w:hAnsi="Times New Roman"/>
                <w:noProof/>
                <w:sz w:val="20"/>
                <w:szCs w:val="20"/>
              </w:rPr>
            </w:pPr>
            <w:r w:rsidRPr="00D4425F">
              <w:rPr>
                <w:rFonts w:ascii="Times New Roman" w:hAnsi="Times New Roman"/>
                <w:noProof/>
                <w:sz w:val="20"/>
                <w:szCs w:val="20"/>
              </w:rPr>
              <w:t>32</w:t>
            </w:r>
            <w:r>
              <w:rPr>
                <w:rFonts w:ascii="Times New Roman" w:hAnsi="Times New Roman"/>
                <w:noProof/>
                <w:sz w:val="20"/>
                <w:szCs w:val="20"/>
              </w:rPr>
              <w:t> </w:t>
            </w:r>
            <w:r w:rsidRPr="00D4425F">
              <w:rPr>
                <w:rFonts w:ascii="Times New Roman" w:hAnsi="Times New Roman"/>
                <w:noProof/>
                <w:sz w:val="20"/>
                <w:szCs w:val="20"/>
              </w:rPr>
              <w:t>486</w:t>
            </w:r>
            <w:r>
              <w:rPr>
                <w:rFonts w:ascii="Times New Roman" w:hAnsi="Times New Roman"/>
                <w:noProof/>
                <w:sz w:val="20"/>
                <w:szCs w:val="20"/>
              </w:rPr>
              <w:t> </w:t>
            </w:r>
            <w:r w:rsidRPr="00D4425F">
              <w:rPr>
                <w:rFonts w:ascii="Times New Roman" w:hAnsi="Times New Roman"/>
                <w:noProof/>
                <w:sz w:val="20"/>
                <w:szCs w:val="20"/>
              </w:rPr>
              <w:t>017</w:t>
            </w:r>
          </w:p>
        </w:tc>
        <w:tc>
          <w:tcPr>
            <w:tcW w:w="1802" w:type="dxa"/>
            <w:tcBorders>
              <w:top w:val="double" w:sz="4" w:space="0" w:color="auto"/>
              <w:left w:val="double" w:sz="4" w:space="0" w:color="auto"/>
              <w:bottom w:val="double" w:sz="4" w:space="0" w:color="auto"/>
              <w:right w:val="double" w:sz="4" w:space="0" w:color="auto"/>
            </w:tcBorders>
            <w:vAlign w:val="center"/>
          </w:tcPr>
          <w:p w14:paraId="0A171758" w14:textId="1BE1B4BE" w:rsidR="00817385" w:rsidRPr="00DA11F1" w:rsidRDefault="00817385" w:rsidP="00473D74">
            <w:pPr>
              <w:spacing w:line="276" w:lineRule="auto"/>
              <w:rPr>
                <w:rFonts w:ascii="Times New Roman" w:hAnsi="Times New Roman"/>
                <w:noProof/>
                <w:sz w:val="20"/>
                <w:szCs w:val="20"/>
              </w:rPr>
            </w:pPr>
            <w:r w:rsidRPr="00D4425F">
              <w:rPr>
                <w:rFonts w:ascii="Times New Roman" w:hAnsi="Times New Roman"/>
                <w:noProof/>
                <w:sz w:val="20"/>
                <w:szCs w:val="20"/>
              </w:rPr>
              <w:t>501</w:t>
            </w:r>
            <w:r>
              <w:rPr>
                <w:rFonts w:ascii="Times New Roman" w:hAnsi="Times New Roman"/>
                <w:noProof/>
                <w:sz w:val="20"/>
                <w:szCs w:val="20"/>
              </w:rPr>
              <w:t> </w:t>
            </w:r>
            <w:r w:rsidRPr="00D4425F">
              <w:rPr>
                <w:rFonts w:ascii="Times New Roman" w:hAnsi="Times New Roman"/>
                <w:noProof/>
                <w:sz w:val="20"/>
                <w:szCs w:val="20"/>
              </w:rPr>
              <w:t>278</w:t>
            </w:r>
          </w:p>
        </w:tc>
        <w:tc>
          <w:tcPr>
            <w:tcW w:w="1802" w:type="dxa"/>
            <w:tcBorders>
              <w:top w:val="double" w:sz="4" w:space="0" w:color="auto"/>
              <w:left w:val="double" w:sz="4" w:space="0" w:color="auto"/>
              <w:bottom w:val="double" w:sz="4" w:space="0" w:color="auto"/>
              <w:right w:val="double" w:sz="4" w:space="0" w:color="auto"/>
            </w:tcBorders>
            <w:vAlign w:val="center"/>
          </w:tcPr>
          <w:p w14:paraId="32E72FAF" w14:textId="6F8C5DCC" w:rsidR="00817385" w:rsidRPr="00DA11F1" w:rsidRDefault="00817385" w:rsidP="00473D74">
            <w:pPr>
              <w:spacing w:line="276" w:lineRule="auto"/>
              <w:rPr>
                <w:rFonts w:ascii="Times New Roman" w:hAnsi="Times New Roman"/>
                <w:noProof/>
                <w:sz w:val="20"/>
                <w:szCs w:val="20"/>
              </w:rPr>
            </w:pPr>
            <w:r w:rsidRPr="00D4425F">
              <w:rPr>
                <w:rFonts w:ascii="Times New Roman" w:hAnsi="Times New Roman"/>
                <w:noProof/>
                <w:sz w:val="20"/>
                <w:szCs w:val="20"/>
              </w:rPr>
              <w:t>570</w:t>
            </w:r>
            <w:r>
              <w:rPr>
                <w:rFonts w:ascii="Times New Roman" w:hAnsi="Times New Roman"/>
                <w:noProof/>
                <w:sz w:val="20"/>
                <w:szCs w:val="20"/>
              </w:rPr>
              <w:t> </w:t>
            </w:r>
            <w:r w:rsidRPr="00D4425F">
              <w:rPr>
                <w:rFonts w:ascii="Times New Roman" w:hAnsi="Times New Roman"/>
                <w:noProof/>
                <w:sz w:val="20"/>
                <w:szCs w:val="20"/>
              </w:rPr>
              <w:t>696</w:t>
            </w:r>
          </w:p>
        </w:tc>
        <w:tc>
          <w:tcPr>
            <w:tcW w:w="1856" w:type="dxa"/>
            <w:tcBorders>
              <w:top w:val="double" w:sz="4" w:space="0" w:color="auto"/>
              <w:left w:val="double" w:sz="4" w:space="0" w:color="auto"/>
              <w:bottom w:val="double" w:sz="4" w:space="0" w:color="auto"/>
              <w:right w:val="double" w:sz="4" w:space="0" w:color="auto"/>
            </w:tcBorders>
            <w:vAlign w:val="center"/>
          </w:tcPr>
          <w:p w14:paraId="6A1D2690" w14:textId="5CFFF146" w:rsidR="00817385" w:rsidRPr="00DA11F1" w:rsidRDefault="00817385" w:rsidP="00473D74">
            <w:pPr>
              <w:spacing w:line="276" w:lineRule="auto"/>
              <w:rPr>
                <w:rFonts w:ascii="Times New Roman" w:hAnsi="Times New Roman"/>
                <w:noProof/>
                <w:sz w:val="20"/>
                <w:szCs w:val="20"/>
              </w:rPr>
            </w:pPr>
            <w:r w:rsidRPr="00D4425F">
              <w:rPr>
                <w:rFonts w:ascii="Times New Roman" w:hAnsi="Times New Roman"/>
                <w:noProof/>
                <w:sz w:val="20"/>
                <w:szCs w:val="20"/>
              </w:rPr>
              <w:t>473</w:t>
            </w:r>
            <w:r>
              <w:rPr>
                <w:rFonts w:ascii="Times New Roman" w:hAnsi="Times New Roman"/>
                <w:noProof/>
                <w:sz w:val="20"/>
                <w:szCs w:val="20"/>
              </w:rPr>
              <w:t> </w:t>
            </w:r>
            <w:r w:rsidRPr="00D4425F">
              <w:rPr>
                <w:rFonts w:ascii="Times New Roman" w:hAnsi="Times New Roman"/>
                <w:noProof/>
                <w:sz w:val="20"/>
                <w:szCs w:val="20"/>
              </w:rPr>
              <w:t>521</w:t>
            </w:r>
          </w:p>
        </w:tc>
      </w:tr>
      <w:tr w:rsidR="00ED4EB3" w:rsidRPr="00DA11F1" w14:paraId="07AD4CD8" w14:textId="77777777" w:rsidTr="00473D74">
        <w:tc>
          <w:tcPr>
            <w:tcW w:w="2518" w:type="dxa"/>
            <w:tcBorders>
              <w:top w:val="double" w:sz="4" w:space="0" w:color="auto"/>
              <w:left w:val="double" w:sz="4" w:space="0" w:color="auto"/>
              <w:bottom w:val="double" w:sz="4" w:space="0" w:color="auto"/>
              <w:right w:val="double" w:sz="4" w:space="0" w:color="auto"/>
            </w:tcBorders>
            <w:vAlign w:val="center"/>
            <w:hideMark/>
          </w:tcPr>
          <w:p w14:paraId="43B6CBE2" w14:textId="77777777" w:rsidR="00ED4EB3" w:rsidRPr="00DA11F1" w:rsidRDefault="00ED4EB3" w:rsidP="00473D74">
            <w:pPr>
              <w:spacing w:line="276" w:lineRule="auto"/>
              <w:rPr>
                <w:rFonts w:ascii="Times New Roman" w:hAnsi="Times New Roman"/>
                <w:b/>
                <w:noProof/>
                <w:sz w:val="20"/>
                <w:szCs w:val="20"/>
              </w:rPr>
            </w:pPr>
            <w:r>
              <w:rPr>
                <w:rFonts w:ascii="Times New Roman" w:hAnsi="Times New Roman"/>
                <w:b/>
                <w:noProof/>
                <w:sz w:val="20"/>
                <w:szCs w:val="20"/>
              </w:rPr>
              <w:t xml:space="preserve">Geverifieerde emissies van vaste installaties in </w:t>
            </w:r>
            <w:r w:rsidRPr="00D4425F">
              <w:rPr>
                <w:rFonts w:ascii="Times New Roman" w:hAnsi="Times New Roman"/>
                <w:b/>
                <w:noProof/>
                <w:sz w:val="20"/>
                <w:szCs w:val="20"/>
              </w:rPr>
              <w:t>2020</w:t>
            </w:r>
            <w:r>
              <w:rPr>
                <w:rFonts w:ascii="Times New Roman" w:hAnsi="Times New Roman"/>
                <w:b/>
                <w:noProof/>
                <w:sz w:val="20"/>
                <w:szCs w:val="20"/>
              </w:rPr>
              <w:t xml:space="preserve"> </w:t>
            </w:r>
          </w:p>
        </w:tc>
        <w:tc>
          <w:tcPr>
            <w:tcW w:w="3066" w:type="dxa"/>
            <w:gridSpan w:val="2"/>
            <w:tcBorders>
              <w:top w:val="double" w:sz="4" w:space="0" w:color="auto"/>
              <w:left w:val="double" w:sz="4" w:space="0" w:color="auto"/>
              <w:bottom w:val="double" w:sz="4" w:space="0" w:color="auto"/>
              <w:right w:val="double" w:sz="4" w:space="0" w:color="auto"/>
            </w:tcBorders>
            <w:vAlign w:val="center"/>
            <w:hideMark/>
          </w:tcPr>
          <w:p w14:paraId="56B86C26" w14:textId="2113D107" w:rsidR="00ED4EB3" w:rsidRPr="00DA11F1" w:rsidRDefault="00B92BC4" w:rsidP="00473D74">
            <w:pPr>
              <w:spacing w:line="276" w:lineRule="auto"/>
              <w:rPr>
                <w:rFonts w:ascii="Times New Roman" w:hAnsi="Times New Roman"/>
                <w:noProof/>
                <w:sz w:val="20"/>
                <w:szCs w:val="20"/>
              </w:rPr>
            </w:pPr>
            <w:r w:rsidRPr="00D4425F">
              <w:rPr>
                <w:rFonts w:ascii="Times New Roman" w:hAnsi="Times New Roman"/>
                <w:noProof/>
                <w:sz w:val="20"/>
                <w:szCs w:val="20"/>
              </w:rPr>
              <w:t>1</w:t>
            </w:r>
            <w:r>
              <w:rPr>
                <w:rFonts w:ascii="Times New Roman" w:hAnsi="Times New Roman"/>
                <w:noProof/>
                <w:sz w:val="20"/>
                <w:szCs w:val="20"/>
              </w:rPr>
              <w:t> </w:t>
            </w:r>
            <w:r w:rsidRPr="00D4425F">
              <w:rPr>
                <w:rFonts w:ascii="Times New Roman" w:hAnsi="Times New Roman"/>
                <w:noProof/>
                <w:sz w:val="20"/>
                <w:szCs w:val="20"/>
              </w:rPr>
              <w:t>355</w:t>
            </w:r>
            <w:r>
              <w:rPr>
                <w:rFonts w:ascii="Times New Roman" w:hAnsi="Times New Roman"/>
                <w:noProof/>
                <w:sz w:val="20"/>
                <w:szCs w:val="20"/>
              </w:rPr>
              <w:t> </w:t>
            </w:r>
            <w:r w:rsidRPr="00D4425F">
              <w:rPr>
                <w:rFonts w:ascii="Times New Roman" w:hAnsi="Times New Roman"/>
                <w:noProof/>
                <w:sz w:val="20"/>
                <w:szCs w:val="20"/>
              </w:rPr>
              <w:t>141</w:t>
            </w:r>
            <w:r>
              <w:rPr>
                <w:rFonts w:ascii="Times New Roman" w:hAnsi="Times New Roman"/>
                <w:noProof/>
                <w:sz w:val="20"/>
                <w:szCs w:val="20"/>
              </w:rPr>
              <w:t> </w:t>
            </w:r>
            <w:r w:rsidRPr="00D4425F">
              <w:rPr>
                <w:rFonts w:ascii="Times New Roman" w:hAnsi="Times New Roman"/>
                <w:noProof/>
                <w:sz w:val="20"/>
                <w:szCs w:val="20"/>
              </w:rPr>
              <w:t>953</w:t>
            </w:r>
          </w:p>
        </w:tc>
        <w:tc>
          <w:tcPr>
            <w:tcW w:w="3658" w:type="dxa"/>
            <w:gridSpan w:val="2"/>
            <w:tcBorders>
              <w:top w:val="double" w:sz="4" w:space="0" w:color="auto"/>
              <w:left w:val="double" w:sz="4" w:space="0" w:color="auto"/>
              <w:bottom w:val="double" w:sz="4" w:space="0" w:color="auto"/>
              <w:right w:val="double" w:sz="4" w:space="0" w:color="auto"/>
            </w:tcBorders>
            <w:vAlign w:val="center"/>
            <w:hideMark/>
          </w:tcPr>
          <w:p w14:paraId="7C19DFD8" w14:textId="251E3B00" w:rsidR="00ED4EB3" w:rsidRPr="00DA11F1" w:rsidRDefault="00D5706E" w:rsidP="00473D74">
            <w:pPr>
              <w:spacing w:line="276" w:lineRule="auto"/>
              <w:rPr>
                <w:rFonts w:ascii="Times New Roman" w:hAnsi="Times New Roman"/>
                <w:noProof/>
                <w:sz w:val="20"/>
                <w:szCs w:val="20"/>
                <w:highlight w:val="yellow"/>
              </w:rPr>
            </w:pPr>
            <w:r w:rsidRPr="00D4425F">
              <w:rPr>
                <w:rFonts w:ascii="Times New Roman" w:hAnsi="Times New Roman"/>
                <w:noProof/>
                <w:sz w:val="20"/>
                <w:szCs w:val="20"/>
              </w:rPr>
              <w:t>4</w:t>
            </w:r>
            <w:r>
              <w:rPr>
                <w:rFonts w:ascii="Times New Roman" w:hAnsi="Times New Roman"/>
                <w:noProof/>
                <w:sz w:val="20"/>
                <w:szCs w:val="20"/>
              </w:rPr>
              <w:t> </w:t>
            </w:r>
            <w:r w:rsidRPr="00D4425F">
              <w:rPr>
                <w:rFonts w:ascii="Times New Roman" w:hAnsi="Times New Roman"/>
                <w:noProof/>
                <w:sz w:val="20"/>
                <w:szCs w:val="20"/>
              </w:rPr>
              <w:t>874</w:t>
            </w:r>
            <w:r>
              <w:rPr>
                <w:rFonts w:ascii="Times New Roman" w:hAnsi="Times New Roman"/>
                <w:noProof/>
                <w:sz w:val="20"/>
                <w:szCs w:val="20"/>
              </w:rPr>
              <w:t> </w:t>
            </w:r>
            <w:r w:rsidRPr="00D4425F">
              <w:rPr>
                <w:rFonts w:ascii="Times New Roman" w:hAnsi="Times New Roman"/>
                <w:noProof/>
                <w:sz w:val="20"/>
                <w:szCs w:val="20"/>
              </w:rPr>
              <w:t>278</w:t>
            </w:r>
          </w:p>
        </w:tc>
      </w:tr>
      <w:tr w:rsidR="00817385" w:rsidRPr="00DA11F1" w14:paraId="3956EA03" w14:textId="77777777" w:rsidTr="00473D74">
        <w:tc>
          <w:tcPr>
            <w:tcW w:w="2518" w:type="dxa"/>
            <w:vMerge w:val="restart"/>
            <w:tcBorders>
              <w:top w:val="double" w:sz="4" w:space="0" w:color="auto"/>
              <w:left w:val="double" w:sz="4" w:space="0" w:color="auto"/>
              <w:right w:val="double" w:sz="4" w:space="0" w:color="auto"/>
            </w:tcBorders>
            <w:vAlign w:val="center"/>
            <w:hideMark/>
          </w:tcPr>
          <w:p w14:paraId="1E69B930" w14:textId="743C0786" w:rsidR="00817385" w:rsidRPr="00DA11F1" w:rsidRDefault="00817385" w:rsidP="00D4425F">
            <w:pPr>
              <w:spacing w:line="276" w:lineRule="auto"/>
              <w:rPr>
                <w:rFonts w:ascii="Times New Roman" w:hAnsi="Times New Roman"/>
                <w:b/>
                <w:noProof/>
                <w:sz w:val="20"/>
                <w:szCs w:val="20"/>
              </w:rPr>
            </w:pPr>
            <w:r>
              <w:rPr>
                <w:rFonts w:ascii="Times New Roman" w:hAnsi="Times New Roman"/>
                <w:b/>
                <w:noProof/>
                <w:sz w:val="20"/>
                <w:szCs w:val="20"/>
              </w:rPr>
              <w:t xml:space="preserve">Geverifieerde emissies van luchtvaartexploitanten in </w:t>
            </w:r>
            <w:r w:rsidRPr="00D4425F">
              <w:rPr>
                <w:rFonts w:ascii="Times New Roman" w:hAnsi="Times New Roman"/>
                <w:b/>
                <w:noProof/>
                <w:sz w:val="20"/>
                <w:szCs w:val="20"/>
              </w:rPr>
              <w:t>2020</w:t>
            </w:r>
            <w:r w:rsidRPr="00DA11F1">
              <w:rPr>
                <w:rFonts w:ascii="Times New Roman" w:hAnsi="Times New Roman"/>
                <w:b/>
                <w:noProof/>
                <w:sz w:val="20"/>
                <w:szCs w:val="20"/>
                <w:vertAlign w:val="superscript"/>
              </w:rPr>
              <w:footnoteReference w:id="115"/>
            </w:r>
          </w:p>
        </w:tc>
        <w:tc>
          <w:tcPr>
            <w:tcW w:w="1264" w:type="dxa"/>
            <w:tcBorders>
              <w:top w:val="double" w:sz="4" w:space="0" w:color="auto"/>
              <w:left w:val="double" w:sz="4" w:space="0" w:color="auto"/>
              <w:bottom w:val="double" w:sz="4" w:space="0" w:color="auto"/>
              <w:right w:val="double" w:sz="4" w:space="0" w:color="auto"/>
            </w:tcBorders>
            <w:vAlign w:val="center"/>
          </w:tcPr>
          <w:p w14:paraId="58F21B30" w14:textId="77777777" w:rsidR="00817385" w:rsidRPr="00DA11F1" w:rsidRDefault="00817385" w:rsidP="00473D74">
            <w:pPr>
              <w:spacing w:line="276" w:lineRule="auto"/>
              <w:rPr>
                <w:rFonts w:ascii="Times New Roman" w:hAnsi="Times New Roman"/>
                <w:noProof/>
                <w:sz w:val="20"/>
                <w:szCs w:val="20"/>
              </w:rPr>
            </w:pPr>
            <w:r>
              <w:rPr>
                <w:rFonts w:ascii="Times New Roman" w:hAnsi="Times New Roman"/>
                <w:noProof/>
                <w:sz w:val="20"/>
                <w:szCs w:val="20"/>
              </w:rPr>
              <w:t>EU-ETS</w:t>
            </w:r>
          </w:p>
        </w:tc>
        <w:tc>
          <w:tcPr>
            <w:tcW w:w="1802" w:type="dxa"/>
            <w:tcBorders>
              <w:top w:val="double" w:sz="4" w:space="0" w:color="auto"/>
              <w:left w:val="double" w:sz="4" w:space="0" w:color="auto"/>
              <w:bottom w:val="double" w:sz="4" w:space="0" w:color="auto"/>
              <w:right w:val="double" w:sz="4" w:space="0" w:color="auto"/>
            </w:tcBorders>
            <w:vAlign w:val="center"/>
          </w:tcPr>
          <w:p w14:paraId="5B09D57B" w14:textId="77777777" w:rsidR="00817385" w:rsidRPr="00DA11F1" w:rsidRDefault="00817385" w:rsidP="00473D74">
            <w:pPr>
              <w:spacing w:line="276" w:lineRule="auto"/>
              <w:rPr>
                <w:rFonts w:ascii="Times New Roman" w:hAnsi="Times New Roman"/>
                <w:noProof/>
                <w:sz w:val="20"/>
                <w:szCs w:val="20"/>
              </w:rPr>
            </w:pPr>
            <w:r>
              <w:rPr>
                <w:rFonts w:ascii="Times New Roman" w:hAnsi="Times New Roman"/>
                <w:noProof/>
                <w:sz w:val="20"/>
                <w:szCs w:val="20"/>
              </w:rPr>
              <w:t>Zwitsers ETS</w:t>
            </w:r>
          </w:p>
        </w:tc>
        <w:tc>
          <w:tcPr>
            <w:tcW w:w="1802" w:type="dxa"/>
            <w:tcBorders>
              <w:top w:val="double" w:sz="4" w:space="0" w:color="auto"/>
              <w:left w:val="double" w:sz="4" w:space="0" w:color="auto"/>
              <w:bottom w:val="double" w:sz="4" w:space="0" w:color="auto"/>
              <w:right w:val="double" w:sz="4" w:space="0" w:color="auto"/>
            </w:tcBorders>
            <w:vAlign w:val="center"/>
          </w:tcPr>
          <w:p w14:paraId="234FAFBE" w14:textId="77777777" w:rsidR="00817385" w:rsidRPr="00DA11F1" w:rsidRDefault="00817385" w:rsidP="00473D74">
            <w:pPr>
              <w:spacing w:line="276" w:lineRule="auto"/>
              <w:rPr>
                <w:rFonts w:ascii="Times New Roman" w:hAnsi="Times New Roman"/>
                <w:noProof/>
                <w:sz w:val="20"/>
                <w:szCs w:val="20"/>
              </w:rPr>
            </w:pPr>
            <w:r>
              <w:rPr>
                <w:rFonts w:ascii="Times New Roman" w:hAnsi="Times New Roman"/>
                <w:noProof/>
                <w:sz w:val="20"/>
                <w:szCs w:val="20"/>
              </w:rPr>
              <w:t>Zwitsers ETS</w:t>
            </w:r>
          </w:p>
        </w:tc>
        <w:tc>
          <w:tcPr>
            <w:tcW w:w="1856" w:type="dxa"/>
            <w:tcBorders>
              <w:top w:val="double" w:sz="4" w:space="0" w:color="auto"/>
              <w:left w:val="double" w:sz="4" w:space="0" w:color="auto"/>
              <w:bottom w:val="double" w:sz="4" w:space="0" w:color="auto"/>
              <w:right w:val="double" w:sz="4" w:space="0" w:color="auto"/>
            </w:tcBorders>
            <w:vAlign w:val="center"/>
          </w:tcPr>
          <w:p w14:paraId="4315E09E" w14:textId="77777777" w:rsidR="00817385" w:rsidRPr="00DA11F1" w:rsidRDefault="00817385" w:rsidP="00473D74">
            <w:pPr>
              <w:spacing w:line="276" w:lineRule="auto"/>
              <w:rPr>
                <w:rFonts w:ascii="Times New Roman" w:hAnsi="Times New Roman"/>
                <w:noProof/>
                <w:sz w:val="20"/>
                <w:szCs w:val="20"/>
              </w:rPr>
            </w:pPr>
            <w:r>
              <w:rPr>
                <w:rFonts w:ascii="Times New Roman" w:hAnsi="Times New Roman"/>
                <w:noProof/>
                <w:sz w:val="20"/>
                <w:szCs w:val="20"/>
              </w:rPr>
              <w:t>EU-ETS</w:t>
            </w:r>
          </w:p>
        </w:tc>
      </w:tr>
      <w:tr w:rsidR="00817385" w:rsidRPr="00DA11F1" w14:paraId="69E1F2EA" w14:textId="77777777" w:rsidTr="00473D74">
        <w:tc>
          <w:tcPr>
            <w:tcW w:w="2518" w:type="dxa"/>
            <w:vMerge/>
            <w:tcBorders>
              <w:left w:val="double" w:sz="4" w:space="0" w:color="auto"/>
              <w:bottom w:val="double" w:sz="4" w:space="0" w:color="auto"/>
              <w:right w:val="double" w:sz="4" w:space="0" w:color="auto"/>
            </w:tcBorders>
            <w:vAlign w:val="center"/>
          </w:tcPr>
          <w:p w14:paraId="565C3C0C" w14:textId="77777777" w:rsidR="00817385" w:rsidRPr="00DA11F1" w:rsidRDefault="00817385" w:rsidP="00473D74">
            <w:pPr>
              <w:spacing w:line="276" w:lineRule="auto"/>
              <w:rPr>
                <w:rFonts w:ascii="Times New Roman" w:hAnsi="Times New Roman"/>
                <w:b/>
                <w:noProof/>
                <w:sz w:val="20"/>
                <w:szCs w:val="20"/>
              </w:rPr>
            </w:pPr>
          </w:p>
        </w:tc>
        <w:tc>
          <w:tcPr>
            <w:tcW w:w="1264" w:type="dxa"/>
            <w:tcBorders>
              <w:top w:val="double" w:sz="4" w:space="0" w:color="auto"/>
              <w:left w:val="double" w:sz="4" w:space="0" w:color="auto"/>
              <w:bottom w:val="double" w:sz="4" w:space="0" w:color="auto"/>
              <w:right w:val="double" w:sz="4" w:space="0" w:color="auto"/>
            </w:tcBorders>
            <w:vAlign w:val="center"/>
          </w:tcPr>
          <w:p w14:paraId="2B7872B9" w14:textId="2DF11D2E" w:rsidR="00817385" w:rsidRPr="00DA11F1" w:rsidRDefault="00817385" w:rsidP="00473D74">
            <w:pPr>
              <w:spacing w:line="276" w:lineRule="auto"/>
              <w:rPr>
                <w:rFonts w:ascii="Times New Roman" w:hAnsi="Times New Roman"/>
                <w:noProof/>
                <w:sz w:val="20"/>
                <w:szCs w:val="20"/>
              </w:rPr>
            </w:pPr>
            <w:r w:rsidRPr="00D4425F">
              <w:rPr>
                <w:rFonts w:ascii="Times New Roman" w:hAnsi="Times New Roman"/>
                <w:noProof/>
                <w:sz w:val="20"/>
                <w:szCs w:val="20"/>
              </w:rPr>
              <w:t>24</w:t>
            </w:r>
            <w:r>
              <w:rPr>
                <w:rFonts w:ascii="Times New Roman" w:hAnsi="Times New Roman"/>
                <w:noProof/>
                <w:sz w:val="20"/>
                <w:szCs w:val="20"/>
              </w:rPr>
              <w:t> </w:t>
            </w:r>
            <w:r w:rsidRPr="00D4425F">
              <w:rPr>
                <w:rFonts w:ascii="Times New Roman" w:hAnsi="Times New Roman"/>
                <w:noProof/>
                <w:sz w:val="20"/>
                <w:szCs w:val="20"/>
              </w:rPr>
              <w:t>917</w:t>
            </w:r>
            <w:r>
              <w:rPr>
                <w:rFonts w:ascii="Times New Roman" w:hAnsi="Times New Roman"/>
                <w:noProof/>
                <w:sz w:val="20"/>
                <w:szCs w:val="20"/>
              </w:rPr>
              <w:t> </w:t>
            </w:r>
            <w:r w:rsidRPr="00D4425F">
              <w:rPr>
                <w:rFonts w:ascii="Times New Roman" w:hAnsi="Times New Roman"/>
                <w:noProof/>
                <w:sz w:val="20"/>
                <w:szCs w:val="20"/>
              </w:rPr>
              <w:t>481</w:t>
            </w:r>
          </w:p>
        </w:tc>
        <w:tc>
          <w:tcPr>
            <w:tcW w:w="1802" w:type="dxa"/>
            <w:tcBorders>
              <w:top w:val="double" w:sz="4" w:space="0" w:color="auto"/>
              <w:left w:val="double" w:sz="4" w:space="0" w:color="auto"/>
              <w:bottom w:val="double" w:sz="4" w:space="0" w:color="auto"/>
              <w:right w:val="double" w:sz="4" w:space="0" w:color="auto"/>
            </w:tcBorders>
            <w:vAlign w:val="center"/>
          </w:tcPr>
          <w:p w14:paraId="46D5FF4B" w14:textId="1F13F460" w:rsidR="00817385" w:rsidRPr="00DA11F1" w:rsidRDefault="00817385" w:rsidP="00473D74">
            <w:pPr>
              <w:spacing w:line="276" w:lineRule="auto"/>
              <w:rPr>
                <w:rFonts w:ascii="Times New Roman" w:hAnsi="Times New Roman"/>
                <w:noProof/>
                <w:sz w:val="20"/>
                <w:szCs w:val="20"/>
              </w:rPr>
            </w:pPr>
            <w:r w:rsidRPr="00D4425F">
              <w:rPr>
                <w:rFonts w:ascii="Times New Roman" w:hAnsi="Times New Roman"/>
                <w:noProof/>
                <w:sz w:val="20"/>
                <w:szCs w:val="20"/>
              </w:rPr>
              <w:t>299</w:t>
            </w:r>
            <w:r>
              <w:rPr>
                <w:rFonts w:ascii="Times New Roman" w:hAnsi="Times New Roman"/>
                <w:noProof/>
                <w:sz w:val="20"/>
                <w:szCs w:val="20"/>
              </w:rPr>
              <w:t> </w:t>
            </w:r>
            <w:r w:rsidRPr="00D4425F">
              <w:rPr>
                <w:rFonts w:ascii="Times New Roman" w:hAnsi="Times New Roman"/>
                <w:noProof/>
                <w:sz w:val="20"/>
                <w:szCs w:val="20"/>
              </w:rPr>
              <w:t>610</w:t>
            </w:r>
          </w:p>
        </w:tc>
        <w:tc>
          <w:tcPr>
            <w:tcW w:w="1802" w:type="dxa"/>
            <w:tcBorders>
              <w:top w:val="double" w:sz="4" w:space="0" w:color="auto"/>
              <w:left w:val="double" w:sz="4" w:space="0" w:color="auto"/>
              <w:bottom w:val="double" w:sz="4" w:space="0" w:color="auto"/>
              <w:right w:val="double" w:sz="4" w:space="0" w:color="auto"/>
            </w:tcBorders>
            <w:vAlign w:val="center"/>
          </w:tcPr>
          <w:p w14:paraId="1AAFC327" w14:textId="5BD017D8" w:rsidR="00817385" w:rsidRPr="00DA11F1" w:rsidRDefault="00817385" w:rsidP="00473D74">
            <w:pPr>
              <w:spacing w:line="276" w:lineRule="auto"/>
              <w:rPr>
                <w:rFonts w:ascii="Times New Roman" w:hAnsi="Times New Roman"/>
                <w:noProof/>
                <w:sz w:val="20"/>
                <w:szCs w:val="20"/>
              </w:rPr>
            </w:pPr>
            <w:r w:rsidRPr="00D4425F">
              <w:rPr>
                <w:rFonts w:ascii="Times New Roman" w:hAnsi="Times New Roman"/>
                <w:noProof/>
                <w:sz w:val="20"/>
                <w:szCs w:val="20"/>
              </w:rPr>
              <w:t>283</w:t>
            </w:r>
            <w:r>
              <w:rPr>
                <w:rFonts w:ascii="Times New Roman" w:hAnsi="Times New Roman"/>
                <w:noProof/>
                <w:sz w:val="20"/>
                <w:szCs w:val="20"/>
              </w:rPr>
              <w:t> </w:t>
            </w:r>
            <w:r w:rsidRPr="00D4425F">
              <w:rPr>
                <w:rFonts w:ascii="Times New Roman" w:hAnsi="Times New Roman"/>
                <w:noProof/>
                <w:sz w:val="20"/>
                <w:szCs w:val="20"/>
              </w:rPr>
              <w:t>329</w:t>
            </w:r>
          </w:p>
        </w:tc>
        <w:tc>
          <w:tcPr>
            <w:tcW w:w="1856" w:type="dxa"/>
            <w:tcBorders>
              <w:top w:val="double" w:sz="4" w:space="0" w:color="auto"/>
              <w:left w:val="double" w:sz="4" w:space="0" w:color="auto"/>
              <w:bottom w:val="double" w:sz="4" w:space="0" w:color="auto"/>
              <w:right w:val="double" w:sz="4" w:space="0" w:color="auto"/>
            </w:tcBorders>
            <w:vAlign w:val="center"/>
          </w:tcPr>
          <w:p w14:paraId="63DE8004" w14:textId="00D89AB7" w:rsidR="00817385" w:rsidRPr="00DA11F1" w:rsidRDefault="00817385" w:rsidP="00473D74">
            <w:pPr>
              <w:spacing w:line="276" w:lineRule="auto"/>
              <w:rPr>
                <w:rFonts w:ascii="Times New Roman" w:hAnsi="Times New Roman"/>
                <w:noProof/>
                <w:sz w:val="20"/>
                <w:szCs w:val="20"/>
              </w:rPr>
            </w:pPr>
            <w:r w:rsidRPr="00D4425F">
              <w:rPr>
                <w:rFonts w:ascii="Times New Roman" w:hAnsi="Times New Roman"/>
                <w:noProof/>
                <w:sz w:val="20"/>
                <w:szCs w:val="20"/>
              </w:rPr>
              <w:t>366</w:t>
            </w:r>
            <w:r>
              <w:rPr>
                <w:rFonts w:ascii="Times New Roman" w:hAnsi="Times New Roman"/>
                <w:noProof/>
                <w:sz w:val="20"/>
                <w:szCs w:val="20"/>
              </w:rPr>
              <w:t> </w:t>
            </w:r>
            <w:r w:rsidRPr="00D4425F">
              <w:rPr>
                <w:rFonts w:ascii="Times New Roman" w:hAnsi="Times New Roman"/>
                <w:noProof/>
                <w:sz w:val="20"/>
                <w:szCs w:val="20"/>
              </w:rPr>
              <w:t>102</w:t>
            </w:r>
          </w:p>
        </w:tc>
      </w:tr>
      <w:tr w:rsidR="00ED4EB3" w:rsidRPr="00DA11F1" w14:paraId="706AE715" w14:textId="77777777" w:rsidTr="00473D74">
        <w:tc>
          <w:tcPr>
            <w:tcW w:w="2518" w:type="dxa"/>
            <w:tcBorders>
              <w:top w:val="double" w:sz="4" w:space="0" w:color="auto"/>
              <w:left w:val="double" w:sz="4" w:space="0" w:color="auto"/>
              <w:bottom w:val="double" w:sz="4" w:space="0" w:color="auto"/>
              <w:right w:val="double" w:sz="4" w:space="0" w:color="auto"/>
            </w:tcBorders>
            <w:vAlign w:val="center"/>
            <w:hideMark/>
          </w:tcPr>
          <w:p w14:paraId="1C30F691" w14:textId="77777777" w:rsidR="00ED4EB3" w:rsidRPr="00DA11F1" w:rsidRDefault="00ED4EB3" w:rsidP="00473D74">
            <w:pPr>
              <w:spacing w:line="276" w:lineRule="auto"/>
              <w:rPr>
                <w:rFonts w:ascii="Times New Roman" w:hAnsi="Times New Roman"/>
                <w:b/>
                <w:noProof/>
                <w:sz w:val="20"/>
                <w:szCs w:val="20"/>
              </w:rPr>
            </w:pPr>
            <w:r>
              <w:rPr>
                <w:rFonts w:ascii="Times New Roman" w:hAnsi="Times New Roman"/>
                <w:b/>
                <w:noProof/>
                <w:sz w:val="20"/>
                <w:szCs w:val="20"/>
              </w:rPr>
              <w:t xml:space="preserve">Aantal vaste installaties in </w:t>
            </w:r>
            <w:r w:rsidRPr="00D4425F">
              <w:rPr>
                <w:rFonts w:ascii="Times New Roman" w:hAnsi="Times New Roman"/>
                <w:b/>
                <w:noProof/>
                <w:sz w:val="20"/>
                <w:szCs w:val="20"/>
              </w:rPr>
              <w:t>2020</w:t>
            </w:r>
            <w:r>
              <w:rPr>
                <w:rFonts w:ascii="Times New Roman" w:hAnsi="Times New Roman"/>
                <w:b/>
                <w:noProof/>
                <w:sz w:val="20"/>
                <w:szCs w:val="20"/>
              </w:rPr>
              <w:t xml:space="preserve"> </w:t>
            </w:r>
          </w:p>
        </w:tc>
        <w:tc>
          <w:tcPr>
            <w:tcW w:w="3066" w:type="dxa"/>
            <w:gridSpan w:val="2"/>
            <w:tcBorders>
              <w:top w:val="double" w:sz="4" w:space="0" w:color="auto"/>
              <w:left w:val="double" w:sz="4" w:space="0" w:color="auto"/>
              <w:bottom w:val="double" w:sz="4" w:space="0" w:color="auto"/>
              <w:right w:val="double" w:sz="4" w:space="0" w:color="auto"/>
            </w:tcBorders>
            <w:vAlign w:val="center"/>
            <w:hideMark/>
          </w:tcPr>
          <w:p w14:paraId="1D6FE04F" w14:textId="10D62589" w:rsidR="00ED4EB3" w:rsidRPr="00DA11F1" w:rsidRDefault="00853904" w:rsidP="00473D74">
            <w:pPr>
              <w:spacing w:line="276" w:lineRule="auto"/>
              <w:rPr>
                <w:rFonts w:ascii="Times New Roman" w:hAnsi="Times New Roman"/>
                <w:noProof/>
                <w:sz w:val="20"/>
                <w:szCs w:val="20"/>
              </w:rPr>
            </w:pPr>
            <w:r w:rsidRPr="00D4425F">
              <w:rPr>
                <w:rFonts w:ascii="Times New Roman" w:hAnsi="Times New Roman"/>
                <w:noProof/>
                <w:sz w:val="20"/>
                <w:szCs w:val="20"/>
              </w:rPr>
              <w:t>10</w:t>
            </w:r>
            <w:r>
              <w:rPr>
                <w:rFonts w:ascii="Times New Roman" w:hAnsi="Times New Roman"/>
                <w:noProof/>
                <w:sz w:val="20"/>
                <w:szCs w:val="20"/>
              </w:rPr>
              <w:t> </w:t>
            </w:r>
            <w:r w:rsidRPr="00D4425F">
              <w:rPr>
                <w:rFonts w:ascii="Times New Roman" w:hAnsi="Times New Roman"/>
                <w:noProof/>
                <w:sz w:val="20"/>
                <w:szCs w:val="20"/>
              </w:rPr>
              <w:t>437</w:t>
            </w:r>
            <w:r w:rsidR="00FA2C7C" w:rsidRPr="00DA11F1">
              <w:rPr>
                <w:rStyle w:val="FootnoteReference"/>
                <w:rFonts w:ascii="Times New Roman" w:hAnsi="Times New Roman"/>
                <w:noProof/>
                <w:sz w:val="20"/>
                <w:szCs w:val="20"/>
              </w:rPr>
              <w:footnoteReference w:id="116"/>
            </w:r>
          </w:p>
        </w:tc>
        <w:tc>
          <w:tcPr>
            <w:tcW w:w="3658" w:type="dxa"/>
            <w:gridSpan w:val="2"/>
            <w:tcBorders>
              <w:top w:val="double" w:sz="4" w:space="0" w:color="auto"/>
              <w:left w:val="double" w:sz="4" w:space="0" w:color="auto"/>
              <w:bottom w:val="double" w:sz="4" w:space="0" w:color="auto"/>
              <w:right w:val="double" w:sz="4" w:space="0" w:color="auto"/>
            </w:tcBorders>
            <w:vAlign w:val="center"/>
            <w:hideMark/>
          </w:tcPr>
          <w:p w14:paraId="67FD030D" w14:textId="77777777" w:rsidR="00ED4EB3" w:rsidRPr="00DA11F1" w:rsidRDefault="00ED4EB3" w:rsidP="00473D74">
            <w:pPr>
              <w:spacing w:line="276" w:lineRule="auto"/>
              <w:rPr>
                <w:rFonts w:ascii="Times New Roman" w:hAnsi="Times New Roman"/>
                <w:noProof/>
                <w:sz w:val="20"/>
                <w:szCs w:val="20"/>
                <w:highlight w:val="yellow"/>
              </w:rPr>
            </w:pPr>
            <w:r w:rsidRPr="00D4425F">
              <w:rPr>
                <w:rFonts w:ascii="Times New Roman" w:hAnsi="Times New Roman"/>
                <w:noProof/>
                <w:sz w:val="20"/>
                <w:szCs w:val="20"/>
              </w:rPr>
              <w:t>51</w:t>
            </w:r>
          </w:p>
        </w:tc>
      </w:tr>
      <w:tr w:rsidR="00ED4EB3" w:rsidRPr="00DA11F1" w14:paraId="48F4FB7E" w14:textId="77777777" w:rsidTr="00473D74">
        <w:tc>
          <w:tcPr>
            <w:tcW w:w="2518" w:type="dxa"/>
            <w:tcBorders>
              <w:top w:val="double" w:sz="4" w:space="0" w:color="auto"/>
              <w:left w:val="double" w:sz="4" w:space="0" w:color="auto"/>
              <w:bottom w:val="double" w:sz="4" w:space="0" w:color="auto"/>
              <w:right w:val="double" w:sz="4" w:space="0" w:color="auto"/>
            </w:tcBorders>
            <w:vAlign w:val="center"/>
            <w:hideMark/>
          </w:tcPr>
          <w:p w14:paraId="502FF6E8" w14:textId="7796CAA2" w:rsidR="00ED4EB3" w:rsidRPr="00DA11F1" w:rsidRDefault="00ED4EB3" w:rsidP="00D4425F">
            <w:pPr>
              <w:spacing w:line="276" w:lineRule="auto"/>
              <w:rPr>
                <w:rFonts w:ascii="Times New Roman" w:hAnsi="Times New Roman"/>
                <w:b/>
                <w:noProof/>
                <w:sz w:val="20"/>
                <w:szCs w:val="20"/>
              </w:rPr>
            </w:pPr>
            <w:r>
              <w:rPr>
                <w:rFonts w:ascii="Times New Roman" w:hAnsi="Times New Roman"/>
                <w:b/>
                <w:noProof/>
                <w:sz w:val="20"/>
                <w:szCs w:val="20"/>
              </w:rPr>
              <w:t xml:space="preserve">Aantal luchtvaartexploitanten in </w:t>
            </w:r>
            <w:r w:rsidRPr="00D4425F">
              <w:rPr>
                <w:rFonts w:ascii="Times New Roman" w:hAnsi="Times New Roman"/>
                <w:b/>
                <w:noProof/>
                <w:sz w:val="20"/>
                <w:szCs w:val="20"/>
              </w:rPr>
              <w:t>2020</w:t>
            </w:r>
          </w:p>
        </w:tc>
        <w:tc>
          <w:tcPr>
            <w:tcW w:w="3066" w:type="dxa"/>
            <w:gridSpan w:val="2"/>
            <w:tcBorders>
              <w:top w:val="double" w:sz="4" w:space="0" w:color="auto"/>
              <w:left w:val="double" w:sz="4" w:space="0" w:color="auto"/>
              <w:bottom w:val="double" w:sz="4" w:space="0" w:color="auto"/>
              <w:right w:val="double" w:sz="4" w:space="0" w:color="auto"/>
            </w:tcBorders>
            <w:vAlign w:val="center"/>
            <w:hideMark/>
          </w:tcPr>
          <w:p w14:paraId="5B1FF9DF" w14:textId="5C0B3DD2" w:rsidR="00ED4EB3" w:rsidRPr="00DA11F1" w:rsidRDefault="00853904" w:rsidP="00473D74">
            <w:pPr>
              <w:spacing w:line="276" w:lineRule="auto"/>
              <w:rPr>
                <w:rFonts w:ascii="Times New Roman" w:hAnsi="Times New Roman"/>
                <w:noProof/>
                <w:sz w:val="20"/>
                <w:szCs w:val="20"/>
              </w:rPr>
            </w:pPr>
            <w:r w:rsidRPr="00D4425F">
              <w:rPr>
                <w:rFonts w:ascii="Times New Roman" w:hAnsi="Times New Roman"/>
                <w:noProof/>
                <w:sz w:val="20"/>
                <w:szCs w:val="20"/>
              </w:rPr>
              <w:t>352</w:t>
            </w:r>
            <w:r w:rsidR="00FA2C7C" w:rsidRPr="00DA11F1">
              <w:rPr>
                <w:rStyle w:val="FootnoteReference"/>
                <w:rFonts w:ascii="Times New Roman" w:hAnsi="Times New Roman"/>
                <w:noProof/>
                <w:sz w:val="20"/>
                <w:szCs w:val="20"/>
              </w:rPr>
              <w:footnoteReference w:id="117"/>
            </w:r>
          </w:p>
        </w:tc>
        <w:tc>
          <w:tcPr>
            <w:tcW w:w="3658" w:type="dxa"/>
            <w:gridSpan w:val="2"/>
            <w:tcBorders>
              <w:top w:val="double" w:sz="4" w:space="0" w:color="auto"/>
              <w:left w:val="double" w:sz="4" w:space="0" w:color="auto"/>
              <w:bottom w:val="double" w:sz="4" w:space="0" w:color="auto"/>
              <w:right w:val="double" w:sz="4" w:space="0" w:color="auto"/>
            </w:tcBorders>
            <w:vAlign w:val="center"/>
            <w:hideMark/>
          </w:tcPr>
          <w:p w14:paraId="74C1C6CF" w14:textId="77777777" w:rsidR="00ED4EB3" w:rsidRPr="00DA11F1" w:rsidRDefault="00ED4EB3" w:rsidP="00473D74">
            <w:pPr>
              <w:spacing w:line="276" w:lineRule="auto"/>
              <w:rPr>
                <w:rFonts w:ascii="Times New Roman" w:hAnsi="Times New Roman"/>
                <w:noProof/>
                <w:sz w:val="20"/>
                <w:szCs w:val="20"/>
                <w:highlight w:val="yellow"/>
              </w:rPr>
            </w:pPr>
            <w:r w:rsidRPr="00D4425F">
              <w:rPr>
                <w:rFonts w:ascii="Times New Roman" w:hAnsi="Times New Roman"/>
                <w:noProof/>
                <w:sz w:val="20"/>
                <w:szCs w:val="20"/>
              </w:rPr>
              <w:t>3</w:t>
            </w:r>
          </w:p>
        </w:tc>
      </w:tr>
    </w:tbl>
    <w:p w14:paraId="7960FA32" w14:textId="08CF9660" w:rsidR="00ED4EB3" w:rsidRPr="00DA11F1" w:rsidRDefault="00ED4EB3" w:rsidP="008E33DB">
      <w:pPr>
        <w:jc w:val="both"/>
        <w:rPr>
          <w:rFonts w:ascii="Times New Roman" w:eastAsia="Times New Roman" w:hAnsi="Times New Roman"/>
          <w:noProof/>
          <w:sz w:val="20"/>
          <w:szCs w:val="18"/>
        </w:rPr>
      </w:pPr>
      <w:r>
        <w:rPr>
          <w:rFonts w:ascii="Times New Roman" w:hAnsi="Times New Roman"/>
          <w:noProof/>
          <w:sz w:val="20"/>
          <w:szCs w:val="18"/>
        </w:rPr>
        <w:t>Bron: EUTL en het Zwitserse register</w:t>
      </w:r>
      <w:r w:rsidR="003805F8" w:rsidRPr="00DA11F1">
        <w:rPr>
          <w:rStyle w:val="FootnoteReference"/>
          <w:rFonts w:ascii="Times New Roman" w:eastAsia="Times New Roman" w:hAnsi="Times New Roman"/>
          <w:noProof/>
          <w:sz w:val="20"/>
          <w:szCs w:val="18"/>
          <w:lang w:eastAsia="en-GB"/>
        </w:rPr>
        <w:footnoteReference w:id="118"/>
      </w:r>
      <w:r>
        <w:rPr>
          <w:rFonts w:ascii="Times New Roman" w:hAnsi="Times New Roman"/>
          <w:noProof/>
          <w:sz w:val="20"/>
          <w:szCs w:val="18"/>
        </w:rPr>
        <w:t xml:space="preserve"> </w:t>
      </w:r>
    </w:p>
    <w:p w14:paraId="314A4F28" w14:textId="43BF9861" w:rsidR="00ED4EB3" w:rsidRPr="00DA11F1" w:rsidRDefault="00B70767" w:rsidP="008E33DB">
      <w:pPr>
        <w:jc w:val="both"/>
        <w:rPr>
          <w:rFonts w:ascii="Times New Roman" w:eastAsia="SimSun" w:hAnsi="Times New Roman"/>
          <w:noProof/>
          <w:sz w:val="24"/>
          <w:szCs w:val="24"/>
        </w:rPr>
      </w:pPr>
      <w:r>
        <w:rPr>
          <w:rFonts w:ascii="Times New Roman" w:hAnsi="Times New Roman"/>
          <w:noProof/>
          <w:sz w:val="24"/>
          <w:szCs w:val="24"/>
        </w:rPr>
        <w:t>Vanaf de inwerkingtreding van de koppelingsovereenkomst kunnen emissies die onder een van beide systemen vallen, worden gedekt door emissierechten in te leveren die onder een van beide systemen zijn verleend. De exploitanten van beide systemen hebben zodoende toegang tot een grotere markt, wat efficiëntiewinst kan opleveren. Om dit mogelijk te maken, werd overeenkomstig artikel </w:t>
      </w:r>
      <w:r w:rsidRPr="00D4425F">
        <w:rPr>
          <w:rFonts w:ascii="Times New Roman" w:hAnsi="Times New Roman"/>
          <w:noProof/>
          <w:sz w:val="24"/>
          <w:szCs w:val="24"/>
        </w:rPr>
        <w:t>3</w:t>
      </w:r>
      <w:r>
        <w:rPr>
          <w:rFonts w:ascii="Times New Roman" w:hAnsi="Times New Roman"/>
          <w:noProof/>
          <w:sz w:val="24"/>
          <w:szCs w:val="24"/>
        </w:rPr>
        <w:t>, lid </w:t>
      </w:r>
      <w:r w:rsidRPr="00D4425F">
        <w:rPr>
          <w:rFonts w:ascii="Times New Roman" w:hAnsi="Times New Roman"/>
          <w:noProof/>
          <w:sz w:val="24"/>
          <w:szCs w:val="24"/>
        </w:rPr>
        <w:t>2</w:t>
      </w:r>
      <w:r>
        <w:rPr>
          <w:rFonts w:ascii="Times New Roman" w:hAnsi="Times New Roman"/>
          <w:noProof/>
          <w:sz w:val="24"/>
          <w:szCs w:val="24"/>
        </w:rPr>
        <w:t xml:space="preserve">, van de overeenkomst een directe koppeling tussen de registers van beide systemen tot stand gebracht om emissierechten van een rekening in het ene systeem over te dragen naar een rekening in het andere systeem. </w:t>
      </w:r>
    </w:p>
    <w:p w14:paraId="574EF562" w14:textId="4CDEE87E" w:rsidR="00B70767" w:rsidRPr="00DA11F1" w:rsidRDefault="00B70767" w:rsidP="008E33DB">
      <w:pPr>
        <w:jc w:val="both"/>
        <w:rPr>
          <w:rFonts w:ascii="Times New Roman" w:eastAsia="SimSun" w:hAnsi="Times New Roman"/>
          <w:noProof/>
          <w:sz w:val="24"/>
          <w:szCs w:val="24"/>
        </w:rPr>
      </w:pPr>
      <w:r>
        <w:rPr>
          <w:rFonts w:ascii="Times New Roman" w:hAnsi="Times New Roman"/>
          <w:noProof/>
          <w:sz w:val="24"/>
          <w:szCs w:val="24"/>
        </w:rPr>
        <w:t xml:space="preserve">Na de inwerkingtreding van de koppelingsovereenkomst in </w:t>
      </w:r>
      <w:r w:rsidRPr="00D4425F">
        <w:rPr>
          <w:rFonts w:ascii="Times New Roman" w:hAnsi="Times New Roman"/>
          <w:noProof/>
          <w:sz w:val="24"/>
          <w:szCs w:val="24"/>
        </w:rPr>
        <w:t>2020</w:t>
      </w:r>
      <w:r>
        <w:rPr>
          <w:rFonts w:ascii="Times New Roman" w:hAnsi="Times New Roman"/>
          <w:noProof/>
          <w:sz w:val="24"/>
          <w:szCs w:val="24"/>
        </w:rPr>
        <w:t xml:space="preserve"> gebruikten exploitanten (zowel van vaste installaties als van de luchtvaart) </w:t>
      </w:r>
      <w:r w:rsidRPr="00D4425F">
        <w:rPr>
          <w:rFonts w:ascii="Times New Roman" w:hAnsi="Times New Roman"/>
          <w:noProof/>
          <w:sz w:val="24"/>
          <w:szCs w:val="24"/>
        </w:rPr>
        <w:t>642</w:t>
      </w:r>
      <w:r>
        <w:rPr>
          <w:rFonts w:ascii="Times New Roman" w:hAnsi="Times New Roman"/>
          <w:noProof/>
          <w:sz w:val="24"/>
          <w:szCs w:val="24"/>
        </w:rPr>
        <w:t> </w:t>
      </w:r>
      <w:r w:rsidRPr="00D4425F">
        <w:rPr>
          <w:rFonts w:ascii="Times New Roman" w:hAnsi="Times New Roman"/>
          <w:noProof/>
          <w:sz w:val="24"/>
          <w:szCs w:val="24"/>
        </w:rPr>
        <w:t>413</w:t>
      </w:r>
      <w:r w:rsidR="00AD1EAB">
        <w:rPr>
          <w:rFonts w:ascii="Times New Roman" w:hAnsi="Times New Roman"/>
          <w:noProof/>
          <w:sz w:val="24"/>
          <w:szCs w:val="24"/>
        </w:rPr>
        <w:t xml:space="preserve"> </w:t>
      </w:r>
      <w:r>
        <w:rPr>
          <w:rFonts w:ascii="Times New Roman" w:hAnsi="Times New Roman"/>
          <w:noProof/>
          <w:sz w:val="24"/>
          <w:szCs w:val="24"/>
        </w:rPr>
        <w:t>onder het Zwitserse ETS verleende emissierechten</w:t>
      </w:r>
      <w:r w:rsidR="00475FF5" w:rsidRPr="00DA11F1">
        <w:rPr>
          <w:rStyle w:val="FootnoteReference"/>
          <w:rFonts w:ascii="Times New Roman" w:eastAsia="SimSun" w:hAnsi="Times New Roman"/>
          <w:noProof/>
          <w:sz w:val="24"/>
          <w:szCs w:val="24"/>
          <w:lang w:eastAsia="zh-CN"/>
        </w:rPr>
        <w:footnoteReference w:id="119"/>
      </w:r>
      <w:r>
        <w:rPr>
          <w:rFonts w:ascii="Times New Roman" w:hAnsi="Times New Roman"/>
          <w:noProof/>
          <w:sz w:val="24"/>
          <w:szCs w:val="24"/>
        </w:rPr>
        <w:t xml:space="preserve">, gebruikmakend van de grotere flexibiliteit die de koppeling tussen het EU-ETS en het Zwitserse ETS biedt. </w:t>
      </w:r>
    </w:p>
    <w:p w14:paraId="6A4C50DE" w14:textId="77D6D52B" w:rsidR="00B70767" w:rsidRPr="00DA11F1" w:rsidRDefault="001C7AFF" w:rsidP="008E33DB">
      <w:pPr>
        <w:jc w:val="both"/>
        <w:rPr>
          <w:rFonts w:ascii="Times New Roman" w:eastAsia="SimSun" w:hAnsi="Times New Roman"/>
          <w:noProof/>
          <w:sz w:val="24"/>
          <w:szCs w:val="24"/>
        </w:rPr>
      </w:pPr>
      <w:r>
        <w:rPr>
          <w:rFonts w:ascii="Times New Roman" w:hAnsi="Times New Roman"/>
          <w:noProof/>
          <w:sz w:val="24"/>
          <w:szCs w:val="24"/>
        </w:rPr>
        <w:t>Uit de tabellen </w:t>
      </w:r>
      <w:r w:rsidRPr="00D4425F">
        <w:rPr>
          <w:rFonts w:ascii="Times New Roman" w:hAnsi="Times New Roman"/>
          <w:noProof/>
          <w:sz w:val="24"/>
          <w:szCs w:val="24"/>
        </w:rPr>
        <w:t>8</w:t>
      </w:r>
      <w:r>
        <w:rPr>
          <w:rFonts w:ascii="Times New Roman" w:hAnsi="Times New Roman"/>
          <w:noProof/>
          <w:sz w:val="24"/>
          <w:szCs w:val="24"/>
        </w:rPr>
        <w:t xml:space="preserve"> en </w:t>
      </w:r>
      <w:r w:rsidRPr="00D4425F">
        <w:rPr>
          <w:rFonts w:ascii="Times New Roman" w:hAnsi="Times New Roman"/>
          <w:noProof/>
          <w:sz w:val="24"/>
          <w:szCs w:val="24"/>
        </w:rPr>
        <w:t>9</w:t>
      </w:r>
      <w:r>
        <w:rPr>
          <w:rFonts w:ascii="Times New Roman" w:hAnsi="Times New Roman"/>
          <w:noProof/>
          <w:sz w:val="24"/>
          <w:szCs w:val="24"/>
        </w:rPr>
        <w:t xml:space="preserve"> blijkt het effect van de koppeling of de mate waarin door het EU-ETS (</w:t>
      </w:r>
      <w:r w:rsidR="00351634" w:rsidRPr="00DA11F1">
        <w:rPr>
          <w:rFonts w:ascii="Times New Roman" w:eastAsia="SimSun" w:hAnsi="Times New Roman"/>
          <w:noProof/>
          <w:sz w:val="24"/>
          <w:szCs w:val="24"/>
        </w:rPr>
        <w:fldChar w:fldCharType="begin"/>
      </w:r>
      <w:r w:rsidR="00351634" w:rsidRPr="00DA11F1">
        <w:rPr>
          <w:rFonts w:ascii="Times New Roman" w:eastAsia="SimSun" w:hAnsi="Times New Roman"/>
          <w:noProof/>
          <w:sz w:val="24"/>
          <w:szCs w:val="24"/>
        </w:rPr>
        <w:instrText xml:space="preserve"> REF _Ref85055473 </w:instrText>
      </w:r>
      <w:r w:rsidR="0066011F" w:rsidRPr="00DA11F1">
        <w:rPr>
          <w:rFonts w:ascii="Times New Roman" w:eastAsia="SimSun" w:hAnsi="Times New Roman"/>
          <w:noProof/>
          <w:sz w:val="24"/>
          <w:szCs w:val="24"/>
        </w:rPr>
        <w:instrText xml:space="preserve"> \* MERGEFORMAT </w:instrText>
      </w:r>
      <w:r w:rsidR="00351634" w:rsidRPr="00DA11F1">
        <w:rPr>
          <w:rFonts w:ascii="Times New Roman" w:eastAsia="SimSun" w:hAnsi="Times New Roman"/>
          <w:noProof/>
          <w:sz w:val="24"/>
          <w:szCs w:val="24"/>
        </w:rPr>
        <w:fldChar w:fldCharType="separate"/>
      </w:r>
      <w:r w:rsidR="00AD1EAB">
        <w:rPr>
          <w:rFonts w:ascii="Times New Roman" w:hAnsi="Times New Roman"/>
          <w:noProof/>
          <w:sz w:val="24"/>
          <w:szCs w:val="24"/>
        </w:rPr>
        <w:t>Tab</w:t>
      </w:r>
      <w:r w:rsidR="006050B5" w:rsidRPr="006050B5">
        <w:rPr>
          <w:rFonts w:ascii="Times New Roman" w:hAnsi="Times New Roman"/>
          <w:noProof/>
          <w:sz w:val="24"/>
          <w:szCs w:val="24"/>
        </w:rPr>
        <w:t>e</w:t>
      </w:r>
      <w:r w:rsidR="00AD1EAB">
        <w:rPr>
          <w:rFonts w:ascii="Times New Roman" w:hAnsi="Times New Roman"/>
          <w:noProof/>
          <w:sz w:val="24"/>
          <w:szCs w:val="24"/>
        </w:rPr>
        <w:t>l </w:t>
      </w:r>
      <w:r w:rsidR="006050B5" w:rsidRPr="00D4425F">
        <w:rPr>
          <w:rFonts w:ascii="Times New Roman" w:hAnsi="Times New Roman"/>
          <w:noProof/>
          <w:sz w:val="24"/>
          <w:szCs w:val="24"/>
        </w:rPr>
        <w:t>8</w:t>
      </w:r>
      <w:r w:rsidR="00351634" w:rsidRPr="00DA11F1">
        <w:rPr>
          <w:rFonts w:ascii="Times New Roman" w:eastAsia="SimSun" w:hAnsi="Times New Roman"/>
          <w:noProof/>
          <w:sz w:val="24"/>
          <w:szCs w:val="24"/>
        </w:rPr>
        <w:fldChar w:fldCharType="end"/>
      </w:r>
      <w:r>
        <w:rPr>
          <w:rFonts w:ascii="Times New Roman" w:hAnsi="Times New Roman"/>
          <w:noProof/>
          <w:sz w:val="24"/>
          <w:szCs w:val="24"/>
        </w:rPr>
        <w:t>) of het Zwitserse ETS (</w:t>
      </w:r>
      <w:r w:rsidR="00351634" w:rsidRPr="00DA11F1">
        <w:rPr>
          <w:rFonts w:ascii="Times New Roman" w:eastAsia="SimSun" w:hAnsi="Times New Roman"/>
          <w:noProof/>
          <w:sz w:val="28"/>
          <w:szCs w:val="24"/>
        </w:rPr>
        <w:fldChar w:fldCharType="begin"/>
      </w:r>
      <w:r w:rsidR="00351634" w:rsidRPr="00DA11F1">
        <w:rPr>
          <w:rFonts w:ascii="Times New Roman" w:eastAsia="SimSun" w:hAnsi="Times New Roman"/>
          <w:noProof/>
          <w:sz w:val="28"/>
          <w:szCs w:val="24"/>
        </w:rPr>
        <w:instrText xml:space="preserve"> REF _Ref85055597 </w:instrText>
      </w:r>
      <w:r w:rsidR="0066011F" w:rsidRPr="00DA11F1">
        <w:rPr>
          <w:rFonts w:ascii="Times New Roman" w:eastAsia="SimSun" w:hAnsi="Times New Roman"/>
          <w:noProof/>
          <w:sz w:val="28"/>
          <w:szCs w:val="24"/>
        </w:rPr>
        <w:instrText xml:space="preserve"> \* MERGEFORMAT </w:instrText>
      </w:r>
      <w:r w:rsidR="00351634" w:rsidRPr="00DA11F1">
        <w:rPr>
          <w:rFonts w:ascii="Times New Roman" w:eastAsia="SimSun" w:hAnsi="Times New Roman"/>
          <w:noProof/>
          <w:sz w:val="28"/>
          <w:szCs w:val="24"/>
        </w:rPr>
        <w:fldChar w:fldCharType="separate"/>
      </w:r>
      <w:r w:rsidR="006050B5" w:rsidRPr="006050B5">
        <w:rPr>
          <w:rFonts w:ascii="Times New Roman" w:hAnsi="Times New Roman"/>
          <w:noProof/>
          <w:sz w:val="24"/>
        </w:rPr>
        <w:t>Tabe</w:t>
      </w:r>
      <w:r w:rsidR="00AD1EAB">
        <w:rPr>
          <w:rFonts w:ascii="Times New Roman" w:hAnsi="Times New Roman"/>
          <w:noProof/>
          <w:sz w:val="24"/>
        </w:rPr>
        <w:t>l </w:t>
      </w:r>
      <w:r w:rsidR="006050B5" w:rsidRPr="00D4425F">
        <w:rPr>
          <w:rFonts w:ascii="Times New Roman" w:hAnsi="Times New Roman"/>
          <w:noProof/>
          <w:sz w:val="24"/>
        </w:rPr>
        <w:t>9</w:t>
      </w:r>
      <w:r w:rsidR="00351634" w:rsidRPr="00DA11F1">
        <w:rPr>
          <w:rFonts w:ascii="Times New Roman" w:eastAsia="SimSun" w:hAnsi="Times New Roman"/>
          <w:noProof/>
          <w:sz w:val="28"/>
          <w:szCs w:val="24"/>
        </w:rPr>
        <w:fldChar w:fldCharType="end"/>
      </w:r>
      <w:r>
        <w:rPr>
          <w:rFonts w:ascii="Times New Roman" w:hAnsi="Times New Roman"/>
          <w:noProof/>
          <w:sz w:val="24"/>
          <w:szCs w:val="24"/>
        </w:rPr>
        <w:t xml:space="preserve">) geadministreerde exploitanten van de koppeling hebben geprofiteerd door onder het andere systeem verleende emissierechten te gebruiken om hun inleveringsverplichtingen na te komen. </w:t>
      </w:r>
    </w:p>
    <w:p w14:paraId="39722BC3" w14:textId="4B427266" w:rsidR="003B74E6" w:rsidRPr="00DA11F1" w:rsidRDefault="003B74E6" w:rsidP="008E33DB">
      <w:pPr>
        <w:jc w:val="both"/>
        <w:rPr>
          <w:rFonts w:ascii="Times New Roman" w:eastAsia="SimSun" w:hAnsi="Times New Roman"/>
          <w:noProof/>
          <w:sz w:val="24"/>
        </w:rPr>
      </w:pPr>
      <w:r>
        <w:rPr>
          <w:rFonts w:ascii="Times New Roman" w:hAnsi="Times New Roman"/>
          <w:noProof/>
          <w:sz w:val="24"/>
        </w:rPr>
        <w:t xml:space="preserve">In het EU-ETS gebruikten vaste installaties slechts in zeer geringe mate Zwitserse ETS-emissierechten voor naleving: </w:t>
      </w:r>
      <w:r w:rsidRPr="00D4425F">
        <w:rPr>
          <w:rFonts w:ascii="Times New Roman" w:hAnsi="Times New Roman"/>
          <w:noProof/>
          <w:sz w:val="24"/>
        </w:rPr>
        <w:t>0</w:t>
      </w:r>
      <w:r>
        <w:rPr>
          <w:rFonts w:ascii="Times New Roman" w:hAnsi="Times New Roman"/>
          <w:noProof/>
          <w:sz w:val="24"/>
        </w:rPr>
        <w:t>,</w:t>
      </w:r>
      <w:r w:rsidRPr="00D4425F">
        <w:rPr>
          <w:rFonts w:ascii="Times New Roman" w:hAnsi="Times New Roman"/>
          <w:noProof/>
          <w:sz w:val="24"/>
        </w:rPr>
        <w:t>0044</w:t>
      </w:r>
      <w:r>
        <w:rPr>
          <w:rFonts w:ascii="Times New Roman" w:hAnsi="Times New Roman"/>
          <w:noProof/>
          <w:sz w:val="24"/>
        </w:rPr>
        <w:t xml:space="preserve"> % van de verplichtingen werd nagekomen met minder dan </w:t>
      </w:r>
      <w:r w:rsidRPr="00D4425F">
        <w:rPr>
          <w:rFonts w:ascii="Times New Roman" w:hAnsi="Times New Roman"/>
          <w:noProof/>
          <w:sz w:val="24"/>
        </w:rPr>
        <w:t>60</w:t>
      </w:r>
      <w:r>
        <w:rPr>
          <w:rFonts w:ascii="Times New Roman" w:hAnsi="Times New Roman"/>
          <w:noProof/>
          <w:sz w:val="24"/>
        </w:rPr>
        <w:t> </w:t>
      </w:r>
      <w:r w:rsidRPr="00D4425F">
        <w:rPr>
          <w:rFonts w:ascii="Times New Roman" w:hAnsi="Times New Roman"/>
          <w:noProof/>
          <w:sz w:val="24"/>
        </w:rPr>
        <w:t>000</w:t>
      </w:r>
      <w:r>
        <w:rPr>
          <w:rFonts w:ascii="Times New Roman" w:hAnsi="Times New Roman"/>
          <w:noProof/>
          <w:sz w:val="24"/>
        </w:rPr>
        <w:t xml:space="preserve"> Zwitserse algemene emissierechten. Onder het EU-ETS vallende vliegtuigexploitanten voldeden aan </w:t>
      </w:r>
      <w:r w:rsidRPr="00D4425F">
        <w:rPr>
          <w:rFonts w:ascii="Times New Roman" w:hAnsi="Times New Roman"/>
          <w:noProof/>
          <w:sz w:val="24"/>
        </w:rPr>
        <w:t>2</w:t>
      </w:r>
      <w:r>
        <w:rPr>
          <w:rFonts w:ascii="Times New Roman" w:hAnsi="Times New Roman"/>
          <w:noProof/>
          <w:sz w:val="24"/>
        </w:rPr>
        <w:t>,</w:t>
      </w:r>
      <w:r w:rsidRPr="00D4425F">
        <w:rPr>
          <w:rFonts w:ascii="Times New Roman" w:hAnsi="Times New Roman"/>
          <w:noProof/>
          <w:sz w:val="24"/>
        </w:rPr>
        <w:t>34</w:t>
      </w:r>
      <w:r>
        <w:rPr>
          <w:rFonts w:ascii="Times New Roman" w:hAnsi="Times New Roman"/>
          <w:noProof/>
          <w:sz w:val="24"/>
        </w:rPr>
        <w:t> % van de verplichtingen met Zwitserse luchtvaartemissierechten, maar ni</w:t>
      </w:r>
      <w:r w:rsidR="002E48F8">
        <w:rPr>
          <w:rFonts w:ascii="Times New Roman" w:hAnsi="Times New Roman"/>
          <w:noProof/>
          <w:sz w:val="24"/>
        </w:rPr>
        <w:t>et met algemene emissierechten.</w:t>
      </w:r>
    </w:p>
    <w:p w14:paraId="2208D3C9" w14:textId="1DF3B5EA" w:rsidR="00DB4F75" w:rsidRPr="00DA11F1" w:rsidRDefault="00DB4F75" w:rsidP="008E33DB">
      <w:pPr>
        <w:pStyle w:val="Caption"/>
        <w:keepNext/>
        <w:rPr>
          <w:rFonts w:ascii="Times New Roman" w:hAnsi="Times New Roman"/>
          <w:noProof/>
          <w:sz w:val="24"/>
        </w:rPr>
      </w:pPr>
      <w:bookmarkStart w:id="71" w:name="_Ref85055473"/>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sidRPr="00D4425F">
        <w:rPr>
          <w:rFonts w:ascii="Times New Roman" w:hAnsi="Times New Roman"/>
          <w:noProof/>
          <w:sz w:val="22"/>
        </w:rPr>
        <w:t>8</w:t>
      </w:r>
      <w:r w:rsidRPr="00DA11F1">
        <w:rPr>
          <w:rFonts w:ascii="Times New Roman" w:hAnsi="Times New Roman"/>
          <w:noProof/>
          <w:sz w:val="22"/>
        </w:rPr>
        <w:fldChar w:fldCharType="end"/>
      </w:r>
      <w:bookmarkEnd w:id="71"/>
      <w:r>
        <w:rPr>
          <w:noProof/>
        </w:rPr>
        <w:t>.</w:t>
      </w:r>
      <w:r>
        <w:rPr>
          <w:rFonts w:ascii="Times New Roman" w:hAnsi="Times New Roman"/>
          <w:noProof/>
          <w:sz w:val="22"/>
        </w:rPr>
        <w:t xml:space="preserve"> Voor naleving in het EU-ETS gebruikte eenheden</w:t>
      </w:r>
    </w:p>
    <w:p w14:paraId="683B0CB1" w14:textId="0855420F" w:rsidR="00B70767" w:rsidRPr="00DA11F1" w:rsidRDefault="00AD2714" w:rsidP="008E33DB">
      <w:pPr>
        <w:rPr>
          <w:rFonts w:ascii="Times New Roman" w:eastAsia="SimSun" w:hAnsi="Times New Roman"/>
          <w:noProof/>
        </w:rPr>
      </w:pPr>
      <w:r w:rsidRPr="00A461B4">
        <w:rPr>
          <w:noProof/>
          <w:lang w:val="en-GB" w:eastAsia="en-GB"/>
        </w:rPr>
        <w:drawing>
          <wp:inline distT="0" distB="0" distL="0" distR="0" wp14:anchorId="49D3F40B" wp14:editId="6C7C033D">
            <wp:extent cx="5731510" cy="162433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1510" cy="1624330"/>
                    </a:xfrm>
                    <a:prstGeom prst="rect">
                      <a:avLst/>
                    </a:prstGeom>
                    <a:noFill/>
                    <a:ln>
                      <a:noFill/>
                    </a:ln>
                  </pic:spPr>
                </pic:pic>
              </a:graphicData>
            </a:graphic>
          </wp:inline>
        </w:drawing>
      </w:r>
    </w:p>
    <w:p w14:paraId="481AFF75" w14:textId="642ACFD6" w:rsidR="003B74E6" w:rsidRDefault="003B74E6" w:rsidP="008E33DB">
      <w:pPr>
        <w:jc w:val="both"/>
        <w:rPr>
          <w:rFonts w:ascii="Times New Roman" w:eastAsia="SimSun" w:hAnsi="Times New Roman"/>
          <w:noProof/>
          <w:sz w:val="24"/>
          <w:szCs w:val="24"/>
        </w:rPr>
      </w:pPr>
      <w:r>
        <w:rPr>
          <w:rFonts w:ascii="Times New Roman" w:hAnsi="Times New Roman"/>
          <w:noProof/>
          <w:sz w:val="24"/>
          <w:szCs w:val="24"/>
        </w:rPr>
        <w:t xml:space="preserve">In het Zwitserse ETS voldeden vaste installaties aan </w:t>
      </w:r>
      <w:r w:rsidRPr="00D4425F">
        <w:rPr>
          <w:rFonts w:ascii="Times New Roman" w:hAnsi="Times New Roman"/>
          <w:noProof/>
          <w:sz w:val="24"/>
          <w:szCs w:val="24"/>
        </w:rPr>
        <w:t>0</w:t>
      </w:r>
      <w:r>
        <w:rPr>
          <w:rFonts w:ascii="Times New Roman" w:hAnsi="Times New Roman"/>
          <w:noProof/>
          <w:sz w:val="24"/>
          <w:szCs w:val="24"/>
        </w:rPr>
        <w:t>,</w:t>
      </w:r>
      <w:r w:rsidRPr="00D4425F">
        <w:rPr>
          <w:rFonts w:ascii="Times New Roman" w:hAnsi="Times New Roman"/>
          <w:noProof/>
          <w:sz w:val="24"/>
          <w:szCs w:val="24"/>
        </w:rPr>
        <w:t>19</w:t>
      </w:r>
      <w:r>
        <w:rPr>
          <w:rFonts w:ascii="Times New Roman" w:hAnsi="Times New Roman"/>
          <w:noProof/>
          <w:sz w:val="24"/>
          <w:szCs w:val="24"/>
        </w:rPr>
        <w:t xml:space="preserve"> % van hun verplichtingen met EU-ETS-emissierechten. De algemene en luchtvaartemissierechten van het EU-ETS waren daarentegen goed voor meer dan </w:t>
      </w:r>
      <w:r w:rsidRPr="00D4425F">
        <w:rPr>
          <w:rFonts w:ascii="Times New Roman" w:hAnsi="Times New Roman"/>
          <w:noProof/>
          <w:sz w:val="24"/>
          <w:szCs w:val="24"/>
        </w:rPr>
        <w:t>40</w:t>
      </w:r>
      <w:r>
        <w:rPr>
          <w:rFonts w:ascii="Times New Roman" w:hAnsi="Times New Roman"/>
          <w:noProof/>
          <w:sz w:val="24"/>
          <w:szCs w:val="24"/>
        </w:rPr>
        <w:t> % van de naleving door de vliegtuigexploitanten die onder het Zwitserse ETS vallen. Dit was het gevolg van de toewijzing van emissierechten uit de EU die sommige exploitanten in het Zwitserse ETS hebben ontvangen om hun emissies onder het EU-ETS te dekken.</w:t>
      </w:r>
    </w:p>
    <w:p w14:paraId="736F358A" w14:textId="355B142C" w:rsidR="00351634" w:rsidRPr="00DA11F1" w:rsidRDefault="00351634" w:rsidP="008E33DB">
      <w:pPr>
        <w:pStyle w:val="Caption"/>
        <w:keepNext/>
        <w:jc w:val="both"/>
        <w:rPr>
          <w:rFonts w:ascii="Times New Roman" w:hAnsi="Times New Roman"/>
          <w:noProof/>
          <w:sz w:val="22"/>
        </w:rPr>
      </w:pPr>
      <w:bookmarkStart w:id="72" w:name="_Ref85055597"/>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6050B5" w:rsidRPr="00D4425F">
        <w:rPr>
          <w:rFonts w:ascii="Times New Roman" w:hAnsi="Times New Roman"/>
          <w:noProof/>
          <w:sz w:val="22"/>
        </w:rPr>
        <w:t>9</w:t>
      </w:r>
      <w:r w:rsidRPr="00DA11F1">
        <w:rPr>
          <w:rFonts w:ascii="Times New Roman" w:hAnsi="Times New Roman"/>
          <w:noProof/>
          <w:sz w:val="22"/>
        </w:rPr>
        <w:fldChar w:fldCharType="end"/>
      </w:r>
      <w:bookmarkEnd w:id="72"/>
      <w:r>
        <w:rPr>
          <w:noProof/>
        </w:rPr>
        <w:t>.</w:t>
      </w:r>
      <w:r>
        <w:rPr>
          <w:rFonts w:ascii="Times New Roman" w:hAnsi="Times New Roman"/>
          <w:noProof/>
          <w:sz w:val="22"/>
        </w:rPr>
        <w:t xml:space="preserve"> Voor naleving in het Zwitserse ETS gebruikte eenheden</w:t>
      </w:r>
    </w:p>
    <w:p w14:paraId="1F63C4D9" w14:textId="47C9D1AE" w:rsidR="00CF3C68" w:rsidRPr="00DA11F1" w:rsidRDefault="00AD2714" w:rsidP="008E33DB">
      <w:pPr>
        <w:jc w:val="both"/>
        <w:rPr>
          <w:rFonts w:ascii="Times New Roman" w:eastAsia="SimSun" w:hAnsi="Times New Roman"/>
          <w:noProof/>
          <w:sz w:val="24"/>
        </w:rPr>
      </w:pPr>
      <w:r w:rsidRPr="00A461B4">
        <w:rPr>
          <w:noProof/>
          <w:lang w:val="en-GB" w:eastAsia="en-GB"/>
        </w:rPr>
        <w:drawing>
          <wp:inline distT="0" distB="0" distL="0" distR="0" wp14:anchorId="247DE152" wp14:editId="10E0291B">
            <wp:extent cx="5731510" cy="1625600"/>
            <wp:effectExtent l="0" t="0" r="254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1510" cy="1625600"/>
                    </a:xfrm>
                    <a:prstGeom prst="rect">
                      <a:avLst/>
                    </a:prstGeom>
                    <a:noFill/>
                    <a:ln>
                      <a:noFill/>
                    </a:ln>
                  </pic:spPr>
                </pic:pic>
              </a:graphicData>
            </a:graphic>
          </wp:inline>
        </w:drawing>
      </w:r>
    </w:p>
    <w:p w14:paraId="5265427A" w14:textId="2CAD76D5" w:rsidR="00676166" w:rsidRPr="00DA11F1" w:rsidRDefault="00676166" w:rsidP="008E33DB">
      <w:pPr>
        <w:pStyle w:val="Caption"/>
        <w:keepNext/>
        <w:jc w:val="both"/>
        <w:rPr>
          <w:rFonts w:ascii="Times New Roman" w:hAnsi="Times New Roman"/>
          <w:noProof/>
          <w:sz w:val="22"/>
        </w:rPr>
      </w:pPr>
      <w:bookmarkStart w:id="73" w:name="_Ref85057015"/>
      <w:r>
        <w:rPr>
          <w:rFonts w:ascii="Times New Roman" w:hAnsi="Times New Roman"/>
          <w:noProof/>
          <w:sz w:val="22"/>
        </w:rPr>
        <w:t>Tabel </w:t>
      </w:r>
      <w:r w:rsidRPr="00DA11F1">
        <w:rPr>
          <w:rFonts w:ascii="Times New Roman" w:hAnsi="Times New Roman"/>
          <w:noProof/>
          <w:sz w:val="22"/>
        </w:rPr>
        <w:fldChar w:fldCharType="begin"/>
      </w:r>
      <w:r w:rsidRPr="00DA11F1">
        <w:rPr>
          <w:rFonts w:ascii="Times New Roman" w:hAnsi="Times New Roman"/>
          <w:noProof/>
          <w:sz w:val="22"/>
        </w:rPr>
        <w:instrText xml:space="preserve"> SEQ Table \* ARABIC </w:instrText>
      </w:r>
      <w:r w:rsidRPr="00DA11F1">
        <w:rPr>
          <w:rFonts w:ascii="Times New Roman" w:hAnsi="Times New Roman"/>
          <w:noProof/>
          <w:sz w:val="22"/>
        </w:rPr>
        <w:fldChar w:fldCharType="separate"/>
      </w:r>
      <w:r w:rsidR="004745AA" w:rsidRPr="00D4425F">
        <w:rPr>
          <w:rFonts w:ascii="Times New Roman" w:hAnsi="Times New Roman"/>
          <w:noProof/>
          <w:sz w:val="22"/>
        </w:rPr>
        <w:t>10</w:t>
      </w:r>
      <w:r w:rsidRPr="00DA11F1">
        <w:rPr>
          <w:rFonts w:ascii="Times New Roman" w:hAnsi="Times New Roman"/>
          <w:noProof/>
          <w:sz w:val="22"/>
        </w:rPr>
        <w:fldChar w:fldCharType="end"/>
      </w:r>
      <w:bookmarkEnd w:id="73"/>
      <w:r>
        <w:rPr>
          <w:noProof/>
        </w:rPr>
        <w:t>.</w:t>
      </w:r>
      <w:r>
        <w:rPr>
          <w:rFonts w:ascii="Times New Roman" w:hAnsi="Times New Roman"/>
          <w:noProof/>
          <w:sz w:val="22"/>
        </w:rPr>
        <w:t xml:space="preserve"> Overdrachten van emissierechten tussen het EU-ETS en het Zwitserse ETS, september </w:t>
      </w:r>
      <w:r w:rsidRPr="00D4425F">
        <w:rPr>
          <w:rFonts w:ascii="Times New Roman" w:hAnsi="Times New Roman"/>
          <w:noProof/>
          <w:sz w:val="22"/>
        </w:rPr>
        <w:t>2020</w:t>
      </w:r>
      <w:r>
        <w:rPr>
          <w:rFonts w:ascii="Times New Roman" w:hAnsi="Times New Roman"/>
          <w:noProof/>
          <w:sz w:val="22"/>
        </w:rPr>
        <w:t>-april </w:t>
      </w:r>
      <w:r w:rsidRPr="00D4425F">
        <w:rPr>
          <w:rFonts w:ascii="Times New Roman" w:hAnsi="Times New Roman"/>
          <w:noProof/>
          <w:sz w:val="22"/>
        </w:rPr>
        <w:t>2021</w:t>
      </w:r>
    </w:p>
    <w:tbl>
      <w:tblPr>
        <w:tblStyle w:val="TableGrid71"/>
        <w:tblW w:w="4865" w:type="pct"/>
        <w:jc w:val="center"/>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73"/>
        <w:gridCol w:w="1194"/>
        <w:gridCol w:w="5625"/>
      </w:tblGrid>
      <w:tr w:rsidR="004745AA" w:rsidRPr="004745AA" w14:paraId="7E683205" w14:textId="77777777" w:rsidTr="00F21266">
        <w:trPr>
          <w:trHeight w:val="657"/>
          <w:jc w:val="center"/>
        </w:trPr>
        <w:tc>
          <w:tcPr>
            <w:tcW w:w="5000" w:type="pct"/>
            <w:gridSpan w:val="3"/>
            <w:vAlign w:val="center"/>
            <w:hideMark/>
          </w:tcPr>
          <w:p w14:paraId="3AC44DA1" w14:textId="77777777" w:rsidR="00F21266" w:rsidRDefault="004745AA" w:rsidP="00D4425F">
            <w:pPr>
              <w:spacing w:line="276" w:lineRule="auto"/>
              <w:jc w:val="center"/>
              <w:rPr>
                <w:rFonts w:eastAsia="Times New Roman" w:cs="Calibri"/>
                <w:b/>
                <w:bCs/>
                <w:noProof/>
              </w:rPr>
            </w:pPr>
            <w:r>
              <w:rPr>
                <w:b/>
                <w:bCs/>
                <w:noProof/>
              </w:rPr>
              <w:t xml:space="preserve">Overdrachten </w:t>
            </w:r>
          </w:p>
          <w:p w14:paraId="67E6055A" w14:textId="3FC67005" w:rsidR="004745AA" w:rsidRPr="004745AA" w:rsidRDefault="004745AA" w:rsidP="00D4425F">
            <w:pPr>
              <w:spacing w:line="276" w:lineRule="auto"/>
              <w:jc w:val="center"/>
              <w:rPr>
                <w:rFonts w:eastAsia="Times New Roman" w:cs="Calibri"/>
                <w:b/>
                <w:bCs/>
                <w:noProof/>
                <w:color w:val="FFFFFF"/>
              </w:rPr>
            </w:pPr>
            <w:r>
              <w:rPr>
                <w:b/>
                <w:bCs/>
                <w:noProof/>
              </w:rPr>
              <w:t>(algemene en luchtvaartemissierechten uit beide systemen)</w:t>
            </w:r>
          </w:p>
        </w:tc>
      </w:tr>
      <w:tr w:rsidR="004745AA" w:rsidRPr="004745AA" w14:paraId="456A2FEF" w14:textId="77777777" w:rsidTr="00F21266">
        <w:trPr>
          <w:trHeight w:val="312"/>
          <w:jc w:val="center"/>
        </w:trPr>
        <w:tc>
          <w:tcPr>
            <w:tcW w:w="1208" w:type="pct"/>
            <w:noWrap/>
            <w:vAlign w:val="center"/>
            <w:hideMark/>
          </w:tcPr>
          <w:p w14:paraId="7E53F255" w14:textId="3EEF0C8E" w:rsidR="004745AA" w:rsidRPr="004745AA" w:rsidRDefault="004745AA" w:rsidP="00D4425F">
            <w:pPr>
              <w:spacing w:line="276" w:lineRule="auto"/>
              <w:jc w:val="center"/>
              <w:rPr>
                <w:rFonts w:eastAsia="Times New Roman" w:cs="Calibri"/>
                <w:i/>
                <w:iCs/>
                <w:noProof/>
                <w:color w:val="000000"/>
              </w:rPr>
            </w:pPr>
            <w:r>
              <w:rPr>
                <w:i/>
                <w:iCs/>
                <w:noProof/>
                <w:color w:val="000000"/>
              </w:rPr>
              <w:t>Van</w:t>
            </w:r>
          </w:p>
        </w:tc>
        <w:tc>
          <w:tcPr>
            <w:tcW w:w="663" w:type="pct"/>
            <w:noWrap/>
            <w:vAlign w:val="center"/>
            <w:hideMark/>
          </w:tcPr>
          <w:p w14:paraId="7584A548" w14:textId="77777777" w:rsidR="004745AA" w:rsidRPr="004745AA" w:rsidRDefault="004745AA" w:rsidP="00D4425F">
            <w:pPr>
              <w:spacing w:line="276" w:lineRule="auto"/>
              <w:jc w:val="center"/>
              <w:rPr>
                <w:rFonts w:eastAsia="Times New Roman" w:cs="Calibri"/>
                <w:i/>
                <w:iCs/>
                <w:noProof/>
                <w:color w:val="000000"/>
              </w:rPr>
            </w:pPr>
            <w:r>
              <w:rPr>
                <w:i/>
                <w:iCs/>
                <w:noProof/>
                <w:color w:val="000000"/>
              </w:rPr>
              <w:t>Naar</w:t>
            </w:r>
          </w:p>
        </w:tc>
        <w:tc>
          <w:tcPr>
            <w:tcW w:w="3128" w:type="pct"/>
            <w:noWrap/>
            <w:vAlign w:val="center"/>
            <w:hideMark/>
          </w:tcPr>
          <w:p w14:paraId="7CC5A57A" w14:textId="77777777" w:rsidR="004745AA" w:rsidRPr="004745AA" w:rsidRDefault="004745AA" w:rsidP="00D4425F">
            <w:pPr>
              <w:spacing w:line="276" w:lineRule="auto"/>
              <w:jc w:val="center"/>
              <w:rPr>
                <w:rFonts w:eastAsia="Times New Roman" w:cs="Calibri"/>
                <w:i/>
                <w:iCs/>
                <w:noProof/>
                <w:color w:val="000000"/>
              </w:rPr>
            </w:pPr>
            <w:r>
              <w:rPr>
                <w:i/>
                <w:iCs/>
                <w:noProof/>
                <w:color w:val="000000"/>
              </w:rPr>
              <w:t>Totaal aantal</w:t>
            </w:r>
          </w:p>
        </w:tc>
      </w:tr>
      <w:tr w:rsidR="004745AA" w:rsidRPr="004745AA" w14:paraId="3FD2D011" w14:textId="77777777" w:rsidTr="00F21266">
        <w:trPr>
          <w:trHeight w:val="312"/>
          <w:jc w:val="center"/>
        </w:trPr>
        <w:tc>
          <w:tcPr>
            <w:tcW w:w="1208" w:type="pct"/>
            <w:noWrap/>
            <w:vAlign w:val="center"/>
            <w:hideMark/>
          </w:tcPr>
          <w:p w14:paraId="15BDABFC" w14:textId="77777777" w:rsidR="004745AA" w:rsidRPr="004745AA" w:rsidRDefault="004745AA" w:rsidP="00D4425F">
            <w:pPr>
              <w:spacing w:line="276" w:lineRule="auto"/>
              <w:jc w:val="center"/>
              <w:rPr>
                <w:rFonts w:eastAsia="Times New Roman" w:cs="Calibri"/>
                <w:noProof/>
                <w:color w:val="000000"/>
              </w:rPr>
            </w:pPr>
            <w:r>
              <w:rPr>
                <w:noProof/>
                <w:color w:val="000000"/>
              </w:rPr>
              <w:t>EU</w:t>
            </w:r>
          </w:p>
        </w:tc>
        <w:tc>
          <w:tcPr>
            <w:tcW w:w="663" w:type="pct"/>
            <w:noWrap/>
            <w:vAlign w:val="center"/>
            <w:hideMark/>
          </w:tcPr>
          <w:p w14:paraId="287B92F4" w14:textId="77777777" w:rsidR="004745AA" w:rsidRPr="004745AA" w:rsidRDefault="004745AA" w:rsidP="00D4425F">
            <w:pPr>
              <w:spacing w:line="276" w:lineRule="auto"/>
              <w:jc w:val="center"/>
              <w:rPr>
                <w:rFonts w:eastAsia="Times New Roman" w:cs="Calibri"/>
                <w:noProof/>
                <w:color w:val="000000"/>
              </w:rPr>
            </w:pPr>
            <w:r>
              <w:rPr>
                <w:noProof/>
                <w:color w:val="000000"/>
              </w:rPr>
              <w:t>CH</w:t>
            </w:r>
          </w:p>
        </w:tc>
        <w:tc>
          <w:tcPr>
            <w:tcW w:w="3128" w:type="pct"/>
            <w:noWrap/>
            <w:vAlign w:val="center"/>
            <w:hideMark/>
          </w:tcPr>
          <w:p w14:paraId="27C15B28" w14:textId="77777777" w:rsidR="004745AA" w:rsidRPr="004745AA" w:rsidRDefault="004745AA" w:rsidP="00D4425F">
            <w:pPr>
              <w:spacing w:line="276" w:lineRule="auto"/>
              <w:jc w:val="center"/>
              <w:rPr>
                <w:rFonts w:eastAsia="Times New Roman" w:cs="Calibri"/>
                <w:noProof/>
                <w:color w:val="000000"/>
              </w:rPr>
            </w:pPr>
            <w:r w:rsidRPr="00D4425F">
              <w:rPr>
                <w:noProof/>
                <w:color w:val="000000"/>
              </w:rPr>
              <w:t>977</w:t>
            </w:r>
            <w:r>
              <w:rPr>
                <w:noProof/>
                <w:color w:val="000000"/>
              </w:rPr>
              <w:t> </w:t>
            </w:r>
            <w:r w:rsidRPr="00D4425F">
              <w:rPr>
                <w:noProof/>
                <w:color w:val="000000"/>
              </w:rPr>
              <w:t>065</w:t>
            </w:r>
          </w:p>
        </w:tc>
      </w:tr>
      <w:tr w:rsidR="004745AA" w:rsidRPr="004745AA" w14:paraId="0C94C881" w14:textId="77777777" w:rsidTr="00F21266">
        <w:trPr>
          <w:trHeight w:val="312"/>
          <w:jc w:val="center"/>
        </w:trPr>
        <w:tc>
          <w:tcPr>
            <w:tcW w:w="1208" w:type="pct"/>
            <w:noWrap/>
            <w:vAlign w:val="center"/>
            <w:hideMark/>
          </w:tcPr>
          <w:p w14:paraId="15850168" w14:textId="77777777" w:rsidR="004745AA" w:rsidRPr="004745AA" w:rsidRDefault="004745AA" w:rsidP="00D4425F">
            <w:pPr>
              <w:spacing w:line="276" w:lineRule="auto"/>
              <w:jc w:val="center"/>
              <w:rPr>
                <w:rFonts w:eastAsia="Times New Roman" w:cs="Calibri"/>
                <w:noProof/>
                <w:color w:val="000000"/>
              </w:rPr>
            </w:pPr>
            <w:r>
              <w:rPr>
                <w:noProof/>
                <w:color w:val="000000"/>
              </w:rPr>
              <w:t>CH</w:t>
            </w:r>
          </w:p>
        </w:tc>
        <w:tc>
          <w:tcPr>
            <w:tcW w:w="663" w:type="pct"/>
            <w:noWrap/>
            <w:vAlign w:val="center"/>
            <w:hideMark/>
          </w:tcPr>
          <w:p w14:paraId="2A93B578" w14:textId="77777777" w:rsidR="004745AA" w:rsidRPr="004745AA" w:rsidRDefault="004745AA" w:rsidP="00D4425F">
            <w:pPr>
              <w:spacing w:line="276" w:lineRule="auto"/>
              <w:jc w:val="center"/>
              <w:rPr>
                <w:rFonts w:eastAsia="Times New Roman" w:cs="Calibri"/>
                <w:noProof/>
                <w:color w:val="000000"/>
              </w:rPr>
            </w:pPr>
            <w:r>
              <w:rPr>
                <w:noProof/>
                <w:color w:val="000000"/>
              </w:rPr>
              <w:t>EU</w:t>
            </w:r>
          </w:p>
        </w:tc>
        <w:tc>
          <w:tcPr>
            <w:tcW w:w="3128" w:type="pct"/>
            <w:noWrap/>
            <w:vAlign w:val="center"/>
            <w:hideMark/>
          </w:tcPr>
          <w:p w14:paraId="7FA58964" w14:textId="77777777" w:rsidR="004745AA" w:rsidRPr="004745AA" w:rsidRDefault="004745AA" w:rsidP="00D4425F">
            <w:pPr>
              <w:spacing w:line="276" w:lineRule="auto"/>
              <w:jc w:val="center"/>
              <w:rPr>
                <w:rFonts w:eastAsia="Times New Roman" w:cs="Calibri"/>
                <w:noProof/>
                <w:color w:val="000000"/>
              </w:rPr>
            </w:pPr>
            <w:r w:rsidRPr="00D4425F">
              <w:rPr>
                <w:noProof/>
                <w:color w:val="000000"/>
              </w:rPr>
              <w:t>450</w:t>
            </w:r>
            <w:r>
              <w:rPr>
                <w:noProof/>
                <w:color w:val="000000"/>
              </w:rPr>
              <w:t> </w:t>
            </w:r>
            <w:r w:rsidRPr="00D4425F">
              <w:rPr>
                <w:noProof/>
                <w:color w:val="000000"/>
              </w:rPr>
              <w:t>578</w:t>
            </w:r>
          </w:p>
        </w:tc>
      </w:tr>
      <w:tr w:rsidR="00F21266" w:rsidRPr="004745AA" w14:paraId="6218661D" w14:textId="77777777" w:rsidTr="00F21266">
        <w:trPr>
          <w:trHeight w:val="312"/>
          <w:jc w:val="center"/>
        </w:trPr>
        <w:tc>
          <w:tcPr>
            <w:tcW w:w="1872" w:type="pct"/>
            <w:gridSpan w:val="2"/>
            <w:noWrap/>
            <w:vAlign w:val="center"/>
            <w:hideMark/>
          </w:tcPr>
          <w:p w14:paraId="42DCA40D" w14:textId="77777777" w:rsidR="004745AA" w:rsidRPr="004745AA" w:rsidRDefault="004745AA" w:rsidP="00D4425F">
            <w:pPr>
              <w:spacing w:line="276" w:lineRule="auto"/>
              <w:jc w:val="center"/>
              <w:rPr>
                <w:rFonts w:eastAsia="Times New Roman" w:cs="Calibri"/>
                <w:b/>
                <w:bCs/>
                <w:noProof/>
                <w:color w:val="000000"/>
              </w:rPr>
            </w:pPr>
            <w:r>
              <w:rPr>
                <w:b/>
                <w:bCs/>
                <w:noProof/>
                <w:color w:val="000000"/>
              </w:rPr>
              <w:t>Saldo</w:t>
            </w:r>
          </w:p>
        </w:tc>
        <w:tc>
          <w:tcPr>
            <w:tcW w:w="3128" w:type="pct"/>
            <w:noWrap/>
            <w:vAlign w:val="center"/>
            <w:hideMark/>
          </w:tcPr>
          <w:p w14:paraId="258E607D" w14:textId="77777777" w:rsidR="004745AA" w:rsidRPr="004745AA" w:rsidRDefault="004745AA" w:rsidP="00D4425F">
            <w:pPr>
              <w:spacing w:line="276" w:lineRule="auto"/>
              <w:jc w:val="center"/>
              <w:rPr>
                <w:rFonts w:eastAsia="Times New Roman" w:cs="Calibri"/>
                <w:b/>
                <w:bCs/>
                <w:noProof/>
                <w:color w:val="000000"/>
              </w:rPr>
            </w:pPr>
            <w:r w:rsidRPr="00D4425F">
              <w:rPr>
                <w:b/>
                <w:bCs/>
                <w:noProof/>
                <w:color w:val="000000"/>
              </w:rPr>
              <w:t>526</w:t>
            </w:r>
            <w:r>
              <w:rPr>
                <w:b/>
                <w:bCs/>
                <w:noProof/>
                <w:color w:val="000000"/>
              </w:rPr>
              <w:t> </w:t>
            </w:r>
            <w:r w:rsidRPr="00D4425F">
              <w:rPr>
                <w:b/>
                <w:bCs/>
                <w:noProof/>
                <w:color w:val="000000"/>
              </w:rPr>
              <w:t>487</w:t>
            </w:r>
          </w:p>
        </w:tc>
      </w:tr>
    </w:tbl>
    <w:p w14:paraId="084ECF11" w14:textId="04569C38" w:rsidR="00D10D5A" w:rsidRPr="00DA11F1" w:rsidRDefault="005811CF" w:rsidP="00D4425F">
      <w:pPr>
        <w:pStyle w:val="Heading1"/>
        <w:spacing w:before="200" w:after="200"/>
        <w:rPr>
          <w:noProof/>
        </w:rPr>
      </w:pPr>
      <w:bookmarkStart w:id="74" w:name="_Toc89423482"/>
      <w:r w:rsidRPr="00D4425F">
        <w:rPr>
          <w:noProof/>
        </w:rPr>
        <w:t>8</w:t>
      </w:r>
      <w:r>
        <w:rPr>
          <w:noProof/>
        </w:rPr>
        <w:t>. DE GEVOLGEN VAN DE UITVOERING VAN DE RICHTLIJN ENERGIE-EFFICIËNTIE EN DE NATIONALE ENERGIE- EN KLIMAATPLANNEN VOOR HET EU-ETS</w:t>
      </w:r>
      <w:bookmarkEnd w:id="74"/>
    </w:p>
    <w:p w14:paraId="1D1D2E96" w14:textId="6D59FAF6" w:rsidR="007077B1" w:rsidRPr="00DA11F1" w:rsidRDefault="00FB325B" w:rsidP="008E33DB">
      <w:pPr>
        <w:jc w:val="both"/>
        <w:rPr>
          <w:rFonts w:ascii="Times New Roman" w:hAnsi="Times New Roman"/>
          <w:noProof/>
          <w:sz w:val="24"/>
          <w:szCs w:val="24"/>
        </w:rPr>
      </w:pPr>
      <w:r>
        <w:rPr>
          <w:rFonts w:ascii="Times New Roman" w:hAnsi="Times New Roman"/>
          <w:noProof/>
          <w:sz w:val="24"/>
          <w:szCs w:val="24"/>
        </w:rPr>
        <w:t>In het koolstofmarktverslag moet rekening worden gehouden met de gevolgen van de uitvoering van de richtlijn energie-efficiëntie en met het algemene effect van de beleidslijnen en maatregelen van de geïntegreerde nationale energie- en klimaatplannen op de werking van het EU-ETS, met inbegrip van het evenwicht tussen vraag en aanbod van de emissierechten op de koolstofmarkt van de EU</w:t>
      </w:r>
      <w:r w:rsidR="004219CC" w:rsidRPr="00DA11F1">
        <w:rPr>
          <w:rStyle w:val="FootnoteReference"/>
          <w:rFonts w:ascii="Times New Roman" w:hAnsi="Times New Roman"/>
          <w:noProof/>
          <w:sz w:val="24"/>
          <w:szCs w:val="24"/>
        </w:rPr>
        <w:footnoteReference w:id="120"/>
      </w:r>
      <w:r>
        <w:rPr>
          <w:rFonts w:ascii="Times New Roman" w:hAnsi="Times New Roman"/>
          <w:noProof/>
          <w:sz w:val="24"/>
          <w:szCs w:val="24"/>
        </w:rPr>
        <w:t>. In dit hoofdstuk worden deze twee onderwerpen behandeld.</w:t>
      </w:r>
    </w:p>
    <w:p w14:paraId="291390F6" w14:textId="2260204B" w:rsidR="0010679C" w:rsidRPr="00DA11F1" w:rsidRDefault="0023409B" w:rsidP="008E33DB">
      <w:pPr>
        <w:pStyle w:val="Heading2"/>
        <w:spacing w:before="0" w:after="200"/>
        <w:rPr>
          <w:i w:val="0"/>
          <w:noProof/>
        </w:rPr>
      </w:pPr>
      <w:bookmarkStart w:id="75" w:name="_Toc89423483"/>
      <w:r w:rsidRPr="00D4425F">
        <w:rPr>
          <w:i w:val="0"/>
          <w:noProof/>
        </w:rPr>
        <w:t>8</w:t>
      </w:r>
      <w:r>
        <w:rPr>
          <w:i w:val="0"/>
          <w:noProof/>
        </w:rPr>
        <w:t>.</w:t>
      </w:r>
      <w:r w:rsidRPr="00D4425F">
        <w:rPr>
          <w:i w:val="0"/>
          <w:noProof/>
        </w:rPr>
        <w:t>1</w:t>
      </w:r>
      <w:r>
        <w:rPr>
          <w:i w:val="0"/>
          <w:noProof/>
        </w:rPr>
        <w:t xml:space="preserve"> De gevolgen van de uitvoering van de richtlijn energie-efficiëntie op het EU-ETS</w:t>
      </w:r>
      <w:bookmarkEnd w:id="75"/>
    </w:p>
    <w:p w14:paraId="59960BDE" w14:textId="506D413E" w:rsidR="0090131B" w:rsidRPr="00DA11F1" w:rsidRDefault="00687265" w:rsidP="008E33DB">
      <w:pPr>
        <w:jc w:val="both"/>
        <w:rPr>
          <w:rFonts w:ascii="Times New Roman" w:hAnsi="Times New Roman"/>
          <w:noProof/>
          <w:sz w:val="24"/>
          <w:szCs w:val="24"/>
        </w:rPr>
      </w:pPr>
      <w:r>
        <w:rPr>
          <w:rFonts w:ascii="Times New Roman" w:hAnsi="Times New Roman"/>
          <w:noProof/>
          <w:sz w:val="24"/>
          <w:szCs w:val="24"/>
        </w:rPr>
        <w:t>Er zijn verschillende wisselwerkingen tussen het EU-ETS en de richtlijn energie-efficiëntie, met name wanneer beleidsmaatregelen gevolgen hebben voor de energie-efficiëntie van de exploitanten die onder het systeem vallen. Artikel </w:t>
      </w:r>
      <w:r w:rsidRPr="00D4425F">
        <w:rPr>
          <w:rFonts w:ascii="Times New Roman" w:hAnsi="Times New Roman"/>
          <w:noProof/>
          <w:sz w:val="24"/>
          <w:szCs w:val="24"/>
        </w:rPr>
        <w:t>8</w:t>
      </w:r>
      <w:r>
        <w:rPr>
          <w:rFonts w:ascii="Times New Roman" w:hAnsi="Times New Roman"/>
          <w:noProof/>
          <w:sz w:val="24"/>
          <w:szCs w:val="24"/>
        </w:rPr>
        <w:t xml:space="preserve"> van de richtlijn energie-efficiëntie bevordert kosteneffectieve energie-efficiëntiemaatregelen door grote exploitanten te verplichten om de vier jaar een energie-audit uit te voeren of een gecertificeerd energie- of een milieubeheersysteem toe te passen. Dit helpt grote exploitanten bij het identificeren van energieverliezen, het energiebesparingspotentieel en kosteneffectieve maatregelen om hun </w:t>
      </w:r>
      <w:r w:rsidR="00AD1EAB">
        <w:rPr>
          <w:rFonts w:ascii="Times New Roman" w:hAnsi="Times New Roman"/>
          <w:noProof/>
          <w:sz w:val="24"/>
          <w:szCs w:val="24"/>
        </w:rPr>
        <w:t>energieverbruik te verminderen.</w:t>
      </w:r>
    </w:p>
    <w:p w14:paraId="70385D1E" w14:textId="095AB13E" w:rsidR="00B52F9F" w:rsidRPr="00DA11F1" w:rsidRDefault="0090131B" w:rsidP="008E33DB">
      <w:pPr>
        <w:jc w:val="both"/>
        <w:rPr>
          <w:rFonts w:ascii="Times New Roman" w:hAnsi="Times New Roman"/>
          <w:noProof/>
          <w:sz w:val="24"/>
          <w:szCs w:val="24"/>
        </w:rPr>
      </w:pPr>
      <w:r>
        <w:rPr>
          <w:rFonts w:ascii="Times New Roman" w:hAnsi="Times New Roman"/>
          <w:noProof/>
          <w:sz w:val="24"/>
          <w:szCs w:val="24"/>
        </w:rPr>
        <w:t>Een centrale bepaling van de richtlijn energie-efficiëntie die rechtstreeks gericht is op energiebesparing, is artikel </w:t>
      </w:r>
      <w:r w:rsidRPr="00D4425F">
        <w:rPr>
          <w:rFonts w:ascii="Times New Roman" w:hAnsi="Times New Roman"/>
          <w:noProof/>
          <w:sz w:val="24"/>
          <w:szCs w:val="24"/>
        </w:rPr>
        <w:t>7</w:t>
      </w:r>
      <w:r>
        <w:rPr>
          <w:rFonts w:ascii="Times New Roman" w:hAnsi="Times New Roman"/>
          <w:noProof/>
          <w:sz w:val="24"/>
          <w:szCs w:val="24"/>
        </w:rPr>
        <w:t>, waarin van de lidstaten wordt verlangd dat zij beleidsmaatregelen nemen om energiebesparingen te realiseren</w:t>
      </w:r>
      <w:r w:rsidR="00525AFB" w:rsidRPr="00DA11F1">
        <w:rPr>
          <w:rStyle w:val="FootnoteReference"/>
          <w:rFonts w:ascii="Times New Roman" w:hAnsi="Times New Roman"/>
          <w:noProof/>
          <w:sz w:val="24"/>
          <w:szCs w:val="24"/>
        </w:rPr>
        <w:footnoteReference w:id="121"/>
      </w:r>
      <w:r>
        <w:rPr>
          <w:rFonts w:ascii="Times New Roman" w:hAnsi="Times New Roman"/>
          <w:noProof/>
          <w:sz w:val="24"/>
          <w:szCs w:val="24"/>
        </w:rPr>
        <w:t>. Aangezien de lidstaten kunnen kiezen op welke sectoren zij zich moeten concentreren, kunnen deze maatregelen in wisselwerking staan met de verplichtingen krachtens het EU-ETS. Wat de mogelijke gevolgen voor de EU-ETS-sectoren betreft, kunnen de maatregelen van de lidstaten in vier categorieën worden ingedeeld:</w:t>
      </w:r>
    </w:p>
    <w:p w14:paraId="57C395AD" w14:textId="52356520" w:rsidR="00B52F9F" w:rsidRPr="00DA11F1" w:rsidRDefault="00B52F9F" w:rsidP="008E33D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beleidsmaatregelen op het gebied van energie-efficiëntie die worden uitgevoerd in sectoren die buiten het toepassingsgebied van het EU-ETS vallen en die geen rechtstreekse wisselwerking met het systeem hebben, zoals het vervangen van een oude kolenkachel door een efficiënter</w:t>
      </w:r>
      <w:r w:rsidR="00AD1EAB">
        <w:rPr>
          <w:rFonts w:ascii="Times New Roman" w:hAnsi="Times New Roman"/>
          <w:noProof/>
          <w:sz w:val="24"/>
          <w:szCs w:val="24"/>
        </w:rPr>
        <w:t>e verwarmingsketel op biomassa;</w:t>
      </w:r>
    </w:p>
    <w:p w14:paraId="02178B74" w14:textId="5F291360" w:rsidR="00B52F9F" w:rsidRPr="00DA11F1" w:rsidRDefault="00B52F9F" w:rsidP="008E33D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energie-efficiëntiemaatregelen die gericht zijn op een lager verbruik van door ETS-sectoren geleverde energie, zoals elektriciteit, stadsverwarming en raffinaderijen die brandstof leveren voor vervoer en verwarming. Hierbij gaat het onder meer om het isoleren van gebouwen die zijn voorzien van stadsverwarming, het vervangen van elektrische apparaten en maatregelen voor efficiënter brandstofverbruik in het vervoer. Hoewel de relevante besluiten niet door de onder het EU-ETS vallende installaties worden genomen, kan het koolstofprijssignaal aanzetten tot actie van marktdeelneme</w:t>
      </w:r>
      <w:r w:rsidR="00AD1EAB">
        <w:rPr>
          <w:rFonts w:ascii="Times New Roman" w:hAnsi="Times New Roman"/>
          <w:noProof/>
          <w:sz w:val="24"/>
          <w:szCs w:val="24"/>
        </w:rPr>
        <w:t>rs, voornamelijk consumenten;</w:t>
      </w:r>
    </w:p>
    <w:p w14:paraId="2BD2FC2A" w14:textId="6F4BC4F5" w:rsidR="00B52F9F" w:rsidRPr="00DA11F1" w:rsidRDefault="004C339D" w:rsidP="008E33D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beleidsmaatregelen ter bevordering van acties die leiden tot een verandering van energiedrager, zoals de vervanging van een elektrisch verwarmingselement door een zonneverwarmingselement (wat leidt tot een lager energieverbruik in een ETS-sector) of de vervanging van een gasgestookte verwarmingsketel door een warmtepomp (wat leidt tot een hoger energieverbruik in een ETS-sector);</w:t>
      </w:r>
    </w:p>
    <w:p w14:paraId="6C52310B" w14:textId="3F4BDE1C" w:rsidR="0090131B" w:rsidRPr="00DA11F1" w:rsidRDefault="00B52F9F" w:rsidP="008E33DB">
      <w:pPr>
        <w:pStyle w:val="ListParagraph"/>
        <w:numPr>
          <w:ilvl w:val="0"/>
          <w:numId w:val="31"/>
        </w:numPr>
        <w:spacing w:after="200" w:line="276" w:lineRule="auto"/>
        <w:jc w:val="both"/>
        <w:rPr>
          <w:rFonts w:ascii="Times New Roman" w:hAnsi="Times New Roman"/>
          <w:noProof/>
          <w:sz w:val="24"/>
          <w:szCs w:val="24"/>
        </w:rPr>
      </w:pPr>
      <w:r>
        <w:rPr>
          <w:rFonts w:ascii="Times New Roman" w:hAnsi="Times New Roman"/>
          <w:noProof/>
          <w:sz w:val="24"/>
          <w:szCs w:val="24"/>
        </w:rPr>
        <w:t>beleidsmaatregelen ter bevordering van de energie-efficiëntie van de kernprocessen van installati</w:t>
      </w:r>
      <w:r w:rsidR="00AD1EAB">
        <w:rPr>
          <w:rFonts w:ascii="Times New Roman" w:hAnsi="Times New Roman"/>
          <w:noProof/>
          <w:sz w:val="24"/>
          <w:szCs w:val="24"/>
        </w:rPr>
        <w:t>es die onder het EU-ETS vallen.</w:t>
      </w:r>
    </w:p>
    <w:p w14:paraId="611FF28E" w14:textId="2C4B0563" w:rsidR="0090131B" w:rsidRPr="00DA11F1" w:rsidRDefault="00E36000" w:rsidP="008E33DB">
      <w:pPr>
        <w:jc w:val="both"/>
        <w:rPr>
          <w:rFonts w:ascii="Times New Roman" w:hAnsi="Times New Roman"/>
          <w:noProof/>
          <w:sz w:val="24"/>
          <w:szCs w:val="24"/>
        </w:rPr>
      </w:pPr>
      <w:r>
        <w:rPr>
          <w:rFonts w:ascii="Times New Roman" w:hAnsi="Times New Roman"/>
          <w:noProof/>
          <w:sz w:val="24"/>
          <w:szCs w:val="24"/>
        </w:rPr>
        <w:t xml:space="preserve">Deze laatste maatregelen hebben een rechtstreekse wisselwerking met het EU-ETS. In de periode </w:t>
      </w:r>
      <w:r w:rsidRPr="00D4425F">
        <w:rPr>
          <w:rFonts w:ascii="Times New Roman" w:hAnsi="Times New Roman"/>
          <w:noProof/>
          <w:sz w:val="24"/>
          <w:szCs w:val="24"/>
        </w:rPr>
        <w:t>2014</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meldden België, Nederland en Roemenië</w:t>
      </w:r>
      <w:r w:rsidRPr="00DA11F1">
        <w:rPr>
          <w:rStyle w:val="FootnoteReference"/>
          <w:rFonts w:ascii="Times New Roman" w:hAnsi="Times New Roman"/>
          <w:noProof/>
          <w:sz w:val="24"/>
          <w:szCs w:val="24"/>
        </w:rPr>
        <w:footnoteReference w:id="122"/>
      </w:r>
      <w:r>
        <w:rPr>
          <w:rFonts w:ascii="Times New Roman" w:hAnsi="Times New Roman"/>
          <w:noProof/>
          <w:sz w:val="24"/>
          <w:szCs w:val="24"/>
        </w:rPr>
        <w:t xml:space="preserve"> beleidsmaatregelen uit hoofde van artikel </w:t>
      </w:r>
      <w:r w:rsidRPr="00D4425F">
        <w:rPr>
          <w:rFonts w:ascii="Times New Roman" w:hAnsi="Times New Roman"/>
          <w:noProof/>
          <w:sz w:val="24"/>
          <w:szCs w:val="24"/>
        </w:rPr>
        <w:t>7</w:t>
      </w:r>
      <w:r>
        <w:rPr>
          <w:rFonts w:ascii="Times New Roman" w:hAnsi="Times New Roman"/>
          <w:noProof/>
          <w:sz w:val="24"/>
          <w:szCs w:val="24"/>
        </w:rPr>
        <w:t xml:space="preserve"> gericht op ETS-installaties — vrijwillige overeenkomsten (in het geval van België en Nederland) of gelijkwaardige maatregelen (voor Roemenië)</w:t>
      </w:r>
      <w:r w:rsidR="002A5341" w:rsidRPr="00DA11F1">
        <w:rPr>
          <w:rStyle w:val="FootnoteReference"/>
          <w:rFonts w:ascii="Times New Roman" w:hAnsi="Times New Roman"/>
          <w:noProof/>
          <w:sz w:val="24"/>
          <w:szCs w:val="24"/>
        </w:rPr>
        <w:footnoteReference w:id="123"/>
      </w:r>
      <w:r>
        <w:rPr>
          <w:rFonts w:ascii="Times New Roman" w:hAnsi="Times New Roman"/>
          <w:noProof/>
          <w:sz w:val="24"/>
          <w:szCs w:val="24"/>
        </w:rPr>
        <w:t xml:space="preserve">. Deze maatregelen waren goed voor een groot deel van de door deze landen gerapporteerde cumulatieve energiebesparingen voor de periode </w:t>
      </w:r>
      <w:r w:rsidRPr="00D4425F">
        <w:rPr>
          <w:rFonts w:ascii="Times New Roman" w:hAnsi="Times New Roman"/>
          <w:noProof/>
          <w:sz w:val="24"/>
          <w:szCs w:val="24"/>
        </w:rPr>
        <w:t>2014</w:t>
      </w:r>
      <w:r>
        <w:rPr>
          <w:rFonts w:ascii="Times New Roman" w:hAnsi="Times New Roman"/>
          <w:noProof/>
          <w:sz w:val="24"/>
          <w:szCs w:val="24"/>
        </w:rPr>
        <w:t>-</w:t>
      </w:r>
      <w:r w:rsidRPr="00D4425F">
        <w:rPr>
          <w:rFonts w:ascii="Times New Roman" w:hAnsi="Times New Roman"/>
          <w:noProof/>
          <w:sz w:val="24"/>
          <w:szCs w:val="24"/>
        </w:rPr>
        <w:t>2018</w:t>
      </w:r>
      <w:r>
        <w:rPr>
          <w:rFonts w:ascii="Times New Roman" w:hAnsi="Times New Roman"/>
          <w:noProof/>
          <w:sz w:val="24"/>
          <w:szCs w:val="24"/>
        </w:rPr>
        <w:t xml:space="preserve">: </w:t>
      </w:r>
      <w:r w:rsidRPr="00D4425F">
        <w:rPr>
          <w:rFonts w:ascii="Times New Roman" w:hAnsi="Times New Roman"/>
          <w:noProof/>
          <w:sz w:val="24"/>
          <w:szCs w:val="24"/>
        </w:rPr>
        <w:t>61</w:t>
      </w:r>
      <w:r>
        <w:rPr>
          <w:rFonts w:ascii="Times New Roman" w:hAnsi="Times New Roman"/>
          <w:noProof/>
          <w:sz w:val="24"/>
          <w:szCs w:val="24"/>
        </w:rPr>
        <w:t xml:space="preserve"> % voor België, </w:t>
      </w:r>
      <w:r w:rsidRPr="00D4425F">
        <w:rPr>
          <w:rFonts w:ascii="Times New Roman" w:hAnsi="Times New Roman"/>
          <w:noProof/>
          <w:sz w:val="24"/>
          <w:szCs w:val="24"/>
        </w:rPr>
        <w:t>20</w:t>
      </w:r>
      <w:r>
        <w:rPr>
          <w:rFonts w:ascii="Times New Roman" w:hAnsi="Times New Roman"/>
          <w:noProof/>
          <w:sz w:val="24"/>
          <w:szCs w:val="24"/>
        </w:rPr>
        <w:t xml:space="preserve"> % voor Nederland en </w:t>
      </w:r>
      <w:r w:rsidRPr="00D4425F">
        <w:rPr>
          <w:rFonts w:ascii="Times New Roman" w:hAnsi="Times New Roman"/>
          <w:noProof/>
          <w:sz w:val="24"/>
          <w:szCs w:val="24"/>
        </w:rPr>
        <w:t>44</w:t>
      </w:r>
      <w:r>
        <w:rPr>
          <w:rFonts w:ascii="Times New Roman" w:hAnsi="Times New Roman"/>
          <w:noProof/>
          <w:sz w:val="24"/>
          <w:szCs w:val="24"/>
        </w:rPr>
        <w:t> % voor Roemenië</w:t>
      </w:r>
      <w:r w:rsidR="0082114A" w:rsidRPr="00DA11F1">
        <w:rPr>
          <w:rStyle w:val="FootnoteReference"/>
          <w:rFonts w:ascii="Times New Roman" w:hAnsi="Times New Roman"/>
          <w:noProof/>
          <w:sz w:val="24"/>
          <w:szCs w:val="24"/>
        </w:rPr>
        <w:footnoteReference w:id="124"/>
      </w:r>
      <w:r>
        <w:rPr>
          <w:rFonts w:ascii="Times New Roman" w:hAnsi="Times New Roman"/>
          <w:noProof/>
          <w:sz w:val="24"/>
          <w:szCs w:val="24"/>
        </w:rPr>
        <w:t>. Hoewel in de vrijwillige overeenkomsten is bepaald dat exploitanten zich moeten verbinden tot streefcijfers inzake energie-efficiëntie of energiebesparing, zijn deze streefcijfers niet beperkt tot het energieverbruik dat onder het EU-ETS valt. In de praktijk zullen de meeste energiebesparingen waarschijnlijk het gevolg zijn van verbeteringen van de energie-efficiëntie in de industriële processen die onder het EU-ETS vallen, maar een deel van de besparingen kan afkomstig zijn van het energieverbruik buiten het systeem (bv. efficiënter brandstofverbruik in het vervoer, energie-efficiëntie in kantoren). De meeste lidstaten nemen in hun actiegebied weliswaar ten minste één beleidsmaatregel op die gericht is op sectoren die ook onder het EU-ETS vallen, maar in de krachtens artikel </w:t>
      </w:r>
      <w:r w:rsidRPr="00D4425F">
        <w:rPr>
          <w:rFonts w:ascii="Times New Roman" w:hAnsi="Times New Roman"/>
          <w:noProof/>
          <w:sz w:val="24"/>
          <w:szCs w:val="24"/>
        </w:rPr>
        <w:t>7</w:t>
      </w:r>
      <w:r>
        <w:rPr>
          <w:rFonts w:ascii="Times New Roman" w:hAnsi="Times New Roman"/>
          <w:noProof/>
          <w:sz w:val="24"/>
          <w:szCs w:val="24"/>
        </w:rPr>
        <w:t xml:space="preserve"> gerapporteerde gegevens wordt geen onderscheid gemaakt tussen het aandeel besparingen van ETS-sectoren en besparingen van andere subsectoren.</w:t>
      </w:r>
    </w:p>
    <w:p w14:paraId="7D9A52BD" w14:textId="75B1FFA7" w:rsidR="00F34DFD" w:rsidRPr="00DA11F1" w:rsidRDefault="00834FE2" w:rsidP="008E33DB">
      <w:pPr>
        <w:jc w:val="both"/>
        <w:rPr>
          <w:rFonts w:ascii="Times New Roman" w:hAnsi="Times New Roman"/>
          <w:noProof/>
          <w:sz w:val="24"/>
          <w:szCs w:val="24"/>
        </w:rPr>
      </w:pPr>
      <w:r>
        <w:rPr>
          <w:rFonts w:ascii="Times New Roman" w:hAnsi="Times New Roman"/>
          <w:noProof/>
          <w:sz w:val="24"/>
          <w:szCs w:val="24"/>
        </w:rPr>
        <w:t xml:space="preserve">Voor de periode </w:t>
      </w:r>
      <w:r w:rsidRPr="00D4425F">
        <w:rPr>
          <w:rFonts w:ascii="Times New Roman" w:hAnsi="Times New Roman"/>
          <w:noProof/>
          <w:sz w:val="24"/>
          <w:szCs w:val="24"/>
        </w:rPr>
        <w:t>2014</w:t>
      </w:r>
      <w:r w:rsidR="00AD1EAB">
        <w:rPr>
          <w:rFonts w:ascii="Times New Roman" w:hAnsi="Times New Roman"/>
          <w:noProof/>
          <w:sz w:val="24"/>
          <w:szCs w:val="24"/>
        </w:rPr>
        <w:t>-juni </w:t>
      </w:r>
      <w:r w:rsidRPr="00D4425F">
        <w:rPr>
          <w:rFonts w:ascii="Times New Roman" w:hAnsi="Times New Roman"/>
          <w:noProof/>
          <w:sz w:val="24"/>
          <w:szCs w:val="24"/>
        </w:rPr>
        <w:t>2020</w:t>
      </w:r>
      <w:r>
        <w:rPr>
          <w:rFonts w:ascii="Times New Roman" w:hAnsi="Times New Roman"/>
          <w:noProof/>
          <w:sz w:val="24"/>
          <w:szCs w:val="24"/>
        </w:rPr>
        <w:t xml:space="preserve"> hadden de bepalingen van artikel </w:t>
      </w:r>
      <w:r w:rsidRPr="00D4425F">
        <w:rPr>
          <w:rFonts w:ascii="Times New Roman" w:hAnsi="Times New Roman"/>
          <w:noProof/>
          <w:sz w:val="24"/>
          <w:szCs w:val="24"/>
        </w:rPr>
        <w:t>7</w:t>
      </w:r>
      <w:r>
        <w:rPr>
          <w:rFonts w:ascii="Times New Roman" w:hAnsi="Times New Roman"/>
          <w:noProof/>
          <w:sz w:val="24"/>
          <w:szCs w:val="24"/>
        </w:rPr>
        <w:t>, lid </w:t>
      </w:r>
      <w:r w:rsidRPr="00D4425F">
        <w:rPr>
          <w:rFonts w:ascii="Times New Roman" w:hAnsi="Times New Roman"/>
          <w:noProof/>
          <w:sz w:val="24"/>
          <w:szCs w:val="24"/>
        </w:rPr>
        <w:t>4</w:t>
      </w:r>
      <w:r>
        <w:rPr>
          <w:rFonts w:ascii="Times New Roman" w:hAnsi="Times New Roman"/>
          <w:noProof/>
          <w:sz w:val="24"/>
          <w:szCs w:val="24"/>
        </w:rPr>
        <w:t>, van de richtlijn energie-efficiëntie betrekking op wisselwerkingen met het EU-ETS.</w:t>
      </w:r>
    </w:p>
    <w:p w14:paraId="180A8995" w14:textId="0BB9BAB5" w:rsidR="00A36D2F" w:rsidRPr="00DA11F1" w:rsidRDefault="00D60CE3" w:rsidP="008E33DB">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In artikel </w:t>
      </w:r>
      <w:r w:rsidRPr="00D4425F">
        <w:rPr>
          <w:rFonts w:ascii="Times New Roman" w:hAnsi="Times New Roman"/>
          <w:noProof/>
          <w:sz w:val="24"/>
          <w:szCs w:val="24"/>
        </w:rPr>
        <w:t>7</w:t>
      </w:r>
      <w:r>
        <w:rPr>
          <w:rFonts w:ascii="Times New Roman" w:hAnsi="Times New Roman"/>
          <w:noProof/>
          <w:sz w:val="24"/>
          <w:szCs w:val="24"/>
        </w:rPr>
        <w:t>, lid </w:t>
      </w:r>
      <w:r w:rsidRPr="00D4425F">
        <w:rPr>
          <w:rFonts w:ascii="Times New Roman" w:hAnsi="Times New Roman"/>
          <w:noProof/>
          <w:sz w:val="24"/>
          <w:szCs w:val="24"/>
        </w:rPr>
        <w:t>4</w:t>
      </w:r>
      <w:r>
        <w:rPr>
          <w:rFonts w:ascii="Times New Roman" w:hAnsi="Times New Roman"/>
          <w:noProof/>
          <w:sz w:val="24"/>
          <w:szCs w:val="24"/>
        </w:rPr>
        <w:t xml:space="preserve">, punt b), wordt een mogelijkheid genoemd waarvan de lidstaten gebruik konden maken bij de berekening van de vereiste hoeveelheid energiebesparingen voor de periode </w:t>
      </w:r>
      <w:r w:rsidRPr="00D4425F">
        <w:rPr>
          <w:rFonts w:ascii="Times New Roman" w:hAnsi="Times New Roman"/>
          <w:noProof/>
          <w:sz w:val="24"/>
          <w:szCs w:val="24"/>
        </w:rPr>
        <w:t>2014</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Zij konden de gehele of een deel van de verkoop van de energie die werd gebruikt op industriële locaties die onder het EU-ETS vallen, buiten de berekening houden. Van deze mogelijkheid hebben </w:t>
      </w:r>
      <w:r w:rsidRPr="00D4425F">
        <w:rPr>
          <w:rFonts w:ascii="Times New Roman" w:hAnsi="Times New Roman"/>
          <w:noProof/>
          <w:sz w:val="24"/>
          <w:szCs w:val="24"/>
        </w:rPr>
        <w:t>15</w:t>
      </w:r>
      <w:r>
        <w:rPr>
          <w:rFonts w:ascii="Times New Roman" w:hAnsi="Times New Roman"/>
          <w:noProof/>
          <w:sz w:val="24"/>
          <w:szCs w:val="24"/>
        </w:rPr>
        <w:t> lidstaten gebruikgemaakt</w:t>
      </w:r>
      <w:r w:rsidR="00AE4323">
        <w:rPr>
          <w:rStyle w:val="FootnoteReference"/>
          <w:rFonts w:ascii="Times New Roman" w:hAnsi="Times New Roman"/>
          <w:noProof/>
          <w:sz w:val="24"/>
          <w:szCs w:val="24"/>
        </w:rPr>
        <w:footnoteReference w:id="125"/>
      </w:r>
      <w:r>
        <w:rPr>
          <w:rFonts w:ascii="Times New Roman" w:hAnsi="Times New Roman"/>
          <w:noProof/>
          <w:sz w:val="24"/>
          <w:szCs w:val="24"/>
        </w:rPr>
        <w:t>.</w:t>
      </w:r>
    </w:p>
    <w:p w14:paraId="01400B9D" w14:textId="5F2C054C" w:rsidR="00A36D2F" w:rsidRPr="00DA11F1" w:rsidRDefault="0090131B" w:rsidP="008E33DB">
      <w:pPr>
        <w:pStyle w:val="ListParagraph"/>
        <w:numPr>
          <w:ilvl w:val="0"/>
          <w:numId w:val="32"/>
        </w:numPr>
        <w:spacing w:after="200" w:line="276" w:lineRule="auto"/>
        <w:ind w:left="714" w:hanging="357"/>
        <w:contextualSpacing w:val="0"/>
        <w:jc w:val="both"/>
        <w:rPr>
          <w:rFonts w:ascii="Times New Roman" w:hAnsi="Times New Roman"/>
          <w:noProof/>
          <w:sz w:val="24"/>
          <w:szCs w:val="24"/>
        </w:rPr>
      </w:pPr>
      <w:r>
        <w:rPr>
          <w:rFonts w:ascii="Times New Roman" w:hAnsi="Times New Roman"/>
          <w:noProof/>
          <w:sz w:val="24"/>
          <w:szCs w:val="24"/>
        </w:rPr>
        <w:t>Artikel </w:t>
      </w:r>
      <w:r w:rsidRPr="00D4425F">
        <w:rPr>
          <w:rFonts w:ascii="Times New Roman" w:hAnsi="Times New Roman"/>
          <w:noProof/>
          <w:sz w:val="24"/>
          <w:szCs w:val="24"/>
        </w:rPr>
        <w:t>7</w:t>
      </w:r>
      <w:r>
        <w:rPr>
          <w:rFonts w:ascii="Times New Roman" w:hAnsi="Times New Roman"/>
          <w:noProof/>
          <w:sz w:val="24"/>
          <w:szCs w:val="24"/>
        </w:rPr>
        <w:t>, lid </w:t>
      </w:r>
      <w:r w:rsidRPr="00D4425F">
        <w:rPr>
          <w:rFonts w:ascii="Times New Roman" w:hAnsi="Times New Roman"/>
          <w:noProof/>
          <w:sz w:val="24"/>
          <w:szCs w:val="24"/>
        </w:rPr>
        <w:t>4</w:t>
      </w:r>
      <w:r>
        <w:rPr>
          <w:rFonts w:ascii="Times New Roman" w:hAnsi="Times New Roman"/>
          <w:noProof/>
          <w:sz w:val="24"/>
          <w:szCs w:val="24"/>
        </w:rPr>
        <w:t>, punt c), bood de lidstaten de mogelijkheid om energiebesparingen als gevolg van maatregelen ter bevordering van energie-efficiëntie aan de aanbodzijde te rapporteren afgezet tegen de overeenkomstig artikel </w:t>
      </w:r>
      <w:r w:rsidRPr="00D4425F">
        <w:rPr>
          <w:rFonts w:ascii="Times New Roman" w:hAnsi="Times New Roman"/>
          <w:noProof/>
          <w:sz w:val="24"/>
          <w:szCs w:val="24"/>
        </w:rPr>
        <w:t>7</w:t>
      </w:r>
      <w:r>
        <w:rPr>
          <w:rFonts w:ascii="Times New Roman" w:hAnsi="Times New Roman"/>
          <w:noProof/>
          <w:sz w:val="24"/>
          <w:szCs w:val="24"/>
        </w:rPr>
        <w:t>, leden </w:t>
      </w:r>
      <w:r w:rsidRPr="00D4425F">
        <w:rPr>
          <w:rFonts w:ascii="Times New Roman" w:hAnsi="Times New Roman"/>
          <w:noProof/>
          <w:sz w:val="24"/>
          <w:szCs w:val="24"/>
        </w:rPr>
        <w:t>2</w:t>
      </w:r>
      <w:r>
        <w:rPr>
          <w:rFonts w:ascii="Times New Roman" w:hAnsi="Times New Roman"/>
          <w:noProof/>
          <w:sz w:val="24"/>
          <w:szCs w:val="24"/>
        </w:rPr>
        <w:t xml:space="preserve"> en </w:t>
      </w:r>
      <w:r w:rsidRPr="00D4425F">
        <w:rPr>
          <w:rFonts w:ascii="Times New Roman" w:hAnsi="Times New Roman"/>
          <w:noProof/>
          <w:sz w:val="24"/>
          <w:szCs w:val="24"/>
        </w:rPr>
        <w:t>3</w:t>
      </w:r>
      <w:r>
        <w:rPr>
          <w:rFonts w:ascii="Times New Roman" w:hAnsi="Times New Roman"/>
          <w:noProof/>
          <w:sz w:val="24"/>
          <w:szCs w:val="24"/>
        </w:rPr>
        <w:t>, berekende hoeveelheid energiebesparingen. Van deze mogelijkheid hebben slechts drie lidstaten gebruikgemaakt</w:t>
      </w:r>
      <w:r w:rsidR="00D60CE3" w:rsidRPr="00DA11F1">
        <w:rPr>
          <w:rStyle w:val="FootnoteReference"/>
          <w:rFonts w:ascii="Times New Roman" w:hAnsi="Times New Roman"/>
          <w:noProof/>
          <w:sz w:val="24"/>
          <w:szCs w:val="24"/>
        </w:rPr>
        <w:footnoteReference w:id="126"/>
      </w:r>
      <w:r w:rsidR="00AD1EAB">
        <w:rPr>
          <w:rFonts w:ascii="Times New Roman" w:hAnsi="Times New Roman"/>
          <w:noProof/>
          <w:sz w:val="24"/>
          <w:szCs w:val="24"/>
        </w:rPr>
        <w:t>.</w:t>
      </w:r>
    </w:p>
    <w:p w14:paraId="007E71A3" w14:textId="5338D762" w:rsidR="009D4BB1" w:rsidRPr="00DA11F1" w:rsidRDefault="009D4BB1" w:rsidP="008E33DB">
      <w:pPr>
        <w:jc w:val="both"/>
        <w:rPr>
          <w:rFonts w:ascii="Times New Roman" w:hAnsi="Times New Roman"/>
          <w:noProof/>
          <w:sz w:val="24"/>
          <w:szCs w:val="24"/>
        </w:rPr>
      </w:pPr>
      <w:r>
        <w:rPr>
          <w:rFonts w:ascii="Times New Roman" w:hAnsi="Times New Roman"/>
          <w:noProof/>
          <w:sz w:val="24"/>
          <w:szCs w:val="24"/>
        </w:rPr>
        <w:t>Door energiebesparingen als gevolg van energie-efficiëntiemaatregelen in het ETS neemt de vraag naar emissierechten af. Het effect op broeikasgasemissies is complexer, aangezien het ETS de totale emissies van alle onder het systeem vallende entiteiten beperkt en de marktstabiliteitsreserve onevenwichtigheden tussen vraag en aanbod opvangt. Energiebesparingen in de sectoren die direct zijn opgenomen in of indirect verband houden met het ETS, kunnen derhalve bijdragen tot een vermindering van de emissies of tot een verlaging van de koolstofprijzen. Voor zover beleidsmaatregelen op het gebied van energie-efficiëntie marktfalen en belemmeringen voor de invoering van kosteneffectieve energiebesparende maatregelen aanpakken en aanvullende voordelen opleveren, stellen zij deelnemers ook in staat hun emissies tegen lagere kosten te verminderen. De koolstofprijsstimulans van het EU-ETS draagt op zijn beurt bij tot het bereiken van de EU-streefcijfers en de indicatieve nationale streefcijfers voor energie-efficiëntie krachtens artikel </w:t>
      </w:r>
      <w:r w:rsidRPr="00D4425F">
        <w:rPr>
          <w:rFonts w:ascii="Times New Roman" w:hAnsi="Times New Roman"/>
          <w:noProof/>
          <w:sz w:val="24"/>
          <w:szCs w:val="24"/>
        </w:rPr>
        <w:t>3</w:t>
      </w:r>
      <w:r>
        <w:rPr>
          <w:rFonts w:ascii="Times New Roman" w:hAnsi="Times New Roman"/>
          <w:noProof/>
          <w:sz w:val="24"/>
          <w:szCs w:val="24"/>
        </w:rPr>
        <w:t>.</w:t>
      </w:r>
    </w:p>
    <w:p w14:paraId="236FCA8E" w14:textId="600ADAA8" w:rsidR="00DA76C7" w:rsidRPr="00DA11F1" w:rsidRDefault="0023409B" w:rsidP="008E33DB">
      <w:pPr>
        <w:pStyle w:val="Heading2"/>
        <w:spacing w:before="0" w:after="200"/>
        <w:rPr>
          <w:i w:val="0"/>
          <w:noProof/>
        </w:rPr>
      </w:pPr>
      <w:bookmarkStart w:id="76" w:name="_Toc89423484"/>
      <w:r w:rsidRPr="00D4425F">
        <w:rPr>
          <w:i w:val="0"/>
          <w:noProof/>
        </w:rPr>
        <w:t>8</w:t>
      </w:r>
      <w:r>
        <w:rPr>
          <w:i w:val="0"/>
          <w:noProof/>
        </w:rPr>
        <w:t>.</w:t>
      </w:r>
      <w:r w:rsidRPr="00D4425F">
        <w:rPr>
          <w:i w:val="0"/>
          <w:noProof/>
        </w:rPr>
        <w:t>2</w:t>
      </w:r>
      <w:r>
        <w:rPr>
          <w:i w:val="0"/>
          <w:noProof/>
        </w:rPr>
        <w:t xml:space="preserve"> De gevolgen van de uitvoering van de nationale energie- en klimaatplannen op het EU-ETS</w:t>
      </w:r>
      <w:bookmarkEnd w:id="76"/>
    </w:p>
    <w:p w14:paraId="4364C815" w14:textId="0050200D" w:rsidR="00A276E6" w:rsidRPr="00DA11F1" w:rsidRDefault="000532A9" w:rsidP="008E33DB">
      <w:pPr>
        <w:jc w:val="both"/>
        <w:rPr>
          <w:rFonts w:ascii="Times New Roman" w:hAnsi="Times New Roman"/>
          <w:noProof/>
          <w:sz w:val="24"/>
          <w:szCs w:val="24"/>
        </w:rPr>
      </w:pPr>
      <w:r>
        <w:rPr>
          <w:rFonts w:ascii="Times New Roman" w:hAnsi="Times New Roman"/>
          <w:noProof/>
          <w:sz w:val="24"/>
          <w:szCs w:val="24"/>
        </w:rPr>
        <w:t xml:space="preserve">De </w:t>
      </w:r>
      <w:r w:rsidRPr="00D4425F">
        <w:rPr>
          <w:rFonts w:ascii="Times New Roman" w:hAnsi="Times New Roman"/>
          <w:noProof/>
          <w:sz w:val="24"/>
          <w:szCs w:val="24"/>
        </w:rPr>
        <w:t>27</w:t>
      </w:r>
      <w:r>
        <w:rPr>
          <w:rFonts w:ascii="Times New Roman" w:hAnsi="Times New Roman"/>
          <w:noProof/>
          <w:sz w:val="24"/>
          <w:szCs w:val="24"/>
        </w:rPr>
        <w:t xml:space="preserve"> nationale energie- en klimaatplannen (NECP’s) die in </w:t>
      </w:r>
      <w:r w:rsidRPr="00D4425F">
        <w:rPr>
          <w:rFonts w:ascii="Times New Roman" w:hAnsi="Times New Roman"/>
          <w:noProof/>
          <w:sz w:val="24"/>
          <w:szCs w:val="24"/>
        </w:rPr>
        <w:t>2019</w:t>
      </w:r>
      <w:r>
        <w:rPr>
          <w:rFonts w:ascii="Times New Roman" w:hAnsi="Times New Roman"/>
          <w:noProof/>
          <w:sz w:val="24"/>
          <w:szCs w:val="24"/>
        </w:rPr>
        <w:t xml:space="preserve"> zijn afgerond, bieden een overzicht van de manier waarop de EU-lidstaten de eerste fase van hun transitie naar klimaatneutraliteit aanpakken van </w:t>
      </w:r>
      <w:r w:rsidRPr="00D4425F">
        <w:rPr>
          <w:rFonts w:ascii="Times New Roman" w:hAnsi="Times New Roman"/>
          <w:noProof/>
          <w:sz w:val="24"/>
          <w:szCs w:val="24"/>
        </w:rPr>
        <w:t>2021</w:t>
      </w:r>
      <w:r>
        <w:rPr>
          <w:rFonts w:ascii="Times New Roman" w:hAnsi="Times New Roman"/>
          <w:noProof/>
          <w:sz w:val="24"/>
          <w:szCs w:val="24"/>
        </w:rPr>
        <w:t xml:space="preserve"> tot en met </w:t>
      </w:r>
      <w:r w:rsidRPr="00D4425F">
        <w:rPr>
          <w:rFonts w:ascii="Times New Roman" w:hAnsi="Times New Roman"/>
          <w:noProof/>
          <w:sz w:val="24"/>
          <w:szCs w:val="24"/>
        </w:rPr>
        <w:t>2030</w:t>
      </w:r>
      <w:r w:rsidR="00AD1EAB">
        <w:rPr>
          <w:rFonts w:ascii="Times New Roman" w:hAnsi="Times New Roman"/>
          <w:noProof/>
          <w:sz w:val="24"/>
          <w:szCs w:val="24"/>
        </w:rPr>
        <w:t>.</w:t>
      </w:r>
    </w:p>
    <w:p w14:paraId="70E67C65" w14:textId="2FFDB172" w:rsidR="00A7591B" w:rsidRPr="00DA11F1" w:rsidRDefault="000A5336" w:rsidP="008E33DB">
      <w:pPr>
        <w:jc w:val="both"/>
        <w:rPr>
          <w:rFonts w:ascii="Times New Roman" w:hAnsi="Times New Roman"/>
          <w:noProof/>
          <w:sz w:val="24"/>
          <w:szCs w:val="24"/>
        </w:rPr>
      </w:pPr>
      <w:r>
        <w:rPr>
          <w:rFonts w:ascii="Times New Roman" w:hAnsi="Times New Roman"/>
          <w:noProof/>
          <w:sz w:val="24"/>
          <w:szCs w:val="24"/>
        </w:rPr>
        <w:t>Uit de beoordeling van de NECP’s door de Commissie</w:t>
      </w:r>
      <w:r w:rsidR="00FD2B00" w:rsidRPr="00DA11F1">
        <w:rPr>
          <w:rStyle w:val="FootnoteReference"/>
          <w:rFonts w:ascii="Times New Roman" w:hAnsi="Times New Roman"/>
          <w:noProof/>
          <w:sz w:val="24"/>
          <w:szCs w:val="24"/>
        </w:rPr>
        <w:footnoteReference w:id="127"/>
      </w:r>
      <w:r>
        <w:rPr>
          <w:rFonts w:ascii="Times New Roman" w:hAnsi="Times New Roman"/>
          <w:noProof/>
          <w:sz w:val="24"/>
          <w:szCs w:val="24"/>
        </w:rPr>
        <w:t xml:space="preserve"> kwam naar voren dat de lidstaten voornemens zijn de emissies op grond van de bestaande en geplande maatregelen te verminderen tot </w:t>
      </w:r>
      <w:r w:rsidRPr="00D4425F">
        <w:rPr>
          <w:rFonts w:ascii="Times New Roman" w:hAnsi="Times New Roman"/>
          <w:noProof/>
          <w:sz w:val="24"/>
          <w:szCs w:val="24"/>
        </w:rPr>
        <w:t>41</w:t>
      </w:r>
      <w:r>
        <w:rPr>
          <w:rFonts w:ascii="Times New Roman" w:hAnsi="Times New Roman"/>
          <w:noProof/>
          <w:sz w:val="24"/>
          <w:szCs w:val="24"/>
        </w:rPr>
        <w:t xml:space="preserve"> % onder het niveau van </w:t>
      </w:r>
      <w:r w:rsidRPr="00D4425F">
        <w:rPr>
          <w:rFonts w:ascii="Times New Roman" w:hAnsi="Times New Roman"/>
          <w:noProof/>
          <w:sz w:val="24"/>
          <w:szCs w:val="24"/>
        </w:rPr>
        <w:t>1990</w:t>
      </w:r>
      <w:r>
        <w:rPr>
          <w:rFonts w:ascii="Times New Roman" w:hAnsi="Times New Roman"/>
          <w:noProof/>
          <w:sz w:val="24"/>
          <w:szCs w:val="24"/>
        </w:rPr>
        <w:t xml:space="preserve">, hetgeen verder gaat dan het vorige reductiestreefcijfer van de EU voor </w:t>
      </w:r>
      <w:r w:rsidRPr="00D4425F">
        <w:rPr>
          <w:rFonts w:ascii="Times New Roman" w:hAnsi="Times New Roman"/>
          <w:noProof/>
          <w:sz w:val="24"/>
          <w:szCs w:val="24"/>
        </w:rPr>
        <w:t>2030</w:t>
      </w:r>
      <w:r>
        <w:rPr>
          <w:rFonts w:ascii="Times New Roman" w:hAnsi="Times New Roman"/>
          <w:noProof/>
          <w:sz w:val="24"/>
          <w:szCs w:val="24"/>
        </w:rPr>
        <w:t xml:space="preserve"> van </w:t>
      </w:r>
      <w:r w:rsidRPr="00D4425F">
        <w:rPr>
          <w:rFonts w:ascii="Times New Roman" w:hAnsi="Times New Roman"/>
          <w:noProof/>
          <w:sz w:val="24"/>
          <w:szCs w:val="24"/>
        </w:rPr>
        <w:t>40</w:t>
      </w:r>
      <w:r>
        <w:rPr>
          <w:rFonts w:ascii="Times New Roman" w:hAnsi="Times New Roman"/>
          <w:noProof/>
          <w:sz w:val="24"/>
          <w:szCs w:val="24"/>
        </w:rPr>
        <w:t xml:space="preserve"> %. Uit de plannen blijkt tevens dat bijna alle lidstaten die kolen gebruiken om elektriciteit op te wekken, kolen uitfaseren of een datum voor de uitfasering hebben vastgesteld. In totaal zijn </w:t>
      </w:r>
      <w:r w:rsidRPr="00D4425F">
        <w:rPr>
          <w:rFonts w:ascii="Times New Roman" w:hAnsi="Times New Roman"/>
          <w:noProof/>
          <w:sz w:val="24"/>
          <w:szCs w:val="24"/>
        </w:rPr>
        <w:t>21</w:t>
      </w:r>
      <w:r>
        <w:rPr>
          <w:rFonts w:ascii="Times New Roman" w:hAnsi="Times New Roman"/>
          <w:noProof/>
          <w:sz w:val="24"/>
          <w:szCs w:val="24"/>
        </w:rPr>
        <w:t> lidstaten al kolenvrij wat de elektriciteitsproductie betreft</w:t>
      </w:r>
      <w:r w:rsidR="00963CD3" w:rsidRPr="00DA11F1">
        <w:rPr>
          <w:rStyle w:val="FootnoteReference"/>
          <w:rFonts w:ascii="Times New Roman" w:hAnsi="Times New Roman"/>
          <w:noProof/>
          <w:sz w:val="24"/>
          <w:szCs w:val="24"/>
        </w:rPr>
        <w:footnoteReference w:id="128"/>
      </w:r>
      <w:r>
        <w:rPr>
          <w:rFonts w:ascii="Times New Roman" w:hAnsi="Times New Roman"/>
          <w:noProof/>
          <w:sz w:val="24"/>
          <w:szCs w:val="24"/>
        </w:rPr>
        <w:t xml:space="preserve"> of hebben toegezegd kolen (met inbegrip van bruinkool en turf) uit te faseren, en zij vermelden in hun NECP’s specifieke datums. Gelet op het voorgaande wordt op basis van de NECP’s verwacht dat het gebruik van kolen tegen </w:t>
      </w:r>
      <w:r w:rsidRPr="00D4425F">
        <w:rPr>
          <w:rFonts w:ascii="Times New Roman" w:hAnsi="Times New Roman"/>
          <w:noProof/>
          <w:sz w:val="24"/>
          <w:szCs w:val="24"/>
        </w:rPr>
        <w:t>2030</w:t>
      </w:r>
      <w:r>
        <w:rPr>
          <w:rFonts w:ascii="Times New Roman" w:hAnsi="Times New Roman"/>
          <w:noProof/>
          <w:sz w:val="24"/>
          <w:szCs w:val="24"/>
        </w:rPr>
        <w:t xml:space="preserve"> met </w:t>
      </w:r>
      <w:r w:rsidRPr="00D4425F">
        <w:rPr>
          <w:rFonts w:ascii="Times New Roman" w:hAnsi="Times New Roman"/>
          <w:noProof/>
          <w:sz w:val="24"/>
          <w:szCs w:val="24"/>
        </w:rPr>
        <w:t>70</w:t>
      </w:r>
      <w:r>
        <w:rPr>
          <w:rFonts w:ascii="Times New Roman" w:hAnsi="Times New Roman"/>
          <w:noProof/>
          <w:sz w:val="24"/>
          <w:szCs w:val="24"/>
        </w:rPr>
        <w:t xml:space="preserve"> % afneemt ten opzichte van </w:t>
      </w:r>
      <w:r w:rsidRPr="00D4425F">
        <w:rPr>
          <w:rFonts w:ascii="Times New Roman" w:hAnsi="Times New Roman"/>
          <w:noProof/>
          <w:sz w:val="24"/>
          <w:szCs w:val="24"/>
        </w:rPr>
        <w:t>2015</w:t>
      </w:r>
      <w:r>
        <w:rPr>
          <w:rFonts w:ascii="Times New Roman" w:hAnsi="Times New Roman"/>
          <w:noProof/>
          <w:sz w:val="24"/>
          <w:szCs w:val="24"/>
        </w:rPr>
        <w:t xml:space="preserve"> en hernieuwbare energie tegen </w:t>
      </w:r>
      <w:r w:rsidRPr="00D4425F">
        <w:rPr>
          <w:rFonts w:ascii="Times New Roman" w:hAnsi="Times New Roman"/>
          <w:noProof/>
          <w:sz w:val="24"/>
          <w:szCs w:val="24"/>
        </w:rPr>
        <w:t>2030</w:t>
      </w:r>
      <w:r>
        <w:rPr>
          <w:rFonts w:ascii="Times New Roman" w:hAnsi="Times New Roman"/>
          <w:noProof/>
          <w:sz w:val="24"/>
          <w:szCs w:val="24"/>
        </w:rPr>
        <w:t xml:space="preserve"> </w:t>
      </w:r>
      <w:r w:rsidRPr="00D4425F">
        <w:rPr>
          <w:rFonts w:ascii="Times New Roman" w:hAnsi="Times New Roman"/>
          <w:noProof/>
          <w:sz w:val="24"/>
          <w:szCs w:val="24"/>
        </w:rPr>
        <w:t>60</w:t>
      </w:r>
      <w:r>
        <w:rPr>
          <w:rFonts w:ascii="Times New Roman" w:hAnsi="Times New Roman"/>
          <w:noProof/>
          <w:sz w:val="24"/>
          <w:szCs w:val="24"/>
        </w:rPr>
        <w:t> % van de geproduceerde elektriciteit vormt. Deze ontwikkelingen zouden rechtstreeks van invloed zijn op het EU-ETS en kunnen leiden tot een aanzienlijke vermindering van de emissies door de elektriciteitssector en een daaropvolgende afname van de vraag naar emissierechten. Voor zover deze beleidsgestuurde uitfasering de door de koolstofmarkt gestuurde uitfasering van kolen versnelt en deze effecten niet worden geneutraliseerd door de marktstabiliteitsreserve, kunnen zij de koolstofprijzen in het ETS doen dalen.</w:t>
      </w:r>
    </w:p>
    <w:p w14:paraId="09DDBEAD" w14:textId="5B62187C" w:rsidR="00A7591B" w:rsidRPr="00DA11F1" w:rsidRDefault="002443DF" w:rsidP="008E33DB">
      <w:pPr>
        <w:jc w:val="both"/>
        <w:rPr>
          <w:rFonts w:ascii="Times New Roman" w:hAnsi="Times New Roman"/>
          <w:noProof/>
          <w:sz w:val="24"/>
          <w:szCs w:val="24"/>
        </w:rPr>
      </w:pPr>
      <w:r>
        <w:rPr>
          <w:rFonts w:ascii="Times New Roman" w:hAnsi="Times New Roman"/>
          <w:noProof/>
          <w:sz w:val="24"/>
          <w:szCs w:val="24"/>
        </w:rPr>
        <w:t xml:space="preserve">Uit de beoordeling van de Commissie bleek ook dat het aandeel hernieuwbare energie op EU-niveau met de bestaande en geplande maatregelen tegen </w:t>
      </w:r>
      <w:r w:rsidRPr="00D4425F">
        <w:rPr>
          <w:rFonts w:ascii="Times New Roman" w:hAnsi="Times New Roman"/>
          <w:noProof/>
          <w:sz w:val="24"/>
          <w:szCs w:val="24"/>
        </w:rPr>
        <w:t>2030</w:t>
      </w:r>
      <w:r>
        <w:rPr>
          <w:rFonts w:ascii="Times New Roman" w:hAnsi="Times New Roman"/>
          <w:noProof/>
          <w:sz w:val="24"/>
          <w:szCs w:val="24"/>
        </w:rPr>
        <w:t xml:space="preserve"> op </w:t>
      </w:r>
      <w:r w:rsidRPr="00D4425F">
        <w:rPr>
          <w:rFonts w:ascii="Times New Roman" w:hAnsi="Times New Roman"/>
          <w:noProof/>
          <w:sz w:val="24"/>
          <w:szCs w:val="24"/>
        </w:rPr>
        <w:t>33</w:t>
      </w:r>
      <w:r>
        <w:rPr>
          <w:rFonts w:ascii="Times New Roman" w:hAnsi="Times New Roman"/>
          <w:noProof/>
          <w:sz w:val="24"/>
          <w:szCs w:val="24"/>
        </w:rPr>
        <w:t>,</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33</w:t>
      </w:r>
      <w:r>
        <w:rPr>
          <w:rFonts w:ascii="Times New Roman" w:hAnsi="Times New Roman"/>
          <w:noProof/>
          <w:sz w:val="24"/>
          <w:szCs w:val="24"/>
        </w:rPr>
        <w:t>,</w:t>
      </w:r>
      <w:r w:rsidRPr="00D4425F">
        <w:rPr>
          <w:rFonts w:ascii="Times New Roman" w:hAnsi="Times New Roman"/>
          <w:noProof/>
          <w:sz w:val="24"/>
          <w:szCs w:val="24"/>
        </w:rPr>
        <w:t>7</w:t>
      </w:r>
      <w:r>
        <w:rPr>
          <w:rFonts w:ascii="Times New Roman" w:hAnsi="Times New Roman"/>
          <w:noProof/>
          <w:sz w:val="24"/>
          <w:szCs w:val="24"/>
        </w:rPr>
        <w:t xml:space="preserve"> % kan komen, wat meer is dan het streefcijfer van ten minste </w:t>
      </w:r>
      <w:r w:rsidRPr="00D4425F">
        <w:rPr>
          <w:rFonts w:ascii="Times New Roman" w:hAnsi="Times New Roman"/>
          <w:noProof/>
          <w:sz w:val="24"/>
          <w:szCs w:val="24"/>
        </w:rPr>
        <w:t>32</w:t>
      </w:r>
      <w:r>
        <w:rPr>
          <w:rFonts w:ascii="Times New Roman" w:hAnsi="Times New Roman"/>
          <w:noProof/>
          <w:sz w:val="24"/>
          <w:szCs w:val="24"/>
        </w:rPr>
        <w:t xml:space="preserve"> % in </w:t>
      </w:r>
      <w:r w:rsidRPr="00D4425F">
        <w:rPr>
          <w:rFonts w:ascii="Times New Roman" w:hAnsi="Times New Roman"/>
          <w:noProof/>
          <w:sz w:val="24"/>
          <w:szCs w:val="24"/>
        </w:rPr>
        <w:t>2030</w:t>
      </w:r>
      <w:r>
        <w:rPr>
          <w:rFonts w:ascii="Times New Roman" w:hAnsi="Times New Roman"/>
          <w:noProof/>
          <w:sz w:val="24"/>
          <w:szCs w:val="24"/>
        </w:rPr>
        <w:t xml:space="preserve">. Verdere investeringen en hervormingen op het gebied van hernieuwbare energie die in de NECP’s aan bod komen, kunnen dit aandeel nog verder doen toenemen. Wat energie-efficiëntie betreft, is meer ambitie nodig om de doelstelling voor </w:t>
      </w:r>
      <w:r w:rsidRPr="00D4425F">
        <w:rPr>
          <w:rFonts w:ascii="Times New Roman" w:hAnsi="Times New Roman"/>
          <w:noProof/>
          <w:sz w:val="24"/>
          <w:szCs w:val="24"/>
        </w:rPr>
        <w:t>2030</w:t>
      </w:r>
      <w:r>
        <w:rPr>
          <w:rFonts w:ascii="Times New Roman" w:hAnsi="Times New Roman"/>
          <w:noProof/>
          <w:sz w:val="24"/>
          <w:szCs w:val="24"/>
        </w:rPr>
        <w:t xml:space="preserve"> te halen</w:t>
      </w:r>
      <w:r w:rsidRPr="00DA11F1">
        <w:rPr>
          <w:rStyle w:val="FootnoteReference"/>
          <w:rFonts w:ascii="Times New Roman" w:hAnsi="Times New Roman"/>
          <w:noProof/>
          <w:sz w:val="24"/>
          <w:szCs w:val="24"/>
        </w:rPr>
        <w:footnoteReference w:id="129"/>
      </w:r>
      <w:r>
        <w:rPr>
          <w:rFonts w:ascii="Times New Roman" w:hAnsi="Times New Roman"/>
          <w:noProof/>
          <w:sz w:val="24"/>
          <w:szCs w:val="24"/>
        </w:rPr>
        <w:t>. Hoewel uit de definitieve plannen en de op Europees niveau geplande maatregelen blijkt dat er steeds meer aandacht komt voor deze kwestie, moet er nog veel werk worden verzet om de kloof te dichten. Voor zover deze ontwikkelingen gevolgen hebben voor de sectoren die direct zijn opgenomen in of indirect verband houden met het EU-ETS, kunnen zij de vraag naar emissierechten doen afnemen. De koolstofprijsstimulans van het EU-ETS draagt op zijn beurt bij tot het bereiken van de in de NECP’s vastgestelde nationale streefcijfers voor hernieuwbare energie en energie-efficiëntie.</w:t>
      </w:r>
    </w:p>
    <w:p w14:paraId="2718107F" w14:textId="28C8CD94" w:rsidR="0090131B" w:rsidRPr="00DA11F1" w:rsidRDefault="002C282C" w:rsidP="008E33DB">
      <w:pPr>
        <w:jc w:val="both"/>
        <w:rPr>
          <w:rFonts w:ascii="Times New Roman" w:hAnsi="Times New Roman"/>
          <w:noProof/>
          <w:sz w:val="24"/>
          <w:szCs w:val="24"/>
        </w:rPr>
      </w:pPr>
      <w:r>
        <w:rPr>
          <w:rFonts w:ascii="Times New Roman" w:hAnsi="Times New Roman"/>
          <w:noProof/>
          <w:sz w:val="24"/>
          <w:szCs w:val="24"/>
        </w:rPr>
        <w:t>Sinds de beoordeling door de Commissie van d</w:t>
      </w:r>
      <w:r w:rsidR="00AD1EAB">
        <w:rPr>
          <w:rFonts w:ascii="Times New Roman" w:hAnsi="Times New Roman"/>
          <w:noProof/>
          <w:sz w:val="24"/>
          <w:szCs w:val="24"/>
        </w:rPr>
        <w:t>e definitieve NECP’s in oktober </w:t>
      </w:r>
      <w:r w:rsidRPr="00D4425F">
        <w:rPr>
          <w:rFonts w:ascii="Times New Roman" w:hAnsi="Times New Roman"/>
          <w:noProof/>
          <w:sz w:val="24"/>
          <w:szCs w:val="24"/>
        </w:rPr>
        <w:t>2020</w:t>
      </w:r>
      <w:r>
        <w:rPr>
          <w:rFonts w:ascii="Times New Roman" w:hAnsi="Times New Roman"/>
          <w:noProof/>
          <w:sz w:val="24"/>
          <w:szCs w:val="24"/>
        </w:rPr>
        <w:t xml:space="preserve"> hebben sommige lidstaten hun plannen gewijzigd en aangepast. Uitvoeriger informatie over de gevolgen daarvan is te </w:t>
      </w:r>
      <w:r w:rsidR="00AD1EAB">
        <w:rPr>
          <w:rFonts w:ascii="Times New Roman" w:hAnsi="Times New Roman"/>
          <w:noProof/>
          <w:sz w:val="24"/>
          <w:szCs w:val="24"/>
        </w:rPr>
        <w:t>vinden in het Voortgangsverslag </w:t>
      </w:r>
      <w:r w:rsidRPr="00D4425F">
        <w:rPr>
          <w:rFonts w:ascii="Times New Roman" w:hAnsi="Times New Roman"/>
          <w:noProof/>
          <w:sz w:val="24"/>
          <w:szCs w:val="24"/>
        </w:rPr>
        <w:t>2021</w:t>
      </w:r>
      <w:r>
        <w:rPr>
          <w:rFonts w:ascii="Times New Roman" w:hAnsi="Times New Roman"/>
          <w:noProof/>
          <w:sz w:val="24"/>
          <w:szCs w:val="24"/>
        </w:rPr>
        <w:t xml:space="preserve"> over klimaatactie in de EU</w:t>
      </w:r>
      <w:r w:rsidR="00BB4FB4" w:rsidRPr="00DA11F1">
        <w:rPr>
          <w:rStyle w:val="FootnoteReference"/>
          <w:rFonts w:ascii="Times New Roman" w:hAnsi="Times New Roman"/>
          <w:noProof/>
          <w:sz w:val="24"/>
          <w:szCs w:val="24"/>
        </w:rPr>
        <w:footnoteReference w:id="130"/>
      </w:r>
      <w:r w:rsidR="00AD1EAB">
        <w:rPr>
          <w:rFonts w:ascii="Times New Roman" w:hAnsi="Times New Roman"/>
          <w:noProof/>
          <w:sz w:val="24"/>
          <w:szCs w:val="24"/>
        </w:rPr>
        <w:t>. Alle lidstaten moeten in juni </w:t>
      </w:r>
      <w:r w:rsidRPr="00D4425F">
        <w:rPr>
          <w:rFonts w:ascii="Times New Roman" w:hAnsi="Times New Roman"/>
          <w:noProof/>
          <w:sz w:val="24"/>
          <w:szCs w:val="24"/>
        </w:rPr>
        <w:t>2023</w:t>
      </w:r>
      <w:r>
        <w:rPr>
          <w:rFonts w:ascii="Times New Roman" w:hAnsi="Times New Roman"/>
          <w:noProof/>
          <w:sz w:val="24"/>
          <w:szCs w:val="24"/>
        </w:rPr>
        <w:t xml:space="preserve"> (in ontwerpvorm) en </w:t>
      </w:r>
      <w:r w:rsidRPr="00D4425F">
        <w:rPr>
          <w:rFonts w:ascii="Times New Roman" w:hAnsi="Times New Roman"/>
          <w:noProof/>
          <w:sz w:val="24"/>
          <w:szCs w:val="24"/>
        </w:rPr>
        <w:t>2024</w:t>
      </w:r>
      <w:r>
        <w:rPr>
          <w:rFonts w:ascii="Times New Roman" w:hAnsi="Times New Roman"/>
          <w:noProof/>
          <w:sz w:val="24"/>
          <w:szCs w:val="24"/>
        </w:rPr>
        <w:t xml:space="preserve"> (definitieve plannen) geactualiseerde versies van hun NECP’s indienen. Deze moeten een weerspiegeling zijn van de verhoogde ambitie overeenkomstig de EU-doelstelling om de netto-uitstoot van broeikasgassen tegen </w:t>
      </w:r>
      <w:r w:rsidRPr="00D4425F">
        <w:rPr>
          <w:rFonts w:ascii="Times New Roman" w:hAnsi="Times New Roman"/>
          <w:noProof/>
          <w:sz w:val="24"/>
          <w:szCs w:val="24"/>
        </w:rPr>
        <w:t>2030</w:t>
      </w:r>
      <w:r>
        <w:rPr>
          <w:rFonts w:ascii="Times New Roman" w:hAnsi="Times New Roman"/>
          <w:noProof/>
          <w:sz w:val="24"/>
          <w:szCs w:val="24"/>
        </w:rPr>
        <w:t xml:space="preserve"> met ten minste </w:t>
      </w:r>
      <w:r w:rsidRPr="00D4425F">
        <w:rPr>
          <w:rFonts w:ascii="Times New Roman" w:hAnsi="Times New Roman"/>
          <w:noProof/>
          <w:sz w:val="24"/>
          <w:szCs w:val="24"/>
        </w:rPr>
        <w:t>55</w:t>
      </w:r>
      <w:r>
        <w:rPr>
          <w:rFonts w:ascii="Times New Roman" w:hAnsi="Times New Roman"/>
          <w:noProof/>
          <w:sz w:val="24"/>
          <w:szCs w:val="24"/>
        </w:rPr>
        <w:t xml:space="preserve"> % te verminderen ten opzichte van </w:t>
      </w:r>
      <w:r w:rsidRPr="00D4425F">
        <w:rPr>
          <w:rFonts w:ascii="Times New Roman" w:hAnsi="Times New Roman"/>
          <w:noProof/>
          <w:sz w:val="24"/>
          <w:szCs w:val="24"/>
        </w:rPr>
        <w:t>1990</w:t>
      </w:r>
      <w:r>
        <w:rPr>
          <w:rFonts w:ascii="Times New Roman" w:hAnsi="Times New Roman"/>
          <w:noProof/>
          <w:sz w:val="24"/>
          <w:szCs w:val="24"/>
        </w:rPr>
        <w:t xml:space="preserve">, waarbij eventueel rekening wordt gehouden met de hogere streefcijfers voor </w:t>
      </w:r>
      <w:r w:rsidRPr="00D4425F">
        <w:rPr>
          <w:rFonts w:ascii="Times New Roman" w:hAnsi="Times New Roman"/>
          <w:noProof/>
          <w:sz w:val="24"/>
          <w:szCs w:val="24"/>
        </w:rPr>
        <w:t>2030</w:t>
      </w:r>
      <w:r>
        <w:rPr>
          <w:rFonts w:ascii="Times New Roman" w:hAnsi="Times New Roman"/>
          <w:noProof/>
          <w:sz w:val="24"/>
          <w:szCs w:val="24"/>
        </w:rPr>
        <w:t xml:space="preserve"> voor energie-efficiëntie (besparingen van </w:t>
      </w:r>
      <w:r w:rsidRPr="00D4425F">
        <w:rPr>
          <w:rFonts w:ascii="Times New Roman" w:hAnsi="Times New Roman"/>
          <w:noProof/>
          <w:sz w:val="24"/>
          <w:szCs w:val="24"/>
        </w:rPr>
        <w:t>36</w:t>
      </w:r>
      <w:r>
        <w:rPr>
          <w:rFonts w:ascii="Times New Roman" w:hAnsi="Times New Roman"/>
          <w:noProof/>
          <w:sz w:val="24"/>
          <w:szCs w:val="24"/>
        </w:rPr>
        <w:t>-</w:t>
      </w:r>
      <w:r w:rsidRPr="00D4425F">
        <w:rPr>
          <w:rFonts w:ascii="Times New Roman" w:hAnsi="Times New Roman"/>
          <w:noProof/>
          <w:sz w:val="24"/>
          <w:szCs w:val="24"/>
        </w:rPr>
        <w:t>39</w:t>
      </w:r>
      <w:r>
        <w:rPr>
          <w:rFonts w:ascii="Times New Roman" w:hAnsi="Times New Roman"/>
          <w:noProof/>
          <w:sz w:val="24"/>
          <w:szCs w:val="24"/>
        </w:rPr>
        <w:t xml:space="preserve"> % op het eindverbruik en het primaire energieverbruik) en hernieuwbare energie (een aandeel van </w:t>
      </w:r>
      <w:r w:rsidRPr="00D4425F">
        <w:rPr>
          <w:rFonts w:ascii="Times New Roman" w:hAnsi="Times New Roman"/>
          <w:noProof/>
          <w:sz w:val="24"/>
          <w:szCs w:val="24"/>
        </w:rPr>
        <w:t>40</w:t>
      </w:r>
      <w:r>
        <w:rPr>
          <w:rFonts w:ascii="Times New Roman" w:hAnsi="Times New Roman"/>
          <w:noProof/>
          <w:sz w:val="24"/>
          <w:szCs w:val="24"/>
        </w:rPr>
        <w:t> % hernieuwbare energie in de energiemix van de EU) die de Commissie heeft voorgesteld in het kader van het wetgevingspakket om werk te maken van de Europese Green Deal. De Commissie zal alle bijgew</w:t>
      </w:r>
      <w:r w:rsidR="00AD1EAB">
        <w:rPr>
          <w:rFonts w:ascii="Times New Roman" w:hAnsi="Times New Roman"/>
          <w:noProof/>
          <w:sz w:val="24"/>
          <w:szCs w:val="24"/>
        </w:rPr>
        <w:t>erkte ontwerpplannen tegen eind </w:t>
      </w:r>
      <w:r w:rsidRPr="00D4425F">
        <w:rPr>
          <w:rFonts w:ascii="Times New Roman" w:hAnsi="Times New Roman"/>
          <w:noProof/>
          <w:sz w:val="24"/>
          <w:szCs w:val="24"/>
        </w:rPr>
        <w:t>2023</w:t>
      </w:r>
      <w:r>
        <w:rPr>
          <w:rFonts w:ascii="Times New Roman" w:hAnsi="Times New Roman"/>
          <w:noProof/>
          <w:sz w:val="24"/>
          <w:szCs w:val="24"/>
        </w:rPr>
        <w:t xml:space="preserve"> en de</w:t>
      </w:r>
      <w:r w:rsidR="002E48F8">
        <w:rPr>
          <w:rFonts w:ascii="Times New Roman" w:hAnsi="Times New Roman"/>
          <w:noProof/>
          <w:sz w:val="24"/>
          <w:szCs w:val="24"/>
        </w:rPr>
        <w:t xml:space="preserve"> definitieve plannen tegen eind </w:t>
      </w:r>
      <w:r w:rsidRPr="00D4425F">
        <w:rPr>
          <w:rFonts w:ascii="Times New Roman" w:hAnsi="Times New Roman"/>
          <w:noProof/>
          <w:sz w:val="24"/>
          <w:szCs w:val="24"/>
        </w:rPr>
        <w:t>2024</w:t>
      </w:r>
      <w:r>
        <w:rPr>
          <w:rFonts w:ascii="Times New Roman" w:hAnsi="Times New Roman"/>
          <w:noProof/>
          <w:sz w:val="24"/>
          <w:szCs w:val="24"/>
        </w:rPr>
        <w:t xml:space="preserve"> beoordelen.</w:t>
      </w:r>
    </w:p>
    <w:p w14:paraId="3F8A5053" w14:textId="1A0B3F4B" w:rsidR="00131369" w:rsidRPr="00DA11F1" w:rsidRDefault="005811CF" w:rsidP="008E33DB">
      <w:pPr>
        <w:pStyle w:val="Heading1"/>
        <w:spacing w:before="0" w:after="200"/>
        <w:rPr>
          <w:noProof/>
        </w:rPr>
      </w:pPr>
      <w:bookmarkStart w:id="77" w:name="_Toc89423485"/>
      <w:r w:rsidRPr="00D4425F">
        <w:rPr>
          <w:noProof/>
        </w:rPr>
        <w:t>9</w:t>
      </w:r>
      <w:r>
        <w:rPr>
          <w:noProof/>
        </w:rPr>
        <w:t>. CONCLUSIES EN VOORUITBLIK</w:t>
      </w:r>
      <w:bookmarkStart w:id="78" w:name="_Toc490850441"/>
      <w:bookmarkEnd w:id="77"/>
      <w:r>
        <w:rPr>
          <w:noProof/>
        </w:rPr>
        <w:t xml:space="preserve"> </w:t>
      </w:r>
    </w:p>
    <w:p w14:paraId="2824709F" w14:textId="55B8325B" w:rsidR="00E576AC" w:rsidRPr="00DA11F1" w:rsidRDefault="00FA6B61" w:rsidP="008E33DB">
      <w:pPr>
        <w:jc w:val="both"/>
        <w:rPr>
          <w:rFonts w:ascii="Times New Roman" w:hAnsi="Times New Roman"/>
          <w:noProof/>
          <w:sz w:val="24"/>
          <w:szCs w:val="24"/>
        </w:rPr>
      </w:pPr>
      <w:r>
        <w:rPr>
          <w:rFonts w:ascii="Times New Roman" w:hAnsi="Times New Roman"/>
          <w:noProof/>
          <w:sz w:val="24"/>
          <w:szCs w:val="24"/>
        </w:rPr>
        <w:t>In fase </w:t>
      </w:r>
      <w:r w:rsidRPr="00D4425F">
        <w:rPr>
          <w:rFonts w:ascii="Times New Roman" w:hAnsi="Times New Roman"/>
          <w:noProof/>
          <w:sz w:val="24"/>
          <w:szCs w:val="24"/>
        </w:rPr>
        <w:t>3</w:t>
      </w:r>
      <w:r>
        <w:rPr>
          <w:rFonts w:ascii="Times New Roman" w:hAnsi="Times New Roman"/>
          <w:noProof/>
          <w:sz w:val="24"/>
          <w:szCs w:val="24"/>
        </w:rPr>
        <w:t xml:space="preserve"> van het EU-ETS (</w:t>
      </w:r>
      <w:r w:rsidRPr="00D4425F">
        <w:rPr>
          <w:rFonts w:ascii="Times New Roman" w:hAnsi="Times New Roman"/>
          <w:noProof/>
          <w:sz w:val="24"/>
          <w:szCs w:val="24"/>
        </w:rPr>
        <w:t>2013</w:t>
      </w:r>
      <w:r>
        <w:rPr>
          <w:rFonts w:ascii="Times New Roman" w:hAnsi="Times New Roman"/>
          <w:noProof/>
          <w:sz w:val="24"/>
          <w:szCs w:val="24"/>
        </w:rPr>
        <w:t>-</w:t>
      </w:r>
      <w:r w:rsidRPr="00D4425F">
        <w:rPr>
          <w:rFonts w:ascii="Times New Roman" w:hAnsi="Times New Roman"/>
          <w:noProof/>
          <w:sz w:val="24"/>
          <w:szCs w:val="24"/>
        </w:rPr>
        <w:t>2020</w:t>
      </w:r>
      <w:r>
        <w:rPr>
          <w:rFonts w:ascii="Times New Roman" w:hAnsi="Times New Roman"/>
          <w:noProof/>
          <w:sz w:val="24"/>
          <w:szCs w:val="24"/>
        </w:rPr>
        <w:t xml:space="preserve">) zijn de broeikasgasemissies door elektriciteitsproductie en industriële installaties die onder het systeem vallen, met bijna </w:t>
      </w:r>
      <w:r w:rsidRPr="00D4425F">
        <w:rPr>
          <w:rFonts w:ascii="Times New Roman" w:hAnsi="Times New Roman"/>
          <w:noProof/>
          <w:sz w:val="24"/>
          <w:szCs w:val="24"/>
        </w:rPr>
        <w:t>29</w:t>
      </w:r>
      <w:r>
        <w:rPr>
          <w:rFonts w:ascii="Times New Roman" w:hAnsi="Times New Roman"/>
          <w:noProof/>
          <w:sz w:val="24"/>
          <w:szCs w:val="24"/>
        </w:rPr>
        <w:t> % gedaald</w:t>
      </w:r>
      <w:r w:rsidR="00595E98" w:rsidRPr="00DA11F1">
        <w:rPr>
          <w:rStyle w:val="FootnoteReference"/>
          <w:rFonts w:ascii="Times New Roman" w:hAnsi="Times New Roman"/>
          <w:noProof/>
          <w:sz w:val="24"/>
          <w:szCs w:val="24"/>
        </w:rPr>
        <w:footnoteReference w:id="131"/>
      </w:r>
      <w:r>
        <w:rPr>
          <w:rFonts w:ascii="Times New Roman" w:hAnsi="Times New Roman"/>
          <w:noProof/>
          <w:sz w:val="24"/>
          <w:szCs w:val="24"/>
        </w:rPr>
        <w:t xml:space="preserve">, wat heeft bijgedragen tot de algemene daling van ongeveer </w:t>
      </w:r>
      <w:r w:rsidRPr="00D4425F">
        <w:rPr>
          <w:rFonts w:ascii="Times New Roman" w:hAnsi="Times New Roman"/>
          <w:noProof/>
          <w:sz w:val="24"/>
          <w:szCs w:val="24"/>
        </w:rPr>
        <w:t>43</w:t>
      </w:r>
      <w:r>
        <w:rPr>
          <w:rFonts w:ascii="Times New Roman" w:hAnsi="Times New Roman"/>
          <w:noProof/>
          <w:sz w:val="24"/>
          <w:szCs w:val="24"/>
        </w:rPr>
        <w:t xml:space="preserve"> % sinds de invoering van het systeem in </w:t>
      </w:r>
      <w:r w:rsidRPr="00D4425F">
        <w:rPr>
          <w:rFonts w:ascii="Times New Roman" w:hAnsi="Times New Roman"/>
          <w:noProof/>
          <w:sz w:val="24"/>
          <w:szCs w:val="24"/>
        </w:rPr>
        <w:t>2005</w:t>
      </w:r>
      <w:r>
        <w:rPr>
          <w:rFonts w:ascii="Times New Roman" w:hAnsi="Times New Roman"/>
          <w:noProof/>
          <w:sz w:val="24"/>
          <w:szCs w:val="24"/>
        </w:rPr>
        <w:t xml:space="preserve">. Hoewel de aanzienlijke daling van de emissies met </w:t>
      </w:r>
      <w:r w:rsidRPr="00D4425F">
        <w:rPr>
          <w:rFonts w:ascii="Times New Roman" w:hAnsi="Times New Roman"/>
          <w:noProof/>
          <w:sz w:val="24"/>
          <w:szCs w:val="24"/>
        </w:rPr>
        <w:t>11</w:t>
      </w:r>
      <w:r>
        <w:rPr>
          <w:rFonts w:ascii="Times New Roman" w:hAnsi="Times New Roman"/>
          <w:noProof/>
          <w:sz w:val="24"/>
          <w:szCs w:val="24"/>
        </w:rPr>
        <w:t>,</w:t>
      </w:r>
      <w:r w:rsidRPr="00D4425F">
        <w:rPr>
          <w:rFonts w:ascii="Times New Roman" w:hAnsi="Times New Roman"/>
          <w:noProof/>
          <w:sz w:val="24"/>
          <w:szCs w:val="24"/>
        </w:rPr>
        <w:t>4</w:t>
      </w:r>
      <w:r>
        <w:rPr>
          <w:rFonts w:ascii="Times New Roman" w:hAnsi="Times New Roman"/>
          <w:noProof/>
          <w:sz w:val="24"/>
          <w:szCs w:val="24"/>
        </w:rPr>
        <w:t xml:space="preserve"> % in </w:t>
      </w:r>
      <w:r w:rsidRPr="00D4425F">
        <w:rPr>
          <w:rFonts w:ascii="Times New Roman" w:hAnsi="Times New Roman"/>
          <w:noProof/>
          <w:sz w:val="24"/>
          <w:szCs w:val="24"/>
        </w:rPr>
        <w:t>2020</w:t>
      </w:r>
      <w:r>
        <w:rPr>
          <w:rFonts w:ascii="Times New Roman" w:hAnsi="Times New Roman"/>
          <w:noProof/>
          <w:sz w:val="24"/>
          <w:szCs w:val="24"/>
        </w:rPr>
        <w:t xml:space="preserve"> ongetwijfeld grotendeels kan worden toegeschreven aan de gevolgen van de COVID-</w:t>
      </w:r>
      <w:r w:rsidRPr="00D4425F">
        <w:rPr>
          <w:rFonts w:ascii="Times New Roman" w:hAnsi="Times New Roman"/>
          <w:noProof/>
          <w:sz w:val="24"/>
          <w:szCs w:val="24"/>
        </w:rPr>
        <w:t>19</w:t>
      </w:r>
      <w:r>
        <w:rPr>
          <w:rFonts w:ascii="Times New Roman" w:hAnsi="Times New Roman"/>
          <w:noProof/>
          <w:sz w:val="24"/>
          <w:szCs w:val="24"/>
        </w:rPr>
        <w:t xml:space="preserve">-pandemie, was </w:t>
      </w:r>
      <w:r w:rsidRPr="00D4425F">
        <w:rPr>
          <w:rFonts w:ascii="Times New Roman" w:hAnsi="Times New Roman"/>
          <w:noProof/>
          <w:sz w:val="24"/>
          <w:szCs w:val="24"/>
        </w:rPr>
        <w:t>2020</w:t>
      </w:r>
      <w:r>
        <w:rPr>
          <w:rFonts w:ascii="Times New Roman" w:hAnsi="Times New Roman"/>
          <w:noProof/>
          <w:sz w:val="24"/>
          <w:szCs w:val="24"/>
        </w:rPr>
        <w:t xml:space="preserve"> in fase </w:t>
      </w:r>
      <w:r w:rsidRPr="00D4425F">
        <w:rPr>
          <w:rFonts w:ascii="Times New Roman" w:hAnsi="Times New Roman"/>
          <w:noProof/>
          <w:sz w:val="24"/>
          <w:szCs w:val="24"/>
        </w:rPr>
        <w:t>3</w:t>
      </w:r>
      <w:r>
        <w:rPr>
          <w:rFonts w:ascii="Times New Roman" w:hAnsi="Times New Roman"/>
          <w:noProof/>
          <w:sz w:val="24"/>
          <w:szCs w:val="24"/>
        </w:rPr>
        <w:t xml:space="preserve"> het volgende jaar in een bijna ononderbroken trend waarin de emissies elk jaar afnamen. Dit weerspiegelt de decarbonisatietrends die voornamelijk zijn vastgesteld bij de productie van elektriciteit en warmte. Deze trend wordt bevestigd door het feit dat de emissies vóór de pandemie in </w:t>
      </w:r>
      <w:r w:rsidRPr="00D4425F">
        <w:rPr>
          <w:rFonts w:ascii="Times New Roman" w:hAnsi="Times New Roman"/>
          <w:noProof/>
          <w:sz w:val="24"/>
          <w:szCs w:val="24"/>
        </w:rPr>
        <w:t>2019</w:t>
      </w:r>
      <w:r>
        <w:rPr>
          <w:rFonts w:ascii="Times New Roman" w:hAnsi="Times New Roman"/>
          <w:noProof/>
          <w:sz w:val="24"/>
          <w:szCs w:val="24"/>
        </w:rPr>
        <w:t xml:space="preserve"> met meer dan </w:t>
      </w:r>
      <w:r w:rsidRPr="00D4425F">
        <w:rPr>
          <w:rFonts w:ascii="Times New Roman" w:hAnsi="Times New Roman"/>
          <w:noProof/>
          <w:sz w:val="24"/>
          <w:szCs w:val="24"/>
        </w:rPr>
        <w:t>9</w:t>
      </w:r>
      <w:r>
        <w:rPr>
          <w:rFonts w:ascii="Times New Roman" w:hAnsi="Times New Roman"/>
          <w:noProof/>
          <w:sz w:val="24"/>
          <w:szCs w:val="24"/>
        </w:rPr>
        <w:t xml:space="preserve"> % daalden ten opzichte van </w:t>
      </w:r>
      <w:r w:rsidRPr="00D4425F">
        <w:rPr>
          <w:rFonts w:ascii="Times New Roman" w:hAnsi="Times New Roman"/>
          <w:noProof/>
          <w:sz w:val="24"/>
          <w:szCs w:val="24"/>
        </w:rPr>
        <w:t>2018</w:t>
      </w:r>
      <w:r>
        <w:rPr>
          <w:rFonts w:ascii="Times New Roman" w:hAnsi="Times New Roman"/>
          <w:noProof/>
          <w:sz w:val="24"/>
          <w:szCs w:val="24"/>
        </w:rPr>
        <w:t>.</w:t>
      </w:r>
    </w:p>
    <w:p w14:paraId="36C16944" w14:textId="2F00B634" w:rsidR="00E576AC" w:rsidRPr="00DA11F1" w:rsidRDefault="00E576AC" w:rsidP="008E33DB">
      <w:pPr>
        <w:jc w:val="both"/>
        <w:rPr>
          <w:rFonts w:ascii="Times New Roman" w:hAnsi="Times New Roman"/>
          <w:noProof/>
          <w:sz w:val="24"/>
          <w:szCs w:val="24"/>
        </w:rPr>
      </w:pPr>
      <w:r>
        <w:rPr>
          <w:rFonts w:ascii="Times New Roman" w:hAnsi="Times New Roman"/>
          <w:noProof/>
          <w:sz w:val="24"/>
          <w:szCs w:val="24"/>
        </w:rPr>
        <w:t xml:space="preserve">In de luchtvaart stegen de onder het ETS vallende broeikasgasemissies tussen </w:t>
      </w:r>
      <w:r w:rsidRPr="00D4425F">
        <w:rPr>
          <w:rFonts w:ascii="Times New Roman" w:hAnsi="Times New Roman"/>
          <w:noProof/>
          <w:sz w:val="24"/>
          <w:szCs w:val="24"/>
        </w:rPr>
        <w:t>2013</w:t>
      </w:r>
      <w:r>
        <w:rPr>
          <w:rFonts w:ascii="Times New Roman" w:hAnsi="Times New Roman"/>
          <w:noProof/>
          <w:sz w:val="24"/>
          <w:szCs w:val="24"/>
        </w:rPr>
        <w:t xml:space="preserve"> en </w:t>
      </w:r>
      <w:r w:rsidRPr="00D4425F">
        <w:rPr>
          <w:rFonts w:ascii="Times New Roman" w:hAnsi="Times New Roman"/>
          <w:noProof/>
          <w:sz w:val="24"/>
          <w:szCs w:val="24"/>
        </w:rPr>
        <w:t>2019</w:t>
      </w:r>
      <w:r>
        <w:rPr>
          <w:rFonts w:ascii="Times New Roman" w:hAnsi="Times New Roman"/>
          <w:noProof/>
          <w:sz w:val="24"/>
          <w:szCs w:val="24"/>
        </w:rPr>
        <w:t xml:space="preserve"> met </w:t>
      </w:r>
      <w:r w:rsidRPr="00D4425F">
        <w:rPr>
          <w:rFonts w:ascii="Times New Roman" w:hAnsi="Times New Roman"/>
          <w:noProof/>
          <w:sz w:val="24"/>
          <w:szCs w:val="24"/>
        </w:rPr>
        <w:t>27</w:t>
      </w:r>
      <w:r>
        <w:rPr>
          <w:rFonts w:ascii="Times New Roman" w:hAnsi="Times New Roman"/>
          <w:noProof/>
          <w:sz w:val="24"/>
          <w:szCs w:val="24"/>
        </w:rPr>
        <w:t>,</w:t>
      </w:r>
      <w:r w:rsidRPr="00D4425F">
        <w:rPr>
          <w:rFonts w:ascii="Times New Roman" w:hAnsi="Times New Roman"/>
          <w:noProof/>
          <w:sz w:val="24"/>
          <w:szCs w:val="24"/>
        </w:rPr>
        <w:t>5</w:t>
      </w:r>
      <w:r>
        <w:rPr>
          <w:rFonts w:ascii="Times New Roman" w:hAnsi="Times New Roman"/>
          <w:noProof/>
          <w:sz w:val="24"/>
          <w:szCs w:val="24"/>
        </w:rPr>
        <w:t xml:space="preserve"> %. Ze namen elk jaar toe tot </w:t>
      </w:r>
      <w:r w:rsidRPr="00D4425F">
        <w:rPr>
          <w:rFonts w:ascii="Times New Roman" w:hAnsi="Times New Roman"/>
          <w:noProof/>
          <w:sz w:val="24"/>
          <w:szCs w:val="24"/>
        </w:rPr>
        <w:t>2020</w:t>
      </w:r>
      <w:r>
        <w:rPr>
          <w:rFonts w:ascii="Times New Roman" w:hAnsi="Times New Roman"/>
          <w:noProof/>
          <w:sz w:val="24"/>
          <w:szCs w:val="24"/>
        </w:rPr>
        <w:t xml:space="preserve">, toen de trend door de pandemie werd omgebogen en de geverifieerde emissies sterk daalden met </w:t>
      </w:r>
      <w:r w:rsidRPr="00D4425F">
        <w:rPr>
          <w:rFonts w:ascii="Times New Roman" w:hAnsi="Times New Roman"/>
          <w:noProof/>
          <w:sz w:val="24"/>
          <w:szCs w:val="24"/>
        </w:rPr>
        <w:t>63</w:t>
      </w:r>
      <w:r>
        <w:rPr>
          <w:rFonts w:ascii="Times New Roman" w:hAnsi="Times New Roman"/>
          <w:noProof/>
          <w:sz w:val="24"/>
          <w:szCs w:val="24"/>
        </w:rPr>
        <w:t xml:space="preserve"> % ten opzichte van </w:t>
      </w:r>
      <w:r w:rsidRPr="00D4425F">
        <w:rPr>
          <w:rFonts w:ascii="Times New Roman" w:hAnsi="Times New Roman"/>
          <w:noProof/>
          <w:sz w:val="24"/>
          <w:szCs w:val="24"/>
        </w:rPr>
        <w:t>2019</w:t>
      </w:r>
      <w:r>
        <w:rPr>
          <w:rFonts w:ascii="Times New Roman" w:hAnsi="Times New Roman"/>
          <w:noProof/>
          <w:sz w:val="24"/>
          <w:szCs w:val="24"/>
        </w:rPr>
        <w:t xml:space="preserve">. Dit betekent dat </w:t>
      </w:r>
      <w:r w:rsidRPr="00D4425F">
        <w:rPr>
          <w:rFonts w:ascii="Times New Roman" w:hAnsi="Times New Roman"/>
          <w:noProof/>
          <w:sz w:val="24"/>
          <w:szCs w:val="24"/>
        </w:rPr>
        <w:t>2019</w:t>
      </w:r>
      <w:r>
        <w:rPr>
          <w:rFonts w:ascii="Times New Roman" w:hAnsi="Times New Roman"/>
          <w:noProof/>
          <w:sz w:val="24"/>
          <w:szCs w:val="24"/>
        </w:rPr>
        <w:t xml:space="preserve"> het jaar was met de hoogste luchtvaartemissies tot op heden.</w:t>
      </w:r>
    </w:p>
    <w:p w14:paraId="52BF7FA0" w14:textId="5E6EE346" w:rsidR="00FA6B61" w:rsidRPr="00DA11F1" w:rsidRDefault="00FA6B61" w:rsidP="008E33DB">
      <w:pPr>
        <w:jc w:val="both"/>
        <w:rPr>
          <w:rFonts w:ascii="Times New Roman" w:hAnsi="Times New Roman"/>
          <w:noProof/>
          <w:sz w:val="24"/>
          <w:szCs w:val="24"/>
        </w:rPr>
      </w:pPr>
      <w:r>
        <w:rPr>
          <w:rFonts w:ascii="Times New Roman" w:hAnsi="Times New Roman"/>
          <w:noProof/>
          <w:sz w:val="24"/>
          <w:szCs w:val="24"/>
        </w:rPr>
        <w:t>De wetswijzigingen die in fase </w:t>
      </w:r>
      <w:r w:rsidRPr="00D4425F">
        <w:rPr>
          <w:rFonts w:ascii="Times New Roman" w:hAnsi="Times New Roman"/>
          <w:noProof/>
          <w:sz w:val="24"/>
          <w:szCs w:val="24"/>
        </w:rPr>
        <w:t>3</w:t>
      </w:r>
      <w:r>
        <w:rPr>
          <w:rFonts w:ascii="Times New Roman" w:hAnsi="Times New Roman"/>
          <w:noProof/>
          <w:sz w:val="24"/>
          <w:szCs w:val="24"/>
        </w:rPr>
        <w:t xml:space="preserve"> zijn overeengekomen om het EU-ETS te versterken en om het overschot aan emissierechten aan te pakken, hebben positieve resultaten opgeleverd. Van </w:t>
      </w:r>
      <w:r w:rsidRPr="00D4425F">
        <w:rPr>
          <w:rFonts w:ascii="Times New Roman" w:hAnsi="Times New Roman"/>
          <w:noProof/>
          <w:sz w:val="24"/>
          <w:szCs w:val="24"/>
        </w:rPr>
        <w:t>2018</w:t>
      </w:r>
      <w:r>
        <w:rPr>
          <w:rFonts w:ascii="Times New Roman" w:hAnsi="Times New Roman"/>
          <w:noProof/>
          <w:sz w:val="24"/>
          <w:szCs w:val="24"/>
        </w:rPr>
        <w:t xml:space="preserve"> tot </w:t>
      </w:r>
      <w:r w:rsidRPr="00D4425F">
        <w:rPr>
          <w:rFonts w:ascii="Times New Roman" w:hAnsi="Times New Roman"/>
          <w:noProof/>
          <w:sz w:val="24"/>
          <w:szCs w:val="24"/>
        </w:rPr>
        <w:t>2019</w:t>
      </w:r>
      <w:r>
        <w:rPr>
          <w:rFonts w:ascii="Times New Roman" w:hAnsi="Times New Roman"/>
          <w:noProof/>
          <w:sz w:val="24"/>
          <w:szCs w:val="24"/>
        </w:rPr>
        <w:t xml:space="preserve">, toen de marktstabiliteitsreserve van start ging, daalde het overschot aanzienlijk van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65</w:t>
      </w:r>
      <w:r>
        <w:rPr>
          <w:rFonts w:ascii="Times New Roman" w:hAnsi="Times New Roman"/>
          <w:noProof/>
          <w:sz w:val="24"/>
          <w:szCs w:val="24"/>
        </w:rPr>
        <w:t xml:space="preserve"> miljard tot ongeveer </w:t>
      </w:r>
      <w:r w:rsidRPr="00D4425F">
        <w:rPr>
          <w:rFonts w:ascii="Times New Roman" w:hAnsi="Times New Roman"/>
          <w:noProof/>
          <w:sz w:val="24"/>
          <w:szCs w:val="24"/>
        </w:rPr>
        <w:t>1</w:t>
      </w:r>
      <w:r>
        <w:rPr>
          <w:rFonts w:ascii="Times New Roman" w:hAnsi="Times New Roman"/>
          <w:noProof/>
          <w:sz w:val="24"/>
          <w:szCs w:val="24"/>
        </w:rPr>
        <w:t>,</w:t>
      </w:r>
      <w:r w:rsidRPr="00D4425F">
        <w:rPr>
          <w:rFonts w:ascii="Times New Roman" w:hAnsi="Times New Roman"/>
          <w:noProof/>
          <w:sz w:val="24"/>
          <w:szCs w:val="24"/>
        </w:rPr>
        <w:t>39</w:t>
      </w:r>
      <w:r>
        <w:rPr>
          <w:rFonts w:ascii="Times New Roman" w:hAnsi="Times New Roman"/>
          <w:noProof/>
          <w:sz w:val="24"/>
          <w:szCs w:val="24"/>
        </w:rPr>
        <w:t xml:space="preserve"> miljard emissierechten. Hoewel het overschot in </w:t>
      </w:r>
      <w:r w:rsidRPr="00D4425F">
        <w:rPr>
          <w:rFonts w:ascii="Times New Roman" w:hAnsi="Times New Roman"/>
          <w:noProof/>
          <w:sz w:val="24"/>
          <w:szCs w:val="24"/>
        </w:rPr>
        <w:t>2020</w:t>
      </w:r>
      <w:r>
        <w:rPr>
          <w:rFonts w:ascii="Times New Roman" w:hAnsi="Times New Roman"/>
          <w:noProof/>
          <w:sz w:val="24"/>
          <w:szCs w:val="24"/>
        </w:rPr>
        <w:t xml:space="preserve"> is toegenomen als gevolg van de geringere vraag, zal het extra overschot naar verwachting de komende twee tot vier jaar worden geabsorbeerd, hetgeen bijdraagt tot de goede werking van de markt. Op basis van de gepubliceerde overschotindicator en de EU-ETS-wetgeving voor fase </w:t>
      </w:r>
      <w:r w:rsidRPr="00D4425F">
        <w:rPr>
          <w:rFonts w:ascii="Times New Roman" w:hAnsi="Times New Roman"/>
          <w:noProof/>
          <w:sz w:val="24"/>
          <w:szCs w:val="24"/>
        </w:rPr>
        <w:t>4</w:t>
      </w:r>
      <w:r>
        <w:rPr>
          <w:rFonts w:ascii="Times New Roman" w:hAnsi="Times New Roman"/>
          <w:noProof/>
          <w:sz w:val="24"/>
          <w:szCs w:val="24"/>
        </w:rPr>
        <w:t xml:space="preserve"> (</w:t>
      </w:r>
      <w:r w:rsidRPr="00D4425F">
        <w:rPr>
          <w:rFonts w:ascii="Times New Roman" w:hAnsi="Times New Roman"/>
          <w:noProof/>
          <w:sz w:val="24"/>
          <w:szCs w:val="24"/>
        </w:rPr>
        <w:t>2021</w:t>
      </w:r>
      <w:r>
        <w:rPr>
          <w:rFonts w:ascii="Times New Roman" w:hAnsi="Times New Roman"/>
          <w:noProof/>
          <w:sz w:val="24"/>
          <w:szCs w:val="24"/>
        </w:rPr>
        <w:t>-</w:t>
      </w:r>
      <w:r w:rsidRPr="00D4425F">
        <w:rPr>
          <w:rFonts w:ascii="Times New Roman" w:hAnsi="Times New Roman"/>
          <w:noProof/>
          <w:sz w:val="24"/>
          <w:szCs w:val="24"/>
        </w:rPr>
        <w:t>2030</w:t>
      </w:r>
      <w:r>
        <w:rPr>
          <w:rFonts w:ascii="Times New Roman" w:hAnsi="Times New Roman"/>
          <w:noProof/>
          <w:sz w:val="24"/>
          <w:szCs w:val="24"/>
        </w:rPr>
        <w:t xml:space="preserve">) werden de veilinghoeveelheden in </w:t>
      </w:r>
      <w:r w:rsidRPr="00D4425F">
        <w:rPr>
          <w:rFonts w:ascii="Times New Roman" w:hAnsi="Times New Roman"/>
          <w:noProof/>
          <w:sz w:val="24"/>
          <w:szCs w:val="24"/>
        </w:rPr>
        <w:t>2021</w:t>
      </w:r>
      <w:r>
        <w:rPr>
          <w:rFonts w:ascii="Times New Roman" w:hAnsi="Times New Roman"/>
          <w:noProof/>
          <w:sz w:val="24"/>
          <w:szCs w:val="24"/>
        </w:rPr>
        <w:t xml:space="preserve"> bovendien met bijna </w:t>
      </w:r>
      <w:r w:rsidRPr="00D4425F">
        <w:rPr>
          <w:rFonts w:ascii="Times New Roman" w:hAnsi="Times New Roman"/>
          <w:noProof/>
          <w:sz w:val="24"/>
          <w:szCs w:val="24"/>
        </w:rPr>
        <w:t>40</w:t>
      </w:r>
      <w:r>
        <w:rPr>
          <w:rFonts w:ascii="Times New Roman" w:hAnsi="Times New Roman"/>
          <w:noProof/>
          <w:sz w:val="24"/>
          <w:szCs w:val="24"/>
        </w:rPr>
        <w:t xml:space="preserve"> % verminderd, en de hoeveelheden zullen in </w:t>
      </w:r>
      <w:r w:rsidRPr="00D4425F">
        <w:rPr>
          <w:rFonts w:ascii="Times New Roman" w:hAnsi="Times New Roman"/>
          <w:noProof/>
          <w:sz w:val="24"/>
          <w:szCs w:val="24"/>
        </w:rPr>
        <w:t>2022</w:t>
      </w:r>
      <w:r>
        <w:rPr>
          <w:rFonts w:ascii="Times New Roman" w:hAnsi="Times New Roman"/>
          <w:noProof/>
          <w:sz w:val="24"/>
          <w:szCs w:val="24"/>
        </w:rPr>
        <w:t xml:space="preserve"> op vergelijkbare wijze worden verminderd.</w:t>
      </w:r>
    </w:p>
    <w:p w14:paraId="3727BB42" w14:textId="131F378B" w:rsidR="009F3367" w:rsidRPr="00DA11F1" w:rsidRDefault="0014359B" w:rsidP="008E33DB">
      <w:pPr>
        <w:jc w:val="both"/>
        <w:rPr>
          <w:rFonts w:ascii="Times New Roman" w:hAnsi="Times New Roman"/>
          <w:noProof/>
          <w:sz w:val="24"/>
          <w:szCs w:val="24"/>
        </w:rPr>
      </w:pPr>
      <w:r>
        <w:rPr>
          <w:rFonts w:ascii="Times New Roman" w:hAnsi="Times New Roman"/>
          <w:noProof/>
          <w:sz w:val="24"/>
          <w:szCs w:val="24"/>
        </w:rPr>
        <w:t>Het einde van fase </w:t>
      </w:r>
      <w:r w:rsidRPr="00D4425F">
        <w:rPr>
          <w:rFonts w:ascii="Times New Roman" w:hAnsi="Times New Roman"/>
          <w:noProof/>
          <w:sz w:val="24"/>
          <w:szCs w:val="24"/>
        </w:rPr>
        <w:t>3</w:t>
      </w:r>
      <w:r>
        <w:rPr>
          <w:rFonts w:ascii="Times New Roman" w:hAnsi="Times New Roman"/>
          <w:noProof/>
          <w:sz w:val="24"/>
          <w:szCs w:val="24"/>
        </w:rPr>
        <w:t>, nadat de marktstabiliteitsreserve operationeel was geworden, werd gekenmerkt door een toename van het vertrouwen van de marktdeelnemers, hetgeen tot uiting kwam in een sterker koolstofprijssignaal. Ondanks de moeilijke economische situatie voor de industrie en de luchtvaart als gevolg van de COVID-</w:t>
      </w:r>
      <w:r w:rsidRPr="00D4425F">
        <w:rPr>
          <w:rFonts w:ascii="Times New Roman" w:hAnsi="Times New Roman"/>
          <w:noProof/>
          <w:sz w:val="24"/>
          <w:szCs w:val="24"/>
        </w:rPr>
        <w:t>19</w:t>
      </w:r>
      <w:r>
        <w:rPr>
          <w:rFonts w:ascii="Times New Roman" w:hAnsi="Times New Roman"/>
          <w:noProof/>
          <w:sz w:val="24"/>
          <w:szCs w:val="24"/>
        </w:rPr>
        <w:t xml:space="preserve">-crisis bleef het koolstofprijssignaal in </w:t>
      </w:r>
      <w:r w:rsidRPr="00D4425F">
        <w:rPr>
          <w:rFonts w:ascii="Times New Roman" w:hAnsi="Times New Roman"/>
          <w:noProof/>
          <w:sz w:val="24"/>
          <w:szCs w:val="24"/>
        </w:rPr>
        <w:t>2020</w:t>
      </w:r>
      <w:r>
        <w:rPr>
          <w:rFonts w:ascii="Times New Roman" w:hAnsi="Times New Roman"/>
          <w:noProof/>
          <w:sz w:val="24"/>
          <w:szCs w:val="24"/>
        </w:rPr>
        <w:t xml:space="preserve"> stabiel en is dit in </w:t>
      </w:r>
      <w:r w:rsidRPr="00D4425F">
        <w:rPr>
          <w:rFonts w:ascii="Times New Roman" w:hAnsi="Times New Roman"/>
          <w:noProof/>
          <w:sz w:val="24"/>
          <w:szCs w:val="24"/>
        </w:rPr>
        <w:t>2021</w:t>
      </w:r>
      <w:r>
        <w:rPr>
          <w:rFonts w:ascii="Times New Roman" w:hAnsi="Times New Roman"/>
          <w:noProof/>
          <w:sz w:val="24"/>
          <w:szCs w:val="24"/>
        </w:rPr>
        <w:t xml:space="preserve"> aanzienlijk gestegen, onder invloed van de hoge gasprijzen en de anticipatie van de markt op de gevolgen van de verhoogde klimaatambitie voor </w:t>
      </w:r>
      <w:r w:rsidRPr="00D4425F">
        <w:rPr>
          <w:rFonts w:ascii="Times New Roman" w:hAnsi="Times New Roman"/>
          <w:noProof/>
          <w:sz w:val="24"/>
          <w:szCs w:val="24"/>
        </w:rPr>
        <w:t>2030</w:t>
      </w:r>
      <w:r>
        <w:rPr>
          <w:rFonts w:ascii="Times New Roman" w:hAnsi="Times New Roman"/>
          <w:noProof/>
          <w:sz w:val="24"/>
          <w:szCs w:val="24"/>
        </w:rPr>
        <w:t>.</w:t>
      </w:r>
    </w:p>
    <w:p w14:paraId="0758C68C" w14:textId="779A754D" w:rsidR="00FA6B61" w:rsidRPr="00DA11F1" w:rsidRDefault="009F3367" w:rsidP="008E33DB">
      <w:pPr>
        <w:jc w:val="both"/>
        <w:rPr>
          <w:rFonts w:ascii="Times New Roman" w:hAnsi="Times New Roman"/>
          <w:noProof/>
          <w:sz w:val="24"/>
          <w:szCs w:val="24"/>
        </w:rPr>
      </w:pPr>
      <w:r>
        <w:rPr>
          <w:rFonts w:ascii="Times New Roman" w:hAnsi="Times New Roman"/>
          <w:noProof/>
          <w:sz w:val="24"/>
          <w:szCs w:val="24"/>
        </w:rPr>
        <w:t xml:space="preserve">De hogere prijs van emissierechten leidde tot een aanzienlijke stijging van de totale veilingopbrengsten van de aan het EU-ETS deelnemende landen. Tussen </w:t>
      </w:r>
      <w:r w:rsidRPr="00D4425F">
        <w:rPr>
          <w:rFonts w:ascii="Times New Roman" w:hAnsi="Times New Roman"/>
          <w:noProof/>
          <w:sz w:val="24"/>
          <w:szCs w:val="24"/>
        </w:rPr>
        <w:t>2012</w:t>
      </w:r>
      <w:r>
        <w:rPr>
          <w:rFonts w:ascii="Times New Roman" w:hAnsi="Times New Roman"/>
          <w:noProof/>
          <w:sz w:val="24"/>
          <w:szCs w:val="24"/>
        </w:rPr>
        <w:t xml:space="preserve"> en </w:t>
      </w:r>
      <w:r w:rsidRPr="00D4425F">
        <w:rPr>
          <w:rFonts w:ascii="Times New Roman" w:hAnsi="Times New Roman"/>
          <w:noProof/>
          <w:sz w:val="24"/>
          <w:szCs w:val="24"/>
        </w:rPr>
        <w:t>30</w:t>
      </w:r>
      <w:r>
        <w:rPr>
          <w:rFonts w:ascii="Times New Roman" w:hAnsi="Times New Roman"/>
          <w:noProof/>
          <w:sz w:val="24"/>
          <w:szCs w:val="24"/>
        </w:rPr>
        <w:t xml:space="preserve"> juni </w:t>
      </w:r>
      <w:r w:rsidRPr="00D4425F">
        <w:rPr>
          <w:rFonts w:ascii="Times New Roman" w:hAnsi="Times New Roman"/>
          <w:noProof/>
          <w:sz w:val="24"/>
          <w:szCs w:val="24"/>
        </w:rPr>
        <w:t>2021</w:t>
      </w:r>
      <w:r>
        <w:rPr>
          <w:rFonts w:ascii="Times New Roman" w:hAnsi="Times New Roman"/>
          <w:noProof/>
          <w:sz w:val="24"/>
          <w:szCs w:val="24"/>
        </w:rPr>
        <w:t xml:space="preserve"> bedroegen deze opbrengsten meer dan </w:t>
      </w:r>
      <w:r w:rsidRPr="00D4425F">
        <w:rPr>
          <w:rFonts w:ascii="Times New Roman" w:hAnsi="Times New Roman"/>
          <w:noProof/>
          <w:sz w:val="24"/>
          <w:szCs w:val="24"/>
        </w:rPr>
        <w:t>83</w:t>
      </w:r>
      <w:r>
        <w:rPr>
          <w:rFonts w:ascii="Times New Roman" w:hAnsi="Times New Roman"/>
          <w:noProof/>
          <w:sz w:val="24"/>
          <w:szCs w:val="24"/>
        </w:rPr>
        <w:t>,</w:t>
      </w:r>
      <w:r w:rsidRPr="00D4425F">
        <w:rPr>
          <w:rFonts w:ascii="Times New Roman" w:hAnsi="Times New Roman"/>
          <w:noProof/>
          <w:sz w:val="24"/>
          <w:szCs w:val="24"/>
        </w:rPr>
        <w:t>5</w:t>
      </w:r>
      <w:r>
        <w:rPr>
          <w:rFonts w:ascii="Times New Roman" w:hAnsi="Times New Roman"/>
          <w:noProof/>
          <w:sz w:val="24"/>
          <w:szCs w:val="24"/>
        </w:rPr>
        <w:t xml:space="preserve"> miljard EUR, waarvan meer dan </w:t>
      </w:r>
      <w:r w:rsidRPr="00D4425F">
        <w:rPr>
          <w:rFonts w:ascii="Times New Roman" w:hAnsi="Times New Roman"/>
          <w:noProof/>
          <w:sz w:val="24"/>
          <w:szCs w:val="24"/>
        </w:rPr>
        <w:t>19</w:t>
      </w:r>
      <w:r>
        <w:rPr>
          <w:rFonts w:ascii="Times New Roman" w:hAnsi="Times New Roman"/>
          <w:noProof/>
          <w:sz w:val="24"/>
          <w:szCs w:val="24"/>
        </w:rPr>
        <w:t xml:space="preserve"> miljard EUR in </w:t>
      </w:r>
      <w:r w:rsidRPr="00D4425F">
        <w:rPr>
          <w:rFonts w:ascii="Times New Roman" w:hAnsi="Times New Roman"/>
          <w:noProof/>
          <w:sz w:val="24"/>
          <w:szCs w:val="24"/>
        </w:rPr>
        <w:t>2020</w:t>
      </w:r>
      <w:r>
        <w:rPr>
          <w:rFonts w:ascii="Times New Roman" w:hAnsi="Times New Roman"/>
          <w:noProof/>
          <w:sz w:val="24"/>
          <w:szCs w:val="24"/>
        </w:rPr>
        <w:t xml:space="preserve"> werd gegenereerd en bijna </w:t>
      </w:r>
      <w:r w:rsidRPr="00D4425F">
        <w:rPr>
          <w:rFonts w:ascii="Times New Roman" w:hAnsi="Times New Roman"/>
          <w:noProof/>
          <w:sz w:val="24"/>
          <w:szCs w:val="24"/>
        </w:rPr>
        <w:t>14</w:t>
      </w:r>
      <w:r>
        <w:rPr>
          <w:rFonts w:ascii="Times New Roman" w:hAnsi="Times New Roman"/>
          <w:noProof/>
          <w:sz w:val="24"/>
          <w:szCs w:val="24"/>
        </w:rPr>
        <w:t xml:space="preserve"> miljard EUR in de eerste helft van </w:t>
      </w:r>
      <w:r w:rsidRPr="00D4425F">
        <w:rPr>
          <w:rFonts w:ascii="Times New Roman" w:hAnsi="Times New Roman"/>
          <w:noProof/>
          <w:sz w:val="24"/>
          <w:szCs w:val="24"/>
        </w:rPr>
        <w:t>2021</w:t>
      </w:r>
      <w:r w:rsidR="00E63039" w:rsidRPr="00DA11F1">
        <w:rPr>
          <w:rStyle w:val="FootnoteReference"/>
          <w:rFonts w:ascii="Times New Roman" w:hAnsi="Times New Roman"/>
          <w:noProof/>
          <w:sz w:val="24"/>
          <w:szCs w:val="24"/>
        </w:rPr>
        <w:footnoteReference w:id="132"/>
      </w:r>
      <w:r w:rsidR="002E48F8">
        <w:rPr>
          <w:rFonts w:ascii="Times New Roman" w:hAnsi="Times New Roman"/>
          <w:noProof/>
          <w:sz w:val="24"/>
          <w:szCs w:val="24"/>
        </w:rPr>
        <w:t xml:space="preserve">. </w:t>
      </w:r>
      <w:r>
        <w:rPr>
          <w:rFonts w:ascii="Times New Roman" w:hAnsi="Times New Roman"/>
          <w:noProof/>
          <w:sz w:val="24"/>
          <w:szCs w:val="24"/>
        </w:rPr>
        <w:t>Over het geheel van fase </w:t>
      </w:r>
      <w:r w:rsidRPr="00D4425F">
        <w:rPr>
          <w:rFonts w:ascii="Times New Roman" w:hAnsi="Times New Roman"/>
          <w:noProof/>
          <w:sz w:val="24"/>
          <w:szCs w:val="24"/>
        </w:rPr>
        <w:t>3</w:t>
      </w:r>
      <w:r>
        <w:rPr>
          <w:rFonts w:ascii="Times New Roman" w:hAnsi="Times New Roman"/>
          <w:noProof/>
          <w:sz w:val="24"/>
          <w:szCs w:val="24"/>
        </w:rPr>
        <w:t xml:space="preserve"> werd een groot deel (</w:t>
      </w:r>
      <w:r w:rsidRPr="00D4425F">
        <w:rPr>
          <w:rFonts w:ascii="Times New Roman" w:hAnsi="Times New Roman"/>
          <w:noProof/>
          <w:sz w:val="24"/>
          <w:szCs w:val="24"/>
        </w:rPr>
        <w:t>75</w:t>
      </w:r>
      <w:r>
        <w:rPr>
          <w:rFonts w:ascii="Times New Roman" w:hAnsi="Times New Roman"/>
          <w:noProof/>
          <w:sz w:val="24"/>
          <w:szCs w:val="24"/>
        </w:rPr>
        <w:t> %) van deze opbrengsten gebruikt voor klimaat- en energiegerelateerde doeleinden.</w:t>
      </w:r>
    </w:p>
    <w:p w14:paraId="7E64A869" w14:textId="4B51839F" w:rsidR="00FA6B61" w:rsidRPr="00DA11F1" w:rsidRDefault="0057091D" w:rsidP="008E33DB">
      <w:pPr>
        <w:jc w:val="both"/>
        <w:rPr>
          <w:rFonts w:ascii="Times New Roman" w:hAnsi="Times New Roman"/>
          <w:noProof/>
          <w:sz w:val="24"/>
          <w:szCs w:val="24"/>
        </w:rPr>
      </w:pPr>
      <w:r>
        <w:rPr>
          <w:rFonts w:ascii="Times New Roman" w:hAnsi="Times New Roman"/>
          <w:noProof/>
          <w:sz w:val="24"/>
          <w:szCs w:val="24"/>
        </w:rPr>
        <w:t>Ondanks de moeilijke economische situatie als gevolg van de COVID-</w:t>
      </w:r>
      <w:r w:rsidRPr="00D4425F">
        <w:rPr>
          <w:rFonts w:ascii="Times New Roman" w:hAnsi="Times New Roman"/>
          <w:noProof/>
          <w:sz w:val="24"/>
          <w:szCs w:val="24"/>
        </w:rPr>
        <w:t>19</w:t>
      </w:r>
      <w:r>
        <w:rPr>
          <w:rFonts w:ascii="Times New Roman" w:hAnsi="Times New Roman"/>
          <w:noProof/>
          <w:sz w:val="24"/>
          <w:szCs w:val="24"/>
        </w:rPr>
        <w:t xml:space="preserve">-crisis tijdens de nalevingscycli van </w:t>
      </w:r>
      <w:r w:rsidRPr="00D4425F">
        <w:rPr>
          <w:rFonts w:ascii="Times New Roman" w:hAnsi="Times New Roman"/>
          <w:noProof/>
          <w:sz w:val="24"/>
          <w:szCs w:val="24"/>
        </w:rPr>
        <w:t>2020</w:t>
      </w:r>
      <w:r>
        <w:rPr>
          <w:rFonts w:ascii="Times New Roman" w:hAnsi="Times New Roman"/>
          <w:noProof/>
          <w:sz w:val="24"/>
          <w:szCs w:val="24"/>
        </w:rPr>
        <w:t xml:space="preserve"> en </w:t>
      </w:r>
      <w:r w:rsidRPr="00D4425F">
        <w:rPr>
          <w:rFonts w:ascii="Times New Roman" w:hAnsi="Times New Roman"/>
          <w:noProof/>
          <w:sz w:val="24"/>
          <w:szCs w:val="24"/>
        </w:rPr>
        <w:t>2021</w:t>
      </w:r>
      <w:r>
        <w:rPr>
          <w:rFonts w:ascii="Times New Roman" w:hAnsi="Times New Roman"/>
          <w:noProof/>
          <w:sz w:val="24"/>
          <w:szCs w:val="24"/>
        </w:rPr>
        <w:t xml:space="preserve"> bleef de naleving van het EU-ETS tijdens fase </w:t>
      </w:r>
      <w:r w:rsidRPr="00D4425F">
        <w:rPr>
          <w:rFonts w:ascii="Times New Roman" w:hAnsi="Times New Roman"/>
          <w:noProof/>
          <w:sz w:val="24"/>
          <w:szCs w:val="24"/>
        </w:rPr>
        <w:t>3</w:t>
      </w:r>
      <w:r>
        <w:rPr>
          <w:rFonts w:ascii="Times New Roman" w:hAnsi="Times New Roman"/>
          <w:noProof/>
          <w:sz w:val="24"/>
          <w:szCs w:val="24"/>
        </w:rPr>
        <w:t xml:space="preserve"> continu op een zeer hoog niveau. De exploitanten die in de meeste jaren verantwoordelijk waren voor meer dan </w:t>
      </w:r>
      <w:r w:rsidRPr="00D4425F">
        <w:rPr>
          <w:rFonts w:ascii="Times New Roman" w:hAnsi="Times New Roman"/>
          <w:noProof/>
          <w:sz w:val="24"/>
          <w:szCs w:val="24"/>
        </w:rPr>
        <w:t>99</w:t>
      </w:r>
      <w:r>
        <w:rPr>
          <w:rFonts w:ascii="Times New Roman" w:hAnsi="Times New Roman"/>
          <w:noProof/>
          <w:sz w:val="24"/>
          <w:szCs w:val="24"/>
        </w:rPr>
        <w:t> % van de emissies van vaste installaties en de luchtvaart, voldeden aan hun wettelijke verplichtingen. De architectuur van het EU-ETS is nog steeds robuust en de in de deelnemende landen opgezette administratieve organisatie is in alle lidstaten effectief gebleken.</w:t>
      </w:r>
    </w:p>
    <w:p w14:paraId="4BEDDBDF" w14:textId="37D6EB8B" w:rsidR="0014359B" w:rsidRPr="00DA11F1" w:rsidRDefault="0014359B" w:rsidP="008E33DB">
      <w:pPr>
        <w:jc w:val="both"/>
        <w:rPr>
          <w:rFonts w:ascii="Times New Roman" w:hAnsi="Times New Roman"/>
          <w:noProof/>
          <w:sz w:val="24"/>
          <w:szCs w:val="24"/>
        </w:rPr>
      </w:pPr>
      <w:r>
        <w:rPr>
          <w:rFonts w:ascii="Times New Roman" w:hAnsi="Times New Roman"/>
          <w:noProof/>
          <w:sz w:val="24"/>
          <w:szCs w:val="24"/>
        </w:rPr>
        <w:t>De eerste overeenkomst om het EU-ETS aan een ander systeem te koppelen — het Zwitserse ETS, in het laatste jaar van fase </w:t>
      </w:r>
      <w:r w:rsidRPr="00D4425F">
        <w:rPr>
          <w:rFonts w:ascii="Times New Roman" w:hAnsi="Times New Roman"/>
          <w:noProof/>
          <w:sz w:val="24"/>
          <w:szCs w:val="24"/>
        </w:rPr>
        <w:t>3</w:t>
      </w:r>
      <w:r>
        <w:rPr>
          <w:rFonts w:ascii="Times New Roman" w:hAnsi="Times New Roman"/>
          <w:noProof/>
          <w:sz w:val="24"/>
          <w:szCs w:val="24"/>
        </w:rPr>
        <w:t xml:space="preserve"> — bevordert de flexibiliteit en efficiëntie op beide koolstofmarkten doordat de exploitanten van beide systemen kunnen profiteren van een grotere markt.</w:t>
      </w:r>
    </w:p>
    <w:p w14:paraId="58AA0824" w14:textId="4553F465" w:rsidR="00131369" w:rsidRPr="00DA11F1" w:rsidRDefault="00A52EA3" w:rsidP="008E33DB">
      <w:pPr>
        <w:jc w:val="both"/>
        <w:rPr>
          <w:rStyle w:val="Heading1Char"/>
          <w:rFonts w:eastAsia="Calibri"/>
          <w:b w:val="0"/>
          <w:bCs w:val="0"/>
          <w:noProof/>
          <w:kern w:val="0"/>
          <w:szCs w:val="24"/>
        </w:rPr>
      </w:pPr>
      <w:r>
        <w:rPr>
          <w:rFonts w:ascii="Times New Roman" w:hAnsi="Times New Roman"/>
          <w:noProof/>
          <w:sz w:val="24"/>
          <w:szCs w:val="24"/>
        </w:rPr>
        <w:t>Voor de volgende jaren heeft de Commissie, als onderdeel van het in juli</w:t>
      </w:r>
      <w:r w:rsidR="002E48F8">
        <w:rPr>
          <w:rFonts w:ascii="Times New Roman" w:hAnsi="Times New Roman"/>
          <w:noProof/>
          <w:sz w:val="24"/>
          <w:szCs w:val="24"/>
        </w:rPr>
        <w:t> </w:t>
      </w:r>
      <w:r w:rsidRPr="00D4425F">
        <w:rPr>
          <w:rFonts w:ascii="Times New Roman" w:hAnsi="Times New Roman"/>
          <w:noProof/>
          <w:sz w:val="24"/>
          <w:szCs w:val="24"/>
        </w:rPr>
        <w:t>2021</w:t>
      </w:r>
      <w:r>
        <w:rPr>
          <w:rFonts w:ascii="Times New Roman" w:hAnsi="Times New Roman"/>
          <w:noProof/>
          <w:sz w:val="24"/>
          <w:szCs w:val="24"/>
        </w:rPr>
        <w:t xml:space="preserve"> goedgekeurde pakket om werk te maken van de Europese Green Deal, voorgesteld om de rol van koolstofbeprijzing te versterken en uit te bouwen, zodat de EU kan voldoen aan haar verhoogde klimaatambities. Het EU-ETS blijft een belangrijke pijler van het klimaatbeleid van de EU. Het volgende</w:t>
      </w:r>
      <w:r w:rsidR="002E48F8">
        <w:rPr>
          <w:rFonts w:ascii="Times New Roman" w:hAnsi="Times New Roman"/>
          <w:noProof/>
          <w:sz w:val="24"/>
          <w:szCs w:val="24"/>
        </w:rPr>
        <w:t xml:space="preserve"> koolstofmarktverslag, dat eind </w:t>
      </w:r>
      <w:r w:rsidRPr="00D4425F">
        <w:rPr>
          <w:rFonts w:ascii="Times New Roman" w:hAnsi="Times New Roman"/>
          <w:noProof/>
          <w:sz w:val="24"/>
          <w:szCs w:val="24"/>
        </w:rPr>
        <w:t>2022</w:t>
      </w:r>
      <w:r>
        <w:rPr>
          <w:rFonts w:ascii="Times New Roman" w:hAnsi="Times New Roman"/>
          <w:noProof/>
          <w:sz w:val="24"/>
          <w:szCs w:val="24"/>
        </w:rPr>
        <w:t xml:space="preserve"> moet worden gepubliceerd, zal een overzicht bevatten van de werking van het EU-ETS in het eerste jaar van fase </w:t>
      </w:r>
      <w:r w:rsidRPr="00D4425F">
        <w:rPr>
          <w:rFonts w:ascii="Times New Roman" w:hAnsi="Times New Roman"/>
          <w:noProof/>
          <w:sz w:val="24"/>
          <w:szCs w:val="24"/>
        </w:rPr>
        <w:t>4</w:t>
      </w:r>
      <w:r>
        <w:rPr>
          <w:rFonts w:ascii="Times New Roman" w:hAnsi="Times New Roman"/>
          <w:noProof/>
          <w:sz w:val="24"/>
          <w:szCs w:val="24"/>
        </w:rPr>
        <w:t>.</w:t>
      </w:r>
      <w:bookmarkEnd w:id="78"/>
    </w:p>
    <w:sectPr w:rsidR="00131369" w:rsidRPr="00DA11F1" w:rsidSect="006F13D7">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80CB0" w14:textId="77777777" w:rsidR="008B0254" w:rsidRDefault="008B0254">
      <w:pPr>
        <w:spacing w:after="0" w:line="240" w:lineRule="auto"/>
      </w:pPr>
      <w:r>
        <w:separator/>
      </w:r>
    </w:p>
  </w:endnote>
  <w:endnote w:type="continuationSeparator" w:id="0">
    <w:p w14:paraId="0AF2560A" w14:textId="77777777" w:rsidR="008B0254" w:rsidRDefault="008B0254">
      <w:pPr>
        <w:spacing w:after="0" w:line="240" w:lineRule="auto"/>
      </w:pPr>
      <w:r>
        <w:continuationSeparator/>
      </w:r>
    </w:p>
  </w:endnote>
  <w:endnote w:type="continuationNotice" w:id="1">
    <w:p w14:paraId="2E08C0F0" w14:textId="77777777" w:rsidR="008B0254" w:rsidRDefault="008B0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34386" w14:textId="77777777" w:rsidR="00D770E7" w:rsidRPr="00D770E7" w:rsidRDefault="00D770E7" w:rsidP="00D770E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173EB" w14:textId="77777777" w:rsidR="008B0254" w:rsidRDefault="008B025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ED34" w14:textId="60A5461C" w:rsidR="008B0254" w:rsidRDefault="008B0254">
    <w:pPr>
      <w:pStyle w:val="Footer"/>
      <w:jc w:val="center"/>
    </w:pPr>
    <w:r>
      <w:fldChar w:fldCharType="begin"/>
    </w:r>
    <w:r>
      <w:instrText xml:space="preserve"> PAGE   \* MERGEFORMAT </w:instrText>
    </w:r>
    <w:r>
      <w:fldChar w:fldCharType="separate"/>
    </w:r>
    <w:r w:rsidR="00D770E7">
      <w:rPr>
        <w:noProof/>
      </w:rPr>
      <w:t>22</w:t>
    </w:r>
    <w:r>
      <w:fldChar w:fldCharType="end"/>
    </w:r>
  </w:p>
  <w:p w14:paraId="19DFA47B" w14:textId="77777777" w:rsidR="008B0254" w:rsidRDefault="008B025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2B97" w14:textId="77777777" w:rsidR="008B0254" w:rsidRDefault="008B025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0F868" w14:textId="77777777" w:rsidR="008B0254" w:rsidRDefault="008B025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2E973" w14:textId="63BD3F70" w:rsidR="008B0254" w:rsidRDefault="008B0254">
    <w:pPr>
      <w:pStyle w:val="Footer"/>
      <w:jc w:val="center"/>
    </w:pPr>
    <w:r>
      <w:fldChar w:fldCharType="begin"/>
    </w:r>
    <w:r>
      <w:instrText xml:space="preserve"> PAGE   \* MERGEFORMAT </w:instrText>
    </w:r>
    <w:r>
      <w:fldChar w:fldCharType="separate"/>
    </w:r>
    <w:r w:rsidR="008758DE">
      <w:rPr>
        <w:noProof/>
      </w:rPr>
      <w:t>26</w:t>
    </w:r>
    <w:r>
      <w:fldChar w:fldCharType="end"/>
    </w:r>
  </w:p>
  <w:p w14:paraId="28F2C362" w14:textId="77777777" w:rsidR="008B0254" w:rsidRDefault="008B025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62B4" w14:textId="77777777" w:rsidR="008B0254" w:rsidRDefault="008B025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8E9D" w14:textId="77777777" w:rsidR="008B0254" w:rsidRDefault="008B025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FCD1E" w14:textId="28DF222E" w:rsidR="008B0254" w:rsidRDefault="008B0254">
    <w:pPr>
      <w:pStyle w:val="Footer"/>
      <w:jc w:val="center"/>
    </w:pPr>
    <w:r>
      <w:fldChar w:fldCharType="begin"/>
    </w:r>
    <w:r>
      <w:instrText xml:space="preserve"> PAGE   \* MERGEFORMAT </w:instrText>
    </w:r>
    <w:r>
      <w:fldChar w:fldCharType="separate"/>
    </w:r>
    <w:r w:rsidR="008758DE">
      <w:rPr>
        <w:noProof/>
      </w:rPr>
      <w:t>49</w:t>
    </w:r>
    <w:r>
      <w:fldChar w:fldCharType="end"/>
    </w:r>
  </w:p>
  <w:p w14:paraId="6EECC0F3" w14:textId="77777777" w:rsidR="008B0254" w:rsidRDefault="008B025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FCB23" w14:textId="77777777" w:rsidR="008B0254" w:rsidRDefault="008B0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9DE6" w14:textId="74709361" w:rsidR="008B0254" w:rsidRPr="00D770E7" w:rsidRDefault="00D770E7" w:rsidP="00D770E7">
    <w:pPr>
      <w:pStyle w:val="FooterCoverPage"/>
      <w:rPr>
        <w:rFonts w:ascii="Arial" w:hAnsi="Arial" w:cs="Arial"/>
        <w:b/>
        <w:sz w:val="48"/>
      </w:rPr>
    </w:pPr>
    <w:r w:rsidRPr="00D770E7">
      <w:rPr>
        <w:rFonts w:ascii="Arial" w:hAnsi="Arial" w:cs="Arial"/>
        <w:b/>
        <w:sz w:val="48"/>
      </w:rPr>
      <w:t>NL</w:t>
    </w:r>
    <w:r w:rsidRPr="00D770E7">
      <w:rPr>
        <w:rFonts w:ascii="Arial" w:hAnsi="Arial" w:cs="Arial"/>
        <w:b/>
        <w:sz w:val="48"/>
      </w:rPr>
      <w:tab/>
    </w:r>
    <w:r w:rsidRPr="00D770E7">
      <w:rPr>
        <w:rFonts w:ascii="Arial" w:hAnsi="Arial" w:cs="Arial"/>
        <w:b/>
        <w:sz w:val="48"/>
      </w:rPr>
      <w:tab/>
    </w:r>
    <w:r w:rsidRPr="00D770E7">
      <w:tab/>
    </w:r>
    <w:r w:rsidRPr="00D770E7">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B49D" w14:textId="77777777" w:rsidR="00D770E7" w:rsidRPr="00D770E7" w:rsidRDefault="00D770E7" w:rsidP="00D770E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BEAD" w14:textId="77777777" w:rsidR="008B0254" w:rsidRDefault="008B02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E2E0" w14:textId="46D9F9E7" w:rsidR="008B0254" w:rsidRDefault="008B0254">
    <w:pPr>
      <w:pStyle w:val="Footer"/>
      <w:jc w:val="center"/>
    </w:pPr>
    <w:r>
      <w:fldChar w:fldCharType="begin"/>
    </w:r>
    <w:r>
      <w:instrText xml:space="preserve"> PAGE   \* MERGEFORMAT </w:instrText>
    </w:r>
    <w:r>
      <w:fldChar w:fldCharType="separate"/>
    </w:r>
    <w:r w:rsidR="00D770E7">
      <w:rPr>
        <w:noProof/>
      </w:rPr>
      <w:t>1</w:t>
    </w:r>
    <w:r>
      <w:fldChar w:fldCharType="end"/>
    </w:r>
  </w:p>
  <w:p w14:paraId="62BA87FC" w14:textId="77777777" w:rsidR="008B0254" w:rsidRDefault="008B02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5254" w14:textId="77777777" w:rsidR="008B0254" w:rsidRDefault="008B02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A058" w14:textId="77777777" w:rsidR="008B0254" w:rsidRDefault="008B02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52F25" w14:textId="203F87AF" w:rsidR="008B0254" w:rsidRDefault="008B0254">
    <w:pPr>
      <w:pStyle w:val="Footer"/>
      <w:jc w:val="center"/>
    </w:pPr>
    <w:r>
      <w:fldChar w:fldCharType="begin"/>
    </w:r>
    <w:r>
      <w:instrText xml:space="preserve"> PAGE   \* MERGEFORMAT </w:instrText>
    </w:r>
    <w:r>
      <w:fldChar w:fldCharType="separate"/>
    </w:r>
    <w:r w:rsidR="00D770E7">
      <w:rPr>
        <w:noProof/>
      </w:rPr>
      <w:t>9</w:t>
    </w:r>
    <w:r>
      <w:fldChar w:fldCharType="end"/>
    </w:r>
  </w:p>
  <w:p w14:paraId="17EE768F" w14:textId="77777777" w:rsidR="008B0254" w:rsidRDefault="008B025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76FFA" w14:textId="77777777" w:rsidR="008B0254" w:rsidRDefault="008B0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64255" w14:textId="77777777" w:rsidR="008B0254" w:rsidRDefault="008B0254">
      <w:pPr>
        <w:spacing w:after="0" w:line="240" w:lineRule="auto"/>
      </w:pPr>
      <w:r>
        <w:separator/>
      </w:r>
    </w:p>
  </w:footnote>
  <w:footnote w:type="continuationSeparator" w:id="0">
    <w:p w14:paraId="309CDEF0" w14:textId="77777777" w:rsidR="008B0254" w:rsidRDefault="008B0254">
      <w:pPr>
        <w:spacing w:after="0" w:line="240" w:lineRule="auto"/>
      </w:pPr>
      <w:r>
        <w:continuationSeparator/>
      </w:r>
    </w:p>
  </w:footnote>
  <w:footnote w:type="continuationNotice" w:id="1">
    <w:p w14:paraId="4F11D23F" w14:textId="77777777" w:rsidR="008B0254" w:rsidRDefault="008B0254">
      <w:pPr>
        <w:spacing w:after="0" w:line="240" w:lineRule="auto"/>
      </w:pPr>
    </w:p>
  </w:footnote>
  <w:footnote w:id="2">
    <w:p w14:paraId="70319730" w14:textId="011F397E" w:rsidR="008B0254" w:rsidRDefault="008B0254" w:rsidP="00666776">
      <w:pPr>
        <w:pStyle w:val="FootnoteText"/>
      </w:pPr>
      <w:r>
        <w:rPr>
          <w:rStyle w:val="FootnoteReference"/>
        </w:rPr>
        <w:footnoteRef/>
      </w:r>
      <w:r>
        <w:t xml:space="preserve"> Tot eind </w:t>
      </w:r>
      <w:r w:rsidRPr="00D4425F">
        <w:t>2020</w:t>
      </w:r>
      <w:r>
        <w:t>, voor de EU-</w:t>
      </w:r>
      <w:r w:rsidRPr="00D4425F">
        <w:t>27</w:t>
      </w:r>
      <w:r>
        <w:t xml:space="preserve"> + het Verenigd Koninkrijk + IJsland, Liechtenstein en Noorwegen (het toepassingsgebied van het EU-ETS tot en met </w:t>
      </w:r>
      <w:r w:rsidRPr="00D4425F">
        <w:t>31</w:t>
      </w:r>
      <w:r>
        <w:t xml:space="preserve"> december </w:t>
      </w:r>
      <w:r w:rsidRPr="00D4425F">
        <w:t>2020</w:t>
      </w:r>
      <w:r>
        <w:t>).</w:t>
      </w:r>
    </w:p>
  </w:footnote>
  <w:footnote w:id="3">
    <w:p w14:paraId="47A71658" w14:textId="34C9A48B" w:rsidR="008B0254" w:rsidRPr="000E0C73" w:rsidRDefault="008B0254">
      <w:pPr>
        <w:pStyle w:val="FootnoteText"/>
      </w:pPr>
      <w:r>
        <w:rPr>
          <w:rStyle w:val="FootnoteReference"/>
        </w:rPr>
        <w:footnoteRef/>
      </w:r>
      <w:r>
        <w:t xml:space="preserve"> Richtlijn (EU) </w:t>
      </w:r>
      <w:r w:rsidRPr="00D4425F">
        <w:t>2018</w:t>
      </w:r>
      <w:r>
        <w:t>/</w:t>
      </w:r>
      <w:r w:rsidRPr="00D4425F">
        <w:t>2001</w:t>
      </w:r>
      <w:r>
        <w:t xml:space="preserve"> van het Europees Parlement en de Raad van </w:t>
      </w:r>
      <w:r w:rsidRPr="00D4425F">
        <w:t>11</w:t>
      </w:r>
      <w:r>
        <w:t xml:space="preserve"> december </w:t>
      </w:r>
      <w:r w:rsidRPr="00D4425F">
        <w:t>2018</w:t>
      </w:r>
      <w:r>
        <w:t xml:space="preserve"> ter bevordering van het gebruik van energie uit hernieuwbare bronnen (</w:t>
      </w:r>
      <w:hyperlink r:id="rId1" w:history="1">
        <w:r>
          <w:rPr>
            <w:rStyle w:val="Hyperlink"/>
          </w:rPr>
          <w:t>PB L </w:t>
        </w:r>
        <w:r w:rsidRPr="00D4425F">
          <w:rPr>
            <w:rStyle w:val="Hyperlink"/>
          </w:rPr>
          <w:t>328</w:t>
        </w:r>
      </w:hyperlink>
      <w:r>
        <w:t xml:space="preserve"> van </w:t>
      </w:r>
      <w:r w:rsidRPr="00D4425F">
        <w:t>21</w:t>
      </w:r>
      <w:r>
        <w:t>.</w:t>
      </w:r>
      <w:r w:rsidRPr="00D4425F">
        <w:t>12</w:t>
      </w:r>
      <w:r>
        <w:t>.</w:t>
      </w:r>
      <w:r w:rsidRPr="00D4425F">
        <w:t>2018</w:t>
      </w:r>
      <w:r>
        <w:t>, blz. </w:t>
      </w:r>
      <w:r w:rsidRPr="00D4425F">
        <w:t>82</w:t>
      </w:r>
      <w:r>
        <w:t>).</w:t>
      </w:r>
    </w:p>
  </w:footnote>
  <w:footnote w:id="4">
    <w:p w14:paraId="4F96B5A4" w14:textId="09DE046D" w:rsidR="008B0254" w:rsidRDefault="008B0254">
      <w:pPr>
        <w:pStyle w:val="FootnoteText"/>
      </w:pPr>
      <w:r>
        <w:rPr>
          <w:rStyle w:val="FootnoteReference"/>
        </w:rPr>
        <w:footnoteRef/>
      </w:r>
      <w:r>
        <w:t xml:space="preserve"> Richtlijn (EU) </w:t>
      </w:r>
      <w:r w:rsidRPr="00D4425F">
        <w:t>2018</w:t>
      </w:r>
      <w:r>
        <w:t>/</w:t>
      </w:r>
      <w:r w:rsidRPr="00D4425F">
        <w:t>2002</w:t>
      </w:r>
      <w:r>
        <w:t xml:space="preserve"> van het Europees Parlement en de Raad van </w:t>
      </w:r>
      <w:r w:rsidRPr="00D4425F">
        <w:t>11</w:t>
      </w:r>
      <w:r>
        <w:t xml:space="preserve"> december </w:t>
      </w:r>
      <w:r w:rsidRPr="00D4425F">
        <w:t>2018</w:t>
      </w:r>
      <w:r>
        <w:t xml:space="preserve"> houdende wijziging van Richtlijn </w:t>
      </w:r>
      <w:r w:rsidRPr="00D4425F">
        <w:t>2012</w:t>
      </w:r>
      <w:r>
        <w:t>/</w:t>
      </w:r>
      <w:r w:rsidRPr="00D4425F">
        <w:t>27</w:t>
      </w:r>
      <w:r>
        <w:t>/EU betreffende energie-efficiëntie (</w:t>
      </w:r>
      <w:hyperlink r:id="rId2" w:history="1">
        <w:r>
          <w:rPr>
            <w:rStyle w:val="Hyperlink"/>
          </w:rPr>
          <w:t>PB L </w:t>
        </w:r>
        <w:r w:rsidRPr="00D4425F">
          <w:rPr>
            <w:rStyle w:val="Hyperlink"/>
          </w:rPr>
          <w:t>328</w:t>
        </w:r>
      </w:hyperlink>
      <w:r>
        <w:t xml:space="preserve"> van </w:t>
      </w:r>
      <w:r w:rsidRPr="00D4425F">
        <w:t>21</w:t>
      </w:r>
      <w:r>
        <w:t>.</w:t>
      </w:r>
      <w:r w:rsidRPr="00D4425F">
        <w:t>12</w:t>
      </w:r>
      <w:r>
        <w:t>.</w:t>
      </w:r>
      <w:r w:rsidRPr="00D4425F">
        <w:t>2018</w:t>
      </w:r>
      <w:r>
        <w:t>, blz. </w:t>
      </w:r>
      <w:r w:rsidRPr="00D4425F">
        <w:t>210</w:t>
      </w:r>
      <w:r>
        <w:t>).</w:t>
      </w:r>
    </w:p>
  </w:footnote>
  <w:footnote w:id="5">
    <w:p w14:paraId="0F6EE64E" w14:textId="3EA5F235" w:rsidR="008B0254" w:rsidRDefault="008B0254" w:rsidP="00666776">
      <w:pPr>
        <w:pStyle w:val="FootnoteText"/>
      </w:pPr>
      <w:r>
        <w:rPr>
          <w:rStyle w:val="FootnoteReference"/>
        </w:rPr>
        <w:footnoteRef/>
      </w:r>
      <w:r>
        <w:t xml:space="preserve"> Emissiereducties voor de EU-</w:t>
      </w:r>
      <w:r w:rsidRPr="00D4425F">
        <w:t>27</w:t>
      </w:r>
      <w:r>
        <w:t>. Voor de EU-</w:t>
      </w:r>
      <w:r w:rsidRPr="00D4425F">
        <w:t>27</w:t>
      </w:r>
      <w:r>
        <w:t xml:space="preserve"> + het Verenigd Koninkrijk was de daling </w:t>
      </w:r>
      <w:r w:rsidRPr="00D4425F">
        <w:t>32</w:t>
      </w:r>
      <w:r>
        <w:t>,</w:t>
      </w:r>
      <w:r w:rsidRPr="00D4425F">
        <w:t>5</w:t>
      </w:r>
      <w:r>
        <w:t xml:space="preserve"> % ten opzichte van </w:t>
      </w:r>
      <w:r w:rsidRPr="00D4425F">
        <w:t>1990</w:t>
      </w:r>
      <w:r>
        <w:t>.</w:t>
      </w:r>
    </w:p>
  </w:footnote>
  <w:footnote w:id="6">
    <w:p w14:paraId="27454A17" w14:textId="7121C0B2" w:rsidR="008B0254" w:rsidRDefault="008B0254" w:rsidP="00666776">
      <w:pPr>
        <w:pStyle w:val="FootnoteText"/>
      </w:pPr>
      <w:r>
        <w:rPr>
          <w:rStyle w:val="FootnoteReference"/>
        </w:rPr>
        <w:footnoteRef/>
      </w:r>
      <w:r>
        <w:t xml:space="preserve"> </w:t>
      </w:r>
      <w:hyperlink r:id="rId3" w:history="1">
        <w:r>
          <w:rPr>
            <w:rStyle w:val="Hyperlink"/>
          </w:rPr>
          <w:t xml:space="preserve">Werk maken van de Europese Green Deal van </w:t>
        </w:r>
        <w:r w:rsidRPr="00D4425F">
          <w:rPr>
            <w:rStyle w:val="Hyperlink"/>
          </w:rPr>
          <w:t>14</w:t>
        </w:r>
        <w:r>
          <w:rPr>
            <w:rStyle w:val="Hyperlink"/>
          </w:rPr>
          <w:t>.</w:t>
        </w:r>
        <w:r w:rsidRPr="00D4425F">
          <w:rPr>
            <w:rStyle w:val="Hyperlink"/>
          </w:rPr>
          <w:t>7</w:t>
        </w:r>
        <w:r>
          <w:rPr>
            <w:rStyle w:val="Hyperlink"/>
          </w:rPr>
          <w:t>.</w:t>
        </w:r>
        <w:r w:rsidRPr="00D4425F">
          <w:rPr>
            <w:rStyle w:val="Hyperlink"/>
          </w:rPr>
          <w:t>2021</w:t>
        </w:r>
      </w:hyperlink>
      <w:r>
        <w:t xml:space="preserve">. </w:t>
      </w:r>
    </w:p>
  </w:footnote>
  <w:footnote w:id="7">
    <w:p w14:paraId="0922FFA0" w14:textId="6510B9D8" w:rsidR="008B0254" w:rsidRDefault="008B0254" w:rsidP="00666776">
      <w:pPr>
        <w:pStyle w:val="FootnoteText"/>
      </w:pPr>
      <w:r>
        <w:rPr>
          <w:rStyle w:val="FootnoteReference"/>
        </w:rPr>
        <w:footnoteRef/>
      </w:r>
      <w:r>
        <w:t xml:space="preserve"> Dit streefcijfer omvat de voorgestelde uitbreiding van het toepassingsgebied van het EU-ETS tot de sector maritiem vervoer. </w:t>
      </w:r>
    </w:p>
  </w:footnote>
  <w:footnote w:id="8">
    <w:p w14:paraId="45E14D90" w14:textId="390756CF" w:rsidR="008B0254" w:rsidRDefault="008B0254" w:rsidP="00666776">
      <w:pPr>
        <w:pStyle w:val="FootnoteText"/>
      </w:pPr>
      <w:r>
        <w:rPr>
          <w:rStyle w:val="FootnoteReference"/>
        </w:rPr>
        <w:footnoteRef/>
      </w:r>
      <w:r>
        <w:t xml:space="preserve"> Voorstel voor een richtlijn van het Europees Parlement en de Raad tot wijziging van Richtlijn </w:t>
      </w:r>
      <w:r w:rsidRPr="00D4425F">
        <w:t>2003</w:t>
      </w:r>
      <w:r>
        <w:t>/</w:t>
      </w:r>
      <w:r w:rsidRPr="00D4425F">
        <w:t>87</w:t>
      </w:r>
      <w:r>
        <w:t xml:space="preserve">/EG tot vaststelling van een systeem voor de handel in broeikasgasemissierechten binnen de Unie, Besluit (EU) </w:t>
      </w:r>
      <w:r w:rsidRPr="00D4425F">
        <w:t>2015</w:t>
      </w:r>
      <w:r>
        <w:t>/</w:t>
      </w:r>
      <w:r w:rsidRPr="00D4425F">
        <w:t>1814</w:t>
      </w:r>
      <w:r>
        <w:t xml:space="preserve"> betreffende de instelling en de werking van een marktstabiliteitsreserve voor de EU-regeling voor de handel in broeikasgasemissierechten en Verordening (EU) </w:t>
      </w:r>
      <w:r w:rsidRPr="00D4425F">
        <w:t>2015</w:t>
      </w:r>
      <w:r>
        <w:t>/</w:t>
      </w:r>
      <w:r w:rsidRPr="00D4425F">
        <w:t>757</w:t>
      </w:r>
      <w:r>
        <w:t xml:space="preserve"> (</w:t>
      </w:r>
      <w:hyperlink r:id="rId4" w:history="1">
        <w:r>
          <w:rPr>
            <w:rStyle w:val="Hyperlink"/>
          </w:rPr>
          <w:t>COM(</w:t>
        </w:r>
        <w:r w:rsidRPr="00D4425F">
          <w:rPr>
            <w:rStyle w:val="Hyperlink"/>
          </w:rPr>
          <w:t>2021</w:t>
        </w:r>
        <w:r>
          <w:rPr>
            <w:rStyle w:val="Hyperlink"/>
          </w:rPr>
          <w:t>) </w:t>
        </w:r>
        <w:r w:rsidRPr="00D4425F">
          <w:rPr>
            <w:rStyle w:val="Hyperlink"/>
          </w:rPr>
          <w:t>551</w:t>
        </w:r>
        <w:r>
          <w:rPr>
            <w:rStyle w:val="Hyperlink"/>
          </w:rPr>
          <w:t xml:space="preserve"> final</w:t>
        </w:r>
      </w:hyperlink>
      <w:r>
        <w:t>).</w:t>
      </w:r>
    </w:p>
  </w:footnote>
  <w:footnote w:id="9">
    <w:p w14:paraId="5109895A" w14:textId="12BC9F53" w:rsidR="008B0254" w:rsidRDefault="008B0254" w:rsidP="00666776">
      <w:pPr>
        <w:pStyle w:val="FootnoteText"/>
      </w:pPr>
      <w:r>
        <w:rPr>
          <w:rStyle w:val="FootnoteReference"/>
        </w:rPr>
        <w:footnoteRef/>
      </w:r>
      <w:r>
        <w:t xml:space="preserve"> </w:t>
      </w:r>
      <w:hyperlink r:id="rId5" w:history="1">
        <w:r>
          <w:rPr>
            <w:rStyle w:val="Hyperlink"/>
          </w:rPr>
          <w:t>COM(</w:t>
        </w:r>
        <w:r w:rsidRPr="00D4425F">
          <w:rPr>
            <w:rStyle w:val="Hyperlink"/>
          </w:rPr>
          <w:t>2021</w:t>
        </w:r>
        <w:r>
          <w:rPr>
            <w:rStyle w:val="Hyperlink"/>
          </w:rPr>
          <w:t>) </w:t>
        </w:r>
        <w:r w:rsidRPr="00D4425F">
          <w:rPr>
            <w:rStyle w:val="Hyperlink"/>
          </w:rPr>
          <w:t>551</w:t>
        </w:r>
        <w:r>
          <w:rPr>
            <w:rStyle w:val="Hyperlink"/>
          </w:rPr>
          <w:t xml:space="preserve"> final</w:t>
        </w:r>
      </w:hyperlink>
      <w:r>
        <w:t xml:space="preserve"> (als hierboven).</w:t>
      </w:r>
    </w:p>
  </w:footnote>
  <w:footnote w:id="10">
    <w:p w14:paraId="3AE44003" w14:textId="7F96D416" w:rsidR="008B0254" w:rsidRDefault="008B0254" w:rsidP="00666776">
      <w:pPr>
        <w:pStyle w:val="FootnoteText"/>
      </w:pPr>
      <w:r>
        <w:rPr>
          <w:rStyle w:val="FootnoteReference"/>
        </w:rPr>
        <w:footnoteRef/>
      </w:r>
      <w:r>
        <w:t xml:space="preserve"> Voorstel voor een besluit van het Europees Parlement en de Raad tot wijziging van Besluit (EU) </w:t>
      </w:r>
      <w:r w:rsidRPr="00D4425F">
        <w:t>2015</w:t>
      </w:r>
      <w:r>
        <w:t>/</w:t>
      </w:r>
      <w:r w:rsidRPr="00D4425F">
        <w:t>1814</w:t>
      </w:r>
      <w:r>
        <w:t xml:space="preserve"> wat betreft de hoeveelheid emissierechten die tot </w:t>
      </w:r>
      <w:r w:rsidRPr="00D4425F">
        <w:t>2030</w:t>
      </w:r>
      <w:r>
        <w:t xml:space="preserve"> in de marktstabiliteitsreserve voor de EU-regeling voor de handel in broeikasgasemissierechten moet worden opgenomen (</w:t>
      </w:r>
      <w:hyperlink r:id="rId6" w:history="1">
        <w:r>
          <w:rPr>
            <w:rStyle w:val="Hyperlink"/>
          </w:rPr>
          <w:t>COM(</w:t>
        </w:r>
        <w:r w:rsidRPr="00D4425F">
          <w:rPr>
            <w:rStyle w:val="Hyperlink"/>
          </w:rPr>
          <w:t>2021</w:t>
        </w:r>
        <w:r>
          <w:rPr>
            <w:rStyle w:val="Hyperlink"/>
          </w:rPr>
          <w:t>) </w:t>
        </w:r>
        <w:r w:rsidRPr="00D4425F">
          <w:rPr>
            <w:rStyle w:val="Hyperlink"/>
          </w:rPr>
          <w:t>571</w:t>
        </w:r>
        <w:r>
          <w:rPr>
            <w:rStyle w:val="Hyperlink"/>
          </w:rPr>
          <w:t xml:space="preserve"> final</w:t>
        </w:r>
      </w:hyperlink>
      <w:r>
        <w:t>).</w:t>
      </w:r>
    </w:p>
  </w:footnote>
  <w:footnote w:id="11">
    <w:p w14:paraId="7A9BFBD8" w14:textId="073E2708" w:rsidR="008B0254" w:rsidRDefault="008B0254" w:rsidP="00666776">
      <w:pPr>
        <w:pStyle w:val="FootnoteText"/>
      </w:pPr>
      <w:r>
        <w:rPr>
          <w:rStyle w:val="FootnoteReference"/>
        </w:rPr>
        <w:footnoteRef/>
      </w:r>
      <w:r>
        <w:t xml:space="preserve"> Voorstel voor een richtlijn van het Europees Parlement en de Raad tot wijziging van Richtlijn </w:t>
      </w:r>
      <w:r w:rsidRPr="00D4425F">
        <w:t>2003</w:t>
      </w:r>
      <w:r>
        <w:t>/</w:t>
      </w:r>
      <w:r w:rsidRPr="00D4425F">
        <w:t>87</w:t>
      </w:r>
      <w:r>
        <w:t>/EG wat betreft de bijdrage van de luchtvaart aan de emissiereductiedoelstelling van de Unie voor de hele economie en de passende toepassing van een wereldwijde marktgebaseerde maatregel (</w:t>
      </w:r>
      <w:hyperlink r:id="rId7" w:history="1">
        <w:r>
          <w:rPr>
            <w:rStyle w:val="Hyperlink"/>
          </w:rPr>
          <w:t>COM(</w:t>
        </w:r>
        <w:r w:rsidRPr="00D4425F">
          <w:rPr>
            <w:rStyle w:val="Hyperlink"/>
          </w:rPr>
          <w:t>2021</w:t>
        </w:r>
        <w:r>
          <w:rPr>
            <w:rStyle w:val="Hyperlink"/>
          </w:rPr>
          <w:t>) </w:t>
        </w:r>
        <w:r w:rsidRPr="00D4425F">
          <w:rPr>
            <w:rStyle w:val="Hyperlink"/>
          </w:rPr>
          <w:t>552</w:t>
        </w:r>
        <w:r>
          <w:rPr>
            <w:rStyle w:val="Hyperlink"/>
          </w:rPr>
          <w:t xml:space="preserve"> final</w:t>
        </w:r>
      </w:hyperlink>
      <w:r>
        <w:t xml:space="preserve">) en voorstel voor een besluit van het Europees Parlement en de Raad tot wijziging van Richtlijn </w:t>
      </w:r>
      <w:r w:rsidRPr="00D4425F">
        <w:t>2003</w:t>
      </w:r>
      <w:r>
        <w:t>/</w:t>
      </w:r>
      <w:r w:rsidRPr="00D4425F">
        <w:t>87</w:t>
      </w:r>
      <w:r>
        <w:t>/EG wat betreft de kennisgeving inzake compensatie in het kader van een wereldwijde marktgebaseerde maatregel voor in de Unie gevestigde vliegtuigexploitanten (</w:t>
      </w:r>
      <w:hyperlink r:id="rId8" w:history="1">
        <w:r>
          <w:rPr>
            <w:rStyle w:val="Hyperlink"/>
          </w:rPr>
          <w:t>COM(</w:t>
        </w:r>
        <w:r w:rsidRPr="00D4425F">
          <w:rPr>
            <w:rStyle w:val="Hyperlink"/>
          </w:rPr>
          <w:t>2021</w:t>
        </w:r>
        <w:r>
          <w:rPr>
            <w:rStyle w:val="Hyperlink"/>
          </w:rPr>
          <w:t>) </w:t>
        </w:r>
        <w:r w:rsidRPr="00D4425F">
          <w:rPr>
            <w:rStyle w:val="Hyperlink"/>
          </w:rPr>
          <w:t>567</w:t>
        </w:r>
        <w:r>
          <w:rPr>
            <w:rStyle w:val="Hyperlink"/>
          </w:rPr>
          <w:t xml:space="preserve"> final</w:t>
        </w:r>
      </w:hyperlink>
      <w:r>
        <w:t>).</w:t>
      </w:r>
    </w:p>
  </w:footnote>
  <w:footnote w:id="12">
    <w:p w14:paraId="76672899" w14:textId="7B84DCAC" w:rsidR="008B0254" w:rsidRDefault="008B0254">
      <w:pPr>
        <w:pStyle w:val="FootnoteText"/>
      </w:pPr>
      <w:r>
        <w:rPr>
          <w:rStyle w:val="FootnoteReference"/>
        </w:rPr>
        <w:footnoteRef/>
      </w:r>
      <w:r>
        <w:t xml:space="preserve"> Richtlijn </w:t>
      </w:r>
      <w:r w:rsidRPr="00D4425F">
        <w:t>2003</w:t>
      </w:r>
      <w:r>
        <w:t>/</w:t>
      </w:r>
      <w:r w:rsidRPr="00D4425F">
        <w:t>87</w:t>
      </w:r>
      <w:r>
        <w:t xml:space="preserve">/EG van het Europees Parlement en de Raad van </w:t>
      </w:r>
      <w:r w:rsidRPr="00D4425F">
        <w:t>13</w:t>
      </w:r>
      <w:r>
        <w:t xml:space="preserve"> oktober </w:t>
      </w:r>
      <w:r w:rsidRPr="00D4425F">
        <w:t>2003</w:t>
      </w:r>
      <w:r>
        <w:t xml:space="preserve"> tot vaststelling van een systeem voor de handel in broeikasgasemissierechten binnen de Unie en tot wijziging van Richtlijn </w:t>
      </w:r>
      <w:r w:rsidRPr="00D4425F">
        <w:t>96</w:t>
      </w:r>
      <w:r>
        <w:t>/</w:t>
      </w:r>
      <w:r w:rsidRPr="00D4425F">
        <w:t>61</w:t>
      </w:r>
      <w:r>
        <w:t>/EG van de Raad (</w:t>
      </w:r>
      <w:hyperlink r:id="rId9" w:history="1">
        <w:r>
          <w:rPr>
            <w:rStyle w:val="Hyperlink"/>
          </w:rPr>
          <w:t>PB L </w:t>
        </w:r>
        <w:r w:rsidRPr="00D4425F">
          <w:rPr>
            <w:rStyle w:val="Hyperlink"/>
          </w:rPr>
          <w:t>275</w:t>
        </w:r>
      </w:hyperlink>
      <w:r>
        <w:t xml:space="preserve"> van </w:t>
      </w:r>
      <w:r w:rsidRPr="00D4425F">
        <w:t>25</w:t>
      </w:r>
      <w:r>
        <w:t>.</w:t>
      </w:r>
      <w:r w:rsidRPr="00D4425F">
        <w:t>10</w:t>
      </w:r>
      <w:r>
        <w:t>.</w:t>
      </w:r>
      <w:r w:rsidRPr="00D4425F">
        <w:t>2003</w:t>
      </w:r>
      <w:r>
        <w:t>, blz. </w:t>
      </w:r>
      <w:r w:rsidRPr="00D4425F">
        <w:t>32</w:t>
      </w:r>
      <w:r>
        <w:t>).</w:t>
      </w:r>
    </w:p>
  </w:footnote>
  <w:footnote w:id="13">
    <w:p w14:paraId="224D9628" w14:textId="0FB33D6A" w:rsidR="008B0254" w:rsidRDefault="008B0254">
      <w:pPr>
        <w:pStyle w:val="FootnoteText"/>
      </w:pPr>
      <w:r>
        <w:rPr>
          <w:rStyle w:val="FootnoteReference"/>
        </w:rPr>
        <w:footnoteRef/>
      </w:r>
      <w:r>
        <w:t xml:space="preserve"> Richtlijn (EU) </w:t>
      </w:r>
      <w:r w:rsidRPr="00D4425F">
        <w:t>2018</w:t>
      </w:r>
      <w:r>
        <w:t>/</w:t>
      </w:r>
      <w:r w:rsidRPr="00D4425F">
        <w:t>2002</w:t>
      </w:r>
      <w:r>
        <w:t xml:space="preserve"> van het Europees Parlement en de Raad van </w:t>
      </w:r>
      <w:r w:rsidRPr="00D4425F">
        <w:t>11</w:t>
      </w:r>
      <w:r>
        <w:t xml:space="preserve"> december </w:t>
      </w:r>
      <w:r w:rsidRPr="00D4425F">
        <w:t>2018</w:t>
      </w:r>
      <w:r>
        <w:t xml:space="preserve"> houdende wijziging van Richtlijn </w:t>
      </w:r>
      <w:r w:rsidRPr="00D4425F">
        <w:t>2012</w:t>
      </w:r>
      <w:r>
        <w:t>/</w:t>
      </w:r>
      <w:r w:rsidRPr="00D4425F">
        <w:t>27</w:t>
      </w:r>
      <w:r>
        <w:t>/EU betreffende energie-efficiëntie (</w:t>
      </w:r>
      <w:hyperlink r:id="rId10" w:history="1">
        <w:r>
          <w:rPr>
            <w:rStyle w:val="Hyperlink"/>
          </w:rPr>
          <w:t>PB L </w:t>
        </w:r>
        <w:r w:rsidRPr="00D4425F">
          <w:rPr>
            <w:rStyle w:val="Hyperlink"/>
          </w:rPr>
          <w:t>328</w:t>
        </w:r>
      </w:hyperlink>
      <w:r>
        <w:t xml:space="preserve"> van </w:t>
      </w:r>
      <w:r w:rsidRPr="00D4425F">
        <w:t>21</w:t>
      </w:r>
      <w:r>
        <w:t>.</w:t>
      </w:r>
      <w:r w:rsidRPr="00D4425F">
        <w:t>12</w:t>
      </w:r>
      <w:r>
        <w:t>.</w:t>
      </w:r>
      <w:r w:rsidRPr="00D4425F">
        <w:t>2018</w:t>
      </w:r>
      <w:r>
        <w:t>, blz. </w:t>
      </w:r>
      <w:r w:rsidRPr="00D4425F">
        <w:t>210</w:t>
      </w:r>
      <w:r>
        <w:t>).</w:t>
      </w:r>
    </w:p>
  </w:footnote>
  <w:footnote w:id="14">
    <w:p w14:paraId="7E295F92" w14:textId="2F5D627F" w:rsidR="008B0254" w:rsidRPr="0095216F" w:rsidRDefault="008B0254" w:rsidP="00666776">
      <w:pPr>
        <w:pStyle w:val="FootnoteText"/>
      </w:pPr>
      <w:r>
        <w:rPr>
          <w:rStyle w:val="FootnoteReference"/>
        </w:rPr>
        <w:footnoteRef/>
      </w:r>
      <w:r>
        <w:t xml:space="preserve"> Handels- en samenwerkingsovereenkomst tussen de Europese Unie en de Europese Gemeenschap voor Atoomenergie, enerzijds, en het Verenigd Koninkrijk van Groot-Brittannië en Noord-Ierland, anderzijds (</w:t>
      </w:r>
      <w:hyperlink r:id="rId11" w:history="1">
        <w:r>
          <w:rPr>
            <w:rStyle w:val="Hyperlink"/>
          </w:rPr>
          <w:t>PB L </w:t>
        </w:r>
        <w:r w:rsidRPr="00D4425F">
          <w:rPr>
            <w:rStyle w:val="Hyperlink"/>
          </w:rPr>
          <w:t>149</w:t>
        </w:r>
      </w:hyperlink>
      <w:r>
        <w:t xml:space="preserve"> van </w:t>
      </w:r>
      <w:r w:rsidRPr="00D4425F">
        <w:t>30</w:t>
      </w:r>
      <w:r>
        <w:t>.</w:t>
      </w:r>
      <w:r w:rsidRPr="00D4425F">
        <w:t>4</w:t>
      </w:r>
      <w:r>
        <w:t>.</w:t>
      </w:r>
      <w:r w:rsidRPr="00D4425F">
        <w:t>2021</w:t>
      </w:r>
      <w:r>
        <w:t>, blz. </w:t>
      </w:r>
      <w:r w:rsidRPr="00D4425F">
        <w:t>10</w:t>
      </w:r>
      <w:r>
        <w:t xml:space="preserve">). </w:t>
      </w:r>
    </w:p>
  </w:footnote>
  <w:footnote w:id="15">
    <w:p w14:paraId="2F9B4211" w14:textId="2081A089" w:rsidR="008B0254" w:rsidRPr="000068FE" w:rsidRDefault="008B0254" w:rsidP="00666776">
      <w:pPr>
        <w:pStyle w:val="FootnoteText"/>
      </w:pPr>
      <w:r>
        <w:rPr>
          <w:rStyle w:val="FootnoteReference"/>
        </w:rPr>
        <w:footnoteRef/>
      </w:r>
      <w:r>
        <w:t xml:space="preserve"> Gedelegeerde Verordening (EU) </w:t>
      </w:r>
      <w:r w:rsidRPr="00D4425F">
        <w:t>2021</w:t>
      </w:r>
      <w:r>
        <w:t>/</w:t>
      </w:r>
      <w:r w:rsidRPr="00D4425F">
        <w:t>1416</w:t>
      </w:r>
      <w:r>
        <w:t xml:space="preserve"> van de Commissie van </w:t>
      </w:r>
      <w:r w:rsidRPr="00D4425F">
        <w:t>17</w:t>
      </w:r>
      <w:r>
        <w:t xml:space="preserve"> juni </w:t>
      </w:r>
      <w:r w:rsidRPr="00D4425F">
        <w:t>2021</w:t>
      </w:r>
      <w:r>
        <w:t xml:space="preserve"> tot wijziging van Richtlijn </w:t>
      </w:r>
      <w:r w:rsidRPr="00D4425F">
        <w:t>2003</w:t>
      </w:r>
      <w:r>
        <w:t>/</w:t>
      </w:r>
      <w:r w:rsidRPr="00D4425F">
        <w:t>87</w:t>
      </w:r>
      <w:r>
        <w:t>/EG van het Europees Parlement en de Raad wat betreft het uitsluiten van inkomende vluchten vanuit het Verenigd Koninkrijk van het emissiehandelssysteem van de Unie (</w:t>
      </w:r>
      <w:hyperlink r:id="rId12" w:history="1">
        <w:r>
          <w:rPr>
            <w:rStyle w:val="Hyperlink"/>
          </w:rPr>
          <w:t>PB L </w:t>
        </w:r>
        <w:r w:rsidRPr="00D4425F">
          <w:rPr>
            <w:rStyle w:val="Hyperlink"/>
          </w:rPr>
          <w:t>305</w:t>
        </w:r>
      </w:hyperlink>
      <w:r>
        <w:t xml:space="preserve"> van </w:t>
      </w:r>
      <w:r w:rsidRPr="00D4425F">
        <w:t>31</w:t>
      </w:r>
      <w:r>
        <w:t>.</w:t>
      </w:r>
      <w:r w:rsidRPr="00D4425F">
        <w:t>8</w:t>
      </w:r>
      <w:r>
        <w:t>.</w:t>
      </w:r>
      <w:r w:rsidRPr="00D4425F">
        <w:t>2021</w:t>
      </w:r>
      <w:r>
        <w:t>, blz. </w:t>
      </w:r>
      <w:r w:rsidRPr="00D4425F">
        <w:t>1</w:t>
      </w:r>
      <w:r>
        <w:t xml:space="preserve">). </w:t>
      </w:r>
    </w:p>
  </w:footnote>
  <w:footnote w:id="16">
    <w:p w14:paraId="08600B04" w14:textId="0E631F35" w:rsidR="008B0254" w:rsidRPr="002F0C85" w:rsidRDefault="008B0254" w:rsidP="00666776">
      <w:pPr>
        <w:pStyle w:val="FootnoteText"/>
      </w:pPr>
      <w:r>
        <w:rPr>
          <w:rStyle w:val="FootnoteReference"/>
        </w:rPr>
        <w:footnoteRef/>
      </w:r>
      <w:r>
        <w:t xml:space="preserve"> Mededeling van de Commissie betreffende de inwerkingtreding van de wijziging van Doha van het Protocol van Kyoto bij het Raamverdrag van de Verenigde Naties inzake klimaatverandering (</w:t>
      </w:r>
      <w:hyperlink r:id="rId13" w:history="1">
        <w:r>
          <w:rPr>
            <w:rStyle w:val="Hyperlink"/>
          </w:rPr>
          <w:t>PB C </w:t>
        </w:r>
        <w:r w:rsidRPr="00D4425F">
          <w:rPr>
            <w:rStyle w:val="Hyperlink"/>
          </w:rPr>
          <w:t>432</w:t>
        </w:r>
      </w:hyperlink>
      <w:r>
        <w:t xml:space="preserve"> van </w:t>
      </w:r>
      <w:r w:rsidRPr="00D4425F">
        <w:t>14</w:t>
      </w:r>
      <w:r>
        <w:t>.</w:t>
      </w:r>
      <w:r w:rsidRPr="00D4425F">
        <w:t>12</w:t>
      </w:r>
      <w:r>
        <w:t>.</w:t>
      </w:r>
      <w:r w:rsidRPr="00D4425F">
        <w:t>2020</w:t>
      </w:r>
      <w:r>
        <w:t>, blz. </w:t>
      </w:r>
      <w:r w:rsidRPr="00D4425F">
        <w:t>1</w:t>
      </w:r>
      <w:r>
        <w:t>).</w:t>
      </w:r>
    </w:p>
  </w:footnote>
  <w:footnote w:id="17">
    <w:p w14:paraId="25A55361" w14:textId="1BBAD514" w:rsidR="008B0254" w:rsidRPr="00B52A6C" w:rsidRDefault="008B0254" w:rsidP="00666776">
      <w:pPr>
        <w:pStyle w:val="FootnoteText"/>
      </w:pPr>
      <w:r>
        <w:rPr>
          <w:rStyle w:val="FootnoteReference"/>
        </w:rPr>
        <w:footnoteRef/>
      </w:r>
      <w:r>
        <w:t xml:space="preserve"> Verordening (EU) nr. </w:t>
      </w:r>
      <w:r w:rsidRPr="00D4425F">
        <w:t>389</w:t>
      </w:r>
      <w:r>
        <w:t>/</w:t>
      </w:r>
      <w:r w:rsidRPr="00D4425F">
        <w:t>2013</w:t>
      </w:r>
      <w:r>
        <w:t xml:space="preserve"> van de Commissie van </w:t>
      </w:r>
      <w:r w:rsidRPr="00D4425F">
        <w:t>2</w:t>
      </w:r>
      <w:r>
        <w:t xml:space="preserve"> mei </w:t>
      </w:r>
      <w:r w:rsidRPr="00D4425F">
        <w:t>2013</w:t>
      </w:r>
      <w:r>
        <w:t xml:space="preserve"> tot instelling van een EU-register overeenkomstig Richtlijn </w:t>
      </w:r>
      <w:r w:rsidRPr="00D4425F">
        <w:t>2003</w:t>
      </w:r>
      <w:r>
        <w:t>/</w:t>
      </w:r>
      <w:r w:rsidRPr="00D4425F">
        <w:t>87</w:t>
      </w:r>
      <w:r>
        <w:t>/EG van het Europees Parlement en de Raad, Beschikkingen nrs. </w:t>
      </w:r>
      <w:r w:rsidRPr="00D4425F">
        <w:t>280</w:t>
      </w:r>
      <w:r>
        <w:t>/</w:t>
      </w:r>
      <w:r w:rsidRPr="00D4425F">
        <w:t>3004</w:t>
      </w:r>
      <w:r>
        <w:t xml:space="preserve">/EG en </w:t>
      </w:r>
      <w:r w:rsidRPr="00D4425F">
        <w:t>406</w:t>
      </w:r>
      <w:r>
        <w:t>/</w:t>
      </w:r>
      <w:r w:rsidRPr="00D4425F">
        <w:t>2009</w:t>
      </w:r>
      <w:r>
        <w:t>/EG van het Europees Parlement en de Raad en tot intrekking van de Verordeningen (EU) nr. </w:t>
      </w:r>
      <w:r w:rsidRPr="00D4425F">
        <w:t>920</w:t>
      </w:r>
      <w:r>
        <w:t>/</w:t>
      </w:r>
      <w:r w:rsidRPr="00D4425F">
        <w:t>2010</w:t>
      </w:r>
      <w:r>
        <w:t xml:space="preserve"> en </w:t>
      </w:r>
      <w:r w:rsidRPr="00D4425F">
        <w:t>1193</w:t>
      </w:r>
      <w:r>
        <w:t>/</w:t>
      </w:r>
      <w:r w:rsidRPr="00D4425F">
        <w:t>2011</w:t>
      </w:r>
      <w:r>
        <w:t xml:space="preserve"> van de Commissie (</w:t>
      </w:r>
      <w:hyperlink r:id="rId14" w:history="1">
        <w:r>
          <w:rPr>
            <w:rStyle w:val="Hyperlink"/>
          </w:rPr>
          <w:t>PB L </w:t>
        </w:r>
        <w:r w:rsidRPr="00D4425F">
          <w:rPr>
            <w:rStyle w:val="Hyperlink"/>
          </w:rPr>
          <w:t>122</w:t>
        </w:r>
      </w:hyperlink>
      <w:r>
        <w:t xml:space="preserve"> van </w:t>
      </w:r>
      <w:r w:rsidRPr="00D4425F">
        <w:t>3</w:t>
      </w:r>
      <w:r>
        <w:t>.</w:t>
      </w:r>
      <w:r w:rsidRPr="00D4425F">
        <w:t>5</w:t>
      </w:r>
      <w:r>
        <w:t>.</w:t>
      </w:r>
      <w:r w:rsidRPr="00D4425F">
        <w:t>2013</w:t>
      </w:r>
      <w:r>
        <w:t>, blz. </w:t>
      </w:r>
      <w:r w:rsidRPr="00D4425F">
        <w:t>190</w:t>
      </w:r>
      <w:r>
        <w:t>).</w:t>
      </w:r>
    </w:p>
  </w:footnote>
  <w:footnote w:id="18">
    <w:p w14:paraId="67934BC7" w14:textId="69444444" w:rsidR="008B0254" w:rsidRPr="00E554FC" w:rsidRDefault="008B0254" w:rsidP="00666776">
      <w:pPr>
        <w:pStyle w:val="FootnoteText"/>
      </w:pPr>
      <w:r>
        <w:rPr>
          <w:rStyle w:val="FootnoteReference"/>
        </w:rPr>
        <w:footnoteRef/>
      </w:r>
      <w:r>
        <w:t xml:space="preserve"> Overeenkomst tussen de Europese Unie en de Zwitserse Bondsstaat inzake de koppeling van hun regelingen voor de handel in broeikasgasemissierechten (</w:t>
      </w:r>
      <w:hyperlink r:id="rId15" w:history="1">
        <w:r>
          <w:rPr>
            <w:rStyle w:val="Hyperlink"/>
          </w:rPr>
          <w:t>PB L </w:t>
        </w:r>
        <w:r w:rsidRPr="00D4425F">
          <w:rPr>
            <w:rStyle w:val="Hyperlink"/>
          </w:rPr>
          <w:t>322</w:t>
        </w:r>
      </w:hyperlink>
      <w:r>
        <w:t xml:space="preserve"> van </w:t>
      </w:r>
      <w:r w:rsidRPr="00D4425F">
        <w:t>7</w:t>
      </w:r>
      <w:r>
        <w:t>.</w:t>
      </w:r>
      <w:r w:rsidRPr="00D4425F">
        <w:t>12</w:t>
      </w:r>
      <w:r>
        <w:t>.</w:t>
      </w:r>
      <w:r w:rsidRPr="00D4425F">
        <w:t>2017</w:t>
      </w:r>
      <w:r>
        <w:t>, blz. </w:t>
      </w:r>
      <w:r w:rsidRPr="00D4425F">
        <w:t>3</w:t>
      </w:r>
      <w:r>
        <w:t>).</w:t>
      </w:r>
    </w:p>
  </w:footnote>
  <w:footnote w:id="19">
    <w:p w14:paraId="129ED65B" w14:textId="19DD1D4C" w:rsidR="008B0254" w:rsidRPr="00980547" w:rsidRDefault="008B0254" w:rsidP="00666776">
      <w:pPr>
        <w:pStyle w:val="FootnoteText"/>
      </w:pPr>
      <w:r>
        <w:rPr>
          <w:rStyle w:val="FootnoteReference"/>
        </w:rPr>
        <w:footnoteRef/>
      </w:r>
      <w:r>
        <w:t xml:space="preserve"> Gedelegeerde Verordening (EU) </w:t>
      </w:r>
      <w:r w:rsidRPr="00D4425F">
        <w:t>2019</w:t>
      </w:r>
      <w:r>
        <w:t>/</w:t>
      </w:r>
      <w:r w:rsidRPr="00D4425F">
        <w:t>1122</w:t>
      </w:r>
      <w:r>
        <w:t xml:space="preserve"> van de Commissie van </w:t>
      </w:r>
      <w:r w:rsidRPr="00D4425F">
        <w:t>12</w:t>
      </w:r>
      <w:r>
        <w:t xml:space="preserve"> maart </w:t>
      </w:r>
      <w:r w:rsidRPr="00D4425F">
        <w:t>2019</w:t>
      </w:r>
      <w:r>
        <w:t xml:space="preserve"> tot aanvulling van Richtlijn </w:t>
      </w:r>
      <w:r w:rsidRPr="00D4425F">
        <w:t>2003</w:t>
      </w:r>
      <w:r>
        <w:t>/</w:t>
      </w:r>
      <w:r w:rsidRPr="00D4425F">
        <w:t>87</w:t>
      </w:r>
      <w:r>
        <w:t>/EG van het Europees Parlement en de Raad betreffende de werking van het EU-register (</w:t>
      </w:r>
      <w:hyperlink r:id="rId16" w:history="1">
        <w:r>
          <w:rPr>
            <w:rStyle w:val="Hyperlink"/>
          </w:rPr>
          <w:t>PB L </w:t>
        </w:r>
        <w:r w:rsidRPr="00D4425F">
          <w:rPr>
            <w:rStyle w:val="Hyperlink"/>
          </w:rPr>
          <w:t>177</w:t>
        </w:r>
      </w:hyperlink>
      <w:r>
        <w:t xml:space="preserve"> van </w:t>
      </w:r>
      <w:r w:rsidRPr="00D4425F">
        <w:t>2</w:t>
      </w:r>
      <w:r>
        <w:t>.</w:t>
      </w:r>
      <w:r w:rsidRPr="00D4425F">
        <w:t>7</w:t>
      </w:r>
      <w:r>
        <w:t>.</w:t>
      </w:r>
      <w:r w:rsidRPr="00D4425F">
        <w:t>2019</w:t>
      </w:r>
      <w:r>
        <w:t>, blz. </w:t>
      </w:r>
      <w:r w:rsidRPr="00D4425F">
        <w:t>3</w:t>
      </w:r>
      <w:r>
        <w:t>).</w:t>
      </w:r>
    </w:p>
  </w:footnote>
  <w:footnote w:id="20">
    <w:p w14:paraId="22221EF0" w14:textId="63356B5E" w:rsidR="008B0254" w:rsidRDefault="008B0254" w:rsidP="00666776">
      <w:pPr>
        <w:pStyle w:val="FootnoteText"/>
      </w:pPr>
      <w:r>
        <w:rPr>
          <w:rStyle w:val="FootnoteReference"/>
        </w:rPr>
        <w:footnoteRef/>
      </w:r>
      <w:r>
        <w:t xml:space="preserve"> Het aantal luchtvaartemissierechten dat sinds </w:t>
      </w:r>
      <w:r w:rsidRPr="00D4425F">
        <w:t>2013</w:t>
      </w:r>
      <w:r>
        <w:t xml:space="preserve"> in omloop is gebracht, vloeit voort uit een bottom-upbenadering waarbij men start met de kosteloze toewijzing van emissierechten (bepaald op basis van op activiteiten steunende benchmarks voor de activiteit van exploitanten binnen de EER). Het aantal geveilde emissierechten wordt vervolgens afgeleid op basis van het feit dat de kosteloze toewijzing van emissierechten (waaronder een speciale reserve voor verdeling aan snelgroeiende vliegtuigexploitanten en nieuwkomers) </w:t>
      </w:r>
      <w:r w:rsidRPr="00D4425F">
        <w:t>85</w:t>
      </w:r>
      <w:r>
        <w:t xml:space="preserve"> % van het totale volume zou moeten bedragen. De resterende </w:t>
      </w:r>
      <w:r w:rsidRPr="00D4425F">
        <w:t>15</w:t>
      </w:r>
      <w:r>
        <w:t> % wordt geveild.</w:t>
      </w:r>
    </w:p>
  </w:footnote>
  <w:footnote w:id="21">
    <w:p w14:paraId="1209A772" w14:textId="7277B826" w:rsidR="008B0254" w:rsidRDefault="008B0254" w:rsidP="00666776">
      <w:pPr>
        <w:pStyle w:val="FootnoteText"/>
      </w:pPr>
      <w:r>
        <w:rPr>
          <w:rStyle w:val="FootnoteReference"/>
        </w:rPr>
        <w:footnoteRef/>
      </w:r>
      <w:r>
        <w:t xml:space="preserve"> De geactualiseerde cijfers omvatten naast voor EU-ETS-emissierechten ingeruilde internationale kredieten ook de kosteloze toewijzingen en geveilde aantallen. </w:t>
      </w:r>
    </w:p>
  </w:footnote>
  <w:footnote w:id="22">
    <w:p w14:paraId="1769741E" w14:textId="5A435AF7" w:rsidR="008B0254" w:rsidRDefault="008B0254" w:rsidP="00666776">
      <w:pPr>
        <w:pStyle w:val="FootnoteText"/>
      </w:pPr>
      <w:r>
        <w:rPr>
          <w:rStyle w:val="FootnoteReference"/>
        </w:rPr>
        <w:footnoteRef/>
      </w:r>
      <w:r>
        <w:t xml:space="preserve"> Akkoord inzake de terugtrekking van het Verenigd Koninkrijk van Groot-Brittannië en Noord-Ierland uit de Europese Unie en de Europese Gemeenschap voor Atoomenergie (</w:t>
      </w:r>
      <w:hyperlink r:id="rId17" w:history="1">
        <w:r>
          <w:rPr>
            <w:rStyle w:val="Hyperlink"/>
          </w:rPr>
          <w:t>PB L </w:t>
        </w:r>
        <w:r w:rsidRPr="00D4425F">
          <w:rPr>
            <w:rStyle w:val="Hyperlink"/>
          </w:rPr>
          <w:t>29</w:t>
        </w:r>
      </w:hyperlink>
      <w:r>
        <w:t xml:space="preserve"> van </w:t>
      </w:r>
      <w:r w:rsidRPr="00D4425F">
        <w:t>31</w:t>
      </w:r>
      <w:r>
        <w:t>.</w:t>
      </w:r>
      <w:r w:rsidRPr="00D4425F">
        <w:t>1</w:t>
      </w:r>
      <w:r>
        <w:t>.</w:t>
      </w:r>
      <w:r w:rsidRPr="00D4425F">
        <w:t>2020</w:t>
      </w:r>
      <w:r>
        <w:t>, blz. </w:t>
      </w:r>
      <w:r w:rsidRPr="00D4425F">
        <w:t>7</w:t>
      </w:r>
      <w:r>
        <w:t>).</w:t>
      </w:r>
    </w:p>
  </w:footnote>
  <w:footnote w:id="23">
    <w:p w14:paraId="4398631D" w14:textId="4B1B9E1A" w:rsidR="008B0254" w:rsidRPr="00C8518F" w:rsidRDefault="008B0254" w:rsidP="00666776">
      <w:pPr>
        <w:pStyle w:val="FootnoteText"/>
      </w:pPr>
      <w:r>
        <w:rPr>
          <w:rStyle w:val="FootnoteReference"/>
        </w:rPr>
        <w:footnoteRef/>
      </w:r>
      <w:r>
        <w:t xml:space="preserve"> </w:t>
      </w:r>
      <w:hyperlink r:id="rId18" w:history="1">
        <w:r>
          <w:rPr>
            <w:rStyle w:val="Hyperlink"/>
          </w:rPr>
          <w:t>PB L </w:t>
        </w:r>
        <w:r w:rsidRPr="00D4425F">
          <w:rPr>
            <w:rStyle w:val="Hyperlink"/>
          </w:rPr>
          <w:t>29</w:t>
        </w:r>
      </w:hyperlink>
      <w:r>
        <w:t xml:space="preserve"> (als hierboven).</w:t>
      </w:r>
    </w:p>
  </w:footnote>
  <w:footnote w:id="24">
    <w:p w14:paraId="7B1047A3" w14:textId="77777777" w:rsidR="008B0254" w:rsidRDefault="008B0254" w:rsidP="00666776">
      <w:pPr>
        <w:pStyle w:val="FootnoteText"/>
      </w:pPr>
      <w:r>
        <w:rPr>
          <w:rStyle w:val="FootnoteReference"/>
        </w:rPr>
        <w:footnoteRef/>
      </w:r>
      <w:r>
        <w:t xml:space="preserve"> Besluit (EU) </w:t>
      </w:r>
      <w:r w:rsidRPr="00D4425F">
        <w:t>2020</w:t>
      </w:r>
      <w:r>
        <w:t>/</w:t>
      </w:r>
      <w:r w:rsidRPr="00D4425F">
        <w:t>1722</w:t>
      </w:r>
      <w:r>
        <w:t xml:space="preserve"> van de Commissie van </w:t>
      </w:r>
      <w:r w:rsidRPr="00D4425F">
        <w:t>16</w:t>
      </w:r>
      <w:r>
        <w:t xml:space="preserve"> november </w:t>
      </w:r>
      <w:r w:rsidRPr="00D4425F">
        <w:t>2020</w:t>
      </w:r>
      <w:r>
        <w:t xml:space="preserve"> betreffende de hoeveelheid emissierechten voor de hele Unie die in het kader van het EU-emissiehandelssysteem voor </w:t>
      </w:r>
      <w:r w:rsidRPr="00D4425F">
        <w:t>2021</w:t>
      </w:r>
      <w:r>
        <w:t xml:space="preserve"> moet worden verleend (</w:t>
      </w:r>
      <w:hyperlink r:id="rId19" w:history="1">
        <w:r>
          <w:rPr>
            <w:rStyle w:val="Hyperlink"/>
          </w:rPr>
          <w:t>PB L </w:t>
        </w:r>
        <w:r w:rsidRPr="00D4425F">
          <w:rPr>
            <w:rStyle w:val="Hyperlink"/>
          </w:rPr>
          <w:t>386</w:t>
        </w:r>
      </w:hyperlink>
      <w:r>
        <w:t xml:space="preserve"> van </w:t>
      </w:r>
      <w:r w:rsidRPr="00D4425F">
        <w:t>16</w:t>
      </w:r>
      <w:r>
        <w:t>.</w:t>
      </w:r>
      <w:r w:rsidRPr="00D4425F">
        <w:t>11</w:t>
      </w:r>
      <w:r>
        <w:t>.</w:t>
      </w:r>
      <w:r w:rsidRPr="00D4425F">
        <w:t>2020</w:t>
      </w:r>
      <w:r>
        <w:t>, blz. </w:t>
      </w:r>
      <w:r w:rsidRPr="00D4425F">
        <w:t>26</w:t>
      </w:r>
      <w:r>
        <w:t>).</w:t>
      </w:r>
    </w:p>
  </w:footnote>
  <w:footnote w:id="25">
    <w:p w14:paraId="638593A9" w14:textId="77777777" w:rsidR="008B0254" w:rsidRDefault="008B0254" w:rsidP="00666776">
      <w:pPr>
        <w:pStyle w:val="FootnoteText"/>
      </w:pPr>
      <w:r>
        <w:rPr>
          <w:rStyle w:val="FootnoteReference"/>
        </w:rPr>
        <w:footnoteRef/>
      </w:r>
      <w:r>
        <w:t xml:space="preserve"> Het in Besluit (EU) </w:t>
      </w:r>
      <w:r w:rsidRPr="00D4425F">
        <w:t>2020</w:t>
      </w:r>
      <w:r>
        <w:t>/</w:t>
      </w:r>
      <w:r w:rsidRPr="00D4425F">
        <w:t>1722</w:t>
      </w:r>
      <w:r>
        <w:t xml:space="preserve"> van de Commissie vastgestelde plafond voor </w:t>
      </w:r>
      <w:r w:rsidRPr="00D4425F">
        <w:t>2021</w:t>
      </w:r>
      <w:r>
        <w:t xml:space="preserve"> omvat niet de hoeveelheid emissierechten die ingevolge hoofdstuk II van de EU-ETS-richtlijn aan vliegtuigexploitanten moet worden verleend. Deze hoeveelheid vloeit voort uit een bottom-upbenadering waarbij wordt gestart met de kosteloze toewijzing van rechten aan de luchtvaart, zoals toegelicht in de mededeling inzake de hoeveelheid emissierechten voor de hele Unie voor </w:t>
      </w:r>
      <w:r w:rsidRPr="00D4425F">
        <w:t>2021</w:t>
      </w:r>
      <w:r>
        <w:t xml:space="preserve"> en de marktstabiliteitsreserve in het kader van het EU-emissiehandelssysteem (</w:t>
      </w:r>
      <w:hyperlink r:id="rId20" w:history="1">
        <w:r>
          <w:rPr>
            <w:rStyle w:val="Hyperlink"/>
          </w:rPr>
          <w:t>PB C </w:t>
        </w:r>
        <w:r w:rsidRPr="00D4425F">
          <w:rPr>
            <w:rStyle w:val="Hyperlink"/>
          </w:rPr>
          <w:t>428</w:t>
        </w:r>
        <w:r>
          <w:rPr>
            <w:rStyle w:val="Hyperlink"/>
          </w:rPr>
          <w:t>I</w:t>
        </w:r>
      </w:hyperlink>
      <w:r>
        <w:t xml:space="preserve"> van </w:t>
      </w:r>
      <w:r w:rsidRPr="00D4425F">
        <w:t>11</w:t>
      </w:r>
      <w:r>
        <w:t>.</w:t>
      </w:r>
      <w:r w:rsidRPr="00D4425F">
        <w:t>12</w:t>
      </w:r>
      <w:r>
        <w:t>.</w:t>
      </w:r>
      <w:r w:rsidRPr="00D4425F">
        <w:t>2020</w:t>
      </w:r>
      <w:r>
        <w:t>, blz. </w:t>
      </w:r>
      <w:r w:rsidRPr="00D4425F">
        <w:t>1</w:t>
      </w:r>
      <w:r>
        <w:t>).</w:t>
      </w:r>
    </w:p>
  </w:footnote>
  <w:footnote w:id="26">
    <w:p w14:paraId="33699DC0" w14:textId="1EB60CDE" w:rsidR="008B0254" w:rsidRDefault="008B0254" w:rsidP="00666776">
      <w:pPr>
        <w:pStyle w:val="FootnoteText"/>
      </w:pPr>
      <w:r>
        <w:rPr>
          <w:rStyle w:val="FootnoteReference"/>
        </w:rPr>
        <w:footnoteRef/>
      </w:r>
      <w:r>
        <w:t xml:space="preserve"> Voor het plafond voor fase </w:t>
      </w:r>
      <w:r w:rsidRPr="00D4425F">
        <w:t>4</w:t>
      </w:r>
      <w:r>
        <w:t xml:space="preserve"> is rekening gehouden met de bekendmaking, in Besluit (EU) </w:t>
      </w:r>
      <w:r w:rsidRPr="00D4425F">
        <w:t>2020</w:t>
      </w:r>
      <w:r>
        <w:t>/</w:t>
      </w:r>
      <w:r w:rsidRPr="00D4425F">
        <w:t>1722</w:t>
      </w:r>
      <w:r>
        <w:t xml:space="preserve"> van de Commissie, van de totale hoeveelheid emissierechten in het EU-ETS na de brexit. </w:t>
      </w:r>
    </w:p>
  </w:footnote>
  <w:footnote w:id="27">
    <w:p w14:paraId="7C13F09A" w14:textId="095F9D88" w:rsidR="008B0254" w:rsidRDefault="008B0254" w:rsidP="00666776">
      <w:pPr>
        <w:pStyle w:val="FootnoteText"/>
      </w:pPr>
      <w:r>
        <w:rPr>
          <w:rStyle w:val="FootnoteReference"/>
        </w:rPr>
        <w:footnoteRef/>
      </w:r>
      <w:r>
        <w:t xml:space="preserve"> Besluit van de Commissie van </w:t>
      </w:r>
      <w:r w:rsidRPr="00D4425F">
        <w:t>27</w:t>
      </w:r>
      <w:r>
        <w:t xml:space="preserve"> oktober </w:t>
      </w:r>
      <w:r w:rsidRPr="00D4425F">
        <w:t>2014</w:t>
      </w:r>
      <w:r>
        <w:t xml:space="preserve"> tot vaststelling, overeenkomstig Richtlijn </w:t>
      </w:r>
      <w:r w:rsidRPr="00D4425F">
        <w:t>2003</w:t>
      </w:r>
      <w:r>
        <w:t>/</w:t>
      </w:r>
      <w:r w:rsidRPr="00D4425F">
        <w:t>87</w:t>
      </w:r>
      <w:r>
        <w:t>/EG van het Europees Parlement en de Raad, van een lijst van bedrijfstakken en deeltakken die worden geacht te zijn blootgesteld aan een significant CO</w:t>
      </w:r>
      <w:r w:rsidRPr="00D4425F">
        <w:rPr>
          <w:vertAlign w:val="subscript"/>
        </w:rPr>
        <w:t>2</w:t>
      </w:r>
      <w:r>
        <w:t xml:space="preserve">-weglekrisico, voor de periode </w:t>
      </w:r>
      <w:r w:rsidRPr="00D4425F">
        <w:t>2015</w:t>
      </w:r>
      <w:r>
        <w:t>-</w:t>
      </w:r>
      <w:r w:rsidRPr="00D4425F">
        <w:t>2019</w:t>
      </w:r>
      <w:r>
        <w:t xml:space="preserve"> (</w:t>
      </w:r>
      <w:hyperlink r:id="rId21" w:history="1">
        <w:r>
          <w:rPr>
            <w:rStyle w:val="Hyperlink"/>
          </w:rPr>
          <w:t>PB L </w:t>
        </w:r>
        <w:r w:rsidRPr="00D4425F">
          <w:rPr>
            <w:rStyle w:val="Hyperlink"/>
          </w:rPr>
          <w:t>308</w:t>
        </w:r>
      </w:hyperlink>
      <w:r>
        <w:t xml:space="preserve"> van </w:t>
      </w:r>
      <w:r w:rsidRPr="00D4425F">
        <w:t>29</w:t>
      </w:r>
      <w:r>
        <w:t>.</w:t>
      </w:r>
      <w:r w:rsidRPr="00D4425F">
        <w:t>10</w:t>
      </w:r>
      <w:r>
        <w:t>.</w:t>
      </w:r>
      <w:r w:rsidRPr="00D4425F">
        <w:t>2014</w:t>
      </w:r>
      <w:r>
        <w:t>, blz. </w:t>
      </w:r>
      <w:r w:rsidRPr="00D4425F">
        <w:t>114</w:t>
      </w:r>
      <w:r>
        <w:t xml:space="preserve">). </w:t>
      </w:r>
    </w:p>
  </w:footnote>
  <w:footnote w:id="28">
    <w:p w14:paraId="5199BE13" w14:textId="2536000D" w:rsidR="008B0254" w:rsidRPr="000B7D11" w:rsidRDefault="008B0254" w:rsidP="00666776">
      <w:pPr>
        <w:pStyle w:val="FootnoteText"/>
      </w:pPr>
      <w:r>
        <w:rPr>
          <w:rStyle w:val="FootnoteReference"/>
        </w:rPr>
        <w:footnoteRef/>
      </w:r>
      <w:r>
        <w:t xml:space="preserve"> Besluit </w:t>
      </w:r>
      <w:r w:rsidRPr="00D4425F">
        <w:t>2013</w:t>
      </w:r>
      <w:r>
        <w:t>/</w:t>
      </w:r>
      <w:r w:rsidRPr="00D4425F">
        <w:t>448</w:t>
      </w:r>
      <w:r>
        <w:t xml:space="preserve">/EU van de Commissie van </w:t>
      </w:r>
      <w:r w:rsidRPr="00D4425F">
        <w:t>5</w:t>
      </w:r>
      <w:r>
        <w:t xml:space="preserve"> september </w:t>
      </w:r>
      <w:r w:rsidRPr="00D4425F">
        <w:t>2013</w:t>
      </w:r>
      <w:r>
        <w:t xml:space="preserve"> betreffende nationale uitvoeringsmaatregelen voor de voorlopige kosteloze toewijzing van broeikasgasemissierechten overeenkomstig artikel </w:t>
      </w:r>
      <w:r w:rsidRPr="00D4425F">
        <w:t>11</w:t>
      </w:r>
      <w:r>
        <w:t>, lid </w:t>
      </w:r>
      <w:r w:rsidRPr="00D4425F">
        <w:t>3</w:t>
      </w:r>
      <w:r>
        <w:t xml:space="preserve">, van Richtlijn </w:t>
      </w:r>
      <w:r w:rsidRPr="00D4425F">
        <w:t>2003</w:t>
      </w:r>
      <w:r>
        <w:t>/</w:t>
      </w:r>
      <w:r w:rsidRPr="00D4425F">
        <w:t>87</w:t>
      </w:r>
      <w:r>
        <w:t>/EG van het Europees Parlement en de Raad (</w:t>
      </w:r>
      <w:hyperlink r:id="rId22" w:history="1">
        <w:r>
          <w:rPr>
            <w:rStyle w:val="Hyperlink"/>
          </w:rPr>
          <w:t>PB L </w:t>
        </w:r>
        <w:r w:rsidRPr="00D4425F">
          <w:rPr>
            <w:rStyle w:val="Hyperlink"/>
          </w:rPr>
          <w:t>240</w:t>
        </w:r>
      </w:hyperlink>
      <w:r>
        <w:t xml:space="preserve"> van </w:t>
      </w:r>
      <w:r w:rsidRPr="00D4425F">
        <w:t>7</w:t>
      </w:r>
      <w:r>
        <w:t>.</w:t>
      </w:r>
      <w:r w:rsidRPr="00D4425F">
        <w:t>9</w:t>
      </w:r>
      <w:r>
        <w:t>.</w:t>
      </w:r>
      <w:r w:rsidRPr="00D4425F">
        <w:t>2013</w:t>
      </w:r>
      <w:r>
        <w:t>, blz. </w:t>
      </w:r>
      <w:r w:rsidRPr="00D4425F">
        <w:t>27</w:t>
      </w:r>
      <w:r>
        <w:t>).</w:t>
      </w:r>
    </w:p>
  </w:footnote>
  <w:footnote w:id="29">
    <w:p w14:paraId="37C6D1DE" w14:textId="77777777" w:rsidR="008B0254" w:rsidRPr="000B7D11" w:rsidRDefault="008B0254" w:rsidP="00061ADE">
      <w:pPr>
        <w:spacing w:after="0" w:line="240" w:lineRule="auto"/>
        <w:jc w:val="both"/>
        <w:rPr>
          <w:rFonts w:ascii="Times New Roman" w:hAnsi="Times New Roman"/>
          <w:sz w:val="24"/>
          <w:szCs w:val="24"/>
        </w:rPr>
      </w:pPr>
      <w:r>
        <w:rPr>
          <w:rStyle w:val="FootnoteReference"/>
          <w:rFonts w:ascii="Times New Roman" w:hAnsi="Times New Roman"/>
          <w:sz w:val="18"/>
          <w:szCs w:val="18"/>
        </w:rPr>
        <w:footnoteRef/>
      </w:r>
      <w:r>
        <w:rPr>
          <w:rStyle w:val="FootnoteReference"/>
          <w:rFonts w:ascii="Times New Roman" w:hAnsi="Times New Roman"/>
          <w:sz w:val="18"/>
          <w:szCs w:val="18"/>
        </w:rPr>
        <w:t xml:space="preserve"> </w:t>
      </w:r>
      <w:r>
        <w:rPr>
          <w:rFonts w:ascii="Times New Roman" w:hAnsi="Times New Roman"/>
          <w:sz w:val="18"/>
          <w:szCs w:val="18"/>
        </w:rPr>
        <w:t xml:space="preserve">Besluit (EU) </w:t>
      </w:r>
      <w:r w:rsidRPr="00D4425F">
        <w:rPr>
          <w:rFonts w:ascii="Times New Roman" w:hAnsi="Times New Roman"/>
          <w:sz w:val="18"/>
          <w:szCs w:val="18"/>
        </w:rPr>
        <w:t>2017</w:t>
      </w:r>
      <w:r>
        <w:rPr>
          <w:rFonts w:ascii="Times New Roman" w:hAnsi="Times New Roman"/>
          <w:sz w:val="18"/>
          <w:szCs w:val="18"/>
        </w:rPr>
        <w:t>/</w:t>
      </w:r>
      <w:r w:rsidRPr="00D4425F">
        <w:rPr>
          <w:rFonts w:ascii="Times New Roman" w:hAnsi="Times New Roman"/>
          <w:sz w:val="18"/>
          <w:szCs w:val="18"/>
        </w:rPr>
        <w:t>126</w:t>
      </w:r>
      <w:r>
        <w:rPr>
          <w:rFonts w:ascii="Times New Roman" w:hAnsi="Times New Roman"/>
          <w:sz w:val="18"/>
          <w:szCs w:val="18"/>
        </w:rPr>
        <w:t xml:space="preserve"> van de Commissie van </w:t>
      </w:r>
      <w:r w:rsidRPr="00D4425F">
        <w:rPr>
          <w:rFonts w:ascii="Times New Roman" w:hAnsi="Times New Roman"/>
          <w:sz w:val="18"/>
          <w:szCs w:val="18"/>
        </w:rPr>
        <w:t>24</w:t>
      </w:r>
      <w:r>
        <w:rPr>
          <w:rFonts w:ascii="Times New Roman" w:hAnsi="Times New Roman"/>
          <w:sz w:val="18"/>
          <w:szCs w:val="18"/>
        </w:rPr>
        <w:t xml:space="preserve"> januari </w:t>
      </w:r>
      <w:r w:rsidRPr="00D4425F">
        <w:rPr>
          <w:rFonts w:ascii="Times New Roman" w:hAnsi="Times New Roman"/>
          <w:sz w:val="18"/>
          <w:szCs w:val="18"/>
        </w:rPr>
        <w:t>2017</w:t>
      </w:r>
      <w:r>
        <w:rPr>
          <w:rFonts w:ascii="Times New Roman" w:hAnsi="Times New Roman"/>
          <w:sz w:val="18"/>
          <w:szCs w:val="18"/>
        </w:rPr>
        <w:t xml:space="preserve"> tot wijziging van Besluit </w:t>
      </w:r>
      <w:r w:rsidRPr="00D4425F">
        <w:rPr>
          <w:rFonts w:ascii="Times New Roman" w:hAnsi="Times New Roman"/>
          <w:sz w:val="18"/>
          <w:szCs w:val="18"/>
        </w:rPr>
        <w:t>2013</w:t>
      </w:r>
      <w:r>
        <w:rPr>
          <w:rFonts w:ascii="Times New Roman" w:hAnsi="Times New Roman"/>
          <w:sz w:val="18"/>
          <w:szCs w:val="18"/>
        </w:rPr>
        <w:t>/</w:t>
      </w:r>
      <w:r w:rsidRPr="00D4425F">
        <w:rPr>
          <w:rFonts w:ascii="Times New Roman" w:hAnsi="Times New Roman"/>
          <w:sz w:val="18"/>
          <w:szCs w:val="18"/>
        </w:rPr>
        <w:t>448</w:t>
      </w:r>
      <w:r>
        <w:rPr>
          <w:rFonts w:ascii="Times New Roman" w:hAnsi="Times New Roman"/>
          <w:sz w:val="18"/>
          <w:szCs w:val="18"/>
        </w:rPr>
        <w:t>/EU wat betreft de vaststelling van een uniforme transsectorale correctiefactor overeenkomstig artikel </w:t>
      </w:r>
      <w:r w:rsidRPr="00D4425F">
        <w:rPr>
          <w:rFonts w:ascii="Times New Roman" w:hAnsi="Times New Roman"/>
          <w:sz w:val="18"/>
          <w:szCs w:val="18"/>
        </w:rPr>
        <w:t>10</w:t>
      </w:r>
      <w:r>
        <w:rPr>
          <w:rFonts w:ascii="Times New Roman" w:hAnsi="Times New Roman"/>
          <w:sz w:val="18"/>
          <w:szCs w:val="18"/>
        </w:rPr>
        <w:t xml:space="preserve"> bis van Richtlijn </w:t>
      </w:r>
      <w:r w:rsidRPr="00D4425F">
        <w:rPr>
          <w:rFonts w:ascii="Times New Roman" w:hAnsi="Times New Roman"/>
          <w:sz w:val="18"/>
          <w:szCs w:val="18"/>
        </w:rPr>
        <w:t>2003</w:t>
      </w:r>
      <w:r>
        <w:rPr>
          <w:rFonts w:ascii="Times New Roman" w:hAnsi="Times New Roman"/>
          <w:sz w:val="18"/>
          <w:szCs w:val="18"/>
        </w:rPr>
        <w:t>/</w:t>
      </w:r>
      <w:r w:rsidRPr="00D4425F">
        <w:rPr>
          <w:rFonts w:ascii="Times New Roman" w:hAnsi="Times New Roman"/>
          <w:sz w:val="18"/>
          <w:szCs w:val="18"/>
        </w:rPr>
        <w:t>87</w:t>
      </w:r>
      <w:r>
        <w:rPr>
          <w:rFonts w:ascii="Times New Roman" w:hAnsi="Times New Roman"/>
          <w:sz w:val="18"/>
          <w:szCs w:val="18"/>
        </w:rPr>
        <w:t xml:space="preserve">/EG van het Europees Parlement en de Raad </w:t>
      </w:r>
      <w:r>
        <w:t>(</w:t>
      </w:r>
      <w:hyperlink r:id="rId23" w:history="1">
        <w:r>
          <w:rPr>
            <w:rStyle w:val="Hyperlink"/>
            <w:rFonts w:ascii="Times New Roman" w:hAnsi="Times New Roman"/>
            <w:sz w:val="18"/>
            <w:szCs w:val="18"/>
          </w:rPr>
          <w:t>PB L </w:t>
        </w:r>
        <w:r w:rsidRPr="00D4425F">
          <w:rPr>
            <w:rStyle w:val="Hyperlink"/>
            <w:rFonts w:ascii="Times New Roman" w:hAnsi="Times New Roman"/>
            <w:sz w:val="18"/>
            <w:szCs w:val="18"/>
          </w:rPr>
          <w:t>19</w:t>
        </w:r>
      </w:hyperlink>
      <w:r>
        <w:rPr>
          <w:rFonts w:ascii="Times New Roman" w:hAnsi="Times New Roman"/>
          <w:sz w:val="18"/>
          <w:szCs w:val="18"/>
        </w:rPr>
        <w:t xml:space="preserve"> van </w:t>
      </w:r>
      <w:r w:rsidRPr="00D4425F">
        <w:rPr>
          <w:rFonts w:ascii="Times New Roman" w:hAnsi="Times New Roman"/>
          <w:sz w:val="18"/>
          <w:szCs w:val="18"/>
        </w:rPr>
        <w:t>25</w:t>
      </w:r>
      <w:r>
        <w:rPr>
          <w:rFonts w:ascii="Times New Roman" w:hAnsi="Times New Roman"/>
          <w:sz w:val="18"/>
          <w:szCs w:val="18"/>
        </w:rPr>
        <w:t>.</w:t>
      </w:r>
      <w:r w:rsidRPr="00D4425F">
        <w:rPr>
          <w:rFonts w:ascii="Times New Roman" w:hAnsi="Times New Roman"/>
          <w:sz w:val="18"/>
          <w:szCs w:val="18"/>
        </w:rPr>
        <w:t>1</w:t>
      </w:r>
      <w:r>
        <w:rPr>
          <w:rFonts w:ascii="Times New Roman" w:hAnsi="Times New Roman"/>
          <w:sz w:val="18"/>
          <w:szCs w:val="18"/>
        </w:rPr>
        <w:t>.</w:t>
      </w:r>
      <w:r w:rsidRPr="00D4425F">
        <w:rPr>
          <w:rFonts w:ascii="Times New Roman" w:hAnsi="Times New Roman"/>
          <w:sz w:val="18"/>
          <w:szCs w:val="18"/>
        </w:rPr>
        <w:t>2017</w:t>
      </w:r>
      <w:r>
        <w:rPr>
          <w:rFonts w:ascii="Times New Roman" w:hAnsi="Times New Roman"/>
          <w:sz w:val="18"/>
          <w:szCs w:val="18"/>
        </w:rPr>
        <w:t>, blz. </w:t>
      </w:r>
      <w:r w:rsidRPr="00D4425F">
        <w:rPr>
          <w:rFonts w:ascii="Times New Roman" w:hAnsi="Times New Roman"/>
          <w:sz w:val="18"/>
          <w:szCs w:val="18"/>
        </w:rPr>
        <w:t>93</w:t>
      </w:r>
      <w:r>
        <w:rPr>
          <w:rFonts w:ascii="Times New Roman" w:hAnsi="Times New Roman"/>
          <w:sz w:val="18"/>
          <w:szCs w:val="18"/>
        </w:rPr>
        <w:t>).</w:t>
      </w:r>
    </w:p>
  </w:footnote>
  <w:footnote w:id="30">
    <w:p w14:paraId="17BA83B5" w14:textId="3C27CE80" w:rsidR="008B0254" w:rsidRDefault="008B0254" w:rsidP="00666776">
      <w:pPr>
        <w:pStyle w:val="FootnoteText"/>
      </w:pPr>
      <w:r>
        <w:rPr>
          <w:rStyle w:val="FootnoteReference"/>
        </w:rPr>
        <w:footnoteRef/>
      </w:r>
      <w:r>
        <w:t xml:space="preserve"> Hoewel de gegevens in de vorige verslagen over de koolstofmarkt gebaseerd waren op kennisgevingen van de deelnemende landen die elk jaar tegen eind juni werden ingediend, zijn de gegevens in het verslag over de koolstofmarkt van dit en vorig jaar gebaseerd op het EU-register met respectievelijk </w:t>
      </w:r>
      <w:r w:rsidRPr="00D4425F">
        <w:t>30</w:t>
      </w:r>
      <w:r>
        <w:t xml:space="preserve"> juni </w:t>
      </w:r>
      <w:r w:rsidRPr="00D4425F">
        <w:t>2021</w:t>
      </w:r>
      <w:r>
        <w:t xml:space="preserve"> en </w:t>
      </w:r>
      <w:r w:rsidRPr="00D4425F">
        <w:t>2020</w:t>
      </w:r>
      <w:r>
        <w:t xml:space="preserve"> als uiterste datum. Deze nieuwe aanpak is gekozen om de toewijzingen nauwkeuriger weer te geven naarmate deze zich voordoen en in het register worden geregistreerd.</w:t>
      </w:r>
    </w:p>
  </w:footnote>
  <w:footnote w:id="31">
    <w:p w14:paraId="7D4277F3" w14:textId="10DBE1D7" w:rsidR="008B0254" w:rsidRDefault="008B0254" w:rsidP="00666776">
      <w:pPr>
        <w:pStyle w:val="FootnoteText"/>
      </w:pPr>
      <w:r>
        <w:rPr>
          <w:rStyle w:val="FootnoteReference"/>
        </w:rPr>
        <w:footnoteRef/>
      </w:r>
      <w:r>
        <w:t xml:space="preserve"> Oorspronkelijk aantal toewijzingen, vóór toepassing van de transsectorale correctiefactor. </w:t>
      </w:r>
    </w:p>
  </w:footnote>
  <w:footnote w:id="32">
    <w:p w14:paraId="7A0099B6" w14:textId="72D7179B" w:rsidR="008B0254" w:rsidRDefault="008B0254" w:rsidP="00666776">
      <w:pPr>
        <w:pStyle w:val="FootnoteText"/>
      </w:pPr>
      <w:r>
        <w:rPr>
          <w:rStyle w:val="FootnoteReference"/>
        </w:rPr>
        <w:footnoteRef/>
      </w:r>
      <w:r>
        <w:t xml:space="preserve"> Toewijzing voor het Verenigd Koninkrijk (</w:t>
      </w:r>
      <w:r w:rsidRPr="00D4425F">
        <w:t>48</w:t>
      </w:r>
      <w:r>
        <w:t>,</w:t>
      </w:r>
      <w:r w:rsidRPr="00D4425F">
        <w:t>0</w:t>
      </w:r>
      <w:r>
        <w:t xml:space="preserve"> miljoen emissierechten van het totaal voor </w:t>
      </w:r>
      <w:r w:rsidRPr="00D4425F">
        <w:t>2019</w:t>
      </w:r>
      <w:r>
        <w:t xml:space="preserve">) die in </w:t>
      </w:r>
      <w:r w:rsidRPr="00D4425F">
        <w:t>2019</w:t>
      </w:r>
      <w:r>
        <w:t xml:space="preserve"> werd opgeschort als gevolg van de vrijwaringsmaatregelen ter bescherming van de milieu-integriteit van het EU-ETS ingeval het EU-recht niet langer van toepassing is op een lidstaat die zich terugtrekt uit de EU, en die in </w:t>
      </w:r>
      <w:r w:rsidRPr="00D4425F">
        <w:t>2020</w:t>
      </w:r>
      <w:r>
        <w:t xml:space="preserve"> werd hervat. </w:t>
      </w:r>
    </w:p>
  </w:footnote>
  <w:footnote w:id="33">
    <w:p w14:paraId="4ACD0C50" w14:textId="73E58A1E" w:rsidR="008B0254" w:rsidRPr="00061279" w:rsidRDefault="008B0254" w:rsidP="00061279">
      <w:pPr>
        <w:pStyle w:val="CommentText"/>
        <w:spacing w:after="0" w:line="240" w:lineRule="auto"/>
        <w:jc w:val="both"/>
      </w:pPr>
      <w:r>
        <w:rPr>
          <w:rStyle w:val="FootnoteReference"/>
        </w:rPr>
        <w:footnoteRef/>
      </w:r>
      <w:r>
        <w:t xml:space="preserve"> </w:t>
      </w:r>
      <w:r>
        <w:rPr>
          <w:rFonts w:ascii="Times New Roman" w:hAnsi="Times New Roman"/>
          <w:sz w:val="18"/>
          <w:szCs w:val="18"/>
        </w:rPr>
        <w:t xml:space="preserve">Besluit (EU) </w:t>
      </w:r>
      <w:r w:rsidRPr="00D4425F">
        <w:rPr>
          <w:rFonts w:ascii="Times New Roman" w:hAnsi="Times New Roman"/>
          <w:sz w:val="18"/>
          <w:szCs w:val="18"/>
        </w:rPr>
        <w:t>2015</w:t>
      </w:r>
      <w:r>
        <w:rPr>
          <w:rFonts w:ascii="Times New Roman" w:hAnsi="Times New Roman"/>
          <w:sz w:val="18"/>
          <w:szCs w:val="18"/>
        </w:rPr>
        <w:t>/</w:t>
      </w:r>
      <w:r w:rsidRPr="00D4425F">
        <w:rPr>
          <w:rFonts w:ascii="Times New Roman" w:hAnsi="Times New Roman"/>
          <w:sz w:val="18"/>
          <w:szCs w:val="18"/>
        </w:rPr>
        <w:t>1814</w:t>
      </w:r>
      <w:r>
        <w:rPr>
          <w:rFonts w:ascii="Times New Roman" w:hAnsi="Times New Roman"/>
          <w:sz w:val="18"/>
          <w:szCs w:val="18"/>
        </w:rPr>
        <w:t xml:space="preserve"> van het Europees Parlement en de Raad van </w:t>
      </w:r>
      <w:r w:rsidRPr="00D4425F">
        <w:rPr>
          <w:rFonts w:ascii="Times New Roman" w:hAnsi="Times New Roman"/>
          <w:sz w:val="18"/>
          <w:szCs w:val="18"/>
        </w:rPr>
        <w:t>6</w:t>
      </w:r>
      <w:r>
        <w:rPr>
          <w:rFonts w:ascii="Times New Roman" w:hAnsi="Times New Roman"/>
          <w:sz w:val="18"/>
          <w:szCs w:val="18"/>
        </w:rPr>
        <w:t xml:space="preserve"> oktober </w:t>
      </w:r>
      <w:r w:rsidRPr="00D4425F">
        <w:rPr>
          <w:rFonts w:ascii="Times New Roman" w:hAnsi="Times New Roman"/>
          <w:sz w:val="18"/>
          <w:szCs w:val="18"/>
        </w:rPr>
        <w:t>2015</w:t>
      </w:r>
      <w:r>
        <w:rPr>
          <w:rFonts w:ascii="Times New Roman" w:hAnsi="Times New Roman"/>
          <w:sz w:val="18"/>
          <w:szCs w:val="18"/>
        </w:rPr>
        <w:t xml:space="preserve"> betreffende de instelling en de werking van een marktstabiliteitsreserve voor de EU-regeling voor de handel in broeikasgasemissierechten en tot wijziging van Richtlijn </w:t>
      </w:r>
      <w:r w:rsidRPr="00D4425F">
        <w:rPr>
          <w:rFonts w:ascii="Times New Roman" w:hAnsi="Times New Roman"/>
          <w:sz w:val="18"/>
          <w:szCs w:val="18"/>
        </w:rPr>
        <w:t>2003</w:t>
      </w:r>
      <w:r>
        <w:rPr>
          <w:rFonts w:ascii="Times New Roman" w:hAnsi="Times New Roman"/>
          <w:sz w:val="18"/>
          <w:szCs w:val="18"/>
        </w:rPr>
        <w:t>/</w:t>
      </w:r>
      <w:r w:rsidRPr="00D4425F">
        <w:rPr>
          <w:rFonts w:ascii="Times New Roman" w:hAnsi="Times New Roman"/>
          <w:sz w:val="18"/>
          <w:szCs w:val="18"/>
        </w:rPr>
        <w:t>87</w:t>
      </w:r>
      <w:r>
        <w:rPr>
          <w:rFonts w:ascii="Times New Roman" w:hAnsi="Times New Roman"/>
          <w:sz w:val="18"/>
          <w:szCs w:val="18"/>
        </w:rPr>
        <w:t>/EG (</w:t>
      </w:r>
      <w:hyperlink r:id="rId24" w:history="1">
        <w:r>
          <w:rPr>
            <w:rStyle w:val="Hyperlink"/>
            <w:rFonts w:ascii="Times New Roman" w:hAnsi="Times New Roman"/>
            <w:sz w:val="18"/>
            <w:szCs w:val="18"/>
          </w:rPr>
          <w:t>PB L </w:t>
        </w:r>
        <w:r w:rsidRPr="00D4425F">
          <w:rPr>
            <w:rStyle w:val="Hyperlink"/>
            <w:rFonts w:ascii="Times New Roman" w:hAnsi="Times New Roman"/>
            <w:sz w:val="18"/>
            <w:szCs w:val="18"/>
          </w:rPr>
          <w:t>264</w:t>
        </w:r>
      </w:hyperlink>
      <w:r>
        <w:rPr>
          <w:rFonts w:ascii="Times New Roman" w:hAnsi="Times New Roman"/>
          <w:sz w:val="18"/>
          <w:szCs w:val="18"/>
        </w:rPr>
        <w:t xml:space="preserve"> van </w:t>
      </w:r>
      <w:hyperlink r:id="rId25" w:history="1"/>
      <w:r w:rsidRPr="00D4425F">
        <w:rPr>
          <w:rFonts w:ascii="Times New Roman" w:hAnsi="Times New Roman"/>
          <w:sz w:val="18"/>
          <w:szCs w:val="18"/>
        </w:rPr>
        <w:t>9</w:t>
      </w:r>
      <w:r>
        <w:rPr>
          <w:rFonts w:ascii="Times New Roman" w:hAnsi="Times New Roman"/>
          <w:sz w:val="18"/>
          <w:szCs w:val="18"/>
        </w:rPr>
        <w:t>.</w:t>
      </w:r>
      <w:r w:rsidRPr="00D4425F">
        <w:rPr>
          <w:rFonts w:ascii="Times New Roman" w:hAnsi="Times New Roman"/>
          <w:sz w:val="18"/>
          <w:szCs w:val="18"/>
        </w:rPr>
        <w:t>10</w:t>
      </w:r>
      <w:r>
        <w:rPr>
          <w:rFonts w:ascii="Times New Roman" w:hAnsi="Times New Roman"/>
          <w:sz w:val="18"/>
          <w:szCs w:val="18"/>
        </w:rPr>
        <w:t>.</w:t>
      </w:r>
      <w:r w:rsidRPr="00D4425F">
        <w:rPr>
          <w:rFonts w:ascii="Times New Roman" w:hAnsi="Times New Roman"/>
          <w:sz w:val="18"/>
          <w:szCs w:val="18"/>
        </w:rPr>
        <w:t>2015</w:t>
      </w:r>
      <w:r>
        <w:rPr>
          <w:rFonts w:ascii="Times New Roman" w:hAnsi="Times New Roman"/>
          <w:sz w:val="18"/>
          <w:szCs w:val="18"/>
        </w:rPr>
        <w:t>, blz. </w:t>
      </w:r>
      <w:r w:rsidRPr="00D4425F">
        <w:rPr>
          <w:rFonts w:ascii="Times New Roman" w:hAnsi="Times New Roman"/>
          <w:sz w:val="18"/>
          <w:szCs w:val="18"/>
        </w:rPr>
        <w:t>1</w:t>
      </w:r>
      <w:r>
        <w:rPr>
          <w:rFonts w:ascii="Times New Roman" w:hAnsi="Times New Roman"/>
          <w:sz w:val="18"/>
          <w:szCs w:val="18"/>
        </w:rPr>
        <w:t>).</w:t>
      </w:r>
      <w:r>
        <w:t xml:space="preserve"> </w:t>
      </w:r>
    </w:p>
  </w:footnote>
  <w:footnote w:id="34">
    <w:p w14:paraId="1F9D6ECD" w14:textId="211E1614" w:rsidR="008B0254" w:rsidRDefault="008B0254" w:rsidP="00666776">
      <w:pPr>
        <w:pStyle w:val="FootnoteText"/>
      </w:pPr>
      <w:r>
        <w:rPr>
          <w:rStyle w:val="FootnoteReference"/>
        </w:rPr>
        <w:footnoteRef/>
      </w:r>
      <w:r>
        <w:t xml:space="preserve"> Verordening (EU) nr. </w:t>
      </w:r>
      <w:r w:rsidRPr="00D4425F">
        <w:t>1031</w:t>
      </w:r>
      <w:r>
        <w:t>/</w:t>
      </w:r>
      <w:r w:rsidRPr="00D4425F">
        <w:t>2010</w:t>
      </w:r>
      <w:r>
        <w:t xml:space="preserve"> van de Commissie van </w:t>
      </w:r>
      <w:r w:rsidRPr="00D4425F">
        <w:t>12</w:t>
      </w:r>
      <w:r>
        <w:t xml:space="preserve"> november </w:t>
      </w:r>
      <w:r w:rsidRPr="00D4425F">
        <w:t>2010</w:t>
      </w:r>
      <w:r>
        <w:t xml:space="preserve"> inzake de tijdstippen, het beheer en andere aspecten van de veiling van broeikasgasemissierechten overeenkomstig Richtlijn </w:t>
      </w:r>
      <w:r w:rsidRPr="00D4425F">
        <w:t>2003</w:t>
      </w:r>
      <w:r>
        <w:t>/</w:t>
      </w:r>
      <w:r w:rsidRPr="00D4425F">
        <w:t>87</w:t>
      </w:r>
      <w:r>
        <w:t>/EG van het Europees Parlement en de Raad tot vaststelling van een regeling voor de handel in broeikasgasemissierechten binnen de Gemeenschap (</w:t>
      </w:r>
      <w:hyperlink r:id="rId26" w:history="1">
        <w:r>
          <w:rPr>
            <w:rStyle w:val="Hyperlink"/>
          </w:rPr>
          <w:t>PB L </w:t>
        </w:r>
        <w:r w:rsidRPr="00D4425F">
          <w:rPr>
            <w:rStyle w:val="Hyperlink"/>
          </w:rPr>
          <w:t>302</w:t>
        </w:r>
      </w:hyperlink>
      <w:r>
        <w:t xml:space="preserve"> van </w:t>
      </w:r>
      <w:r w:rsidRPr="00D4425F">
        <w:t>18</w:t>
      </w:r>
      <w:r>
        <w:t>.</w:t>
      </w:r>
      <w:r w:rsidRPr="00D4425F">
        <w:t>11</w:t>
      </w:r>
      <w:r>
        <w:t>.</w:t>
      </w:r>
      <w:r w:rsidRPr="00D4425F">
        <w:t>2010</w:t>
      </w:r>
      <w:r>
        <w:t>, blz. </w:t>
      </w:r>
      <w:r w:rsidRPr="00D4425F">
        <w:t>1</w:t>
      </w:r>
      <w:r>
        <w:t>).</w:t>
      </w:r>
    </w:p>
  </w:footnote>
  <w:footnote w:id="35">
    <w:p w14:paraId="3ED4C876" w14:textId="3CB1E8CD" w:rsidR="008B0254" w:rsidRDefault="008B0254" w:rsidP="00666776">
      <w:pPr>
        <w:pStyle w:val="FootnoteText"/>
      </w:pPr>
      <w:r>
        <w:rPr>
          <w:rStyle w:val="FootnoteReference"/>
        </w:rPr>
        <w:footnoteRef/>
      </w:r>
      <w:r>
        <w:t xml:space="preserve"> Bij het bepalen van de aantallen algemene emissierechten is rekening gehouden met Besluit nr. </w:t>
      </w:r>
      <w:r w:rsidRPr="00D4425F">
        <w:t>1359</w:t>
      </w:r>
      <w:r>
        <w:t>/</w:t>
      </w:r>
      <w:r w:rsidRPr="00D4425F">
        <w:t>2013</w:t>
      </w:r>
      <w:r>
        <w:t>/EU. Bij het bepalen van de aantallen luchtvaartemissierechten is rekening gehouden met Besluit nr. </w:t>
      </w:r>
      <w:r w:rsidRPr="00D4425F">
        <w:t>377</w:t>
      </w:r>
      <w:r>
        <w:t>/</w:t>
      </w:r>
      <w:r w:rsidRPr="00D4425F">
        <w:t>2013</w:t>
      </w:r>
      <w:r>
        <w:t>/EU en Verordening (EU) nr. </w:t>
      </w:r>
      <w:r w:rsidRPr="00D4425F">
        <w:t>421</w:t>
      </w:r>
      <w:r>
        <w:t>/</w:t>
      </w:r>
      <w:r w:rsidRPr="00D4425F">
        <w:t>2014</w:t>
      </w:r>
      <w:r>
        <w:t>.</w:t>
      </w:r>
    </w:p>
  </w:footnote>
  <w:footnote w:id="36">
    <w:p w14:paraId="041B2984" w14:textId="77777777" w:rsidR="008B0254" w:rsidRDefault="008B0254" w:rsidP="00666776">
      <w:pPr>
        <w:pStyle w:val="FootnoteText"/>
      </w:pPr>
      <w:r>
        <w:rPr>
          <w:rStyle w:val="FootnoteReference"/>
        </w:rPr>
        <w:footnoteRef/>
      </w:r>
      <w:r>
        <w:t xml:space="preserve"> In </w:t>
      </w:r>
      <w:r w:rsidRPr="00D4425F">
        <w:t>2012</w:t>
      </w:r>
      <w:r>
        <w:t xml:space="preserve"> werden vooruitgeschoven veilingen van emissierechten van fase </w:t>
      </w:r>
      <w:r w:rsidRPr="00D4425F">
        <w:t>3</w:t>
      </w:r>
      <w:r>
        <w:t xml:space="preserve"> gehouden naar aanleiding van een algemeen toegepaste handelspraktijk in de elektriciteitssector, met name het verkopen van elektriciteit op basis van forwards en het aankopen van de vereiste inputs (met inbegrip van emissierechten) bij de verkoop van de output.</w:t>
      </w:r>
    </w:p>
  </w:footnote>
  <w:footnote w:id="37">
    <w:p w14:paraId="672634FA" w14:textId="0A4204EA" w:rsidR="008B0254" w:rsidRPr="00BC0208" w:rsidRDefault="008B0254" w:rsidP="00666776">
      <w:pPr>
        <w:pStyle w:val="FootnoteText"/>
      </w:pPr>
      <w:r>
        <w:rPr>
          <w:rStyle w:val="FootnoteReference"/>
        </w:rPr>
        <w:footnoteRef/>
      </w:r>
      <w:r>
        <w:t xml:space="preserve"> De tabel bevat de veilinghoeveelheden voor de EU-</w:t>
      </w:r>
      <w:r w:rsidRPr="00D4425F">
        <w:t>27</w:t>
      </w:r>
      <w:r>
        <w:t xml:space="preserve"> + het Verenigd Koninkrijk + IJsland, Liechtenstein en Noorwegen (met uitzondering van </w:t>
      </w:r>
      <w:r w:rsidRPr="00D4425F">
        <w:t>2021</w:t>
      </w:r>
      <w:r>
        <w:t>, waarin geen gegevens over het Verenigd Koninkrijk zijn opgenomen).</w:t>
      </w:r>
    </w:p>
  </w:footnote>
  <w:footnote w:id="38">
    <w:p w14:paraId="7CA87630" w14:textId="59D94F45" w:rsidR="008B0254" w:rsidRDefault="008B0254" w:rsidP="00666776">
      <w:pPr>
        <w:pStyle w:val="FootnoteText"/>
      </w:pPr>
      <w:r>
        <w:rPr>
          <w:rStyle w:val="FootnoteReference"/>
        </w:rPr>
        <w:footnoteRef/>
      </w:r>
      <w:r>
        <w:t xml:space="preserve"> </w:t>
      </w:r>
      <w:hyperlink r:id="rId27" w:history="1">
        <w:r>
          <w:rPr>
            <w:rStyle w:val="Hyperlink"/>
          </w:rPr>
          <w:t>Veiling in het kader van het EU-ETS</w:t>
        </w:r>
      </w:hyperlink>
      <w:r>
        <w:t>.</w:t>
      </w:r>
    </w:p>
  </w:footnote>
  <w:footnote w:id="39">
    <w:p w14:paraId="4C4792FC" w14:textId="77777777" w:rsidR="008B0254" w:rsidRDefault="008B0254" w:rsidP="00666776">
      <w:pPr>
        <w:pStyle w:val="FootnoteText"/>
      </w:pPr>
      <w:r>
        <w:rPr>
          <w:rStyle w:val="FootnoteReference"/>
        </w:rPr>
        <w:footnoteRef/>
      </w:r>
      <w:r>
        <w:t xml:space="preserve"> De cijfers zijn inclusief de emissierechten die zijn geveild voor het innovatiefonds en het moderniseringsfonds.</w:t>
      </w:r>
    </w:p>
  </w:footnote>
  <w:footnote w:id="40">
    <w:p w14:paraId="65CAF796" w14:textId="513A3684" w:rsidR="008B0254" w:rsidRDefault="008B0254" w:rsidP="00666776">
      <w:pPr>
        <w:pStyle w:val="FootnoteText"/>
      </w:pPr>
      <w:r>
        <w:rPr>
          <w:rStyle w:val="FootnoteReference"/>
        </w:rPr>
        <w:footnoteRef/>
      </w:r>
      <w:r>
        <w:t xml:space="preserve"> Artikel </w:t>
      </w:r>
      <w:r w:rsidRPr="00D4425F">
        <w:t>3</w:t>
      </w:r>
      <w:r>
        <w:t> quinquies, lid </w:t>
      </w:r>
      <w:r w:rsidRPr="00D4425F">
        <w:t>4</w:t>
      </w:r>
      <w:r>
        <w:t>, van de EU‑ETS-richtlijn.</w:t>
      </w:r>
    </w:p>
  </w:footnote>
  <w:footnote w:id="41">
    <w:p w14:paraId="0548EF19" w14:textId="174C7813" w:rsidR="008B0254" w:rsidRDefault="008B0254" w:rsidP="00666776">
      <w:pPr>
        <w:pStyle w:val="FootnoteText"/>
      </w:pPr>
      <w:r>
        <w:rPr>
          <w:rStyle w:val="FootnoteReference"/>
        </w:rPr>
        <w:footnoteRef/>
      </w:r>
      <w:r>
        <w:t xml:space="preserve"> Uitvoerige informatie over het gebruik van de veilingopbrengsten is te </w:t>
      </w:r>
      <w:r w:rsidR="00C0162E">
        <w:t>vinden in het Voortgangsverslag </w:t>
      </w:r>
      <w:r w:rsidRPr="00D4425F">
        <w:t>2021</w:t>
      </w:r>
      <w:r>
        <w:t xml:space="preserve"> over klimaatactie in de EU (COM(</w:t>
      </w:r>
      <w:r w:rsidRPr="00D4425F">
        <w:t>2021</w:t>
      </w:r>
      <w:r>
        <w:t>) </w:t>
      </w:r>
      <w:r w:rsidRPr="00D4425F">
        <w:t>960</w:t>
      </w:r>
      <w:r>
        <w:t>).</w:t>
      </w:r>
    </w:p>
  </w:footnote>
  <w:footnote w:id="42">
    <w:p w14:paraId="5D572656" w14:textId="7EE9E635" w:rsidR="008B0254" w:rsidRDefault="008B0254">
      <w:pPr>
        <w:pStyle w:val="FootnoteText"/>
      </w:pPr>
      <w:r>
        <w:rPr>
          <w:rStyle w:val="FootnoteReference"/>
        </w:rPr>
        <w:footnoteRef/>
      </w:r>
      <w:r>
        <w:t xml:space="preserve"> Bulgarije, Cyprus, Estland, Hongarije, Letland, Litouwen, Malta, Polen, Roemenië en Tsjechië kwamen in aanmerking voor de afwijking van artikel </w:t>
      </w:r>
      <w:r w:rsidRPr="00D4425F">
        <w:t>10</w:t>
      </w:r>
      <w:r>
        <w:t> quater. Letland en Malta besloten er in fase </w:t>
      </w:r>
      <w:r w:rsidRPr="00D4425F">
        <w:t>3</w:t>
      </w:r>
      <w:r>
        <w:t xml:space="preserve"> geen gebruik van te maken.</w:t>
      </w:r>
    </w:p>
  </w:footnote>
  <w:footnote w:id="43">
    <w:p w14:paraId="35B0FB53" w14:textId="3A4A3B4D" w:rsidR="008B0254" w:rsidRDefault="008B0254">
      <w:pPr>
        <w:pStyle w:val="FootnoteText"/>
      </w:pPr>
      <w:r>
        <w:rPr>
          <w:rStyle w:val="FootnoteReference"/>
        </w:rPr>
        <w:footnoteRef/>
      </w:r>
      <w:r>
        <w:t xml:space="preserve"> Richtsnoeren betreffende bepaalde staatssteunmaatregelen in het kader van de regeling voor de handel in broeikasgasemissierechten na </w:t>
      </w:r>
      <w:r w:rsidRPr="00D4425F">
        <w:t>2012</w:t>
      </w:r>
      <w:r>
        <w:t xml:space="preserve"> (</w:t>
      </w:r>
      <w:hyperlink r:id="rId28" w:history="1">
        <w:r>
          <w:rPr>
            <w:rStyle w:val="Hyperlink"/>
          </w:rPr>
          <w:t>PB C </w:t>
        </w:r>
        <w:r w:rsidRPr="00D4425F">
          <w:rPr>
            <w:rStyle w:val="Hyperlink"/>
          </w:rPr>
          <w:t>158</w:t>
        </w:r>
      </w:hyperlink>
      <w:r>
        <w:t xml:space="preserve"> van </w:t>
      </w:r>
      <w:r w:rsidRPr="00D4425F">
        <w:t>5</w:t>
      </w:r>
      <w:r>
        <w:t>.</w:t>
      </w:r>
      <w:r w:rsidRPr="00D4425F">
        <w:t>6</w:t>
      </w:r>
      <w:r>
        <w:t>.</w:t>
      </w:r>
      <w:r w:rsidRPr="00D4425F">
        <w:t>2012</w:t>
      </w:r>
      <w:r>
        <w:t>, blz. </w:t>
      </w:r>
      <w:r w:rsidRPr="00D4425F">
        <w:t>4</w:t>
      </w:r>
      <w:r>
        <w:t>).</w:t>
      </w:r>
    </w:p>
  </w:footnote>
  <w:footnote w:id="44">
    <w:p w14:paraId="412E85F2" w14:textId="3071BD48" w:rsidR="008B0254" w:rsidRDefault="008B0254" w:rsidP="00666776">
      <w:pPr>
        <w:pStyle w:val="FootnoteText"/>
      </w:pPr>
      <w:r>
        <w:rPr>
          <w:rStyle w:val="FootnoteReference"/>
        </w:rPr>
        <w:footnoteRef/>
      </w:r>
      <w:r>
        <w:t xml:space="preserve"> Het aantal rechten krachtens artikel </w:t>
      </w:r>
      <w:r w:rsidRPr="00D4425F">
        <w:t>10</w:t>
      </w:r>
      <w:r>
        <w:t> quater dat in figuur </w:t>
      </w:r>
      <w:r w:rsidRPr="00D4425F">
        <w:t>4</w:t>
      </w:r>
      <w:r>
        <w:t xml:space="preserve"> is opgenomen, kan ook emissierechten omvatten die met vertraging voor voorgaande jaren zijn toegewezen. De desbetreffende hoeveelheden per jaar worden weergegeven in het EUTL.</w:t>
      </w:r>
    </w:p>
  </w:footnote>
  <w:footnote w:id="45">
    <w:p w14:paraId="2B23A74B" w14:textId="68AD4B7D" w:rsidR="008B0254" w:rsidRPr="00F543BE" w:rsidRDefault="008B0254" w:rsidP="00666776">
      <w:pPr>
        <w:pStyle w:val="FootnoteText"/>
      </w:pPr>
      <w:r>
        <w:rPr>
          <w:rStyle w:val="FootnoteReference"/>
        </w:rPr>
        <w:footnoteRef/>
      </w:r>
      <w:r>
        <w:t xml:space="preserve"> Figuur </w:t>
      </w:r>
      <w:r w:rsidRPr="00D4425F">
        <w:t>5</w:t>
      </w:r>
      <w:r>
        <w:t xml:space="preserve"> omvat de hoeveelheden die tot en met de veilingkalender voor </w:t>
      </w:r>
      <w:r w:rsidRPr="00D4425F">
        <w:t>2021</w:t>
      </w:r>
      <w:r>
        <w:t xml:space="preserve"> geveild moeten worden. De van </w:t>
      </w:r>
      <w:r w:rsidRPr="00D4425F">
        <w:t>2013</w:t>
      </w:r>
      <w:r>
        <w:t xml:space="preserve"> naar fase </w:t>
      </w:r>
      <w:r w:rsidRPr="00D4425F">
        <w:t>4</w:t>
      </w:r>
      <w:r>
        <w:t xml:space="preserve"> overgedragen emissierechten (</w:t>
      </w:r>
      <w:r w:rsidRPr="00D4425F">
        <w:t>912</w:t>
      </w:r>
      <w:r>
        <w:t> </w:t>
      </w:r>
      <w:r w:rsidRPr="00D4425F">
        <w:t>630</w:t>
      </w:r>
      <w:r>
        <w:t xml:space="preserve">) zouden oorspronkelijk worden toegewezen aan vijf Hongaarse installaties, waarvan in </w:t>
      </w:r>
      <w:r w:rsidRPr="00D4425F">
        <w:t>2014</w:t>
      </w:r>
      <w:r>
        <w:t xml:space="preserve"> werd bepaald dat ze niet in aanmerking kwamen voor de toewijzing. Op </w:t>
      </w:r>
      <w:r w:rsidRPr="00D4425F">
        <w:t>27</w:t>
      </w:r>
      <w:r>
        <w:t xml:space="preserve"> september </w:t>
      </w:r>
      <w:r w:rsidRPr="00D4425F">
        <w:t>2019</w:t>
      </w:r>
      <w:r>
        <w:t xml:space="preserve"> heeft Hongarije, overeenkomstig artikel </w:t>
      </w:r>
      <w:r w:rsidRPr="00D4425F">
        <w:t>10</w:t>
      </w:r>
      <w:r>
        <w:t> quater, lid </w:t>
      </w:r>
      <w:r w:rsidRPr="00D4425F">
        <w:t>5</w:t>
      </w:r>
      <w:r>
        <w:t>, en artikel </w:t>
      </w:r>
      <w:r w:rsidRPr="00D4425F">
        <w:t>10</w:t>
      </w:r>
      <w:r>
        <w:t> quinquies, lid </w:t>
      </w:r>
      <w:r w:rsidRPr="00D4425F">
        <w:t>4</w:t>
      </w:r>
      <w:r>
        <w:t xml:space="preserve">, van de herziene EU-ETS-richtlijn, de Commissie in kennis gesteld van zijn voornemen om alle </w:t>
      </w:r>
      <w:r w:rsidRPr="00D4425F">
        <w:t>912</w:t>
      </w:r>
      <w:r>
        <w:t> </w:t>
      </w:r>
      <w:r w:rsidRPr="00D4425F">
        <w:t>630</w:t>
      </w:r>
      <w:r>
        <w:t xml:space="preserve"> emissierechten krachtens artikel </w:t>
      </w:r>
      <w:r w:rsidRPr="00D4425F">
        <w:t>10</w:t>
      </w:r>
      <w:r>
        <w:t xml:space="preserve"> quater, die in </w:t>
      </w:r>
      <w:r w:rsidRPr="00D4425F">
        <w:t>2020</w:t>
      </w:r>
      <w:r>
        <w:t xml:space="preserve"> nog niet waren toegewezen, te gebruiken voor de toepassing van de afwijking van artikel </w:t>
      </w:r>
      <w:r w:rsidRPr="00D4425F">
        <w:t>10</w:t>
      </w:r>
      <w:r>
        <w:t> quater in fase </w:t>
      </w:r>
      <w:r w:rsidRPr="00D4425F">
        <w:t>4</w:t>
      </w:r>
      <w:r>
        <w:t xml:space="preserve">. </w:t>
      </w:r>
    </w:p>
  </w:footnote>
  <w:footnote w:id="46">
    <w:p w14:paraId="3F946077" w14:textId="5037D2B0" w:rsidR="008B0254" w:rsidRDefault="008B0254">
      <w:pPr>
        <w:pStyle w:val="FootnoteText"/>
      </w:pPr>
      <w:r>
        <w:rPr>
          <w:rStyle w:val="FootnoteReference"/>
        </w:rPr>
        <w:footnoteRef/>
      </w:r>
      <w:r>
        <w:t xml:space="preserve"> Overeenkomstig artikel </w:t>
      </w:r>
      <w:r w:rsidRPr="00D4425F">
        <w:t>10</w:t>
      </w:r>
      <w:r>
        <w:t> quater, lid </w:t>
      </w:r>
      <w:r w:rsidRPr="00D4425F">
        <w:t>2</w:t>
      </w:r>
      <w:r>
        <w:t>, moest elke lidstaat die voornemens was gebruik te maken van de optionele voorlopige kosteloze toewijzing voor de modernisering van de energiesector in fase </w:t>
      </w:r>
      <w:r w:rsidRPr="00D4425F">
        <w:t>4</w:t>
      </w:r>
      <w:r>
        <w:t xml:space="preserve">, uiterlijk op </w:t>
      </w:r>
      <w:r w:rsidRPr="00D4425F">
        <w:t>30</w:t>
      </w:r>
      <w:r>
        <w:t xml:space="preserve"> juni </w:t>
      </w:r>
      <w:r w:rsidRPr="00D4425F">
        <w:t>2019</w:t>
      </w:r>
      <w:r>
        <w:t xml:space="preserve"> een gedetailleerd nationaal kader en/of een lijst van te steunen kleine projecten publiceren. Alleen Bulgarije, Hongarije en Roemenië hebben dat gedaan. Overeenkomstig artikel </w:t>
      </w:r>
      <w:r w:rsidRPr="00D4425F">
        <w:t>10</w:t>
      </w:r>
      <w:r>
        <w:t> quater, lid </w:t>
      </w:r>
      <w:r w:rsidRPr="00D4425F">
        <w:t>5</w:t>
      </w:r>
      <w:r>
        <w:t xml:space="preserve">, konden de lidstaten uiterlijk op </w:t>
      </w:r>
      <w:r w:rsidRPr="00D4425F">
        <w:t>30</w:t>
      </w:r>
      <w:r>
        <w:t xml:space="preserve"> september </w:t>
      </w:r>
      <w:r w:rsidRPr="00D4425F">
        <w:t>2019</w:t>
      </w:r>
      <w:r>
        <w:t xml:space="preserve"> besluiten niet-toegewezen kosteloze toewijzingen uit fase </w:t>
      </w:r>
      <w:r w:rsidRPr="00D4425F">
        <w:t>3</w:t>
      </w:r>
      <w:r>
        <w:t xml:space="preserve"> te gebruiken voor de optionele voorlopige kosteloze toewijzing in fase </w:t>
      </w:r>
      <w:r w:rsidRPr="00D4425F">
        <w:t>4</w:t>
      </w:r>
      <w:r>
        <w:t xml:space="preserve"> of om deze emissierechten te veilen (zie tabel </w:t>
      </w:r>
      <w:r w:rsidRPr="00D4425F">
        <w:t>6</w:t>
      </w:r>
      <w:r>
        <w:t>.</w:t>
      </w:r>
      <w:r w:rsidRPr="00D4425F">
        <w:t>3</w:t>
      </w:r>
      <w:r>
        <w:t xml:space="preserve"> van aanhangsel </w:t>
      </w:r>
      <w:r w:rsidRPr="00D4425F">
        <w:t>6</w:t>
      </w:r>
      <w:r>
        <w:t xml:space="preserve"> van het begeleidende werkdocument van</w:t>
      </w:r>
      <w:r w:rsidR="00C0162E">
        <w:t xml:space="preserve"> de diensten van de Commissie).</w:t>
      </w:r>
    </w:p>
  </w:footnote>
  <w:footnote w:id="47">
    <w:p w14:paraId="02584356" w14:textId="2A8FAE90" w:rsidR="008B0254" w:rsidRPr="00F31B2B" w:rsidRDefault="008B0254" w:rsidP="00AB73FF">
      <w:pPr>
        <w:spacing w:after="0" w:line="240" w:lineRule="auto"/>
        <w:jc w:val="both"/>
        <w:rPr>
          <w:rFonts w:ascii="Times New Roman" w:hAnsi="Times New Roman"/>
          <w:sz w:val="18"/>
          <w:szCs w:val="18"/>
        </w:rPr>
      </w:pPr>
      <w:r>
        <w:rPr>
          <w:rStyle w:val="FootnoteReference"/>
          <w:rFonts w:ascii="Times New Roman" w:hAnsi="Times New Roman"/>
        </w:rPr>
        <w:footnoteRef/>
      </w:r>
      <w:r>
        <w:t xml:space="preserve"> </w:t>
      </w:r>
      <w:r>
        <w:rPr>
          <w:rFonts w:ascii="Times New Roman" w:hAnsi="Times New Roman"/>
          <w:sz w:val="18"/>
          <w:szCs w:val="18"/>
        </w:rPr>
        <w:t xml:space="preserve">Richtsnoeren betreffende bepaalde staatssteunmaatregelen in het kader van het systeem voor de handel in broeikasgasemissierechten na </w:t>
      </w:r>
      <w:r w:rsidRPr="00D4425F">
        <w:rPr>
          <w:rFonts w:ascii="Times New Roman" w:hAnsi="Times New Roman"/>
          <w:sz w:val="18"/>
          <w:szCs w:val="18"/>
        </w:rPr>
        <w:t>2021</w:t>
      </w:r>
      <w:r>
        <w:rPr>
          <w:rFonts w:ascii="Times New Roman" w:hAnsi="Times New Roman"/>
          <w:sz w:val="18"/>
          <w:szCs w:val="18"/>
        </w:rPr>
        <w:t xml:space="preserve"> (</w:t>
      </w:r>
      <w:hyperlink r:id="rId29" w:history="1">
        <w:r>
          <w:rPr>
            <w:rStyle w:val="Hyperlink"/>
            <w:rFonts w:ascii="Times New Roman" w:hAnsi="Times New Roman"/>
            <w:sz w:val="18"/>
            <w:szCs w:val="18"/>
          </w:rPr>
          <w:t>PB C </w:t>
        </w:r>
        <w:r w:rsidRPr="00D4425F">
          <w:rPr>
            <w:rStyle w:val="Hyperlink"/>
            <w:rFonts w:ascii="Times New Roman" w:hAnsi="Times New Roman"/>
            <w:sz w:val="18"/>
            <w:szCs w:val="18"/>
          </w:rPr>
          <w:t>317</w:t>
        </w:r>
      </w:hyperlink>
      <w:r>
        <w:rPr>
          <w:rFonts w:ascii="Times New Roman" w:hAnsi="Times New Roman"/>
          <w:sz w:val="18"/>
          <w:szCs w:val="18"/>
        </w:rPr>
        <w:t xml:space="preserve"> van </w:t>
      </w:r>
      <w:r w:rsidRPr="00D4425F">
        <w:rPr>
          <w:rFonts w:ascii="Times New Roman" w:hAnsi="Times New Roman"/>
          <w:sz w:val="18"/>
          <w:szCs w:val="18"/>
        </w:rPr>
        <w:t>25</w:t>
      </w:r>
      <w:r>
        <w:rPr>
          <w:rFonts w:ascii="Times New Roman" w:hAnsi="Times New Roman"/>
          <w:sz w:val="18"/>
          <w:szCs w:val="18"/>
        </w:rPr>
        <w:t>.</w:t>
      </w:r>
      <w:r w:rsidRPr="00D4425F">
        <w:rPr>
          <w:rFonts w:ascii="Times New Roman" w:hAnsi="Times New Roman"/>
          <w:sz w:val="18"/>
          <w:szCs w:val="18"/>
        </w:rPr>
        <w:t>9</w:t>
      </w:r>
      <w:r>
        <w:rPr>
          <w:rFonts w:ascii="Times New Roman" w:hAnsi="Times New Roman"/>
          <w:sz w:val="18"/>
          <w:szCs w:val="18"/>
        </w:rPr>
        <w:t>.</w:t>
      </w:r>
      <w:r w:rsidRPr="00D4425F">
        <w:rPr>
          <w:rFonts w:ascii="Times New Roman" w:hAnsi="Times New Roman"/>
          <w:sz w:val="18"/>
          <w:szCs w:val="18"/>
        </w:rPr>
        <w:t>2020</w:t>
      </w:r>
      <w:r>
        <w:rPr>
          <w:rFonts w:ascii="Times New Roman" w:hAnsi="Times New Roman"/>
          <w:sz w:val="18"/>
          <w:szCs w:val="18"/>
        </w:rPr>
        <w:t>, blz. </w:t>
      </w:r>
      <w:r w:rsidRPr="00D4425F">
        <w:rPr>
          <w:rFonts w:ascii="Times New Roman" w:hAnsi="Times New Roman"/>
          <w:sz w:val="18"/>
          <w:szCs w:val="18"/>
        </w:rPr>
        <w:t>5</w:t>
      </w:r>
      <w:r>
        <w:rPr>
          <w:rFonts w:ascii="Times New Roman" w:hAnsi="Times New Roman"/>
          <w:sz w:val="18"/>
          <w:szCs w:val="18"/>
        </w:rPr>
        <w:t>).</w:t>
      </w:r>
    </w:p>
  </w:footnote>
  <w:footnote w:id="48">
    <w:p w14:paraId="27F3ACA1" w14:textId="610B8B49" w:rsidR="008B0254" w:rsidRDefault="008B0254" w:rsidP="00666776">
      <w:pPr>
        <w:pStyle w:val="FootnoteText"/>
      </w:pPr>
      <w:r>
        <w:rPr>
          <w:rStyle w:val="FootnoteReference"/>
        </w:rPr>
        <w:footnoteRef/>
      </w:r>
      <w:r>
        <w:t xml:space="preserve"> In fase </w:t>
      </w:r>
      <w:r w:rsidRPr="00D4425F">
        <w:t>4</w:t>
      </w:r>
      <w:r>
        <w:t xml:space="preserve"> komen Bulgarije, Estland, Hongarije, Kroatië, Letland, Litouwen, Polen, Roemenië, Slowakije en Tsjechië in aanmerking voor de afwijking van artikel </w:t>
      </w:r>
      <w:r w:rsidRPr="00D4425F">
        <w:t>10</w:t>
      </w:r>
      <w:r>
        <w:t> quater.</w:t>
      </w:r>
    </w:p>
  </w:footnote>
  <w:footnote w:id="49">
    <w:p w14:paraId="041C1648" w14:textId="06171D09" w:rsidR="008B0254" w:rsidRDefault="008B0254" w:rsidP="00666776">
      <w:pPr>
        <w:pStyle w:val="FootnoteText"/>
      </w:pPr>
      <w:r>
        <w:rPr>
          <w:rStyle w:val="FootnoteReference"/>
        </w:rPr>
        <w:footnoteRef/>
      </w:r>
      <w:r>
        <w:t xml:space="preserve"> Operationele projecten zijn van start gegaan en worden uitgevoerd, terwijl de voltooide projecten zijn beëindigd.</w:t>
      </w:r>
    </w:p>
  </w:footnote>
  <w:footnote w:id="50">
    <w:p w14:paraId="1B911855" w14:textId="6E16F056" w:rsidR="008B0254" w:rsidRPr="003B7CB3" w:rsidRDefault="008B0254" w:rsidP="00666776">
      <w:pPr>
        <w:pStyle w:val="FootnoteText"/>
      </w:pPr>
      <w:r>
        <w:rPr>
          <w:rStyle w:val="FootnoteReference"/>
        </w:rPr>
        <w:footnoteRef/>
      </w:r>
      <w:r>
        <w:t xml:space="preserve"> Uitvoeringsbesluit </w:t>
      </w:r>
      <w:hyperlink r:id="rId30" w:history="1">
        <w:r>
          <w:rPr>
            <w:rStyle w:val="Hyperlink"/>
          </w:rPr>
          <w:t>C(</w:t>
        </w:r>
        <w:r w:rsidRPr="00D4425F">
          <w:rPr>
            <w:rStyle w:val="Hyperlink"/>
          </w:rPr>
          <w:t>2021</w:t>
        </w:r>
        <w:r>
          <w:rPr>
            <w:rStyle w:val="Hyperlink"/>
          </w:rPr>
          <w:t>) </w:t>
        </w:r>
        <w:r w:rsidRPr="00D4425F">
          <w:rPr>
            <w:rStyle w:val="Hyperlink"/>
          </w:rPr>
          <w:t>1712</w:t>
        </w:r>
      </w:hyperlink>
      <w:r>
        <w:t xml:space="preserve"> van de Commissie tot wijziging van de Uitvoeringsbesluiten C(</w:t>
      </w:r>
      <w:r w:rsidRPr="00D4425F">
        <w:t>2012</w:t>
      </w:r>
      <w:r>
        <w:t>) </w:t>
      </w:r>
      <w:r w:rsidRPr="00D4425F">
        <w:t>9432</w:t>
      </w:r>
      <w:r>
        <w:t xml:space="preserve"> en C(</w:t>
      </w:r>
      <w:r w:rsidRPr="00D4425F">
        <w:t>2014</w:t>
      </w:r>
      <w:r>
        <w:t>) </w:t>
      </w:r>
      <w:r w:rsidRPr="00D4425F">
        <w:t>4493</w:t>
      </w:r>
      <w:r>
        <w:t xml:space="preserve"> wat betreft bepaalde projecten in het kader van het NER</w:t>
      </w:r>
      <w:r w:rsidRPr="00D4425F">
        <w:t>300</w:t>
      </w:r>
      <w:r>
        <w:t>-financieringsprogramma, met name die welke gevolgen ondervinden van de COVID-</w:t>
      </w:r>
      <w:r w:rsidRPr="00D4425F">
        <w:t>19</w:t>
      </w:r>
      <w:r>
        <w:t>-pandemie.</w:t>
      </w:r>
    </w:p>
  </w:footnote>
  <w:footnote w:id="51">
    <w:p w14:paraId="5B0C27BF" w14:textId="43FD0564" w:rsidR="008B0254" w:rsidRDefault="008B0254" w:rsidP="00666776">
      <w:pPr>
        <w:pStyle w:val="FootnoteText"/>
      </w:pPr>
      <w:r>
        <w:rPr>
          <w:rStyle w:val="FootnoteReference"/>
        </w:rPr>
        <w:footnoteRef/>
      </w:r>
      <w:r>
        <w:t xml:space="preserve"> Besluit (EU) </w:t>
      </w:r>
      <w:r w:rsidRPr="00D4425F">
        <w:t>2017</w:t>
      </w:r>
      <w:r>
        <w:t>/</w:t>
      </w:r>
      <w:r w:rsidRPr="00D4425F">
        <w:t>2172</w:t>
      </w:r>
      <w:r>
        <w:t xml:space="preserve"> van de Commissie van </w:t>
      </w:r>
      <w:r w:rsidRPr="00D4425F">
        <w:t>20</w:t>
      </w:r>
      <w:r>
        <w:t xml:space="preserve"> november </w:t>
      </w:r>
      <w:r w:rsidRPr="00D4425F">
        <w:t>2017</w:t>
      </w:r>
      <w:r>
        <w:t xml:space="preserve"> tot wijziging van Besluit </w:t>
      </w:r>
      <w:r w:rsidRPr="00D4425F">
        <w:t>2010</w:t>
      </w:r>
      <w:r>
        <w:t>/</w:t>
      </w:r>
      <w:r w:rsidRPr="00D4425F">
        <w:t>670</w:t>
      </w:r>
      <w:r>
        <w:t>/EU wat betreft het gebruik van niet-uitbetaalde inkomsten uit de eerste ronde van uitnodigingen tot het indienen van voorstellen (</w:t>
      </w:r>
      <w:hyperlink r:id="rId31" w:history="1">
        <w:r>
          <w:rPr>
            <w:rStyle w:val="Hyperlink"/>
          </w:rPr>
          <w:t>PB L </w:t>
        </w:r>
        <w:r w:rsidRPr="00D4425F">
          <w:rPr>
            <w:rStyle w:val="Hyperlink"/>
          </w:rPr>
          <w:t>306</w:t>
        </w:r>
      </w:hyperlink>
      <w:r>
        <w:t xml:space="preserve"> van </w:t>
      </w:r>
      <w:r w:rsidRPr="00D4425F">
        <w:t>22</w:t>
      </w:r>
      <w:r>
        <w:t>.</w:t>
      </w:r>
      <w:r w:rsidRPr="00D4425F">
        <w:t>11</w:t>
      </w:r>
      <w:r>
        <w:t>.</w:t>
      </w:r>
      <w:r w:rsidRPr="00D4425F">
        <w:t>2017</w:t>
      </w:r>
      <w:r>
        <w:t>, blz. </w:t>
      </w:r>
      <w:r w:rsidRPr="00D4425F">
        <w:t>24</w:t>
      </w:r>
      <w:r>
        <w:t>).</w:t>
      </w:r>
    </w:p>
  </w:footnote>
  <w:footnote w:id="52">
    <w:p w14:paraId="4C51FBD5" w14:textId="3618F52D" w:rsidR="008B0254" w:rsidRDefault="008B0254" w:rsidP="00666776">
      <w:pPr>
        <w:pStyle w:val="FootnoteText"/>
      </w:pPr>
      <w:r>
        <w:rPr>
          <w:rStyle w:val="FootnoteReference"/>
        </w:rPr>
        <w:footnoteRef/>
      </w:r>
      <w:r>
        <w:t xml:space="preserve"> Het bedrag is afhankelijk van de koolstofprijs; hier is een koolstofprijs van </w:t>
      </w:r>
      <w:r w:rsidRPr="00D4425F">
        <w:t>40</w:t>
      </w:r>
      <w:r>
        <w:t> EUR gebruikt. In het pakket om werk te maken van de Europese Green Deal stelt de Commissie voor het bedrag van het innovatiefonds aanzienlijk te verhogen.</w:t>
      </w:r>
    </w:p>
  </w:footnote>
  <w:footnote w:id="53">
    <w:p w14:paraId="711A1151" w14:textId="6BA44B98" w:rsidR="008B0254" w:rsidRDefault="008B0254" w:rsidP="00666776">
      <w:pPr>
        <w:pStyle w:val="FootnoteText"/>
      </w:pPr>
      <w:r>
        <w:rPr>
          <w:rStyle w:val="FootnoteReference"/>
        </w:rPr>
        <w:footnoteRef/>
      </w:r>
      <w:r>
        <w:t xml:space="preserve"> Innovatiefonds: </w:t>
      </w:r>
      <w:hyperlink r:id="rId32" w:history="1">
        <w:r>
          <w:rPr>
            <w:rStyle w:val="Hyperlink"/>
          </w:rPr>
          <w:t>oproep tot het indienen van grootschalige projecten</w:t>
        </w:r>
      </w:hyperlink>
      <w:r>
        <w:t>.</w:t>
      </w:r>
    </w:p>
  </w:footnote>
  <w:footnote w:id="54">
    <w:p w14:paraId="5384A949" w14:textId="2190E207" w:rsidR="008B0254" w:rsidRDefault="008B0254" w:rsidP="00666776">
      <w:pPr>
        <w:pStyle w:val="FootnoteText"/>
      </w:pPr>
      <w:r>
        <w:rPr>
          <w:rStyle w:val="FootnoteReference"/>
        </w:rPr>
        <w:footnoteRef/>
      </w:r>
      <w:r>
        <w:t xml:space="preserve"> Innovatiefonds: </w:t>
      </w:r>
      <w:hyperlink r:id="rId33" w:history="1">
        <w:r>
          <w:rPr>
            <w:rStyle w:val="Hyperlink"/>
          </w:rPr>
          <w:t>oproep tot het indienen van kleinschalige projecten</w:t>
        </w:r>
      </w:hyperlink>
      <w:r>
        <w:t>.</w:t>
      </w:r>
    </w:p>
  </w:footnote>
  <w:footnote w:id="55">
    <w:p w14:paraId="5923B80B" w14:textId="327A08A5" w:rsidR="008B0254" w:rsidRDefault="008B0254" w:rsidP="00666776">
      <w:pPr>
        <w:pStyle w:val="FootnoteText"/>
      </w:pPr>
      <w:r>
        <w:rPr>
          <w:rStyle w:val="FootnoteReference"/>
        </w:rPr>
        <w:footnoteRef/>
      </w:r>
      <w:r>
        <w:t xml:space="preserve"> De begunstigde lidstaten zijn Bulgarije, Estland, Hongarije, Kroatië, Letland, Litouwen, Polen, Roemenië, Slowakije en Tsjechië.</w:t>
      </w:r>
    </w:p>
  </w:footnote>
  <w:footnote w:id="56">
    <w:p w14:paraId="2A0FB95A" w14:textId="762928A3" w:rsidR="008B0254" w:rsidRDefault="008B0254" w:rsidP="00666776">
      <w:pPr>
        <w:pStyle w:val="FootnoteText"/>
      </w:pPr>
      <w:r>
        <w:rPr>
          <w:rStyle w:val="FootnoteReference"/>
        </w:rPr>
        <w:footnoteRef/>
      </w:r>
      <w:r>
        <w:t xml:space="preserve"> Het bedrag is afhankelijk van de koolstofprijs; hier is een koolstofprijs van </w:t>
      </w:r>
      <w:r w:rsidRPr="00D4425F">
        <w:t>40</w:t>
      </w:r>
      <w:r>
        <w:t xml:space="preserve"> EUR gebruikt. In het pakket om werk te maken van de Europese Green Deal stelt de Commissie voor het volume van het moderniseringsfonds met nog eens </w:t>
      </w:r>
      <w:r w:rsidRPr="00D4425F">
        <w:t>2</w:t>
      </w:r>
      <w:r>
        <w:t>,</w:t>
      </w:r>
      <w:r w:rsidRPr="00D4425F">
        <w:t>5</w:t>
      </w:r>
      <w:r>
        <w:t> % van het plafond te verhogen.</w:t>
      </w:r>
    </w:p>
  </w:footnote>
  <w:footnote w:id="57">
    <w:p w14:paraId="6B8FCA72" w14:textId="0D1EAD03" w:rsidR="008B0254" w:rsidRDefault="008B0254" w:rsidP="00666776">
      <w:pPr>
        <w:pStyle w:val="FootnoteText"/>
      </w:pPr>
      <w:r>
        <w:rPr>
          <w:rStyle w:val="FootnoteReference"/>
        </w:rPr>
        <w:footnoteRef/>
      </w:r>
      <w:r>
        <w:t xml:space="preserve"> Dit aantal omvat de overdrachten door de lidstaten aan het moderniseringsfonds uit de in artikel </w:t>
      </w:r>
      <w:r w:rsidRPr="00D4425F">
        <w:t>10</w:t>
      </w:r>
      <w:r>
        <w:t>, lid </w:t>
      </w:r>
      <w:r w:rsidRPr="00D4425F">
        <w:t>2</w:t>
      </w:r>
      <w:r>
        <w:t> ter, en artikel </w:t>
      </w:r>
      <w:r w:rsidRPr="00D4425F">
        <w:t>10</w:t>
      </w:r>
      <w:r>
        <w:t xml:space="preserve"> quater van de EU-ETS-richtlijn bedoelde pools van emissierechten. Het oorspronkelijke volume van het moderniseringsfonds bedraagt bijna </w:t>
      </w:r>
      <w:r w:rsidRPr="00D4425F">
        <w:t>276</w:t>
      </w:r>
      <w:r>
        <w:t> miljoen emissierechten (zie tabel </w:t>
      </w:r>
      <w:r w:rsidRPr="00D4425F">
        <w:t>7</w:t>
      </w:r>
      <w:r>
        <w:t>.</w:t>
      </w:r>
      <w:r w:rsidRPr="00D4425F">
        <w:t>3</w:t>
      </w:r>
      <w:r>
        <w:t xml:space="preserve"> van aanhangsel </w:t>
      </w:r>
      <w:r w:rsidRPr="00D4425F">
        <w:t>7</w:t>
      </w:r>
      <w:r>
        <w:t xml:space="preserve"> van het begeleidende werkdocument van</w:t>
      </w:r>
      <w:r w:rsidR="00C0162E">
        <w:t xml:space="preserve"> de diensten van de Commissie).</w:t>
      </w:r>
    </w:p>
  </w:footnote>
  <w:footnote w:id="58">
    <w:p w14:paraId="008B32A4" w14:textId="594F5303" w:rsidR="008B0254" w:rsidRDefault="008B0254" w:rsidP="00666776">
      <w:pPr>
        <w:pStyle w:val="FootnoteText"/>
      </w:pPr>
      <w:r>
        <w:rPr>
          <w:rStyle w:val="FootnoteReference"/>
        </w:rPr>
        <w:footnoteRef/>
      </w:r>
      <w:r>
        <w:t xml:space="preserve"> Richtsnoeren betreffende bepaalde staatssteunmaatregelen in het kader van de regeling voor de handel in broeikasgasemissierechten na </w:t>
      </w:r>
      <w:r w:rsidRPr="00D4425F">
        <w:t>2012</w:t>
      </w:r>
      <w:r>
        <w:t xml:space="preserve"> (</w:t>
      </w:r>
      <w:hyperlink r:id="rId34" w:history="1">
        <w:r>
          <w:rPr>
            <w:rStyle w:val="Hyperlink"/>
          </w:rPr>
          <w:t>PB C </w:t>
        </w:r>
        <w:r w:rsidRPr="00D4425F">
          <w:rPr>
            <w:rStyle w:val="Hyperlink"/>
          </w:rPr>
          <w:t>158</w:t>
        </w:r>
      </w:hyperlink>
      <w:r>
        <w:t xml:space="preserve"> van </w:t>
      </w:r>
      <w:r w:rsidRPr="00D4425F">
        <w:t>5</w:t>
      </w:r>
      <w:r>
        <w:t>.</w:t>
      </w:r>
      <w:r w:rsidRPr="00D4425F">
        <w:t>6</w:t>
      </w:r>
      <w:r>
        <w:t>.</w:t>
      </w:r>
      <w:r w:rsidRPr="00D4425F">
        <w:t>2012</w:t>
      </w:r>
      <w:r>
        <w:t>, blz. </w:t>
      </w:r>
      <w:r w:rsidRPr="00D4425F">
        <w:t>4</w:t>
      </w:r>
      <w:r>
        <w:t>).</w:t>
      </w:r>
    </w:p>
  </w:footnote>
  <w:footnote w:id="59">
    <w:p w14:paraId="26F6006F" w14:textId="433874F0" w:rsidR="008B0254" w:rsidRDefault="008B0254" w:rsidP="00666776">
      <w:pPr>
        <w:pStyle w:val="FootnoteText"/>
      </w:pPr>
      <w:r>
        <w:rPr>
          <w:rStyle w:val="FootnoteReference"/>
        </w:rPr>
        <w:footnoteRef/>
      </w:r>
      <w:r>
        <w:t xml:space="preserve"> Richtsnoeren betreffende bepaalde staatssteunmaatregelen in het kader van het systeem voor de handel in broeikasgasemissierechten na </w:t>
      </w:r>
      <w:r w:rsidRPr="00D4425F">
        <w:t>2021</w:t>
      </w:r>
      <w:r>
        <w:t xml:space="preserve"> (</w:t>
      </w:r>
      <w:hyperlink r:id="rId35" w:history="1">
        <w:r>
          <w:rPr>
            <w:rStyle w:val="Hyperlink"/>
          </w:rPr>
          <w:t>PB C </w:t>
        </w:r>
        <w:r w:rsidRPr="00D4425F">
          <w:rPr>
            <w:rStyle w:val="Hyperlink"/>
          </w:rPr>
          <w:t>317</w:t>
        </w:r>
      </w:hyperlink>
      <w:r>
        <w:t xml:space="preserve"> van </w:t>
      </w:r>
      <w:r w:rsidRPr="00D4425F">
        <w:t>25</w:t>
      </w:r>
      <w:r>
        <w:t>.</w:t>
      </w:r>
      <w:r w:rsidRPr="00D4425F">
        <w:t>9</w:t>
      </w:r>
      <w:r>
        <w:t>.</w:t>
      </w:r>
      <w:r w:rsidRPr="00D4425F">
        <w:t>2020</w:t>
      </w:r>
      <w:r>
        <w:t>, blz. </w:t>
      </w:r>
      <w:r w:rsidRPr="00D4425F">
        <w:t>5</w:t>
      </w:r>
      <w:r>
        <w:t>).</w:t>
      </w:r>
    </w:p>
  </w:footnote>
  <w:footnote w:id="60">
    <w:p w14:paraId="416D17A8" w14:textId="77777777" w:rsidR="008B0254" w:rsidRPr="00700047" w:rsidRDefault="008B0254" w:rsidP="00666776">
      <w:pPr>
        <w:pStyle w:val="FootnoteText"/>
      </w:pPr>
      <w:r>
        <w:rPr>
          <w:rStyle w:val="FootnoteReference"/>
        </w:rPr>
        <w:footnoteRef/>
      </w:r>
      <w:r>
        <w:t xml:space="preserve"> SA.</w:t>
      </w:r>
      <w:r w:rsidRPr="00D4425F">
        <w:t>58608</w:t>
      </w:r>
      <w:r>
        <w:t>.</w:t>
      </w:r>
    </w:p>
  </w:footnote>
  <w:footnote w:id="61">
    <w:p w14:paraId="11315750" w14:textId="77777777" w:rsidR="008B0254" w:rsidRPr="00700047" w:rsidRDefault="008B0254" w:rsidP="00666776">
      <w:pPr>
        <w:pStyle w:val="FootnoteText"/>
      </w:pPr>
      <w:r>
        <w:rPr>
          <w:rStyle w:val="FootnoteReference"/>
        </w:rPr>
        <w:footnoteRef/>
      </w:r>
      <w:r>
        <w:t xml:space="preserve"> SA.</w:t>
      </w:r>
      <w:r w:rsidRPr="00D4425F">
        <w:t>60787</w:t>
      </w:r>
      <w:r>
        <w:t>.</w:t>
      </w:r>
    </w:p>
  </w:footnote>
  <w:footnote w:id="62">
    <w:p w14:paraId="471BCE6E" w14:textId="1E5706B9" w:rsidR="008B0254" w:rsidRDefault="008B0254" w:rsidP="00666776">
      <w:pPr>
        <w:pStyle w:val="FootnoteText"/>
      </w:pPr>
      <w:r>
        <w:rPr>
          <w:rStyle w:val="FootnoteReference"/>
        </w:rPr>
        <w:footnoteRef/>
      </w:r>
      <w:r>
        <w:t xml:space="preserve"> De Commissie heeft geen volledige gegevens over de compensatie van indirecte kosten ontvangen voor Roemenië. Voor het Verenigd Koninkrijk zijn er geen veilingopbrengsten meegerekend, aangezien er in </w:t>
      </w:r>
      <w:r w:rsidRPr="00D4425F">
        <w:t>2019</w:t>
      </w:r>
      <w:r>
        <w:t xml:space="preserve"> geen emissierechten zijn geveild namens het Verenigd Koninkrijk, in overeenstemming met de vrijwaringsmaatregelen ter bescherming van de milieu-integriteit van het EU-ETS ingeval het EU-recht niet langer van toepassing is op een lidstaat die zich terugtrekt uit de EU.</w:t>
      </w:r>
    </w:p>
  </w:footnote>
  <w:footnote w:id="63">
    <w:p w14:paraId="28019564" w14:textId="5D107763" w:rsidR="008B0254" w:rsidRDefault="008B0254" w:rsidP="00666776">
      <w:pPr>
        <w:pStyle w:val="FootnoteText"/>
      </w:pPr>
      <w:r>
        <w:rPr>
          <w:rStyle w:val="FootnoteReference"/>
        </w:rPr>
        <w:footnoteRef/>
      </w:r>
      <w:r>
        <w:t xml:space="preserve"> Projecten in het kader van het mechanisme voor schone ontwikkeling en gezamenlijke uitvoering leveren Kyoto-koolstofkredieten op: respectievelijk gecertificeerde emissiereducties en emissiereductie-eenheden.</w:t>
      </w:r>
    </w:p>
  </w:footnote>
  <w:footnote w:id="64">
    <w:p w14:paraId="170D7851" w14:textId="60DA6A3E" w:rsidR="008B0254" w:rsidRPr="00974E6F" w:rsidRDefault="008B0254" w:rsidP="00666776">
      <w:pPr>
        <w:pStyle w:val="FootnoteText"/>
      </w:pPr>
      <w:r>
        <w:rPr>
          <w:rStyle w:val="FootnoteReference"/>
          <w:lang w:val="en-IE"/>
        </w:rPr>
        <w:footnoteRef/>
      </w:r>
      <w:r>
        <w:t xml:space="preserve"> Internationale kredieten konden worden ingeruild tot eind april </w:t>
      </w:r>
      <w:r w:rsidRPr="00D4425F">
        <w:t>2021</w:t>
      </w:r>
      <w:r>
        <w:t xml:space="preserve">, d.w.z. het einde van de nalevingscyclus </w:t>
      </w:r>
      <w:r w:rsidRPr="00D4425F">
        <w:t>2020</w:t>
      </w:r>
      <w:r w:rsidR="00C0162E">
        <w:t>.</w:t>
      </w:r>
    </w:p>
  </w:footnote>
  <w:footnote w:id="65">
    <w:p w14:paraId="1CFCFFAC" w14:textId="7E4D2E7F" w:rsidR="008B0254" w:rsidRDefault="008B0254" w:rsidP="00666776">
      <w:pPr>
        <w:pStyle w:val="FootnoteText"/>
      </w:pPr>
      <w:r>
        <w:rPr>
          <w:rStyle w:val="FootnoteReference"/>
        </w:rPr>
        <w:footnoteRef/>
      </w:r>
      <w:r>
        <w:t xml:space="preserve"> Cijfers voor de EU-</w:t>
      </w:r>
      <w:r w:rsidRPr="00D4425F">
        <w:t>27</w:t>
      </w:r>
      <w:r>
        <w:t xml:space="preserve"> + het Verenigd Koninkrijk + IJsland, Liechtenstein en Noorwegen. De indeling in de categorieën opwekking van elektriciteit en warmte en industriële installaties in tabel </w:t>
      </w:r>
      <w:r w:rsidRPr="00D4425F">
        <w:t>7</w:t>
      </w:r>
      <w:r>
        <w:t xml:space="preserve"> is gebaseerd op de NACE-classificatie van de door de lidstaten ingediende nationale uitvoeringsmaatregelen uit </w:t>
      </w:r>
      <w:r w:rsidRPr="00D4425F">
        <w:t>2020</w:t>
      </w:r>
      <w:r>
        <w:t xml:space="preserve"> overeenkomstig artikel </w:t>
      </w:r>
      <w:r w:rsidRPr="00D4425F">
        <w:t>11</w:t>
      </w:r>
      <w:r>
        <w:t xml:space="preserve"> van de EU-ETS-richtlijn.  </w:t>
      </w:r>
    </w:p>
  </w:footnote>
  <w:footnote w:id="66">
    <w:p w14:paraId="65A3A6E0" w14:textId="5011045F" w:rsidR="008B0254" w:rsidRDefault="008B0254" w:rsidP="00666776">
      <w:pPr>
        <w:pStyle w:val="FootnoteText"/>
      </w:pPr>
      <w:r>
        <w:rPr>
          <w:rStyle w:val="FootnoteReference"/>
        </w:rPr>
        <w:footnoteRef/>
      </w:r>
      <w:r>
        <w:t xml:space="preserve"> Dit percentage weerspiegelt alleen de bbp-groei in de EU-</w:t>
      </w:r>
      <w:r w:rsidRPr="00D4425F">
        <w:t>27</w:t>
      </w:r>
      <w:r>
        <w:t>, aangezien de gegevens van de EU-</w:t>
      </w:r>
      <w:r w:rsidRPr="00D4425F">
        <w:t>27</w:t>
      </w:r>
      <w:r>
        <w:t xml:space="preserve"> + het Verenigd Koninkrijk voor </w:t>
      </w:r>
      <w:r w:rsidRPr="00D4425F">
        <w:t>2020</w:t>
      </w:r>
      <w:r>
        <w:t xml:space="preserve"> niet beschikbaar zijn. De overige groeipercentages tot </w:t>
      </w:r>
      <w:r w:rsidRPr="00D4425F">
        <w:t>2019</w:t>
      </w:r>
      <w:r>
        <w:t xml:space="preserve"> weerspiegelen de EU-</w:t>
      </w:r>
      <w:r w:rsidRPr="00D4425F">
        <w:t>27</w:t>
      </w:r>
      <w:r>
        <w:t xml:space="preserve"> + het Verenigd Koninkrijk.</w:t>
      </w:r>
    </w:p>
  </w:footnote>
  <w:footnote w:id="67">
    <w:p w14:paraId="7A7A45D7" w14:textId="164B8C54" w:rsidR="008B0254" w:rsidRDefault="008B0254" w:rsidP="00666776">
      <w:pPr>
        <w:pStyle w:val="FootnoteText"/>
      </w:pPr>
      <w:r>
        <w:rPr>
          <w:rStyle w:val="FootnoteReference"/>
        </w:rPr>
        <w:footnoteRef/>
      </w:r>
      <w:r>
        <w:t xml:space="preserve"> De gegevens van het Verenigd Koninkrijk zijn opgenomen tot </w:t>
      </w:r>
      <w:r w:rsidRPr="00D4425F">
        <w:t>2019</w:t>
      </w:r>
      <w:r>
        <w:t xml:space="preserve">. In </w:t>
      </w:r>
      <w:r w:rsidRPr="00D4425F">
        <w:t>2020</w:t>
      </w:r>
      <w:r>
        <w:t xml:space="preserve"> zijn alleen gegevens voor Noord-Ierland opgenomen. Het Verenigd Koninkrijk heeft in </w:t>
      </w:r>
      <w:r w:rsidRPr="00D4425F">
        <w:t>2021</w:t>
      </w:r>
      <w:r>
        <w:t xml:space="preserve"> geen verslag krachtens artikel </w:t>
      </w:r>
      <w:r w:rsidRPr="00D4425F">
        <w:t>21</w:t>
      </w:r>
      <w:r>
        <w:t xml:space="preserve"> ingediend.</w:t>
      </w:r>
    </w:p>
  </w:footnote>
  <w:footnote w:id="68">
    <w:p w14:paraId="4658FBB4" w14:textId="489386F8" w:rsidR="008B0254" w:rsidRDefault="008B0254" w:rsidP="00666776">
      <w:pPr>
        <w:pStyle w:val="FootnoteText"/>
      </w:pPr>
      <w:r>
        <w:rPr>
          <w:rStyle w:val="FootnoteReference"/>
        </w:rPr>
        <w:footnoteRef/>
      </w:r>
      <w:r>
        <w:t xml:space="preserve"> Het Verenigd Koninkrijk heeft in </w:t>
      </w:r>
      <w:r w:rsidRPr="00D4425F">
        <w:t>2021</w:t>
      </w:r>
      <w:r>
        <w:t xml:space="preserve"> geen verslag uit hoofde van artikel </w:t>
      </w:r>
      <w:r w:rsidRPr="00D4425F">
        <w:t>21</w:t>
      </w:r>
      <w:r>
        <w:t xml:space="preserve"> ingediend.</w:t>
      </w:r>
    </w:p>
  </w:footnote>
  <w:footnote w:id="69">
    <w:p w14:paraId="73ADD442" w14:textId="5616FDC9" w:rsidR="008B0254" w:rsidRPr="00976675" w:rsidRDefault="008B0254" w:rsidP="00313428">
      <w:pPr>
        <w:pStyle w:val="Caption"/>
        <w:spacing w:after="0" w:line="240" w:lineRule="auto"/>
        <w:jc w:val="both"/>
      </w:pPr>
      <w:r>
        <w:rPr>
          <w:rStyle w:val="FootnoteReference"/>
          <w:rFonts w:ascii="Times New Roman" w:hAnsi="Times New Roman"/>
          <w:b w:val="0"/>
          <w:sz w:val="18"/>
        </w:rPr>
        <w:footnoteRef/>
      </w:r>
      <w:r>
        <w:rPr>
          <w:b w:val="0"/>
        </w:rPr>
        <w:t xml:space="preserve"> </w:t>
      </w:r>
      <w:r>
        <w:rPr>
          <w:rFonts w:ascii="Times New Roman" w:hAnsi="Times New Roman"/>
          <w:b w:val="0"/>
          <w:bCs w:val="0"/>
          <w:sz w:val="18"/>
          <w:szCs w:val="18"/>
        </w:rPr>
        <w:t xml:space="preserve">Richtlijn (EU) </w:t>
      </w:r>
      <w:r w:rsidRPr="00D4425F">
        <w:rPr>
          <w:rFonts w:ascii="Times New Roman" w:hAnsi="Times New Roman"/>
          <w:b w:val="0"/>
          <w:bCs w:val="0"/>
          <w:sz w:val="18"/>
          <w:szCs w:val="18"/>
        </w:rPr>
        <w:t>2018</w:t>
      </w:r>
      <w:r>
        <w:rPr>
          <w:rFonts w:ascii="Times New Roman" w:hAnsi="Times New Roman"/>
          <w:b w:val="0"/>
          <w:bCs w:val="0"/>
          <w:sz w:val="18"/>
          <w:szCs w:val="18"/>
        </w:rPr>
        <w:t>/</w:t>
      </w:r>
      <w:r w:rsidRPr="00D4425F">
        <w:rPr>
          <w:rFonts w:ascii="Times New Roman" w:hAnsi="Times New Roman"/>
          <w:b w:val="0"/>
          <w:bCs w:val="0"/>
          <w:sz w:val="18"/>
          <w:szCs w:val="18"/>
        </w:rPr>
        <w:t>2001</w:t>
      </w:r>
      <w:r>
        <w:rPr>
          <w:rFonts w:ascii="Times New Roman" w:hAnsi="Times New Roman"/>
          <w:b w:val="0"/>
          <w:bCs w:val="0"/>
          <w:sz w:val="18"/>
          <w:szCs w:val="18"/>
        </w:rPr>
        <w:t xml:space="preserve"> van het Europees Parlement en de Raad van </w:t>
      </w:r>
      <w:r w:rsidRPr="00D4425F">
        <w:rPr>
          <w:rFonts w:ascii="Times New Roman" w:hAnsi="Times New Roman"/>
          <w:b w:val="0"/>
          <w:bCs w:val="0"/>
          <w:sz w:val="18"/>
          <w:szCs w:val="18"/>
        </w:rPr>
        <w:t>11</w:t>
      </w:r>
      <w:r>
        <w:rPr>
          <w:rFonts w:ascii="Times New Roman" w:hAnsi="Times New Roman"/>
          <w:b w:val="0"/>
          <w:bCs w:val="0"/>
          <w:sz w:val="18"/>
          <w:szCs w:val="18"/>
        </w:rPr>
        <w:t xml:space="preserve"> december </w:t>
      </w:r>
      <w:r w:rsidRPr="00D4425F">
        <w:rPr>
          <w:rFonts w:ascii="Times New Roman" w:hAnsi="Times New Roman"/>
          <w:b w:val="0"/>
          <w:bCs w:val="0"/>
          <w:sz w:val="18"/>
          <w:szCs w:val="18"/>
        </w:rPr>
        <w:t>2018</w:t>
      </w:r>
      <w:r>
        <w:rPr>
          <w:rFonts w:ascii="Times New Roman" w:hAnsi="Times New Roman"/>
          <w:b w:val="0"/>
          <w:bCs w:val="0"/>
          <w:sz w:val="18"/>
          <w:szCs w:val="18"/>
        </w:rPr>
        <w:t xml:space="preserve"> ter bevordering van het gebruik van energie uit hernieuwbare bronnen (</w:t>
      </w:r>
      <w:hyperlink r:id="rId36" w:history="1">
        <w:r>
          <w:rPr>
            <w:rStyle w:val="Hyperlink"/>
            <w:rFonts w:ascii="Times New Roman" w:hAnsi="Times New Roman"/>
            <w:b w:val="0"/>
            <w:bCs w:val="0"/>
            <w:sz w:val="18"/>
            <w:szCs w:val="18"/>
          </w:rPr>
          <w:t>PB L </w:t>
        </w:r>
        <w:r w:rsidRPr="00D4425F">
          <w:rPr>
            <w:rStyle w:val="Hyperlink"/>
            <w:rFonts w:ascii="Times New Roman" w:hAnsi="Times New Roman"/>
            <w:b w:val="0"/>
            <w:bCs w:val="0"/>
            <w:sz w:val="18"/>
            <w:szCs w:val="18"/>
          </w:rPr>
          <w:t>328</w:t>
        </w:r>
      </w:hyperlink>
      <w:r>
        <w:rPr>
          <w:rFonts w:ascii="Times New Roman" w:hAnsi="Times New Roman"/>
          <w:b w:val="0"/>
          <w:bCs w:val="0"/>
          <w:sz w:val="18"/>
          <w:szCs w:val="18"/>
        </w:rPr>
        <w:t xml:space="preserve"> van </w:t>
      </w:r>
      <w:r w:rsidRPr="00D4425F">
        <w:rPr>
          <w:rFonts w:ascii="Times New Roman" w:hAnsi="Times New Roman"/>
          <w:b w:val="0"/>
          <w:bCs w:val="0"/>
          <w:sz w:val="18"/>
          <w:szCs w:val="18"/>
        </w:rPr>
        <w:t>21</w:t>
      </w:r>
      <w:r>
        <w:rPr>
          <w:rFonts w:ascii="Times New Roman" w:hAnsi="Times New Roman"/>
          <w:b w:val="0"/>
          <w:bCs w:val="0"/>
          <w:sz w:val="18"/>
          <w:szCs w:val="18"/>
        </w:rPr>
        <w:t>.</w:t>
      </w:r>
      <w:r w:rsidRPr="00D4425F">
        <w:rPr>
          <w:rFonts w:ascii="Times New Roman" w:hAnsi="Times New Roman"/>
          <w:b w:val="0"/>
          <w:bCs w:val="0"/>
          <w:sz w:val="18"/>
          <w:szCs w:val="18"/>
        </w:rPr>
        <w:t>12</w:t>
      </w:r>
      <w:r>
        <w:rPr>
          <w:rFonts w:ascii="Times New Roman" w:hAnsi="Times New Roman"/>
          <w:b w:val="0"/>
          <w:bCs w:val="0"/>
          <w:sz w:val="18"/>
          <w:szCs w:val="18"/>
        </w:rPr>
        <w:t>.</w:t>
      </w:r>
      <w:r w:rsidRPr="00D4425F">
        <w:rPr>
          <w:rFonts w:ascii="Times New Roman" w:hAnsi="Times New Roman"/>
          <w:b w:val="0"/>
          <w:bCs w:val="0"/>
          <w:sz w:val="18"/>
          <w:szCs w:val="18"/>
        </w:rPr>
        <w:t>2018</w:t>
      </w:r>
      <w:r>
        <w:rPr>
          <w:rFonts w:ascii="Times New Roman" w:hAnsi="Times New Roman"/>
          <w:b w:val="0"/>
          <w:bCs w:val="0"/>
          <w:sz w:val="18"/>
          <w:szCs w:val="18"/>
        </w:rPr>
        <w:t>, blz. </w:t>
      </w:r>
      <w:r w:rsidRPr="00D4425F">
        <w:rPr>
          <w:rFonts w:ascii="Times New Roman" w:hAnsi="Times New Roman"/>
          <w:b w:val="0"/>
          <w:bCs w:val="0"/>
          <w:sz w:val="18"/>
          <w:szCs w:val="18"/>
        </w:rPr>
        <w:t>82</w:t>
      </w:r>
      <w:r>
        <w:rPr>
          <w:rFonts w:ascii="Times New Roman" w:hAnsi="Times New Roman"/>
          <w:b w:val="0"/>
          <w:bCs w:val="0"/>
          <w:sz w:val="18"/>
          <w:szCs w:val="18"/>
        </w:rPr>
        <w:t>).</w:t>
      </w:r>
    </w:p>
  </w:footnote>
  <w:footnote w:id="70">
    <w:p w14:paraId="43E0A5BB" w14:textId="06D8D9F8" w:rsidR="008B0254" w:rsidRDefault="008B0254" w:rsidP="00666776">
      <w:pPr>
        <w:pStyle w:val="FootnoteText"/>
      </w:pPr>
      <w:r>
        <w:rPr>
          <w:rStyle w:val="FootnoteReference"/>
        </w:rPr>
        <w:footnoteRef/>
      </w:r>
      <w:r>
        <w:t xml:space="preserve"> Installaties van categorie C stoten meer dan </w:t>
      </w:r>
      <w:r w:rsidRPr="00D4425F">
        <w:t>500</w:t>
      </w:r>
      <w:r>
        <w:t> </w:t>
      </w:r>
      <w:r w:rsidRPr="00D4425F">
        <w:t>000</w:t>
      </w:r>
      <w:r>
        <w:t> ton CO</w:t>
      </w:r>
      <w:r w:rsidRPr="00D4425F">
        <w:rPr>
          <w:vertAlign w:val="subscript"/>
        </w:rPr>
        <w:t>2</w:t>
      </w:r>
      <w:r>
        <w:t xml:space="preserve">-equivalenten per jaar uit, installaties van categorie B tussen </w:t>
      </w:r>
      <w:r w:rsidRPr="00D4425F">
        <w:t>500</w:t>
      </w:r>
      <w:r>
        <w:t> </w:t>
      </w:r>
      <w:r w:rsidRPr="00D4425F">
        <w:t>000</w:t>
      </w:r>
      <w:r>
        <w:t xml:space="preserve"> en </w:t>
      </w:r>
      <w:r w:rsidRPr="00D4425F">
        <w:t>50</w:t>
      </w:r>
      <w:r>
        <w:t> </w:t>
      </w:r>
      <w:r w:rsidRPr="00D4425F">
        <w:t>000</w:t>
      </w:r>
      <w:r>
        <w:t> ton CO</w:t>
      </w:r>
      <w:r w:rsidRPr="00D4425F">
        <w:rPr>
          <w:vertAlign w:val="subscript"/>
        </w:rPr>
        <w:t>2</w:t>
      </w:r>
      <w:r>
        <w:t xml:space="preserve">-equivalenten per jaar en installaties van categorie A minder dan </w:t>
      </w:r>
      <w:r w:rsidRPr="00D4425F">
        <w:t>50</w:t>
      </w:r>
      <w:r>
        <w:t> </w:t>
      </w:r>
      <w:r w:rsidRPr="00D4425F">
        <w:t>000</w:t>
      </w:r>
      <w:r>
        <w:t> ton CO</w:t>
      </w:r>
      <w:r w:rsidRPr="00D4425F">
        <w:rPr>
          <w:vertAlign w:val="subscript"/>
        </w:rPr>
        <w:t>2</w:t>
      </w:r>
      <w:r>
        <w:t xml:space="preserve">-equivalenten per jaar. De installaties met geringe emissies vormen een deelverzameling van de installaties van categorie A, die minder dan </w:t>
      </w:r>
      <w:r w:rsidRPr="00D4425F">
        <w:t>25</w:t>
      </w:r>
      <w:r>
        <w:t> </w:t>
      </w:r>
      <w:r w:rsidRPr="00D4425F">
        <w:t>000</w:t>
      </w:r>
      <w:r>
        <w:t> ton CO</w:t>
      </w:r>
      <w:r w:rsidRPr="00D4425F">
        <w:rPr>
          <w:vertAlign w:val="subscript"/>
        </w:rPr>
        <w:t>2</w:t>
      </w:r>
      <w:r>
        <w:t>-equivalenten per jaar uitstoten.</w:t>
      </w:r>
    </w:p>
  </w:footnote>
  <w:footnote w:id="71">
    <w:p w14:paraId="026C3C72" w14:textId="0BA99956" w:rsidR="008B0254" w:rsidRDefault="008B0254" w:rsidP="00666776">
      <w:pPr>
        <w:pStyle w:val="FootnoteText"/>
      </w:pPr>
      <w:r>
        <w:rPr>
          <w:rStyle w:val="FootnoteReference"/>
        </w:rPr>
        <w:footnoteRef/>
      </w:r>
      <w:r>
        <w:t xml:space="preserve"> De tabel bevat de gegevens van het Verenigd Koninkrijk tot en met </w:t>
      </w:r>
      <w:r w:rsidRPr="00D4425F">
        <w:t>2019</w:t>
      </w:r>
      <w:r>
        <w:t>. De lijn geeft de totale emissies uit biomassa in het huidige toepassingsgebied van het EU-ETS weer, terwijl de staven ook betrekking hebben op het Verenigd Koninkrijk. De in de tekstballonnetjes bij de lijn aangegeven totalen betreffen het huidige toepassingsgebied van het EU-ETS zonder het Verenigd Koninkrijk.</w:t>
      </w:r>
    </w:p>
  </w:footnote>
  <w:footnote w:id="72">
    <w:p w14:paraId="0D2C4CDB" w14:textId="103022BB" w:rsidR="008B0254" w:rsidRDefault="008B0254" w:rsidP="00666776">
      <w:pPr>
        <w:pStyle w:val="FootnoteText"/>
      </w:pPr>
      <w:r>
        <w:rPr>
          <w:rStyle w:val="FootnoteReference"/>
        </w:rPr>
        <w:footnoteRef/>
      </w:r>
      <w:r>
        <w:t xml:space="preserve"> Besluit (EU) </w:t>
      </w:r>
      <w:r w:rsidRPr="00D4425F">
        <w:t>2015</w:t>
      </w:r>
      <w:r>
        <w:t>/</w:t>
      </w:r>
      <w:r w:rsidRPr="00D4425F">
        <w:t>1814</w:t>
      </w:r>
      <w:r>
        <w:t xml:space="preserve"> van het Europees Parlement en de Raad van </w:t>
      </w:r>
      <w:r w:rsidRPr="00D4425F">
        <w:t>6</w:t>
      </w:r>
      <w:r>
        <w:t xml:space="preserve"> oktober </w:t>
      </w:r>
      <w:r w:rsidRPr="00D4425F">
        <w:t>2015</w:t>
      </w:r>
      <w:r>
        <w:t xml:space="preserve"> betreffende de instelling en de werking van een marktstabiliteitsreserve voor de EU-regeling voor de handel in broeikasgasemissierechten en tot wijziging van Richtlijn </w:t>
      </w:r>
      <w:r w:rsidRPr="00D4425F">
        <w:t>2003</w:t>
      </w:r>
      <w:r>
        <w:t>/</w:t>
      </w:r>
      <w:r w:rsidRPr="00D4425F">
        <w:t>87</w:t>
      </w:r>
      <w:r>
        <w:t>/EG (</w:t>
      </w:r>
      <w:hyperlink r:id="rId37" w:history="1">
        <w:r>
          <w:rPr>
            <w:rStyle w:val="Hyperlink"/>
          </w:rPr>
          <w:t>PB L </w:t>
        </w:r>
        <w:r w:rsidRPr="00D4425F">
          <w:rPr>
            <w:rStyle w:val="Hyperlink"/>
          </w:rPr>
          <w:t>264</w:t>
        </w:r>
      </w:hyperlink>
      <w:r>
        <w:t xml:space="preserve"> van </w:t>
      </w:r>
      <w:r w:rsidRPr="00D4425F">
        <w:t>9</w:t>
      </w:r>
      <w:r>
        <w:t>.</w:t>
      </w:r>
      <w:r w:rsidRPr="00D4425F">
        <w:t>10</w:t>
      </w:r>
      <w:r>
        <w:t>.</w:t>
      </w:r>
      <w:r w:rsidRPr="00D4425F">
        <w:t>2015</w:t>
      </w:r>
      <w:r>
        <w:t>, blz. </w:t>
      </w:r>
      <w:r w:rsidRPr="00D4425F">
        <w:t>1</w:t>
      </w:r>
      <w:r>
        <w:t>).</w:t>
      </w:r>
    </w:p>
  </w:footnote>
  <w:footnote w:id="73">
    <w:p w14:paraId="33FDB477" w14:textId="23E0BF07" w:rsidR="008B0254" w:rsidRDefault="008B0254" w:rsidP="00666776">
      <w:pPr>
        <w:pStyle w:val="FootnoteText"/>
      </w:pPr>
      <w:r>
        <w:rPr>
          <w:rStyle w:val="FootnoteReference"/>
        </w:rPr>
        <w:footnoteRef/>
      </w:r>
      <w:r>
        <w:t xml:space="preserve"> Richtlijn (EU) </w:t>
      </w:r>
      <w:r w:rsidRPr="00D4425F">
        <w:t>2018</w:t>
      </w:r>
      <w:r>
        <w:t>/</w:t>
      </w:r>
      <w:r w:rsidRPr="00D4425F">
        <w:t>410</w:t>
      </w:r>
      <w:r>
        <w:t xml:space="preserve"> van het Europees Parlement en de Raad van </w:t>
      </w:r>
      <w:r w:rsidRPr="00D4425F">
        <w:t>14</w:t>
      </w:r>
      <w:r>
        <w:t xml:space="preserve"> maart </w:t>
      </w:r>
      <w:r w:rsidRPr="00D4425F">
        <w:t>2018</w:t>
      </w:r>
      <w:r>
        <w:t xml:space="preserve"> tot wijziging van Richtlijn </w:t>
      </w:r>
      <w:r w:rsidRPr="00D4425F">
        <w:t>2003</w:t>
      </w:r>
      <w:r>
        <w:t>/</w:t>
      </w:r>
      <w:r w:rsidRPr="00D4425F">
        <w:t>87</w:t>
      </w:r>
      <w:r>
        <w:t xml:space="preserve">/EG ter bevordering van kosteneffectieve emissiereducties en koolstofarme investeringen en van Besluit (EU) </w:t>
      </w:r>
      <w:r w:rsidRPr="00D4425F">
        <w:t>2015</w:t>
      </w:r>
      <w:r>
        <w:t>/</w:t>
      </w:r>
      <w:r w:rsidRPr="00D4425F">
        <w:t>1814</w:t>
      </w:r>
      <w:r>
        <w:t xml:space="preserve"> (</w:t>
      </w:r>
      <w:hyperlink r:id="rId38" w:history="1">
        <w:r>
          <w:rPr>
            <w:rStyle w:val="Hyperlink"/>
          </w:rPr>
          <w:t>PB L </w:t>
        </w:r>
        <w:r w:rsidRPr="00D4425F">
          <w:rPr>
            <w:rStyle w:val="Hyperlink"/>
          </w:rPr>
          <w:t>76</w:t>
        </w:r>
      </w:hyperlink>
      <w:r>
        <w:t xml:space="preserve"> van </w:t>
      </w:r>
      <w:r w:rsidRPr="00D4425F">
        <w:t>19</w:t>
      </w:r>
      <w:r>
        <w:t>.</w:t>
      </w:r>
      <w:r w:rsidRPr="00D4425F">
        <w:t>3</w:t>
      </w:r>
      <w:r>
        <w:t>.</w:t>
      </w:r>
      <w:r w:rsidRPr="00D4425F">
        <w:t>2018</w:t>
      </w:r>
      <w:r>
        <w:t>, blz. </w:t>
      </w:r>
      <w:r w:rsidRPr="00D4425F">
        <w:t>3</w:t>
      </w:r>
      <w:r>
        <w:t>).</w:t>
      </w:r>
    </w:p>
  </w:footnote>
  <w:footnote w:id="74">
    <w:p w14:paraId="6DE0BA28" w14:textId="22FD1222" w:rsidR="008B0254" w:rsidRPr="00AD2714" w:rsidRDefault="008B0254" w:rsidP="002E6DE2">
      <w:pPr>
        <w:pStyle w:val="Default"/>
        <w:jc w:val="both"/>
        <w:rPr>
          <w:color w:val="auto"/>
          <w:lang w:val="es-ES"/>
        </w:rPr>
      </w:pPr>
      <w:r>
        <w:rPr>
          <w:rStyle w:val="FootnoteReference"/>
          <w:color w:val="auto"/>
          <w:sz w:val="20"/>
          <w:szCs w:val="20"/>
        </w:rPr>
        <w:footnoteRef/>
      </w:r>
      <w:r w:rsidRPr="00AD2714">
        <w:rPr>
          <w:color w:val="auto"/>
          <w:sz w:val="20"/>
          <w:szCs w:val="20"/>
          <w:lang w:val="es-ES"/>
        </w:rPr>
        <w:t xml:space="preserve"> </w:t>
      </w:r>
      <w:hyperlink r:id="rId39" w:history="1">
        <w:r w:rsidRPr="00AD2714">
          <w:rPr>
            <w:rStyle w:val="Hyperlink"/>
            <w:sz w:val="18"/>
            <w:szCs w:val="20"/>
            <w:lang w:val="es-ES"/>
          </w:rPr>
          <w:t>C(</w:t>
        </w:r>
        <w:r w:rsidRPr="00D4425F">
          <w:rPr>
            <w:rStyle w:val="Hyperlink"/>
            <w:sz w:val="18"/>
            <w:szCs w:val="20"/>
            <w:lang w:val="es-ES"/>
          </w:rPr>
          <w:t>2021</w:t>
        </w:r>
        <w:r w:rsidRPr="00AD2714">
          <w:rPr>
            <w:rStyle w:val="Hyperlink"/>
            <w:sz w:val="18"/>
            <w:szCs w:val="20"/>
            <w:lang w:val="es-ES"/>
          </w:rPr>
          <w:t>) </w:t>
        </w:r>
        <w:r w:rsidRPr="00D4425F">
          <w:rPr>
            <w:rStyle w:val="Hyperlink"/>
            <w:sz w:val="18"/>
            <w:szCs w:val="20"/>
            <w:lang w:val="es-ES"/>
          </w:rPr>
          <w:t>3266</w:t>
        </w:r>
        <w:r w:rsidRPr="00AD2714">
          <w:rPr>
            <w:rStyle w:val="Hyperlink"/>
            <w:sz w:val="18"/>
            <w:szCs w:val="20"/>
            <w:lang w:val="es-ES"/>
          </w:rPr>
          <w:t xml:space="preserve"> final</w:t>
        </w:r>
      </w:hyperlink>
    </w:p>
  </w:footnote>
  <w:footnote w:id="75">
    <w:p w14:paraId="7E4EFB26" w14:textId="3EF26FC5" w:rsidR="008B0254" w:rsidRPr="00AD2714" w:rsidRDefault="008B0254" w:rsidP="00666776">
      <w:pPr>
        <w:pStyle w:val="FootnoteText"/>
        <w:rPr>
          <w:lang w:val="es-ES"/>
        </w:rPr>
      </w:pPr>
      <w:r>
        <w:rPr>
          <w:rStyle w:val="FootnoteReference"/>
        </w:rPr>
        <w:footnoteRef/>
      </w:r>
      <w:r w:rsidRPr="00AD2714">
        <w:rPr>
          <w:lang w:val="es-ES"/>
        </w:rPr>
        <w:t xml:space="preserve"> </w:t>
      </w:r>
      <w:hyperlink r:id="rId40" w:history="1">
        <w:r w:rsidRPr="00AD2714">
          <w:rPr>
            <w:rStyle w:val="Hyperlink"/>
            <w:lang w:val="es-ES"/>
          </w:rPr>
          <w:t>C(</w:t>
        </w:r>
        <w:r w:rsidRPr="00D4425F">
          <w:rPr>
            <w:rStyle w:val="Hyperlink"/>
            <w:lang w:val="es-ES"/>
          </w:rPr>
          <w:t>2017</w:t>
        </w:r>
        <w:r w:rsidRPr="00AD2714">
          <w:rPr>
            <w:rStyle w:val="Hyperlink"/>
            <w:lang w:val="es-ES"/>
          </w:rPr>
          <w:t>) </w:t>
        </w:r>
        <w:r w:rsidRPr="00D4425F">
          <w:rPr>
            <w:rStyle w:val="Hyperlink"/>
            <w:lang w:val="es-ES"/>
          </w:rPr>
          <w:t>3228</w:t>
        </w:r>
        <w:r w:rsidRPr="00AD2714">
          <w:rPr>
            <w:rStyle w:val="Hyperlink"/>
            <w:lang w:val="es-ES"/>
          </w:rPr>
          <w:t xml:space="preserve"> final</w:t>
        </w:r>
      </w:hyperlink>
    </w:p>
  </w:footnote>
  <w:footnote w:id="76">
    <w:p w14:paraId="34087619" w14:textId="2FF19C17" w:rsidR="008B0254" w:rsidRPr="00AD2714" w:rsidRDefault="008B0254" w:rsidP="00D21DEF">
      <w:pPr>
        <w:pStyle w:val="Default"/>
        <w:jc w:val="both"/>
        <w:rPr>
          <w:color w:val="auto"/>
          <w:lang w:val="es-ES"/>
        </w:rPr>
      </w:pPr>
      <w:r>
        <w:rPr>
          <w:rStyle w:val="FootnoteReference"/>
          <w:sz w:val="18"/>
          <w:szCs w:val="18"/>
        </w:rPr>
        <w:footnoteRef/>
      </w:r>
      <w:r w:rsidRPr="00AD2714">
        <w:rPr>
          <w:sz w:val="18"/>
          <w:szCs w:val="18"/>
          <w:lang w:val="es-ES"/>
        </w:rPr>
        <w:t xml:space="preserve"> </w:t>
      </w:r>
      <w:hyperlink r:id="rId41" w:history="1">
        <w:r w:rsidRPr="00AD2714">
          <w:rPr>
            <w:rStyle w:val="Hyperlink"/>
            <w:sz w:val="18"/>
            <w:szCs w:val="18"/>
            <w:lang w:val="es-ES"/>
          </w:rPr>
          <w:t>C(</w:t>
        </w:r>
        <w:r w:rsidRPr="00D4425F">
          <w:rPr>
            <w:rStyle w:val="Hyperlink"/>
            <w:sz w:val="18"/>
            <w:szCs w:val="18"/>
            <w:lang w:val="es-ES"/>
          </w:rPr>
          <w:t>2021</w:t>
        </w:r>
        <w:r w:rsidRPr="00AD2714">
          <w:rPr>
            <w:rStyle w:val="Hyperlink"/>
            <w:sz w:val="18"/>
            <w:szCs w:val="18"/>
            <w:lang w:val="es-ES"/>
          </w:rPr>
          <w:t>) </w:t>
        </w:r>
        <w:r w:rsidRPr="00D4425F">
          <w:rPr>
            <w:rStyle w:val="Hyperlink"/>
            <w:sz w:val="18"/>
            <w:szCs w:val="18"/>
            <w:lang w:val="es-ES"/>
          </w:rPr>
          <w:t>3266</w:t>
        </w:r>
        <w:r w:rsidRPr="00AD2714">
          <w:rPr>
            <w:rStyle w:val="Hyperlink"/>
            <w:sz w:val="18"/>
            <w:szCs w:val="18"/>
            <w:lang w:val="es-ES"/>
          </w:rPr>
          <w:t xml:space="preserve"> final</w:t>
        </w:r>
      </w:hyperlink>
    </w:p>
  </w:footnote>
  <w:footnote w:id="77">
    <w:p w14:paraId="43FDC78A" w14:textId="0D9AD4AE" w:rsidR="008B0254" w:rsidRPr="00AD7E35" w:rsidRDefault="008B0254" w:rsidP="00666776">
      <w:pPr>
        <w:pStyle w:val="FootnoteText"/>
      </w:pPr>
      <w:r>
        <w:rPr>
          <w:rStyle w:val="FootnoteReference"/>
        </w:rPr>
        <w:footnoteRef/>
      </w:r>
      <w:r>
        <w:t xml:space="preserve"> De effectbeoordeling is te vinden in bijlage </w:t>
      </w:r>
      <w:r w:rsidRPr="00D4425F">
        <w:t>7</w:t>
      </w:r>
      <w:r>
        <w:t xml:space="preserve"> bij </w:t>
      </w:r>
      <w:hyperlink r:id="rId42" w:history="1">
        <w:r>
          <w:rPr>
            <w:rStyle w:val="Hyperlink"/>
          </w:rPr>
          <w:t>SWD(</w:t>
        </w:r>
        <w:r w:rsidRPr="00D4425F">
          <w:rPr>
            <w:rStyle w:val="Hyperlink"/>
          </w:rPr>
          <w:t>2021</w:t>
        </w:r>
        <w:r>
          <w:rPr>
            <w:rStyle w:val="Hyperlink"/>
          </w:rPr>
          <w:t>) </w:t>
        </w:r>
        <w:r w:rsidRPr="00D4425F">
          <w:rPr>
            <w:rStyle w:val="Hyperlink"/>
          </w:rPr>
          <w:t>601</w:t>
        </w:r>
        <w:r>
          <w:rPr>
            <w:rStyle w:val="Hyperlink"/>
          </w:rPr>
          <w:t xml:space="preserve"> final</w:t>
        </w:r>
      </w:hyperlink>
    </w:p>
  </w:footnote>
  <w:footnote w:id="78">
    <w:p w14:paraId="047443CF" w14:textId="44DC42C4" w:rsidR="008B0254" w:rsidRDefault="008B0254">
      <w:pPr>
        <w:pStyle w:val="FootnoteText"/>
      </w:pPr>
      <w:r>
        <w:rPr>
          <w:rStyle w:val="FootnoteReference"/>
        </w:rPr>
        <w:footnoteRef/>
      </w:r>
      <w:r>
        <w:t xml:space="preserve"> Voorstel voor een richtlijn van het Europees Parlement en de Raad tot wijziging van Richtlijn </w:t>
      </w:r>
      <w:r w:rsidRPr="00D4425F">
        <w:t>2003</w:t>
      </w:r>
      <w:r>
        <w:t>/</w:t>
      </w:r>
      <w:r w:rsidRPr="00D4425F">
        <w:t>87</w:t>
      </w:r>
      <w:r>
        <w:t xml:space="preserve">/EG tot vaststelling van een systeem voor de handel in broeikasgasemissierechten binnen de Unie, Besluit (EU) </w:t>
      </w:r>
      <w:r w:rsidRPr="00D4425F">
        <w:t>2015</w:t>
      </w:r>
      <w:r>
        <w:t>/</w:t>
      </w:r>
      <w:r w:rsidRPr="00D4425F">
        <w:t>1814</w:t>
      </w:r>
      <w:r>
        <w:t xml:space="preserve"> betreffende de instelling en de werking van een marktstabiliteitsreserve voor de EU-regeling voor de handel in broeikasgasemissierechten en Verordening (EU) </w:t>
      </w:r>
      <w:r w:rsidRPr="00D4425F">
        <w:t>2015</w:t>
      </w:r>
      <w:r>
        <w:t>/</w:t>
      </w:r>
      <w:r w:rsidRPr="00D4425F">
        <w:t>757</w:t>
      </w:r>
      <w:r>
        <w:t xml:space="preserve"> (</w:t>
      </w:r>
      <w:hyperlink r:id="rId43" w:history="1">
        <w:r>
          <w:rPr>
            <w:rStyle w:val="Hyperlink"/>
          </w:rPr>
          <w:t>COM(</w:t>
        </w:r>
        <w:r w:rsidRPr="00D4425F">
          <w:rPr>
            <w:rStyle w:val="Hyperlink"/>
          </w:rPr>
          <w:t>2021</w:t>
        </w:r>
        <w:r>
          <w:rPr>
            <w:rStyle w:val="Hyperlink"/>
          </w:rPr>
          <w:t>) </w:t>
        </w:r>
        <w:r w:rsidRPr="00D4425F">
          <w:rPr>
            <w:rStyle w:val="Hyperlink"/>
          </w:rPr>
          <w:t>551</w:t>
        </w:r>
        <w:r>
          <w:rPr>
            <w:rStyle w:val="Hyperlink"/>
          </w:rPr>
          <w:t xml:space="preserve"> final</w:t>
        </w:r>
      </w:hyperlink>
      <w:r>
        <w:t xml:space="preserve">)  en voorstel voor een besluit van het Europees Parlement en de Raad tot wijziging van Besluit (EU) </w:t>
      </w:r>
      <w:r w:rsidRPr="00D4425F">
        <w:t>2015</w:t>
      </w:r>
      <w:r>
        <w:t>/</w:t>
      </w:r>
      <w:r w:rsidRPr="00D4425F">
        <w:t>1814</w:t>
      </w:r>
      <w:r>
        <w:t xml:space="preserve"> wat betreft de hoeveelheid emissierechten die tot </w:t>
      </w:r>
      <w:r w:rsidRPr="00D4425F">
        <w:t>2030</w:t>
      </w:r>
      <w:r>
        <w:t xml:space="preserve"> in de marktstabiliteitsreserve voor de EU-regeling voor de handel in broeikasgasemissierechten moet worden opgenomen (</w:t>
      </w:r>
      <w:hyperlink r:id="rId44" w:history="1">
        <w:r>
          <w:rPr>
            <w:rStyle w:val="Hyperlink"/>
          </w:rPr>
          <w:t>COM(</w:t>
        </w:r>
        <w:r w:rsidRPr="00D4425F">
          <w:rPr>
            <w:rStyle w:val="Hyperlink"/>
          </w:rPr>
          <w:t>2021</w:t>
        </w:r>
        <w:r>
          <w:rPr>
            <w:rStyle w:val="Hyperlink"/>
          </w:rPr>
          <w:t>) </w:t>
        </w:r>
        <w:r w:rsidRPr="00D4425F">
          <w:rPr>
            <w:rStyle w:val="Hyperlink"/>
          </w:rPr>
          <w:t>571</w:t>
        </w:r>
        <w:r>
          <w:rPr>
            <w:rStyle w:val="Hyperlink"/>
          </w:rPr>
          <w:t xml:space="preserve"> final</w:t>
        </w:r>
      </w:hyperlink>
      <w:r>
        <w:t>).</w:t>
      </w:r>
    </w:p>
  </w:footnote>
  <w:footnote w:id="79">
    <w:p w14:paraId="65111EDD" w14:textId="77777777" w:rsidR="008B0254" w:rsidRDefault="008B0254" w:rsidP="00666776">
      <w:pPr>
        <w:pStyle w:val="FootnoteText"/>
      </w:pPr>
      <w:r>
        <w:rPr>
          <w:rStyle w:val="FootnoteReference"/>
        </w:rPr>
        <w:footnoteRef/>
      </w:r>
      <w:r>
        <w:t xml:space="preserve"> Inclusief </w:t>
      </w:r>
      <w:r w:rsidRPr="00D4425F">
        <w:t>0</w:t>
      </w:r>
      <w:r>
        <w:t>,</w:t>
      </w:r>
      <w:r w:rsidRPr="00D4425F">
        <w:t>3</w:t>
      </w:r>
      <w:r>
        <w:t> miljoen ton onder het Zwitserse ETS.</w:t>
      </w:r>
    </w:p>
  </w:footnote>
  <w:footnote w:id="80">
    <w:p w14:paraId="5CD9E1B8" w14:textId="47CFC13E" w:rsidR="008B0254" w:rsidRDefault="008B0254" w:rsidP="00666776">
      <w:pPr>
        <w:pStyle w:val="FootnoteText"/>
      </w:pPr>
      <w:r>
        <w:rPr>
          <w:rStyle w:val="FootnoteReference"/>
        </w:rPr>
        <w:footnoteRef/>
      </w:r>
      <w:r>
        <w:t xml:space="preserve"> De verandering kan niet met het voorgaande jaar worden vergeleken, omdat het toepassingsgebied van het EU-ETS is gewijzigd.</w:t>
      </w:r>
    </w:p>
  </w:footnote>
  <w:footnote w:id="81">
    <w:p w14:paraId="2DB53D17" w14:textId="26D5E056" w:rsidR="008B0254" w:rsidRDefault="008B0254" w:rsidP="00666776">
      <w:pPr>
        <w:pStyle w:val="FootnoteText"/>
      </w:pPr>
      <w:r>
        <w:rPr>
          <w:rStyle w:val="FootnoteReference"/>
        </w:rPr>
        <w:footnoteRef/>
      </w:r>
      <w:r>
        <w:t xml:space="preserve"> Bij deze cijfers is geen rekening gehouden met vliegtuigexploitanten die hun activiteiten hebben beëindigd en met kosteloze emissierechten uit de speciale reserve voor nieuwkomers en snel groeiende exploitanten, noch met de opbrengsten in </w:t>
      </w:r>
      <w:r w:rsidRPr="00D4425F">
        <w:t>2012</w:t>
      </w:r>
      <w:r>
        <w:t xml:space="preserve"> als gevolg van de wijziging van het toepassingsgebied.</w:t>
      </w:r>
    </w:p>
  </w:footnote>
  <w:footnote w:id="82">
    <w:p w14:paraId="1CF56EC1" w14:textId="0118DBEE" w:rsidR="008B0254" w:rsidRDefault="008B0254" w:rsidP="00666776">
      <w:pPr>
        <w:pStyle w:val="FootnoteText"/>
      </w:pPr>
      <w:r>
        <w:rPr>
          <w:rStyle w:val="FootnoteReference"/>
        </w:rPr>
        <w:footnoteRef/>
      </w:r>
      <w:r>
        <w:t xml:space="preserve"> Rekening houdend met de niet-toegewezen aantallen als gevolg van de sluiting van vliegtuigexploitanten zou de reële toewijzing voor </w:t>
      </w:r>
      <w:r w:rsidRPr="00D4425F">
        <w:t>2019</w:t>
      </w:r>
      <w:r>
        <w:t xml:space="preserve"> </w:t>
      </w:r>
      <w:r w:rsidRPr="00D4425F">
        <w:t>4</w:t>
      </w:r>
      <w:r>
        <w:t> miljoen lager zijn dan het vermelde cijfer (zie voetnoot </w:t>
      </w:r>
      <w:r w:rsidRPr="00D4425F">
        <w:t>8</w:t>
      </w:r>
      <w:r>
        <w:t xml:space="preserve"> in mededeling C/</w:t>
      </w:r>
      <w:r w:rsidRPr="00D4425F">
        <w:t>2020</w:t>
      </w:r>
      <w:r>
        <w:t>/</w:t>
      </w:r>
      <w:r w:rsidRPr="00D4425F">
        <w:t>8643</w:t>
      </w:r>
      <w:r>
        <w:t xml:space="preserve"> (</w:t>
      </w:r>
      <w:hyperlink r:id="rId45" w:history="1">
        <w:r>
          <w:rPr>
            <w:rStyle w:val="Hyperlink"/>
          </w:rPr>
          <w:t>PB C </w:t>
        </w:r>
        <w:r w:rsidRPr="00D4425F">
          <w:rPr>
            <w:rStyle w:val="Hyperlink"/>
          </w:rPr>
          <w:t>428</w:t>
        </w:r>
      </w:hyperlink>
      <w:r>
        <w:t xml:space="preserve"> van </w:t>
      </w:r>
      <w:r w:rsidRPr="00D4425F">
        <w:t>11</w:t>
      </w:r>
      <w:r>
        <w:t>.</w:t>
      </w:r>
      <w:r w:rsidRPr="00D4425F">
        <w:t>12</w:t>
      </w:r>
      <w:r>
        <w:t>.</w:t>
      </w:r>
      <w:r w:rsidRPr="00D4425F">
        <w:t>2020</w:t>
      </w:r>
      <w:r>
        <w:t>, blz. </w:t>
      </w:r>
      <w:r w:rsidRPr="00D4425F">
        <w:t>1</w:t>
      </w:r>
      <w:r>
        <w:t>)). Toewijzing voor het Verenigd Koninkrijk (</w:t>
      </w:r>
      <w:r w:rsidRPr="00D4425F">
        <w:t>4</w:t>
      </w:r>
      <w:r>
        <w:t>,</w:t>
      </w:r>
      <w:r w:rsidRPr="00D4425F">
        <w:t>31</w:t>
      </w:r>
      <w:r>
        <w:t xml:space="preserve"> miljoen emissierechten van het totaal voor </w:t>
      </w:r>
      <w:r w:rsidRPr="00D4425F">
        <w:t>2019</w:t>
      </w:r>
      <w:r>
        <w:t xml:space="preserve">) die als gevolg van de vrijwaringsmaatregelen van de Commissie ter bescherming van de milieu-integriteit van het EU-ETS ingeval het EU-recht niet langer van toepassing is op een lidstaat die zich terugtrekt uit de EU in </w:t>
      </w:r>
      <w:r w:rsidRPr="00D4425F">
        <w:t>2019</w:t>
      </w:r>
      <w:r>
        <w:t xml:space="preserve"> werd opgeschort en in </w:t>
      </w:r>
      <w:r w:rsidRPr="00D4425F">
        <w:t>2020</w:t>
      </w:r>
      <w:r>
        <w:t xml:space="preserve"> werd hervat.</w:t>
      </w:r>
    </w:p>
  </w:footnote>
  <w:footnote w:id="83">
    <w:p w14:paraId="0EA69BF6" w14:textId="04CD0551" w:rsidR="008B0254" w:rsidRDefault="008B0254" w:rsidP="00666776">
      <w:pPr>
        <w:pStyle w:val="FootnoteText"/>
      </w:pPr>
      <w:r>
        <w:rPr>
          <w:rStyle w:val="FootnoteReference"/>
        </w:rPr>
        <w:footnoteRef/>
      </w:r>
      <w:r>
        <w:t xml:space="preserve"> In dit aantal is rekening gehouden met vluchten die vanuit de EER naar Zwitserland vertrekken en tussen de EER en het Verenigd Koninkrijk, overeenkomstig het terugtrekkingsakkoord.</w:t>
      </w:r>
    </w:p>
  </w:footnote>
  <w:footnote w:id="84">
    <w:p w14:paraId="28B9E889" w14:textId="51394407" w:rsidR="008B0254" w:rsidRDefault="008B0254" w:rsidP="00666776">
      <w:pPr>
        <w:pStyle w:val="FootnoteText"/>
      </w:pPr>
      <w:r>
        <w:rPr>
          <w:rStyle w:val="FootnoteReference"/>
        </w:rPr>
        <w:footnoteRef/>
      </w:r>
      <w:r>
        <w:t xml:space="preserve"> In dit aantal is nog geen rekening gehouden met de vluchten die vanuit de EER naar het Verenigd Koninkrijk vertrekken, die deel uitmaken van het EU-ETS overeenkomstig de handels- en samenwerkingsovereenkomst tussen de EU en het Verenigd Koninkrijk. </w:t>
      </w:r>
    </w:p>
  </w:footnote>
  <w:footnote w:id="85">
    <w:p w14:paraId="7F1AA423" w14:textId="7996520E" w:rsidR="008B0254" w:rsidRDefault="008B0254" w:rsidP="00666776">
      <w:pPr>
        <w:pStyle w:val="FootnoteText"/>
      </w:pPr>
      <w:r>
        <w:rPr>
          <w:rStyle w:val="FootnoteReference"/>
        </w:rPr>
        <w:footnoteRef/>
      </w:r>
      <w:r w:rsidR="009755A3">
        <w:t xml:space="preserve"> Tot eind juni </w:t>
      </w:r>
      <w:r w:rsidRPr="00D4425F">
        <w:t>2021</w:t>
      </w:r>
      <w:r>
        <w:t>.</w:t>
      </w:r>
    </w:p>
  </w:footnote>
  <w:footnote w:id="86">
    <w:p w14:paraId="6C5CC483" w14:textId="1FAA1622" w:rsidR="008B0254" w:rsidRDefault="008B0254" w:rsidP="00CC361B">
      <w:pPr>
        <w:spacing w:after="0" w:line="240" w:lineRule="auto"/>
        <w:jc w:val="both"/>
      </w:pPr>
      <w:r>
        <w:rPr>
          <w:rStyle w:val="FootnoteReference"/>
          <w:rFonts w:ascii="Times New Roman" w:hAnsi="Times New Roman"/>
          <w:sz w:val="18"/>
          <w:szCs w:val="18"/>
        </w:rPr>
        <w:footnoteRef/>
      </w:r>
      <w:r>
        <w:rPr>
          <w:rFonts w:ascii="Times New Roman" w:hAnsi="Times New Roman"/>
          <w:sz w:val="18"/>
          <w:szCs w:val="18"/>
        </w:rPr>
        <w:t xml:space="preserve"> Besluit nr. </w:t>
      </w:r>
      <w:r w:rsidRPr="00D4425F">
        <w:rPr>
          <w:rFonts w:ascii="Times New Roman" w:hAnsi="Times New Roman"/>
          <w:sz w:val="18"/>
          <w:szCs w:val="18"/>
        </w:rPr>
        <w:t>377</w:t>
      </w:r>
      <w:r>
        <w:rPr>
          <w:rFonts w:ascii="Times New Roman" w:hAnsi="Times New Roman"/>
          <w:sz w:val="18"/>
          <w:szCs w:val="18"/>
        </w:rPr>
        <w:t>/</w:t>
      </w:r>
      <w:r w:rsidRPr="00D4425F">
        <w:rPr>
          <w:rFonts w:ascii="Times New Roman" w:hAnsi="Times New Roman"/>
          <w:sz w:val="18"/>
          <w:szCs w:val="18"/>
        </w:rPr>
        <w:t>2013</w:t>
      </w:r>
      <w:r>
        <w:rPr>
          <w:rFonts w:ascii="Times New Roman" w:hAnsi="Times New Roman"/>
          <w:sz w:val="18"/>
          <w:szCs w:val="18"/>
        </w:rPr>
        <w:t xml:space="preserve">/EU van het Europees Parlement en de Raad van </w:t>
      </w:r>
      <w:r w:rsidRPr="00D4425F">
        <w:rPr>
          <w:rFonts w:ascii="Times New Roman" w:hAnsi="Times New Roman"/>
          <w:sz w:val="18"/>
          <w:szCs w:val="18"/>
        </w:rPr>
        <w:t>24</w:t>
      </w:r>
      <w:r>
        <w:rPr>
          <w:rFonts w:ascii="Times New Roman" w:hAnsi="Times New Roman"/>
          <w:sz w:val="18"/>
          <w:szCs w:val="18"/>
        </w:rPr>
        <w:t xml:space="preserve"> april </w:t>
      </w:r>
      <w:r w:rsidRPr="00D4425F">
        <w:rPr>
          <w:rFonts w:ascii="Times New Roman" w:hAnsi="Times New Roman"/>
          <w:sz w:val="18"/>
          <w:szCs w:val="18"/>
        </w:rPr>
        <w:t>2013</w:t>
      </w:r>
      <w:r>
        <w:rPr>
          <w:rFonts w:ascii="Times New Roman" w:hAnsi="Times New Roman"/>
          <w:sz w:val="18"/>
          <w:szCs w:val="18"/>
        </w:rPr>
        <w:t xml:space="preserve"> tot tijdelijke afwijking van Richtlijn </w:t>
      </w:r>
      <w:r w:rsidRPr="00D4425F">
        <w:rPr>
          <w:rFonts w:ascii="Times New Roman" w:hAnsi="Times New Roman"/>
          <w:sz w:val="18"/>
          <w:szCs w:val="18"/>
        </w:rPr>
        <w:t>2003</w:t>
      </w:r>
      <w:r>
        <w:rPr>
          <w:rFonts w:ascii="Times New Roman" w:hAnsi="Times New Roman"/>
          <w:sz w:val="18"/>
          <w:szCs w:val="18"/>
        </w:rPr>
        <w:t>/</w:t>
      </w:r>
      <w:r w:rsidRPr="00D4425F">
        <w:rPr>
          <w:rFonts w:ascii="Times New Roman" w:hAnsi="Times New Roman"/>
          <w:sz w:val="18"/>
          <w:szCs w:val="18"/>
        </w:rPr>
        <w:t>87</w:t>
      </w:r>
      <w:r>
        <w:rPr>
          <w:rFonts w:ascii="Times New Roman" w:hAnsi="Times New Roman"/>
          <w:sz w:val="18"/>
          <w:szCs w:val="18"/>
        </w:rPr>
        <w:t>/EG tot vaststelling van een regeling voor de handel in broeikasgasemissierechten binnen de Gemeenschap (</w:t>
      </w:r>
      <w:hyperlink r:id="rId46" w:history="1">
        <w:r>
          <w:rPr>
            <w:rStyle w:val="Hyperlink"/>
            <w:rFonts w:ascii="Times New Roman" w:hAnsi="Times New Roman"/>
            <w:sz w:val="18"/>
            <w:szCs w:val="18"/>
          </w:rPr>
          <w:t>PB L </w:t>
        </w:r>
        <w:r w:rsidRPr="00D4425F">
          <w:rPr>
            <w:rStyle w:val="Hyperlink"/>
            <w:rFonts w:ascii="Times New Roman" w:hAnsi="Times New Roman"/>
            <w:sz w:val="18"/>
            <w:szCs w:val="18"/>
          </w:rPr>
          <w:t>113</w:t>
        </w:r>
      </w:hyperlink>
      <w:r>
        <w:rPr>
          <w:rFonts w:ascii="Times New Roman" w:hAnsi="Times New Roman"/>
          <w:sz w:val="18"/>
          <w:szCs w:val="18"/>
        </w:rPr>
        <w:t xml:space="preserve"> van </w:t>
      </w:r>
      <w:r w:rsidRPr="00D4425F">
        <w:rPr>
          <w:rFonts w:ascii="Times New Roman" w:hAnsi="Times New Roman"/>
          <w:sz w:val="18"/>
          <w:szCs w:val="18"/>
        </w:rPr>
        <w:t>25</w:t>
      </w:r>
      <w:r>
        <w:rPr>
          <w:rFonts w:ascii="Times New Roman" w:hAnsi="Times New Roman"/>
          <w:sz w:val="18"/>
          <w:szCs w:val="18"/>
        </w:rPr>
        <w:t>.</w:t>
      </w:r>
      <w:r w:rsidRPr="00D4425F">
        <w:rPr>
          <w:rFonts w:ascii="Times New Roman" w:hAnsi="Times New Roman"/>
          <w:sz w:val="18"/>
          <w:szCs w:val="18"/>
        </w:rPr>
        <w:t>4</w:t>
      </w:r>
      <w:r>
        <w:rPr>
          <w:rFonts w:ascii="Times New Roman" w:hAnsi="Times New Roman"/>
          <w:sz w:val="18"/>
          <w:szCs w:val="18"/>
        </w:rPr>
        <w:t>.</w:t>
      </w:r>
      <w:r w:rsidRPr="00D4425F">
        <w:rPr>
          <w:rFonts w:ascii="Times New Roman" w:hAnsi="Times New Roman"/>
          <w:sz w:val="18"/>
          <w:szCs w:val="18"/>
        </w:rPr>
        <w:t>2013</w:t>
      </w:r>
      <w:r>
        <w:rPr>
          <w:rFonts w:ascii="Times New Roman" w:hAnsi="Times New Roman"/>
          <w:sz w:val="18"/>
          <w:szCs w:val="18"/>
        </w:rPr>
        <w:t>, blz. </w:t>
      </w:r>
      <w:r w:rsidRPr="00D4425F">
        <w:rPr>
          <w:rFonts w:ascii="Times New Roman" w:hAnsi="Times New Roman"/>
          <w:sz w:val="18"/>
          <w:szCs w:val="18"/>
        </w:rPr>
        <w:t>1</w:t>
      </w:r>
      <w:r>
        <w:rPr>
          <w:rFonts w:ascii="Times New Roman" w:hAnsi="Times New Roman"/>
          <w:sz w:val="18"/>
          <w:szCs w:val="18"/>
        </w:rPr>
        <w:t>).</w:t>
      </w:r>
    </w:p>
  </w:footnote>
  <w:footnote w:id="87">
    <w:p w14:paraId="3DEBD75E" w14:textId="06907288" w:rsidR="008B0254" w:rsidRPr="00960A0B" w:rsidRDefault="008B0254" w:rsidP="00666776">
      <w:pPr>
        <w:pStyle w:val="FootnoteText"/>
      </w:pPr>
      <w:r>
        <w:rPr>
          <w:rStyle w:val="FootnoteReference"/>
        </w:rPr>
        <w:footnoteRef/>
      </w:r>
      <w:r>
        <w:t xml:space="preserve"> Verordening (EU) nr. </w:t>
      </w:r>
      <w:r w:rsidRPr="00D4425F">
        <w:t>421</w:t>
      </w:r>
      <w:r>
        <w:t>/</w:t>
      </w:r>
      <w:r w:rsidRPr="00D4425F">
        <w:t>2014</w:t>
      </w:r>
      <w:r>
        <w:t xml:space="preserve"> van het Europees Parlement en de Raad van </w:t>
      </w:r>
      <w:r w:rsidRPr="00D4425F">
        <w:t>16</w:t>
      </w:r>
      <w:r>
        <w:t xml:space="preserve"> april </w:t>
      </w:r>
      <w:r w:rsidRPr="00D4425F">
        <w:t>2014</w:t>
      </w:r>
      <w:r>
        <w:t xml:space="preserve"> (</w:t>
      </w:r>
      <w:hyperlink r:id="rId47" w:history="1">
        <w:r>
          <w:rPr>
            <w:rStyle w:val="Hyperlink"/>
          </w:rPr>
          <w:t>PB L </w:t>
        </w:r>
        <w:r w:rsidRPr="00D4425F">
          <w:rPr>
            <w:rStyle w:val="Hyperlink"/>
          </w:rPr>
          <w:t>129</w:t>
        </w:r>
      </w:hyperlink>
      <w:r>
        <w:t xml:space="preserve"> van </w:t>
      </w:r>
      <w:r w:rsidRPr="00D4425F">
        <w:t>30</w:t>
      </w:r>
      <w:r>
        <w:t>.</w:t>
      </w:r>
      <w:r w:rsidRPr="00D4425F">
        <w:t>4</w:t>
      </w:r>
      <w:r>
        <w:t>.</w:t>
      </w:r>
      <w:r w:rsidRPr="00D4425F">
        <w:t>2014</w:t>
      </w:r>
      <w:r>
        <w:t>, blz. </w:t>
      </w:r>
      <w:r w:rsidRPr="00D4425F">
        <w:t>1</w:t>
      </w:r>
      <w:r>
        <w:t>).</w:t>
      </w:r>
    </w:p>
  </w:footnote>
  <w:footnote w:id="88">
    <w:p w14:paraId="73830133" w14:textId="10B711C1" w:rsidR="008B0254" w:rsidRDefault="008B0254">
      <w:pPr>
        <w:pStyle w:val="FootnoteText"/>
      </w:pPr>
      <w:r>
        <w:rPr>
          <w:rStyle w:val="FootnoteReference"/>
        </w:rPr>
        <w:footnoteRef/>
      </w:r>
      <w:r>
        <w:t xml:space="preserve"> ICAO, </w:t>
      </w:r>
      <w:hyperlink r:id="rId48" w:history="1">
        <w:r>
          <w:rPr>
            <w:rStyle w:val="Hyperlink"/>
          </w:rPr>
          <w:t>C-WP/</w:t>
        </w:r>
        <w:r w:rsidRPr="00D4425F">
          <w:rPr>
            <w:rStyle w:val="Hyperlink"/>
          </w:rPr>
          <w:t>15209</w:t>
        </w:r>
      </w:hyperlink>
      <w:r w:rsidR="00AD1EAB">
        <w:t xml:space="preserve"> van mei </w:t>
      </w:r>
      <w:r w:rsidRPr="00D4425F">
        <w:t>2021</w:t>
      </w:r>
      <w:r>
        <w:t>.</w:t>
      </w:r>
    </w:p>
  </w:footnote>
  <w:footnote w:id="89">
    <w:p w14:paraId="2640AC03" w14:textId="28B87A38" w:rsidR="008B0254" w:rsidRPr="00AD2714" w:rsidRDefault="008B0254">
      <w:pPr>
        <w:pStyle w:val="FootnoteText"/>
        <w:rPr>
          <w:lang w:val="en-GB"/>
        </w:rPr>
      </w:pPr>
      <w:r>
        <w:rPr>
          <w:rStyle w:val="FootnoteReference"/>
        </w:rPr>
        <w:footnoteRef/>
      </w:r>
      <w:r w:rsidRPr="00AD2714">
        <w:rPr>
          <w:lang w:val="en-GB"/>
        </w:rPr>
        <w:t xml:space="preserve"> Eurocontrol, </w:t>
      </w:r>
      <w:hyperlink r:id="rId49" w:history="1">
        <w:r w:rsidRPr="00AD2714">
          <w:rPr>
            <w:rStyle w:val="Hyperlink"/>
            <w:lang w:val="en-GB"/>
          </w:rPr>
          <w:t>COVID-</w:t>
        </w:r>
        <w:r w:rsidRPr="00D4425F">
          <w:rPr>
            <w:rStyle w:val="Hyperlink"/>
            <w:lang w:val="en-GB"/>
          </w:rPr>
          <w:t>19</w:t>
        </w:r>
        <w:r w:rsidRPr="00AD2714">
          <w:rPr>
            <w:rStyle w:val="Hyperlink"/>
            <w:lang w:val="en-GB"/>
          </w:rPr>
          <w:t xml:space="preserve"> impact on the European air traffic network</w:t>
        </w:r>
      </w:hyperlink>
      <w:r w:rsidR="00AD1EAB">
        <w:rPr>
          <w:lang w:val="en-GB"/>
        </w:rPr>
        <w:t xml:space="preserve"> van September </w:t>
      </w:r>
      <w:r w:rsidRPr="00D4425F">
        <w:rPr>
          <w:lang w:val="en-GB"/>
        </w:rPr>
        <w:t>2021</w:t>
      </w:r>
      <w:r w:rsidRPr="00AD2714">
        <w:rPr>
          <w:lang w:val="en-GB"/>
        </w:rPr>
        <w:t>.</w:t>
      </w:r>
    </w:p>
  </w:footnote>
  <w:footnote w:id="90">
    <w:p w14:paraId="2A528F6D" w14:textId="31AC257D" w:rsidR="008B0254" w:rsidRDefault="008B0254" w:rsidP="00666776">
      <w:pPr>
        <w:pStyle w:val="FootnoteText"/>
      </w:pPr>
      <w:r>
        <w:rPr>
          <w:rStyle w:val="FootnoteReference"/>
        </w:rPr>
        <w:footnoteRef/>
      </w:r>
      <w:r>
        <w:t xml:space="preserve"> Verordening (EU) </w:t>
      </w:r>
      <w:r w:rsidRPr="00D4425F">
        <w:t>2017</w:t>
      </w:r>
      <w:r>
        <w:t>/</w:t>
      </w:r>
      <w:r w:rsidRPr="00D4425F">
        <w:t>2392</w:t>
      </w:r>
      <w:r>
        <w:t xml:space="preserve"> van het Europees Parlement en de Raad van </w:t>
      </w:r>
      <w:r w:rsidRPr="00D4425F">
        <w:t>13</w:t>
      </w:r>
      <w:r>
        <w:t xml:space="preserve"> december </w:t>
      </w:r>
      <w:r w:rsidRPr="00D4425F">
        <w:t>2017</w:t>
      </w:r>
      <w:r>
        <w:t xml:space="preserve"> tot wijziging van Richtlijn </w:t>
      </w:r>
      <w:r w:rsidRPr="00D4425F">
        <w:t>2003</w:t>
      </w:r>
      <w:r>
        <w:t>/</w:t>
      </w:r>
      <w:r w:rsidRPr="00D4425F">
        <w:t>87</w:t>
      </w:r>
      <w:r>
        <w:t xml:space="preserve">/EG om de huidige beperkingen van het toepassingsgebied voor luchtvaartactiviteiten voort te zetten en de tenuitvoerlegging van een wereldwijde marktgebaseerde maatregel vanaf </w:t>
      </w:r>
      <w:r w:rsidRPr="00D4425F">
        <w:t>2021</w:t>
      </w:r>
      <w:r>
        <w:t xml:space="preserve"> voor te bereiden (</w:t>
      </w:r>
      <w:hyperlink r:id="rId50" w:history="1">
        <w:r>
          <w:rPr>
            <w:rStyle w:val="Hyperlink"/>
          </w:rPr>
          <w:t>PB L </w:t>
        </w:r>
        <w:r w:rsidRPr="00D4425F">
          <w:rPr>
            <w:rStyle w:val="Hyperlink"/>
          </w:rPr>
          <w:t>350</w:t>
        </w:r>
      </w:hyperlink>
      <w:r>
        <w:t xml:space="preserve"> van </w:t>
      </w:r>
      <w:r w:rsidRPr="00D4425F">
        <w:t>29</w:t>
      </w:r>
      <w:r>
        <w:t>.</w:t>
      </w:r>
      <w:r w:rsidRPr="00D4425F">
        <w:t>12</w:t>
      </w:r>
      <w:r>
        <w:t>.</w:t>
      </w:r>
      <w:r w:rsidRPr="00D4425F">
        <w:t>2017</w:t>
      </w:r>
      <w:r>
        <w:t>, blz. </w:t>
      </w:r>
      <w:r w:rsidRPr="00D4425F">
        <w:t>7</w:t>
      </w:r>
      <w:r w:rsidR="00AD1EAB">
        <w:t>).</w:t>
      </w:r>
    </w:p>
  </w:footnote>
  <w:footnote w:id="91">
    <w:p w14:paraId="4612AEF9" w14:textId="43F999B0" w:rsidR="008B0254" w:rsidRDefault="008B0254" w:rsidP="00666776">
      <w:pPr>
        <w:pStyle w:val="FootnoteText"/>
      </w:pPr>
      <w:r>
        <w:rPr>
          <w:rStyle w:val="FootnoteReference"/>
        </w:rPr>
        <w:footnoteRef/>
      </w:r>
      <w:r>
        <w:t xml:space="preserve"> Voorstel voor een richtlijn van het Europees Parlement en de Raad tot wijziging van Richtlijn </w:t>
      </w:r>
      <w:r w:rsidRPr="00D4425F">
        <w:t>2003</w:t>
      </w:r>
      <w:r>
        <w:t>/</w:t>
      </w:r>
      <w:r w:rsidRPr="00D4425F">
        <w:t>87</w:t>
      </w:r>
      <w:r>
        <w:t>/EG wat betreft de bijdrage van de luchtvaart aan de emissiereductiedoelstelling van de Unie voor de hele economie en de passende toepassing van een wereldwijde marktgebaseerde maatregel (</w:t>
      </w:r>
      <w:hyperlink r:id="rId51" w:history="1">
        <w:r>
          <w:rPr>
            <w:rStyle w:val="Hyperlink"/>
          </w:rPr>
          <w:t>COM(</w:t>
        </w:r>
        <w:r w:rsidRPr="00D4425F">
          <w:rPr>
            <w:rStyle w:val="Hyperlink"/>
          </w:rPr>
          <w:t>2021</w:t>
        </w:r>
        <w:r>
          <w:rPr>
            <w:rStyle w:val="Hyperlink"/>
          </w:rPr>
          <w:t>) </w:t>
        </w:r>
        <w:r w:rsidRPr="00D4425F">
          <w:rPr>
            <w:rStyle w:val="Hyperlink"/>
          </w:rPr>
          <w:t>552</w:t>
        </w:r>
        <w:r>
          <w:rPr>
            <w:rStyle w:val="Hyperlink"/>
          </w:rPr>
          <w:t xml:space="preserve"> final</w:t>
        </w:r>
      </w:hyperlink>
      <w:r>
        <w:t>).</w:t>
      </w:r>
    </w:p>
  </w:footnote>
  <w:footnote w:id="92">
    <w:p w14:paraId="13FC9442" w14:textId="7E95875A" w:rsidR="008B0254" w:rsidRDefault="008B0254" w:rsidP="00666776">
      <w:pPr>
        <w:pStyle w:val="FootnoteText"/>
      </w:pPr>
      <w:r>
        <w:rPr>
          <w:rStyle w:val="FootnoteReference"/>
        </w:rPr>
        <w:footnoteRef/>
      </w:r>
      <w:r>
        <w:t xml:space="preserve"> De effectbeoordeling is te vinden in </w:t>
      </w:r>
      <w:hyperlink r:id="rId52" w:history="1">
        <w:r>
          <w:rPr>
            <w:rStyle w:val="Hyperlink"/>
          </w:rPr>
          <w:t>SWD(</w:t>
        </w:r>
        <w:r w:rsidRPr="00D4425F">
          <w:rPr>
            <w:rStyle w:val="Hyperlink"/>
          </w:rPr>
          <w:t>2021</w:t>
        </w:r>
        <w:r>
          <w:rPr>
            <w:rStyle w:val="Hyperlink"/>
          </w:rPr>
          <w:t>) </w:t>
        </w:r>
        <w:r w:rsidRPr="00D4425F">
          <w:rPr>
            <w:rStyle w:val="Hyperlink"/>
          </w:rPr>
          <w:t>603</w:t>
        </w:r>
        <w:r>
          <w:rPr>
            <w:rStyle w:val="Hyperlink"/>
          </w:rPr>
          <w:t xml:space="preserve"> final</w:t>
        </w:r>
      </w:hyperlink>
      <w:r>
        <w:t>.</w:t>
      </w:r>
    </w:p>
  </w:footnote>
  <w:footnote w:id="93">
    <w:p w14:paraId="6442D68C" w14:textId="3DF1F350" w:rsidR="008B0254" w:rsidRDefault="008B0254" w:rsidP="00666776">
      <w:pPr>
        <w:pStyle w:val="FootnoteText"/>
      </w:pPr>
      <w:r>
        <w:rPr>
          <w:rStyle w:val="FootnoteReference"/>
        </w:rPr>
        <w:footnoteRef/>
      </w:r>
      <w:r>
        <w:t xml:space="preserve"> Contracten waarbij de levering van emissierechten (bijna) onmiddellijk plaatsvindt.</w:t>
      </w:r>
    </w:p>
  </w:footnote>
  <w:footnote w:id="94">
    <w:p w14:paraId="732DAA39" w14:textId="6C7C6668" w:rsidR="008B0254" w:rsidRDefault="008B0254" w:rsidP="00666776">
      <w:pPr>
        <w:pStyle w:val="FootnoteText"/>
      </w:pPr>
      <w:r>
        <w:rPr>
          <w:rStyle w:val="FootnoteReference"/>
        </w:rPr>
        <w:footnoteRef/>
      </w:r>
      <w:r>
        <w:t xml:space="preserve"> Richtlijn </w:t>
      </w:r>
      <w:r w:rsidRPr="00D4425F">
        <w:t>2014</w:t>
      </w:r>
      <w:r>
        <w:t>/</w:t>
      </w:r>
      <w:r w:rsidRPr="00D4425F">
        <w:t>65</w:t>
      </w:r>
      <w:r>
        <w:t xml:space="preserve">/EU van het Europees Parlement en de Raad van </w:t>
      </w:r>
      <w:r w:rsidRPr="00D4425F">
        <w:t>15</w:t>
      </w:r>
      <w:r>
        <w:t xml:space="preserve"> mei </w:t>
      </w:r>
      <w:r w:rsidRPr="00D4425F">
        <w:t>2014</w:t>
      </w:r>
      <w:r>
        <w:t xml:space="preserve"> betreffende markten voor financiële instrumenten en tot wijziging van Richtlijn </w:t>
      </w:r>
      <w:r w:rsidRPr="00D4425F">
        <w:t>2002</w:t>
      </w:r>
      <w:r>
        <w:t>/</w:t>
      </w:r>
      <w:r w:rsidRPr="00D4425F">
        <w:t>92</w:t>
      </w:r>
      <w:r>
        <w:t xml:space="preserve">/EG en Richtlijn </w:t>
      </w:r>
      <w:r w:rsidRPr="00D4425F">
        <w:t>2011</w:t>
      </w:r>
      <w:r>
        <w:t>/</w:t>
      </w:r>
      <w:r w:rsidRPr="00D4425F">
        <w:t>61</w:t>
      </w:r>
      <w:r>
        <w:t>/EU (</w:t>
      </w:r>
      <w:hyperlink r:id="rId53" w:history="1">
        <w:r>
          <w:rPr>
            <w:rStyle w:val="Hyperlink"/>
          </w:rPr>
          <w:t>PB L </w:t>
        </w:r>
        <w:r w:rsidRPr="00D4425F">
          <w:rPr>
            <w:rStyle w:val="Hyperlink"/>
          </w:rPr>
          <w:t>173</w:t>
        </w:r>
      </w:hyperlink>
      <w:r>
        <w:t xml:space="preserve"> van </w:t>
      </w:r>
      <w:r w:rsidRPr="00D4425F">
        <w:t>12</w:t>
      </w:r>
      <w:r>
        <w:t>.</w:t>
      </w:r>
      <w:r w:rsidRPr="00D4425F">
        <w:t>6</w:t>
      </w:r>
      <w:r>
        <w:t>.</w:t>
      </w:r>
      <w:r w:rsidRPr="00D4425F">
        <w:t>2014</w:t>
      </w:r>
      <w:r>
        <w:t>, blz. </w:t>
      </w:r>
      <w:r w:rsidRPr="00D4425F">
        <w:t>349</w:t>
      </w:r>
      <w:r>
        <w:t>).</w:t>
      </w:r>
    </w:p>
  </w:footnote>
  <w:footnote w:id="95">
    <w:p w14:paraId="3745F1A6" w14:textId="1F8BFCBF" w:rsidR="008B0254" w:rsidRDefault="008B0254" w:rsidP="00666776">
      <w:pPr>
        <w:pStyle w:val="FootnoteText"/>
      </w:pPr>
      <w:r>
        <w:rPr>
          <w:rStyle w:val="FootnoteReference"/>
        </w:rPr>
        <w:footnoteRef/>
      </w:r>
      <w:r>
        <w:t xml:space="preserve"> Verordening (EU) nr. </w:t>
      </w:r>
      <w:r w:rsidRPr="00D4425F">
        <w:t>1031</w:t>
      </w:r>
      <w:r>
        <w:t>/</w:t>
      </w:r>
      <w:r w:rsidRPr="00D4425F">
        <w:t>2010</w:t>
      </w:r>
      <w:r>
        <w:t xml:space="preserve"> van de Commissie van </w:t>
      </w:r>
      <w:r w:rsidRPr="00D4425F">
        <w:t>12</w:t>
      </w:r>
      <w:r>
        <w:t xml:space="preserve"> november </w:t>
      </w:r>
      <w:r w:rsidRPr="00D4425F">
        <w:t>2010</w:t>
      </w:r>
      <w:r>
        <w:t xml:space="preserve"> inzake de tijdstippen, het beheer en andere aspecten van de veiling van broeikasgasemissierechten overeenkomstig Richtlijn </w:t>
      </w:r>
      <w:r w:rsidRPr="00D4425F">
        <w:t>2003</w:t>
      </w:r>
      <w:r>
        <w:t>/</w:t>
      </w:r>
      <w:r w:rsidRPr="00D4425F">
        <w:t>87</w:t>
      </w:r>
      <w:r>
        <w:t>/EG van het Europees Parlement en de Raad tot vaststelling van een regeling voor de handel in broeikasgasemissierechten binnen de Gemeenschap (</w:t>
      </w:r>
      <w:hyperlink r:id="rId54" w:history="1">
        <w:r>
          <w:rPr>
            <w:rStyle w:val="Hyperlink"/>
          </w:rPr>
          <w:t>PB L </w:t>
        </w:r>
        <w:r w:rsidRPr="00D4425F">
          <w:rPr>
            <w:rStyle w:val="Hyperlink"/>
          </w:rPr>
          <w:t>302</w:t>
        </w:r>
      </w:hyperlink>
      <w:r>
        <w:t xml:space="preserve"> van </w:t>
      </w:r>
      <w:r w:rsidRPr="00D4425F">
        <w:t>18</w:t>
      </w:r>
      <w:r>
        <w:t>.</w:t>
      </w:r>
      <w:r w:rsidRPr="00D4425F">
        <w:t>11</w:t>
      </w:r>
      <w:r>
        <w:t>.</w:t>
      </w:r>
      <w:r w:rsidRPr="00D4425F">
        <w:t>2010</w:t>
      </w:r>
      <w:r>
        <w:t>, blz. </w:t>
      </w:r>
      <w:r w:rsidRPr="00D4425F">
        <w:t>1</w:t>
      </w:r>
      <w:r>
        <w:t>).</w:t>
      </w:r>
    </w:p>
  </w:footnote>
  <w:footnote w:id="96">
    <w:p w14:paraId="39E84617" w14:textId="7571A858" w:rsidR="008B0254" w:rsidRDefault="008B0254" w:rsidP="00666776">
      <w:pPr>
        <w:pStyle w:val="FootnoteText"/>
      </w:pPr>
      <w:r>
        <w:rPr>
          <w:rStyle w:val="FootnoteReference"/>
        </w:rPr>
        <w:footnoteRef/>
      </w:r>
      <w:r>
        <w:t xml:space="preserve"> Verordening (EU) nr. </w:t>
      </w:r>
      <w:r w:rsidRPr="00D4425F">
        <w:t>596</w:t>
      </w:r>
      <w:r>
        <w:t>/</w:t>
      </w:r>
      <w:r w:rsidRPr="00D4425F">
        <w:t>2014</w:t>
      </w:r>
      <w:r>
        <w:t xml:space="preserve"> van het Europees Parlement en de Raad van </w:t>
      </w:r>
      <w:r w:rsidRPr="00D4425F">
        <w:t>16</w:t>
      </w:r>
      <w:r>
        <w:t xml:space="preserve"> april </w:t>
      </w:r>
      <w:r w:rsidRPr="00D4425F">
        <w:t>2014</w:t>
      </w:r>
      <w:r>
        <w:t xml:space="preserve"> betreffende marktmisbruik (Verordening marktmisbruik) en houdende intrekking van Richtlijn </w:t>
      </w:r>
      <w:r w:rsidRPr="00D4425F">
        <w:t>2003</w:t>
      </w:r>
      <w:r>
        <w:t>/</w:t>
      </w:r>
      <w:r w:rsidRPr="00D4425F">
        <w:t>6</w:t>
      </w:r>
      <w:r>
        <w:t xml:space="preserve">/EG van het Europees Parlement en de Raad en Richtlijnen </w:t>
      </w:r>
      <w:r w:rsidRPr="00D4425F">
        <w:t>2003</w:t>
      </w:r>
      <w:r>
        <w:t>/</w:t>
      </w:r>
      <w:r w:rsidRPr="00D4425F">
        <w:t>124</w:t>
      </w:r>
      <w:r>
        <w:t xml:space="preserve">/EG, </w:t>
      </w:r>
      <w:r w:rsidRPr="00D4425F">
        <w:t>2003</w:t>
      </w:r>
      <w:r>
        <w:t>/</w:t>
      </w:r>
      <w:r w:rsidRPr="00D4425F">
        <w:t>125</w:t>
      </w:r>
      <w:r>
        <w:t xml:space="preserve">/EG en </w:t>
      </w:r>
      <w:r w:rsidRPr="00D4425F">
        <w:t>2004</w:t>
      </w:r>
      <w:r>
        <w:t>/</w:t>
      </w:r>
      <w:r w:rsidRPr="00D4425F">
        <w:t>72</w:t>
      </w:r>
      <w:r>
        <w:t>/EG van de Commissie (</w:t>
      </w:r>
      <w:hyperlink r:id="rId55" w:history="1">
        <w:r>
          <w:rPr>
            <w:rStyle w:val="Hyperlink"/>
          </w:rPr>
          <w:t>PB L </w:t>
        </w:r>
        <w:r w:rsidRPr="00D4425F">
          <w:rPr>
            <w:rStyle w:val="Hyperlink"/>
          </w:rPr>
          <w:t>173</w:t>
        </w:r>
      </w:hyperlink>
      <w:r>
        <w:t xml:space="preserve"> van </w:t>
      </w:r>
      <w:r w:rsidRPr="00D4425F">
        <w:t>12</w:t>
      </w:r>
      <w:r>
        <w:t>.</w:t>
      </w:r>
      <w:r w:rsidRPr="00D4425F">
        <w:t>6</w:t>
      </w:r>
      <w:r>
        <w:t>.</w:t>
      </w:r>
      <w:r w:rsidRPr="00D4425F">
        <w:t>2014</w:t>
      </w:r>
      <w:r>
        <w:t>, blz. </w:t>
      </w:r>
      <w:r w:rsidRPr="00D4425F">
        <w:t>1</w:t>
      </w:r>
      <w:r>
        <w:t>).</w:t>
      </w:r>
    </w:p>
  </w:footnote>
  <w:footnote w:id="97">
    <w:p w14:paraId="1ED5C416" w14:textId="24C2CDA8" w:rsidR="008B0254" w:rsidRDefault="008B0254" w:rsidP="00666776">
      <w:pPr>
        <w:pStyle w:val="FootnoteText"/>
      </w:pPr>
      <w:r>
        <w:rPr>
          <w:rStyle w:val="FootnoteReference"/>
        </w:rPr>
        <w:footnoteRef/>
      </w:r>
      <w:r>
        <w:t xml:space="preserve"> Richtlijn (EU) </w:t>
      </w:r>
      <w:r w:rsidRPr="00D4425F">
        <w:t>2015</w:t>
      </w:r>
      <w:r>
        <w:t>/</w:t>
      </w:r>
      <w:r w:rsidRPr="00D4425F">
        <w:t>849</w:t>
      </w:r>
      <w:r>
        <w:t xml:space="preserve"> van het Europees Parlement en de Raad van </w:t>
      </w:r>
      <w:r w:rsidRPr="00D4425F">
        <w:t>20</w:t>
      </w:r>
      <w:r>
        <w:t xml:space="preserve"> mei </w:t>
      </w:r>
      <w:r w:rsidRPr="00D4425F">
        <w:t>2015</w:t>
      </w:r>
      <w:r>
        <w:t xml:space="preserve"> inzake de voorkoming van het gebruik van het financiële stelsel voor het witwassen van geld of terrorismefinanciering, tot wijziging van Verordening (EU) nr. </w:t>
      </w:r>
      <w:r w:rsidRPr="00D4425F">
        <w:t>648</w:t>
      </w:r>
      <w:r>
        <w:t>/</w:t>
      </w:r>
      <w:r w:rsidRPr="00D4425F">
        <w:t>2012</w:t>
      </w:r>
      <w:r>
        <w:t xml:space="preserve"> van het Europees Parlement en de Raad en tot intrekking van Richtlijn </w:t>
      </w:r>
      <w:r w:rsidRPr="00D4425F">
        <w:t>2005</w:t>
      </w:r>
      <w:r>
        <w:t>/</w:t>
      </w:r>
      <w:r w:rsidRPr="00D4425F">
        <w:t>60</w:t>
      </w:r>
      <w:r>
        <w:t xml:space="preserve">/EG van het Europees Parlement en de Raad en Richtlijn </w:t>
      </w:r>
      <w:r w:rsidRPr="00D4425F">
        <w:t>2006</w:t>
      </w:r>
      <w:r>
        <w:t>/</w:t>
      </w:r>
      <w:r w:rsidRPr="00D4425F">
        <w:t>70</w:t>
      </w:r>
      <w:r>
        <w:t>/EG van de Commissie (</w:t>
      </w:r>
      <w:hyperlink r:id="rId56" w:history="1">
        <w:r>
          <w:rPr>
            <w:rStyle w:val="Hyperlink"/>
          </w:rPr>
          <w:t>PB L </w:t>
        </w:r>
        <w:r w:rsidRPr="00D4425F">
          <w:rPr>
            <w:rStyle w:val="Hyperlink"/>
          </w:rPr>
          <w:t>141</w:t>
        </w:r>
      </w:hyperlink>
      <w:r>
        <w:t xml:space="preserve"> van </w:t>
      </w:r>
      <w:r w:rsidRPr="00D4425F">
        <w:t>5</w:t>
      </w:r>
      <w:r>
        <w:t>.</w:t>
      </w:r>
      <w:r w:rsidRPr="00D4425F">
        <w:t>6</w:t>
      </w:r>
      <w:r>
        <w:t>.</w:t>
      </w:r>
      <w:r w:rsidRPr="00D4425F">
        <w:t>2015</w:t>
      </w:r>
      <w:r>
        <w:t>, blz. </w:t>
      </w:r>
      <w:r w:rsidRPr="00D4425F">
        <w:t>73</w:t>
      </w:r>
      <w:r>
        <w:t>).</w:t>
      </w:r>
    </w:p>
  </w:footnote>
  <w:footnote w:id="98">
    <w:p w14:paraId="09D050C5" w14:textId="49CABF1E" w:rsidR="008B0254" w:rsidRDefault="008B0254" w:rsidP="00666776">
      <w:pPr>
        <w:pStyle w:val="FootnoteText"/>
      </w:pPr>
      <w:r>
        <w:rPr>
          <w:rStyle w:val="FootnoteReference"/>
        </w:rPr>
        <w:footnoteRef/>
      </w:r>
      <w:r>
        <w:t xml:space="preserve"> De lijst van nationale bevoegde autoriteiten die krachtens de verordening marktmisbruik verantwoordelijk zijn, is te vinden op de </w:t>
      </w:r>
      <w:hyperlink r:id="rId57" w:history="1">
        <w:r>
          <w:rPr>
            <w:rStyle w:val="Hyperlink"/>
          </w:rPr>
          <w:t>webpagina van de ESMA</w:t>
        </w:r>
      </w:hyperlink>
      <w:r>
        <w:t xml:space="preserve">. </w:t>
      </w:r>
    </w:p>
  </w:footnote>
  <w:footnote w:id="99">
    <w:p w14:paraId="17B741B4" w14:textId="2140C83C" w:rsidR="008B0254" w:rsidRDefault="008B0254" w:rsidP="00FE08D3">
      <w:pPr>
        <w:pStyle w:val="FootnoteText"/>
      </w:pPr>
      <w:r>
        <w:rPr>
          <w:rStyle w:val="FootnoteReference"/>
        </w:rPr>
        <w:footnoteRef/>
      </w:r>
      <w:r>
        <w:t xml:space="preserve"> ESMA’s opinion on ancillary activity – market size calculation – </w:t>
      </w:r>
      <w:hyperlink r:id="rId58" w:history="1">
        <w:r>
          <w:rPr>
            <w:rStyle w:val="Hyperlink"/>
          </w:rPr>
          <w:t xml:space="preserve">update for the year </w:t>
        </w:r>
        <w:r w:rsidRPr="00D4425F">
          <w:rPr>
            <w:rStyle w:val="Hyperlink"/>
          </w:rPr>
          <w:t>2020</w:t>
        </w:r>
      </w:hyperlink>
      <w:r>
        <w:t xml:space="preserve"> (advies van de ESMA over nevenactiviteiten — berekening van de marktomvang — update voor het jaar </w:t>
      </w:r>
      <w:r w:rsidRPr="00D4425F">
        <w:t>2020</w:t>
      </w:r>
      <w:r>
        <w:t>).</w:t>
      </w:r>
    </w:p>
  </w:footnote>
  <w:footnote w:id="100">
    <w:p w14:paraId="6C604957" w14:textId="21AE8AAB" w:rsidR="008B0254" w:rsidRDefault="008B0254" w:rsidP="00666776">
      <w:pPr>
        <w:pStyle w:val="FootnoteText"/>
      </w:pPr>
      <w:r>
        <w:rPr>
          <w:rStyle w:val="FootnoteReference"/>
        </w:rPr>
        <w:footnoteRef/>
      </w:r>
      <w:r>
        <w:t xml:space="preserve"> Prijs op </w:t>
      </w:r>
      <w:r w:rsidRPr="00D4425F">
        <w:t>23</w:t>
      </w:r>
      <w:r>
        <w:t xml:space="preserve"> maart </w:t>
      </w:r>
      <w:r w:rsidRPr="00D4425F">
        <w:t>2020</w:t>
      </w:r>
      <w:r>
        <w:t xml:space="preserve"> (</w:t>
      </w:r>
      <w:r w:rsidRPr="00D4425F">
        <w:t>14</w:t>
      </w:r>
      <w:r>
        <w:t>,</w:t>
      </w:r>
      <w:r w:rsidRPr="00D4425F">
        <w:t>71</w:t>
      </w:r>
      <w:r>
        <w:t> EUR).</w:t>
      </w:r>
    </w:p>
  </w:footnote>
  <w:footnote w:id="101">
    <w:p w14:paraId="633602BC" w14:textId="725D1E2B" w:rsidR="008B0254" w:rsidRDefault="008B0254" w:rsidP="00666776">
      <w:pPr>
        <w:pStyle w:val="FootnoteText"/>
      </w:pPr>
      <w:r>
        <w:rPr>
          <w:rStyle w:val="FootnoteReference"/>
        </w:rPr>
        <w:footnoteRef/>
      </w:r>
      <w:r>
        <w:t xml:space="preserve"> Enkele kortetermijnfactoren zijn gas- en olieprijzen, weersomstandigheden, opwekking van hernieuwbare energie, planning van veilingen en kosteloze toewijzing enz.</w:t>
      </w:r>
    </w:p>
  </w:footnote>
  <w:footnote w:id="102">
    <w:p w14:paraId="6BD5FFC6" w14:textId="1E429260" w:rsidR="008B0254" w:rsidRDefault="008B0254" w:rsidP="00666776">
      <w:pPr>
        <w:pStyle w:val="FootnoteText"/>
      </w:pPr>
      <w:r>
        <w:rPr>
          <w:rStyle w:val="FootnoteReference"/>
        </w:rPr>
        <w:footnoteRef/>
      </w:r>
      <w:r>
        <w:t xml:space="preserve"> Dit betreft een afzonderlijke categorie die in de MiFID wordt omschreven, voor ondernemingen die handelen in financiële instrumenten, maar als nevenactiviteit (als een klein deel van hun totale bedrijfsactiviteiten).</w:t>
      </w:r>
    </w:p>
  </w:footnote>
  <w:footnote w:id="103">
    <w:p w14:paraId="72AC8D04" w14:textId="4D4E71D9" w:rsidR="008B0254" w:rsidRDefault="008B0254" w:rsidP="00666776">
      <w:pPr>
        <w:pStyle w:val="FootnoteText"/>
      </w:pPr>
      <w:r>
        <w:rPr>
          <w:rStyle w:val="FootnoteReference"/>
        </w:rPr>
        <w:footnoteRef/>
      </w:r>
      <w:r>
        <w:t xml:space="preserve"> </w:t>
      </w:r>
      <w:hyperlink r:id="rId59" w:history="1">
        <w:r>
          <w:rPr>
            <w:rStyle w:val="Hyperlink"/>
          </w:rPr>
          <w:t>Commodities Derivatives Weekly Position Reporting System</w:t>
        </w:r>
      </w:hyperlink>
      <w:r>
        <w:t xml:space="preserve"> (systeem van wekelijkse positierapportage met betrekking tot grondstoffenderivaten)</w:t>
      </w:r>
    </w:p>
  </w:footnote>
  <w:footnote w:id="104">
    <w:p w14:paraId="206231DE" w14:textId="50B11588" w:rsidR="008B0254" w:rsidRPr="00E15E90" w:rsidRDefault="008B0254" w:rsidP="00270A58">
      <w:pPr>
        <w:pStyle w:val="FootnoteText"/>
      </w:pPr>
      <w:r>
        <w:rPr>
          <w:rStyle w:val="FootnoteReference"/>
        </w:rPr>
        <w:footnoteRef/>
      </w:r>
      <w:r>
        <w:t xml:space="preserve"> Mededeling van de Commissie aan het Europees Parlement, de Europese Raad, het Europees Economisch en Sociaal Comité en het Comité van de Regio’s — De stijgende energieprijzen aanpakken: een toolbox met initiatieven en steunmaatregelen (</w:t>
      </w:r>
      <w:hyperlink r:id="rId60" w:history="1">
        <w:r>
          <w:rPr>
            <w:rStyle w:val="Hyperlink"/>
          </w:rPr>
          <w:t>COM(</w:t>
        </w:r>
        <w:r w:rsidRPr="00D4425F">
          <w:rPr>
            <w:rStyle w:val="Hyperlink"/>
          </w:rPr>
          <w:t>2021</w:t>
        </w:r>
        <w:r>
          <w:rPr>
            <w:rStyle w:val="Hyperlink"/>
          </w:rPr>
          <w:t>) </w:t>
        </w:r>
        <w:r w:rsidRPr="00D4425F">
          <w:rPr>
            <w:rStyle w:val="Hyperlink"/>
          </w:rPr>
          <w:t>660</w:t>
        </w:r>
        <w:r>
          <w:rPr>
            <w:rStyle w:val="Hyperlink"/>
          </w:rPr>
          <w:t xml:space="preserve"> final</w:t>
        </w:r>
      </w:hyperlink>
      <w:r>
        <w:t>).</w:t>
      </w:r>
    </w:p>
    <w:p w14:paraId="721FDC20" w14:textId="77777777" w:rsidR="008B0254" w:rsidRDefault="008B0254" w:rsidP="00270A58">
      <w:pPr>
        <w:pStyle w:val="FootnoteText"/>
      </w:pPr>
    </w:p>
  </w:footnote>
  <w:footnote w:id="105">
    <w:p w14:paraId="6BBD5222" w14:textId="5A50F35B" w:rsidR="008B0254" w:rsidRPr="00386568" w:rsidRDefault="008B0254" w:rsidP="00666776">
      <w:pPr>
        <w:pStyle w:val="FootnoteText"/>
      </w:pPr>
      <w:r>
        <w:t>OJ</w:t>
      </w:r>
      <w:r>
        <w:rPr>
          <w:rStyle w:val="FootnoteReference"/>
        </w:rPr>
        <w:footnoteRef/>
      </w:r>
      <w:r>
        <w:t xml:space="preserve"> Uitvoeringsverordening (EU) </w:t>
      </w:r>
      <w:r w:rsidRPr="00D4425F">
        <w:t>2018</w:t>
      </w:r>
      <w:r>
        <w:t>/</w:t>
      </w:r>
      <w:r w:rsidRPr="00D4425F">
        <w:t>2066</w:t>
      </w:r>
      <w:r>
        <w:t xml:space="preserve"> van de Commissie van </w:t>
      </w:r>
      <w:r w:rsidRPr="00D4425F">
        <w:t>19</w:t>
      </w:r>
      <w:r>
        <w:t xml:space="preserve"> december </w:t>
      </w:r>
      <w:r w:rsidRPr="00D4425F">
        <w:t>2018</w:t>
      </w:r>
      <w:r>
        <w:t xml:space="preserve"> inzake de monitoring en rapportage van de emissies van broeikasgassen overeenkomstig Richtlijn </w:t>
      </w:r>
      <w:r w:rsidRPr="00D4425F">
        <w:t>2003</w:t>
      </w:r>
      <w:r>
        <w:t>/</w:t>
      </w:r>
      <w:r w:rsidRPr="00D4425F">
        <w:t>87</w:t>
      </w:r>
      <w:r>
        <w:t>/EG van het Europees Parlement en de Raad en tot wijziging van Verordening (EU) nr. </w:t>
      </w:r>
      <w:r w:rsidRPr="00D4425F">
        <w:t>601</w:t>
      </w:r>
      <w:r>
        <w:t>/</w:t>
      </w:r>
      <w:r w:rsidRPr="00D4425F">
        <w:t>2012</w:t>
      </w:r>
      <w:r>
        <w:t xml:space="preserve"> van de Commissie (</w:t>
      </w:r>
      <w:hyperlink r:id="rId61" w:history="1">
        <w:r>
          <w:rPr>
            <w:rStyle w:val="Hyperlink"/>
          </w:rPr>
          <w:t>PB L </w:t>
        </w:r>
        <w:r w:rsidRPr="00D4425F">
          <w:rPr>
            <w:rStyle w:val="Hyperlink"/>
          </w:rPr>
          <w:t>334</w:t>
        </w:r>
      </w:hyperlink>
      <w:r>
        <w:t xml:space="preserve"> van </w:t>
      </w:r>
      <w:r w:rsidRPr="00D4425F">
        <w:t>31</w:t>
      </w:r>
      <w:r>
        <w:t>.</w:t>
      </w:r>
      <w:r w:rsidRPr="00D4425F">
        <w:t>12</w:t>
      </w:r>
      <w:r>
        <w:t>.</w:t>
      </w:r>
      <w:r w:rsidRPr="00D4425F">
        <w:t>2018</w:t>
      </w:r>
      <w:r>
        <w:t>, blz. </w:t>
      </w:r>
      <w:r w:rsidRPr="00D4425F">
        <w:t>1</w:t>
      </w:r>
      <w:r>
        <w:t>).</w:t>
      </w:r>
    </w:p>
  </w:footnote>
  <w:footnote w:id="106">
    <w:p w14:paraId="5904CAE0" w14:textId="5CB77997" w:rsidR="008B0254" w:rsidRPr="00386568" w:rsidRDefault="008B0254" w:rsidP="00666776">
      <w:pPr>
        <w:pStyle w:val="FootnoteText"/>
      </w:pPr>
      <w:r>
        <w:rPr>
          <w:rStyle w:val="FootnoteReference"/>
        </w:rPr>
        <w:footnoteRef/>
      </w:r>
      <w:r>
        <w:t xml:space="preserve"> Uitvoeringsverordening (EU) </w:t>
      </w:r>
      <w:r w:rsidRPr="00D4425F">
        <w:t>2018</w:t>
      </w:r>
      <w:r>
        <w:t>/</w:t>
      </w:r>
      <w:r w:rsidRPr="00D4425F">
        <w:t>2067</w:t>
      </w:r>
      <w:r>
        <w:t xml:space="preserve"> van de Commissie van </w:t>
      </w:r>
      <w:r w:rsidRPr="00D4425F">
        <w:t>19</w:t>
      </w:r>
      <w:r>
        <w:t xml:space="preserve"> december </w:t>
      </w:r>
      <w:r w:rsidRPr="00D4425F">
        <w:t>2018</w:t>
      </w:r>
      <w:r>
        <w:t xml:space="preserve"> inzake de verificatie van gegevens en de accreditatie van verificateurs krachtens Richtlijn </w:t>
      </w:r>
      <w:r w:rsidRPr="00D4425F">
        <w:t>2003</w:t>
      </w:r>
      <w:r>
        <w:t>/</w:t>
      </w:r>
      <w:r w:rsidRPr="00D4425F">
        <w:t>87</w:t>
      </w:r>
      <w:r>
        <w:t>/EG van het Europees Parlement en de Raad (</w:t>
      </w:r>
      <w:hyperlink r:id="rId62" w:history="1">
        <w:r>
          <w:rPr>
            <w:rStyle w:val="Hyperlink"/>
          </w:rPr>
          <w:t>PB L </w:t>
        </w:r>
        <w:r w:rsidRPr="00D4425F">
          <w:rPr>
            <w:rStyle w:val="Hyperlink"/>
          </w:rPr>
          <w:t>334</w:t>
        </w:r>
      </w:hyperlink>
      <w:r>
        <w:t xml:space="preserve"> van </w:t>
      </w:r>
      <w:r w:rsidRPr="00D4425F">
        <w:t>31</w:t>
      </w:r>
      <w:r>
        <w:t>.</w:t>
      </w:r>
      <w:r w:rsidRPr="00D4425F">
        <w:t>12</w:t>
      </w:r>
      <w:r>
        <w:t>.</w:t>
      </w:r>
      <w:r w:rsidRPr="00D4425F">
        <w:t>2018</w:t>
      </w:r>
      <w:r>
        <w:t>, blz. </w:t>
      </w:r>
      <w:r w:rsidRPr="00D4425F">
        <w:t>94</w:t>
      </w:r>
      <w:r>
        <w:t>).</w:t>
      </w:r>
    </w:p>
  </w:footnote>
  <w:footnote w:id="107">
    <w:p w14:paraId="06B21AE0" w14:textId="115E969C" w:rsidR="008B0254" w:rsidRPr="00386568" w:rsidRDefault="008B0254" w:rsidP="00666776">
      <w:pPr>
        <w:pStyle w:val="FootnoteText"/>
      </w:pPr>
      <w:r>
        <w:rPr>
          <w:rStyle w:val="FootnoteReference"/>
        </w:rPr>
        <w:footnoteRef/>
      </w:r>
      <w:r>
        <w:t xml:space="preserve"> Uitvoeringsverordening (EU) </w:t>
      </w:r>
      <w:r w:rsidRPr="00D4425F">
        <w:t>2020</w:t>
      </w:r>
      <w:r>
        <w:t>/</w:t>
      </w:r>
      <w:r w:rsidRPr="00D4425F">
        <w:t>2085</w:t>
      </w:r>
      <w:r>
        <w:t xml:space="preserve"> van de Commissie van </w:t>
      </w:r>
      <w:r w:rsidRPr="00D4425F">
        <w:t>14</w:t>
      </w:r>
      <w:r>
        <w:t xml:space="preserve"> december </w:t>
      </w:r>
      <w:r w:rsidRPr="00D4425F">
        <w:t>2020</w:t>
      </w:r>
      <w:r>
        <w:t xml:space="preserve"> tot wijziging en rectificatie van Uitvoeringsverordening (EU) </w:t>
      </w:r>
      <w:r w:rsidRPr="00D4425F">
        <w:t>2018</w:t>
      </w:r>
      <w:r>
        <w:t>/</w:t>
      </w:r>
      <w:r w:rsidRPr="00D4425F">
        <w:t>2066</w:t>
      </w:r>
      <w:r>
        <w:t xml:space="preserve"> inzake de monitoring en rapportage van de emissies van broeikasgassen overeenkomstig Richtlijn </w:t>
      </w:r>
      <w:r w:rsidRPr="00D4425F">
        <w:t>2003</w:t>
      </w:r>
      <w:r>
        <w:t>/</w:t>
      </w:r>
      <w:r w:rsidRPr="00D4425F">
        <w:t>87</w:t>
      </w:r>
      <w:r>
        <w:t>/EG van het Europees Parlement en de Raad (</w:t>
      </w:r>
      <w:hyperlink r:id="rId63" w:history="1">
        <w:r>
          <w:rPr>
            <w:rStyle w:val="Hyperlink"/>
          </w:rPr>
          <w:t>PB L </w:t>
        </w:r>
        <w:r w:rsidRPr="00D4425F">
          <w:rPr>
            <w:rStyle w:val="Hyperlink"/>
          </w:rPr>
          <w:t>423</w:t>
        </w:r>
      </w:hyperlink>
      <w:r>
        <w:t xml:space="preserve"> van </w:t>
      </w:r>
      <w:r w:rsidRPr="00D4425F">
        <w:t>15</w:t>
      </w:r>
      <w:r>
        <w:t>.</w:t>
      </w:r>
      <w:r w:rsidRPr="00D4425F">
        <w:t>12</w:t>
      </w:r>
      <w:r>
        <w:t>.</w:t>
      </w:r>
      <w:r w:rsidRPr="00D4425F">
        <w:t>2020</w:t>
      </w:r>
      <w:r>
        <w:t>, blz. </w:t>
      </w:r>
      <w:r w:rsidRPr="00D4425F">
        <w:t>37</w:t>
      </w:r>
      <w:r>
        <w:t>).</w:t>
      </w:r>
    </w:p>
  </w:footnote>
  <w:footnote w:id="108">
    <w:p w14:paraId="79BDB559" w14:textId="03B66AEE" w:rsidR="008B0254" w:rsidRPr="00386568" w:rsidRDefault="008B0254" w:rsidP="00666776">
      <w:pPr>
        <w:pStyle w:val="FootnoteText"/>
      </w:pPr>
      <w:r>
        <w:rPr>
          <w:rStyle w:val="FootnoteReference"/>
        </w:rPr>
        <w:footnoteRef/>
      </w:r>
      <w:r>
        <w:t xml:space="preserve"> Uitvoeringsverordening (EU) </w:t>
      </w:r>
      <w:r w:rsidRPr="00D4425F">
        <w:t>2020</w:t>
      </w:r>
      <w:r>
        <w:t>/</w:t>
      </w:r>
      <w:r w:rsidRPr="00D4425F">
        <w:t>2084</w:t>
      </w:r>
      <w:r>
        <w:t xml:space="preserve"> van de Commissie van </w:t>
      </w:r>
      <w:r w:rsidRPr="00D4425F">
        <w:t>14</w:t>
      </w:r>
      <w:r>
        <w:t xml:space="preserve"> december </w:t>
      </w:r>
      <w:r w:rsidRPr="00D4425F">
        <w:t>2020</w:t>
      </w:r>
      <w:r>
        <w:t xml:space="preserve"> tot wijziging en rectificatie van Uitvoeringsverordening (EU) </w:t>
      </w:r>
      <w:r w:rsidRPr="00D4425F">
        <w:t>2018</w:t>
      </w:r>
      <w:r>
        <w:t>/</w:t>
      </w:r>
      <w:r w:rsidRPr="00D4425F">
        <w:t>2067</w:t>
      </w:r>
      <w:r>
        <w:t xml:space="preserve"> inzake de verificatie van gegevens en de accreditatie van verificateurs krachtens Richtlijn </w:t>
      </w:r>
      <w:r w:rsidRPr="00D4425F">
        <w:t>2003</w:t>
      </w:r>
      <w:r>
        <w:t>/</w:t>
      </w:r>
      <w:r w:rsidRPr="00D4425F">
        <w:t>87</w:t>
      </w:r>
      <w:r>
        <w:t>/EG van het Europees Parlement en de Raad (</w:t>
      </w:r>
      <w:hyperlink r:id="rId64" w:history="1">
        <w:r>
          <w:rPr>
            <w:rStyle w:val="Hyperlink"/>
          </w:rPr>
          <w:t>PB L </w:t>
        </w:r>
        <w:r w:rsidRPr="00D4425F">
          <w:rPr>
            <w:rStyle w:val="Hyperlink"/>
          </w:rPr>
          <w:t>423</w:t>
        </w:r>
      </w:hyperlink>
      <w:r>
        <w:t xml:space="preserve"> van </w:t>
      </w:r>
      <w:r w:rsidRPr="00D4425F">
        <w:t>15</w:t>
      </w:r>
      <w:r>
        <w:t>.</w:t>
      </w:r>
      <w:r w:rsidRPr="00D4425F">
        <w:t>12</w:t>
      </w:r>
      <w:r>
        <w:t>.</w:t>
      </w:r>
      <w:r w:rsidRPr="00D4425F">
        <w:t>2020</w:t>
      </w:r>
      <w:r>
        <w:t>, blz. </w:t>
      </w:r>
      <w:r w:rsidRPr="00D4425F">
        <w:t>23</w:t>
      </w:r>
      <w:r w:rsidR="00AD1EAB">
        <w:t>).</w:t>
      </w:r>
    </w:p>
  </w:footnote>
  <w:footnote w:id="109">
    <w:p w14:paraId="56C69DA9" w14:textId="1699C598" w:rsidR="008B0254" w:rsidRPr="00210289" w:rsidRDefault="008B0254" w:rsidP="00666776">
      <w:pPr>
        <w:pStyle w:val="FootnoteText"/>
      </w:pPr>
      <w:r>
        <w:rPr>
          <w:rStyle w:val="FootnoteReference"/>
        </w:rPr>
        <w:footnoteRef/>
      </w:r>
      <w:r>
        <w:t xml:space="preserve"> Besluit (EU) </w:t>
      </w:r>
      <w:r w:rsidRPr="00D4425F">
        <w:t>2017</w:t>
      </w:r>
      <w:r>
        <w:t>/</w:t>
      </w:r>
      <w:r w:rsidRPr="00D4425F">
        <w:t>2240</w:t>
      </w:r>
      <w:r>
        <w:t xml:space="preserve"> van de Raad van </w:t>
      </w:r>
      <w:r w:rsidRPr="00D4425F">
        <w:t>10</w:t>
      </w:r>
      <w:r>
        <w:t xml:space="preserve"> november </w:t>
      </w:r>
      <w:r w:rsidRPr="00D4425F">
        <w:t>2017</w:t>
      </w:r>
      <w:r>
        <w:t xml:space="preserve"> betreffende de ondertekening, namens de Unie, en de voorlopige toepassing van de Overeenkomst tussen de Europese Unie en de Zwitserse Bondsstaat inzake de koppeling van hun regelingen voor de handel in broeikasgasemissierechten (</w:t>
      </w:r>
      <w:hyperlink r:id="rId65" w:history="1">
        <w:r>
          <w:rPr>
            <w:rStyle w:val="Hyperlink"/>
          </w:rPr>
          <w:t>PB L </w:t>
        </w:r>
        <w:r w:rsidRPr="00D4425F">
          <w:rPr>
            <w:rStyle w:val="Hyperlink"/>
          </w:rPr>
          <w:t>322</w:t>
        </w:r>
      </w:hyperlink>
      <w:r>
        <w:t xml:space="preserve"> van </w:t>
      </w:r>
      <w:r w:rsidRPr="00D4425F">
        <w:t>7</w:t>
      </w:r>
      <w:r>
        <w:t>.</w:t>
      </w:r>
      <w:r w:rsidRPr="00D4425F">
        <w:t>12</w:t>
      </w:r>
      <w:r>
        <w:t>.</w:t>
      </w:r>
      <w:r w:rsidRPr="00D4425F">
        <w:t>2017</w:t>
      </w:r>
      <w:r>
        <w:t>, blz. </w:t>
      </w:r>
      <w:r w:rsidRPr="00D4425F">
        <w:t>1</w:t>
      </w:r>
      <w:r>
        <w:t>).</w:t>
      </w:r>
    </w:p>
  </w:footnote>
  <w:footnote w:id="110">
    <w:p w14:paraId="1C9B496B" w14:textId="611CFDA1" w:rsidR="008B0254" w:rsidRPr="00210289" w:rsidRDefault="008B0254" w:rsidP="00666776">
      <w:pPr>
        <w:pStyle w:val="FootnoteText"/>
      </w:pPr>
      <w:r>
        <w:rPr>
          <w:rStyle w:val="FootnoteReference"/>
        </w:rPr>
        <w:footnoteRef/>
      </w:r>
      <w:r>
        <w:t xml:space="preserve"> Overeenkomst tussen de Europese Unie en de Zwitserse Bondsstaat inzake de koppeling van hun regelingen voor de handel in broeikasgasemissierechten (</w:t>
      </w:r>
      <w:hyperlink r:id="rId66" w:history="1">
        <w:r>
          <w:rPr>
            <w:rStyle w:val="Hyperlink"/>
          </w:rPr>
          <w:t>PB L </w:t>
        </w:r>
        <w:r w:rsidRPr="00D4425F">
          <w:rPr>
            <w:rStyle w:val="Hyperlink"/>
          </w:rPr>
          <w:t>322</w:t>
        </w:r>
      </w:hyperlink>
      <w:r>
        <w:t xml:space="preserve"> van </w:t>
      </w:r>
      <w:r w:rsidRPr="00D4425F">
        <w:t>7</w:t>
      </w:r>
      <w:r>
        <w:t>.</w:t>
      </w:r>
      <w:r w:rsidRPr="00D4425F">
        <w:t>12</w:t>
      </w:r>
      <w:r>
        <w:t>.</w:t>
      </w:r>
      <w:r w:rsidRPr="00D4425F">
        <w:t>2017</w:t>
      </w:r>
      <w:r>
        <w:t>, blz. </w:t>
      </w:r>
      <w:r w:rsidRPr="00D4425F">
        <w:t>3</w:t>
      </w:r>
      <w:r>
        <w:t>).</w:t>
      </w:r>
    </w:p>
  </w:footnote>
  <w:footnote w:id="111">
    <w:p w14:paraId="0C5C4C5D" w14:textId="4DBD76DF" w:rsidR="008B0254" w:rsidRPr="00210289" w:rsidRDefault="008B0254" w:rsidP="00666776">
      <w:pPr>
        <w:pStyle w:val="FootnoteText"/>
      </w:pPr>
      <w:r>
        <w:rPr>
          <w:rStyle w:val="FootnoteReference"/>
        </w:rPr>
        <w:footnoteRef/>
      </w:r>
      <w:r>
        <w:t xml:space="preserve"> Besluit (EU) </w:t>
      </w:r>
      <w:r w:rsidRPr="00D4425F">
        <w:t>2018</w:t>
      </w:r>
      <w:r>
        <w:t>/</w:t>
      </w:r>
      <w:r w:rsidRPr="00D4425F">
        <w:t>219</w:t>
      </w:r>
      <w:r>
        <w:t xml:space="preserve"> van de Raad van </w:t>
      </w:r>
      <w:r w:rsidRPr="00D4425F">
        <w:t>23</w:t>
      </w:r>
      <w:r>
        <w:t xml:space="preserve"> januari </w:t>
      </w:r>
      <w:r w:rsidRPr="00D4425F">
        <w:t>2018</w:t>
      </w:r>
      <w:r>
        <w:t xml:space="preserve"> betreffende de sluiting van de Overeenkomst tussen de Europese Unie en de Zwitserse Bondsstaat inzake de koppeling van hun regelingen voor de handel in broeikasgasemissierechten (</w:t>
      </w:r>
      <w:hyperlink r:id="rId67" w:history="1">
        <w:r>
          <w:rPr>
            <w:rStyle w:val="Hyperlink"/>
          </w:rPr>
          <w:t>PB L </w:t>
        </w:r>
        <w:r w:rsidRPr="00D4425F">
          <w:rPr>
            <w:rStyle w:val="Hyperlink"/>
          </w:rPr>
          <w:t>43</w:t>
        </w:r>
      </w:hyperlink>
      <w:r>
        <w:t xml:space="preserve"> van </w:t>
      </w:r>
      <w:r w:rsidRPr="00D4425F">
        <w:t>16</w:t>
      </w:r>
      <w:r>
        <w:t>.</w:t>
      </w:r>
      <w:r w:rsidRPr="00D4425F">
        <w:t>2</w:t>
      </w:r>
      <w:r>
        <w:t>.</w:t>
      </w:r>
      <w:r w:rsidRPr="00D4425F">
        <w:t>2018</w:t>
      </w:r>
      <w:r>
        <w:t>, blz. </w:t>
      </w:r>
      <w:r w:rsidRPr="00D4425F">
        <w:t>1</w:t>
      </w:r>
      <w:r>
        <w:t>).</w:t>
      </w:r>
    </w:p>
  </w:footnote>
  <w:footnote w:id="112">
    <w:p w14:paraId="14FA5AEC" w14:textId="5FBB0B9B" w:rsidR="008B0254" w:rsidRPr="00210289" w:rsidRDefault="008B0254" w:rsidP="00666776">
      <w:pPr>
        <w:pStyle w:val="FootnoteText"/>
      </w:pPr>
      <w:r>
        <w:rPr>
          <w:rStyle w:val="FootnoteReference"/>
        </w:rPr>
        <w:footnoteRef/>
      </w:r>
      <w:r>
        <w:t xml:space="preserve"> Besluit Nr. </w:t>
      </w:r>
      <w:r w:rsidRPr="00D4425F">
        <w:t>2</w:t>
      </w:r>
      <w:r>
        <w:t>/</w:t>
      </w:r>
      <w:r w:rsidRPr="00D4425F">
        <w:t>2019</w:t>
      </w:r>
      <w:r>
        <w:t xml:space="preserve"> van het Gemengd Comité dat is opgericht bij de Overeenkomst tussen de Europese Unie en de Zwitserse Bondsstaat inzake de koppeling van hun regelingen voor de handel in broeikasgasemissierechten van </w:t>
      </w:r>
      <w:r w:rsidRPr="00D4425F">
        <w:t>5</w:t>
      </w:r>
      <w:r>
        <w:t xml:space="preserve"> december </w:t>
      </w:r>
      <w:r w:rsidRPr="00D4425F">
        <w:t>2019</w:t>
      </w:r>
      <w:r>
        <w:t xml:space="preserve"> tot wijziging van de bijlagen I en II bij de Overeenkomst tussen de Europese Unie en de Zwitserse Bondsstaat inzake de koppeling van hun regelingen voor de handel in broeikasgasemissierechten (</w:t>
      </w:r>
      <w:hyperlink r:id="rId68" w:history="1">
        <w:r>
          <w:rPr>
            <w:rStyle w:val="Hyperlink"/>
          </w:rPr>
          <w:t>PB L </w:t>
        </w:r>
        <w:r w:rsidRPr="00D4425F">
          <w:rPr>
            <w:rStyle w:val="Hyperlink"/>
          </w:rPr>
          <w:t>314</w:t>
        </w:r>
      </w:hyperlink>
      <w:r>
        <w:t xml:space="preserve"> van </w:t>
      </w:r>
      <w:r w:rsidRPr="00D4425F">
        <w:t>29</w:t>
      </w:r>
      <w:r>
        <w:t>.</w:t>
      </w:r>
      <w:r w:rsidRPr="00D4425F">
        <w:t>9</w:t>
      </w:r>
      <w:r>
        <w:t>.</w:t>
      </w:r>
      <w:r w:rsidRPr="00D4425F">
        <w:t>2020</w:t>
      </w:r>
      <w:r>
        <w:t>, blz. </w:t>
      </w:r>
      <w:r w:rsidRPr="00D4425F">
        <w:t>68</w:t>
      </w:r>
      <w:r>
        <w:t>).</w:t>
      </w:r>
    </w:p>
  </w:footnote>
  <w:footnote w:id="113">
    <w:p w14:paraId="53EC22AD" w14:textId="64194B13" w:rsidR="008B0254" w:rsidRPr="00210289" w:rsidRDefault="008B0254" w:rsidP="00666776">
      <w:pPr>
        <w:pStyle w:val="FootnoteText"/>
      </w:pPr>
      <w:r>
        <w:rPr>
          <w:rStyle w:val="FootnoteReference"/>
        </w:rPr>
        <w:footnoteRef/>
      </w:r>
      <w:r>
        <w:t xml:space="preserve"> Kennisgeving betreffende de inwerkingtreding van de overeenkomst tussen de Europese Unie en de Zwitserse Bondsstaat inzake de koppeling van hun regelingen voor de handel in broeikasgasemissierechten (</w:t>
      </w:r>
      <w:hyperlink r:id="rId69" w:history="1">
        <w:r>
          <w:rPr>
            <w:rStyle w:val="Hyperlink"/>
          </w:rPr>
          <w:t>PB L </w:t>
        </w:r>
        <w:r w:rsidRPr="00D4425F">
          <w:rPr>
            <w:rStyle w:val="Hyperlink"/>
          </w:rPr>
          <w:t>330</w:t>
        </w:r>
      </w:hyperlink>
      <w:r>
        <w:t xml:space="preserve"> van </w:t>
      </w:r>
      <w:r w:rsidRPr="00D4425F">
        <w:t>20</w:t>
      </w:r>
      <w:r>
        <w:t>.</w:t>
      </w:r>
      <w:r w:rsidRPr="00D4425F">
        <w:t>12</w:t>
      </w:r>
      <w:r>
        <w:t>.</w:t>
      </w:r>
      <w:r w:rsidRPr="00D4425F">
        <w:t>2019</w:t>
      </w:r>
      <w:r>
        <w:t>, blz. </w:t>
      </w:r>
      <w:r w:rsidRPr="00D4425F">
        <w:t>1</w:t>
      </w:r>
      <w:r>
        <w:t>).</w:t>
      </w:r>
    </w:p>
  </w:footnote>
  <w:footnote w:id="114">
    <w:p w14:paraId="24FB1B85" w14:textId="4CBA8BDC" w:rsidR="008B0254" w:rsidRPr="00C52049" w:rsidRDefault="008B0254" w:rsidP="00666776">
      <w:pPr>
        <w:pStyle w:val="FootnoteText"/>
      </w:pPr>
      <w:r>
        <w:rPr>
          <w:rStyle w:val="FootnoteReference"/>
        </w:rPr>
        <w:footnoteRef/>
      </w:r>
      <w:r>
        <w:t xml:space="preserve"> Overeenkomstig artikel </w:t>
      </w:r>
      <w:r w:rsidRPr="00D4425F">
        <w:t>25</w:t>
      </w:r>
      <w:r>
        <w:t xml:space="preserve"> van de EU-ETS-richtlijn kan het EU-ETS worden gekoppeld aan “verenigbare verplichte regelingen voor de handel in broeikasgasemissierechten met absolute emissieplafonds”.</w:t>
      </w:r>
    </w:p>
  </w:footnote>
  <w:footnote w:id="115">
    <w:p w14:paraId="186B3FCF" w14:textId="7F309EA5" w:rsidR="008B0254" w:rsidRDefault="008B0254" w:rsidP="00666776">
      <w:pPr>
        <w:pStyle w:val="FootnoteText"/>
      </w:pPr>
      <w:r>
        <w:rPr>
          <w:rStyle w:val="FootnoteReference"/>
        </w:rPr>
        <w:footnoteRef/>
      </w:r>
      <w:r>
        <w:t xml:space="preserve"> Op sommige luchtvaartexploitanten rusten nalevingsverplicht</w:t>
      </w:r>
      <w:r w:rsidR="002E48F8">
        <w:t>ingen krachtens beide systemen.</w:t>
      </w:r>
    </w:p>
  </w:footnote>
  <w:footnote w:id="116">
    <w:p w14:paraId="026AB085" w14:textId="4CD6A04A" w:rsidR="008B0254" w:rsidRDefault="008B0254" w:rsidP="00666776">
      <w:pPr>
        <w:pStyle w:val="FootnoteText"/>
      </w:pPr>
      <w:r>
        <w:rPr>
          <w:rStyle w:val="FootnoteReference"/>
        </w:rPr>
        <w:footnoteRef/>
      </w:r>
      <w:r>
        <w:t xml:space="preserve"> Exploitanten die in </w:t>
      </w:r>
      <w:r w:rsidRPr="00D4425F">
        <w:t>2020</w:t>
      </w:r>
      <w:r>
        <w:t xml:space="preserve"> niet zijn uitgesloten op basis van het EU-register; het aantal exploitanten dat emissies rapporteerde, bedraagt </w:t>
      </w:r>
      <w:r w:rsidRPr="00D4425F">
        <w:t>10</w:t>
      </w:r>
      <w:r>
        <w:t> </w:t>
      </w:r>
      <w:r w:rsidRPr="00D4425F">
        <w:t>317</w:t>
      </w:r>
      <w:r>
        <w:t>.</w:t>
      </w:r>
    </w:p>
  </w:footnote>
  <w:footnote w:id="117">
    <w:p w14:paraId="364F761C" w14:textId="6664ECC0" w:rsidR="008B0254" w:rsidRDefault="008B0254" w:rsidP="00666776">
      <w:pPr>
        <w:pStyle w:val="FootnoteText"/>
      </w:pPr>
      <w:r>
        <w:rPr>
          <w:rStyle w:val="FootnoteReference"/>
        </w:rPr>
        <w:footnoteRef/>
      </w:r>
      <w:r>
        <w:t xml:space="preserve"> Exploitanten die in </w:t>
      </w:r>
      <w:r w:rsidRPr="00D4425F">
        <w:t>2020</w:t>
      </w:r>
      <w:r>
        <w:t xml:space="preserve"> niet zijn uitgesloten op basis van het EU-register; het aantal exploitanten dat emissies rapporteerde, bedraagt </w:t>
      </w:r>
      <w:r w:rsidRPr="00D4425F">
        <w:t>320</w:t>
      </w:r>
      <w:r>
        <w:t>.</w:t>
      </w:r>
    </w:p>
  </w:footnote>
  <w:footnote w:id="118">
    <w:p w14:paraId="1EC8975A" w14:textId="0ACE33B7" w:rsidR="008B0254" w:rsidRDefault="008B0254">
      <w:pPr>
        <w:pStyle w:val="FootnoteText"/>
      </w:pPr>
      <w:r>
        <w:rPr>
          <w:rStyle w:val="FootnoteReference"/>
        </w:rPr>
        <w:footnoteRef/>
      </w:r>
      <w:r>
        <w:t xml:space="preserve"> </w:t>
      </w:r>
      <w:hyperlink r:id="rId70" w:history="1">
        <w:r>
          <w:rPr>
            <w:rStyle w:val="Hyperlink"/>
          </w:rPr>
          <w:t>Zwitsers ETS-register</w:t>
        </w:r>
      </w:hyperlink>
    </w:p>
  </w:footnote>
  <w:footnote w:id="119">
    <w:p w14:paraId="7318284B" w14:textId="5D74B5C9" w:rsidR="008B0254" w:rsidRDefault="008B0254" w:rsidP="00666776">
      <w:pPr>
        <w:pStyle w:val="FootnoteText"/>
      </w:pPr>
      <w:r>
        <w:rPr>
          <w:rStyle w:val="FootnoteReference"/>
        </w:rPr>
        <w:footnoteRef/>
      </w:r>
      <w:r>
        <w:t xml:space="preserve"> Dit cijfer is inclusief de directe toewijzing.</w:t>
      </w:r>
    </w:p>
  </w:footnote>
  <w:footnote w:id="120">
    <w:p w14:paraId="38AAFC5F" w14:textId="4AAAE981" w:rsidR="008B0254" w:rsidRDefault="008B0254">
      <w:pPr>
        <w:pStyle w:val="FootnoteText"/>
      </w:pPr>
      <w:r>
        <w:rPr>
          <w:rStyle w:val="FootnoteReference"/>
        </w:rPr>
        <w:footnoteRef/>
      </w:r>
      <w:r>
        <w:t xml:space="preserve"> Gebaseerd op artikel </w:t>
      </w:r>
      <w:r w:rsidRPr="00D4425F">
        <w:t>24</w:t>
      </w:r>
      <w:r>
        <w:t xml:space="preserve"> van Richtlijn (EU) </w:t>
      </w:r>
      <w:r w:rsidRPr="00D4425F">
        <w:t>2018</w:t>
      </w:r>
      <w:r>
        <w:t>/</w:t>
      </w:r>
      <w:r w:rsidRPr="00D4425F">
        <w:t>2002</w:t>
      </w:r>
      <w:r>
        <w:t xml:space="preserve"> van het Europees Parlement en de Raad van </w:t>
      </w:r>
      <w:r w:rsidRPr="00D4425F">
        <w:t>11</w:t>
      </w:r>
      <w:r>
        <w:t xml:space="preserve"> december </w:t>
      </w:r>
      <w:r w:rsidRPr="00D4425F">
        <w:t>2018</w:t>
      </w:r>
      <w:r>
        <w:t xml:space="preserve"> houdende wijziging van Richtlijn </w:t>
      </w:r>
      <w:r w:rsidRPr="00D4425F">
        <w:t>2012</w:t>
      </w:r>
      <w:r>
        <w:t>/</w:t>
      </w:r>
      <w:r w:rsidRPr="00D4425F">
        <w:t>27</w:t>
      </w:r>
      <w:r>
        <w:t>/EU betreffende energie-efficiëntie (</w:t>
      </w:r>
      <w:hyperlink r:id="rId71" w:history="1">
        <w:r>
          <w:rPr>
            <w:rStyle w:val="Hyperlink"/>
          </w:rPr>
          <w:t>PB L </w:t>
        </w:r>
        <w:r w:rsidRPr="00D4425F">
          <w:rPr>
            <w:rStyle w:val="Hyperlink"/>
          </w:rPr>
          <w:t>328</w:t>
        </w:r>
      </w:hyperlink>
      <w:r>
        <w:t xml:space="preserve"> van </w:t>
      </w:r>
      <w:r w:rsidRPr="00D4425F">
        <w:t>21</w:t>
      </w:r>
      <w:r>
        <w:t>.</w:t>
      </w:r>
      <w:r w:rsidRPr="00D4425F">
        <w:t>12</w:t>
      </w:r>
      <w:r>
        <w:t>.</w:t>
      </w:r>
      <w:r w:rsidRPr="00D4425F">
        <w:t>2018</w:t>
      </w:r>
      <w:r>
        <w:t>, blz. </w:t>
      </w:r>
      <w:r w:rsidRPr="00D4425F">
        <w:t>210</w:t>
      </w:r>
      <w:r>
        <w:t>) en op de artikelen </w:t>
      </w:r>
      <w:r w:rsidRPr="00D4425F">
        <w:t>29</w:t>
      </w:r>
      <w:r>
        <w:t xml:space="preserve"> en </w:t>
      </w:r>
      <w:r w:rsidRPr="00D4425F">
        <w:t>35</w:t>
      </w:r>
      <w:r>
        <w:t xml:space="preserve"> van Verordening (EU) </w:t>
      </w:r>
      <w:r w:rsidRPr="00D4425F">
        <w:t>2018</w:t>
      </w:r>
      <w:r>
        <w:t>/</w:t>
      </w:r>
      <w:r w:rsidRPr="00D4425F">
        <w:t>1999</w:t>
      </w:r>
      <w:r>
        <w:t xml:space="preserve"> van het Europees Parlement en de Raad van </w:t>
      </w:r>
      <w:r w:rsidRPr="00D4425F">
        <w:t>11</w:t>
      </w:r>
      <w:r>
        <w:t xml:space="preserve"> december </w:t>
      </w:r>
      <w:r w:rsidRPr="00D4425F">
        <w:t>2018</w:t>
      </w:r>
      <w:r>
        <w:t xml:space="preserve"> inzake de governance van de energie-unie en van de klimaatactie (</w:t>
      </w:r>
      <w:hyperlink r:id="rId72" w:history="1">
        <w:r>
          <w:rPr>
            <w:rStyle w:val="Hyperlink"/>
          </w:rPr>
          <w:t>PB L </w:t>
        </w:r>
        <w:r w:rsidRPr="00D4425F">
          <w:rPr>
            <w:rStyle w:val="Hyperlink"/>
          </w:rPr>
          <w:t>328</w:t>
        </w:r>
      </w:hyperlink>
      <w:r>
        <w:t xml:space="preserve"> van </w:t>
      </w:r>
      <w:r w:rsidRPr="00D4425F">
        <w:t>21</w:t>
      </w:r>
      <w:r>
        <w:t>.</w:t>
      </w:r>
      <w:r w:rsidRPr="00D4425F">
        <w:t>12</w:t>
      </w:r>
      <w:r>
        <w:t>.</w:t>
      </w:r>
      <w:r w:rsidRPr="00D4425F">
        <w:t>2018</w:t>
      </w:r>
      <w:r>
        <w:t>, blz. </w:t>
      </w:r>
      <w:r w:rsidRPr="00D4425F">
        <w:t>1</w:t>
      </w:r>
      <w:r>
        <w:t>).</w:t>
      </w:r>
    </w:p>
  </w:footnote>
  <w:footnote w:id="121">
    <w:p w14:paraId="434B8ABE" w14:textId="64A1C01B" w:rsidR="008B0254" w:rsidRDefault="008B0254">
      <w:pPr>
        <w:pStyle w:val="FootnoteText"/>
      </w:pPr>
      <w:r>
        <w:rPr>
          <w:rStyle w:val="FootnoteReference"/>
        </w:rPr>
        <w:footnoteRef/>
      </w:r>
      <w:r>
        <w:t xml:space="preserve"> Aanbeveling van de Commissie over de omzetting van de energiebesparingsverplichting (</w:t>
      </w:r>
      <w:hyperlink r:id="rId73" w:history="1">
        <w:r>
          <w:rPr>
            <w:rStyle w:val="Hyperlink"/>
          </w:rPr>
          <w:t>C(</w:t>
        </w:r>
        <w:r w:rsidRPr="00D4425F">
          <w:rPr>
            <w:rStyle w:val="Hyperlink"/>
          </w:rPr>
          <w:t>2019</w:t>
        </w:r>
        <w:r>
          <w:rPr>
            <w:rStyle w:val="Hyperlink"/>
          </w:rPr>
          <w:t>) </w:t>
        </w:r>
        <w:r w:rsidRPr="00D4425F">
          <w:rPr>
            <w:rStyle w:val="Hyperlink"/>
          </w:rPr>
          <w:t>6621</w:t>
        </w:r>
        <w:r>
          <w:rPr>
            <w:rStyle w:val="Hyperlink"/>
          </w:rPr>
          <w:t xml:space="preserve"> final</w:t>
        </w:r>
      </w:hyperlink>
      <w:r>
        <w:t>).</w:t>
      </w:r>
    </w:p>
  </w:footnote>
  <w:footnote w:id="122">
    <w:p w14:paraId="54879706" w14:textId="2FDD0EFD" w:rsidR="008B0254" w:rsidRDefault="008B0254" w:rsidP="00666776">
      <w:pPr>
        <w:pStyle w:val="FootnoteText"/>
      </w:pPr>
      <w:r>
        <w:rPr>
          <w:rStyle w:val="FootnoteReference"/>
        </w:rPr>
        <w:footnoteRef/>
      </w:r>
      <w:r>
        <w:t xml:space="preserve"> De lidstaten waren tot en met </w:t>
      </w:r>
      <w:r w:rsidRPr="00D4425F">
        <w:t>30</w:t>
      </w:r>
      <w:r w:rsidR="00AD1EAB">
        <w:t> </w:t>
      </w:r>
      <w:r>
        <w:t xml:space="preserve">april </w:t>
      </w:r>
      <w:r w:rsidRPr="00D4425F">
        <w:t>2020</w:t>
      </w:r>
      <w:r>
        <w:t xml:space="preserve"> verplicht jaarlijks verslag uit te brengen. Het eindverslag over de gehele verplichtings</w:t>
      </w:r>
      <w:r w:rsidR="00AD1EAB">
        <w:t>periode moet uiterlijk in maart </w:t>
      </w:r>
      <w:r w:rsidRPr="00D4425F">
        <w:t>2022</w:t>
      </w:r>
      <w:r>
        <w:t xml:space="preserve"> worden ingediend. Dit zijn de drie lidstaten die een maatregel hebben ontworpen die specifiek gericht is op de sectoren die onder het EU-ETS vallen. Er zijn aanmerkelijk meer maatregelen die gericht zijn op sectoren in het algemeen (deze kunnen betrekking hebben op sectoren die binnen en buiten het toepassingsgebied van het EU-ETS vallen). De </w:t>
      </w:r>
      <w:hyperlink r:id="rId74" w:anchor="/search" w:history="1">
        <w:r>
          <w:rPr>
            <w:rStyle w:val="Hyperlink"/>
          </w:rPr>
          <w:t>ODYSSEE-MURE-databank</w:t>
        </w:r>
      </w:hyperlink>
      <w:r>
        <w:t xml:space="preserve"> over energie-efficiëntiemaatregelen in de EU bevat meer dan </w:t>
      </w:r>
      <w:r w:rsidRPr="00D4425F">
        <w:t>200</w:t>
      </w:r>
      <w:r>
        <w:t> maatregelen voor sectoren in de lidstaten.</w:t>
      </w:r>
    </w:p>
  </w:footnote>
  <w:footnote w:id="123">
    <w:p w14:paraId="5FBFE0EB" w14:textId="0DBA8690" w:rsidR="008B0254" w:rsidRDefault="008B0254" w:rsidP="00666776">
      <w:pPr>
        <w:pStyle w:val="FootnoteText"/>
      </w:pPr>
      <w:r>
        <w:rPr>
          <w:rStyle w:val="FootnoteReference"/>
        </w:rPr>
        <w:footnoteRef/>
      </w:r>
      <w:r>
        <w:t xml:space="preserve"> Vrijwillige overeenkomsten en gelijkwaardige maatregelen zijn beide alternatieve maatregelen in de zin van artikel </w:t>
      </w:r>
      <w:r w:rsidRPr="00D4425F">
        <w:t>7</w:t>
      </w:r>
      <w:r>
        <w:t xml:space="preserve">, punt b), van de richtlijn energie-efficiëntie. De oorspronkelijke herhaling van de richtlijn, die in </w:t>
      </w:r>
      <w:r w:rsidRPr="00D4425F">
        <w:t>2012</w:t>
      </w:r>
      <w:r>
        <w:t xml:space="preserve"> werd vastgesteld, bevatte een niet-uitputtende lijst van alternatieve maatregelen, maar na de herziening ervan in </w:t>
      </w:r>
      <w:r w:rsidRPr="00D4425F">
        <w:t>2018</w:t>
      </w:r>
      <w:r w:rsidR="00AD1EAB">
        <w:t xml:space="preserve"> werd de lijst geschrapt.</w:t>
      </w:r>
    </w:p>
  </w:footnote>
  <w:footnote w:id="124">
    <w:p w14:paraId="314F89CD" w14:textId="0FBF316F" w:rsidR="008B0254" w:rsidRDefault="008B0254">
      <w:pPr>
        <w:pStyle w:val="FootnoteText"/>
      </w:pPr>
      <w:r>
        <w:rPr>
          <w:rStyle w:val="FootnoteReference"/>
        </w:rPr>
        <w:footnoteRef/>
      </w:r>
      <w:r>
        <w:t xml:space="preserve"> Deze cijfers zijn afkomstig uit jaarverslagen die de lidstaten overeenkomstig artikel </w:t>
      </w:r>
      <w:r w:rsidRPr="00D4425F">
        <w:t>24</w:t>
      </w:r>
      <w:r>
        <w:t>, lid </w:t>
      </w:r>
      <w:r w:rsidRPr="00D4425F">
        <w:t>1</w:t>
      </w:r>
      <w:r>
        <w:t>, van de richtlijn energie-efficiëntie hebben ingediend. De aandelen worden uitgedrukt in verhouding tot de krachtens artikel </w:t>
      </w:r>
      <w:r w:rsidRPr="00D4425F">
        <w:t>7</w:t>
      </w:r>
      <w:r>
        <w:t xml:space="preserve"> gerapporteerde cumulatieve besparingen voor de jaren </w:t>
      </w:r>
      <w:r w:rsidRPr="00D4425F">
        <w:t>2014</w:t>
      </w:r>
      <w:r>
        <w:t>-</w:t>
      </w:r>
      <w:r w:rsidRPr="00D4425F">
        <w:t>2018</w:t>
      </w:r>
      <w:r w:rsidR="00AD1EAB">
        <w:t>.</w:t>
      </w:r>
    </w:p>
  </w:footnote>
  <w:footnote w:id="125">
    <w:p w14:paraId="6F3C68E6" w14:textId="62C0F6FD" w:rsidR="008B0254" w:rsidRDefault="008B0254">
      <w:pPr>
        <w:pStyle w:val="FootnoteText"/>
      </w:pPr>
      <w:r>
        <w:rPr>
          <w:rStyle w:val="FootnoteReference"/>
        </w:rPr>
        <w:footnoteRef/>
      </w:r>
      <w:r>
        <w:t xml:space="preserve"> Van deze mogelijkheid kan geen gebruik worden gemaakt voor de periode </w:t>
      </w:r>
      <w:r w:rsidRPr="00D4425F">
        <w:t>2021</w:t>
      </w:r>
      <w:r>
        <w:t>-</w:t>
      </w:r>
      <w:r w:rsidRPr="00D4425F">
        <w:t>2030</w:t>
      </w:r>
      <w:r>
        <w:t>, aangezien de mogelijkheden in artikel </w:t>
      </w:r>
      <w:r w:rsidRPr="00D4425F">
        <w:t>7</w:t>
      </w:r>
      <w:r>
        <w:t>, lid </w:t>
      </w:r>
      <w:r w:rsidRPr="00D4425F">
        <w:t>4</w:t>
      </w:r>
      <w:r>
        <w:t>, van de richtlijn energie-efficiëntie voor deze verplichtingsperiode de vereiste minimumhoeveelheid cumulatieve besparingen niet verminderen (zie artikel </w:t>
      </w:r>
      <w:r w:rsidRPr="00D4425F">
        <w:t>7</w:t>
      </w:r>
      <w:r>
        <w:t>, lid </w:t>
      </w:r>
      <w:r w:rsidRPr="00D4425F">
        <w:t>5</w:t>
      </w:r>
      <w:r>
        <w:t>, van de richtlijn).</w:t>
      </w:r>
    </w:p>
  </w:footnote>
  <w:footnote w:id="126">
    <w:p w14:paraId="1BAFA7FD" w14:textId="667E4DDF" w:rsidR="008B0254" w:rsidRDefault="008B0254" w:rsidP="00666776">
      <w:pPr>
        <w:pStyle w:val="FootnoteText"/>
      </w:pPr>
      <w:r>
        <w:rPr>
          <w:rStyle w:val="FootnoteReference"/>
        </w:rPr>
        <w:footnoteRef/>
      </w:r>
      <w:r>
        <w:t xml:space="preserve"> Denemarken (energiebesparing in verband met stadsverwarming als onderdeel van de Deense regeling voor energie-efficiëntieverplichtingen), Roemenië (reeks van vijf maatregelen met betrekking tot efficiëntie in elektriciteitscentrales, hoogrenderende warmtekrachtkoppeling, efficiëntie in transmissie- en distributienetten en efficiëntie bij stadsverwarming) en Slovenië (drie maatregelen in verband met efficiëntie bij stadsverwarming).</w:t>
      </w:r>
    </w:p>
  </w:footnote>
  <w:footnote w:id="127">
    <w:p w14:paraId="5F0CA043" w14:textId="3CF6D2BE" w:rsidR="008B0254" w:rsidRDefault="008B0254" w:rsidP="00666776">
      <w:pPr>
        <w:pStyle w:val="FootnoteText"/>
      </w:pPr>
      <w:r>
        <w:rPr>
          <w:rStyle w:val="FootnoteReference"/>
        </w:rPr>
        <w:footnoteRef/>
      </w:r>
      <w:r>
        <w:t xml:space="preserve"> De beoordeling van het cumulatieve effect van de NECP’s (COM (</w:t>
      </w:r>
      <w:r w:rsidRPr="00D4425F">
        <w:t>2020</w:t>
      </w:r>
      <w:r>
        <w:t>) </w:t>
      </w:r>
      <w:r w:rsidRPr="00D4425F">
        <w:t>564</w:t>
      </w:r>
      <w:r>
        <w:t xml:space="preserve"> final) kan hier worden geraadpleegd: </w:t>
      </w:r>
      <w:hyperlink r:id="rId75" w:history="1">
        <w:r>
          <w:rPr>
            <w:rStyle w:val="Hyperlink"/>
          </w:rPr>
          <w:t>https://eur-lex.europa.eu/legal-content/NL/TXT/PDF/?uri=CELEX:</w:t>
        </w:r>
        <w:r w:rsidRPr="00D4425F">
          <w:rPr>
            <w:rStyle w:val="Hyperlink"/>
          </w:rPr>
          <w:t>52020</w:t>
        </w:r>
        <w:r>
          <w:rPr>
            <w:rStyle w:val="Hyperlink"/>
          </w:rPr>
          <w:t>DC</w:t>
        </w:r>
        <w:r w:rsidRPr="00D4425F">
          <w:rPr>
            <w:rStyle w:val="Hyperlink"/>
          </w:rPr>
          <w:t>0564</w:t>
        </w:r>
        <w:r>
          <w:rPr>
            <w:rStyle w:val="Hyperlink"/>
          </w:rPr>
          <w:t>&amp;from=NL</w:t>
        </w:r>
      </w:hyperlink>
    </w:p>
    <w:p w14:paraId="6B54DA22" w14:textId="734833DF" w:rsidR="008B0254" w:rsidRDefault="008B0254" w:rsidP="00666776">
      <w:pPr>
        <w:pStyle w:val="FootnoteText"/>
      </w:pPr>
      <w:r>
        <w:t xml:space="preserve">De individuele beoordelingen van de Commissie van elk NECP kunnen hier worden geraadpleegd: </w:t>
      </w:r>
      <w:hyperlink r:id="rId76" w:history="1">
        <w:r>
          <w:rPr>
            <w:rStyle w:val="Hyperlink"/>
          </w:rPr>
          <w:t>https://ec.europa.eu/energy/topics/energy-strategy/national-energy-climate-plans/individual-assessments_nl</w:t>
        </w:r>
      </w:hyperlink>
      <w:r>
        <w:t xml:space="preserve"> </w:t>
      </w:r>
    </w:p>
  </w:footnote>
  <w:footnote w:id="128">
    <w:p w14:paraId="3AD5D96B" w14:textId="7A20D0A1" w:rsidR="008B0254" w:rsidRPr="00014A2D" w:rsidRDefault="008B0254" w:rsidP="00666776">
      <w:pPr>
        <w:pStyle w:val="FootnoteText"/>
      </w:pPr>
      <w:r>
        <w:rPr>
          <w:rStyle w:val="FootnoteReference"/>
        </w:rPr>
        <w:footnoteRef/>
      </w:r>
      <w:r>
        <w:t xml:space="preserve"> België, Cyprus, Estland, Letland, Litouwen, Luxemburg en Malta.</w:t>
      </w:r>
    </w:p>
  </w:footnote>
  <w:footnote w:id="129">
    <w:p w14:paraId="3FA49DF2" w14:textId="0EE01BB5" w:rsidR="008B0254" w:rsidRDefault="008B0254" w:rsidP="00666776">
      <w:pPr>
        <w:pStyle w:val="FootnoteText"/>
      </w:pPr>
      <w:r>
        <w:rPr>
          <w:rStyle w:val="FootnoteReference"/>
        </w:rPr>
        <w:footnoteRef/>
      </w:r>
      <w:r>
        <w:t xml:space="preserve"> De kloof bedraagt </w:t>
      </w:r>
      <w:r w:rsidRPr="00D4425F">
        <w:t>2</w:t>
      </w:r>
      <w:r>
        <w:t>,</w:t>
      </w:r>
      <w:r w:rsidRPr="00D4425F">
        <w:t>8</w:t>
      </w:r>
      <w:r>
        <w:t xml:space="preserve"> procentpunten voor primair energieverbruik en </w:t>
      </w:r>
      <w:r w:rsidRPr="00D4425F">
        <w:t>3</w:t>
      </w:r>
      <w:r>
        <w:t>,</w:t>
      </w:r>
      <w:r w:rsidRPr="00D4425F">
        <w:t>1</w:t>
      </w:r>
      <w:r>
        <w:t xml:space="preserve"> procentpunten voor het eindverbruik van energie in vergelijking met de doelstelling om de energie-efficiëntie tegen </w:t>
      </w:r>
      <w:r w:rsidRPr="00D4425F">
        <w:t>2030</w:t>
      </w:r>
      <w:r>
        <w:t xml:space="preserve"> met ten minste </w:t>
      </w:r>
      <w:r w:rsidRPr="00D4425F">
        <w:t>32</w:t>
      </w:r>
      <w:r>
        <w:t>,</w:t>
      </w:r>
      <w:r w:rsidRPr="00D4425F">
        <w:t>5</w:t>
      </w:r>
      <w:r>
        <w:t> % te vergroten.</w:t>
      </w:r>
    </w:p>
  </w:footnote>
  <w:footnote w:id="130">
    <w:p w14:paraId="2D60B4D9" w14:textId="790F464E" w:rsidR="008B0254" w:rsidRDefault="008B0254">
      <w:pPr>
        <w:pStyle w:val="FootnoteText"/>
      </w:pPr>
      <w:r>
        <w:rPr>
          <w:rStyle w:val="FootnoteReference"/>
        </w:rPr>
        <w:footnoteRef/>
      </w:r>
      <w:r w:rsidR="00AD1EAB">
        <w:t xml:space="preserve"> Voortgangsverslag </w:t>
      </w:r>
      <w:r w:rsidRPr="00D4425F">
        <w:t>2021</w:t>
      </w:r>
      <w:r>
        <w:t xml:space="preserve"> over klimaatactie (COM(</w:t>
      </w:r>
      <w:r w:rsidRPr="00D4425F">
        <w:t>2021</w:t>
      </w:r>
      <w:r>
        <w:t>) </w:t>
      </w:r>
      <w:r w:rsidRPr="00D4425F">
        <w:t>951</w:t>
      </w:r>
      <w:r w:rsidR="00AD1EAB">
        <w:t xml:space="preserve"> final).</w:t>
      </w:r>
    </w:p>
  </w:footnote>
  <w:footnote w:id="131">
    <w:p w14:paraId="74CB620B" w14:textId="0F80E76B" w:rsidR="008B0254" w:rsidRDefault="008B0254" w:rsidP="00666776">
      <w:pPr>
        <w:pStyle w:val="FootnoteText"/>
      </w:pPr>
      <w:r>
        <w:rPr>
          <w:rStyle w:val="FootnoteReference"/>
        </w:rPr>
        <w:footnoteRef/>
      </w:r>
      <w:r>
        <w:t xml:space="preserve"> Tussen </w:t>
      </w:r>
      <w:r w:rsidRPr="00D4425F">
        <w:t>2013</w:t>
      </w:r>
      <w:r>
        <w:t xml:space="preserve"> en </w:t>
      </w:r>
      <w:r w:rsidRPr="00D4425F">
        <w:t>2020</w:t>
      </w:r>
      <w:r>
        <w:t>.</w:t>
      </w:r>
    </w:p>
  </w:footnote>
  <w:footnote w:id="132">
    <w:p w14:paraId="0A010204" w14:textId="79C6CC08" w:rsidR="008B0254" w:rsidRDefault="008B0254" w:rsidP="00E63039">
      <w:pPr>
        <w:pStyle w:val="FootnoteText"/>
      </w:pPr>
      <w:r>
        <w:rPr>
          <w:rStyle w:val="FootnoteReference"/>
        </w:rPr>
        <w:footnoteRef/>
      </w:r>
      <w:r>
        <w:t xml:space="preserve"> Het cijfer voor </w:t>
      </w:r>
      <w:r w:rsidRPr="00D4425F">
        <w:t>2020</w:t>
      </w:r>
      <w:r>
        <w:t xml:space="preserve"> heeft betrekking op de EU-</w:t>
      </w:r>
      <w:r w:rsidRPr="00D4425F">
        <w:t>27</w:t>
      </w:r>
      <w:r>
        <w:t xml:space="preserve">, IJsland, Liechtenstein en Noorwegen, en het Verenigd Koninkrijk, terwijl het cijfer voor </w:t>
      </w:r>
      <w:r w:rsidRPr="00D4425F">
        <w:t>2021</w:t>
      </w:r>
      <w:r>
        <w:t xml:space="preserve"> alleen betrekking heeft op de EU-</w:t>
      </w:r>
      <w:r w:rsidRPr="00D4425F">
        <w:t>27</w:t>
      </w:r>
      <w:r>
        <w:t xml:space="preserve"> plus IJsla</w:t>
      </w:r>
      <w:r w:rsidR="002E48F8">
        <w:t>nd, Liechtenstein en Noorwegen.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27786" w14:textId="77777777" w:rsidR="00D770E7" w:rsidRPr="00D770E7" w:rsidRDefault="00D770E7" w:rsidP="00D770E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7F4E9" w14:textId="77777777" w:rsidR="008B0254" w:rsidRDefault="008B025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8BF44" w14:textId="77777777" w:rsidR="008B0254" w:rsidRDefault="008B025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86D9F" w14:textId="77777777" w:rsidR="008B0254" w:rsidRDefault="008B025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6DF66" w14:textId="77777777" w:rsidR="008B0254" w:rsidRDefault="008B025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8383" w14:textId="77777777" w:rsidR="008B0254" w:rsidRDefault="008B025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04B33" w14:textId="77777777" w:rsidR="008B0254" w:rsidRDefault="008B025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4866" w14:textId="77777777" w:rsidR="008B0254" w:rsidRDefault="008B025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9751" w14:textId="77777777" w:rsidR="008B0254" w:rsidRDefault="008B025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973BE" w14:textId="77777777" w:rsidR="008B0254" w:rsidRDefault="008B0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DF80F" w14:textId="77777777" w:rsidR="00D770E7" w:rsidRPr="00D770E7" w:rsidRDefault="00D770E7" w:rsidP="00D770E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62C25" w14:textId="77777777" w:rsidR="00D770E7" w:rsidRPr="00D770E7" w:rsidRDefault="00D770E7" w:rsidP="00D770E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1455A" w14:textId="77777777" w:rsidR="008B0254" w:rsidRDefault="008B02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09D2" w14:textId="77777777" w:rsidR="008B0254" w:rsidRPr="006B4591" w:rsidRDefault="008B0254" w:rsidP="006B45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0E02" w14:textId="77777777" w:rsidR="008B0254" w:rsidRDefault="008B025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4FFE" w14:textId="77777777" w:rsidR="008B0254" w:rsidRDefault="008B02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EB4A5" w14:textId="77777777" w:rsidR="008B0254" w:rsidRDefault="008B025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1B912" w14:textId="77777777" w:rsidR="008B0254" w:rsidRDefault="008B0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15:restartNumberingAfterBreak="0">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15:restartNumberingAfterBreak="0">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B337A"/>
    <w:multiLevelType w:val="hybridMultilevel"/>
    <w:tmpl w:val="0A9E9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2568F"/>
    <w:multiLevelType w:val="hybridMultilevel"/>
    <w:tmpl w:val="ECD40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35361B"/>
    <w:multiLevelType w:val="hybridMultilevel"/>
    <w:tmpl w:val="F0243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FA0AF1"/>
    <w:multiLevelType w:val="multilevel"/>
    <w:tmpl w:val="6560AAEC"/>
    <w:lvl w:ilvl="0">
      <w:start w:val="1"/>
      <w:numFmt w:val="decimal"/>
      <w:lvlText w:val="%1."/>
      <w:lvlJc w:val="left"/>
      <w:pPr>
        <w:ind w:left="360" w:hanging="360"/>
      </w:pPr>
    </w:lvl>
    <w:lvl w:ilvl="1">
      <w:start w:val="1"/>
      <w:numFmt w:val="decimal"/>
      <w:isLgl/>
      <w:lvlText w:val="%1.%2."/>
      <w:lvlJc w:val="left"/>
      <w:pPr>
        <w:ind w:left="806"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601A99"/>
    <w:multiLevelType w:val="hybridMultilevel"/>
    <w:tmpl w:val="1F5A0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F3C02"/>
    <w:multiLevelType w:val="hybridMultilevel"/>
    <w:tmpl w:val="B83E9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2075302"/>
    <w:multiLevelType w:val="hybridMultilevel"/>
    <w:tmpl w:val="5C0227C4"/>
    <w:lvl w:ilvl="0" w:tplc="08090001">
      <w:start w:val="1"/>
      <w:numFmt w:val="bullet"/>
      <w:lvlText w:val=""/>
      <w:lvlJc w:val="left"/>
      <w:pPr>
        <w:ind w:left="720"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DE022E"/>
    <w:multiLevelType w:val="hybridMultilevel"/>
    <w:tmpl w:val="8320D364"/>
    <w:lvl w:ilvl="0" w:tplc="237222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41304"/>
    <w:multiLevelType w:val="hybridMultilevel"/>
    <w:tmpl w:val="6C2407D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15:restartNumberingAfterBreak="0">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BF75FD"/>
    <w:multiLevelType w:val="hybridMultilevel"/>
    <w:tmpl w:val="8E34C7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E921B5"/>
    <w:multiLevelType w:val="hybridMultilevel"/>
    <w:tmpl w:val="3A8ECD96"/>
    <w:lvl w:ilvl="0" w:tplc="D56E8EEA">
      <w:start w:val="25"/>
      <w:numFmt w:val="bullet"/>
      <w:lvlText w:val="-"/>
      <w:lvlJc w:val="left"/>
      <w:pPr>
        <w:ind w:left="720" w:hanging="360"/>
      </w:pPr>
      <w:rPr>
        <w:rFonts w:ascii="Calibri" w:eastAsia="Times New Roman" w:hAnsi="Calibri" w:cs="Calibr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15423"/>
    <w:multiLevelType w:val="hybridMultilevel"/>
    <w:tmpl w:val="1130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FB017B"/>
    <w:multiLevelType w:val="hybridMultilevel"/>
    <w:tmpl w:val="115409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29"/>
  </w:num>
  <w:num w:numId="5">
    <w:abstractNumId w:val="13"/>
  </w:num>
  <w:num w:numId="6">
    <w:abstractNumId w:val="27"/>
  </w:num>
  <w:num w:numId="7">
    <w:abstractNumId w:val="33"/>
  </w:num>
  <w:num w:numId="8">
    <w:abstractNumId w:val="18"/>
  </w:num>
  <w:num w:numId="9">
    <w:abstractNumId w:val="11"/>
  </w:num>
  <w:num w:numId="10">
    <w:abstractNumId w:val="23"/>
  </w:num>
  <w:num w:numId="11">
    <w:abstractNumId w:val="24"/>
  </w:num>
  <w:num w:numId="12">
    <w:abstractNumId w:val="8"/>
  </w:num>
  <w:num w:numId="13">
    <w:abstractNumId w:val="17"/>
  </w:num>
  <w:num w:numId="14">
    <w:abstractNumId w:val="31"/>
  </w:num>
  <w:num w:numId="15">
    <w:abstractNumId w:val="2"/>
  </w:num>
  <w:num w:numId="16">
    <w:abstractNumId w:val="5"/>
  </w:num>
  <w:num w:numId="17">
    <w:abstractNumId w:val="20"/>
  </w:num>
  <w:num w:numId="18">
    <w:abstractNumId w:val="25"/>
  </w:num>
  <w:num w:numId="19">
    <w:abstractNumId w:val="17"/>
  </w:num>
  <w:num w:numId="20">
    <w:abstractNumId w:val="31"/>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4"/>
  </w:num>
  <w:num w:numId="25">
    <w:abstractNumId w:val="30"/>
  </w:num>
  <w:num w:numId="26">
    <w:abstractNumId w:val="32"/>
  </w:num>
  <w:num w:numId="27">
    <w:abstractNumId w:val="26"/>
  </w:num>
  <w:num w:numId="28">
    <w:abstractNumId w:val="28"/>
  </w:num>
  <w:num w:numId="29">
    <w:abstractNumId w:val="16"/>
  </w:num>
  <w:num w:numId="30">
    <w:abstractNumId w:val="12"/>
  </w:num>
  <w:num w:numId="31">
    <w:abstractNumId w:val="21"/>
  </w:num>
  <w:num w:numId="32">
    <w:abstractNumId w:val="3"/>
  </w:num>
  <w:num w:numId="33">
    <w:abstractNumId w:val="19"/>
  </w:num>
  <w:num w:numId="3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AT" w:vendorID="64" w:dllVersion="131078" w:nlCheck="1" w:checkStyle="0"/>
  <w:activeWritingStyle w:appName="MSWord" w:lang="da-DK"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nl-NL" w:vendorID="64" w:dllVersion="131078" w:nlCheck="1" w:checkStyle="0"/>
  <w:revisionView w:markup="0"/>
  <w:defaultTabStop w:val="720"/>
  <w:hyphenationZone w:val="283"/>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2E89D25-8FED-4D02-8BC7-11CBBD9AB360"/>
    <w:docVar w:name="LW_COVERPAGE_TYPE" w:val="1"/>
    <w:docVar w:name="LW_CROSSREFERENCE" w:val="{COM(2021) 950 final} - {SWD(2021) 308 final}"/>
    <w:docVar w:name="LW_DocType" w:val="NORMAL"/>
    <w:docVar w:name="LW_EMISSION" w:val="26.10.2021"/>
    <w:docVar w:name="LW_EMISSION_ISODATE" w:val="2021-10-26"/>
    <w:docVar w:name="LW_EMISSION_LOCATION" w:val="BRX"/>
    <w:docVar w:name="LW_EMISSION_PREFIX" w:val="Brussel, "/>
    <w:docVar w:name="LW_EMISSION_SUFFIX" w:val=" "/>
    <w:docVar w:name="LW_ID_DOCTYPE_NONLW" w:val="CP-006"/>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21) 9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UPERTITRE" w:val="&lt;UNUSED&gt;"/>
    <w:docVar w:name="LW_TITRE.OBJ.CP" w:val="&lt;FMT:Bold&gt;over de werking van de Europese koolstofmarkt in 2020 krachtens artikel 10, lid 5, en artikel 21, lid 2, van Richtlijn 2003/87/EG (zoals gewijzigd door Richtlijn 2009/29/EG en Richtlijn (EU) 2018/410)&lt;/FMT&gt;"/>
    <w:docVar w:name="LW_TYPE.DOC.CP" w:val="VERSLAG VAN DE COMMISSIE AAN HET EUROPEES PARLEMENT EN DE RAAD"/>
    <w:docVar w:name="LwApiVersions" w:val="LW4CoDe 1.23.2.0; LW 8.0, Build 20211117"/>
  </w:docVars>
  <w:rsids>
    <w:rsidRoot w:val="00131369"/>
    <w:rsid w:val="00001AC7"/>
    <w:rsid w:val="00003E13"/>
    <w:rsid w:val="000067D2"/>
    <w:rsid w:val="000068FE"/>
    <w:rsid w:val="00006E10"/>
    <w:rsid w:val="000078B0"/>
    <w:rsid w:val="0000796D"/>
    <w:rsid w:val="00007C15"/>
    <w:rsid w:val="00010346"/>
    <w:rsid w:val="0001267A"/>
    <w:rsid w:val="00014A2D"/>
    <w:rsid w:val="000166A5"/>
    <w:rsid w:val="00016EE1"/>
    <w:rsid w:val="000211CD"/>
    <w:rsid w:val="00023158"/>
    <w:rsid w:val="0002564E"/>
    <w:rsid w:val="00025C81"/>
    <w:rsid w:val="000272E5"/>
    <w:rsid w:val="00030658"/>
    <w:rsid w:val="000313B3"/>
    <w:rsid w:val="0003195A"/>
    <w:rsid w:val="00034550"/>
    <w:rsid w:val="00035110"/>
    <w:rsid w:val="00035AF7"/>
    <w:rsid w:val="000364E6"/>
    <w:rsid w:val="00042CC0"/>
    <w:rsid w:val="00044600"/>
    <w:rsid w:val="0004562A"/>
    <w:rsid w:val="00046E79"/>
    <w:rsid w:val="00052B4E"/>
    <w:rsid w:val="000532A9"/>
    <w:rsid w:val="000551F4"/>
    <w:rsid w:val="00055D6D"/>
    <w:rsid w:val="00060393"/>
    <w:rsid w:val="0006079D"/>
    <w:rsid w:val="00061279"/>
    <w:rsid w:val="00061ADE"/>
    <w:rsid w:val="000629A0"/>
    <w:rsid w:val="00062A9F"/>
    <w:rsid w:val="0006372F"/>
    <w:rsid w:val="00063B2C"/>
    <w:rsid w:val="00063CFE"/>
    <w:rsid w:val="00066EB2"/>
    <w:rsid w:val="000772BB"/>
    <w:rsid w:val="00081FC6"/>
    <w:rsid w:val="000839B3"/>
    <w:rsid w:val="00085CF6"/>
    <w:rsid w:val="000903A1"/>
    <w:rsid w:val="0009092A"/>
    <w:rsid w:val="00090DBB"/>
    <w:rsid w:val="00092D06"/>
    <w:rsid w:val="00093118"/>
    <w:rsid w:val="00093F8D"/>
    <w:rsid w:val="00096023"/>
    <w:rsid w:val="000A1242"/>
    <w:rsid w:val="000A47F5"/>
    <w:rsid w:val="000A5336"/>
    <w:rsid w:val="000A5B98"/>
    <w:rsid w:val="000A6946"/>
    <w:rsid w:val="000A6CD0"/>
    <w:rsid w:val="000B6F68"/>
    <w:rsid w:val="000B7D11"/>
    <w:rsid w:val="000C2845"/>
    <w:rsid w:val="000C2C7F"/>
    <w:rsid w:val="000C4141"/>
    <w:rsid w:val="000C4A54"/>
    <w:rsid w:val="000C70F0"/>
    <w:rsid w:val="000D0A67"/>
    <w:rsid w:val="000D1307"/>
    <w:rsid w:val="000D1780"/>
    <w:rsid w:val="000D339D"/>
    <w:rsid w:val="000D6521"/>
    <w:rsid w:val="000E0C73"/>
    <w:rsid w:val="000E244F"/>
    <w:rsid w:val="000E264B"/>
    <w:rsid w:val="000E3D0A"/>
    <w:rsid w:val="000E4AEE"/>
    <w:rsid w:val="000F63B2"/>
    <w:rsid w:val="00104100"/>
    <w:rsid w:val="00104163"/>
    <w:rsid w:val="00105B87"/>
    <w:rsid w:val="00106059"/>
    <w:rsid w:val="0010679C"/>
    <w:rsid w:val="00106D7A"/>
    <w:rsid w:val="0011399F"/>
    <w:rsid w:val="00114C3A"/>
    <w:rsid w:val="00115ADC"/>
    <w:rsid w:val="001222DE"/>
    <w:rsid w:val="00122738"/>
    <w:rsid w:val="00122BCA"/>
    <w:rsid w:val="00123D6B"/>
    <w:rsid w:val="00124323"/>
    <w:rsid w:val="00131369"/>
    <w:rsid w:val="00134E98"/>
    <w:rsid w:val="00135FC5"/>
    <w:rsid w:val="0013784D"/>
    <w:rsid w:val="0014359B"/>
    <w:rsid w:val="00143AC1"/>
    <w:rsid w:val="00144322"/>
    <w:rsid w:val="001459D7"/>
    <w:rsid w:val="001463E5"/>
    <w:rsid w:val="001534E7"/>
    <w:rsid w:val="001543A0"/>
    <w:rsid w:val="00154570"/>
    <w:rsid w:val="00154F61"/>
    <w:rsid w:val="00155322"/>
    <w:rsid w:val="001613C9"/>
    <w:rsid w:val="00161C65"/>
    <w:rsid w:val="00164F61"/>
    <w:rsid w:val="00165742"/>
    <w:rsid w:val="00165C37"/>
    <w:rsid w:val="00171783"/>
    <w:rsid w:val="001717C5"/>
    <w:rsid w:val="00180170"/>
    <w:rsid w:val="00180BF3"/>
    <w:rsid w:val="00184BAD"/>
    <w:rsid w:val="00186CD7"/>
    <w:rsid w:val="001905C8"/>
    <w:rsid w:val="00190754"/>
    <w:rsid w:val="001950F8"/>
    <w:rsid w:val="001A3667"/>
    <w:rsid w:val="001A4B9C"/>
    <w:rsid w:val="001A4DC6"/>
    <w:rsid w:val="001A50EC"/>
    <w:rsid w:val="001A5BFF"/>
    <w:rsid w:val="001B2332"/>
    <w:rsid w:val="001B36D0"/>
    <w:rsid w:val="001B48F7"/>
    <w:rsid w:val="001B4E67"/>
    <w:rsid w:val="001B7C08"/>
    <w:rsid w:val="001C2098"/>
    <w:rsid w:val="001C3686"/>
    <w:rsid w:val="001C6F82"/>
    <w:rsid w:val="001C7AFF"/>
    <w:rsid w:val="001D0317"/>
    <w:rsid w:val="001D17C1"/>
    <w:rsid w:val="001D33C2"/>
    <w:rsid w:val="001E6B17"/>
    <w:rsid w:val="001F1BDC"/>
    <w:rsid w:val="001F2179"/>
    <w:rsid w:val="001F361F"/>
    <w:rsid w:val="001F3BFB"/>
    <w:rsid w:val="001F3C0C"/>
    <w:rsid w:val="001F5D15"/>
    <w:rsid w:val="00211BB3"/>
    <w:rsid w:val="00211DEA"/>
    <w:rsid w:val="00213567"/>
    <w:rsid w:val="00216019"/>
    <w:rsid w:val="00222689"/>
    <w:rsid w:val="00225880"/>
    <w:rsid w:val="002272DF"/>
    <w:rsid w:val="00231587"/>
    <w:rsid w:val="00232B0B"/>
    <w:rsid w:val="0023409B"/>
    <w:rsid w:val="002352B1"/>
    <w:rsid w:val="0023530E"/>
    <w:rsid w:val="002436E2"/>
    <w:rsid w:val="002443DF"/>
    <w:rsid w:val="00245692"/>
    <w:rsid w:val="002472A0"/>
    <w:rsid w:val="00254016"/>
    <w:rsid w:val="00254DAB"/>
    <w:rsid w:val="00257346"/>
    <w:rsid w:val="00257B98"/>
    <w:rsid w:val="00267A5F"/>
    <w:rsid w:val="0027080F"/>
    <w:rsid w:val="00270A58"/>
    <w:rsid w:val="00271746"/>
    <w:rsid w:val="002728D2"/>
    <w:rsid w:val="0027366E"/>
    <w:rsid w:val="002739DF"/>
    <w:rsid w:val="0027402D"/>
    <w:rsid w:val="002752DF"/>
    <w:rsid w:val="00276C08"/>
    <w:rsid w:val="0028370A"/>
    <w:rsid w:val="00283EB6"/>
    <w:rsid w:val="00285E7E"/>
    <w:rsid w:val="00286454"/>
    <w:rsid w:val="00287718"/>
    <w:rsid w:val="00292813"/>
    <w:rsid w:val="00295131"/>
    <w:rsid w:val="002A3423"/>
    <w:rsid w:val="002A349F"/>
    <w:rsid w:val="002A5341"/>
    <w:rsid w:val="002B36D5"/>
    <w:rsid w:val="002B3C40"/>
    <w:rsid w:val="002B6EDE"/>
    <w:rsid w:val="002C0876"/>
    <w:rsid w:val="002C1099"/>
    <w:rsid w:val="002C282C"/>
    <w:rsid w:val="002C44C6"/>
    <w:rsid w:val="002C5A3E"/>
    <w:rsid w:val="002D1C0C"/>
    <w:rsid w:val="002D27E2"/>
    <w:rsid w:val="002D39D9"/>
    <w:rsid w:val="002D4E62"/>
    <w:rsid w:val="002D560B"/>
    <w:rsid w:val="002D58AB"/>
    <w:rsid w:val="002D72D4"/>
    <w:rsid w:val="002D7743"/>
    <w:rsid w:val="002E3AD3"/>
    <w:rsid w:val="002E3B73"/>
    <w:rsid w:val="002E46A0"/>
    <w:rsid w:val="002E48F8"/>
    <w:rsid w:val="002E4B5A"/>
    <w:rsid w:val="002E6706"/>
    <w:rsid w:val="002E6DE2"/>
    <w:rsid w:val="002E715E"/>
    <w:rsid w:val="002E74EA"/>
    <w:rsid w:val="002E77E3"/>
    <w:rsid w:val="002F11A7"/>
    <w:rsid w:val="002F20DF"/>
    <w:rsid w:val="002F7BAC"/>
    <w:rsid w:val="003037D9"/>
    <w:rsid w:val="0030748F"/>
    <w:rsid w:val="00312334"/>
    <w:rsid w:val="00313428"/>
    <w:rsid w:val="00313CB3"/>
    <w:rsid w:val="00317172"/>
    <w:rsid w:val="00317DD4"/>
    <w:rsid w:val="0033186F"/>
    <w:rsid w:val="0033322A"/>
    <w:rsid w:val="00340A89"/>
    <w:rsid w:val="00351634"/>
    <w:rsid w:val="00352895"/>
    <w:rsid w:val="00352B98"/>
    <w:rsid w:val="003541AB"/>
    <w:rsid w:val="00355B68"/>
    <w:rsid w:val="00355E20"/>
    <w:rsid w:val="0036094A"/>
    <w:rsid w:val="00361CCC"/>
    <w:rsid w:val="00363A06"/>
    <w:rsid w:val="0036415F"/>
    <w:rsid w:val="00367D64"/>
    <w:rsid w:val="00371DC7"/>
    <w:rsid w:val="00373105"/>
    <w:rsid w:val="00373BB4"/>
    <w:rsid w:val="0037484C"/>
    <w:rsid w:val="003805F8"/>
    <w:rsid w:val="00380E3A"/>
    <w:rsid w:val="003873E0"/>
    <w:rsid w:val="003904CA"/>
    <w:rsid w:val="003936C0"/>
    <w:rsid w:val="00396BE5"/>
    <w:rsid w:val="003A2F27"/>
    <w:rsid w:val="003A3673"/>
    <w:rsid w:val="003A3A86"/>
    <w:rsid w:val="003A3DFF"/>
    <w:rsid w:val="003A46F6"/>
    <w:rsid w:val="003A59BF"/>
    <w:rsid w:val="003A6729"/>
    <w:rsid w:val="003A714D"/>
    <w:rsid w:val="003A77F9"/>
    <w:rsid w:val="003B0310"/>
    <w:rsid w:val="003B1C52"/>
    <w:rsid w:val="003B4076"/>
    <w:rsid w:val="003B6468"/>
    <w:rsid w:val="003B74E6"/>
    <w:rsid w:val="003C191E"/>
    <w:rsid w:val="003D2468"/>
    <w:rsid w:val="003D2D25"/>
    <w:rsid w:val="003D4197"/>
    <w:rsid w:val="003E13AB"/>
    <w:rsid w:val="003E1DA8"/>
    <w:rsid w:val="003E2E5C"/>
    <w:rsid w:val="003E3B4A"/>
    <w:rsid w:val="003E3DC7"/>
    <w:rsid w:val="003E5444"/>
    <w:rsid w:val="003E5586"/>
    <w:rsid w:val="003E68AC"/>
    <w:rsid w:val="003F1292"/>
    <w:rsid w:val="003F1B6A"/>
    <w:rsid w:val="003F2B43"/>
    <w:rsid w:val="003F3E14"/>
    <w:rsid w:val="0040392B"/>
    <w:rsid w:val="0040566C"/>
    <w:rsid w:val="00407285"/>
    <w:rsid w:val="0041348B"/>
    <w:rsid w:val="004144EE"/>
    <w:rsid w:val="004219CC"/>
    <w:rsid w:val="0042389A"/>
    <w:rsid w:val="00425B34"/>
    <w:rsid w:val="00435CEB"/>
    <w:rsid w:val="004567CA"/>
    <w:rsid w:val="0046101C"/>
    <w:rsid w:val="00461145"/>
    <w:rsid w:val="00462866"/>
    <w:rsid w:val="004707AB"/>
    <w:rsid w:val="00470A23"/>
    <w:rsid w:val="00471D7E"/>
    <w:rsid w:val="00473D74"/>
    <w:rsid w:val="0047430D"/>
    <w:rsid w:val="004745AA"/>
    <w:rsid w:val="00475FF5"/>
    <w:rsid w:val="00477334"/>
    <w:rsid w:val="00483004"/>
    <w:rsid w:val="004867EA"/>
    <w:rsid w:val="00487B55"/>
    <w:rsid w:val="004907E9"/>
    <w:rsid w:val="004911DB"/>
    <w:rsid w:val="00491456"/>
    <w:rsid w:val="004A59FD"/>
    <w:rsid w:val="004A62EF"/>
    <w:rsid w:val="004A71F9"/>
    <w:rsid w:val="004B1018"/>
    <w:rsid w:val="004B1DFC"/>
    <w:rsid w:val="004B34FE"/>
    <w:rsid w:val="004B5D95"/>
    <w:rsid w:val="004B6C39"/>
    <w:rsid w:val="004B7057"/>
    <w:rsid w:val="004B7485"/>
    <w:rsid w:val="004C1953"/>
    <w:rsid w:val="004C339D"/>
    <w:rsid w:val="004C33E8"/>
    <w:rsid w:val="004C4EDD"/>
    <w:rsid w:val="004C5481"/>
    <w:rsid w:val="004D1674"/>
    <w:rsid w:val="004D276F"/>
    <w:rsid w:val="004D3B9F"/>
    <w:rsid w:val="004D565D"/>
    <w:rsid w:val="004D698F"/>
    <w:rsid w:val="004D6E35"/>
    <w:rsid w:val="004E20DA"/>
    <w:rsid w:val="004E3703"/>
    <w:rsid w:val="004E3AEB"/>
    <w:rsid w:val="004F2854"/>
    <w:rsid w:val="004F5D3E"/>
    <w:rsid w:val="004F5D45"/>
    <w:rsid w:val="005037D9"/>
    <w:rsid w:val="00503D62"/>
    <w:rsid w:val="0050426B"/>
    <w:rsid w:val="00506CC2"/>
    <w:rsid w:val="00507A09"/>
    <w:rsid w:val="00507A9B"/>
    <w:rsid w:val="0051092C"/>
    <w:rsid w:val="00510B70"/>
    <w:rsid w:val="00513E29"/>
    <w:rsid w:val="00515164"/>
    <w:rsid w:val="00515419"/>
    <w:rsid w:val="005177EA"/>
    <w:rsid w:val="005177F1"/>
    <w:rsid w:val="00522110"/>
    <w:rsid w:val="00522642"/>
    <w:rsid w:val="00524851"/>
    <w:rsid w:val="00525AFB"/>
    <w:rsid w:val="0053168B"/>
    <w:rsid w:val="00531B36"/>
    <w:rsid w:val="00531E62"/>
    <w:rsid w:val="005322C2"/>
    <w:rsid w:val="005334EC"/>
    <w:rsid w:val="005367F2"/>
    <w:rsid w:val="005441CB"/>
    <w:rsid w:val="00546A8D"/>
    <w:rsid w:val="00547491"/>
    <w:rsid w:val="00554B30"/>
    <w:rsid w:val="00554C5C"/>
    <w:rsid w:val="005574A7"/>
    <w:rsid w:val="0055791A"/>
    <w:rsid w:val="00561BA5"/>
    <w:rsid w:val="00561E4F"/>
    <w:rsid w:val="00562460"/>
    <w:rsid w:val="00562735"/>
    <w:rsid w:val="00563A15"/>
    <w:rsid w:val="00567DB0"/>
    <w:rsid w:val="005700A3"/>
    <w:rsid w:val="0057091D"/>
    <w:rsid w:val="00571751"/>
    <w:rsid w:val="00571B5C"/>
    <w:rsid w:val="0057297F"/>
    <w:rsid w:val="00574173"/>
    <w:rsid w:val="00574371"/>
    <w:rsid w:val="00575254"/>
    <w:rsid w:val="005808F1"/>
    <w:rsid w:val="00580C89"/>
    <w:rsid w:val="00581026"/>
    <w:rsid w:val="005811CF"/>
    <w:rsid w:val="00583840"/>
    <w:rsid w:val="005845D7"/>
    <w:rsid w:val="00584651"/>
    <w:rsid w:val="00592602"/>
    <w:rsid w:val="0059370A"/>
    <w:rsid w:val="005937C4"/>
    <w:rsid w:val="005938BB"/>
    <w:rsid w:val="00595C69"/>
    <w:rsid w:val="00595E98"/>
    <w:rsid w:val="00596386"/>
    <w:rsid w:val="00596410"/>
    <w:rsid w:val="0059727B"/>
    <w:rsid w:val="005A04B4"/>
    <w:rsid w:val="005A2756"/>
    <w:rsid w:val="005B62BF"/>
    <w:rsid w:val="005B6D58"/>
    <w:rsid w:val="005C0E04"/>
    <w:rsid w:val="005C24AF"/>
    <w:rsid w:val="005C4BD5"/>
    <w:rsid w:val="005D0FA3"/>
    <w:rsid w:val="005D12AE"/>
    <w:rsid w:val="005D78E8"/>
    <w:rsid w:val="005E0666"/>
    <w:rsid w:val="005E1F51"/>
    <w:rsid w:val="005F1CAC"/>
    <w:rsid w:val="005F2380"/>
    <w:rsid w:val="005F3544"/>
    <w:rsid w:val="005F3839"/>
    <w:rsid w:val="005F6CC0"/>
    <w:rsid w:val="0060011A"/>
    <w:rsid w:val="00601D07"/>
    <w:rsid w:val="0060222B"/>
    <w:rsid w:val="006050B5"/>
    <w:rsid w:val="00612629"/>
    <w:rsid w:val="00612D73"/>
    <w:rsid w:val="0062244C"/>
    <w:rsid w:val="006234BD"/>
    <w:rsid w:val="00624518"/>
    <w:rsid w:val="00630C61"/>
    <w:rsid w:val="00633282"/>
    <w:rsid w:val="006336DD"/>
    <w:rsid w:val="006358F2"/>
    <w:rsid w:val="00645297"/>
    <w:rsid w:val="006503D0"/>
    <w:rsid w:val="00652BDB"/>
    <w:rsid w:val="0065389B"/>
    <w:rsid w:val="0065781F"/>
    <w:rsid w:val="0066011F"/>
    <w:rsid w:val="00665E86"/>
    <w:rsid w:val="00666776"/>
    <w:rsid w:val="00667AB6"/>
    <w:rsid w:val="00670225"/>
    <w:rsid w:val="00673D33"/>
    <w:rsid w:val="00676166"/>
    <w:rsid w:val="00681631"/>
    <w:rsid w:val="006837B9"/>
    <w:rsid w:val="00686C15"/>
    <w:rsid w:val="00687265"/>
    <w:rsid w:val="006874D5"/>
    <w:rsid w:val="0069006B"/>
    <w:rsid w:val="00690DC7"/>
    <w:rsid w:val="0069175F"/>
    <w:rsid w:val="0069339C"/>
    <w:rsid w:val="00697D4B"/>
    <w:rsid w:val="006A12A1"/>
    <w:rsid w:val="006A2A57"/>
    <w:rsid w:val="006A6CAB"/>
    <w:rsid w:val="006B36B9"/>
    <w:rsid w:val="006B3A67"/>
    <w:rsid w:val="006B4085"/>
    <w:rsid w:val="006B4591"/>
    <w:rsid w:val="006B60E2"/>
    <w:rsid w:val="006B7047"/>
    <w:rsid w:val="006C0802"/>
    <w:rsid w:val="006C2372"/>
    <w:rsid w:val="006C2DA5"/>
    <w:rsid w:val="006C4F22"/>
    <w:rsid w:val="006C746A"/>
    <w:rsid w:val="006C7C9F"/>
    <w:rsid w:val="006C7E0F"/>
    <w:rsid w:val="006D2D29"/>
    <w:rsid w:val="006D3497"/>
    <w:rsid w:val="006D5507"/>
    <w:rsid w:val="006E039C"/>
    <w:rsid w:val="006E07EF"/>
    <w:rsid w:val="006E3A75"/>
    <w:rsid w:val="006E3C8E"/>
    <w:rsid w:val="006E650D"/>
    <w:rsid w:val="006E6B36"/>
    <w:rsid w:val="006F0522"/>
    <w:rsid w:val="006F13D7"/>
    <w:rsid w:val="006F1A74"/>
    <w:rsid w:val="00700047"/>
    <w:rsid w:val="00700E19"/>
    <w:rsid w:val="00704947"/>
    <w:rsid w:val="0070580B"/>
    <w:rsid w:val="0070592B"/>
    <w:rsid w:val="00705A32"/>
    <w:rsid w:val="007077B1"/>
    <w:rsid w:val="007102CE"/>
    <w:rsid w:val="00710656"/>
    <w:rsid w:val="00715EEB"/>
    <w:rsid w:val="007165D4"/>
    <w:rsid w:val="00717905"/>
    <w:rsid w:val="00717F9C"/>
    <w:rsid w:val="00720BB9"/>
    <w:rsid w:val="0072196B"/>
    <w:rsid w:val="0073012C"/>
    <w:rsid w:val="00732155"/>
    <w:rsid w:val="007322C2"/>
    <w:rsid w:val="0073432A"/>
    <w:rsid w:val="007352AB"/>
    <w:rsid w:val="007415C0"/>
    <w:rsid w:val="00741BAD"/>
    <w:rsid w:val="00743121"/>
    <w:rsid w:val="007446BD"/>
    <w:rsid w:val="00745119"/>
    <w:rsid w:val="00747425"/>
    <w:rsid w:val="0075072B"/>
    <w:rsid w:val="00753842"/>
    <w:rsid w:val="007636D2"/>
    <w:rsid w:val="00763C8D"/>
    <w:rsid w:val="007647D7"/>
    <w:rsid w:val="007651B9"/>
    <w:rsid w:val="00772692"/>
    <w:rsid w:val="00774BD0"/>
    <w:rsid w:val="00776480"/>
    <w:rsid w:val="007779E3"/>
    <w:rsid w:val="00782505"/>
    <w:rsid w:val="00782AD2"/>
    <w:rsid w:val="00782F81"/>
    <w:rsid w:val="00785C07"/>
    <w:rsid w:val="00791835"/>
    <w:rsid w:val="00792796"/>
    <w:rsid w:val="00793478"/>
    <w:rsid w:val="00793882"/>
    <w:rsid w:val="00793BE6"/>
    <w:rsid w:val="0079431A"/>
    <w:rsid w:val="00794409"/>
    <w:rsid w:val="00795EB2"/>
    <w:rsid w:val="00796BD2"/>
    <w:rsid w:val="007976AC"/>
    <w:rsid w:val="0079798A"/>
    <w:rsid w:val="007A0711"/>
    <w:rsid w:val="007A0C87"/>
    <w:rsid w:val="007A1813"/>
    <w:rsid w:val="007A2893"/>
    <w:rsid w:val="007A2BE9"/>
    <w:rsid w:val="007A43A4"/>
    <w:rsid w:val="007A5FC2"/>
    <w:rsid w:val="007A634F"/>
    <w:rsid w:val="007B08FA"/>
    <w:rsid w:val="007B1439"/>
    <w:rsid w:val="007B2901"/>
    <w:rsid w:val="007B2BF0"/>
    <w:rsid w:val="007B4099"/>
    <w:rsid w:val="007B4EC4"/>
    <w:rsid w:val="007B5EDA"/>
    <w:rsid w:val="007B612B"/>
    <w:rsid w:val="007B7414"/>
    <w:rsid w:val="007C291A"/>
    <w:rsid w:val="007C5770"/>
    <w:rsid w:val="007C6727"/>
    <w:rsid w:val="007D0715"/>
    <w:rsid w:val="007D3A6E"/>
    <w:rsid w:val="007D7544"/>
    <w:rsid w:val="007D7CA6"/>
    <w:rsid w:val="007E0C45"/>
    <w:rsid w:val="007E390F"/>
    <w:rsid w:val="007E391E"/>
    <w:rsid w:val="007E46A0"/>
    <w:rsid w:val="007E6B21"/>
    <w:rsid w:val="007E7FC2"/>
    <w:rsid w:val="007F0B94"/>
    <w:rsid w:val="007F3515"/>
    <w:rsid w:val="007F4694"/>
    <w:rsid w:val="00802A22"/>
    <w:rsid w:val="00802C13"/>
    <w:rsid w:val="0080333F"/>
    <w:rsid w:val="00804192"/>
    <w:rsid w:val="00810E5A"/>
    <w:rsid w:val="00813D7D"/>
    <w:rsid w:val="008155E5"/>
    <w:rsid w:val="008157E5"/>
    <w:rsid w:val="00817385"/>
    <w:rsid w:val="008209EC"/>
    <w:rsid w:val="00820BD5"/>
    <w:rsid w:val="0082114A"/>
    <w:rsid w:val="00822EBC"/>
    <w:rsid w:val="0083101B"/>
    <w:rsid w:val="00834FE2"/>
    <w:rsid w:val="008356AC"/>
    <w:rsid w:val="008368CD"/>
    <w:rsid w:val="0083767B"/>
    <w:rsid w:val="00837D99"/>
    <w:rsid w:val="00845492"/>
    <w:rsid w:val="008474E3"/>
    <w:rsid w:val="0085153B"/>
    <w:rsid w:val="008515C3"/>
    <w:rsid w:val="00851E0F"/>
    <w:rsid w:val="00851FAC"/>
    <w:rsid w:val="008527F6"/>
    <w:rsid w:val="00853904"/>
    <w:rsid w:val="00855DE8"/>
    <w:rsid w:val="008606BF"/>
    <w:rsid w:val="00861830"/>
    <w:rsid w:val="00861E34"/>
    <w:rsid w:val="00862ADE"/>
    <w:rsid w:val="008645A8"/>
    <w:rsid w:val="00865DDA"/>
    <w:rsid w:val="00865F09"/>
    <w:rsid w:val="00865F8D"/>
    <w:rsid w:val="008662CC"/>
    <w:rsid w:val="00866A9F"/>
    <w:rsid w:val="00867650"/>
    <w:rsid w:val="00872869"/>
    <w:rsid w:val="00872D95"/>
    <w:rsid w:val="008749D1"/>
    <w:rsid w:val="008755C0"/>
    <w:rsid w:val="008758DE"/>
    <w:rsid w:val="00880BFB"/>
    <w:rsid w:val="0088145B"/>
    <w:rsid w:val="00882B53"/>
    <w:rsid w:val="00885E99"/>
    <w:rsid w:val="008908F3"/>
    <w:rsid w:val="00891A3D"/>
    <w:rsid w:val="00891BF8"/>
    <w:rsid w:val="008937B8"/>
    <w:rsid w:val="00895302"/>
    <w:rsid w:val="00896336"/>
    <w:rsid w:val="008968F7"/>
    <w:rsid w:val="008A0C52"/>
    <w:rsid w:val="008A27D7"/>
    <w:rsid w:val="008A49D6"/>
    <w:rsid w:val="008A55D8"/>
    <w:rsid w:val="008B0254"/>
    <w:rsid w:val="008B1DFC"/>
    <w:rsid w:val="008B66CA"/>
    <w:rsid w:val="008C4AF4"/>
    <w:rsid w:val="008C73B7"/>
    <w:rsid w:val="008C7BC4"/>
    <w:rsid w:val="008D0350"/>
    <w:rsid w:val="008D069C"/>
    <w:rsid w:val="008D20C3"/>
    <w:rsid w:val="008D224A"/>
    <w:rsid w:val="008D4041"/>
    <w:rsid w:val="008D533B"/>
    <w:rsid w:val="008D5349"/>
    <w:rsid w:val="008E044F"/>
    <w:rsid w:val="008E08F9"/>
    <w:rsid w:val="008E1322"/>
    <w:rsid w:val="008E2AA5"/>
    <w:rsid w:val="008E33DB"/>
    <w:rsid w:val="008E4DBE"/>
    <w:rsid w:val="008F007A"/>
    <w:rsid w:val="008F083C"/>
    <w:rsid w:val="008F223E"/>
    <w:rsid w:val="008F2F26"/>
    <w:rsid w:val="008F55D7"/>
    <w:rsid w:val="008F5B2E"/>
    <w:rsid w:val="0090131B"/>
    <w:rsid w:val="009045B9"/>
    <w:rsid w:val="00910B78"/>
    <w:rsid w:val="00912A01"/>
    <w:rsid w:val="009134AF"/>
    <w:rsid w:val="00923E3D"/>
    <w:rsid w:val="009252DB"/>
    <w:rsid w:val="00925C44"/>
    <w:rsid w:val="009272C0"/>
    <w:rsid w:val="00927BDA"/>
    <w:rsid w:val="00927CA6"/>
    <w:rsid w:val="00930372"/>
    <w:rsid w:val="00933B1C"/>
    <w:rsid w:val="00935F50"/>
    <w:rsid w:val="009418F3"/>
    <w:rsid w:val="00944747"/>
    <w:rsid w:val="00944B28"/>
    <w:rsid w:val="0094714A"/>
    <w:rsid w:val="00950562"/>
    <w:rsid w:val="00952C3C"/>
    <w:rsid w:val="009540AF"/>
    <w:rsid w:val="00957513"/>
    <w:rsid w:val="00960416"/>
    <w:rsid w:val="00960D9E"/>
    <w:rsid w:val="009631E7"/>
    <w:rsid w:val="00963CD3"/>
    <w:rsid w:val="00964A3B"/>
    <w:rsid w:val="00964E0B"/>
    <w:rsid w:val="00970CFB"/>
    <w:rsid w:val="00971666"/>
    <w:rsid w:val="00971793"/>
    <w:rsid w:val="009718FE"/>
    <w:rsid w:val="00972354"/>
    <w:rsid w:val="009729F0"/>
    <w:rsid w:val="00973188"/>
    <w:rsid w:val="00973B21"/>
    <w:rsid w:val="00974E65"/>
    <w:rsid w:val="009755A3"/>
    <w:rsid w:val="00976A59"/>
    <w:rsid w:val="0097754E"/>
    <w:rsid w:val="00980547"/>
    <w:rsid w:val="00980FA5"/>
    <w:rsid w:val="009811F5"/>
    <w:rsid w:val="00982CF6"/>
    <w:rsid w:val="00991C44"/>
    <w:rsid w:val="009929EF"/>
    <w:rsid w:val="0099338B"/>
    <w:rsid w:val="00996787"/>
    <w:rsid w:val="009968D9"/>
    <w:rsid w:val="00997FF6"/>
    <w:rsid w:val="009A2E22"/>
    <w:rsid w:val="009A2EF4"/>
    <w:rsid w:val="009A5418"/>
    <w:rsid w:val="009A6CDD"/>
    <w:rsid w:val="009A6D9A"/>
    <w:rsid w:val="009B06FD"/>
    <w:rsid w:val="009B1308"/>
    <w:rsid w:val="009B1524"/>
    <w:rsid w:val="009B1B66"/>
    <w:rsid w:val="009B3224"/>
    <w:rsid w:val="009B582F"/>
    <w:rsid w:val="009B5D3B"/>
    <w:rsid w:val="009C0D16"/>
    <w:rsid w:val="009C349A"/>
    <w:rsid w:val="009C68FA"/>
    <w:rsid w:val="009C6A63"/>
    <w:rsid w:val="009C6AE2"/>
    <w:rsid w:val="009D2198"/>
    <w:rsid w:val="009D4BB1"/>
    <w:rsid w:val="009D5BB0"/>
    <w:rsid w:val="009D6FFE"/>
    <w:rsid w:val="009E3AD2"/>
    <w:rsid w:val="009E4353"/>
    <w:rsid w:val="009E797F"/>
    <w:rsid w:val="009F0084"/>
    <w:rsid w:val="009F3367"/>
    <w:rsid w:val="009F4C75"/>
    <w:rsid w:val="009F4F4C"/>
    <w:rsid w:val="009F6236"/>
    <w:rsid w:val="009F7CA3"/>
    <w:rsid w:val="00A0171F"/>
    <w:rsid w:val="00A065C2"/>
    <w:rsid w:val="00A0767F"/>
    <w:rsid w:val="00A1108B"/>
    <w:rsid w:val="00A15402"/>
    <w:rsid w:val="00A17195"/>
    <w:rsid w:val="00A2278D"/>
    <w:rsid w:val="00A227C1"/>
    <w:rsid w:val="00A231EC"/>
    <w:rsid w:val="00A254EC"/>
    <w:rsid w:val="00A269EE"/>
    <w:rsid w:val="00A26BCD"/>
    <w:rsid w:val="00A27069"/>
    <w:rsid w:val="00A276E6"/>
    <w:rsid w:val="00A27E4A"/>
    <w:rsid w:val="00A31A64"/>
    <w:rsid w:val="00A31D48"/>
    <w:rsid w:val="00A33951"/>
    <w:rsid w:val="00A347A1"/>
    <w:rsid w:val="00A36409"/>
    <w:rsid w:val="00A36D2F"/>
    <w:rsid w:val="00A36E7B"/>
    <w:rsid w:val="00A3760B"/>
    <w:rsid w:val="00A41BDE"/>
    <w:rsid w:val="00A434CC"/>
    <w:rsid w:val="00A43DCE"/>
    <w:rsid w:val="00A456F8"/>
    <w:rsid w:val="00A50925"/>
    <w:rsid w:val="00A51737"/>
    <w:rsid w:val="00A51D45"/>
    <w:rsid w:val="00A52EA3"/>
    <w:rsid w:val="00A57B95"/>
    <w:rsid w:val="00A60998"/>
    <w:rsid w:val="00A64C25"/>
    <w:rsid w:val="00A66980"/>
    <w:rsid w:val="00A7101F"/>
    <w:rsid w:val="00A732D4"/>
    <w:rsid w:val="00A73D66"/>
    <w:rsid w:val="00A7440C"/>
    <w:rsid w:val="00A74D95"/>
    <w:rsid w:val="00A7591B"/>
    <w:rsid w:val="00A75A17"/>
    <w:rsid w:val="00A76657"/>
    <w:rsid w:val="00A77846"/>
    <w:rsid w:val="00A808EE"/>
    <w:rsid w:val="00A80FF9"/>
    <w:rsid w:val="00A865DD"/>
    <w:rsid w:val="00A87857"/>
    <w:rsid w:val="00A87A04"/>
    <w:rsid w:val="00A90A62"/>
    <w:rsid w:val="00A91B47"/>
    <w:rsid w:val="00A9289A"/>
    <w:rsid w:val="00A96409"/>
    <w:rsid w:val="00AA1752"/>
    <w:rsid w:val="00AA2C7C"/>
    <w:rsid w:val="00AA3771"/>
    <w:rsid w:val="00AB0CDD"/>
    <w:rsid w:val="00AB4036"/>
    <w:rsid w:val="00AB4732"/>
    <w:rsid w:val="00AB65BF"/>
    <w:rsid w:val="00AB73FF"/>
    <w:rsid w:val="00AC2F6D"/>
    <w:rsid w:val="00AC7BFD"/>
    <w:rsid w:val="00AD1EA3"/>
    <w:rsid w:val="00AD1EAB"/>
    <w:rsid w:val="00AD25CD"/>
    <w:rsid w:val="00AD2714"/>
    <w:rsid w:val="00AD4203"/>
    <w:rsid w:val="00AD4B8C"/>
    <w:rsid w:val="00AD511A"/>
    <w:rsid w:val="00AD5E24"/>
    <w:rsid w:val="00AD678D"/>
    <w:rsid w:val="00AE1AE5"/>
    <w:rsid w:val="00AE2965"/>
    <w:rsid w:val="00AE4323"/>
    <w:rsid w:val="00AE5689"/>
    <w:rsid w:val="00AE5BE3"/>
    <w:rsid w:val="00AE5E4B"/>
    <w:rsid w:val="00AE61A1"/>
    <w:rsid w:val="00AE724E"/>
    <w:rsid w:val="00AF58CC"/>
    <w:rsid w:val="00AF7AE4"/>
    <w:rsid w:val="00AF7C29"/>
    <w:rsid w:val="00B02C8A"/>
    <w:rsid w:val="00B030A9"/>
    <w:rsid w:val="00B04DED"/>
    <w:rsid w:val="00B05475"/>
    <w:rsid w:val="00B06A3A"/>
    <w:rsid w:val="00B1114C"/>
    <w:rsid w:val="00B139F0"/>
    <w:rsid w:val="00B15982"/>
    <w:rsid w:val="00B16B0A"/>
    <w:rsid w:val="00B179B7"/>
    <w:rsid w:val="00B22445"/>
    <w:rsid w:val="00B24F26"/>
    <w:rsid w:val="00B25B62"/>
    <w:rsid w:val="00B25F94"/>
    <w:rsid w:val="00B26E03"/>
    <w:rsid w:val="00B30B4A"/>
    <w:rsid w:val="00B37C7F"/>
    <w:rsid w:val="00B41034"/>
    <w:rsid w:val="00B4289E"/>
    <w:rsid w:val="00B43BB7"/>
    <w:rsid w:val="00B441CA"/>
    <w:rsid w:val="00B46F26"/>
    <w:rsid w:val="00B478FF"/>
    <w:rsid w:val="00B51037"/>
    <w:rsid w:val="00B52462"/>
    <w:rsid w:val="00B52704"/>
    <w:rsid w:val="00B52F9F"/>
    <w:rsid w:val="00B5637C"/>
    <w:rsid w:val="00B57E39"/>
    <w:rsid w:val="00B605B7"/>
    <w:rsid w:val="00B627F0"/>
    <w:rsid w:val="00B64605"/>
    <w:rsid w:val="00B64C55"/>
    <w:rsid w:val="00B67152"/>
    <w:rsid w:val="00B70767"/>
    <w:rsid w:val="00B72F70"/>
    <w:rsid w:val="00B75A1C"/>
    <w:rsid w:val="00B833EF"/>
    <w:rsid w:val="00B84343"/>
    <w:rsid w:val="00B87044"/>
    <w:rsid w:val="00B905CA"/>
    <w:rsid w:val="00B91188"/>
    <w:rsid w:val="00B92BC4"/>
    <w:rsid w:val="00B94D2E"/>
    <w:rsid w:val="00B956D6"/>
    <w:rsid w:val="00B96732"/>
    <w:rsid w:val="00B96AD5"/>
    <w:rsid w:val="00BA03B2"/>
    <w:rsid w:val="00BA0871"/>
    <w:rsid w:val="00BA233B"/>
    <w:rsid w:val="00BA2A00"/>
    <w:rsid w:val="00BA46C2"/>
    <w:rsid w:val="00BA670F"/>
    <w:rsid w:val="00BA7185"/>
    <w:rsid w:val="00BA7C64"/>
    <w:rsid w:val="00BB03DE"/>
    <w:rsid w:val="00BB1A3C"/>
    <w:rsid w:val="00BB2C11"/>
    <w:rsid w:val="00BB2F88"/>
    <w:rsid w:val="00BB4FB4"/>
    <w:rsid w:val="00BB636C"/>
    <w:rsid w:val="00BB6DB5"/>
    <w:rsid w:val="00BB74E0"/>
    <w:rsid w:val="00BB773A"/>
    <w:rsid w:val="00BC0208"/>
    <w:rsid w:val="00BC1137"/>
    <w:rsid w:val="00BC1A03"/>
    <w:rsid w:val="00BC1BAA"/>
    <w:rsid w:val="00BC21AD"/>
    <w:rsid w:val="00BC38A6"/>
    <w:rsid w:val="00BC3FA4"/>
    <w:rsid w:val="00BD2055"/>
    <w:rsid w:val="00BD33AC"/>
    <w:rsid w:val="00BD4AD2"/>
    <w:rsid w:val="00BD5CD7"/>
    <w:rsid w:val="00BD6E74"/>
    <w:rsid w:val="00BE1821"/>
    <w:rsid w:val="00BE314D"/>
    <w:rsid w:val="00BE390D"/>
    <w:rsid w:val="00BE4015"/>
    <w:rsid w:val="00BE4E95"/>
    <w:rsid w:val="00BF031E"/>
    <w:rsid w:val="00BF167D"/>
    <w:rsid w:val="00BF4687"/>
    <w:rsid w:val="00BF7F86"/>
    <w:rsid w:val="00C00BD7"/>
    <w:rsid w:val="00C00ECD"/>
    <w:rsid w:val="00C0162E"/>
    <w:rsid w:val="00C023D7"/>
    <w:rsid w:val="00C02EC0"/>
    <w:rsid w:val="00C043C1"/>
    <w:rsid w:val="00C05B44"/>
    <w:rsid w:val="00C06A1B"/>
    <w:rsid w:val="00C116AE"/>
    <w:rsid w:val="00C124A0"/>
    <w:rsid w:val="00C132D2"/>
    <w:rsid w:val="00C15C44"/>
    <w:rsid w:val="00C163CB"/>
    <w:rsid w:val="00C166A4"/>
    <w:rsid w:val="00C23829"/>
    <w:rsid w:val="00C2583A"/>
    <w:rsid w:val="00C27AA1"/>
    <w:rsid w:val="00C27E72"/>
    <w:rsid w:val="00C31304"/>
    <w:rsid w:val="00C426BD"/>
    <w:rsid w:val="00C47D4A"/>
    <w:rsid w:val="00C54569"/>
    <w:rsid w:val="00C54730"/>
    <w:rsid w:val="00C56790"/>
    <w:rsid w:val="00C62D5C"/>
    <w:rsid w:val="00C63D10"/>
    <w:rsid w:val="00C65511"/>
    <w:rsid w:val="00C662BF"/>
    <w:rsid w:val="00C66934"/>
    <w:rsid w:val="00C70E79"/>
    <w:rsid w:val="00C72145"/>
    <w:rsid w:val="00C736BD"/>
    <w:rsid w:val="00C749D2"/>
    <w:rsid w:val="00C763B5"/>
    <w:rsid w:val="00C83848"/>
    <w:rsid w:val="00C8443D"/>
    <w:rsid w:val="00C846C3"/>
    <w:rsid w:val="00C849A2"/>
    <w:rsid w:val="00C8518F"/>
    <w:rsid w:val="00C91DF3"/>
    <w:rsid w:val="00C96D70"/>
    <w:rsid w:val="00C970C0"/>
    <w:rsid w:val="00CA0B1E"/>
    <w:rsid w:val="00CA0B73"/>
    <w:rsid w:val="00CA112D"/>
    <w:rsid w:val="00CA15B5"/>
    <w:rsid w:val="00CA1706"/>
    <w:rsid w:val="00CA2554"/>
    <w:rsid w:val="00CA2836"/>
    <w:rsid w:val="00CA4A70"/>
    <w:rsid w:val="00CA594F"/>
    <w:rsid w:val="00CB2A1B"/>
    <w:rsid w:val="00CB2F58"/>
    <w:rsid w:val="00CB35FE"/>
    <w:rsid w:val="00CB646B"/>
    <w:rsid w:val="00CB70D5"/>
    <w:rsid w:val="00CB7590"/>
    <w:rsid w:val="00CC0A81"/>
    <w:rsid w:val="00CC1156"/>
    <w:rsid w:val="00CC16FA"/>
    <w:rsid w:val="00CC361B"/>
    <w:rsid w:val="00CC3767"/>
    <w:rsid w:val="00CC3769"/>
    <w:rsid w:val="00CC7FE3"/>
    <w:rsid w:val="00CD265B"/>
    <w:rsid w:val="00CD26D1"/>
    <w:rsid w:val="00CD3632"/>
    <w:rsid w:val="00CD4003"/>
    <w:rsid w:val="00CD4354"/>
    <w:rsid w:val="00CD4596"/>
    <w:rsid w:val="00CD542C"/>
    <w:rsid w:val="00CD71A2"/>
    <w:rsid w:val="00CD7D20"/>
    <w:rsid w:val="00CE035E"/>
    <w:rsid w:val="00CE0CFD"/>
    <w:rsid w:val="00CE2432"/>
    <w:rsid w:val="00CE3889"/>
    <w:rsid w:val="00CE39D4"/>
    <w:rsid w:val="00CE5A6A"/>
    <w:rsid w:val="00CF1233"/>
    <w:rsid w:val="00CF1BAE"/>
    <w:rsid w:val="00CF204D"/>
    <w:rsid w:val="00CF3C68"/>
    <w:rsid w:val="00CF4096"/>
    <w:rsid w:val="00CF452F"/>
    <w:rsid w:val="00CF7267"/>
    <w:rsid w:val="00CF7CC7"/>
    <w:rsid w:val="00D0048C"/>
    <w:rsid w:val="00D00E94"/>
    <w:rsid w:val="00D06D74"/>
    <w:rsid w:val="00D105BB"/>
    <w:rsid w:val="00D109E7"/>
    <w:rsid w:val="00D10D5A"/>
    <w:rsid w:val="00D130AB"/>
    <w:rsid w:val="00D130C6"/>
    <w:rsid w:val="00D15B7D"/>
    <w:rsid w:val="00D16C00"/>
    <w:rsid w:val="00D1761A"/>
    <w:rsid w:val="00D21DEF"/>
    <w:rsid w:val="00D21E93"/>
    <w:rsid w:val="00D22625"/>
    <w:rsid w:val="00D24249"/>
    <w:rsid w:val="00D250A7"/>
    <w:rsid w:val="00D253A3"/>
    <w:rsid w:val="00D276D2"/>
    <w:rsid w:val="00D3119A"/>
    <w:rsid w:val="00D314C5"/>
    <w:rsid w:val="00D32589"/>
    <w:rsid w:val="00D3489E"/>
    <w:rsid w:val="00D36661"/>
    <w:rsid w:val="00D3718E"/>
    <w:rsid w:val="00D4002B"/>
    <w:rsid w:val="00D4425F"/>
    <w:rsid w:val="00D50098"/>
    <w:rsid w:val="00D50EDD"/>
    <w:rsid w:val="00D51125"/>
    <w:rsid w:val="00D515FC"/>
    <w:rsid w:val="00D53FB2"/>
    <w:rsid w:val="00D55513"/>
    <w:rsid w:val="00D5706E"/>
    <w:rsid w:val="00D60CE3"/>
    <w:rsid w:val="00D610BF"/>
    <w:rsid w:val="00D62019"/>
    <w:rsid w:val="00D63C5E"/>
    <w:rsid w:val="00D666A5"/>
    <w:rsid w:val="00D70663"/>
    <w:rsid w:val="00D73842"/>
    <w:rsid w:val="00D739FC"/>
    <w:rsid w:val="00D75C1A"/>
    <w:rsid w:val="00D76679"/>
    <w:rsid w:val="00D770E7"/>
    <w:rsid w:val="00D8077D"/>
    <w:rsid w:val="00D82599"/>
    <w:rsid w:val="00D855A7"/>
    <w:rsid w:val="00D8623D"/>
    <w:rsid w:val="00D86FF3"/>
    <w:rsid w:val="00D95B55"/>
    <w:rsid w:val="00D96DFB"/>
    <w:rsid w:val="00DA11F1"/>
    <w:rsid w:val="00DA31DD"/>
    <w:rsid w:val="00DA5553"/>
    <w:rsid w:val="00DA5E2A"/>
    <w:rsid w:val="00DA76C7"/>
    <w:rsid w:val="00DA7B50"/>
    <w:rsid w:val="00DB1DC6"/>
    <w:rsid w:val="00DB4BC0"/>
    <w:rsid w:val="00DB4F75"/>
    <w:rsid w:val="00DB635F"/>
    <w:rsid w:val="00DB7748"/>
    <w:rsid w:val="00DC00EC"/>
    <w:rsid w:val="00DC280D"/>
    <w:rsid w:val="00DC2E79"/>
    <w:rsid w:val="00DC45B3"/>
    <w:rsid w:val="00DC7BA3"/>
    <w:rsid w:val="00DD11F4"/>
    <w:rsid w:val="00DD2B9B"/>
    <w:rsid w:val="00DE0F2B"/>
    <w:rsid w:val="00DE22D3"/>
    <w:rsid w:val="00DE2C05"/>
    <w:rsid w:val="00DE3556"/>
    <w:rsid w:val="00DE640A"/>
    <w:rsid w:val="00DF31AA"/>
    <w:rsid w:val="00DF3711"/>
    <w:rsid w:val="00DF629A"/>
    <w:rsid w:val="00DF6557"/>
    <w:rsid w:val="00E00988"/>
    <w:rsid w:val="00E01E75"/>
    <w:rsid w:val="00E0227F"/>
    <w:rsid w:val="00E115C8"/>
    <w:rsid w:val="00E122CC"/>
    <w:rsid w:val="00E125E7"/>
    <w:rsid w:val="00E12731"/>
    <w:rsid w:val="00E14169"/>
    <w:rsid w:val="00E15D8E"/>
    <w:rsid w:val="00E22EEC"/>
    <w:rsid w:val="00E2421E"/>
    <w:rsid w:val="00E26DBA"/>
    <w:rsid w:val="00E31205"/>
    <w:rsid w:val="00E314E4"/>
    <w:rsid w:val="00E34463"/>
    <w:rsid w:val="00E34B2B"/>
    <w:rsid w:val="00E3559E"/>
    <w:rsid w:val="00E36000"/>
    <w:rsid w:val="00E363D0"/>
    <w:rsid w:val="00E437B9"/>
    <w:rsid w:val="00E43CBA"/>
    <w:rsid w:val="00E46C5D"/>
    <w:rsid w:val="00E50C5C"/>
    <w:rsid w:val="00E50E8F"/>
    <w:rsid w:val="00E54BAF"/>
    <w:rsid w:val="00E55D46"/>
    <w:rsid w:val="00E55F52"/>
    <w:rsid w:val="00E5601F"/>
    <w:rsid w:val="00E576AC"/>
    <w:rsid w:val="00E57B45"/>
    <w:rsid w:val="00E60092"/>
    <w:rsid w:val="00E60857"/>
    <w:rsid w:val="00E60FA9"/>
    <w:rsid w:val="00E61665"/>
    <w:rsid w:val="00E61ABE"/>
    <w:rsid w:val="00E62172"/>
    <w:rsid w:val="00E63039"/>
    <w:rsid w:val="00E660B5"/>
    <w:rsid w:val="00E71C21"/>
    <w:rsid w:val="00E72BF2"/>
    <w:rsid w:val="00E72DBC"/>
    <w:rsid w:val="00E76108"/>
    <w:rsid w:val="00E76E70"/>
    <w:rsid w:val="00E77DD0"/>
    <w:rsid w:val="00E8086A"/>
    <w:rsid w:val="00E86972"/>
    <w:rsid w:val="00E86B2F"/>
    <w:rsid w:val="00E876FE"/>
    <w:rsid w:val="00E950B3"/>
    <w:rsid w:val="00E972BA"/>
    <w:rsid w:val="00EA051E"/>
    <w:rsid w:val="00EA0E65"/>
    <w:rsid w:val="00EA3C60"/>
    <w:rsid w:val="00EA46AE"/>
    <w:rsid w:val="00EA497B"/>
    <w:rsid w:val="00EB179F"/>
    <w:rsid w:val="00EB20E6"/>
    <w:rsid w:val="00EB2B96"/>
    <w:rsid w:val="00EB5AF5"/>
    <w:rsid w:val="00EC03F8"/>
    <w:rsid w:val="00EC0413"/>
    <w:rsid w:val="00EC055C"/>
    <w:rsid w:val="00EC1168"/>
    <w:rsid w:val="00EC498C"/>
    <w:rsid w:val="00EC4BA5"/>
    <w:rsid w:val="00EC70ED"/>
    <w:rsid w:val="00EC7CAF"/>
    <w:rsid w:val="00ED0E44"/>
    <w:rsid w:val="00ED2743"/>
    <w:rsid w:val="00ED4EB3"/>
    <w:rsid w:val="00ED526B"/>
    <w:rsid w:val="00EE2C52"/>
    <w:rsid w:val="00EE2F8D"/>
    <w:rsid w:val="00EF28E9"/>
    <w:rsid w:val="00EF2F09"/>
    <w:rsid w:val="00EF607E"/>
    <w:rsid w:val="00F01CD4"/>
    <w:rsid w:val="00F02D78"/>
    <w:rsid w:val="00F05389"/>
    <w:rsid w:val="00F14697"/>
    <w:rsid w:val="00F20951"/>
    <w:rsid w:val="00F21266"/>
    <w:rsid w:val="00F21906"/>
    <w:rsid w:val="00F2602C"/>
    <w:rsid w:val="00F26E05"/>
    <w:rsid w:val="00F30C0F"/>
    <w:rsid w:val="00F31113"/>
    <w:rsid w:val="00F31B2B"/>
    <w:rsid w:val="00F322C1"/>
    <w:rsid w:val="00F33E65"/>
    <w:rsid w:val="00F34DFD"/>
    <w:rsid w:val="00F35AAF"/>
    <w:rsid w:val="00F36316"/>
    <w:rsid w:val="00F4029D"/>
    <w:rsid w:val="00F43627"/>
    <w:rsid w:val="00F51636"/>
    <w:rsid w:val="00F54038"/>
    <w:rsid w:val="00F543BE"/>
    <w:rsid w:val="00F5619C"/>
    <w:rsid w:val="00F57D9D"/>
    <w:rsid w:val="00F60170"/>
    <w:rsid w:val="00F6241E"/>
    <w:rsid w:val="00F66898"/>
    <w:rsid w:val="00F72BF5"/>
    <w:rsid w:val="00F741FD"/>
    <w:rsid w:val="00F7718E"/>
    <w:rsid w:val="00F81DAA"/>
    <w:rsid w:val="00F8283D"/>
    <w:rsid w:val="00F828D4"/>
    <w:rsid w:val="00F83BBF"/>
    <w:rsid w:val="00F8599B"/>
    <w:rsid w:val="00F92634"/>
    <w:rsid w:val="00F9794F"/>
    <w:rsid w:val="00FA1917"/>
    <w:rsid w:val="00FA2C7C"/>
    <w:rsid w:val="00FA6B61"/>
    <w:rsid w:val="00FA7013"/>
    <w:rsid w:val="00FA71E9"/>
    <w:rsid w:val="00FA7EBD"/>
    <w:rsid w:val="00FA7F4B"/>
    <w:rsid w:val="00FB325B"/>
    <w:rsid w:val="00FB4BD3"/>
    <w:rsid w:val="00FB7B0D"/>
    <w:rsid w:val="00FC0824"/>
    <w:rsid w:val="00FC0FF2"/>
    <w:rsid w:val="00FC2058"/>
    <w:rsid w:val="00FC261E"/>
    <w:rsid w:val="00FC2D21"/>
    <w:rsid w:val="00FC52AD"/>
    <w:rsid w:val="00FC5654"/>
    <w:rsid w:val="00FC57CB"/>
    <w:rsid w:val="00FC6D24"/>
    <w:rsid w:val="00FD0C87"/>
    <w:rsid w:val="00FD0DAB"/>
    <w:rsid w:val="00FD2B00"/>
    <w:rsid w:val="00FD3BE5"/>
    <w:rsid w:val="00FD3E02"/>
    <w:rsid w:val="00FD4E97"/>
    <w:rsid w:val="00FD760D"/>
    <w:rsid w:val="00FE08D3"/>
    <w:rsid w:val="00FE0DF0"/>
    <w:rsid w:val="00FE33CF"/>
    <w:rsid w:val="00FE3846"/>
    <w:rsid w:val="00FE4F2B"/>
    <w:rsid w:val="00FE6902"/>
    <w:rsid w:val="00FF1478"/>
    <w:rsid w:val="00FF227E"/>
    <w:rsid w:val="00FF35E1"/>
    <w:rsid w:val="00FF3F76"/>
    <w:rsid w:val="00FF40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A47526B"/>
  <w15:docId w15:val="{793F8347-0D5A-4A3D-B2C4-675F77A25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nl-NL"/>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nl-N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5_G,Footnote text,Testo nota a piè di pagina_Rientro,stile 1,Footnote1,Footnote2,Footnote3,Footnote4,Footnote5,Footnote6,Footnote7,Footnote8,Footnote9,Footnote10,Footnote11,Footnote21,Footnote31,Char"/>
    <w:basedOn w:val="Normal"/>
    <w:link w:val="FootnoteTextChar"/>
    <w:autoRedefine/>
    <w:uiPriority w:val="99"/>
    <w:unhideWhenUsed/>
    <w:qFormat/>
    <w:rsid w:val="00666776"/>
    <w:pPr>
      <w:spacing w:after="0" w:line="240" w:lineRule="auto"/>
      <w:jc w:val="both"/>
    </w:pPr>
    <w:rPr>
      <w:rFonts w:ascii="Times New Roman" w:hAnsi="Times New Roman"/>
      <w:sz w:val="18"/>
      <w:szCs w:val="18"/>
    </w:rPr>
  </w:style>
  <w:style w:type="character" w:customStyle="1" w:styleId="FootnoteTextChar">
    <w:name w:val="Footnote Text Char"/>
    <w:aliases w:val="Fußnotentextf Char,RSK-FT Char,RSK-FT1 Char,RSK-FT2 Char,5_G Char,Footnote text Char,Testo nota a piè di pagina_Rientro Char,stile 1 Char,Footnote1 Char,Footnote2 Char,Footnote3 Char,Footnote4 Char,Footnote5 Char,Footnote6 Char"/>
    <w:basedOn w:val="DefaultParagraphFont"/>
    <w:link w:val="FootnoteText"/>
    <w:uiPriority w:val="99"/>
    <w:qFormat/>
    <w:rsid w:val="00666776"/>
    <w:rPr>
      <w:rFonts w:ascii="Times New Roman" w:eastAsia="Calibri" w:hAnsi="Times New Roman" w:cs="Times New Roman"/>
      <w:sz w:val="18"/>
      <w:szCs w:val="18"/>
    </w:rPr>
  </w:style>
  <w:style w:type="character" w:styleId="FootnoteReference">
    <w:name w:val="footnote reference"/>
    <w:aliases w:val="Footnote Refernece,BVI fnr,callout,16 Point,Superscript 6 Point,Odwołanie przypisu,Footnote symbol,Footnote Reference Number,Footnote Reference Superscript,SUPERS,Times 10 Point,Exposant 3 Point,Ref,de nota al pie,number, BVI fnr,4_G"/>
    <w:uiPriority w:val="99"/>
    <w:unhideWhenUsed/>
    <w:qFormat/>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eastAsia="ja-JP"/>
    </w:rPr>
  </w:style>
  <w:style w:type="paragraph" w:styleId="TOC1">
    <w:name w:val="toc 1"/>
    <w:basedOn w:val="Normal"/>
    <w:next w:val="Normal"/>
    <w:autoRedefine/>
    <w:uiPriority w:val="39"/>
    <w:unhideWhenUsed/>
    <w:qFormat/>
    <w:rsid w:val="00E60FA9"/>
    <w:pPr>
      <w:tabs>
        <w:tab w:val="right" w:leader="dot" w:pos="9016"/>
      </w:tabs>
    </w:pPr>
  </w:style>
  <w:style w:type="paragraph" w:styleId="TOC2">
    <w:name w:val="toc 2"/>
    <w:basedOn w:val="Normal"/>
    <w:next w:val="Normal"/>
    <w:autoRedefine/>
    <w:uiPriority w:val="39"/>
    <w:unhideWhenUsed/>
    <w:qFormat/>
    <w:rsid w:val="00E60FA9"/>
    <w:pPr>
      <w:tabs>
        <w:tab w:val="right" w:leader="dot" w:pos="9016"/>
      </w:tabs>
      <w:ind w:left="220"/>
    </w:pPr>
  </w:style>
  <w:style w:type="paragraph" w:styleId="TOC3">
    <w:name w:val="toc 3"/>
    <w:basedOn w:val="Normal"/>
    <w:next w:val="Normal"/>
    <w:autoRedefine/>
    <w:uiPriority w:val="39"/>
    <w:unhideWhenUsed/>
    <w:qFormat/>
    <w:rsid w:val="00E60FA9"/>
    <w:pPr>
      <w:tabs>
        <w:tab w:val="right" w:leader="dot" w:pos="9016"/>
      </w:tabs>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rsid w:val="006D3497"/>
    <w:pPr>
      <w:tabs>
        <w:tab w:val="right" w:leader="dot" w:pos="9016"/>
      </w:tabs>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nl-NL"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nl-NL"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nl-NL"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urityMarking">
    <w:name w:val="SecurityMarking"/>
    <w:basedOn w:val="Normal"/>
    <w:rsid w:val="00A51D45"/>
    <w:pPr>
      <w:spacing w:after="0"/>
      <w:ind w:left="5103"/>
    </w:pPr>
    <w:rPr>
      <w:rFonts w:ascii="Times New Roman" w:eastAsiaTheme="minorHAnsi" w:hAnsi="Times New Roman"/>
      <w:sz w:val="28"/>
    </w:rPr>
  </w:style>
  <w:style w:type="paragraph" w:customStyle="1" w:styleId="DateMarking">
    <w:name w:val="DateMarking"/>
    <w:basedOn w:val="Normal"/>
    <w:rsid w:val="00A51D45"/>
    <w:pPr>
      <w:spacing w:after="0"/>
      <w:ind w:left="5103"/>
    </w:pPr>
    <w:rPr>
      <w:rFonts w:ascii="Times New Roman" w:eastAsiaTheme="minorHAnsi" w:hAnsi="Times New Roman"/>
      <w:i/>
      <w:sz w:val="28"/>
    </w:rPr>
  </w:style>
  <w:style w:type="paragraph" w:customStyle="1" w:styleId="ReleasableTo">
    <w:name w:val="ReleasableTo"/>
    <w:basedOn w:val="Normal"/>
    <w:rsid w:val="00A51D45"/>
    <w:pPr>
      <w:spacing w:after="0"/>
      <w:ind w:left="5103"/>
    </w:pPr>
    <w:rPr>
      <w:rFonts w:ascii="Times New Roman" w:eastAsiaTheme="minorHAnsi" w:hAnsi="Times New Roman"/>
      <w:i/>
      <w:sz w:val="28"/>
    </w:rPr>
  </w:style>
  <w:style w:type="paragraph" w:customStyle="1" w:styleId="HeaderSensitivityRight">
    <w:name w:val="Header Sensitivity Right"/>
    <w:basedOn w:val="Normal"/>
    <w:rsid w:val="00A51D45"/>
    <w:pPr>
      <w:spacing w:after="120" w:line="240" w:lineRule="auto"/>
      <w:jc w:val="right"/>
    </w:pPr>
    <w:rPr>
      <w:rFonts w:ascii="Times New Roman" w:hAnsi="Times New Roman"/>
      <w:sz w:val="28"/>
    </w:rPr>
  </w:style>
  <w:style w:type="table" w:customStyle="1" w:styleId="TableGrid7">
    <w:name w:val="Table Grid7"/>
    <w:basedOn w:val="TableNormal"/>
    <w:next w:val="TableGrid"/>
    <w:uiPriority w:val="59"/>
    <w:rsid w:val="00B70767"/>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ED4EB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93596496">
      <w:bodyDiv w:val="1"/>
      <w:marLeft w:val="0"/>
      <w:marRight w:val="0"/>
      <w:marTop w:val="0"/>
      <w:marBottom w:val="0"/>
      <w:divBdr>
        <w:top w:val="none" w:sz="0" w:space="0" w:color="auto"/>
        <w:left w:val="none" w:sz="0" w:space="0" w:color="auto"/>
        <w:bottom w:val="none" w:sz="0" w:space="0" w:color="auto"/>
        <w:right w:val="none" w:sz="0" w:space="0" w:color="auto"/>
      </w:divBdr>
    </w:div>
    <w:div w:id="13395982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447238288">
      <w:bodyDiv w:val="1"/>
      <w:marLeft w:val="0"/>
      <w:marRight w:val="0"/>
      <w:marTop w:val="0"/>
      <w:marBottom w:val="0"/>
      <w:divBdr>
        <w:top w:val="none" w:sz="0" w:space="0" w:color="auto"/>
        <w:left w:val="none" w:sz="0" w:space="0" w:color="auto"/>
        <w:bottom w:val="none" w:sz="0" w:space="0" w:color="auto"/>
        <w:right w:val="none" w:sz="0" w:space="0" w:color="auto"/>
      </w:divBdr>
    </w:div>
    <w:div w:id="457072976">
      <w:bodyDiv w:val="1"/>
      <w:marLeft w:val="0"/>
      <w:marRight w:val="0"/>
      <w:marTop w:val="0"/>
      <w:marBottom w:val="0"/>
      <w:divBdr>
        <w:top w:val="none" w:sz="0" w:space="0" w:color="auto"/>
        <w:left w:val="none" w:sz="0" w:space="0" w:color="auto"/>
        <w:bottom w:val="none" w:sz="0" w:space="0" w:color="auto"/>
        <w:right w:val="none" w:sz="0" w:space="0" w:color="auto"/>
      </w:divBdr>
    </w:div>
    <w:div w:id="484980193">
      <w:bodyDiv w:val="1"/>
      <w:marLeft w:val="0"/>
      <w:marRight w:val="0"/>
      <w:marTop w:val="0"/>
      <w:marBottom w:val="0"/>
      <w:divBdr>
        <w:top w:val="none" w:sz="0" w:space="0" w:color="auto"/>
        <w:left w:val="none" w:sz="0" w:space="0" w:color="auto"/>
        <w:bottom w:val="none" w:sz="0" w:space="0" w:color="auto"/>
        <w:right w:val="none" w:sz="0" w:space="0" w:color="auto"/>
      </w:divBdr>
    </w:div>
    <w:div w:id="503974906">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46194362">
      <w:bodyDiv w:val="1"/>
      <w:marLeft w:val="0"/>
      <w:marRight w:val="0"/>
      <w:marTop w:val="0"/>
      <w:marBottom w:val="0"/>
      <w:divBdr>
        <w:top w:val="none" w:sz="0" w:space="0" w:color="auto"/>
        <w:left w:val="none" w:sz="0" w:space="0" w:color="auto"/>
        <w:bottom w:val="none" w:sz="0" w:space="0" w:color="auto"/>
        <w:right w:val="none" w:sz="0" w:space="0" w:color="auto"/>
      </w:divBdr>
    </w:div>
    <w:div w:id="752094506">
      <w:bodyDiv w:val="1"/>
      <w:marLeft w:val="0"/>
      <w:marRight w:val="0"/>
      <w:marTop w:val="0"/>
      <w:marBottom w:val="0"/>
      <w:divBdr>
        <w:top w:val="none" w:sz="0" w:space="0" w:color="auto"/>
        <w:left w:val="none" w:sz="0" w:space="0" w:color="auto"/>
        <w:bottom w:val="none" w:sz="0" w:space="0" w:color="auto"/>
        <w:right w:val="none" w:sz="0" w:space="0" w:color="auto"/>
      </w:divBdr>
    </w:div>
    <w:div w:id="78677999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268191800">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36632234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58272790">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690449199">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45953170">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41188378">
      <w:bodyDiv w:val="1"/>
      <w:marLeft w:val="0"/>
      <w:marRight w:val="0"/>
      <w:marTop w:val="0"/>
      <w:marBottom w:val="0"/>
      <w:divBdr>
        <w:top w:val="none" w:sz="0" w:space="0" w:color="auto"/>
        <w:left w:val="none" w:sz="0" w:space="0" w:color="auto"/>
        <w:bottom w:val="none" w:sz="0" w:space="0" w:color="auto"/>
        <w:right w:val="none" w:sz="0" w:space="0" w:color="auto"/>
      </w:divBdr>
    </w:div>
    <w:div w:id="1858155229">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644609">
      <w:bodyDiv w:val="1"/>
      <w:marLeft w:val="0"/>
      <w:marRight w:val="0"/>
      <w:marTop w:val="0"/>
      <w:marBottom w:val="0"/>
      <w:divBdr>
        <w:top w:val="none" w:sz="0" w:space="0" w:color="auto"/>
        <w:left w:val="none" w:sz="0" w:space="0" w:color="auto"/>
        <w:bottom w:val="none" w:sz="0" w:space="0" w:color="auto"/>
        <w:right w:val="none" w:sz="0" w:space="0" w:color="auto"/>
      </w:divBdr>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64331048">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2.xml"/><Relationship Id="rId21" Type="http://schemas.openxmlformats.org/officeDocument/2006/relationships/footer" Target="footer5.xml"/><Relationship Id="rId34" Type="http://schemas.openxmlformats.org/officeDocument/2006/relationships/image" Target="media/image6.emf"/><Relationship Id="rId42" Type="http://schemas.openxmlformats.org/officeDocument/2006/relationships/header" Target="header14.xml"/><Relationship Id="rId47" Type="http://schemas.openxmlformats.org/officeDocument/2006/relationships/image" Target="media/image7.emf"/><Relationship Id="rId50" Type="http://schemas.openxmlformats.org/officeDocument/2006/relationships/image" Target="media/image10.emf"/><Relationship Id="rId55"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header" Target="header13.xml"/><Relationship Id="rId54" Type="http://schemas.openxmlformats.org/officeDocument/2006/relationships/header" Target="header17.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32" Type="http://schemas.openxmlformats.org/officeDocument/2006/relationships/image" Target="media/image4.png"/><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header" Target="header15.xml"/><Relationship Id="rId53" Type="http://schemas.openxmlformats.org/officeDocument/2006/relationships/header" Target="header16.xml"/><Relationship Id="rId58" Type="http://schemas.openxmlformats.org/officeDocument/2006/relationships/footer" Target="foot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49" Type="http://schemas.openxmlformats.org/officeDocument/2006/relationships/image" Target="media/image9.emf"/><Relationship Id="rId57"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3.png"/><Relationship Id="rId44" Type="http://schemas.openxmlformats.org/officeDocument/2006/relationships/footer" Target="footer14.xml"/><Relationship Id="rId52" Type="http://schemas.openxmlformats.org/officeDocument/2006/relationships/image" Target="media/image12.emf"/><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0.xml"/><Relationship Id="rId43" Type="http://schemas.openxmlformats.org/officeDocument/2006/relationships/footer" Target="footer13.xml"/><Relationship Id="rId48" Type="http://schemas.openxmlformats.org/officeDocument/2006/relationships/image" Target="media/image8.emf"/><Relationship Id="rId56" Type="http://schemas.openxmlformats.org/officeDocument/2006/relationships/footer" Target="footer17.xml"/><Relationship Id="rId8" Type="http://schemas.openxmlformats.org/officeDocument/2006/relationships/webSettings" Target="webSettings.xml"/><Relationship Id="rId51" Type="http://schemas.openxmlformats.org/officeDocument/2006/relationships/image" Target="media/image11.emf"/><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image" Target="media/image5.emf"/><Relationship Id="rId38" Type="http://schemas.openxmlformats.org/officeDocument/2006/relationships/footer" Target="footer11.xml"/><Relationship Id="rId46" Type="http://schemas.openxmlformats.org/officeDocument/2006/relationships/footer" Target="footer15.xm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NL/TXT/?uri=CELEX:22020X1214(01)" TargetMode="External"/><Relationship Id="rId18" Type="http://schemas.openxmlformats.org/officeDocument/2006/relationships/hyperlink" Target="https://eur-lex.europa.eu/legal-content/NL/TXT/?uri=CELEX:12020W/TXT" TargetMode="External"/><Relationship Id="rId26" Type="http://schemas.openxmlformats.org/officeDocument/2006/relationships/hyperlink" Target="https://eur-lex.europa.eu/LexUriServ/LexUriServ.do?uri=OJ:L:2010:302:0001:0041:NL:PDF" TargetMode="External"/><Relationship Id="rId39" Type="http://schemas.openxmlformats.org/officeDocument/2006/relationships/hyperlink" Target="https://ec.europa.eu/clima/eu-action/eu-emissions-trading-system-eu-ets/market-stability-reserve_nl" TargetMode="External"/><Relationship Id="rId21" Type="http://schemas.openxmlformats.org/officeDocument/2006/relationships/hyperlink" Target="https://eur-lex.europa.eu/legal-content/NL/ALL/?uri=CELEX:32014D0746" TargetMode="External"/><Relationship Id="rId34" Type="http://schemas.openxmlformats.org/officeDocument/2006/relationships/hyperlink" Target="https://eur-lex.europa.eu/legal-content/NL/ALL/?uri=CELEX:52012XC0605(01)" TargetMode="External"/><Relationship Id="rId42" Type="http://schemas.openxmlformats.org/officeDocument/2006/relationships/hyperlink" Target="https://ec.europa.eu/info/sites/default/files/revision-eu-ets_with-annex_en_0.pdf" TargetMode="External"/><Relationship Id="rId47" Type="http://schemas.openxmlformats.org/officeDocument/2006/relationships/hyperlink" Target="https://eur-lex.europa.eu/legal-content/NL/TXT/?uri=uriserv:OJ.L_.2014.129.01.0001.01.NLD" TargetMode="External"/><Relationship Id="rId50" Type="http://schemas.openxmlformats.org/officeDocument/2006/relationships/hyperlink" Target="https://eur-lex.europa.eu/legal-content/NL/TXT/?toc=OJ:L:2017:350:TOC&amp;uri=uriserv:OJ.L_.2017.350.01.0007.01.NLD" TargetMode="External"/><Relationship Id="rId55" Type="http://schemas.openxmlformats.org/officeDocument/2006/relationships/hyperlink" Target="https://eur-lex.europa.eu/legal-content/NL/TXT/?uri=celex:32014R0596" TargetMode="External"/><Relationship Id="rId63" Type="http://schemas.openxmlformats.org/officeDocument/2006/relationships/hyperlink" Target="https://eur-lex.europa.eu/legal-content/NL/TXT/?uri=CELEX:02018R2066-20210101" TargetMode="External"/><Relationship Id="rId68" Type="http://schemas.openxmlformats.org/officeDocument/2006/relationships/hyperlink" Target="https://eur-lex.europa.eu/legal-content/NL/TXT/?uri=CELEX:22020D1359" TargetMode="External"/><Relationship Id="rId76" Type="http://schemas.openxmlformats.org/officeDocument/2006/relationships/hyperlink" Target="https://ec.europa.eu/energy/topics/energy-strategy/national-energy-climate-plans/individual-assessments_nl" TargetMode="External"/><Relationship Id="rId7" Type="http://schemas.openxmlformats.org/officeDocument/2006/relationships/hyperlink" Target="https://eur-lex.europa.eu/legal-content/NL/TXT/?uri=CELEX:52021PC0552" TargetMode="External"/><Relationship Id="rId71" Type="http://schemas.openxmlformats.org/officeDocument/2006/relationships/hyperlink" Target="https://eur-lex.europa.eu/legal-content/NL/TXT/?uri=uriserv:OJ.L_.2018.328.01.0210.01.NLD" TargetMode="External"/><Relationship Id="rId2" Type="http://schemas.openxmlformats.org/officeDocument/2006/relationships/hyperlink" Target="https://eur-lex.europa.eu/legal-content/NL/TXT/?uri=uriserv:OJ.L_.2018.328.01.0210.01.NLD" TargetMode="External"/><Relationship Id="rId16" Type="http://schemas.openxmlformats.org/officeDocument/2006/relationships/hyperlink" Target="https://eur-lex.europa.eu/legal-content/NL/TXT/?uri=CELEX:32019R1122" TargetMode="External"/><Relationship Id="rId29" Type="http://schemas.openxmlformats.org/officeDocument/2006/relationships/hyperlink" Target="https://eur-lex.europa.eu/legal-content/NL/TXT/?uri=CELEX:52020XC0925(01)" TargetMode="External"/><Relationship Id="rId11" Type="http://schemas.openxmlformats.org/officeDocument/2006/relationships/hyperlink" Target="https://eur-lex.europa.eu/legal-content/NL/TXT/?uri=uriserv:OJ.L_.2021.149.01.0010.01.NLD&amp;toc=OJ:L:2021:149:TOC" TargetMode="External"/><Relationship Id="rId24" Type="http://schemas.openxmlformats.org/officeDocument/2006/relationships/hyperlink" Target="https://eur-lex.europa.eu/legal-content/NL/TXT/?toc=OJ:L:2015:264:TOC&amp;uri=uriserv:OJ.L_.2015.264.01.0001.01.NLD" TargetMode="External"/><Relationship Id="rId32" Type="http://schemas.openxmlformats.org/officeDocument/2006/relationships/hyperlink" Target="https://ec.europa.eu/info/funding-tenders/opportunities/portal/screen/opportunities/topic-details/innovfund-lsc-2020-two-stage" TargetMode="External"/><Relationship Id="rId37" Type="http://schemas.openxmlformats.org/officeDocument/2006/relationships/hyperlink" Target="https://eur-lex.europa.eu/legal-content/NL/TXT/?toc=OJ:L:2015:264:TOC&amp;uri=uriserv:OJ.L_.2015.264.01.0001.01.NLD" TargetMode="External"/><Relationship Id="rId40" Type="http://schemas.openxmlformats.org/officeDocument/2006/relationships/hyperlink" Target="https://ec.europa.eu/clima/eu-action/eu-emissions-trading-system-eu-ets/market-stability-reserve_nl" TargetMode="External"/><Relationship Id="rId45" Type="http://schemas.openxmlformats.org/officeDocument/2006/relationships/hyperlink" Target="https://eur-lex.europa.eu/legal-content/NL/TXT/?uri=uriserv:OJ.CI.2020.428.01.0001.01.NLD" TargetMode="External"/><Relationship Id="rId53" Type="http://schemas.openxmlformats.org/officeDocument/2006/relationships/hyperlink" Target="https://eur-lex.europa.eu/legal-content/NL/TXT/?uri=celex:32014L0065" TargetMode="External"/><Relationship Id="rId58" Type="http://schemas.openxmlformats.org/officeDocument/2006/relationships/hyperlink" Target="https://www.esma.europa.eu/sites/default/files/library/esma70-156-478_opinion_on_market_size_calculation.pdf" TargetMode="External"/><Relationship Id="rId66" Type="http://schemas.openxmlformats.org/officeDocument/2006/relationships/hyperlink" Target="https://eur-lex.europa.eu/legal-content/NL/TXT/?uri=CELEX:22017A1207(01)" TargetMode="External"/><Relationship Id="rId74" Type="http://schemas.openxmlformats.org/officeDocument/2006/relationships/hyperlink" Target="https://www.measures.odyssee-mure.eu/energy-efficiency-policies-database.html" TargetMode="External"/><Relationship Id="rId5" Type="http://schemas.openxmlformats.org/officeDocument/2006/relationships/hyperlink" Target="https://eur-lex.europa.eu/legal-content/NL/TXT/?uri=CELEX:52021PC0551" TargetMode="External"/><Relationship Id="rId15" Type="http://schemas.openxmlformats.org/officeDocument/2006/relationships/hyperlink" Target="https://eur-lex.europa.eu/legal-content/NL/TXT/?uri=CELEX:02017A1207(01)-20201105" TargetMode="External"/><Relationship Id="rId23" Type="http://schemas.openxmlformats.org/officeDocument/2006/relationships/hyperlink" Target="https://eur-lex.europa.eu/legal-content/NL/TXT/?uri=uriserv:OJ.L_.2017.019.01.0093.01.NLD" TargetMode="External"/><Relationship Id="rId28" Type="http://schemas.openxmlformats.org/officeDocument/2006/relationships/hyperlink" Target="https://eur-lex.europa.eu/legal-content/NL/ALL/?uri=CELEX:52012XC0605(01)" TargetMode="External"/><Relationship Id="rId36" Type="http://schemas.openxmlformats.org/officeDocument/2006/relationships/hyperlink" Target="https://eur-lex.europa.eu/legal-content/NL/TXT/?uri=uriserv:OJ.L_.2018.328.01.0082.01.NLD" TargetMode="External"/><Relationship Id="rId49" Type="http://schemas.openxmlformats.org/officeDocument/2006/relationships/hyperlink" Target="https://www.eurocontrol.int/covid19" TargetMode="External"/><Relationship Id="rId57" Type="http://schemas.openxmlformats.org/officeDocument/2006/relationships/hyperlink" Target="https://www.esma.europa.eu/sites/default/files/mar.pdf" TargetMode="External"/><Relationship Id="rId61" Type="http://schemas.openxmlformats.org/officeDocument/2006/relationships/hyperlink" Target="https://eur-lex.europa.eu/legal-content/NL/TXT/?uri=uriserv:OJ.L_.2018.334.01.0001.01.NLD" TargetMode="External"/><Relationship Id="rId10" Type="http://schemas.openxmlformats.org/officeDocument/2006/relationships/hyperlink" Target="https://eur-lex.europa.eu/legal-content/NL/TXT/?uri=uriserv:OJ.L_.2018.328.01.0210.01.NLD" TargetMode="External"/><Relationship Id="rId19" Type="http://schemas.openxmlformats.org/officeDocument/2006/relationships/hyperlink" Target="https://eur-lex.europa.eu/legal-content/NL/TXT/?uri=CELEX:32020D1722" TargetMode="External"/><Relationship Id="rId31" Type="http://schemas.openxmlformats.org/officeDocument/2006/relationships/hyperlink" Target="https://eur-lex.europa.eu/legal-content/NL/TXT/?uri=CELEX:32017D2172" TargetMode="External"/><Relationship Id="rId44" Type="http://schemas.openxmlformats.org/officeDocument/2006/relationships/hyperlink" Target="https://eur-lex.europa.eu/legal-content/NL/TXT/?uri=CELEX:52021PC0571" TargetMode="External"/><Relationship Id="rId52" Type="http://schemas.openxmlformats.org/officeDocument/2006/relationships/hyperlink" Target="https://eur-lex.europa.eu/legal-content/EN/TXT/PDF/?uri=CELEX:52021SC0603&amp;from=EN" TargetMode="External"/><Relationship Id="rId60" Type="http://schemas.openxmlformats.org/officeDocument/2006/relationships/hyperlink" Target="https://eur-lex.europa.eu/legal-content/NL/TXT/?uri=COM:2021:660:FIN&amp;qid=1634215984101" TargetMode="External"/><Relationship Id="rId65" Type="http://schemas.openxmlformats.org/officeDocument/2006/relationships/hyperlink" Target="https://eur-lex.europa.eu/legal-content/NL/TXT/?uri=CELEX:32017D2240" TargetMode="External"/><Relationship Id="rId73" Type="http://schemas.openxmlformats.org/officeDocument/2006/relationships/hyperlink" Target="https://ec.europa.eu/energy/sites/ener/files/documents/c_2019_6621_-_annex_com_recom_energy_savings.pdf" TargetMode="External"/><Relationship Id="rId4" Type="http://schemas.openxmlformats.org/officeDocument/2006/relationships/hyperlink" Target="https://eur-lex.europa.eu/legal-content/NL/TXT/?uri=CELEX:52021PC0551" TargetMode="External"/><Relationship Id="rId9" Type="http://schemas.openxmlformats.org/officeDocument/2006/relationships/hyperlink" Target="https://eur-lex.europa.eu/legal-content/NL/TXT/?uri=CELEX:02003L0087-20210101" TargetMode="External"/><Relationship Id="rId14" Type="http://schemas.openxmlformats.org/officeDocument/2006/relationships/hyperlink" Target="https://eur-lex.europa.eu/legal-content/NL/TXT/?uri=CELEX:32013R0389" TargetMode="External"/><Relationship Id="rId22" Type="http://schemas.openxmlformats.org/officeDocument/2006/relationships/hyperlink" Target="https://eur-lex.europa.eu/legal-content/NL/TXT/?uri=celex:32013D0448" TargetMode="External"/><Relationship Id="rId27" Type="http://schemas.openxmlformats.org/officeDocument/2006/relationships/hyperlink" Target="https://ec.europa.eu/clima/eu-action/eu-emissions-trading-system-eu-ets/auctioning_nl" TargetMode="External"/><Relationship Id="rId30" Type="http://schemas.openxmlformats.org/officeDocument/2006/relationships/hyperlink" Target="https://ec.europa.eu/clima/eu-action/innovation-fund/ner-300-programme_nl" TargetMode="External"/><Relationship Id="rId35" Type="http://schemas.openxmlformats.org/officeDocument/2006/relationships/hyperlink" Target="https://eur-lex.europa.eu/legal-content/NL/TXT/?uri=CELEX:52020XC0925(01)" TargetMode="External"/><Relationship Id="rId43" Type="http://schemas.openxmlformats.org/officeDocument/2006/relationships/hyperlink" Target="https://eur-lex.europa.eu/legal-content/NL/TXT/?uri=CELEX:52021PC0551" TargetMode="External"/><Relationship Id="rId48" Type="http://schemas.openxmlformats.org/officeDocument/2006/relationships/hyperlink" Target="https://www.icao.int/environmental-protection/CORSIA/Documents/CAEP_Update%20COVID-19%20impact%20analyses_Executive%20Summary.pdf" TargetMode="External"/><Relationship Id="rId56" Type="http://schemas.openxmlformats.org/officeDocument/2006/relationships/hyperlink" Target="https://eur-lex.europa.eu/legal-content/NL/TXT/?uri=celex:32015L0849" TargetMode="External"/><Relationship Id="rId64" Type="http://schemas.openxmlformats.org/officeDocument/2006/relationships/hyperlink" Target="https://eur-lex.europa.eu/legal-content/NL/TXT/?uri=CELEX:02018R2067-20210101" TargetMode="External"/><Relationship Id="rId69" Type="http://schemas.openxmlformats.org/officeDocument/2006/relationships/hyperlink" Target="https://eur-lex.europa.eu/legal-content/NL/TXT/?uri=uriserv:OJ.L_.2019.330.01.0001.01.NLD" TargetMode="External"/><Relationship Id="rId8" Type="http://schemas.openxmlformats.org/officeDocument/2006/relationships/hyperlink" Target="https://eur-lex.europa.eu/legal-content/NL/TXT/?uri=CELEX:52021PC0567" TargetMode="External"/><Relationship Id="rId51" Type="http://schemas.openxmlformats.org/officeDocument/2006/relationships/hyperlink" Target="https://eur-lex.europa.eu/legal-content/NL/TXT/?uri=CELEX:52021PC0552" TargetMode="External"/><Relationship Id="rId72" Type="http://schemas.openxmlformats.org/officeDocument/2006/relationships/hyperlink" Target="https://eur-lex.europa.eu/legal-content/NL/TXT/?toc=OJ:L:2018:328:TOC&amp;uri=uriserv:OJ.L_.2018.328.01.0001.01.NLD" TargetMode="External"/><Relationship Id="rId3" Type="http://schemas.openxmlformats.org/officeDocument/2006/relationships/hyperlink" Target="https://ec.europa.eu/info/strategy/priorities-2019-2024/european-green-deal/delivering-european-green-deal_nl" TargetMode="External"/><Relationship Id="rId12" Type="http://schemas.openxmlformats.org/officeDocument/2006/relationships/hyperlink" Target="https://eur-lex.europa.eu/legal-content/NL/TXT/?uri=CELEX:32021R1416" TargetMode="External"/><Relationship Id="rId17" Type="http://schemas.openxmlformats.org/officeDocument/2006/relationships/hyperlink" Target="https://eur-lex.europa.eu/legal-content/NL/TXT/?uri=CELEX:12020W/TXT" TargetMode="External"/><Relationship Id="rId25" Type="http://schemas.openxmlformats.org/officeDocument/2006/relationships/hyperlink" Target="https://eur-lex.europa.eu/legal-content/EN/TXT/?toc=OJ:L:2015:264:TOC&amp;uri=uriserv:OJ.L_.2015.264.01.0001.01.ENG" TargetMode="External"/><Relationship Id="rId33" Type="http://schemas.openxmlformats.org/officeDocument/2006/relationships/hyperlink" Target="https://ec.europa.eu/info/funding-tenders/opportunities/portal/screen/opportunities/topic-details/innovfund-ssc-2020-single-stage" TargetMode="External"/><Relationship Id="rId38" Type="http://schemas.openxmlformats.org/officeDocument/2006/relationships/hyperlink" Target="https://eur-lex.europa.eu/legal-content/NL/TXT/?uri=CELEX:32018L0410" TargetMode="External"/><Relationship Id="rId46" Type="http://schemas.openxmlformats.org/officeDocument/2006/relationships/hyperlink" Target="https://eur-lex.europa.eu/legal-content/NL/TXT/?uri=CELEX:32013D0377" TargetMode="External"/><Relationship Id="rId59" Type="http://schemas.openxmlformats.org/officeDocument/2006/relationships/hyperlink" Target="https://registers.esma.europa.eu/publication/searchRegister?core=esma_registers_coder58" TargetMode="External"/><Relationship Id="rId67" Type="http://schemas.openxmlformats.org/officeDocument/2006/relationships/hyperlink" Target="https://eur-lex.europa.eu/legal-content/NL/TXT/?uri=CELEX:32018D0219" TargetMode="External"/><Relationship Id="rId20" Type="http://schemas.openxmlformats.org/officeDocument/2006/relationships/hyperlink" Target="https://eur-lex.europa.eu/legal-content/NL/TXT/?uri=CELEX:52020XC1211(07)" TargetMode="External"/><Relationship Id="rId41" Type="http://schemas.openxmlformats.org/officeDocument/2006/relationships/hyperlink" Target="https://ec.europa.eu/clima/eu-action/eu-emissions-trading-system-eu-ets/market-stability-reserve_nl" TargetMode="External"/><Relationship Id="rId54" Type="http://schemas.openxmlformats.org/officeDocument/2006/relationships/hyperlink" Target="https://eur-lex.europa.eu/legal-content/NL/TXT/?uri=celex:32010R1031" TargetMode="External"/><Relationship Id="rId62" Type="http://schemas.openxmlformats.org/officeDocument/2006/relationships/hyperlink" Target="https://eur-lex.europa.eu/legal-content/NL/TXT/?toc=OJ:L:2018:334:TOC&amp;uri=uriserv:OJ.L_.2018.334.01.0094.01.NLD" TargetMode="External"/><Relationship Id="rId70" Type="http://schemas.openxmlformats.org/officeDocument/2006/relationships/hyperlink" Target="https://www.emissionsregistry.admin.ch/" TargetMode="External"/><Relationship Id="rId75" Type="http://schemas.openxmlformats.org/officeDocument/2006/relationships/hyperlink" Target="https://eur-lex.europa.eu/legal-content/NL/TXT/PDF/?uri=CELEX:52020DC0564&amp;from=NL" TargetMode="External"/><Relationship Id="rId1" Type="http://schemas.openxmlformats.org/officeDocument/2006/relationships/hyperlink" Target="https://eur-lex.europa.eu/legal-content/NL/TXT/?uri=uriserv:OJ.L_.2018.328.01.0082.01.NLD" TargetMode="External"/><Relationship Id="rId6" Type="http://schemas.openxmlformats.org/officeDocument/2006/relationships/hyperlink" Target="https://eur-lex.europa.eu/legal-content/NL/TXT/?uri=CELEX:52021PC0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_Status xmlns="http://schemas.microsoft.com/sharepoint/v3/fields">Not Started</_Status>
    <EC_Collab_Status xmlns="66dfdfc7-cf04-47bd-8028-378de1775e10">Not Started</EC_Collab_Status>
    <EC_Collab_DocumentLanguage xmlns="66dfdfc7-cf04-47bd-8028-378de1775e10">EN</EC_Collab_DocumentLanguage>
    <EC_Collab_Reference xmlns="66dfdfc7-cf04-47bd-8028-378de1775e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8624AE1ADA55AC498CE8C2673C458AA5" ma:contentTypeVersion="1" ma:contentTypeDescription="Create a new document in this library." ma:contentTypeScope="" ma:versionID="167ade49b98f0d3b5cb7d826645ae3ff">
  <xsd:schema xmlns:xsd="http://www.w3.org/2001/XMLSchema" xmlns:xs="http://www.w3.org/2001/XMLSchema" xmlns:p="http://schemas.microsoft.com/office/2006/metadata/properties" xmlns:ns2="http://schemas.microsoft.com/sharepoint/v3/fields" xmlns:ns3="66dfdfc7-cf04-47bd-8028-378de1775e10" targetNamespace="http://schemas.microsoft.com/office/2006/metadata/properties" ma:root="true" ma:fieldsID="d2667018ce038391566f5e109426fbb5" ns2:_="" ns3:_="">
    <xsd:import namespace="http://schemas.microsoft.com/sharepoint/v3/fields"/>
    <xsd:import namespace="66dfdfc7-cf04-47bd-8028-378de1775e1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2: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Modified" ma:index="16"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dfdfc7-cf04-47bd-8028-378de1775e10"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1A71-F56C-4BB7-A273-26EBDAD2434A}">
  <ds:schemaRefs>
    <ds:schemaRef ds:uri="http://schemas.microsoft.com/sharepoint/v3/contenttype/forms"/>
  </ds:schemaRefs>
</ds:datastoreItem>
</file>

<file path=customXml/itemProps2.xml><?xml version="1.0" encoding="utf-8"?>
<ds:datastoreItem xmlns:ds="http://schemas.openxmlformats.org/officeDocument/2006/customXml" ds:itemID="{CAA58876-9682-4DA9-978F-DD3A2CAFE52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fdfc7-cf04-47bd-8028-378de1775e10"/>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B389132F-A8E4-4238-9012-017004CDD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66dfdfc7-cf04-47bd-8028-378de1775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CC5D5-5863-44AF-BD11-B7B3DCA6A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24</Pages>
  <Words>14706</Words>
  <Characters>85004</Characters>
  <Application>Microsoft Office Word</Application>
  <DocSecurity>0</DocSecurity>
  <Lines>1734</Lines>
  <Paragraphs>785</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98925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52</cp:revision>
  <cp:lastPrinted>2018-11-08T09:30:00Z</cp:lastPrinted>
  <dcterms:created xsi:type="dcterms:W3CDTF">2021-10-21T08:19:00Z</dcterms:created>
  <dcterms:modified xsi:type="dcterms:W3CDTF">2021-12-07T08:19:00Z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7.0.1, Build 20200226</vt:lpwstr>
  </property>
  <property fmtid="{D5CDD505-2E9C-101B-9397-08002B2CF9AE}" pid="7" name="_DocHome">
    <vt:i4>-1319363200</vt:i4>
  </property>
  <property fmtid="{D5CDD505-2E9C-101B-9397-08002B2CF9AE}" pid="8" name="Created using">
    <vt:lpwstr>LW 6.0.1, Build 20180503</vt:lpwstr>
  </property>
  <property fmtid="{D5CDD505-2E9C-101B-9397-08002B2CF9AE}" pid="9" name="CPTemplateID">
    <vt:lpwstr>CP-006</vt:lpwstr>
  </property>
  <property fmtid="{D5CDD505-2E9C-101B-9397-08002B2CF9AE}" pid="10" name="TitusGUID">
    <vt:lpwstr>5cf759e1-5ddc-4581-ad6d-8fdc99e4c60a</vt:lpwstr>
  </property>
  <property fmtid="{D5CDD505-2E9C-101B-9397-08002B2CF9AE}" pid="11" name="_LW_INVALIDATED__LW_INVALIDATED__LW_INVALIDATED_ContentTypeId">
    <vt:lpwstr>0x010100258AA79CEB83498886A3A08681123250008624AE1ADA55AC498CE8C2673C458AA5</vt:lpwstr>
  </property>
  <property name="OP_sanitized" fmtid="{D5CDD505-2E9C-101B-9397-08002B2CF9AE}" pid="12">
    <vt:lpwstr>True</vt:lpwstr>
  </property>
</Properties>
</file>