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3EC4B48D-3B5A-46E6-9446-0B48562A4721" style="width:455.35pt;height:323.7pt">
            <v:imagedata r:id="rId9" o:title=""/>
          </v:shape>
        </w:pict>
      </w:r>
    </w:p>
    <w:bookmarkEnd w:id="0"/>
    <w:p>
      <w:pPr>
        <w:spacing w:before="0" w:after="0"/>
        <w:jc w:val="left"/>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aperSrc w:first="15" w:other="15"/>
          <w:pgNumType w:start="1"/>
          <w:cols w:space="720"/>
          <w:docGrid w:linePitch="326"/>
        </w:sectPr>
      </w:pPr>
    </w:p>
    <w:p>
      <w:pPr>
        <w:pStyle w:val="TOCHeading"/>
        <w:rPr>
          <w:noProof/>
        </w:rPr>
      </w:pPr>
      <w:bookmarkStart w:id="1" w:name="_GoBack"/>
      <w:bookmarkEnd w:id="1"/>
      <w:r>
        <w:rPr>
          <w:noProof/>
        </w:rPr>
        <w:lastRenderedPageBreak/>
        <w:t>Inhoudsopgave</w:t>
      </w:r>
    </w:p>
    <w:p>
      <w:pPr>
        <w:pStyle w:val="TOC1"/>
        <w:rPr>
          <w:rFonts w:asciiTheme="minorHAnsi" w:eastAsiaTheme="minorEastAsia" w:hAnsiTheme="minorHAnsi" w:cstheme="minorBidi"/>
          <w:noProof/>
          <w:sz w:val="22"/>
          <w:szCs w:val="22"/>
          <w:lang w:val="en-US"/>
        </w:rPr>
      </w:pPr>
      <w:r>
        <w:rPr>
          <w:noProof/>
        </w:rPr>
        <w:fldChar w:fldCharType="begin"/>
      </w:r>
      <w:r>
        <w:rPr>
          <w:noProof/>
        </w:rPr>
        <w:instrText xml:space="preserve"> TOC \o "1-3" \h \z \u </w:instrText>
      </w:r>
      <w:r>
        <w:rPr>
          <w:noProof/>
        </w:rPr>
        <w:fldChar w:fldCharType="separate"/>
      </w:r>
      <w:hyperlink w:anchor="_Toc78382479" w:history="1">
        <w:r>
          <w:rPr>
            <w:rStyle w:val="Hyperlink"/>
            <w:noProof/>
          </w:rPr>
          <w:t>1.</w:t>
        </w:r>
        <w:r>
          <w:rPr>
            <w:rFonts w:asciiTheme="minorHAnsi" w:eastAsiaTheme="minorEastAsia" w:hAnsiTheme="minorHAnsi" w:cstheme="minorBidi"/>
            <w:noProof/>
            <w:sz w:val="22"/>
            <w:szCs w:val="22"/>
            <w:lang w:val="en-US"/>
          </w:rPr>
          <w:tab/>
        </w:r>
        <w:r>
          <w:rPr>
            <w:rStyle w:val="Hyperlink"/>
            <w:noProof/>
          </w:rPr>
          <w:t>Inleiding</w:t>
        </w:r>
        <w:r>
          <w:rPr>
            <w:noProof/>
            <w:webHidden/>
          </w:rPr>
          <w:tab/>
        </w:r>
        <w:r>
          <w:rPr>
            <w:noProof/>
            <w:webHidden/>
          </w:rPr>
          <w:fldChar w:fldCharType="begin"/>
        </w:r>
        <w:r>
          <w:rPr>
            <w:noProof/>
            <w:webHidden/>
          </w:rPr>
          <w:instrText xml:space="preserve"> PAGEREF _Toc78382479 \h </w:instrText>
        </w:r>
        <w:r>
          <w:rPr>
            <w:noProof/>
            <w:webHidden/>
          </w:rPr>
        </w:r>
        <w:r>
          <w:rPr>
            <w:noProof/>
            <w:webHidden/>
          </w:rPr>
          <w:fldChar w:fldCharType="separate"/>
        </w:r>
        <w:r>
          <w:rPr>
            <w:noProof/>
            <w:webHidden/>
          </w:rPr>
          <w:t>2</w:t>
        </w:r>
        <w:r>
          <w:rPr>
            <w:noProof/>
            <w:webHidden/>
          </w:rPr>
          <w:fldChar w:fldCharType="end"/>
        </w:r>
      </w:hyperlink>
    </w:p>
    <w:p>
      <w:pPr>
        <w:pStyle w:val="TOC1"/>
        <w:rPr>
          <w:rFonts w:asciiTheme="minorHAnsi" w:eastAsiaTheme="minorEastAsia" w:hAnsiTheme="minorHAnsi" w:cstheme="minorBidi"/>
          <w:noProof/>
          <w:sz w:val="22"/>
          <w:szCs w:val="22"/>
          <w:lang w:val="en-US"/>
        </w:rPr>
      </w:pPr>
      <w:hyperlink w:anchor="_Toc78382480" w:history="1">
        <w:r>
          <w:rPr>
            <w:rStyle w:val="Hyperlink"/>
            <w:noProof/>
          </w:rPr>
          <w:t>2.</w:t>
        </w:r>
        <w:r>
          <w:rPr>
            <w:rFonts w:asciiTheme="minorHAnsi" w:eastAsiaTheme="minorEastAsia" w:hAnsiTheme="minorHAnsi" w:cstheme="minorBidi"/>
            <w:noProof/>
            <w:sz w:val="22"/>
            <w:szCs w:val="22"/>
            <w:lang w:val="en-US"/>
          </w:rPr>
          <w:tab/>
        </w:r>
        <w:r>
          <w:rPr>
            <w:rStyle w:val="Hyperlink"/>
            <w:noProof/>
          </w:rPr>
          <w:t>Financiële positie en significante transacties van het Garantiefonds</w:t>
        </w:r>
        <w:r>
          <w:rPr>
            <w:noProof/>
            <w:webHidden/>
          </w:rPr>
          <w:tab/>
        </w:r>
        <w:r>
          <w:rPr>
            <w:noProof/>
            <w:webHidden/>
          </w:rPr>
          <w:fldChar w:fldCharType="begin"/>
        </w:r>
        <w:r>
          <w:rPr>
            <w:noProof/>
            <w:webHidden/>
          </w:rPr>
          <w:instrText xml:space="preserve"> PAGEREF _Toc78382480 \h </w:instrText>
        </w:r>
        <w:r>
          <w:rPr>
            <w:noProof/>
            <w:webHidden/>
          </w:rPr>
        </w:r>
        <w:r>
          <w:rPr>
            <w:noProof/>
            <w:webHidden/>
          </w:rPr>
          <w:fldChar w:fldCharType="separate"/>
        </w:r>
        <w:r>
          <w:rPr>
            <w:noProof/>
            <w:webHidden/>
          </w:rPr>
          <w:t>2</w:t>
        </w:r>
        <w:r>
          <w:rPr>
            <w:noProof/>
            <w:webHidden/>
          </w:rPr>
          <w:fldChar w:fldCharType="end"/>
        </w:r>
      </w:hyperlink>
    </w:p>
    <w:p>
      <w:pPr>
        <w:pStyle w:val="TOC2"/>
        <w:rPr>
          <w:rFonts w:asciiTheme="minorHAnsi" w:eastAsiaTheme="minorEastAsia" w:hAnsiTheme="minorHAnsi" w:cstheme="minorBidi"/>
          <w:noProof/>
          <w:sz w:val="22"/>
          <w:szCs w:val="22"/>
          <w:lang w:val="en-US"/>
        </w:rPr>
      </w:pPr>
      <w:hyperlink w:anchor="_Toc78382481" w:history="1">
        <w:r>
          <w:rPr>
            <w:rStyle w:val="Hyperlink"/>
            <w:noProof/>
          </w:rPr>
          <w:t>2.1.</w:t>
        </w:r>
        <w:r>
          <w:rPr>
            <w:rFonts w:asciiTheme="minorHAnsi" w:eastAsiaTheme="minorEastAsia" w:hAnsiTheme="minorHAnsi" w:cstheme="minorBidi"/>
            <w:noProof/>
            <w:sz w:val="22"/>
            <w:szCs w:val="22"/>
            <w:lang w:val="en-US"/>
          </w:rPr>
          <w:tab/>
        </w:r>
        <w:r>
          <w:rPr>
            <w:rStyle w:val="Hyperlink"/>
            <w:noProof/>
          </w:rPr>
          <w:t>Financiële positie van het Garantiefonds op 31 december 2020</w:t>
        </w:r>
        <w:r>
          <w:rPr>
            <w:noProof/>
            <w:webHidden/>
          </w:rPr>
          <w:tab/>
        </w:r>
        <w:r>
          <w:rPr>
            <w:noProof/>
            <w:webHidden/>
          </w:rPr>
          <w:fldChar w:fldCharType="begin"/>
        </w:r>
        <w:r>
          <w:rPr>
            <w:noProof/>
            <w:webHidden/>
          </w:rPr>
          <w:instrText xml:space="preserve"> PAGEREF _Toc78382481 \h </w:instrText>
        </w:r>
        <w:r>
          <w:rPr>
            <w:noProof/>
            <w:webHidden/>
          </w:rPr>
        </w:r>
        <w:r>
          <w:rPr>
            <w:noProof/>
            <w:webHidden/>
          </w:rPr>
          <w:fldChar w:fldCharType="separate"/>
        </w:r>
        <w:r>
          <w:rPr>
            <w:noProof/>
            <w:webHidden/>
          </w:rPr>
          <w:t>2</w:t>
        </w:r>
        <w:r>
          <w:rPr>
            <w:noProof/>
            <w:webHidden/>
          </w:rPr>
          <w:fldChar w:fldCharType="end"/>
        </w:r>
      </w:hyperlink>
    </w:p>
    <w:p>
      <w:pPr>
        <w:pStyle w:val="TOC2"/>
        <w:rPr>
          <w:rFonts w:asciiTheme="minorHAnsi" w:eastAsiaTheme="minorEastAsia" w:hAnsiTheme="minorHAnsi" w:cstheme="minorBidi"/>
          <w:noProof/>
          <w:sz w:val="22"/>
          <w:szCs w:val="22"/>
          <w:lang w:val="en-US"/>
        </w:rPr>
      </w:pPr>
      <w:hyperlink w:anchor="_Toc78382482" w:history="1">
        <w:r>
          <w:rPr>
            <w:rStyle w:val="Hyperlink"/>
            <w:noProof/>
          </w:rPr>
          <w:t>2.2.</w:t>
        </w:r>
        <w:r>
          <w:rPr>
            <w:rFonts w:asciiTheme="minorHAnsi" w:eastAsiaTheme="minorEastAsia" w:hAnsiTheme="minorHAnsi" w:cstheme="minorBidi"/>
            <w:noProof/>
            <w:sz w:val="22"/>
            <w:szCs w:val="22"/>
            <w:lang w:val="en-US"/>
          </w:rPr>
          <w:tab/>
        </w:r>
        <w:r>
          <w:rPr>
            <w:rStyle w:val="Hyperlink"/>
            <w:noProof/>
          </w:rPr>
          <w:t>Significante transacties van het Fonds in 2020</w:t>
        </w:r>
        <w:r>
          <w:rPr>
            <w:noProof/>
            <w:webHidden/>
          </w:rPr>
          <w:tab/>
        </w:r>
        <w:r>
          <w:rPr>
            <w:noProof/>
            <w:webHidden/>
          </w:rPr>
          <w:fldChar w:fldCharType="begin"/>
        </w:r>
        <w:r>
          <w:rPr>
            <w:noProof/>
            <w:webHidden/>
          </w:rPr>
          <w:instrText xml:space="preserve"> PAGEREF _Toc78382482 \h </w:instrText>
        </w:r>
        <w:r>
          <w:rPr>
            <w:noProof/>
            <w:webHidden/>
          </w:rPr>
        </w:r>
        <w:r>
          <w:rPr>
            <w:noProof/>
            <w:webHidden/>
          </w:rPr>
          <w:fldChar w:fldCharType="separate"/>
        </w:r>
        <w:r>
          <w:rPr>
            <w:noProof/>
            <w:webHidden/>
          </w:rPr>
          <w:t>3</w:t>
        </w:r>
        <w:r>
          <w:rPr>
            <w:noProof/>
            <w:webHidden/>
          </w:rPr>
          <w:fldChar w:fldCharType="end"/>
        </w:r>
      </w:hyperlink>
    </w:p>
    <w:p>
      <w:pPr>
        <w:pStyle w:val="TOC2"/>
        <w:rPr>
          <w:rFonts w:asciiTheme="minorHAnsi" w:eastAsiaTheme="minorEastAsia" w:hAnsiTheme="minorHAnsi" w:cstheme="minorBidi"/>
          <w:noProof/>
          <w:sz w:val="22"/>
          <w:szCs w:val="22"/>
          <w:lang w:val="en-US"/>
        </w:rPr>
      </w:pPr>
      <w:hyperlink w:anchor="_Toc78382483" w:history="1">
        <w:r>
          <w:rPr>
            <w:rStyle w:val="Hyperlink"/>
            <w:noProof/>
          </w:rPr>
          <w:t>2.2.1.</w:t>
        </w:r>
        <w:r>
          <w:rPr>
            <w:rFonts w:asciiTheme="minorHAnsi" w:eastAsiaTheme="minorEastAsia" w:hAnsiTheme="minorHAnsi" w:cstheme="minorBidi"/>
            <w:noProof/>
            <w:sz w:val="22"/>
            <w:szCs w:val="22"/>
            <w:lang w:val="en-US"/>
          </w:rPr>
          <w:tab/>
        </w:r>
        <w:r>
          <w:rPr>
            <w:rStyle w:val="Hyperlink"/>
            <w:noProof/>
          </w:rPr>
          <w:t>Beroep op het Garantiefonds 2020</w:t>
        </w:r>
        <w:r>
          <w:rPr>
            <w:noProof/>
            <w:webHidden/>
          </w:rPr>
          <w:tab/>
        </w:r>
        <w:r>
          <w:rPr>
            <w:noProof/>
            <w:webHidden/>
          </w:rPr>
          <w:fldChar w:fldCharType="begin"/>
        </w:r>
        <w:r>
          <w:rPr>
            <w:noProof/>
            <w:webHidden/>
          </w:rPr>
          <w:instrText xml:space="preserve"> PAGEREF _Toc78382483 \h </w:instrText>
        </w:r>
        <w:r>
          <w:rPr>
            <w:noProof/>
            <w:webHidden/>
          </w:rPr>
        </w:r>
        <w:r>
          <w:rPr>
            <w:noProof/>
            <w:webHidden/>
          </w:rPr>
          <w:fldChar w:fldCharType="separate"/>
        </w:r>
        <w:r>
          <w:rPr>
            <w:noProof/>
            <w:webHidden/>
          </w:rPr>
          <w:t>3</w:t>
        </w:r>
        <w:r>
          <w:rPr>
            <w:noProof/>
            <w:webHidden/>
          </w:rPr>
          <w:fldChar w:fldCharType="end"/>
        </w:r>
      </w:hyperlink>
    </w:p>
    <w:p>
      <w:pPr>
        <w:pStyle w:val="TOC2"/>
        <w:rPr>
          <w:rFonts w:asciiTheme="minorHAnsi" w:eastAsiaTheme="minorEastAsia" w:hAnsiTheme="minorHAnsi" w:cstheme="minorBidi"/>
          <w:noProof/>
          <w:sz w:val="22"/>
          <w:szCs w:val="22"/>
          <w:lang w:val="en-US"/>
        </w:rPr>
      </w:pPr>
      <w:hyperlink w:anchor="_Toc78382484" w:history="1">
        <w:r>
          <w:rPr>
            <w:rStyle w:val="Hyperlink"/>
            <w:noProof/>
          </w:rPr>
          <w:t>2.2.2.</w:t>
        </w:r>
        <w:r>
          <w:rPr>
            <w:rFonts w:asciiTheme="minorHAnsi" w:eastAsiaTheme="minorEastAsia" w:hAnsiTheme="minorHAnsi" w:cstheme="minorBidi"/>
            <w:noProof/>
            <w:sz w:val="22"/>
            <w:szCs w:val="22"/>
            <w:lang w:val="en-US"/>
          </w:rPr>
          <w:tab/>
        </w:r>
        <w:r>
          <w:rPr>
            <w:rStyle w:val="Hyperlink"/>
            <w:noProof/>
          </w:rPr>
          <w:t>Voorziening van het Garantiefonds 2020</w:t>
        </w:r>
        <w:r>
          <w:rPr>
            <w:noProof/>
            <w:webHidden/>
          </w:rPr>
          <w:tab/>
        </w:r>
        <w:r>
          <w:rPr>
            <w:noProof/>
            <w:webHidden/>
          </w:rPr>
          <w:fldChar w:fldCharType="begin"/>
        </w:r>
        <w:r>
          <w:rPr>
            <w:noProof/>
            <w:webHidden/>
          </w:rPr>
          <w:instrText xml:space="preserve"> PAGEREF _Toc78382484 \h </w:instrText>
        </w:r>
        <w:r>
          <w:rPr>
            <w:noProof/>
            <w:webHidden/>
          </w:rPr>
        </w:r>
        <w:r>
          <w:rPr>
            <w:noProof/>
            <w:webHidden/>
          </w:rPr>
          <w:fldChar w:fldCharType="separate"/>
        </w:r>
        <w:r>
          <w:rPr>
            <w:noProof/>
            <w:webHidden/>
          </w:rPr>
          <w:t>3</w:t>
        </w:r>
        <w:r>
          <w:rPr>
            <w:noProof/>
            <w:webHidden/>
          </w:rPr>
          <w:fldChar w:fldCharType="end"/>
        </w:r>
      </w:hyperlink>
    </w:p>
    <w:p>
      <w:pPr>
        <w:pStyle w:val="TOC2"/>
        <w:rPr>
          <w:rFonts w:asciiTheme="minorHAnsi" w:eastAsiaTheme="minorEastAsia" w:hAnsiTheme="minorHAnsi" w:cstheme="minorBidi"/>
          <w:noProof/>
          <w:sz w:val="22"/>
          <w:szCs w:val="22"/>
          <w:lang w:val="en-US"/>
        </w:rPr>
      </w:pPr>
      <w:hyperlink w:anchor="_Toc78382485" w:history="1">
        <w:r>
          <w:rPr>
            <w:rStyle w:val="Hyperlink"/>
            <w:noProof/>
          </w:rPr>
          <w:t>2.3.</w:t>
        </w:r>
        <w:r>
          <w:rPr>
            <w:rFonts w:asciiTheme="minorHAnsi" w:eastAsiaTheme="minorEastAsia" w:hAnsiTheme="minorHAnsi" w:cstheme="minorBidi"/>
            <w:noProof/>
            <w:sz w:val="22"/>
            <w:szCs w:val="22"/>
            <w:lang w:val="en-US"/>
          </w:rPr>
          <w:tab/>
        </w:r>
        <w:r>
          <w:rPr>
            <w:rStyle w:val="Hyperlink"/>
            <w:noProof/>
          </w:rPr>
          <w:t>Significante verrichtingen na de verslagdatum (eind april 2021)</w:t>
        </w:r>
        <w:r>
          <w:rPr>
            <w:noProof/>
            <w:webHidden/>
          </w:rPr>
          <w:tab/>
        </w:r>
        <w:r>
          <w:rPr>
            <w:noProof/>
            <w:webHidden/>
          </w:rPr>
          <w:fldChar w:fldCharType="begin"/>
        </w:r>
        <w:r>
          <w:rPr>
            <w:noProof/>
            <w:webHidden/>
          </w:rPr>
          <w:instrText xml:space="preserve"> PAGEREF _Toc78382485 \h </w:instrText>
        </w:r>
        <w:r>
          <w:rPr>
            <w:noProof/>
            <w:webHidden/>
          </w:rPr>
        </w:r>
        <w:r>
          <w:rPr>
            <w:noProof/>
            <w:webHidden/>
          </w:rPr>
          <w:fldChar w:fldCharType="separate"/>
        </w:r>
        <w:r>
          <w:rPr>
            <w:noProof/>
            <w:webHidden/>
          </w:rPr>
          <w:t>4</w:t>
        </w:r>
        <w:r>
          <w:rPr>
            <w:noProof/>
            <w:webHidden/>
          </w:rPr>
          <w:fldChar w:fldCharType="end"/>
        </w:r>
      </w:hyperlink>
    </w:p>
    <w:p>
      <w:pPr>
        <w:pStyle w:val="TOC1"/>
        <w:rPr>
          <w:rFonts w:asciiTheme="minorHAnsi" w:eastAsiaTheme="minorEastAsia" w:hAnsiTheme="minorHAnsi" w:cstheme="minorBidi"/>
          <w:noProof/>
          <w:sz w:val="22"/>
          <w:szCs w:val="22"/>
          <w:lang w:val="en-US"/>
        </w:rPr>
      </w:pPr>
      <w:hyperlink w:anchor="_Toc78382486" w:history="1">
        <w:r>
          <w:rPr>
            <w:rStyle w:val="Hyperlink"/>
            <w:noProof/>
          </w:rPr>
          <w:t>3.</w:t>
        </w:r>
        <w:r>
          <w:rPr>
            <w:rFonts w:asciiTheme="minorHAnsi" w:eastAsiaTheme="minorEastAsia" w:hAnsiTheme="minorHAnsi" w:cstheme="minorBidi"/>
            <w:noProof/>
            <w:sz w:val="22"/>
            <w:szCs w:val="22"/>
            <w:lang w:val="en-US"/>
          </w:rPr>
          <w:tab/>
        </w:r>
        <w:r>
          <w:rPr>
            <w:rStyle w:val="Hyperlink"/>
            <w:noProof/>
          </w:rPr>
          <w:t>Enkelvoudige jaarrekening van het Fonds</w:t>
        </w:r>
        <w:r>
          <w:rPr>
            <w:noProof/>
            <w:webHidden/>
          </w:rPr>
          <w:tab/>
        </w:r>
        <w:r>
          <w:rPr>
            <w:noProof/>
            <w:webHidden/>
          </w:rPr>
          <w:fldChar w:fldCharType="begin"/>
        </w:r>
        <w:r>
          <w:rPr>
            <w:noProof/>
            <w:webHidden/>
          </w:rPr>
          <w:instrText xml:space="preserve"> PAGEREF _Toc78382486 \h </w:instrText>
        </w:r>
        <w:r>
          <w:rPr>
            <w:noProof/>
            <w:webHidden/>
          </w:rPr>
        </w:r>
        <w:r>
          <w:rPr>
            <w:noProof/>
            <w:webHidden/>
          </w:rPr>
          <w:fldChar w:fldCharType="separate"/>
        </w:r>
        <w:r>
          <w:rPr>
            <w:noProof/>
            <w:webHidden/>
          </w:rPr>
          <w:t>4</w:t>
        </w:r>
        <w:r>
          <w:rPr>
            <w:noProof/>
            <w:webHidden/>
          </w:rPr>
          <w:fldChar w:fldCharType="end"/>
        </w:r>
      </w:hyperlink>
    </w:p>
    <w:p>
      <w:pPr>
        <w:pStyle w:val="TOC2"/>
        <w:rPr>
          <w:rFonts w:asciiTheme="minorHAnsi" w:eastAsiaTheme="minorEastAsia" w:hAnsiTheme="minorHAnsi" w:cstheme="minorBidi"/>
          <w:noProof/>
          <w:sz w:val="22"/>
          <w:szCs w:val="22"/>
          <w:lang w:val="en-US"/>
        </w:rPr>
      </w:pPr>
      <w:hyperlink w:anchor="_Toc78382487" w:history="1">
        <w:r>
          <w:rPr>
            <w:rStyle w:val="Hyperlink"/>
            <w:noProof/>
          </w:rPr>
          <w:t>3.1.</w:t>
        </w:r>
        <w:r>
          <w:rPr>
            <w:rFonts w:asciiTheme="minorHAnsi" w:eastAsiaTheme="minorEastAsia" w:hAnsiTheme="minorHAnsi" w:cstheme="minorBidi"/>
            <w:noProof/>
            <w:sz w:val="22"/>
            <w:szCs w:val="22"/>
            <w:lang w:val="en-US"/>
          </w:rPr>
          <w:tab/>
        </w:r>
        <w:r>
          <w:rPr>
            <w:rStyle w:val="Hyperlink"/>
            <w:noProof/>
          </w:rPr>
          <w:t>Enkelvoudige financiële positie op 31 december 2020</w:t>
        </w:r>
        <w:r>
          <w:rPr>
            <w:noProof/>
            <w:webHidden/>
          </w:rPr>
          <w:tab/>
        </w:r>
        <w:r>
          <w:rPr>
            <w:noProof/>
            <w:webHidden/>
          </w:rPr>
          <w:fldChar w:fldCharType="begin"/>
        </w:r>
        <w:r>
          <w:rPr>
            <w:noProof/>
            <w:webHidden/>
          </w:rPr>
          <w:instrText xml:space="preserve"> PAGEREF _Toc78382487 \h </w:instrText>
        </w:r>
        <w:r>
          <w:rPr>
            <w:noProof/>
            <w:webHidden/>
          </w:rPr>
        </w:r>
        <w:r>
          <w:rPr>
            <w:noProof/>
            <w:webHidden/>
          </w:rPr>
          <w:fldChar w:fldCharType="separate"/>
        </w:r>
        <w:r>
          <w:rPr>
            <w:noProof/>
            <w:webHidden/>
          </w:rPr>
          <w:t>4</w:t>
        </w:r>
        <w:r>
          <w:rPr>
            <w:noProof/>
            <w:webHidden/>
          </w:rPr>
          <w:fldChar w:fldCharType="end"/>
        </w:r>
      </w:hyperlink>
    </w:p>
    <w:p>
      <w:pPr>
        <w:pStyle w:val="TOC2"/>
        <w:rPr>
          <w:rFonts w:asciiTheme="minorHAnsi" w:eastAsiaTheme="minorEastAsia" w:hAnsiTheme="minorHAnsi" w:cstheme="minorBidi"/>
          <w:noProof/>
          <w:sz w:val="22"/>
          <w:szCs w:val="22"/>
          <w:lang w:val="en-US"/>
        </w:rPr>
      </w:pPr>
      <w:hyperlink w:anchor="_Toc78382488" w:history="1">
        <w:r>
          <w:rPr>
            <w:rStyle w:val="Hyperlink"/>
            <w:noProof/>
          </w:rPr>
          <w:t>3.2.</w:t>
        </w:r>
        <w:r>
          <w:rPr>
            <w:rFonts w:asciiTheme="minorHAnsi" w:eastAsiaTheme="minorEastAsia" w:hAnsiTheme="minorHAnsi" w:cstheme="minorBidi"/>
            <w:noProof/>
            <w:sz w:val="22"/>
            <w:szCs w:val="22"/>
            <w:lang w:val="en-US"/>
          </w:rPr>
          <w:tab/>
        </w:r>
        <w:r>
          <w:rPr>
            <w:rStyle w:val="Hyperlink"/>
            <w:noProof/>
          </w:rPr>
          <w:t>Enkelvoudig overzicht van de financiële prestaties</w:t>
        </w:r>
        <w:r>
          <w:rPr>
            <w:noProof/>
            <w:webHidden/>
          </w:rPr>
          <w:tab/>
        </w:r>
        <w:r>
          <w:rPr>
            <w:noProof/>
            <w:webHidden/>
          </w:rPr>
          <w:fldChar w:fldCharType="begin"/>
        </w:r>
        <w:r>
          <w:rPr>
            <w:noProof/>
            <w:webHidden/>
          </w:rPr>
          <w:instrText xml:space="preserve"> PAGEREF _Toc78382488 \h </w:instrText>
        </w:r>
        <w:r>
          <w:rPr>
            <w:noProof/>
            <w:webHidden/>
          </w:rPr>
        </w:r>
        <w:r>
          <w:rPr>
            <w:noProof/>
            <w:webHidden/>
          </w:rPr>
          <w:fldChar w:fldCharType="separate"/>
        </w:r>
        <w:r>
          <w:rPr>
            <w:noProof/>
            <w:webHidden/>
          </w:rPr>
          <w:t>6</w:t>
        </w:r>
        <w:r>
          <w:rPr>
            <w:noProof/>
            <w:webHidden/>
          </w:rPr>
          <w:fldChar w:fldCharType="end"/>
        </w:r>
      </w:hyperlink>
    </w:p>
    <w:p>
      <w:pPr>
        <w:pStyle w:val="TOC1"/>
        <w:rPr>
          <w:rFonts w:asciiTheme="minorHAnsi" w:eastAsiaTheme="minorEastAsia" w:hAnsiTheme="minorHAnsi" w:cstheme="minorBidi"/>
          <w:noProof/>
          <w:sz w:val="22"/>
          <w:szCs w:val="22"/>
          <w:lang w:val="en-US"/>
        </w:rPr>
      </w:pPr>
      <w:hyperlink w:anchor="_Toc78382489" w:history="1">
        <w:r>
          <w:rPr>
            <w:rStyle w:val="Hyperlink"/>
            <w:noProof/>
          </w:rPr>
          <w:t>4.</w:t>
        </w:r>
        <w:r>
          <w:rPr>
            <w:rFonts w:asciiTheme="minorHAnsi" w:eastAsiaTheme="minorEastAsia" w:hAnsiTheme="minorHAnsi" w:cstheme="minorBidi"/>
            <w:noProof/>
            <w:sz w:val="22"/>
            <w:szCs w:val="22"/>
            <w:lang w:val="en-US"/>
          </w:rPr>
          <w:tab/>
        </w:r>
        <w:r>
          <w:rPr>
            <w:rStyle w:val="Hyperlink"/>
            <w:noProof/>
          </w:rPr>
          <w:t>Treasurybeheer van het Garantiefonds</w:t>
        </w:r>
        <w:r>
          <w:rPr>
            <w:noProof/>
            <w:webHidden/>
          </w:rPr>
          <w:tab/>
        </w:r>
        <w:r>
          <w:rPr>
            <w:noProof/>
            <w:webHidden/>
          </w:rPr>
          <w:fldChar w:fldCharType="begin"/>
        </w:r>
        <w:r>
          <w:rPr>
            <w:noProof/>
            <w:webHidden/>
          </w:rPr>
          <w:instrText xml:space="preserve"> PAGEREF _Toc78382489 \h </w:instrText>
        </w:r>
        <w:r>
          <w:rPr>
            <w:noProof/>
            <w:webHidden/>
          </w:rPr>
        </w:r>
        <w:r>
          <w:rPr>
            <w:noProof/>
            <w:webHidden/>
          </w:rPr>
          <w:fldChar w:fldCharType="separate"/>
        </w:r>
        <w:r>
          <w:rPr>
            <w:noProof/>
            <w:webHidden/>
          </w:rPr>
          <w:t>7</w:t>
        </w:r>
        <w:r>
          <w:rPr>
            <w:noProof/>
            <w:webHidden/>
          </w:rPr>
          <w:fldChar w:fldCharType="end"/>
        </w:r>
      </w:hyperlink>
    </w:p>
    <w:p>
      <w:pPr>
        <w:pStyle w:val="TOC2"/>
        <w:rPr>
          <w:rFonts w:asciiTheme="minorHAnsi" w:eastAsiaTheme="minorEastAsia" w:hAnsiTheme="minorHAnsi" w:cstheme="minorBidi"/>
          <w:noProof/>
          <w:sz w:val="22"/>
          <w:szCs w:val="22"/>
          <w:lang w:val="en-US"/>
        </w:rPr>
      </w:pPr>
      <w:hyperlink w:anchor="_Toc78382490" w:history="1">
        <w:r>
          <w:rPr>
            <w:rStyle w:val="Hyperlink"/>
            <w:noProof/>
          </w:rPr>
          <w:t>4.1.</w:t>
        </w:r>
        <w:r>
          <w:rPr>
            <w:rFonts w:asciiTheme="minorHAnsi" w:eastAsiaTheme="minorEastAsia" w:hAnsiTheme="minorHAnsi" w:cstheme="minorBidi"/>
            <w:noProof/>
            <w:sz w:val="22"/>
            <w:szCs w:val="22"/>
            <w:lang w:val="en-US"/>
          </w:rPr>
          <w:tab/>
        </w:r>
        <w:r>
          <w:rPr>
            <w:rStyle w:val="Hyperlink"/>
            <w:noProof/>
          </w:rPr>
          <w:t>Beleggingsbeleid</w:t>
        </w:r>
        <w:r>
          <w:rPr>
            <w:noProof/>
            <w:webHidden/>
          </w:rPr>
          <w:tab/>
        </w:r>
        <w:r>
          <w:rPr>
            <w:noProof/>
            <w:webHidden/>
          </w:rPr>
          <w:fldChar w:fldCharType="begin"/>
        </w:r>
        <w:r>
          <w:rPr>
            <w:noProof/>
            <w:webHidden/>
          </w:rPr>
          <w:instrText xml:space="preserve"> PAGEREF _Toc78382490 \h </w:instrText>
        </w:r>
        <w:r>
          <w:rPr>
            <w:noProof/>
            <w:webHidden/>
          </w:rPr>
        </w:r>
        <w:r>
          <w:rPr>
            <w:noProof/>
            <w:webHidden/>
          </w:rPr>
          <w:fldChar w:fldCharType="separate"/>
        </w:r>
        <w:r>
          <w:rPr>
            <w:noProof/>
            <w:webHidden/>
          </w:rPr>
          <w:t>7</w:t>
        </w:r>
        <w:r>
          <w:rPr>
            <w:noProof/>
            <w:webHidden/>
          </w:rPr>
          <w:fldChar w:fldCharType="end"/>
        </w:r>
      </w:hyperlink>
    </w:p>
    <w:p>
      <w:pPr>
        <w:pStyle w:val="TOC2"/>
        <w:rPr>
          <w:rFonts w:asciiTheme="minorHAnsi" w:eastAsiaTheme="minorEastAsia" w:hAnsiTheme="minorHAnsi" w:cstheme="minorBidi"/>
          <w:noProof/>
          <w:sz w:val="22"/>
          <w:szCs w:val="22"/>
          <w:lang w:val="en-US"/>
        </w:rPr>
      </w:pPr>
      <w:hyperlink w:anchor="_Toc78382491" w:history="1">
        <w:r>
          <w:rPr>
            <w:rStyle w:val="Hyperlink"/>
            <w:noProof/>
          </w:rPr>
          <w:t>4.2.</w:t>
        </w:r>
        <w:r>
          <w:rPr>
            <w:rFonts w:asciiTheme="minorHAnsi" w:eastAsiaTheme="minorEastAsia" w:hAnsiTheme="minorHAnsi" w:cstheme="minorBidi"/>
            <w:noProof/>
            <w:sz w:val="22"/>
            <w:szCs w:val="22"/>
            <w:lang w:val="en-US"/>
          </w:rPr>
          <w:tab/>
        </w:r>
        <w:r>
          <w:rPr>
            <w:rStyle w:val="Hyperlink"/>
            <w:noProof/>
          </w:rPr>
          <w:t xml:space="preserve"> Prestaties en marktontwikkelingen in 2020</w:t>
        </w:r>
        <w:r>
          <w:rPr>
            <w:noProof/>
            <w:webHidden/>
          </w:rPr>
          <w:tab/>
        </w:r>
        <w:r>
          <w:rPr>
            <w:noProof/>
            <w:webHidden/>
          </w:rPr>
          <w:fldChar w:fldCharType="begin"/>
        </w:r>
        <w:r>
          <w:rPr>
            <w:noProof/>
            <w:webHidden/>
          </w:rPr>
          <w:instrText xml:space="preserve"> PAGEREF _Toc78382491 \h </w:instrText>
        </w:r>
        <w:r>
          <w:rPr>
            <w:noProof/>
            <w:webHidden/>
          </w:rPr>
        </w:r>
        <w:r>
          <w:rPr>
            <w:noProof/>
            <w:webHidden/>
          </w:rPr>
          <w:fldChar w:fldCharType="separate"/>
        </w:r>
        <w:r>
          <w:rPr>
            <w:noProof/>
            <w:webHidden/>
          </w:rPr>
          <w:t>7</w:t>
        </w:r>
        <w:r>
          <w:rPr>
            <w:noProof/>
            <w:webHidden/>
          </w:rPr>
          <w:fldChar w:fldCharType="end"/>
        </w:r>
      </w:hyperlink>
    </w:p>
    <w:p>
      <w:pPr>
        <w:pStyle w:val="TOC1"/>
        <w:rPr>
          <w:rFonts w:asciiTheme="minorHAnsi" w:eastAsiaTheme="minorEastAsia" w:hAnsiTheme="minorHAnsi" w:cstheme="minorBidi"/>
          <w:noProof/>
          <w:sz w:val="22"/>
          <w:szCs w:val="22"/>
          <w:lang w:val="en-US"/>
        </w:rPr>
      </w:pPr>
      <w:hyperlink w:anchor="_Toc78382492" w:history="1">
        <w:r>
          <w:rPr>
            <w:rStyle w:val="Hyperlink"/>
            <w:noProof/>
          </w:rPr>
          <w:t>5.</w:t>
        </w:r>
        <w:r>
          <w:rPr>
            <w:rFonts w:asciiTheme="minorHAnsi" w:eastAsiaTheme="minorEastAsia" w:hAnsiTheme="minorHAnsi" w:cstheme="minorBidi"/>
            <w:noProof/>
            <w:sz w:val="22"/>
            <w:szCs w:val="22"/>
            <w:lang w:val="en-US"/>
          </w:rPr>
          <w:tab/>
        </w:r>
        <w:r>
          <w:rPr>
            <w:rStyle w:val="Hyperlink"/>
            <w:noProof/>
          </w:rPr>
          <w:t>Beroep op het Garantiefonds</w:t>
        </w:r>
        <w:r>
          <w:rPr>
            <w:noProof/>
            <w:webHidden/>
          </w:rPr>
          <w:tab/>
        </w:r>
        <w:r>
          <w:rPr>
            <w:noProof/>
            <w:webHidden/>
          </w:rPr>
          <w:fldChar w:fldCharType="begin"/>
        </w:r>
        <w:r>
          <w:rPr>
            <w:noProof/>
            <w:webHidden/>
          </w:rPr>
          <w:instrText xml:space="preserve"> PAGEREF _Toc78382492 \h </w:instrText>
        </w:r>
        <w:r>
          <w:rPr>
            <w:noProof/>
            <w:webHidden/>
          </w:rPr>
        </w:r>
        <w:r>
          <w:rPr>
            <w:noProof/>
            <w:webHidden/>
          </w:rPr>
          <w:fldChar w:fldCharType="separate"/>
        </w:r>
        <w:r>
          <w:rPr>
            <w:noProof/>
            <w:webHidden/>
          </w:rPr>
          <w:t>8</w:t>
        </w:r>
        <w:r>
          <w:rPr>
            <w:noProof/>
            <w:webHidden/>
          </w:rPr>
          <w:fldChar w:fldCharType="end"/>
        </w:r>
      </w:hyperlink>
    </w:p>
    <w:p>
      <w:pPr>
        <w:pStyle w:val="TOC1"/>
        <w:rPr>
          <w:rFonts w:asciiTheme="minorHAnsi" w:eastAsiaTheme="minorEastAsia" w:hAnsiTheme="minorHAnsi" w:cstheme="minorBidi"/>
          <w:noProof/>
          <w:sz w:val="22"/>
          <w:szCs w:val="22"/>
          <w:lang w:val="en-US"/>
        </w:rPr>
      </w:pPr>
      <w:hyperlink w:anchor="_Toc78382493" w:history="1">
        <w:r>
          <w:rPr>
            <w:rStyle w:val="Hyperlink"/>
            <w:noProof/>
          </w:rPr>
          <w:t>6.</w:t>
        </w:r>
        <w:r>
          <w:rPr>
            <w:rFonts w:asciiTheme="minorHAnsi" w:eastAsiaTheme="minorEastAsia" w:hAnsiTheme="minorHAnsi" w:cstheme="minorBidi"/>
            <w:noProof/>
            <w:sz w:val="22"/>
            <w:szCs w:val="22"/>
            <w:lang w:val="en-US"/>
          </w:rPr>
          <w:tab/>
        </w:r>
        <w:r>
          <w:rPr>
            <w:rStyle w:val="Hyperlink"/>
            <w:noProof/>
          </w:rPr>
          <w:t>Vergoeding van de EIB</w:t>
        </w:r>
        <w:r>
          <w:rPr>
            <w:noProof/>
            <w:webHidden/>
          </w:rPr>
          <w:tab/>
        </w:r>
        <w:r>
          <w:rPr>
            <w:noProof/>
            <w:webHidden/>
          </w:rPr>
          <w:fldChar w:fldCharType="begin"/>
        </w:r>
        <w:r>
          <w:rPr>
            <w:noProof/>
            <w:webHidden/>
          </w:rPr>
          <w:instrText xml:space="preserve"> PAGEREF _Toc78382493 \h </w:instrText>
        </w:r>
        <w:r>
          <w:rPr>
            <w:noProof/>
            <w:webHidden/>
          </w:rPr>
        </w:r>
        <w:r>
          <w:rPr>
            <w:noProof/>
            <w:webHidden/>
          </w:rPr>
          <w:fldChar w:fldCharType="separate"/>
        </w:r>
        <w:r>
          <w:rPr>
            <w:noProof/>
            <w:webHidden/>
          </w:rPr>
          <w:t>9</w:t>
        </w:r>
        <w:r>
          <w:rPr>
            <w:noProof/>
            <w:webHidden/>
          </w:rPr>
          <w:fldChar w:fldCharType="end"/>
        </w:r>
      </w:hyperlink>
    </w:p>
    <w:p>
      <w:pPr>
        <w:pStyle w:val="ManualHeading1"/>
        <w:rPr>
          <w:b w:val="0"/>
          <w:bCs/>
          <w:noProof/>
        </w:rPr>
      </w:pPr>
      <w:r>
        <w:rPr>
          <w:b w:val="0"/>
          <w:bCs/>
          <w:noProof/>
        </w:rPr>
        <w:fldChar w:fldCharType="end"/>
      </w:r>
      <w:bookmarkStart w:id="2" w:name="_Toc323019492"/>
      <w:bookmarkStart w:id="3" w:name="_Toc354050118"/>
      <w:bookmarkStart w:id="4" w:name="_Toc358294843"/>
      <w:bookmarkStart w:id="5" w:name="_Toc415838340"/>
    </w:p>
    <w:p>
      <w:pPr>
        <w:rPr>
          <w:noProof/>
        </w:rPr>
      </w:pPr>
    </w:p>
    <w:p>
      <w:pPr>
        <w:rPr>
          <w:noProof/>
        </w:rPr>
      </w:pPr>
    </w:p>
    <w:p>
      <w:pPr>
        <w:rPr>
          <w:noProof/>
        </w:rPr>
      </w:pPr>
    </w:p>
    <w:p>
      <w:pPr>
        <w:rPr>
          <w:noProof/>
        </w:rPr>
      </w:pPr>
    </w:p>
    <w:p>
      <w:pPr>
        <w:rPr>
          <w:noProof/>
        </w:rPr>
      </w:pPr>
    </w:p>
    <w:p>
      <w:pPr>
        <w:rPr>
          <w:noProof/>
        </w:rPr>
      </w:pPr>
    </w:p>
    <w:p>
      <w:pPr>
        <w:rPr>
          <w:noProof/>
        </w:rPr>
      </w:pPr>
    </w:p>
    <w:p>
      <w:pPr>
        <w:rPr>
          <w:noProof/>
        </w:rPr>
      </w:pPr>
    </w:p>
    <w:p>
      <w:pPr>
        <w:pStyle w:val="ManualHeading1"/>
        <w:rPr>
          <w:b w:val="0"/>
          <w:smallCaps w:val="0"/>
          <w:noProof/>
        </w:rPr>
      </w:pPr>
    </w:p>
    <w:p>
      <w:pPr>
        <w:rPr>
          <w:noProof/>
        </w:rPr>
      </w:pPr>
    </w:p>
    <w:p>
      <w:pPr>
        <w:rPr>
          <w:noProof/>
        </w:rPr>
      </w:pPr>
    </w:p>
    <w:p>
      <w:pPr>
        <w:rPr>
          <w:noProof/>
        </w:rPr>
      </w:pPr>
    </w:p>
    <w:p>
      <w:pPr>
        <w:pStyle w:val="ManualHeading1"/>
        <w:rPr>
          <w:noProof/>
        </w:rPr>
      </w:pPr>
      <w:bookmarkStart w:id="6" w:name="_Toc78382479"/>
      <w:r>
        <w:rPr>
          <w:noProof/>
        </w:rPr>
        <w:t>1.</w:t>
      </w:r>
      <w:r>
        <w:rPr>
          <w:noProof/>
        </w:rPr>
        <w:tab/>
        <w:t>Inleiding</w:t>
      </w:r>
      <w:bookmarkEnd w:id="2"/>
      <w:bookmarkEnd w:id="3"/>
      <w:bookmarkEnd w:id="4"/>
      <w:bookmarkEnd w:id="5"/>
      <w:bookmarkEnd w:id="6"/>
    </w:p>
    <w:p>
      <w:pPr>
        <w:rPr>
          <w:noProof/>
        </w:rPr>
      </w:pPr>
      <w:r>
        <w:rPr>
          <w:noProof/>
        </w:rPr>
        <w:t>Verordening (EG, Euratom) nr. 480/2009 van de Raad van 25 mei 2009</w:t>
      </w:r>
      <w:r>
        <w:rPr>
          <w:rStyle w:val="FootnoteReference"/>
          <w:noProof/>
        </w:rPr>
        <w:footnoteReference w:id="1"/>
      </w:r>
      <w:r>
        <w:rPr>
          <w:noProof/>
        </w:rPr>
        <w:t xml:space="preserve"> (hierna “de verordening” genoemd) heeft een Garantiefonds (hierna “het Fonds” genoemd) ingesteld teneinde een liquiditeitsbuffer te bieden voor de terugbetaling van crediteuren van de Unie ingeval begunstigden van door de Europese Unie toegekende of gegarandeerde leningen in gebreke blijven. Overeenkomstig artikel 7 van de verordening heeft de Commissie het financiële beheer van het Fonds toevertrouwd aan de Europese Investeringsbank (EIB) in het kader van een overeenkomst tussen de Europese Unie en de EIB die van 25 november 1994 dateert en vervolgens op 23 september 1996, 8 mei 2002, 25 februari 2008, 9 november 2010 en 28 september 2018 is gewijzigd</w:t>
      </w:r>
      <w:r>
        <w:rPr>
          <w:rStyle w:val="FootnoteReference"/>
          <w:noProof/>
        </w:rPr>
        <w:footnoteReference w:id="2"/>
      </w:r>
      <w:r>
        <w:rPr>
          <w:noProof/>
        </w:rPr>
        <w:t xml:space="preserve"> (hierna “de overeenkomst” genoemd).</w:t>
      </w:r>
    </w:p>
    <w:p>
      <w:pPr>
        <w:rPr>
          <w:noProof/>
        </w:rPr>
      </w:pPr>
      <w:r>
        <w:rPr>
          <w:noProof/>
        </w:rPr>
        <w:t xml:space="preserve">In artikel 8 van de verordening is bepaald dat de Commissie uiterlijk op 31 mei van elk jaar een jaarverslag over de stand en het beheer van het Fonds aan het einde het voorgaande kalenderjaar aan het Europees Parlement, de Raad en de Rekenkamer moet toezenden. </w:t>
      </w:r>
    </w:p>
    <w:p>
      <w:pPr>
        <w:rPr>
          <w:noProof/>
        </w:rPr>
      </w:pPr>
      <w:r>
        <w:rPr>
          <w:noProof/>
        </w:rPr>
        <w:t>Deze informatie wordt verstrekt in voorliggend verslag samen met het werkdocument van de diensten van de Commissie (SWD). Het is, in lijn met de overeenkomst, gebaseerd op van de EIB ontvangen gegevens.</w:t>
      </w:r>
    </w:p>
    <w:p>
      <w:pPr>
        <w:pStyle w:val="ManualHeading1"/>
        <w:ind w:left="0" w:firstLine="0"/>
        <w:rPr>
          <w:noProof/>
        </w:rPr>
      </w:pPr>
      <w:bookmarkStart w:id="7" w:name="_Toc323019493"/>
      <w:bookmarkStart w:id="8" w:name="_Toc354050119"/>
      <w:bookmarkStart w:id="9" w:name="_Toc358294844"/>
      <w:bookmarkStart w:id="10" w:name="_Toc415838341"/>
      <w:bookmarkStart w:id="11" w:name="_Toc78382480"/>
      <w:r>
        <w:rPr>
          <w:noProof/>
        </w:rPr>
        <w:lastRenderedPageBreak/>
        <w:t>2.</w:t>
      </w:r>
      <w:r>
        <w:rPr>
          <w:noProof/>
        </w:rPr>
        <w:tab/>
        <w:t>Financiële positie en significante transacties van het Garantiefonds</w:t>
      </w:r>
      <w:bookmarkEnd w:id="7"/>
      <w:bookmarkEnd w:id="8"/>
      <w:bookmarkEnd w:id="9"/>
      <w:bookmarkEnd w:id="10"/>
      <w:bookmarkEnd w:id="11"/>
    </w:p>
    <w:p>
      <w:pPr>
        <w:pStyle w:val="ManualHeading2"/>
        <w:spacing w:before="360"/>
        <w:ind w:left="851" w:hanging="851"/>
        <w:rPr>
          <w:noProof/>
        </w:rPr>
      </w:pPr>
      <w:bookmarkStart w:id="12" w:name="_Toc78382481"/>
      <w:r>
        <w:rPr>
          <w:noProof/>
        </w:rPr>
        <w:t>2.1.</w:t>
      </w:r>
      <w:r>
        <w:rPr>
          <w:noProof/>
        </w:rPr>
        <w:tab/>
        <w:t>Financiële positie van het Garantiefonds op 31 december 2020</w:t>
      </w:r>
      <w:bookmarkEnd w:id="12"/>
    </w:p>
    <w:p>
      <w:pPr>
        <w:rPr>
          <w:noProof/>
        </w:rPr>
      </w:pPr>
      <w:r>
        <w:rPr>
          <w:noProof/>
        </w:rPr>
        <w:t>Het Garantiefonds bedroeg 2 855 047 432,59 EUR op 31 december 2020 (2 828 738 292,88 EUR op 31 december 2019) (zie de bijlage bij het werkdocument van de diensten van de Commissie: Jaarrekening van het Garantiefonds, zoals verstrekt door de EIB).</w:t>
      </w:r>
    </w:p>
    <w:p>
      <w:pPr>
        <w:rPr>
          <w:noProof/>
        </w:rPr>
      </w:pPr>
      <w:r>
        <w:rPr>
          <w:noProof/>
        </w:rPr>
        <w:t>De totale balanswaarde van het Fonds is in 2020 met ongeveer 26,31 miljoen EUR gestegen. Dit is vooral te verklaren door:</w:t>
      </w:r>
    </w:p>
    <w:p>
      <w:pPr>
        <w:rPr>
          <w:noProof/>
          <w:u w:val="single"/>
        </w:rPr>
      </w:pPr>
      <w:r>
        <w:rPr>
          <w:noProof/>
          <w:u w:val="single"/>
        </w:rPr>
        <w:t>Verhogingen:</w:t>
      </w:r>
    </w:p>
    <w:p>
      <w:pPr>
        <w:pStyle w:val="Bullet0"/>
        <w:numPr>
          <w:ilvl w:val="0"/>
          <w:numId w:val="14"/>
        </w:numPr>
        <w:rPr>
          <w:noProof/>
        </w:rPr>
      </w:pPr>
      <w:r>
        <w:rPr>
          <w:noProof/>
        </w:rPr>
        <w:t>de bijdrage uit de EU-begroting (voorzieningsbedrag) van 42,34 miljoen EUR om het Fonds met het streefbedrag van 9 % van de totale uitstaande verplichtingen in overeenstemming te brengen;</w:t>
      </w:r>
    </w:p>
    <w:p>
      <w:pPr>
        <w:pStyle w:val="Bullet0"/>
        <w:numPr>
          <w:ilvl w:val="0"/>
          <w:numId w:val="14"/>
        </w:numPr>
        <w:rPr>
          <w:noProof/>
        </w:rPr>
      </w:pPr>
      <w:r>
        <w:rPr>
          <w:noProof/>
        </w:rPr>
        <w:t>het economisch resultaat met betrekking tot financiële operaties ter grootte van 22,26 miljoen EUR;</w:t>
      </w:r>
    </w:p>
    <w:p>
      <w:pPr>
        <w:pStyle w:val="Bullet0"/>
        <w:numPr>
          <w:ilvl w:val="0"/>
          <w:numId w:val="14"/>
        </w:numPr>
        <w:rPr>
          <w:noProof/>
        </w:rPr>
      </w:pPr>
      <w:r>
        <w:rPr>
          <w:noProof/>
        </w:rPr>
        <w:t>de stijging van de waardering van de portefeuille met 13,39 miljoen EUR wegens de aanpassing van de waarde ervan voor waardering tegen marktwaarde;</w:t>
      </w:r>
    </w:p>
    <w:p>
      <w:pPr>
        <w:pStyle w:val="Bullet0"/>
        <w:numPr>
          <w:ilvl w:val="0"/>
          <w:numId w:val="14"/>
        </w:numPr>
        <w:rPr>
          <w:noProof/>
        </w:rPr>
      </w:pPr>
      <w:r>
        <w:rPr>
          <w:noProof/>
        </w:rPr>
        <w:t xml:space="preserve">0,70 miljoen EUR van het historisch opgevraagde bedrag werd teruggevorderd van een in gebreke gebleven debiteur; </w:t>
      </w:r>
    </w:p>
    <w:p>
      <w:pPr>
        <w:pStyle w:val="Bullet0"/>
        <w:numPr>
          <w:ilvl w:val="0"/>
          <w:numId w:val="14"/>
        </w:numPr>
        <w:rPr>
          <w:noProof/>
        </w:rPr>
      </w:pPr>
      <w:r>
        <w:rPr>
          <w:noProof/>
        </w:rPr>
        <w:t>de aan de EIB te betalen vergoedingen voor het beheer van kasmiddelen en voor de op 31 december uitstaande auditvergoedingen stegen met 0,05 miljoen EUR.</w:t>
      </w:r>
    </w:p>
    <w:p>
      <w:pPr>
        <w:rPr>
          <w:noProof/>
          <w:u w:val="single"/>
        </w:rPr>
      </w:pPr>
      <w:r>
        <w:rPr>
          <w:noProof/>
          <w:u w:val="single"/>
        </w:rPr>
        <w:t>Verlagingen:</w:t>
      </w:r>
    </w:p>
    <w:p>
      <w:pPr>
        <w:pStyle w:val="Bullet0"/>
        <w:numPr>
          <w:ilvl w:val="0"/>
          <w:numId w:val="14"/>
        </w:numPr>
        <w:rPr>
          <w:noProof/>
        </w:rPr>
      </w:pPr>
      <w:r>
        <w:rPr>
          <w:noProof/>
        </w:rPr>
        <w:t>interventies van het Fonds ter dekking van wanbetalingen voor in totaal 52,43 miljoen EUR.</w:t>
      </w:r>
    </w:p>
    <w:p>
      <w:pPr>
        <w:pStyle w:val="ManualHeading2"/>
        <w:spacing w:before="360"/>
        <w:ind w:left="851" w:hanging="851"/>
        <w:rPr>
          <w:noProof/>
        </w:rPr>
      </w:pPr>
      <w:bookmarkStart w:id="13" w:name="_Toc78382482"/>
      <w:r>
        <w:rPr>
          <w:noProof/>
        </w:rPr>
        <w:t>2.2.</w:t>
      </w:r>
      <w:r>
        <w:rPr>
          <w:noProof/>
        </w:rPr>
        <w:tab/>
      </w:r>
      <w:bookmarkStart w:id="14" w:name="_Toc415838343"/>
      <w:r>
        <w:rPr>
          <w:noProof/>
        </w:rPr>
        <w:t>Significante</w:t>
      </w:r>
      <w:bookmarkEnd w:id="14"/>
      <w:r>
        <w:rPr>
          <w:noProof/>
        </w:rPr>
        <w:t xml:space="preserve"> transacties van het Fonds in 2020</w:t>
      </w:r>
      <w:bookmarkEnd w:id="13"/>
    </w:p>
    <w:p>
      <w:pPr>
        <w:pStyle w:val="ManualHeading2"/>
        <w:tabs>
          <w:tab w:val="clear" w:pos="850"/>
          <w:tab w:val="left" w:pos="426"/>
        </w:tabs>
        <w:spacing w:before="240"/>
        <w:ind w:left="425" w:firstLine="0"/>
        <w:rPr>
          <w:noProof/>
        </w:rPr>
      </w:pPr>
      <w:bookmarkStart w:id="15" w:name="_Toc78382483"/>
      <w:r>
        <w:rPr>
          <w:noProof/>
        </w:rPr>
        <w:t>2.2.1.</w:t>
      </w:r>
      <w:r>
        <w:rPr>
          <w:noProof/>
        </w:rPr>
        <w:tab/>
        <w:t>Beroep op het Garantiefonds 2020</w:t>
      </w:r>
      <w:bookmarkEnd w:id="15"/>
    </w:p>
    <w:p>
      <w:pPr>
        <w:tabs>
          <w:tab w:val="left" w:pos="426"/>
        </w:tabs>
        <w:spacing w:after="0"/>
        <w:ind w:left="426"/>
        <w:rPr>
          <w:b/>
          <w:noProof/>
        </w:rPr>
      </w:pPr>
      <w:r>
        <w:rPr>
          <w:b/>
          <w:noProof/>
        </w:rPr>
        <w:t>Syrië</w:t>
      </w:r>
    </w:p>
    <w:p>
      <w:pPr>
        <w:pStyle w:val="Point0number"/>
        <w:tabs>
          <w:tab w:val="left" w:pos="426"/>
        </w:tabs>
        <w:ind w:left="426"/>
        <w:rPr>
          <w:noProof/>
        </w:rPr>
      </w:pPr>
      <w:r>
        <w:rPr>
          <w:noProof/>
        </w:rPr>
        <w:t>In 2020 werd de EIB nog steeds geconfronteerd met betalingsachterstanden op Syrische overheidsleningen. Als gevolg daarvan en in overeenstemming met de Garantieovereenkomst tussen de EU en de EIB heeft de EIB tot 31 december 2020 nog 14 keer een beroep gedaan op het EU-Garantiefonds voor een totaalbedrag van 52,43 miljoen EUR (zie punt 5).</w:t>
      </w:r>
    </w:p>
    <w:p>
      <w:pPr>
        <w:pStyle w:val="ManualHeading2"/>
        <w:tabs>
          <w:tab w:val="clear" w:pos="850"/>
          <w:tab w:val="left" w:pos="426"/>
        </w:tabs>
        <w:spacing w:before="360"/>
        <w:ind w:left="425" w:firstLine="0"/>
        <w:rPr>
          <w:noProof/>
        </w:rPr>
      </w:pPr>
      <w:bookmarkStart w:id="16" w:name="_Toc78382484"/>
      <w:r>
        <w:rPr>
          <w:noProof/>
        </w:rPr>
        <w:t>2.2.2.</w:t>
      </w:r>
      <w:r>
        <w:rPr>
          <w:noProof/>
        </w:rPr>
        <w:tab/>
        <w:t>Voorziening van het Garantiefonds 2020</w:t>
      </w:r>
      <w:bookmarkEnd w:id="16"/>
    </w:p>
    <w:p>
      <w:pPr>
        <w:pStyle w:val="Point0number"/>
        <w:tabs>
          <w:tab w:val="left" w:pos="426"/>
        </w:tabs>
        <w:ind w:left="426"/>
        <w:rPr>
          <w:noProof/>
        </w:rPr>
      </w:pPr>
      <w:r>
        <w:rPr>
          <w:noProof/>
        </w:rPr>
        <w:t>In februari 2020 is een met het voorzieningsbedrag voor 2019 overeenstemmend bedrag van 240,15 miljoen EUR uit de begroting in het Fonds gestort.</w:t>
      </w:r>
    </w:p>
    <w:p>
      <w:pPr>
        <w:pStyle w:val="Point0number"/>
        <w:tabs>
          <w:tab w:val="left" w:pos="426"/>
        </w:tabs>
        <w:ind w:left="426"/>
        <w:rPr>
          <w:noProof/>
        </w:rPr>
      </w:pPr>
      <w:r>
        <w:rPr>
          <w:noProof/>
        </w:rPr>
        <w:t xml:space="preserve">Ook de berekening van de bijdrage uit de EU-begroting aan het Fonds voor 2021 heeft in februari 2020 plaatsgevonden met als resultaat 42,34 miljoen EUR. </w:t>
      </w:r>
    </w:p>
    <w:p>
      <w:pPr>
        <w:pStyle w:val="Point0number"/>
        <w:tabs>
          <w:tab w:val="left" w:pos="426"/>
        </w:tabs>
        <w:ind w:left="426"/>
        <w:rPr>
          <w:noProof/>
        </w:rPr>
      </w:pPr>
      <w:r>
        <w:rPr>
          <w:noProof/>
        </w:rPr>
        <w:t>De bijdrage is berekend overeenkomstig de artikelen 3 en 5 van de verordening:</w:t>
      </w:r>
    </w:p>
    <w:p>
      <w:pPr>
        <w:pStyle w:val="Point0number"/>
        <w:tabs>
          <w:tab w:val="left" w:pos="426"/>
        </w:tabs>
        <w:ind w:left="426"/>
        <w:rPr>
          <w:noProof/>
        </w:rPr>
      </w:pPr>
      <w:r>
        <w:rPr>
          <w:noProof/>
        </w:rPr>
        <w:t xml:space="preserve">In artikel 3 van de verordening is bepaald dat de middelen van het Fonds een streefbedrag moeten bereiken dat is vastgesteld op 9 % van het uitstaande bedrag in hoofdsom van het totaal van de verplichtingen die voortvloeien uit elke operatie, vermeerderd met de verschuldigde en niet-betaalde interesten. </w:t>
      </w:r>
    </w:p>
    <w:p>
      <w:pPr>
        <w:pStyle w:val="Point0number"/>
        <w:tabs>
          <w:tab w:val="left" w:pos="426"/>
        </w:tabs>
        <w:ind w:left="426"/>
        <w:rPr>
          <w:noProof/>
        </w:rPr>
      </w:pPr>
      <w:r>
        <w:rPr>
          <w:noProof/>
        </w:rPr>
        <w:t>Krachtens artikel 5 van de verordening is het uit de begroting aan het Fonds over te maken bedrag in het jaar n + 1 gelijk aan het aan het begin van het jaar n berekende verschil tussen het streefbedrag en de waarde van de netto-activa van het Fonds aan het einde van het jaar n - 1.</w:t>
      </w:r>
    </w:p>
    <w:p>
      <w:pPr>
        <w:pStyle w:val="Point0number"/>
        <w:tabs>
          <w:tab w:val="left" w:pos="426"/>
        </w:tabs>
        <w:ind w:left="426"/>
        <w:rPr>
          <w:noProof/>
        </w:rPr>
      </w:pPr>
      <w:r>
        <w:rPr>
          <w:noProof/>
        </w:rPr>
        <w:t>Om het Fonds met het percentage van 9 % van het uitstaande bedrag in hoofdsom in overeenstemming te brengen, is in de begroting voor 2021 een bedrag van 42,34 miljoen EUR, berekend op basis van de op 31 december 2019 uitstaande gegarandeerde operaties, opgenomen om in het Fonds te storten. Het bedrag is goedgekeurd door de Raad en het Europees Parlement en opgenomen als een actief (vordering) van het Fonds in de balans van 31 december 2020.</w:t>
      </w:r>
    </w:p>
    <w:p>
      <w:pPr>
        <w:pStyle w:val="Point0number"/>
        <w:tabs>
          <w:tab w:val="left" w:pos="426"/>
        </w:tabs>
        <w:ind w:left="426"/>
        <w:rPr>
          <w:noProof/>
        </w:rPr>
      </w:pPr>
      <w:r>
        <w:rPr>
          <w:noProof/>
        </w:rPr>
        <w:t>De betaling van 42,34 miljoen EUR aan het gemeenschappelijk voorzieningsfonds (GVF) is gepland voor eind november, zoals intern overeengekomen. Dit houdt rechtstreeks verband met de eerdere overdracht van de GFEA-activa van de EIB naar het gemeenschappelijk voorzieningsfonds (GVF), die naar verwachting in het derde kwartaal (eind juli) zal plaatsvinden, onder voorbehoud van de vaststelling van de NDICI-verordening.</w:t>
      </w:r>
    </w:p>
    <w:p>
      <w:pPr>
        <w:pStyle w:val="ManualHeading2"/>
        <w:spacing w:before="360"/>
        <w:ind w:left="851" w:hanging="851"/>
        <w:rPr>
          <w:noProof/>
        </w:rPr>
      </w:pPr>
      <w:bookmarkStart w:id="17" w:name="_Toc354050122"/>
      <w:bookmarkStart w:id="18" w:name="_Toc358294847"/>
      <w:bookmarkStart w:id="19" w:name="_Toc415838344"/>
      <w:bookmarkStart w:id="20" w:name="_Toc78382485"/>
      <w:r>
        <w:rPr>
          <w:noProof/>
        </w:rPr>
        <w:t>2.3.</w:t>
      </w:r>
      <w:r>
        <w:rPr>
          <w:noProof/>
        </w:rPr>
        <w:tab/>
      </w:r>
      <w:bookmarkStart w:id="21" w:name="_Toc323019496"/>
      <w:r>
        <w:rPr>
          <w:noProof/>
        </w:rPr>
        <w:t>Significante verrichtingen na de verslagdatum</w:t>
      </w:r>
      <w:bookmarkEnd w:id="21"/>
      <w:bookmarkEnd w:id="17"/>
      <w:bookmarkEnd w:id="18"/>
      <w:bookmarkEnd w:id="19"/>
      <w:r>
        <w:rPr>
          <w:noProof/>
        </w:rPr>
        <w:t xml:space="preserve"> (eind april 2021)</w:t>
      </w:r>
      <w:bookmarkEnd w:id="20"/>
    </w:p>
    <w:p>
      <w:pPr>
        <w:ind w:left="851"/>
        <w:rPr>
          <w:noProof/>
        </w:rPr>
      </w:pPr>
      <w:r>
        <w:rPr>
          <w:noProof/>
        </w:rPr>
        <w:t xml:space="preserve">In januari en maart 2021 werd respectievelijk 498 490,95 EUR en 167 718,31 EUR teruggevorderd van de in gebreke gebleven lening aan Enfidha Airport (Tunesië). </w:t>
      </w:r>
    </w:p>
    <w:p>
      <w:pPr>
        <w:ind w:left="851"/>
        <w:rPr>
          <w:noProof/>
        </w:rPr>
      </w:pPr>
      <w:r>
        <w:rPr>
          <w:noProof/>
        </w:rPr>
        <w:t>In april 2021 werd een beroep op de garantie ten bedrage van 7,4 miljoen EUR gedaan voor wanbetalingen betreffende Syrië (door de EIB opgelegde sancties).</w:t>
      </w:r>
    </w:p>
    <w:p>
      <w:pPr>
        <w:pStyle w:val="ManualHeading1"/>
        <w:ind w:left="851" w:hanging="851"/>
        <w:rPr>
          <w:noProof/>
        </w:rPr>
      </w:pPr>
      <w:bookmarkStart w:id="22" w:name="_Toc78382486"/>
      <w:bookmarkStart w:id="23" w:name="_Toc323019497"/>
      <w:bookmarkStart w:id="24" w:name="_Toc354050123"/>
      <w:bookmarkStart w:id="25" w:name="_Toc358294848"/>
      <w:bookmarkStart w:id="26" w:name="_Toc415838345"/>
      <w:r>
        <w:rPr>
          <w:noProof/>
        </w:rPr>
        <w:t>3.</w:t>
      </w:r>
      <w:r>
        <w:rPr>
          <w:noProof/>
        </w:rPr>
        <w:tab/>
        <w:t>Enkelvoudige jaarrekening van het Fonds</w:t>
      </w:r>
      <w:bookmarkEnd w:id="22"/>
    </w:p>
    <w:p>
      <w:pPr>
        <w:rPr>
          <w:noProof/>
        </w:rPr>
      </w:pPr>
      <w:r>
        <w:rPr>
          <w:noProof/>
        </w:rPr>
        <w:t>De enkelvoudige jaarrekening van het Fonds wordt opgesteld om boekhoudoperaties op te nemen die niet in de door de EIB opgestelde jaarrekening van het Fonds zijn vervat (zie SWD). Zij maakt deel uit van de geconsolideerde jaarrekening van de EU.</w:t>
      </w:r>
    </w:p>
    <w:p>
      <w:pPr>
        <w:pStyle w:val="ManualHeading2"/>
        <w:ind w:left="0" w:firstLine="0"/>
        <w:rPr>
          <w:noProof/>
        </w:rPr>
      </w:pPr>
      <w:bookmarkStart w:id="27" w:name="_Toc415838347"/>
      <w:bookmarkStart w:id="28" w:name="_Toc78382487"/>
      <w:bookmarkStart w:id="29" w:name="_Toc323019499"/>
      <w:bookmarkStart w:id="30" w:name="_Toc354050125"/>
      <w:bookmarkEnd w:id="23"/>
      <w:bookmarkEnd w:id="24"/>
      <w:bookmarkEnd w:id="25"/>
      <w:bookmarkEnd w:id="26"/>
      <w:r>
        <w:rPr>
          <w:noProof/>
        </w:rPr>
        <w:t>3.1.</w:t>
      </w:r>
      <w:r>
        <w:rPr>
          <w:noProof/>
        </w:rPr>
        <w:tab/>
      </w:r>
      <w:bookmarkStart w:id="31" w:name="_Toc358294850"/>
      <w:r>
        <w:rPr>
          <w:noProof/>
        </w:rPr>
        <w:t>Enkelvoudige financiële positie op 31 december </w:t>
      </w:r>
      <w:bookmarkEnd w:id="31"/>
      <w:bookmarkEnd w:id="27"/>
      <w:r>
        <w:rPr>
          <w:noProof/>
        </w:rPr>
        <w:t>2020</w:t>
      </w:r>
      <w:bookmarkEnd w:id="28"/>
    </w:p>
    <w:p>
      <w:pPr>
        <w:rPr>
          <w:noProof/>
        </w:rPr>
      </w:pPr>
      <w:r>
        <w:rPr>
          <w:noProof/>
        </w:rPr>
        <w:t>Balans – activa</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3261"/>
        <w:gridCol w:w="3118"/>
      </w:tblGrid>
      <w:tr>
        <w:tc>
          <w:tcPr>
            <w:tcW w:w="2376" w:type="dxa"/>
            <w:tcBorders>
              <w:bottom w:val="single" w:sz="4" w:space="0" w:color="auto"/>
            </w:tcBorders>
            <w:shd w:val="clear" w:color="auto" w:fill="auto"/>
          </w:tcPr>
          <w:p>
            <w:pPr>
              <w:jc w:val="center"/>
              <w:rPr>
                <w:noProof/>
              </w:rPr>
            </w:pPr>
          </w:p>
        </w:tc>
        <w:tc>
          <w:tcPr>
            <w:tcW w:w="3261" w:type="dxa"/>
            <w:tcBorders>
              <w:bottom w:val="single" w:sz="4" w:space="0" w:color="auto"/>
            </w:tcBorders>
            <w:shd w:val="clear" w:color="auto" w:fill="auto"/>
          </w:tcPr>
          <w:p>
            <w:pPr>
              <w:jc w:val="center"/>
              <w:rPr>
                <w:noProof/>
              </w:rPr>
            </w:pPr>
            <w:r>
              <w:rPr>
                <w:noProof/>
              </w:rPr>
              <w:t>31 december 2020</w:t>
            </w:r>
          </w:p>
        </w:tc>
        <w:tc>
          <w:tcPr>
            <w:tcW w:w="3118" w:type="dxa"/>
            <w:tcBorders>
              <w:bottom w:val="single" w:sz="4" w:space="0" w:color="auto"/>
            </w:tcBorders>
          </w:tcPr>
          <w:p>
            <w:pPr>
              <w:jc w:val="center"/>
              <w:rPr>
                <w:noProof/>
              </w:rPr>
            </w:pPr>
            <w:r>
              <w:rPr>
                <w:noProof/>
              </w:rPr>
              <w:t>31 december 2019</w:t>
            </w:r>
          </w:p>
        </w:tc>
      </w:tr>
      <w:tr>
        <w:tc>
          <w:tcPr>
            <w:tcW w:w="2376" w:type="dxa"/>
            <w:shd w:val="pct20" w:color="auto" w:fill="auto"/>
          </w:tcPr>
          <w:p>
            <w:pPr>
              <w:rPr>
                <w:noProof/>
                <w14:shadow w14:blurRad="50800" w14:dist="38100" w14:dir="2700000" w14:sx="100000" w14:sy="100000" w14:kx="0" w14:ky="0" w14:algn="tl">
                  <w14:srgbClr w14:val="000000">
                    <w14:alpha w14:val="60000"/>
                  </w14:srgbClr>
                </w14:shadow>
              </w:rPr>
            </w:pPr>
            <w:r>
              <w:rPr>
                <w:noProof/>
                <w14:shadow w14:blurRad="50800" w14:dist="38100" w14:dir="2700000" w14:sx="100000" w14:sy="100000" w14:kx="0" w14:ky="0" w14:algn="tl">
                  <w14:srgbClr w14:val="000000">
                    <w14:alpha w14:val="60000"/>
                  </w14:srgbClr>
                </w14:shadow>
              </w:rPr>
              <w:t>VASTE ACTIVA</w:t>
            </w:r>
          </w:p>
        </w:tc>
        <w:tc>
          <w:tcPr>
            <w:tcW w:w="3261" w:type="dxa"/>
            <w:shd w:val="pct20" w:color="auto" w:fill="auto"/>
          </w:tcPr>
          <w:p>
            <w:pPr>
              <w:jc w:val="right"/>
              <w:rPr>
                <w:noProof/>
                <w14:shadow w14:blurRad="50800" w14:dist="38100" w14:dir="2700000" w14:sx="100000" w14:sy="100000" w14:kx="0" w14:ky="0" w14:algn="tl">
                  <w14:srgbClr w14:val="000000">
                    <w14:alpha w14:val="60000"/>
                  </w14:srgbClr>
                </w14:shadow>
              </w:rPr>
            </w:pPr>
            <w:r>
              <w:rPr>
                <w:noProof/>
                <w14:shadow w14:blurRad="50800" w14:dist="38100" w14:dir="2700000" w14:sx="100000" w14:sy="100000" w14:kx="0" w14:ky="0" w14:algn="tl">
                  <w14:srgbClr w14:val="000000">
                    <w14:alpha w14:val="60000"/>
                  </w14:srgbClr>
                </w14:shadow>
              </w:rPr>
              <w:t>2 378 221 641</w:t>
            </w:r>
          </w:p>
        </w:tc>
        <w:tc>
          <w:tcPr>
            <w:tcW w:w="3118" w:type="dxa"/>
            <w:shd w:val="pct20" w:color="auto" w:fill="auto"/>
          </w:tcPr>
          <w:p>
            <w:pPr>
              <w:jc w:val="right"/>
              <w:rPr>
                <w:noProof/>
                <w14:shadow w14:blurRad="50800" w14:dist="38100" w14:dir="2700000" w14:sx="100000" w14:sy="100000" w14:kx="0" w14:ky="0" w14:algn="tl">
                  <w14:srgbClr w14:val="000000">
                    <w14:alpha w14:val="60000"/>
                  </w14:srgbClr>
                </w14:shadow>
              </w:rPr>
            </w:pPr>
            <w:r>
              <w:rPr>
                <w:noProof/>
              </w:rPr>
              <w:t>2 312 151 734</w:t>
            </w:r>
          </w:p>
        </w:tc>
      </w:tr>
      <w:tr>
        <w:tc>
          <w:tcPr>
            <w:tcW w:w="2376" w:type="dxa"/>
            <w:tcBorders>
              <w:bottom w:val="single" w:sz="4" w:space="0" w:color="auto"/>
            </w:tcBorders>
            <w:shd w:val="clear" w:color="auto" w:fill="auto"/>
          </w:tcPr>
          <w:p>
            <w:pPr>
              <w:rPr>
                <w:noProof/>
              </w:rPr>
            </w:pPr>
            <w:r>
              <w:rPr>
                <w:noProof/>
              </w:rPr>
              <w:t>Financiële activa</w:t>
            </w:r>
          </w:p>
        </w:tc>
        <w:tc>
          <w:tcPr>
            <w:tcW w:w="3261" w:type="dxa"/>
            <w:tcBorders>
              <w:bottom w:val="single" w:sz="4" w:space="0" w:color="auto"/>
            </w:tcBorders>
            <w:shd w:val="clear" w:color="auto" w:fill="auto"/>
          </w:tcPr>
          <w:p>
            <w:pPr>
              <w:jc w:val="right"/>
              <w:rPr>
                <w:noProof/>
              </w:rPr>
            </w:pPr>
            <w:r>
              <w:rPr>
                <w:noProof/>
                <w14:shadow w14:blurRad="50800" w14:dist="38100" w14:dir="2700000" w14:sx="100000" w14:sy="100000" w14:kx="0" w14:ky="0" w14:algn="tl">
                  <w14:srgbClr w14:val="000000">
                    <w14:alpha w14:val="60000"/>
                  </w14:srgbClr>
                </w14:shadow>
              </w:rPr>
              <w:t>2 378 221 641</w:t>
            </w:r>
          </w:p>
        </w:tc>
        <w:tc>
          <w:tcPr>
            <w:tcW w:w="3118" w:type="dxa"/>
            <w:tcBorders>
              <w:bottom w:val="single" w:sz="4" w:space="0" w:color="auto"/>
            </w:tcBorders>
          </w:tcPr>
          <w:p>
            <w:pPr>
              <w:jc w:val="right"/>
              <w:rPr>
                <w:noProof/>
              </w:rPr>
            </w:pPr>
            <w:r>
              <w:rPr>
                <w:noProof/>
              </w:rPr>
              <w:t>2 312 151 734</w:t>
            </w:r>
          </w:p>
        </w:tc>
      </w:tr>
      <w:tr>
        <w:tc>
          <w:tcPr>
            <w:tcW w:w="2376" w:type="dxa"/>
            <w:shd w:val="pct20" w:color="auto" w:fill="auto"/>
          </w:tcPr>
          <w:p>
            <w:pPr>
              <w:rPr>
                <w:noProof/>
              </w:rPr>
            </w:pPr>
            <w:r>
              <w:rPr>
                <w:noProof/>
              </w:rPr>
              <w:t>VLOTTENDE ACTIVA</w:t>
            </w:r>
          </w:p>
        </w:tc>
        <w:tc>
          <w:tcPr>
            <w:tcW w:w="3261" w:type="dxa"/>
            <w:shd w:val="pct20" w:color="auto" w:fill="auto"/>
          </w:tcPr>
          <w:p>
            <w:pPr>
              <w:jc w:val="right"/>
              <w:rPr>
                <w:noProof/>
              </w:rPr>
            </w:pPr>
            <w:r>
              <w:rPr>
                <w:noProof/>
              </w:rPr>
              <w:t>434 485 659</w:t>
            </w:r>
          </w:p>
        </w:tc>
        <w:tc>
          <w:tcPr>
            <w:tcW w:w="3118" w:type="dxa"/>
            <w:shd w:val="pct20" w:color="auto" w:fill="auto"/>
          </w:tcPr>
          <w:p>
            <w:pPr>
              <w:jc w:val="right"/>
              <w:rPr>
                <w:noProof/>
              </w:rPr>
            </w:pPr>
            <w:r>
              <w:rPr>
                <w:noProof/>
              </w:rPr>
              <w:t>277 139 064</w:t>
            </w:r>
          </w:p>
        </w:tc>
      </w:tr>
      <w:tr>
        <w:tc>
          <w:tcPr>
            <w:tcW w:w="2376" w:type="dxa"/>
            <w:shd w:val="clear" w:color="auto" w:fill="auto"/>
          </w:tcPr>
          <w:p>
            <w:pPr>
              <w:rPr>
                <w:noProof/>
              </w:rPr>
            </w:pPr>
            <w:r>
              <w:rPr>
                <w:noProof/>
              </w:rPr>
              <w:t>Financiële activa</w:t>
            </w:r>
          </w:p>
        </w:tc>
        <w:tc>
          <w:tcPr>
            <w:tcW w:w="3261" w:type="dxa"/>
            <w:shd w:val="clear" w:color="auto" w:fill="auto"/>
          </w:tcPr>
          <w:p>
            <w:pPr>
              <w:jc w:val="right"/>
              <w:rPr>
                <w:noProof/>
              </w:rPr>
            </w:pPr>
            <w:r>
              <w:rPr>
                <w:noProof/>
              </w:rPr>
              <w:t>415 856 202</w:t>
            </w:r>
          </w:p>
        </w:tc>
        <w:tc>
          <w:tcPr>
            <w:tcW w:w="3118" w:type="dxa"/>
          </w:tcPr>
          <w:p>
            <w:pPr>
              <w:jc w:val="right"/>
              <w:rPr>
                <w:noProof/>
              </w:rPr>
            </w:pPr>
            <w:r>
              <w:rPr>
                <w:noProof/>
              </w:rPr>
              <w:t>233 048 865</w:t>
            </w:r>
          </w:p>
        </w:tc>
      </w:tr>
      <w:tr>
        <w:tc>
          <w:tcPr>
            <w:tcW w:w="2376" w:type="dxa"/>
            <w:shd w:val="clear" w:color="auto" w:fill="auto"/>
          </w:tcPr>
          <w:p>
            <w:pPr>
              <w:rPr>
                <w:noProof/>
              </w:rPr>
            </w:pPr>
            <w:r>
              <w:rPr>
                <w:noProof/>
              </w:rPr>
              <w:t>Vorderingen</w:t>
            </w:r>
          </w:p>
        </w:tc>
        <w:tc>
          <w:tcPr>
            <w:tcW w:w="3261" w:type="dxa"/>
            <w:shd w:val="clear" w:color="auto" w:fill="auto"/>
          </w:tcPr>
          <w:p>
            <w:pPr>
              <w:jc w:val="right"/>
              <w:rPr>
                <w:noProof/>
              </w:rPr>
            </w:pPr>
            <w:r>
              <w:rPr>
                <w:noProof/>
              </w:rPr>
              <w:t>1 810 109</w:t>
            </w:r>
          </w:p>
        </w:tc>
        <w:tc>
          <w:tcPr>
            <w:tcW w:w="3118" w:type="dxa"/>
          </w:tcPr>
          <w:p>
            <w:pPr>
              <w:jc w:val="right"/>
              <w:rPr>
                <w:noProof/>
              </w:rPr>
            </w:pPr>
            <w:r>
              <w:rPr>
                <w:noProof/>
              </w:rPr>
              <w:t>1 290 863</w:t>
            </w:r>
          </w:p>
        </w:tc>
      </w:tr>
      <w:tr>
        <w:tc>
          <w:tcPr>
            <w:tcW w:w="2376" w:type="dxa"/>
            <w:tcBorders>
              <w:bottom w:val="single" w:sz="4" w:space="0" w:color="auto"/>
            </w:tcBorders>
            <w:shd w:val="clear" w:color="auto" w:fill="auto"/>
          </w:tcPr>
          <w:p>
            <w:pPr>
              <w:rPr>
                <w:noProof/>
              </w:rPr>
            </w:pPr>
            <w:r>
              <w:rPr>
                <w:noProof/>
              </w:rPr>
              <w:t>Geldmiddelen en kasequivalenten</w:t>
            </w:r>
          </w:p>
        </w:tc>
        <w:tc>
          <w:tcPr>
            <w:tcW w:w="3261" w:type="dxa"/>
            <w:tcBorders>
              <w:bottom w:val="single" w:sz="4" w:space="0" w:color="auto"/>
            </w:tcBorders>
            <w:shd w:val="clear" w:color="auto" w:fill="auto"/>
          </w:tcPr>
          <w:p>
            <w:pPr>
              <w:jc w:val="right"/>
              <w:rPr>
                <w:noProof/>
              </w:rPr>
            </w:pPr>
            <w:r>
              <w:rPr>
                <w:noProof/>
              </w:rPr>
              <w:t>16 819 348</w:t>
            </w:r>
          </w:p>
        </w:tc>
        <w:tc>
          <w:tcPr>
            <w:tcW w:w="3118" w:type="dxa"/>
            <w:tcBorders>
              <w:bottom w:val="single" w:sz="4" w:space="0" w:color="auto"/>
            </w:tcBorders>
          </w:tcPr>
          <w:p>
            <w:pPr>
              <w:jc w:val="right"/>
              <w:rPr>
                <w:noProof/>
              </w:rPr>
            </w:pPr>
            <w:r>
              <w:rPr>
                <w:noProof/>
              </w:rPr>
              <w:t>42 799 336</w:t>
            </w:r>
          </w:p>
        </w:tc>
      </w:tr>
      <w:tr>
        <w:tc>
          <w:tcPr>
            <w:tcW w:w="2376" w:type="dxa"/>
            <w:shd w:val="pct20" w:color="auto" w:fill="auto"/>
          </w:tcPr>
          <w:p>
            <w:pPr>
              <w:rPr>
                <w:noProof/>
              </w:rPr>
            </w:pPr>
            <w:r>
              <w:rPr>
                <w:noProof/>
              </w:rPr>
              <w:t>TOTAAL ACTIVA</w:t>
            </w:r>
          </w:p>
        </w:tc>
        <w:tc>
          <w:tcPr>
            <w:tcW w:w="3261" w:type="dxa"/>
            <w:shd w:val="pct20" w:color="auto" w:fill="auto"/>
          </w:tcPr>
          <w:p>
            <w:pPr>
              <w:jc w:val="right"/>
              <w:rPr>
                <w:noProof/>
              </w:rPr>
            </w:pPr>
            <w:r>
              <w:rPr>
                <w:noProof/>
              </w:rPr>
              <w:t>2 812 707 300</w:t>
            </w:r>
          </w:p>
        </w:tc>
        <w:tc>
          <w:tcPr>
            <w:tcW w:w="3118" w:type="dxa"/>
            <w:shd w:val="pct20" w:color="auto" w:fill="auto"/>
          </w:tcPr>
          <w:p>
            <w:pPr>
              <w:jc w:val="right"/>
              <w:rPr>
                <w:noProof/>
              </w:rPr>
            </w:pPr>
            <w:r>
              <w:rPr>
                <w:noProof/>
              </w:rPr>
              <w:t>2 589 290 798</w:t>
            </w:r>
          </w:p>
        </w:tc>
      </w:tr>
    </w:tbl>
    <w:p>
      <w:pPr>
        <w:rPr>
          <w:noProof/>
        </w:rPr>
      </w:pPr>
    </w:p>
    <w:p>
      <w:pPr>
        <w:rPr>
          <w:noProof/>
        </w:rPr>
      </w:pPr>
    </w:p>
    <w:p>
      <w:pPr>
        <w:rPr>
          <w:noProof/>
        </w:rPr>
      </w:pPr>
    </w:p>
    <w:p>
      <w:pPr>
        <w:rPr>
          <w:noProof/>
        </w:rPr>
      </w:pPr>
    </w:p>
    <w:p>
      <w:pPr>
        <w:rPr>
          <w:noProof/>
        </w:rPr>
      </w:pPr>
      <w:r>
        <w:rPr>
          <w:noProof/>
        </w:rPr>
        <w:t>Balans – passiva</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3261"/>
        <w:gridCol w:w="3118"/>
      </w:tblGrid>
      <w:tr>
        <w:tc>
          <w:tcPr>
            <w:tcW w:w="2376" w:type="dxa"/>
            <w:tcBorders>
              <w:bottom w:val="single" w:sz="4" w:space="0" w:color="auto"/>
            </w:tcBorders>
            <w:shd w:val="clear" w:color="auto" w:fill="auto"/>
          </w:tcPr>
          <w:p>
            <w:pPr>
              <w:jc w:val="center"/>
              <w:rPr>
                <w:noProof/>
              </w:rPr>
            </w:pPr>
          </w:p>
        </w:tc>
        <w:tc>
          <w:tcPr>
            <w:tcW w:w="3261" w:type="dxa"/>
            <w:tcBorders>
              <w:bottom w:val="single" w:sz="4" w:space="0" w:color="auto"/>
            </w:tcBorders>
            <w:shd w:val="clear" w:color="auto" w:fill="auto"/>
          </w:tcPr>
          <w:p>
            <w:pPr>
              <w:jc w:val="center"/>
              <w:rPr>
                <w:noProof/>
              </w:rPr>
            </w:pPr>
            <w:r>
              <w:rPr>
                <w:noProof/>
              </w:rPr>
              <w:t>31 december 2020</w:t>
            </w:r>
          </w:p>
        </w:tc>
        <w:tc>
          <w:tcPr>
            <w:tcW w:w="3118" w:type="dxa"/>
            <w:tcBorders>
              <w:bottom w:val="single" w:sz="4" w:space="0" w:color="auto"/>
            </w:tcBorders>
          </w:tcPr>
          <w:p>
            <w:pPr>
              <w:jc w:val="center"/>
              <w:rPr>
                <w:noProof/>
              </w:rPr>
            </w:pPr>
            <w:r>
              <w:rPr>
                <w:noProof/>
              </w:rPr>
              <w:t>31 december 2019</w:t>
            </w:r>
          </w:p>
        </w:tc>
      </w:tr>
      <w:tr>
        <w:tc>
          <w:tcPr>
            <w:tcW w:w="2376" w:type="dxa"/>
            <w:shd w:val="pct20" w:color="auto" w:fill="auto"/>
          </w:tcPr>
          <w:p>
            <w:pPr>
              <w:rPr>
                <w:noProof/>
                <w14:shadow w14:blurRad="50800" w14:dist="38100" w14:dir="2700000" w14:sx="100000" w14:sy="100000" w14:kx="0" w14:ky="0" w14:algn="tl">
                  <w14:srgbClr w14:val="000000">
                    <w14:alpha w14:val="60000"/>
                  </w14:srgbClr>
                </w14:shadow>
              </w:rPr>
            </w:pPr>
            <w:r>
              <w:rPr>
                <w:noProof/>
                <w14:shadow w14:blurRad="50800" w14:dist="38100" w14:dir="2700000" w14:sx="100000" w14:sy="100000" w14:kx="0" w14:ky="0" w14:algn="tl">
                  <w14:srgbClr w14:val="000000">
                    <w14:alpha w14:val="60000"/>
                  </w14:srgbClr>
                </w14:shadow>
              </w:rPr>
              <w:t>MIDDELEN VAN DE CONTRIBUANT</w:t>
            </w:r>
          </w:p>
        </w:tc>
        <w:tc>
          <w:tcPr>
            <w:tcW w:w="3261" w:type="dxa"/>
            <w:shd w:val="pct20" w:color="auto" w:fill="auto"/>
          </w:tcPr>
          <w:p>
            <w:pPr>
              <w:jc w:val="right"/>
              <w:rPr>
                <w:noProof/>
                <w14:shadow w14:blurRad="50800" w14:dist="38100" w14:dir="2700000" w14:sx="100000" w14:sy="100000" w14:kx="0" w14:ky="0" w14:algn="tl">
                  <w14:srgbClr w14:val="000000">
                    <w14:alpha w14:val="60000"/>
                  </w14:srgbClr>
                </w14:shadow>
              </w:rPr>
            </w:pPr>
            <w:r>
              <w:rPr>
                <w:noProof/>
                <w14:shadow w14:blurRad="50800" w14:dist="38100" w14:dir="2700000" w14:sx="100000" w14:sy="100000" w14:kx="0" w14:ky="0" w14:algn="tl">
                  <w14:srgbClr w14:val="000000">
                    <w14:alpha w14:val="60000"/>
                  </w14:srgbClr>
                </w14:shadow>
              </w:rPr>
              <w:t>2 609 255 287</w:t>
            </w:r>
          </w:p>
        </w:tc>
        <w:tc>
          <w:tcPr>
            <w:tcW w:w="3118" w:type="dxa"/>
            <w:shd w:val="pct20" w:color="auto" w:fill="auto"/>
          </w:tcPr>
          <w:p>
            <w:pPr>
              <w:jc w:val="right"/>
              <w:rPr>
                <w:noProof/>
                <w14:shadow w14:blurRad="50800" w14:dist="38100" w14:dir="2700000" w14:sx="100000" w14:sy="100000" w14:kx="0" w14:ky="0" w14:algn="tl">
                  <w14:srgbClr w14:val="000000">
                    <w14:alpha w14:val="60000"/>
                  </w14:srgbClr>
                </w14:shadow>
              </w:rPr>
            </w:pPr>
            <w:r>
              <w:rPr>
                <w:noProof/>
              </w:rPr>
              <w:t>2 407 419 308</w:t>
            </w:r>
          </w:p>
        </w:tc>
      </w:tr>
      <w:tr>
        <w:trPr>
          <w:trHeight w:val="614"/>
        </w:trPr>
        <w:tc>
          <w:tcPr>
            <w:tcW w:w="2376" w:type="dxa"/>
            <w:shd w:val="clear" w:color="auto" w:fill="auto"/>
          </w:tcPr>
          <w:p>
            <w:pPr>
              <w:rPr>
                <w:noProof/>
              </w:rPr>
            </w:pPr>
            <w:r>
              <w:rPr>
                <w:noProof/>
              </w:rPr>
              <w:t>Bijdrage van de Europese Commissie</w:t>
            </w:r>
          </w:p>
        </w:tc>
        <w:tc>
          <w:tcPr>
            <w:tcW w:w="3261" w:type="dxa"/>
            <w:shd w:val="clear" w:color="auto" w:fill="auto"/>
          </w:tcPr>
          <w:p>
            <w:pPr>
              <w:jc w:val="right"/>
              <w:rPr>
                <w:noProof/>
              </w:rPr>
            </w:pPr>
            <w:r>
              <w:rPr>
                <w:noProof/>
              </w:rPr>
              <w:t>2 190 348 119</w:t>
            </w:r>
          </w:p>
        </w:tc>
        <w:tc>
          <w:tcPr>
            <w:tcW w:w="3118" w:type="dxa"/>
          </w:tcPr>
          <w:p>
            <w:pPr>
              <w:jc w:val="right"/>
              <w:rPr>
                <w:noProof/>
              </w:rPr>
            </w:pPr>
            <w:r>
              <w:rPr>
                <w:noProof/>
              </w:rPr>
              <w:t>1 950 195 297</w:t>
            </w:r>
          </w:p>
        </w:tc>
      </w:tr>
      <w:tr>
        <w:tc>
          <w:tcPr>
            <w:tcW w:w="2376" w:type="dxa"/>
            <w:shd w:val="clear" w:color="auto" w:fill="auto"/>
          </w:tcPr>
          <w:p>
            <w:pPr>
              <w:rPr>
                <w:noProof/>
              </w:rPr>
            </w:pPr>
            <w:r>
              <w:rPr>
                <w:noProof/>
              </w:rPr>
              <w:t>Reëlewaardereserve</w:t>
            </w:r>
          </w:p>
        </w:tc>
        <w:tc>
          <w:tcPr>
            <w:tcW w:w="3261" w:type="dxa"/>
            <w:shd w:val="clear" w:color="auto" w:fill="auto"/>
          </w:tcPr>
          <w:p>
            <w:pPr>
              <w:jc w:val="right"/>
              <w:rPr>
                <w:noProof/>
              </w:rPr>
            </w:pPr>
            <w:r>
              <w:rPr>
                <w:noProof/>
              </w:rPr>
              <w:t>34 252 128</w:t>
            </w:r>
          </w:p>
        </w:tc>
        <w:tc>
          <w:tcPr>
            <w:tcW w:w="3118" w:type="dxa"/>
          </w:tcPr>
          <w:p>
            <w:pPr>
              <w:jc w:val="right"/>
              <w:rPr>
                <w:noProof/>
              </w:rPr>
            </w:pPr>
            <w:r>
              <w:rPr>
                <w:noProof/>
              </w:rPr>
              <w:t>20 859 023</w:t>
            </w:r>
          </w:p>
        </w:tc>
      </w:tr>
      <w:tr>
        <w:tc>
          <w:tcPr>
            <w:tcW w:w="2376" w:type="dxa"/>
            <w:tcBorders>
              <w:bottom w:val="single" w:sz="4" w:space="0" w:color="auto"/>
            </w:tcBorders>
            <w:shd w:val="clear" w:color="auto" w:fill="auto"/>
          </w:tcPr>
          <w:p>
            <w:pPr>
              <w:rPr>
                <w:noProof/>
              </w:rPr>
            </w:pPr>
            <w:r>
              <w:rPr>
                <w:noProof/>
              </w:rPr>
              <w:t>Ingehouden winst</w:t>
            </w:r>
          </w:p>
        </w:tc>
        <w:tc>
          <w:tcPr>
            <w:tcW w:w="3261" w:type="dxa"/>
            <w:tcBorders>
              <w:bottom w:val="single" w:sz="4" w:space="0" w:color="auto"/>
            </w:tcBorders>
            <w:shd w:val="clear" w:color="auto" w:fill="auto"/>
          </w:tcPr>
          <w:p>
            <w:pPr>
              <w:jc w:val="right"/>
              <w:rPr>
                <w:noProof/>
              </w:rPr>
            </w:pPr>
            <w:r>
              <w:rPr>
                <w:noProof/>
              </w:rPr>
              <w:t>384 655 040</w:t>
            </w:r>
          </w:p>
        </w:tc>
        <w:tc>
          <w:tcPr>
            <w:tcW w:w="3118" w:type="dxa"/>
            <w:tcBorders>
              <w:bottom w:val="single" w:sz="4" w:space="0" w:color="auto"/>
            </w:tcBorders>
          </w:tcPr>
          <w:p>
            <w:pPr>
              <w:jc w:val="right"/>
              <w:rPr>
                <w:noProof/>
              </w:rPr>
            </w:pPr>
            <w:r>
              <w:rPr>
                <w:noProof/>
              </w:rPr>
              <w:t>436 364 988</w:t>
            </w:r>
          </w:p>
        </w:tc>
      </w:tr>
      <w:tr>
        <w:tc>
          <w:tcPr>
            <w:tcW w:w="2376" w:type="dxa"/>
            <w:shd w:val="pct20" w:color="auto" w:fill="auto"/>
          </w:tcPr>
          <w:p>
            <w:pPr>
              <w:rPr>
                <w:noProof/>
              </w:rPr>
            </w:pPr>
            <w:r>
              <w:rPr>
                <w:noProof/>
                <w14:shadow w14:blurRad="50800" w14:dist="38100" w14:dir="2700000" w14:sx="100000" w14:sy="100000" w14:kx="0" w14:ky="0" w14:algn="tl">
                  <w14:srgbClr w14:val="000000">
                    <w14:alpha w14:val="60000"/>
                  </w14:srgbClr>
                </w14:shadow>
              </w:rPr>
              <w:t>LANGLOPENDE VERPLICHTINGEN</w:t>
            </w:r>
          </w:p>
        </w:tc>
        <w:tc>
          <w:tcPr>
            <w:tcW w:w="3261" w:type="dxa"/>
            <w:shd w:val="pct20" w:color="auto" w:fill="auto"/>
          </w:tcPr>
          <w:p>
            <w:pPr>
              <w:jc w:val="right"/>
              <w:rPr>
                <w:noProof/>
              </w:rPr>
            </w:pPr>
            <w:r>
              <w:rPr>
                <w:noProof/>
              </w:rPr>
              <w:t>82 892 623</w:t>
            </w:r>
          </w:p>
        </w:tc>
        <w:tc>
          <w:tcPr>
            <w:tcW w:w="3118" w:type="dxa"/>
            <w:shd w:val="pct20" w:color="auto" w:fill="auto"/>
          </w:tcPr>
          <w:p>
            <w:pPr>
              <w:jc w:val="right"/>
              <w:rPr>
                <w:noProof/>
              </w:rPr>
            </w:pPr>
            <w:r>
              <w:rPr>
                <w:noProof/>
              </w:rPr>
              <w:t>111 685 549</w:t>
            </w:r>
          </w:p>
        </w:tc>
      </w:tr>
      <w:tr>
        <w:tc>
          <w:tcPr>
            <w:tcW w:w="2376" w:type="dxa"/>
            <w:tcBorders>
              <w:bottom w:val="single" w:sz="4" w:space="0" w:color="auto"/>
            </w:tcBorders>
            <w:shd w:val="clear" w:color="auto" w:fill="auto"/>
          </w:tcPr>
          <w:p>
            <w:pPr>
              <w:rPr>
                <w:noProof/>
              </w:rPr>
            </w:pPr>
            <w:r>
              <w:rPr>
                <w:noProof/>
              </w:rPr>
              <w:t>Financiële voorzieningen</w:t>
            </w:r>
          </w:p>
        </w:tc>
        <w:tc>
          <w:tcPr>
            <w:tcW w:w="3261" w:type="dxa"/>
            <w:tcBorders>
              <w:bottom w:val="single" w:sz="4" w:space="0" w:color="auto"/>
            </w:tcBorders>
            <w:shd w:val="clear" w:color="auto" w:fill="auto"/>
          </w:tcPr>
          <w:p>
            <w:pPr>
              <w:jc w:val="right"/>
              <w:rPr>
                <w:noProof/>
              </w:rPr>
            </w:pPr>
            <w:r>
              <w:rPr>
                <w:noProof/>
              </w:rPr>
              <w:t>82 892 623</w:t>
            </w:r>
          </w:p>
        </w:tc>
        <w:tc>
          <w:tcPr>
            <w:tcW w:w="3118" w:type="dxa"/>
            <w:tcBorders>
              <w:bottom w:val="single" w:sz="4" w:space="0" w:color="auto"/>
            </w:tcBorders>
          </w:tcPr>
          <w:p>
            <w:pPr>
              <w:jc w:val="right"/>
              <w:rPr>
                <w:noProof/>
              </w:rPr>
            </w:pPr>
            <w:r>
              <w:rPr>
                <w:noProof/>
              </w:rPr>
              <w:t>111 685 549</w:t>
            </w:r>
          </w:p>
        </w:tc>
      </w:tr>
      <w:tr>
        <w:tc>
          <w:tcPr>
            <w:tcW w:w="2376" w:type="dxa"/>
            <w:shd w:val="pct20" w:color="auto" w:fill="auto"/>
          </w:tcPr>
          <w:p>
            <w:pPr>
              <w:rPr>
                <w:noProof/>
              </w:rPr>
            </w:pPr>
            <w:r>
              <w:rPr>
                <w:noProof/>
                <w14:shadow w14:blurRad="50800" w14:dist="38100" w14:dir="2700000" w14:sx="100000" w14:sy="100000" w14:kx="0" w14:ky="0" w14:algn="tl">
                  <w14:srgbClr w14:val="000000">
                    <w14:alpha w14:val="60000"/>
                  </w14:srgbClr>
                </w14:shadow>
              </w:rPr>
              <w:t>KORTLOPENDE VERPLICHTINGEN</w:t>
            </w:r>
          </w:p>
        </w:tc>
        <w:tc>
          <w:tcPr>
            <w:tcW w:w="3261" w:type="dxa"/>
            <w:shd w:val="pct20" w:color="auto" w:fill="auto"/>
          </w:tcPr>
          <w:p>
            <w:pPr>
              <w:jc w:val="right"/>
              <w:rPr>
                <w:noProof/>
              </w:rPr>
            </w:pPr>
            <w:r>
              <w:rPr>
                <w:noProof/>
              </w:rPr>
              <w:t>120 559 388</w:t>
            </w:r>
          </w:p>
        </w:tc>
        <w:tc>
          <w:tcPr>
            <w:tcW w:w="3118" w:type="dxa"/>
            <w:shd w:val="pct20" w:color="auto" w:fill="auto"/>
          </w:tcPr>
          <w:p>
            <w:pPr>
              <w:jc w:val="right"/>
              <w:rPr>
                <w:noProof/>
              </w:rPr>
            </w:pPr>
            <w:r>
              <w:rPr>
                <w:noProof/>
              </w:rPr>
              <w:t>70 185 941</w:t>
            </w:r>
          </w:p>
        </w:tc>
      </w:tr>
      <w:tr>
        <w:tc>
          <w:tcPr>
            <w:tcW w:w="2376" w:type="dxa"/>
            <w:tcBorders>
              <w:bottom w:val="single" w:sz="4" w:space="0" w:color="auto"/>
            </w:tcBorders>
            <w:shd w:val="clear" w:color="auto" w:fill="auto"/>
          </w:tcPr>
          <w:p>
            <w:pPr>
              <w:rPr>
                <w:noProof/>
              </w:rPr>
            </w:pPr>
            <w:r>
              <w:rPr>
                <w:noProof/>
              </w:rPr>
              <w:t>Financiële voorzieningen</w:t>
            </w:r>
          </w:p>
        </w:tc>
        <w:tc>
          <w:tcPr>
            <w:tcW w:w="3261" w:type="dxa"/>
            <w:tcBorders>
              <w:bottom w:val="single" w:sz="4" w:space="0" w:color="auto"/>
            </w:tcBorders>
            <w:shd w:val="clear" w:color="auto" w:fill="auto"/>
          </w:tcPr>
          <w:p>
            <w:pPr>
              <w:jc w:val="right"/>
              <w:rPr>
                <w:noProof/>
              </w:rPr>
            </w:pPr>
            <w:r>
              <w:rPr>
                <w:noProof/>
              </w:rPr>
              <w:t>29 880 034</w:t>
            </w:r>
          </w:p>
        </w:tc>
        <w:tc>
          <w:tcPr>
            <w:tcW w:w="3118" w:type="dxa"/>
            <w:tcBorders>
              <w:bottom w:val="single" w:sz="4" w:space="0" w:color="auto"/>
            </w:tcBorders>
          </w:tcPr>
          <w:p>
            <w:pPr>
              <w:jc w:val="right"/>
              <w:rPr>
                <w:noProof/>
              </w:rPr>
            </w:pPr>
            <w:r>
              <w:rPr>
                <w:noProof/>
              </w:rPr>
              <w:t>49 709 547</w:t>
            </w:r>
          </w:p>
        </w:tc>
      </w:tr>
      <w:tr>
        <w:tc>
          <w:tcPr>
            <w:tcW w:w="2376" w:type="dxa"/>
            <w:tcBorders>
              <w:bottom w:val="single" w:sz="4" w:space="0" w:color="auto"/>
            </w:tcBorders>
            <w:shd w:val="clear" w:color="auto" w:fill="auto"/>
          </w:tcPr>
          <w:p>
            <w:pPr>
              <w:rPr>
                <w:noProof/>
              </w:rPr>
            </w:pPr>
            <w:r>
              <w:rPr>
                <w:noProof/>
              </w:rPr>
              <w:t>Financiële garantieverplichtingen</w:t>
            </w:r>
          </w:p>
        </w:tc>
        <w:tc>
          <w:tcPr>
            <w:tcW w:w="3261" w:type="dxa"/>
            <w:tcBorders>
              <w:bottom w:val="single" w:sz="4" w:space="0" w:color="auto"/>
            </w:tcBorders>
            <w:shd w:val="clear" w:color="auto" w:fill="auto"/>
          </w:tcPr>
          <w:p>
            <w:pPr>
              <w:jc w:val="right"/>
              <w:rPr>
                <w:noProof/>
              </w:rPr>
            </w:pPr>
            <w:r>
              <w:rPr>
                <w:noProof/>
              </w:rPr>
              <w:t>89 750 000</w:t>
            </w:r>
          </w:p>
        </w:tc>
        <w:tc>
          <w:tcPr>
            <w:tcW w:w="3118" w:type="dxa"/>
            <w:tcBorders>
              <w:bottom w:val="single" w:sz="4" w:space="0" w:color="auto"/>
            </w:tcBorders>
          </w:tcPr>
          <w:p>
            <w:pPr>
              <w:jc w:val="right"/>
              <w:rPr>
                <w:noProof/>
              </w:rPr>
            </w:pPr>
            <w:r>
              <w:rPr>
                <w:noProof/>
              </w:rPr>
              <w:t>19 590 000</w:t>
            </w:r>
          </w:p>
        </w:tc>
      </w:tr>
      <w:tr>
        <w:tc>
          <w:tcPr>
            <w:tcW w:w="2376" w:type="dxa"/>
            <w:tcBorders>
              <w:bottom w:val="single" w:sz="4" w:space="0" w:color="auto"/>
            </w:tcBorders>
            <w:shd w:val="clear" w:color="auto" w:fill="auto"/>
          </w:tcPr>
          <w:p>
            <w:pPr>
              <w:rPr>
                <w:noProof/>
              </w:rPr>
            </w:pPr>
            <w:r>
              <w:rPr>
                <w:noProof/>
              </w:rPr>
              <w:t>Schulden</w:t>
            </w:r>
          </w:p>
        </w:tc>
        <w:tc>
          <w:tcPr>
            <w:tcW w:w="3261" w:type="dxa"/>
            <w:tcBorders>
              <w:bottom w:val="single" w:sz="4" w:space="0" w:color="auto"/>
            </w:tcBorders>
            <w:shd w:val="clear" w:color="auto" w:fill="auto"/>
          </w:tcPr>
          <w:p>
            <w:pPr>
              <w:jc w:val="right"/>
              <w:rPr>
                <w:noProof/>
              </w:rPr>
            </w:pPr>
            <w:r>
              <w:rPr>
                <w:noProof/>
              </w:rPr>
              <w:t>929 354</w:t>
            </w:r>
          </w:p>
        </w:tc>
        <w:tc>
          <w:tcPr>
            <w:tcW w:w="3118" w:type="dxa"/>
            <w:tcBorders>
              <w:bottom w:val="single" w:sz="4" w:space="0" w:color="auto"/>
            </w:tcBorders>
          </w:tcPr>
          <w:p>
            <w:pPr>
              <w:jc w:val="right"/>
              <w:rPr>
                <w:noProof/>
              </w:rPr>
            </w:pPr>
            <w:r>
              <w:rPr>
                <w:noProof/>
              </w:rPr>
              <w:t>886 394</w:t>
            </w:r>
          </w:p>
        </w:tc>
      </w:tr>
      <w:tr>
        <w:tc>
          <w:tcPr>
            <w:tcW w:w="2376" w:type="dxa"/>
            <w:shd w:val="pct20" w:color="auto" w:fill="auto"/>
          </w:tcPr>
          <w:p>
            <w:pPr>
              <w:jc w:val="left"/>
              <w:rPr>
                <w:noProof/>
              </w:rPr>
            </w:pPr>
            <w:r>
              <w:rPr>
                <w:noProof/>
                <w14:shadow w14:blurRad="50800" w14:dist="38100" w14:dir="2700000" w14:sx="100000" w14:sy="100000" w14:kx="0" w14:ky="0" w14:algn="tl">
                  <w14:srgbClr w14:val="000000">
                    <w14:alpha w14:val="60000"/>
                  </w14:srgbClr>
                </w14:shadow>
              </w:rPr>
              <w:t>TOTAAL MIDDELEN + VERPLICHTINGEN VAN DE CONTRIBUANT</w:t>
            </w:r>
          </w:p>
        </w:tc>
        <w:tc>
          <w:tcPr>
            <w:tcW w:w="3261" w:type="dxa"/>
            <w:shd w:val="pct20" w:color="auto" w:fill="auto"/>
          </w:tcPr>
          <w:p>
            <w:pPr>
              <w:jc w:val="right"/>
              <w:rPr>
                <w:noProof/>
              </w:rPr>
            </w:pPr>
            <w:r>
              <w:rPr>
                <w:noProof/>
              </w:rPr>
              <w:t>2 812 707 300</w:t>
            </w:r>
          </w:p>
        </w:tc>
        <w:tc>
          <w:tcPr>
            <w:tcW w:w="3118" w:type="dxa"/>
            <w:shd w:val="pct20" w:color="auto" w:fill="auto"/>
          </w:tcPr>
          <w:p>
            <w:pPr>
              <w:jc w:val="right"/>
              <w:rPr>
                <w:noProof/>
              </w:rPr>
            </w:pPr>
            <w:r>
              <w:rPr>
                <w:noProof/>
              </w:rPr>
              <w:t>2 589 290 798</w:t>
            </w:r>
          </w:p>
        </w:tc>
      </w:tr>
    </w:tbl>
    <w:p>
      <w:pPr>
        <w:rPr>
          <w:noProof/>
        </w:rPr>
      </w:pPr>
      <w:r>
        <w:rPr>
          <w:noProof/>
        </w:rPr>
        <w:t>Het verschil van 42,34 miljoen EUR tussen de totale enkelvoudige balanswaarde van het fonds (2 812 707 300 EUR) en de waarde van het Fonds in de door de EIB opgestelde jaarrekening (2 855 047 433 EUR) kan voornamelijk worden verklaard door de volgende elementen:</w:t>
      </w:r>
    </w:p>
    <w:p>
      <w:pPr>
        <w:numPr>
          <w:ilvl w:val="0"/>
          <w:numId w:val="13"/>
        </w:numPr>
        <w:tabs>
          <w:tab w:val="clear" w:pos="850"/>
        </w:tabs>
        <w:ind w:left="360" w:hanging="360"/>
        <w:rPr>
          <w:noProof/>
        </w:rPr>
      </w:pPr>
      <w:r>
        <w:rPr>
          <w:noProof/>
        </w:rPr>
        <w:t>De enkelvoudige balans (activa) omvat:</w:t>
      </w:r>
    </w:p>
    <w:p>
      <w:pPr>
        <w:numPr>
          <w:ilvl w:val="1"/>
          <w:numId w:val="13"/>
        </w:numPr>
        <w:ind w:hanging="283"/>
        <w:rPr>
          <w:noProof/>
        </w:rPr>
      </w:pPr>
      <w:r>
        <w:rPr>
          <w:noProof/>
        </w:rPr>
        <w:t>alle bedragen waarvoor subrogatie door de EU heeft plaatsgevonden als gevolg van ten behoeve van de EIB gehonoreerde garanties met betrekking tot noodlijdende leningen (betalingsachterstanden vermeerderd met de voor te late betalingen opgelopen rente). Gezien de politieke situatie in Syrië en op basis van een beslissing van de rekenplichtige van de Europese Commissie is in de jaarrekening voor 2020 voor deze bedragen een volledige bijzondere waardevermindering opgenomen.</w:t>
      </w:r>
    </w:p>
    <w:p>
      <w:pPr>
        <w:numPr>
          <w:ilvl w:val="0"/>
          <w:numId w:val="13"/>
        </w:numPr>
        <w:tabs>
          <w:tab w:val="clear" w:pos="850"/>
        </w:tabs>
        <w:ind w:left="360" w:hanging="360"/>
        <w:rPr>
          <w:noProof/>
        </w:rPr>
      </w:pPr>
      <w:r>
        <w:rPr>
          <w:noProof/>
        </w:rPr>
        <w:t>De enkelvoudige balans omvat het volgende niet:</w:t>
      </w:r>
    </w:p>
    <w:p>
      <w:pPr>
        <w:numPr>
          <w:ilvl w:val="1"/>
          <w:numId w:val="13"/>
        </w:numPr>
        <w:ind w:hanging="283"/>
        <w:rPr>
          <w:noProof/>
        </w:rPr>
      </w:pPr>
      <w:r>
        <w:rPr>
          <w:noProof/>
        </w:rPr>
        <w:t xml:space="preserve">In 2020 in de enkelvoudige balans opgenomen financiële voorzieningen van 112,8 miljoen EUR met betrekking tot toekomstige termijnen van de resterende uitstaande Syrische leningen. </w:t>
      </w:r>
    </w:p>
    <w:p>
      <w:pPr>
        <w:numPr>
          <w:ilvl w:val="1"/>
          <w:numId w:val="13"/>
        </w:numPr>
        <w:ind w:hanging="283"/>
        <w:rPr>
          <w:noProof/>
        </w:rPr>
      </w:pPr>
      <w:r>
        <w:rPr>
          <w:noProof/>
        </w:rPr>
        <w:t xml:space="preserve">De bijdrage van 42,34 miljoen EUR uit de EU-begroting aan het gemeenschappelijk voorzieningsfonds (GVF), aangezien deze vordering wordt gecompenseerd door de desbetreffende schuld in de geconsolideerde rekeningen van de EU. </w:t>
      </w:r>
    </w:p>
    <w:p>
      <w:pPr>
        <w:pStyle w:val="ListBullet"/>
        <w:tabs>
          <w:tab w:val="clear" w:pos="283"/>
        </w:tabs>
        <w:ind w:left="360" w:hanging="360"/>
        <w:rPr>
          <w:noProof/>
        </w:rPr>
      </w:pPr>
      <w:r>
        <w:rPr>
          <w:noProof/>
        </w:rPr>
        <w:t>De betalingen van gehonoreerde garanties uit het Garantiefonds aan de EIB (en eventueel opeenvolgende invorderingen van de gehonoreerde garanties en achterstandsrente) worden opgenomen als verlagingen (verhogingen) van de netto-activa (EU-bijdrage) in de door de EIB opgestelde jaarrekening. In de enkelvoudige jaarrekening worden de voor ten behoeve van de EIB gehonoreerde garanties betaalde bedragen niet ten laste van de netto-activa gebracht omdat het gesubrogeerde bedragen worden. Gerelateerde bedragen worden administratief verwerkt als opbrengsten (lopende achterstandsrente en boeten, winsten op vreemde valuta) of als lasten (voorzieningen, bijzondere waardeverminderingen, financiële garantieverplichtingen, verliezen op vreemde valuta). Dit leidt tot een blijvend verschil tussen de netto-activaposten (EU-bijdrage en ingehouden winst) opgenomen in de door de EIB opgestelde jaarrekening en de door de Europese Commissie opgestelde enkelvoudige jaarrekening.</w:t>
      </w:r>
    </w:p>
    <w:p>
      <w:pPr>
        <w:pStyle w:val="ListBullet"/>
        <w:numPr>
          <w:ilvl w:val="0"/>
          <w:numId w:val="0"/>
        </w:numPr>
        <w:ind w:left="360"/>
        <w:rPr>
          <w:noProof/>
        </w:rPr>
      </w:pPr>
    </w:p>
    <w:p>
      <w:pPr>
        <w:pStyle w:val="ManualHeading2"/>
        <w:ind w:left="0" w:firstLine="0"/>
        <w:rPr>
          <w:noProof/>
        </w:rPr>
      </w:pPr>
      <w:bookmarkStart w:id="32" w:name="_Toc78382488"/>
      <w:r>
        <w:rPr>
          <w:noProof/>
        </w:rPr>
        <w:t>3.2.</w:t>
      </w:r>
      <w:r>
        <w:rPr>
          <w:noProof/>
        </w:rPr>
        <w:tab/>
        <w:t>Enkelvoudig overzicht van de financiële prestaties</w:t>
      </w:r>
      <w:bookmarkEnd w:id="32"/>
    </w:p>
    <w:p>
      <w:pPr>
        <w:rPr>
          <w:noProof/>
        </w:rPr>
      </w:pPr>
      <w:r>
        <w:rPr>
          <w:noProof/>
        </w:rPr>
        <w:t xml:space="preserve">Net als voor de balans het geval is, wordt het enkelvoudig overzicht van de financiële prestaties opgesteld met het oog op de opname ervan in de geconsolideerde jaarrekening van de EU.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2477"/>
        <w:gridCol w:w="2910"/>
      </w:tblGrid>
      <w:tr>
        <w:tc>
          <w:tcPr>
            <w:tcW w:w="4077" w:type="dxa"/>
            <w:shd w:val="clear" w:color="auto" w:fill="auto"/>
          </w:tcPr>
          <w:p>
            <w:pPr>
              <w:jc w:val="center"/>
              <w:rPr>
                <w:noProof/>
              </w:rPr>
            </w:pPr>
          </w:p>
        </w:tc>
        <w:tc>
          <w:tcPr>
            <w:tcW w:w="2477" w:type="dxa"/>
            <w:shd w:val="clear" w:color="auto" w:fill="auto"/>
          </w:tcPr>
          <w:p>
            <w:pPr>
              <w:jc w:val="center"/>
              <w:rPr>
                <w:noProof/>
              </w:rPr>
            </w:pPr>
            <w:r>
              <w:rPr>
                <w:noProof/>
              </w:rPr>
              <w:t>2020</w:t>
            </w:r>
          </w:p>
        </w:tc>
        <w:tc>
          <w:tcPr>
            <w:tcW w:w="2910" w:type="dxa"/>
          </w:tcPr>
          <w:p>
            <w:pPr>
              <w:jc w:val="center"/>
              <w:rPr>
                <w:noProof/>
              </w:rPr>
            </w:pPr>
            <w:r>
              <w:rPr>
                <w:noProof/>
              </w:rPr>
              <w:t>2019</w:t>
            </w:r>
          </w:p>
        </w:tc>
      </w:tr>
      <w:tr>
        <w:tc>
          <w:tcPr>
            <w:tcW w:w="4077" w:type="dxa"/>
            <w:shd w:val="clear" w:color="auto" w:fill="auto"/>
          </w:tcPr>
          <w:p>
            <w:pPr>
              <w:rPr>
                <w:noProof/>
              </w:rPr>
            </w:pPr>
            <w:r>
              <w:rPr>
                <w:noProof/>
              </w:rPr>
              <w:t>Opbrengsten uit hoofde van operationele activiteiten</w:t>
            </w:r>
          </w:p>
        </w:tc>
        <w:tc>
          <w:tcPr>
            <w:tcW w:w="2477" w:type="dxa"/>
            <w:shd w:val="clear" w:color="auto" w:fill="auto"/>
          </w:tcPr>
          <w:p>
            <w:pPr>
              <w:jc w:val="right"/>
              <w:rPr>
                <w:noProof/>
              </w:rPr>
            </w:pPr>
            <w:r>
              <w:rPr>
                <w:noProof/>
              </w:rPr>
              <w:t>0</w:t>
            </w:r>
          </w:p>
        </w:tc>
        <w:tc>
          <w:tcPr>
            <w:tcW w:w="2910" w:type="dxa"/>
          </w:tcPr>
          <w:p>
            <w:pPr>
              <w:jc w:val="right"/>
              <w:rPr>
                <w:noProof/>
              </w:rPr>
            </w:pPr>
            <w:r>
              <w:rPr>
                <w:noProof/>
              </w:rPr>
              <w:t>266 252</w:t>
            </w:r>
          </w:p>
        </w:tc>
      </w:tr>
      <w:tr>
        <w:tc>
          <w:tcPr>
            <w:tcW w:w="4077" w:type="dxa"/>
            <w:tcBorders>
              <w:bottom w:val="single" w:sz="4" w:space="0" w:color="auto"/>
            </w:tcBorders>
            <w:shd w:val="clear" w:color="auto" w:fill="auto"/>
          </w:tcPr>
          <w:p>
            <w:pPr>
              <w:rPr>
                <w:noProof/>
              </w:rPr>
            </w:pPr>
            <w:r>
              <w:rPr>
                <w:noProof/>
              </w:rPr>
              <w:t>Lasten uit hoofde van operationele activiteiten</w:t>
            </w:r>
          </w:p>
        </w:tc>
        <w:tc>
          <w:tcPr>
            <w:tcW w:w="2477" w:type="dxa"/>
            <w:tcBorders>
              <w:bottom w:val="single" w:sz="4" w:space="0" w:color="auto"/>
            </w:tcBorders>
            <w:shd w:val="clear" w:color="auto" w:fill="auto"/>
          </w:tcPr>
          <w:p>
            <w:pPr>
              <w:jc w:val="right"/>
              <w:rPr>
                <w:noProof/>
              </w:rPr>
            </w:pPr>
            <w:r>
              <w:rPr>
                <w:noProof/>
              </w:rPr>
              <w:t>(3 460 002)</w:t>
            </w:r>
          </w:p>
        </w:tc>
        <w:tc>
          <w:tcPr>
            <w:tcW w:w="2910" w:type="dxa"/>
            <w:tcBorders>
              <w:bottom w:val="single" w:sz="4" w:space="0" w:color="auto"/>
            </w:tcBorders>
          </w:tcPr>
          <w:p>
            <w:pPr>
              <w:jc w:val="right"/>
              <w:rPr>
                <w:noProof/>
              </w:rPr>
            </w:pPr>
            <w:r>
              <w:rPr>
                <w:noProof/>
              </w:rPr>
              <w:t>(3 494 876)</w:t>
            </w:r>
          </w:p>
        </w:tc>
      </w:tr>
      <w:tr>
        <w:tc>
          <w:tcPr>
            <w:tcW w:w="4077" w:type="dxa"/>
            <w:shd w:val="pct20" w:color="auto" w:fill="auto"/>
          </w:tcPr>
          <w:p>
            <w:pPr>
              <w:rPr>
                <w:noProof/>
              </w:rPr>
            </w:pPr>
            <w:r>
              <w:rPr>
                <w:noProof/>
                <w14:shadow w14:blurRad="50800" w14:dist="38100" w14:dir="2700000" w14:sx="100000" w14:sy="100000" w14:kx="0" w14:ky="0" w14:algn="tl">
                  <w14:srgbClr w14:val="000000">
                    <w14:alpha w14:val="60000"/>
                  </w14:srgbClr>
                </w14:shadow>
              </w:rPr>
              <w:t>RESULTAAT UIT HOOFDE VAN OPERATIONELE ACTIVITEITEN</w:t>
            </w:r>
          </w:p>
        </w:tc>
        <w:tc>
          <w:tcPr>
            <w:tcW w:w="2477" w:type="dxa"/>
            <w:shd w:val="pct20" w:color="auto" w:fill="auto"/>
          </w:tcPr>
          <w:p>
            <w:pPr>
              <w:jc w:val="right"/>
              <w:rPr>
                <w:noProof/>
              </w:rPr>
            </w:pPr>
            <w:r>
              <w:rPr>
                <w:noProof/>
              </w:rPr>
              <w:t>(3 460 002)</w:t>
            </w:r>
          </w:p>
        </w:tc>
        <w:tc>
          <w:tcPr>
            <w:tcW w:w="2910" w:type="dxa"/>
            <w:shd w:val="pct20" w:color="auto" w:fill="auto"/>
          </w:tcPr>
          <w:p>
            <w:pPr>
              <w:jc w:val="right"/>
              <w:rPr>
                <w:noProof/>
              </w:rPr>
            </w:pPr>
            <w:r>
              <w:rPr>
                <w:noProof/>
              </w:rPr>
              <w:t>(3 228 615)</w:t>
            </w:r>
          </w:p>
        </w:tc>
      </w:tr>
      <w:tr>
        <w:tc>
          <w:tcPr>
            <w:tcW w:w="4077" w:type="dxa"/>
            <w:shd w:val="clear" w:color="auto" w:fill="auto"/>
          </w:tcPr>
          <w:p>
            <w:pPr>
              <w:rPr>
                <w:noProof/>
              </w:rPr>
            </w:pPr>
            <w:r>
              <w:rPr>
                <w:noProof/>
              </w:rPr>
              <w:t>Financiële opbrengsten</w:t>
            </w:r>
          </w:p>
        </w:tc>
        <w:tc>
          <w:tcPr>
            <w:tcW w:w="2477" w:type="dxa"/>
            <w:shd w:val="clear" w:color="auto" w:fill="auto"/>
          </w:tcPr>
          <w:p>
            <w:pPr>
              <w:jc w:val="right"/>
              <w:rPr>
                <w:noProof/>
              </w:rPr>
            </w:pPr>
            <w:r>
              <w:rPr>
                <w:noProof/>
              </w:rPr>
              <w:t>42 933 660</w:t>
            </w:r>
          </w:p>
        </w:tc>
        <w:tc>
          <w:tcPr>
            <w:tcW w:w="2910" w:type="dxa"/>
          </w:tcPr>
          <w:p>
            <w:pPr>
              <w:jc w:val="right"/>
              <w:rPr>
                <w:noProof/>
              </w:rPr>
            </w:pPr>
            <w:r>
              <w:rPr>
                <w:noProof/>
              </w:rPr>
              <w:t>42 681 966</w:t>
            </w:r>
          </w:p>
        </w:tc>
      </w:tr>
      <w:tr>
        <w:tc>
          <w:tcPr>
            <w:tcW w:w="4077" w:type="dxa"/>
            <w:tcBorders>
              <w:bottom w:val="single" w:sz="4" w:space="0" w:color="auto"/>
            </w:tcBorders>
            <w:shd w:val="clear" w:color="auto" w:fill="auto"/>
          </w:tcPr>
          <w:p>
            <w:pPr>
              <w:rPr>
                <w:noProof/>
              </w:rPr>
            </w:pPr>
            <w:r>
              <w:rPr>
                <w:noProof/>
              </w:rPr>
              <w:t>Financiële kosten</w:t>
            </w:r>
          </w:p>
        </w:tc>
        <w:tc>
          <w:tcPr>
            <w:tcW w:w="2477" w:type="dxa"/>
            <w:tcBorders>
              <w:bottom w:val="single" w:sz="4" w:space="0" w:color="auto"/>
            </w:tcBorders>
            <w:shd w:val="clear" w:color="auto" w:fill="auto"/>
          </w:tcPr>
          <w:p>
            <w:pPr>
              <w:jc w:val="right"/>
              <w:rPr>
                <w:noProof/>
              </w:rPr>
            </w:pPr>
            <w:r>
              <w:rPr>
                <w:noProof/>
              </w:rPr>
              <w:t>(91 183 606)</w:t>
            </w:r>
          </w:p>
        </w:tc>
        <w:tc>
          <w:tcPr>
            <w:tcW w:w="2910" w:type="dxa"/>
            <w:tcBorders>
              <w:bottom w:val="single" w:sz="4" w:space="0" w:color="auto"/>
            </w:tcBorders>
          </w:tcPr>
          <w:p>
            <w:pPr>
              <w:jc w:val="right"/>
              <w:rPr>
                <w:noProof/>
              </w:rPr>
            </w:pPr>
            <w:r>
              <w:rPr>
                <w:noProof/>
              </w:rPr>
              <w:t>(39 575 953)</w:t>
            </w:r>
          </w:p>
        </w:tc>
      </w:tr>
      <w:tr>
        <w:tc>
          <w:tcPr>
            <w:tcW w:w="4077" w:type="dxa"/>
            <w:shd w:val="pct20" w:color="auto" w:fill="auto"/>
          </w:tcPr>
          <w:p>
            <w:pPr>
              <w:rPr>
                <w:noProof/>
              </w:rPr>
            </w:pPr>
            <w:r>
              <w:rPr>
                <w:noProof/>
              </w:rPr>
              <w:t>FINANCIEEL RESULTAAT</w:t>
            </w:r>
          </w:p>
        </w:tc>
        <w:tc>
          <w:tcPr>
            <w:tcW w:w="2477" w:type="dxa"/>
            <w:shd w:val="pct20" w:color="auto" w:fill="auto"/>
          </w:tcPr>
          <w:p>
            <w:pPr>
              <w:jc w:val="right"/>
              <w:rPr>
                <w:noProof/>
              </w:rPr>
            </w:pPr>
            <w:r>
              <w:rPr>
                <w:noProof/>
              </w:rPr>
              <w:t>(48 249 946)</w:t>
            </w:r>
          </w:p>
        </w:tc>
        <w:tc>
          <w:tcPr>
            <w:tcW w:w="2910" w:type="dxa"/>
            <w:shd w:val="pct20" w:color="auto" w:fill="auto"/>
          </w:tcPr>
          <w:p>
            <w:pPr>
              <w:jc w:val="right"/>
              <w:rPr>
                <w:noProof/>
              </w:rPr>
            </w:pPr>
            <w:r>
              <w:rPr>
                <w:noProof/>
              </w:rPr>
              <w:t>3 106 013</w:t>
            </w:r>
          </w:p>
        </w:tc>
      </w:tr>
      <w:tr>
        <w:tc>
          <w:tcPr>
            <w:tcW w:w="4077" w:type="dxa"/>
            <w:tcBorders>
              <w:bottom w:val="single" w:sz="4" w:space="0" w:color="auto"/>
            </w:tcBorders>
            <w:shd w:val="clear" w:color="auto" w:fill="auto"/>
          </w:tcPr>
          <w:p>
            <w:pPr>
              <w:rPr>
                <w:noProof/>
              </w:rPr>
            </w:pPr>
          </w:p>
        </w:tc>
        <w:tc>
          <w:tcPr>
            <w:tcW w:w="2477" w:type="dxa"/>
            <w:tcBorders>
              <w:bottom w:val="single" w:sz="4" w:space="0" w:color="auto"/>
            </w:tcBorders>
            <w:shd w:val="clear" w:color="auto" w:fill="auto"/>
          </w:tcPr>
          <w:p>
            <w:pPr>
              <w:jc w:val="right"/>
              <w:rPr>
                <w:noProof/>
              </w:rPr>
            </w:pPr>
          </w:p>
        </w:tc>
        <w:tc>
          <w:tcPr>
            <w:tcW w:w="2910" w:type="dxa"/>
            <w:tcBorders>
              <w:bottom w:val="single" w:sz="4" w:space="0" w:color="auto"/>
            </w:tcBorders>
          </w:tcPr>
          <w:p>
            <w:pPr>
              <w:jc w:val="right"/>
              <w:rPr>
                <w:noProof/>
              </w:rPr>
            </w:pPr>
          </w:p>
        </w:tc>
      </w:tr>
      <w:tr>
        <w:tc>
          <w:tcPr>
            <w:tcW w:w="4077" w:type="dxa"/>
            <w:shd w:val="pct20" w:color="auto" w:fill="auto"/>
          </w:tcPr>
          <w:p>
            <w:pPr>
              <w:rPr>
                <w:noProof/>
              </w:rPr>
            </w:pPr>
            <w:r>
              <w:rPr>
                <w:noProof/>
              </w:rPr>
              <w:t>ECONOMISCH RESULTAAT VAN HET JAAR</w:t>
            </w:r>
          </w:p>
        </w:tc>
        <w:tc>
          <w:tcPr>
            <w:tcW w:w="2477" w:type="dxa"/>
            <w:shd w:val="pct20" w:color="auto" w:fill="auto"/>
          </w:tcPr>
          <w:p>
            <w:pPr>
              <w:jc w:val="right"/>
              <w:rPr>
                <w:noProof/>
              </w:rPr>
            </w:pPr>
            <w:r>
              <w:rPr>
                <w:noProof/>
              </w:rPr>
              <w:t>(51 709 948)</w:t>
            </w:r>
          </w:p>
        </w:tc>
        <w:tc>
          <w:tcPr>
            <w:tcW w:w="2910" w:type="dxa"/>
            <w:shd w:val="pct20" w:color="auto" w:fill="auto"/>
          </w:tcPr>
          <w:p>
            <w:pPr>
              <w:jc w:val="right"/>
              <w:rPr>
                <w:noProof/>
              </w:rPr>
            </w:pPr>
            <w:r>
              <w:rPr>
                <w:noProof/>
              </w:rPr>
              <w:t>(122 602)</w:t>
            </w:r>
          </w:p>
        </w:tc>
      </w:tr>
    </w:tbl>
    <w:p>
      <w:pPr>
        <w:pStyle w:val="ListBullet"/>
        <w:numPr>
          <w:ilvl w:val="0"/>
          <w:numId w:val="0"/>
        </w:numPr>
        <w:ind w:left="283" w:hanging="283"/>
        <w:rPr>
          <w:noProof/>
        </w:rPr>
      </w:pPr>
      <w:bookmarkStart w:id="33" w:name="RANGE!A1:C28"/>
      <w:bookmarkStart w:id="34" w:name="_Toc323019504"/>
      <w:bookmarkStart w:id="35" w:name="_Toc354050130"/>
      <w:bookmarkStart w:id="36" w:name="_Toc358294851"/>
      <w:bookmarkStart w:id="37" w:name="_Toc415838348"/>
      <w:bookmarkEnd w:id="29"/>
      <w:bookmarkEnd w:id="30"/>
      <w:bookmarkEnd w:id="33"/>
    </w:p>
    <w:p>
      <w:pPr>
        <w:pStyle w:val="ListBullet"/>
        <w:tabs>
          <w:tab w:val="clear" w:pos="283"/>
        </w:tabs>
        <w:ind w:left="360" w:hanging="360"/>
        <w:rPr>
          <w:noProof/>
        </w:rPr>
      </w:pPr>
      <w:r>
        <w:rPr>
          <w:noProof/>
        </w:rPr>
        <w:t>De uitgaven voor operationele activiteiten omvatten voornamelijk EIB-vermogensbeheersprovisies (0,8 miljoen EUR), aanvullingen op de financiële voorzieningen voor de uitstaande toekomstige Syrische tranches (1,1 miljoen EUR) en wisselkoersverliezen (1,2 miljoen EUR).</w:t>
      </w:r>
    </w:p>
    <w:p>
      <w:pPr>
        <w:pStyle w:val="ListBullet"/>
        <w:tabs>
          <w:tab w:val="clear" w:pos="283"/>
        </w:tabs>
        <w:ind w:left="360" w:hanging="360"/>
        <w:rPr>
          <w:noProof/>
        </w:rPr>
      </w:pPr>
      <w:r>
        <w:rPr>
          <w:noProof/>
        </w:rPr>
        <w:t>De financiële baten omvatten voornamelijk de rentebaten uit hoofde van de beleggingsportefeuille (6,8 miljoen EUR), gerealiseerde winsten op de verkoop van financiële activa (8,8 miljoen EUR), risicogerelateerde beloning van verrichtingen in de particuliere sector onder het EIB-mandaat (9,1 miljoen EUR) en opgelopen rente voor te late betalingen met betrekking tot gesubrogeerde bedragen (18,1 miljoen EUR).</w:t>
      </w:r>
    </w:p>
    <w:p>
      <w:pPr>
        <w:numPr>
          <w:ilvl w:val="0"/>
          <w:numId w:val="13"/>
        </w:numPr>
        <w:tabs>
          <w:tab w:val="clear" w:pos="850"/>
          <w:tab w:val="num" w:pos="284"/>
        </w:tabs>
        <w:ind w:left="284" w:hanging="284"/>
        <w:rPr>
          <w:noProof/>
        </w:rPr>
      </w:pPr>
      <w:r>
        <w:rPr>
          <w:noProof/>
        </w:rPr>
        <w:t>De financiële kosten omvatten voornamelijk bijzondere waardeverminderingsverliezen (19,6 miljoen EUR) op bedragen waarvoor in 2020 subrogatie door de EU heeft plaatsgevonden (zie punt 5), gerealiseerde verliezen op de verkoop van financiële activa (1,4 miljoen EUR) en een opgenomen financiële verplichting in verband met garanties inzake verrichtingen in de particuliere sector onder het EIB-mandaat (70,2 miljoen EUR).</w:t>
      </w:r>
    </w:p>
    <w:p>
      <w:pPr>
        <w:pStyle w:val="ManualHeading1"/>
        <w:rPr>
          <w:noProof/>
        </w:rPr>
      </w:pPr>
      <w:bookmarkStart w:id="38" w:name="_Toc78382489"/>
      <w:r>
        <w:rPr>
          <w:noProof/>
        </w:rPr>
        <w:t>4.</w:t>
      </w:r>
      <w:r>
        <w:rPr>
          <w:noProof/>
        </w:rPr>
        <w:tab/>
        <w:t>Treasurybeheer van het Garantiefonds</w:t>
      </w:r>
      <w:bookmarkEnd w:id="38"/>
    </w:p>
    <w:p>
      <w:pPr>
        <w:pStyle w:val="ManualHeading2"/>
        <w:spacing w:before="360"/>
        <w:ind w:left="851" w:hanging="851"/>
        <w:rPr>
          <w:noProof/>
        </w:rPr>
      </w:pPr>
      <w:bookmarkStart w:id="39" w:name="_Toc478037617"/>
      <w:bookmarkStart w:id="40" w:name="_Toc478625455"/>
      <w:bookmarkStart w:id="41" w:name="_Toc78382490"/>
      <w:bookmarkStart w:id="42" w:name="_Toc323019509"/>
      <w:bookmarkEnd w:id="34"/>
      <w:bookmarkEnd w:id="35"/>
      <w:bookmarkEnd w:id="36"/>
      <w:bookmarkEnd w:id="37"/>
      <w:bookmarkEnd w:id="39"/>
      <w:bookmarkEnd w:id="40"/>
      <w:r>
        <w:rPr>
          <w:noProof/>
        </w:rPr>
        <w:t>4.1.</w:t>
      </w:r>
      <w:r>
        <w:rPr>
          <w:noProof/>
        </w:rPr>
        <w:tab/>
        <w:t>Beleggingsbeleid</w:t>
      </w:r>
      <w:bookmarkEnd w:id="41"/>
    </w:p>
    <w:p>
      <w:pPr>
        <w:spacing w:after="0"/>
        <w:rPr>
          <w:noProof/>
        </w:rPr>
      </w:pPr>
      <w:r>
        <w:rPr>
          <w:noProof/>
        </w:rPr>
        <w:t>De liquide middelen van het Fonds worden uitgezet volgens de beheersbeginselen vastgesteld in de bijlage bij de beheerovereenkomst, als gewijzigd</w:t>
      </w:r>
      <w:r>
        <w:rPr>
          <w:rStyle w:val="FootnoteReference"/>
          <w:noProof/>
        </w:rPr>
        <w:footnoteReference w:id="3"/>
      </w:r>
      <w:r>
        <w:rPr>
          <w:noProof/>
        </w:rPr>
        <w:t>. Dienovereenkomstig worden voldoende activa in monetaire activa belegd ter dekking van uitstromen op korte termijn (minder dan een jaar). Het desbetreffende percentage moet worden vastgesteld in de jaarlijkse beleggingsstrategie. De resterende activa mogen worden belegd in instrumenten op middellange en lange termijn met een maximale looptijd van 10 jaar en 6 maanden, te rekenen vanaf de betalingsdatum (portefeuille op middellange en lange termijn). Eind 2020 bedroeg de totale gewijzigde duration van de portefeuille van het Fonds ongeveer 3 jaar.</w:t>
      </w:r>
    </w:p>
    <w:p>
      <w:pPr>
        <w:pStyle w:val="ManualHeading2"/>
        <w:spacing w:before="360"/>
        <w:ind w:left="851" w:hanging="851"/>
        <w:rPr>
          <w:noProof/>
        </w:rPr>
      </w:pPr>
      <w:bookmarkStart w:id="43" w:name="_Toc78382491"/>
      <w:r>
        <w:rPr>
          <w:noProof/>
        </w:rPr>
        <w:t>4.2.</w:t>
      </w:r>
      <w:r>
        <w:rPr>
          <w:noProof/>
        </w:rPr>
        <w:tab/>
      </w:r>
      <w:r>
        <w:rPr>
          <w:noProof/>
        </w:rPr>
        <w:tab/>
        <w:t>Prestaties en marktontwikkelingen in 2020</w:t>
      </w:r>
      <w:bookmarkEnd w:id="43"/>
    </w:p>
    <w:p>
      <w:pPr>
        <w:rPr>
          <w:noProof/>
        </w:rPr>
      </w:pPr>
      <w:r>
        <w:rPr>
          <w:noProof/>
        </w:rPr>
        <w:t>De prestaties van de portefeuille van het Fonds werden gemonitord volgens de op de waardering tegen marktwaarde gebaseerde methode. In 2020 leverde de portefeuille van het Fonds een rendement van 1 074 % op, wat 28,6 basispunten hoger was dan de benchmark. De prestaties werden bepaald door de hoge volatiliteit, terwijl het klimaat van lagere rendementen aanhield, ondersteund door de accommoderende koers van het begrotings- en monetair beleid tijdens de pandemie. Het positieve rendement vertaalde zich in een positieve bijdrage van 30 miljoen EUR. Eind 2020 bedroeg de marktwaarde van de portefeuille van het Fonds ongeveer 2 810 miljoen EUR.</w:t>
      </w:r>
    </w:p>
    <w:p>
      <w:pPr>
        <w:rPr>
          <w:noProof/>
        </w:rPr>
      </w:pPr>
      <w:r>
        <w:rPr>
          <w:noProof/>
        </w:rPr>
        <w:t xml:space="preserve">De pandemie heeft geleid tot plotselinge en ongeëvenaarde uitdagingen voor de wereldeconomie. Maatregelen om de verspreiding van het virus in te dammen, hadden een uitgesproken negatief effect op de economische activiteit en leidden tot een krimp van de wereldhandel en een toename van de volatiliteit van de financiële markten. Grote delen van de wereldeconomie bevonden zich in lockdown, hetgeen de onzekerheid van de consument aanwakkerde en de vraag afzwakte, waarbij de dienstensector met de ernstigste gevolgen werd geconfronteerd en de maakindustrie veerkrachtiger is gebleken. </w:t>
      </w:r>
    </w:p>
    <w:p>
      <w:pPr>
        <w:rPr>
          <w:noProof/>
        </w:rPr>
      </w:pPr>
      <w:r>
        <w:rPr>
          <w:noProof/>
        </w:rPr>
        <w:t xml:space="preserve">De monetaire en budgettaire beleidskoers bleef positief. In de eurozone heeft de ECB een nieuw tijdelijk pandemieprogramma voor de aankoop van activa ingevoerd voor een totaalbedrag van 1 850 miljard EUR, ter aanvulling van de bestaande programma’s voor de aankoop van activa (APP’s). Aanvullende monetaire accommodatie werd gerealiseerd door het versoepelen van de voorwaarden voor Long Term Refinancing Operations (LTRO’s) en Targeted Long Term Refinancing Operations (TLTRO’s) en de uitbreiding van de APP’s met de aanvullende tijdelijke toewijzing van 120 miljard EUR. In de VS voerde de Federal Reserve een reeks maatregelen in om de markten te stabiliseren en de groei te stimuleren, waaronder twee nieuwe faciliteiten (de Primary en de Secondary Market Corporate Credit Facility), waarbij plafonds voor geplande aankopen van activa in het kader van QE werden opgeheven en de tarieven vanaf maart 2020 met 1,5 procentpunten werden verlaagd tot nagenoeg nul.  </w:t>
      </w:r>
    </w:p>
    <w:p>
      <w:pPr>
        <w:rPr>
          <w:noProof/>
        </w:rPr>
      </w:pPr>
      <w:r>
        <w:rPr>
          <w:noProof/>
        </w:rPr>
        <w:t>De financiële markten hebben eind 2020 relatief goed gepresteerd als gevolg van een verbeterd risicogevoel, geruststellend nieuws over de ontwikkeling van vaccins en optimisme over het budgettaire stimuleringspakket na de Amerikaanse presidentsverkiezingen. In Europa werden de begrotingsmaatregelen op nationaal niveau verder versterkt door de invoering van het Next Generation EU (NGEU) en steun om het risico op werkloosheid te beperken in een noodtoestand (SURE), waardoor het momentum en de spreads werden versterkt. Tegen deze achtergrond bleven de rentetarieven en de kredietverlening in het eurogebied dalen, zij het in een trager tempo dan voorheen, terwijl de langlopende staatsrendementen hoger uitvielen.</w:t>
      </w:r>
    </w:p>
    <w:p>
      <w:pPr>
        <w:pStyle w:val="ManualHeading1"/>
        <w:rPr>
          <w:noProof/>
        </w:rPr>
      </w:pPr>
      <w:bookmarkStart w:id="44" w:name="_Toc78382492"/>
      <w:bookmarkEnd w:id="42"/>
      <w:r>
        <w:rPr>
          <w:noProof/>
        </w:rPr>
        <w:t>5.</w:t>
      </w:r>
      <w:r>
        <w:rPr>
          <w:noProof/>
        </w:rPr>
        <w:tab/>
        <w:t>Beroep op het Garantiefonds</w:t>
      </w:r>
      <w:bookmarkEnd w:id="44"/>
    </w:p>
    <w:p>
      <w:pPr>
        <w:keepNext/>
        <w:spacing w:after="0"/>
        <w:rPr>
          <w:b/>
          <w:noProof/>
          <w:u w:val="single"/>
        </w:rPr>
      </w:pPr>
      <w:r>
        <w:rPr>
          <w:b/>
          <w:noProof/>
          <w:u w:val="single"/>
        </w:rPr>
        <w:t>Syrië</w:t>
      </w:r>
    </w:p>
    <w:p>
      <w:pPr>
        <w:rPr>
          <w:noProof/>
        </w:rPr>
      </w:pPr>
      <w:r>
        <w:rPr>
          <w:noProof/>
        </w:rPr>
        <w:t>In de nasleep van de verslechterende situatie in Syrië hadden de Raad Buitenlandse Zaken, het Europees Parlement en de Raad in 2011 een verbod op alle betalingen door de EIB in verband met bestaande leningsovereenkomsten afgekondigd en alle EIB-contracten inzake de verstrekking van technische bijstand voor overheidsprojecten in Syrië opgeschort. De beperkende maatregelen zijn daarna vastgelegd in Verordening (EU) nr. 36/2012 van de Raad van 18 januari 2012, als gewijzigd.</w:t>
      </w:r>
    </w:p>
    <w:p>
      <w:pPr>
        <w:rPr>
          <w:noProof/>
        </w:rPr>
      </w:pPr>
      <w:r>
        <w:rPr>
          <w:noProof/>
        </w:rPr>
        <w:t>Als gevolg hiervan zijn door de EIB sinds mei 2011 geen nieuwe financieringsoperaties meer uitgevoerd en zijn sinds november 2011 alle lopende betalingen en overeenkomsten inzake de verlening van technische bijstand aan Syrië tot nader order opgeschort.</w:t>
      </w:r>
    </w:p>
    <w:p>
      <w:pPr>
        <w:rPr>
          <w:noProof/>
        </w:rPr>
      </w:pPr>
      <w:r>
        <w:rPr>
          <w:noProof/>
        </w:rPr>
        <w:t>Sinds november 2011 wordt de EIB geconfronteerd met achterstallige betalingen op staatsleningen die aan Syrië zijn verstrekt. Als gevolg daarvan en in overeenstemming met de desbetreffende garantieovereenkomsten tussen de EU en de EIB heeft de EIB tot 31 december 2020 91 keer een beroep gedaan op het EU-Garantiefonds voor een totaalbedrag van 528,39 miljoen EUR (inclusief door de EIB opgelegde boeten en ingevorderde bedragen).</w:t>
      </w:r>
    </w:p>
    <w:p>
      <w:pPr>
        <w:pStyle w:val="ManualHeading1"/>
        <w:rPr>
          <w:noProof/>
        </w:rPr>
      </w:pPr>
      <w:bookmarkStart w:id="45" w:name="_Toc323019515"/>
      <w:bookmarkStart w:id="46" w:name="_Toc354050137"/>
      <w:bookmarkStart w:id="47" w:name="_Toc358294858"/>
      <w:bookmarkStart w:id="48" w:name="_Toc415838355"/>
      <w:bookmarkStart w:id="49" w:name="_Toc78382493"/>
      <w:r>
        <w:rPr>
          <w:noProof/>
        </w:rPr>
        <w:t>6.</w:t>
      </w:r>
      <w:r>
        <w:rPr>
          <w:noProof/>
        </w:rPr>
        <w:tab/>
        <w:t>Vergoeding van de EIB</w:t>
      </w:r>
      <w:bookmarkEnd w:id="45"/>
      <w:bookmarkEnd w:id="46"/>
      <w:bookmarkEnd w:id="47"/>
      <w:bookmarkEnd w:id="48"/>
      <w:bookmarkEnd w:id="49"/>
    </w:p>
    <w:p>
      <w:pPr>
        <w:rPr>
          <w:noProof/>
        </w:rPr>
      </w:pPr>
      <w:r>
        <w:rPr>
          <w:noProof/>
        </w:rPr>
        <w:t>De EIB-vergoeding bestaat uit de beheervergoedingen en de invorderingsvergoedingen. De beheersvergoedingen dekken het activabeheer van het Fonds. De invorderingsvergoedingen dekken de uitgaven in verband met externe invorderingen van de EIB betreffende vorderingen na wanbetalingen die onder de EU-garantie voor EIB-financieringsoperaties buiten de Unie vallen.</w:t>
      </w:r>
    </w:p>
    <w:p>
      <w:pPr>
        <w:rPr>
          <w:noProof/>
        </w:rPr>
      </w:pPr>
      <w:r>
        <w:rPr>
          <w:noProof/>
        </w:rPr>
        <w:t>In het van 8 mei 2002 daterende tweede aanhangsel van de overeenkomst is bepaald dat de beheersvergoedingen van de EIB worden vastgesteld door op elke tranche van de activa van het Fonds degressieve jaarlijkse provisiepercentages toe te passen. De berekening van deze vergoeding geschiedt op basis van de jaarlijkse gemiddelde activa van het Fonds.</w:t>
      </w:r>
    </w:p>
    <w:p>
      <w:pPr>
        <w:rPr>
          <w:noProof/>
        </w:rPr>
      </w:pPr>
      <w:r>
        <w:rPr>
          <w:noProof/>
        </w:rPr>
        <w:t>Voor 2020 werden de beheersvergoedingen van de EIB vastgesteld op 837 634 EUR en werden zij in het overzicht van de financiële prestaties als last en op de balans als overlopende post (verplichtingen) opgenomen.</w:t>
      </w:r>
      <w:bookmarkStart w:id="50" w:name="_CopyToNewDocument_"/>
      <w:bookmarkEnd w:id="50"/>
    </w:p>
    <w:p>
      <w:pPr>
        <w:rPr>
          <w:rFonts w:ascii="Calibri" w:hAnsi="Calibri"/>
          <w:noProof/>
          <w:color w:val="000000"/>
          <w:sz w:val="22"/>
          <w:szCs w:val="22"/>
        </w:rPr>
      </w:pPr>
      <w:r>
        <w:rPr>
          <w:noProof/>
        </w:rPr>
        <w:t>De in december 2018 tussen de Commissie en de Bank ondertekende invorderingsovereenkomst voorziet enkel in de dekking van de uitgaven in verband met externe invorderingen van de EIB (en niet langer van de uitgaven in verband met interne invorderingen).</w:t>
      </w:r>
    </w:p>
    <w:sectPr>
      <w:headerReference w:type="even" r:id="rId16"/>
      <w:headerReference w:type="default" r:id="rId17"/>
      <w:footerReference w:type="even" r:id="rId18"/>
      <w:footerReference w:type="default" r:id="rId19"/>
      <w:headerReference w:type="first" r:id="rId20"/>
      <w:footerReference w:type="first" r:id="rId21"/>
      <w:pgSz w:w="11906" w:h="16838"/>
      <w:pgMar w:top="1440" w:right="1800" w:bottom="1440" w:left="180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NL</w:t>
    </w:r>
    <w:r>
      <w:rPr>
        <w:rFonts w:ascii="Arial" w:hAnsi="Arial" w:cs="Arial"/>
        <w:b/>
        <w:sz w:val="48"/>
      </w:rPr>
      <w:tab/>
    </w:r>
    <w:r>
      <w:rPr>
        <w:rFonts w:ascii="Arial" w:hAnsi="Arial" w:cs="Arial"/>
        <w:b/>
        <w:sz w:val="48"/>
      </w:rPr>
      <w:tab/>
    </w:r>
    <w:r>
      <w:tab/>
    </w:r>
    <w:r>
      <w:rPr>
        <w:rFonts w:ascii="Arial" w:hAnsi="Arial" w:cs="Arial"/>
        <w:b/>
        <w:sz w:val="48"/>
      </w:rPr>
      <w:t>NL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3278962"/>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1</w:t>
        </w:r>
        <w:r>
          <w:fldChar w:fldCharType="end"/>
        </w:r>
      </w:p>
    </w:sdtContent>
  </w:sdt>
  <w:p>
    <w:pPr>
      <w:pStyle w:val="Foote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ind w:left="360" w:hanging="360"/>
      </w:pPr>
      <w:r>
        <w:rPr>
          <w:rStyle w:val="FootnoteReference"/>
        </w:rPr>
        <w:footnoteRef/>
      </w:r>
      <w:r>
        <w:tab/>
        <w:t>PB L 145 van 10.6.2009, blz. 10; bij de verordening is Verordening (EG, Euratom) nr. 2728/94 van de Raad van 31 oktober 1994 tot instelling van een Garantiefonds gecodificeerd en ingetrokken. Zij werd gewijzigd op 14.3.2018 door Verordening (EU) 2018/409 van het Europees Parlement en de Raad.</w:t>
      </w:r>
    </w:p>
  </w:footnote>
  <w:footnote w:id="2">
    <w:p>
      <w:pPr>
        <w:pStyle w:val="FootnoteText"/>
        <w:ind w:left="360" w:hanging="360"/>
      </w:pPr>
      <w:r>
        <w:rPr>
          <w:rStyle w:val="FootnoteReference"/>
        </w:rPr>
        <w:footnoteRef/>
      </w:r>
      <w:r>
        <w:tab/>
        <w:t>Aanhangsel 5 van de overeenkomst in verband met het beheer van het Garantiefonds tussen de Europese Unie en de Europese Investeringsbank - Ref. Ares(2018)5207374 - 10/10/2018.</w:t>
      </w:r>
    </w:p>
  </w:footnote>
  <w:footnote w:id="3">
    <w:p>
      <w:pPr>
        <w:pStyle w:val="FootnoteText"/>
        <w:ind w:left="0" w:firstLine="0"/>
      </w:pPr>
      <w:r>
        <w:rPr>
          <w:rStyle w:val="FootnoteReference"/>
        </w:rPr>
        <w:footnoteRef/>
      </w:r>
      <w:r>
        <w:t xml:space="preserve"> </w:t>
      </w:r>
      <w:r>
        <w:rPr>
          <w:lang w:val="fr-FR"/>
        </w:rPr>
        <w:tab/>
      </w:r>
      <w:r>
        <w:t>Gewijzigd bij aanhangsel 1 van 23 september 1996, aanhangsel 2 van 8 mei 2002, aanhangsel 3 van 25 februari 2008, aanhangsel 4 van 9 november 2010 en aanhangsel 5 van 28 september 2018.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333ABAE0"/>
    <w:lvl w:ilvl="0">
      <w:start w:val="1"/>
      <w:numFmt w:val="decimal"/>
      <w:pStyle w:val="ListNumber4"/>
      <w:lvlText w:val="%1."/>
      <w:lvlJc w:val="left"/>
      <w:pPr>
        <w:tabs>
          <w:tab w:val="num" w:pos="1209"/>
        </w:tabs>
        <w:ind w:left="1209" w:hanging="360"/>
      </w:pPr>
      <w:rPr>
        <w:rFonts w:cs="Times New Roman"/>
      </w:rPr>
    </w:lvl>
  </w:abstractNum>
  <w:abstractNum w:abstractNumId="1">
    <w:nsid w:val="FFFFFF7E"/>
    <w:multiLevelType w:val="singleLevel"/>
    <w:tmpl w:val="8FFC5720"/>
    <w:lvl w:ilvl="0">
      <w:start w:val="1"/>
      <w:numFmt w:val="decimal"/>
      <w:pStyle w:val="ListNumber3"/>
      <w:lvlText w:val="%1."/>
      <w:lvlJc w:val="left"/>
      <w:pPr>
        <w:tabs>
          <w:tab w:val="num" w:pos="926"/>
        </w:tabs>
        <w:ind w:left="926" w:hanging="360"/>
      </w:pPr>
      <w:rPr>
        <w:rFonts w:cs="Times New Roman"/>
      </w:rPr>
    </w:lvl>
  </w:abstractNum>
  <w:abstractNum w:abstractNumId="2">
    <w:nsid w:val="FFFFFF7F"/>
    <w:multiLevelType w:val="singleLevel"/>
    <w:tmpl w:val="EEC82E3C"/>
    <w:lvl w:ilvl="0">
      <w:start w:val="1"/>
      <w:numFmt w:val="decimal"/>
      <w:pStyle w:val="ListNumber2"/>
      <w:lvlText w:val="%1."/>
      <w:lvlJc w:val="left"/>
      <w:pPr>
        <w:tabs>
          <w:tab w:val="num" w:pos="643"/>
        </w:tabs>
        <w:ind w:left="643" w:hanging="360"/>
      </w:pPr>
      <w:rPr>
        <w:rFonts w:cs="Times New Roman"/>
      </w:rPr>
    </w:lvl>
  </w:abstractNum>
  <w:abstractNum w:abstractNumId="3">
    <w:nsid w:val="FFFFFF81"/>
    <w:multiLevelType w:val="singleLevel"/>
    <w:tmpl w:val="CDC48C4A"/>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F634D4D6"/>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22F69066"/>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71D6A4E8"/>
    <w:lvl w:ilvl="0">
      <w:start w:val="1"/>
      <w:numFmt w:val="decimal"/>
      <w:pStyle w:val="ListNumber"/>
      <w:lvlText w:val="%1."/>
      <w:lvlJc w:val="left"/>
      <w:pPr>
        <w:tabs>
          <w:tab w:val="num" w:pos="360"/>
        </w:tabs>
        <w:ind w:left="360" w:hanging="360"/>
      </w:pPr>
      <w:rPr>
        <w:rFonts w:cs="Times New Roman"/>
      </w:rPr>
    </w:lvl>
  </w:abstractNum>
  <w:abstractNum w:abstractNumId="7">
    <w:nsid w:val="00000003"/>
    <w:multiLevelType w:val="singleLevel"/>
    <w:tmpl w:val="00000003"/>
    <w:name w:val="WW8Num2"/>
    <w:lvl w:ilvl="0">
      <w:start w:val="1"/>
      <w:numFmt w:val="bullet"/>
      <w:lvlText w:val=""/>
      <w:lvlJc w:val="left"/>
      <w:pPr>
        <w:tabs>
          <w:tab w:val="num" w:pos="360"/>
        </w:tabs>
        <w:ind w:left="360" w:hanging="360"/>
      </w:pPr>
      <w:rPr>
        <w:rFonts w:ascii="Symbol" w:hAnsi="Symbol"/>
      </w:rPr>
    </w:lvl>
  </w:abstractNum>
  <w:abstractNum w:abstractNumId="8">
    <w:nsid w:val="0CB477BA"/>
    <w:multiLevelType w:val="multilevel"/>
    <w:tmpl w:val="9E247306"/>
    <w:lvl w:ilvl="0">
      <w:start w:val="1"/>
      <w:numFmt w:val="decimal"/>
      <w:lvlRestart w:val="0"/>
      <w:pStyle w:val="Heading1"/>
      <w:lvlText w:val="%1."/>
      <w:lvlJc w:val="left"/>
      <w:pPr>
        <w:tabs>
          <w:tab w:val="num" w:pos="850"/>
        </w:tabs>
        <w:ind w:left="850" w:hanging="850"/>
      </w:pPr>
      <w:rPr>
        <w:rFonts w:hint="default"/>
      </w:rPr>
    </w:lvl>
    <w:lvl w:ilvl="1">
      <w:start w:val="1"/>
      <w:numFmt w:val="decimal"/>
      <w:pStyle w:val="Heading2"/>
      <w:lvlText w:val="%1.%2."/>
      <w:lvlJc w:val="left"/>
      <w:pPr>
        <w:tabs>
          <w:tab w:val="num" w:pos="850"/>
        </w:tabs>
        <w:ind w:left="850" w:hanging="850"/>
      </w:pPr>
      <w:rPr>
        <w:rFonts w:hint="default"/>
      </w:rPr>
    </w:lvl>
    <w:lvl w:ilvl="2">
      <w:start w:val="1"/>
      <w:numFmt w:val="decimal"/>
      <w:pStyle w:val="Heading3"/>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0F212747"/>
    <w:multiLevelType w:val="multilevel"/>
    <w:tmpl w:val="FBD0F488"/>
    <w:name w:val="NumPar"/>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nsid w:val="11550F54"/>
    <w:multiLevelType w:val="multilevel"/>
    <w:tmpl w:val="54BAD364"/>
    <w:lvl w:ilvl="0">
      <w:start w:val="1"/>
      <w:numFmt w:val="bullet"/>
      <w:lvlText w:val=""/>
      <w:lvlJc w:val="left"/>
      <w:pPr>
        <w:tabs>
          <w:tab w:val="num" w:pos="850"/>
        </w:tabs>
        <w:ind w:left="850" w:hanging="850"/>
      </w:pPr>
      <w:rPr>
        <w:rFonts w:ascii="Symbol" w:hAnsi="Symbol" w:hint="default"/>
      </w:rPr>
    </w:lvl>
    <w:lvl w:ilvl="1">
      <w:start w:val="1"/>
      <w:numFmt w:val="bullet"/>
      <w:lvlText w:val=""/>
      <w:lvlJc w:val="left"/>
      <w:pPr>
        <w:tabs>
          <w:tab w:val="num" w:pos="850"/>
        </w:tabs>
        <w:ind w:left="850" w:hanging="850"/>
      </w:pPr>
      <w:rPr>
        <w:rFonts w:ascii="Wingdings" w:hAnsi="Wingdings" w:hint="default"/>
      </w:rPr>
    </w:lvl>
    <w:lvl w:ilvl="2">
      <w:start w:val="1"/>
      <w:numFmt w:val="bullet"/>
      <w:lvlText w:val=""/>
      <w:lvlJc w:val="left"/>
      <w:pPr>
        <w:tabs>
          <w:tab w:val="num" w:pos="1417"/>
        </w:tabs>
        <w:ind w:left="1417" w:hanging="567"/>
      </w:pPr>
      <w:rPr>
        <w:rFonts w:ascii="Symbol" w:hAnsi="Symbol" w:hint="default"/>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11">
    <w:nsid w:val="15592001"/>
    <w:multiLevelType w:val="singleLevel"/>
    <w:tmpl w:val="3C6C7C7E"/>
    <w:lvl w:ilvl="0">
      <w:start w:val="1"/>
      <w:numFmt w:val="bullet"/>
      <w:lvlRestart w:val="0"/>
      <w:lvlText w:val=""/>
      <w:lvlJc w:val="left"/>
      <w:pPr>
        <w:tabs>
          <w:tab w:val="num" w:pos="850"/>
        </w:tabs>
        <w:ind w:left="850" w:hanging="850"/>
      </w:pPr>
      <w:rPr>
        <w:rFonts w:ascii="Symbol" w:hAnsi="Symbol" w:hint="default"/>
      </w:rPr>
    </w:lvl>
  </w:abstractNum>
  <w:abstractNum w:abstractNumId="12">
    <w:nsid w:val="2AF76E7A"/>
    <w:multiLevelType w:val="singleLevel"/>
    <w:tmpl w:val="C74C5A32"/>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3">
    <w:nsid w:val="2F076C74"/>
    <w:multiLevelType w:val="multilevel"/>
    <w:tmpl w:val="48F8D8CA"/>
    <w:lvl w:ilvl="0">
      <w:start w:val="1"/>
      <w:numFmt w:val="bullet"/>
      <w:lvlText w:val=""/>
      <w:lvlJc w:val="left"/>
      <w:pPr>
        <w:tabs>
          <w:tab w:val="num" w:pos="850"/>
        </w:tabs>
        <w:ind w:left="850" w:hanging="850"/>
      </w:pPr>
      <w:rPr>
        <w:rFonts w:ascii="Symbol" w:hAnsi="Symbol" w:hint="default"/>
      </w:rPr>
    </w:lvl>
    <w:lvl w:ilvl="1">
      <w:start w:val="1"/>
      <w:numFmt w:val="bullet"/>
      <w:lvlText w:val=""/>
      <w:lvlJc w:val="left"/>
      <w:pPr>
        <w:tabs>
          <w:tab w:val="num" w:pos="850"/>
        </w:tabs>
        <w:ind w:left="850" w:hanging="850"/>
      </w:pPr>
      <w:rPr>
        <w:rFonts w:ascii="Wingdings" w:hAnsi="Wingdings" w:hint="default"/>
      </w:rPr>
    </w:lvl>
    <w:lvl w:ilvl="2">
      <w:start w:val="1"/>
      <w:numFmt w:val="decimal"/>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14">
    <w:nsid w:val="3A5459E8"/>
    <w:multiLevelType w:val="singleLevel"/>
    <w:tmpl w:val="2188C922"/>
    <w:name w:val="Tiret 1"/>
    <w:lvl w:ilvl="0">
      <w:start w:val="1"/>
      <w:numFmt w:val="bullet"/>
      <w:lvlRestart w:val="0"/>
      <w:pStyle w:val="Tiret1"/>
      <w:lvlText w:val="–"/>
      <w:lvlJc w:val="left"/>
      <w:pPr>
        <w:tabs>
          <w:tab w:val="num" w:pos="1417"/>
        </w:tabs>
        <w:ind w:left="1417" w:hanging="567"/>
      </w:pPr>
    </w:lvl>
  </w:abstractNum>
  <w:abstractNum w:abstractNumId="15">
    <w:nsid w:val="3BA736C9"/>
    <w:multiLevelType w:val="singleLevel"/>
    <w:tmpl w:val="F00A6C0C"/>
    <w:name w:val="Tiret 0"/>
    <w:lvl w:ilvl="0">
      <w:start w:val="1"/>
      <w:numFmt w:val="bullet"/>
      <w:lvlRestart w:val="0"/>
      <w:pStyle w:val="Tiret0"/>
      <w:lvlText w:val="–"/>
      <w:lvlJc w:val="left"/>
      <w:pPr>
        <w:tabs>
          <w:tab w:val="num" w:pos="850"/>
        </w:tabs>
        <w:ind w:left="850" w:hanging="850"/>
      </w:pPr>
    </w:lvl>
  </w:abstractNum>
  <w:abstractNum w:abstractNumId="16">
    <w:nsid w:val="3C90278F"/>
    <w:multiLevelType w:val="singleLevel"/>
    <w:tmpl w:val="0FE08974"/>
    <w:name w:val="Tiret 3"/>
    <w:lvl w:ilvl="0">
      <w:start w:val="1"/>
      <w:numFmt w:val="bullet"/>
      <w:lvlRestart w:val="0"/>
      <w:pStyle w:val="Tiret3"/>
      <w:lvlText w:val="–"/>
      <w:lvlJc w:val="left"/>
      <w:pPr>
        <w:tabs>
          <w:tab w:val="num" w:pos="2551"/>
        </w:tabs>
        <w:ind w:left="2551" w:hanging="567"/>
      </w:pPr>
    </w:lvl>
  </w:abstractNum>
  <w:abstractNum w:abstractNumId="17">
    <w:nsid w:val="40FF3500"/>
    <w:multiLevelType w:val="singleLevel"/>
    <w:tmpl w:val="84DA1EE8"/>
    <w:name w:val="Default"/>
    <w:lvl w:ilvl="0">
      <w:start w:val="1"/>
      <w:numFmt w:val="bullet"/>
      <w:lvlRestart w:val="0"/>
      <w:lvlText w:val=""/>
      <w:lvlJc w:val="left"/>
      <w:pPr>
        <w:tabs>
          <w:tab w:val="num" w:pos="1417"/>
        </w:tabs>
        <w:ind w:left="1417" w:hanging="567"/>
      </w:pPr>
      <w:rPr>
        <w:rFonts w:ascii="Symbol" w:hAnsi="Symbol" w:hint="default"/>
      </w:rPr>
    </w:lvl>
  </w:abstractNum>
  <w:abstractNum w:abstractNumId="18">
    <w:nsid w:val="43001DEE"/>
    <w:multiLevelType w:val="multilevel"/>
    <w:tmpl w:val="C3843A7A"/>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48842C30"/>
    <w:multiLevelType w:val="singleLevel"/>
    <w:tmpl w:val="4FA60B9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0">
    <w:nsid w:val="54593082"/>
    <w:multiLevelType w:val="singleLevel"/>
    <w:tmpl w:val="EDE069AC"/>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1">
    <w:nsid w:val="568864DC"/>
    <w:multiLevelType w:val="singleLevel"/>
    <w:tmpl w:val="485EBDAC"/>
    <w:name w:val="Tiret 4"/>
    <w:lvl w:ilvl="0">
      <w:start w:val="1"/>
      <w:numFmt w:val="bullet"/>
      <w:lvlRestart w:val="0"/>
      <w:pStyle w:val="Tiret4"/>
      <w:lvlText w:val="–"/>
      <w:lvlJc w:val="left"/>
      <w:pPr>
        <w:tabs>
          <w:tab w:val="num" w:pos="3118"/>
        </w:tabs>
        <w:ind w:left="3118" w:hanging="567"/>
      </w:pPr>
    </w:lvl>
  </w:abstractNum>
  <w:abstractNum w:abstractNumId="22">
    <w:nsid w:val="5D344EE5"/>
    <w:multiLevelType w:val="multilevel"/>
    <w:tmpl w:val="FAC03BFE"/>
    <w:lvl w:ilvl="0">
      <w:start w:val="1"/>
      <w:numFmt w:val="bullet"/>
      <w:lvlText w:val=""/>
      <w:lvlJc w:val="left"/>
      <w:pPr>
        <w:tabs>
          <w:tab w:val="num" w:pos="850"/>
        </w:tabs>
        <w:ind w:left="850" w:hanging="850"/>
      </w:pPr>
      <w:rPr>
        <w:rFonts w:ascii="Symbol" w:hAnsi="Symbol" w:hint="default"/>
      </w:rPr>
    </w:lvl>
    <w:lvl w:ilvl="1">
      <w:start w:val="1"/>
      <w:numFmt w:val="bullet"/>
      <w:lvlText w:val=""/>
      <w:lvlJc w:val="left"/>
      <w:pPr>
        <w:tabs>
          <w:tab w:val="num" w:pos="850"/>
        </w:tabs>
        <w:ind w:left="850" w:hanging="850"/>
      </w:pPr>
      <w:rPr>
        <w:rFonts w:ascii="Wingdings" w:hAnsi="Wingdings" w:hint="default"/>
      </w:rPr>
    </w:lvl>
    <w:lvl w:ilvl="2">
      <w:start w:val="1"/>
      <w:numFmt w:val="bullet"/>
      <w:lvlText w:val=""/>
      <w:lvlJc w:val="left"/>
      <w:pPr>
        <w:tabs>
          <w:tab w:val="num" w:pos="1417"/>
        </w:tabs>
        <w:ind w:left="1417" w:hanging="567"/>
      </w:pPr>
      <w:rPr>
        <w:rFonts w:ascii="Wingdings" w:hAnsi="Wingdings" w:hint="default"/>
      </w:rPr>
    </w:lvl>
    <w:lvl w:ilvl="3">
      <w:start w:val="1"/>
      <w:numFmt w:val="lowerLetter"/>
      <w:lvlText w:val="(%4)"/>
      <w:lvlJc w:val="left"/>
      <w:pPr>
        <w:tabs>
          <w:tab w:val="num" w:pos="1417"/>
        </w:tabs>
        <w:ind w:left="1417" w:hanging="567"/>
      </w:pPr>
      <w:rPr>
        <w:rFonts w:cs="Times New Roman"/>
      </w:rPr>
    </w:lvl>
    <w:lvl w:ilvl="4">
      <w:start w:val="1"/>
      <w:numFmt w:val="decimal"/>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23">
    <w:nsid w:val="5D432F82"/>
    <w:multiLevelType w:val="hybridMultilevel"/>
    <w:tmpl w:val="5F78F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F342530"/>
    <w:multiLevelType w:val="singleLevel"/>
    <w:tmpl w:val="D5444702"/>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5">
    <w:nsid w:val="5F9C40AA"/>
    <w:multiLevelType w:val="singleLevel"/>
    <w:tmpl w:val="B89CB5A2"/>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6">
    <w:nsid w:val="62970F71"/>
    <w:multiLevelType w:val="singleLevel"/>
    <w:tmpl w:val="5AFA8C72"/>
    <w:name w:val="Tiret 2"/>
    <w:lvl w:ilvl="0">
      <w:start w:val="1"/>
      <w:numFmt w:val="bullet"/>
      <w:lvlRestart w:val="0"/>
      <w:pStyle w:val="Tiret2"/>
      <w:lvlText w:val="–"/>
      <w:lvlJc w:val="left"/>
      <w:pPr>
        <w:tabs>
          <w:tab w:val="num" w:pos="1984"/>
        </w:tabs>
        <w:ind w:left="1984" w:hanging="567"/>
      </w:pPr>
    </w:lvl>
  </w:abstractNum>
  <w:abstractNum w:abstractNumId="27">
    <w:nsid w:val="63B26268"/>
    <w:multiLevelType w:val="singleLevel"/>
    <w:tmpl w:val="491E6360"/>
    <w:name w:val="Heading"/>
    <w:lvl w:ilvl="0">
      <w:start w:val="1"/>
      <w:numFmt w:val="decimal"/>
      <w:lvlRestart w:val="0"/>
      <w:lvlText w:val="(%1)"/>
      <w:lvlJc w:val="left"/>
      <w:pPr>
        <w:tabs>
          <w:tab w:val="num" w:pos="709"/>
        </w:tabs>
        <w:ind w:left="709" w:hanging="709"/>
      </w:pPr>
      <w:rPr>
        <w:rFonts w:cs="Times New Roman"/>
      </w:rPr>
    </w:lvl>
  </w:abstractNum>
  <w:abstractNum w:abstractNumId="28">
    <w:nsid w:val="69995580"/>
    <w:multiLevelType w:val="singleLevel"/>
    <w:tmpl w:val="75CC7CBA"/>
    <w:name w:val="Considérant"/>
    <w:lvl w:ilvl="0">
      <w:start w:val="1"/>
      <w:numFmt w:val="decimal"/>
      <w:lvlRestart w:val="0"/>
      <w:pStyle w:val="Considrant"/>
      <w:lvlText w:val="(%1)"/>
      <w:lvlJc w:val="left"/>
      <w:pPr>
        <w:tabs>
          <w:tab w:val="num" w:pos="709"/>
        </w:tabs>
        <w:ind w:left="709" w:hanging="709"/>
      </w:pPr>
    </w:lvl>
  </w:abstractNum>
  <w:abstractNum w:abstractNumId="29">
    <w:nsid w:val="6D2B5511"/>
    <w:multiLevelType w:val="singleLevel"/>
    <w:tmpl w:val="74A09970"/>
    <w:name w:val="0.6452252"/>
    <w:lvl w:ilvl="0">
      <w:start w:val="1"/>
      <w:numFmt w:val="bullet"/>
      <w:lvlRestart w:val="0"/>
      <w:pStyle w:val="ListBullet"/>
      <w:lvlText w:val=""/>
      <w:lvlJc w:val="left"/>
      <w:pPr>
        <w:tabs>
          <w:tab w:val="num" w:pos="283"/>
        </w:tabs>
        <w:ind w:left="283" w:hanging="283"/>
      </w:pPr>
      <w:rPr>
        <w:rFonts w:ascii="Symbol" w:hAnsi="Symbol" w:hint="default"/>
      </w:rPr>
    </w:lvl>
  </w:abstractNum>
  <w:abstractNum w:abstractNumId="30">
    <w:nsid w:val="7BE95D7F"/>
    <w:multiLevelType w:val="multilevel"/>
    <w:tmpl w:val="F126F780"/>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num w:numId="1">
    <w:abstractNumId w:val="20"/>
  </w:num>
  <w:num w:numId="2">
    <w:abstractNumId w:val="12"/>
  </w:num>
  <w:num w:numId="3">
    <w:abstractNumId w:val="25"/>
  </w:num>
  <w:num w:numId="4">
    <w:abstractNumId w:val="24"/>
  </w:num>
  <w:num w:numId="5">
    <w:abstractNumId w:val="19"/>
  </w:num>
  <w:num w:numId="6">
    <w:abstractNumId w:val="28"/>
  </w:num>
  <w:num w:numId="7">
    <w:abstractNumId w:val="30"/>
  </w:num>
  <w:num w:numId="8">
    <w:abstractNumId w:val="15"/>
  </w:num>
  <w:num w:numId="9">
    <w:abstractNumId w:val="14"/>
  </w:num>
  <w:num w:numId="10">
    <w:abstractNumId w:val="26"/>
  </w:num>
  <w:num w:numId="11">
    <w:abstractNumId w:val="16"/>
  </w:num>
  <w:num w:numId="12">
    <w:abstractNumId w:val="21"/>
  </w:num>
  <w:num w:numId="13">
    <w:abstractNumId w:val="13"/>
  </w:num>
  <w:num w:numId="14">
    <w:abstractNumId w:val="11"/>
  </w:num>
  <w:num w:numId="15">
    <w:abstractNumId w:val="29"/>
  </w:num>
  <w:num w:numId="16">
    <w:abstractNumId w:val="5"/>
  </w:num>
  <w:num w:numId="17">
    <w:abstractNumId w:val="4"/>
  </w:num>
  <w:num w:numId="18">
    <w:abstractNumId w:val="3"/>
  </w:num>
  <w:num w:numId="19">
    <w:abstractNumId w:val="6"/>
  </w:num>
  <w:num w:numId="20">
    <w:abstractNumId w:val="2"/>
  </w:num>
  <w:num w:numId="21">
    <w:abstractNumId w:val="1"/>
  </w:num>
  <w:num w:numId="22">
    <w:abstractNumId w:val="0"/>
  </w:num>
  <w:num w:numId="23">
    <w:abstractNumId w:val="18"/>
  </w:num>
  <w:num w:numId="24">
    <w:abstractNumId w:val="8"/>
  </w:num>
  <w:num w:numId="25">
    <w:abstractNumId w:val="8"/>
    <w:lvlOverride w:ilvl="0">
      <w:startOverride w:val="3"/>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23"/>
  </w:num>
  <w:num w:numId="28">
    <w:abstractNumId w:val="7"/>
  </w:num>
  <w:num w:numId="29">
    <w:abstractNumId w:val="10"/>
  </w:num>
  <w:num w:numId="30">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1259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3EC4B48D-3B5A-46E6-9446-0B48562A4721"/>
    <w:docVar w:name="LW_COVERPAGE_TYPE" w:val="1"/>
    <w:docVar w:name="LW_CROSSREFERENCE" w:val="{SWD(2021) 224 final}"/>
    <w:docVar w:name="LW_DocType" w:val="NORMAL"/>
    <w:docVar w:name="LW_EMISSION" w:val="20.8.2021"/>
    <w:docVar w:name="LW_EMISSION_ISODATE" w:val="2021-08-20"/>
    <w:docVar w:name="LW_EMISSION_LOCATION" w:val="BRX"/>
    <w:docVar w:name="LW_EMISSION_PREFIX" w:val="Brussel, "/>
    <w:docVar w:name="LW_EMISSION_SUFFIX" w:val=" "/>
    <w:docVar w:name="LW_ID_DOCTYPE_NONLW" w:val="CP-003"/>
    <w:docVar w:name="LW_LANGUE" w:val="NL"/>
    <w:docVar w:name="LW_LEVEL_OF_SENSITIVITY" w:val="Standard treatment"/>
    <w:docVar w:name="LW_NOM.INST" w:val="EUROPESE COMMISSIE"/>
    <w:docVar w:name="LW_NOM.INST_JOINTDOC" w:val="&lt;EMPTY&gt;"/>
    <w:docVar w:name="LW_PART_NBR" w:val="1"/>
    <w:docVar w:name="LW_PART_NBR_TOTAL" w:val="1"/>
    <w:docVar w:name="LW_REF.INST.NEW" w:val="COM"/>
    <w:docVar w:name="LW_REF.INST.NEW_ADOPTED" w:val="final"/>
    <w:docVar w:name="LW_REF.INST.NEW_TEXT" w:val="(2021) 465"/>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OUS.TITRE.OBJ.CP" w:val="&lt;UNUSED&gt;"/>
    <w:docVar w:name="LW_SUPERTITRE" w:val="&lt;UNUSED&gt;"/>
    <w:docVar w:name="LW_TITRE.OBJ.CP" w:val="AAN HET EUROPEES PARLEMENT, DE RAAD EN DE REKENKAMER BETREFFENDE HET GARANTIEFONDS EN HET BEHEER HIERVAN IN 2020"/>
    <w:docVar w:name="LW_TYPE.DOC.CP" w:val="VERSLAG VAN DE COMMISSIE"/>
    <w:docVar w:name="LwApiVersions" w:val="LW4CoDe 1.23.0.0; LW 8.0, Build 20210114"/>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59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jc w:val="both"/>
    </w:pPr>
    <w:rPr>
      <w:sz w:val="24"/>
      <w:szCs w:val="24"/>
      <w:lang w:eastAsia="en-US"/>
    </w:rPr>
  </w:style>
  <w:style w:type="paragraph" w:styleId="Heading1">
    <w:name w:val="heading 1"/>
    <w:basedOn w:val="Normal"/>
    <w:next w:val="Normal"/>
    <w:qFormat/>
    <w:pPr>
      <w:keepNext/>
      <w:numPr>
        <w:numId w:val="24"/>
      </w:numPr>
      <w:spacing w:before="360"/>
      <w:outlineLvl w:val="0"/>
    </w:pPr>
    <w:rPr>
      <w:b/>
      <w:bCs/>
      <w:smallCaps/>
      <w:szCs w:val="32"/>
    </w:rPr>
  </w:style>
  <w:style w:type="paragraph" w:styleId="Heading2">
    <w:name w:val="heading 2"/>
    <w:basedOn w:val="Normal"/>
    <w:next w:val="Normal"/>
    <w:qFormat/>
    <w:pPr>
      <w:keepNext/>
      <w:numPr>
        <w:ilvl w:val="1"/>
        <w:numId w:val="24"/>
      </w:numPr>
      <w:outlineLvl w:val="1"/>
    </w:pPr>
    <w:rPr>
      <w:b/>
      <w:bCs/>
      <w:iCs/>
      <w:szCs w:val="28"/>
    </w:rPr>
  </w:style>
  <w:style w:type="paragraph" w:styleId="Heading3">
    <w:name w:val="heading 3"/>
    <w:basedOn w:val="Normal"/>
    <w:next w:val="Normal"/>
    <w:link w:val="Heading3Char"/>
    <w:autoRedefine/>
    <w:qFormat/>
    <w:pPr>
      <w:keepNext/>
      <w:numPr>
        <w:ilvl w:val="2"/>
        <w:numId w:val="24"/>
      </w:numPr>
      <w:outlineLvl w:val="2"/>
    </w:pPr>
    <w:rPr>
      <w:bCs/>
      <w:i/>
      <w:szCs w:val="26"/>
    </w:rPr>
  </w:style>
  <w:style w:type="paragraph" w:styleId="Heading4">
    <w:name w:val="heading 4"/>
    <w:basedOn w:val="Normal"/>
    <w:next w:val="Normal"/>
    <w:link w:val="Heading4Char"/>
    <w:qFormat/>
    <w:pPr>
      <w:keepNext/>
      <w:outlineLvl w:val="3"/>
    </w:pPr>
    <w:rPr>
      <w:bCs/>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compagnant">
    <w:name w:val="Accompagnant"/>
    <w:basedOn w:val="Normal"/>
    <w:next w:val="Normal"/>
    <w:pPr>
      <w:spacing w:before="0" w:after="240"/>
      <w:jc w:val="center"/>
    </w:pPr>
    <w:rPr>
      <w:b/>
      <w:i/>
    </w:rPr>
  </w:style>
  <w:style w:type="paragraph" w:customStyle="1" w:styleId="AccompagnantPagedecouverture">
    <w:name w:val="Accompagnant (Page de couverture)"/>
    <w:basedOn w:val="Accompagnant"/>
    <w:next w:val="Normal"/>
  </w:style>
  <w:style w:type="character" w:customStyle="1" w:styleId="Added">
    <w:name w:val="Added"/>
    <w:rPr>
      <w:b/>
      <w:u w:val="single"/>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Annexetitre">
    <w:name w:val="Annexe titre"/>
    <w:basedOn w:val="Normal"/>
    <w:next w:val="Normal"/>
    <w:pPr>
      <w:jc w:val="center"/>
    </w:pPr>
    <w:rPr>
      <w:b/>
      <w:u w:val="single"/>
    </w:rPr>
  </w:style>
  <w:style w:type="paragraph" w:customStyle="1" w:styleId="Annexetitreexpos">
    <w:name w:val="Annexe titre (exposé)"/>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Normal"/>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Bullet0">
    <w:name w:val="Bullet 0"/>
    <w:basedOn w:val="Normal"/>
    <w:pPr>
      <w:numPr>
        <w:numId w:val="1"/>
      </w:numPr>
    </w:pPr>
  </w:style>
  <w:style w:type="paragraph" w:customStyle="1" w:styleId="Bullet1">
    <w:name w:val="Bullet 1"/>
    <w:basedOn w:val="Normal"/>
    <w:pPr>
      <w:numPr>
        <w:numId w:val="2"/>
      </w:numPr>
    </w:pPr>
  </w:style>
  <w:style w:type="paragraph" w:customStyle="1" w:styleId="Bullet2">
    <w:name w:val="Bullet 2"/>
    <w:basedOn w:val="Normal"/>
    <w:pPr>
      <w:numPr>
        <w:numId w:val="3"/>
      </w:numPr>
    </w:pPr>
  </w:style>
  <w:style w:type="paragraph" w:customStyle="1" w:styleId="Bullet3">
    <w:name w:val="Bullet 3"/>
    <w:basedOn w:val="Normal"/>
    <w:pPr>
      <w:numPr>
        <w:numId w:val="4"/>
      </w:numPr>
    </w:pPr>
  </w:style>
  <w:style w:type="paragraph" w:customStyle="1" w:styleId="Bullet4">
    <w:name w:val="Bullet 4"/>
    <w:basedOn w:val="Normal"/>
    <w:pPr>
      <w:numPr>
        <w:numId w:val="5"/>
      </w:numPr>
    </w:pPr>
  </w:style>
  <w:style w:type="paragraph" w:customStyle="1" w:styleId="ChapterTitle">
    <w:name w:val="ChapterTitle"/>
    <w:basedOn w:val="Normal"/>
    <w:next w:val="Normal"/>
    <w:pPr>
      <w:keepNext/>
      <w:spacing w:after="360"/>
      <w:jc w:val="center"/>
    </w:pPr>
    <w:rPr>
      <w:b/>
      <w:sz w:val="32"/>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Normal"/>
    <w:pPr>
      <w:spacing w:before="240" w:after="240"/>
      <w:ind w:left="5103"/>
    </w:pPr>
    <w:rPr>
      <w:u w:val="single"/>
    </w:rPr>
  </w:style>
  <w:style w:type="paragraph" w:customStyle="1" w:styleId="Considrant">
    <w:name w:val="Considérant"/>
    <w:basedOn w:val="Normal"/>
    <w:pPr>
      <w:numPr>
        <w:numId w:val="6"/>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Normal"/>
    <w:pPr>
      <w:spacing w:before="360" w:after="0"/>
      <w:jc w:val="center"/>
    </w:pPr>
    <w:rPr>
      <w:b/>
    </w:rPr>
  </w:style>
  <w:style w:type="paragraph" w:customStyle="1" w:styleId="DatedadoptionPagedecouverture">
    <w:name w:val="Date d'adoption (Page de couverture)"/>
    <w:basedOn w:val="Datedadoption"/>
    <w:next w:val="Normal"/>
  </w:style>
  <w:style w:type="character" w:customStyle="1" w:styleId="Deleted">
    <w:name w:val="Deleted"/>
    <w:rPr>
      <w:strike/>
      <w:shd w:val="clear" w:color="auto" w:fill="auto"/>
    </w:rPr>
  </w:style>
  <w:style w:type="paragraph" w:customStyle="1" w:styleId="Emission">
    <w:name w:val="Emission"/>
    <w:basedOn w:val="Normal"/>
    <w:next w:val="Normal"/>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Normal"/>
    <w:pPr>
      <w:keepNext/>
      <w:spacing w:after="0"/>
    </w:pPr>
  </w:style>
  <w:style w:type="paragraph" w:customStyle="1" w:styleId="Fichefinanciretitre">
    <w:name w:val="Fiche financière titre"/>
    <w:basedOn w:val="Normal"/>
    <w:next w:val="Normal"/>
    <w:pPr>
      <w:jc w:val="center"/>
    </w:pPr>
    <w:rPr>
      <w:b/>
      <w:u w:val="single"/>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rPr>
      <w:rFonts w:eastAsia="Calibri"/>
      <w:szCs w:val="22"/>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rPr>
      <w:rFonts w:eastAsia="Calibri"/>
      <w:szCs w:val="22"/>
    </w:rPr>
  </w:style>
  <w:style w:type="character" w:styleId="FootnoteReference">
    <w:name w:val="footnote reference"/>
    <w:uiPriority w:val="99"/>
    <w:rPr>
      <w:shd w:val="clear" w:color="auto" w:fill="auto"/>
      <w:vertAlign w:val="superscript"/>
    </w:rPr>
  </w:style>
  <w:style w:type="paragraph" w:styleId="FootnoteText">
    <w:name w:val="footnote text"/>
    <w:basedOn w:val="Normal"/>
    <w:link w:val="FootnoteTextChar"/>
    <w:uiPriority w:val="99"/>
    <w:pPr>
      <w:spacing w:before="0" w:after="0"/>
      <w:ind w:left="720" w:hanging="720"/>
    </w:pPr>
    <w:rPr>
      <w:sz w:val="20"/>
      <w:szCs w:val="20"/>
    </w:rPr>
  </w:style>
  <w:style w:type="paragraph" w:customStyle="1" w:styleId="Formuledadoption">
    <w:name w:val="Formule d'adoption"/>
    <w:basedOn w:val="Normal"/>
    <w:next w:val="Normal"/>
    <w:pPr>
      <w:keepNext/>
    </w:pPr>
  </w:style>
  <w:style w:type="paragraph" w:styleId="Header">
    <w:name w:val="header"/>
    <w:basedOn w:val="Normal"/>
    <w:link w:val="HeaderChar"/>
    <w:uiPriority w:val="99"/>
    <w:unhideWhenUsed/>
    <w:pPr>
      <w:tabs>
        <w:tab w:val="center" w:pos="4535"/>
        <w:tab w:val="right" w:pos="9071"/>
      </w:tabs>
      <w:spacing w:before="0"/>
    </w:pPr>
    <w:rPr>
      <w:rFonts w:eastAsia="Calibri"/>
      <w:szCs w:val="22"/>
    </w:rPr>
  </w:style>
  <w:style w:type="paragraph" w:customStyle="1" w:styleId="HeaderLandscape">
    <w:name w:val="HeaderLandscape"/>
    <w:basedOn w:val="Normal"/>
    <w:pPr>
      <w:tabs>
        <w:tab w:val="center" w:pos="7285"/>
        <w:tab w:val="right" w:pos="14003"/>
      </w:tabs>
      <w:spacing w:before="0"/>
    </w:pPr>
    <w:rPr>
      <w:rFonts w:eastAsia="Calibri"/>
      <w:szCs w:val="22"/>
    </w:r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Normal"/>
    <w:pPr>
      <w:keepNext/>
      <w:tabs>
        <w:tab w:val="left" w:pos="4252"/>
      </w:tabs>
      <w:spacing w:before="720" w:after="0"/>
    </w:pPr>
    <w:rPr>
      <w:i/>
    </w:rPr>
  </w:style>
  <w:style w:type="paragraph" w:customStyle="1" w:styleId="Languesfaisantfoi">
    <w:name w:val="Langues faisant foi"/>
    <w:basedOn w:val="Normal"/>
    <w:next w:val="Normal"/>
    <w:pPr>
      <w:spacing w:before="360" w:after="0"/>
      <w:jc w:val="center"/>
    </w:pPr>
  </w:style>
  <w:style w:type="paragraph" w:customStyle="1" w:styleId="IntrtEEE">
    <w:name w:val="Intérêt EEE"/>
    <w:basedOn w:val="Languesfaisantfoi"/>
    <w:next w:val="Normal"/>
    <w:pPr>
      <w:spacing w:after="240"/>
    </w:pPr>
  </w:style>
  <w:style w:type="paragraph" w:customStyle="1" w:styleId="IntrtEEEPagedecouverture">
    <w:name w:val="Intérêt EEE (Page de couverture)"/>
    <w:basedOn w:val="IntrtEEE"/>
    <w:next w:val="Normal"/>
  </w:style>
  <w:style w:type="paragraph" w:customStyle="1" w:styleId="Langue">
    <w:name w:val="Langue"/>
    <w:basedOn w:val="Normal"/>
    <w:next w:val="Normal"/>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ormal"/>
    <w:next w:val="Normal"/>
    <w:pPr>
      <w:spacing w:before="360" w:after="0"/>
      <w:jc w:val="center"/>
    </w:pPr>
  </w:style>
  <w:style w:type="paragraph" w:customStyle="1" w:styleId="ManualConsidrant">
    <w:name w:val="Manual Considérant"/>
    <w:basedOn w:val="Normal"/>
    <w:pPr>
      <w:ind w:left="709" w:hanging="709"/>
    </w:pPr>
  </w:style>
  <w:style w:type="paragraph" w:customStyle="1" w:styleId="ManualHeading1">
    <w:name w:val="Manual Heading 1"/>
    <w:basedOn w:val="Normal"/>
    <w:next w:val="Normal"/>
    <w:pPr>
      <w:keepNext/>
      <w:tabs>
        <w:tab w:val="left" w:pos="850"/>
      </w:tabs>
      <w:spacing w:before="360"/>
      <w:ind w:left="850" w:hanging="850"/>
      <w:outlineLvl w:val="0"/>
    </w:pPr>
    <w:rPr>
      <w:b/>
      <w:smallCaps/>
    </w:rPr>
  </w:style>
  <w:style w:type="paragraph" w:customStyle="1" w:styleId="ManualHeading2">
    <w:name w:val="Manual Heading 2"/>
    <w:basedOn w:val="Normal"/>
    <w:next w:val="Normal"/>
    <w:pPr>
      <w:keepNext/>
      <w:tabs>
        <w:tab w:val="left" w:pos="850"/>
      </w:tabs>
      <w:ind w:left="850" w:hanging="850"/>
      <w:outlineLvl w:val="1"/>
    </w:pPr>
    <w:rPr>
      <w:b/>
    </w:rPr>
  </w:style>
  <w:style w:type="paragraph" w:customStyle="1" w:styleId="ManualHeading3">
    <w:name w:val="Manual Heading 3"/>
    <w:basedOn w:val="Normal"/>
    <w:next w:val="Normal"/>
    <w:pPr>
      <w:keepNext/>
      <w:tabs>
        <w:tab w:val="left" w:pos="850"/>
      </w:tabs>
      <w:ind w:left="850" w:hanging="850"/>
      <w:outlineLvl w:val="2"/>
    </w:pPr>
    <w:rPr>
      <w:i/>
    </w:rPr>
  </w:style>
  <w:style w:type="paragraph" w:customStyle="1" w:styleId="ManualHeading4">
    <w:name w:val="Manual Heading 4"/>
    <w:basedOn w:val="Normal"/>
    <w:next w:val="Normal"/>
    <w:pPr>
      <w:keepNext/>
      <w:tabs>
        <w:tab w:val="left" w:pos="850"/>
      </w:tabs>
      <w:ind w:left="850" w:hanging="850"/>
      <w:outlineLvl w:val="3"/>
    </w:pPr>
  </w:style>
  <w:style w:type="paragraph" w:customStyle="1" w:styleId="ManualNumPar1">
    <w:name w:val="Manual NumPar 1"/>
    <w:basedOn w:val="Normal"/>
    <w:next w:val="Normal"/>
    <w:pPr>
      <w:ind w:left="850" w:hanging="850"/>
    </w:pPr>
  </w:style>
  <w:style w:type="paragraph" w:customStyle="1" w:styleId="ManualNumPar2">
    <w:name w:val="Manual NumPar 2"/>
    <w:basedOn w:val="Normal"/>
    <w:next w:val="Normal"/>
    <w:pPr>
      <w:ind w:left="850" w:hanging="850"/>
    </w:pPr>
  </w:style>
  <w:style w:type="paragraph" w:customStyle="1" w:styleId="ManualNumPar3">
    <w:name w:val="Manual NumPar 3"/>
    <w:basedOn w:val="Normal"/>
    <w:next w:val="Normal"/>
    <w:pPr>
      <w:ind w:left="850" w:hanging="850"/>
    </w:pPr>
  </w:style>
  <w:style w:type="paragraph" w:customStyle="1" w:styleId="ManualNumPar4">
    <w:name w:val="Manual NumPar 4"/>
    <w:basedOn w:val="Normal"/>
    <w:next w:val="Normal"/>
    <w:pPr>
      <w:ind w:left="850" w:hanging="850"/>
    </w:pPr>
  </w:style>
  <w:style w:type="character" w:customStyle="1" w:styleId="Marker">
    <w:name w:val="Marker"/>
    <w:rPr>
      <w:color w:val="0000FF"/>
      <w:shd w:val="clear" w:color="auto" w:fill="auto"/>
    </w:rPr>
  </w:style>
  <w:style w:type="character" w:customStyle="1" w:styleId="Marker1">
    <w:name w:val="Marker1"/>
    <w:rPr>
      <w:color w:val="008000"/>
      <w:shd w:val="clear" w:color="auto" w:fill="auto"/>
    </w:rPr>
  </w:style>
  <w:style w:type="character" w:customStyle="1" w:styleId="Marker2">
    <w:name w:val="Marker2"/>
    <w:rPr>
      <w:color w:val="FF0000"/>
      <w:shd w:val="clear" w:color="auto" w:fill="auto"/>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NumPar1">
    <w:name w:val="NumPar 1"/>
    <w:basedOn w:val="Normal"/>
    <w:next w:val="Normal"/>
    <w:pPr>
      <w:numPr>
        <w:numId w:val="23"/>
      </w:numPr>
    </w:pPr>
  </w:style>
  <w:style w:type="paragraph" w:customStyle="1" w:styleId="NumPar2">
    <w:name w:val="NumPar 2"/>
    <w:basedOn w:val="Normal"/>
    <w:next w:val="Normal"/>
    <w:pPr>
      <w:numPr>
        <w:ilvl w:val="1"/>
        <w:numId w:val="23"/>
      </w:numPr>
    </w:pPr>
  </w:style>
  <w:style w:type="paragraph" w:customStyle="1" w:styleId="NumPar3">
    <w:name w:val="NumPar 3"/>
    <w:basedOn w:val="Normal"/>
    <w:next w:val="Normal"/>
    <w:pPr>
      <w:numPr>
        <w:ilvl w:val="2"/>
        <w:numId w:val="23"/>
      </w:numPr>
    </w:pPr>
  </w:style>
  <w:style w:type="paragraph" w:customStyle="1" w:styleId="NumPar4">
    <w:name w:val="NumPar 4"/>
    <w:basedOn w:val="Normal"/>
    <w:next w:val="Normal"/>
    <w:pPr>
      <w:numPr>
        <w:ilvl w:val="3"/>
        <w:numId w:val="23"/>
      </w:numPr>
    </w:pPr>
  </w:style>
  <w:style w:type="paragraph" w:customStyle="1" w:styleId="Objetacteprincipal">
    <w:name w:val="Objet acte principal"/>
    <w:basedOn w:val="Normal"/>
    <w:next w:val="Normal"/>
    <w:pPr>
      <w:spacing w:before="0" w:after="360"/>
      <w:jc w:val="center"/>
    </w:pPr>
    <w:rPr>
      <w:b/>
    </w:rPr>
  </w:style>
  <w:style w:type="paragraph" w:customStyle="1" w:styleId="ObjetacteprincipalPagedecouverture">
    <w:name w:val="Objet acte principal (Page de couverture)"/>
    <w:basedOn w:val="Objetacteprincipal"/>
    <w:next w:val="Normal"/>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style>
  <w:style w:type="paragraph" w:customStyle="1" w:styleId="PartTitle">
    <w:name w:val="PartTitle"/>
    <w:basedOn w:val="Normal"/>
    <w:next w:val="ChapterTitle"/>
    <w:pPr>
      <w:keepNext/>
      <w:pageBreakBefore/>
      <w:spacing w:after="360"/>
      <w:jc w:val="center"/>
    </w:pPr>
    <w:rPr>
      <w:b/>
      <w:sz w:val="36"/>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Point0">
    <w:name w:val="Point 0"/>
    <w:basedOn w:val="Normal"/>
    <w:pPr>
      <w:ind w:left="850" w:hanging="850"/>
    </w:pPr>
  </w:style>
  <w:style w:type="paragraph" w:customStyle="1" w:styleId="Point0letter">
    <w:name w:val="Point 0 (letter)"/>
    <w:basedOn w:val="Normal"/>
  </w:style>
  <w:style w:type="paragraph" w:customStyle="1" w:styleId="Point0number">
    <w:name w:val="Point 0 (number)"/>
    <w:basedOn w:val="Normal"/>
  </w:style>
  <w:style w:type="paragraph" w:customStyle="1" w:styleId="Point1">
    <w:name w:val="Point 1"/>
    <w:basedOn w:val="Normal"/>
    <w:pPr>
      <w:ind w:left="1417" w:hanging="567"/>
    </w:pPr>
  </w:style>
  <w:style w:type="paragraph" w:customStyle="1" w:styleId="Point1letter">
    <w:name w:val="Point 1 (letter)"/>
    <w:basedOn w:val="Normal"/>
  </w:style>
  <w:style w:type="paragraph" w:customStyle="1" w:styleId="Point1number">
    <w:name w:val="Point 1 (number)"/>
    <w:basedOn w:val="Normal"/>
  </w:style>
  <w:style w:type="paragraph" w:customStyle="1" w:styleId="Point2">
    <w:name w:val="Point 2"/>
    <w:basedOn w:val="Normal"/>
    <w:pPr>
      <w:ind w:left="1984" w:hanging="567"/>
    </w:pPr>
  </w:style>
  <w:style w:type="paragraph" w:customStyle="1" w:styleId="Point2letter">
    <w:name w:val="Point 2 (letter)"/>
    <w:basedOn w:val="Normal"/>
    <w:pPr>
      <w:numPr>
        <w:ilvl w:val="5"/>
        <w:numId w:val="7"/>
      </w:numPr>
    </w:pPr>
  </w:style>
  <w:style w:type="paragraph" w:customStyle="1" w:styleId="Point2number">
    <w:name w:val="Point 2 (number)"/>
    <w:basedOn w:val="Normal"/>
    <w:pPr>
      <w:numPr>
        <w:ilvl w:val="4"/>
        <w:numId w:val="7"/>
      </w:numPr>
    </w:pPr>
  </w:style>
  <w:style w:type="paragraph" w:customStyle="1" w:styleId="Point3">
    <w:name w:val="Point 3"/>
    <w:basedOn w:val="Normal"/>
    <w:pPr>
      <w:ind w:left="2551" w:hanging="567"/>
    </w:pPr>
  </w:style>
  <w:style w:type="paragraph" w:customStyle="1" w:styleId="Point3letter">
    <w:name w:val="Point 3 (letter)"/>
    <w:basedOn w:val="Normal"/>
    <w:pPr>
      <w:numPr>
        <w:ilvl w:val="7"/>
        <w:numId w:val="7"/>
      </w:numPr>
    </w:pPr>
  </w:style>
  <w:style w:type="paragraph" w:customStyle="1" w:styleId="Point3number">
    <w:name w:val="Point 3 (number)"/>
    <w:basedOn w:val="Normal"/>
    <w:pPr>
      <w:numPr>
        <w:ilvl w:val="6"/>
        <w:numId w:val="7"/>
      </w:numPr>
    </w:pPr>
  </w:style>
  <w:style w:type="paragraph" w:customStyle="1" w:styleId="Point4">
    <w:name w:val="Point 4"/>
    <w:basedOn w:val="Normal"/>
    <w:pPr>
      <w:ind w:left="3118" w:hanging="567"/>
    </w:pPr>
  </w:style>
  <w:style w:type="paragraph" w:customStyle="1" w:styleId="Point4letter">
    <w:name w:val="Point 4 (letter)"/>
    <w:basedOn w:val="Normal"/>
    <w:pPr>
      <w:numPr>
        <w:ilvl w:val="8"/>
        <w:numId w:val="7"/>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QuotedNumPar">
    <w:name w:val="Quoted NumPar"/>
    <w:basedOn w:val="Normal"/>
    <w:pPr>
      <w:ind w:left="1417" w:hanging="567"/>
    </w:pPr>
  </w:style>
  <w:style w:type="paragraph" w:customStyle="1" w:styleId="QuotedText">
    <w:name w:val="Quoted Text"/>
    <w:basedOn w:val="Normal"/>
    <w:pPr>
      <w:ind w:left="1417"/>
    </w:pPr>
  </w:style>
  <w:style w:type="paragraph" w:customStyle="1" w:styleId="Rfrencecroise">
    <w:name w:val="Référence croisée"/>
    <w:basedOn w:val="Normal"/>
    <w:pPr>
      <w:spacing w:before="0" w:after="0"/>
      <w:jc w:val="center"/>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Normal"/>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style>
  <w:style w:type="paragraph" w:customStyle="1" w:styleId="Rfrenceinterne">
    <w:name w:val="Référence interne"/>
    <w:basedOn w:val="Normal"/>
    <w:next w:val="Rfrenceinterinstitutionnelle"/>
    <w:pPr>
      <w:spacing w:before="0" w:after="0"/>
      <w:ind w:left="5103"/>
      <w:jc w:val="left"/>
    </w:pPr>
  </w:style>
  <w:style w:type="paragraph" w:customStyle="1" w:styleId="SectionTitle">
    <w:name w:val="SectionTitle"/>
    <w:basedOn w:val="Normal"/>
    <w:next w:val="Heading1"/>
    <w:pPr>
      <w:keepNext/>
      <w:spacing w:after="360"/>
      <w:jc w:val="center"/>
    </w:pPr>
    <w:rPr>
      <w:b/>
      <w:smallCaps/>
      <w:sz w:val="28"/>
    </w:rPr>
  </w:style>
  <w:style w:type="paragraph" w:customStyle="1" w:styleId="Sous-titreobjet">
    <w:name w:val="Sous-titre objet"/>
    <w:basedOn w:val="Normal"/>
    <w:pPr>
      <w:spacing w:before="0" w:after="0"/>
      <w:jc w:val="center"/>
    </w:pPr>
    <w:rPr>
      <w:b/>
    </w:rPr>
  </w:style>
  <w:style w:type="paragraph" w:customStyle="1" w:styleId="Sous-titreobjetPagedecouverture">
    <w:name w:val="Sous-titre objet (Page de couverture)"/>
    <w:basedOn w:val="Sous-titreobjet"/>
  </w:style>
  <w:style w:type="paragraph" w:customStyle="1" w:styleId="Statut">
    <w:name w:val="Statut"/>
    <w:basedOn w:val="Normal"/>
    <w:next w:val="Normal"/>
    <w:pPr>
      <w:spacing w:before="360" w:after="0"/>
      <w:jc w:val="center"/>
    </w:pPr>
  </w:style>
  <w:style w:type="paragraph" w:customStyle="1" w:styleId="StatutPagedecouverture">
    <w:name w:val="Statut (Page de couverture)"/>
    <w:basedOn w:val="Statut"/>
    <w:next w:val="Normal"/>
  </w:style>
  <w:style w:type="paragraph" w:customStyle="1" w:styleId="Supertitre">
    <w:name w:val="Supertitre"/>
    <w:basedOn w:val="Normal"/>
    <w:next w:val="Normal"/>
    <w:pPr>
      <w:spacing w:before="0" w:after="600"/>
      <w:jc w:val="center"/>
    </w:pPr>
    <w:rPr>
      <w:b/>
    </w:rPr>
  </w:style>
  <w:style w:type="paragraph" w:customStyle="1" w:styleId="TableTitle">
    <w:name w:val="Table Title"/>
    <w:basedOn w:val="Normal"/>
    <w:next w:val="Normal"/>
    <w:pPr>
      <w:jc w:val="center"/>
    </w:pPr>
    <w:rPr>
      <w:b/>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iret0">
    <w:name w:val="Tiret 0"/>
    <w:basedOn w:val="Point0"/>
    <w:pPr>
      <w:numPr>
        <w:numId w:val="8"/>
      </w:numPr>
    </w:pPr>
  </w:style>
  <w:style w:type="paragraph" w:customStyle="1" w:styleId="Tiret1">
    <w:name w:val="Tiret 1"/>
    <w:basedOn w:val="Point1"/>
    <w:pPr>
      <w:numPr>
        <w:numId w:val="9"/>
      </w:numPr>
    </w:pPr>
  </w:style>
  <w:style w:type="paragraph" w:customStyle="1" w:styleId="Tiret2">
    <w:name w:val="Tiret 2"/>
    <w:basedOn w:val="Point2"/>
    <w:pPr>
      <w:numPr>
        <w:numId w:val="10"/>
      </w:numPr>
    </w:pPr>
  </w:style>
  <w:style w:type="paragraph" w:customStyle="1" w:styleId="Tiret3">
    <w:name w:val="Tiret 3"/>
    <w:basedOn w:val="Point3"/>
    <w:pPr>
      <w:numPr>
        <w:numId w:val="11"/>
      </w:numPr>
    </w:pPr>
  </w:style>
  <w:style w:type="paragraph" w:customStyle="1" w:styleId="Tiret4">
    <w:name w:val="Tiret 4"/>
    <w:basedOn w:val="Point4"/>
    <w:pPr>
      <w:numPr>
        <w:numId w:val="12"/>
      </w:numP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itreobjetPagedecouverture">
    <w:name w:val="Titre objet (Page de couverture)"/>
    <w:basedOn w:val="Titreobjet"/>
    <w:next w:val="Sous-titreobjetPagedecouverture"/>
  </w:style>
  <w:style w:type="paragraph" w:styleId="TOC1">
    <w:name w:val="toc 1"/>
    <w:basedOn w:val="Normal"/>
    <w:next w:val="Normal"/>
    <w:uiPriority w:val="39"/>
    <w:pPr>
      <w:tabs>
        <w:tab w:val="right" w:leader="dot" w:pos="9071"/>
      </w:tabs>
      <w:spacing w:before="60"/>
      <w:ind w:left="850" w:hanging="850"/>
      <w:jc w:val="left"/>
    </w:pPr>
  </w:style>
  <w:style w:type="paragraph" w:styleId="TOC2">
    <w:name w:val="toc 2"/>
    <w:basedOn w:val="Normal"/>
    <w:next w:val="Normal"/>
    <w:uiPriority w:val="39"/>
    <w:pPr>
      <w:tabs>
        <w:tab w:val="right" w:leader="dot" w:pos="9071"/>
      </w:tabs>
      <w:spacing w:before="60"/>
      <w:ind w:left="850" w:hanging="850"/>
      <w:jc w:val="left"/>
    </w:pPr>
  </w:style>
  <w:style w:type="paragraph" w:styleId="TOC3">
    <w:name w:val="toc 3"/>
    <w:basedOn w:val="Normal"/>
    <w:next w:val="Normal"/>
    <w:uiPriority w:val="39"/>
    <w:pPr>
      <w:tabs>
        <w:tab w:val="right" w:leader="dot" w:pos="9071"/>
      </w:tabs>
      <w:spacing w:before="60"/>
      <w:ind w:left="850" w:hanging="850"/>
      <w:jc w:val="left"/>
    </w:pPr>
  </w:style>
  <w:style w:type="paragraph" w:styleId="TOC4">
    <w:name w:val="toc 4"/>
    <w:basedOn w:val="Normal"/>
    <w:next w:val="Normal"/>
    <w:semiHidden/>
    <w:pPr>
      <w:tabs>
        <w:tab w:val="right" w:leader="dot" w:pos="9071"/>
      </w:tabs>
      <w:spacing w:before="60"/>
      <w:ind w:left="850" w:hanging="850"/>
      <w:jc w:val="left"/>
    </w:pPr>
  </w:style>
  <w:style w:type="paragraph" w:styleId="TOC5">
    <w:name w:val="toc 5"/>
    <w:basedOn w:val="Normal"/>
    <w:next w:val="Normal"/>
    <w:semiHidden/>
    <w:pPr>
      <w:tabs>
        <w:tab w:val="right" w:leader="dot" w:pos="9071"/>
      </w:tabs>
      <w:spacing w:before="300"/>
      <w:jc w:val="left"/>
    </w:pPr>
  </w:style>
  <w:style w:type="paragraph" w:styleId="TOC6">
    <w:name w:val="toc 6"/>
    <w:basedOn w:val="Normal"/>
    <w:next w:val="Normal"/>
    <w:semiHidden/>
    <w:pPr>
      <w:tabs>
        <w:tab w:val="right" w:leader="dot" w:pos="9071"/>
      </w:tabs>
      <w:spacing w:before="240"/>
      <w:jc w:val="left"/>
    </w:pPr>
  </w:style>
  <w:style w:type="paragraph" w:styleId="TOC7">
    <w:name w:val="toc 7"/>
    <w:basedOn w:val="Normal"/>
    <w:next w:val="Normal"/>
    <w:semiHidden/>
    <w:pPr>
      <w:tabs>
        <w:tab w:val="right" w:leader="dot" w:pos="9071"/>
      </w:tabs>
      <w:spacing w:before="180"/>
      <w:jc w:val="left"/>
    </w:pPr>
  </w:style>
  <w:style w:type="paragraph" w:styleId="TOC8">
    <w:name w:val="toc 8"/>
    <w:basedOn w:val="Normal"/>
    <w:next w:val="Normal"/>
    <w:semiHidden/>
    <w:pPr>
      <w:tabs>
        <w:tab w:val="right" w:leader="dot" w:pos="9071"/>
      </w:tabs>
      <w:jc w:val="left"/>
    </w:pPr>
  </w:style>
  <w:style w:type="paragraph" w:styleId="TOC9">
    <w:name w:val="toc 9"/>
    <w:basedOn w:val="Normal"/>
    <w:next w:val="Normal"/>
    <w:semiHidden/>
    <w:pPr>
      <w:tabs>
        <w:tab w:val="right" w:leader="dot" w:pos="9071"/>
      </w:tabs>
    </w:pPr>
  </w:style>
  <w:style w:type="paragraph" w:styleId="TOCHeading">
    <w:name w:val="TOC Heading"/>
    <w:basedOn w:val="Normal"/>
    <w:next w:val="Normal"/>
    <w:link w:val="TOCHeadingChar"/>
    <w:uiPriority w:val="39"/>
    <w:qFormat/>
    <w:pPr>
      <w:spacing w:after="240"/>
      <w:jc w:val="center"/>
    </w:pPr>
    <w:rPr>
      <w:b/>
      <w:sz w:val="28"/>
    </w:rPr>
  </w:style>
  <w:style w:type="paragraph" w:customStyle="1" w:styleId="Typeacteprincipal">
    <w:name w:val="Type acte principal"/>
    <w:basedOn w:val="Normal"/>
    <w:next w:val="Objetacteprincipal"/>
    <w:pPr>
      <w:spacing w:before="0" w:after="240"/>
      <w:jc w:val="center"/>
    </w:pPr>
    <w:rPr>
      <w:b/>
    </w:rPr>
  </w:style>
  <w:style w:type="paragraph" w:customStyle="1" w:styleId="TypeacteprincipalPagedecouverture">
    <w:name w:val="Type acte principal (Page de couverture)"/>
    <w:basedOn w:val="Typeacteprincipal"/>
    <w:next w:val="ObjetacteprincipalPagedecouverture"/>
  </w:style>
  <w:style w:type="paragraph" w:customStyle="1" w:styleId="Typedudocument">
    <w:name w:val="Type du document"/>
    <w:basedOn w:val="Normal"/>
    <w:next w:val="Titreobjet"/>
    <w:pPr>
      <w:spacing w:before="360" w:after="0"/>
      <w:jc w:val="center"/>
    </w:pPr>
    <w:rPr>
      <w:b/>
    </w:rPr>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styleId="ListBullet">
    <w:name w:val="List Bullet"/>
    <w:basedOn w:val="Normal"/>
    <w:pPr>
      <w:numPr>
        <w:numId w:val="15"/>
      </w:numPr>
    </w:pPr>
    <w:rPr>
      <w:lang w:eastAsia="de-DE"/>
    </w:rPr>
  </w:style>
  <w:style w:type="table" w:styleId="TableGrid">
    <w:name w:val="Table Grid"/>
    <w:basedOn w:val="TableNormal"/>
    <w:pPr>
      <w:spacing w:before="120"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shd w:val="clear" w:color="auto" w:fill="auto"/>
      <w:lang w:eastAsia="en-US"/>
    </w:rPr>
  </w:style>
  <w:style w:type="paragraph" w:styleId="ListBullet2">
    <w:name w:val="List Bullet 2"/>
    <w:basedOn w:val="Normal"/>
    <w:pPr>
      <w:numPr>
        <w:numId w:val="16"/>
      </w:numPr>
    </w:pPr>
  </w:style>
  <w:style w:type="paragraph" w:styleId="ListBullet3">
    <w:name w:val="List Bullet 3"/>
    <w:basedOn w:val="Normal"/>
    <w:pPr>
      <w:numPr>
        <w:numId w:val="17"/>
      </w:numPr>
    </w:pPr>
  </w:style>
  <w:style w:type="paragraph" w:styleId="ListBullet4">
    <w:name w:val="List Bullet 4"/>
    <w:basedOn w:val="Normal"/>
    <w:pPr>
      <w:numPr>
        <w:numId w:val="18"/>
      </w:numPr>
    </w:pPr>
  </w:style>
  <w:style w:type="paragraph" w:styleId="Caption">
    <w:name w:val="caption"/>
    <w:basedOn w:val="Normal"/>
    <w:next w:val="Normal"/>
    <w:qFormat/>
    <w:rPr>
      <w:b/>
      <w:bCs/>
      <w:sz w:val="20"/>
      <w:szCs w:val="20"/>
    </w:rPr>
  </w:style>
  <w:style w:type="paragraph" w:styleId="TableofFigures">
    <w:name w:val="table of figures"/>
    <w:basedOn w:val="Normal"/>
    <w:next w:val="Normal"/>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character" w:styleId="CommentReference">
    <w:name w:val="annotation reference"/>
    <w:rPr>
      <w:rFonts w:cs="Times New Roman"/>
      <w:sz w:val="16"/>
      <w:szCs w:val="16"/>
      <w:shd w:val="clear" w:color="auto" w:fill="auto"/>
    </w:rPr>
  </w:style>
  <w:style w:type="paragraph" w:styleId="CommentText">
    <w:name w:val="annotation text"/>
    <w:basedOn w:val="Normal"/>
    <w:link w:val="CommentTextChar"/>
    <w:rPr>
      <w:sz w:val="20"/>
      <w:szCs w:val="20"/>
    </w:rPr>
  </w:style>
  <w:style w:type="character" w:customStyle="1" w:styleId="CommentTextChar">
    <w:name w:val="Comment Text Char"/>
    <w:link w:val="CommentText"/>
    <w:rPr>
      <w:shd w:val="clear" w:color="auto" w:fill="auto"/>
      <w:lang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shd w:val="clear" w:color="auto" w:fill="auto"/>
      <w:lang w:eastAsia="en-US"/>
    </w:rPr>
  </w:style>
  <w:style w:type="character" w:styleId="Hyperlink">
    <w:name w:val="Hyperlink"/>
    <w:uiPriority w:val="99"/>
    <w:rPr>
      <w:rFonts w:cs="Times New Roman"/>
      <w:color w:val="0000FF"/>
      <w:u w:val="single"/>
      <w:shd w:val="clear" w:color="auto" w:fill="auto"/>
    </w:rPr>
  </w:style>
  <w:style w:type="paragraph" w:customStyle="1" w:styleId="Default">
    <w:name w:val="Default"/>
    <w:pPr>
      <w:autoSpaceDE w:val="0"/>
      <w:autoSpaceDN w:val="0"/>
      <w:adjustRightInd w:val="0"/>
    </w:pPr>
    <w:rPr>
      <w:color w:val="000000"/>
      <w:sz w:val="24"/>
      <w:szCs w:val="24"/>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TOCHeadingChar">
    <w:name w:val="TOC Heading Char"/>
    <w:link w:val="TOCHeading"/>
    <w:uiPriority w:val="39"/>
    <w:rPr>
      <w:b/>
      <w:sz w:val="28"/>
      <w:szCs w:val="24"/>
      <w:shd w:val="clear" w:color="auto" w:fill="auto"/>
      <w:lang w:eastAsia="en-US"/>
    </w:rPr>
  </w:style>
  <w:style w:type="character" w:customStyle="1" w:styleId="FooterCoverPageChar">
    <w:name w:val="Footer Cover Page Char"/>
    <w:link w:val="FooterCoverPage"/>
    <w:rPr>
      <w:sz w:val="24"/>
      <w:szCs w:val="24"/>
      <w:lang w:eastAsia="en-US"/>
    </w:rPr>
  </w:style>
  <w:style w:type="paragraph" w:customStyle="1" w:styleId="HeaderCoverPage">
    <w:name w:val="Header Cover Page"/>
    <w:basedOn w:val="Normal"/>
    <w:link w:val="HeaderCoverPageChar"/>
    <w:pPr>
      <w:tabs>
        <w:tab w:val="center" w:pos="4535"/>
        <w:tab w:val="right" w:pos="9071"/>
      </w:tabs>
      <w:spacing w:before="0"/>
    </w:pPr>
  </w:style>
  <w:style w:type="character" w:customStyle="1" w:styleId="HeaderCoverPageChar">
    <w:name w:val="Header Cover Page Char"/>
    <w:link w:val="HeaderCoverPage"/>
    <w:rPr>
      <w:sz w:val="24"/>
      <w:szCs w:val="24"/>
      <w:lang w:eastAsia="en-US"/>
    </w:rPr>
  </w:style>
  <w:style w:type="character" w:customStyle="1" w:styleId="FootnoteTextChar">
    <w:name w:val="Footnote Text Char"/>
    <w:link w:val="FootnoteText"/>
    <w:uiPriority w:val="99"/>
    <w:rPr>
      <w:lang w:eastAsia="en-US"/>
    </w:rPr>
  </w:style>
  <w:style w:type="character" w:customStyle="1" w:styleId="Heading4Char">
    <w:name w:val="Heading 4 Char"/>
    <w:link w:val="Heading4"/>
    <w:rPr>
      <w:bCs/>
      <w:sz w:val="24"/>
      <w:szCs w:val="28"/>
      <w:lang w:eastAsia="en-US"/>
    </w:rPr>
  </w:style>
  <w:style w:type="character" w:customStyle="1" w:styleId="FooterChar">
    <w:name w:val="Footer Char"/>
    <w:link w:val="Footer"/>
    <w:uiPriority w:val="99"/>
    <w:rPr>
      <w:rFonts w:eastAsia="Calibri"/>
      <w:sz w:val="24"/>
      <w:szCs w:val="22"/>
      <w:lang w:eastAsia="en-US"/>
    </w:rPr>
  </w:style>
  <w:style w:type="paragraph" w:styleId="Revision">
    <w:name w:val="Revision"/>
    <w:hidden/>
    <w:uiPriority w:val="99"/>
    <w:semiHidden/>
    <w:rPr>
      <w:sz w:val="24"/>
      <w:szCs w:val="24"/>
      <w:lang w:eastAsia="en-US"/>
    </w:rPr>
  </w:style>
  <w:style w:type="character" w:customStyle="1" w:styleId="Heading3Char">
    <w:name w:val="Heading 3 Char"/>
    <w:link w:val="Heading3"/>
    <w:rPr>
      <w:bCs/>
      <w:i/>
      <w:sz w:val="24"/>
      <w:szCs w:val="26"/>
      <w:lang w:eastAsia="en-US"/>
    </w:rPr>
  </w:style>
  <w:style w:type="paragraph" w:customStyle="1" w:styleId="Declassification">
    <w:name w:val="Declassification"/>
    <w:basedOn w:val="Normal"/>
    <w:next w:val="Normal"/>
    <w:pPr>
      <w:spacing w:before="0" w:after="0"/>
    </w:pPr>
    <w:rPr>
      <w:rFonts w:eastAsia="Calibri"/>
      <w:szCs w:val="22"/>
    </w:rPr>
  </w:style>
  <w:style w:type="character" w:customStyle="1" w:styleId="HeaderChar">
    <w:name w:val="Header Char"/>
    <w:link w:val="Header"/>
    <w:uiPriority w:val="99"/>
    <w:rPr>
      <w:rFonts w:eastAsia="Calibri"/>
      <w:sz w:val="24"/>
      <w:szCs w:val="22"/>
      <w:lang w:eastAsia="en-US"/>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SecurityMarking">
    <w:name w:val="SecurityMarking"/>
    <w:basedOn w:val="Normal"/>
    <w:pPr>
      <w:spacing w:before="0" w:after="0" w:line="276" w:lineRule="auto"/>
      <w:ind w:left="5103"/>
      <w:jc w:val="left"/>
    </w:pPr>
    <w:rPr>
      <w:rFonts w:eastAsiaTheme="minorHAnsi"/>
      <w:sz w:val="28"/>
      <w:szCs w:val="22"/>
    </w:rPr>
  </w:style>
  <w:style w:type="paragraph" w:customStyle="1" w:styleId="DateMarking">
    <w:name w:val="DateMarking"/>
    <w:basedOn w:val="Normal"/>
    <w:pPr>
      <w:spacing w:before="0" w:after="0" w:line="276" w:lineRule="auto"/>
      <w:ind w:left="5103"/>
      <w:jc w:val="left"/>
    </w:pPr>
    <w:rPr>
      <w:rFonts w:eastAsiaTheme="minorHAnsi"/>
      <w:i/>
      <w:sz w:val="28"/>
      <w:szCs w:val="22"/>
    </w:rPr>
  </w:style>
  <w:style w:type="paragraph" w:customStyle="1" w:styleId="ReleasableTo">
    <w:name w:val="ReleasableTo"/>
    <w:basedOn w:val="Normal"/>
    <w:pPr>
      <w:spacing w:before="0" w:after="0" w:line="276" w:lineRule="auto"/>
      <w:ind w:left="5103"/>
      <w:jc w:val="left"/>
    </w:pPr>
    <w:rPr>
      <w:rFonts w:eastAsiaTheme="minorHAnsi"/>
      <w:i/>
      <w:sz w:val="28"/>
      <w:szCs w:val="22"/>
    </w:rPr>
  </w:style>
  <w:style w:type="paragraph" w:customStyle="1" w:styleId="HeaderSensitivityRight">
    <w:name w:val="Header Sensitivity Right"/>
    <w:basedOn w:val="Normal"/>
    <w:pPr>
      <w:spacing w:before="0"/>
      <w:jc w:val="right"/>
    </w:pPr>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jc w:val="both"/>
    </w:pPr>
    <w:rPr>
      <w:sz w:val="24"/>
      <w:szCs w:val="24"/>
      <w:lang w:eastAsia="en-US"/>
    </w:rPr>
  </w:style>
  <w:style w:type="paragraph" w:styleId="Heading1">
    <w:name w:val="heading 1"/>
    <w:basedOn w:val="Normal"/>
    <w:next w:val="Normal"/>
    <w:qFormat/>
    <w:pPr>
      <w:keepNext/>
      <w:numPr>
        <w:numId w:val="24"/>
      </w:numPr>
      <w:spacing w:before="360"/>
      <w:outlineLvl w:val="0"/>
    </w:pPr>
    <w:rPr>
      <w:b/>
      <w:bCs/>
      <w:smallCaps/>
      <w:szCs w:val="32"/>
    </w:rPr>
  </w:style>
  <w:style w:type="paragraph" w:styleId="Heading2">
    <w:name w:val="heading 2"/>
    <w:basedOn w:val="Normal"/>
    <w:next w:val="Normal"/>
    <w:qFormat/>
    <w:pPr>
      <w:keepNext/>
      <w:numPr>
        <w:ilvl w:val="1"/>
        <w:numId w:val="24"/>
      </w:numPr>
      <w:outlineLvl w:val="1"/>
    </w:pPr>
    <w:rPr>
      <w:b/>
      <w:bCs/>
      <w:iCs/>
      <w:szCs w:val="28"/>
    </w:rPr>
  </w:style>
  <w:style w:type="paragraph" w:styleId="Heading3">
    <w:name w:val="heading 3"/>
    <w:basedOn w:val="Normal"/>
    <w:next w:val="Normal"/>
    <w:link w:val="Heading3Char"/>
    <w:autoRedefine/>
    <w:qFormat/>
    <w:pPr>
      <w:keepNext/>
      <w:numPr>
        <w:ilvl w:val="2"/>
        <w:numId w:val="24"/>
      </w:numPr>
      <w:outlineLvl w:val="2"/>
    </w:pPr>
    <w:rPr>
      <w:bCs/>
      <w:i/>
      <w:szCs w:val="26"/>
    </w:rPr>
  </w:style>
  <w:style w:type="paragraph" w:styleId="Heading4">
    <w:name w:val="heading 4"/>
    <w:basedOn w:val="Normal"/>
    <w:next w:val="Normal"/>
    <w:link w:val="Heading4Char"/>
    <w:qFormat/>
    <w:pPr>
      <w:keepNext/>
      <w:outlineLvl w:val="3"/>
    </w:pPr>
    <w:rPr>
      <w:bCs/>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compagnant">
    <w:name w:val="Accompagnant"/>
    <w:basedOn w:val="Normal"/>
    <w:next w:val="Normal"/>
    <w:pPr>
      <w:spacing w:before="0" w:after="240"/>
      <w:jc w:val="center"/>
    </w:pPr>
    <w:rPr>
      <w:b/>
      <w:i/>
    </w:rPr>
  </w:style>
  <w:style w:type="paragraph" w:customStyle="1" w:styleId="AccompagnantPagedecouverture">
    <w:name w:val="Accompagnant (Page de couverture)"/>
    <w:basedOn w:val="Accompagnant"/>
    <w:next w:val="Normal"/>
  </w:style>
  <w:style w:type="character" w:customStyle="1" w:styleId="Added">
    <w:name w:val="Added"/>
    <w:rPr>
      <w:b/>
      <w:u w:val="single"/>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Annexetitre">
    <w:name w:val="Annexe titre"/>
    <w:basedOn w:val="Normal"/>
    <w:next w:val="Normal"/>
    <w:pPr>
      <w:jc w:val="center"/>
    </w:pPr>
    <w:rPr>
      <w:b/>
      <w:u w:val="single"/>
    </w:rPr>
  </w:style>
  <w:style w:type="paragraph" w:customStyle="1" w:styleId="Annexetitreexpos">
    <w:name w:val="Annexe titre (exposé)"/>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Normal"/>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Bullet0">
    <w:name w:val="Bullet 0"/>
    <w:basedOn w:val="Normal"/>
    <w:pPr>
      <w:numPr>
        <w:numId w:val="1"/>
      </w:numPr>
    </w:pPr>
  </w:style>
  <w:style w:type="paragraph" w:customStyle="1" w:styleId="Bullet1">
    <w:name w:val="Bullet 1"/>
    <w:basedOn w:val="Normal"/>
    <w:pPr>
      <w:numPr>
        <w:numId w:val="2"/>
      </w:numPr>
    </w:pPr>
  </w:style>
  <w:style w:type="paragraph" w:customStyle="1" w:styleId="Bullet2">
    <w:name w:val="Bullet 2"/>
    <w:basedOn w:val="Normal"/>
    <w:pPr>
      <w:numPr>
        <w:numId w:val="3"/>
      </w:numPr>
    </w:pPr>
  </w:style>
  <w:style w:type="paragraph" w:customStyle="1" w:styleId="Bullet3">
    <w:name w:val="Bullet 3"/>
    <w:basedOn w:val="Normal"/>
    <w:pPr>
      <w:numPr>
        <w:numId w:val="4"/>
      </w:numPr>
    </w:pPr>
  </w:style>
  <w:style w:type="paragraph" w:customStyle="1" w:styleId="Bullet4">
    <w:name w:val="Bullet 4"/>
    <w:basedOn w:val="Normal"/>
    <w:pPr>
      <w:numPr>
        <w:numId w:val="5"/>
      </w:numPr>
    </w:pPr>
  </w:style>
  <w:style w:type="paragraph" w:customStyle="1" w:styleId="ChapterTitle">
    <w:name w:val="ChapterTitle"/>
    <w:basedOn w:val="Normal"/>
    <w:next w:val="Normal"/>
    <w:pPr>
      <w:keepNext/>
      <w:spacing w:after="360"/>
      <w:jc w:val="center"/>
    </w:pPr>
    <w:rPr>
      <w:b/>
      <w:sz w:val="32"/>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Normal"/>
    <w:pPr>
      <w:spacing w:before="240" w:after="240"/>
      <w:ind w:left="5103"/>
    </w:pPr>
    <w:rPr>
      <w:u w:val="single"/>
    </w:rPr>
  </w:style>
  <w:style w:type="paragraph" w:customStyle="1" w:styleId="Considrant">
    <w:name w:val="Considérant"/>
    <w:basedOn w:val="Normal"/>
    <w:pPr>
      <w:numPr>
        <w:numId w:val="6"/>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Normal"/>
    <w:pPr>
      <w:spacing w:before="360" w:after="0"/>
      <w:jc w:val="center"/>
    </w:pPr>
    <w:rPr>
      <w:b/>
    </w:rPr>
  </w:style>
  <w:style w:type="paragraph" w:customStyle="1" w:styleId="DatedadoptionPagedecouverture">
    <w:name w:val="Date d'adoption (Page de couverture)"/>
    <w:basedOn w:val="Datedadoption"/>
    <w:next w:val="Normal"/>
  </w:style>
  <w:style w:type="character" w:customStyle="1" w:styleId="Deleted">
    <w:name w:val="Deleted"/>
    <w:rPr>
      <w:strike/>
      <w:shd w:val="clear" w:color="auto" w:fill="auto"/>
    </w:rPr>
  </w:style>
  <w:style w:type="paragraph" w:customStyle="1" w:styleId="Emission">
    <w:name w:val="Emission"/>
    <w:basedOn w:val="Normal"/>
    <w:next w:val="Normal"/>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Normal"/>
    <w:pPr>
      <w:keepNext/>
      <w:spacing w:after="0"/>
    </w:pPr>
  </w:style>
  <w:style w:type="paragraph" w:customStyle="1" w:styleId="Fichefinanciretitre">
    <w:name w:val="Fiche financière titre"/>
    <w:basedOn w:val="Normal"/>
    <w:next w:val="Normal"/>
    <w:pPr>
      <w:jc w:val="center"/>
    </w:pPr>
    <w:rPr>
      <w:b/>
      <w:u w:val="single"/>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rPr>
      <w:rFonts w:eastAsia="Calibri"/>
      <w:szCs w:val="22"/>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rPr>
      <w:rFonts w:eastAsia="Calibri"/>
      <w:szCs w:val="22"/>
    </w:rPr>
  </w:style>
  <w:style w:type="character" w:styleId="FootnoteReference">
    <w:name w:val="footnote reference"/>
    <w:uiPriority w:val="99"/>
    <w:rPr>
      <w:shd w:val="clear" w:color="auto" w:fill="auto"/>
      <w:vertAlign w:val="superscript"/>
    </w:rPr>
  </w:style>
  <w:style w:type="paragraph" w:styleId="FootnoteText">
    <w:name w:val="footnote text"/>
    <w:basedOn w:val="Normal"/>
    <w:link w:val="FootnoteTextChar"/>
    <w:uiPriority w:val="99"/>
    <w:pPr>
      <w:spacing w:before="0" w:after="0"/>
      <w:ind w:left="720" w:hanging="720"/>
    </w:pPr>
    <w:rPr>
      <w:sz w:val="20"/>
      <w:szCs w:val="20"/>
    </w:rPr>
  </w:style>
  <w:style w:type="paragraph" w:customStyle="1" w:styleId="Formuledadoption">
    <w:name w:val="Formule d'adoption"/>
    <w:basedOn w:val="Normal"/>
    <w:next w:val="Normal"/>
    <w:pPr>
      <w:keepNext/>
    </w:pPr>
  </w:style>
  <w:style w:type="paragraph" w:styleId="Header">
    <w:name w:val="header"/>
    <w:basedOn w:val="Normal"/>
    <w:link w:val="HeaderChar"/>
    <w:uiPriority w:val="99"/>
    <w:unhideWhenUsed/>
    <w:pPr>
      <w:tabs>
        <w:tab w:val="center" w:pos="4535"/>
        <w:tab w:val="right" w:pos="9071"/>
      </w:tabs>
      <w:spacing w:before="0"/>
    </w:pPr>
    <w:rPr>
      <w:rFonts w:eastAsia="Calibri"/>
      <w:szCs w:val="22"/>
    </w:rPr>
  </w:style>
  <w:style w:type="paragraph" w:customStyle="1" w:styleId="HeaderLandscape">
    <w:name w:val="HeaderLandscape"/>
    <w:basedOn w:val="Normal"/>
    <w:pPr>
      <w:tabs>
        <w:tab w:val="center" w:pos="7285"/>
        <w:tab w:val="right" w:pos="14003"/>
      </w:tabs>
      <w:spacing w:before="0"/>
    </w:pPr>
    <w:rPr>
      <w:rFonts w:eastAsia="Calibri"/>
      <w:szCs w:val="22"/>
    </w:r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Normal"/>
    <w:pPr>
      <w:keepNext/>
      <w:tabs>
        <w:tab w:val="left" w:pos="4252"/>
      </w:tabs>
      <w:spacing w:before="720" w:after="0"/>
    </w:pPr>
    <w:rPr>
      <w:i/>
    </w:rPr>
  </w:style>
  <w:style w:type="paragraph" w:customStyle="1" w:styleId="Languesfaisantfoi">
    <w:name w:val="Langues faisant foi"/>
    <w:basedOn w:val="Normal"/>
    <w:next w:val="Normal"/>
    <w:pPr>
      <w:spacing w:before="360" w:after="0"/>
      <w:jc w:val="center"/>
    </w:pPr>
  </w:style>
  <w:style w:type="paragraph" w:customStyle="1" w:styleId="IntrtEEE">
    <w:name w:val="Intérêt EEE"/>
    <w:basedOn w:val="Languesfaisantfoi"/>
    <w:next w:val="Normal"/>
    <w:pPr>
      <w:spacing w:after="240"/>
    </w:pPr>
  </w:style>
  <w:style w:type="paragraph" w:customStyle="1" w:styleId="IntrtEEEPagedecouverture">
    <w:name w:val="Intérêt EEE (Page de couverture)"/>
    <w:basedOn w:val="IntrtEEE"/>
    <w:next w:val="Normal"/>
  </w:style>
  <w:style w:type="paragraph" w:customStyle="1" w:styleId="Langue">
    <w:name w:val="Langue"/>
    <w:basedOn w:val="Normal"/>
    <w:next w:val="Normal"/>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ormal"/>
    <w:next w:val="Normal"/>
    <w:pPr>
      <w:spacing w:before="360" w:after="0"/>
      <w:jc w:val="center"/>
    </w:pPr>
  </w:style>
  <w:style w:type="paragraph" w:customStyle="1" w:styleId="ManualConsidrant">
    <w:name w:val="Manual Considérant"/>
    <w:basedOn w:val="Normal"/>
    <w:pPr>
      <w:ind w:left="709" w:hanging="709"/>
    </w:pPr>
  </w:style>
  <w:style w:type="paragraph" w:customStyle="1" w:styleId="ManualHeading1">
    <w:name w:val="Manual Heading 1"/>
    <w:basedOn w:val="Normal"/>
    <w:next w:val="Normal"/>
    <w:pPr>
      <w:keepNext/>
      <w:tabs>
        <w:tab w:val="left" w:pos="850"/>
      </w:tabs>
      <w:spacing w:before="360"/>
      <w:ind w:left="850" w:hanging="850"/>
      <w:outlineLvl w:val="0"/>
    </w:pPr>
    <w:rPr>
      <w:b/>
      <w:smallCaps/>
    </w:rPr>
  </w:style>
  <w:style w:type="paragraph" w:customStyle="1" w:styleId="ManualHeading2">
    <w:name w:val="Manual Heading 2"/>
    <w:basedOn w:val="Normal"/>
    <w:next w:val="Normal"/>
    <w:pPr>
      <w:keepNext/>
      <w:tabs>
        <w:tab w:val="left" w:pos="850"/>
      </w:tabs>
      <w:ind w:left="850" w:hanging="850"/>
      <w:outlineLvl w:val="1"/>
    </w:pPr>
    <w:rPr>
      <w:b/>
    </w:rPr>
  </w:style>
  <w:style w:type="paragraph" w:customStyle="1" w:styleId="ManualHeading3">
    <w:name w:val="Manual Heading 3"/>
    <w:basedOn w:val="Normal"/>
    <w:next w:val="Normal"/>
    <w:pPr>
      <w:keepNext/>
      <w:tabs>
        <w:tab w:val="left" w:pos="850"/>
      </w:tabs>
      <w:ind w:left="850" w:hanging="850"/>
      <w:outlineLvl w:val="2"/>
    </w:pPr>
    <w:rPr>
      <w:i/>
    </w:rPr>
  </w:style>
  <w:style w:type="paragraph" w:customStyle="1" w:styleId="ManualHeading4">
    <w:name w:val="Manual Heading 4"/>
    <w:basedOn w:val="Normal"/>
    <w:next w:val="Normal"/>
    <w:pPr>
      <w:keepNext/>
      <w:tabs>
        <w:tab w:val="left" w:pos="850"/>
      </w:tabs>
      <w:ind w:left="850" w:hanging="850"/>
      <w:outlineLvl w:val="3"/>
    </w:pPr>
  </w:style>
  <w:style w:type="paragraph" w:customStyle="1" w:styleId="ManualNumPar1">
    <w:name w:val="Manual NumPar 1"/>
    <w:basedOn w:val="Normal"/>
    <w:next w:val="Normal"/>
    <w:pPr>
      <w:ind w:left="850" w:hanging="850"/>
    </w:pPr>
  </w:style>
  <w:style w:type="paragraph" w:customStyle="1" w:styleId="ManualNumPar2">
    <w:name w:val="Manual NumPar 2"/>
    <w:basedOn w:val="Normal"/>
    <w:next w:val="Normal"/>
    <w:pPr>
      <w:ind w:left="850" w:hanging="850"/>
    </w:pPr>
  </w:style>
  <w:style w:type="paragraph" w:customStyle="1" w:styleId="ManualNumPar3">
    <w:name w:val="Manual NumPar 3"/>
    <w:basedOn w:val="Normal"/>
    <w:next w:val="Normal"/>
    <w:pPr>
      <w:ind w:left="850" w:hanging="850"/>
    </w:pPr>
  </w:style>
  <w:style w:type="paragraph" w:customStyle="1" w:styleId="ManualNumPar4">
    <w:name w:val="Manual NumPar 4"/>
    <w:basedOn w:val="Normal"/>
    <w:next w:val="Normal"/>
    <w:pPr>
      <w:ind w:left="850" w:hanging="850"/>
    </w:pPr>
  </w:style>
  <w:style w:type="character" w:customStyle="1" w:styleId="Marker">
    <w:name w:val="Marker"/>
    <w:rPr>
      <w:color w:val="0000FF"/>
      <w:shd w:val="clear" w:color="auto" w:fill="auto"/>
    </w:rPr>
  </w:style>
  <w:style w:type="character" w:customStyle="1" w:styleId="Marker1">
    <w:name w:val="Marker1"/>
    <w:rPr>
      <w:color w:val="008000"/>
      <w:shd w:val="clear" w:color="auto" w:fill="auto"/>
    </w:rPr>
  </w:style>
  <w:style w:type="character" w:customStyle="1" w:styleId="Marker2">
    <w:name w:val="Marker2"/>
    <w:rPr>
      <w:color w:val="FF0000"/>
      <w:shd w:val="clear" w:color="auto" w:fill="auto"/>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NumPar1">
    <w:name w:val="NumPar 1"/>
    <w:basedOn w:val="Normal"/>
    <w:next w:val="Normal"/>
    <w:pPr>
      <w:numPr>
        <w:numId w:val="23"/>
      </w:numPr>
    </w:pPr>
  </w:style>
  <w:style w:type="paragraph" w:customStyle="1" w:styleId="NumPar2">
    <w:name w:val="NumPar 2"/>
    <w:basedOn w:val="Normal"/>
    <w:next w:val="Normal"/>
    <w:pPr>
      <w:numPr>
        <w:ilvl w:val="1"/>
        <w:numId w:val="23"/>
      </w:numPr>
    </w:pPr>
  </w:style>
  <w:style w:type="paragraph" w:customStyle="1" w:styleId="NumPar3">
    <w:name w:val="NumPar 3"/>
    <w:basedOn w:val="Normal"/>
    <w:next w:val="Normal"/>
    <w:pPr>
      <w:numPr>
        <w:ilvl w:val="2"/>
        <w:numId w:val="23"/>
      </w:numPr>
    </w:pPr>
  </w:style>
  <w:style w:type="paragraph" w:customStyle="1" w:styleId="NumPar4">
    <w:name w:val="NumPar 4"/>
    <w:basedOn w:val="Normal"/>
    <w:next w:val="Normal"/>
    <w:pPr>
      <w:numPr>
        <w:ilvl w:val="3"/>
        <w:numId w:val="23"/>
      </w:numPr>
    </w:pPr>
  </w:style>
  <w:style w:type="paragraph" w:customStyle="1" w:styleId="Objetacteprincipal">
    <w:name w:val="Objet acte principal"/>
    <w:basedOn w:val="Normal"/>
    <w:next w:val="Normal"/>
    <w:pPr>
      <w:spacing w:before="0" w:after="360"/>
      <w:jc w:val="center"/>
    </w:pPr>
    <w:rPr>
      <w:b/>
    </w:rPr>
  </w:style>
  <w:style w:type="paragraph" w:customStyle="1" w:styleId="ObjetacteprincipalPagedecouverture">
    <w:name w:val="Objet acte principal (Page de couverture)"/>
    <w:basedOn w:val="Objetacteprincipal"/>
    <w:next w:val="Normal"/>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style>
  <w:style w:type="paragraph" w:customStyle="1" w:styleId="PartTitle">
    <w:name w:val="PartTitle"/>
    <w:basedOn w:val="Normal"/>
    <w:next w:val="ChapterTitle"/>
    <w:pPr>
      <w:keepNext/>
      <w:pageBreakBefore/>
      <w:spacing w:after="360"/>
      <w:jc w:val="center"/>
    </w:pPr>
    <w:rPr>
      <w:b/>
      <w:sz w:val="36"/>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Point0">
    <w:name w:val="Point 0"/>
    <w:basedOn w:val="Normal"/>
    <w:pPr>
      <w:ind w:left="850" w:hanging="850"/>
    </w:pPr>
  </w:style>
  <w:style w:type="paragraph" w:customStyle="1" w:styleId="Point0letter">
    <w:name w:val="Point 0 (letter)"/>
    <w:basedOn w:val="Normal"/>
  </w:style>
  <w:style w:type="paragraph" w:customStyle="1" w:styleId="Point0number">
    <w:name w:val="Point 0 (number)"/>
    <w:basedOn w:val="Normal"/>
  </w:style>
  <w:style w:type="paragraph" w:customStyle="1" w:styleId="Point1">
    <w:name w:val="Point 1"/>
    <w:basedOn w:val="Normal"/>
    <w:pPr>
      <w:ind w:left="1417" w:hanging="567"/>
    </w:pPr>
  </w:style>
  <w:style w:type="paragraph" w:customStyle="1" w:styleId="Point1letter">
    <w:name w:val="Point 1 (letter)"/>
    <w:basedOn w:val="Normal"/>
  </w:style>
  <w:style w:type="paragraph" w:customStyle="1" w:styleId="Point1number">
    <w:name w:val="Point 1 (number)"/>
    <w:basedOn w:val="Normal"/>
  </w:style>
  <w:style w:type="paragraph" w:customStyle="1" w:styleId="Point2">
    <w:name w:val="Point 2"/>
    <w:basedOn w:val="Normal"/>
    <w:pPr>
      <w:ind w:left="1984" w:hanging="567"/>
    </w:pPr>
  </w:style>
  <w:style w:type="paragraph" w:customStyle="1" w:styleId="Point2letter">
    <w:name w:val="Point 2 (letter)"/>
    <w:basedOn w:val="Normal"/>
    <w:pPr>
      <w:numPr>
        <w:ilvl w:val="5"/>
        <w:numId w:val="7"/>
      </w:numPr>
    </w:pPr>
  </w:style>
  <w:style w:type="paragraph" w:customStyle="1" w:styleId="Point2number">
    <w:name w:val="Point 2 (number)"/>
    <w:basedOn w:val="Normal"/>
    <w:pPr>
      <w:numPr>
        <w:ilvl w:val="4"/>
        <w:numId w:val="7"/>
      </w:numPr>
    </w:pPr>
  </w:style>
  <w:style w:type="paragraph" w:customStyle="1" w:styleId="Point3">
    <w:name w:val="Point 3"/>
    <w:basedOn w:val="Normal"/>
    <w:pPr>
      <w:ind w:left="2551" w:hanging="567"/>
    </w:pPr>
  </w:style>
  <w:style w:type="paragraph" w:customStyle="1" w:styleId="Point3letter">
    <w:name w:val="Point 3 (letter)"/>
    <w:basedOn w:val="Normal"/>
    <w:pPr>
      <w:numPr>
        <w:ilvl w:val="7"/>
        <w:numId w:val="7"/>
      </w:numPr>
    </w:pPr>
  </w:style>
  <w:style w:type="paragraph" w:customStyle="1" w:styleId="Point3number">
    <w:name w:val="Point 3 (number)"/>
    <w:basedOn w:val="Normal"/>
    <w:pPr>
      <w:numPr>
        <w:ilvl w:val="6"/>
        <w:numId w:val="7"/>
      </w:numPr>
    </w:pPr>
  </w:style>
  <w:style w:type="paragraph" w:customStyle="1" w:styleId="Point4">
    <w:name w:val="Point 4"/>
    <w:basedOn w:val="Normal"/>
    <w:pPr>
      <w:ind w:left="3118" w:hanging="567"/>
    </w:pPr>
  </w:style>
  <w:style w:type="paragraph" w:customStyle="1" w:styleId="Point4letter">
    <w:name w:val="Point 4 (letter)"/>
    <w:basedOn w:val="Normal"/>
    <w:pPr>
      <w:numPr>
        <w:ilvl w:val="8"/>
        <w:numId w:val="7"/>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QuotedNumPar">
    <w:name w:val="Quoted NumPar"/>
    <w:basedOn w:val="Normal"/>
    <w:pPr>
      <w:ind w:left="1417" w:hanging="567"/>
    </w:pPr>
  </w:style>
  <w:style w:type="paragraph" w:customStyle="1" w:styleId="QuotedText">
    <w:name w:val="Quoted Text"/>
    <w:basedOn w:val="Normal"/>
    <w:pPr>
      <w:ind w:left="1417"/>
    </w:pPr>
  </w:style>
  <w:style w:type="paragraph" w:customStyle="1" w:styleId="Rfrencecroise">
    <w:name w:val="Référence croisée"/>
    <w:basedOn w:val="Normal"/>
    <w:pPr>
      <w:spacing w:before="0" w:after="0"/>
      <w:jc w:val="center"/>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Normal"/>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style>
  <w:style w:type="paragraph" w:customStyle="1" w:styleId="Rfrenceinterne">
    <w:name w:val="Référence interne"/>
    <w:basedOn w:val="Normal"/>
    <w:next w:val="Rfrenceinterinstitutionnelle"/>
    <w:pPr>
      <w:spacing w:before="0" w:after="0"/>
      <w:ind w:left="5103"/>
      <w:jc w:val="left"/>
    </w:pPr>
  </w:style>
  <w:style w:type="paragraph" w:customStyle="1" w:styleId="SectionTitle">
    <w:name w:val="SectionTitle"/>
    <w:basedOn w:val="Normal"/>
    <w:next w:val="Heading1"/>
    <w:pPr>
      <w:keepNext/>
      <w:spacing w:after="360"/>
      <w:jc w:val="center"/>
    </w:pPr>
    <w:rPr>
      <w:b/>
      <w:smallCaps/>
      <w:sz w:val="28"/>
    </w:rPr>
  </w:style>
  <w:style w:type="paragraph" w:customStyle="1" w:styleId="Sous-titreobjet">
    <w:name w:val="Sous-titre objet"/>
    <w:basedOn w:val="Normal"/>
    <w:pPr>
      <w:spacing w:before="0" w:after="0"/>
      <w:jc w:val="center"/>
    </w:pPr>
    <w:rPr>
      <w:b/>
    </w:rPr>
  </w:style>
  <w:style w:type="paragraph" w:customStyle="1" w:styleId="Sous-titreobjetPagedecouverture">
    <w:name w:val="Sous-titre objet (Page de couverture)"/>
    <w:basedOn w:val="Sous-titreobjet"/>
  </w:style>
  <w:style w:type="paragraph" w:customStyle="1" w:styleId="Statut">
    <w:name w:val="Statut"/>
    <w:basedOn w:val="Normal"/>
    <w:next w:val="Normal"/>
    <w:pPr>
      <w:spacing w:before="360" w:after="0"/>
      <w:jc w:val="center"/>
    </w:pPr>
  </w:style>
  <w:style w:type="paragraph" w:customStyle="1" w:styleId="StatutPagedecouverture">
    <w:name w:val="Statut (Page de couverture)"/>
    <w:basedOn w:val="Statut"/>
    <w:next w:val="Normal"/>
  </w:style>
  <w:style w:type="paragraph" w:customStyle="1" w:styleId="Supertitre">
    <w:name w:val="Supertitre"/>
    <w:basedOn w:val="Normal"/>
    <w:next w:val="Normal"/>
    <w:pPr>
      <w:spacing w:before="0" w:after="600"/>
      <w:jc w:val="center"/>
    </w:pPr>
    <w:rPr>
      <w:b/>
    </w:rPr>
  </w:style>
  <w:style w:type="paragraph" w:customStyle="1" w:styleId="TableTitle">
    <w:name w:val="Table Title"/>
    <w:basedOn w:val="Normal"/>
    <w:next w:val="Normal"/>
    <w:pPr>
      <w:jc w:val="center"/>
    </w:pPr>
    <w:rPr>
      <w:b/>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iret0">
    <w:name w:val="Tiret 0"/>
    <w:basedOn w:val="Point0"/>
    <w:pPr>
      <w:numPr>
        <w:numId w:val="8"/>
      </w:numPr>
    </w:pPr>
  </w:style>
  <w:style w:type="paragraph" w:customStyle="1" w:styleId="Tiret1">
    <w:name w:val="Tiret 1"/>
    <w:basedOn w:val="Point1"/>
    <w:pPr>
      <w:numPr>
        <w:numId w:val="9"/>
      </w:numPr>
    </w:pPr>
  </w:style>
  <w:style w:type="paragraph" w:customStyle="1" w:styleId="Tiret2">
    <w:name w:val="Tiret 2"/>
    <w:basedOn w:val="Point2"/>
    <w:pPr>
      <w:numPr>
        <w:numId w:val="10"/>
      </w:numPr>
    </w:pPr>
  </w:style>
  <w:style w:type="paragraph" w:customStyle="1" w:styleId="Tiret3">
    <w:name w:val="Tiret 3"/>
    <w:basedOn w:val="Point3"/>
    <w:pPr>
      <w:numPr>
        <w:numId w:val="11"/>
      </w:numPr>
    </w:pPr>
  </w:style>
  <w:style w:type="paragraph" w:customStyle="1" w:styleId="Tiret4">
    <w:name w:val="Tiret 4"/>
    <w:basedOn w:val="Point4"/>
    <w:pPr>
      <w:numPr>
        <w:numId w:val="12"/>
      </w:numP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itreobjetPagedecouverture">
    <w:name w:val="Titre objet (Page de couverture)"/>
    <w:basedOn w:val="Titreobjet"/>
    <w:next w:val="Sous-titreobjetPagedecouverture"/>
  </w:style>
  <w:style w:type="paragraph" w:styleId="TOC1">
    <w:name w:val="toc 1"/>
    <w:basedOn w:val="Normal"/>
    <w:next w:val="Normal"/>
    <w:uiPriority w:val="39"/>
    <w:pPr>
      <w:tabs>
        <w:tab w:val="right" w:leader="dot" w:pos="9071"/>
      </w:tabs>
      <w:spacing w:before="60"/>
      <w:ind w:left="850" w:hanging="850"/>
      <w:jc w:val="left"/>
    </w:pPr>
  </w:style>
  <w:style w:type="paragraph" w:styleId="TOC2">
    <w:name w:val="toc 2"/>
    <w:basedOn w:val="Normal"/>
    <w:next w:val="Normal"/>
    <w:uiPriority w:val="39"/>
    <w:pPr>
      <w:tabs>
        <w:tab w:val="right" w:leader="dot" w:pos="9071"/>
      </w:tabs>
      <w:spacing w:before="60"/>
      <w:ind w:left="850" w:hanging="850"/>
      <w:jc w:val="left"/>
    </w:pPr>
  </w:style>
  <w:style w:type="paragraph" w:styleId="TOC3">
    <w:name w:val="toc 3"/>
    <w:basedOn w:val="Normal"/>
    <w:next w:val="Normal"/>
    <w:uiPriority w:val="39"/>
    <w:pPr>
      <w:tabs>
        <w:tab w:val="right" w:leader="dot" w:pos="9071"/>
      </w:tabs>
      <w:spacing w:before="60"/>
      <w:ind w:left="850" w:hanging="850"/>
      <w:jc w:val="left"/>
    </w:pPr>
  </w:style>
  <w:style w:type="paragraph" w:styleId="TOC4">
    <w:name w:val="toc 4"/>
    <w:basedOn w:val="Normal"/>
    <w:next w:val="Normal"/>
    <w:semiHidden/>
    <w:pPr>
      <w:tabs>
        <w:tab w:val="right" w:leader="dot" w:pos="9071"/>
      </w:tabs>
      <w:spacing w:before="60"/>
      <w:ind w:left="850" w:hanging="850"/>
      <w:jc w:val="left"/>
    </w:pPr>
  </w:style>
  <w:style w:type="paragraph" w:styleId="TOC5">
    <w:name w:val="toc 5"/>
    <w:basedOn w:val="Normal"/>
    <w:next w:val="Normal"/>
    <w:semiHidden/>
    <w:pPr>
      <w:tabs>
        <w:tab w:val="right" w:leader="dot" w:pos="9071"/>
      </w:tabs>
      <w:spacing w:before="300"/>
      <w:jc w:val="left"/>
    </w:pPr>
  </w:style>
  <w:style w:type="paragraph" w:styleId="TOC6">
    <w:name w:val="toc 6"/>
    <w:basedOn w:val="Normal"/>
    <w:next w:val="Normal"/>
    <w:semiHidden/>
    <w:pPr>
      <w:tabs>
        <w:tab w:val="right" w:leader="dot" w:pos="9071"/>
      </w:tabs>
      <w:spacing w:before="240"/>
      <w:jc w:val="left"/>
    </w:pPr>
  </w:style>
  <w:style w:type="paragraph" w:styleId="TOC7">
    <w:name w:val="toc 7"/>
    <w:basedOn w:val="Normal"/>
    <w:next w:val="Normal"/>
    <w:semiHidden/>
    <w:pPr>
      <w:tabs>
        <w:tab w:val="right" w:leader="dot" w:pos="9071"/>
      </w:tabs>
      <w:spacing w:before="180"/>
      <w:jc w:val="left"/>
    </w:pPr>
  </w:style>
  <w:style w:type="paragraph" w:styleId="TOC8">
    <w:name w:val="toc 8"/>
    <w:basedOn w:val="Normal"/>
    <w:next w:val="Normal"/>
    <w:semiHidden/>
    <w:pPr>
      <w:tabs>
        <w:tab w:val="right" w:leader="dot" w:pos="9071"/>
      </w:tabs>
      <w:jc w:val="left"/>
    </w:pPr>
  </w:style>
  <w:style w:type="paragraph" w:styleId="TOC9">
    <w:name w:val="toc 9"/>
    <w:basedOn w:val="Normal"/>
    <w:next w:val="Normal"/>
    <w:semiHidden/>
    <w:pPr>
      <w:tabs>
        <w:tab w:val="right" w:leader="dot" w:pos="9071"/>
      </w:tabs>
    </w:pPr>
  </w:style>
  <w:style w:type="paragraph" w:styleId="TOCHeading">
    <w:name w:val="TOC Heading"/>
    <w:basedOn w:val="Normal"/>
    <w:next w:val="Normal"/>
    <w:link w:val="TOCHeadingChar"/>
    <w:uiPriority w:val="39"/>
    <w:qFormat/>
    <w:pPr>
      <w:spacing w:after="240"/>
      <w:jc w:val="center"/>
    </w:pPr>
    <w:rPr>
      <w:b/>
      <w:sz w:val="28"/>
    </w:rPr>
  </w:style>
  <w:style w:type="paragraph" w:customStyle="1" w:styleId="Typeacteprincipal">
    <w:name w:val="Type acte principal"/>
    <w:basedOn w:val="Normal"/>
    <w:next w:val="Objetacteprincipal"/>
    <w:pPr>
      <w:spacing w:before="0" w:after="240"/>
      <w:jc w:val="center"/>
    </w:pPr>
    <w:rPr>
      <w:b/>
    </w:rPr>
  </w:style>
  <w:style w:type="paragraph" w:customStyle="1" w:styleId="TypeacteprincipalPagedecouverture">
    <w:name w:val="Type acte principal (Page de couverture)"/>
    <w:basedOn w:val="Typeacteprincipal"/>
    <w:next w:val="ObjetacteprincipalPagedecouverture"/>
  </w:style>
  <w:style w:type="paragraph" w:customStyle="1" w:styleId="Typedudocument">
    <w:name w:val="Type du document"/>
    <w:basedOn w:val="Normal"/>
    <w:next w:val="Titreobjet"/>
    <w:pPr>
      <w:spacing w:before="360" w:after="0"/>
      <w:jc w:val="center"/>
    </w:pPr>
    <w:rPr>
      <w:b/>
    </w:rPr>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styleId="ListBullet">
    <w:name w:val="List Bullet"/>
    <w:basedOn w:val="Normal"/>
    <w:pPr>
      <w:numPr>
        <w:numId w:val="15"/>
      </w:numPr>
    </w:pPr>
    <w:rPr>
      <w:lang w:eastAsia="de-DE"/>
    </w:rPr>
  </w:style>
  <w:style w:type="table" w:styleId="TableGrid">
    <w:name w:val="Table Grid"/>
    <w:basedOn w:val="TableNormal"/>
    <w:pPr>
      <w:spacing w:before="120"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shd w:val="clear" w:color="auto" w:fill="auto"/>
      <w:lang w:eastAsia="en-US"/>
    </w:rPr>
  </w:style>
  <w:style w:type="paragraph" w:styleId="ListBullet2">
    <w:name w:val="List Bullet 2"/>
    <w:basedOn w:val="Normal"/>
    <w:pPr>
      <w:numPr>
        <w:numId w:val="16"/>
      </w:numPr>
    </w:pPr>
  </w:style>
  <w:style w:type="paragraph" w:styleId="ListBullet3">
    <w:name w:val="List Bullet 3"/>
    <w:basedOn w:val="Normal"/>
    <w:pPr>
      <w:numPr>
        <w:numId w:val="17"/>
      </w:numPr>
    </w:pPr>
  </w:style>
  <w:style w:type="paragraph" w:styleId="ListBullet4">
    <w:name w:val="List Bullet 4"/>
    <w:basedOn w:val="Normal"/>
    <w:pPr>
      <w:numPr>
        <w:numId w:val="18"/>
      </w:numPr>
    </w:pPr>
  </w:style>
  <w:style w:type="paragraph" w:styleId="Caption">
    <w:name w:val="caption"/>
    <w:basedOn w:val="Normal"/>
    <w:next w:val="Normal"/>
    <w:qFormat/>
    <w:rPr>
      <w:b/>
      <w:bCs/>
      <w:sz w:val="20"/>
      <w:szCs w:val="20"/>
    </w:rPr>
  </w:style>
  <w:style w:type="paragraph" w:styleId="TableofFigures">
    <w:name w:val="table of figures"/>
    <w:basedOn w:val="Normal"/>
    <w:next w:val="Normal"/>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character" w:styleId="CommentReference">
    <w:name w:val="annotation reference"/>
    <w:rPr>
      <w:rFonts w:cs="Times New Roman"/>
      <w:sz w:val="16"/>
      <w:szCs w:val="16"/>
      <w:shd w:val="clear" w:color="auto" w:fill="auto"/>
    </w:rPr>
  </w:style>
  <w:style w:type="paragraph" w:styleId="CommentText">
    <w:name w:val="annotation text"/>
    <w:basedOn w:val="Normal"/>
    <w:link w:val="CommentTextChar"/>
    <w:rPr>
      <w:sz w:val="20"/>
      <w:szCs w:val="20"/>
    </w:rPr>
  </w:style>
  <w:style w:type="character" w:customStyle="1" w:styleId="CommentTextChar">
    <w:name w:val="Comment Text Char"/>
    <w:link w:val="CommentText"/>
    <w:rPr>
      <w:shd w:val="clear" w:color="auto" w:fill="auto"/>
      <w:lang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shd w:val="clear" w:color="auto" w:fill="auto"/>
      <w:lang w:eastAsia="en-US"/>
    </w:rPr>
  </w:style>
  <w:style w:type="character" w:styleId="Hyperlink">
    <w:name w:val="Hyperlink"/>
    <w:uiPriority w:val="99"/>
    <w:rPr>
      <w:rFonts w:cs="Times New Roman"/>
      <w:color w:val="0000FF"/>
      <w:u w:val="single"/>
      <w:shd w:val="clear" w:color="auto" w:fill="auto"/>
    </w:rPr>
  </w:style>
  <w:style w:type="paragraph" w:customStyle="1" w:styleId="Default">
    <w:name w:val="Default"/>
    <w:pPr>
      <w:autoSpaceDE w:val="0"/>
      <w:autoSpaceDN w:val="0"/>
      <w:adjustRightInd w:val="0"/>
    </w:pPr>
    <w:rPr>
      <w:color w:val="000000"/>
      <w:sz w:val="24"/>
      <w:szCs w:val="24"/>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TOCHeadingChar">
    <w:name w:val="TOC Heading Char"/>
    <w:link w:val="TOCHeading"/>
    <w:uiPriority w:val="39"/>
    <w:rPr>
      <w:b/>
      <w:sz w:val="28"/>
      <w:szCs w:val="24"/>
      <w:shd w:val="clear" w:color="auto" w:fill="auto"/>
      <w:lang w:eastAsia="en-US"/>
    </w:rPr>
  </w:style>
  <w:style w:type="character" w:customStyle="1" w:styleId="FooterCoverPageChar">
    <w:name w:val="Footer Cover Page Char"/>
    <w:link w:val="FooterCoverPage"/>
    <w:rPr>
      <w:sz w:val="24"/>
      <w:szCs w:val="24"/>
      <w:lang w:eastAsia="en-US"/>
    </w:rPr>
  </w:style>
  <w:style w:type="paragraph" w:customStyle="1" w:styleId="HeaderCoverPage">
    <w:name w:val="Header Cover Page"/>
    <w:basedOn w:val="Normal"/>
    <w:link w:val="HeaderCoverPageChar"/>
    <w:pPr>
      <w:tabs>
        <w:tab w:val="center" w:pos="4535"/>
        <w:tab w:val="right" w:pos="9071"/>
      </w:tabs>
      <w:spacing w:before="0"/>
    </w:pPr>
  </w:style>
  <w:style w:type="character" w:customStyle="1" w:styleId="HeaderCoverPageChar">
    <w:name w:val="Header Cover Page Char"/>
    <w:link w:val="HeaderCoverPage"/>
    <w:rPr>
      <w:sz w:val="24"/>
      <w:szCs w:val="24"/>
      <w:lang w:eastAsia="en-US"/>
    </w:rPr>
  </w:style>
  <w:style w:type="character" w:customStyle="1" w:styleId="FootnoteTextChar">
    <w:name w:val="Footnote Text Char"/>
    <w:link w:val="FootnoteText"/>
    <w:uiPriority w:val="99"/>
    <w:rPr>
      <w:lang w:eastAsia="en-US"/>
    </w:rPr>
  </w:style>
  <w:style w:type="character" w:customStyle="1" w:styleId="Heading4Char">
    <w:name w:val="Heading 4 Char"/>
    <w:link w:val="Heading4"/>
    <w:rPr>
      <w:bCs/>
      <w:sz w:val="24"/>
      <w:szCs w:val="28"/>
      <w:lang w:eastAsia="en-US"/>
    </w:rPr>
  </w:style>
  <w:style w:type="character" w:customStyle="1" w:styleId="FooterChar">
    <w:name w:val="Footer Char"/>
    <w:link w:val="Footer"/>
    <w:uiPriority w:val="99"/>
    <w:rPr>
      <w:rFonts w:eastAsia="Calibri"/>
      <w:sz w:val="24"/>
      <w:szCs w:val="22"/>
      <w:lang w:eastAsia="en-US"/>
    </w:rPr>
  </w:style>
  <w:style w:type="paragraph" w:styleId="Revision">
    <w:name w:val="Revision"/>
    <w:hidden/>
    <w:uiPriority w:val="99"/>
    <w:semiHidden/>
    <w:rPr>
      <w:sz w:val="24"/>
      <w:szCs w:val="24"/>
      <w:lang w:eastAsia="en-US"/>
    </w:rPr>
  </w:style>
  <w:style w:type="character" w:customStyle="1" w:styleId="Heading3Char">
    <w:name w:val="Heading 3 Char"/>
    <w:link w:val="Heading3"/>
    <w:rPr>
      <w:bCs/>
      <w:i/>
      <w:sz w:val="24"/>
      <w:szCs w:val="26"/>
      <w:lang w:eastAsia="en-US"/>
    </w:rPr>
  </w:style>
  <w:style w:type="paragraph" w:customStyle="1" w:styleId="Declassification">
    <w:name w:val="Declassification"/>
    <w:basedOn w:val="Normal"/>
    <w:next w:val="Normal"/>
    <w:pPr>
      <w:spacing w:before="0" w:after="0"/>
    </w:pPr>
    <w:rPr>
      <w:rFonts w:eastAsia="Calibri"/>
      <w:szCs w:val="22"/>
    </w:rPr>
  </w:style>
  <w:style w:type="character" w:customStyle="1" w:styleId="HeaderChar">
    <w:name w:val="Header Char"/>
    <w:link w:val="Header"/>
    <w:uiPriority w:val="99"/>
    <w:rPr>
      <w:rFonts w:eastAsia="Calibri"/>
      <w:sz w:val="24"/>
      <w:szCs w:val="22"/>
      <w:lang w:eastAsia="en-US"/>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SecurityMarking">
    <w:name w:val="SecurityMarking"/>
    <w:basedOn w:val="Normal"/>
    <w:pPr>
      <w:spacing w:before="0" w:after="0" w:line="276" w:lineRule="auto"/>
      <w:ind w:left="5103"/>
      <w:jc w:val="left"/>
    </w:pPr>
    <w:rPr>
      <w:rFonts w:eastAsiaTheme="minorHAnsi"/>
      <w:sz w:val="28"/>
      <w:szCs w:val="22"/>
    </w:rPr>
  </w:style>
  <w:style w:type="paragraph" w:customStyle="1" w:styleId="DateMarking">
    <w:name w:val="DateMarking"/>
    <w:basedOn w:val="Normal"/>
    <w:pPr>
      <w:spacing w:before="0" w:after="0" w:line="276" w:lineRule="auto"/>
      <w:ind w:left="5103"/>
      <w:jc w:val="left"/>
    </w:pPr>
    <w:rPr>
      <w:rFonts w:eastAsiaTheme="minorHAnsi"/>
      <w:i/>
      <w:sz w:val="28"/>
      <w:szCs w:val="22"/>
    </w:rPr>
  </w:style>
  <w:style w:type="paragraph" w:customStyle="1" w:styleId="ReleasableTo">
    <w:name w:val="ReleasableTo"/>
    <w:basedOn w:val="Normal"/>
    <w:pPr>
      <w:spacing w:before="0" w:after="0" w:line="276" w:lineRule="auto"/>
      <w:ind w:left="5103"/>
      <w:jc w:val="left"/>
    </w:pPr>
    <w:rPr>
      <w:rFonts w:eastAsiaTheme="minorHAnsi"/>
      <w:i/>
      <w:sz w:val="28"/>
      <w:szCs w:val="22"/>
    </w:rPr>
  </w:style>
  <w:style w:type="paragraph" w:customStyle="1" w:styleId="HeaderSensitivityRight">
    <w:name w:val="Header Sensitivity Right"/>
    <w:basedOn w:val="Normal"/>
    <w:pPr>
      <w:spacing w:before="0"/>
      <w:jc w:val="righ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62315">
      <w:bodyDiv w:val="1"/>
      <w:marLeft w:val="0"/>
      <w:marRight w:val="0"/>
      <w:marTop w:val="0"/>
      <w:marBottom w:val="0"/>
      <w:divBdr>
        <w:top w:val="none" w:sz="0" w:space="0" w:color="auto"/>
        <w:left w:val="none" w:sz="0" w:space="0" w:color="auto"/>
        <w:bottom w:val="none" w:sz="0" w:space="0" w:color="auto"/>
        <w:right w:val="none" w:sz="0" w:space="0" w:color="auto"/>
      </w:divBdr>
    </w:div>
    <w:div w:id="154536141">
      <w:bodyDiv w:val="1"/>
      <w:marLeft w:val="0"/>
      <w:marRight w:val="0"/>
      <w:marTop w:val="0"/>
      <w:marBottom w:val="0"/>
      <w:divBdr>
        <w:top w:val="none" w:sz="0" w:space="0" w:color="auto"/>
        <w:left w:val="none" w:sz="0" w:space="0" w:color="auto"/>
        <w:bottom w:val="none" w:sz="0" w:space="0" w:color="auto"/>
        <w:right w:val="none" w:sz="0" w:space="0" w:color="auto"/>
      </w:divBdr>
    </w:div>
    <w:div w:id="287206346">
      <w:bodyDiv w:val="1"/>
      <w:marLeft w:val="0"/>
      <w:marRight w:val="0"/>
      <w:marTop w:val="0"/>
      <w:marBottom w:val="0"/>
      <w:divBdr>
        <w:top w:val="none" w:sz="0" w:space="0" w:color="auto"/>
        <w:left w:val="none" w:sz="0" w:space="0" w:color="auto"/>
        <w:bottom w:val="none" w:sz="0" w:space="0" w:color="auto"/>
        <w:right w:val="none" w:sz="0" w:space="0" w:color="auto"/>
      </w:divBdr>
    </w:div>
    <w:div w:id="571963191">
      <w:bodyDiv w:val="1"/>
      <w:marLeft w:val="0"/>
      <w:marRight w:val="0"/>
      <w:marTop w:val="0"/>
      <w:marBottom w:val="0"/>
      <w:divBdr>
        <w:top w:val="none" w:sz="0" w:space="0" w:color="auto"/>
        <w:left w:val="none" w:sz="0" w:space="0" w:color="auto"/>
        <w:bottom w:val="none" w:sz="0" w:space="0" w:color="auto"/>
        <w:right w:val="none" w:sz="0" w:space="0" w:color="auto"/>
      </w:divBdr>
    </w:div>
    <w:div w:id="593324760">
      <w:bodyDiv w:val="1"/>
      <w:marLeft w:val="0"/>
      <w:marRight w:val="0"/>
      <w:marTop w:val="0"/>
      <w:marBottom w:val="0"/>
      <w:divBdr>
        <w:top w:val="none" w:sz="0" w:space="0" w:color="auto"/>
        <w:left w:val="none" w:sz="0" w:space="0" w:color="auto"/>
        <w:bottom w:val="none" w:sz="0" w:space="0" w:color="auto"/>
        <w:right w:val="none" w:sz="0" w:space="0" w:color="auto"/>
      </w:divBdr>
    </w:div>
    <w:div w:id="647439283">
      <w:bodyDiv w:val="1"/>
      <w:marLeft w:val="0"/>
      <w:marRight w:val="0"/>
      <w:marTop w:val="0"/>
      <w:marBottom w:val="0"/>
      <w:divBdr>
        <w:top w:val="none" w:sz="0" w:space="0" w:color="auto"/>
        <w:left w:val="none" w:sz="0" w:space="0" w:color="auto"/>
        <w:bottom w:val="none" w:sz="0" w:space="0" w:color="auto"/>
        <w:right w:val="none" w:sz="0" w:space="0" w:color="auto"/>
      </w:divBdr>
      <w:divsChild>
        <w:div w:id="1003552866">
          <w:marLeft w:val="240"/>
          <w:marRight w:val="0"/>
          <w:marTop w:val="0"/>
          <w:marBottom w:val="0"/>
          <w:divBdr>
            <w:top w:val="none" w:sz="0" w:space="0" w:color="auto"/>
            <w:left w:val="none" w:sz="0" w:space="0" w:color="auto"/>
            <w:bottom w:val="none" w:sz="0" w:space="0" w:color="auto"/>
            <w:right w:val="none" w:sz="0" w:space="0" w:color="auto"/>
          </w:divBdr>
        </w:div>
        <w:div w:id="888567497">
          <w:marLeft w:val="240"/>
          <w:marRight w:val="0"/>
          <w:marTop w:val="0"/>
          <w:marBottom w:val="0"/>
          <w:divBdr>
            <w:top w:val="none" w:sz="0" w:space="0" w:color="auto"/>
            <w:left w:val="none" w:sz="0" w:space="0" w:color="auto"/>
            <w:bottom w:val="none" w:sz="0" w:space="0" w:color="auto"/>
            <w:right w:val="none" w:sz="0" w:space="0" w:color="auto"/>
          </w:divBdr>
        </w:div>
      </w:divsChild>
    </w:div>
    <w:div w:id="789208158">
      <w:bodyDiv w:val="1"/>
      <w:marLeft w:val="0"/>
      <w:marRight w:val="0"/>
      <w:marTop w:val="0"/>
      <w:marBottom w:val="0"/>
      <w:divBdr>
        <w:top w:val="none" w:sz="0" w:space="0" w:color="auto"/>
        <w:left w:val="none" w:sz="0" w:space="0" w:color="auto"/>
        <w:bottom w:val="none" w:sz="0" w:space="0" w:color="auto"/>
        <w:right w:val="none" w:sz="0" w:space="0" w:color="auto"/>
      </w:divBdr>
    </w:div>
    <w:div w:id="1042828534">
      <w:bodyDiv w:val="1"/>
      <w:marLeft w:val="0"/>
      <w:marRight w:val="0"/>
      <w:marTop w:val="0"/>
      <w:marBottom w:val="0"/>
      <w:divBdr>
        <w:top w:val="none" w:sz="0" w:space="0" w:color="auto"/>
        <w:left w:val="none" w:sz="0" w:space="0" w:color="auto"/>
        <w:bottom w:val="none" w:sz="0" w:space="0" w:color="auto"/>
        <w:right w:val="none" w:sz="0" w:space="0" w:color="auto"/>
      </w:divBdr>
    </w:div>
    <w:div w:id="1190490246">
      <w:bodyDiv w:val="1"/>
      <w:marLeft w:val="0"/>
      <w:marRight w:val="0"/>
      <w:marTop w:val="0"/>
      <w:marBottom w:val="0"/>
      <w:divBdr>
        <w:top w:val="none" w:sz="0" w:space="0" w:color="auto"/>
        <w:left w:val="none" w:sz="0" w:space="0" w:color="auto"/>
        <w:bottom w:val="none" w:sz="0" w:space="0" w:color="auto"/>
        <w:right w:val="none" w:sz="0" w:space="0" w:color="auto"/>
      </w:divBdr>
    </w:div>
    <w:div w:id="1199899282">
      <w:bodyDiv w:val="1"/>
      <w:marLeft w:val="0"/>
      <w:marRight w:val="0"/>
      <w:marTop w:val="0"/>
      <w:marBottom w:val="0"/>
      <w:divBdr>
        <w:top w:val="none" w:sz="0" w:space="0" w:color="auto"/>
        <w:left w:val="none" w:sz="0" w:space="0" w:color="auto"/>
        <w:bottom w:val="none" w:sz="0" w:space="0" w:color="auto"/>
        <w:right w:val="none" w:sz="0" w:space="0" w:color="auto"/>
      </w:divBdr>
    </w:div>
    <w:div w:id="1219515736">
      <w:bodyDiv w:val="1"/>
      <w:marLeft w:val="0"/>
      <w:marRight w:val="0"/>
      <w:marTop w:val="0"/>
      <w:marBottom w:val="0"/>
      <w:divBdr>
        <w:top w:val="none" w:sz="0" w:space="0" w:color="auto"/>
        <w:left w:val="none" w:sz="0" w:space="0" w:color="auto"/>
        <w:bottom w:val="none" w:sz="0" w:space="0" w:color="auto"/>
        <w:right w:val="none" w:sz="0" w:space="0" w:color="auto"/>
      </w:divBdr>
    </w:div>
    <w:div w:id="1228687047">
      <w:bodyDiv w:val="1"/>
      <w:marLeft w:val="0"/>
      <w:marRight w:val="0"/>
      <w:marTop w:val="0"/>
      <w:marBottom w:val="0"/>
      <w:divBdr>
        <w:top w:val="none" w:sz="0" w:space="0" w:color="auto"/>
        <w:left w:val="none" w:sz="0" w:space="0" w:color="auto"/>
        <w:bottom w:val="none" w:sz="0" w:space="0" w:color="auto"/>
        <w:right w:val="none" w:sz="0" w:space="0" w:color="auto"/>
      </w:divBdr>
    </w:div>
    <w:div w:id="1236281064">
      <w:bodyDiv w:val="1"/>
      <w:marLeft w:val="0"/>
      <w:marRight w:val="0"/>
      <w:marTop w:val="0"/>
      <w:marBottom w:val="0"/>
      <w:divBdr>
        <w:top w:val="none" w:sz="0" w:space="0" w:color="auto"/>
        <w:left w:val="none" w:sz="0" w:space="0" w:color="auto"/>
        <w:bottom w:val="none" w:sz="0" w:space="0" w:color="auto"/>
        <w:right w:val="none" w:sz="0" w:space="0" w:color="auto"/>
      </w:divBdr>
    </w:div>
    <w:div w:id="1283414360">
      <w:bodyDiv w:val="1"/>
      <w:marLeft w:val="0"/>
      <w:marRight w:val="0"/>
      <w:marTop w:val="0"/>
      <w:marBottom w:val="0"/>
      <w:divBdr>
        <w:top w:val="none" w:sz="0" w:space="0" w:color="auto"/>
        <w:left w:val="none" w:sz="0" w:space="0" w:color="auto"/>
        <w:bottom w:val="none" w:sz="0" w:space="0" w:color="auto"/>
        <w:right w:val="none" w:sz="0" w:space="0" w:color="auto"/>
      </w:divBdr>
    </w:div>
    <w:div w:id="1452437525">
      <w:bodyDiv w:val="1"/>
      <w:marLeft w:val="0"/>
      <w:marRight w:val="0"/>
      <w:marTop w:val="0"/>
      <w:marBottom w:val="0"/>
      <w:divBdr>
        <w:top w:val="none" w:sz="0" w:space="0" w:color="auto"/>
        <w:left w:val="none" w:sz="0" w:space="0" w:color="auto"/>
        <w:bottom w:val="none" w:sz="0" w:space="0" w:color="auto"/>
        <w:right w:val="none" w:sz="0" w:space="0" w:color="auto"/>
      </w:divBdr>
    </w:div>
    <w:div w:id="1477989874">
      <w:bodyDiv w:val="1"/>
      <w:marLeft w:val="0"/>
      <w:marRight w:val="0"/>
      <w:marTop w:val="0"/>
      <w:marBottom w:val="0"/>
      <w:divBdr>
        <w:top w:val="none" w:sz="0" w:space="0" w:color="auto"/>
        <w:left w:val="none" w:sz="0" w:space="0" w:color="auto"/>
        <w:bottom w:val="none" w:sz="0" w:space="0" w:color="auto"/>
        <w:right w:val="none" w:sz="0" w:space="0" w:color="auto"/>
      </w:divBdr>
    </w:div>
    <w:div w:id="1576280807">
      <w:bodyDiv w:val="1"/>
      <w:marLeft w:val="0"/>
      <w:marRight w:val="0"/>
      <w:marTop w:val="0"/>
      <w:marBottom w:val="0"/>
      <w:divBdr>
        <w:top w:val="none" w:sz="0" w:space="0" w:color="auto"/>
        <w:left w:val="none" w:sz="0" w:space="0" w:color="auto"/>
        <w:bottom w:val="none" w:sz="0" w:space="0" w:color="auto"/>
        <w:right w:val="none" w:sz="0" w:space="0" w:color="auto"/>
      </w:divBdr>
    </w:div>
    <w:div w:id="1591739440">
      <w:bodyDiv w:val="1"/>
      <w:marLeft w:val="0"/>
      <w:marRight w:val="0"/>
      <w:marTop w:val="0"/>
      <w:marBottom w:val="0"/>
      <w:divBdr>
        <w:top w:val="none" w:sz="0" w:space="0" w:color="auto"/>
        <w:left w:val="none" w:sz="0" w:space="0" w:color="auto"/>
        <w:bottom w:val="none" w:sz="0" w:space="0" w:color="auto"/>
        <w:right w:val="none" w:sz="0" w:space="0" w:color="auto"/>
      </w:divBdr>
    </w:div>
    <w:div w:id="1611084318">
      <w:bodyDiv w:val="1"/>
      <w:marLeft w:val="0"/>
      <w:marRight w:val="0"/>
      <w:marTop w:val="0"/>
      <w:marBottom w:val="0"/>
      <w:divBdr>
        <w:top w:val="none" w:sz="0" w:space="0" w:color="auto"/>
        <w:left w:val="none" w:sz="0" w:space="0" w:color="auto"/>
        <w:bottom w:val="none" w:sz="0" w:space="0" w:color="auto"/>
        <w:right w:val="none" w:sz="0" w:space="0" w:color="auto"/>
      </w:divBdr>
    </w:div>
    <w:div w:id="1772168232">
      <w:bodyDiv w:val="1"/>
      <w:marLeft w:val="0"/>
      <w:marRight w:val="0"/>
      <w:marTop w:val="0"/>
      <w:marBottom w:val="0"/>
      <w:divBdr>
        <w:top w:val="none" w:sz="0" w:space="0" w:color="auto"/>
        <w:left w:val="none" w:sz="0" w:space="0" w:color="auto"/>
        <w:bottom w:val="none" w:sz="0" w:space="0" w:color="auto"/>
        <w:right w:val="none" w:sz="0" w:space="0" w:color="auto"/>
      </w:divBdr>
    </w:div>
    <w:div w:id="1784960793">
      <w:bodyDiv w:val="1"/>
      <w:marLeft w:val="0"/>
      <w:marRight w:val="0"/>
      <w:marTop w:val="0"/>
      <w:marBottom w:val="0"/>
      <w:divBdr>
        <w:top w:val="none" w:sz="0" w:space="0" w:color="auto"/>
        <w:left w:val="none" w:sz="0" w:space="0" w:color="auto"/>
        <w:bottom w:val="none" w:sz="0" w:space="0" w:color="auto"/>
        <w:right w:val="none" w:sz="0" w:space="0" w:color="auto"/>
      </w:divBdr>
    </w:div>
    <w:div w:id="1816411327">
      <w:bodyDiv w:val="1"/>
      <w:marLeft w:val="0"/>
      <w:marRight w:val="0"/>
      <w:marTop w:val="0"/>
      <w:marBottom w:val="0"/>
      <w:divBdr>
        <w:top w:val="none" w:sz="0" w:space="0" w:color="auto"/>
        <w:left w:val="none" w:sz="0" w:space="0" w:color="auto"/>
        <w:bottom w:val="none" w:sz="0" w:space="0" w:color="auto"/>
        <w:right w:val="none" w:sz="0" w:space="0" w:color="auto"/>
      </w:divBdr>
    </w:div>
    <w:div w:id="1877502957">
      <w:bodyDiv w:val="1"/>
      <w:marLeft w:val="0"/>
      <w:marRight w:val="0"/>
      <w:marTop w:val="0"/>
      <w:marBottom w:val="0"/>
      <w:divBdr>
        <w:top w:val="none" w:sz="0" w:space="0" w:color="auto"/>
        <w:left w:val="none" w:sz="0" w:space="0" w:color="auto"/>
        <w:bottom w:val="none" w:sz="0" w:space="0" w:color="auto"/>
        <w:right w:val="none" w:sz="0" w:space="0" w:color="auto"/>
      </w:divBdr>
    </w:div>
    <w:div w:id="1882089300">
      <w:bodyDiv w:val="1"/>
      <w:marLeft w:val="0"/>
      <w:marRight w:val="0"/>
      <w:marTop w:val="0"/>
      <w:marBottom w:val="0"/>
      <w:divBdr>
        <w:top w:val="none" w:sz="0" w:space="0" w:color="auto"/>
        <w:left w:val="none" w:sz="0" w:space="0" w:color="auto"/>
        <w:bottom w:val="none" w:sz="0" w:space="0" w:color="auto"/>
        <w:right w:val="none" w:sz="0" w:space="0" w:color="auto"/>
      </w:divBdr>
    </w:div>
    <w:div w:id="1965887953">
      <w:bodyDiv w:val="1"/>
      <w:marLeft w:val="0"/>
      <w:marRight w:val="0"/>
      <w:marTop w:val="0"/>
      <w:marBottom w:val="0"/>
      <w:divBdr>
        <w:top w:val="none" w:sz="0" w:space="0" w:color="auto"/>
        <w:left w:val="none" w:sz="0" w:space="0" w:color="auto"/>
        <w:bottom w:val="none" w:sz="0" w:space="0" w:color="auto"/>
        <w:right w:val="none" w:sz="0" w:space="0" w:color="auto"/>
      </w:divBdr>
    </w:div>
    <w:div w:id="1982610659">
      <w:bodyDiv w:val="1"/>
      <w:marLeft w:val="0"/>
      <w:marRight w:val="0"/>
      <w:marTop w:val="0"/>
      <w:marBottom w:val="0"/>
      <w:divBdr>
        <w:top w:val="none" w:sz="0" w:space="0" w:color="auto"/>
        <w:left w:val="none" w:sz="0" w:space="0" w:color="auto"/>
        <w:bottom w:val="none" w:sz="0" w:space="0" w:color="auto"/>
        <w:right w:val="none" w:sz="0" w:space="0" w:color="auto"/>
      </w:divBdr>
    </w:div>
    <w:div w:id="214029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8EED01-E9B4-460F-8020-04C90B19D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10</Pages>
  <Words>2772</Words>
  <Characters>15609</Characters>
  <Application>Microsoft Office Word</Application>
  <DocSecurity>0</DocSecurity>
  <Lines>400</Lines>
  <Paragraphs>201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18180</CharactersWithSpaces>
  <SharedDoc>false</SharedDoc>
  <HLinks>
    <vt:vector size="78" baseType="variant">
      <vt:variant>
        <vt:i4>1376314</vt:i4>
      </vt:variant>
      <vt:variant>
        <vt:i4>74</vt:i4>
      </vt:variant>
      <vt:variant>
        <vt:i4>0</vt:i4>
      </vt:variant>
      <vt:variant>
        <vt:i4>5</vt:i4>
      </vt:variant>
      <vt:variant>
        <vt:lpwstr/>
      </vt:variant>
      <vt:variant>
        <vt:lpwstr>_Toc478625467</vt:lpwstr>
      </vt:variant>
      <vt:variant>
        <vt:i4>1376314</vt:i4>
      </vt:variant>
      <vt:variant>
        <vt:i4>68</vt:i4>
      </vt:variant>
      <vt:variant>
        <vt:i4>0</vt:i4>
      </vt:variant>
      <vt:variant>
        <vt:i4>5</vt:i4>
      </vt:variant>
      <vt:variant>
        <vt:lpwstr/>
      </vt:variant>
      <vt:variant>
        <vt:lpwstr>_Toc478625464</vt:lpwstr>
      </vt:variant>
      <vt:variant>
        <vt:i4>1441850</vt:i4>
      </vt:variant>
      <vt:variant>
        <vt:i4>62</vt:i4>
      </vt:variant>
      <vt:variant>
        <vt:i4>0</vt:i4>
      </vt:variant>
      <vt:variant>
        <vt:i4>5</vt:i4>
      </vt:variant>
      <vt:variant>
        <vt:lpwstr/>
      </vt:variant>
      <vt:variant>
        <vt:lpwstr>_Toc478625458</vt:lpwstr>
      </vt:variant>
      <vt:variant>
        <vt:i4>1441850</vt:i4>
      </vt:variant>
      <vt:variant>
        <vt:i4>56</vt:i4>
      </vt:variant>
      <vt:variant>
        <vt:i4>0</vt:i4>
      </vt:variant>
      <vt:variant>
        <vt:i4>5</vt:i4>
      </vt:variant>
      <vt:variant>
        <vt:lpwstr/>
      </vt:variant>
      <vt:variant>
        <vt:lpwstr>_Toc478625457</vt:lpwstr>
      </vt:variant>
      <vt:variant>
        <vt:i4>1507386</vt:i4>
      </vt:variant>
      <vt:variant>
        <vt:i4>50</vt:i4>
      </vt:variant>
      <vt:variant>
        <vt:i4>0</vt:i4>
      </vt:variant>
      <vt:variant>
        <vt:i4>5</vt:i4>
      </vt:variant>
      <vt:variant>
        <vt:lpwstr/>
      </vt:variant>
      <vt:variant>
        <vt:lpwstr>_Toc478625447</vt:lpwstr>
      </vt:variant>
      <vt:variant>
        <vt:i4>1507386</vt:i4>
      </vt:variant>
      <vt:variant>
        <vt:i4>44</vt:i4>
      </vt:variant>
      <vt:variant>
        <vt:i4>0</vt:i4>
      </vt:variant>
      <vt:variant>
        <vt:i4>5</vt:i4>
      </vt:variant>
      <vt:variant>
        <vt:lpwstr/>
      </vt:variant>
      <vt:variant>
        <vt:lpwstr>_Toc478625446</vt:lpwstr>
      </vt:variant>
      <vt:variant>
        <vt:i4>1507386</vt:i4>
      </vt:variant>
      <vt:variant>
        <vt:i4>38</vt:i4>
      </vt:variant>
      <vt:variant>
        <vt:i4>0</vt:i4>
      </vt:variant>
      <vt:variant>
        <vt:i4>5</vt:i4>
      </vt:variant>
      <vt:variant>
        <vt:lpwstr/>
      </vt:variant>
      <vt:variant>
        <vt:lpwstr>_Toc478625443</vt:lpwstr>
      </vt:variant>
      <vt:variant>
        <vt:i4>1048634</vt:i4>
      </vt:variant>
      <vt:variant>
        <vt:i4>32</vt:i4>
      </vt:variant>
      <vt:variant>
        <vt:i4>0</vt:i4>
      </vt:variant>
      <vt:variant>
        <vt:i4>5</vt:i4>
      </vt:variant>
      <vt:variant>
        <vt:lpwstr/>
      </vt:variant>
      <vt:variant>
        <vt:lpwstr>_Toc478625439</vt:lpwstr>
      </vt:variant>
      <vt:variant>
        <vt:i4>1048634</vt:i4>
      </vt:variant>
      <vt:variant>
        <vt:i4>26</vt:i4>
      </vt:variant>
      <vt:variant>
        <vt:i4>0</vt:i4>
      </vt:variant>
      <vt:variant>
        <vt:i4>5</vt:i4>
      </vt:variant>
      <vt:variant>
        <vt:lpwstr/>
      </vt:variant>
      <vt:variant>
        <vt:lpwstr>_Toc478625438</vt:lpwstr>
      </vt:variant>
      <vt:variant>
        <vt:i4>1048634</vt:i4>
      </vt:variant>
      <vt:variant>
        <vt:i4>20</vt:i4>
      </vt:variant>
      <vt:variant>
        <vt:i4>0</vt:i4>
      </vt:variant>
      <vt:variant>
        <vt:i4>5</vt:i4>
      </vt:variant>
      <vt:variant>
        <vt:lpwstr/>
      </vt:variant>
      <vt:variant>
        <vt:lpwstr>_Toc478625437</vt:lpwstr>
      </vt:variant>
      <vt:variant>
        <vt:i4>1048634</vt:i4>
      </vt:variant>
      <vt:variant>
        <vt:i4>14</vt:i4>
      </vt:variant>
      <vt:variant>
        <vt:i4>0</vt:i4>
      </vt:variant>
      <vt:variant>
        <vt:i4>5</vt:i4>
      </vt:variant>
      <vt:variant>
        <vt:lpwstr/>
      </vt:variant>
      <vt:variant>
        <vt:lpwstr>_Toc478625436</vt:lpwstr>
      </vt:variant>
      <vt:variant>
        <vt:i4>1048634</vt:i4>
      </vt:variant>
      <vt:variant>
        <vt:i4>8</vt:i4>
      </vt:variant>
      <vt:variant>
        <vt:i4>0</vt:i4>
      </vt:variant>
      <vt:variant>
        <vt:i4>5</vt:i4>
      </vt:variant>
      <vt:variant>
        <vt:lpwstr/>
      </vt:variant>
      <vt:variant>
        <vt:lpwstr>_Toc478625435</vt:lpwstr>
      </vt:variant>
      <vt:variant>
        <vt:i4>1048634</vt:i4>
      </vt:variant>
      <vt:variant>
        <vt:i4>2</vt:i4>
      </vt:variant>
      <vt:variant>
        <vt:i4>0</vt:i4>
      </vt:variant>
      <vt:variant>
        <vt:i4>5</vt:i4>
      </vt:variant>
      <vt:variant>
        <vt:lpwstr/>
      </vt:variant>
      <vt:variant>
        <vt:lpwstr>_Toc478625434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39</cp:revision>
  <cp:lastPrinted>2019-04-25T14:20:00Z</cp:lastPrinted>
  <dcterms:created xsi:type="dcterms:W3CDTF">2021-06-30T08:49:00Z</dcterms:created>
  <dcterms:modified xsi:type="dcterms:W3CDTF">2021-08-14T14:56:00Z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DocStatus">
    <vt:lpwstr>Green</vt:lpwstr>
  </property>
  <property fmtid="{D5CDD505-2E9C-101B-9397-08002B2CF9AE}" pid="5" name="Level of sensitivity">
    <vt:lpwstr>Standard treatment</vt:lpwstr>
  </property>
  <property fmtid="{D5CDD505-2E9C-101B-9397-08002B2CF9AE}" pid="6" name="Last edited using">
    <vt:lpwstr>LW 7.0.1, Build 20200226</vt:lpwstr>
  </property>
  <property fmtid="{D5CDD505-2E9C-101B-9397-08002B2CF9AE}" pid="7" name="Created using">
    <vt:lpwstr>LW 6.0.1, Build 20180503</vt:lpwstr>
  </property>
  <property fmtid="{D5CDD505-2E9C-101B-9397-08002B2CF9AE}" pid="8" name="CPTemplateID">
    <vt:lpwstr>CP-003</vt:lpwstr>
  </property>
  <property name="OP_sanitized" fmtid="{D5CDD505-2E9C-101B-9397-08002B2CF9AE}" pid="9">
    <vt:lpwstr>True</vt:lpwstr>
  </property>
</Properties>
</file>