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A55D43F-7E0C-4010-8118-A2E74883BCE5" style="width:450.7pt;height:553.55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1" w:color="auto"/>
          <w:right w:val="single" w:sz="4" w:space="4" w:color="auto"/>
        </w:pBdr>
        <w:rPr>
          <w:b/>
          <w:smallCaps/>
          <w:noProof/>
          <w:szCs w:val="24"/>
          <w:u w:val="single"/>
        </w:rPr>
      </w:pPr>
      <w:bookmarkStart w:id="1" w:name="_GoBack"/>
      <w:bookmarkEnd w:id="1"/>
      <w:r>
        <w:rPr>
          <w:b/>
          <w:smallCaps/>
          <w:noProof/>
          <w:szCs w:val="24"/>
          <w:u w:val="single"/>
        </w:rPr>
        <w:lastRenderedPageBreak/>
        <w:t>Samenvatting</w:t>
      </w:r>
    </w:p>
    <w:p>
      <w:pPr>
        <w:pBdr>
          <w:top w:val="single" w:sz="4" w:space="1" w:color="auto"/>
          <w:left w:val="single" w:sz="4" w:space="4" w:color="auto"/>
          <w:bottom w:val="single" w:sz="4" w:space="11" w:color="auto"/>
          <w:right w:val="single" w:sz="4" w:space="4" w:color="auto"/>
        </w:pBdr>
        <w:rPr>
          <w:noProof/>
          <w:szCs w:val="24"/>
        </w:rPr>
      </w:pPr>
      <w:r>
        <w:rPr>
          <w:noProof/>
        </w:rPr>
        <w:t xml:space="preserve">Het Cypriotische rechtsstelsel heeft sinds 2019 een aantal structurele veranderingen en hervormingen ondergaan om belangrijke uitdagingen ten aanzien van de efficiëntie en kwaliteit van het stelsel aan te pakken, in het bijzonder wat de digitalisering betreft. De gerechtelijke procedures in burgerlijke, handels- en bestuurszaken duren nog steeds zeer lang. De hervormingen behelzen onder meer de oprichting van nieuwe gespecialiseerde rechtbanken, de herstructurering van de rechtbanken, de oprichting van een opleidingsinstituut voor rechters, de herziening van de regels van het burgerlijk procesrecht en maatregelen om de achterstand bij de behandeling van zaken aan te pakken. Er is ook nog een hervorming lopende met betrekking tot de oprichting van een opperste grondwettelijk hof en een hooggerechtshof. Veel van deze hervormingen worden nog besproken of hebben vertraging opgelopen. Het bureau voor juridische zaken wordt momenteel geëvalueerd met de bedoeling de capaciteit ervan te vergroten, waarbij ook de scheiding van functies en de wervingsprocedures worden bekeken. </w:t>
      </w:r>
    </w:p>
    <w:p>
      <w:pPr>
        <w:pBdr>
          <w:top w:val="single" w:sz="4" w:space="1" w:color="auto"/>
          <w:left w:val="single" w:sz="4" w:space="4" w:color="auto"/>
          <w:bottom w:val="single" w:sz="4" w:space="11" w:color="auto"/>
          <w:right w:val="single" w:sz="4" w:space="4" w:color="auto"/>
        </w:pBdr>
        <w:rPr>
          <w:noProof/>
          <w:szCs w:val="24"/>
        </w:rPr>
      </w:pPr>
      <w:r>
        <w:rPr>
          <w:noProof/>
        </w:rPr>
        <w:t>Cyprus heeft enige vooruitgang geboekt met het aanpakken en onderzoeken van corruptie, ook in ophefmakende zaken. Belangrijke wetgeving om corruptie te voorkomen is nog in behandeling. Lobbywerk en de bescherming van klokkenluiders zijn nog steeds niet bij wet geregeld, en er moet nog een onafhankelijke autoriteit voor corruptiebestrijding worden opgezet. Er zijn regels voor de bekendmaking van vermogensbestanddelen, maar de bestaande regeling zou door een doeltreffender monitoring van de vermogensaangiften verder kunnen worden versterkt. Hoewel er gedragscodes bestaan voor regeringsleden, overheidsfunctionarissen en openbare aanklagers, gelden er geen vergelijkbare bepalingen voor de leden van het Huis van Afgevaardigden.</w:t>
      </w:r>
    </w:p>
    <w:p>
      <w:pPr>
        <w:pBdr>
          <w:top w:val="single" w:sz="4" w:space="1" w:color="auto"/>
          <w:left w:val="single" w:sz="4" w:space="4" w:color="auto"/>
          <w:bottom w:val="single" w:sz="4" w:space="11" w:color="auto"/>
          <w:right w:val="single" w:sz="4" w:space="4" w:color="auto"/>
        </w:pBdr>
        <w:rPr>
          <w:noProof/>
          <w:szCs w:val="24"/>
        </w:rPr>
      </w:pPr>
      <w:r>
        <w:rPr>
          <w:noProof/>
        </w:rPr>
        <w:t>In Cyprus zijn de vrijheid van meningsuiting en het recht op toegang tot informatie formeel bij wet beschermd in de grondwet van de Republiek Cyprus. Secundaire wetgeving beschermt uitdrukkelijk het recht van journalisten om hun bronnen te beschermen en stimuleert mediapluriformiteit in de radio- en televisiesector. Er zijn evenwel vraagtekens geplaatst bij de onafhankelijkheid van de autoriteit voor de media (bv. met betrekking tot de benoemingsprocedures). Een ander punt van zorg is dat er geen kader is dat transparantie over de eigendomsstructuren in de geschreven pers en de digitale media waarborgt. Daardoor is het lastig om in deze sectoren de uiteindelijke eigenaren en eventuele kruisparticipaties te identificeren en te controleren.</w:t>
      </w:r>
    </w:p>
    <w:p>
      <w:pPr>
        <w:pBdr>
          <w:top w:val="single" w:sz="4" w:space="1" w:color="auto"/>
          <w:left w:val="single" w:sz="4" w:space="4" w:color="auto"/>
          <w:bottom w:val="single" w:sz="4" w:space="11" w:color="auto"/>
          <w:right w:val="single" w:sz="4" w:space="4" w:color="auto"/>
        </w:pBdr>
        <w:rPr>
          <w:noProof/>
          <w:szCs w:val="24"/>
        </w:rPr>
      </w:pPr>
      <w:r>
        <w:rPr>
          <w:noProof/>
        </w:rPr>
        <w:t xml:space="preserve">Het stelsel van controles en waarborgen in Cyprus omvat een raadplegingsproces als onderdeel van een project voor betere regelgeving, en een toetsing van de grondwettigheid achteraf. Die toetsing wordt momenteel verricht door het hooggerechtshof en er is een wetsontwerp opgesteld om deze taak over te dragen naar een nieuw opperste grondwettelijk hof. Een ander wetsontwerp moet de uitvoering van gerechtelijke beslissingen door het openbaar bestuur verbeteren. Het bureau van de commissaris voor bestuur (ombudsdienst), die fungeert als nationale instelling voor de mensenrechten, werd met enkele uitdagingen geconfronteerd, maar heeft recentelijk meer capaciteit gekregen. Hoewel er een structuur is opgezet om de deelname van burgers aan het openbare leven aan te moedigen, lijken de organisaties van het maatschappelijk middenveld moeite te hebben met het voorschrift dat ten minste 20 stichtende leden geregistreerd moeten zijn. </w:t>
      </w:r>
    </w:p>
    <w:p>
      <w:pPr>
        <w:jc w:val="left"/>
        <w:rPr>
          <w:noProof/>
          <w:szCs w:val="24"/>
        </w:rPr>
      </w:pPr>
      <w:r>
        <w:rPr>
          <w:noProof/>
        </w:rPr>
        <w:br w:type="page"/>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lastRenderedPageBreak/>
        <w:t xml:space="preserve">Justitieel stelsel </w:t>
      </w:r>
    </w:p>
    <w:p>
      <w:pPr>
        <w:rPr>
          <w:noProof/>
          <w:szCs w:val="24"/>
        </w:rPr>
      </w:pPr>
      <w:r>
        <w:rPr>
          <w:noProof/>
        </w:rPr>
        <w:t>Het rechtsstelsel</w:t>
      </w:r>
      <w:r>
        <w:rPr>
          <w:rStyle w:val="FootnoteReference"/>
          <w:noProof/>
          <w:szCs w:val="24"/>
        </w:rPr>
        <w:footnoteReference w:id="1"/>
      </w:r>
      <w:r>
        <w:rPr>
          <w:noProof/>
        </w:rPr>
        <w:t xml:space="preserve"> bestaat uit zes districtsrechtbanken, zes actieve assisenrechtbanken</w:t>
      </w:r>
      <w:r>
        <w:rPr>
          <w:rStyle w:val="FootnoteReference"/>
          <w:bCs/>
          <w:noProof/>
          <w:szCs w:val="24"/>
        </w:rPr>
        <w:footnoteReference w:id="2"/>
      </w:r>
      <w:r>
        <w:rPr>
          <w:noProof/>
        </w:rPr>
        <w:t>, de administratieve rechtbank</w:t>
      </w:r>
      <w:r>
        <w:rPr>
          <w:rStyle w:val="FootnoteReference"/>
          <w:bCs/>
          <w:noProof/>
          <w:szCs w:val="24"/>
        </w:rPr>
        <w:footnoteReference w:id="3"/>
      </w:r>
      <w:r>
        <w:rPr>
          <w:noProof/>
        </w:rPr>
        <w:t>, de administratieve rechtbank voor internationale bescherming</w:t>
      </w:r>
      <w:r>
        <w:rPr>
          <w:rStyle w:val="FootnoteReference"/>
          <w:bCs/>
          <w:noProof/>
          <w:szCs w:val="24"/>
        </w:rPr>
        <w:footnoteReference w:id="4"/>
      </w:r>
      <w:r>
        <w:rPr>
          <w:noProof/>
        </w:rPr>
        <w:t xml:space="preserve"> en het hooggerechtshof</w:t>
      </w:r>
      <w:r>
        <w:rPr>
          <w:rStyle w:val="FootnoteReference"/>
          <w:bCs/>
          <w:noProof/>
          <w:szCs w:val="24"/>
        </w:rPr>
        <w:footnoteReference w:id="5"/>
      </w:r>
      <w:r>
        <w:rPr>
          <w:noProof/>
        </w:rPr>
        <w:t>. Daarnaast zijn er familierechtbanken, rechtbanken voor huurgeschillen, rechtbanken voor industriële geschillen en een militaire rechtbank. De rechters van het hooggerechtshof worden door de president van de Republiek benoemd vanuit de rangen van het gerecht en op aanbeveling van het hooggerechtshof. Rechters in eerste aanleg worden benoemd, overgeplaatst en bevorderd door de hoge raad voor de rechtspraak, die bestaat uit alle leden van het hooggerechtshof (de voorzitter en 12 rechters)</w:t>
      </w:r>
      <w:r>
        <w:rPr>
          <w:rStyle w:val="FootnoteReference"/>
          <w:noProof/>
          <w:szCs w:val="24"/>
          <w:lang w:bidi="en-US"/>
        </w:rPr>
        <w:footnoteReference w:id="6"/>
      </w:r>
      <w:r>
        <w:rPr>
          <w:noProof/>
        </w:rPr>
        <w:t>. Er staan 88 rechters ter beschikking in alle rechtbanken van eerste aanleg, en 13 rechters in het hooggerechtshof. Het Openbaar Ministerie is onafhankelijk en staat onder het gezag van de procureur-generaal van de Republiek. De procureur-generaal heeft de bevoegdheid om, naar eigen goeddunken en in het algemeen belang, procedures voor een misdrijf tegen een (rechts- of natuurlijke) persoon in de Republiek in te stellen, te voeren, over te nemen en voort te zetten of stop te zetten. De procureur-generaal staat tevens aan het hoofd van het bureau voor juridische zaken van de Republiek, een onafhankelijk bureau dat niet onder enig ministerie valt</w:t>
      </w:r>
      <w:r>
        <w:rPr>
          <w:rStyle w:val="FootnoteReference"/>
          <w:noProof/>
          <w:szCs w:val="24"/>
          <w:lang w:bidi="en-US"/>
        </w:rPr>
        <w:footnoteReference w:id="7"/>
      </w:r>
      <w:r>
        <w:rPr>
          <w:noProof/>
        </w:rPr>
        <w:t>. De procureur-generaal is ook de juridisch adviseur van de Republiek, de president, de raad van ministers en de individuele ministers. Hij verricht alle andere functies en taken die hem bij de grondwet of bij wet zijn toevertrouwd</w:t>
      </w:r>
      <w:r>
        <w:rPr>
          <w:rStyle w:val="FootnoteReference"/>
          <w:noProof/>
          <w:szCs w:val="24"/>
          <w:lang w:bidi="en-US"/>
        </w:rPr>
        <w:footnoteReference w:id="8"/>
      </w:r>
      <w:r>
        <w:rPr>
          <w:noProof/>
        </w:rPr>
        <w:t>.</w:t>
      </w:r>
    </w:p>
    <w:p>
      <w:pPr>
        <w:rPr>
          <w:b/>
          <w:noProof/>
          <w:szCs w:val="24"/>
        </w:rPr>
      </w:pPr>
      <w:r>
        <w:rPr>
          <w:b/>
          <w:noProof/>
          <w:szCs w:val="24"/>
        </w:rPr>
        <w:t>Onafhankelijkheid</w:t>
      </w:r>
    </w:p>
    <w:p>
      <w:pPr>
        <w:rPr>
          <w:noProof/>
          <w:szCs w:val="24"/>
        </w:rPr>
      </w:pPr>
      <w:r>
        <w:rPr>
          <w:b/>
          <w:noProof/>
          <w:szCs w:val="24"/>
        </w:rPr>
        <w:t xml:space="preserve">Structurele veranderingen met betrekking tot de organisatie van rechtbanken en de benoeming van rechters worden momenteel besproken. </w:t>
      </w:r>
      <w:r>
        <w:rPr>
          <w:noProof/>
        </w:rPr>
        <w:t>Het ministerie van Justitie en Openbare Orde heeft op 30 mei 2019 een wetsontwerp voorgelegd aan het Huis van Afgevaardigden</w:t>
      </w:r>
      <w:r>
        <w:rPr>
          <w:rStyle w:val="FootnoteReference"/>
          <w:noProof/>
          <w:szCs w:val="24"/>
          <w:lang w:bidi="en-US"/>
        </w:rPr>
        <w:footnoteReference w:id="9"/>
      </w:r>
      <w:r>
        <w:rPr>
          <w:noProof/>
        </w:rPr>
        <w:t xml:space="preserve"> over de opsplitsing van het huidige hooggerechtshof in twee afzonderlijke rechtbanken: een nieuw, afzonderlijk opperste grondwettelijk hof en het hoge hof. In dat wetsontwerp, dat momenteel wordt behandeld door het Huis</w:t>
      </w:r>
      <w:r>
        <w:rPr>
          <w:rStyle w:val="FootnoteReference"/>
          <w:noProof/>
          <w:szCs w:val="24"/>
          <w:lang w:bidi="en-US"/>
        </w:rPr>
        <w:footnoteReference w:id="10"/>
      </w:r>
      <w:r>
        <w:rPr>
          <w:noProof/>
        </w:rPr>
        <w:t>, is voorzien in de oprichting van een hof van beroep met 16 rechters. Een andere wet die momenteel wordt besproken in het Huis van Afgevaardigden</w:t>
      </w:r>
      <w:r>
        <w:rPr>
          <w:rStyle w:val="FootnoteReference"/>
          <w:noProof/>
          <w:szCs w:val="24"/>
          <w:lang w:bidi="en-US"/>
        </w:rPr>
        <w:footnoteReference w:id="11"/>
      </w:r>
      <w:r>
        <w:rPr>
          <w:noProof/>
        </w:rPr>
        <w:t xml:space="preserve"> bevat nadere gegevens over de benoeming van de rechters van het nieuwe opperste grondwettelijk hof en het hoge hof. Het wetsontwerp bouwt voort op het huidige systeem, waarbij de rechters voor het hooggerechtshof worden benoemd door de president van de Republiek, op voordracht van de rechters van de twee hoogste rechterlijke instanties. In het wetsontwerp is tevens bepaald dat de rechters van het nieuwe hof van </w:t>
      </w:r>
      <w:r>
        <w:rPr>
          <w:noProof/>
        </w:rPr>
        <w:lastRenderedPageBreak/>
        <w:t>beroep zullen worden benoemd door de hoge raad voor de rechtspraak, waarin ook de procureur-generaal, de voorzitter van de orde van advocaten en een ervaren advocaat zullen zetelen.</w:t>
      </w:r>
    </w:p>
    <w:p>
      <w:pPr>
        <w:rPr>
          <w:noProof/>
          <w:szCs w:val="24"/>
        </w:rPr>
      </w:pPr>
      <w:r>
        <w:rPr>
          <w:b/>
          <w:bCs/>
          <w:noProof/>
        </w:rPr>
        <w:t>De perceptie van de onafhankelijkheid van de rechterlijke macht ligt rond het gemiddelde.</w:t>
      </w:r>
      <w:r>
        <w:rPr>
          <w:noProof/>
        </w:rPr>
        <w:t xml:space="preserve"> Bij het algemene publiek is 55 % van mening dat de onafhankelijkheid van het rechterlijke macht “redelijk goed en zeer goed” is, een percentage dat in 2020 enigszins is gedaald. Het overeenkomstige percentage bij de ondernemingen bedraagt 48 % en is al enkele jaren aan het dalen</w:t>
      </w:r>
      <w:r>
        <w:rPr>
          <w:rStyle w:val="FootnoteReference"/>
          <w:bCs/>
          <w:noProof/>
        </w:rPr>
        <w:footnoteReference w:id="12"/>
      </w:r>
      <w:r>
        <w:rPr>
          <w:noProof/>
        </w:rPr>
        <w:t xml:space="preserve">. </w:t>
      </w:r>
    </w:p>
    <w:p>
      <w:pPr>
        <w:rPr>
          <w:noProof/>
          <w:szCs w:val="24"/>
        </w:rPr>
      </w:pPr>
      <w:r>
        <w:rPr>
          <w:b/>
          <w:noProof/>
          <w:szCs w:val="24"/>
        </w:rPr>
        <w:t>Voor de benoeming van rechters gelden nieuwe, gedetailleerde criteria.</w:t>
      </w:r>
      <w:r>
        <w:rPr>
          <w:noProof/>
        </w:rPr>
        <w:t xml:space="preserve"> In juli 2019</w:t>
      </w:r>
      <w:r>
        <w:rPr>
          <w:rStyle w:val="FootnoteReference"/>
          <w:noProof/>
          <w:szCs w:val="24"/>
          <w:lang w:bidi="en-US"/>
        </w:rPr>
        <w:footnoteReference w:id="13"/>
      </w:r>
      <w:r>
        <w:rPr>
          <w:noProof/>
        </w:rPr>
        <w:t xml:space="preserve"> heeft het hooggerechtshof nieuwe, gedetailleerde criteria voor de selectie, benoeming, evaluatie en bevordering van rechters ingevoerd. Het is de bedoeling deze procedures in overeenstemming te brengen met de bestaande beste praktijken in de EU. Deze nieuwe criteria worden gebruikt voor de werving van nieuwe rechters, alsook voor bevorderingen</w:t>
      </w:r>
      <w:r>
        <w:rPr>
          <w:rStyle w:val="FootnoteReference"/>
          <w:noProof/>
          <w:szCs w:val="24"/>
          <w:lang w:bidi="en-US"/>
        </w:rPr>
        <w:footnoteReference w:id="14"/>
      </w:r>
      <w:r>
        <w:rPr>
          <w:noProof/>
        </w:rPr>
        <w:t xml:space="preserve">. De selectie en benoeming zijn gebaseerd op een oproep tot kandidaatstelling die op ruime schaal wordt bekendgemaakt, onder meer in het staatsblad. De hoge raad voor de rechtspraak bepaalt welke kandidaten worden gekozen na een procedure die bedoeld is om te verzekeren dat de kandidaten aan de objectieve criteria voldoen en blijk geven van de nodige kennis en persoonlijkheidsvereisten. </w:t>
      </w:r>
    </w:p>
    <w:p>
      <w:pPr>
        <w:rPr>
          <w:noProof/>
          <w:szCs w:val="24"/>
        </w:rPr>
      </w:pPr>
      <w:r>
        <w:rPr>
          <w:b/>
          <w:noProof/>
          <w:szCs w:val="24"/>
        </w:rPr>
        <w:t xml:space="preserve">Het bureau voor juridische zaken van de Republiek wordt momenteel hervormd. </w:t>
      </w:r>
      <w:r>
        <w:rPr>
          <w:noProof/>
        </w:rPr>
        <w:t>Het Openbaar Ministerie staat onder het gezag van de procureur-generaal van de Republiek. Het is alle personen bij wet verboden om instructies te geven aan of zich te mengen in de taken van de procureur-generaal</w:t>
      </w:r>
      <w:r>
        <w:rPr>
          <w:noProof/>
          <w:szCs w:val="24"/>
          <w:vertAlign w:val="superscript"/>
          <w:lang w:bidi="en-US"/>
        </w:rPr>
        <w:footnoteReference w:id="15"/>
      </w:r>
      <w:r>
        <w:rPr>
          <w:noProof/>
        </w:rPr>
        <w:t>. Alle aanklagers behandelen strafzaken op instructie van en namens de procureur-generaal</w:t>
      </w:r>
      <w:r>
        <w:rPr>
          <w:noProof/>
          <w:szCs w:val="24"/>
          <w:vertAlign w:val="superscript"/>
          <w:lang w:bidi="en-US"/>
        </w:rPr>
        <w:footnoteReference w:id="16"/>
      </w:r>
      <w:r>
        <w:rPr>
          <w:noProof/>
        </w:rPr>
        <w:t>. De procureur-generaal staat daarnaast ook aan het hoofd van het bureau voor juridische zaken</w:t>
      </w:r>
      <w:r>
        <w:rPr>
          <w:rStyle w:val="FootnoteReference"/>
          <w:noProof/>
          <w:szCs w:val="24"/>
          <w:lang w:bidi="en-US"/>
        </w:rPr>
        <w:footnoteReference w:id="17"/>
      </w:r>
      <w:r>
        <w:rPr>
          <w:noProof/>
        </w:rPr>
        <w:t xml:space="preserve"> en is juridisch adviseur van de Republiek. Deze meervoudige rol zou tot problemen kunnen leiden met betrekking tot het vermogen van de individuele vertegenwoordigers van justitie en de aanklagers om hun taken op autonome wijze uit te voeren</w:t>
      </w:r>
      <w:r>
        <w:rPr>
          <w:noProof/>
          <w:szCs w:val="24"/>
          <w:vertAlign w:val="superscript"/>
          <w:lang w:bidi="en-US"/>
        </w:rPr>
        <w:footnoteReference w:id="18"/>
      </w:r>
      <w:r>
        <w:rPr>
          <w:noProof/>
        </w:rPr>
        <w:t>. In 2019 werd het bureau voor juridische zaken doorgelicht door onafhankelijke deskundigen. Op basis van hun verslag is een actieplan opgesteld, dat op 15 oktober 2019 door de ministerraad is goedgekeurd. Het actieplan stelt een omvattende hervorming van het bureau voor juridische zaken van de Republiek vast. De hervorming behelst onder meer de herstructurering en opzet van afzonderlijke, op zichzelf staande directoraten binnen het bureau voor juridische zaken, het creëren van nieuwe functies, de rationalisering van de procedures, de scheiding van functies en wervingsprocedures. Momenteel bespreken de procureur-generaal en het ministerie van Financiën een wetsontwerp over de budgettaire onafhankelijkheid van het bureau voor juridische zaken</w:t>
      </w:r>
      <w:r>
        <w:rPr>
          <w:noProof/>
          <w:szCs w:val="24"/>
          <w:vertAlign w:val="superscript"/>
          <w:lang w:bidi="en-US"/>
        </w:rPr>
        <w:footnoteReference w:id="19"/>
      </w:r>
      <w:r>
        <w:rPr>
          <w:noProof/>
        </w:rPr>
        <w:t>.</w:t>
      </w:r>
    </w:p>
    <w:p>
      <w:pPr>
        <w:rPr>
          <w:b/>
          <w:noProof/>
          <w:szCs w:val="24"/>
        </w:rPr>
      </w:pPr>
    </w:p>
    <w:p>
      <w:pPr>
        <w:rPr>
          <w:noProof/>
          <w:szCs w:val="24"/>
        </w:rPr>
      </w:pPr>
      <w:r>
        <w:rPr>
          <w:b/>
          <w:noProof/>
          <w:szCs w:val="24"/>
        </w:rPr>
        <w:t>Kwaliteit</w:t>
      </w:r>
    </w:p>
    <w:p>
      <w:pPr>
        <w:rPr>
          <w:noProof/>
          <w:szCs w:val="24"/>
        </w:rPr>
      </w:pPr>
      <w:r>
        <w:rPr>
          <w:b/>
          <w:noProof/>
          <w:szCs w:val="24"/>
        </w:rPr>
        <w:t>Het rechtsstelsel kreunt onder een nagenoeg volledig gebrek aan digitalisering.</w:t>
      </w:r>
      <w:r>
        <w:rPr>
          <w:noProof/>
        </w:rPr>
        <w:t xml:space="preserve"> Er is bijzonder weinig informatie over het rechtsstelsel beschikbaar voor het grote publiek</w:t>
      </w:r>
      <w:r>
        <w:rPr>
          <w:rStyle w:val="FootnoteReference"/>
          <w:noProof/>
          <w:szCs w:val="24"/>
          <w:lang w:bidi="en-US"/>
        </w:rPr>
        <w:footnoteReference w:id="20"/>
      </w:r>
      <w:r>
        <w:rPr>
          <w:noProof/>
        </w:rPr>
        <w:t>. Bovendien is er geen elektronische informatie beschikbaar over de voortgang in zaken en is er geen elektronisch systeem voor dossierbeheer</w:t>
      </w:r>
      <w:r>
        <w:rPr>
          <w:rStyle w:val="FootnoteReference"/>
          <w:noProof/>
          <w:szCs w:val="24"/>
          <w:lang w:bidi="en-US"/>
        </w:rPr>
        <w:footnoteReference w:id="21"/>
      </w:r>
      <w:r>
        <w:rPr>
          <w:noProof/>
        </w:rPr>
        <w:t>.</w:t>
      </w:r>
      <w:r>
        <w:rPr>
          <w:noProof/>
          <w:szCs w:val="24"/>
        </w:rPr>
        <w:t xml:space="preserve"> </w:t>
      </w:r>
      <w:r>
        <w:rPr>
          <w:noProof/>
        </w:rPr>
        <w:t>Deze kwestie werd ook al aangekaart in de context van het Europees Semester 2020, middels een aanbeveling om de digitalisering van het justitiële stelsel te verbeteren</w:t>
      </w:r>
      <w:r>
        <w:rPr>
          <w:rStyle w:val="FootnoteReference"/>
          <w:noProof/>
          <w:szCs w:val="24"/>
          <w:lang w:bidi="en-US"/>
        </w:rPr>
        <w:footnoteReference w:id="22"/>
      </w:r>
      <w:r>
        <w:rPr>
          <w:noProof/>
        </w:rPr>
        <w:t>. De invoering van een elektronisch systeem voor de gerechtelijke administratie is een van de belangrijkste doelstellingen van de lopende hervormingen. De invoering ervan en de bijbehorende openbare aanbestedingsprocedures lopen echter al sinds 2017 vertraging op. Ondertussen is er een elektronisch miniregister voorbereid en geïnstalleerd bij alle burgerlijke griffies en bij het hooggerechtshof om aanvragen efficiënter te kunnen verwerken tot het e-justitiesysteem volledig is opgezet</w:t>
      </w:r>
      <w:r>
        <w:rPr>
          <w:rStyle w:val="FootnoteReference"/>
          <w:noProof/>
          <w:szCs w:val="24"/>
          <w:lang w:bidi="en-US"/>
        </w:rPr>
        <w:footnoteReference w:id="23"/>
      </w:r>
      <w:r>
        <w:rPr>
          <w:noProof/>
        </w:rPr>
        <w:t xml:space="preserve">. In dat verband wordt erop gewezen dat het hooggerechtshof heeft aangekondigd alle gerechtelijke procedures, met uitzondering van dringende zaken, te schorsen in het kader van de noodmaatregelen om de COVID-19-pandemie het hoofd te bieden. De gerechtelijke procedures worden geleidelijk aan hervat sinds 4 mei 2020. </w:t>
      </w:r>
    </w:p>
    <w:p>
      <w:pPr>
        <w:rPr>
          <w:noProof/>
          <w:szCs w:val="24"/>
        </w:rPr>
      </w:pPr>
      <w:r>
        <w:rPr>
          <w:b/>
          <w:noProof/>
          <w:szCs w:val="24"/>
        </w:rPr>
        <w:t xml:space="preserve">Er is een wet aangenomen tot oprichting van een opleidingsinstituut (voor een leven lang leren) voor rechters. </w:t>
      </w:r>
      <w:r>
        <w:rPr>
          <w:noProof/>
        </w:rPr>
        <w:t>De wet tot oprichting van een opleidingsinstituut voor rechters werd aangenomen op 14 augustus 2020</w:t>
      </w:r>
      <w:r>
        <w:rPr>
          <w:rStyle w:val="FootnoteReference"/>
          <w:noProof/>
          <w:szCs w:val="24"/>
        </w:rPr>
        <w:footnoteReference w:id="24"/>
      </w:r>
      <w:r>
        <w:rPr>
          <w:noProof/>
        </w:rPr>
        <w:t>. De school voor rechters zal worden ondergebracht in het hooggerechtshof en zal verantwoordelijk zijn voor de gerechtelijke opleiding en bijscholing van rechters</w:t>
      </w:r>
      <w:r>
        <w:rPr>
          <w:rStyle w:val="FootnoteReference"/>
          <w:noProof/>
          <w:szCs w:val="24"/>
          <w:lang w:bidi="en-US"/>
        </w:rPr>
        <w:footnoteReference w:id="25"/>
      </w:r>
      <w:r>
        <w:rPr>
          <w:noProof/>
        </w:rPr>
        <w:t xml:space="preserve"> en voor de ontwikkeling van wetenschappelijk onderzoek in verband met gerechtelijke aangelegenheden.</w:t>
      </w:r>
    </w:p>
    <w:p>
      <w:pPr>
        <w:rPr>
          <w:noProof/>
          <w:szCs w:val="24"/>
        </w:rPr>
      </w:pPr>
      <w:r>
        <w:rPr>
          <w:b/>
          <w:noProof/>
          <w:szCs w:val="24"/>
        </w:rPr>
        <w:t>Efficiëntie</w:t>
      </w:r>
    </w:p>
    <w:p>
      <w:pPr>
        <w:rPr>
          <w:noProof/>
          <w:szCs w:val="24"/>
        </w:rPr>
      </w:pPr>
      <w:r>
        <w:rPr>
          <w:b/>
          <w:noProof/>
          <w:szCs w:val="24"/>
        </w:rPr>
        <w:t xml:space="preserve">Justitie ondervindt ernstige problemen op het gebied van efficiëntie. </w:t>
      </w:r>
      <w:r>
        <w:rPr>
          <w:noProof/>
        </w:rPr>
        <w:t>De tijd die nodig is om burgerlijke, administratieve en handelszaken te beslechten in de rechtbank van eerste aanleg (737 dagen in 2018, in vergelijking met 1 118 in 2017) is nog steeds een van de langste in de EU. In de administratieve rechtsbedeling is de efficiëntie in eerste aanleg erop vooruitgegaan: de procedures zijn korter geworden (487 dagen in 2018 in vergelijking met 2 162 dagen in 2017) en het afhandelingspercentage is gestegen (ongeveer 219 % in 2018 in vergelijking met ongeveer 74 % in 2017). In laatste aanleg slepen de procedures evenwel nog altijd bijzonder lang aan (2 156 dagen in 2018)</w:t>
      </w:r>
      <w:r>
        <w:rPr>
          <w:rStyle w:val="FootnoteReference"/>
          <w:noProof/>
          <w:szCs w:val="24"/>
        </w:rPr>
        <w:footnoteReference w:id="26"/>
      </w:r>
      <w:r>
        <w:rPr>
          <w:noProof/>
        </w:rPr>
        <w:t>. De noodzaak om de efficiëntie van het rechtsstelsel te verbeteren is ook aangekaart in bovengenoemde aanbeveling in de context van het Europees Semester 2020</w:t>
      </w:r>
      <w:r>
        <w:rPr>
          <w:noProof/>
          <w:szCs w:val="24"/>
          <w:vertAlign w:val="superscript"/>
        </w:rPr>
        <w:footnoteReference w:id="27"/>
      </w:r>
      <w:r>
        <w:rPr>
          <w:noProof/>
        </w:rPr>
        <w:t xml:space="preserve">. </w:t>
      </w:r>
    </w:p>
    <w:p>
      <w:pPr>
        <w:rPr>
          <w:noProof/>
          <w:szCs w:val="24"/>
        </w:rPr>
      </w:pPr>
      <w:r>
        <w:rPr>
          <w:b/>
          <w:noProof/>
          <w:szCs w:val="24"/>
        </w:rPr>
        <w:t>Een actieplan om deze efficiëntieproblematiek aan te pakken, is goedgekeurd en wordt momenteel uitgevoerd, zij het met enige vertraging.</w:t>
      </w:r>
      <w:r>
        <w:rPr>
          <w:noProof/>
        </w:rPr>
        <w:t xml:space="preserve"> Een belangrijke stap in de hervormingsagenda was de functionele evaluatie van de Cypriotische rechtbanken</w:t>
      </w:r>
      <w:r>
        <w:rPr>
          <w:rStyle w:val="FootnoteReference"/>
          <w:noProof/>
          <w:szCs w:val="24"/>
        </w:rPr>
        <w:footnoteReference w:id="28"/>
      </w:r>
      <w:r>
        <w:rPr>
          <w:noProof/>
        </w:rPr>
        <w:t xml:space="preserve"> die in maart 2018 werd afgerond en waarin een aantal aanbevelingen werden gedaan met betrekking tot de werking van het hooggerechtshof en de rechtbanken van eerste aanleg, en in verband met het beheer van de rechtbanken. Op basis van deze aanbevelingen heeft de regering een gedetailleerd actieplan voor gerechtelijke hervormingen opgesteld</w:t>
      </w:r>
      <w:r>
        <w:rPr>
          <w:rStyle w:val="FootnoteReference"/>
          <w:noProof/>
          <w:szCs w:val="24"/>
        </w:rPr>
        <w:footnoteReference w:id="29"/>
      </w:r>
      <w:r>
        <w:rPr>
          <w:noProof/>
        </w:rPr>
        <w:t>. Er is een comité voor de hervorming van de rechtbanken opgezet, waaraan relevante belanghebbenden deelnemen</w:t>
      </w:r>
      <w:r>
        <w:rPr>
          <w:rStyle w:val="FootnoteReference"/>
          <w:noProof/>
          <w:szCs w:val="24"/>
        </w:rPr>
        <w:footnoteReference w:id="30"/>
      </w:r>
      <w:r>
        <w:rPr>
          <w:noProof/>
        </w:rPr>
        <w:t>, om de uitvoering van het actieplan te vergemakkelijken en te ondersteunen. Hoewel de autoriteiten hebben verklaard dat zij de tekortkomingen in het justitiële stelsel vastberaden willen aanpakken, heeft de uitvoering van de meeste geplande acties vertraging opgelopen, aangezien zij nog in behandeling zijn bij het Huis van Afgevaardigden.</w:t>
      </w:r>
    </w:p>
    <w:p>
      <w:pPr>
        <w:rPr>
          <w:noProof/>
          <w:szCs w:val="24"/>
        </w:rPr>
      </w:pPr>
      <w:r>
        <w:rPr>
          <w:b/>
          <w:noProof/>
          <w:szCs w:val="24"/>
        </w:rPr>
        <w:t>Bij de hervormingen is voorzien in de oprichting van nieuwe rechtbanken</w:t>
      </w:r>
      <w:r>
        <w:rPr>
          <w:noProof/>
        </w:rPr>
        <w:t>. Er is nieuwe wetgeving voorgesteld tot oprichting van een handelsrechtbank</w:t>
      </w:r>
      <w:r>
        <w:rPr>
          <w:rStyle w:val="FootnoteReference"/>
          <w:noProof/>
          <w:szCs w:val="24"/>
          <w:lang w:bidi="en-US"/>
        </w:rPr>
        <w:footnoteReference w:id="31"/>
      </w:r>
      <w:r>
        <w:rPr>
          <w:noProof/>
        </w:rPr>
        <w:t>. Deze wetgeving omvat bepalingen betreffende de zaken die onder de bevoegdheid van de rechtbank zullen vallen en betreffende de kwalificaties van de rechters. Het is de bedoeling om een passend forum te scheppen voor de berechting van ophefmakende handelszaken. In afwachting van de goedkeuring van deze wet zijn reeds vijf justitiële posten goedgekeurd, die zijn opgenomen in de staatsbegroting. Voorts is er nog een nieuwe wetsontwerp dat voorziet in de opzet van een nieuwe jurisdictie binnen de districtsrechtbanken, en dat momenteel ook nog in behandeling is in het Huis van Afgevaardigden. Volgens dit wetsontwerp zullen rechters van de districtsrechtbanken bevoegd zijn om alle vorderingen te horen en te beoordelen met betrekking tot geschillen die voortvloeien uit of verband houden met kredietfaciliteiten, ongeacht het bedrag van het geschil of de waarde van de eigendom. In juni 2019 is een nieuwe administratieve rechtbank voor internationale bescherming</w:t>
      </w:r>
      <w:r>
        <w:rPr>
          <w:b/>
          <w:noProof/>
          <w:szCs w:val="24"/>
        </w:rPr>
        <w:t xml:space="preserve"> </w:t>
      </w:r>
      <w:r>
        <w:rPr>
          <w:noProof/>
        </w:rPr>
        <w:t>actief geworden</w:t>
      </w:r>
      <w:r>
        <w:rPr>
          <w:rStyle w:val="FootnoteReference"/>
          <w:noProof/>
          <w:szCs w:val="24"/>
          <w:lang w:bidi="en-US"/>
        </w:rPr>
        <w:footnoteReference w:id="32"/>
      </w:r>
      <w:r>
        <w:rPr>
          <w:noProof/>
        </w:rPr>
        <w:t>. Volgens de wet tot oprichting van deze rechtbank zullen zaken met betrekking tot internationale bescherming van de administratieve rechtbank naar deze rechtbank worden overgeheveld, om de procedures voor deze categorie van zaken te bespoedigen en de administratieve rechtbank tegelijkertijd meer tijd te geven om alle overige zaken te behandelen. De capaciteit van de rechtbank is op 1 september vergroot via de aanwerving van twee nieuwe, aanvullende rechters (de desbetreffende wijziging werd in januari 2020 bekrachtigd) en tien administratieve beambten om de rechters te ondersteunen (vijf van hen zijn reeds in dienst)</w:t>
      </w:r>
      <w:r>
        <w:rPr>
          <w:rStyle w:val="FootnoteReference"/>
          <w:noProof/>
          <w:szCs w:val="24"/>
        </w:rPr>
        <w:t xml:space="preserve"> </w:t>
      </w:r>
      <w:r>
        <w:rPr>
          <w:rStyle w:val="FootnoteReference"/>
          <w:noProof/>
          <w:szCs w:val="24"/>
          <w:lang w:bidi="en-US"/>
        </w:rPr>
        <w:footnoteReference w:id="33"/>
      </w:r>
      <w:r>
        <w:rPr>
          <w:noProof/>
        </w:rPr>
        <w:t>.</w:t>
      </w:r>
    </w:p>
    <w:p>
      <w:pPr>
        <w:rPr>
          <w:noProof/>
          <w:szCs w:val="24"/>
        </w:rPr>
      </w:pPr>
      <w:r>
        <w:rPr>
          <w:b/>
          <w:noProof/>
          <w:szCs w:val="24"/>
        </w:rPr>
        <w:t>In het hervormingsproces is het wegwerken van de achterstand in zaken die vertraging hebben opgelopen en zich in de rechtbanken hebben opgestapeld een dringende taak.</w:t>
      </w:r>
      <w:r>
        <w:rPr>
          <w:noProof/>
        </w:rPr>
        <w:t xml:space="preserve"> Het hooggerechtshof heeft een voorzitter van een districtsrechtbank aangewezen  als “dossierbeheerder” die moet toezien op de tijdige afhandeling van de achterstallige zaken. Er is een taskforce van rechters in het leven geroepen waarvoor eerst een aantal aanvullende rechters worden aangeworven, in een procedure die momenteel loopt, en waarvoor ondersteunend personeel wordt aangeworven. Naar aanleiding van een beslissing van het hooggerechtshof in februari 2019 om de behandeling van financiële geschillen met betrekking tot niet-renderende leningen toe te wijzen aan zes reeds actieve districtsrechters, werd in december 2019 een specifieke opleiding georganiseerd</w:t>
      </w:r>
      <w:r>
        <w:rPr>
          <w:rStyle w:val="FootnoteReference"/>
          <w:noProof/>
          <w:szCs w:val="24"/>
          <w:lang w:bidi="en-US"/>
        </w:rPr>
        <w:footnoteReference w:id="34"/>
      </w:r>
      <w:r>
        <w:rPr>
          <w:noProof/>
        </w:rPr>
        <w:t>.</w:t>
      </w:r>
    </w:p>
    <w:p>
      <w:pPr>
        <w:rPr>
          <w:noProof/>
          <w:szCs w:val="24"/>
        </w:rPr>
      </w:pPr>
      <w:r>
        <w:rPr>
          <w:b/>
          <w:noProof/>
          <w:szCs w:val="24"/>
        </w:rPr>
        <w:t>De herziening van de regels inzake burgerlijke rechtsvordering</w:t>
      </w:r>
      <w:r>
        <w:rPr>
          <w:noProof/>
        </w:rPr>
        <w:t xml:space="preserve">, waarvan werd verwacht dat zij tegen juni 2020 voltooid zou zijn, zal pas in oktober van dit jaar rond zijn. Dit is een belangrijke hervorming die de efficiëntie van het gerechtelijk apparaat moet helpen verbeteren. De wijziging van het burgerlijk procesrecht is erop gericht de uitvoering van rechterlijke beslissingen tot beslaglegging op roerende goederen te vergemakkelijken. Voorts wordt verwacht dat de herziene regels inzake burgerlijke rechtsvordering de handhaving van vonnissen zullen verbeteren. </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Corruptiebestrijding</w:t>
      </w:r>
    </w:p>
    <w:p>
      <w:pPr>
        <w:rPr>
          <w:noProof/>
          <w:szCs w:val="24"/>
          <w:shd w:val="clear" w:color="auto" w:fill="FFFFFF"/>
        </w:rPr>
      </w:pPr>
      <w:r>
        <w:rPr>
          <w:noProof/>
          <w:szCs w:val="24"/>
          <w:shd w:val="clear" w:color="auto" w:fill="FFFFFF"/>
        </w:rPr>
        <w:t xml:space="preserve">Cyprus heeft zijn rechtskader voor corruptiebestrijding gewijzigd en een nationale horizontaal actieplan waarmee essentiële elementen van de nationale strategie voor corruptiebestrijding worden uitgevoerd, werd in mei 2019 door de ministerraad goedgekeurd. De procureur-generaal is algemeen bevoegd om strafbare feiten, waaronder ook corruptie, te vervolgen. Het Openbaar Ministerie verstrekt juridisch advies aan rechtshandhavingsinstanties die onderzoek voeren naar corruptiemisdrijven. Verschillende wettelijke maatregelen wachten nog op goedkeuring, zoals het wetsvoorstel tot oprichting van een onafhankelijke corruptiebestrijdingsautoriteit, een wetsvoorstel inzake lobbywerk en een wetsvoorstel inzake het melden van corruptiemisdrijven, dat ook bepalingen omvat betreffende de bescherming van klokkenluiders. </w:t>
      </w:r>
    </w:p>
    <w:p>
      <w:pPr>
        <w:rPr>
          <w:noProof/>
        </w:rPr>
      </w:pPr>
      <w:r>
        <w:rPr>
          <w:b/>
          <w:noProof/>
          <w:szCs w:val="24"/>
          <w:shd w:val="clear" w:color="auto" w:fill="FFFFFF"/>
        </w:rPr>
        <w:t>Cyprus scoort 58/100 in de corruptieperceptie-index 2019 van Transparency International en bekleedde daarmee de 12</w:t>
      </w:r>
      <w:r>
        <w:rPr>
          <w:b/>
          <w:noProof/>
          <w:szCs w:val="24"/>
          <w:shd w:val="clear" w:color="auto" w:fill="FFFFFF"/>
          <w:vertAlign w:val="superscript"/>
        </w:rPr>
        <w:t>e</w:t>
      </w:r>
      <w:r>
        <w:rPr>
          <w:b/>
          <w:noProof/>
          <w:szCs w:val="24"/>
          <w:shd w:val="clear" w:color="auto" w:fill="FFFFFF"/>
        </w:rPr>
        <w:t xml:space="preserve"> plaats in de EU en de 41</w:t>
      </w:r>
      <w:r>
        <w:rPr>
          <w:b/>
          <w:noProof/>
          <w:szCs w:val="24"/>
          <w:shd w:val="clear" w:color="auto" w:fill="FFFFFF"/>
          <w:vertAlign w:val="superscript"/>
        </w:rPr>
        <w:t>e</w:t>
      </w:r>
      <w:r>
        <w:rPr>
          <w:b/>
          <w:noProof/>
          <w:szCs w:val="24"/>
          <w:shd w:val="clear" w:color="auto" w:fill="FFFFFF"/>
        </w:rPr>
        <w:t xml:space="preserve"> plaats wereldwijd</w:t>
      </w:r>
      <w:r>
        <w:rPr>
          <w:rStyle w:val="FootnoteReference"/>
          <w:b/>
          <w:noProof/>
          <w:szCs w:val="24"/>
          <w:shd w:val="clear" w:color="auto" w:fill="FFFFFF"/>
        </w:rPr>
        <w:footnoteReference w:id="35"/>
      </w:r>
      <w:r>
        <w:rPr>
          <w:b/>
          <w:noProof/>
          <w:szCs w:val="24"/>
          <w:shd w:val="clear" w:color="auto" w:fill="FFFFFF"/>
        </w:rPr>
        <w:t xml:space="preserve">. </w:t>
      </w:r>
      <w:r>
        <w:rPr>
          <w:noProof/>
          <w:szCs w:val="24"/>
          <w:shd w:val="clear" w:color="auto" w:fill="FFFFFF"/>
        </w:rPr>
        <w:t xml:space="preserve"> Volgens 95 % van de respondenten in een Eurobarometer-enquête van 2020 is corruptie een wijdverspreid probleem (EU-gemiddelde: 71 %) en </w:t>
      </w:r>
      <w:r>
        <w:rPr>
          <w:noProof/>
        </w:rPr>
        <w:t>60 % van de burgers zegt zelf het slachtoffer te zijn van corruptie in het dagelijks leven (EU-gemiddelde: 26 %)</w:t>
      </w:r>
      <w:r>
        <w:rPr>
          <w:rStyle w:val="FootnoteReference"/>
          <w:noProof/>
          <w:szCs w:val="24"/>
          <w:shd w:val="clear" w:color="auto" w:fill="FFFFFF"/>
        </w:rPr>
        <w:footnoteReference w:id="36"/>
      </w:r>
      <w:r>
        <w:rPr>
          <w:noProof/>
          <w:szCs w:val="24"/>
          <w:shd w:val="clear" w:color="auto" w:fill="FFFFFF"/>
        </w:rPr>
        <w:t>. Bij de ondernemingen is 88 % van mening dat corruptie wijdverspreid is (</w:t>
      </w:r>
      <w:r>
        <w:rPr>
          <w:noProof/>
        </w:rPr>
        <w:t>EU-gemiddelde: 63 %</w:t>
      </w:r>
      <w:r>
        <w:rPr>
          <w:noProof/>
          <w:szCs w:val="24"/>
          <w:shd w:val="clear" w:color="auto" w:fill="FFFFFF"/>
        </w:rPr>
        <w:t xml:space="preserve">) en vindt </w:t>
      </w:r>
      <w:r>
        <w:rPr>
          <w:noProof/>
        </w:rPr>
        <w:t>48 % dat corruptie een probleem vormt bij het zakendoen (EU-gemiddelde: 37 %). 24 % van de mensen vindt dat er voldoende succesvolle vervolgingen zijn om mensen te weerhouden van corruptiepraktijken (EU-gemiddelde: 36 %) terwijl 11 % van de ondernemingen meent dat personen en ondernemingen die worden betrapt op het omkopen van een hooggeplaatste functionaris daarvoor een passende straf krijgen (EU-gemiddelde: 31 %).</w:t>
      </w:r>
      <w:r>
        <w:rPr>
          <w:rStyle w:val="FootnoteReference"/>
          <w:noProof/>
        </w:rPr>
        <w:footnoteReference w:id="37"/>
      </w:r>
    </w:p>
    <w:p>
      <w:pPr>
        <w:rPr>
          <w:noProof/>
          <w:szCs w:val="24"/>
          <w:shd w:val="clear" w:color="auto" w:fill="FFFFFF"/>
        </w:rPr>
      </w:pPr>
      <w:r>
        <w:rPr>
          <w:b/>
          <w:noProof/>
          <w:szCs w:val="24"/>
          <w:shd w:val="clear" w:color="auto" w:fill="FFFFFF"/>
        </w:rPr>
        <w:t>Het strafrechtelijke wetgevingskader voor corruptiebestrijding is grotendeels aanwezig.</w:t>
      </w:r>
      <w:r>
        <w:rPr>
          <w:noProof/>
          <w:szCs w:val="24"/>
          <w:shd w:val="clear" w:color="auto" w:fill="FFFFFF"/>
        </w:rPr>
        <w:t xml:space="preserve"> De strafrechtelijke en procesrechtelijke aspecten met relevante definities van misdrijven en een verjaringstermijn zijn aanwezig en stroken grotendeels met de internationale normen</w:t>
      </w:r>
      <w:r>
        <w:rPr>
          <w:rStyle w:val="FootnoteReference"/>
          <w:noProof/>
          <w:szCs w:val="24"/>
          <w:shd w:val="clear" w:color="auto" w:fill="FFFFFF"/>
        </w:rPr>
        <w:footnoteReference w:id="38"/>
      </w:r>
      <w:r>
        <w:rPr>
          <w:noProof/>
          <w:szCs w:val="24"/>
          <w:shd w:val="clear" w:color="auto" w:fill="FFFFFF"/>
        </w:rPr>
        <w:t xml:space="preserve">. Mogelijke straffen voor rechtspersonen die worden veroordeeld voor corruptie zijn onder meer de uitsluiting van openbare aanbestedingsprocedures. In een wetsvoorstel is voorzien in hogere boeten en in de tijdelijke sluiting van de onderneming wegens corruptiemisdrijven begaan door rechtspersonen. De wet inzake de bestrijding van de manipulatie van sportwedstrijden, die corrupt gedrag in de sportwereld moet bestrijden, werd op 15 december 2017 bekrachtigd en omvat definities van nieuwe corruptiemisdrijven op dit gebied. De extraterritoriale rechtsmacht van de rechtbanken van de Republiek Cyprus is vastgesteld voor alle misdrijven die verband houden met corruptie. </w:t>
      </w:r>
    </w:p>
    <w:p>
      <w:pPr>
        <w:rPr>
          <w:noProof/>
          <w:szCs w:val="24"/>
        </w:rPr>
      </w:pPr>
      <w:r>
        <w:rPr>
          <w:b/>
          <w:noProof/>
          <w:szCs w:val="24"/>
          <w:shd w:val="clear" w:color="auto" w:fill="FFFFFF"/>
        </w:rPr>
        <w:t xml:space="preserve">De uitvoering van het nationale actieplan tegen corruptie loopt nog. </w:t>
      </w:r>
      <w:r>
        <w:rPr>
          <w:noProof/>
          <w:szCs w:val="24"/>
          <w:shd w:val="clear" w:color="auto" w:fill="FFFFFF"/>
        </w:rPr>
        <w:t>In mei 2019 werd door de ministerraad een nationaal horizontaal actieplan voor corruptiebestrijding goedgekeurd, aan de hand waarvan de belangrijkste elementen van de nationale strategie voor corruptiebestrijding</w:t>
      </w:r>
      <w:r>
        <w:rPr>
          <w:rStyle w:val="FootnoteReference"/>
          <w:noProof/>
          <w:szCs w:val="24"/>
          <w:shd w:val="clear" w:color="auto" w:fill="FFFFFF"/>
        </w:rPr>
        <w:footnoteReference w:id="39"/>
      </w:r>
      <w:r>
        <w:rPr>
          <w:noProof/>
          <w:szCs w:val="24"/>
          <w:shd w:val="clear" w:color="auto" w:fill="FFFFFF"/>
        </w:rPr>
        <w:t xml:space="preserve"> worden uitgevoerd. Sommige belangrijke maatregelen in het actieplan</w:t>
      </w:r>
      <w:r>
        <w:rPr>
          <w:b/>
          <w:noProof/>
          <w:szCs w:val="24"/>
          <w:shd w:val="clear" w:color="auto" w:fill="FFFFFF"/>
        </w:rPr>
        <w:t xml:space="preserve"> </w:t>
      </w:r>
      <w:r>
        <w:rPr>
          <w:noProof/>
          <w:szCs w:val="24"/>
          <w:shd w:val="clear" w:color="auto" w:fill="FFFFFF"/>
        </w:rPr>
        <w:t>moeten nog worden goedgekeurd, met name het wetsontwerp tot oprichting van een onafhankelijke autoriteit voor corruptiebestrijding. Voorts wachten het voorstel voor een “wet inzake het melden van handelingen van corruptie”, dat bepalingen bevat met betrekking tot klokkenluiders, en het wetsvoorstel voor transparantie in openbare besluitvormingsprocedures en aanverwante kwesties respectievelijk sinds mei 2017 en sinds mei 2019 op goedkeuring door het Huis van Afgevaardigden. In afwachting van de oprichting van de onafhankelijke autoriteit</w:t>
      </w:r>
      <w:r>
        <w:rPr>
          <w:rStyle w:val="FootnoteReference"/>
          <w:noProof/>
          <w:szCs w:val="24"/>
          <w:shd w:val="clear" w:color="auto" w:fill="FFFFFF"/>
        </w:rPr>
        <w:footnoteReference w:id="40"/>
      </w:r>
      <w:r>
        <w:rPr>
          <w:noProof/>
          <w:szCs w:val="24"/>
          <w:shd w:val="clear" w:color="auto" w:fill="FFFFFF"/>
        </w:rPr>
        <w:t xml:space="preserve"> is de verantwoordelijkheid voor het toezicht op de uitvoering van het nationale horizontale actieplan bij wijze van tijdelijke regeling toevertrouwd aan het bureau voor transparantie en corruptiebestrijding. Er zijn contactpersonen aangewezen bij overheidsinstanties, maar het bureau kampt met een personeelstekort</w:t>
      </w:r>
      <w:r>
        <w:rPr>
          <w:rStyle w:val="FootnoteReference"/>
          <w:noProof/>
          <w:szCs w:val="24"/>
          <w:shd w:val="clear" w:color="auto" w:fill="FFFFFF"/>
        </w:rPr>
        <w:footnoteReference w:id="41"/>
      </w:r>
      <w:r>
        <w:rPr>
          <w:noProof/>
          <w:szCs w:val="24"/>
          <w:shd w:val="clear" w:color="auto" w:fill="FFFFFF"/>
        </w:rPr>
        <w:t xml:space="preserve">. </w:t>
      </w:r>
    </w:p>
    <w:p>
      <w:pPr>
        <w:pStyle w:val="paragraph"/>
        <w:spacing w:before="0" w:beforeAutospacing="0" w:after="240" w:afterAutospacing="0"/>
        <w:jc w:val="both"/>
        <w:textAlignment w:val="baseline"/>
        <w:rPr>
          <w:rFonts w:eastAsiaTheme="minorHAnsi"/>
          <w:noProof/>
        </w:rPr>
      </w:pPr>
      <w:r>
        <w:rPr>
          <w:b/>
          <w:noProof/>
        </w:rPr>
        <w:t xml:space="preserve">De bevoegdheden voor het voorkomen, onderzoeken en vervolgen van corruptie worden gedeeld door diverse instanties. </w:t>
      </w:r>
      <w:r>
        <w:rPr>
          <w:noProof/>
        </w:rPr>
        <w:t>Het ministerie van Justitie en Openbare Orde is verantwoordelijk voor de beleidscoördinatie met betrekking tot corruptiebestrijding. De procureur-generaal is algemeen bevoegd voor strafrechtelijke vervolgingen, en heeft ook het recht om vervolging stop te zetten. Het Openbaar Ministerie (het bureau van de procureur-generaal van de Republiek) verstrekt rechtstreeks juridisch advies aan politierechercheurs. Het geeft hen advies over kwesties met betrekking tot corruptie, strafrecht, strafrechtelijke procedures en bewijs. Het fungeert als contactpunt tussen de politie en het Openbaar Ministerie van de Republiek (bureau van de procureur-generaal). De autoriteiten hebben gemeld dat tussen 2013 en 2018 in het totaal 120 corruptiezaken werden onderzocht, waarvan er 98 zijn afgerond en 22 nog worden onderzocht. In 47 zaken moet het proces nog worden gestart of loopt het nog. Er werden 37 personen veroordeeld voor corruptie, in 26 zaken, waarvan er 12 ophefmakende veroordelingen voor corruptie waren, van onder meer de adjunct-procureur-generaal, leden van het Huis van Afgevaardigden en voormalige ministers. De politie beschikt over een speciaal team voor financiële recherche. Dat team bestaat uit vijf financieel analisten/accountants of financieel controleurs en twee ervaren politierechercheurs. Het team verleent ondersteuning en verstrekt deskundig advies aan de politierechercheurs tijdens hun onderzoek van ernstige strafzaken in verband met financiële misdrijven, waaronder ook corruptiezaken. Er bestaat ook een dienst Interne Zaken die belast is met het onderzoeken van corruptie-aantijgingen binnen de politie. Deze dienst onderzoekt alle aantijgingen en klachten, ook die welke anoniem worden ingediend, met betrekking tot corrupte praktijken of nalatigheid door leden van de politie. De dienst Interne Zaken is operationeel en heeft 12 corruptiezaken onderzocht, waarvan er één tot een veroordeling heeft geleid</w:t>
      </w:r>
      <w:r>
        <w:rPr>
          <w:rStyle w:val="FootnoteReference"/>
          <w:rFonts w:eastAsiaTheme="minorHAnsi"/>
          <w:noProof/>
          <w:lang w:eastAsia="en-US"/>
        </w:rPr>
        <w:footnoteReference w:id="42"/>
      </w:r>
      <w:r>
        <w:rPr>
          <w:noProof/>
        </w:rPr>
        <w:t xml:space="preserve">. </w:t>
      </w:r>
    </w:p>
    <w:p>
      <w:pPr>
        <w:pStyle w:val="paragraph"/>
        <w:spacing w:before="0" w:beforeAutospacing="0" w:after="240" w:afterAutospacing="0"/>
        <w:jc w:val="both"/>
        <w:textAlignment w:val="baseline"/>
        <w:rPr>
          <w:rFonts w:eastAsiaTheme="minorHAnsi"/>
          <w:noProof/>
        </w:rPr>
      </w:pPr>
      <w:r>
        <w:rPr>
          <w:b/>
          <w:noProof/>
        </w:rPr>
        <w:t>Er is nog geen wettelijke bescherming voor klokkenluiders.</w:t>
      </w:r>
      <w:r>
        <w:rPr>
          <w:noProof/>
        </w:rPr>
        <w:t xml:space="preserve"> Werkgevers mogen zelf beslissen of ze klokkenluiders al dan niet beschermen via intern beleid. Een wetsontwerp inzake het “melden van handelingen van corruptie” wacht op goedkeuring door het Huis van Afgevaardigden. Het ontwerp moet tevens voorzien in aanvullende bepalingen omtrent de bescherming van klokkenluiders</w:t>
      </w:r>
      <w:r>
        <w:rPr>
          <w:rStyle w:val="FootnoteReference"/>
          <w:rFonts w:eastAsiaTheme="minorHAnsi"/>
          <w:noProof/>
          <w:lang w:eastAsia="en-US"/>
        </w:rPr>
        <w:footnoteReference w:id="43"/>
      </w:r>
      <w:r>
        <w:rPr>
          <w:noProof/>
        </w:rPr>
        <w:t xml:space="preserve">. </w:t>
      </w:r>
    </w:p>
    <w:p>
      <w:pPr>
        <w:pStyle w:val="paragraph"/>
        <w:spacing w:before="0" w:beforeAutospacing="0" w:after="240" w:afterAutospacing="0"/>
        <w:jc w:val="both"/>
        <w:textAlignment w:val="baseline"/>
        <w:rPr>
          <w:rFonts w:eastAsiaTheme="minorHAnsi"/>
          <w:noProof/>
        </w:rPr>
      </w:pPr>
      <w:r>
        <w:rPr>
          <w:b/>
          <w:noProof/>
        </w:rPr>
        <w:t xml:space="preserve">Lobbywerk is niet gereguleerd. </w:t>
      </w:r>
      <w:r>
        <w:rPr>
          <w:noProof/>
        </w:rPr>
        <w:t>Een wetsontwerp dat lobbyactiviteiten reguleert, wacht sinds mei 2019 op goedkeuring in het parlement</w:t>
      </w:r>
      <w:r>
        <w:rPr>
          <w:rStyle w:val="FootnoteReference"/>
          <w:rFonts w:eastAsiaTheme="minorHAnsi"/>
          <w:noProof/>
          <w:lang w:eastAsia="en-US"/>
        </w:rPr>
        <w:footnoteReference w:id="44"/>
      </w:r>
      <w:r>
        <w:rPr>
          <w:noProof/>
        </w:rPr>
        <w:t>.</w:t>
      </w:r>
      <w:r>
        <w:rPr>
          <w:b/>
          <w:noProof/>
        </w:rPr>
        <w:t xml:space="preserve"> </w:t>
      </w:r>
      <w:r>
        <w:rPr>
          <w:noProof/>
        </w:rPr>
        <w:t>Het wetsontwerp schrijft voor dat alle lobbygroepen moeten worden geregistreerd en dat hun bijeenkomsten moeten worden bijgehouden. Het is de bedoeling dat de aanname van deze wet gepaard gaat met de oprichting van de onafhankelijk autoriteit voor corruptiebestrijding, die belast zal worden met het bijhouden van het register van lobbyisten. Er geldt momenteel geen zelfregulering voor de activiteiten van lobbyisten, en Cyprus beschikt niet over een beroepsvereniging van lobbyisten.  </w:t>
      </w:r>
    </w:p>
    <w:p>
      <w:pPr>
        <w:rPr>
          <w:rFonts w:eastAsiaTheme="minorHAnsi"/>
          <w:noProof/>
          <w:szCs w:val="24"/>
        </w:rPr>
      </w:pPr>
      <w:r>
        <w:rPr>
          <w:b/>
          <w:noProof/>
          <w:szCs w:val="24"/>
        </w:rPr>
        <w:t xml:space="preserve">Belangenconflicten verdienen aandacht. </w:t>
      </w:r>
      <w:r>
        <w:rPr>
          <w:noProof/>
        </w:rPr>
        <w:t>In verband met belangenconflicten zijn er bepalingen opgenomen in het wetsontwerp inzake lobbywerk waarin belangenconflicten bij hooggeplaatste ambtenaren worden gereguleerd. Ook wordt er een afkoelingsperiode ingevoerd waarin hooggeplaatste ambtenaren zich niet in het register kunnen inschrijven, tenzij er reeds twee jaar zijn verstreken sinds de dag waarop hun ambt werd beëindigd. Hoewel er gedragscodes bestaan voor regeringsleden, overheidsfunctionarissen en aanklagers, gelden er geen vergelijkbare bepalingen voor de leden van het Huis van Afgevaardigden. Eind 2019 is een procedure van start gegaan om een gedragscode voor parlementsleden op te stellen en goed te keuren. De code zou richtsnoeren moeten verstrekken om belangenconflicten met betrekking tot parlementsleden te voorkomen en te behandelen.</w:t>
      </w:r>
    </w:p>
    <w:p>
      <w:pPr>
        <w:pStyle w:val="ListParagraph"/>
        <w:tabs>
          <w:tab w:val="left" w:pos="-426"/>
        </w:tabs>
        <w:spacing w:after="240" w:line="240" w:lineRule="auto"/>
        <w:ind w:left="0"/>
        <w:contextualSpacing w:val="0"/>
        <w:jc w:val="both"/>
        <w:rPr>
          <w:rFonts w:ascii="Times New Roman" w:hAnsi="Times New Roman" w:cs="Times New Roman"/>
          <w:noProof/>
          <w:sz w:val="24"/>
          <w:szCs w:val="24"/>
        </w:rPr>
      </w:pPr>
      <w:r>
        <w:rPr>
          <w:rFonts w:ascii="Times New Roman" w:hAnsi="Times New Roman"/>
          <w:b/>
          <w:noProof/>
          <w:sz w:val="24"/>
          <w:szCs w:val="24"/>
        </w:rPr>
        <w:t>Er gelden regels voor de bekendmaking van vermogensbestanddelen en er bestaan sancties voor het niet naleven van die regels.</w:t>
      </w:r>
      <w:r>
        <w:rPr>
          <w:rFonts w:ascii="Times New Roman" w:hAnsi="Times New Roman"/>
          <w:noProof/>
          <w:sz w:val="24"/>
          <w:szCs w:val="24"/>
        </w:rPr>
        <w:t xml:space="preserve"> De president, de ministers, de leden van het Huis van Afgevaardigden, bepaalde ambtenaren van de Republiek, hooggeplaatste overheidsfunctionarissen en andere prominente personen moeten gedetailleerde verklaringen indienen inzake hun eigendommen en vermogensbestanddelen en die van hun echtgenoten en minderjarige kinderen. Dergelijke verklaringen moeten binnen drie maanden na het opnemen van het ambt worden gedaan/ingediend, en vervolgens om de drie jaar zolang zij het ambt bekleden, en binnen drie maanden na beëindiging van het ambt. De vermogensaangiften van de president van de Republiek, de ministers en de leden van het Huis van Afgevaardigden werden voorgelegd aan een bijzondere parlementaire commissie en in 2019 bekendgemaakt. Het orgaan dat belast is met de controle van de aangiften van de overige ambtenaren en politiek prominente personen is een bijzondere raad die bestaat uit drie leden die in 2017 door de ministerraad zijn benoemd. De twee organen waaraan de controle van de aangiften is toevertrouwd (de bijzondere parlementaire commissie en de raad), kunnen onderzoeken toewijzen aan accountants</w:t>
      </w:r>
      <w:r>
        <w:rPr>
          <w:rStyle w:val="FootnoteReference"/>
          <w:rFonts w:ascii="Times New Roman" w:hAnsi="Times New Roman" w:cs="Times New Roman"/>
          <w:noProof/>
          <w:sz w:val="24"/>
          <w:szCs w:val="24"/>
          <w:lang w:val="en-GB" w:eastAsia="fr-FR"/>
        </w:rPr>
        <w:footnoteReference w:id="45"/>
      </w:r>
      <w:r>
        <w:rPr>
          <w:rFonts w:ascii="Times New Roman" w:hAnsi="Times New Roman"/>
          <w:noProof/>
          <w:sz w:val="24"/>
          <w:szCs w:val="24"/>
        </w:rPr>
        <w:t>. Hoewel uit het verslag in het kader van het Europees Semester 2020 blijkt dat er regels gelden, werden er problemen opgemerkt met betrekking tot de controle van de vermogensbestanddelen. De raad waaraan de controle is toevertrouwd, heeft meerdere boeten opgelegd wegens het niet indienen van aangiften. Daarnaast bestaat er bezorgdheid over de nauwkeurigheid van aangiften</w:t>
      </w:r>
      <w:r>
        <w:rPr>
          <w:rStyle w:val="FootnoteReference"/>
          <w:rFonts w:ascii="Times New Roman" w:hAnsi="Times New Roman" w:cs="Times New Roman"/>
          <w:noProof/>
          <w:sz w:val="24"/>
          <w:szCs w:val="24"/>
          <w:lang w:val="en-GB" w:eastAsia="fr-FR"/>
        </w:rPr>
        <w:footnoteReference w:id="46"/>
      </w:r>
      <w:r>
        <w:rPr>
          <w:rFonts w:ascii="Times New Roman" w:hAnsi="Times New Roman"/>
          <w:noProof/>
          <w:sz w:val="24"/>
          <w:szCs w:val="24"/>
        </w:rPr>
        <w:t xml:space="preserve">. </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Mediapluriformiteit</w:t>
      </w:r>
    </w:p>
    <w:p>
      <w:pPr>
        <w:rPr>
          <w:noProof/>
          <w:szCs w:val="24"/>
        </w:rPr>
      </w:pPr>
      <w:r>
        <w:rPr>
          <w:noProof/>
        </w:rPr>
        <w:t>In Cyprus genieten de vrijheid van meningsuiting en het recht op toegang tot informatie formele wettelijke bescherming uit hoofde van artikel 19 van de grondwet van de Republiek Cyprus. Secundaire wetgeving beschermt uitdrukkelijk het recht van journalisten om hun bronnen te beschermen</w:t>
      </w:r>
      <w:r>
        <w:rPr>
          <w:rStyle w:val="FootnoteReference"/>
          <w:noProof/>
          <w:szCs w:val="24"/>
        </w:rPr>
        <w:footnoteReference w:id="47"/>
      </w:r>
      <w:r>
        <w:rPr>
          <w:noProof/>
        </w:rPr>
        <w:t xml:space="preserve"> en stimuleert de mediapluriformiteit in de radio- en televisiesector</w:t>
      </w:r>
      <w:r>
        <w:rPr>
          <w:rStyle w:val="FootnoteReference"/>
          <w:noProof/>
          <w:szCs w:val="24"/>
        </w:rPr>
        <w:footnoteReference w:id="48"/>
      </w:r>
      <w:r>
        <w:rPr>
          <w:noProof/>
        </w:rPr>
        <w:t>. Er is een herziening van de perswet gepland met het oog op de omzetting van de herziene richtlijn audiovisuele mediadiensten. De aangekondigde wijzigingen zouden ertoe leiden dat elektronische informatiemedia voor het eerst uitdrukkelijk zouden worden gereguleerd en dat er aanvullende bepalingen zouden worden ingevoerd betreffende de rechten van journalisten. De wet inzake toegang tot overheidsinformatie (2017) zal naar verwachting in december 2020 in werking treden. In Cyprus is smaad sinds 2003 niet langer strafbaar</w:t>
      </w:r>
      <w:r>
        <w:rPr>
          <w:rStyle w:val="FootnoteReference"/>
          <w:noProof/>
          <w:szCs w:val="24"/>
        </w:rPr>
        <w:footnoteReference w:id="49"/>
      </w:r>
      <w:r>
        <w:rPr>
          <w:noProof/>
        </w:rPr>
        <w:t xml:space="preserve">. </w:t>
      </w:r>
    </w:p>
    <w:p>
      <w:pPr>
        <w:rPr>
          <w:noProof/>
          <w:szCs w:val="24"/>
        </w:rPr>
      </w:pPr>
      <w:r>
        <w:rPr>
          <w:b/>
          <w:noProof/>
          <w:szCs w:val="24"/>
        </w:rPr>
        <w:t xml:space="preserve">De onafhankelijkheid van de regulerende instantie voor audiovisuele mediadiensten, de Cypriotische autoriteit voor radio en televisie, is bij wet gewaarborgd. </w:t>
      </w:r>
      <w:r>
        <w:rPr>
          <w:noProof/>
        </w:rPr>
        <w:t>De bevoegdheden en verantwoordelijkheden van deze autoriteit zijn beschreven in artikel 3 van Wet 7(I)/1998 inzake radio- en televisiezenders (als gewijzigd</w:t>
      </w:r>
      <w:r>
        <w:rPr>
          <w:b/>
          <w:noProof/>
          <w:szCs w:val="24"/>
        </w:rPr>
        <w:t>).</w:t>
      </w:r>
      <w:r>
        <w:rPr>
          <w:noProof/>
        </w:rPr>
        <w:t xml:space="preserve"> Zij omvatten onder meer de controle op de werkelijke eigendomsstatus van aanbieders van mediadiensten teneinde hun onafhankelijkheid te verzekeren en concentraties, oligopolies of monopolies uit te bannen; het waarborgen van de journalistieke en creatieve onafhankelijkheid van de medewerkers van aanbieders van mediadiensten en het opstellen van een driejaarlijks verslag over de ontwikkeling van pluriformiteit en de concentratie van aandelen in aanbieders van mediadiensten. </w:t>
      </w:r>
    </w:p>
    <w:p>
      <w:pPr>
        <w:rPr>
          <w:noProof/>
          <w:szCs w:val="24"/>
        </w:rPr>
      </w:pPr>
      <w:r>
        <w:rPr>
          <w:b/>
          <w:noProof/>
          <w:szCs w:val="24"/>
        </w:rPr>
        <w:t>Dit reguleringsmodel zorgt voor een wettelijk onafhankelijke autoriteit met duidelijk afgebakende bevoegdheden, en de autoriteit beschikt over toereikende financiële middelen</w:t>
      </w:r>
      <w:r>
        <w:rPr>
          <w:noProof/>
        </w:rPr>
        <w:t>. De Media Pluralism Monitor (MPM) wijst erop dat de beslissingen van de autoriteit regelmatig worden bekendgemaakt, onderworpen zijn aan een rechterlijke toetsing en niet kunnen worden vernietigd door de regering. De MPM beoordeelt het algemene risico voor de onafhankelijkheid ten aanzien van de functionele onafhankelijkheid, de handhavingsbevoegdheden en de toereikendheid van middelen van de autoriteit daarom als laag. Het risico voor de effectieve onafhankelijkheid van de autoriteit wordt evenwel als gemiddeld beoordeeld. De reden daarvoor is dat er bezorgdheid bestaat over de selectiecriteria die door de regering worden gebruikt bij de benoeming van de leden van de autoriteit, de onafhankelijkheid in de praktijk en problemen met de transparantie en verantwoordingsplicht</w:t>
      </w:r>
      <w:r>
        <w:rPr>
          <w:rStyle w:val="FootnoteReference"/>
          <w:noProof/>
          <w:szCs w:val="24"/>
        </w:rPr>
        <w:footnoteReference w:id="50"/>
      </w:r>
      <w:r>
        <w:rPr>
          <w:noProof/>
        </w:rPr>
        <w:t>.</w:t>
      </w:r>
    </w:p>
    <w:p>
      <w:pPr>
        <w:rPr>
          <w:noProof/>
          <w:szCs w:val="24"/>
        </w:rPr>
      </w:pPr>
      <w:r>
        <w:rPr>
          <w:b/>
          <w:noProof/>
          <w:szCs w:val="24"/>
        </w:rPr>
        <w:t>Cyprus heeft een onafhankelijke persraad, de klachtencommissie voor de media</w:t>
      </w:r>
      <w:r>
        <w:rPr>
          <w:rStyle w:val="FootnoteReference"/>
          <w:b/>
          <w:noProof/>
          <w:szCs w:val="24"/>
        </w:rPr>
        <w:footnoteReference w:id="51"/>
      </w:r>
      <w:r>
        <w:rPr>
          <w:noProof/>
        </w:rPr>
        <w:t>. Deze klachtencommissie telt 13 leden en is verantwoordelijk voor de zelfregulering van zowel geschreven als elektronische nieuwsmedia en is volledig vrij van overheidsinmenging en rechterlijk toezicht. Zij wordt uitsluitend gefinancierd door de stichtende leden en past een gedragscode</w:t>
      </w:r>
      <w:r>
        <w:rPr>
          <w:rStyle w:val="FootnoteReference"/>
          <w:noProof/>
          <w:szCs w:val="24"/>
        </w:rPr>
        <w:footnoteReference w:id="52"/>
      </w:r>
      <w:r>
        <w:rPr>
          <w:noProof/>
        </w:rPr>
        <w:t xml:space="preserve"> toe waarin de rechten en plichten van journalisten zijn gedefinieerd. De klachtencommissie aanvaardt klachten van het publiek over een hele reeks kwesties, waaronder de nauwkeurigheid van informatie, het recht op verweer, het recht op privacy, het auteursrecht, het vermoeden van onschuld, discriminatie, beroepsgeheim en het algemeen belang. De Media Pluralism Monitor beveelt aan dat om de recente uitdagingen voor de media in Cyprus aan te pakken, zowel journalisten die aangesloten zijn bij een vakbond als journalisten die dat niet zijn en alle belanghebbenden in de media hun rol dienen te bekrachtigen en hun status opnieuw dienen op te eisen om zo het vertrouwen van de bevolking terug te winnen</w:t>
      </w:r>
      <w:r>
        <w:rPr>
          <w:rStyle w:val="FootnoteReference"/>
          <w:noProof/>
          <w:szCs w:val="24"/>
        </w:rPr>
        <w:footnoteReference w:id="53"/>
      </w:r>
      <w:r>
        <w:rPr>
          <w:noProof/>
        </w:rPr>
        <w:t>.</w:t>
      </w:r>
    </w:p>
    <w:p>
      <w:pPr>
        <w:spacing w:after="160"/>
        <w:rPr>
          <w:noProof/>
          <w:szCs w:val="24"/>
        </w:rPr>
      </w:pPr>
      <w:r>
        <w:rPr>
          <w:b/>
          <w:noProof/>
          <w:szCs w:val="24"/>
        </w:rPr>
        <w:t xml:space="preserve">Het regelgevingskader in Cyprus maakt een zekere mate van transparantie van media-eigendom in de sector van de audiovisuele media mogelijk. </w:t>
      </w:r>
      <w:r>
        <w:rPr>
          <w:noProof/>
        </w:rPr>
        <w:t>De transparantie wordt gewaarborgd door de autoriteit voor radio en televisie en wordt hoofdzakelijk in de praktijk gebracht via de gedetailleerde licentie- en registratieprocedures die bij bovengenoemde wet zijn vastgesteld</w:t>
      </w:r>
      <w:r>
        <w:rPr>
          <w:rStyle w:val="FootnoteReference"/>
          <w:noProof/>
          <w:szCs w:val="24"/>
        </w:rPr>
        <w:footnoteReference w:id="54"/>
      </w:r>
      <w:r>
        <w:rPr>
          <w:noProof/>
        </w:rPr>
        <w:t xml:space="preserve">. Wat het systematische toezicht door de autoriteit betreft, wordt in de MPM 2020 bezorgdheid geuit ten aanzien van de efficiënte toepassing ervan in de praktijk. Voorts is er geen kader dat transparantie over de eigendomsstructuren in de geschreven pers en de digitale media waarborgt. Daardoor is het lastig om in deze sectoren de uiteindelijke eigenaren en eventuele kruiselingse deelnemingen te identificeren en te controleren. De MPM beoordeelt het risico voor de transparantie van de media-eigendom dan ook als hoog (81 %). Deze factor heeft er in combinatie met andere factoren — waaronder de aanzienlijke concentratie van de nieuwsmedia en een niet-gereguleerde markt voor onlinemedia — toe geleid dat de MPM-risicobeoordeling op het gebied van marktpluriformiteit is verhoogd van een laag tot middelmatig risico (34 %) in 2017 naar een hoog risico in 2020 (74 %). Desalniettemin wijst de MPM erop dat de televisiesector een aanzienlijke pluriformiteit vertoont, gezien het feit dat vier van de zeven commerciële televisiezenders en de openbare omroep nagenoeg dezelfde kijkcijfers halen. </w:t>
      </w:r>
    </w:p>
    <w:p>
      <w:pPr>
        <w:spacing w:after="160"/>
        <w:rPr>
          <w:noProof/>
          <w:szCs w:val="24"/>
        </w:rPr>
      </w:pPr>
      <w:r>
        <w:rPr>
          <w:b/>
          <w:noProof/>
          <w:szCs w:val="24"/>
        </w:rPr>
        <w:t xml:space="preserve">Er zijn mechanismen om de politieke onafhankelijkheid te vrijwaren en belangenconflicten te voorkomen. </w:t>
      </w:r>
      <w:r>
        <w:rPr>
          <w:noProof/>
        </w:rPr>
        <w:t>Wat de politieke onafhankelijkheid betreft, worden de eigendomsdrempels en -beperkingen die zijn vastgelegd in de wet inzake onverenigbaarheden voor personen die een openbaar ambt bekleden</w:t>
      </w:r>
      <w:r>
        <w:rPr>
          <w:rStyle w:val="FootnoteReference"/>
          <w:noProof/>
          <w:szCs w:val="24"/>
        </w:rPr>
        <w:footnoteReference w:id="55"/>
      </w:r>
      <w:r>
        <w:rPr>
          <w:noProof/>
        </w:rPr>
        <w:t xml:space="preserve"> efficiënt gehandhaafd door de desbetreffende toezichthoudende instanties, hetgeen de pluriformiteit bevordert. De MPM wijst er evenwel op dat de druk vanuit het bedrijfsleven een klimaat van zelfcensuur op de redacties lijkt te stimuleren. Er is momenteel geen kader voorhanden waarin de verspreiding van overheidsreclame is geregeld, hoewel de MPM erop wijst dat het systeem in de praktijk billijk lijkt te werken. De autoriteiten hebben de Commissie meegedeeld dat tegen eind 2020 naar verwachting een nieuw mechanisme voor de billijke toewijzing van politieke verkiezingsreclame zal zijn ingevoerd. </w:t>
      </w:r>
    </w:p>
    <w:p>
      <w:pPr>
        <w:rPr>
          <w:noProof/>
          <w:szCs w:val="24"/>
        </w:rPr>
      </w:pPr>
      <w:r>
        <w:rPr>
          <w:b/>
          <w:noProof/>
          <w:szCs w:val="24"/>
        </w:rPr>
        <w:t xml:space="preserve">Bedreigingen voor de veiligheid van journalisten komen zeer zelden voor. </w:t>
      </w:r>
      <w:r>
        <w:rPr>
          <w:noProof/>
        </w:rPr>
        <w:t>In 2019 heeft het platform van de Raad van Europa voor de bescherming van de journalistiek en de veiligheid van journalisten geen waarschuwingen over Cyprus gepubliceerd. In 2020 werd één waarschuwing bekendgemaakt met betrekking tot een zelfgemaakte pijpbom, die op 4 maart 2020 tot ontploffing kwam aan de ingang van de kantoren van persagentschap MC Digital Media (waar de lokale onlinenieuwsdienst Cyprustimes.com en andere online financiële, sport- en showbizzmagazines zijn ondergebracht) en grote schade toebracht aan het gebouw. De regering veroordeelde de aanslag meteen en verklaarde dat de staat het nodige zou doen om de daders te vinden</w:t>
      </w:r>
      <w:r>
        <w:rPr>
          <w:rStyle w:val="FootnoteReference"/>
          <w:noProof/>
          <w:szCs w:val="24"/>
        </w:rPr>
        <w:footnoteReference w:id="56"/>
      </w:r>
      <w:r>
        <w:rPr>
          <w:noProof/>
        </w:rPr>
        <w:t>.</w:t>
      </w:r>
    </w:p>
    <w:p>
      <w:pPr>
        <w:pStyle w:val="ListParagraph"/>
        <w:numPr>
          <w:ilvl w:val="0"/>
          <w:numId w:val="20"/>
        </w:numPr>
        <w:spacing w:after="240" w:line="240" w:lineRule="auto"/>
        <w:ind w:left="284" w:hanging="284"/>
        <w:rPr>
          <w:rFonts w:ascii="Times New Roman" w:eastAsia="Times New Roman" w:hAnsi="Times New Roman" w:cs="Times New Roman"/>
          <w:b/>
          <w:smallCaps/>
          <w:noProof/>
          <w:sz w:val="24"/>
          <w:szCs w:val="24"/>
          <w:u w:val="single"/>
        </w:rPr>
      </w:pPr>
      <w:r>
        <w:rPr>
          <w:rFonts w:ascii="Times New Roman" w:hAnsi="Times New Roman"/>
          <w:b/>
          <w:smallCaps/>
          <w:noProof/>
          <w:sz w:val="24"/>
          <w:szCs w:val="24"/>
          <w:u w:val="single"/>
        </w:rPr>
        <w:t>Andere institutionele kwesties in verband met controles en waarborgen</w:t>
      </w:r>
    </w:p>
    <w:p>
      <w:pPr>
        <w:rPr>
          <w:noProof/>
          <w:szCs w:val="24"/>
        </w:rPr>
      </w:pPr>
      <w:r>
        <w:rPr>
          <w:noProof/>
        </w:rPr>
        <w:t>De Republiek Cyprus is een presidentiële representatieve republiek. De president van Cyprus is zowel staatshoofd als regeringsleider. Het Huis van Afgevaardigden is het parlement en heeft wetgevende bevoegdheden. Zowel volksvertegenwoordigers als ministers hebben het recht op wetgevingsinitiatief. Het hooggerechtshof is bevoegd ten aanzien van de grondwettigheid van wetten</w:t>
      </w:r>
      <w:r>
        <w:rPr>
          <w:rStyle w:val="FootnoteReference"/>
          <w:noProof/>
          <w:szCs w:val="24"/>
        </w:rPr>
        <w:footnoteReference w:id="57"/>
      </w:r>
      <w:r>
        <w:rPr>
          <w:noProof/>
        </w:rPr>
        <w:t>. Er bestaat een aantal nationale onafhankelijke autoriteiten, organisaties en instellingen die de mensenrechten moeten beschermen en vrijwaren.</w:t>
      </w:r>
    </w:p>
    <w:p>
      <w:pPr>
        <w:rPr>
          <w:noProof/>
          <w:szCs w:val="24"/>
        </w:rPr>
      </w:pPr>
      <w:r>
        <w:rPr>
          <w:b/>
          <w:noProof/>
          <w:szCs w:val="24"/>
        </w:rPr>
        <w:t xml:space="preserve">Er worden inspanningen geleverd om de raadpleging van belanghebbenden bij het opstellen van wetten te verbeteren. </w:t>
      </w:r>
      <w:r>
        <w:rPr>
          <w:noProof/>
        </w:rPr>
        <w:t>In de context van het project voor betere regelgeving</w:t>
      </w:r>
      <w:r>
        <w:rPr>
          <w:rStyle w:val="FootnoteReference"/>
          <w:noProof/>
          <w:szCs w:val="24"/>
        </w:rPr>
        <w:footnoteReference w:id="58"/>
      </w:r>
      <w:r>
        <w:rPr>
          <w:noProof/>
        </w:rPr>
        <w:t xml:space="preserve"> en de desbetreffende circulaires van het ministerie van Financiën en van de juridische dienst geldt een verplichting om een openbare raadpleging van alle belanghebbenden te houden alvorens een wetsvoorstel van de regering verder in behandeling te nemen. Elk wetsvoorstel dat ter goedkeuring wordt voorgelegd aan de ministerraad en vervolgens ter bekrachtiging aan het Huis van Afgevaardigden wordt voorgelegd, gaat vergezeld van een volledig ingevulde vragenlijst, waarin alle aspecten van de voorgestelde regelgeving en de georganiseerde raadpleging worden toegelicht</w:t>
      </w:r>
      <w:r>
        <w:rPr>
          <w:rStyle w:val="FootnoteReference"/>
          <w:noProof/>
          <w:szCs w:val="24"/>
        </w:rPr>
        <w:footnoteReference w:id="59"/>
      </w:r>
      <w:r>
        <w:rPr>
          <w:noProof/>
        </w:rPr>
        <w:t>. Er bestaan enkele problemen met betrekking tot het regelgevingskader voor effectbeoordelingen dat in 2017 door Cyprus werd ingevoerd, zowel voor primaire wetten als voor ondergeschikte regelgeving. Deze problemen zouden kunnen worden verholpen door een breder bereik van kosten en baten in aanmerking te nemen en een toezichthoudende instantie voor de kwaliteitscontrole van effectbeoordelingen op te zetten</w:t>
      </w:r>
      <w:r>
        <w:rPr>
          <w:rStyle w:val="FootnoteReference"/>
          <w:noProof/>
          <w:szCs w:val="24"/>
        </w:rPr>
        <w:footnoteReference w:id="60"/>
      </w:r>
      <w:r>
        <w:rPr>
          <w:noProof/>
        </w:rPr>
        <w:t xml:space="preserve">. </w:t>
      </w:r>
    </w:p>
    <w:p>
      <w:pPr>
        <w:rPr>
          <w:noProof/>
          <w:szCs w:val="24"/>
        </w:rPr>
      </w:pPr>
      <w:r>
        <w:rPr>
          <w:b/>
          <w:noProof/>
          <w:szCs w:val="24"/>
        </w:rPr>
        <w:t>De regering heeft de bevoegdheid gekregen om maatregelen te nemen voor de bestrijding van de COVID-19-pandemie</w:t>
      </w:r>
      <w:r>
        <w:rPr>
          <w:noProof/>
        </w:rPr>
        <w:t>. De in de grondwet verankerde noodtoestand is niet uitgeroepen</w:t>
      </w:r>
      <w:r>
        <w:rPr>
          <w:rStyle w:val="FootnoteReference"/>
          <w:noProof/>
          <w:szCs w:val="24"/>
          <w:lang w:eastAsia="en-US"/>
        </w:rPr>
        <w:footnoteReference w:id="61"/>
      </w:r>
      <w:r>
        <w:rPr>
          <w:noProof/>
        </w:rPr>
        <w:t>, maar de regering heeft wel een beroep gedaan op de wet inzake de beheersing van epidemieën (quarantainewet), waarbij de ministerraad, de minister van Volksgezondheid en andere ministers worden gemachtigd om decreten uit te vaardigen om de noodsituatie aan te pakken</w:t>
      </w:r>
      <w:r>
        <w:rPr>
          <w:rStyle w:val="FootnoteReference"/>
          <w:noProof/>
          <w:szCs w:val="24"/>
          <w:lang w:eastAsia="en-US"/>
        </w:rPr>
        <w:footnoteReference w:id="62"/>
      </w:r>
      <w:r>
        <w:rPr>
          <w:noProof/>
        </w:rPr>
        <w:t>.</w:t>
      </w:r>
    </w:p>
    <w:p>
      <w:pPr>
        <w:rPr>
          <w:noProof/>
          <w:szCs w:val="24"/>
        </w:rPr>
      </w:pPr>
      <w:r>
        <w:rPr>
          <w:b/>
          <w:noProof/>
          <w:szCs w:val="24"/>
        </w:rPr>
        <w:t xml:space="preserve">Wetsontwerpen voorzien in de oprichting van een grondwettelijk hof dat de toetsing van de grondwettigheid van wetten zal overnemen van het hooggerechtshof. </w:t>
      </w:r>
      <w:r>
        <w:rPr>
          <w:noProof/>
        </w:rPr>
        <w:t xml:space="preserve">Het hooggerechtshof is bevoegd om uitspraak te doen over de verenigbaarheid van een wet met de grondwet of over bevoegdheidsconflicten tussen organen of autoriteiten van de Republiek. Daarnaast kan het kennis nemen van een vraag van de president van de Republiek of een door het Huis van Afgevaardigden goedgekeurde wet onverenigbaar is met de grondwet. Volgens de grondwet kan elke partij bij een gerechtelijke procedure vragen stellen over de grondwettigheid van elke wet of beslissing die van materieel belang is om kwesties te beslechten die in de procedure aan de orde zijn gesteld. In dat geval schorst de rechtbank waar de vraag is gesteld de verdere procedure tot het hooggerechtshof een besluit heeft genomen. </w:t>
      </w:r>
    </w:p>
    <w:p>
      <w:pPr>
        <w:rPr>
          <w:noProof/>
          <w:szCs w:val="24"/>
        </w:rPr>
      </w:pPr>
      <w:r>
        <w:rPr>
          <w:b/>
          <w:noProof/>
          <w:szCs w:val="24"/>
        </w:rPr>
        <w:t>Een hervorming moet de uitvoering van gerechtelijke beslissingen door het openbaar bestuur verbeteren.</w:t>
      </w:r>
      <w:r>
        <w:rPr>
          <w:noProof/>
        </w:rPr>
        <w:t xml:space="preserve"> Volgens de grondwet zijn de administratieve rechtbank en het hooggerechtshof bevoegd om te beoordelen of er gevolg is gegeven aan hun beslissingen en, zo niet, om dienovereenkomstig sancties op te leggen zoals voorgeschreven bij wet. De nodige rechtsgrondslag is echter nog niet bekrachtigd. Een wetsontwerp waarin sancties zijn opgenomen in het geval een orgaan, autoriteit of persoon aan de verplichting verzaakt om gerechtelijke beslissingen uit te voeren, wordt momenteel behandeld door het Huis van Afgevaardigden.</w:t>
      </w:r>
    </w:p>
    <w:p>
      <w:pPr>
        <w:rPr>
          <w:noProof/>
          <w:szCs w:val="24"/>
        </w:rPr>
      </w:pPr>
      <w:r>
        <w:rPr>
          <w:b/>
          <w:noProof/>
          <w:szCs w:val="24"/>
        </w:rPr>
        <w:t>De commissaris voor het bestuur (ombudsdienst), die bijdraagt aan de bescherming van de grondrechten, heeft enkele moeilijkheden ondervonden.</w:t>
      </w:r>
      <w:r>
        <w:rPr>
          <w:noProof/>
        </w:rPr>
        <w:t xml:space="preserve"> De commissaris voor het bestuur (ombudsdienst), fungeert als nationale instelling voor de mensenrechten, en heeft in 2015 de B-status gekregen van de GANHRI</w:t>
      </w:r>
      <w:r>
        <w:rPr>
          <w:rStyle w:val="FootnoteReference"/>
          <w:noProof/>
          <w:szCs w:val="24"/>
          <w:lang w:bidi="en-US"/>
        </w:rPr>
        <w:footnoteReference w:id="63"/>
      </w:r>
      <w:r>
        <w:rPr>
          <w:noProof/>
        </w:rPr>
        <w:t>. In zijn accreditatieverslag heeft het subcomité Accreditatie (SCA) van de GANHRI aanbevelingen gedaan voor de benoeming van het hoofd van de ombudsdienst, de toewijzing van middelen en het beheer van de begroting van die dienst</w:t>
      </w:r>
      <w:r>
        <w:rPr>
          <w:rStyle w:val="FootnoteReference"/>
          <w:noProof/>
          <w:szCs w:val="24"/>
          <w:lang w:bidi="en-US"/>
        </w:rPr>
        <w:footnoteReference w:id="64"/>
      </w:r>
      <w:r>
        <w:rPr>
          <w:noProof/>
        </w:rPr>
        <w:t xml:space="preserve">. </w:t>
      </w:r>
      <w:r>
        <w:rPr>
          <w:noProof/>
          <w:color w:val="000000"/>
          <w:szCs w:val="24"/>
        </w:rPr>
        <w:t>De capaciteit van de ombudsdienst werd onlangs versterkt en er is aanvullend personeel aangevraagd voor 2020</w:t>
      </w:r>
      <w:r>
        <w:rPr>
          <w:rStyle w:val="FootnoteReference"/>
          <w:noProof/>
          <w:color w:val="000000"/>
          <w:szCs w:val="24"/>
        </w:rPr>
        <w:footnoteReference w:id="65"/>
      </w:r>
      <w:r>
        <w:rPr>
          <w:noProof/>
          <w:color w:val="000000"/>
          <w:szCs w:val="24"/>
        </w:rPr>
        <w:t>. De ombudsdienst heeft echter enkele moeilijkheden ondervonden gezien een poging van de procureur-generaal om te onderzoeken hoe de dienst zijn bevoegdheden uitoefent, hetgeen de ombudsdienst zag als een inmenging in zijn onafhankelijkheid. Dat standpunt werd gevolgd door het International Ombudsman Institute (IOI)</w:t>
      </w:r>
      <w:r>
        <w:rPr>
          <w:rStyle w:val="FootnoteReference"/>
          <w:noProof/>
          <w:color w:val="000000"/>
          <w:szCs w:val="24"/>
        </w:rPr>
        <w:footnoteReference w:id="66"/>
      </w:r>
      <w:r>
        <w:rPr>
          <w:noProof/>
          <w:color w:val="000000"/>
          <w:szCs w:val="24"/>
        </w:rPr>
        <w:t>, en de procureur-generaal heeft de procedure vervolgens stopgezet. De suggesties of aanbevelingen van de ombudsdienst zijn niet bindend. Hij kan met de betrokken instantie overleggen om een manier te vinden waarop de autoriteit de standpunten van de ombudsdienst kan toepassen en in de praktijk brengen</w:t>
      </w:r>
      <w:r>
        <w:rPr>
          <w:rStyle w:val="FootnoteReference"/>
          <w:noProof/>
          <w:color w:val="000000"/>
          <w:szCs w:val="24"/>
        </w:rPr>
        <w:footnoteReference w:id="67"/>
      </w:r>
      <w:r>
        <w:rPr>
          <w:noProof/>
          <w:color w:val="000000"/>
          <w:szCs w:val="24"/>
        </w:rPr>
        <w:t xml:space="preserve">. </w:t>
      </w:r>
    </w:p>
    <w:p>
      <w:pPr>
        <w:rPr>
          <w:noProof/>
          <w:szCs w:val="24"/>
        </w:rPr>
      </w:pPr>
      <w:r>
        <w:rPr>
          <w:b/>
          <w:noProof/>
          <w:szCs w:val="24"/>
        </w:rPr>
        <w:t>De ruimte voor het maatschappelijk middenveld in Cyprus wordt als open aangemerkt</w:t>
      </w:r>
      <w:r>
        <w:rPr>
          <w:rStyle w:val="FootnoteReference"/>
          <w:noProof/>
          <w:szCs w:val="24"/>
          <w:lang w:bidi="en-US"/>
        </w:rPr>
        <w:footnoteReference w:id="68"/>
      </w:r>
      <w:r>
        <w:rPr>
          <w:noProof/>
        </w:rPr>
        <w:t>. Het bureau van de commissaris voor vrijwilligerswerk en ngo’s werd opgericht in 2013. Het is bedoeld om de actieve burgerparticipatie op lokaal niveau aan te moedigen en de rol van maatschappelijke organisaties op alle niveaus te bevorderen met het oog op het opstellen van overheidsbeleid. Daarnaast heeft de ministerraad van de Republiek Cyprus drie door de commissaris opgestelde beleidsdocumenten goedgekeurd, het “Handvest van actieve burgers”, “Maatschappelijke organisaties in Cyprus” en het “Handvest van de rechten en verantwoordelijkheden van vrijwilligers”. Een Huis van Vrijwilligers biedt gratis kantoorruimte aan voor ngo’s. De registratie van maatschappelijke organisaties lijkt echter tot bezorgdheid te stemmen. Hoewel een nieuwe wet die in 2017 werd goedgekeurd</w:t>
      </w:r>
      <w:r>
        <w:rPr>
          <w:rStyle w:val="FootnoteReference"/>
          <w:noProof/>
          <w:szCs w:val="24"/>
          <w:lang w:bidi="en-US"/>
        </w:rPr>
        <w:footnoteReference w:id="69"/>
      </w:r>
      <w:r>
        <w:rPr>
          <w:noProof/>
        </w:rPr>
        <w:t xml:space="preserve"> de regels van het registratieproces heeft verduidelijkt en door de belanghebbenden over het algemeen positief is onthaald</w:t>
      </w:r>
      <w:r>
        <w:rPr>
          <w:rStyle w:val="FootnoteReference"/>
          <w:noProof/>
          <w:szCs w:val="24"/>
          <w:lang w:bidi="en-US"/>
        </w:rPr>
        <w:footnoteReference w:id="70"/>
      </w:r>
      <w:r>
        <w:rPr>
          <w:noProof/>
        </w:rPr>
        <w:t>, wordt het vereiste dat organisaties ten minste 20 stichtende leden moeten hebben nog steeds bijzonder bezwaarlijk geacht</w:t>
      </w:r>
      <w:r>
        <w:rPr>
          <w:rStyle w:val="FootnoteReference"/>
          <w:noProof/>
          <w:szCs w:val="24"/>
          <w:lang w:bidi="en-US"/>
        </w:rPr>
        <w:footnoteReference w:id="71"/>
      </w:r>
      <w:r>
        <w:rPr>
          <w:noProof/>
        </w:rPr>
        <w:t xml:space="preserve">. </w:t>
      </w:r>
    </w:p>
    <w:p>
      <w:pPr>
        <w:ind w:left="181" w:hanging="181"/>
        <w:rPr>
          <w:b/>
          <w:noProof/>
          <w:sz w:val="22"/>
          <w:szCs w:val="22"/>
        </w:rPr>
      </w:pPr>
    </w:p>
    <w:p>
      <w:pPr>
        <w:pageBreakBefore/>
        <w:spacing w:after="120"/>
        <w:rPr>
          <w:b/>
          <w:noProof/>
          <w:sz w:val="22"/>
          <w:szCs w:val="22"/>
        </w:rPr>
      </w:pPr>
      <w:r>
        <w:rPr>
          <w:b/>
          <w:noProof/>
          <w:sz w:val="22"/>
          <w:szCs w:val="22"/>
        </w:rPr>
        <w:t>Bijlage I: lijst van bronnen in alfabetische volgorde*.</w:t>
      </w:r>
    </w:p>
    <w:p>
      <w:pPr>
        <w:spacing w:after="120"/>
        <w:ind w:left="181" w:hanging="181"/>
        <w:rPr>
          <w:b/>
          <w:noProof/>
          <w:sz w:val="22"/>
          <w:szCs w:val="22"/>
        </w:rPr>
      </w:pPr>
      <w:r>
        <w:rPr>
          <w:i/>
          <w:noProof/>
          <w:sz w:val="22"/>
          <w:szCs w:val="22"/>
        </w:rPr>
        <w:t>*  De lijst van de bijdragen die zijn ontvangen in het kader van de raadpleging voor het verslag over de rechtsstaat 2020 is te vinden op (COM-website).</w:t>
      </w:r>
    </w:p>
    <w:p>
      <w:pPr>
        <w:spacing w:after="120"/>
        <w:ind w:left="181" w:hanging="181"/>
        <w:rPr>
          <w:noProof/>
          <w:sz w:val="22"/>
          <w:szCs w:val="22"/>
        </w:rPr>
      </w:pPr>
      <w:r>
        <w:rPr>
          <w:noProof/>
          <w:sz w:val="22"/>
          <w:szCs w:val="22"/>
        </w:rPr>
        <w:t xml:space="preserve">Bureau voor de grondrechten (2020), Bijdrage van het Bureau voor de grondrechten aan de raadpleging van belanghebbenden voor het verslag over de rechtsstaat 2020.  </w:t>
      </w:r>
    </w:p>
    <w:p>
      <w:pPr>
        <w:spacing w:after="120"/>
        <w:ind w:left="181" w:hanging="181"/>
        <w:rPr>
          <w:noProof/>
          <w:sz w:val="22"/>
          <w:szCs w:val="22"/>
          <w:lang w:val="en-US"/>
        </w:rPr>
      </w:pPr>
      <w:r>
        <w:rPr>
          <w:noProof/>
          <w:sz w:val="22"/>
          <w:szCs w:val="22"/>
          <w:lang w:val="en-US"/>
        </w:rPr>
        <w:t xml:space="preserve">Center for Media Pluralism and Media Freedom  (2020), </w:t>
      </w:r>
      <w:r>
        <w:rPr>
          <w:i/>
          <w:noProof/>
          <w:sz w:val="22"/>
          <w:szCs w:val="22"/>
          <w:lang w:val="en-US"/>
        </w:rPr>
        <w:t>2020 Media pluralism monitor</w:t>
      </w:r>
      <w:r>
        <w:rPr>
          <w:noProof/>
          <w:sz w:val="22"/>
          <w:szCs w:val="22"/>
          <w:lang w:val="en-US"/>
        </w:rPr>
        <w:t xml:space="preserve">. </w:t>
      </w:r>
      <w:hyperlink r:id="rId18" w:history="1">
        <w:r>
          <w:rPr>
            <w:rStyle w:val="Hyperlink"/>
            <w:noProof/>
            <w:sz w:val="22"/>
            <w:szCs w:val="22"/>
            <w:lang w:val="en-US"/>
          </w:rPr>
          <w:t>https://cmpf.eui.eu/media-pluralism-monitor/mpm-2020/</w:t>
        </w:r>
      </w:hyperlink>
      <w:r>
        <w:rPr>
          <w:noProof/>
          <w:sz w:val="22"/>
          <w:szCs w:val="22"/>
          <w:lang w:val="en-US"/>
        </w:rPr>
        <w:t xml:space="preserve"> </w:t>
      </w:r>
    </w:p>
    <w:p>
      <w:pPr>
        <w:spacing w:after="120"/>
        <w:ind w:left="181" w:hanging="181"/>
        <w:rPr>
          <w:noProof/>
          <w:sz w:val="22"/>
          <w:szCs w:val="22"/>
          <w:lang w:val="en-US"/>
        </w:rPr>
      </w:pPr>
      <w:r>
        <w:rPr>
          <w:noProof/>
          <w:sz w:val="22"/>
          <w:szCs w:val="22"/>
          <w:lang w:val="en-US"/>
        </w:rPr>
        <w:t xml:space="preserve">CEPEJ (2018), </w:t>
      </w:r>
      <w:r>
        <w:rPr>
          <w:i/>
          <w:noProof/>
          <w:sz w:val="22"/>
          <w:szCs w:val="22"/>
          <w:lang w:val="en-US"/>
        </w:rPr>
        <w:t>Study on the functioning of judicial systems in the EU Member States</w:t>
      </w:r>
      <w:r>
        <w:rPr>
          <w:noProof/>
          <w:sz w:val="22"/>
          <w:szCs w:val="22"/>
          <w:lang w:val="en-US"/>
        </w:rPr>
        <w:t xml:space="preserve">. </w:t>
      </w:r>
    </w:p>
    <w:p>
      <w:pPr>
        <w:spacing w:after="120"/>
        <w:ind w:left="181" w:hanging="181"/>
        <w:rPr>
          <w:noProof/>
          <w:sz w:val="22"/>
          <w:szCs w:val="22"/>
        </w:rPr>
      </w:pPr>
      <w:r>
        <w:rPr>
          <w:noProof/>
          <w:sz w:val="22"/>
          <w:szCs w:val="22"/>
          <w:lang w:val="en-US"/>
        </w:rPr>
        <w:t xml:space="preserve">CIVICUS, </w:t>
      </w:r>
      <w:r>
        <w:rPr>
          <w:i/>
          <w:noProof/>
          <w:sz w:val="22"/>
          <w:szCs w:val="22"/>
          <w:lang w:val="en-US"/>
        </w:rPr>
        <w:t>Monitor tracking civic space:</w:t>
      </w:r>
      <w:r>
        <w:rPr>
          <w:noProof/>
          <w:sz w:val="22"/>
          <w:szCs w:val="22"/>
          <w:lang w:val="en-US"/>
        </w:rPr>
        <w:t xml:space="preserve"> </w:t>
      </w:r>
      <w:r>
        <w:rPr>
          <w:i/>
          <w:noProof/>
          <w:sz w:val="22"/>
          <w:szCs w:val="22"/>
          <w:lang w:val="en-US"/>
        </w:rPr>
        <w:t>Cyprus</w:t>
      </w:r>
      <w:r>
        <w:rPr>
          <w:noProof/>
          <w:sz w:val="22"/>
          <w:szCs w:val="22"/>
          <w:lang w:val="en-US"/>
        </w:rPr>
        <w:t xml:space="preserve">. </w:t>
      </w:r>
      <w:hyperlink r:id="rId19" w:history="1">
        <w:r>
          <w:rPr>
            <w:rStyle w:val="Hyperlink"/>
            <w:noProof/>
            <w:sz w:val="22"/>
            <w:szCs w:val="22"/>
          </w:rPr>
          <w:t>https://monitor.civicus.org/country/cyprus/</w:t>
        </w:r>
      </w:hyperlink>
      <w:r>
        <w:rPr>
          <w:noProof/>
          <w:sz w:val="22"/>
          <w:szCs w:val="22"/>
        </w:rPr>
        <w:t xml:space="preserve"> </w:t>
      </w:r>
    </w:p>
    <w:p>
      <w:pPr>
        <w:spacing w:after="120"/>
        <w:ind w:left="181" w:hanging="181"/>
        <w:rPr>
          <w:noProof/>
          <w:sz w:val="22"/>
          <w:szCs w:val="22"/>
        </w:rPr>
      </w:pPr>
      <w:r>
        <w:rPr>
          <w:noProof/>
          <w:sz w:val="22"/>
          <w:szCs w:val="22"/>
        </w:rPr>
        <w:t>Cypriotische regering (2020), Bijdrage van Cyprus aan het verslag over de rechtsstaat 2020.</w:t>
      </w:r>
    </w:p>
    <w:p>
      <w:pPr>
        <w:spacing w:after="120"/>
        <w:ind w:left="181" w:hanging="181"/>
        <w:rPr>
          <w:noProof/>
          <w:sz w:val="22"/>
          <w:szCs w:val="22"/>
          <w:lang w:val="en-US"/>
        </w:rPr>
      </w:pPr>
      <w:r>
        <w:rPr>
          <w:noProof/>
          <w:sz w:val="22"/>
          <w:szCs w:val="22"/>
          <w:lang w:val="en-US"/>
        </w:rPr>
        <w:t xml:space="preserve">Directoraat-generaal Communicatie (2019), </w:t>
      </w:r>
      <w:r>
        <w:rPr>
          <w:i/>
          <w:noProof/>
          <w:sz w:val="22"/>
          <w:szCs w:val="22"/>
          <w:lang w:val="en-US"/>
        </w:rPr>
        <w:t>Flash Eurobarometer 482:</w:t>
      </w:r>
      <w:r>
        <w:rPr>
          <w:noProof/>
          <w:sz w:val="22"/>
          <w:szCs w:val="22"/>
          <w:lang w:val="en-US"/>
        </w:rPr>
        <w:t xml:space="preserve"> </w:t>
      </w:r>
      <w:r>
        <w:rPr>
          <w:i/>
          <w:noProof/>
          <w:sz w:val="22"/>
          <w:szCs w:val="22"/>
          <w:lang w:val="en-US"/>
        </w:rPr>
        <w:t>Businesses' attitudes towards corruption in the EU.</w:t>
      </w:r>
    </w:p>
    <w:p>
      <w:pPr>
        <w:spacing w:after="120"/>
        <w:ind w:left="181" w:hanging="181"/>
        <w:rPr>
          <w:noProof/>
          <w:sz w:val="22"/>
          <w:szCs w:val="22"/>
        </w:rPr>
      </w:pPr>
      <w:r>
        <w:rPr>
          <w:noProof/>
          <w:sz w:val="22"/>
          <w:szCs w:val="22"/>
        </w:rPr>
        <w:t xml:space="preserve">Directoraat-generaal Communicatie (2020), </w:t>
      </w:r>
      <w:r>
        <w:rPr>
          <w:i/>
          <w:noProof/>
          <w:sz w:val="22"/>
          <w:szCs w:val="22"/>
        </w:rPr>
        <w:t>Special Eurobarometer 502:</w:t>
      </w:r>
      <w:r>
        <w:rPr>
          <w:noProof/>
          <w:sz w:val="22"/>
          <w:szCs w:val="22"/>
        </w:rPr>
        <w:t xml:space="preserve"> </w:t>
      </w:r>
      <w:r>
        <w:rPr>
          <w:i/>
          <w:noProof/>
          <w:sz w:val="22"/>
          <w:szCs w:val="22"/>
        </w:rPr>
        <w:t>Corruption</w:t>
      </w:r>
      <w:r>
        <w:rPr>
          <w:noProof/>
          <w:sz w:val="22"/>
          <w:szCs w:val="22"/>
        </w:rPr>
        <w:t>.</w:t>
      </w:r>
    </w:p>
    <w:p>
      <w:pPr>
        <w:spacing w:after="120"/>
        <w:ind w:left="181" w:hanging="181"/>
        <w:rPr>
          <w:noProof/>
          <w:sz w:val="22"/>
          <w:szCs w:val="22"/>
        </w:rPr>
      </w:pPr>
      <w:r>
        <w:rPr>
          <w:noProof/>
          <w:sz w:val="22"/>
          <w:szCs w:val="22"/>
        </w:rPr>
        <w:t xml:space="preserve">Directoraat-generaal Europese programma’s, Coördinatie en Ontwikkeling — </w:t>
      </w:r>
      <w:r>
        <w:rPr>
          <w:i/>
          <w:noProof/>
          <w:sz w:val="22"/>
          <w:szCs w:val="22"/>
        </w:rPr>
        <w:t>Europe 2020 Cyprus National Reform Programme</w:t>
      </w:r>
      <w:r>
        <w:rPr>
          <w:noProof/>
          <w:sz w:val="22"/>
          <w:szCs w:val="22"/>
        </w:rPr>
        <w:t>.</w:t>
      </w:r>
    </w:p>
    <w:p>
      <w:pPr>
        <w:spacing w:after="120"/>
        <w:ind w:left="181" w:hanging="181"/>
        <w:rPr>
          <w:rStyle w:val="Hyperlink"/>
          <w:noProof/>
          <w:sz w:val="22"/>
          <w:szCs w:val="22"/>
          <w:lang w:val="en-US"/>
        </w:rPr>
      </w:pPr>
      <w:r>
        <w:rPr>
          <w:noProof/>
          <w:sz w:val="22"/>
          <w:szCs w:val="22"/>
          <w:lang w:val="en-US"/>
        </w:rPr>
        <w:t xml:space="preserve">European Centre for Non-Profit Law, </w:t>
      </w:r>
      <w:r>
        <w:rPr>
          <w:i/>
          <w:noProof/>
          <w:sz w:val="22"/>
          <w:szCs w:val="22"/>
          <w:lang w:val="en-US"/>
        </w:rPr>
        <w:t>A more progressive NGO Law adopted in Cyprus</w:t>
      </w:r>
      <w:r>
        <w:rPr>
          <w:noProof/>
          <w:sz w:val="22"/>
          <w:szCs w:val="22"/>
          <w:lang w:val="en-US"/>
        </w:rPr>
        <w:t>.</w:t>
      </w:r>
      <w:r>
        <w:rPr>
          <w:noProof/>
          <w:color w:val="FF0000"/>
          <w:sz w:val="22"/>
          <w:szCs w:val="22"/>
          <w:lang w:val="en-US"/>
        </w:rPr>
        <w:t xml:space="preserve"> </w:t>
      </w:r>
      <w:hyperlink r:id="rId20" w:history="1">
        <w:r>
          <w:rPr>
            <w:rStyle w:val="Hyperlink"/>
            <w:noProof/>
            <w:sz w:val="22"/>
            <w:szCs w:val="22"/>
            <w:lang w:val="en-US"/>
          </w:rPr>
          <w:t>https://ecnl.org/republic-cyprus-adopted-progressive-ngo-law/</w:t>
        </w:r>
      </w:hyperlink>
    </w:p>
    <w:p>
      <w:pPr>
        <w:spacing w:after="120"/>
        <w:ind w:left="181" w:hanging="181"/>
        <w:rPr>
          <w:noProof/>
          <w:sz w:val="22"/>
          <w:szCs w:val="22"/>
          <w:lang w:val="en-US"/>
        </w:rPr>
      </w:pPr>
      <w:r>
        <w:rPr>
          <w:noProof/>
          <w:sz w:val="22"/>
          <w:szCs w:val="22"/>
          <w:lang w:val="en-US"/>
        </w:rPr>
        <w:t xml:space="preserve">European Network of Councils for the Judiciary (ENCJ)/ Council of Bars and Law Societies of Europe (CCBE), </w:t>
      </w:r>
      <w:r>
        <w:rPr>
          <w:i/>
          <w:noProof/>
          <w:sz w:val="22"/>
          <w:szCs w:val="22"/>
          <w:lang w:val="en-US"/>
        </w:rPr>
        <w:t>Survey among lawyers on the independence of Judges, 2018-2019 — Independence and Accountability of the Judiciary</w:t>
      </w:r>
      <w:r>
        <w:rPr>
          <w:noProof/>
          <w:sz w:val="22"/>
          <w:szCs w:val="22"/>
          <w:lang w:val="en-US"/>
        </w:rPr>
        <w:t>.</w:t>
      </w:r>
    </w:p>
    <w:p>
      <w:pPr>
        <w:spacing w:after="120"/>
        <w:ind w:left="181" w:hanging="181"/>
        <w:rPr>
          <w:noProof/>
          <w:sz w:val="22"/>
          <w:szCs w:val="22"/>
          <w:lang w:val="en-US"/>
        </w:rPr>
      </w:pPr>
      <w:r>
        <w:rPr>
          <w:noProof/>
          <w:sz w:val="22"/>
          <w:szCs w:val="22"/>
          <w:lang w:val="en-US"/>
        </w:rPr>
        <w:t xml:space="preserve">European Network of National Human Rights Institutions (2020), </w:t>
      </w:r>
      <w:r>
        <w:rPr>
          <w:i/>
          <w:noProof/>
          <w:sz w:val="22"/>
          <w:szCs w:val="22"/>
          <w:lang w:val="en-US"/>
        </w:rPr>
        <w:t>Contribution from the European Network of National Human Rights Institutions for the stakeholder consultation for the 2020 Rule of Law Report</w:t>
      </w:r>
      <w:r>
        <w:rPr>
          <w:noProof/>
          <w:sz w:val="22"/>
          <w:szCs w:val="22"/>
          <w:lang w:val="en-US"/>
        </w:rPr>
        <w:t xml:space="preserve">.  </w:t>
      </w:r>
    </w:p>
    <w:p>
      <w:pPr>
        <w:spacing w:after="120"/>
        <w:ind w:left="181" w:hanging="181"/>
        <w:rPr>
          <w:noProof/>
          <w:sz w:val="22"/>
          <w:szCs w:val="22"/>
        </w:rPr>
      </w:pPr>
      <w:r>
        <w:rPr>
          <w:noProof/>
          <w:sz w:val="22"/>
          <w:szCs w:val="22"/>
          <w:lang w:val="en-US"/>
        </w:rPr>
        <w:t xml:space="preserve">Europese Commissie (2018), </w:t>
      </w:r>
      <w:r>
        <w:rPr>
          <w:i/>
          <w:noProof/>
          <w:sz w:val="22"/>
          <w:szCs w:val="22"/>
          <w:lang w:val="en-US"/>
        </w:rPr>
        <w:t>Functional review of the courts system of Cyprus.</w:t>
      </w:r>
      <w:r>
        <w:rPr>
          <w:noProof/>
          <w:sz w:val="22"/>
          <w:szCs w:val="22"/>
          <w:lang w:val="en-US"/>
        </w:rPr>
        <w:t xml:space="preserve"> </w:t>
      </w:r>
      <w:hyperlink r:id="rId21" w:history="1">
        <w:r>
          <w:rPr>
            <w:rStyle w:val="Hyperlink"/>
            <w:noProof/>
            <w:sz w:val="22"/>
            <w:szCs w:val="22"/>
          </w:rPr>
          <w:t>http://www.supremecourt.gov.cy/judicial/sc.nsf/All/4F4B016078A6DA93C22583BD003D9CDB?OpenDocument</w:t>
        </w:r>
      </w:hyperlink>
      <w:r>
        <w:rPr>
          <w:noProof/>
          <w:sz w:val="22"/>
          <w:szCs w:val="22"/>
        </w:rPr>
        <w:t xml:space="preserve"> </w:t>
      </w:r>
    </w:p>
    <w:p>
      <w:pPr>
        <w:spacing w:after="120"/>
        <w:ind w:left="181" w:hanging="181"/>
        <w:rPr>
          <w:noProof/>
          <w:sz w:val="22"/>
          <w:szCs w:val="22"/>
          <w:lang w:val="en-US"/>
        </w:rPr>
      </w:pPr>
      <w:r>
        <w:rPr>
          <w:noProof/>
          <w:sz w:val="22"/>
          <w:szCs w:val="22"/>
          <w:lang w:val="en-US"/>
        </w:rPr>
        <w:t xml:space="preserve">Europese Commissie (2019), </w:t>
      </w:r>
      <w:r>
        <w:rPr>
          <w:i/>
          <w:noProof/>
          <w:sz w:val="22"/>
          <w:szCs w:val="22"/>
          <w:lang w:val="en-US"/>
        </w:rPr>
        <w:t>Creation of Objective Criteria for the recruitment and promotion of Judges in Cyprus</w:t>
      </w:r>
      <w:r>
        <w:rPr>
          <w:noProof/>
          <w:sz w:val="22"/>
          <w:szCs w:val="22"/>
          <w:lang w:val="en-US"/>
        </w:rPr>
        <w:t xml:space="preserve">. </w:t>
      </w:r>
    </w:p>
    <w:p>
      <w:pPr>
        <w:spacing w:after="120"/>
        <w:ind w:left="181" w:hanging="181"/>
        <w:rPr>
          <w:noProof/>
          <w:sz w:val="22"/>
          <w:szCs w:val="22"/>
        </w:rPr>
      </w:pPr>
      <w:r>
        <w:rPr>
          <w:noProof/>
          <w:sz w:val="22"/>
          <w:szCs w:val="22"/>
        </w:rPr>
        <w:t>Europese Commissie (2019, 2020),</w:t>
      </w:r>
      <w:r>
        <w:rPr>
          <w:i/>
          <w:noProof/>
          <w:sz w:val="22"/>
          <w:szCs w:val="22"/>
        </w:rPr>
        <w:t xml:space="preserve"> Het EU-scorebord voor justitie</w:t>
      </w:r>
      <w:r>
        <w:rPr>
          <w:noProof/>
          <w:sz w:val="22"/>
          <w:szCs w:val="22"/>
        </w:rPr>
        <w:t xml:space="preserve">.  </w:t>
      </w:r>
    </w:p>
    <w:p>
      <w:pPr>
        <w:spacing w:after="120"/>
        <w:ind w:left="181" w:hanging="181"/>
        <w:rPr>
          <w:noProof/>
          <w:sz w:val="22"/>
          <w:szCs w:val="22"/>
        </w:rPr>
      </w:pPr>
      <w:r>
        <w:rPr>
          <w:noProof/>
          <w:sz w:val="22"/>
          <w:szCs w:val="22"/>
        </w:rPr>
        <w:t xml:space="preserve">Europese Commissie (2020), </w:t>
      </w:r>
      <w:r>
        <w:rPr>
          <w:i/>
          <w:noProof/>
          <w:sz w:val="22"/>
          <w:szCs w:val="22"/>
        </w:rPr>
        <w:t>Landverslag Cyprus</w:t>
      </w:r>
      <w:r>
        <w:rPr>
          <w:noProof/>
          <w:sz w:val="22"/>
          <w:szCs w:val="22"/>
        </w:rPr>
        <w:t>, SWD(2020) 512 final.</w:t>
      </w:r>
    </w:p>
    <w:p>
      <w:pPr>
        <w:spacing w:after="120"/>
        <w:ind w:left="181" w:hanging="181"/>
        <w:rPr>
          <w:noProof/>
          <w:sz w:val="22"/>
          <w:szCs w:val="22"/>
          <w:lang w:val="en-US"/>
        </w:rPr>
      </w:pPr>
      <w:r>
        <w:rPr>
          <w:noProof/>
          <w:sz w:val="22"/>
          <w:szCs w:val="22"/>
          <w:lang w:val="en-US"/>
        </w:rPr>
        <w:t xml:space="preserve">GRECO (2016), </w:t>
      </w:r>
      <w:r>
        <w:rPr>
          <w:i/>
          <w:noProof/>
          <w:sz w:val="22"/>
          <w:szCs w:val="22"/>
          <w:lang w:val="en-US"/>
        </w:rPr>
        <w:t>Fourth evaluation round — Evaluation Report on Cyprus on corruption prevention in respect of members of Parliament, judges and prosecutors</w:t>
      </w:r>
      <w:r>
        <w:rPr>
          <w:noProof/>
          <w:sz w:val="22"/>
          <w:szCs w:val="22"/>
          <w:lang w:val="en-US"/>
        </w:rPr>
        <w:t>.</w:t>
      </w:r>
    </w:p>
    <w:p>
      <w:pPr>
        <w:spacing w:after="120"/>
        <w:ind w:left="181" w:hanging="181"/>
        <w:rPr>
          <w:noProof/>
          <w:sz w:val="22"/>
          <w:szCs w:val="22"/>
          <w:lang w:val="en-US"/>
        </w:rPr>
      </w:pPr>
      <w:r>
        <w:rPr>
          <w:noProof/>
          <w:sz w:val="22"/>
          <w:szCs w:val="22"/>
          <w:lang w:val="en-US"/>
        </w:rPr>
        <w:t xml:space="preserve">GRECO (2018), </w:t>
      </w:r>
      <w:r>
        <w:rPr>
          <w:i/>
          <w:noProof/>
          <w:sz w:val="22"/>
          <w:szCs w:val="22"/>
          <w:lang w:val="en-US"/>
        </w:rPr>
        <w:t>Fourth evaluation round — Compliance Report on Cyprus on corruption prevention in respect of members of Parliament, judges and prosecutors</w:t>
      </w:r>
      <w:r>
        <w:rPr>
          <w:noProof/>
          <w:sz w:val="22"/>
          <w:szCs w:val="22"/>
          <w:lang w:val="en-US"/>
        </w:rPr>
        <w:t>.</w:t>
      </w:r>
    </w:p>
    <w:p>
      <w:pPr>
        <w:spacing w:after="120"/>
        <w:ind w:left="181" w:hanging="181"/>
        <w:rPr>
          <w:noProof/>
          <w:sz w:val="22"/>
          <w:szCs w:val="22"/>
        </w:rPr>
      </w:pPr>
      <w:r>
        <w:rPr>
          <w:noProof/>
          <w:sz w:val="22"/>
          <w:szCs w:val="22"/>
          <w:lang w:val="en-US"/>
        </w:rPr>
        <w:t xml:space="preserve">OECD (2019), Indicators of Regulatory Policy and Governance — Cyprus. </w:t>
      </w:r>
      <w:hyperlink r:id="rId22" w:history="1">
        <w:r>
          <w:rPr>
            <w:rStyle w:val="Hyperlink"/>
            <w:noProof/>
            <w:sz w:val="22"/>
            <w:szCs w:val="22"/>
          </w:rPr>
          <w:t>http://www.oecd.org/gov/regulatory-policy/indicators-of-regulatory-policy-and-governance-2019-cyprus.pdf</w:t>
        </w:r>
      </w:hyperlink>
      <w:r>
        <w:rPr>
          <w:noProof/>
          <w:sz w:val="22"/>
          <w:szCs w:val="22"/>
        </w:rPr>
        <w:t xml:space="preserve"> </w:t>
      </w:r>
    </w:p>
    <w:p>
      <w:pPr>
        <w:spacing w:after="120"/>
        <w:ind w:left="181" w:hanging="181"/>
        <w:rPr>
          <w:noProof/>
          <w:sz w:val="22"/>
          <w:szCs w:val="22"/>
        </w:rPr>
      </w:pPr>
      <w:r>
        <w:rPr>
          <w:noProof/>
          <w:sz w:val="22"/>
          <w:szCs w:val="22"/>
        </w:rPr>
        <w:t xml:space="preserve">Praktijkcode voor journalisten. </w:t>
      </w:r>
      <w:hyperlink r:id="rId23" w:history="1">
        <w:r>
          <w:rPr>
            <w:rStyle w:val="Hyperlink"/>
            <w:noProof/>
            <w:sz w:val="22"/>
            <w:szCs w:val="22"/>
          </w:rPr>
          <w:t>www.cmcc.org.cy/code_practice.html</w:t>
        </w:r>
      </w:hyperlink>
      <w:r>
        <w:rPr>
          <w:noProof/>
          <w:sz w:val="22"/>
          <w:szCs w:val="22"/>
        </w:rPr>
        <w:t xml:space="preserve"> </w:t>
      </w:r>
    </w:p>
    <w:p>
      <w:pPr>
        <w:spacing w:after="120"/>
        <w:ind w:left="181" w:hanging="181"/>
        <w:rPr>
          <w:noProof/>
          <w:sz w:val="22"/>
          <w:szCs w:val="22"/>
        </w:rPr>
      </w:pPr>
      <w:r>
        <w:rPr>
          <w:noProof/>
          <w:sz w:val="22"/>
          <w:szCs w:val="22"/>
        </w:rPr>
        <w:t xml:space="preserve">Raad van de Europese Unie, </w:t>
      </w:r>
      <w:r>
        <w:rPr>
          <w:i/>
          <w:noProof/>
          <w:sz w:val="22"/>
          <w:szCs w:val="22"/>
        </w:rPr>
        <w:t>Aanbeveling van de Raad over het nationale hervormingsprogramma 2020 van Cyprus en met een advies van de Raad over het stabiliteitsprogramma 2020 van Cyprus</w:t>
      </w:r>
      <w:r>
        <w:rPr>
          <w:noProof/>
          <w:sz w:val="22"/>
          <w:szCs w:val="22"/>
        </w:rPr>
        <w:t>.</w:t>
      </w:r>
    </w:p>
    <w:p>
      <w:pPr>
        <w:spacing w:after="120"/>
        <w:ind w:left="181" w:hanging="181"/>
        <w:rPr>
          <w:noProof/>
          <w:sz w:val="22"/>
          <w:szCs w:val="22"/>
          <w:lang w:val="en-US"/>
        </w:rPr>
      </w:pPr>
      <w:r>
        <w:rPr>
          <w:noProof/>
          <w:sz w:val="22"/>
          <w:szCs w:val="22"/>
          <w:lang w:val="en-US"/>
        </w:rPr>
        <w:t xml:space="preserve">Reporters without Borders (2020), </w:t>
      </w:r>
      <w:r>
        <w:rPr>
          <w:i/>
          <w:noProof/>
          <w:sz w:val="22"/>
          <w:szCs w:val="22"/>
          <w:lang w:val="en-US"/>
        </w:rPr>
        <w:t>World Press Freedom Index</w:t>
      </w:r>
      <w:r>
        <w:rPr>
          <w:noProof/>
          <w:sz w:val="22"/>
          <w:szCs w:val="22"/>
          <w:lang w:val="en-US"/>
        </w:rPr>
        <w:t>.</w:t>
      </w:r>
    </w:p>
    <w:p>
      <w:pPr>
        <w:spacing w:after="120"/>
        <w:ind w:left="181" w:hanging="181"/>
        <w:rPr>
          <w:noProof/>
          <w:sz w:val="22"/>
          <w:szCs w:val="22"/>
        </w:rPr>
      </w:pPr>
      <w:r>
        <w:rPr>
          <w:noProof/>
          <w:sz w:val="22"/>
          <w:szCs w:val="22"/>
        </w:rPr>
        <w:t>Republiek Cyprus (2020), reactie van de overheid van de Republiek Cyprus op de melding getiteld “pipe bomb attack on Cyprus MC Digital News Media Agency Offices”.</w:t>
      </w:r>
    </w:p>
    <w:p>
      <w:pPr>
        <w:spacing w:after="120"/>
        <w:ind w:left="181" w:hanging="181"/>
        <w:rPr>
          <w:noProof/>
          <w:sz w:val="22"/>
          <w:szCs w:val="22"/>
        </w:rPr>
      </w:pPr>
      <w:r>
        <w:rPr>
          <w:noProof/>
          <w:sz w:val="22"/>
          <w:szCs w:val="22"/>
        </w:rPr>
        <w:t xml:space="preserve">Transparency International (2019), </w:t>
      </w:r>
      <w:r>
        <w:rPr>
          <w:i/>
          <w:noProof/>
          <w:sz w:val="22"/>
          <w:szCs w:val="22"/>
        </w:rPr>
        <w:t>Corruption Perceptions Index</w:t>
      </w:r>
      <w:r>
        <w:rPr>
          <w:noProof/>
          <w:sz w:val="22"/>
          <w:szCs w:val="22"/>
        </w:rPr>
        <w:t>.</w:t>
      </w:r>
    </w:p>
    <w:p>
      <w:pPr>
        <w:spacing w:after="120"/>
        <w:ind w:left="181" w:hanging="181"/>
        <w:rPr>
          <w:noProof/>
          <w:sz w:val="22"/>
          <w:szCs w:val="22"/>
        </w:rPr>
      </w:pPr>
      <w:r>
        <w:rPr>
          <w:noProof/>
          <w:sz w:val="22"/>
          <w:szCs w:val="22"/>
        </w:rPr>
        <w:t>Virtueel landbezoek aan Cyprus in het kader van het verslag over de rechtsstaat 2020.</w:t>
      </w:r>
    </w:p>
    <w:p>
      <w:pPr>
        <w:spacing w:after="120"/>
        <w:ind w:left="181" w:hanging="181"/>
        <w:rPr>
          <w:noProof/>
          <w:sz w:val="22"/>
          <w:szCs w:val="22"/>
          <w:lang w:val="en-US"/>
        </w:rPr>
      </w:pPr>
      <w:r>
        <w:rPr>
          <w:noProof/>
          <w:sz w:val="22"/>
          <w:szCs w:val="22"/>
        </w:rPr>
        <w:t xml:space="preserve">Website van de Cypriotische klachtencommissie voor de media (CMCC). </w:t>
      </w:r>
      <w:hyperlink r:id="rId24" w:history="1">
        <w:r>
          <w:rPr>
            <w:rStyle w:val="Hyperlink"/>
            <w:noProof/>
            <w:sz w:val="22"/>
            <w:szCs w:val="22"/>
            <w:lang w:val="en-US"/>
          </w:rPr>
          <w:t>http://www.cmcc.org.cy/about_us.html</w:t>
        </w:r>
      </w:hyperlink>
      <w:r>
        <w:rPr>
          <w:noProof/>
          <w:sz w:val="22"/>
          <w:szCs w:val="22"/>
          <w:lang w:val="en-US"/>
        </w:rPr>
        <w:t xml:space="preserve"> </w:t>
      </w: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spacing w:after="120"/>
        <w:ind w:left="181" w:hanging="181"/>
        <w:rPr>
          <w:noProof/>
          <w:sz w:val="22"/>
          <w:szCs w:val="22"/>
        </w:rPr>
      </w:pPr>
    </w:p>
    <w:p>
      <w:pPr>
        <w:pageBreakBefore/>
        <w:spacing w:after="120"/>
        <w:rPr>
          <w:b/>
          <w:noProof/>
          <w:sz w:val="22"/>
          <w:szCs w:val="22"/>
        </w:rPr>
      </w:pPr>
      <w:r>
        <w:rPr>
          <w:b/>
          <w:noProof/>
          <w:sz w:val="22"/>
          <w:szCs w:val="22"/>
        </w:rPr>
        <w:t xml:space="preserve">Bijlage II: landbezoek aan Cyprus </w:t>
      </w:r>
    </w:p>
    <w:p>
      <w:pPr>
        <w:spacing w:after="120"/>
        <w:rPr>
          <w:noProof/>
          <w:sz w:val="22"/>
          <w:szCs w:val="22"/>
        </w:rPr>
      </w:pPr>
      <w:r>
        <w:rPr>
          <w:noProof/>
          <w:sz w:val="22"/>
          <w:szCs w:val="22"/>
        </w:rPr>
        <w:t>De diensten van de Commissie hebben in juni 2020 virtuele vergaderingen gehouden met:</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Autoriteit voor radio en televisie</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Bureau van de procureur-generaal</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 xml:space="preserve">Bureau voor pers en informatie </w:t>
      </w:r>
    </w:p>
    <w:p>
      <w:pPr>
        <w:pStyle w:val="ListParagraph"/>
        <w:numPr>
          <w:ilvl w:val="0"/>
          <w:numId w:val="21"/>
        </w:numPr>
        <w:spacing w:after="0" w:line="240" w:lineRule="auto"/>
        <w:ind w:left="714" w:hanging="357"/>
        <w:jc w:val="both"/>
        <w:rPr>
          <w:rFonts w:ascii="Times New Roman" w:eastAsia="Times New Roman" w:hAnsi="Times New Roman" w:cs="Times New Roman"/>
          <w:noProof/>
        </w:rPr>
      </w:pPr>
      <w:r>
        <w:rPr>
          <w:rFonts w:ascii="Times New Roman" w:hAnsi="Times New Roman"/>
          <w:noProof/>
        </w:rPr>
        <w:t>Hooggerechtshof</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Ministerie van Binnenlandse Zaken</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Ministerie van Justitie</w:t>
      </w:r>
    </w:p>
    <w:p>
      <w:pPr>
        <w:pStyle w:val="ListParagraph"/>
        <w:numPr>
          <w:ilvl w:val="0"/>
          <w:numId w:val="21"/>
        </w:numPr>
        <w:spacing w:after="120" w:line="240" w:lineRule="auto"/>
        <w:jc w:val="both"/>
        <w:rPr>
          <w:rFonts w:ascii="Times New Roman" w:eastAsia="Times New Roman" w:hAnsi="Times New Roman" w:cs="Times New Roman"/>
          <w:noProof/>
        </w:rPr>
      </w:pPr>
      <w:r>
        <w:rPr>
          <w:rFonts w:ascii="Times New Roman" w:hAnsi="Times New Roman"/>
          <w:noProof/>
        </w:rPr>
        <w:t>Nationale politie</w:t>
      </w:r>
    </w:p>
    <w:p>
      <w:pPr>
        <w:spacing w:after="120"/>
        <w:rPr>
          <w:noProof/>
          <w:sz w:val="22"/>
          <w:szCs w:val="22"/>
        </w:rPr>
      </w:pPr>
    </w:p>
    <w:p>
      <w:pPr>
        <w:spacing w:after="120"/>
        <w:rPr>
          <w:noProof/>
          <w:sz w:val="22"/>
          <w:szCs w:val="22"/>
        </w:rPr>
      </w:pPr>
      <w:r>
        <w:rPr>
          <w:noProof/>
          <w:sz w:val="22"/>
          <w:szCs w:val="22"/>
        </w:rPr>
        <w:t xml:space="preserve">* De Commissie heeft tijdens een aantal horizontale vergaderingen ook de volgende organisaties ontmoet: </w:t>
      </w:r>
    </w:p>
    <w:p>
      <w:pPr>
        <w:numPr>
          <w:ilvl w:val="0"/>
          <w:numId w:val="22"/>
        </w:numPr>
        <w:spacing w:after="0"/>
        <w:ind w:left="714" w:hanging="357"/>
        <w:jc w:val="left"/>
        <w:rPr>
          <w:noProof/>
          <w:sz w:val="22"/>
          <w:szCs w:val="22"/>
        </w:rPr>
      </w:pPr>
      <w:r>
        <w:rPr>
          <w:noProof/>
          <w:sz w:val="22"/>
          <w:szCs w:val="22"/>
        </w:rPr>
        <w:t>Amnesty International</w:t>
      </w:r>
    </w:p>
    <w:p>
      <w:pPr>
        <w:numPr>
          <w:ilvl w:val="0"/>
          <w:numId w:val="22"/>
        </w:numPr>
        <w:spacing w:after="0"/>
        <w:ind w:left="714" w:hanging="357"/>
        <w:jc w:val="left"/>
        <w:rPr>
          <w:noProof/>
          <w:sz w:val="22"/>
          <w:szCs w:val="22"/>
        </w:rPr>
      </w:pPr>
      <w:r>
        <w:rPr>
          <w:noProof/>
          <w:sz w:val="22"/>
          <w:szCs w:val="22"/>
        </w:rPr>
        <w:t>Civil Liberties Union for Europe</w:t>
      </w:r>
    </w:p>
    <w:p>
      <w:pPr>
        <w:numPr>
          <w:ilvl w:val="0"/>
          <w:numId w:val="22"/>
        </w:numPr>
        <w:spacing w:after="0"/>
        <w:ind w:left="714" w:hanging="357"/>
        <w:jc w:val="left"/>
        <w:rPr>
          <w:noProof/>
          <w:sz w:val="22"/>
          <w:szCs w:val="22"/>
        </w:rPr>
      </w:pPr>
      <w:r>
        <w:rPr>
          <w:noProof/>
          <w:sz w:val="22"/>
          <w:szCs w:val="22"/>
        </w:rPr>
        <w:t>Civil Society Europe</w:t>
      </w:r>
    </w:p>
    <w:p>
      <w:pPr>
        <w:numPr>
          <w:ilvl w:val="0"/>
          <w:numId w:val="22"/>
        </w:numPr>
        <w:spacing w:after="0"/>
        <w:ind w:left="714" w:hanging="357"/>
        <w:jc w:val="left"/>
        <w:rPr>
          <w:noProof/>
          <w:sz w:val="22"/>
          <w:szCs w:val="22"/>
        </w:rPr>
      </w:pPr>
      <w:r>
        <w:rPr>
          <w:noProof/>
          <w:sz w:val="22"/>
          <w:szCs w:val="22"/>
        </w:rPr>
        <w:t xml:space="preserve">Conference of European Churches </w:t>
      </w:r>
    </w:p>
    <w:p>
      <w:pPr>
        <w:numPr>
          <w:ilvl w:val="0"/>
          <w:numId w:val="22"/>
        </w:numPr>
        <w:spacing w:after="0"/>
        <w:ind w:left="714" w:hanging="357"/>
        <w:jc w:val="left"/>
        <w:rPr>
          <w:noProof/>
          <w:sz w:val="22"/>
          <w:szCs w:val="22"/>
        </w:rPr>
      </w:pPr>
      <w:r>
        <w:rPr>
          <w:noProof/>
          <w:sz w:val="22"/>
          <w:szCs w:val="22"/>
        </w:rPr>
        <w:t>EuroCommerce</w:t>
      </w:r>
    </w:p>
    <w:p>
      <w:pPr>
        <w:numPr>
          <w:ilvl w:val="0"/>
          <w:numId w:val="22"/>
        </w:numPr>
        <w:spacing w:after="0"/>
        <w:ind w:left="714" w:hanging="357"/>
        <w:jc w:val="left"/>
        <w:rPr>
          <w:noProof/>
          <w:sz w:val="22"/>
          <w:szCs w:val="22"/>
          <w:lang w:val="en-US"/>
        </w:rPr>
      </w:pPr>
      <w:r>
        <w:rPr>
          <w:noProof/>
          <w:sz w:val="22"/>
          <w:szCs w:val="22"/>
          <w:lang w:val="en-US"/>
        </w:rPr>
        <w:t xml:space="preserve">European Center for Not-for-Profit Law </w:t>
      </w:r>
    </w:p>
    <w:p>
      <w:pPr>
        <w:numPr>
          <w:ilvl w:val="0"/>
          <w:numId w:val="22"/>
        </w:numPr>
        <w:spacing w:after="0"/>
        <w:ind w:left="714" w:hanging="357"/>
        <w:jc w:val="left"/>
        <w:rPr>
          <w:noProof/>
          <w:sz w:val="22"/>
          <w:szCs w:val="22"/>
          <w:lang w:val="en-US"/>
        </w:rPr>
      </w:pPr>
      <w:r>
        <w:rPr>
          <w:noProof/>
          <w:sz w:val="22"/>
          <w:szCs w:val="22"/>
          <w:lang w:val="en-US"/>
        </w:rPr>
        <w:t>European Centre for Press and Media Freedom</w:t>
      </w:r>
    </w:p>
    <w:p>
      <w:pPr>
        <w:numPr>
          <w:ilvl w:val="0"/>
          <w:numId w:val="22"/>
        </w:numPr>
        <w:spacing w:after="0"/>
        <w:ind w:left="714" w:hanging="357"/>
        <w:jc w:val="left"/>
        <w:rPr>
          <w:noProof/>
          <w:sz w:val="22"/>
          <w:szCs w:val="22"/>
        </w:rPr>
      </w:pPr>
      <w:r>
        <w:rPr>
          <w:noProof/>
          <w:sz w:val="22"/>
          <w:szCs w:val="22"/>
        </w:rPr>
        <w:t xml:space="preserve">European Civic Forum </w:t>
      </w:r>
    </w:p>
    <w:p>
      <w:pPr>
        <w:numPr>
          <w:ilvl w:val="0"/>
          <w:numId w:val="22"/>
        </w:numPr>
        <w:spacing w:after="0"/>
        <w:ind w:left="714" w:hanging="357"/>
        <w:jc w:val="left"/>
        <w:rPr>
          <w:noProof/>
          <w:sz w:val="22"/>
          <w:szCs w:val="22"/>
        </w:rPr>
      </w:pPr>
      <w:r>
        <w:rPr>
          <w:noProof/>
          <w:sz w:val="22"/>
          <w:szCs w:val="22"/>
        </w:rPr>
        <w:t>Free Press Unlimited</w:t>
      </w:r>
    </w:p>
    <w:p>
      <w:pPr>
        <w:numPr>
          <w:ilvl w:val="0"/>
          <w:numId w:val="22"/>
        </w:numPr>
        <w:spacing w:after="0"/>
        <w:ind w:left="714" w:hanging="357"/>
        <w:jc w:val="left"/>
        <w:rPr>
          <w:noProof/>
          <w:sz w:val="22"/>
          <w:szCs w:val="22"/>
        </w:rPr>
      </w:pPr>
      <w:r>
        <w:rPr>
          <w:noProof/>
          <w:sz w:val="22"/>
          <w:szCs w:val="22"/>
        </w:rPr>
        <w:t>Front Line Defenders</w:t>
      </w:r>
    </w:p>
    <w:p>
      <w:pPr>
        <w:numPr>
          <w:ilvl w:val="0"/>
          <w:numId w:val="22"/>
        </w:numPr>
        <w:spacing w:after="0"/>
        <w:ind w:left="714" w:hanging="357"/>
        <w:jc w:val="left"/>
        <w:rPr>
          <w:noProof/>
          <w:sz w:val="22"/>
          <w:szCs w:val="22"/>
        </w:rPr>
      </w:pPr>
      <w:r>
        <w:rPr>
          <w:noProof/>
          <w:sz w:val="22"/>
          <w:szCs w:val="22"/>
        </w:rPr>
        <w:t>ILGA-Europe</w:t>
      </w:r>
    </w:p>
    <w:p>
      <w:pPr>
        <w:numPr>
          <w:ilvl w:val="0"/>
          <w:numId w:val="22"/>
        </w:numPr>
        <w:spacing w:after="0"/>
        <w:ind w:left="714" w:hanging="357"/>
        <w:jc w:val="left"/>
        <w:rPr>
          <w:noProof/>
          <w:sz w:val="22"/>
          <w:szCs w:val="22"/>
        </w:rPr>
      </w:pPr>
      <w:r>
        <w:rPr>
          <w:noProof/>
          <w:sz w:val="22"/>
          <w:szCs w:val="22"/>
        </w:rPr>
        <w:t>International Commission of Jurists</w:t>
      </w:r>
    </w:p>
    <w:p>
      <w:pPr>
        <w:numPr>
          <w:ilvl w:val="0"/>
          <w:numId w:val="22"/>
        </w:numPr>
        <w:spacing w:after="0"/>
        <w:ind w:left="714" w:hanging="357"/>
        <w:jc w:val="left"/>
        <w:rPr>
          <w:noProof/>
          <w:sz w:val="22"/>
          <w:szCs w:val="22"/>
        </w:rPr>
      </w:pPr>
      <w:r>
        <w:rPr>
          <w:noProof/>
          <w:sz w:val="22"/>
          <w:szCs w:val="22"/>
        </w:rPr>
        <w:t xml:space="preserve">International Federation for Human Rights </w:t>
      </w:r>
    </w:p>
    <w:p>
      <w:pPr>
        <w:numPr>
          <w:ilvl w:val="0"/>
          <w:numId w:val="22"/>
        </w:numPr>
        <w:spacing w:after="0"/>
        <w:ind w:left="714" w:hanging="357"/>
        <w:jc w:val="left"/>
        <w:rPr>
          <w:noProof/>
          <w:sz w:val="22"/>
          <w:szCs w:val="22"/>
        </w:rPr>
      </w:pPr>
      <w:r>
        <w:rPr>
          <w:noProof/>
          <w:sz w:val="22"/>
          <w:szCs w:val="22"/>
        </w:rPr>
        <w:t xml:space="preserve">International Press Institute </w:t>
      </w:r>
    </w:p>
    <w:p>
      <w:pPr>
        <w:numPr>
          <w:ilvl w:val="0"/>
          <w:numId w:val="22"/>
        </w:numPr>
        <w:spacing w:after="0"/>
        <w:ind w:left="714" w:hanging="357"/>
        <w:jc w:val="left"/>
        <w:rPr>
          <w:noProof/>
          <w:sz w:val="22"/>
          <w:szCs w:val="22"/>
        </w:rPr>
      </w:pPr>
      <w:r>
        <w:rPr>
          <w:noProof/>
          <w:sz w:val="22"/>
          <w:szCs w:val="22"/>
        </w:rPr>
        <w:t xml:space="preserve">Lifelong learning Platform </w:t>
      </w:r>
    </w:p>
    <w:p>
      <w:pPr>
        <w:numPr>
          <w:ilvl w:val="0"/>
          <w:numId w:val="22"/>
        </w:numPr>
        <w:spacing w:after="0"/>
        <w:ind w:left="714" w:hanging="357"/>
        <w:jc w:val="left"/>
        <w:rPr>
          <w:noProof/>
          <w:sz w:val="22"/>
          <w:szCs w:val="22"/>
          <w:lang w:val="en-US"/>
        </w:rPr>
      </w:pPr>
      <w:r>
        <w:rPr>
          <w:noProof/>
          <w:sz w:val="22"/>
          <w:szCs w:val="22"/>
          <w:lang w:val="en-US"/>
        </w:rPr>
        <w:t>Open Society Justice Initiative/Open Society European Policy Institute</w:t>
      </w:r>
    </w:p>
    <w:p>
      <w:pPr>
        <w:numPr>
          <w:ilvl w:val="0"/>
          <w:numId w:val="22"/>
        </w:numPr>
        <w:spacing w:after="0"/>
        <w:ind w:left="714" w:hanging="357"/>
        <w:jc w:val="left"/>
        <w:rPr>
          <w:noProof/>
          <w:sz w:val="22"/>
          <w:szCs w:val="22"/>
        </w:rPr>
      </w:pPr>
      <w:r>
        <w:rPr>
          <w:noProof/>
          <w:sz w:val="22"/>
          <w:szCs w:val="22"/>
        </w:rPr>
        <w:t xml:space="preserve">Reporters without Borders </w:t>
      </w:r>
    </w:p>
    <w:p>
      <w:pPr>
        <w:numPr>
          <w:ilvl w:val="0"/>
          <w:numId w:val="22"/>
        </w:numPr>
        <w:spacing w:after="0"/>
        <w:ind w:left="714" w:hanging="357"/>
        <w:jc w:val="left"/>
        <w:rPr>
          <w:noProof/>
          <w:sz w:val="22"/>
          <w:szCs w:val="22"/>
        </w:rPr>
      </w:pPr>
      <w:r>
        <w:rPr>
          <w:noProof/>
          <w:sz w:val="22"/>
          <w:szCs w:val="22"/>
        </w:rPr>
        <w:t xml:space="preserve">Transparency International EU </w:t>
      </w:r>
    </w:p>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pPr>
    <w:r>
      <w:fldChar w:fldCharType="begin"/>
    </w:r>
    <w:r>
      <w:instrText>PAGE   \* MERGEFORMAT</w:instrText>
    </w:r>
    <w:r>
      <w:fldChar w:fldCharType="separate"/>
    </w:r>
    <w:r>
      <w:t>1</w:t>
    </w:r>
    <w:r>
      <w:fldChar w:fldCharType="end"/>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ine"/>
      <w:jc w:val="center"/>
      <w:rPr>
        <w:sz w:val="20"/>
      </w:rPr>
    </w:pPr>
    <w:r>
      <w:rPr>
        <w:sz w:val="20"/>
      </w:rPr>
      <w:fldChar w:fldCharType="begin"/>
    </w:r>
    <w:r>
      <w:rPr>
        <w:sz w:val="20"/>
      </w:rPr>
      <w:instrText>PAGE   \* MERGEFORMAT</w:instrText>
    </w:r>
    <w:r>
      <w:rPr>
        <w:sz w:val="20"/>
      </w:rPr>
      <w:fldChar w:fldCharType="separate"/>
    </w:r>
    <w:r>
      <w:rPr>
        <w:noProof/>
        <w:sz w:val="20"/>
      </w:rPr>
      <w:t>2</w:t>
    </w:r>
    <w:r>
      <w:rPr>
        <w:sz w:val="20"/>
      </w:rPr>
      <w:fldChar w:fldCharType="end"/>
    </w:r>
  </w:p>
  <w:p>
    <w:pPr>
      <w:tabs>
        <w:tab w:val="left" w:pos="2094"/>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201652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pPr>
      <w:r>
        <w:rPr>
          <w:rStyle w:val="FootnoteReference"/>
        </w:rPr>
        <w:footnoteRef/>
      </w:r>
      <w:r>
        <w:t xml:space="preserve"> </w:t>
      </w:r>
      <w:r>
        <w:tab/>
        <w:t>Zie voor een beschrijving van jet justitieel stelsel de jaarlijkse studie die door Cepej wordt uitgevoerd voor de Europese Commissie.</w:t>
      </w:r>
    </w:p>
  </w:footnote>
  <w:footnote w:id="2">
    <w:p>
      <w:pPr>
        <w:pStyle w:val="FootnoteText"/>
        <w:spacing w:after="0"/>
        <w:ind w:left="284" w:hanging="284"/>
      </w:pPr>
      <w:r>
        <w:rPr>
          <w:rStyle w:val="FootnoteReference"/>
        </w:rPr>
        <w:footnoteRef/>
      </w:r>
      <w:r>
        <w:t xml:space="preserve"> </w:t>
      </w:r>
      <w:r>
        <w:tab/>
        <w:t>De assisenrechtbank is onbeperkt bevoegd om in eerste aanleg strafzaken te horen en te beoordelen.</w:t>
      </w:r>
    </w:p>
  </w:footnote>
  <w:footnote w:id="3">
    <w:p>
      <w:pPr>
        <w:pStyle w:val="FootnoteText"/>
        <w:spacing w:after="0"/>
        <w:ind w:left="284" w:hanging="284"/>
      </w:pPr>
      <w:r>
        <w:rPr>
          <w:rStyle w:val="FootnoteReference"/>
        </w:rPr>
        <w:footnoteRef/>
      </w:r>
      <w:r>
        <w:t xml:space="preserve"> </w:t>
      </w:r>
      <w:r>
        <w:tab/>
        <w:t>Wet 131 (I)/2015 inzake de oprichting en werking van de administratieve rechtbank.</w:t>
      </w:r>
    </w:p>
  </w:footnote>
  <w:footnote w:id="4">
    <w:p>
      <w:pPr>
        <w:pStyle w:val="FootnoteText"/>
        <w:spacing w:after="0"/>
        <w:ind w:left="284" w:hanging="284"/>
      </w:pPr>
      <w:r>
        <w:rPr>
          <w:rStyle w:val="FootnoteReference"/>
        </w:rPr>
        <w:footnoteRef/>
      </w:r>
      <w:r>
        <w:t xml:space="preserve"> </w:t>
      </w:r>
      <w:r>
        <w:tab/>
        <w:t xml:space="preserve">Wet 73 (I)/2018 inzake de oprichting en werking van de administratieve rechtbank voor internationale bescherming. </w:t>
      </w:r>
    </w:p>
  </w:footnote>
  <w:footnote w:id="5">
    <w:p>
      <w:pPr>
        <w:pStyle w:val="FootnoteText"/>
        <w:spacing w:after="0"/>
        <w:ind w:left="284" w:hanging="284"/>
      </w:pPr>
      <w:r>
        <w:rPr>
          <w:rStyle w:val="FootnoteReference"/>
        </w:rPr>
        <w:footnoteRef/>
      </w:r>
      <w:r>
        <w:t xml:space="preserve"> </w:t>
      </w:r>
      <w:r>
        <w:tab/>
        <w:t>Het hooggerechtshof fungeert als beroepsinstantie. Het fungeert eveneens als grondwettelijk hof.</w:t>
      </w:r>
    </w:p>
  </w:footnote>
  <w:footnote w:id="6">
    <w:p>
      <w:pPr>
        <w:pStyle w:val="FootnoteText"/>
        <w:spacing w:after="0"/>
        <w:ind w:left="284" w:hanging="284"/>
      </w:pPr>
      <w:r>
        <w:rPr>
          <w:rStyle w:val="FootnoteReference"/>
        </w:rPr>
        <w:footnoteRef/>
      </w:r>
      <w:r>
        <w:t xml:space="preserve"> </w:t>
      </w:r>
      <w:r>
        <w:tab/>
        <w:t xml:space="preserve">In artikel 157.2 van de grondwet van Cyprus is bepaald dat de benoeming, bevordering, overplaatsing, beëindiging van het mandaat, ontslag en tuchtrechtelijke aangelegenheden van rechterlijke ambtenaren uitsluitend tot de bevoegdheid van de hoge raad voor de rechtspraak behoren. Bovengenoemde grondwetsbepaling wordt nader uitgewerkt in afdeling 10 van Wet nr. 33/64 van de rechtsbedeling. </w:t>
      </w:r>
    </w:p>
  </w:footnote>
  <w:footnote w:id="7">
    <w:p>
      <w:pPr>
        <w:pStyle w:val="FootnoteText"/>
        <w:spacing w:after="0"/>
        <w:ind w:left="284" w:hanging="284"/>
      </w:pPr>
      <w:r>
        <w:rPr>
          <w:rStyle w:val="FootnoteReference"/>
        </w:rPr>
        <w:footnoteRef/>
      </w:r>
      <w:r>
        <w:t xml:space="preserve"> </w:t>
      </w:r>
      <w:r>
        <w:tab/>
        <w:t xml:space="preserve">Deze twee functies zijn gescheiden en de twee diensten werken met eigen personeel. </w:t>
      </w:r>
    </w:p>
  </w:footnote>
  <w:footnote w:id="8">
    <w:p>
      <w:pPr>
        <w:pStyle w:val="FootnoteText"/>
        <w:spacing w:after="0"/>
        <w:ind w:left="284" w:hanging="284"/>
      </w:pPr>
      <w:r>
        <w:rPr>
          <w:rStyle w:val="FootnoteReference"/>
        </w:rPr>
        <w:footnoteRef/>
      </w:r>
      <w:r>
        <w:t xml:space="preserve"> </w:t>
      </w:r>
      <w:r>
        <w:tab/>
        <w:t>Grondwet van Cyprus, artikel 112.</w:t>
      </w:r>
    </w:p>
  </w:footnote>
  <w:footnote w:id="9">
    <w:p>
      <w:pPr>
        <w:pStyle w:val="FootnoteText"/>
        <w:spacing w:after="0"/>
        <w:ind w:left="284" w:hanging="284"/>
      </w:pPr>
      <w:r>
        <w:rPr>
          <w:rStyle w:val="FootnoteReference"/>
        </w:rPr>
        <w:footnoteRef/>
      </w:r>
      <w:r>
        <w:t xml:space="preserve"> </w:t>
      </w:r>
      <w:r>
        <w:tab/>
        <w:t xml:space="preserve">Het Huis van Afgevaardigden is het parlement van de Republiek Cyprus. </w:t>
      </w:r>
    </w:p>
  </w:footnote>
  <w:footnote w:id="10">
    <w:p>
      <w:pPr>
        <w:pStyle w:val="FootnoteText"/>
        <w:spacing w:after="0"/>
        <w:ind w:left="284" w:hanging="284"/>
      </w:pPr>
      <w:r>
        <w:rPr>
          <w:rStyle w:val="FootnoteReference"/>
        </w:rPr>
        <w:footnoteRef/>
      </w:r>
      <w:r>
        <w:t xml:space="preserve"> </w:t>
      </w:r>
      <w:r>
        <w:tab/>
        <w:t xml:space="preserve">Wetsontwerp inzake de 11e herziening van de grondwet van de Republiek Cyprus. </w:t>
      </w:r>
    </w:p>
  </w:footnote>
  <w:footnote w:id="11">
    <w:p>
      <w:pPr>
        <w:pStyle w:val="FootnoteText"/>
        <w:spacing w:after="0"/>
        <w:ind w:left="284" w:hanging="284"/>
      </w:pPr>
      <w:r>
        <w:rPr>
          <w:rStyle w:val="FootnoteReference"/>
        </w:rPr>
        <w:footnoteRef/>
      </w:r>
      <w:r>
        <w:t xml:space="preserve"> </w:t>
      </w:r>
      <w:r>
        <w:tab/>
        <w:t xml:space="preserve">Wetsontwerp inzake de herziening van wetgeving in verband met de rechtsbedeling, blz. 1215. </w:t>
      </w:r>
    </w:p>
  </w:footnote>
  <w:footnote w:id="12">
    <w:p>
      <w:pPr>
        <w:pStyle w:val="FootnoteText"/>
        <w:spacing w:after="0"/>
        <w:ind w:left="284" w:hanging="284"/>
        <w:rPr>
          <w:lang w:val="en-US"/>
        </w:rPr>
      </w:pPr>
      <w:r>
        <w:rPr>
          <w:rStyle w:val="FootnoteReference"/>
        </w:rPr>
        <w:footnoteRef/>
      </w:r>
      <w:r>
        <w:t xml:space="preserve"> </w:t>
      </w:r>
      <w:r>
        <w:tab/>
        <w:t xml:space="preserve">Grafieken 44 en 46, EU-scorebord voor justitie 2020. De perceptie van de rechterlijke onafhankelijkheid is als volgt gerangschikt: zeer laag (minder dan 30 % van de respondenten beoordeelt de onafhankelijkheid van de rechterlijke macht als redelijk goed en zeer goed); laag (30 tot 39 %), gemiddeld (40 tot 59 %), hoog (60 tot 75 %), zeer hoog (meer dan 75 %). Volgens een recente enquête in 19 EU-lidstaten is de perceptie van de onafhankelijkheid van rechters bij advocaten in Cyprus bovendien bijzonder laag (5,5 punten op 10). </w:t>
      </w:r>
      <w:r>
        <w:rPr>
          <w:lang w:val="en-US"/>
        </w:rPr>
        <w:t>ENCJ/CCBE Survey among lawyers on the independence of Judges, 2018-2019 —  Independence and Accountability of the Judiciary (Grafiek 7).</w:t>
      </w:r>
    </w:p>
  </w:footnote>
  <w:footnote w:id="13">
    <w:p>
      <w:pPr>
        <w:pStyle w:val="FootnoteText"/>
        <w:spacing w:after="0"/>
        <w:ind w:left="284" w:hanging="284"/>
        <w:rPr>
          <w:lang w:val="en-US"/>
        </w:rPr>
      </w:pPr>
      <w:r>
        <w:rPr>
          <w:rStyle w:val="FootnoteReference"/>
        </w:rPr>
        <w:footnoteRef/>
      </w:r>
      <w:r>
        <w:rPr>
          <w:lang w:val="en-US"/>
        </w:rPr>
        <w:t xml:space="preserve"> </w:t>
      </w:r>
      <w:r>
        <w:rPr>
          <w:lang w:val="en-US"/>
        </w:rPr>
        <w:tab/>
        <w:t xml:space="preserve">Europese Commissie (2019), Cyprus: Creation of Objective Criteria for the recruitment and promotion of Judges. </w:t>
      </w:r>
    </w:p>
  </w:footnote>
  <w:footnote w:id="14">
    <w:p>
      <w:pPr>
        <w:pStyle w:val="FootnoteText"/>
        <w:spacing w:after="0"/>
        <w:ind w:left="284" w:hanging="284"/>
      </w:pPr>
      <w:r>
        <w:rPr>
          <w:rStyle w:val="FootnoteReference"/>
        </w:rPr>
        <w:footnoteRef/>
      </w:r>
      <w:r>
        <w:t xml:space="preserve"> </w:t>
      </w:r>
      <w:r>
        <w:tab/>
        <w:t xml:space="preserve">Het hooggerechtshof heeft op 1 november 2019 een oproep tot kandidaatstelling bekendgemaakt, op basis van de nieuwe criteria. </w:t>
      </w:r>
    </w:p>
  </w:footnote>
  <w:footnote w:id="15">
    <w:p>
      <w:pPr>
        <w:pStyle w:val="FootnoteText"/>
        <w:spacing w:after="0"/>
        <w:ind w:left="284" w:hanging="284"/>
      </w:pPr>
      <w:r>
        <w:rPr>
          <w:rStyle w:val="FootnoteReference"/>
        </w:rPr>
        <w:footnoteRef/>
      </w:r>
      <w:r>
        <w:t xml:space="preserve"> </w:t>
      </w:r>
      <w:r>
        <w:tab/>
        <w:t>In artikel 45 van de grondwet van Cyprus is een aanvullend element met betrekking tot de onafhankelijkheid van de procureur-generaal bepaald, namelijk dat de president van de Republiek kan worden vervolgd voor een misdrijf waarbij sprake is van bedrog of moreel schandelijke daden op basis van een aanklacht van de procureur-generaal.</w:t>
      </w:r>
    </w:p>
  </w:footnote>
  <w:footnote w:id="16">
    <w:p>
      <w:pPr>
        <w:pStyle w:val="FootnoteText"/>
        <w:spacing w:after="0"/>
        <w:ind w:left="284" w:hanging="284"/>
      </w:pPr>
      <w:r>
        <w:rPr>
          <w:rStyle w:val="FootnoteReference"/>
        </w:rPr>
        <w:footnoteRef/>
      </w:r>
      <w:r>
        <w:t xml:space="preserve"> </w:t>
      </w:r>
      <w:r>
        <w:tab/>
        <w:t>Artikel 112 van de grondwet. De procureur-generaal heeft de bevoegdheid om, naar eigen goeddunken en in het algemeen belang, procedures voor een misdrijf in te stellen, te voeren, over te nemen en voort te zetten of stop te zetten.</w:t>
      </w:r>
    </w:p>
  </w:footnote>
  <w:footnote w:id="17">
    <w:p>
      <w:pPr>
        <w:pStyle w:val="FootnoteText"/>
        <w:spacing w:after="0"/>
        <w:ind w:left="284" w:hanging="284"/>
      </w:pPr>
      <w:r>
        <w:rPr>
          <w:rStyle w:val="FootnoteReference"/>
        </w:rPr>
        <w:footnoteRef/>
      </w:r>
      <w:r>
        <w:t xml:space="preserve"> </w:t>
      </w:r>
      <w:r>
        <w:tab/>
        <w:t>Het bureau voor juridische zaken van de Republiek is belast met het verstrekken van juridische adviezen en raad aan de ministeries over juridische vraagstukken die zich aandienen. Het is eveneens belast met de juridische controle van wetsontwerpen van de regering voordat die aan het Huis van Afgevaardigden worden voorgelegd voor debat en uitvaardiging. Ook vertegenwoordigt het bureau voor juridische zaken de Republiek voor de rechtbanken in alle burgerlijke en administratieve geschillen waarbij de Republiek partij is.</w:t>
      </w:r>
    </w:p>
  </w:footnote>
  <w:footnote w:id="18">
    <w:p>
      <w:pPr>
        <w:pStyle w:val="FootnoteText"/>
        <w:spacing w:after="0"/>
        <w:ind w:left="284" w:hanging="284"/>
      </w:pPr>
      <w:r>
        <w:rPr>
          <w:rStyle w:val="FootnoteReference"/>
        </w:rPr>
        <w:footnoteRef/>
      </w:r>
      <w:r>
        <w:rPr>
          <w:lang w:val="en-US"/>
        </w:rPr>
        <w:t xml:space="preserve"> </w:t>
      </w:r>
      <w:r>
        <w:rPr>
          <w:lang w:val="en-US"/>
        </w:rPr>
        <w:tab/>
        <w:t xml:space="preserve">GRECO Fourth Evaluation Round — Evaluation report, blz. 39 en 2018 Compliance Report, blz. 11. </w:t>
      </w:r>
      <w:r>
        <w:t>(GrecoRC4(2018)9).</w:t>
      </w:r>
    </w:p>
  </w:footnote>
  <w:footnote w:id="19">
    <w:p>
      <w:pPr>
        <w:pStyle w:val="FootnoteText"/>
        <w:spacing w:after="0"/>
        <w:ind w:left="284" w:hanging="284"/>
      </w:pPr>
      <w:r>
        <w:rPr>
          <w:rStyle w:val="FootnoteReference"/>
        </w:rPr>
        <w:footnoteRef/>
      </w:r>
      <w:r>
        <w:t xml:space="preserve"> </w:t>
      </w:r>
      <w:r>
        <w:tab/>
        <w:t xml:space="preserve">Bijdrage van Cyprus aan het verslag over de rechtsstaat 2020. </w:t>
      </w:r>
    </w:p>
  </w:footnote>
  <w:footnote w:id="20">
    <w:p>
      <w:pPr>
        <w:pStyle w:val="FootnoteText"/>
        <w:spacing w:after="0"/>
        <w:ind w:left="284" w:hanging="284"/>
      </w:pPr>
      <w:r>
        <w:rPr>
          <w:rStyle w:val="FootnoteReference"/>
        </w:rPr>
        <w:footnoteRef/>
      </w:r>
      <w:r>
        <w:t xml:space="preserve"> </w:t>
      </w:r>
      <w:r>
        <w:tab/>
        <w:t>Er wordt eveneens op gewezen dat op basis van de huidige statistische gegevens over het rechtsstelsel in het EU-scorebord voor justitie geen verslag kan worden uitgebracht over gegevens inzake de beslissingstermijn in litigieuze burgerlijke en handelszaken.</w:t>
      </w:r>
    </w:p>
  </w:footnote>
  <w:footnote w:id="21">
    <w:p>
      <w:pPr>
        <w:pStyle w:val="FootnoteText"/>
        <w:spacing w:after="0"/>
        <w:ind w:left="284" w:hanging="284"/>
      </w:pPr>
      <w:r>
        <w:rPr>
          <w:rStyle w:val="FootnoteReference"/>
        </w:rPr>
        <w:footnoteRef/>
      </w:r>
      <w:r>
        <w:t xml:space="preserve"> </w:t>
      </w:r>
      <w:r>
        <w:tab/>
        <w:t>Grafiek 27, EU-scorebord voor justitie 2019 en 2020.</w:t>
      </w:r>
    </w:p>
  </w:footnote>
  <w:footnote w:id="22">
    <w:p>
      <w:pPr>
        <w:pStyle w:val="FootnoteText"/>
        <w:spacing w:after="0"/>
        <w:ind w:left="284" w:hanging="284"/>
      </w:pPr>
      <w:r>
        <w:rPr>
          <w:rStyle w:val="FootnoteReference"/>
        </w:rPr>
        <w:footnoteRef/>
      </w:r>
      <w:r>
        <w:t xml:space="preserve"> </w:t>
      </w:r>
      <w:r>
        <w:tab/>
        <w:t>Aanbeveling van de Raad over het nationale hervormingsprogramma 2020 van Cyprus en met een advies van de Raad over het stabiliteitsprogramma 2020 van Cyprus.</w:t>
      </w:r>
    </w:p>
  </w:footnote>
  <w:footnote w:id="23">
    <w:p>
      <w:pPr>
        <w:pStyle w:val="FootnoteText"/>
        <w:spacing w:after="0"/>
        <w:ind w:left="284" w:hanging="284"/>
      </w:pPr>
      <w:r>
        <w:rPr>
          <w:rStyle w:val="FootnoteReference"/>
        </w:rPr>
        <w:footnoteRef/>
      </w:r>
      <w:r>
        <w:t xml:space="preserve"> </w:t>
      </w:r>
      <w:r>
        <w:tab/>
        <w:t>Bijdrage van Cyprus aan het verslag over de rechtsstaat 2020.</w:t>
      </w:r>
    </w:p>
  </w:footnote>
  <w:footnote w:id="24">
    <w:p>
      <w:pPr>
        <w:pStyle w:val="FootnoteText"/>
        <w:spacing w:after="0"/>
        <w:ind w:left="284" w:hanging="284"/>
      </w:pPr>
      <w:r>
        <w:rPr>
          <w:rStyle w:val="FootnoteReference"/>
        </w:rPr>
        <w:footnoteRef/>
      </w:r>
      <w:r>
        <w:t xml:space="preserve"> </w:t>
      </w:r>
      <w:r>
        <w:tab/>
        <w:t>Wet inzake de oprichting en werking van een school voor rechters: Ν. 101(Ι)/2020.</w:t>
      </w:r>
    </w:p>
  </w:footnote>
  <w:footnote w:id="25">
    <w:p>
      <w:pPr>
        <w:pStyle w:val="FootnoteText"/>
        <w:spacing w:after="0"/>
        <w:ind w:left="284" w:hanging="284"/>
      </w:pPr>
      <w:r>
        <w:rPr>
          <w:rStyle w:val="FootnoteReference"/>
        </w:rPr>
        <w:footnoteRef/>
      </w:r>
      <w:r>
        <w:t xml:space="preserve"> </w:t>
      </w:r>
      <w:r>
        <w:tab/>
        <w:t xml:space="preserve">Wet houdende wijziging van de wetten inzake de rechtbanken: Ν. 102(Ι)/2020). </w:t>
      </w:r>
    </w:p>
  </w:footnote>
  <w:footnote w:id="26">
    <w:p>
      <w:pPr>
        <w:pStyle w:val="FootnoteText"/>
        <w:spacing w:after="0"/>
        <w:ind w:left="284" w:hanging="284"/>
      </w:pPr>
      <w:r>
        <w:rPr>
          <w:rStyle w:val="FootnoteReference"/>
        </w:rPr>
        <w:footnoteRef/>
      </w:r>
      <w:r>
        <w:t xml:space="preserve"> </w:t>
      </w:r>
      <w:r>
        <w:tab/>
        <w:t>Grafieken 5, 9, 10 en 12, EU-scorebord voor justitie 2020.</w:t>
      </w:r>
    </w:p>
  </w:footnote>
  <w:footnote w:id="27">
    <w:p>
      <w:pPr>
        <w:pStyle w:val="FootnoteText"/>
        <w:spacing w:after="0"/>
        <w:ind w:left="284" w:hanging="284"/>
      </w:pPr>
      <w:r>
        <w:rPr>
          <w:rStyle w:val="FootnoteReference"/>
        </w:rPr>
        <w:footnoteRef/>
      </w:r>
      <w:r>
        <w:t xml:space="preserve"> </w:t>
      </w:r>
      <w:r>
        <w:tab/>
        <w:t>Aanbeveling van de Raad over het nationale hervormingsprogramma 2020 van Cyprus en met een advies van de Raad over het stabiliteitsprogramma 2020 van Cyprus.</w:t>
      </w:r>
    </w:p>
  </w:footnote>
  <w:footnote w:id="28">
    <w:p>
      <w:pPr>
        <w:pStyle w:val="FootnoteText"/>
        <w:spacing w:after="0"/>
        <w:ind w:left="284" w:hanging="284"/>
        <w:rPr>
          <w:lang w:val="en-US"/>
        </w:rPr>
      </w:pPr>
      <w:r>
        <w:rPr>
          <w:rStyle w:val="FootnoteReference"/>
        </w:rPr>
        <w:footnoteRef/>
      </w:r>
      <w:r>
        <w:rPr>
          <w:lang w:val="en-US"/>
        </w:rPr>
        <w:t xml:space="preserve"> </w:t>
      </w:r>
      <w:r>
        <w:rPr>
          <w:lang w:val="en-US"/>
        </w:rPr>
        <w:tab/>
        <w:t xml:space="preserve">Europese Commissie (2018), Functional review of the courts system of Cyprus. </w:t>
      </w:r>
    </w:p>
  </w:footnote>
  <w:footnote w:id="29">
    <w:p>
      <w:pPr>
        <w:pStyle w:val="FootnoteText"/>
        <w:spacing w:after="0"/>
        <w:ind w:left="284" w:hanging="284"/>
      </w:pPr>
      <w:r>
        <w:rPr>
          <w:rStyle w:val="FootnoteReference"/>
        </w:rPr>
        <w:footnoteRef/>
      </w:r>
      <w:r>
        <w:t xml:space="preserve"> </w:t>
      </w:r>
      <w:r>
        <w:tab/>
        <w:t>Bijdrage van Cyprus aan het verslag over de rechtsstaat 2020.</w:t>
      </w:r>
    </w:p>
  </w:footnote>
  <w:footnote w:id="30">
    <w:p>
      <w:pPr>
        <w:pStyle w:val="FootnoteText"/>
        <w:spacing w:after="0"/>
        <w:ind w:left="284" w:hanging="284"/>
      </w:pPr>
      <w:r>
        <w:rPr>
          <w:rStyle w:val="FootnoteReference"/>
        </w:rPr>
        <w:footnoteRef/>
      </w:r>
      <w:r>
        <w:t xml:space="preserve"> </w:t>
      </w:r>
      <w:r>
        <w:tab/>
        <w:t>De voorzitter van het hooggerechtshof (als voorzitter) en twee rechters van het hooggerechtshof, de voorzitter van de vereniging van rechters, de directeur Hervorming en Opleiding, de hoofdgriffier, vertegenwoordigers van het ministerie van Financiën en van het ministerie van Justitie en Openbare Orde, en de voorzitter van de Cypriotische orde van advocaten.</w:t>
      </w:r>
    </w:p>
  </w:footnote>
  <w:footnote w:id="31">
    <w:p>
      <w:pPr>
        <w:pStyle w:val="FootnoteText"/>
        <w:spacing w:after="0"/>
        <w:ind w:left="284" w:hanging="284"/>
      </w:pPr>
      <w:r>
        <w:rPr>
          <w:rStyle w:val="FootnoteReference"/>
        </w:rPr>
        <w:footnoteRef/>
      </w:r>
      <w:r>
        <w:t xml:space="preserve"> </w:t>
      </w:r>
      <w:r>
        <w:tab/>
        <w:t>Zie vorige voetnoot.</w:t>
      </w:r>
    </w:p>
  </w:footnote>
  <w:footnote w:id="32">
    <w:p>
      <w:pPr>
        <w:pStyle w:val="FootnoteText"/>
        <w:spacing w:after="0"/>
        <w:ind w:left="284" w:hanging="284"/>
      </w:pPr>
      <w:r>
        <w:rPr>
          <w:rStyle w:val="FootnoteReference"/>
        </w:rPr>
        <w:footnoteRef/>
      </w:r>
      <w:r>
        <w:t xml:space="preserve"> </w:t>
      </w:r>
      <w:r>
        <w:tab/>
        <w:t>Wet nr. 73 (I)/2018 inzake de oprichting en werking van de administratieve rechtbank voor internationale bescherming.</w:t>
      </w:r>
    </w:p>
  </w:footnote>
  <w:footnote w:id="33">
    <w:p>
      <w:pPr>
        <w:pStyle w:val="FootnoteText"/>
        <w:spacing w:after="0"/>
        <w:ind w:left="284" w:hanging="284"/>
      </w:pPr>
      <w:r>
        <w:rPr>
          <w:rStyle w:val="FootnoteReference"/>
        </w:rPr>
        <w:footnoteRef/>
      </w:r>
      <w:r>
        <w:t xml:space="preserve"> </w:t>
      </w:r>
      <w:r>
        <w:tab/>
        <w:t>Bijdrage van Cyprus aan het verslag over de rechtsstaat 2020.</w:t>
      </w:r>
    </w:p>
  </w:footnote>
  <w:footnote w:id="34">
    <w:p>
      <w:pPr>
        <w:pStyle w:val="FootnoteText"/>
        <w:spacing w:after="0"/>
        <w:ind w:left="284" w:hanging="284"/>
        <w:rPr>
          <w:lang w:val="en-US"/>
        </w:rPr>
      </w:pPr>
      <w:r>
        <w:rPr>
          <w:rStyle w:val="FootnoteReference"/>
        </w:rPr>
        <w:footnoteRef/>
      </w:r>
      <w:r>
        <w:rPr>
          <w:lang w:val="en-US"/>
        </w:rPr>
        <w:t xml:space="preserve"> </w:t>
      </w:r>
      <w:r>
        <w:rPr>
          <w:lang w:val="en-US"/>
        </w:rPr>
        <w:tab/>
        <w:t>Zie vorige voetnoot.</w:t>
      </w:r>
    </w:p>
  </w:footnote>
  <w:footnote w:id="35">
    <w:p>
      <w:pPr>
        <w:pStyle w:val="FootnoteText"/>
        <w:spacing w:after="0"/>
        <w:ind w:left="284" w:hanging="284"/>
        <w:rPr>
          <w:lang w:val="en-US"/>
        </w:rPr>
      </w:pPr>
      <w:r>
        <w:rPr>
          <w:rStyle w:val="FootnoteReference"/>
        </w:rPr>
        <w:footnoteRef/>
      </w:r>
      <w:r>
        <w:rPr>
          <w:lang w:val="en-US"/>
        </w:rPr>
        <w:t xml:space="preserve"> </w:t>
      </w:r>
      <w:r>
        <w:rPr>
          <w:lang w:val="en-US"/>
        </w:rPr>
        <w:tab/>
        <w:t>Transparency International (2019), Corruption Perceptions Index.</w:t>
      </w:r>
    </w:p>
  </w:footnote>
  <w:footnote w:id="36">
    <w:p>
      <w:pPr>
        <w:pStyle w:val="FootnoteText"/>
        <w:spacing w:after="0"/>
        <w:ind w:left="284" w:hanging="284"/>
        <w:rPr>
          <w:lang w:val="en-US"/>
        </w:rPr>
      </w:pPr>
      <w:r>
        <w:rPr>
          <w:rStyle w:val="FootnoteReference"/>
        </w:rPr>
        <w:footnoteRef/>
      </w:r>
      <w:r>
        <w:rPr>
          <w:lang w:val="en-US"/>
        </w:rPr>
        <w:t xml:space="preserve"> </w:t>
      </w:r>
      <w:r>
        <w:rPr>
          <w:lang w:val="en-US"/>
        </w:rPr>
        <w:tab/>
        <w:t>Special Eurobarometer 502 (2020).</w:t>
      </w:r>
    </w:p>
  </w:footnote>
  <w:footnote w:id="37">
    <w:p>
      <w:pPr>
        <w:pStyle w:val="FootnoteText"/>
        <w:spacing w:after="0"/>
        <w:ind w:left="284" w:hanging="284"/>
        <w:rPr>
          <w:lang w:val="en-US"/>
        </w:rPr>
      </w:pPr>
      <w:r>
        <w:rPr>
          <w:rStyle w:val="FootnoteReference"/>
        </w:rPr>
        <w:footnoteRef/>
      </w:r>
      <w:r>
        <w:rPr>
          <w:lang w:val="en-US"/>
        </w:rPr>
        <w:t xml:space="preserve"> </w:t>
      </w:r>
      <w:r>
        <w:rPr>
          <w:lang w:val="en-US"/>
        </w:rPr>
        <w:tab/>
        <w:t>Flash Eurobarometer 482 (2019).</w:t>
      </w:r>
    </w:p>
  </w:footnote>
  <w:footnote w:id="38">
    <w:p>
      <w:pPr>
        <w:pStyle w:val="FootnoteText"/>
        <w:spacing w:after="0"/>
        <w:ind w:left="284" w:hanging="284"/>
        <w:rPr>
          <w:lang w:val="en-US"/>
        </w:rPr>
      </w:pPr>
      <w:r>
        <w:rPr>
          <w:rStyle w:val="FootnoteReference"/>
        </w:rPr>
        <w:footnoteRef/>
      </w:r>
      <w:r>
        <w:rPr>
          <w:lang w:val="en-US"/>
        </w:rPr>
        <w:t xml:space="preserve"> </w:t>
      </w:r>
      <w:r>
        <w:rPr>
          <w:lang w:val="en-US"/>
        </w:rPr>
        <w:tab/>
        <w:t xml:space="preserve">GRECO, Third Evaluation Round. </w:t>
      </w:r>
    </w:p>
  </w:footnote>
  <w:footnote w:id="39">
    <w:p>
      <w:pPr>
        <w:pStyle w:val="FootnoteText"/>
        <w:spacing w:after="0"/>
        <w:ind w:left="284" w:hanging="284"/>
        <w:rPr>
          <w:rStyle w:val="normaltextrun"/>
          <w:color w:val="000000"/>
        </w:rPr>
      </w:pPr>
      <w:r>
        <w:rPr>
          <w:rStyle w:val="FootnoteReference"/>
        </w:rPr>
        <w:footnoteRef/>
      </w:r>
      <w:r>
        <w:t xml:space="preserve"> </w:t>
      </w:r>
      <w:r>
        <w:tab/>
        <w:t>De nationale</w:t>
      </w:r>
      <w:r>
        <w:rPr>
          <w:rStyle w:val="normaltextrun"/>
          <w:color w:val="000000"/>
        </w:rPr>
        <w:t xml:space="preserve"> strategie voor corruptiebestrijding is in november 2017 goedgekeurd door de ministerraad</w:t>
      </w:r>
      <w:r>
        <w:t>.</w:t>
      </w:r>
      <w:r>
        <w:rPr>
          <w:rStyle w:val="normaltextrun"/>
          <w:color w:val="000000"/>
        </w:rPr>
        <w:t xml:space="preserve"> </w:t>
      </w:r>
    </w:p>
  </w:footnote>
  <w:footnote w:id="40">
    <w:p>
      <w:pPr>
        <w:pStyle w:val="FootnoteText"/>
        <w:spacing w:after="0"/>
        <w:ind w:left="284" w:hanging="284"/>
      </w:pPr>
      <w:r>
        <w:rPr>
          <w:rStyle w:val="FootnoteReference"/>
        </w:rPr>
        <w:footnoteRef/>
      </w:r>
      <w:r>
        <w:t xml:space="preserve"> </w:t>
      </w:r>
      <w:r>
        <w:tab/>
      </w:r>
      <w:r>
        <w:rPr>
          <w:rStyle w:val="normaltextrun"/>
          <w:color w:val="000000"/>
        </w:rPr>
        <w:t>Het</w:t>
      </w:r>
      <w:r>
        <w:t xml:space="preserve"> wetsontwerp werd in maart 2019 ter goedkeuring aan het parlement voorgelegd.</w:t>
      </w:r>
    </w:p>
  </w:footnote>
  <w:footnote w:id="41">
    <w:p>
      <w:pPr>
        <w:pStyle w:val="FootnoteText"/>
        <w:spacing w:after="0"/>
        <w:ind w:left="284" w:hanging="284"/>
      </w:pPr>
      <w:r>
        <w:rPr>
          <w:rStyle w:val="FootnoteReference"/>
        </w:rPr>
        <w:footnoteRef/>
      </w:r>
      <w:r>
        <w:t xml:space="preserve"> </w:t>
      </w:r>
      <w:r>
        <w:tab/>
        <w:t>Het ministerie van Justitie en Openbare Orde beheert een jaarlijkse nationale begroting van ongeveer 200 000 EUR voor de uitvoering van het nationale horizontale plan voor corruptiebestrijding, naast het door de Europese Commissie gefinancierde project ter waarde van 300 000 EUR.</w:t>
      </w:r>
    </w:p>
  </w:footnote>
  <w:footnote w:id="42">
    <w:p>
      <w:pPr>
        <w:pStyle w:val="FootnoteText"/>
        <w:spacing w:after="0"/>
        <w:ind w:left="284" w:hanging="284"/>
      </w:pPr>
      <w:r>
        <w:rPr>
          <w:rStyle w:val="FootnoteReference"/>
        </w:rPr>
        <w:footnoteRef/>
      </w:r>
      <w:r>
        <w:t xml:space="preserve"> </w:t>
      </w:r>
      <w:r>
        <w:tab/>
        <w:t xml:space="preserve">Bijdrage van Cyprus aan het verslag over de rechtsstaat 2020; informatie ontvangen in het kader van het landbezoek. </w:t>
      </w:r>
    </w:p>
  </w:footnote>
  <w:footnote w:id="43">
    <w:p>
      <w:pPr>
        <w:pStyle w:val="FootnoteText"/>
        <w:spacing w:after="0"/>
        <w:ind w:left="284" w:hanging="284"/>
      </w:pPr>
      <w:r>
        <w:rPr>
          <w:rStyle w:val="FootnoteReference"/>
        </w:rPr>
        <w:footnoteRef/>
      </w:r>
      <w:r>
        <w:t xml:space="preserve"> </w:t>
      </w:r>
      <w:r>
        <w:tab/>
        <w:t>Directoraat-generaal Europese programma’s, Coördinatie en Ontwikkeling — Europe 2020 Cyprus National Reform Programme.</w:t>
      </w:r>
    </w:p>
  </w:footnote>
  <w:footnote w:id="44">
    <w:p>
      <w:pPr>
        <w:pStyle w:val="FootnoteText"/>
        <w:spacing w:after="0"/>
        <w:ind w:left="284" w:hanging="284"/>
      </w:pPr>
      <w:r>
        <w:rPr>
          <w:rStyle w:val="FootnoteReference"/>
        </w:rPr>
        <w:footnoteRef/>
      </w:r>
      <w:r>
        <w:t xml:space="preserve"> </w:t>
      </w:r>
      <w:r>
        <w:tab/>
        <w:t>Zie vorige voetnoot.</w:t>
      </w:r>
    </w:p>
  </w:footnote>
  <w:footnote w:id="45">
    <w:p>
      <w:pPr>
        <w:pStyle w:val="FootnoteText"/>
        <w:spacing w:after="0"/>
        <w:ind w:left="284" w:hanging="284"/>
      </w:pPr>
      <w:r>
        <w:rPr>
          <w:rStyle w:val="FootnoteReference"/>
        </w:rPr>
        <w:footnoteRef/>
      </w:r>
      <w:r>
        <w:t xml:space="preserve"> </w:t>
      </w:r>
      <w:r>
        <w:tab/>
        <w:t xml:space="preserve">In het </w:t>
      </w:r>
      <w:r>
        <w:rPr>
          <w:rStyle w:val="normaltextrun"/>
          <w:color w:val="000000"/>
        </w:rPr>
        <w:t>geval</w:t>
      </w:r>
      <w:r>
        <w:t xml:space="preserve"> dat ambtenaren uit hoofde van Wet 50(I)/2004, als gewijzigd, nalaten hun vermogensaangifte in te dienen, legt de raad een boete op van maximaal 5 000 EUR en 100 EUR voor elke dag van niet-naleving.</w:t>
      </w:r>
    </w:p>
  </w:footnote>
  <w:footnote w:id="46">
    <w:p>
      <w:pPr>
        <w:pStyle w:val="FootnoteText"/>
        <w:spacing w:after="0"/>
        <w:ind w:left="284" w:hanging="284"/>
      </w:pPr>
      <w:r>
        <w:rPr>
          <w:rStyle w:val="FootnoteReference"/>
        </w:rPr>
        <w:footnoteRef/>
      </w:r>
      <w:r>
        <w:t xml:space="preserve"> </w:t>
      </w:r>
      <w:r>
        <w:tab/>
        <w:t xml:space="preserve">Europese Commissie, Landverslag Cyprus 2020, SWD(2020) 512 final. </w:t>
      </w:r>
    </w:p>
  </w:footnote>
  <w:footnote w:id="47">
    <w:p>
      <w:pPr>
        <w:pStyle w:val="FootnoteText"/>
        <w:spacing w:after="0"/>
        <w:ind w:left="284" w:hanging="284"/>
      </w:pPr>
      <w:r>
        <w:rPr>
          <w:rStyle w:val="FootnoteReference"/>
        </w:rPr>
        <w:footnoteRef/>
      </w:r>
      <w:r>
        <w:t xml:space="preserve"> </w:t>
      </w:r>
      <w:r>
        <w:tab/>
        <w:t xml:space="preserve">Artikel 8 van de perswet. </w:t>
      </w:r>
    </w:p>
  </w:footnote>
  <w:footnote w:id="48">
    <w:p>
      <w:pPr>
        <w:pStyle w:val="FootnoteText"/>
        <w:spacing w:after="0"/>
        <w:ind w:left="284" w:hanging="284"/>
      </w:pPr>
      <w:r>
        <w:rPr>
          <w:rStyle w:val="FootnoteReference"/>
        </w:rPr>
        <w:footnoteRef/>
      </w:r>
      <w:r>
        <w:t xml:space="preserve"> </w:t>
      </w:r>
      <w:r>
        <w:tab/>
        <w:t xml:space="preserve">Wet inzake radio- en televisiezenders. </w:t>
      </w:r>
    </w:p>
  </w:footnote>
  <w:footnote w:id="49">
    <w:p>
      <w:pPr>
        <w:pStyle w:val="FootnoteText"/>
        <w:spacing w:after="0"/>
        <w:ind w:left="284" w:hanging="284"/>
      </w:pPr>
      <w:r>
        <w:rPr>
          <w:rStyle w:val="FootnoteReference"/>
        </w:rPr>
        <w:footnoteRef/>
      </w:r>
      <w:r>
        <w:t xml:space="preserve"> </w:t>
      </w:r>
      <w:r>
        <w:tab/>
        <w:t>Tussen 2019 en 2020 is Cyprus één plaats gestegen in de wereldindex voor persvrijheid van Verslaggevers zonder grenzen, en het staat nu wereldwijd op de 27</w:t>
      </w:r>
      <w:r>
        <w:rPr>
          <w:vertAlign w:val="superscript"/>
        </w:rPr>
        <w:t>e</w:t>
      </w:r>
      <w:r>
        <w:t xml:space="preserve"> plaats: https://rsf.org/en/ranking </w:t>
      </w:r>
    </w:p>
  </w:footnote>
  <w:footnote w:id="50">
    <w:p>
      <w:pPr>
        <w:pStyle w:val="FootnoteText"/>
        <w:spacing w:after="0"/>
        <w:ind w:left="284" w:hanging="284"/>
      </w:pPr>
      <w:r>
        <w:rPr>
          <w:rStyle w:val="FootnoteReference"/>
        </w:rPr>
        <w:footnoteRef/>
      </w:r>
      <w:r>
        <w:t xml:space="preserve"> </w:t>
      </w:r>
      <w:r>
        <w:tab/>
        <w:t>2020 Media Pluralism Monitor — Report on Cyprus, blz. 10.</w:t>
      </w:r>
    </w:p>
  </w:footnote>
  <w:footnote w:id="51">
    <w:p>
      <w:pPr>
        <w:pStyle w:val="FootnoteText"/>
        <w:spacing w:after="0"/>
        <w:ind w:left="284" w:hanging="284"/>
      </w:pPr>
      <w:r>
        <w:rPr>
          <w:rStyle w:val="FootnoteReference"/>
        </w:rPr>
        <w:footnoteRef/>
      </w:r>
      <w:r>
        <w:t xml:space="preserve"> </w:t>
      </w:r>
      <w:r>
        <w:tab/>
        <w:t>Website van de klachtencommissie voor de media van Cyprus: http://www.cmcc.org.cy/about_us.html</w:t>
      </w:r>
    </w:p>
  </w:footnote>
  <w:footnote w:id="52">
    <w:p>
      <w:pPr>
        <w:pStyle w:val="FootnoteText"/>
        <w:spacing w:after="0"/>
        <w:ind w:left="284" w:hanging="284"/>
      </w:pPr>
      <w:r>
        <w:rPr>
          <w:rStyle w:val="FootnoteReference"/>
        </w:rPr>
        <w:footnoteRef/>
      </w:r>
      <w:r>
        <w:t xml:space="preserve"> </w:t>
      </w:r>
      <w:r>
        <w:tab/>
        <w:t>Praktijkcode voor journalisten: www.cmcc.org.cy/code_practice.html</w:t>
      </w:r>
    </w:p>
  </w:footnote>
  <w:footnote w:id="53">
    <w:p>
      <w:pPr>
        <w:pStyle w:val="FootnoteText"/>
        <w:spacing w:after="0"/>
        <w:ind w:left="284" w:hanging="284"/>
      </w:pPr>
      <w:r>
        <w:rPr>
          <w:rStyle w:val="FootnoteReference"/>
        </w:rPr>
        <w:footnoteRef/>
      </w:r>
      <w:r>
        <w:t xml:space="preserve"> </w:t>
      </w:r>
      <w:r>
        <w:tab/>
        <w:t xml:space="preserve">2020 Media Pluralism Monitor — Report on Cyprus, blz. 17. </w:t>
      </w:r>
    </w:p>
  </w:footnote>
  <w:footnote w:id="54">
    <w:p>
      <w:pPr>
        <w:pStyle w:val="FootnoteText"/>
        <w:spacing w:after="0"/>
        <w:ind w:left="284" w:hanging="284"/>
      </w:pPr>
      <w:r>
        <w:rPr>
          <w:rStyle w:val="FootnoteReference"/>
        </w:rPr>
        <w:footnoteRef/>
      </w:r>
      <w:r>
        <w:t xml:space="preserve"> </w:t>
      </w:r>
      <w:r>
        <w:tab/>
        <w:t>Artikelen 16, 18, 19, 20 en 23 van deze wet.</w:t>
      </w:r>
    </w:p>
  </w:footnote>
  <w:footnote w:id="55">
    <w:p>
      <w:pPr>
        <w:pStyle w:val="FootnoteText"/>
        <w:spacing w:after="0"/>
        <w:ind w:left="284" w:hanging="284"/>
      </w:pPr>
      <w:r>
        <w:rPr>
          <w:rStyle w:val="FootnoteReference"/>
        </w:rPr>
        <w:footnoteRef/>
      </w:r>
      <w:r>
        <w:t xml:space="preserve"> </w:t>
      </w:r>
      <w:r>
        <w:tab/>
        <w:t>Wet nr. 12(I) van 2014 tot wijziging van Wet nr. 7(I) van 2008 over de professionele onverenigbaarheid van bepaalde ambten met bepaalde beroeps- en andere activiteiten.</w:t>
      </w:r>
    </w:p>
  </w:footnote>
  <w:footnote w:id="56">
    <w:p>
      <w:pPr>
        <w:pStyle w:val="FootnoteText"/>
        <w:spacing w:after="0"/>
        <w:ind w:left="284" w:hanging="284"/>
      </w:pPr>
      <w:r>
        <w:rPr>
          <w:rStyle w:val="FootnoteReference"/>
        </w:rPr>
        <w:footnoteRef/>
      </w:r>
      <w:r>
        <w:t xml:space="preserve"> </w:t>
      </w:r>
      <w:r>
        <w:tab/>
        <w:t xml:space="preserve">Republiek Cyprus (2020), reactie van de overheid van de Republiek Cyprus op de melding getiteld “pipe bomb attack on Cyprus MC Digital News Media Agency Offices”. https://rm.coe.int/cyprus-reply-en-pipe-bomb-attack-on-mc-digital-media-agency-offices-12/16809ce95e </w:t>
      </w:r>
    </w:p>
  </w:footnote>
  <w:footnote w:id="57">
    <w:p>
      <w:pPr>
        <w:pStyle w:val="FootnoteText"/>
        <w:spacing w:after="0"/>
        <w:ind w:left="284" w:hanging="284"/>
      </w:pPr>
      <w:r>
        <w:rPr>
          <w:rStyle w:val="FootnoteReference"/>
        </w:rPr>
        <w:footnoteRef/>
      </w:r>
      <w:r>
        <w:t xml:space="preserve"> </w:t>
      </w:r>
      <w:r>
        <w:tab/>
        <w:t>De oprichting van een grondwettelijk hof dat de toetsing van de grondwettigheid van wetten zal overnemen van het hooggerechtshof is gepland (zie punt I). Bijdrage van Cyprus aan het verslag over de rechtsstaat 2020.</w:t>
      </w:r>
    </w:p>
  </w:footnote>
  <w:footnote w:id="58">
    <w:p>
      <w:pPr>
        <w:pStyle w:val="FootnoteText"/>
        <w:spacing w:after="0"/>
        <w:ind w:left="284" w:hanging="284"/>
      </w:pPr>
      <w:r>
        <w:rPr>
          <w:rStyle w:val="FootnoteReference"/>
        </w:rPr>
        <w:footnoteRef/>
      </w:r>
      <w:r>
        <w:t xml:space="preserve"> </w:t>
      </w:r>
      <w:r>
        <w:tab/>
        <w:t>OECD</w:t>
      </w:r>
      <w:r>
        <w:rPr>
          <w:rStyle w:val="Hyperlink"/>
        </w:rPr>
        <w:t xml:space="preserve"> (2019)</w:t>
      </w:r>
      <w:r>
        <w:t>, Indicators of Regulatory Policy and Governance — Cyprus.</w:t>
      </w:r>
      <w:r>
        <w:rPr>
          <w:i/>
        </w:rPr>
        <w:t xml:space="preserve"> </w:t>
      </w:r>
    </w:p>
  </w:footnote>
  <w:footnote w:id="59">
    <w:p>
      <w:pPr>
        <w:pStyle w:val="FootnoteText"/>
        <w:spacing w:after="0"/>
        <w:ind w:left="284" w:hanging="284"/>
      </w:pPr>
      <w:r>
        <w:rPr>
          <w:rStyle w:val="FootnoteReference"/>
        </w:rPr>
        <w:footnoteRef/>
      </w:r>
      <w:r>
        <w:t xml:space="preserve"> </w:t>
      </w:r>
      <w:r>
        <w:tab/>
        <w:t>Bijdrage van Cyprus aan het verslag over de rechtsstaat 2020.</w:t>
      </w:r>
    </w:p>
  </w:footnote>
  <w:footnote w:id="60">
    <w:p>
      <w:pPr>
        <w:pStyle w:val="FootnoteText"/>
        <w:spacing w:after="0"/>
        <w:ind w:left="284" w:hanging="284"/>
        <w:rPr>
          <w:lang w:val="en-US"/>
        </w:rPr>
      </w:pPr>
      <w:r>
        <w:rPr>
          <w:rStyle w:val="FootnoteReference"/>
        </w:rPr>
        <w:footnoteRef/>
      </w:r>
      <w:r>
        <w:rPr>
          <w:lang w:val="en-US"/>
        </w:rPr>
        <w:t xml:space="preserve"> </w:t>
      </w:r>
      <w:r>
        <w:rPr>
          <w:lang w:val="en-US"/>
        </w:rPr>
        <w:tab/>
        <w:t>OECD</w:t>
      </w:r>
      <w:r>
        <w:rPr>
          <w:rStyle w:val="Hyperlink"/>
          <w:lang w:val="en-US"/>
        </w:rPr>
        <w:t xml:space="preserve"> (2019)</w:t>
      </w:r>
      <w:r>
        <w:rPr>
          <w:lang w:val="en-US"/>
        </w:rPr>
        <w:t>, Indicators of Regulatory Policy and Governance — Cyprus.</w:t>
      </w:r>
    </w:p>
  </w:footnote>
  <w:footnote w:id="61">
    <w:p>
      <w:pPr>
        <w:pStyle w:val="FootnoteText"/>
        <w:spacing w:after="0"/>
        <w:ind w:left="284" w:hanging="284"/>
      </w:pPr>
      <w:r>
        <w:rPr>
          <w:rStyle w:val="FootnoteReference"/>
        </w:rPr>
        <w:footnoteRef/>
      </w:r>
      <w:r>
        <w:t xml:space="preserve"> </w:t>
      </w:r>
      <w:r>
        <w:tab/>
        <w:t>Verklaring van de president van de Republiek na de buitengewone vergadering van de ministerraad van 15 maart 2020. De in artikel 183 van de grondwet vastgelegde “noodtoestand” werd niet uitgeroepen. De in de grondwet opgenomen “noodtoestand” zou moeten worden uitgeroepen door de ministerraad (voorgezeten door de president) en moeten worden voorgelegd aan het parlement, dat de noodtoestand kan aanvaarden of verwerpen.</w:t>
      </w:r>
    </w:p>
  </w:footnote>
  <w:footnote w:id="62">
    <w:p>
      <w:pPr>
        <w:pStyle w:val="FootnoteText"/>
        <w:spacing w:after="0"/>
        <w:ind w:left="284" w:hanging="284"/>
      </w:pPr>
      <w:r>
        <w:rPr>
          <w:rStyle w:val="FootnoteReference"/>
        </w:rPr>
        <w:footnoteRef/>
      </w:r>
      <w:r>
        <w:t xml:space="preserve"> </w:t>
      </w:r>
      <w:r>
        <w:tab/>
        <w:t>Deze decreten blijven van kracht tot zij worden ingetrokken. De beperkingen werden vanaf 21 mei geleidelijk aan opgeheven.</w:t>
      </w:r>
    </w:p>
  </w:footnote>
  <w:footnote w:id="63">
    <w:p>
      <w:pPr>
        <w:pStyle w:val="FootnoteText"/>
        <w:spacing w:after="0"/>
        <w:ind w:left="284" w:hanging="284"/>
      </w:pPr>
      <w:r>
        <w:rPr>
          <w:rStyle w:val="FootnoteReference"/>
        </w:rPr>
        <w:footnoteRef/>
      </w:r>
      <w:r>
        <w:t xml:space="preserve"> </w:t>
      </w:r>
      <w:r>
        <w:tab/>
        <w:t xml:space="preserve">De Global Alliance of National Human Rights Institutions van de VN. </w:t>
      </w:r>
    </w:p>
  </w:footnote>
  <w:footnote w:id="64">
    <w:p>
      <w:pPr>
        <w:autoSpaceDE w:val="0"/>
        <w:autoSpaceDN w:val="0"/>
        <w:spacing w:after="0"/>
        <w:ind w:left="284" w:hanging="284"/>
        <w:rPr>
          <w:sz w:val="20"/>
        </w:rPr>
      </w:pPr>
      <w:r>
        <w:rPr>
          <w:rStyle w:val="FootnoteReference"/>
          <w:sz w:val="20"/>
        </w:rPr>
        <w:footnoteRef/>
      </w:r>
      <w:r>
        <w:rPr>
          <w:sz w:val="20"/>
        </w:rPr>
        <w:t xml:space="preserve"> </w:t>
      </w:r>
      <w:r>
        <w:tab/>
      </w:r>
      <w:r>
        <w:rPr>
          <w:sz w:val="20"/>
        </w:rPr>
        <w:t xml:space="preserve"> </w:t>
      </w:r>
      <w:r>
        <w:rPr>
          <w:sz w:val="20"/>
        </w:rPr>
        <w:tab/>
        <w:t>Universele periodieke doorlichting door de VN (2019) — </w:t>
      </w:r>
      <w:r>
        <w:rPr>
          <w:bCs/>
          <w:sz w:val="20"/>
        </w:rPr>
        <w:t>Cyprus</w:t>
      </w:r>
      <w:r>
        <w:rPr>
          <w:sz w:val="20"/>
        </w:rPr>
        <w:t> gaat akkoord met zeven aanbevelingen om te zorgen voor een nationaal mensenrechteninstituut dat voldoet aan de Beginselen van Parijs.</w:t>
      </w:r>
    </w:p>
  </w:footnote>
  <w:footnote w:id="65">
    <w:p>
      <w:pPr>
        <w:pStyle w:val="FootnoteText"/>
        <w:spacing w:after="0"/>
        <w:ind w:left="284" w:hanging="284"/>
      </w:pPr>
      <w:r>
        <w:rPr>
          <w:rStyle w:val="FootnoteReference"/>
        </w:rPr>
        <w:footnoteRef/>
      </w:r>
      <w:r>
        <w:t xml:space="preserve"> </w:t>
      </w:r>
      <w:r>
        <w:tab/>
        <w:t xml:space="preserve">Europees netwerk van nationale mensenrechteninstituten, bijdrage aan het verslag over de rechtsstaat 2020, blz. 58. </w:t>
      </w:r>
    </w:p>
  </w:footnote>
  <w:footnote w:id="66">
    <w:p>
      <w:pPr>
        <w:pStyle w:val="FootnoteText"/>
        <w:spacing w:after="0"/>
        <w:ind w:left="284" w:hanging="284"/>
      </w:pPr>
      <w:r>
        <w:rPr>
          <w:rStyle w:val="FootnoteReference"/>
        </w:rPr>
        <w:footnoteRef/>
      </w:r>
      <w:r>
        <w:t xml:space="preserve"> </w:t>
      </w:r>
      <w:r>
        <w:tab/>
        <w:t xml:space="preserve">Het IOI was van mening dat het standpunt van de procureur-generaal onverenigbaar was met de beginselen van de Commissie van Venetië inzake de bescherming en bevordering van de ombudsman als instelling. </w:t>
      </w:r>
    </w:p>
  </w:footnote>
  <w:footnote w:id="67">
    <w:p>
      <w:pPr>
        <w:pStyle w:val="FootnoteText"/>
        <w:spacing w:after="0"/>
        <w:ind w:left="284" w:hanging="284"/>
      </w:pPr>
      <w:r>
        <w:rPr>
          <w:rStyle w:val="FootnoteReference"/>
        </w:rPr>
        <w:footnoteRef/>
      </w:r>
      <w:r>
        <w:t xml:space="preserve"> </w:t>
      </w:r>
      <w:r>
        <w:tab/>
        <w:t>Bijdrage van Cyprus aan het verslag over de rechtsstaat 2020, blz. 42.</w:t>
      </w:r>
    </w:p>
  </w:footnote>
  <w:footnote w:id="68">
    <w:p>
      <w:pPr>
        <w:pStyle w:val="FootnoteText"/>
        <w:spacing w:after="0"/>
        <w:ind w:left="284" w:hanging="284"/>
      </w:pPr>
      <w:r>
        <w:rPr>
          <w:rStyle w:val="FootnoteReference"/>
        </w:rPr>
        <w:footnoteRef/>
      </w:r>
      <w:r>
        <w:t xml:space="preserve"> </w:t>
      </w:r>
      <w:r>
        <w:tab/>
        <w:t xml:space="preserve">Beoordeling gegeven door CIVICUS; de beoordelingen zijn op een schaal van vijf categorieën gedefinieerd als: open, gekrompen, belemmerd, onderdrukt en gesloten.  </w:t>
      </w:r>
    </w:p>
  </w:footnote>
  <w:footnote w:id="69">
    <w:p>
      <w:pPr>
        <w:pStyle w:val="FootnoteText"/>
        <w:spacing w:after="0"/>
        <w:ind w:left="284" w:hanging="284"/>
      </w:pPr>
      <w:r>
        <w:rPr>
          <w:rStyle w:val="FootnoteReference"/>
        </w:rPr>
        <w:footnoteRef/>
      </w:r>
      <w:r>
        <w:t xml:space="preserve"> </w:t>
      </w:r>
      <w:r>
        <w:tab/>
        <w:t>Wet inzake verenigingen en stichtingen en andere aanverwante aangelegenheden. Bijdrage van Cyprus aan het verslag over de rechtsstaat 2020, blz. 47.</w:t>
      </w:r>
    </w:p>
  </w:footnote>
  <w:footnote w:id="70">
    <w:p>
      <w:pPr>
        <w:pStyle w:val="FootnoteText"/>
        <w:spacing w:after="0"/>
        <w:ind w:left="284" w:hanging="284"/>
        <w:rPr>
          <w:lang w:val="en-US"/>
        </w:rPr>
      </w:pPr>
      <w:r>
        <w:rPr>
          <w:rStyle w:val="FootnoteReference"/>
        </w:rPr>
        <w:footnoteRef/>
      </w:r>
      <w:r>
        <w:rPr>
          <w:lang w:val="en-US"/>
        </w:rPr>
        <w:t xml:space="preserve"> </w:t>
      </w:r>
      <w:r>
        <w:rPr>
          <w:lang w:val="en-US"/>
        </w:rPr>
        <w:tab/>
        <w:t>European Centre for Non-Profit Law, A more progressive NGO Law adopted in Cyprus.</w:t>
      </w:r>
    </w:p>
  </w:footnote>
  <w:footnote w:id="71">
    <w:p>
      <w:pPr>
        <w:pStyle w:val="FootnoteText"/>
        <w:spacing w:after="0"/>
        <w:ind w:left="284" w:hanging="284"/>
        <w:rPr>
          <w:lang w:val="en-US"/>
        </w:rPr>
      </w:pPr>
      <w:r>
        <w:rPr>
          <w:rStyle w:val="FootnoteReference"/>
        </w:rPr>
        <w:footnoteRef/>
      </w:r>
      <w:r>
        <w:rPr>
          <w:lang w:val="en-US"/>
        </w:rPr>
        <w:t xml:space="preserve">  </w:t>
      </w:r>
      <w:r>
        <w:rPr>
          <w:lang w:val="en-US"/>
        </w:rPr>
        <w:tab/>
        <w:t>Bureau van de Europese Unie voor de grondrechten, Standing and operational space of non-governmental organisations (NGOs) in contributing to respecting and promoting fundamental rights in EU Member States, Cyprus 2017, blz.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szCs w:val="24"/>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rPr>
        <w:i/>
        <w:szCs w:val="24"/>
      </w:rPr>
    </w:pPr>
  </w:p>
  <w:p>
    <w:pPr>
      <w:pStyle w:val="Header"/>
      <w:jc w:val="right"/>
      <w:rPr>
        <w:lang w:val="fr-B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900F7"/>
    <w:multiLevelType w:val="multilevel"/>
    <w:tmpl w:val="F5E05BF2"/>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EFB7115"/>
    <w:multiLevelType w:val="multilevel"/>
    <w:tmpl w:val="C02CF71C"/>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nsid w:val="120B7201"/>
    <w:multiLevelType w:val="multilevel"/>
    <w:tmpl w:val="06EA7BF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nsid w:val="1262685D"/>
    <w:multiLevelType w:val="multilevel"/>
    <w:tmpl w:val="61962E5E"/>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nsid w:val="143D0A16"/>
    <w:multiLevelType w:val="multilevel"/>
    <w:tmpl w:val="302C7F7E"/>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nsid w:val="172F0AC5"/>
    <w:multiLevelType w:val="multilevel"/>
    <w:tmpl w:val="9160A27E"/>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nsid w:val="1C7B624F"/>
    <w:multiLevelType w:val="multilevel"/>
    <w:tmpl w:val="02A614B2"/>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nsid w:val="2C8DFDF8"/>
    <w:multiLevelType w:val="multilevel"/>
    <w:tmpl w:val="7D4EB5E6"/>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nsid w:val="2D293CE3"/>
    <w:multiLevelType w:val="multilevel"/>
    <w:tmpl w:val="02E8E5B2"/>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2D293CF4"/>
    <w:multiLevelType w:val="multilevel"/>
    <w:tmpl w:val="710C7B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nsid w:val="31205795"/>
    <w:multiLevelType w:val="hybridMultilevel"/>
    <w:tmpl w:val="34C49410"/>
    <w:lvl w:ilvl="0" w:tplc="CFEE77FA">
      <w:start w:val="1"/>
      <w:numFmt w:val="upperRoman"/>
      <w:lvlText w:val="%1."/>
      <w:lvlJc w:val="left"/>
      <w:pPr>
        <w:ind w:left="720" w:hanging="720"/>
      </w:pPr>
      <w:rPr>
        <w:rFonts w:hint="default"/>
        <w:u w:val="non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nsid w:val="36324F1E"/>
    <w:multiLevelType w:val="multilevel"/>
    <w:tmpl w:val="C7EE94E0"/>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nsid w:val="37CB1E1C"/>
    <w:multiLevelType w:val="multilevel"/>
    <w:tmpl w:val="397EEAE8"/>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A7730C4"/>
    <w:multiLevelType w:val="multilevel"/>
    <w:tmpl w:val="BECC3830"/>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nsid w:val="429E662A"/>
    <w:multiLevelType w:val="multilevel"/>
    <w:tmpl w:val="318C0CD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nsid w:val="4E1A982C"/>
    <w:multiLevelType w:val="multilevel"/>
    <w:tmpl w:val="ED1844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nsid w:val="5072619B"/>
    <w:multiLevelType w:val="multilevel"/>
    <w:tmpl w:val="4ABEA90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nsid w:val="50FC1B89"/>
    <w:multiLevelType w:val="hybridMultilevel"/>
    <w:tmpl w:val="28743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77472E"/>
    <w:multiLevelType w:val="multilevel"/>
    <w:tmpl w:val="ED125770"/>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nsid w:val="7C65145E"/>
    <w:multiLevelType w:val="multilevel"/>
    <w:tmpl w:val="78BC3DE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02"/>
        </w:tabs>
        <w:ind w:left="1202"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1">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0"/>
  </w:num>
  <w:num w:numId="2">
    <w:abstractNumId w:val="11"/>
  </w:num>
  <w:num w:numId="3">
    <w:abstractNumId w:val="6"/>
  </w:num>
  <w:num w:numId="4">
    <w:abstractNumId w:val="12"/>
  </w:num>
  <w:num w:numId="5">
    <w:abstractNumId w:val="17"/>
  </w:num>
  <w:num w:numId="6">
    <w:abstractNumId w:val="19"/>
  </w:num>
  <w:num w:numId="7">
    <w:abstractNumId w:val="1"/>
  </w:num>
  <w:num w:numId="8">
    <w:abstractNumId w:val="5"/>
  </w:num>
  <w:num w:numId="9">
    <w:abstractNumId w:val="15"/>
  </w:num>
  <w:num w:numId="10">
    <w:abstractNumId w:val="2"/>
  </w:num>
  <w:num w:numId="11">
    <w:abstractNumId w:val="3"/>
  </w:num>
  <w:num w:numId="12">
    <w:abstractNumId w:val="4"/>
  </w:num>
  <w:num w:numId="13">
    <w:abstractNumId w:val="7"/>
  </w:num>
  <w:num w:numId="14">
    <w:abstractNumId w:val="14"/>
  </w:num>
  <w:num w:numId="15">
    <w:abstractNumId w:val="16"/>
  </w:num>
  <w:num w:numId="16">
    <w:abstractNumId w:val="20"/>
  </w:num>
  <w:num w:numId="17">
    <w:abstractNumId w:val="8"/>
  </w:num>
  <w:num w:numId="18">
    <w:abstractNumId w:val="9"/>
  </w:num>
  <w:num w:numId="19">
    <w:abstractNumId w:val="21"/>
  </w:num>
  <w:num w:numId="20">
    <w:abstractNumId w:val="10"/>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ij"/>
    <w:docVar w:name="LW_CORRIGENDUM" w:val="&lt;UNUSED&gt;"/>
    <w:docVar w:name="LW_COVERPAGE_EXISTS" w:val="True"/>
    <w:docVar w:name="LW_COVERPAGE_GUID" w:val="6A55D43F-7E0C-4010-8118-A2E74883BCE5"/>
    <w:docVar w:name="LW_COVERPAGE_TYPE" w:val="1"/>
    <w:docVar w:name="LW_CROSSREFERENCE" w:val="{COM(2020) 580 final} - {SWD(2020) 300 final} - {SWD(2020) 301 final} - {SWD(2020) 302 final} - {SWD(2020) 303 final} - {SWD(2020) 304 final} - {SWD(2020) 305 final} - {SWD(2020) 306 final} - {SWD(2020) 307 final} - {SWD(2020) 308 final} - {SWD(2020) 309 final} - {SWD(2020) 310 final} - {SWD(2020) 311 final} - {SWD(2020) 313 final} - {SWD(2020) 314 final} - {SWD(2020) 315 final} - {SWD(2020) 316 final} - {SWD(2020) 317 final} - {SWD(2020) 318 final} - {SWD(2020) 319 final} - {SWD(2020) 320 final} - {SWD(2020) 321 final} - {SWD(2020) 322 final} - {SWD(2020) 323 final} - {SWD(2020) 324 final} - {SWD(2020) 325 final} - {SWD(2020) 326 final}"/>
    <w:docVar w:name="LW_DocType" w:val="EUROLOOK"/>
    <w:docVar w:name="LW_EMISSION" w:val="30.9.2020"/>
    <w:docVar w:name="LW_EMISSION_ISODATE" w:val="2020-09-30"/>
    <w:docVar w:name="LW_EMISSION_LOCATION" w:val="BRX"/>
    <w:docVar w:name="LW_EMISSION_PREFIX" w:val="Brussel, "/>
    <w:docVar w:name="LW_EMISSION_SUFFIX" w:val=" "/>
    <w:docVar w:name="LW_ID_DOCTYPE_NONLW" w:val="CP-025"/>
    <w:docVar w:name="LW_LANGUE" w:val="NL"/>
    <w:docVar w:name="LW_LEVEL_OF_SENSITIVITY" w:val="Standard treatment"/>
    <w:docVar w:name="LW_NOM.INST" w:val="EUROPESE COMMISSIE"/>
    <w:docVar w:name="LW_NOM.INST_JOINTDOC" w:val="&lt;EMPTY&gt;"/>
    <w:docVar w:name="LW_OBJETACTEPRINCIPAL.CP" w:val="Verslag over de rechtsstaat 2020_x000d__x000b_Situatie op het gebied van de rechtsstaat in de Europese Unie"/>
    <w:docVar w:name="LW_PART_NBR" w:val="1"/>
    <w:docVar w:name="LW_PART_NBR_TOTAL" w:val="1"/>
    <w:docVar w:name="LW_REF.INST.NEW" w:val="SWD"/>
    <w:docVar w:name="LW_REF.INST.NEW_ADOPTED" w:val="final"/>
    <w:docVar w:name="LW_REF.INST.NEW_TEXT" w:val="(2020) 31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erslag over de rechtsstaat 2020_x000d__x000d__x000d__x000d__x000d__x000b_Landenhoofdstuk over Cyprus"/>
    <w:docVar w:name="LW_TYPE.DOC.CP" w:val="WERKDOCUMENT VAN DE DIENSTEN VAN DE COMMISSIE"/>
    <w:docVar w:name="LW_TYPEACTEPRINCIPAL.CP" w:val="MEDEDELING VAN DE COMMISSIE AAN HET EUROPEES PARLEMENT, DE RAAD, HT ECONOMISCH EN SOCIAAL COMITÉ EN HET COMITÉ VAN DE REGIO'S"/>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nl-NL"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uiPriority="99"/>
    <w:lsdException w:name="footer" w:semiHidden="0" w:uiPriority="99"/>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basedOn w:val="DefaultParagraphFont"/>
    <w:link w:val="ftrefCharCharCharCharCharCharCharCharChar"/>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aliases w:val="titulo 3,Table Heading,Булет Стандарт,Noise heading,RUS List,TOC style,lp1,Bullet OSM,Proposal Bullet List,Cell bullets,Issue Action POC,3,POCG Table Text,Dot pt,F5 List Paragraph,List Paragraph Char Char Char,Indicator Text,Bullet 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customStyle="1" w:styleId="paragraph">
    <w:name w:val="paragraph"/>
    <w:basedOn w:val="Normal"/>
    <w:pPr>
      <w:spacing w:before="100" w:beforeAutospacing="1" w:after="100" w:afterAutospacing="1"/>
      <w:jc w:val="left"/>
    </w:pPr>
    <w:rPr>
      <w:szCs w:val="24"/>
    </w:rPr>
  </w:style>
  <w:style w:type="character" w:customStyle="1" w:styleId="normaltextrun">
    <w:name w:val="normaltextrun"/>
    <w:basedOn w:val="DefaultParagraphFont"/>
  </w:style>
  <w:style w:type="character" w:customStyle="1" w:styleId="ListParagraphChar">
    <w:name w:val="List Paragraph Char"/>
    <w:aliases w:val="titulo 3 Char,Table Heading Char,Булет Стандарт Char,Noise heading Char,RUS List Char,TOC style Char,lp1 Char,Bullet OSM Char,Proposal Bullet List Char,Cell bullets Char,Issue Action POC Char,3 Char,POCG Table Text Char,Dot pt Char"/>
    <w:link w:val="ListParagraph"/>
    <w:uiPriority w:val="34"/>
    <w:qFormat/>
    <w:locked/>
    <w:rPr>
      <w:rFonts w:asciiTheme="minorHAnsi" w:eastAsiaTheme="minorHAnsi" w:hAnsiTheme="minorHAnsi" w:cstheme="minorBidi"/>
      <w:sz w:val="22"/>
      <w:szCs w:val="22"/>
      <w:lang w:val="nl-NL"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pPr>
      <w:spacing w:after="160" w:line="240" w:lineRule="exact"/>
    </w:pPr>
    <w:rPr>
      <w:vertAlign w:val="superscript"/>
    </w:rPr>
  </w:style>
  <w:style w:type="character" w:customStyle="1" w:styleId="FooterChar">
    <w:name w:val="Footer Char"/>
    <w:basedOn w:val="DefaultParagraphFont"/>
    <w:link w:val="Footer"/>
    <w:uiPriority w:val="99"/>
    <w:rPr>
      <w:sz w:val="16"/>
    </w:rPr>
  </w:style>
  <w:style w:type="character" w:styleId="FollowedHyperlink">
    <w:name w:val="FollowedHyperlink"/>
    <w:basedOn w:val="DefaultParagraphFont"/>
    <w:semiHidden/>
    <w:lock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nl-NL" w:eastAsia="en-GB" w:bidi="ar-SA"/>
      </w:rPr>
    </w:rPrDefault>
    <w:pPrDefault/>
  </w:docDefaults>
  <w:latentStyles w:defLockedState="1" w:defUIPriority="0" w:defSemiHidden="1" w:defUnhideWhenUsed="0" w:defQFormat="0" w:count="267">
    <w:lsdException w:name="Normal" w:semiHidden="0" w:uiPriority="90" w:qFormat="1"/>
    <w:lsdException w:name="heading 1" w:semiHidden="0" w:uiPriority="90" w:qFormat="1"/>
    <w:lsdException w:name="heading 2" w:semiHidden="0" w:uiPriority="90" w:qFormat="1"/>
    <w:lsdException w:name="heading 3" w:semiHidden="0" w:uiPriority="90" w:qFormat="1"/>
    <w:lsdException w:name="heading 4" w:semiHidden="0" w:uiPriority="90" w:qFormat="1"/>
    <w:lsdException w:name="toc 1" w:uiPriority="39"/>
    <w:lsdException w:name="toc 2" w:uiPriority="39"/>
    <w:lsdException w:name="toc 3" w:uiPriority="99"/>
    <w:lsdException w:name="toc 4" w:uiPriority="99"/>
    <w:lsdException w:name="footnote text" w:uiPriority="99" w:qFormat="1"/>
    <w:lsdException w:name="header" w:semiHidden="0" w:uiPriority="99"/>
    <w:lsdException w:name="footer" w:semiHidden="0" w:uiPriority="99"/>
    <w:lsdException w:name="caption" w:semiHidden="0"/>
    <w:lsdException w:name="footnote reference" w:uiPriority="99"/>
    <w:lsdException w:name="List Bullet" w:semiHidden="0"/>
    <w:lsdException w:name="List Number" w:semiHidden="0"/>
    <w:lsdException w:name="List Bullet 2" w:semiHidden="0"/>
    <w:lsdException w:name="List Bullet 3" w:semiHidden="0"/>
    <w:lsdException w:name="List Bullet 4" w:semiHidden="0"/>
    <w:lsdException w:name="List Number 2" w:semiHidden="0"/>
    <w:lsdException w:name="List Number 3" w:semiHidden="0"/>
    <w:lsdException w:name="List Number 4" w:semiHidden="0"/>
    <w:lsdException w:name="Title" w:semiHidden="0"/>
    <w:lsdException w:name="Signature" w:semiHidden="0"/>
    <w:lsdException w:name="Default Paragraph Font" w:uiPriority="1"/>
    <w:lsdException w:name="Date" w:semiHidden="0"/>
    <w:lsdException w:name="Hyperlink" w:uiPriority="99"/>
    <w:lsdException w:name="Normal Table"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uiPriority="34" w:qFormat="1"/>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lsdException w:name="Colorful Grid Accent 6" w:semiHidden="0"/>
  </w:latentStyles>
  <w:style w:type="paragraph" w:default="1" w:styleId="Normal">
    <w:name w:val="Normal"/>
    <w:uiPriority w:val="90"/>
    <w:qFormat/>
    <w:pPr>
      <w:spacing w:after="240"/>
      <w:jc w:val="both"/>
    </w:pPr>
  </w:style>
  <w:style w:type="paragraph" w:styleId="Heading1">
    <w:name w:val="heading 1"/>
    <w:basedOn w:val="Normal"/>
    <w:next w:val="Text1"/>
    <w:uiPriority w:val="90"/>
    <w:qFormat/>
    <w:pPr>
      <w:keepNext/>
      <w:numPr>
        <w:numId w:val="16"/>
      </w:numPr>
      <w:spacing w:before="240"/>
      <w:outlineLvl w:val="0"/>
    </w:pPr>
    <w:rPr>
      <w:b/>
      <w:smallCaps/>
    </w:rPr>
  </w:style>
  <w:style w:type="paragraph" w:styleId="Heading2">
    <w:name w:val="heading 2"/>
    <w:basedOn w:val="Normal"/>
    <w:next w:val="Text2"/>
    <w:uiPriority w:val="90"/>
    <w:qFormat/>
    <w:pPr>
      <w:keepNext/>
      <w:numPr>
        <w:ilvl w:val="1"/>
        <w:numId w:val="16"/>
      </w:numPr>
      <w:outlineLvl w:val="1"/>
    </w:pPr>
    <w:rPr>
      <w:b/>
    </w:rPr>
  </w:style>
  <w:style w:type="paragraph" w:styleId="Heading3">
    <w:name w:val="heading 3"/>
    <w:basedOn w:val="Normal"/>
    <w:next w:val="Text3"/>
    <w:uiPriority w:val="90"/>
    <w:qFormat/>
    <w:pPr>
      <w:keepNext/>
      <w:numPr>
        <w:ilvl w:val="2"/>
        <w:numId w:val="16"/>
      </w:numPr>
      <w:outlineLvl w:val="2"/>
    </w:pPr>
    <w:rPr>
      <w:i/>
    </w:rPr>
  </w:style>
  <w:style w:type="paragraph" w:styleId="Heading4">
    <w:name w:val="heading 4"/>
    <w:basedOn w:val="Normal"/>
    <w:next w:val="Text4"/>
    <w:uiPriority w:val="9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288061"/>
    </w:rPr>
  </w:style>
  <w:style w:type="character" w:customStyle="1" w:styleId="BodyPlaceholderText">
    <w:name w:val="BodyPlaceholderText"/>
    <w:basedOn w:val="PlaceholderText"/>
    <w:uiPriority w:val="1"/>
    <w:semiHidden/>
    <w:rPr>
      <w:color w:val="3366CC"/>
    </w:rPr>
  </w:style>
  <w:style w:type="character" w:customStyle="1" w:styleId="InstructionRed">
    <w:name w:val="InstructionRed"/>
    <w:semiHidden/>
    <w:rPr>
      <w:i/>
      <w:color w:val="CB3535"/>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99"/>
    <w:rPr>
      <w:i/>
    </w:rPr>
  </w:style>
  <w:style w:type="paragraph" w:customStyle="1" w:styleId="FigureSource">
    <w:name w:val="Figure Source"/>
    <w:basedOn w:val="Normal"/>
    <w:next w:val="Normal"/>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
    <w:next w:val="FigureNote"/>
    <w:uiPriority w:val="7"/>
    <w:pPr>
      <w:keepNext/>
      <w:spacing w:after="40"/>
    </w:pPr>
  </w:style>
  <w:style w:type="paragraph" w:customStyle="1" w:styleId="FigureTitle">
    <w:name w:val="Figure Title"/>
    <w:basedOn w:val="Normal"/>
    <w:next w:val="FigureBody"/>
    <w:uiPriority w:val="6"/>
    <w:pPr>
      <w:keepNext/>
      <w:spacing w:after="180"/>
    </w:pPr>
    <w:rPr>
      <w:b/>
    </w:rPr>
  </w:style>
  <w:style w:type="paragraph" w:customStyle="1" w:styleId="HistTableHeading">
    <w:name w:val="HistTableHeading"/>
    <w:basedOn w:val="Normal"/>
    <w:next w:val="HistoryTable"/>
    <w:pPr>
      <w:spacing w:before="240"/>
      <w:jc w:val="center"/>
    </w:pPr>
    <w:rPr>
      <w:rFonts w:ascii="Times New Roman Bold" w:hAnsi="Times New Roman Bold"/>
      <w:b/>
      <w:caps/>
    </w:rPr>
  </w:style>
  <w:style w:type="paragraph" w:customStyle="1" w:styleId="HistoryTable">
    <w:name w:val="HistoryTable"/>
    <w:basedOn w:val="Normal"/>
    <w:pPr>
      <w:spacing w:before="60" w:after="60"/>
      <w:jc w:val="left"/>
    </w:pPr>
    <w:rPr>
      <w:sz w:val="20"/>
    </w:rPr>
  </w:style>
  <w:style w:type="paragraph" w:customStyle="1" w:styleId="FooterLine">
    <w:name w:val="Footer Line"/>
    <w:basedOn w:val="Footer"/>
    <w:next w:val="Footer"/>
    <w:uiPriority w:val="99"/>
    <w:pPr>
      <w:tabs>
        <w:tab w:val="right" w:pos="8646"/>
      </w:tabs>
      <w:spacing w:before="120" w:line="264" w:lineRule="auto"/>
      <w:ind w:right="0"/>
      <w:jc w:val="both"/>
    </w:pPr>
  </w:style>
  <w:style w:type="paragraph" w:customStyle="1" w:styleId="YReferences">
    <w:name w:val="YReferences"/>
    <w:basedOn w:val="Normal"/>
    <w:pPr>
      <w:spacing w:after="480"/>
      <w:ind w:left="3062" w:hanging="1531"/>
      <w:contextualSpacing/>
    </w:pPr>
  </w:style>
  <w:style w:type="paragraph" w:customStyle="1" w:styleId="SubTitle2">
    <w:name w:val="SubTitle 2"/>
    <w:basedOn w:val="Normal"/>
    <w:pPr>
      <w:jc w:val="center"/>
    </w:pPr>
    <w:rPr>
      <w:b/>
      <w:sz w:val="32"/>
    </w:rPr>
  </w:style>
  <w:style w:type="paragraph" w:customStyle="1" w:styleId="SubTitle1">
    <w:name w:val="SubTitle 1"/>
    <w:basedOn w:val="Normal"/>
    <w:next w:val="SubTitle2"/>
    <w:pPr>
      <w:jc w:val="center"/>
    </w:pPr>
    <w:rPr>
      <w:b/>
      <w:sz w:val="40"/>
    </w:rPr>
  </w:style>
  <w:style w:type="paragraph" w:styleId="Title">
    <w:name w:val="Title"/>
    <w:basedOn w:val="Normal"/>
    <w:next w:val="SubTitle1"/>
    <w:pPr>
      <w:spacing w:after="480"/>
      <w:jc w:val="center"/>
    </w:pPr>
    <w:rPr>
      <w:b/>
      <w:kern w:val="28"/>
      <w:sz w:val="48"/>
    </w:rPr>
  </w:style>
  <w:style w:type="paragraph" w:customStyle="1" w:styleId="Enclosures">
    <w:name w:val="Enclosures"/>
    <w:basedOn w:val="Normal"/>
    <w:pPr>
      <w:keepNext/>
      <w:keepLines/>
      <w:tabs>
        <w:tab w:val="left" w:pos="5641"/>
      </w:tabs>
      <w:spacing w:before="480" w:after="0"/>
      <w:ind w:left="2382" w:hanging="1191"/>
      <w:contextualSpacing/>
      <w:jc w:val="left"/>
    </w:pPr>
  </w:style>
  <w:style w:type="paragraph" w:customStyle="1" w:styleId="DoubSign">
    <w:name w:val="DoubSign"/>
    <w:basedOn w:val="Normal"/>
    <w:next w:val="Enclosures"/>
    <w:pPr>
      <w:tabs>
        <w:tab w:val="left" w:pos="5102"/>
      </w:tabs>
      <w:spacing w:before="1200" w:after="0"/>
      <w:jc w:val="left"/>
    </w:pPr>
  </w:style>
  <w:style w:type="paragraph" w:customStyle="1" w:styleId="SignatureL">
    <w:name w:val="SignatureL"/>
    <w:basedOn w:val="Normal"/>
    <w:next w:val="Enclosures"/>
    <w:pPr>
      <w:tabs>
        <w:tab w:val="left" w:pos="5102"/>
      </w:tabs>
      <w:spacing w:before="1200" w:after="0"/>
      <w:jc w:val="left"/>
    </w:pPr>
  </w:style>
  <w:style w:type="paragraph" w:styleId="Signature">
    <w:name w:val="Signature"/>
    <w:basedOn w:val="Normal"/>
    <w:next w:val="Enclosures"/>
    <w:pPr>
      <w:tabs>
        <w:tab w:val="left" w:pos="5102"/>
      </w:tabs>
      <w:spacing w:before="1200" w:after="0"/>
      <w:ind w:left="5102"/>
      <w:jc w:val="center"/>
    </w:pPr>
  </w:style>
  <w:style w:type="paragraph" w:customStyle="1" w:styleId="SectionTitle">
    <w:name w:val="SectionTitle"/>
    <w:basedOn w:val="Normal"/>
    <w:next w:val="Heading1"/>
    <w:uiPriority w:val="90"/>
    <w:qFormat/>
    <w:pPr>
      <w:keepNext/>
      <w:spacing w:after="480"/>
      <w:jc w:val="center"/>
      <w:outlineLvl w:val="0"/>
    </w:pPr>
    <w:rPr>
      <w:b/>
      <w:smallCaps/>
      <w:sz w:val="28"/>
    </w:rPr>
  </w:style>
  <w:style w:type="paragraph" w:customStyle="1" w:styleId="ChapterTitle">
    <w:name w:val="ChapterTitle"/>
    <w:basedOn w:val="Normal"/>
    <w:next w:val="SectionTitle"/>
    <w:uiPriority w:val="90"/>
    <w:qFormat/>
    <w:pPr>
      <w:keepNext/>
      <w:spacing w:after="480"/>
      <w:jc w:val="center"/>
      <w:outlineLvl w:val="0"/>
    </w:pPr>
    <w:rPr>
      <w:b/>
      <w:sz w:val="32"/>
    </w:rPr>
  </w:style>
  <w:style w:type="paragraph" w:customStyle="1" w:styleId="PartTitle">
    <w:name w:val="PartTitle"/>
    <w:basedOn w:val="Normal"/>
    <w:next w:val="ChapterTitle"/>
    <w:uiPriority w:val="90"/>
    <w:qFormat/>
    <w:pPr>
      <w:keepNext/>
      <w:pageBreakBefore/>
      <w:spacing w:after="480"/>
      <w:jc w:val="center"/>
      <w:outlineLvl w:val="0"/>
    </w:pPr>
    <w:rPr>
      <w:b/>
      <w:sz w:val="36"/>
    </w:rPr>
  </w:style>
  <w:style w:type="paragraph" w:customStyle="1" w:styleId="AddressTR">
    <w:name w:val="AddressTR"/>
    <w:basedOn w:val="Normal"/>
    <w:next w:val="Normal"/>
    <w:pPr>
      <w:spacing w:after="720"/>
      <w:ind w:left="5102"/>
      <w:jc w:val="left"/>
    </w:pPr>
  </w:style>
  <w:style w:type="paragraph" w:customStyle="1" w:styleId="AddressTL">
    <w:name w:val="AddressTL"/>
    <w:basedOn w:val="Normal"/>
    <w:next w:val="Normal"/>
    <w:pPr>
      <w:spacing w:after="720"/>
      <w:jc w:val="left"/>
    </w:pPr>
  </w:style>
  <w:style w:type="paragraph" w:customStyle="1" w:styleId="Address">
    <w:name w:val="Address"/>
    <w:basedOn w:val="Normal"/>
    <w:pPr>
      <w:spacing w:after="0"/>
      <w:jc w:val="left"/>
    </w:pPr>
  </w:style>
  <w:style w:type="paragraph" w:customStyle="1" w:styleId="Text4">
    <w:name w:val="Text 4"/>
    <w:basedOn w:val="Normal"/>
    <w:uiPriority w:val="90"/>
    <w:qFormat/>
    <w:pPr>
      <w:ind w:left="1202"/>
    </w:pPr>
  </w:style>
  <w:style w:type="paragraph" w:customStyle="1" w:styleId="Text3">
    <w:name w:val="Text 3"/>
    <w:basedOn w:val="Normal"/>
    <w:uiPriority w:val="90"/>
    <w:qFormat/>
    <w:pPr>
      <w:ind w:left="1202"/>
    </w:pPr>
  </w:style>
  <w:style w:type="paragraph" w:customStyle="1" w:styleId="Text2">
    <w:name w:val="Text 2"/>
    <w:basedOn w:val="Normal"/>
    <w:uiPriority w:val="90"/>
    <w:qFormat/>
    <w:pPr>
      <w:ind w:left="1202"/>
    </w:pPr>
  </w:style>
  <w:style w:type="paragraph" w:customStyle="1" w:styleId="Text1">
    <w:name w:val="Text 1"/>
    <w:basedOn w:val="Normal"/>
    <w:uiPriority w:val="90"/>
    <w:qFormat/>
    <w:pPr>
      <w:ind w:left="482"/>
    </w:pPr>
  </w:style>
  <w:style w:type="paragraph" w:customStyle="1" w:styleId="ZFlag">
    <w:name w:val="Z_Flag"/>
    <w:basedOn w:val="Normal"/>
    <w:next w:val="Normal"/>
    <w:uiPriority w:val="99"/>
    <w:semiHidden/>
    <w:pPr>
      <w:widowControl w:val="0"/>
      <w:spacing w:after="0"/>
      <w:ind w:right="85"/>
    </w:pPr>
  </w:style>
  <w:style w:type="paragraph" w:customStyle="1" w:styleId="ZCom">
    <w:name w:val="Z_Com"/>
    <w:basedOn w:val="Normal"/>
    <w:next w:val="Normal"/>
    <w:uiPriority w:val="99"/>
    <w:semiHidden/>
    <w:pPr>
      <w:widowControl w:val="0"/>
      <w:spacing w:before="90" w:after="0"/>
      <w:ind w:right="85"/>
    </w:pPr>
  </w:style>
  <w:style w:type="paragraph" w:customStyle="1" w:styleId="ZDGName">
    <w:name w:val="Z_DGName"/>
    <w:basedOn w:val="Normal"/>
    <w:uiPriority w:val="99"/>
    <w:semiHidden/>
    <w:pPr>
      <w:widowControl w:val="0"/>
      <w:spacing w:after="0"/>
      <w:ind w:right="85"/>
      <w:jc w:val="left"/>
    </w:pPr>
    <w:rPr>
      <w:sz w:val="16"/>
    </w:rPr>
  </w:style>
  <w:style w:type="paragraph" w:styleId="Caption">
    <w:name w:val="caption"/>
    <w:basedOn w:val="Normal"/>
    <w:next w:val="Normal"/>
    <w:pPr>
      <w:spacing w:before="160"/>
    </w:pPr>
    <w:rPr>
      <w:i/>
      <w:sz w:val="22"/>
    </w:rPr>
  </w:style>
  <w:style w:type="paragraph" w:customStyle="1" w:styleId="Contact">
    <w:name w:val="Contact"/>
    <w:basedOn w:val="Normal"/>
    <w:uiPriority w:val="99"/>
    <w:pPr>
      <w:spacing w:before="480" w:after="0"/>
      <w:ind w:left="567" w:hanging="567"/>
      <w:contextualSpacing/>
      <w:jc w:val="left"/>
    </w:pPr>
  </w:style>
  <w:style w:type="paragraph" w:styleId="Date">
    <w:name w:val="Date"/>
    <w:basedOn w:val="Normal"/>
    <w:next w:val="References"/>
    <w:pPr>
      <w:spacing w:after="0"/>
      <w:ind w:left="5102" w:right="-567"/>
      <w:jc w:val="left"/>
    </w:pPr>
  </w:style>
  <w:style w:type="paragraph" w:customStyle="1" w:styleId="References">
    <w:name w:val="References"/>
    <w:basedOn w:val="Normal"/>
    <w:pPr>
      <w:ind w:left="5102" w:right="-567"/>
      <w:contextualSpacing/>
      <w:jc w:val="left"/>
    </w:pPr>
    <w:rPr>
      <w:sz w:val="20"/>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styleId="EndnoteText">
    <w:name w:val="endnote text"/>
    <w:basedOn w:val="Normal"/>
    <w:semiHidden/>
    <w:rPr>
      <w:sz w:val="20"/>
    </w:rPr>
  </w:style>
  <w:style w:type="paragraph" w:styleId="Footer">
    <w:name w:val="footer"/>
    <w:basedOn w:val="Normal"/>
    <w:link w:val="FooterChar"/>
    <w:uiPriority w:val="99"/>
    <w:pPr>
      <w:spacing w:after="0"/>
      <w:ind w:right="-567"/>
      <w:jc w:val="left"/>
    </w:pPr>
    <w:rPr>
      <w:sz w:val="16"/>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qFormat/>
    <w:pPr>
      <w:spacing w:after="120"/>
      <w:ind w:left="357" w:hanging="357"/>
    </w:pPr>
    <w:rPr>
      <w:sz w:val="20"/>
    </w:rPr>
  </w:style>
  <w:style w:type="paragraph" w:styleId="MacroText">
    <w:name w:val="macro"/>
    <w:basedOn w:val="Normal"/>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90"/>
    <w:qFormat/>
    <w:pPr>
      <w:keepNext w:val="0"/>
      <w:spacing w:before="0"/>
      <w:outlineLvl w:val="9"/>
    </w:pPr>
    <w:rPr>
      <w:b w:val="0"/>
      <w:smallCaps w:val="0"/>
    </w:rPr>
  </w:style>
  <w:style w:type="paragraph" w:customStyle="1" w:styleId="NumPar2">
    <w:name w:val="NumPar 2"/>
    <w:basedOn w:val="Heading2"/>
    <w:uiPriority w:val="90"/>
    <w:qFormat/>
    <w:pPr>
      <w:keepNext w:val="0"/>
      <w:outlineLvl w:val="9"/>
    </w:pPr>
    <w:rPr>
      <w:b w:val="0"/>
    </w:rPr>
  </w:style>
  <w:style w:type="paragraph" w:customStyle="1" w:styleId="NumPar3">
    <w:name w:val="NumPar 3"/>
    <w:basedOn w:val="Heading3"/>
    <w:uiPriority w:val="90"/>
    <w:qFormat/>
    <w:pPr>
      <w:keepNext w:val="0"/>
      <w:outlineLvl w:val="9"/>
    </w:pPr>
    <w:rPr>
      <w:i w:val="0"/>
    </w:rPr>
  </w:style>
  <w:style w:type="paragraph" w:customStyle="1" w:styleId="NumPar4">
    <w:name w:val="NumPar 4"/>
    <w:basedOn w:val="Heading4"/>
    <w:uiPriority w:val="90"/>
    <w:qFormat/>
    <w:pPr>
      <w:keepNext w:val="0"/>
      <w:outlineLvl w:val="9"/>
    </w:pPr>
  </w:style>
  <w:style w:type="paragraph" w:customStyle="1" w:styleId="AnnexTitle">
    <w:name w:val="AnnexTitle"/>
    <w:basedOn w:val="Normal"/>
    <w:next w:val="Normal"/>
    <w:uiPriority w:val="90"/>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uiPriority w:val="39"/>
    <w:semiHidden/>
    <w:pPr>
      <w:tabs>
        <w:tab w:val="right" w:leader="dot" w:pos="8640"/>
      </w:tabs>
      <w:spacing w:before="120" w:after="120"/>
      <w:ind w:left="482" w:right="720" w:hanging="482"/>
    </w:pPr>
    <w:rPr>
      <w:caps/>
    </w:rPr>
  </w:style>
  <w:style w:type="paragraph" w:styleId="TOC2">
    <w:name w:val="toc 2"/>
    <w:basedOn w:val="Normal"/>
    <w:next w:val="Normal"/>
    <w:uiPriority w:val="39"/>
    <w:semiHidden/>
    <w:pPr>
      <w:tabs>
        <w:tab w:val="right" w:leader="dot" w:pos="8640"/>
      </w:tabs>
      <w:spacing w:before="60" w:after="60"/>
      <w:ind w:left="1077" w:right="720" w:hanging="595"/>
    </w:pPr>
    <w:rPr>
      <w:noProof/>
    </w:rPr>
  </w:style>
  <w:style w:type="paragraph" w:styleId="TOC3">
    <w:name w:val="toc 3"/>
    <w:basedOn w:val="Normal"/>
    <w:next w:val="Normal"/>
    <w:uiPriority w:val="99"/>
    <w:semiHidden/>
    <w:pPr>
      <w:tabs>
        <w:tab w:val="right" w:leader="dot" w:pos="8640"/>
      </w:tabs>
      <w:spacing w:before="60" w:after="60"/>
      <w:ind w:left="1916" w:right="720" w:hanging="839"/>
    </w:pPr>
  </w:style>
  <w:style w:type="paragraph" w:styleId="TOC4">
    <w:name w:val="toc 4"/>
    <w:basedOn w:val="Normal"/>
    <w:next w:val="Normal"/>
    <w:uiPriority w:val="99"/>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Bullet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Bullet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Bullet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
    <w:pPr>
      <w:numPr>
        <w:numId w:val="5"/>
      </w:numPr>
    </w:pPr>
  </w:style>
  <w:style w:type="paragraph" w:customStyle="1" w:styleId="ListDashLevel2">
    <w:name w:val="List Dash (Level 2)"/>
    <w:basedOn w:val="Normal"/>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Number">
    <w:name w:val="List Number"/>
    <w:basedOn w:val="Normal"/>
    <w:pPr>
      <w:numPr>
        <w:numId w:val="10"/>
      </w:numPr>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semiHidden/>
    <w:unhideWhenUsed/>
    <w:pPr>
      <w:numPr>
        <w:ilvl w:val="2"/>
        <w:numId w:val="10"/>
      </w:numPr>
    </w:pPr>
  </w:style>
  <w:style w:type="paragraph" w:customStyle="1" w:styleId="ListNumberLevel4">
    <w:name w:val="List Number (Level 4)"/>
    <w:basedOn w:val="Normal"/>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semiHidden/>
    <w:unhideWhenUsed/>
    <w:pPr>
      <w:numPr>
        <w:ilvl w:val="2"/>
        <w:numId w:val="9"/>
      </w:numPr>
    </w:pPr>
  </w:style>
  <w:style w:type="paragraph" w:customStyle="1" w:styleId="ListNumber1Level4">
    <w:name w:val="List Number 1 (Level 4)"/>
    <w:basedOn w:val="Text1"/>
    <w:semiHidden/>
    <w:unhideWhenUsed/>
    <w:pPr>
      <w:numPr>
        <w:ilvl w:val="3"/>
        <w:numId w:val="9"/>
      </w:numPr>
    </w:pPr>
  </w:style>
  <w:style w:type="paragraph" w:styleId="ListNumber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Number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Number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
    <w:pPr>
      <w:ind w:left="5102" w:right="-567"/>
      <w:contextualSpacing/>
      <w:jc w:val="left"/>
    </w:pPr>
    <w:rPr>
      <w:sz w:val="28"/>
    </w:rPr>
  </w:style>
  <w:style w:type="paragraph" w:customStyle="1" w:styleId="LegalNumPar">
    <w:name w:val="LegalNumPar"/>
    <w:basedOn w:val="Normal"/>
    <w:uiPriority w:val="90"/>
    <w:qFormat/>
    <w:pPr>
      <w:numPr>
        <w:numId w:val="17"/>
      </w:numPr>
      <w:spacing w:line="360" w:lineRule="auto"/>
    </w:pPr>
  </w:style>
  <w:style w:type="paragraph" w:customStyle="1" w:styleId="LegalNumPar2">
    <w:name w:val="LegalNumPar2"/>
    <w:basedOn w:val="Normal"/>
    <w:pPr>
      <w:numPr>
        <w:ilvl w:val="1"/>
        <w:numId w:val="17"/>
      </w:numPr>
      <w:spacing w:line="360" w:lineRule="auto"/>
    </w:pPr>
  </w:style>
  <w:style w:type="paragraph" w:customStyle="1" w:styleId="LegalNumPar3">
    <w:name w:val="LegalNumPar3"/>
    <w:basedOn w:val="Normal"/>
    <w:pPr>
      <w:numPr>
        <w:ilvl w:val="2"/>
        <w:numId w:val="17"/>
      </w:numPr>
      <w:spacing w:line="360" w:lineRule="auto"/>
    </w:pPr>
  </w:style>
  <w:style w:type="paragraph" w:customStyle="1" w:styleId="ContNum">
    <w:name w:val="ContNum"/>
    <w:basedOn w:val="Normal"/>
    <w:uiPriority w:val="90"/>
    <w:qFormat/>
    <w:pPr>
      <w:numPr>
        <w:numId w:val="18"/>
      </w:numPr>
    </w:pPr>
  </w:style>
  <w:style w:type="paragraph" w:customStyle="1" w:styleId="ContNumLevel2">
    <w:name w:val="ContNum (Level 2)"/>
    <w:basedOn w:val="Normal"/>
    <w:pPr>
      <w:numPr>
        <w:ilvl w:val="1"/>
        <w:numId w:val="18"/>
      </w:numPr>
    </w:pPr>
  </w:style>
  <w:style w:type="paragraph" w:customStyle="1" w:styleId="ContNumLevel3">
    <w:name w:val="ContNum (Level 3)"/>
    <w:basedOn w:val="Normal"/>
    <w:pPr>
      <w:numPr>
        <w:ilvl w:val="2"/>
        <w:numId w:val="18"/>
      </w:numPr>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TableHistory">
    <w:name w:val="Table History"/>
    <w:basedOn w:val="TableNormal"/>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uiPriority w:val="99"/>
    <w:tblPr>
      <w:tblCellMar>
        <w:left w:w="0" w:type="dxa"/>
        <w:bottom w:w="340" w:type="dxa"/>
        <w:right w:w="0" w:type="dxa"/>
      </w:tblCellMar>
    </w:tblPr>
  </w:style>
  <w:style w:type="paragraph" w:styleId="BalloonText">
    <w:name w:val="Balloon Text"/>
    <w:basedOn w:val="Normal"/>
    <w:link w:val="BalloonTextChar"/>
    <w:semiHidden/>
    <w:lock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sz w:val="2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
    <w:basedOn w:val="DefaultParagraphFont"/>
    <w:link w:val="ftrefCharCharCharCharCharCharCharCharChar"/>
    <w:uiPriority w:val="99"/>
    <w:unhideWhenUsed/>
    <w:locked/>
    <w:rPr>
      <w:vertAlign w:val="superscript"/>
    </w:rPr>
  </w:style>
  <w:style w:type="character" w:styleId="Hyperlink">
    <w:name w:val="Hyperlink"/>
    <w:basedOn w:val="DefaultParagraphFont"/>
    <w:uiPriority w:val="99"/>
    <w:unhideWhenUsed/>
    <w:locked/>
    <w:rPr>
      <w:color w:val="0563C1" w:themeColor="hyperlink"/>
      <w:u w:val="single"/>
    </w:rPr>
  </w:style>
  <w:style w:type="paragraph" w:styleId="ListParagraph">
    <w:name w:val="List Paragraph"/>
    <w:aliases w:val="titulo 3,Table Heading,Булет Стандарт,Noise heading,RUS List,TOC style,lp1,Bullet OSM,Proposal Bullet List,Cell bullets,Issue Action POC,3,POCG Table Text,Dot pt,F5 List Paragraph,List Paragraph Char Char Char,Indicator Text,Bullet 1"/>
    <w:basedOn w:val="Normal"/>
    <w:link w:val="ListParagraphChar"/>
    <w:uiPriority w:val="34"/>
    <w:qFormat/>
    <w:locked/>
    <w:pPr>
      <w:spacing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sz w:val="20"/>
    </w:rPr>
  </w:style>
  <w:style w:type="paragraph" w:customStyle="1" w:styleId="paragraph">
    <w:name w:val="paragraph"/>
    <w:basedOn w:val="Normal"/>
    <w:pPr>
      <w:spacing w:before="100" w:beforeAutospacing="1" w:after="100" w:afterAutospacing="1"/>
      <w:jc w:val="left"/>
    </w:pPr>
    <w:rPr>
      <w:szCs w:val="24"/>
    </w:rPr>
  </w:style>
  <w:style w:type="character" w:customStyle="1" w:styleId="normaltextrun">
    <w:name w:val="normaltextrun"/>
    <w:basedOn w:val="DefaultParagraphFont"/>
  </w:style>
  <w:style w:type="character" w:customStyle="1" w:styleId="ListParagraphChar">
    <w:name w:val="List Paragraph Char"/>
    <w:aliases w:val="titulo 3 Char,Table Heading Char,Булет Стандарт Char,Noise heading Char,RUS List Char,TOC style Char,lp1 Char,Bullet OSM Char,Proposal Bullet List Char,Cell bullets Char,Issue Action POC Char,3 Char,POCG Table Text Char,Dot pt Char"/>
    <w:link w:val="ListParagraph"/>
    <w:uiPriority w:val="34"/>
    <w:qFormat/>
    <w:locked/>
    <w:rPr>
      <w:rFonts w:asciiTheme="minorHAnsi" w:eastAsiaTheme="minorHAnsi" w:hAnsiTheme="minorHAnsi" w:cstheme="minorBidi"/>
      <w:sz w:val="22"/>
      <w:szCs w:val="22"/>
      <w:lang w:val="nl-NL" w:eastAsia="en-US"/>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link w:val="FootnoteReference"/>
    <w:uiPriority w:val="99"/>
    <w:pPr>
      <w:spacing w:after="160" w:line="240" w:lineRule="exact"/>
    </w:pPr>
    <w:rPr>
      <w:vertAlign w:val="superscript"/>
    </w:rPr>
  </w:style>
  <w:style w:type="character" w:customStyle="1" w:styleId="FooterChar">
    <w:name w:val="Footer Char"/>
    <w:basedOn w:val="DefaultParagraphFont"/>
    <w:link w:val="Footer"/>
    <w:uiPriority w:val="99"/>
    <w:rPr>
      <w:sz w:val="16"/>
    </w:rPr>
  </w:style>
  <w:style w:type="character" w:styleId="FollowedHyperlink">
    <w:name w:val="FollowedHyperlink"/>
    <w:basedOn w:val="DefaultParagraphFont"/>
    <w:semiHidden/>
    <w:lock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cmpf.eui.eu/media-pluralism-monitor/mpm-2020/"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supremecourt.gov.cy/judicial/sc.nsf/All/4F4B016078A6DA93C22583BD003D9CDB?OpenDocu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cnl.org/republic-cyprus-adopted-progressive-ngo-law/" TargetMode="External"/><Relationship Id="rId29" Type="http://schemas.openxmlformats.org/officeDocument/2006/relationships/header" Target="header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hyperlink" Target="http://www.cmcc.org.cy/about_us.htm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cmcc.org.cy/code_practice.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monitor.civicus.org/country/cypru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ecd.org/gov/regulatory-policy/indicators-of-regulatory-policy-and-governance-2019-cyprus.pdf"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EurolookProperties>
  <ProductCustomizationId>EC</ProductCustomizationId>
  <Created>
    <Version>10.0.41212.0</Version>
    <Date>2020-09-14T15:57:03</Date>
    <Language>EN</Language>
  </Created>
  <Edited>
    <Version>10.0.41212.0</Version>
    <Date>2020-10-02T15:56:23</Date>
  </Edited>
  <DocumentModel>
    <Id>6cbda13a-4db2-46c6-876a-ef72275827ef</Id>
    <Name>Report</Name>
  </DocumentModel>
  <DocumentDate>2020-09-14T15:57:03</DocumentDate>
  <DocumentVersion>0.1</DocumentVersion>
  <CompatibilityMode>Eurolook10</CompatibilityMode>
  <DocumentMetadata>
    <EC_SecurityDistributionSpecialHandling MetadataSerializationType="SimpleValue"/>
    <EC_SecurityDistributionWorkingGroup MetadataSerializationType="SimpleValue"/>
    <EC_SecurityReleasability MetadataSerializationType="SimpleValue"/>
    <EC_SecurityDateMarking MetadataSerializationType="SimpleValue"/>
    <EC_SecurityDistributionSensitive MetadataSerializationType="SimpleValue"/>
    <EC_SecurityDateMarkingEvent MetadataSerializationType="SimpleValue"/>
    <EC_SecurityDistributionDG MetadataSerializationType="SimpleValue"/>
    <EC_SecurityDateMarkingDate MetadataSerializationType="SimpleValue"/>
    <EC_SecurityMarking MetadataSerializationType="SimpleValue"/>
  </DocumentMetadata>
</EurolookProperties>
</file>

<file path=customXml/item2.xml><?xml version="1.0" encoding="utf-8"?>
<Author Role="Creator" AuthorRoleName="Writer" AuthorRoleId="a4fbaff4-b07c-48b4-a21e-e7b9eedf3796">
  <Id>88d91e40-5130-498e-9822-300bf14eb270</Id>
  <Names>
    <Latin>
      <FirstName>Christine</FirstName>
      <LastName>Therace</LastName>
    </Latin>
    <Greek>
      <FirstName/>
      <LastName/>
    </Greek>
    <Cyrillic>
      <FirstName/>
      <LastName/>
    </Cyrillic>
    <DocumentScript>
      <FirstName>Christine</FirstName>
      <LastName>Therace</LastName>
      <FullName>Christine Therace</FullName>
    </DocumentScript>
  </Names>
  <Initials>ct</Initials>
  <Gender>f</Gender>
  <Email>Christine.THERACE@ec.europa.eu</Email>
  <Service>SG.B.4</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SG.B.4 - 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+32 229-84108</Phone>
    <Office>BERL 05/096</Office>
  </MainWorkplace>
  <Workplaces>
    <Workplace IsMain="false">
      <AddressId>1264fb81-f6bb-475e-9f9d-a937d3be6ee2</AddressId>
      <Fax/>
      <Phone/>
      <Office/>
    </Workplace>
    <Workplace IsMain="true">
      <AddressId>f03b5801-04c9-4931-aa17-c6d6c70bc579</AddressId>
      <Fax/>
      <Phone>+32 229-84108</Phone>
      <Office>BERL 05/096</Office>
    </Workplace>
  </Workplaces>
</Author>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EconomyFinanceHandling>{field:HYPERLINK "https://myintracomm.ec.europa.eu/corp/security/EN/newDS3/SensitiveInformation/Pages/SPECIAL-HANDLING-INFORMATION-DG-ECFIN.aspx?ln=en" |https://www.europa.eu/handling_instructions}</EconomyFinanceHandling>
  <SecurityEconomyAndFinance>Economy and Finance</SecurityEconomyAndFinance>
  <SpecialHandlingFootnote>Special handling instructions are given at </SpecialHandlingFootnote>
  <SpecialHandlingLabel>Special Handling</SpecialHandlingLabel>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EtsSensitive>ETS</SecurityEtsSensitive>
  <SecurityOpinionLegalService>Opinion of the Legal Service</SecurityOpinionLegalService>
  <FooterPhone>Tel. direct line</FooterPhone>
  <FooterFax>Fax</FooterFax>
  <FooterOffice>Office:</FooterOffice>
  <SecurityPharmaSpecial>Pharma Investigations</SecurityPharmaSpecial>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ETSHandlingFootnote>{field:HYPERLINK "https://myintracomm.ec.europa.eu/corp/security/EN/newDS3/SensitiveInformation/Pages/default.aspx" |https://www.europa.eu/handling_instructions}</ETSHandlingFootnote>
  <SecurityEtsCritical>ETS Critical</SecurityEtsCritical>
  <ETSLimited>ETS Joint Procurement</ETSLimited>
  <SecurityStaffMatter>Staff Matter</SecurityStaffMatter>
  <SecurityMediationServiceMatter>Mediation Service</SecurityMediationServiceMatter>
  <SecurityReleasable>RELEASABLE TO:</SecurityReleasable>
  <LabelPictureSeq>Figure {SEQ Figure \* ARABIC }: </LabelPictureSeq>
  <LabelSource>Source</LabelSource>
  <Year> ({field: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5D38D5AF-DE81-4212-AA67-ACF191BCD993}">
  <ds:schemaRefs/>
</ds:datastoreItem>
</file>

<file path=customXml/itemProps3.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17</Pages>
  <Words>6058</Words>
  <Characters>37020</Characters>
  <Application>Microsoft Office Word</Application>
  <DocSecurity>0</DocSecurity>
  <PresentationFormat>Microsoft Word 14.0</PresentationFormat>
  <Lines>578</Lines>
  <Paragraphs>119</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28</cp:revision>
  <dcterms:created xsi:type="dcterms:W3CDTF">2020-09-15T08:06:00Z</dcterms:created>
  <dcterms:modified xsi:type="dcterms:W3CDTF">2020-10-07T16:49:00Z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7.0.1, Build 20190916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_LW_INVALIDATED__LW_INVALIDATED__LW_INVALIDATED_ELDocType">
    <vt:lpwstr>rep.dot</vt:lpwstr>
  </property>
  <property name="OP_sanitized" fmtid="{D5CDD505-2E9C-101B-9397-08002B2CF9AE}" pid="11">
    <vt:lpwstr>True</vt:lpwstr>
  </property>
</Properties>
</file>