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BB1D72B-C33D-4C47-BBE6-DBEB27428D22" style="width:450.75pt;height:379.5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TOELICHTING</w:t>
      </w:r>
    </w:p>
    <w:p>
      <w:pPr>
        <w:pBdr>
          <w:top w:val="nil"/>
          <w:left w:val="nil"/>
          <w:bottom w:val="nil"/>
          <w:right w:val="nil"/>
          <w:between w:val="nil"/>
          <w:bar w:val="nil"/>
        </w:pBdr>
        <w:spacing w:before="0" w:after="240"/>
        <w:rPr>
          <w:rFonts w:eastAsia="Arial Unicode MS"/>
          <w:noProof/>
        </w:rPr>
      </w:pPr>
      <w:r>
        <w:rPr>
          <w:noProof/>
        </w:rPr>
        <w:t>Overeenkomstig artikel 395, lid 1, van Richtlijn 2006/112/EG van 28 november 2006 betreffende het gemeenschappelijke stelsel van belasting over de toegevoegde waarde (hierna "de btw-richtlijn" genoemd) kan de Raad op voorstel van de Commissie met eenparigheid van stemmen elke lidstaat machtigen bijzondere, van de bepalingen van deze richtlijn afwijkende maatregelen te treffen, teneinde de belastinginning te vereenvoudigen of bepaalde vormen van belastingfraude of -ontwijking te voorkomen.</w:t>
      </w:r>
    </w:p>
    <w:p>
      <w:pPr>
        <w:pBdr>
          <w:top w:val="nil"/>
          <w:left w:val="nil"/>
          <w:bottom w:val="nil"/>
          <w:right w:val="nil"/>
          <w:between w:val="nil"/>
          <w:bar w:val="nil"/>
        </w:pBdr>
        <w:spacing w:before="0" w:after="240"/>
        <w:rPr>
          <w:rFonts w:eastAsia="Arial Unicode MS"/>
          <w:noProof/>
        </w:rPr>
      </w:pPr>
      <w:r>
        <w:rPr>
          <w:noProof/>
        </w:rPr>
        <w:t>Bij brief, ingekomen bij de Commissie op 22 mei 2018, heeft Slovenië verzocht om belastingplichtigen met een jaaromzet van niet meer dan 50 000 EUR van de btw te mogen blijven vrijstellen. Overeenkomstig artikel 395, lid 2, van de btw-richtlijn heeft de Commissie de overige lidstaten bij brief van 25 juni 2018 van het verzoek van Slovenië in kennis gesteld. Bij brief van 26 juni 2018 heeft de Commissie Slovenië meegedeeld dat zij over alle gegevens beschikte die zij nodig achtte voor de beoordeling van het verzoek.</w:t>
      </w:r>
    </w:p>
    <w:p>
      <w:pPr>
        <w:pStyle w:val="ManualHeading1"/>
        <w:rPr>
          <w:noProof/>
        </w:rPr>
      </w:pPr>
      <w:r>
        <w:rPr>
          <w:noProof/>
        </w:rPr>
        <w:t>1.</w:t>
      </w:r>
      <w:r>
        <w:rPr>
          <w:noProof/>
        </w:rPr>
        <w:tab/>
        <w:t>ACHTERGROND VAN HET VOORSTEL</w:t>
      </w:r>
    </w:p>
    <w:p>
      <w:pPr>
        <w:pStyle w:val="ManualHeading2"/>
        <w:rPr>
          <w:rFonts w:eastAsia="Arial Unicode MS"/>
          <w:noProof/>
        </w:rPr>
      </w:pPr>
      <w:r>
        <w:rPr>
          <w:noProof/>
          <w:color w:val="000000"/>
          <w:u w:color="000000"/>
          <w:bdr w:val="nil"/>
        </w:rPr>
        <w:t>•</w:t>
      </w:r>
      <w:r>
        <w:rPr>
          <w:noProof/>
        </w:rPr>
        <w:tab/>
        <w:t>Motivering en doel van het voorstel</w:t>
      </w:r>
    </w:p>
    <w:p>
      <w:pPr>
        <w:pBdr>
          <w:top w:val="nil"/>
          <w:left w:val="nil"/>
          <w:bottom w:val="nil"/>
          <w:right w:val="nil"/>
          <w:between w:val="nil"/>
          <w:bar w:val="nil"/>
        </w:pBdr>
        <w:spacing w:before="0" w:after="240"/>
        <w:rPr>
          <w:rFonts w:eastAsia="Arial Unicode MS"/>
          <w:noProof/>
        </w:rPr>
      </w:pPr>
      <w:r>
        <w:rPr>
          <w:noProof/>
        </w:rPr>
        <w:t>Overeenkomstig hoofdstuk 1 van titel XII van de btw-richtlijn kunnen de lidstaten een bijzondere regeling voor kleine ondernemingen toepassen, waarbij zij onder meer de mogelijkheid hebben om belastingplichtigen van wie de jaaromzet onder een bepaalde drempel blijft, van btw vrij te stellen. Deze vrijstelling houdt in dat de belastingplichtige over zijn prestaties geen btw in rekening hoeft te brengen, maar bijgevolg ook geen voorbelasting kan aftrekken.</w:t>
      </w:r>
    </w:p>
    <w:p>
      <w:pPr>
        <w:pBdr>
          <w:top w:val="nil"/>
          <w:left w:val="nil"/>
          <w:bottom w:val="nil"/>
          <w:right w:val="nil"/>
          <w:between w:val="nil"/>
          <w:bar w:val="nil"/>
        </w:pBdr>
        <w:spacing w:before="0" w:after="240"/>
        <w:rPr>
          <w:rFonts w:eastAsia="Arial Unicode MS"/>
          <w:noProof/>
        </w:rPr>
      </w:pPr>
      <w:r>
        <w:rPr>
          <w:noProof/>
        </w:rPr>
        <w:t>Volgens punt 15 van artikel 287 van de btw-richtlijn mag Slovenië vrijstelling van btw verlenen aan belastingplichtigen met een jaaromzet die ten hoogste gelijk is aan de tegenwaarde van 25 000 EUR in de nationale munteenheid.</w:t>
      </w:r>
    </w:p>
    <w:p>
      <w:pPr>
        <w:pBdr>
          <w:top w:val="nil"/>
          <w:left w:val="nil"/>
          <w:bottom w:val="nil"/>
          <w:right w:val="nil"/>
          <w:between w:val="nil"/>
          <w:bar w:val="nil"/>
        </w:pBdr>
        <w:spacing w:before="0" w:after="240"/>
        <w:rPr>
          <w:rFonts w:eastAsia="Arial Unicode MS"/>
          <w:noProof/>
        </w:rPr>
      </w:pPr>
      <w:r>
        <w:rPr>
          <w:noProof/>
        </w:rPr>
        <w:t>Bij Uitvoeringsbesluit 2013/54/EU van de Raad</w:t>
      </w:r>
      <w:r>
        <w:rPr>
          <w:rStyle w:val="FootnoteReference"/>
          <w:noProof/>
        </w:rPr>
        <w:footnoteReference w:id="1"/>
      </w:r>
      <w:r>
        <w:rPr>
          <w:noProof/>
        </w:rPr>
        <w:t xml:space="preserve"> werd Slovenië gemachtigd om vrijstelling van btw te verlenen aan belastingplichtigen met een jaaromzet van niet meer dan 50 000 EUR. Dit besluit werd tot en met 31 december 2018 verlengd bij Uitvoeringsbesluit (EU) 2015/2089 van de Raad</w:t>
      </w:r>
      <w:r>
        <w:rPr>
          <w:rStyle w:val="FootnoteReference"/>
          <w:noProof/>
        </w:rPr>
        <w:footnoteReference w:id="2"/>
      </w:r>
      <w:r>
        <w:rPr>
          <w:noProof/>
        </w:rPr>
        <w:t xml:space="preserve">. Deze maatregel is facultatief voor belastingplichtigen, die altijd voor het normale btw-stelsel kunnen kiezen. </w:t>
      </w:r>
    </w:p>
    <w:p>
      <w:pPr>
        <w:pBdr>
          <w:top w:val="nil"/>
          <w:left w:val="nil"/>
          <w:bottom w:val="nil"/>
          <w:right w:val="nil"/>
          <w:between w:val="nil"/>
          <w:bar w:val="nil"/>
        </w:pBdr>
        <w:spacing w:before="0" w:after="240"/>
        <w:rPr>
          <w:rFonts w:eastAsia="Arial Unicode MS"/>
          <w:noProof/>
        </w:rPr>
      </w:pPr>
      <w:r>
        <w:rPr>
          <w:noProof/>
        </w:rPr>
        <w:t>Slovenië heeft om een verlenging van deze maatregel verzocht. Uit de door Slovenië verstrekte informatie blijkt dat eind 2017 ongeveer 48 % van de voor btw geïdentificeerde personen een belastbare omzet van minder dan 50 000 EUR had en dat de door hen gegenereerde btw-opbrengsten slechts 1 % uitmaakten van de totale btw-opbrengsten, en dat 0,3 % daarvan werd vertegenwoordigd door belastingplichtigen met een jaaromzet van minder dan 25 000 EUR. Daarnaast is het aantal voor btw-doeleinden geregistreerde belastingplichtigen bij wie de drempel tussen 25 000 EUR en 50 000 EUR ligt, sinds 2013 gedaald. Dit betekent dat een groeiend aantal kleine bedrijven gebruik maakt van de vereenvoudigingsmaatregel.</w:t>
      </w:r>
    </w:p>
    <w:p>
      <w:pPr>
        <w:pBdr>
          <w:top w:val="nil"/>
          <w:left w:val="nil"/>
          <w:bottom w:val="nil"/>
          <w:right w:val="nil"/>
          <w:between w:val="nil"/>
          <w:bar w:val="nil"/>
        </w:pBdr>
        <w:spacing w:before="0" w:after="240"/>
        <w:rPr>
          <w:rFonts w:eastAsia="Arial Unicode MS"/>
          <w:noProof/>
        </w:rPr>
      </w:pPr>
      <w:r>
        <w:rPr>
          <w:noProof/>
        </w:rPr>
        <w:t>Uit door Slovenië verstrekte gegevens blijkt dat de maatregel geen noemenswaardige invloed heeft op de btw-opbrengsten in het stadium van het eindverbruik.</w:t>
      </w:r>
    </w:p>
    <w:p>
      <w:pPr>
        <w:rPr>
          <w:noProof/>
        </w:rPr>
      </w:pPr>
      <w:r>
        <w:rPr>
          <w:noProof/>
        </w:rPr>
        <w:t>Daarom wordt voorgesteld de derogatie voor een nieuwe beperkte periode te verlengen, en wel tot en met 31 december 2021. De Commissie heeft onlangs een voorstel</w:t>
      </w:r>
      <w:r>
        <w:rPr>
          <w:rStyle w:val="FootnoteReference"/>
          <w:noProof/>
        </w:rPr>
        <w:footnoteReference w:id="3"/>
      </w:r>
      <w:r>
        <w:rPr>
          <w:noProof/>
        </w:rPr>
        <w:t xml:space="preserve"> gedaan tot wijziging van de artikelen 281 tot en met 294 van Richtlijn 2006/112/EG betreffende de bijzondere regeling voor kleine ondernemingen. Het is dus mogelijk dat een richtlijn in werking treedt die deze artikelen wijzigt en voorziet in een datum met ingang waarvan de lidstaten nationale bepalingen moeten toepassen om deze richtlijn uit te voeren. Indien deze datum wordt vastgesteld voordat de derogatie op 31 december 2021 verstrijkt, dient dit besluit te vervallen.</w:t>
      </w:r>
    </w:p>
    <w:p>
      <w:pPr>
        <w:pStyle w:val="ManualHeading2"/>
        <w:rPr>
          <w:rFonts w:eastAsia="Arial Unicode MS"/>
          <w:noProof/>
          <w:color w:val="000000"/>
          <w:u w:color="000000"/>
          <w:bdr w:val="nil"/>
        </w:rPr>
      </w:pPr>
      <w:r>
        <w:rPr>
          <w:noProof/>
          <w:color w:val="000000"/>
          <w:u w:color="000000"/>
          <w:bdr w:val="nil"/>
        </w:rPr>
        <w:t>•</w:t>
      </w:r>
      <w:r>
        <w:rPr>
          <w:noProof/>
        </w:rPr>
        <w:tab/>
        <w:t>Verenigbaarheid met bestaande bepalingen op het beleidsterrein</w:t>
      </w:r>
    </w:p>
    <w:p>
      <w:pPr>
        <w:rPr>
          <w:noProof/>
          <w:color w:val="000000"/>
        </w:rPr>
      </w:pPr>
      <w:r>
        <w:rPr>
          <w:noProof/>
        </w:rPr>
        <w:t>Aan andere lidstaten zijn reeds soortgelijke derogaties toegestaan.</w:t>
      </w:r>
      <w:r>
        <w:rPr>
          <w:noProof/>
          <w:color w:val="000000"/>
        </w:rPr>
        <w:t xml:space="preserve"> Luxemburg</w:t>
      </w:r>
      <w:r>
        <w:rPr>
          <w:rStyle w:val="FootnoteReference"/>
          <w:noProof/>
          <w:color w:val="000000"/>
        </w:rPr>
        <w:footnoteReference w:id="4"/>
      </w:r>
      <w:r>
        <w:rPr>
          <w:noProof/>
          <w:color w:val="000000"/>
        </w:rPr>
        <w:t xml:space="preserve"> mag een drempel toepassen van 30 000 EUR, Polen</w:t>
      </w:r>
      <w:r>
        <w:rPr>
          <w:rStyle w:val="FootnoteReference"/>
          <w:noProof/>
          <w:color w:val="000000"/>
        </w:rPr>
        <w:footnoteReference w:id="5"/>
      </w:r>
      <w:r>
        <w:rPr>
          <w:noProof/>
          <w:color w:val="000000"/>
        </w:rPr>
        <w:t xml:space="preserve"> en Estland</w:t>
      </w:r>
      <w:r>
        <w:rPr>
          <w:rStyle w:val="FootnoteReference"/>
          <w:noProof/>
          <w:color w:val="000000"/>
        </w:rPr>
        <w:footnoteReference w:id="6"/>
      </w:r>
      <w:r>
        <w:rPr>
          <w:noProof/>
          <w:color w:val="000000"/>
        </w:rPr>
        <w:t xml:space="preserve"> een drempel van 40 000 EUR, Italië</w:t>
      </w:r>
      <w:r>
        <w:rPr>
          <w:rStyle w:val="FootnoteReference"/>
          <w:noProof/>
          <w:color w:val="000000"/>
        </w:rPr>
        <w:footnoteReference w:id="7"/>
      </w:r>
      <w:r>
        <w:rPr>
          <w:noProof/>
          <w:color w:val="000000"/>
        </w:rPr>
        <w:t xml:space="preserve"> een drempel van 65 000 EUR, Kroatië</w:t>
      </w:r>
      <w:r>
        <w:rPr>
          <w:rStyle w:val="FootnoteReference"/>
          <w:noProof/>
          <w:color w:val="000000"/>
        </w:rPr>
        <w:footnoteReference w:id="8"/>
      </w:r>
      <w:r>
        <w:rPr>
          <w:noProof/>
          <w:color w:val="000000"/>
        </w:rPr>
        <w:t xml:space="preserve"> een drempel van 45 000 EUR, Letland</w:t>
      </w:r>
      <w:r>
        <w:rPr>
          <w:rStyle w:val="FootnoteReference"/>
          <w:noProof/>
          <w:color w:val="000000"/>
        </w:rPr>
        <w:footnoteReference w:id="9"/>
      </w:r>
      <w:r>
        <w:rPr>
          <w:noProof/>
          <w:color w:val="000000"/>
        </w:rPr>
        <w:t xml:space="preserve"> een drempel van 40 000 EUR en Roemenië</w:t>
      </w:r>
      <w:r>
        <w:rPr>
          <w:rStyle w:val="FootnoteReference"/>
          <w:noProof/>
          <w:color w:val="000000"/>
        </w:rPr>
        <w:footnoteReference w:id="10"/>
      </w:r>
      <w:r>
        <w:rPr>
          <w:noProof/>
          <w:color w:val="000000"/>
        </w:rPr>
        <w:t xml:space="preserve"> een drempel van 88 500 EUR. </w:t>
      </w:r>
    </w:p>
    <w:p>
      <w:pPr>
        <w:rPr>
          <w:noProof/>
        </w:rPr>
      </w:pPr>
      <w:r>
        <w:rPr>
          <w:noProof/>
        </w:rPr>
        <w:t>Derogaties van de btw-richtlijn moeten steeds in de tijd worden beperkt, zodat de gevolgen ervan kunnen worden beoordeeld. Bovendien worden de bepalingen van de artikelen 281 tot en met 294 van de btw-richtlijn betreffende de bijzondere regeling voor kleine ondernemingen momenteel geëvalueerd. Zoals in het btw-actieplan</w:t>
      </w:r>
      <w:r>
        <w:rPr>
          <w:rStyle w:val="FootnoteReference"/>
          <w:noProof/>
        </w:rPr>
        <w:footnoteReference w:id="11"/>
      </w:r>
      <w:r>
        <w:rPr>
          <w:noProof/>
        </w:rPr>
        <w:t xml:space="preserve"> en het werkprogramma van de Commissie voor 2017</w:t>
      </w:r>
      <w:r>
        <w:rPr>
          <w:rStyle w:val="FootnoteReference"/>
          <w:noProof/>
        </w:rPr>
        <w:footnoteReference w:id="12"/>
      </w:r>
      <w:r>
        <w:rPr>
          <w:noProof/>
        </w:rPr>
        <w:t xml:space="preserve"> werd aangekondigd, heeft de Commissie onlangs haar voorstel betreffende de regeling voor kleine en middelgrote ondernemingen</w:t>
      </w:r>
      <w:r>
        <w:rPr>
          <w:rStyle w:val="FootnoteReference"/>
          <w:noProof/>
        </w:rPr>
        <w:footnoteReference w:id="13"/>
      </w:r>
      <w:r>
        <w:rPr>
          <w:noProof/>
        </w:rPr>
        <w:t xml:space="preserve"> gepresenteerd.</w:t>
      </w:r>
    </w:p>
    <w:p>
      <w:pPr>
        <w:rPr>
          <w:rFonts w:eastAsia="Arial Unicode MS"/>
          <w:noProof/>
        </w:rPr>
      </w:pPr>
      <w:r>
        <w:rPr>
          <w:noProof/>
        </w:rPr>
        <w:t xml:space="preserve">Daarom wordt voorgesteld machtiging voor de derogatiemaatregel te verlenen tot en met 31 december 2021 of tot de datum met ingang waarvan de lidstaten nationale bepalingen moeten toepassen die zij moeten vaststellen indien er een richtlijn wordt aangenomen tot wijziging van de artikelen 281 tot en met 294 van Richtlijn 2006/112/EG. </w:t>
      </w:r>
    </w:p>
    <w:p>
      <w:pPr>
        <w:pStyle w:val="ManualHeading2"/>
        <w:rPr>
          <w:rFonts w:eastAsia="Arial Unicode MS"/>
          <w:noProof/>
        </w:rPr>
      </w:pPr>
      <w:r>
        <w:rPr>
          <w:noProof/>
          <w:color w:val="000000"/>
          <w:u w:color="000000"/>
          <w:bdr w:val="nil"/>
        </w:rPr>
        <w:t>•</w:t>
      </w:r>
      <w:r>
        <w:rPr>
          <w:noProof/>
        </w:rPr>
        <w:tab/>
        <w:t>Verenigbaarheid met andere beleidsterreinen van de Unie</w:t>
      </w:r>
    </w:p>
    <w:p>
      <w:pPr>
        <w:rPr>
          <w:noProof/>
        </w:rPr>
      </w:pPr>
      <w:r>
        <w:rPr>
          <w:noProof/>
        </w:rPr>
        <w:t>De maatregel is in overeenstemming met de EU-doelstellingen voor kleine bedrijven zoals die zijn uiteengezet in de mededeling van de Commissie "Denk eerst klein" — Een "Small Business Act" voor Europa"</w:t>
      </w:r>
      <w:r>
        <w:rPr>
          <w:rStyle w:val="FootnoteReference"/>
          <w:noProof/>
        </w:rPr>
        <w:footnoteReference w:id="14"/>
      </w:r>
      <w:r>
        <w:rPr>
          <w:noProof/>
        </w:rPr>
        <w:t>, waarin de lidstaten worden opgeroepen om bij de opstelling van wetgeving rekening te houden met de bijzondere kenmerken van midden- en kleinbedrijven en het bestaande regelgevingskader te vereenvoudigen.</w:t>
      </w:r>
    </w:p>
    <w:p>
      <w:pPr>
        <w:pStyle w:val="ManualHeading1"/>
        <w:rPr>
          <w:noProof/>
        </w:rPr>
      </w:pPr>
      <w:r>
        <w:rPr>
          <w:noProof/>
        </w:rPr>
        <w:t>2.</w:t>
      </w:r>
      <w:r>
        <w:rPr>
          <w:noProof/>
        </w:rPr>
        <w:tab/>
        <w:t>RECHTSGRONDSLAG, SUBSIDIARITEIT EN EVENREDIGHEID</w:t>
      </w:r>
    </w:p>
    <w:p>
      <w:pPr>
        <w:pStyle w:val="ManualHeading2"/>
        <w:rPr>
          <w:rFonts w:eastAsia="Arial Unicode MS"/>
          <w:noProof/>
          <w:u w:color="000000"/>
          <w:bdr w:val="nil"/>
        </w:rPr>
      </w:pPr>
      <w:r>
        <w:rPr>
          <w:noProof/>
        </w:rPr>
        <w:t>•</w:t>
      </w:r>
      <w:r>
        <w:rPr>
          <w:noProof/>
        </w:rPr>
        <w:tab/>
        <w:t>Rechtsgrondslag</w:t>
      </w:r>
    </w:p>
    <w:p>
      <w:pPr>
        <w:rPr>
          <w:noProof/>
        </w:rPr>
      </w:pPr>
      <w:r>
        <w:rPr>
          <w:noProof/>
        </w:rPr>
        <w:t xml:space="preserve">Artikel 395 van de btw-richtlijn. </w:t>
      </w:r>
    </w:p>
    <w:p>
      <w:pPr>
        <w:pStyle w:val="ManualHeading2"/>
        <w:rPr>
          <w:rFonts w:eastAsia="Arial Unicode MS"/>
          <w:noProof/>
          <w:u w:color="000000"/>
          <w:bdr w:val="nil"/>
        </w:rPr>
      </w:pPr>
      <w:r>
        <w:rPr>
          <w:noProof/>
        </w:rPr>
        <w:t>•</w:t>
      </w:r>
      <w:r>
        <w:rPr>
          <w:noProof/>
        </w:rPr>
        <w:tab/>
        <w:t xml:space="preserve">Subsidiariteit (bij niet-exclusieve bevoegdheid) </w:t>
      </w:r>
    </w:p>
    <w:p>
      <w:pPr>
        <w:pBdr>
          <w:top w:val="nil"/>
          <w:left w:val="nil"/>
          <w:bottom w:val="nil"/>
          <w:right w:val="nil"/>
          <w:between w:val="nil"/>
          <w:bar w:val="nil"/>
        </w:pBdr>
        <w:spacing w:before="0" w:after="240"/>
        <w:rPr>
          <w:rFonts w:eastAsia="Arial Unicode MS"/>
          <w:noProof/>
        </w:rPr>
      </w:pPr>
      <w:r>
        <w:rPr>
          <w:noProof/>
        </w:rPr>
        <w:t>Gelet op de bepaling in de btw-richtlijn die de grondslag voor het voorstel vormt, is het subsidiariteitsbeginsel niet van toepassing.</w:t>
      </w:r>
    </w:p>
    <w:p>
      <w:pPr>
        <w:pStyle w:val="ManualHeading2"/>
        <w:rPr>
          <w:rFonts w:eastAsia="Arial Unicode MS"/>
          <w:noProof/>
          <w:u w:color="000000"/>
          <w:bdr w:val="nil"/>
        </w:rPr>
      </w:pPr>
      <w:r>
        <w:rPr>
          <w:noProof/>
        </w:rPr>
        <w:t>•</w:t>
      </w:r>
      <w:r>
        <w:rPr>
          <w:noProof/>
        </w:rPr>
        <w:tab/>
        <w:t>Evenredigheid</w:t>
      </w:r>
    </w:p>
    <w:p>
      <w:pPr>
        <w:pBdr>
          <w:top w:val="nil"/>
          <w:left w:val="nil"/>
          <w:bottom w:val="nil"/>
          <w:right w:val="nil"/>
          <w:between w:val="nil"/>
          <w:bar w:val="nil"/>
        </w:pBdr>
        <w:spacing w:before="0" w:after="240"/>
        <w:rPr>
          <w:noProof/>
        </w:rPr>
      </w:pPr>
      <w:r>
        <w:rPr>
          <w:noProof/>
        </w:rPr>
        <w:t>Dit besluit betreft een machtiging die wordt verleend aan een lidstaat op diens eigen verzoek, en houdt geen enkele verplichting in.</w:t>
      </w:r>
    </w:p>
    <w:p>
      <w:pPr>
        <w:rPr>
          <w:noProof/>
        </w:rPr>
      </w:pPr>
      <w:r>
        <w:rPr>
          <w:noProof/>
        </w:rPr>
        <w:t>Gezien de beperkte werkingssfeer van de derogatie staat de bijzondere maatregel in verhouding tot het beoogde doel, namelijk een vereenvoudiging voor een extra aantal kleine belastingplichtigen en voor de belastingdienst.</w:t>
      </w:r>
    </w:p>
    <w:p>
      <w:pPr>
        <w:pStyle w:val="ManualHeading2"/>
        <w:rPr>
          <w:rFonts w:eastAsia="Arial Unicode MS"/>
          <w:noProof/>
          <w:u w:color="000000"/>
          <w:bdr w:val="nil"/>
        </w:rPr>
      </w:pPr>
      <w:r>
        <w:rPr>
          <w:noProof/>
        </w:rPr>
        <w:t>•</w:t>
      </w:r>
      <w:r>
        <w:rPr>
          <w:noProof/>
        </w:rPr>
        <w:tab/>
        <w:t>Keuze van het instrument</w:t>
      </w:r>
    </w:p>
    <w:p>
      <w:pPr>
        <w:spacing w:before="0" w:after="240"/>
        <w:rPr>
          <w:rFonts w:eastAsia="Arial Unicode MS"/>
          <w:noProof/>
        </w:rPr>
      </w:pPr>
      <w:r>
        <w:rPr>
          <w:noProof/>
        </w:rPr>
        <w:t>Voorgesteld instrument: uitvoeringsbesluit van de Raad.</w:t>
      </w:r>
    </w:p>
    <w:p>
      <w:pPr>
        <w:spacing w:before="0" w:after="240"/>
        <w:rPr>
          <w:rFonts w:eastAsia="Arial Unicode MS"/>
          <w:noProof/>
        </w:rPr>
      </w:pPr>
      <w:r>
        <w:rPr>
          <w:noProof/>
        </w:rPr>
        <w:t>Overeenkomstig artikel 395 van Richtlijn 2006/112/EG van de Raad kan slechts van de normale btw-regels worden afgeweken indien de Raad een lidstaat daartoe op voorstel van de Commissie met eenparigheid van stemmen machtigt. Een uitvoeringsbesluit van de Raad is het aangewezen instrument, omdat het tot een individuele lidstaat kan worden gericht.</w:t>
      </w:r>
    </w:p>
    <w:p>
      <w:pPr>
        <w:pStyle w:val="ManualHeading1"/>
        <w:rPr>
          <w:noProof/>
        </w:rPr>
      </w:pPr>
      <w:r>
        <w:rPr>
          <w:noProof/>
        </w:rPr>
        <w:t>3.</w:t>
      </w:r>
      <w:r>
        <w:rPr>
          <w:noProof/>
        </w:rPr>
        <w:tab/>
        <w:t>EVALUATIE, RAADPLEGING VAN BELANGHEBBENDEN EN EFFECTBEOORDELING</w:t>
      </w:r>
    </w:p>
    <w:p>
      <w:pPr>
        <w:pStyle w:val="ManualHeading2"/>
        <w:rPr>
          <w:rFonts w:eastAsia="Arial Unicode MS"/>
          <w:noProof/>
          <w:u w:color="000000"/>
          <w:bdr w:val="nil"/>
        </w:rPr>
      </w:pPr>
      <w:r>
        <w:rPr>
          <w:noProof/>
        </w:rPr>
        <w:t>•</w:t>
      </w:r>
      <w:r>
        <w:rPr>
          <w:noProof/>
        </w:rPr>
        <w:tab/>
        <w:t>Raadpleging van belanghebbenden</w:t>
      </w:r>
    </w:p>
    <w:p>
      <w:pPr>
        <w:spacing w:before="0" w:after="240"/>
        <w:rPr>
          <w:rFonts w:eastAsia="Arial Unicode MS"/>
          <w:noProof/>
        </w:rPr>
      </w:pPr>
      <w:r>
        <w:rPr>
          <w:noProof/>
        </w:rPr>
        <w:t>Dit voorstel is gebaseerd op een verzoek van Slovenië en heeft uitsluitend betrekking op deze lidstaat.</w:t>
      </w:r>
    </w:p>
    <w:p>
      <w:pPr>
        <w:pStyle w:val="ManualHeading2"/>
        <w:rPr>
          <w:rFonts w:eastAsia="Arial Unicode MS"/>
          <w:noProof/>
          <w:u w:color="000000"/>
          <w:bdr w:val="nil"/>
        </w:rPr>
      </w:pPr>
      <w:r>
        <w:rPr>
          <w:noProof/>
        </w:rPr>
        <w:t>•</w:t>
      </w:r>
      <w:r>
        <w:rPr>
          <w:noProof/>
        </w:rPr>
        <w:tab/>
        <w:t>Bijeenbrengen en gebruik van expertise</w:t>
      </w:r>
    </w:p>
    <w:p>
      <w:pPr>
        <w:spacing w:before="0" w:after="240"/>
        <w:rPr>
          <w:rFonts w:eastAsia="Arial Unicode MS"/>
          <w:noProof/>
        </w:rPr>
      </w:pPr>
      <w:r>
        <w:rPr>
          <w:noProof/>
        </w:rPr>
        <w:t>Er hoefde geen beroep te worden gedaan op externe deskundigheid.</w:t>
      </w:r>
    </w:p>
    <w:p>
      <w:pPr>
        <w:pStyle w:val="ManualHeading2"/>
        <w:rPr>
          <w:rFonts w:eastAsia="Arial Unicode MS"/>
          <w:noProof/>
          <w:u w:color="000000"/>
          <w:bdr w:val="nil"/>
        </w:rPr>
      </w:pPr>
      <w:r>
        <w:rPr>
          <w:noProof/>
        </w:rPr>
        <w:t>•</w:t>
      </w:r>
      <w:r>
        <w:rPr>
          <w:noProof/>
        </w:rPr>
        <w:tab/>
        <w:t>Effectbeoordeling</w:t>
      </w:r>
    </w:p>
    <w:p>
      <w:pPr>
        <w:pBdr>
          <w:top w:val="nil"/>
          <w:left w:val="nil"/>
          <w:bottom w:val="nil"/>
          <w:right w:val="nil"/>
          <w:between w:val="nil"/>
          <w:bar w:val="nil"/>
        </w:pBdr>
        <w:spacing w:before="0" w:after="240"/>
        <w:rPr>
          <w:rFonts w:eastAsia="Arial Unicode MS"/>
          <w:noProof/>
        </w:rPr>
      </w:pPr>
      <w:r>
        <w:rPr>
          <w:noProof/>
        </w:rPr>
        <w:t>Het voorstel voor een uitvoeringsbesluit van de Raad strekt ertoe een vereenvoudigingsmaatregel die bedrijven met een jaaromzet van niet meer dan 50 000 EUR van veel btw-verplichtingen ontheft, met nog eens drie jaar te verlengen, en kan zodoende de administratieve lasten verlichten voor zowel de bedrijven als de belastingdienst, zonder dat dit grote gevolgen heeft voor de totale btw-inkomsten. Gelet op de beperkte werkingssfeer en toepassingsduur van de derogatie zal het effect in ieder geval beperkt zijn.</w:t>
      </w:r>
    </w:p>
    <w:p>
      <w:pPr>
        <w:pStyle w:val="ManualHeading1"/>
        <w:rPr>
          <w:noProof/>
        </w:rPr>
      </w:pPr>
      <w:r>
        <w:rPr>
          <w:noProof/>
        </w:rPr>
        <w:t>4.</w:t>
      </w:r>
      <w:r>
        <w:rPr>
          <w:noProof/>
        </w:rPr>
        <w:tab/>
        <w:t>GEVOLGEN VOOR DE BEGROTING</w:t>
      </w:r>
    </w:p>
    <w:p>
      <w:pPr>
        <w:pBdr>
          <w:top w:val="nil"/>
          <w:left w:val="nil"/>
          <w:bottom w:val="nil"/>
          <w:right w:val="nil"/>
          <w:between w:val="nil"/>
          <w:bar w:val="nil"/>
        </w:pBdr>
        <w:spacing w:before="0" w:after="240"/>
        <w:rPr>
          <w:rFonts w:eastAsia="Arial Unicode MS"/>
          <w:noProof/>
        </w:rPr>
      </w:pPr>
      <w:r>
        <w:rPr>
          <w:noProof/>
        </w:rPr>
        <w:t>Het voorstel heeft geen gevolgen voor de EU-begroting omdat Slovenië een compensatieberekening zal verrichten overeenkomstig artikel 6 van Verordening (EEG, Euratom) nr. 1553/89 van de Raad.</w:t>
      </w:r>
    </w:p>
    <w:p>
      <w:pPr>
        <w:pStyle w:val="ManualHeading1"/>
        <w:rPr>
          <w:noProof/>
        </w:rPr>
      </w:pPr>
      <w:r>
        <w:rPr>
          <w:noProof/>
        </w:rPr>
        <w:t>5.</w:t>
      </w:r>
      <w:r>
        <w:rPr>
          <w:noProof/>
        </w:rPr>
        <w:tab/>
        <w:t>OVERIGE ELEMENTEN</w:t>
      </w:r>
    </w:p>
    <w:p>
      <w:pPr>
        <w:pBdr>
          <w:top w:val="nil"/>
          <w:left w:val="nil"/>
          <w:bottom w:val="nil"/>
          <w:right w:val="nil"/>
          <w:between w:val="nil"/>
          <w:bar w:val="nil"/>
        </w:pBdr>
        <w:spacing w:before="0" w:after="240"/>
        <w:rPr>
          <w:noProof/>
        </w:rPr>
      </w:pPr>
      <w:r>
        <w:rPr>
          <w:noProof/>
        </w:rPr>
        <w:t xml:space="preserve">Het voorstel bevat een vervalbepaling: een termijn die automatisch afloopt. </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t>2018/0335 (NLE)</w:t>
      </w:r>
    </w:p>
    <w:p>
      <w:pPr>
        <w:pStyle w:val="Statut"/>
        <w:rPr>
          <w:noProof/>
        </w:rPr>
      </w:pPr>
      <w:r>
        <w:rPr>
          <w:noProof/>
        </w:rPr>
        <w:t>Voorstel voor een</w:t>
      </w:r>
    </w:p>
    <w:p>
      <w:pPr>
        <w:pStyle w:val="Typedudocument"/>
        <w:rPr>
          <w:noProof/>
        </w:rPr>
      </w:pPr>
      <w:r>
        <w:rPr>
          <w:noProof/>
        </w:rPr>
        <w:t>UITVOERINGSBESLUIT VAN DE RAAD</w:t>
      </w:r>
    </w:p>
    <w:p>
      <w:pPr>
        <w:pStyle w:val="Titreobjet"/>
        <w:rPr>
          <w:noProof/>
        </w:rPr>
      </w:pPr>
      <w:r>
        <w:rPr>
          <w:noProof/>
        </w:rPr>
        <w:t>tot wijziging van Uitvoeringsbesluit 2013/54/EU waarbij de Republiek Slovenië wordt gemachtigd een bijzondere maatregel in te stellen die afwijkt van artikel 287 van Richtlijn 2006/112/EG betreffende het gemeenschappelijke stelsel van belasting over de toegevoegde waarde</w:t>
      </w:r>
    </w:p>
    <w:p>
      <w:pPr>
        <w:pStyle w:val="Institutionquiagit"/>
        <w:rPr>
          <w:noProof/>
        </w:rPr>
      </w:pPr>
      <w:r>
        <w:rPr>
          <w:noProof/>
        </w:rPr>
        <w:t>DE RAAD VAN DE EUROPESE UNIE,</w:t>
      </w:r>
    </w:p>
    <w:p>
      <w:pPr>
        <w:rPr>
          <w:noProof/>
        </w:rPr>
      </w:pPr>
      <w:r>
        <w:rPr>
          <w:noProof/>
        </w:rPr>
        <w:t xml:space="preserve">Gezien het Verdrag betreffende de werking van de Europese Unie, </w:t>
      </w:r>
    </w:p>
    <w:p>
      <w:pPr>
        <w:rPr>
          <w:noProof/>
        </w:rPr>
      </w:pPr>
      <w:r>
        <w:rPr>
          <w:noProof/>
        </w:rPr>
        <w:t>Gezien Richtlijn 2006/112/EG van de Raad van 28 november 2006 betreffende het gemeenschappelijke stelsel van belasting over de toegevoegde waarde</w:t>
      </w:r>
      <w:r>
        <w:rPr>
          <w:rStyle w:val="FootnoteReference"/>
          <w:noProof/>
        </w:rPr>
        <w:footnoteReference w:id="15"/>
      </w:r>
      <w:r>
        <w:rPr>
          <w:noProof/>
        </w:rPr>
        <w:t>, en met name artikel 395, lid 1,</w:t>
      </w:r>
    </w:p>
    <w:p>
      <w:pPr>
        <w:rPr>
          <w:noProof/>
        </w:rPr>
      </w:pPr>
      <w:r>
        <w:rPr>
          <w:noProof/>
        </w:rPr>
        <w:t>Gezien het voorstel van de Europese Commissie,</w:t>
      </w:r>
    </w:p>
    <w:p>
      <w:pPr>
        <w:rPr>
          <w:noProof/>
        </w:rPr>
      </w:pPr>
      <w:r>
        <w:rPr>
          <w:noProof/>
        </w:rPr>
        <w:t>Overwegende hetgeen volgt:</w:t>
      </w:r>
    </w:p>
    <w:p>
      <w:pPr>
        <w:pStyle w:val="ManualConsidrant"/>
        <w:rPr>
          <w:noProof/>
        </w:rPr>
      </w:pPr>
      <w:r>
        <w:t>(1)</w:t>
      </w:r>
      <w:r>
        <w:tab/>
      </w:r>
      <w:r>
        <w:rPr>
          <w:noProof/>
        </w:rPr>
        <w:t>Op grond van artikel 287, punt 15, van Richtlijn 2006/112/EG is Slovenië gemachtigd om belastingplichtigen met een jaaromzet van niet meer dan 25 000 EUR van de belasting over de toegevoegde waarde (btw) vrij te stellen.</w:t>
      </w:r>
    </w:p>
    <w:p>
      <w:pPr>
        <w:pStyle w:val="ManualConsidrant"/>
        <w:rPr>
          <w:noProof/>
        </w:rPr>
      </w:pPr>
      <w:r>
        <w:t>(2)</w:t>
      </w:r>
      <w:r>
        <w:tab/>
      </w:r>
      <w:r>
        <w:rPr>
          <w:noProof/>
        </w:rPr>
        <w:t>Bij Uitvoeringsbesluit 2013/54/EU van de Raad</w:t>
      </w:r>
      <w:r>
        <w:rPr>
          <w:rStyle w:val="FootnoteReference"/>
          <w:noProof/>
        </w:rPr>
        <w:footnoteReference w:id="16"/>
      </w:r>
      <w:r>
        <w:rPr>
          <w:noProof/>
        </w:rPr>
        <w:t xml:space="preserve"> werd Slovenië gemachtigd om tot 31 december 2015 in afwijking van artikel 287, punt 15, van Richtlijn 2006/112/EG vrijstelling van btw te verlenen aan belastingplichtigen met een jaaromzet van niet meer dan 50 000 EUR. Bij Uitvoeringsbesluit (EU) 2015/2089 van de Raad</w:t>
      </w:r>
      <w:r>
        <w:rPr>
          <w:rStyle w:val="FootnoteReference"/>
          <w:noProof/>
        </w:rPr>
        <w:footnoteReference w:id="17"/>
      </w:r>
      <w:r>
        <w:rPr>
          <w:noProof/>
        </w:rPr>
        <w:t xml:space="preserve"> is de toepassing van Besluit 2013/54/EU tot en met 31 december 2018 verlengd.</w:t>
      </w:r>
    </w:p>
    <w:p>
      <w:pPr>
        <w:pStyle w:val="ManualConsidrant"/>
        <w:rPr>
          <w:noProof/>
        </w:rPr>
      </w:pPr>
      <w:r>
        <w:t>(3)</w:t>
      </w:r>
      <w:r>
        <w:tab/>
      </w:r>
      <w:r>
        <w:rPr>
          <w:noProof/>
        </w:rPr>
        <w:t>Bij brief, ingekomen bij de Commissie op 22 mei 2018, heeft Slovenië verzocht om belastingplichtigen met een jaaromzet van niet meer dan 50 000 EUR van de btw te mogen blijven vrijstellen.</w:t>
      </w:r>
    </w:p>
    <w:p>
      <w:pPr>
        <w:pStyle w:val="ManualConsidrant"/>
        <w:rPr>
          <w:noProof/>
        </w:rPr>
      </w:pPr>
      <w:r>
        <w:t>(4)</w:t>
      </w:r>
      <w:r>
        <w:tab/>
      </w:r>
      <w:r>
        <w:rPr>
          <w:noProof/>
        </w:rPr>
        <w:t>Overeenkomstig artikel 395, lid 2, tweede alinea, van Richtlijn 2006/112/EG heeft de Commissie het verzoek van Slovenië bij brief van 25 juni 2018 aan de overige lidstaten overgebracht. Bij brief van 26 juni 2018 heeft de Commissie Slovenië meegedeeld dat zij over alle gegevens beschikte die zij nodig achtte voor de beoordeling van het verzoek.</w:t>
      </w:r>
    </w:p>
    <w:p>
      <w:pPr>
        <w:pStyle w:val="ManualConsidrant"/>
        <w:rPr>
          <w:noProof/>
        </w:rPr>
      </w:pPr>
      <w:r>
        <w:t>(5)</w:t>
      </w:r>
      <w:r>
        <w:tab/>
      </w:r>
      <w:r>
        <w:rPr>
          <w:noProof/>
        </w:rPr>
        <w:t>Uit de door Slovenië verstrekte informatie blijkt dat eind 2017 ongeveer 48 % van de voor btw geïdentificeerde personen een belastbare omzet van minder dan 50 000 EUR had en dat de door hen gegenereerde btw-opbrengsten slechts 1 % uitmaakten van de totale btw-opbrengsten, en dat 0,3 % daarvan werd vertegenwoordigd door belastingplichtigen met een jaaromzet van minder dan 25 000 EUR.</w:t>
      </w:r>
    </w:p>
    <w:p>
      <w:pPr>
        <w:pStyle w:val="ManualConsidrant"/>
        <w:rPr>
          <w:noProof/>
        </w:rPr>
      </w:pPr>
      <w:r>
        <w:t>(6)</w:t>
      </w:r>
      <w:r>
        <w:tab/>
      </w:r>
      <w:r>
        <w:rPr>
          <w:noProof/>
        </w:rPr>
        <w:t>Aangezien dit hogere drempelbedrag de btw-verplichtingen voor de kleine bedrijven heeft verlicht, terwijl deze bedrijven overeenkomstig artikel 290 van Richtlijn 2006/112/EG nog altijd voor het normale btw-stelsel kunnen kiezen, dient Slovenië te worden gemachtigd de maatregel gedurende een nieuwe beperkte periode toe te passen, en wel tot en met 31 december 2021.</w:t>
      </w:r>
    </w:p>
    <w:p>
      <w:pPr>
        <w:pStyle w:val="ManualConsidrant"/>
        <w:rPr>
          <w:noProof/>
        </w:rPr>
      </w:pPr>
      <w:r>
        <w:t>(7)</w:t>
      </w:r>
      <w:r>
        <w:tab/>
      </w:r>
      <w:r>
        <w:rPr>
          <w:noProof/>
        </w:rPr>
        <w:t>Aangezien de artikelen 281 tot en met 294 van Richtlijn 2006/112/EG betreffende de bijzondere regeling voor kleine ondernemingen momenteel worden geëvalueerd, is het niet ondenkbaar dat een richtlijn tot wijziging van deze artikelen vóór het verstrijken van de geldigheidstermijn van de derogatie op 31 december 2021 in werking zal treden en in een datum voorziet met ingang waarvan de lidstaten nationale bepalingen moeten toepassen. In dat geval dient dit besluit te vervallen.</w:t>
      </w:r>
    </w:p>
    <w:p>
      <w:pPr>
        <w:pStyle w:val="ManualConsidrant"/>
        <w:rPr>
          <w:noProof/>
        </w:rPr>
      </w:pPr>
      <w:r>
        <w:t>(8)</w:t>
      </w:r>
      <w:r>
        <w:tab/>
      </w:r>
      <w:r>
        <w:rPr>
          <w:noProof/>
        </w:rPr>
        <w:t>De derogatie heeft geen gevolgen voor de eigen middelen van de Unie uit de btw omdat Slovenië een compensatieberekening zal verrichten overeenkomstig artikel 6 van Verordening (EEG, Euratom) nr. 1553/89 van de Raad</w:t>
      </w:r>
      <w:r>
        <w:rPr>
          <w:rStyle w:val="FootnoteReference"/>
          <w:noProof/>
        </w:rPr>
        <w:footnoteReference w:id="18"/>
      </w:r>
      <w:r>
        <w:rPr>
          <w:noProof/>
        </w:rPr>
        <w:t xml:space="preserve">. </w:t>
      </w:r>
    </w:p>
    <w:p>
      <w:pPr>
        <w:pStyle w:val="ManualConsidrant"/>
        <w:rPr>
          <w:noProof/>
        </w:rPr>
      </w:pPr>
      <w:r>
        <w:t>(9)</w:t>
      </w:r>
      <w:r>
        <w:tab/>
      </w:r>
      <w:r>
        <w:rPr>
          <w:noProof/>
        </w:rPr>
        <w:t>Uitvoeringsbesluit 2013/54/EU moet daarom dienovereenkomstig worden gewijzigd,</w:t>
      </w:r>
    </w:p>
    <w:p>
      <w:pPr>
        <w:pStyle w:val="Formuledadoption"/>
        <w:rPr>
          <w:noProof/>
        </w:rPr>
      </w:pPr>
      <w:r>
        <w:rPr>
          <w:noProof/>
        </w:rPr>
        <w:t xml:space="preserve">HEEFT HET VOLGENDE BESLUIT VASTGESTELD: </w:t>
      </w:r>
    </w:p>
    <w:p>
      <w:pPr>
        <w:pStyle w:val="Titrearticle"/>
        <w:rPr>
          <w:noProof/>
        </w:rPr>
      </w:pPr>
      <w:r>
        <w:rPr>
          <w:noProof/>
        </w:rPr>
        <w:t>Artikel 1</w:t>
      </w:r>
    </w:p>
    <w:p>
      <w:pPr>
        <w:rPr>
          <w:noProof/>
        </w:rPr>
      </w:pPr>
      <w:r>
        <w:rPr>
          <w:noProof/>
        </w:rPr>
        <w:t>In artikel 2 van Uitvoeringsbesluit 2013/54/EU wordt de tweede alinea vervangen door:</w:t>
      </w:r>
    </w:p>
    <w:p>
      <w:pPr>
        <w:rPr>
          <w:noProof/>
        </w:rPr>
      </w:pPr>
      <w:r>
        <w:rPr>
          <w:noProof/>
        </w:rPr>
        <w:t>"Dit besluit is van toepassing met ingang van 1 januari 2019 tot en met de vroegste van de volgende twee datums:</w:t>
      </w:r>
    </w:p>
    <w:p>
      <w:pPr>
        <w:rPr>
          <w:noProof/>
        </w:rPr>
      </w:pPr>
      <w:r>
        <w:rPr>
          <w:noProof/>
        </w:rPr>
        <w:t>a)</w:t>
      </w:r>
      <w:r>
        <w:rPr>
          <w:noProof/>
        </w:rPr>
        <w:tab/>
        <w:t>31 december 2021;</w:t>
      </w:r>
    </w:p>
    <w:p>
      <w:pPr>
        <w:rPr>
          <w:noProof/>
        </w:rPr>
      </w:pPr>
      <w:r>
        <w:rPr>
          <w:noProof/>
        </w:rPr>
        <w:t>b)</w:t>
      </w:r>
      <w:r>
        <w:rPr>
          <w:noProof/>
        </w:rPr>
        <w:tab/>
        <w:t>de datum met ingang waarvan de lidstaten nationale bepalingen moeten toepassen die zij moeten vaststellen indien er een richtlijn wordt aangenomen tot wijziging van de artikelen 281 tot en met 294 van Richtlijn 2006/112/EG betreffende de bijzondere regeling voor kleine ondernemingen.".</w:t>
      </w:r>
    </w:p>
    <w:p>
      <w:pPr>
        <w:pStyle w:val="Titrearticle"/>
        <w:rPr>
          <w:noProof/>
        </w:rPr>
      </w:pPr>
      <w:r>
        <w:rPr>
          <w:noProof/>
        </w:rPr>
        <w:t>Artikel 2</w:t>
      </w:r>
    </w:p>
    <w:p>
      <w:pPr>
        <w:rPr>
          <w:noProof/>
        </w:rPr>
      </w:pPr>
      <w:r>
        <w:rPr>
          <w:noProof/>
        </w:rPr>
        <w:t>Dit besluit is gericht tot de Republiek Slovenië.</w:t>
      </w:r>
    </w:p>
    <w:p>
      <w:pPr>
        <w:pStyle w:val="Fait"/>
        <w:rPr>
          <w:noProof/>
        </w:rPr>
      </w:pPr>
      <w:r>
        <w:t>Gedaan te Brussel,</w:t>
      </w:r>
    </w:p>
    <w:p>
      <w:pPr>
        <w:pStyle w:val="Institutionquisigne"/>
        <w:rPr>
          <w:noProof/>
        </w:rPr>
      </w:pPr>
      <w:r>
        <w:rPr>
          <w:noProof/>
        </w:rPr>
        <w:tab/>
        <w:t>Voor de Raad</w:t>
      </w:r>
    </w:p>
    <w:p>
      <w:pPr>
        <w:pStyle w:val="Personnequisigne"/>
        <w:rPr>
          <w:noProof/>
        </w:rPr>
      </w:pPr>
      <w:r>
        <w:rPr>
          <w:noProof/>
        </w:rPr>
        <w:tab/>
        <w:t>De voorzitter</w:t>
      </w:r>
    </w:p>
    <w:sectPr>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NL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Uitvoeringsbesluit 2013/54/EU van de Raad van 22 januari 2013 waarbij de Republiek Slovenië wordt gemachtigd een bijzondere maatregel in te stellen die afwijkt van artikel 287 van Richtlijn 2006/112/EG betreffende het gemeenschappelijke stelsel van belasting over de toegevoegde waarde (PB L 22 van 25.1.2013, blz. 15).</w:t>
      </w:r>
    </w:p>
  </w:footnote>
  <w:footnote w:id="2">
    <w:p>
      <w:pPr>
        <w:pStyle w:val="FootnoteText"/>
      </w:pPr>
      <w:r>
        <w:rPr>
          <w:rStyle w:val="FootnoteReference"/>
        </w:rPr>
        <w:footnoteRef/>
      </w:r>
      <w:r>
        <w:tab/>
        <w:t xml:space="preserve">Uitvoeringsbesluit (EU) 2015/2089 van de Raad van 10 november 2015 tot wijziging van Uitvoeringsbesluit 2013/54/EU waarbij de Republiek Slovenië wordt gemachtigd een bijzondere maatregel in te stellen die afwijkt van artikel 287 van Richtlijn 2006/112/EG betreffende het gemeenschappelijke stelsel van belasting over de toegevoegde waarde (PB L 302 van 19.11.2015, blz. 107). </w:t>
      </w:r>
    </w:p>
  </w:footnote>
  <w:footnote w:id="3">
    <w:p>
      <w:pPr>
        <w:pStyle w:val="FootnoteText"/>
      </w:pPr>
      <w:r>
        <w:rPr>
          <w:rStyle w:val="FootnoteReference"/>
        </w:rPr>
        <w:footnoteRef/>
      </w:r>
      <w:r>
        <w:tab/>
        <w:t>Voorstel voor een richtlijn van de Raad tot wijziging van Richtlijn 2006/112/EG betreffende het gemeenschappelijke stelsel van belasting over de toegevoegde waarde wat betreft de bijzondere regeling voor kleine ondernemingen (COM(2018) 21 final van 18.1.2018).</w:t>
      </w:r>
    </w:p>
  </w:footnote>
  <w:footnote w:id="4">
    <w:p>
      <w:pPr>
        <w:pStyle w:val="FootnoteText"/>
      </w:pPr>
      <w:r>
        <w:rPr>
          <w:rStyle w:val="FootnoteReference"/>
        </w:rPr>
        <w:footnoteRef/>
      </w:r>
      <w:r>
        <w:tab/>
        <w:t xml:space="preserve">Uitvoeringsbesluit (EU) 2017/319 van de Raad van 21 februari 2017 tot wijziging van Uitvoeringsbesluit 2013/677/EU waarbij Luxemburg wordt gemachtigd een bijzondere maatregel in te voeren die afwijkt van artikel 285 van Richtlijn 2006/112/EG betreffende het gemeenschappelijke stelsel van belasting over de toegevoegde waarde (PB L 47 van 24.2.2017, blz. 7). </w:t>
      </w:r>
    </w:p>
  </w:footnote>
  <w:footnote w:id="5">
    <w:p>
      <w:pPr>
        <w:pStyle w:val="FootnoteText"/>
      </w:pPr>
      <w:r>
        <w:rPr>
          <w:rStyle w:val="FootnoteReference"/>
        </w:rPr>
        <w:footnoteRef/>
      </w:r>
      <w:r>
        <w:tab/>
        <w:t>Uitvoeringsbesluit (EU) 2016/2090 van de Raad van 21 november2016 tot wijziging van Beschikking 2009/790/EG waarbij Polen wordt gemachtigd een maatregel toe te passen die afwijkt van artikel 287 van Richtlijn 2006/112/EG betreffende het gemeenschappelijke stelsel van belasting over de toegevoegde waarde (PB L 324 van 30.11.2016, blz. 7).</w:t>
      </w:r>
    </w:p>
  </w:footnote>
  <w:footnote w:id="6">
    <w:p>
      <w:pPr>
        <w:pStyle w:val="FootnoteText"/>
      </w:pPr>
      <w:r>
        <w:rPr>
          <w:rStyle w:val="FootnoteReference"/>
        </w:rPr>
        <w:footnoteRef/>
      </w:r>
      <w:r>
        <w:tab/>
        <w:t>Uitvoeringsbesluit (EU) 2017/563 van de Raad van 21 maart 2017 waarbij de Republiek Estland wordt gemachtigd een bijzondere maatregel toe te passen die afwijkt van artikel 287 van Richtlijn 2006/112/EG betreffende het gemeenschappelijke stelsel van belasting over de toegevoegde waarde (PB L 80 van 25.3.2017, blz. 33).</w:t>
      </w:r>
    </w:p>
  </w:footnote>
  <w:footnote w:id="7">
    <w:p>
      <w:pPr>
        <w:pStyle w:val="FootnoteText"/>
      </w:pPr>
      <w:r>
        <w:rPr>
          <w:rStyle w:val="FootnoteReference"/>
        </w:rPr>
        <w:footnoteRef/>
      </w:r>
      <w:r>
        <w:tab/>
        <w:t>Uitvoeringsbesluit (EU) 2016/1988 van de Raad van 8 november 2016 tot wijziging van Uitvoeringsbesluit 2013/678/EU waarbij de Italiaanse Republiek wordt gemachtigd een maatregel te blijven toepassen die afwijkt van artikel 285 van Richtlijn 2006/112/EG betreffende het gemeenschappelijke stelsel van belasting over de toegevoegde waarde (PB L 306 van 15.11.2016, blz. 11).</w:t>
      </w:r>
    </w:p>
  </w:footnote>
  <w:footnote w:id="8">
    <w:p>
      <w:pPr>
        <w:pStyle w:val="FootnoteText"/>
      </w:pPr>
      <w:r>
        <w:rPr>
          <w:rStyle w:val="FootnoteReference"/>
        </w:rPr>
        <w:footnoteRef/>
      </w:r>
      <w:r>
        <w:tab/>
        <w:t>Uitvoeringsbesluit (EU) 2017/1768 van de Raad van 25 september 2017 waarbij de Republiek Kroatië wordt gemachtigd een bijzondere maatregel in te voeren die afwijkt van artikel 287 van Richtlijn 2006/112/EG betreffende het gemeenschappelijke stelsel van belasting over de toegevoegde waarde (PB L 250 van 28.9.2017, blz. 71).</w:t>
      </w:r>
    </w:p>
  </w:footnote>
  <w:footnote w:id="9">
    <w:p>
      <w:pPr>
        <w:pStyle w:val="FootnoteText"/>
      </w:pPr>
      <w:r>
        <w:rPr>
          <w:rStyle w:val="FootnoteReference"/>
        </w:rPr>
        <w:footnoteRef/>
      </w:r>
      <w:r>
        <w:tab/>
        <w:t>Uitvoeringsbesluit (EU) 2017/2408 van de Raad van 18 december 2017 waarbij de Republiek Letland wordt gemachtigd een bijzondere maatregel toe te passen die afwijkt van artikel 287 van Richtlijn 2006/112/EG betreffende het gemeenschappelijke stelsel van belasting over de toegevoegde waarde (PB L 342 van 21.12.2017, blz. 8).</w:t>
      </w:r>
    </w:p>
  </w:footnote>
  <w:footnote w:id="10">
    <w:p>
      <w:pPr>
        <w:pStyle w:val="FootnoteText"/>
      </w:pPr>
      <w:r>
        <w:rPr>
          <w:rStyle w:val="FootnoteReference"/>
        </w:rPr>
        <w:footnoteRef/>
      </w:r>
      <w:r>
        <w:tab/>
        <w:t>Uitvoeringsbesluit (EU) 2017/1855 van de Raad van 10 oktober 2017 waarbij Roemenië wordt gemachtigd een bijzondere maatregel toe te passen die afwijkt van artikel 287 van Richtlijn 2006/112/EG betreffende het gemeenschappelijke stelsel van belasting over de toegevoegde waarde (PB L 265 van 14.10.2017, blz. 19).</w:t>
      </w:r>
    </w:p>
  </w:footnote>
  <w:footnote w:id="11">
    <w:p>
      <w:pPr>
        <w:pStyle w:val="FootnoteText"/>
      </w:pPr>
      <w:r>
        <w:rPr>
          <w:rStyle w:val="FootnoteReference"/>
        </w:rPr>
        <w:footnoteRef/>
      </w:r>
      <w:r>
        <w:tab/>
        <w:t>Mededeling van de Commissie aan het Europees Parlement, de Raad en het Europees Economisch en Sociaal Comité over een actieplan betreffende de btw: naar een gemeenschappelijke btw-ruimte in de EU - tijd om knopen door te hakken, Brussel, 7 april 2016 (COM(2016) 148 final).</w:t>
      </w:r>
    </w:p>
  </w:footnote>
  <w:footnote w:id="12">
    <w:p>
      <w:pPr>
        <w:pStyle w:val="FootnoteText"/>
      </w:pPr>
      <w:r>
        <w:rPr>
          <w:rStyle w:val="FootnoteReference"/>
        </w:rPr>
        <w:footnoteRef/>
      </w:r>
      <w:r>
        <w:tab/>
        <w:t>Werkprogramma van de Europese Commissie voor 2017 - Naar een Europa dat ons beschermt, sterker maakt en verdedigt, Straatsburg, 25 oktober 2016 (COM(2016) 710 final).</w:t>
      </w:r>
    </w:p>
  </w:footnote>
  <w:footnote w:id="13">
    <w:p>
      <w:pPr>
        <w:pStyle w:val="FootnoteText"/>
      </w:pPr>
      <w:r>
        <w:rPr>
          <w:rStyle w:val="FootnoteReference"/>
        </w:rPr>
        <w:footnoteRef/>
      </w:r>
      <w:r>
        <w:tab/>
        <w:t>Voorstel voor een richtlijn van de Raad tot wijziging van Richtlijn 2006/112/EG betreffende het gemeenschappelijke stelsel van belasting over de toegevoegde waarde wat betreft de bijzondere regeling voor kleine ondernemingen (COM(2018) 21 final van 18.1.2018).</w:t>
      </w:r>
    </w:p>
  </w:footnote>
  <w:footnote w:id="14">
    <w:p>
      <w:pPr>
        <w:pStyle w:val="FootnoteText"/>
      </w:pPr>
      <w:r>
        <w:rPr>
          <w:rStyle w:val="FootnoteReference"/>
        </w:rPr>
        <w:footnoteRef/>
      </w:r>
      <w:r>
        <w:tab/>
        <w:t>COM(2008) 394 van 25 juni 2008.</w:t>
      </w:r>
    </w:p>
  </w:footnote>
  <w:footnote w:id="15">
    <w:p>
      <w:pPr>
        <w:pStyle w:val="FootnoteText"/>
      </w:pPr>
      <w:r>
        <w:rPr>
          <w:rStyle w:val="FootnoteReference"/>
        </w:rPr>
        <w:footnoteRef/>
      </w:r>
      <w:r>
        <w:tab/>
        <w:t>PB L 347 van 11.12.2006, blz. 1.</w:t>
      </w:r>
    </w:p>
  </w:footnote>
  <w:footnote w:id="16">
    <w:p>
      <w:pPr>
        <w:pStyle w:val="FootnoteText"/>
      </w:pPr>
      <w:r>
        <w:rPr>
          <w:rStyle w:val="FootnoteReference"/>
        </w:rPr>
        <w:footnoteRef/>
      </w:r>
      <w:r>
        <w:tab/>
        <w:t>Uitvoeringsbesluit 2013/54/EU van de Raad van 22 januari 2013 waarbij de Republiek Slovenië wordt gemachtigd een bijzondere maatregel in te stellen die afwijkt van artikel 287 van Richtlijn 2006/112/EG betreffende het gemeenschappelijke stelsel van belasting over de toegevoegde waarde (PB L 22 van 25.1.2013, blz. 15).</w:t>
      </w:r>
    </w:p>
  </w:footnote>
  <w:footnote w:id="17">
    <w:p>
      <w:pPr>
        <w:pStyle w:val="FootnoteText"/>
      </w:pPr>
      <w:r>
        <w:rPr>
          <w:rStyle w:val="FootnoteReference"/>
        </w:rPr>
        <w:footnoteRef/>
      </w:r>
      <w:r>
        <w:tab/>
        <w:t xml:space="preserve">Uitvoeringsbesluit (EU) 2015/2089 van de Raad van 10 november 2015 tot wijziging van Uitvoeringsbesluit 2013/54/EU waarbij de Republiek Slovenië wordt gemachtigd een bijzondere maatregel in te stellen die afwijkt van artikel 287 van Richtlijn 2006/112/EG betreffende het gemeenschappelijke stelsel van belasting over de toegevoegde waarde (PB L 302 van 19.11.2015, blz. 107). </w:t>
      </w:r>
    </w:p>
  </w:footnote>
  <w:footnote w:id="18">
    <w:p>
      <w:pPr>
        <w:pStyle w:val="FootnoteText"/>
      </w:pPr>
      <w:r>
        <w:rPr>
          <w:rStyle w:val="FootnoteReference"/>
        </w:rPr>
        <w:footnoteRef/>
      </w:r>
      <w:r>
        <w:tab/>
        <w:t>Verordening (EEG, Euratom) nr. 1553/89 van de Raad van 29 mei 1989 betreffende de definitieve uniforme regeling voor de inning van de eigen middelen uit de belasting over de toegevoegde waarde (PB L 155 van 7.6.1989, blz.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6345FD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6BE6A92"/>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A01C4A"/>
    <w:lvl w:ilvl="0">
      <w:start w:val="1"/>
      <w:numFmt w:val="decimal"/>
      <w:pStyle w:val="ListNumber2"/>
      <w:lvlText w:val="%1."/>
      <w:lvlJc w:val="left"/>
      <w:pPr>
        <w:tabs>
          <w:tab w:val="num" w:pos="643"/>
        </w:tabs>
        <w:ind w:left="643" w:hanging="360"/>
      </w:pPr>
    </w:lvl>
  </w:abstractNum>
  <w:abstractNum w:abstractNumId="3">
    <w:nsid w:val="FFFFFF81"/>
    <w:multiLevelType w:val="singleLevel"/>
    <w:tmpl w:val="A51254C2"/>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BBAF19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0E0665E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C00619A2"/>
    <w:lvl w:ilvl="0">
      <w:start w:val="1"/>
      <w:numFmt w:val="decimal"/>
      <w:pStyle w:val="ListNumber"/>
      <w:lvlText w:val="%1."/>
      <w:lvlJc w:val="left"/>
      <w:pPr>
        <w:tabs>
          <w:tab w:val="num" w:pos="360"/>
        </w:tabs>
        <w:ind w:left="360" w:hanging="360"/>
      </w:pPr>
    </w:lvl>
  </w:abstractNum>
  <w:abstractNum w:abstractNumId="7">
    <w:nsid w:val="FFFFFF89"/>
    <w:multiLevelType w:val="singleLevel"/>
    <w:tmpl w:val="F8BCD33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9-19 15:44:2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CBB1D72B-C33D-4C47-BBE6-DBEB27428D22"/>
    <w:docVar w:name="LW_COVERPAGE_TYPE" w:val="1"/>
    <w:docVar w:name="LW_CROSSREFERENCE" w:val="&lt;UNUSED&gt;"/>
    <w:docVar w:name="LW_DocType" w:val="COM"/>
    <w:docVar w:name="LW_EMISSION" w:val="20.9.2018"/>
    <w:docVar w:name="LW_EMISSION_ISODATE" w:val="2018-09-20"/>
    <w:docVar w:name="LW_EMISSION_LOCATION" w:val="BRX"/>
    <w:docVar w:name="LW_EMISSION_PREFIX" w:val="Brussel, "/>
    <w:docVar w:name="LW_EMISSION_SUFFIX" w:val="&lt;EMPTY&gt;"/>
    <w:docVar w:name="LW_ID_DOCMODEL" w:val="SJ-020"/>
    <w:docVar w:name="LW_ID_DOCSIGNATURE" w:val="SJ-020"/>
    <w:docVar w:name="LW_ID_DOCSTRUCTURE" w:val="COM/PL/ORG"/>
    <w:docVar w:name="LW_ID_DOCTYPE" w:val="SJ-020"/>
    <w:docVar w:name="LW_ID_EXP.MOTIFS.NEW" w:val="EM_PL_"/>
    <w:docVar w:name="LW_ID_STATUT" w:val="SJ-020"/>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NLE"/>
    <w:docVar w:name="LW_REF.II.NEW.CP_NUMBER" w:val="0335"/>
    <w:docVar w:name="LW_REF.II.NEW.CP_YEAR" w:val="2018"/>
    <w:docVar w:name="LW_REF.INST.NEW" w:val="COM"/>
    <w:docVar w:name="LW_REF.INST.NEW_ADOPTED" w:val="final"/>
    <w:docVar w:name="LW_REF.INST.NEW_TEXT" w:val="(2018) 65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Voorstel voor een"/>
    <w:docVar w:name="LW_SUPERTITRE" w:val="&lt;UNUSED&gt;"/>
    <w:docVar w:name="LW_TITRE.OBJ.CP" w:val="tot wijziging van Uitvoeringsbesluit 2013/54/EU waarbij de Republiek Slovenië wordt gemachtigd een bijzondere maatregel in te stellen die afwijkt van artikel 287 van Richtlijn 2006/112/EG betreffende het gemeenschappelijke stelsel van belasting over de toegevoegde waarde"/>
    <w:docVar w:name="LW_TYPE.DOC.CP" w:val="UITVOERINGSBESLUIT VAN DE RAAD"/>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nl-NL"/>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nl-NL"/>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nl-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nl-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0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1B8C-4BA4-4D0F-9EE1-9D2CF540D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1743</Words>
  <Characters>9971</Characters>
  <Application>Microsoft Office Word</Application>
  <DocSecurity>0</DocSecurity>
  <Lines>178</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2018-09-13T07:41:00Z</cp:lastPrinted>
  <dcterms:created xsi:type="dcterms:W3CDTF">2018-09-13T10:42:00Z</dcterms:created>
  <dcterms:modified xsi:type="dcterms:W3CDTF">2018-09-19T13:44:00Z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SJ-020</vt:lpwstr>
  </property>
  <property fmtid="{D5CDD505-2E9C-101B-9397-08002B2CF9AE}" pid="10" name="DQCStatus">
    <vt:lpwstr>Green (DQC version 03)</vt:lpwstr>
  </property>
  <property name="OP_sanitized" fmtid="{D5CDD505-2E9C-101B-9397-08002B2CF9AE}" pid="11">
    <vt:lpwstr>True</vt:lpwstr>
  </property>
</Properties>
</file>