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BD204BA1F484E868DD0B81E5A000259" style="width:450.25pt;height:361.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jc w:val="center"/>
        <w:rPr>
          <w:b/>
          <w:noProof/>
        </w:rPr>
      </w:pPr>
      <w:bookmarkStart w:id="1" w:name="_GoBack"/>
      <w:bookmarkEnd w:id="1"/>
      <w:r>
        <w:rPr>
          <w:b/>
          <w:noProof/>
        </w:rPr>
        <w:lastRenderedPageBreak/>
        <w:t>VERSLAG VAN DE COMMISSIE AAN DE RAAD EN HET EUROPEES PARLEMENT</w:t>
      </w:r>
    </w:p>
    <w:p>
      <w:pPr>
        <w:jc w:val="center"/>
        <w:rPr>
          <w:b/>
          <w:noProof/>
        </w:rPr>
      </w:pPr>
      <w:r>
        <w:rPr>
          <w:b/>
          <w:noProof/>
        </w:rPr>
        <w:t>over het gebruik dat in 2014 door de instellingen is gemaakt van de Verordeningen van de Raad nr. 495/77, laatstelijk gewijzigd bij Verordening nr. 1945/2006 (over wachtdiensten), nr. 858/2004 (over werkzaamheden met een bezwaarlijk karakter) en nr. 300/76, laatstelijk gewijzigd bij Verordening nr. 1873/2006 (over continu- of ploegendienst)</w:t>
      </w:r>
    </w:p>
    <w:p>
      <w:pPr>
        <w:pStyle w:val="ManualHeading1"/>
        <w:rPr>
          <w:noProof/>
        </w:rPr>
      </w:pPr>
      <w:r>
        <w:t>1.</w:t>
      </w:r>
      <w:r>
        <w:tab/>
      </w:r>
      <w:r>
        <w:rPr>
          <w:noProof/>
        </w:rPr>
        <w:t>Inleiding</w:t>
      </w:r>
    </w:p>
    <w:p>
      <w:pPr>
        <w:rPr>
          <w:noProof/>
        </w:rPr>
      </w:pPr>
      <w:r>
        <w:rPr>
          <w:noProof/>
        </w:rPr>
        <w:t>Overeenkomstig de Verordeningen van de Raad over wachtdiensten (nr. 495/77) en werkzaamheden met een bezwaarlijk karakter (nr. 858/2004) moet de Commissie jaarlijks verslag uitbrengen aan de Raad over het aantal ambtenaren en andere personeelsleden per categorie aan wie de in de betrokken verordeningen bedoelde toeslagen zijn toegekend en over het totaalbedrag van de uitgaven daarvoor.</w:t>
      </w:r>
    </w:p>
    <w:p>
      <w:pPr>
        <w:rPr>
          <w:noProof/>
        </w:rPr>
      </w:pPr>
      <w:r>
        <w:rPr>
          <w:noProof/>
        </w:rPr>
        <w:t>Dit verslag is gebaseerd op de recentste cijfers voor een heel jaar die beschikbaar waren op het moment van de opstelling en heeft betrekking op 2014. Het verslag bestrijkt alle instellingen en biedt volledigheidshalve ook dezelfde informatie over het gebruik van continu- en ploegendiensten (Verordening nr. 300/76 van de Raad).</w:t>
      </w:r>
    </w:p>
    <w:p>
      <w:pPr>
        <w:pStyle w:val="ManualHeading1"/>
        <w:rPr>
          <w:bCs/>
          <w:noProof/>
        </w:rPr>
      </w:pPr>
      <w:r>
        <w:t>2.</w:t>
      </w:r>
      <w:r>
        <w:tab/>
      </w:r>
      <w:r>
        <w:rPr>
          <w:noProof/>
        </w:rPr>
        <w:t>Toeslag voor wachtdiensten</w:t>
      </w:r>
    </w:p>
    <w:p>
      <w:pPr>
        <w:rPr>
          <w:noProof/>
        </w:rPr>
      </w:pPr>
      <w:r>
        <w:rPr>
          <w:noProof/>
        </w:rPr>
        <w:t>De rechtsgrondslag voor deze toeslag wordt gevormd door de artikelen 55 en 56 ter van het Statuut en Verordening nr. 495/77 van de Raad van 8 maart 1977, laatstelijk gewijzigd bij Verordening nr. 1945/2006 van de Raad van 11 december 2006.</w:t>
      </w:r>
    </w:p>
    <w:p>
      <w:pPr>
        <w:spacing w:after="0"/>
        <w:rPr>
          <w:noProof/>
        </w:rPr>
      </w:pPr>
      <w:r>
        <w:rPr>
          <w:noProof/>
        </w:rPr>
        <w:t xml:space="preserve">Deze toeslag wordt uitsluitend betaald aan ambtenaren en andere functionarissen wier bezoldiging ten laste komt van </w:t>
      </w:r>
      <w:r>
        <w:rPr>
          <w:i/>
          <w:noProof/>
        </w:rPr>
        <w:t>onderzoekskredieten</w:t>
      </w:r>
      <w:r>
        <w:rPr>
          <w:noProof/>
        </w:rPr>
        <w:t xml:space="preserve"> en die werkzaam zijn in:</w:t>
      </w:r>
    </w:p>
    <w:p>
      <w:pPr>
        <w:pStyle w:val="Tiret1"/>
        <w:numPr>
          <w:ilvl w:val="0"/>
          <w:numId w:val="24"/>
        </w:numPr>
        <w:spacing w:before="0" w:after="0"/>
        <w:ind w:left="1418"/>
        <w:rPr>
          <w:noProof/>
        </w:rPr>
      </w:pPr>
      <w:r>
        <w:rPr>
          <w:noProof/>
        </w:rPr>
        <w:t xml:space="preserve">een instelling van het Gemeenschappelijk Centrum voor onderzoek (JRC), of </w:t>
      </w:r>
    </w:p>
    <w:p>
      <w:pPr>
        <w:pStyle w:val="Tiret1"/>
        <w:numPr>
          <w:ilvl w:val="0"/>
          <w:numId w:val="25"/>
        </w:numPr>
        <w:spacing w:before="0" w:after="0"/>
        <w:ind w:left="1418"/>
        <w:rPr>
          <w:noProof/>
        </w:rPr>
      </w:pPr>
      <w:r>
        <w:rPr>
          <w:noProof/>
        </w:rPr>
        <w:t>een actie onder contract, of</w:t>
      </w:r>
    </w:p>
    <w:p>
      <w:pPr>
        <w:spacing w:after="0"/>
        <w:rPr>
          <w:noProof/>
        </w:rPr>
      </w:pPr>
      <w:r>
        <w:rPr>
          <w:noProof/>
        </w:rPr>
        <w:t xml:space="preserve">wier bezoldiging ten laste komt van </w:t>
      </w:r>
      <w:r>
        <w:rPr>
          <w:i/>
          <w:noProof/>
        </w:rPr>
        <w:t>beleidskredieten</w:t>
      </w:r>
      <w:r>
        <w:rPr>
          <w:noProof/>
        </w:rPr>
        <w:t xml:space="preserve"> en die werkzaam zijn in:</w:t>
      </w:r>
    </w:p>
    <w:p>
      <w:pPr>
        <w:pStyle w:val="Tiret1"/>
        <w:numPr>
          <w:ilvl w:val="0"/>
          <w:numId w:val="25"/>
        </w:numPr>
        <w:spacing w:before="0" w:after="0"/>
        <w:ind w:left="1418"/>
        <w:rPr>
          <w:noProof/>
        </w:rPr>
      </w:pPr>
      <w:r>
        <w:rPr>
          <w:noProof/>
        </w:rPr>
        <w:t>de bediening van of het toezicht op technische installaties,</w:t>
      </w:r>
    </w:p>
    <w:p>
      <w:pPr>
        <w:pStyle w:val="Tiret1"/>
        <w:numPr>
          <w:ilvl w:val="0"/>
          <w:numId w:val="25"/>
        </w:numPr>
        <w:spacing w:before="0" w:after="0"/>
        <w:ind w:left="1418"/>
        <w:rPr>
          <w:noProof/>
        </w:rPr>
      </w:pPr>
      <w:r>
        <w:rPr>
          <w:noProof/>
        </w:rPr>
        <w:t>een beveiligingsdienst,</w:t>
      </w:r>
    </w:p>
    <w:p>
      <w:pPr>
        <w:pStyle w:val="Tiret1"/>
        <w:numPr>
          <w:ilvl w:val="0"/>
          <w:numId w:val="25"/>
        </w:numPr>
        <w:spacing w:before="0" w:after="0"/>
        <w:ind w:left="1418"/>
        <w:rPr>
          <w:noProof/>
        </w:rPr>
      </w:pPr>
      <w:r>
        <w:rPr>
          <w:noProof/>
        </w:rPr>
        <w:t>een ICT-dienst,</w:t>
      </w:r>
    </w:p>
    <w:p>
      <w:pPr>
        <w:pStyle w:val="Tiret1"/>
        <w:numPr>
          <w:ilvl w:val="0"/>
          <w:numId w:val="25"/>
        </w:numPr>
        <w:spacing w:before="0" w:after="0"/>
        <w:ind w:left="1418"/>
        <w:rPr>
          <w:noProof/>
        </w:rPr>
      </w:pPr>
      <w:r>
        <w:rPr>
          <w:noProof/>
        </w:rPr>
        <w:t>een afdeling die het Gemeenschappelijk Buitenlands en Veiligheidsbeleid/Europees Veiligheids- en Defensiebeleid (GBVB/EVDB) of regelingen voor coördinatie in nood- en crisissituaties ondersteunt, of</w:t>
      </w:r>
    </w:p>
    <w:p>
      <w:pPr>
        <w:pStyle w:val="Tiret1"/>
        <w:numPr>
          <w:ilvl w:val="0"/>
          <w:numId w:val="25"/>
        </w:numPr>
        <w:spacing w:before="0"/>
        <w:rPr>
          <w:noProof/>
        </w:rPr>
      </w:pPr>
      <w:r>
        <w:rPr>
          <w:noProof/>
        </w:rPr>
        <w:t>een mechanisme dat is opgezet om de lidstaten 24 uur per dag en 7 dagen per week bij te staan (“EM 24/7”) bij de coördinatie in nood- of crisissituaties, of ten behoeve van diensten die met zekerheid taken moeten verrichten voor het garanderen van een mechanisme voor bijstand aan de lidstaten.</w:t>
      </w:r>
    </w:p>
    <w:p>
      <w:pPr>
        <w:rPr>
          <w:noProof/>
        </w:rPr>
      </w:pPr>
      <w:r>
        <w:rPr>
          <w:noProof/>
        </w:rPr>
        <w:t>De toeslag voor wachtdiensten wordt in punten uitgedrukt. Het aantal punten per uur werkelijk verrichte wachtdienst is als volgt bepaald:</w:t>
      </w:r>
    </w:p>
    <w:p>
      <w:pPr>
        <w:pStyle w:val="Tiret1"/>
        <w:numPr>
          <w:ilvl w:val="0"/>
          <w:numId w:val="25"/>
        </w:numPr>
        <w:spacing w:before="0" w:after="0"/>
        <w:ind w:left="1418"/>
        <w:rPr>
          <w:noProof/>
        </w:rPr>
      </w:pPr>
      <w:r>
        <w:rPr>
          <w:noProof/>
        </w:rPr>
        <w:t>wachtdienst thuis op een werkdag: 2,15 punten;</w:t>
      </w:r>
    </w:p>
    <w:p>
      <w:pPr>
        <w:pStyle w:val="Tiret1"/>
        <w:numPr>
          <w:ilvl w:val="0"/>
          <w:numId w:val="25"/>
        </w:numPr>
        <w:spacing w:before="0" w:after="0"/>
        <w:ind w:left="1418"/>
        <w:rPr>
          <w:noProof/>
        </w:rPr>
      </w:pPr>
      <w:r>
        <w:rPr>
          <w:noProof/>
        </w:rPr>
        <w:t>wachtdienst thuis in het weekend of op feestdagen: 4,3 punten;</w:t>
      </w:r>
    </w:p>
    <w:p>
      <w:pPr>
        <w:pStyle w:val="Tiret1"/>
        <w:numPr>
          <w:ilvl w:val="0"/>
          <w:numId w:val="25"/>
        </w:numPr>
        <w:spacing w:before="0" w:after="0"/>
        <w:ind w:left="1418"/>
        <w:rPr>
          <w:noProof/>
        </w:rPr>
      </w:pPr>
      <w:r>
        <w:rPr>
          <w:noProof/>
        </w:rPr>
        <w:t>wachtdienst op het werk op een werkdag: 11 punten;</w:t>
      </w:r>
    </w:p>
    <w:p>
      <w:pPr>
        <w:pStyle w:val="Tiret1"/>
        <w:numPr>
          <w:ilvl w:val="0"/>
          <w:numId w:val="25"/>
        </w:numPr>
        <w:spacing w:before="0" w:after="0"/>
        <w:ind w:left="1418"/>
        <w:rPr>
          <w:noProof/>
        </w:rPr>
      </w:pPr>
      <w:r>
        <w:rPr>
          <w:noProof/>
        </w:rPr>
        <w:t>wachtdienst op het werk in het weekend of op feestdagen:  22 punten.</w:t>
      </w:r>
    </w:p>
    <w:p>
      <w:pPr>
        <w:rPr>
          <w:noProof/>
        </w:rPr>
      </w:pPr>
      <w:r>
        <w:rPr>
          <w:noProof/>
        </w:rPr>
        <w:t>Elk punt stemt overeen met 0,032 % van het basissalaris van een ambtenaar in rang 1, salaristrap 1 (= 0,86 euro in 2014).</w:t>
      </w:r>
    </w:p>
    <w:p>
      <w:pPr>
        <w:rPr>
          <w:noProof/>
        </w:rPr>
      </w:pPr>
    </w:p>
    <w:p>
      <w:pPr>
        <w:pStyle w:val="ManualHeading2"/>
        <w:rPr>
          <w:bCs/>
          <w:noProof/>
        </w:rPr>
      </w:pPr>
      <w:r>
        <w:t>2.1.</w:t>
      </w:r>
      <w:r>
        <w:tab/>
      </w:r>
      <w:r>
        <w:rPr>
          <w:noProof/>
        </w:rPr>
        <w:t>Aantal begunstigden (ambtenaren/tijdelijke functionarissen en arbeidscontractanten)</w:t>
      </w:r>
      <w:r>
        <w:rPr>
          <w:rStyle w:val="FootnoteReference"/>
          <w:noProof/>
        </w:rPr>
        <w:footnoteReference w:id="1"/>
      </w:r>
      <w:r>
        <w:rPr>
          <w:noProof/>
        </w:rPr>
        <w:t>:</w:t>
      </w:r>
    </w:p>
    <w:tbl>
      <w:tblPr>
        <w:tblW w:w="9420" w:type="dxa"/>
        <w:tblInd w:w="93" w:type="dxa"/>
        <w:tblLook w:val="0000" w:firstRow="0" w:lastRow="0" w:firstColumn="0" w:lastColumn="0" w:noHBand="0" w:noVBand="0"/>
      </w:tblPr>
      <w:tblGrid>
        <w:gridCol w:w="2680"/>
        <w:gridCol w:w="800"/>
        <w:gridCol w:w="975"/>
        <w:gridCol w:w="960"/>
        <w:gridCol w:w="960"/>
        <w:gridCol w:w="960"/>
        <w:gridCol w:w="960"/>
        <w:gridCol w:w="1125"/>
      </w:tblGrid>
      <w:tr>
        <w:trPr>
          <w:trHeight w:val="510"/>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8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AD</w:t>
            </w:r>
          </w:p>
        </w:tc>
        <w:tc>
          <w:tcPr>
            <w:tcW w:w="97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SC - AST</w:t>
            </w:r>
          </w:p>
        </w:tc>
        <w:tc>
          <w:tcPr>
            <w:tcW w:w="3840" w:type="dxa"/>
            <w:gridSpan w:val="4"/>
            <w:tcBorders>
              <w:top w:val="single" w:sz="4" w:space="0" w:color="auto"/>
              <w:left w:val="nil"/>
              <w:bottom w:val="single" w:sz="4" w:space="0" w:color="auto"/>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AC</w:t>
            </w:r>
          </w:p>
        </w:tc>
        <w:tc>
          <w:tcPr>
            <w:tcW w:w="1125"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346"/>
        </w:trPr>
        <w:tc>
          <w:tcPr>
            <w:tcW w:w="268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80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975"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960" w:type="dxa"/>
            <w:tcBorders>
              <w:top w:val="nil"/>
              <w:left w:val="nil"/>
              <w:bottom w:val="single" w:sz="4" w:space="0" w:color="auto"/>
              <w:right w:val="single" w:sz="4" w:space="0" w:color="auto"/>
            </w:tcBorders>
            <w:shd w:val="clear" w:color="auto" w:fill="auto"/>
            <w:vAlign w:val="center"/>
          </w:tcPr>
          <w:p>
            <w:pPr>
              <w:spacing w:before="0" w:after="0"/>
              <w:rPr>
                <w:rFonts w:ascii="Arial" w:hAnsi="Arial" w:cs="Arial"/>
                <w:b/>
                <w:bCs/>
                <w:noProof/>
                <w:sz w:val="20"/>
                <w:szCs w:val="20"/>
              </w:rPr>
            </w:pPr>
            <w:r>
              <w:rPr>
                <w:rFonts w:ascii="Arial" w:hAnsi="Arial"/>
                <w:b/>
                <w:noProof/>
                <w:sz w:val="20"/>
              </w:rPr>
              <w:t>FG I</w:t>
            </w:r>
          </w:p>
        </w:tc>
        <w:tc>
          <w:tcPr>
            <w:tcW w:w="960" w:type="dxa"/>
            <w:tcBorders>
              <w:top w:val="nil"/>
              <w:left w:val="nil"/>
              <w:bottom w:val="single" w:sz="4" w:space="0" w:color="auto"/>
              <w:right w:val="single" w:sz="4" w:space="0" w:color="auto"/>
            </w:tcBorders>
            <w:shd w:val="clear" w:color="auto" w:fill="auto"/>
            <w:vAlign w:val="center"/>
          </w:tcPr>
          <w:p>
            <w:pPr>
              <w:spacing w:before="0" w:after="0"/>
              <w:rPr>
                <w:rFonts w:ascii="Arial" w:hAnsi="Arial" w:cs="Arial"/>
                <w:b/>
                <w:bCs/>
                <w:noProof/>
                <w:sz w:val="20"/>
                <w:szCs w:val="20"/>
              </w:rPr>
            </w:pPr>
            <w:r>
              <w:rPr>
                <w:rFonts w:ascii="Arial" w:hAnsi="Arial"/>
                <w:b/>
                <w:noProof/>
                <w:sz w:val="20"/>
              </w:rPr>
              <w:t>FG II</w:t>
            </w:r>
          </w:p>
        </w:tc>
        <w:tc>
          <w:tcPr>
            <w:tcW w:w="960" w:type="dxa"/>
            <w:tcBorders>
              <w:top w:val="nil"/>
              <w:left w:val="nil"/>
              <w:bottom w:val="single" w:sz="4" w:space="0" w:color="auto"/>
              <w:right w:val="single" w:sz="4" w:space="0" w:color="auto"/>
            </w:tcBorders>
            <w:shd w:val="clear" w:color="auto" w:fill="auto"/>
            <w:vAlign w:val="center"/>
          </w:tcPr>
          <w:p>
            <w:pPr>
              <w:spacing w:before="0" w:after="0"/>
              <w:rPr>
                <w:rFonts w:ascii="Arial" w:hAnsi="Arial" w:cs="Arial"/>
                <w:b/>
                <w:bCs/>
                <w:noProof/>
                <w:sz w:val="20"/>
                <w:szCs w:val="20"/>
              </w:rPr>
            </w:pPr>
            <w:r>
              <w:rPr>
                <w:rFonts w:ascii="Arial" w:hAnsi="Arial"/>
                <w:b/>
                <w:noProof/>
                <w:sz w:val="20"/>
              </w:rPr>
              <w:t xml:space="preserve">FG III </w:t>
            </w:r>
          </w:p>
        </w:tc>
        <w:tc>
          <w:tcPr>
            <w:tcW w:w="960" w:type="dxa"/>
            <w:tcBorders>
              <w:top w:val="nil"/>
              <w:left w:val="nil"/>
              <w:bottom w:val="single" w:sz="4" w:space="0" w:color="auto"/>
              <w:right w:val="single" w:sz="4" w:space="0" w:color="auto"/>
            </w:tcBorders>
            <w:shd w:val="clear" w:color="auto" w:fill="auto"/>
            <w:vAlign w:val="center"/>
          </w:tcPr>
          <w:p>
            <w:pPr>
              <w:spacing w:before="0" w:after="0"/>
              <w:rPr>
                <w:rFonts w:ascii="Arial" w:hAnsi="Arial" w:cs="Arial"/>
                <w:b/>
                <w:bCs/>
                <w:noProof/>
                <w:sz w:val="20"/>
                <w:szCs w:val="20"/>
              </w:rPr>
            </w:pPr>
            <w:r>
              <w:rPr>
                <w:rFonts w:ascii="Arial" w:hAnsi="Arial"/>
                <w:b/>
                <w:noProof/>
                <w:sz w:val="20"/>
              </w:rPr>
              <w:t>FG IV</w:t>
            </w:r>
          </w:p>
        </w:tc>
        <w:tc>
          <w:tcPr>
            <w:tcW w:w="1125" w:type="dxa"/>
            <w:vMerge/>
            <w:tcBorders>
              <w:top w:val="single" w:sz="8" w:space="0" w:color="auto"/>
              <w:left w:val="single" w:sz="8" w:space="0" w:color="auto"/>
              <w:bottom w:val="single" w:sz="8" w:space="0" w:color="auto"/>
              <w:right w:val="single" w:sz="8" w:space="0" w:color="auto"/>
            </w:tcBorders>
            <w:vAlign w:val="center"/>
          </w:tcPr>
          <w:p>
            <w:pPr>
              <w:spacing w:before="0" w:after="0"/>
              <w:jc w:val="left"/>
              <w:rPr>
                <w:rFonts w:ascii="Arial" w:hAnsi="Arial" w:cs="Arial"/>
                <w:b/>
                <w:bCs/>
                <w:noProof/>
                <w:sz w:val="20"/>
                <w:szCs w:val="20"/>
              </w:rPr>
            </w:pPr>
          </w:p>
        </w:tc>
      </w:tr>
      <w:tr>
        <w:trPr>
          <w:trHeight w:val="178"/>
        </w:trPr>
        <w:tc>
          <w:tcPr>
            <w:tcW w:w="268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Commissie</w:t>
            </w:r>
          </w:p>
        </w:tc>
        <w:tc>
          <w:tcPr>
            <w:tcW w:w="800" w:type="dxa"/>
            <w:tcBorders>
              <w:top w:val="nil"/>
              <w:left w:val="nil"/>
              <w:bottom w:val="single" w:sz="4" w:space="0" w:color="auto"/>
              <w:right w:val="single" w:sz="4"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122</w:t>
            </w:r>
          </w:p>
        </w:tc>
        <w:tc>
          <w:tcPr>
            <w:tcW w:w="975" w:type="dxa"/>
            <w:tcBorders>
              <w:top w:val="nil"/>
              <w:left w:val="nil"/>
              <w:bottom w:val="single" w:sz="4" w:space="0" w:color="auto"/>
              <w:right w:val="single" w:sz="4"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246,5</w:t>
            </w:r>
          </w:p>
        </w:tc>
        <w:tc>
          <w:tcPr>
            <w:tcW w:w="960" w:type="dxa"/>
            <w:tcBorders>
              <w:top w:val="nil"/>
              <w:left w:val="nil"/>
              <w:bottom w:val="single" w:sz="4" w:space="0" w:color="auto"/>
              <w:right w:val="nil"/>
            </w:tcBorders>
            <w:shd w:val="clear" w:color="auto" w:fill="FFFFFF"/>
            <w:vAlign w:val="center"/>
          </w:tcPr>
          <w:p>
            <w:pPr>
              <w:spacing w:before="0" w:after="0"/>
              <w:jc w:val="right"/>
              <w:rPr>
                <w:rFonts w:ascii="Arial" w:hAnsi="Arial" w:cs="Arial"/>
                <w:noProof/>
                <w:sz w:val="20"/>
                <w:szCs w:val="20"/>
              </w:rPr>
            </w:pPr>
            <w:r>
              <w:rPr>
                <w:rFonts w:ascii="Arial" w:hAnsi="Arial"/>
                <w:noProof/>
                <w:sz w:val="20"/>
              </w:rPr>
              <w:t>36,5</w:t>
            </w:r>
          </w:p>
        </w:tc>
        <w:tc>
          <w:tcPr>
            <w:tcW w:w="960" w:type="dxa"/>
            <w:tcBorders>
              <w:top w:val="nil"/>
              <w:left w:val="single" w:sz="4" w:space="0" w:color="auto"/>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4</w:t>
            </w:r>
          </w:p>
        </w:tc>
        <w:tc>
          <w:tcPr>
            <w:tcW w:w="96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8</w:t>
            </w:r>
          </w:p>
        </w:tc>
        <w:tc>
          <w:tcPr>
            <w:tcW w:w="960" w:type="dxa"/>
            <w:tcBorders>
              <w:top w:val="nil"/>
              <w:left w:val="nil"/>
              <w:bottom w:val="single" w:sz="4" w:space="0" w:color="auto"/>
              <w:right w:val="nil"/>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2</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b/>
                <w:noProof/>
                <w:sz w:val="20"/>
                <w:szCs w:val="20"/>
              </w:rPr>
            </w:pPr>
            <w:r>
              <w:rPr>
                <w:rFonts w:ascii="Arial" w:hAnsi="Arial"/>
                <w:b/>
                <w:noProof/>
                <w:sz w:val="20"/>
              </w:rPr>
              <w:t>419</w:t>
            </w:r>
          </w:p>
        </w:tc>
      </w:tr>
      <w:tr>
        <w:trPr>
          <w:trHeight w:val="166"/>
        </w:trPr>
        <w:tc>
          <w:tcPr>
            <w:tcW w:w="268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800" w:type="dxa"/>
            <w:tcBorders>
              <w:top w:val="nil"/>
              <w:left w:val="nil"/>
              <w:bottom w:val="single" w:sz="4" w:space="0" w:color="auto"/>
              <w:right w:val="single" w:sz="4"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76</w:t>
            </w:r>
          </w:p>
        </w:tc>
        <w:tc>
          <w:tcPr>
            <w:tcW w:w="975" w:type="dxa"/>
            <w:tcBorders>
              <w:top w:val="nil"/>
              <w:left w:val="nil"/>
              <w:bottom w:val="single" w:sz="4" w:space="0" w:color="auto"/>
              <w:right w:val="single" w:sz="4"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127</w:t>
            </w:r>
          </w:p>
        </w:tc>
        <w:tc>
          <w:tcPr>
            <w:tcW w:w="960" w:type="dxa"/>
            <w:tcBorders>
              <w:top w:val="nil"/>
              <w:left w:val="nil"/>
              <w:bottom w:val="single" w:sz="4" w:space="0" w:color="auto"/>
              <w:right w:val="nil"/>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14</w:t>
            </w:r>
          </w:p>
        </w:tc>
        <w:tc>
          <w:tcPr>
            <w:tcW w:w="960" w:type="dxa"/>
            <w:tcBorders>
              <w:top w:val="nil"/>
              <w:left w:val="single" w:sz="4" w:space="0" w:color="auto"/>
              <w:bottom w:val="single" w:sz="4" w:space="0" w:color="auto"/>
              <w:right w:val="nil"/>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960" w:type="dxa"/>
            <w:tcBorders>
              <w:top w:val="nil"/>
              <w:left w:val="single" w:sz="4" w:space="0" w:color="auto"/>
              <w:bottom w:val="single" w:sz="4" w:space="0" w:color="auto"/>
              <w:right w:val="nil"/>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1</w:t>
            </w:r>
          </w:p>
        </w:tc>
        <w:tc>
          <w:tcPr>
            <w:tcW w:w="960" w:type="dxa"/>
            <w:tcBorders>
              <w:top w:val="nil"/>
              <w:left w:val="single" w:sz="4" w:space="0" w:color="auto"/>
              <w:bottom w:val="single" w:sz="4" w:space="0" w:color="auto"/>
              <w:right w:val="nil"/>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left"/>
              <w:rPr>
                <w:rFonts w:ascii="Arial" w:hAnsi="Arial" w:cs="Arial"/>
                <w:b/>
                <w:i/>
                <w:iCs/>
                <w:noProof/>
                <w:color w:val="808080"/>
                <w:sz w:val="20"/>
                <w:szCs w:val="20"/>
              </w:rPr>
            </w:pPr>
            <w:r>
              <w:rPr>
                <w:rFonts w:ascii="Arial" w:hAnsi="Arial"/>
                <w:b/>
                <w:i/>
                <w:noProof/>
                <w:color w:val="808080"/>
                <w:sz w:val="20"/>
              </w:rPr>
              <w:t>218</w:t>
            </w:r>
          </w:p>
        </w:tc>
      </w:tr>
      <w:tr>
        <w:trPr>
          <w:trHeight w:val="154"/>
        </w:trPr>
        <w:tc>
          <w:tcPr>
            <w:tcW w:w="268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Raad</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3</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45</w:t>
            </w:r>
          </w:p>
        </w:tc>
        <w:tc>
          <w:tcPr>
            <w:tcW w:w="96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2</w:t>
            </w:r>
          </w:p>
        </w:tc>
        <w:tc>
          <w:tcPr>
            <w:tcW w:w="960" w:type="dxa"/>
            <w:tcBorders>
              <w:top w:val="nil"/>
              <w:left w:val="single" w:sz="4" w:space="0" w:color="auto"/>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b/>
                <w:noProof/>
                <w:sz w:val="20"/>
                <w:szCs w:val="20"/>
              </w:rPr>
            </w:pPr>
            <w:r>
              <w:rPr>
                <w:rFonts w:ascii="Arial" w:hAnsi="Arial"/>
                <w:b/>
                <w:noProof/>
                <w:sz w:val="20"/>
              </w:rPr>
              <w:t>50</w:t>
            </w:r>
          </w:p>
        </w:tc>
      </w:tr>
      <w:tr>
        <w:trPr>
          <w:trHeight w:val="154"/>
        </w:trPr>
        <w:tc>
          <w:tcPr>
            <w:tcW w:w="268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Parlement</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0</w:t>
            </w:r>
          </w:p>
        </w:tc>
      </w:tr>
      <w:tr>
        <w:trPr>
          <w:trHeight w:val="262"/>
        </w:trPr>
        <w:tc>
          <w:tcPr>
            <w:tcW w:w="268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Hof van Justitie</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6</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9</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16</w:t>
            </w:r>
          </w:p>
        </w:tc>
      </w:tr>
      <w:tr>
        <w:trPr>
          <w:trHeight w:val="214"/>
        </w:trPr>
        <w:tc>
          <w:tcPr>
            <w:tcW w:w="268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Rekenkamer</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9</w:t>
            </w:r>
          </w:p>
        </w:tc>
        <w:tc>
          <w:tcPr>
            <w:tcW w:w="960" w:type="dxa"/>
            <w:tcBorders>
              <w:top w:val="nil"/>
              <w:left w:val="single" w:sz="4" w:space="0" w:color="auto"/>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single" w:sz="4" w:space="0" w:color="auto"/>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single" w:sz="4" w:space="0" w:color="auto"/>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b/>
                <w:noProof/>
                <w:sz w:val="20"/>
                <w:szCs w:val="20"/>
              </w:rPr>
            </w:pPr>
            <w:r>
              <w:rPr>
                <w:rFonts w:ascii="Arial" w:hAnsi="Arial"/>
                <w:b/>
                <w:noProof/>
                <w:sz w:val="20"/>
              </w:rPr>
              <w:t>9</w:t>
            </w:r>
          </w:p>
        </w:tc>
      </w:tr>
      <w:tr>
        <w:trPr>
          <w:trHeight w:val="214"/>
        </w:trPr>
        <w:tc>
          <w:tcPr>
            <w:tcW w:w="268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EESC</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0</w:t>
            </w:r>
          </w:p>
        </w:tc>
      </w:tr>
      <w:tr>
        <w:trPr>
          <w:trHeight w:val="202"/>
        </w:trPr>
        <w:tc>
          <w:tcPr>
            <w:tcW w:w="268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Comité van de Regio’s</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0</w:t>
            </w:r>
          </w:p>
        </w:tc>
      </w:tr>
      <w:tr>
        <w:trPr>
          <w:trHeight w:val="178"/>
        </w:trPr>
        <w:tc>
          <w:tcPr>
            <w:tcW w:w="268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80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0</w:t>
            </w:r>
          </w:p>
        </w:tc>
      </w:tr>
      <w:tr>
        <w:trPr>
          <w:trHeight w:val="178"/>
        </w:trPr>
        <w:tc>
          <w:tcPr>
            <w:tcW w:w="268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Ombudsman</w:t>
            </w:r>
          </w:p>
        </w:tc>
        <w:tc>
          <w:tcPr>
            <w:tcW w:w="800" w:type="dxa"/>
            <w:tcBorders>
              <w:top w:val="single" w:sz="4" w:space="0" w:color="auto"/>
              <w:left w:val="nil"/>
              <w:bottom w:val="nil"/>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75"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0</w:t>
            </w:r>
          </w:p>
        </w:tc>
      </w:tr>
      <w:tr>
        <w:trPr>
          <w:trHeight w:val="166"/>
        </w:trPr>
        <w:tc>
          <w:tcPr>
            <w:tcW w:w="2680" w:type="dxa"/>
            <w:tcBorders>
              <w:top w:val="nil"/>
              <w:left w:val="single" w:sz="4" w:space="0" w:color="auto"/>
              <w:bottom w:val="single" w:sz="2"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EDEO</w:t>
            </w:r>
          </w:p>
        </w:tc>
        <w:tc>
          <w:tcPr>
            <w:tcW w:w="800" w:type="dxa"/>
            <w:tcBorders>
              <w:top w:val="single" w:sz="4" w:space="0" w:color="auto"/>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7</w:t>
            </w:r>
          </w:p>
        </w:tc>
        <w:tc>
          <w:tcPr>
            <w:tcW w:w="975" w:type="dxa"/>
            <w:tcBorders>
              <w:top w:val="nil"/>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10</w:t>
            </w:r>
          </w:p>
        </w:tc>
        <w:tc>
          <w:tcPr>
            <w:tcW w:w="960" w:type="dxa"/>
            <w:tcBorders>
              <w:top w:val="nil"/>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5" w:type="dxa"/>
            <w:tcBorders>
              <w:top w:val="single" w:sz="8" w:space="0" w:color="auto"/>
              <w:left w:val="single" w:sz="8" w:space="0" w:color="auto"/>
              <w:bottom w:val="single" w:sz="2" w:space="0" w:color="auto"/>
              <w:right w:val="single" w:sz="8" w:space="0" w:color="auto"/>
            </w:tcBorders>
            <w:shd w:val="clear" w:color="auto" w:fill="FFFFFF"/>
            <w:vAlign w:val="center"/>
          </w:tcPr>
          <w:p>
            <w:pPr>
              <w:spacing w:before="0" w:after="0"/>
              <w:jc w:val="right"/>
              <w:rPr>
                <w:rFonts w:ascii="Arial" w:hAnsi="Arial" w:cs="Arial"/>
                <w:noProof/>
                <w:sz w:val="20"/>
                <w:szCs w:val="20"/>
              </w:rPr>
            </w:pPr>
            <w:r>
              <w:rPr>
                <w:rFonts w:ascii="Arial" w:hAnsi="Arial"/>
                <w:b/>
                <w:noProof/>
                <w:sz w:val="20"/>
              </w:rPr>
              <w:t>17</w:t>
            </w:r>
          </w:p>
        </w:tc>
      </w:tr>
      <w:tr>
        <w:trPr>
          <w:trHeight w:val="330"/>
        </w:trPr>
        <w:tc>
          <w:tcPr>
            <w:tcW w:w="268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Totaal</w:t>
            </w:r>
          </w:p>
        </w:tc>
        <w:tc>
          <w:tcPr>
            <w:tcW w:w="80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138</w:t>
            </w:r>
          </w:p>
        </w:tc>
        <w:tc>
          <w:tcPr>
            <w:tcW w:w="975"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310,5</w:t>
            </w:r>
          </w:p>
        </w:tc>
        <w:tc>
          <w:tcPr>
            <w:tcW w:w="96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48,5</w:t>
            </w:r>
          </w:p>
        </w:tc>
        <w:tc>
          <w:tcPr>
            <w:tcW w:w="96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4</w:t>
            </w:r>
          </w:p>
        </w:tc>
        <w:tc>
          <w:tcPr>
            <w:tcW w:w="96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8</w:t>
            </w:r>
          </w:p>
        </w:tc>
        <w:tc>
          <w:tcPr>
            <w:tcW w:w="96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2</w:t>
            </w:r>
          </w:p>
        </w:tc>
        <w:tc>
          <w:tcPr>
            <w:tcW w:w="1125"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511</w:t>
            </w:r>
          </w:p>
        </w:tc>
      </w:tr>
    </w:tbl>
    <w:p>
      <w:pPr>
        <w:pStyle w:val="ManualHeading2"/>
        <w:rPr>
          <w:noProof/>
        </w:rPr>
      </w:pPr>
      <w:r>
        <w:tab/>
      </w:r>
    </w:p>
    <w:p>
      <w:pPr>
        <w:pStyle w:val="ManualHeading2"/>
        <w:rPr>
          <w:noProof/>
        </w:rPr>
      </w:pPr>
      <w:r>
        <w:t>2.2.</w:t>
      </w:r>
      <w:r>
        <w:tab/>
      </w:r>
      <w:r>
        <w:rPr>
          <w:noProof/>
        </w:rPr>
        <w:t>Aantal begunstigden per soort wachtdienst:</w:t>
      </w:r>
    </w:p>
    <w:tbl>
      <w:tblPr>
        <w:tblW w:w="8900" w:type="dxa"/>
        <w:tblInd w:w="93" w:type="dxa"/>
        <w:tblLook w:val="0000" w:firstRow="0" w:lastRow="0" w:firstColumn="0" w:lastColumn="0" w:noHBand="0" w:noVBand="0"/>
      </w:tblPr>
      <w:tblGrid>
        <w:gridCol w:w="2860"/>
        <w:gridCol w:w="1120"/>
        <w:gridCol w:w="1720"/>
        <w:gridCol w:w="2080"/>
        <w:gridCol w:w="1120"/>
      </w:tblGrid>
      <w:tr>
        <w:trPr>
          <w:trHeight w:val="510"/>
        </w:trPr>
        <w:tc>
          <w:tcPr>
            <w:tcW w:w="28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11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Thuis</w:t>
            </w:r>
          </w:p>
        </w:tc>
        <w:tc>
          <w:tcPr>
            <w:tcW w:w="17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Thuis en op het werk</w:t>
            </w:r>
          </w:p>
        </w:tc>
        <w:tc>
          <w:tcPr>
            <w:tcW w:w="2080"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Op het werk</w:t>
            </w:r>
          </w:p>
        </w:tc>
        <w:tc>
          <w:tcPr>
            <w:tcW w:w="1120"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230"/>
        </w:trPr>
        <w:tc>
          <w:tcPr>
            <w:tcW w:w="286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112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172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2080" w:type="dxa"/>
            <w:vMerge/>
            <w:tcBorders>
              <w:top w:val="single" w:sz="4" w:space="0" w:color="auto"/>
              <w:left w:val="single" w:sz="4" w:space="0" w:color="auto"/>
              <w:bottom w:val="single" w:sz="4" w:space="0" w:color="000000"/>
              <w:right w:val="single" w:sz="8" w:space="0" w:color="auto"/>
            </w:tcBorders>
            <w:vAlign w:val="center"/>
          </w:tcPr>
          <w:p>
            <w:pPr>
              <w:spacing w:before="0" w:after="0"/>
              <w:jc w:val="left"/>
              <w:rPr>
                <w:rFonts w:ascii="Arial" w:hAnsi="Arial" w:cs="Arial"/>
                <w:b/>
                <w:bCs/>
                <w:noProof/>
                <w:sz w:val="20"/>
                <w:szCs w:val="20"/>
              </w:rPr>
            </w:pPr>
          </w:p>
        </w:tc>
        <w:tc>
          <w:tcPr>
            <w:tcW w:w="1120" w:type="dxa"/>
            <w:vMerge/>
            <w:tcBorders>
              <w:top w:val="single" w:sz="8" w:space="0" w:color="auto"/>
              <w:left w:val="single" w:sz="8" w:space="0" w:color="auto"/>
              <w:bottom w:val="single" w:sz="8" w:space="0" w:color="auto"/>
              <w:right w:val="single" w:sz="8" w:space="0" w:color="auto"/>
            </w:tcBorders>
            <w:vAlign w:val="center"/>
          </w:tcPr>
          <w:p>
            <w:pPr>
              <w:spacing w:before="0" w:after="0"/>
              <w:jc w:val="left"/>
              <w:rPr>
                <w:rFonts w:ascii="Arial" w:hAnsi="Arial" w:cs="Arial"/>
                <w:b/>
                <w:bCs/>
                <w:noProof/>
                <w:sz w:val="20"/>
                <w:szCs w:val="20"/>
              </w:rPr>
            </w:pPr>
          </w:p>
        </w:tc>
      </w:tr>
      <w:tr>
        <w:trPr>
          <w:trHeight w:val="274"/>
        </w:trPr>
        <w:tc>
          <w:tcPr>
            <w:tcW w:w="286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Commissie</w:t>
            </w:r>
          </w:p>
        </w:tc>
        <w:tc>
          <w:tcPr>
            <w:tcW w:w="1120" w:type="dxa"/>
            <w:tcBorders>
              <w:top w:val="nil"/>
              <w:left w:val="nil"/>
              <w:bottom w:val="single" w:sz="4" w:space="0" w:color="auto"/>
              <w:right w:val="single" w:sz="4"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376</w:t>
            </w:r>
          </w:p>
        </w:tc>
        <w:tc>
          <w:tcPr>
            <w:tcW w:w="1720" w:type="dxa"/>
            <w:tcBorders>
              <w:top w:val="nil"/>
              <w:left w:val="nil"/>
              <w:bottom w:val="single" w:sz="4" w:space="0" w:color="auto"/>
              <w:right w:val="single" w:sz="4" w:space="0" w:color="auto"/>
            </w:tcBorders>
            <w:shd w:val="clear" w:color="auto" w:fill="FFFFFF"/>
            <w:vAlign w:val="center"/>
          </w:tcPr>
          <w:p>
            <w:pPr>
              <w:spacing w:before="0" w:after="0"/>
              <w:jc w:val="right"/>
              <w:rPr>
                <w:rFonts w:ascii="Arial" w:hAnsi="Arial" w:cs="Arial"/>
                <w:noProof/>
                <w:sz w:val="20"/>
                <w:szCs w:val="20"/>
              </w:rPr>
            </w:pPr>
            <w:r>
              <w:rPr>
                <w:rFonts w:ascii="Arial" w:hAnsi="Arial"/>
                <w:noProof/>
                <w:sz w:val="20"/>
              </w:rPr>
              <w:t>6</w:t>
            </w:r>
          </w:p>
        </w:tc>
        <w:tc>
          <w:tcPr>
            <w:tcW w:w="2080" w:type="dxa"/>
            <w:tcBorders>
              <w:top w:val="nil"/>
              <w:left w:val="nil"/>
              <w:bottom w:val="single" w:sz="4" w:space="0" w:color="auto"/>
              <w:right w:val="nil"/>
            </w:tcBorders>
            <w:shd w:val="clear" w:color="auto" w:fill="FFFFFF"/>
            <w:vAlign w:val="center"/>
          </w:tcPr>
          <w:p>
            <w:pPr>
              <w:spacing w:before="0" w:after="0"/>
              <w:jc w:val="right"/>
              <w:rPr>
                <w:rFonts w:ascii="Arial" w:hAnsi="Arial" w:cs="Arial"/>
                <w:noProof/>
                <w:sz w:val="20"/>
                <w:szCs w:val="20"/>
              </w:rPr>
            </w:pPr>
            <w:r>
              <w:rPr>
                <w:rFonts w:ascii="Arial" w:hAnsi="Arial"/>
                <w:noProof/>
                <w:sz w:val="20"/>
              </w:rPr>
              <w:t>37</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419</w:t>
            </w:r>
          </w:p>
        </w:tc>
      </w:tr>
      <w:tr>
        <w:trPr>
          <w:trHeight w:val="214"/>
        </w:trPr>
        <w:tc>
          <w:tcPr>
            <w:tcW w:w="286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1120" w:type="dxa"/>
            <w:tcBorders>
              <w:top w:val="nil"/>
              <w:left w:val="nil"/>
              <w:bottom w:val="single" w:sz="4" w:space="0" w:color="auto"/>
              <w:right w:val="single" w:sz="4"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176</w:t>
            </w:r>
          </w:p>
        </w:tc>
        <w:tc>
          <w:tcPr>
            <w:tcW w:w="1720" w:type="dxa"/>
            <w:tcBorders>
              <w:top w:val="nil"/>
              <w:left w:val="nil"/>
              <w:bottom w:val="single" w:sz="4" w:space="0" w:color="auto"/>
              <w:right w:val="single" w:sz="4"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6</w:t>
            </w:r>
          </w:p>
        </w:tc>
        <w:tc>
          <w:tcPr>
            <w:tcW w:w="2080" w:type="dxa"/>
            <w:tcBorders>
              <w:top w:val="nil"/>
              <w:left w:val="nil"/>
              <w:bottom w:val="single" w:sz="4" w:space="0" w:color="auto"/>
              <w:right w:val="nil"/>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36</w:t>
            </w:r>
          </w:p>
        </w:tc>
        <w:tc>
          <w:tcPr>
            <w:tcW w:w="1120" w:type="dxa"/>
            <w:tcBorders>
              <w:top w:val="single" w:sz="8" w:space="0" w:color="auto"/>
              <w:left w:val="single" w:sz="8" w:space="0" w:color="auto"/>
              <w:bottom w:val="single" w:sz="8" w:space="0" w:color="auto"/>
              <w:right w:val="single" w:sz="8" w:space="0" w:color="auto"/>
            </w:tcBorders>
            <w:shd w:val="clear" w:color="auto" w:fill="FFFFFF"/>
            <w:vAlign w:val="center"/>
          </w:tcPr>
          <w:p>
            <w:pPr>
              <w:spacing w:before="0" w:after="0"/>
              <w:jc w:val="left"/>
              <w:rPr>
                <w:rFonts w:ascii="Arial" w:hAnsi="Arial" w:cs="Arial"/>
                <w:b/>
                <w:i/>
                <w:iCs/>
                <w:noProof/>
                <w:color w:val="808080"/>
                <w:sz w:val="20"/>
                <w:szCs w:val="20"/>
              </w:rPr>
            </w:pPr>
            <w:r>
              <w:rPr>
                <w:rFonts w:ascii="Arial" w:hAnsi="Arial"/>
                <w:b/>
                <w:i/>
                <w:noProof/>
                <w:color w:val="808080"/>
                <w:sz w:val="20"/>
              </w:rPr>
              <w:t>218</w:t>
            </w:r>
          </w:p>
        </w:tc>
      </w:tr>
      <w:tr>
        <w:trPr>
          <w:trHeight w:val="214"/>
        </w:trPr>
        <w:tc>
          <w:tcPr>
            <w:tcW w:w="286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Raad</w:t>
            </w:r>
          </w:p>
        </w:tc>
        <w:tc>
          <w:tcPr>
            <w:tcW w:w="11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50</w:t>
            </w:r>
          </w:p>
        </w:tc>
        <w:tc>
          <w:tcPr>
            <w:tcW w:w="17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50</w:t>
            </w:r>
          </w:p>
        </w:tc>
      </w:tr>
      <w:tr>
        <w:trPr>
          <w:trHeight w:val="202"/>
        </w:trPr>
        <w:tc>
          <w:tcPr>
            <w:tcW w:w="286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Parlement</w:t>
            </w:r>
          </w:p>
        </w:tc>
        <w:tc>
          <w:tcPr>
            <w:tcW w:w="11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7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r>
      <w:tr>
        <w:trPr>
          <w:trHeight w:val="178"/>
        </w:trPr>
        <w:tc>
          <w:tcPr>
            <w:tcW w:w="286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Hof van Justitie</w:t>
            </w:r>
          </w:p>
        </w:tc>
        <w:tc>
          <w:tcPr>
            <w:tcW w:w="11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7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16</w:t>
            </w:r>
          </w:p>
        </w:tc>
        <w:tc>
          <w:tcPr>
            <w:tcW w:w="208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16</w:t>
            </w:r>
          </w:p>
        </w:tc>
      </w:tr>
      <w:tr>
        <w:trPr>
          <w:trHeight w:val="178"/>
        </w:trPr>
        <w:tc>
          <w:tcPr>
            <w:tcW w:w="286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Rekenkamer</w:t>
            </w:r>
          </w:p>
        </w:tc>
        <w:tc>
          <w:tcPr>
            <w:tcW w:w="11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9</w:t>
            </w:r>
          </w:p>
        </w:tc>
        <w:tc>
          <w:tcPr>
            <w:tcW w:w="17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9</w:t>
            </w:r>
          </w:p>
        </w:tc>
      </w:tr>
      <w:tr>
        <w:trPr>
          <w:trHeight w:val="166"/>
        </w:trPr>
        <w:tc>
          <w:tcPr>
            <w:tcW w:w="2860" w:type="dxa"/>
            <w:tcBorders>
              <w:top w:val="nil"/>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EESC</w:t>
            </w:r>
          </w:p>
        </w:tc>
        <w:tc>
          <w:tcPr>
            <w:tcW w:w="11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7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r>
      <w:tr>
        <w:trPr>
          <w:trHeight w:val="154"/>
        </w:trPr>
        <w:tc>
          <w:tcPr>
            <w:tcW w:w="2860" w:type="dxa"/>
            <w:tcBorders>
              <w:top w:val="nil"/>
              <w:left w:val="single" w:sz="4" w:space="0" w:color="auto"/>
              <w:bottom w:val="single" w:sz="4" w:space="0" w:color="auto"/>
              <w:right w:val="single" w:sz="4"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Comité van de Regio’s</w:t>
            </w:r>
          </w:p>
        </w:tc>
        <w:tc>
          <w:tcPr>
            <w:tcW w:w="11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720" w:type="dxa"/>
            <w:tcBorders>
              <w:top w:val="nil"/>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nil"/>
              <w:left w:val="nil"/>
              <w:bottom w:val="single" w:sz="4"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r>
      <w:tr>
        <w:trPr>
          <w:trHeight w:val="154"/>
        </w:trPr>
        <w:tc>
          <w:tcPr>
            <w:tcW w:w="2860" w:type="dxa"/>
            <w:tcBorders>
              <w:top w:val="single" w:sz="4" w:space="0" w:color="auto"/>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1120" w:type="dxa"/>
            <w:tcBorders>
              <w:top w:val="single" w:sz="4" w:space="0" w:color="auto"/>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720" w:type="dxa"/>
            <w:tcBorders>
              <w:top w:val="single" w:sz="4" w:space="0" w:color="auto"/>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single" w:sz="4" w:space="0" w:color="auto"/>
              <w:left w:val="nil"/>
              <w:bottom w:val="single" w:sz="4"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4" w:space="0" w:color="auto"/>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r>
      <w:tr>
        <w:trPr>
          <w:trHeight w:val="262"/>
        </w:trPr>
        <w:tc>
          <w:tcPr>
            <w:tcW w:w="2860" w:type="dxa"/>
            <w:tcBorders>
              <w:top w:val="single" w:sz="4" w:space="0" w:color="auto"/>
              <w:left w:val="single" w:sz="4" w:space="0" w:color="auto"/>
              <w:bottom w:val="single" w:sz="4"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Ombudsman</w:t>
            </w:r>
          </w:p>
        </w:tc>
        <w:tc>
          <w:tcPr>
            <w:tcW w:w="1120" w:type="dxa"/>
            <w:tcBorders>
              <w:top w:val="single" w:sz="4" w:space="0" w:color="auto"/>
              <w:left w:val="nil"/>
              <w:bottom w:val="nil"/>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720" w:type="dxa"/>
            <w:tcBorders>
              <w:top w:val="single" w:sz="4" w:space="0" w:color="auto"/>
              <w:left w:val="nil"/>
              <w:bottom w:val="nil"/>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single" w:sz="4" w:space="0" w:color="auto"/>
              <w:left w:val="nil"/>
              <w:bottom w:val="nil"/>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r>
      <w:tr>
        <w:trPr>
          <w:trHeight w:val="214"/>
        </w:trPr>
        <w:tc>
          <w:tcPr>
            <w:tcW w:w="2860" w:type="dxa"/>
            <w:tcBorders>
              <w:top w:val="nil"/>
              <w:left w:val="single" w:sz="4" w:space="0" w:color="auto"/>
              <w:bottom w:val="single" w:sz="2" w:space="0" w:color="auto"/>
              <w:right w:val="single" w:sz="4"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EDEO</w:t>
            </w:r>
          </w:p>
        </w:tc>
        <w:tc>
          <w:tcPr>
            <w:tcW w:w="1120" w:type="dxa"/>
            <w:tcBorders>
              <w:top w:val="single" w:sz="4" w:space="0" w:color="auto"/>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17</w:t>
            </w:r>
          </w:p>
        </w:tc>
        <w:tc>
          <w:tcPr>
            <w:tcW w:w="1720" w:type="dxa"/>
            <w:tcBorders>
              <w:top w:val="single" w:sz="4" w:space="0" w:color="auto"/>
              <w:left w:val="nil"/>
              <w:bottom w:val="single" w:sz="2" w:space="0" w:color="auto"/>
              <w:right w:val="single" w:sz="4"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80" w:type="dxa"/>
            <w:tcBorders>
              <w:top w:val="single" w:sz="4" w:space="0" w:color="auto"/>
              <w:left w:val="nil"/>
              <w:bottom w:val="single" w:sz="2" w:space="0" w:color="auto"/>
              <w:right w:val="nil"/>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120" w:type="dxa"/>
            <w:tcBorders>
              <w:top w:val="single" w:sz="8" w:space="0" w:color="auto"/>
              <w:left w:val="single" w:sz="8" w:space="0" w:color="auto"/>
              <w:bottom w:val="single" w:sz="2"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b/>
                <w:noProof/>
                <w:sz w:val="20"/>
              </w:rPr>
              <w:t>17</w:t>
            </w:r>
          </w:p>
        </w:tc>
      </w:tr>
      <w:tr>
        <w:trPr>
          <w:trHeight w:val="330"/>
        </w:trPr>
        <w:tc>
          <w:tcPr>
            <w:tcW w:w="286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Totaal</w:t>
            </w:r>
          </w:p>
        </w:tc>
        <w:tc>
          <w:tcPr>
            <w:tcW w:w="112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452</w:t>
            </w:r>
          </w:p>
        </w:tc>
        <w:tc>
          <w:tcPr>
            <w:tcW w:w="172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22</w:t>
            </w:r>
          </w:p>
        </w:tc>
        <w:tc>
          <w:tcPr>
            <w:tcW w:w="208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37</w:t>
            </w:r>
          </w:p>
        </w:tc>
        <w:tc>
          <w:tcPr>
            <w:tcW w:w="112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511</w:t>
            </w:r>
          </w:p>
        </w:tc>
      </w:tr>
    </w:tbl>
    <w:p>
      <w:pPr>
        <w:pStyle w:val="ManualHeading2"/>
        <w:rPr>
          <w:noProof/>
        </w:rPr>
      </w:pPr>
      <w:r>
        <w:t>2.3.</w:t>
      </w:r>
      <w:r>
        <w:tab/>
      </w:r>
      <w:r>
        <w:rPr>
          <w:noProof/>
        </w:rPr>
        <w:t>Aantal begunstigden per werkgebied:</w:t>
      </w:r>
    </w:p>
    <w:tbl>
      <w:tblPr>
        <w:tblW w:w="9975" w:type="dxa"/>
        <w:tblInd w:w="93" w:type="dxa"/>
        <w:tblLayout w:type="fixed"/>
        <w:tblLook w:val="0000" w:firstRow="0" w:lastRow="0" w:firstColumn="0" w:lastColumn="0" w:noHBand="0" w:noVBand="0"/>
      </w:tblPr>
      <w:tblGrid>
        <w:gridCol w:w="2036"/>
        <w:gridCol w:w="824"/>
        <w:gridCol w:w="1216"/>
        <w:gridCol w:w="1484"/>
        <w:gridCol w:w="1056"/>
        <w:gridCol w:w="718"/>
        <w:gridCol w:w="961"/>
        <w:gridCol w:w="840"/>
        <w:gridCol w:w="840"/>
      </w:tblGrid>
      <w:tr>
        <w:trPr>
          <w:trHeight w:val="645"/>
        </w:trPr>
        <w:tc>
          <w:tcPr>
            <w:tcW w:w="2036" w:type="dxa"/>
            <w:tcBorders>
              <w:top w:val="single" w:sz="4" w:space="0" w:color="auto"/>
              <w:left w:val="single" w:sz="4" w:space="0" w:color="auto"/>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824"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JRC</w:t>
            </w:r>
          </w:p>
        </w:tc>
        <w:tc>
          <w:tcPr>
            <w:tcW w:w="1216"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Acties onder contract</w:t>
            </w:r>
          </w:p>
        </w:tc>
        <w:tc>
          <w:tcPr>
            <w:tcW w:w="1484"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Technische installaties</w:t>
            </w:r>
          </w:p>
        </w:tc>
        <w:tc>
          <w:tcPr>
            <w:tcW w:w="1056"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Beveiliging</w:t>
            </w:r>
          </w:p>
        </w:tc>
        <w:tc>
          <w:tcPr>
            <w:tcW w:w="718"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ICT</w:t>
            </w:r>
          </w:p>
        </w:tc>
        <w:tc>
          <w:tcPr>
            <w:tcW w:w="961"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GBVB/EVDB</w:t>
            </w:r>
          </w:p>
        </w:tc>
        <w:tc>
          <w:tcPr>
            <w:tcW w:w="840" w:type="dxa"/>
            <w:tcBorders>
              <w:top w:val="single" w:sz="8" w:space="0" w:color="auto"/>
              <w:left w:val="nil"/>
              <w:bottom w:val="single" w:sz="4" w:space="0" w:color="auto"/>
              <w:right w:val="single" w:sz="8" w:space="0" w:color="auto"/>
            </w:tcBorders>
            <w:vAlign w:val="center"/>
          </w:tcPr>
          <w:p>
            <w:pPr>
              <w:spacing w:before="0" w:after="0"/>
              <w:jc w:val="center"/>
              <w:rPr>
                <w:rFonts w:ascii="Arial" w:hAnsi="Arial" w:cs="Arial"/>
                <w:b/>
                <w:bCs/>
                <w:noProof/>
                <w:sz w:val="20"/>
                <w:szCs w:val="20"/>
              </w:rPr>
            </w:pPr>
            <w:r>
              <w:rPr>
                <w:rFonts w:ascii="Arial" w:hAnsi="Arial"/>
                <w:b/>
                <w:noProof/>
                <w:sz w:val="20"/>
              </w:rPr>
              <w:t>EM 24/7</w:t>
            </w:r>
          </w:p>
        </w:tc>
        <w:tc>
          <w:tcPr>
            <w:tcW w:w="840" w:type="dxa"/>
            <w:tcBorders>
              <w:top w:val="single" w:sz="8" w:space="0" w:color="auto"/>
              <w:left w:val="single" w:sz="8" w:space="0" w:color="auto"/>
              <w:bottom w:val="single" w:sz="8" w:space="0" w:color="auto"/>
              <w:right w:val="single" w:sz="8" w:space="0" w:color="auto"/>
            </w:tcBorders>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274"/>
        </w:trPr>
        <w:tc>
          <w:tcPr>
            <w:tcW w:w="2036" w:type="dxa"/>
            <w:tcBorders>
              <w:top w:val="single" w:sz="4" w:space="0" w:color="auto"/>
              <w:left w:val="single" w:sz="4" w:space="0" w:color="auto"/>
              <w:bottom w:val="single" w:sz="4" w:space="0" w:color="auto"/>
              <w:right w:val="single" w:sz="4" w:space="0" w:color="auto"/>
            </w:tcBorders>
            <w:shd w:val="clear" w:color="auto" w:fill="FFFFFF"/>
          </w:tcPr>
          <w:p>
            <w:pPr>
              <w:spacing w:before="0" w:after="0"/>
              <w:jc w:val="left"/>
              <w:rPr>
                <w:rFonts w:ascii="Arial" w:hAnsi="Arial" w:cs="Arial"/>
                <w:noProof/>
                <w:sz w:val="20"/>
                <w:szCs w:val="20"/>
              </w:rPr>
            </w:pPr>
            <w:r>
              <w:rPr>
                <w:rFonts w:ascii="Arial" w:hAnsi="Arial"/>
                <w:noProof/>
                <w:sz w:val="20"/>
              </w:rPr>
              <w:t>Commissie</w:t>
            </w:r>
          </w:p>
        </w:tc>
        <w:tc>
          <w:tcPr>
            <w:tcW w:w="824" w:type="dxa"/>
            <w:tcBorders>
              <w:top w:val="single" w:sz="4" w:space="0" w:color="auto"/>
              <w:left w:val="nil"/>
              <w:bottom w:val="single" w:sz="4" w:space="0" w:color="auto"/>
              <w:right w:val="single" w:sz="4" w:space="0" w:color="auto"/>
            </w:tcBorders>
            <w:shd w:val="clear" w:color="auto" w:fill="FFFFFF"/>
          </w:tcPr>
          <w:p>
            <w:pPr>
              <w:spacing w:before="0" w:after="0"/>
              <w:jc w:val="right"/>
              <w:rPr>
                <w:rFonts w:ascii="Arial" w:hAnsi="Arial" w:cs="Arial"/>
                <w:noProof/>
                <w:sz w:val="20"/>
                <w:szCs w:val="20"/>
              </w:rPr>
            </w:pPr>
            <w:r>
              <w:rPr>
                <w:rFonts w:ascii="Arial" w:hAnsi="Arial"/>
                <w:noProof/>
                <w:sz w:val="20"/>
              </w:rPr>
              <w:t>218</w:t>
            </w:r>
          </w:p>
        </w:tc>
        <w:tc>
          <w:tcPr>
            <w:tcW w:w="1216" w:type="dxa"/>
            <w:tcBorders>
              <w:top w:val="single" w:sz="4" w:space="0" w:color="auto"/>
              <w:left w:val="nil"/>
              <w:bottom w:val="single" w:sz="4" w:space="0" w:color="auto"/>
              <w:right w:val="single" w:sz="4" w:space="0" w:color="auto"/>
            </w:tcBorders>
            <w:shd w:val="clear" w:color="auto" w:fill="FFFFFF"/>
          </w:tcPr>
          <w:p>
            <w:pPr>
              <w:spacing w:before="0" w:after="0"/>
              <w:jc w:val="right"/>
              <w:rPr>
                <w:rFonts w:ascii="Arial" w:hAnsi="Arial" w:cs="Arial"/>
                <w:noProof/>
                <w:sz w:val="20"/>
                <w:szCs w:val="20"/>
              </w:rPr>
            </w:pPr>
            <w:r>
              <w:rPr>
                <w:rFonts w:ascii="Arial" w:hAnsi="Arial"/>
                <w:noProof/>
                <w:sz w:val="20"/>
              </w:rPr>
              <w:t>0</w:t>
            </w:r>
          </w:p>
        </w:tc>
        <w:tc>
          <w:tcPr>
            <w:tcW w:w="1484" w:type="dxa"/>
            <w:tcBorders>
              <w:top w:val="single" w:sz="4" w:space="0" w:color="auto"/>
              <w:left w:val="nil"/>
              <w:bottom w:val="single" w:sz="4" w:space="0" w:color="auto"/>
              <w:right w:val="single" w:sz="4" w:space="0" w:color="auto"/>
            </w:tcBorders>
            <w:shd w:val="clear" w:color="auto" w:fill="FFFFFF"/>
          </w:tcPr>
          <w:p>
            <w:pPr>
              <w:spacing w:before="0" w:after="0"/>
              <w:jc w:val="right"/>
              <w:rPr>
                <w:rFonts w:ascii="Arial" w:hAnsi="Arial" w:cs="Arial"/>
                <w:noProof/>
                <w:sz w:val="20"/>
                <w:szCs w:val="20"/>
              </w:rPr>
            </w:pPr>
            <w:r>
              <w:rPr>
                <w:rFonts w:ascii="Arial" w:hAnsi="Arial"/>
                <w:noProof/>
                <w:sz w:val="20"/>
              </w:rPr>
              <w:t>55</w:t>
            </w:r>
          </w:p>
        </w:tc>
        <w:tc>
          <w:tcPr>
            <w:tcW w:w="1056" w:type="dxa"/>
            <w:tcBorders>
              <w:top w:val="single" w:sz="4" w:space="0" w:color="auto"/>
              <w:left w:val="nil"/>
              <w:bottom w:val="single" w:sz="4" w:space="0" w:color="auto"/>
              <w:right w:val="single" w:sz="4" w:space="0" w:color="auto"/>
            </w:tcBorders>
            <w:shd w:val="clear" w:color="auto" w:fill="FFFFFF"/>
          </w:tcPr>
          <w:p>
            <w:pPr>
              <w:spacing w:before="0" w:after="0"/>
              <w:jc w:val="right"/>
              <w:rPr>
                <w:rFonts w:ascii="Arial" w:hAnsi="Arial" w:cs="Arial"/>
                <w:noProof/>
                <w:sz w:val="20"/>
                <w:szCs w:val="20"/>
              </w:rPr>
            </w:pPr>
            <w:r>
              <w:rPr>
                <w:rFonts w:ascii="Arial" w:hAnsi="Arial"/>
                <w:noProof/>
                <w:sz w:val="20"/>
              </w:rPr>
              <w:t>36</w:t>
            </w:r>
          </w:p>
        </w:tc>
        <w:tc>
          <w:tcPr>
            <w:tcW w:w="718" w:type="dxa"/>
            <w:tcBorders>
              <w:top w:val="single" w:sz="4" w:space="0" w:color="auto"/>
              <w:left w:val="nil"/>
              <w:bottom w:val="single" w:sz="4" w:space="0" w:color="auto"/>
              <w:right w:val="single" w:sz="4" w:space="0" w:color="auto"/>
            </w:tcBorders>
            <w:shd w:val="clear" w:color="auto" w:fill="FFFFFF"/>
          </w:tcPr>
          <w:p>
            <w:pPr>
              <w:spacing w:before="0" w:after="0"/>
              <w:jc w:val="right"/>
              <w:rPr>
                <w:rFonts w:ascii="Arial" w:hAnsi="Arial" w:cs="Arial"/>
                <w:noProof/>
                <w:sz w:val="20"/>
                <w:szCs w:val="20"/>
              </w:rPr>
            </w:pPr>
            <w:r>
              <w:rPr>
                <w:rFonts w:ascii="Arial" w:hAnsi="Arial"/>
                <w:noProof/>
                <w:sz w:val="20"/>
              </w:rPr>
              <w:t>74</w:t>
            </w:r>
          </w:p>
        </w:tc>
        <w:tc>
          <w:tcPr>
            <w:tcW w:w="961" w:type="dxa"/>
            <w:tcBorders>
              <w:top w:val="single" w:sz="4" w:space="0" w:color="auto"/>
              <w:left w:val="nil"/>
              <w:bottom w:val="single" w:sz="4" w:space="0" w:color="auto"/>
              <w:right w:val="single" w:sz="4" w:space="0" w:color="auto"/>
            </w:tcBorders>
            <w:shd w:val="clear" w:color="auto" w:fill="FFFFFF"/>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shd w:val="clear" w:color="auto" w:fill="FFFFFF"/>
          </w:tcPr>
          <w:p>
            <w:pPr>
              <w:spacing w:before="0" w:after="0"/>
              <w:jc w:val="right"/>
              <w:rPr>
                <w:rFonts w:ascii="Arial" w:hAnsi="Arial" w:cs="Arial"/>
                <w:noProof/>
                <w:sz w:val="20"/>
                <w:szCs w:val="20"/>
              </w:rPr>
            </w:pPr>
            <w:r>
              <w:rPr>
                <w:rFonts w:ascii="Arial" w:hAnsi="Arial"/>
                <w:noProof/>
                <w:sz w:val="20"/>
              </w:rPr>
              <w:t>36</w:t>
            </w:r>
          </w:p>
        </w:tc>
        <w:tc>
          <w:tcPr>
            <w:tcW w:w="840" w:type="dxa"/>
            <w:tcBorders>
              <w:top w:val="single" w:sz="8" w:space="0" w:color="auto"/>
              <w:left w:val="single" w:sz="8" w:space="0" w:color="auto"/>
              <w:bottom w:val="single" w:sz="8" w:space="0" w:color="auto"/>
              <w:right w:val="single" w:sz="8" w:space="0" w:color="auto"/>
            </w:tcBorders>
            <w:shd w:val="clear" w:color="auto" w:fill="FFFFFF"/>
          </w:tcPr>
          <w:p>
            <w:pPr>
              <w:spacing w:before="0" w:after="0"/>
              <w:jc w:val="right"/>
              <w:rPr>
                <w:rFonts w:ascii="Arial" w:hAnsi="Arial" w:cs="Arial"/>
                <w:b/>
                <w:noProof/>
                <w:sz w:val="20"/>
                <w:szCs w:val="20"/>
              </w:rPr>
            </w:pPr>
            <w:r>
              <w:rPr>
                <w:rFonts w:ascii="Arial" w:hAnsi="Arial"/>
                <w:b/>
                <w:noProof/>
                <w:sz w:val="20"/>
              </w:rPr>
              <w:t>419</w:t>
            </w:r>
          </w:p>
        </w:tc>
      </w:tr>
      <w:tr>
        <w:trPr>
          <w:trHeight w:val="214"/>
        </w:trPr>
        <w:tc>
          <w:tcPr>
            <w:tcW w:w="2036" w:type="dxa"/>
            <w:tcBorders>
              <w:top w:val="nil"/>
              <w:left w:val="single" w:sz="4" w:space="0" w:color="auto"/>
              <w:bottom w:val="single" w:sz="4" w:space="0" w:color="auto"/>
              <w:right w:val="single" w:sz="4" w:space="0" w:color="auto"/>
            </w:tcBorders>
            <w:shd w:val="clear" w:color="auto" w:fill="FFFFFF"/>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824" w:type="dxa"/>
            <w:tcBorders>
              <w:top w:val="nil"/>
              <w:left w:val="nil"/>
              <w:bottom w:val="single" w:sz="4" w:space="0" w:color="auto"/>
              <w:right w:val="single" w:sz="4"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218</w:t>
            </w:r>
          </w:p>
        </w:tc>
        <w:tc>
          <w:tcPr>
            <w:tcW w:w="1216" w:type="dxa"/>
            <w:tcBorders>
              <w:top w:val="nil"/>
              <w:left w:val="nil"/>
              <w:bottom w:val="single" w:sz="4" w:space="0" w:color="auto"/>
              <w:right w:val="single" w:sz="4"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0</w:t>
            </w:r>
          </w:p>
        </w:tc>
        <w:tc>
          <w:tcPr>
            <w:tcW w:w="1484" w:type="dxa"/>
            <w:tcBorders>
              <w:top w:val="nil"/>
              <w:left w:val="nil"/>
              <w:bottom w:val="single" w:sz="4" w:space="0" w:color="auto"/>
              <w:right w:val="single" w:sz="4"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0</w:t>
            </w:r>
          </w:p>
        </w:tc>
        <w:tc>
          <w:tcPr>
            <w:tcW w:w="1056" w:type="dxa"/>
            <w:tcBorders>
              <w:top w:val="nil"/>
              <w:left w:val="nil"/>
              <w:bottom w:val="single" w:sz="4" w:space="0" w:color="auto"/>
              <w:right w:val="single" w:sz="4"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0</w:t>
            </w:r>
          </w:p>
        </w:tc>
        <w:tc>
          <w:tcPr>
            <w:tcW w:w="718" w:type="dxa"/>
            <w:tcBorders>
              <w:top w:val="nil"/>
              <w:left w:val="nil"/>
              <w:bottom w:val="single" w:sz="4" w:space="0" w:color="auto"/>
              <w:right w:val="single" w:sz="4"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0</w:t>
            </w:r>
          </w:p>
        </w:tc>
        <w:tc>
          <w:tcPr>
            <w:tcW w:w="961" w:type="dxa"/>
            <w:tcBorders>
              <w:top w:val="nil"/>
              <w:left w:val="nil"/>
              <w:bottom w:val="single" w:sz="4" w:space="0" w:color="auto"/>
              <w:right w:val="single" w:sz="4"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0</w:t>
            </w:r>
          </w:p>
        </w:tc>
        <w:tc>
          <w:tcPr>
            <w:tcW w:w="840" w:type="dxa"/>
            <w:tcBorders>
              <w:top w:val="single" w:sz="4" w:space="0" w:color="auto"/>
              <w:left w:val="single" w:sz="4" w:space="0" w:color="auto"/>
              <w:bottom w:val="single" w:sz="4" w:space="0" w:color="auto"/>
              <w:right w:val="single" w:sz="8" w:space="0" w:color="auto"/>
            </w:tcBorders>
            <w:shd w:val="clear" w:color="auto" w:fill="FFFFFF"/>
          </w:tcPr>
          <w:p>
            <w:pPr>
              <w:spacing w:before="0" w:after="0"/>
              <w:rPr>
                <w:rFonts w:ascii="Arial" w:hAnsi="Arial" w:cs="Arial"/>
                <w:i/>
                <w:iCs/>
                <w:noProof/>
                <w:color w:val="808080"/>
                <w:sz w:val="20"/>
                <w:szCs w:val="20"/>
              </w:rPr>
            </w:pPr>
            <w:r>
              <w:rPr>
                <w:rFonts w:ascii="Arial" w:hAnsi="Arial"/>
                <w:i/>
                <w:noProof/>
                <w:color w:val="808080"/>
                <w:sz w:val="20"/>
              </w:rPr>
              <w:t>0</w:t>
            </w:r>
          </w:p>
        </w:tc>
        <w:tc>
          <w:tcPr>
            <w:tcW w:w="840" w:type="dxa"/>
            <w:tcBorders>
              <w:top w:val="single" w:sz="8" w:space="0" w:color="auto"/>
              <w:left w:val="single" w:sz="8" w:space="0" w:color="auto"/>
              <w:bottom w:val="single" w:sz="8" w:space="0" w:color="auto"/>
              <w:right w:val="single" w:sz="8" w:space="0" w:color="auto"/>
            </w:tcBorders>
            <w:shd w:val="clear" w:color="auto" w:fill="FFFFFF"/>
          </w:tcPr>
          <w:p>
            <w:pPr>
              <w:spacing w:before="0" w:after="0"/>
              <w:rPr>
                <w:rFonts w:ascii="Arial" w:hAnsi="Arial" w:cs="Arial"/>
                <w:b/>
                <w:i/>
                <w:iCs/>
                <w:noProof/>
                <w:color w:val="808080"/>
                <w:sz w:val="20"/>
                <w:szCs w:val="20"/>
              </w:rPr>
            </w:pPr>
            <w:r>
              <w:rPr>
                <w:rFonts w:ascii="Arial" w:hAnsi="Arial"/>
                <w:b/>
                <w:i/>
                <w:noProof/>
                <w:color w:val="808080"/>
                <w:sz w:val="20"/>
              </w:rPr>
              <w:t>218</w:t>
            </w:r>
          </w:p>
        </w:tc>
      </w:tr>
      <w:tr>
        <w:trPr>
          <w:trHeight w:val="202"/>
        </w:trPr>
        <w:tc>
          <w:tcPr>
            <w:tcW w:w="2036" w:type="dxa"/>
            <w:tcBorders>
              <w:top w:val="nil"/>
              <w:left w:val="single" w:sz="4" w:space="0" w:color="auto"/>
              <w:bottom w:val="single" w:sz="4" w:space="0" w:color="auto"/>
              <w:right w:val="single" w:sz="4" w:space="0" w:color="auto"/>
            </w:tcBorders>
            <w:shd w:val="clear" w:color="auto" w:fill="auto"/>
          </w:tcPr>
          <w:p>
            <w:pPr>
              <w:spacing w:before="0" w:after="0"/>
              <w:jc w:val="left"/>
              <w:rPr>
                <w:rFonts w:ascii="Arial" w:hAnsi="Arial" w:cs="Arial"/>
                <w:noProof/>
                <w:sz w:val="20"/>
                <w:szCs w:val="20"/>
              </w:rPr>
            </w:pPr>
            <w:r>
              <w:rPr>
                <w:rFonts w:ascii="Arial" w:hAnsi="Arial"/>
                <w:noProof/>
                <w:sz w:val="20"/>
              </w:rPr>
              <w:t>Raad</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15</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25</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10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50</w:t>
            </w:r>
          </w:p>
        </w:tc>
      </w:tr>
      <w:tr>
        <w:trPr>
          <w:trHeight w:val="202"/>
        </w:trPr>
        <w:tc>
          <w:tcPr>
            <w:tcW w:w="2036" w:type="dxa"/>
            <w:tcBorders>
              <w:top w:val="nil"/>
              <w:left w:val="single" w:sz="4" w:space="0" w:color="auto"/>
              <w:bottom w:val="single" w:sz="4" w:space="0" w:color="auto"/>
              <w:right w:val="single" w:sz="4" w:space="0" w:color="auto"/>
            </w:tcBorders>
            <w:shd w:val="clear" w:color="auto" w:fill="auto"/>
          </w:tcPr>
          <w:p>
            <w:pPr>
              <w:spacing w:before="0" w:after="0"/>
              <w:jc w:val="left"/>
              <w:rPr>
                <w:rFonts w:ascii="Arial" w:hAnsi="Arial" w:cs="Arial"/>
                <w:noProof/>
                <w:sz w:val="20"/>
                <w:szCs w:val="20"/>
              </w:rPr>
            </w:pPr>
            <w:r>
              <w:rPr>
                <w:rFonts w:ascii="Arial" w:hAnsi="Arial"/>
                <w:noProof/>
                <w:sz w:val="20"/>
              </w:rPr>
              <w:t>Parlement</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178"/>
        </w:trPr>
        <w:tc>
          <w:tcPr>
            <w:tcW w:w="2036" w:type="dxa"/>
            <w:tcBorders>
              <w:top w:val="nil"/>
              <w:left w:val="single" w:sz="4" w:space="0" w:color="auto"/>
              <w:bottom w:val="single" w:sz="4" w:space="0" w:color="auto"/>
              <w:right w:val="single" w:sz="4" w:space="0" w:color="auto"/>
            </w:tcBorders>
            <w:shd w:val="clear" w:color="auto" w:fill="auto"/>
          </w:tcPr>
          <w:p>
            <w:pPr>
              <w:spacing w:before="0" w:after="0"/>
              <w:jc w:val="left"/>
              <w:rPr>
                <w:rFonts w:ascii="Arial" w:hAnsi="Arial" w:cs="Arial"/>
                <w:noProof/>
                <w:sz w:val="20"/>
                <w:szCs w:val="20"/>
              </w:rPr>
            </w:pPr>
            <w:r>
              <w:rPr>
                <w:rFonts w:ascii="Arial" w:hAnsi="Arial"/>
                <w:noProof/>
                <w:sz w:val="20"/>
              </w:rPr>
              <w:t>Hof van Justitie</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12</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4</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16</w:t>
            </w:r>
          </w:p>
        </w:tc>
      </w:tr>
      <w:tr>
        <w:trPr>
          <w:trHeight w:val="166"/>
        </w:trPr>
        <w:tc>
          <w:tcPr>
            <w:tcW w:w="2036" w:type="dxa"/>
            <w:tcBorders>
              <w:top w:val="nil"/>
              <w:left w:val="single" w:sz="4" w:space="0" w:color="auto"/>
              <w:bottom w:val="single" w:sz="4" w:space="0" w:color="auto"/>
              <w:right w:val="single" w:sz="4" w:space="0" w:color="auto"/>
            </w:tcBorders>
            <w:shd w:val="clear" w:color="auto" w:fill="FFFFFF"/>
          </w:tcPr>
          <w:p>
            <w:pPr>
              <w:spacing w:before="0" w:after="0"/>
              <w:jc w:val="left"/>
              <w:rPr>
                <w:rFonts w:ascii="Arial" w:hAnsi="Arial" w:cs="Arial"/>
                <w:noProof/>
                <w:sz w:val="20"/>
                <w:szCs w:val="20"/>
              </w:rPr>
            </w:pPr>
            <w:r>
              <w:rPr>
                <w:rFonts w:ascii="Arial" w:hAnsi="Arial"/>
                <w:noProof/>
                <w:sz w:val="20"/>
              </w:rPr>
              <w:t>Rekenkamer</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9</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9</w:t>
            </w:r>
          </w:p>
        </w:tc>
      </w:tr>
      <w:tr>
        <w:trPr>
          <w:trHeight w:val="166"/>
        </w:trPr>
        <w:tc>
          <w:tcPr>
            <w:tcW w:w="2036" w:type="dxa"/>
            <w:tcBorders>
              <w:top w:val="nil"/>
              <w:left w:val="single" w:sz="4" w:space="0" w:color="auto"/>
              <w:bottom w:val="single" w:sz="4" w:space="0" w:color="auto"/>
              <w:right w:val="single" w:sz="4" w:space="0" w:color="auto"/>
            </w:tcBorders>
            <w:shd w:val="clear" w:color="auto" w:fill="auto"/>
          </w:tcPr>
          <w:p>
            <w:pPr>
              <w:spacing w:before="0" w:after="0"/>
              <w:jc w:val="left"/>
              <w:rPr>
                <w:rFonts w:ascii="Arial" w:hAnsi="Arial" w:cs="Arial"/>
                <w:noProof/>
                <w:sz w:val="20"/>
                <w:szCs w:val="20"/>
              </w:rPr>
            </w:pPr>
            <w:r>
              <w:rPr>
                <w:rFonts w:ascii="Arial" w:hAnsi="Arial"/>
                <w:noProof/>
                <w:sz w:val="20"/>
              </w:rPr>
              <w:t>EESC</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154"/>
        </w:trPr>
        <w:tc>
          <w:tcPr>
            <w:tcW w:w="2036" w:type="dxa"/>
            <w:tcBorders>
              <w:top w:val="nil"/>
              <w:left w:val="single" w:sz="4" w:space="0" w:color="auto"/>
              <w:bottom w:val="single" w:sz="4" w:space="0" w:color="auto"/>
              <w:right w:val="single" w:sz="4" w:space="0" w:color="auto"/>
            </w:tcBorders>
            <w:shd w:val="clear" w:color="auto" w:fill="auto"/>
          </w:tcPr>
          <w:p>
            <w:pPr>
              <w:spacing w:before="0" w:after="0"/>
              <w:jc w:val="left"/>
              <w:rPr>
                <w:rFonts w:ascii="Arial" w:hAnsi="Arial" w:cs="Arial"/>
                <w:noProof/>
                <w:sz w:val="20"/>
                <w:szCs w:val="20"/>
              </w:rPr>
            </w:pPr>
            <w:r>
              <w:rPr>
                <w:rFonts w:ascii="Arial" w:hAnsi="Arial"/>
                <w:noProof/>
                <w:sz w:val="20"/>
              </w:rPr>
              <w:t>Comité van de Regio’s</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142"/>
        </w:trPr>
        <w:tc>
          <w:tcPr>
            <w:tcW w:w="2036" w:type="dxa"/>
            <w:tcBorders>
              <w:top w:val="nil"/>
              <w:left w:val="single" w:sz="4" w:space="0" w:color="auto"/>
              <w:bottom w:val="single" w:sz="4" w:space="0" w:color="auto"/>
              <w:right w:val="single" w:sz="4" w:space="0" w:color="auto"/>
            </w:tcBorders>
            <w:shd w:val="clear" w:color="auto" w:fill="FFFFFF"/>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82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718"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nil"/>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142"/>
        </w:trPr>
        <w:tc>
          <w:tcPr>
            <w:tcW w:w="2036" w:type="dxa"/>
            <w:tcBorders>
              <w:top w:val="single" w:sz="4" w:space="0" w:color="auto"/>
              <w:left w:val="single" w:sz="4" w:space="0" w:color="auto"/>
              <w:bottom w:val="nil"/>
              <w:right w:val="single" w:sz="4" w:space="0" w:color="auto"/>
            </w:tcBorders>
            <w:shd w:val="clear" w:color="auto" w:fill="FFFFFF"/>
          </w:tcPr>
          <w:p>
            <w:pPr>
              <w:spacing w:before="0" w:after="0"/>
              <w:jc w:val="left"/>
              <w:rPr>
                <w:rFonts w:ascii="Arial" w:hAnsi="Arial" w:cs="Arial"/>
                <w:noProof/>
                <w:sz w:val="20"/>
                <w:szCs w:val="20"/>
              </w:rPr>
            </w:pPr>
            <w:r>
              <w:rPr>
                <w:rFonts w:ascii="Arial" w:hAnsi="Arial"/>
                <w:noProof/>
                <w:sz w:val="20"/>
              </w:rPr>
              <w:t>Ombudsman</w:t>
            </w:r>
          </w:p>
        </w:tc>
        <w:tc>
          <w:tcPr>
            <w:tcW w:w="824" w:type="dxa"/>
            <w:tcBorders>
              <w:top w:val="single" w:sz="4" w:space="0" w:color="auto"/>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single" w:sz="4" w:space="0" w:color="auto"/>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single" w:sz="4" w:space="0" w:color="auto"/>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single" w:sz="4" w:space="0" w:color="auto"/>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718" w:type="dxa"/>
            <w:tcBorders>
              <w:top w:val="single" w:sz="4" w:space="0" w:color="auto"/>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961" w:type="dxa"/>
            <w:tcBorders>
              <w:top w:val="single" w:sz="4" w:space="0" w:color="auto"/>
              <w:left w:val="nil"/>
              <w:bottom w:val="single" w:sz="4"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4"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118"/>
        </w:trPr>
        <w:tc>
          <w:tcPr>
            <w:tcW w:w="2036" w:type="dxa"/>
            <w:tcBorders>
              <w:top w:val="single" w:sz="4" w:space="0" w:color="auto"/>
              <w:left w:val="single" w:sz="4" w:space="0" w:color="auto"/>
              <w:bottom w:val="single" w:sz="2" w:space="0" w:color="auto"/>
              <w:right w:val="single" w:sz="4" w:space="0" w:color="auto"/>
            </w:tcBorders>
            <w:shd w:val="clear" w:color="auto" w:fill="FFFFFF"/>
          </w:tcPr>
          <w:p>
            <w:pPr>
              <w:spacing w:before="0" w:after="0"/>
              <w:jc w:val="left"/>
              <w:rPr>
                <w:rFonts w:ascii="Arial" w:hAnsi="Arial" w:cs="Arial"/>
                <w:noProof/>
                <w:sz w:val="20"/>
                <w:szCs w:val="20"/>
              </w:rPr>
            </w:pPr>
            <w:r>
              <w:rPr>
                <w:rFonts w:ascii="Arial" w:hAnsi="Arial"/>
                <w:noProof/>
                <w:sz w:val="20"/>
              </w:rPr>
              <w:t>EDEO</w:t>
            </w:r>
          </w:p>
        </w:tc>
        <w:tc>
          <w:tcPr>
            <w:tcW w:w="824" w:type="dxa"/>
            <w:tcBorders>
              <w:top w:val="single" w:sz="4" w:space="0" w:color="auto"/>
              <w:left w:val="nil"/>
              <w:bottom w:val="single" w:sz="2"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216" w:type="dxa"/>
            <w:tcBorders>
              <w:top w:val="single" w:sz="4" w:space="0" w:color="auto"/>
              <w:left w:val="nil"/>
              <w:bottom w:val="single" w:sz="2"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484" w:type="dxa"/>
            <w:tcBorders>
              <w:top w:val="single" w:sz="4" w:space="0" w:color="auto"/>
              <w:left w:val="nil"/>
              <w:bottom w:val="single" w:sz="2"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0</w:t>
            </w:r>
          </w:p>
        </w:tc>
        <w:tc>
          <w:tcPr>
            <w:tcW w:w="1056" w:type="dxa"/>
            <w:tcBorders>
              <w:top w:val="single" w:sz="4" w:space="0" w:color="auto"/>
              <w:left w:val="nil"/>
              <w:bottom w:val="single" w:sz="2"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3</w:t>
            </w:r>
          </w:p>
        </w:tc>
        <w:tc>
          <w:tcPr>
            <w:tcW w:w="718" w:type="dxa"/>
            <w:tcBorders>
              <w:top w:val="single" w:sz="4" w:space="0" w:color="auto"/>
              <w:left w:val="nil"/>
              <w:bottom w:val="single" w:sz="2"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10</w:t>
            </w:r>
          </w:p>
        </w:tc>
        <w:tc>
          <w:tcPr>
            <w:tcW w:w="961" w:type="dxa"/>
            <w:tcBorders>
              <w:top w:val="single" w:sz="4" w:space="0" w:color="auto"/>
              <w:left w:val="nil"/>
              <w:bottom w:val="single" w:sz="2" w:space="0" w:color="auto"/>
              <w:right w:val="single" w:sz="4" w:space="0" w:color="auto"/>
            </w:tcBorders>
            <w:shd w:val="clear" w:color="auto" w:fill="auto"/>
          </w:tcPr>
          <w:p>
            <w:pPr>
              <w:spacing w:before="0" w:after="0"/>
              <w:jc w:val="right"/>
              <w:rPr>
                <w:rFonts w:ascii="Arial" w:hAnsi="Arial" w:cs="Arial"/>
                <w:noProof/>
                <w:sz w:val="20"/>
                <w:szCs w:val="20"/>
              </w:rPr>
            </w:pPr>
            <w:r>
              <w:rPr>
                <w:rFonts w:ascii="Arial" w:hAnsi="Arial"/>
                <w:noProof/>
                <w:sz w:val="20"/>
              </w:rPr>
              <w:t>4</w:t>
            </w:r>
          </w:p>
        </w:tc>
        <w:tc>
          <w:tcPr>
            <w:tcW w:w="840" w:type="dxa"/>
            <w:tcBorders>
              <w:top w:val="single" w:sz="4" w:space="0" w:color="auto"/>
              <w:left w:val="single" w:sz="4" w:space="0" w:color="auto"/>
              <w:bottom w:val="single" w:sz="2" w:space="0" w:color="auto"/>
              <w:right w:val="single" w:sz="8" w:space="0" w:color="auto"/>
            </w:tcBorders>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8" w:space="0" w:color="auto"/>
              <w:bottom w:val="single" w:sz="2"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17</w:t>
            </w:r>
          </w:p>
        </w:tc>
      </w:tr>
      <w:tr>
        <w:trPr>
          <w:trHeight w:val="330"/>
        </w:trPr>
        <w:tc>
          <w:tcPr>
            <w:tcW w:w="2036"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iCs/>
                <w:noProof/>
                <w:sz w:val="20"/>
                <w:szCs w:val="20"/>
              </w:rPr>
            </w:pPr>
            <w:r>
              <w:rPr>
                <w:rFonts w:ascii="Arial" w:hAnsi="Arial"/>
                <w:b/>
                <w:noProof/>
                <w:sz w:val="20"/>
              </w:rPr>
              <w:t>Totaal</w:t>
            </w:r>
          </w:p>
        </w:tc>
        <w:tc>
          <w:tcPr>
            <w:tcW w:w="824"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218</w:t>
            </w:r>
          </w:p>
        </w:tc>
        <w:tc>
          <w:tcPr>
            <w:tcW w:w="1216"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0</w:t>
            </w:r>
          </w:p>
        </w:tc>
        <w:tc>
          <w:tcPr>
            <w:tcW w:w="1484"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67</w:t>
            </w:r>
          </w:p>
        </w:tc>
        <w:tc>
          <w:tcPr>
            <w:tcW w:w="1056"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67</w:t>
            </w:r>
          </w:p>
        </w:tc>
        <w:tc>
          <w:tcPr>
            <w:tcW w:w="718"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109</w:t>
            </w:r>
          </w:p>
        </w:tc>
        <w:tc>
          <w:tcPr>
            <w:tcW w:w="961"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14</w:t>
            </w:r>
          </w:p>
        </w:tc>
        <w:tc>
          <w:tcPr>
            <w:tcW w:w="840" w:type="dxa"/>
            <w:tcBorders>
              <w:top w:val="single" w:sz="2" w:space="0" w:color="auto"/>
              <w:left w:val="single" w:sz="2" w:space="0" w:color="auto"/>
              <w:bottom w:val="single" w:sz="2" w:space="0" w:color="auto"/>
              <w:right w:val="single" w:sz="2" w:space="0" w:color="auto"/>
            </w:tcBorders>
            <w:vAlign w:val="center"/>
          </w:tcPr>
          <w:p>
            <w:pPr>
              <w:spacing w:before="0" w:after="0"/>
              <w:jc w:val="right"/>
              <w:rPr>
                <w:rFonts w:ascii="Arial" w:hAnsi="Arial" w:cs="Arial"/>
                <w:b/>
                <w:bCs/>
                <w:noProof/>
                <w:sz w:val="20"/>
                <w:szCs w:val="20"/>
              </w:rPr>
            </w:pPr>
            <w:r>
              <w:rPr>
                <w:rFonts w:ascii="Arial" w:hAnsi="Arial"/>
                <w:b/>
                <w:noProof/>
                <w:sz w:val="20"/>
              </w:rPr>
              <w:t>36</w:t>
            </w:r>
          </w:p>
        </w:tc>
        <w:tc>
          <w:tcPr>
            <w:tcW w:w="840" w:type="dxa"/>
            <w:tcBorders>
              <w:top w:val="single" w:sz="2" w:space="0" w:color="auto"/>
              <w:left w:val="single" w:sz="2" w:space="0" w:color="auto"/>
              <w:bottom w:val="single" w:sz="2" w:space="0" w:color="auto"/>
              <w:right w:val="single" w:sz="2" w:space="0" w:color="auto"/>
            </w:tcBorders>
            <w:vAlign w:val="center"/>
          </w:tcPr>
          <w:p>
            <w:pPr>
              <w:spacing w:before="0" w:after="0"/>
              <w:jc w:val="right"/>
              <w:rPr>
                <w:rFonts w:ascii="Arial" w:hAnsi="Arial" w:cs="Arial"/>
                <w:b/>
                <w:bCs/>
                <w:noProof/>
                <w:sz w:val="20"/>
                <w:szCs w:val="20"/>
              </w:rPr>
            </w:pPr>
            <w:r>
              <w:rPr>
                <w:rFonts w:ascii="Arial" w:hAnsi="Arial"/>
                <w:b/>
                <w:noProof/>
                <w:sz w:val="20"/>
              </w:rPr>
              <w:t>511</w:t>
            </w:r>
          </w:p>
        </w:tc>
      </w:tr>
    </w:tbl>
    <w:p>
      <w:pPr>
        <w:pStyle w:val="ManualHeading1"/>
        <w:rPr>
          <w:noProof/>
        </w:rPr>
      </w:pPr>
      <w:r>
        <w:tab/>
      </w:r>
    </w:p>
    <w:p>
      <w:pPr>
        <w:pStyle w:val="ManualHeading1"/>
        <w:rPr>
          <w:bCs/>
          <w:noProof/>
        </w:rPr>
      </w:pPr>
      <w:r>
        <w:t>3.</w:t>
      </w:r>
      <w:r>
        <w:tab/>
      </w:r>
      <w:r>
        <w:rPr>
          <w:noProof/>
        </w:rPr>
        <w:t>Toeslag voor werkzaamheden met een bezwaarlijk karakter</w:t>
      </w:r>
    </w:p>
    <w:p>
      <w:pPr>
        <w:rPr>
          <w:noProof/>
        </w:rPr>
      </w:pPr>
      <w:r>
        <w:rPr>
          <w:noProof/>
        </w:rPr>
        <w:t>De rechtsgrondslag voor deze toeslag wordt gevormd door artikel 56 quater van het Statuut en Verordening nr. 858/2004 van de Raad van 29 april 2004, die in de plaats is gekomen van Verordening nr. 1799/72 van de Raad.</w:t>
      </w:r>
      <w:r>
        <w:rPr>
          <w:noProof/>
        </w:rPr>
        <w:tab/>
      </w:r>
    </w:p>
    <w:p>
      <w:pPr>
        <w:rPr>
          <w:noProof/>
        </w:rPr>
      </w:pPr>
      <w:r>
        <w:rPr>
          <w:noProof/>
        </w:rPr>
        <w:t>De toeslag voor werkzaamheden met een bezwaarlijk karakter wordt uitgedrukt in punten per daadwerkelijk gewerkt uur, waarbij een onderscheid wordt gemaakt in de bijzondere werkomstandigheden volgens de criteria "persoonlijke bescherming, "werkomgeving en "aard van de werkzaamheden". Het aantal punten varieert van 2 (bijvoorbeeld voor werk in ruimten met geluid van gemiddeld meer dan 85 decibel) tot maximaal 50 (bijvoorbeeld voor het dragen van brandwerende kleding van het type autonome duikerpakken). Elk punt stemt overeen met 0,032 % van het basissalaris van een ambtenaar in rang 1, salaristrap 1 (= 0,86 euro in 2014).</w:t>
      </w:r>
    </w:p>
    <w:p>
      <w:pPr>
        <w:spacing w:before="0" w:after="0"/>
        <w:rPr>
          <w:noProof/>
        </w:rPr>
      </w:pPr>
    </w:p>
    <w:p>
      <w:pPr>
        <w:pStyle w:val="ManualHeading2"/>
        <w:rPr>
          <w:bCs/>
          <w:noProof/>
        </w:rPr>
      </w:pPr>
      <w:r>
        <w:t>3.1.</w:t>
      </w:r>
      <w:r>
        <w:tab/>
      </w:r>
      <w:r>
        <w:rPr>
          <w:noProof/>
        </w:rPr>
        <w:t>Aantal begunstigden (ambtenaren/tijdelijke functionarissen en arbeidscontractanten):</w:t>
      </w:r>
    </w:p>
    <w:tbl>
      <w:tblPr>
        <w:tblW w:w="9100" w:type="dxa"/>
        <w:tblInd w:w="93" w:type="dxa"/>
        <w:tblLook w:val="0000" w:firstRow="0" w:lastRow="0" w:firstColumn="0" w:lastColumn="0" w:noHBand="0" w:noVBand="0"/>
      </w:tblPr>
      <w:tblGrid>
        <w:gridCol w:w="2295"/>
        <w:gridCol w:w="960"/>
        <w:gridCol w:w="960"/>
        <w:gridCol w:w="840"/>
        <w:gridCol w:w="960"/>
        <w:gridCol w:w="1080"/>
        <w:gridCol w:w="1045"/>
        <w:gridCol w:w="960"/>
      </w:tblGrid>
      <w:tr>
        <w:trPr>
          <w:trHeight w:val="330"/>
        </w:trPr>
        <w:tc>
          <w:tcPr>
            <w:tcW w:w="2295"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96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AD</w:t>
            </w:r>
          </w:p>
        </w:tc>
        <w:tc>
          <w:tcPr>
            <w:tcW w:w="960"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SC - AST</w:t>
            </w:r>
          </w:p>
        </w:tc>
        <w:tc>
          <w:tcPr>
            <w:tcW w:w="3925" w:type="dxa"/>
            <w:gridSpan w:val="4"/>
            <w:tcBorders>
              <w:top w:val="single" w:sz="8" w:space="0" w:color="auto"/>
              <w:left w:val="nil"/>
              <w:bottom w:val="single" w:sz="4" w:space="0" w:color="auto"/>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Arbeidscontractanten</w:t>
            </w:r>
          </w:p>
        </w:tc>
        <w:tc>
          <w:tcPr>
            <w:tcW w:w="960"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330"/>
        </w:trPr>
        <w:tc>
          <w:tcPr>
            <w:tcW w:w="2295" w:type="dxa"/>
            <w:vMerge/>
            <w:tcBorders>
              <w:top w:val="single" w:sz="8" w:space="0" w:color="auto"/>
              <w:left w:val="single" w:sz="8" w:space="0" w:color="auto"/>
              <w:bottom w:val="single" w:sz="8" w:space="0" w:color="000000"/>
              <w:right w:val="single" w:sz="4" w:space="0" w:color="auto"/>
            </w:tcBorders>
            <w:vAlign w:val="center"/>
          </w:tcPr>
          <w:p>
            <w:pPr>
              <w:spacing w:before="0" w:after="0"/>
              <w:jc w:val="left"/>
              <w:rPr>
                <w:rFonts w:ascii="Arial" w:hAnsi="Arial" w:cs="Arial"/>
                <w:b/>
                <w:bCs/>
                <w:noProof/>
                <w:sz w:val="20"/>
                <w:szCs w:val="20"/>
              </w:rPr>
            </w:pPr>
          </w:p>
        </w:tc>
        <w:tc>
          <w:tcPr>
            <w:tcW w:w="960" w:type="dxa"/>
            <w:vMerge/>
            <w:tcBorders>
              <w:top w:val="single" w:sz="8" w:space="0" w:color="auto"/>
              <w:left w:val="single" w:sz="4" w:space="0" w:color="auto"/>
              <w:bottom w:val="single" w:sz="8" w:space="0" w:color="000000"/>
              <w:right w:val="single" w:sz="4" w:space="0" w:color="auto"/>
            </w:tcBorders>
            <w:vAlign w:val="center"/>
          </w:tcPr>
          <w:p>
            <w:pPr>
              <w:spacing w:before="0" w:after="0"/>
              <w:jc w:val="left"/>
              <w:rPr>
                <w:rFonts w:ascii="Arial" w:hAnsi="Arial" w:cs="Arial"/>
                <w:b/>
                <w:bCs/>
                <w:noProof/>
                <w:sz w:val="20"/>
                <w:szCs w:val="20"/>
              </w:rPr>
            </w:pPr>
          </w:p>
        </w:tc>
        <w:tc>
          <w:tcPr>
            <w:tcW w:w="960" w:type="dxa"/>
            <w:vMerge/>
            <w:tcBorders>
              <w:top w:val="single" w:sz="8" w:space="0" w:color="auto"/>
              <w:left w:val="single" w:sz="4" w:space="0" w:color="auto"/>
              <w:bottom w:val="single" w:sz="8" w:space="0" w:color="000000"/>
              <w:right w:val="single" w:sz="4" w:space="0" w:color="auto"/>
            </w:tcBorders>
            <w:vAlign w:val="center"/>
          </w:tcPr>
          <w:p>
            <w:pPr>
              <w:spacing w:before="0" w:after="0"/>
              <w:jc w:val="left"/>
              <w:rPr>
                <w:rFonts w:ascii="Arial" w:hAnsi="Arial" w:cs="Arial"/>
                <w:b/>
                <w:bCs/>
                <w:noProof/>
                <w:sz w:val="20"/>
                <w:szCs w:val="20"/>
              </w:rPr>
            </w:pPr>
          </w:p>
        </w:tc>
        <w:tc>
          <w:tcPr>
            <w:tcW w:w="840" w:type="dxa"/>
            <w:tcBorders>
              <w:top w:val="nil"/>
              <w:left w:val="nil"/>
              <w:bottom w:val="single" w:sz="8" w:space="0" w:color="auto"/>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FG I</w:t>
            </w:r>
          </w:p>
        </w:tc>
        <w:tc>
          <w:tcPr>
            <w:tcW w:w="960" w:type="dxa"/>
            <w:tcBorders>
              <w:top w:val="nil"/>
              <w:left w:val="nil"/>
              <w:bottom w:val="single" w:sz="8" w:space="0" w:color="auto"/>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FG II</w:t>
            </w:r>
          </w:p>
        </w:tc>
        <w:tc>
          <w:tcPr>
            <w:tcW w:w="1080" w:type="dxa"/>
            <w:tcBorders>
              <w:top w:val="nil"/>
              <w:left w:val="nil"/>
              <w:bottom w:val="single" w:sz="8" w:space="0" w:color="auto"/>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FG III</w:t>
            </w:r>
          </w:p>
        </w:tc>
        <w:tc>
          <w:tcPr>
            <w:tcW w:w="1045" w:type="dxa"/>
            <w:tcBorders>
              <w:top w:val="nil"/>
              <w:left w:val="nil"/>
              <w:bottom w:val="single" w:sz="8" w:space="0" w:color="auto"/>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FG IV</w:t>
            </w:r>
          </w:p>
        </w:tc>
        <w:tc>
          <w:tcPr>
            <w:tcW w:w="960" w:type="dxa"/>
            <w:vMerge/>
            <w:tcBorders>
              <w:top w:val="single" w:sz="8" w:space="0" w:color="auto"/>
              <w:left w:val="single" w:sz="8" w:space="0" w:color="auto"/>
              <w:bottom w:val="single" w:sz="8" w:space="0" w:color="auto"/>
              <w:right w:val="single" w:sz="8" w:space="0" w:color="auto"/>
            </w:tcBorders>
            <w:vAlign w:val="center"/>
          </w:tcPr>
          <w:p>
            <w:pPr>
              <w:spacing w:before="0" w:after="0"/>
              <w:jc w:val="left"/>
              <w:rPr>
                <w:rFonts w:ascii="Arial" w:hAnsi="Arial" w:cs="Arial"/>
                <w:b/>
                <w:bCs/>
                <w:noProof/>
                <w:sz w:val="20"/>
                <w:szCs w:val="20"/>
              </w:rPr>
            </w:pPr>
          </w:p>
        </w:tc>
      </w:tr>
      <w:tr>
        <w:trPr>
          <w:trHeight w:val="154"/>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Commissie</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36</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172</w:t>
            </w:r>
          </w:p>
        </w:tc>
        <w:tc>
          <w:tcPr>
            <w:tcW w:w="84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31</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4</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243</w:t>
            </w:r>
          </w:p>
        </w:tc>
      </w:tr>
      <w:tr>
        <w:trPr>
          <w:trHeight w:val="315"/>
        </w:trPr>
        <w:tc>
          <w:tcPr>
            <w:tcW w:w="2295" w:type="dxa"/>
            <w:tcBorders>
              <w:top w:val="nil"/>
              <w:left w:val="single" w:sz="8" w:space="0" w:color="auto"/>
              <w:bottom w:val="single" w:sz="4" w:space="0" w:color="auto"/>
              <w:right w:val="single" w:sz="4"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960" w:type="dxa"/>
            <w:tcBorders>
              <w:top w:val="nil"/>
              <w:left w:val="nil"/>
              <w:bottom w:val="single" w:sz="4" w:space="0" w:color="auto"/>
              <w:right w:val="single" w:sz="4"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36</w:t>
            </w:r>
          </w:p>
        </w:tc>
        <w:tc>
          <w:tcPr>
            <w:tcW w:w="960" w:type="dxa"/>
            <w:tcBorders>
              <w:top w:val="nil"/>
              <w:left w:val="nil"/>
              <w:bottom w:val="single" w:sz="4" w:space="0" w:color="auto"/>
              <w:right w:val="single" w:sz="4"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167</w:t>
            </w:r>
          </w:p>
        </w:tc>
        <w:tc>
          <w:tcPr>
            <w:tcW w:w="840" w:type="dxa"/>
            <w:tcBorders>
              <w:top w:val="nil"/>
              <w:left w:val="nil"/>
              <w:bottom w:val="single" w:sz="4" w:space="0" w:color="auto"/>
              <w:right w:val="single" w:sz="4"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21</w:t>
            </w:r>
          </w:p>
        </w:tc>
        <w:tc>
          <w:tcPr>
            <w:tcW w:w="960" w:type="dxa"/>
            <w:tcBorders>
              <w:top w:val="nil"/>
              <w:left w:val="nil"/>
              <w:bottom w:val="single" w:sz="4" w:space="0" w:color="auto"/>
              <w:right w:val="single" w:sz="4"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080" w:type="dxa"/>
            <w:tcBorders>
              <w:top w:val="nil"/>
              <w:left w:val="nil"/>
              <w:bottom w:val="single" w:sz="4" w:space="0" w:color="auto"/>
              <w:right w:val="single" w:sz="4"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045" w:type="dxa"/>
            <w:tcBorders>
              <w:top w:val="nil"/>
              <w:left w:val="nil"/>
              <w:bottom w:val="single" w:sz="4" w:space="0" w:color="auto"/>
              <w:right w:val="single" w:sz="8" w:space="0" w:color="auto"/>
            </w:tcBorders>
            <w:shd w:val="clear" w:color="auto" w:fill="auto"/>
            <w:noWrap/>
            <w:vAlign w:val="center"/>
          </w:tcPr>
          <w:p>
            <w:pPr>
              <w:spacing w:before="0" w:after="0"/>
              <w:jc w:val="left"/>
              <w:rPr>
                <w:rFonts w:ascii="Arial" w:hAnsi="Arial" w:cs="Arial"/>
                <w:i/>
                <w:iCs/>
                <w:noProof/>
                <w:color w:val="808080"/>
                <w:sz w:val="20"/>
                <w:szCs w:val="20"/>
              </w:rPr>
            </w:pPr>
            <w:r>
              <w:rPr>
                <w:rFonts w:ascii="Arial" w:hAnsi="Arial"/>
                <w:i/>
                <w:noProof/>
                <w:color w:val="808080"/>
                <w:sz w:val="20"/>
              </w:rPr>
              <w:t>4</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tcPr>
          <w:p>
            <w:pPr>
              <w:spacing w:before="0" w:after="0"/>
              <w:jc w:val="left"/>
              <w:rPr>
                <w:rFonts w:ascii="Arial" w:hAnsi="Arial" w:cs="Arial"/>
                <w:b/>
                <w:i/>
                <w:iCs/>
                <w:noProof/>
                <w:color w:val="808080"/>
                <w:sz w:val="20"/>
                <w:szCs w:val="20"/>
              </w:rPr>
            </w:pPr>
            <w:r>
              <w:rPr>
                <w:rFonts w:ascii="Arial" w:hAnsi="Arial"/>
                <w:b/>
                <w:i/>
                <w:noProof/>
                <w:color w:val="808080"/>
                <w:sz w:val="20"/>
              </w:rPr>
              <w:t>228</w:t>
            </w:r>
          </w:p>
        </w:tc>
      </w:tr>
      <w:tr>
        <w:trPr>
          <w:trHeight w:val="166"/>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Raad</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166"/>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Parlement</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154"/>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Hof van Justitie</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142"/>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Rekenkamer</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142"/>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EESC</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214"/>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Comité van de Regio’s</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106"/>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8"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106"/>
        </w:trPr>
        <w:tc>
          <w:tcPr>
            <w:tcW w:w="2295" w:type="dxa"/>
            <w:tcBorders>
              <w:top w:val="nil"/>
              <w:left w:val="single" w:sz="8"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Ombudsman</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nil"/>
              <w:left w:val="nil"/>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8" w:space="0" w:color="auto"/>
              <w:left w:val="single" w:sz="8" w:space="0" w:color="auto"/>
              <w:bottom w:val="single" w:sz="4" w:space="0" w:color="auto"/>
              <w:right w:val="single" w:sz="8"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94"/>
        </w:trPr>
        <w:tc>
          <w:tcPr>
            <w:tcW w:w="2295" w:type="dxa"/>
            <w:tcBorders>
              <w:top w:val="single" w:sz="4" w:space="0" w:color="auto"/>
              <w:left w:val="single" w:sz="4" w:space="0" w:color="auto"/>
              <w:bottom w:val="single" w:sz="2"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EDEO</w:t>
            </w:r>
          </w:p>
        </w:tc>
        <w:tc>
          <w:tcPr>
            <w:tcW w:w="960"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80"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1045"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single" w:sz="4" w:space="0" w:color="auto"/>
              <w:bottom w:val="single" w:sz="2" w:space="0" w:color="auto"/>
              <w:right w:val="single" w:sz="4" w:space="0" w:color="auto"/>
            </w:tcBorders>
            <w:shd w:val="clear" w:color="auto" w:fill="auto"/>
            <w:noWrap/>
          </w:tcPr>
          <w:p>
            <w:pPr>
              <w:spacing w:before="0" w:after="0"/>
              <w:jc w:val="right"/>
              <w:rPr>
                <w:rFonts w:ascii="Arial" w:hAnsi="Arial" w:cs="Arial"/>
                <w:noProof/>
                <w:sz w:val="20"/>
                <w:szCs w:val="20"/>
              </w:rPr>
            </w:pPr>
            <w:r>
              <w:rPr>
                <w:rFonts w:ascii="Arial" w:hAnsi="Arial"/>
                <w:noProof/>
                <w:sz w:val="20"/>
              </w:rPr>
              <w:t>0</w:t>
            </w:r>
          </w:p>
        </w:tc>
      </w:tr>
      <w:tr>
        <w:trPr>
          <w:trHeight w:val="324"/>
        </w:trPr>
        <w:tc>
          <w:tcPr>
            <w:tcW w:w="2295"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iCs/>
                <w:noProof/>
                <w:sz w:val="20"/>
                <w:szCs w:val="20"/>
              </w:rPr>
            </w:pPr>
            <w:r>
              <w:rPr>
                <w:rFonts w:ascii="Arial" w:hAnsi="Arial"/>
                <w:b/>
                <w:noProof/>
                <w:sz w:val="20"/>
              </w:rPr>
              <w:t>Totaal</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36</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172</w:t>
            </w:r>
          </w:p>
        </w:tc>
        <w:tc>
          <w:tcPr>
            <w:tcW w:w="84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31</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0</w:t>
            </w:r>
          </w:p>
        </w:tc>
        <w:tc>
          <w:tcPr>
            <w:tcW w:w="108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0</w:t>
            </w:r>
          </w:p>
        </w:tc>
        <w:tc>
          <w:tcPr>
            <w:tcW w:w="1045"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4</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noProof/>
                <w:sz w:val="20"/>
                <w:szCs w:val="20"/>
              </w:rPr>
            </w:pPr>
            <w:r>
              <w:rPr>
                <w:rFonts w:ascii="Arial" w:hAnsi="Arial"/>
                <w:b/>
                <w:noProof/>
                <w:sz w:val="20"/>
              </w:rPr>
              <w:t>243</w:t>
            </w:r>
          </w:p>
        </w:tc>
      </w:tr>
    </w:tbl>
    <w:p>
      <w:pPr>
        <w:pStyle w:val="ManualHeading1"/>
        <w:rPr>
          <w:bCs/>
          <w:noProof/>
        </w:rPr>
      </w:pPr>
      <w:r>
        <w:t>4.</w:t>
      </w:r>
      <w:r>
        <w:tab/>
      </w:r>
      <w:r>
        <w:rPr>
          <w:noProof/>
        </w:rPr>
        <w:t>Toeslag voor continu- of ploegendienst</w:t>
      </w:r>
    </w:p>
    <w:p>
      <w:pPr>
        <w:spacing w:after="0"/>
        <w:rPr>
          <w:noProof/>
        </w:rPr>
      </w:pPr>
      <w:r>
        <w:rPr>
          <w:noProof/>
        </w:rPr>
        <w:t>De rechtsgrondslag voor deze toeslag wordt gevormd door artikel 56 bis van het Statuut en Verordening nr. 300/76 van de Raad van 9 februari 1976, laatstelijk gewijzigd bij Verordening nr. 1873/2006 van de Raad van 11 december 2006.</w:t>
      </w:r>
    </w:p>
    <w:p>
      <w:pPr>
        <w:spacing w:after="0"/>
        <w:rPr>
          <w:noProof/>
        </w:rPr>
      </w:pPr>
      <w:r>
        <w:rPr>
          <w:noProof/>
        </w:rPr>
        <w:t xml:space="preserve">De betaling van de toeslag is beperkt tot ambtenaren en andere functionarissen wier bezoldiging ten laste komt van </w:t>
      </w:r>
      <w:r>
        <w:rPr>
          <w:i/>
          <w:noProof/>
        </w:rPr>
        <w:t>onderzoekskredieten</w:t>
      </w:r>
      <w:r>
        <w:rPr>
          <w:noProof/>
        </w:rPr>
        <w:t xml:space="preserve"> en die werkzaam zijn in:</w:t>
      </w:r>
    </w:p>
    <w:p>
      <w:pPr>
        <w:pStyle w:val="Tiret1"/>
        <w:numPr>
          <w:ilvl w:val="0"/>
          <w:numId w:val="25"/>
        </w:numPr>
        <w:tabs>
          <w:tab w:val="clear" w:pos="1417"/>
          <w:tab w:val="num" w:pos="720"/>
        </w:tabs>
        <w:spacing w:before="0" w:after="0"/>
        <w:ind w:left="720" w:hanging="360"/>
        <w:rPr>
          <w:noProof/>
        </w:rPr>
      </w:pPr>
      <w:r>
        <w:rPr>
          <w:noProof/>
        </w:rPr>
        <w:t>een instelling van het Gemeenschappelijk Centrum voor onderzoek (JRC), of</w:t>
      </w:r>
    </w:p>
    <w:p>
      <w:pPr>
        <w:pStyle w:val="Tiret1"/>
        <w:numPr>
          <w:ilvl w:val="0"/>
          <w:numId w:val="25"/>
        </w:numPr>
        <w:tabs>
          <w:tab w:val="clear" w:pos="1417"/>
          <w:tab w:val="num" w:pos="720"/>
        </w:tabs>
        <w:spacing w:before="0" w:after="0"/>
        <w:ind w:left="720" w:hanging="360"/>
        <w:rPr>
          <w:noProof/>
        </w:rPr>
      </w:pPr>
      <w:r>
        <w:rPr>
          <w:noProof/>
        </w:rPr>
        <w:t xml:space="preserve">een actie onder contract, of </w:t>
      </w:r>
    </w:p>
    <w:p>
      <w:pPr>
        <w:spacing w:before="0" w:after="0"/>
        <w:rPr>
          <w:noProof/>
        </w:rPr>
      </w:pPr>
      <w:r>
        <w:rPr>
          <w:noProof/>
        </w:rPr>
        <w:t xml:space="preserve">wier bezoldiging ten laste komt van </w:t>
      </w:r>
      <w:r>
        <w:rPr>
          <w:i/>
          <w:noProof/>
        </w:rPr>
        <w:t>beleidskredieten</w:t>
      </w:r>
      <w:r>
        <w:rPr>
          <w:noProof/>
        </w:rPr>
        <w:t xml:space="preserve"> en die werkzaam zijn in:</w:t>
      </w:r>
    </w:p>
    <w:p>
      <w:pPr>
        <w:pStyle w:val="Tiret1"/>
        <w:numPr>
          <w:ilvl w:val="0"/>
          <w:numId w:val="25"/>
        </w:numPr>
        <w:tabs>
          <w:tab w:val="clear" w:pos="1417"/>
          <w:tab w:val="num" w:pos="720"/>
        </w:tabs>
        <w:spacing w:before="0" w:after="0"/>
        <w:ind w:left="720" w:hanging="360"/>
        <w:rPr>
          <w:noProof/>
        </w:rPr>
      </w:pPr>
      <w:r>
        <w:rPr>
          <w:noProof/>
        </w:rPr>
        <w:t>een ICT-dienst,</w:t>
      </w:r>
    </w:p>
    <w:p>
      <w:pPr>
        <w:pStyle w:val="Tiret1"/>
        <w:numPr>
          <w:ilvl w:val="0"/>
          <w:numId w:val="25"/>
        </w:numPr>
        <w:tabs>
          <w:tab w:val="clear" w:pos="1417"/>
          <w:tab w:val="num" w:pos="720"/>
        </w:tabs>
        <w:spacing w:before="0" w:after="0"/>
        <w:ind w:left="720" w:hanging="360"/>
        <w:rPr>
          <w:noProof/>
        </w:rPr>
      </w:pPr>
      <w:r>
        <w:rPr>
          <w:noProof/>
        </w:rPr>
        <w:t>een beveiligingsdienst,</w:t>
      </w:r>
    </w:p>
    <w:p>
      <w:pPr>
        <w:pStyle w:val="Tiret1"/>
        <w:numPr>
          <w:ilvl w:val="0"/>
          <w:numId w:val="25"/>
        </w:numPr>
        <w:tabs>
          <w:tab w:val="clear" w:pos="1417"/>
          <w:tab w:val="num" w:pos="720"/>
        </w:tabs>
        <w:spacing w:before="0" w:after="0"/>
        <w:ind w:left="720" w:hanging="360"/>
        <w:rPr>
          <w:noProof/>
        </w:rPr>
      </w:pPr>
      <w:r>
        <w:rPr>
          <w:noProof/>
        </w:rPr>
        <w:t>een telefooncentrale of informatiedienst of aan een ontvangstbalie,</w:t>
      </w:r>
    </w:p>
    <w:p>
      <w:pPr>
        <w:pStyle w:val="Tiret1"/>
        <w:numPr>
          <w:ilvl w:val="0"/>
          <w:numId w:val="25"/>
        </w:numPr>
        <w:tabs>
          <w:tab w:val="clear" w:pos="1417"/>
          <w:tab w:val="num" w:pos="720"/>
        </w:tabs>
        <w:spacing w:before="0" w:after="0"/>
        <w:ind w:left="720" w:hanging="360"/>
        <w:rPr>
          <w:noProof/>
        </w:rPr>
      </w:pPr>
      <w:r>
        <w:rPr>
          <w:noProof/>
        </w:rPr>
        <w:t>een afdeling die het Gemeenschappelijk Buitenlands en Veiligheidsbeleid/Europees Veiligheids- en Defensiebeleid (GBVB/EVDB) of regelingen voor coördinatie in nood- en crisissituaties ondersteunt,</w:t>
      </w:r>
    </w:p>
    <w:p>
      <w:pPr>
        <w:pStyle w:val="Tiret1"/>
        <w:numPr>
          <w:ilvl w:val="0"/>
          <w:numId w:val="25"/>
        </w:numPr>
        <w:tabs>
          <w:tab w:val="clear" w:pos="1417"/>
          <w:tab w:val="num" w:pos="720"/>
        </w:tabs>
        <w:spacing w:before="0" w:after="0"/>
        <w:ind w:left="720" w:hanging="360"/>
        <w:rPr>
          <w:noProof/>
        </w:rPr>
      </w:pPr>
      <w:r>
        <w:rPr>
          <w:noProof/>
        </w:rPr>
        <w:t>een dienst die steun verleent bij de coördinatie in nood- of crisissituaties, of</w:t>
      </w:r>
    </w:p>
    <w:p>
      <w:pPr>
        <w:pStyle w:val="Tiret1"/>
        <w:numPr>
          <w:ilvl w:val="0"/>
          <w:numId w:val="25"/>
        </w:numPr>
        <w:tabs>
          <w:tab w:val="clear" w:pos="1417"/>
          <w:tab w:val="num" w:pos="720"/>
        </w:tabs>
        <w:spacing w:before="0" w:after="0"/>
        <w:ind w:left="720" w:hanging="360"/>
        <w:rPr>
          <w:noProof/>
        </w:rPr>
      </w:pPr>
      <w:r>
        <w:rPr>
          <w:noProof/>
        </w:rPr>
        <w:t>de bediening van of het toezicht op technische installaties.</w:t>
      </w:r>
    </w:p>
    <w:p>
      <w:pPr>
        <w:spacing w:after="0"/>
        <w:rPr>
          <w:noProof/>
        </w:rPr>
      </w:pPr>
      <w:r>
        <w:rPr>
          <w:noProof/>
        </w:rPr>
        <w:t>In onderstaande tabel wordt voor 2014 het aantal toeslagen per instelling vermeld.</w:t>
      </w:r>
    </w:p>
    <w:p>
      <w:pPr>
        <w:spacing w:before="0" w:after="0"/>
        <w:rPr>
          <w:noProof/>
        </w:rPr>
      </w:pPr>
    </w:p>
    <w:p>
      <w:pPr>
        <w:pStyle w:val="ManualHeading2"/>
        <w:rPr>
          <w:bCs/>
          <w:noProof/>
        </w:rPr>
      </w:pPr>
      <w:r>
        <w:t>4.1.</w:t>
      </w:r>
      <w:r>
        <w:tab/>
      </w:r>
      <w:r>
        <w:rPr>
          <w:noProof/>
        </w:rPr>
        <w:t>Aantal begunstigden (ambtenaren/tijdelijke functionarissen en arbeidscontractanten)</w:t>
      </w:r>
      <w:r>
        <w:rPr>
          <w:rStyle w:val="FootnoteReference"/>
          <w:rFonts w:ascii="Arial" w:hAnsi="Arial"/>
          <w:noProof/>
          <w:sz w:val="20"/>
        </w:rPr>
        <w:footnoteReference w:id="2"/>
      </w:r>
      <w:r>
        <w:rPr>
          <w:noProof/>
        </w:rPr>
        <w:t>:</w:t>
      </w:r>
    </w:p>
    <w:tbl>
      <w:tblPr>
        <w:tblW w:w="9140" w:type="dxa"/>
        <w:tblInd w:w="93" w:type="dxa"/>
        <w:tblLook w:val="0000" w:firstRow="0" w:lastRow="0" w:firstColumn="0" w:lastColumn="0" w:noHBand="0" w:noVBand="0"/>
      </w:tblPr>
      <w:tblGrid>
        <w:gridCol w:w="2680"/>
        <w:gridCol w:w="960"/>
        <w:gridCol w:w="960"/>
        <w:gridCol w:w="960"/>
        <w:gridCol w:w="960"/>
        <w:gridCol w:w="960"/>
        <w:gridCol w:w="840"/>
        <w:gridCol w:w="820"/>
      </w:tblGrid>
      <w:tr>
        <w:trPr>
          <w:trHeight w:val="255"/>
        </w:trPr>
        <w:tc>
          <w:tcPr>
            <w:tcW w:w="26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AD</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SC - AST</w:t>
            </w:r>
          </w:p>
        </w:tc>
        <w:tc>
          <w:tcPr>
            <w:tcW w:w="3720" w:type="dxa"/>
            <w:gridSpan w:val="4"/>
            <w:tcBorders>
              <w:top w:val="single" w:sz="4" w:space="0" w:color="auto"/>
              <w:left w:val="nil"/>
              <w:bottom w:val="single" w:sz="4" w:space="0" w:color="auto"/>
              <w:right w:val="single" w:sz="8" w:space="0" w:color="auto"/>
            </w:tcBorders>
            <w:shd w:val="clear" w:color="auto" w:fill="auto"/>
            <w:noWrap/>
            <w:vAlign w:val="bottom"/>
          </w:tcPr>
          <w:p>
            <w:pPr>
              <w:spacing w:before="0" w:after="0"/>
              <w:jc w:val="center"/>
              <w:rPr>
                <w:rFonts w:ascii="Arial" w:hAnsi="Arial" w:cs="Arial"/>
                <w:b/>
                <w:bCs/>
                <w:noProof/>
                <w:sz w:val="20"/>
                <w:szCs w:val="20"/>
              </w:rPr>
            </w:pPr>
            <w:r>
              <w:rPr>
                <w:rFonts w:ascii="Arial" w:hAnsi="Arial"/>
                <w:b/>
                <w:noProof/>
                <w:sz w:val="20"/>
              </w:rPr>
              <w:t>AC</w:t>
            </w:r>
          </w:p>
        </w:tc>
        <w:tc>
          <w:tcPr>
            <w:tcW w:w="820"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 xml:space="preserve">Totaal </w:t>
            </w:r>
          </w:p>
        </w:tc>
      </w:tr>
      <w:tr>
        <w:trPr>
          <w:trHeight w:val="466"/>
        </w:trPr>
        <w:tc>
          <w:tcPr>
            <w:tcW w:w="268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96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960" w:type="dxa"/>
            <w:vMerge/>
            <w:tcBorders>
              <w:top w:val="single" w:sz="4" w:space="0" w:color="auto"/>
              <w:left w:val="single" w:sz="4" w:space="0" w:color="auto"/>
              <w:bottom w:val="single" w:sz="4" w:space="0" w:color="000000"/>
              <w:right w:val="single" w:sz="4" w:space="0" w:color="auto"/>
            </w:tcBorders>
            <w:vAlign w:val="center"/>
          </w:tcPr>
          <w:p>
            <w:pPr>
              <w:spacing w:before="0" w:after="0"/>
              <w:jc w:val="left"/>
              <w:rPr>
                <w:rFonts w:ascii="Arial" w:hAnsi="Arial" w:cs="Arial"/>
                <w:b/>
                <w:bCs/>
                <w:noProof/>
                <w:sz w:val="20"/>
                <w:szCs w:val="20"/>
              </w:rPr>
            </w:pPr>
          </w:p>
        </w:tc>
        <w:tc>
          <w:tcPr>
            <w:tcW w:w="960" w:type="dxa"/>
            <w:tcBorders>
              <w:top w:val="single" w:sz="4" w:space="0" w:color="auto"/>
              <w:left w:val="nil"/>
              <w:bottom w:val="single" w:sz="4" w:space="0" w:color="auto"/>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FG I</w:t>
            </w:r>
          </w:p>
        </w:tc>
        <w:tc>
          <w:tcPr>
            <w:tcW w:w="960" w:type="dxa"/>
            <w:tcBorders>
              <w:top w:val="single" w:sz="4" w:space="0" w:color="auto"/>
              <w:left w:val="nil"/>
              <w:bottom w:val="single" w:sz="4" w:space="0" w:color="auto"/>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FG II</w:t>
            </w:r>
          </w:p>
        </w:tc>
        <w:tc>
          <w:tcPr>
            <w:tcW w:w="960" w:type="dxa"/>
            <w:tcBorders>
              <w:top w:val="single" w:sz="4" w:space="0" w:color="auto"/>
              <w:left w:val="nil"/>
              <w:bottom w:val="single" w:sz="4" w:space="0" w:color="auto"/>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FG III</w:t>
            </w:r>
          </w:p>
        </w:tc>
        <w:tc>
          <w:tcPr>
            <w:tcW w:w="840" w:type="dxa"/>
            <w:tcBorders>
              <w:top w:val="single" w:sz="4" w:space="0" w:color="auto"/>
              <w:left w:val="nil"/>
              <w:bottom w:val="single" w:sz="4"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FG IV</w:t>
            </w:r>
          </w:p>
        </w:tc>
        <w:tc>
          <w:tcPr>
            <w:tcW w:w="820" w:type="dxa"/>
            <w:vMerge/>
            <w:tcBorders>
              <w:top w:val="single" w:sz="8" w:space="0" w:color="auto"/>
              <w:left w:val="single" w:sz="8" w:space="0" w:color="auto"/>
              <w:bottom w:val="single" w:sz="8" w:space="0" w:color="auto"/>
              <w:right w:val="single" w:sz="8" w:space="0" w:color="auto"/>
            </w:tcBorders>
            <w:vAlign w:val="center"/>
          </w:tcPr>
          <w:p>
            <w:pPr>
              <w:spacing w:before="0" w:after="0"/>
              <w:jc w:val="left"/>
              <w:rPr>
                <w:rFonts w:ascii="Arial" w:hAnsi="Arial" w:cs="Arial"/>
                <w:b/>
                <w:bCs/>
                <w:noProof/>
                <w:sz w:val="20"/>
                <w:szCs w:val="20"/>
              </w:rPr>
            </w:pP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Commissie</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9</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67,5</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17</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5</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100,5</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9</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34</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6</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left"/>
              <w:rPr>
                <w:rFonts w:ascii="Arial" w:hAnsi="Arial" w:cs="Arial"/>
                <w:b/>
                <w:i/>
                <w:iCs/>
                <w:noProof/>
                <w:color w:val="808080"/>
                <w:sz w:val="20"/>
                <w:szCs w:val="20"/>
              </w:rPr>
            </w:pPr>
            <w:r>
              <w:rPr>
                <w:rFonts w:ascii="Arial" w:hAnsi="Arial"/>
                <w:b/>
                <w:i/>
                <w:noProof/>
                <w:color w:val="808080"/>
                <w:sz w:val="20"/>
              </w:rPr>
              <w:t>49</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Raad</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62</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62</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Parlement</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283</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16</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14</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344</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Hof van Justitie</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0</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Rekenkamer</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11</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11</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EESC</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0</w:t>
            </w:r>
          </w:p>
        </w:tc>
      </w:tr>
      <w:tr>
        <w:trPr>
          <w:trHeight w:val="255"/>
        </w:trPr>
        <w:tc>
          <w:tcPr>
            <w:tcW w:w="268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Comité van de Regio’s</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nil"/>
              <w:left w:val="nil"/>
              <w:bottom w:val="single" w:sz="4"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0</w:t>
            </w:r>
          </w:p>
        </w:tc>
      </w:tr>
      <w:tr>
        <w:trPr>
          <w:trHeight w:val="262"/>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4"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0</w:t>
            </w:r>
          </w:p>
        </w:tc>
      </w:tr>
      <w:tr>
        <w:trPr>
          <w:trHeight w:val="27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Ombudsman</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4"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0</w:t>
            </w:r>
          </w:p>
        </w:tc>
      </w:tr>
      <w:tr>
        <w:trPr>
          <w:trHeight w:val="270"/>
        </w:trPr>
        <w:tc>
          <w:tcPr>
            <w:tcW w:w="2680" w:type="dxa"/>
            <w:tcBorders>
              <w:top w:val="single" w:sz="4" w:space="0" w:color="auto"/>
              <w:left w:val="single" w:sz="4" w:space="0" w:color="auto"/>
              <w:bottom w:val="single" w:sz="2"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EDEO</w:t>
            </w:r>
          </w:p>
        </w:tc>
        <w:tc>
          <w:tcPr>
            <w:tcW w:w="960" w:type="dxa"/>
            <w:tcBorders>
              <w:top w:val="single" w:sz="4" w:space="0" w:color="auto"/>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35</w:t>
            </w:r>
          </w:p>
        </w:tc>
        <w:tc>
          <w:tcPr>
            <w:tcW w:w="960" w:type="dxa"/>
            <w:tcBorders>
              <w:top w:val="single" w:sz="4" w:space="0" w:color="auto"/>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60" w:type="dxa"/>
            <w:tcBorders>
              <w:top w:val="single" w:sz="4" w:space="0" w:color="auto"/>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w:t>
            </w:r>
          </w:p>
        </w:tc>
        <w:tc>
          <w:tcPr>
            <w:tcW w:w="960" w:type="dxa"/>
            <w:tcBorders>
              <w:top w:val="single" w:sz="4" w:space="0" w:color="auto"/>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40" w:type="dxa"/>
            <w:tcBorders>
              <w:top w:val="single" w:sz="4" w:space="0" w:color="auto"/>
              <w:left w:val="nil"/>
              <w:bottom w:val="single" w:sz="2" w:space="0" w:color="auto"/>
              <w:right w:val="single" w:sz="8"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0" w:type="dxa"/>
            <w:tcBorders>
              <w:top w:val="single" w:sz="8" w:space="0" w:color="auto"/>
              <w:left w:val="single" w:sz="8" w:space="0" w:color="auto"/>
              <w:bottom w:val="single" w:sz="2" w:space="0" w:color="auto"/>
              <w:right w:val="single" w:sz="8" w:space="0" w:color="auto"/>
            </w:tcBorders>
            <w:shd w:val="clear" w:color="auto" w:fill="auto"/>
            <w:noWrap/>
            <w:vAlign w:val="bottom"/>
          </w:tcPr>
          <w:p>
            <w:pPr>
              <w:spacing w:before="0" w:after="0"/>
              <w:jc w:val="right"/>
              <w:rPr>
                <w:rFonts w:ascii="Arial" w:hAnsi="Arial" w:cs="Arial"/>
                <w:b/>
                <w:noProof/>
                <w:sz w:val="20"/>
                <w:szCs w:val="20"/>
              </w:rPr>
            </w:pPr>
            <w:r>
              <w:rPr>
                <w:rFonts w:ascii="Arial" w:hAnsi="Arial"/>
                <w:b/>
                <w:noProof/>
                <w:sz w:val="20"/>
              </w:rPr>
              <w:t>36</w:t>
            </w:r>
          </w:p>
        </w:tc>
      </w:tr>
      <w:tr>
        <w:trPr>
          <w:trHeight w:val="324"/>
        </w:trPr>
        <w:tc>
          <w:tcPr>
            <w:tcW w:w="268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iCs/>
                <w:noProof/>
                <w:sz w:val="20"/>
                <w:szCs w:val="20"/>
              </w:rPr>
            </w:pPr>
            <w:r>
              <w:rPr>
                <w:rFonts w:ascii="Arial" w:hAnsi="Arial"/>
                <w:b/>
                <w:noProof/>
                <w:sz w:val="20"/>
              </w:rPr>
              <w:t>Totaal</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9</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194,5</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311</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22</w:t>
            </w:r>
          </w:p>
        </w:tc>
        <w:tc>
          <w:tcPr>
            <w:tcW w:w="96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16</w:t>
            </w:r>
          </w:p>
        </w:tc>
        <w:tc>
          <w:tcPr>
            <w:tcW w:w="84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w:t>
            </w:r>
          </w:p>
        </w:tc>
        <w:tc>
          <w:tcPr>
            <w:tcW w:w="82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553,5</w:t>
            </w:r>
          </w:p>
        </w:tc>
      </w:tr>
    </w:tbl>
    <w:p>
      <w:pPr>
        <w:pStyle w:val="ManualHeading2"/>
        <w:rPr>
          <w:noProof/>
        </w:rPr>
      </w:pPr>
      <w:r>
        <w:tab/>
      </w:r>
    </w:p>
    <w:p>
      <w:pPr>
        <w:spacing w:after="0"/>
        <w:rPr>
          <w:noProof/>
        </w:rPr>
      </w:pPr>
      <w:r>
        <w:rPr>
          <w:noProof/>
        </w:rPr>
        <w:t>Er zijn vier verschillende tarieven voor de maandelijkse toeslag (cijfers voor het jaar 2014):</w:t>
      </w:r>
    </w:p>
    <w:p>
      <w:pPr>
        <w:pStyle w:val="Tiret1"/>
        <w:numPr>
          <w:ilvl w:val="0"/>
          <w:numId w:val="25"/>
        </w:numPr>
        <w:tabs>
          <w:tab w:val="clear" w:pos="1417"/>
          <w:tab w:val="num" w:pos="720"/>
        </w:tabs>
        <w:spacing w:before="0" w:after="0"/>
        <w:ind w:left="720" w:hanging="360"/>
        <w:rPr>
          <w:noProof/>
        </w:rPr>
      </w:pPr>
      <w:r>
        <w:rPr>
          <w:noProof/>
        </w:rPr>
        <w:t>tarief 1: werk in een dienst met twee ploegen, weekenddienst en feestdagen niet inbegrepen: 385,23 euro;</w:t>
      </w:r>
    </w:p>
    <w:p>
      <w:pPr>
        <w:pStyle w:val="Tiret1"/>
        <w:numPr>
          <w:ilvl w:val="0"/>
          <w:numId w:val="25"/>
        </w:numPr>
        <w:tabs>
          <w:tab w:val="clear" w:pos="1417"/>
          <w:tab w:val="num" w:pos="720"/>
        </w:tabs>
        <w:spacing w:before="0" w:after="0"/>
        <w:ind w:left="720" w:right="-287" w:hanging="360"/>
        <w:rPr>
          <w:noProof/>
        </w:rPr>
      </w:pPr>
      <w:r>
        <w:rPr>
          <w:noProof/>
        </w:rPr>
        <w:t>tarief 2: werk in een dienst met twee ploegen, nachtdienst, weekenddienst en dienst op feestdagen inbegrepen: 581,45 euro;</w:t>
      </w:r>
    </w:p>
    <w:p>
      <w:pPr>
        <w:pStyle w:val="Tiret1"/>
        <w:numPr>
          <w:ilvl w:val="0"/>
          <w:numId w:val="25"/>
        </w:numPr>
        <w:tabs>
          <w:tab w:val="clear" w:pos="1417"/>
          <w:tab w:val="num" w:pos="720"/>
        </w:tabs>
        <w:spacing w:before="0" w:after="0"/>
        <w:ind w:left="720" w:hanging="360"/>
        <w:rPr>
          <w:noProof/>
        </w:rPr>
      </w:pPr>
      <w:r>
        <w:rPr>
          <w:noProof/>
        </w:rPr>
        <w:t>tarief 3: 24 uur/dag, weekenddienst en feestdagen niet inbegrepen: 635,74 euro;</w:t>
      </w:r>
    </w:p>
    <w:p>
      <w:pPr>
        <w:pStyle w:val="Tiret1"/>
        <w:numPr>
          <w:ilvl w:val="0"/>
          <w:numId w:val="25"/>
        </w:numPr>
        <w:tabs>
          <w:tab w:val="clear" w:pos="1417"/>
          <w:tab w:val="num" w:pos="720"/>
        </w:tabs>
        <w:spacing w:before="0" w:after="0"/>
        <w:ind w:left="720" w:hanging="360"/>
        <w:rPr>
          <w:noProof/>
        </w:rPr>
      </w:pPr>
      <w:r>
        <w:rPr>
          <w:noProof/>
        </w:rPr>
        <w:t>tarief 4: 24 uur/dag, 7 dagen/week: 866,72 euro.</w:t>
      </w:r>
    </w:p>
    <w:p>
      <w:pPr>
        <w:pStyle w:val="Tiret1"/>
        <w:numPr>
          <w:ilvl w:val="0"/>
          <w:numId w:val="0"/>
        </w:numPr>
        <w:spacing w:before="0" w:after="0"/>
        <w:ind w:left="720"/>
        <w:rPr>
          <w:noProof/>
        </w:rPr>
      </w:pPr>
    </w:p>
    <w:p>
      <w:pPr>
        <w:pStyle w:val="ManualHeading2"/>
        <w:rPr>
          <w:noProof/>
        </w:rPr>
      </w:pPr>
      <w:r>
        <w:t>4.2.</w:t>
      </w:r>
      <w:r>
        <w:tab/>
      </w:r>
      <w:r>
        <w:rPr>
          <w:noProof/>
        </w:rPr>
        <w:t>Aantal begunstigden per tarief:</w:t>
      </w:r>
    </w:p>
    <w:tbl>
      <w:tblPr>
        <w:tblW w:w="9938" w:type="dxa"/>
        <w:tblInd w:w="93" w:type="dxa"/>
        <w:tblLook w:val="0000" w:firstRow="0" w:lastRow="0" w:firstColumn="0" w:lastColumn="0" w:noHBand="0" w:noVBand="0"/>
      </w:tblPr>
      <w:tblGrid>
        <w:gridCol w:w="3620"/>
        <w:gridCol w:w="1215"/>
        <w:gridCol w:w="1276"/>
        <w:gridCol w:w="1275"/>
        <w:gridCol w:w="1134"/>
        <w:gridCol w:w="1418"/>
      </w:tblGrid>
      <w:tr>
        <w:trPr>
          <w:trHeight w:val="322"/>
        </w:trPr>
        <w:tc>
          <w:tcPr>
            <w:tcW w:w="362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tcPr>
          <w:p>
            <w:pPr>
              <w:spacing w:before="0" w:after="0"/>
              <w:jc w:val="center"/>
              <w:rPr>
                <w:rFonts w:ascii="Arial" w:hAnsi="Arial" w:cs="Arial"/>
                <w:b/>
                <w:noProof/>
                <w:sz w:val="20"/>
                <w:szCs w:val="20"/>
              </w:rPr>
            </w:pPr>
            <w:r>
              <w:rPr>
                <w:rFonts w:ascii="Arial" w:hAnsi="Arial"/>
                <w:b/>
                <w:noProof/>
                <w:sz w:val="20"/>
              </w:rPr>
              <w:t>Instelling</w:t>
            </w:r>
          </w:p>
        </w:tc>
        <w:tc>
          <w:tcPr>
            <w:tcW w:w="1215" w:type="dxa"/>
            <w:tcBorders>
              <w:top w:val="single" w:sz="8" w:space="0" w:color="auto"/>
              <w:left w:val="nil"/>
              <w:bottom w:val="single" w:sz="4" w:space="0" w:color="auto"/>
              <w:right w:val="single" w:sz="4" w:space="0" w:color="auto"/>
            </w:tcBorders>
            <w:shd w:val="clear" w:color="auto" w:fill="auto"/>
            <w:noWrap/>
            <w:vAlign w:val="bottom"/>
          </w:tcPr>
          <w:p>
            <w:pPr>
              <w:spacing w:before="0" w:after="0"/>
              <w:jc w:val="center"/>
              <w:rPr>
                <w:rFonts w:ascii="Arial" w:hAnsi="Arial" w:cs="Arial"/>
                <w:b/>
                <w:noProof/>
                <w:sz w:val="20"/>
                <w:szCs w:val="20"/>
              </w:rPr>
            </w:pPr>
            <w:r>
              <w:rPr>
                <w:rFonts w:ascii="Arial" w:hAnsi="Arial"/>
                <w:b/>
                <w:noProof/>
                <w:sz w:val="20"/>
              </w:rPr>
              <w:t>Tarief 1</w:t>
            </w:r>
          </w:p>
        </w:tc>
        <w:tc>
          <w:tcPr>
            <w:tcW w:w="1276" w:type="dxa"/>
            <w:tcBorders>
              <w:top w:val="single" w:sz="8" w:space="0" w:color="auto"/>
              <w:left w:val="nil"/>
              <w:bottom w:val="single" w:sz="4" w:space="0" w:color="auto"/>
              <w:right w:val="single" w:sz="4" w:space="0" w:color="auto"/>
            </w:tcBorders>
            <w:shd w:val="clear" w:color="auto" w:fill="auto"/>
            <w:noWrap/>
            <w:vAlign w:val="bottom"/>
          </w:tcPr>
          <w:p>
            <w:pPr>
              <w:spacing w:before="0" w:after="0"/>
              <w:jc w:val="center"/>
              <w:rPr>
                <w:rFonts w:ascii="Arial" w:hAnsi="Arial" w:cs="Arial"/>
                <w:b/>
                <w:noProof/>
                <w:sz w:val="20"/>
                <w:szCs w:val="20"/>
              </w:rPr>
            </w:pPr>
            <w:r>
              <w:rPr>
                <w:rFonts w:ascii="Arial" w:hAnsi="Arial"/>
                <w:b/>
                <w:noProof/>
                <w:sz w:val="20"/>
              </w:rPr>
              <w:t>Tarief 2</w:t>
            </w:r>
          </w:p>
        </w:tc>
        <w:tc>
          <w:tcPr>
            <w:tcW w:w="1275" w:type="dxa"/>
            <w:tcBorders>
              <w:top w:val="single" w:sz="8" w:space="0" w:color="auto"/>
              <w:left w:val="nil"/>
              <w:bottom w:val="single" w:sz="4" w:space="0" w:color="auto"/>
              <w:right w:val="single" w:sz="4" w:space="0" w:color="auto"/>
            </w:tcBorders>
            <w:shd w:val="clear" w:color="auto" w:fill="auto"/>
            <w:noWrap/>
            <w:vAlign w:val="bottom"/>
          </w:tcPr>
          <w:p>
            <w:pPr>
              <w:spacing w:before="0" w:after="0"/>
              <w:jc w:val="center"/>
              <w:rPr>
                <w:rFonts w:ascii="Arial" w:hAnsi="Arial" w:cs="Arial"/>
                <w:b/>
                <w:noProof/>
                <w:sz w:val="20"/>
                <w:szCs w:val="20"/>
              </w:rPr>
            </w:pPr>
            <w:r>
              <w:rPr>
                <w:rFonts w:ascii="Arial" w:hAnsi="Arial"/>
                <w:b/>
                <w:noProof/>
                <w:sz w:val="20"/>
              </w:rPr>
              <w:t>Tarief 3</w:t>
            </w:r>
          </w:p>
        </w:tc>
        <w:tc>
          <w:tcPr>
            <w:tcW w:w="1134" w:type="dxa"/>
            <w:tcBorders>
              <w:top w:val="single" w:sz="8" w:space="0" w:color="auto"/>
              <w:left w:val="nil"/>
              <w:bottom w:val="single" w:sz="4" w:space="0" w:color="auto"/>
              <w:right w:val="nil"/>
            </w:tcBorders>
            <w:shd w:val="clear" w:color="auto" w:fill="auto"/>
            <w:noWrap/>
            <w:vAlign w:val="bottom"/>
          </w:tcPr>
          <w:p>
            <w:pPr>
              <w:spacing w:before="0" w:after="0"/>
              <w:jc w:val="center"/>
              <w:rPr>
                <w:rFonts w:ascii="Arial" w:hAnsi="Arial" w:cs="Arial"/>
                <w:b/>
                <w:noProof/>
                <w:sz w:val="20"/>
                <w:szCs w:val="20"/>
              </w:rPr>
            </w:pPr>
            <w:r>
              <w:rPr>
                <w:rFonts w:ascii="Arial" w:hAnsi="Arial"/>
                <w:b/>
                <w:noProof/>
                <w:sz w:val="20"/>
              </w:rPr>
              <w:t>Tarief 4</w:t>
            </w:r>
          </w:p>
        </w:tc>
        <w:tc>
          <w:tcPr>
            <w:tcW w:w="1418"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526"/>
        </w:trPr>
        <w:tc>
          <w:tcPr>
            <w:tcW w:w="3620" w:type="dxa"/>
            <w:vMerge/>
            <w:tcBorders>
              <w:top w:val="single" w:sz="8" w:space="0" w:color="auto"/>
              <w:left w:val="single" w:sz="8" w:space="0" w:color="auto"/>
              <w:bottom w:val="single" w:sz="8" w:space="0" w:color="000000"/>
              <w:right w:val="single" w:sz="4" w:space="0" w:color="auto"/>
            </w:tcBorders>
            <w:vAlign w:val="center"/>
          </w:tcPr>
          <w:p>
            <w:pPr>
              <w:spacing w:before="0" w:after="0"/>
              <w:jc w:val="left"/>
              <w:rPr>
                <w:rFonts w:ascii="Arial" w:hAnsi="Arial" w:cs="Arial"/>
                <w:noProof/>
                <w:sz w:val="20"/>
                <w:szCs w:val="20"/>
              </w:rPr>
            </w:pPr>
          </w:p>
        </w:tc>
        <w:tc>
          <w:tcPr>
            <w:tcW w:w="1215" w:type="dxa"/>
            <w:tcBorders>
              <w:top w:val="nil"/>
              <w:left w:val="nil"/>
              <w:bottom w:val="single" w:sz="8" w:space="0" w:color="auto"/>
              <w:right w:val="single" w:sz="4" w:space="0" w:color="auto"/>
            </w:tcBorders>
            <w:shd w:val="clear" w:color="auto" w:fill="auto"/>
            <w:noWrap/>
            <w:vAlign w:val="center"/>
          </w:tcPr>
          <w:p>
            <w:pPr>
              <w:spacing w:before="0" w:after="0"/>
              <w:jc w:val="center"/>
              <w:rPr>
                <w:rFonts w:ascii="Arial" w:hAnsi="Arial" w:cs="Arial"/>
                <w:noProof/>
                <w:sz w:val="20"/>
                <w:szCs w:val="20"/>
              </w:rPr>
            </w:pPr>
            <w:r>
              <w:rPr>
                <w:noProof/>
                <w:sz w:val="22"/>
              </w:rPr>
              <w:t>385,23 € </w:t>
            </w:r>
          </w:p>
        </w:tc>
        <w:tc>
          <w:tcPr>
            <w:tcW w:w="1276" w:type="dxa"/>
            <w:tcBorders>
              <w:top w:val="nil"/>
              <w:left w:val="nil"/>
              <w:bottom w:val="single" w:sz="8" w:space="0" w:color="auto"/>
              <w:right w:val="single" w:sz="4" w:space="0" w:color="auto"/>
            </w:tcBorders>
            <w:shd w:val="clear" w:color="auto" w:fill="auto"/>
            <w:noWrap/>
            <w:vAlign w:val="center"/>
          </w:tcPr>
          <w:p>
            <w:pPr>
              <w:spacing w:before="0" w:after="0"/>
              <w:jc w:val="center"/>
              <w:rPr>
                <w:rFonts w:ascii="Arial" w:hAnsi="Arial" w:cs="Arial"/>
                <w:noProof/>
                <w:sz w:val="20"/>
                <w:szCs w:val="20"/>
              </w:rPr>
            </w:pPr>
            <w:r>
              <w:rPr>
                <w:noProof/>
                <w:sz w:val="22"/>
              </w:rPr>
              <w:t>581,45 €</w:t>
            </w:r>
          </w:p>
        </w:tc>
        <w:tc>
          <w:tcPr>
            <w:tcW w:w="1275" w:type="dxa"/>
            <w:tcBorders>
              <w:top w:val="nil"/>
              <w:left w:val="nil"/>
              <w:bottom w:val="single" w:sz="8" w:space="0" w:color="auto"/>
              <w:right w:val="single" w:sz="4" w:space="0" w:color="auto"/>
            </w:tcBorders>
            <w:shd w:val="clear" w:color="auto" w:fill="auto"/>
            <w:noWrap/>
            <w:vAlign w:val="center"/>
          </w:tcPr>
          <w:p>
            <w:pPr>
              <w:spacing w:before="0" w:after="0"/>
              <w:jc w:val="center"/>
              <w:rPr>
                <w:rFonts w:ascii="Arial" w:hAnsi="Arial" w:cs="Arial"/>
                <w:noProof/>
                <w:sz w:val="20"/>
                <w:szCs w:val="20"/>
              </w:rPr>
            </w:pPr>
            <w:r>
              <w:rPr>
                <w:noProof/>
                <w:sz w:val="22"/>
              </w:rPr>
              <w:t>635,74 € </w:t>
            </w:r>
          </w:p>
        </w:tc>
        <w:tc>
          <w:tcPr>
            <w:tcW w:w="1134" w:type="dxa"/>
            <w:tcBorders>
              <w:top w:val="nil"/>
              <w:left w:val="nil"/>
              <w:bottom w:val="single" w:sz="8" w:space="0" w:color="auto"/>
              <w:right w:val="nil"/>
            </w:tcBorders>
            <w:shd w:val="clear" w:color="auto" w:fill="auto"/>
            <w:noWrap/>
            <w:vAlign w:val="center"/>
          </w:tcPr>
          <w:p>
            <w:pPr>
              <w:spacing w:before="0" w:after="0"/>
              <w:jc w:val="center"/>
              <w:rPr>
                <w:rFonts w:ascii="Arial" w:hAnsi="Arial" w:cs="Arial"/>
                <w:noProof/>
                <w:sz w:val="20"/>
                <w:szCs w:val="20"/>
              </w:rPr>
            </w:pPr>
            <w:r>
              <w:rPr>
                <w:noProof/>
                <w:sz w:val="22"/>
              </w:rPr>
              <w:t>866,72 € </w:t>
            </w:r>
          </w:p>
        </w:tc>
        <w:tc>
          <w:tcPr>
            <w:tcW w:w="1418" w:type="dxa"/>
            <w:vMerge/>
            <w:tcBorders>
              <w:top w:val="single" w:sz="8" w:space="0" w:color="auto"/>
              <w:left w:val="single" w:sz="8" w:space="0" w:color="auto"/>
              <w:bottom w:val="single" w:sz="8" w:space="0" w:color="auto"/>
              <w:right w:val="single" w:sz="8" w:space="0" w:color="auto"/>
            </w:tcBorders>
            <w:vAlign w:val="center"/>
          </w:tcPr>
          <w:p>
            <w:pPr>
              <w:spacing w:before="0" w:after="0"/>
              <w:jc w:val="left"/>
              <w:rPr>
                <w:rFonts w:ascii="Arial" w:hAnsi="Arial" w:cs="Arial"/>
                <w:b/>
                <w:bCs/>
                <w:noProof/>
                <w:sz w:val="20"/>
                <w:szCs w:val="20"/>
              </w:rPr>
            </w:pP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Commissie</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11,5</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21</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8</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60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100,5</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21</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8</w:t>
            </w:r>
          </w:p>
        </w:tc>
        <w:tc>
          <w:tcPr>
            <w:tcW w:w="1134" w:type="dxa"/>
            <w:tcBorders>
              <w:top w:val="nil"/>
              <w:left w:val="nil"/>
              <w:bottom w:val="single" w:sz="4" w:space="0" w:color="auto"/>
              <w:right w:val="nil"/>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20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49</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Raad</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37</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25</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62</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Parlement</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123</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119</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58</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44</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344</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Hof van Justitie</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0</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Rekenkamer</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9</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11</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EESC</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0</w:t>
            </w:r>
          </w:p>
        </w:tc>
      </w:tr>
      <w:tr>
        <w:trPr>
          <w:trHeight w:val="255"/>
        </w:trPr>
        <w:tc>
          <w:tcPr>
            <w:tcW w:w="36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Comité van de Regio’s</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0</w:t>
            </w:r>
          </w:p>
        </w:tc>
      </w:tr>
      <w:tr>
        <w:trPr>
          <w:trHeight w:val="262"/>
        </w:trPr>
        <w:tc>
          <w:tcPr>
            <w:tcW w:w="3620" w:type="dxa"/>
            <w:tcBorders>
              <w:top w:val="nil"/>
              <w:left w:val="single" w:sz="4" w:space="0" w:color="auto"/>
              <w:bottom w:val="single" w:sz="4" w:space="0" w:color="auto"/>
              <w:right w:val="single" w:sz="4" w:space="0" w:color="auto"/>
            </w:tcBorders>
            <w:shd w:val="clear" w:color="auto" w:fill="auto"/>
            <w:vAlign w:val="bottom"/>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1215"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276"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0</w:t>
            </w:r>
          </w:p>
        </w:tc>
      </w:tr>
      <w:tr>
        <w:trPr>
          <w:trHeight w:val="270"/>
        </w:trPr>
        <w:tc>
          <w:tcPr>
            <w:tcW w:w="3620"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Ombudsman</w:t>
            </w:r>
          </w:p>
        </w:tc>
        <w:tc>
          <w:tcPr>
            <w:tcW w:w="121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6"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4"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418" w:type="dxa"/>
            <w:tcBorders>
              <w:top w:val="single" w:sz="8" w:space="0" w:color="auto"/>
              <w:left w:val="single" w:sz="8" w:space="0" w:color="auto"/>
              <w:bottom w:val="single" w:sz="8"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0</w:t>
            </w:r>
          </w:p>
        </w:tc>
      </w:tr>
      <w:tr>
        <w:trPr>
          <w:trHeight w:val="270"/>
        </w:trPr>
        <w:tc>
          <w:tcPr>
            <w:tcW w:w="3620" w:type="dxa"/>
            <w:tcBorders>
              <w:top w:val="single" w:sz="4" w:space="0" w:color="auto"/>
              <w:left w:val="single" w:sz="4" w:space="0" w:color="auto"/>
              <w:bottom w:val="single" w:sz="2"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EDEO</w:t>
            </w:r>
          </w:p>
        </w:tc>
        <w:tc>
          <w:tcPr>
            <w:tcW w:w="1215"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26</w:t>
            </w:r>
          </w:p>
        </w:tc>
        <w:tc>
          <w:tcPr>
            <w:tcW w:w="1276"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75"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34" w:type="dxa"/>
            <w:tcBorders>
              <w:top w:val="nil"/>
              <w:left w:val="nil"/>
              <w:bottom w:val="single" w:sz="2" w:space="0" w:color="auto"/>
              <w:right w:val="nil"/>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10</w:t>
            </w:r>
          </w:p>
        </w:tc>
        <w:tc>
          <w:tcPr>
            <w:tcW w:w="1418" w:type="dxa"/>
            <w:tcBorders>
              <w:top w:val="single" w:sz="8" w:space="0" w:color="auto"/>
              <w:left w:val="single" w:sz="8" w:space="0" w:color="auto"/>
              <w:bottom w:val="single" w:sz="2" w:space="0" w:color="auto"/>
              <w:right w:val="single" w:sz="8" w:space="0" w:color="auto"/>
            </w:tcBorders>
            <w:shd w:val="clear" w:color="auto" w:fill="auto"/>
            <w:noWrap/>
            <w:vAlign w:val="bottom"/>
          </w:tcPr>
          <w:p>
            <w:pPr>
              <w:spacing w:before="0" w:after="0"/>
              <w:jc w:val="right"/>
              <w:rPr>
                <w:rFonts w:ascii="Arial" w:hAnsi="Arial" w:cs="Arial"/>
                <w:b/>
                <w:bCs/>
                <w:noProof/>
                <w:sz w:val="20"/>
                <w:szCs w:val="20"/>
              </w:rPr>
            </w:pPr>
            <w:r>
              <w:rPr>
                <w:rFonts w:ascii="Arial" w:hAnsi="Arial"/>
                <w:b/>
                <w:noProof/>
                <w:sz w:val="20"/>
              </w:rPr>
              <w:t>36</w:t>
            </w:r>
          </w:p>
        </w:tc>
      </w:tr>
      <w:tr>
        <w:trPr>
          <w:trHeight w:val="372"/>
        </w:trPr>
        <w:tc>
          <w:tcPr>
            <w:tcW w:w="362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i/>
                <w:iCs/>
                <w:noProof/>
                <w:sz w:val="20"/>
                <w:szCs w:val="20"/>
              </w:rPr>
            </w:pPr>
            <w:r>
              <w:rPr>
                <w:rFonts w:ascii="Arial" w:hAnsi="Arial"/>
                <w:b/>
                <w:noProof/>
                <w:sz w:val="20"/>
              </w:rPr>
              <w:t>Totaal</w:t>
            </w:r>
          </w:p>
        </w:tc>
        <w:tc>
          <w:tcPr>
            <w:tcW w:w="1215"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199,5</w:t>
            </w:r>
          </w:p>
        </w:tc>
        <w:tc>
          <w:tcPr>
            <w:tcW w:w="1276"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140</w:t>
            </w:r>
          </w:p>
        </w:tc>
        <w:tc>
          <w:tcPr>
            <w:tcW w:w="1275"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66</w:t>
            </w:r>
          </w:p>
        </w:tc>
        <w:tc>
          <w:tcPr>
            <w:tcW w:w="1134"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148</w:t>
            </w:r>
          </w:p>
        </w:tc>
        <w:tc>
          <w:tcPr>
            <w:tcW w:w="1418"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553,5</w:t>
            </w:r>
          </w:p>
        </w:tc>
      </w:tr>
    </w:tbl>
    <w:p>
      <w:pPr>
        <w:pStyle w:val="ManualHeading2"/>
        <w:rPr>
          <w:noProof/>
        </w:rPr>
      </w:pPr>
      <w:r>
        <w:tab/>
      </w:r>
    </w:p>
    <w:p>
      <w:pPr>
        <w:pStyle w:val="ManualHeading2"/>
        <w:rPr>
          <w:noProof/>
        </w:rPr>
      </w:pPr>
      <w:r>
        <w:t>4.3.</w:t>
      </w:r>
      <w:r>
        <w:tab/>
      </w:r>
      <w:r>
        <w:rPr>
          <w:noProof/>
        </w:rPr>
        <w:t>Aantal begunstigden per werkgebied:</w:t>
      </w:r>
    </w:p>
    <w:tbl>
      <w:tblPr>
        <w:tblW w:w="10425" w:type="dxa"/>
        <w:tblInd w:w="-252" w:type="dxa"/>
        <w:tblLayout w:type="fixed"/>
        <w:tblLook w:val="0000" w:firstRow="0" w:lastRow="0" w:firstColumn="0" w:lastColumn="0" w:noHBand="0" w:noVBand="0"/>
      </w:tblPr>
      <w:tblGrid>
        <w:gridCol w:w="1920"/>
        <w:gridCol w:w="720"/>
        <w:gridCol w:w="1122"/>
        <w:gridCol w:w="678"/>
        <w:gridCol w:w="1080"/>
        <w:gridCol w:w="1200"/>
        <w:gridCol w:w="822"/>
        <w:gridCol w:w="978"/>
        <w:gridCol w:w="1054"/>
        <w:gridCol w:w="851"/>
      </w:tblGrid>
      <w:tr>
        <w:trPr>
          <w:trHeight w:val="838"/>
        </w:trPr>
        <w:tc>
          <w:tcPr>
            <w:tcW w:w="192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720" w:type="dxa"/>
            <w:tcBorders>
              <w:top w:val="single" w:sz="4" w:space="0" w:color="auto"/>
              <w:left w:val="nil"/>
              <w:bottom w:val="single" w:sz="4" w:space="0" w:color="auto"/>
              <w:right w:val="single" w:sz="4" w:space="0" w:color="auto"/>
            </w:tcBorders>
            <w:shd w:val="clear" w:color="auto" w:fill="auto"/>
          </w:tcPr>
          <w:p>
            <w:pPr>
              <w:spacing w:before="0" w:after="0"/>
              <w:jc w:val="center"/>
              <w:rPr>
                <w:rFonts w:ascii="Arial" w:hAnsi="Arial" w:cs="Arial"/>
                <w:b/>
                <w:bCs/>
                <w:noProof/>
                <w:sz w:val="20"/>
                <w:szCs w:val="20"/>
              </w:rPr>
            </w:pPr>
            <w:r>
              <w:rPr>
                <w:rFonts w:ascii="Arial" w:hAnsi="Arial"/>
                <w:b/>
                <w:noProof/>
                <w:sz w:val="20"/>
              </w:rPr>
              <w:t>JRC</w:t>
            </w:r>
          </w:p>
        </w:tc>
        <w:tc>
          <w:tcPr>
            <w:tcW w:w="1122" w:type="dxa"/>
            <w:tcBorders>
              <w:top w:val="single" w:sz="4" w:space="0" w:color="auto"/>
              <w:left w:val="nil"/>
              <w:bottom w:val="single" w:sz="4" w:space="0" w:color="auto"/>
              <w:right w:val="single" w:sz="4" w:space="0" w:color="auto"/>
            </w:tcBorders>
            <w:shd w:val="clear" w:color="auto" w:fill="auto"/>
          </w:tcPr>
          <w:p>
            <w:pPr>
              <w:spacing w:before="0" w:after="0"/>
              <w:jc w:val="center"/>
              <w:rPr>
                <w:rFonts w:ascii="Arial" w:hAnsi="Arial" w:cs="Arial"/>
                <w:b/>
                <w:bCs/>
                <w:noProof/>
                <w:sz w:val="20"/>
                <w:szCs w:val="20"/>
              </w:rPr>
            </w:pPr>
            <w:r>
              <w:rPr>
                <w:rFonts w:ascii="Arial" w:hAnsi="Arial"/>
                <w:b/>
                <w:noProof/>
                <w:sz w:val="20"/>
              </w:rPr>
              <w:t>Coörd.</w:t>
            </w:r>
          </w:p>
          <w:p>
            <w:pPr>
              <w:spacing w:before="0" w:after="0"/>
              <w:jc w:val="center"/>
              <w:rPr>
                <w:rFonts w:ascii="Arial" w:hAnsi="Arial" w:cs="Arial"/>
                <w:b/>
                <w:bCs/>
                <w:noProof/>
                <w:sz w:val="20"/>
                <w:szCs w:val="20"/>
              </w:rPr>
            </w:pPr>
            <w:r>
              <w:rPr>
                <w:rFonts w:ascii="Arial" w:hAnsi="Arial"/>
                <w:b/>
                <w:noProof/>
                <w:sz w:val="20"/>
              </w:rPr>
              <w:t>Crisis/</w:t>
            </w:r>
            <w:r>
              <w:rPr>
                <w:rFonts w:ascii="Arial" w:hAnsi="Arial" w:cs="Arial"/>
                <w:b/>
                <w:bCs/>
                <w:noProof/>
                <w:sz w:val="20"/>
                <w:szCs w:val="20"/>
              </w:rPr>
              <w:br/>
            </w:r>
            <w:r>
              <w:rPr>
                <w:rFonts w:ascii="Arial" w:hAnsi="Arial"/>
                <w:b/>
                <w:noProof/>
                <w:sz w:val="20"/>
              </w:rPr>
              <w:t>nood</w:t>
            </w:r>
          </w:p>
        </w:tc>
        <w:tc>
          <w:tcPr>
            <w:tcW w:w="678" w:type="dxa"/>
            <w:tcBorders>
              <w:top w:val="single" w:sz="4" w:space="0" w:color="auto"/>
              <w:left w:val="nil"/>
              <w:bottom w:val="single" w:sz="4" w:space="0" w:color="auto"/>
              <w:right w:val="single" w:sz="4" w:space="0" w:color="auto"/>
            </w:tcBorders>
            <w:shd w:val="clear" w:color="auto" w:fill="auto"/>
          </w:tcPr>
          <w:p>
            <w:pPr>
              <w:spacing w:before="0" w:after="0"/>
              <w:jc w:val="center"/>
              <w:rPr>
                <w:rFonts w:ascii="Arial" w:hAnsi="Arial" w:cs="Arial"/>
                <w:b/>
                <w:bCs/>
                <w:noProof/>
                <w:sz w:val="20"/>
                <w:szCs w:val="20"/>
              </w:rPr>
            </w:pPr>
            <w:r>
              <w:rPr>
                <w:rFonts w:ascii="Arial" w:hAnsi="Arial"/>
                <w:b/>
                <w:noProof/>
                <w:sz w:val="20"/>
              </w:rPr>
              <w:t>ICT</w:t>
            </w:r>
          </w:p>
        </w:tc>
        <w:tc>
          <w:tcPr>
            <w:tcW w:w="1080" w:type="dxa"/>
            <w:tcBorders>
              <w:top w:val="single" w:sz="4" w:space="0" w:color="auto"/>
              <w:left w:val="nil"/>
              <w:bottom w:val="single" w:sz="4" w:space="0" w:color="auto"/>
              <w:right w:val="single" w:sz="4" w:space="0" w:color="auto"/>
            </w:tcBorders>
            <w:shd w:val="clear" w:color="auto" w:fill="auto"/>
          </w:tcPr>
          <w:p>
            <w:pPr>
              <w:spacing w:before="0" w:after="0"/>
              <w:jc w:val="center"/>
              <w:rPr>
                <w:rFonts w:ascii="Arial" w:hAnsi="Arial" w:cs="Arial"/>
                <w:b/>
                <w:bCs/>
                <w:noProof/>
                <w:sz w:val="20"/>
                <w:szCs w:val="20"/>
              </w:rPr>
            </w:pPr>
            <w:r>
              <w:rPr>
                <w:rFonts w:ascii="Arial" w:hAnsi="Arial"/>
                <w:b/>
                <w:noProof/>
                <w:sz w:val="20"/>
              </w:rPr>
              <w:t>Beveili-ging</w:t>
            </w:r>
          </w:p>
        </w:tc>
        <w:tc>
          <w:tcPr>
            <w:tcW w:w="1200" w:type="dxa"/>
            <w:tcBorders>
              <w:top w:val="single" w:sz="4" w:space="0" w:color="auto"/>
              <w:left w:val="nil"/>
              <w:bottom w:val="single" w:sz="4" w:space="0" w:color="auto"/>
              <w:right w:val="single" w:sz="4" w:space="0" w:color="auto"/>
            </w:tcBorders>
            <w:shd w:val="clear" w:color="auto" w:fill="auto"/>
          </w:tcPr>
          <w:p>
            <w:pPr>
              <w:spacing w:before="0" w:after="0"/>
              <w:jc w:val="center"/>
              <w:rPr>
                <w:rFonts w:ascii="Arial" w:hAnsi="Arial" w:cs="Arial"/>
                <w:b/>
                <w:bCs/>
                <w:noProof/>
                <w:sz w:val="20"/>
                <w:szCs w:val="20"/>
              </w:rPr>
            </w:pPr>
            <w:r>
              <w:rPr>
                <w:rFonts w:ascii="Arial" w:hAnsi="Arial"/>
                <w:b/>
                <w:noProof/>
                <w:sz w:val="20"/>
              </w:rPr>
              <w:t>Telefoon/</w:t>
            </w:r>
            <w:r>
              <w:rPr>
                <w:rFonts w:ascii="Arial" w:hAnsi="Arial" w:cs="Arial"/>
                <w:b/>
                <w:bCs/>
                <w:noProof/>
                <w:sz w:val="20"/>
                <w:szCs w:val="20"/>
              </w:rPr>
              <w:br/>
            </w:r>
            <w:r>
              <w:rPr>
                <w:rFonts w:ascii="Arial" w:hAnsi="Arial"/>
                <w:b/>
                <w:noProof/>
                <w:sz w:val="20"/>
              </w:rPr>
              <w:t>ontvangst</w:t>
            </w:r>
          </w:p>
        </w:tc>
        <w:tc>
          <w:tcPr>
            <w:tcW w:w="822" w:type="dxa"/>
            <w:tcBorders>
              <w:top w:val="single" w:sz="4" w:space="0" w:color="auto"/>
              <w:left w:val="nil"/>
              <w:bottom w:val="single" w:sz="4" w:space="0" w:color="auto"/>
              <w:right w:val="single" w:sz="4" w:space="0" w:color="auto"/>
            </w:tcBorders>
            <w:shd w:val="clear" w:color="auto" w:fill="auto"/>
          </w:tcPr>
          <w:p>
            <w:pPr>
              <w:spacing w:before="0" w:after="0"/>
              <w:jc w:val="center"/>
              <w:rPr>
                <w:rFonts w:ascii="Arial" w:hAnsi="Arial" w:cs="Arial"/>
                <w:b/>
                <w:bCs/>
                <w:noProof/>
                <w:sz w:val="20"/>
                <w:szCs w:val="20"/>
              </w:rPr>
            </w:pPr>
            <w:r>
              <w:rPr>
                <w:rFonts w:ascii="Arial" w:hAnsi="Arial"/>
                <w:b/>
                <w:noProof/>
                <w:sz w:val="20"/>
              </w:rPr>
              <w:t>GBVB/</w:t>
            </w:r>
            <w:r>
              <w:rPr>
                <w:rFonts w:ascii="Arial" w:hAnsi="Arial" w:cs="Arial"/>
                <w:b/>
                <w:bCs/>
                <w:noProof/>
                <w:sz w:val="20"/>
                <w:szCs w:val="20"/>
              </w:rPr>
              <w:br/>
            </w:r>
            <w:r>
              <w:rPr>
                <w:rFonts w:ascii="Arial" w:hAnsi="Arial"/>
                <w:b/>
                <w:noProof/>
                <w:sz w:val="20"/>
              </w:rPr>
              <w:t>EVDB</w:t>
            </w:r>
          </w:p>
        </w:tc>
        <w:tc>
          <w:tcPr>
            <w:tcW w:w="978" w:type="dxa"/>
            <w:tcBorders>
              <w:top w:val="single" w:sz="4" w:space="0" w:color="auto"/>
              <w:left w:val="single" w:sz="4" w:space="0" w:color="auto"/>
              <w:bottom w:val="single" w:sz="4" w:space="0" w:color="auto"/>
              <w:right w:val="single" w:sz="8" w:space="0" w:color="auto"/>
            </w:tcBorders>
          </w:tcPr>
          <w:p>
            <w:pPr>
              <w:spacing w:before="0" w:after="0"/>
              <w:jc w:val="center"/>
              <w:rPr>
                <w:rFonts w:ascii="Arial" w:hAnsi="Arial" w:cs="Arial"/>
                <w:b/>
                <w:bCs/>
                <w:noProof/>
                <w:sz w:val="20"/>
                <w:szCs w:val="20"/>
              </w:rPr>
            </w:pPr>
            <w:r>
              <w:rPr>
                <w:rFonts w:ascii="Arial" w:hAnsi="Arial"/>
                <w:b/>
                <w:noProof/>
                <w:sz w:val="20"/>
              </w:rPr>
              <w:t>Techn. inst.</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center"/>
              <w:rPr>
                <w:rFonts w:ascii="Arial" w:hAnsi="Arial" w:cs="Arial"/>
                <w:b/>
                <w:bCs/>
                <w:noProof/>
                <w:sz w:val="20"/>
                <w:szCs w:val="20"/>
              </w:rPr>
            </w:pPr>
            <w:r>
              <w:rPr>
                <w:rFonts w:ascii="Arial" w:hAnsi="Arial"/>
                <w:b/>
                <w:noProof/>
                <w:sz w:val="20"/>
              </w:rPr>
              <w:t>Act. onder contract</w:t>
            </w:r>
          </w:p>
        </w:tc>
        <w:tc>
          <w:tcPr>
            <w:tcW w:w="851" w:type="dxa"/>
            <w:tcBorders>
              <w:top w:val="single" w:sz="8" w:space="0" w:color="auto"/>
              <w:left w:val="single" w:sz="8" w:space="0" w:color="auto"/>
              <w:bottom w:val="single" w:sz="8" w:space="0" w:color="auto"/>
              <w:right w:val="single" w:sz="8" w:space="0" w:color="auto"/>
            </w:tcBorders>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Commissie</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49</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1,5</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47</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3</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100,5</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49</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left"/>
              <w:rPr>
                <w:rFonts w:ascii="Arial" w:hAnsi="Arial" w:cs="Arial"/>
                <w:i/>
                <w:iCs/>
                <w:noProof/>
                <w:color w:val="808080"/>
                <w:sz w:val="20"/>
                <w:szCs w:val="20"/>
              </w:rPr>
            </w:pPr>
            <w:r>
              <w:rPr>
                <w:rFonts w:ascii="Arial" w:hAnsi="Arial"/>
                <w:i/>
                <w:noProof/>
                <w:color w:val="808080"/>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left"/>
              <w:rPr>
                <w:rFonts w:ascii="Arial" w:hAnsi="Arial" w:cs="Arial"/>
                <w:b/>
                <w:i/>
                <w:iCs/>
                <w:noProof/>
                <w:color w:val="808080"/>
                <w:sz w:val="20"/>
                <w:szCs w:val="20"/>
              </w:rPr>
            </w:pPr>
            <w:r>
              <w:rPr>
                <w:rFonts w:ascii="Arial" w:hAnsi="Arial"/>
                <w:b/>
                <w:i/>
                <w:noProof/>
                <w:color w:val="808080"/>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left"/>
              <w:rPr>
                <w:rFonts w:ascii="Arial" w:hAnsi="Arial" w:cs="Arial"/>
                <w:b/>
                <w:i/>
                <w:iCs/>
                <w:noProof/>
                <w:color w:val="808080"/>
                <w:sz w:val="20"/>
                <w:szCs w:val="20"/>
              </w:rPr>
            </w:pPr>
            <w:r>
              <w:rPr>
                <w:rFonts w:ascii="Arial" w:hAnsi="Arial"/>
                <w:b/>
                <w:i/>
                <w:noProof/>
                <w:color w:val="808080"/>
                <w:sz w:val="20"/>
              </w:rPr>
              <w:t>49</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Raad</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59</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62</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Parlement</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320</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24</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344</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Hof van Justitie</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Rekenkamer</w:t>
            </w:r>
          </w:p>
        </w:tc>
        <w:tc>
          <w:tcPr>
            <w:tcW w:w="72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9</w:t>
            </w:r>
          </w:p>
        </w:tc>
        <w:tc>
          <w:tcPr>
            <w:tcW w:w="120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2</w:t>
            </w:r>
          </w:p>
        </w:tc>
        <w:tc>
          <w:tcPr>
            <w:tcW w:w="822"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center"/>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vAlign w:val="center"/>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vAlign w:val="center"/>
          </w:tcPr>
          <w:p>
            <w:pPr>
              <w:spacing w:before="0" w:after="0"/>
              <w:jc w:val="right"/>
              <w:rPr>
                <w:rFonts w:ascii="Arial" w:hAnsi="Arial" w:cs="Arial"/>
                <w:b/>
                <w:noProof/>
                <w:sz w:val="20"/>
                <w:szCs w:val="20"/>
              </w:rPr>
            </w:pPr>
            <w:r>
              <w:rPr>
                <w:rFonts w:ascii="Arial" w:hAnsi="Arial"/>
                <w:b/>
                <w:noProof/>
                <w:sz w:val="20"/>
              </w:rPr>
              <w:t>11</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EESC</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255"/>
        </w:trPr>
        <w:tc>
          <w:tcPr>
            <w:tcW w:w="1920" w:type="dxa"/>
            <w:tcBorders>
              <w:top w:val="nil"/>
              <w:left w:val="single" w:sz="4" w:space="0" w:color="auto"/>
              <w:bottom w:val="single" w:sz="4"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Comité van de Regio’s</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0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283"/>
        </w:trPr>
        <w:tc>
          <w:tcPr>
            <w:tcW w:w="1920" w:type="dxa"/>
            <w:tcBorders>
              <w:top w:val="nil"/>
              <w:left w:val="single" w:sz="4" w:space="0" w:color="auto"/>
              <w:bottom w:val="single" w:sz="4" w:space="0" w:color="auto"/>
              <w:right w:val="single" w:sz="4" w:space="0" w:color="auto"/>
            </w:tcBorders>
            <w:shd w:val="clear" w:color="auto" w:fill="auto"/>
            <w:noWrap/>
            <w:vAlign w:val="center"/>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72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1200"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center"/>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center"/>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vAlign w:val="center"/>
          </w:tcPr>
          <w:p>
            <w:pPr>
              <w:spacing w:before="0" w:after="0"/>
              <w:jc w:val="right"/>
              <w:rPr>
                <w:rFonts w:ascii="Arial" w:hAnsi="Arial" w:cs="Arial"/>
                <w:b/>
                <w:noProof/>
                <w:sz w:val="20"/>
                <w:szCs w:val="20"/>
              </w:rPr>
            </w:pPr>
            <w:r>
              <w:rPr>
                <w:rFonts w:ascii="Arial" w:hAnsi="Arial"/>
                <w:b/>
                <w:noProof/>
                <w:sz w:val="20"/>
              </w:rPr>
              <w:t>0</w:t>
            </w:r>
          </w:p>
        </w:tc>
      </w:tr>
      <w:tr>
        <w:trPr>
          <w:trHeight w:val="270"/>
        </w:trPr>
        <w:tc>
          <w:tcPr>
            <w:tcW w:w="1920" w:type="dxa"/>
            <w:tcBorders>
              <w:top w:val="single" w:sz="4" w:space="0" w:color="auto"/>
              <w:left w:val="single" w:sz="4" w:space="0" w:color="auto"/>
              <w:bottom w:val="nil"/>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Ombudsman</w:t>
            </w:r>
          </w:p>
        </w:tc>
        <w:tc>
          <w:tcPr>
            <w:tcW w:w="72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080"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200" w:type="dxa"/>
            <w:tcBorders>
              <w:top w:val="single" w:sz="4" w:space="0" w:color="auto"/>
              <w:left w:val="nil"/>
              <w:bottom w:val="nil"/>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4"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978" w:type="dxa"/>
            <w:tcBorders>
              <w:top w:val="single" w:sz="4" w:space="0" w:color="auto"/>
              <w:left w:val="single" w:sz="4" w:space="0" w:color="auto"/>
              <w:bottom w:val="single" w:sz="4"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8"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r>
      <w:tr>
        <w:trPr>
          <w:trHeight w:val="270"/>
        </w:trPr>
        <w:tc>
          <w:tcPr>
            <w:tcW w:w="1920" w:type="dxa"/>
            <w:tcBorders>
              <w:top w:val="single" w:sz="4" w:space="0" w:color="auto"/>
              <w:left w:val="single" w:sz="4" w:space="0" w:color="auto"/>
              <w:bottom w:val="single" w:sz="2" w:space="0" w:color="auto"/>
              <w:right w:val="single" w:sz="4" w:space="0" w:color="auto"/>
            </w:tcBorders>
            <w:shd w:val="clear" w:color="auto" w:fill="auto"/>
            <w:noWrap/>
            <w:vAlign w:val="bottom"/>
          </w:tcPr>
          <w:p>
            <w:pPr>
              <w:spacing w:before="0" w:after="0"/>
              <w:jc w:val="left"/>
              <w:rPr>
                <w:rFonts w:ascii="Arial" w:hAnsi="Arial" w:cs="Arial"/>
                <w:noProof/>
                <w:sz w:val="20"/>
                <w:szCs w:val="20"/>
              </w:rPr>
            </w:pPr>
            <w:r>
              <w:rPr>
                <w:rFonts w:ascii="Arial" w:hAnsi="Arial"/>
                <w:noProof/>
                <w:sz w:val="20"/>
              </w:rPr>
              <w:t>EDEO</w:t>
            </w:r>
          </w:p>
        </w:tc>
        <w:tc>
          <w:tcPr>
            <w:tcW w:w="720"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1122"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678"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13</w:t>
            </w:r>
          </w:p>
        </w:tc>
        <w:tc>
          <w:tcPr>
            <w:tcW w:w="1080"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13</w:t>
            </w:r>
          </w:p>
        </w:tc>
        <w:tc>
          <w:tcPr>
            <w:tcW w:w="1200" w:type="dxa"/>
            <w:tcBorders>
              <w:top w:val="single" w:sz="4" w:space="0" w:color="auto"/>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0</w:t>
            </w:r>
          </w:p>
        </w:tc>
        <w:tc>
          <w:tcPr>
            <w:tcW w:w="822" w:type="dxa"/>
            <w:tcBorders>
              <w:top w:val="nil"/>
              <w:left w:val="nil"/>
              <w:bottom w:val="single" w:sz="2" w:space="0" w:color="auto"/>
              <w:right w:val="single" w:sz="4" w:space="0" w:color="auto"/>
            </w:tcBorders>
            <w:shd w:val="clear" w:color="auto" w:fill="auto"/>
            <w:noWrap/>
            <w:vAlign w:val="bottom"/>
          </w:tcPr>
          <w:p>
            <w:pPr>
              <w:spacing w:before="0" w:after="0"/>
              <w:jc w:val="right"/>
              <w:rPr>
                <w:rFonts w:ascii="Arial" w:hAnsi="Arial" w:cs="Arial"/>
                <w:noProof/>
                <w:sz w:val="20"/>
                <w:szCs w:val="20"/>
              </w:rPr>
            </w:pPr>
            <w:r>
              <w:rPr>
                <w:rFonts w:ascii="Arial" w:hAnsi="Arial"/>
                <w:noProof/>
                <w:sz w:val="20"/>
              </w:rPr>
              <w:t>10</w:t>
            </w:r>
          </w:p>
        </w:tc>
        <w:tc>
          <w:tcPr>
            <w:tcW w:w="978" w:type="dxa"/>
            <w:tcBorders>
              <w:top w:val="single" w:sz="4" w:space="0" w:color="auto"/>
              <w:left w:val="single" w:sz="4" w:space="0" w:color="auto"/>
              <w:bottom w:val="single" w:sz="2" w:space="0" w:color="auto"/>
              <w:right w:val="single" w:sz="8" w:space="0" w:color="auto"/>
            </w:tcBorders>
            <w:vAlign w:val="bottom"/>
          </w:tcPr>
          <w:p>
            <w:pPr>
              <w:spacing w:before="0" w:after="0"/>
              <w:jc w:val="right"/>
              <w:rPr>
                <w:rFonts w:ascii="Arial" w:hAnsi="Arial" w:cs="Arial"/>
                <w:noProof/>
                <w:sz w:val="20"/>
                <w:szCs w:val="20"/>
              </w:rPr>
            </w:pPr>
            <w:r>
              <w:rPr>
                <w:rFonts w:ascii="Arial" w:hAnsi="Arial"/>
                <w:noProof/>
                <w:sz w:val="20"/>
              </w:rPr>
              <w:t>0</w:t>
            </w:r>
          </w:p>
        </w:tc>
        <w:tc>
          <w:tcPr>
            <w:tcW w:w="1054" w:type="dxa"/>
            <w:tcBorders>
              <w:top w:val="single" w:sz="8" w:space="0" w:color="auto"/>
              <w:left w:val="single" w:sz="8" w:space="0" w:color="auto"/>
              <w:bottom w:val="single" w:sz="2"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0</w:t>
            </w:r>
          </w:p>
        </w:tc>
        <w:tc>
          <w:tcPr>
            <w:tcW w:w="851" w:type="dxa"/>
            <w:tcBorders>
              <w:top w:val="single" w:sz="8" w:space="0" w:color="auto"/>
              <w:left w:val="single" w:sz="8" w:space="0" w:color="auto"/>
              <w:bottom w:val="single" w:sz="2" w:space="0" w:color="auto"/>
              <w:right w:val="single" w:sz="8" w:space="0" w:color="auto"/>
            </w:tcBorders>
          </w:tcPr>
          <w:p>
            <w:pPr>
              <w:spacing w:before="0" w:after="0"/>
              <w:jc w:val="right"/>
              <w:rPr>
                <w:rFonts w:ascii="Arial" w:hAnsi="Arial" w:cs="Arial"/>
                <w:b/>
                <w:noProof/>
                <w:sz w:val="20"/>
                <w:szCs w:val="20"/>
              </w:rPr>
            </w:pPr>
            <w:r>
              <w:rPr>
                <w:rFonts w:ascii="Arial" w:hAnsi="Arial"/>
                <w:b/>
                <w:noProof/>
                <w:sz w:val="20"/>
              </w:rPr>
              <w:t>36</w:t>
            </w:r>
          </w:p>
        </w:tc>
      </w:tr>
      <w:tr>
        <w:trPr>
          <w:trHeight w:val="396"/>
        </w:trPr>
        <w:tc>
          <w:tcPr>
            <w:tcW w:w="192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Totaal</w:t>
            </w:r>
          </w:p>
        </w:tc>
        <w:tc>
          <w:tcPr>
            <w:tcW w:w="72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49</w:t>
            </w:r>
          </w:p>
        </w:tc>
        <w:tc>
          <w:tcPr>
            <w:tcW w:w="1122"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0</w:t>
            </w:r>
          </w:p>
        </w:tc>
        <w:tc>
          <w:tcPr>
            <w:tcW w:w="678"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14,5</w:t>
            </w:r>
          </w:p>
        </w:tc>
        <w:tc>
          <w:tcPr>
            <w:tcW w:w="108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448</w:t>
            </w:r>
          </w:p>
        </w:tc>
        <w:tc>
          <w:tcPr>
            <w:tcW w:w="1200"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26</w:t>
            </w:r>
          </w:p>
        </w:tc>
        <w:tc>
          <w:tcPr>
            <w:tcW w:w="822" w:type="dxa"/>
            <w:tcBorders>
              <w:top w:val="single" w:sz="2" w:space="0" w:color="auto"/>
              <w:left w:val="single" w:sz="2" w:space="0" w:color="auto"/>
              <w:bottom w:val="single" w:sz="2" w:space="0" w:color="auto"/>
              <w:right w:val="single" w:sz="2" w:space="0" w:color="auto"/>
            </w:tcBorders>
            <w:shd w:val="clear" w:color="auto" w:fill="auto"/>
            <w:noWrap/>
            <w:vAlign w:val="center"/>
          </w:tcPr>
          <w:p>
            <w:pPr>
              <w:spacing w:before="0" w:after="0"/>
              <w:jc w:val="right"/>
              <w:rPr>
                <w:rFonts w:ascii="Arial" w:hAnsi="Arial" w:cs="Arial"/>
                <w:b/>
                <w:bCs/>
                <w:noProof/>
                <w:sz w:val="20"/>
                <w:szCs w:val="20"/>
              </w:rPr>
            </w:pPr>
            <w:r>
              <w:rPr>
                <w:rFonts w:ascii="Arial" w:hAnsi="Arial"/>
                <w:b/>
                <w:noProof/>
                <w:sz w:val="20"/>
              </w:rPr>
              <w:t>13</w:t>
            </w:r>
          </w:p>
        </w:tc>
        <w:tc>
          <w:tcPr>
            <w:tcW w:w="978" w:type="dxa"/>
            <w:tcBorders>
              <w:top w:val="single" w:sz="2" w:space="0" w:color="auto"/>
              <w:left w:val="single" w:sz="2" w:space="0" w:color="auto"/>
              <w:bottom w:val="single" w:sz="2" w:space="0" w:color="auto"/>
              <w:right w:val="single" w:sz="2" w:space="0" w:color="auto"/>
            </w:tcBorders>
            <w:vAlign w:val="center"/>
          </w:tcPr>
          <w:p>
            <w:pPr>
              <w:spacing w:before="0" w:after="0"/>
              <w:jc w:val="right"/>
              <w:rPr>
                <w:rFonts w:ascii="Arial" w:hAnsi="Arial" w:cs="Arial"/>
                <w:b/>
                <w:bCs/>
                <w:noProof/>
                <w:sz w:val="20"/>
                <w:szCs w:val="20"/>
              </w:rPr>
            </w:pPr>
            <w:r>
              <w:rPr>
                <w:rFonts w:ascii="Arial" w:hAnsi="Arial"/>
                <w:b/>
                <w:noProof/>
                <w:sz w:val="20"/>
              </w:rPr>
              <w:t>3</w:t>
            </w:r>
          </w:p>
        </w:tc>
        <w:tc>
          <w:tcPr>
            <w:tcW w:w="1054" w:type="dxa"/>
            <w:tcBorders>
              <w:top w:val="single" w:sz="2" w:space="0" w:color="auto"/>
              <w:left w:val="single" w:sz="2" w:space="0" w:color="auto"/>
              <w:bottom w:val="single" w:sz="2" w:space="0" w:color="auto"/>
              <w:right w:val="single" w:sz="2" w:space="0" w:color="auto"/>
            </w:tcBorders>
            <w:vAlign w:val="center"/>
          </w:tcPr>
          <w:p>
            <w:pPr>
              <w:spacing w:before="0" w:after="0"/>
              <w:jc w:val="right"/>
              <w:rPr>
                <w:rFonts w:ascii="Arial" w:hAnsi="Arial" w:cs="Arial"/>
                <w:b/>
                <w:bCs/>
                <w:noProof/>
                <w:sz w:val="20"/>
                <w:szCs w:val="20"/>
              </w:rPr>
            </w:pPr>
            <w:r>
              <w:rPr>
                <w:rFonts w:ascii="Arial" w:hAnsi="Arial"/>
                <w:b/>
                <w:noProof/>
                <w:sz w:val="20"/>
              </w:rPr>
              <w:t>0</w:t>
            </w:r>
          </w:p>
        </w:tc>
        <w:tc>
          <w:tcPr>
            <w:tcW w:w="851" w:type="dxa"/>
            <w:tcBorders>
              <w:top w:val="single" w:sz="2" w:space="0" w:color="auto"/>
              <w:left w:val="single" w:sz="2" w:space="0" w:color="auto"/>
              <w:bottom w:val="single" w:sz="2" w:space="0" w:color="auto"/>
              <w:right w:val="single" w:sz="2" w:space="0" w:color="auto"/>
            </w:tcBorders>
            <w:vAlign w:val="center"/>
          </w:tcPr>
          <w:p>
            <w:pPr>
              <w:spacing w:before="0" w:after="0"/>
              <w:jc w:val="right"/>
              <w:rPr>
                <w:rFonts w:ascii="Arial" w:hAnsi="Arial" w:cs="Arial"/>
                <w:b/>
                <w:bCs/>
                <w:noProof/>
                <w:sz w:val="20"/>
                <w:szCs w:val="20"/>
              </w:rPr>
            </w:pPr>
            <w:r>
              <w:rPr>
                <w:rFonts w:ascii="Arial" w:hAnsi="Arial"/>
                <w:b/>
                <w:noProof/>
                <w:sz w:val="20"/>
              </w:rPr>
              <w:t>553,5</w:t>
            </w:r>
          </w:p>
        </w:tc>
      </w:tr>
    </w:tbl>
    <w:p>
      <w:pPr>
        <w:pStyle w:val="ManualHeading1"/>
        <w:rPr>
          <w:rFonts w:ascii="Arial" w:hAnsi="Arial" w:cs="Arial"/>
          <w:noProof/>
          <w:sz w:val="20"/>
          <w:szCs w:val="20"/>
        </w:rPr>
      </w:pPr>
      <w:r>
        <w:tab/>
      </w:r>
    </w:p>
    <w:p>
      <w:pPr>
        <w:rPr>
          <w:noProof/>
        </w:rPr>
      </w:pPr>
    </w:p>
    <w:p>
      <w:pPr>
        <w:pStyle w:val="ManualHeading1"/>
        <w:rPr>
          <w:bCs/>
          <w:noProof/>
        </w:rPr>
      </w:pPr>
      <w:r>
        <w:t>5.</w:t>
      </w:r>
      <w:r>
        <w:tab/>
      </w:r>
      <w:r>
        <w:rPr>
          <w:noProof/>
        </w:rPr>
        <w:t>Betrokken diensten en motivering</w:t>
      </w:r>
    </w:p>
    <w:p>
      <w:pPr>
        <w:rPr>
          <w:noProof/>
        </w:rPr>
      </w:pPr>
      <w:r>
        <w:rPr>
          <w:noProof/>
        </w:rPr>
        <w:t xml:space="preserve">De Raad, de Commissie, de EDEO (die een groot deel van het vroegere DG RELEX heeft overgenomen) en de Rekenkamer doen een beroep op wachtdiensten en continu- of ploegendiensten, en betalen de toeslagen waarin de wetgeving voorziet. </w:t>
      </w:r>
    </w:p>
    <w:p>
      <w:pPr>
        <w:rPr>
          <w:noProof/>
        </w:rPr>
      </w:pPr>
      <w:r>
        <w:rPr>
          <w:noProof/>
        </w:rPr>
        <w:t xml:space="preserve">In november 2014 heeft het Hof van Justitie een nieuwe wachtdienst voor het directoraat-generaal infrastructuur opgericht, voor taken in verband met het toezicht op technische installaties en beveiliging. </w:t>
      </w:r>
    </w:p>
    <w:p>
      <w:pPr>
        <w:rPr>
          <w:noProof/>
        </w:rPr>
      </w:pPr>
      <w:r>
        <w:rPr>
          <w:noProof/>
        </w:rPr>
        <w:t>Alleen de Commissie betaalt toeslagen voor werkzaamheden met een bezwaarlijk karakter, voor het JRC en het Bureau voor infrastructuur en logistiek in Brussel (OIB).</w:t>
      </w:r>
    </w:p>
    <w:p>
      <w:pPr>
        <w:spacing w:before="0" w:after="0"/>
        <w:ind w:left="851"/>
        <w:jc w:val="left"/>
        <w:rPr>
          <w:noProof/>
        </w:rPr>
      </w:pPr>
    </w:p>
    <w:p>
      <w:pPr>
        <w:pStyle w:val="ManualHeading2"/>
        <w:rPr>
          <w:bCs/>
          <w:noProof/>
        </w:rPr>
      </w:pPr>
      <w:r>
        <w:t>5.1.</w:t>
      </w:r>
      <w:r>
        <w:tab/>
      </w:r>
      <w:r>
        <w:rPr>
          <w:noProof/>
        </w:rPr>
        <w:t>Motivering voor wachtdiensten</w:t>
      </w:r>
    </w:p>
    <w:p>
      <w:pPr>
        <w:rPr>
          <w:noProof/>
        </w:rPr>
      </w:pPr>
      <w:r>
        <w:rPr>
          <w:b/>
          <w:i/>
          <w:noProof/>
        </w:rPr>
        <w:t>Commissie:</w:t>
      </w:r>
      <w:r>
        <w:rPr>
          <w:noProof/>
        </w:rPr>
        <w:tab/>
      </w:r>
      <w:r>
        <w:rPr>
          <w:b/>
          <w:i/>
          <w:noProof/>
        </w:rPr>
        <w:br/>
      </w:r>
      <w:r>
        <w:rPr>
          <w:i/>
          <w:noProof/>
        </w:rPr>
        <w:t>Onderzoekscentrum (JRC)</w:t>
      </w:r>
      <w:r>
        <w:rPr>
          <w:noProof/>
        </w:rPr>
        <w:tab/>
      </w:r>
      <w:r>
        <w:rPr>
          <w:b/>
          <w:i/>
          <w:noProof/>
        </w:rPr>
        <w:br/>
      </w:r>
      <w:r>
        <w:rPr>
          <w:noProof/>
        </w:rPr>
        <w:t>In 2014 betaalde de Commissie toeslagen voor wachtdiensten aan 419 personeelsleden, van wie ongeveer 52 % (218) in een van de onderzoekscentra werkzaam is. De wachtdiensten houden, net als de voorbije jaren, over het algemeen verband met beveiliging en bescherming (brandweerdienst, radiologische bescherming, stralingsbewaking, enz.). Bij het JRC worden de wachtdiensten in de meeste gevallen thuis verricht, met uitzondering van Ispra en Karlsruhe, waar de wachtdiensten op het werk, of thuis en op het werk worden verricht, naargelang de specifieke aard van de taken.</w:t>
      </w:r>
    </w:p>
    <w:p>
      <w:pPr>
        <w:spacing w:after="0"/>
        <w:rPr>
          <w:noProof/>
        </w:rPr>
      </w:pPr>
      <w:r>
        <w:rPr>
          <w:i/>
          <w:noProof/>
        </w:rPr>
        <w:t>Overige</w:t>
      </w:r>
      <w:r>
        <w:rPr>
          <w:noProof/>
        </w:rPr>
        <w:tab/>
      </w:r>
      <w:r>
        <w:rPr>
          <w:i/>
          <w:noProof/>
        </w:rPr>
        <w:br/>
      </w:r>
      <w:r>
        <w:rPr>
          <w:noProof/>
        </w:rPr>
        <w:t xml:space="preserve">In de overige DG's van de Commissie houden de wachtdiensten doorgaans verband met beveiliging, technische installaties en ICT, en met bijstand aan de lidstaten. </w:t>
      </w:r>
      <w:r>
        <w:rPr>
          <w:noProof/>
        </w:rPr>
        <w:tab/>
      </w:r>
    </w:p>
    <w:p>
      <w:pPr>
        <w:rPr>
          <w:noProof/>
        </w:rPr>
      </w:pPr>
      <w:r>
        <w:rPr>
          <w:noProof/>
        </w:rPr>
        <w:t>In 2014 is het aantal begunstigden bij OIB aanzienlijk gestegen (van 17 naar 39). Dit kan worden verklaard doordat, naast de reeds bestaande wachtdiensten, voor de 4 geografische zones waarin de gebouwen in Brussel zijn gegroepeerd, nieuwe wachtdiensten thuis werden opgericht, om te allen tijde snel te kunnen reageren in geval van problemen met de technische installaties in de gebouwen.</w:t>
      </w:r>
    </w:p>
    <w:p>
      <w:pPr>
        <w:rPr>
          <w:noProof/>
        </w:rPr>
      </w:pPr>
      <w:r>
        <w:rPr>
          <w:b/>
          <w:i/>
          <w:noProof/>
        </w:rPr>
        <w:t>Raad:</w:t>
      </w:r>
      <w:r>
        <w:rPr>
          <w:noProof/>
        </w:rPr>
        <w:t xml:space="preserve"> In 2014 betaalde de Raad toeslagen voor wachtdiensten thuis aan 50 personeelsleden. Deze hadden betrekking op de werkgebieden ICT, beveiligingsdiensten en ondersteuning van het GBVB/EVDB. De wachtdiensten werden uitsluitend thuis verricht. </w:t>
      </w:r>
    </w:p>
    <w:p>
      <w:pPr>
        <w:rPr>
          <w:noProof/>
        </w:rPr>
      </w:pPr>
      <w:r>
        <w:rPr>
          <w:b/>
          <w:i/>
          <w:noProof/>
        </w:rPr>
        <w:t>Rekenkamer:</w:t>
      </w:r>
      <w:r>
        <w:rPr>
          <w:noProof/>
        </w:rPr>
        <w:t xml:space="preserve"> In 2014 betaalde de Rekenkamer toeslagen voor wachtdiensten thuis aan 9 personeelsleden.</w:t>
      </w:r>
    </w:p>
    <w:p>
      <w:pPr>
        <w:rPr>
          <w:noProof/>
        </w:rPr>
      </w:pPr>
      <w:r>
        <w:rPr>
          <w:b/>
          <w:noProof/>
        </w:rPr>
        <w:t>EDEO:</w:t>
      </w:r>
      <w:r>
        <w:rPr>
          <w:noProof/>
        </w:rPr>
        <w:t xml:space="preserve"> In 2014 betaalde de EDEO toeslagen voor wachtdiensten thuis aan 17 personeelsleden voor drie werkgebieden: beveiligingsdiensten, ondersteuning van het GBVB/EVDB en ICT. </w:t>
      </w:r>
    </w:p>
    <w:p>
      <w:pPr>
        <w:rPr>
          <w:noProof/>
        </w:rPr>
      </w:pPr>
      <w:r>
        <w:rPr>
          <w:b/>
          <w:i/>
          <w:noProof/>
        </w:rPr>
        <w:t xml:space="preserve">Hof van Justitie: </w:t>
      </w:r>
      <w:r>
        <w:rPr>
          <w:noProof/>
        </w:rPr>
        <w:t xml:space="preserve">In november 2014 werd een nieuwe wachtdienst opgericht voor twee werkgebieden: technische installaties en beveiligingsdiensten De wachtdienst wordt thuis en op het werk verricht. Het Hof van Justitie betaalde toeslagen voor wachtdiensten aan 16 personeelsleden. </w:t>
      </w:r>
    </w:p>
    <w:p>
      <w:pPr>
        <w:spacing w:before="0" w:after="0"/>
        <w:ind w:left="851"/>
        <w:jc w:val="left"/>
        <w:rPr>
          <w:noProof/>
        </w:rPr>
      </w:pPr>
    </w:p>
    <w:p>
      <w:pPr>
        <w:pStyle w:val="ManualHeading2"/>
        <w:rPr>
          <w:bCs/>
          <w:noProof/>
        </w:rPr>
      </w:pPr>
      <w:r>
        <w:t>5.2.</w:t>
      </w:r>
      <w:r>
        <w:tab/>
      </w:r>
      <w:r>
        <w:rPr>
          <w:noProof/>
        </w:rPr>
        <w:t>Motivering voor de toeslag voor werkzaamheden met een bezwaarlijk karakter</w:t>
      </w:r>
    </w:p>
    <w:p>
      <w:pPr>
        <w:rPr>
          <w:noProof/>
        </w:rPr>
      </w:pPr>
      <w:r>
        <w:rPr>
          <w:b/>
          <w:i/>
          <w:noProof/>
        </w:rPr>
        <w:t>Commissie:</w:t>
      </w:r>
      <w:r>
        <w:rPr>
          <w:i/>
          <w:noProof/>
        </w:rPr>
        <w:t xml:space="preserve"> </w:t>
      </w:r>
      <w:r>
        <w:rPr>
          <w:noProof/>
        </w:rPr>
        <w:t>De Commissie is de enige instelling die in 2014 van deze mogelijkheid gebruik heeft gemaakt. Eerder maakte alleen het JRC (hoofdzakelijk om technische redenen) ervan gebruik, maar in 2008 heeft ook OIB deze mogelijkheid ingevoerd voor één van zijn afdelingen (reproductiedienst).</w:t>
      </w:r>
    </w:p>
    <w:p>
      <w:pPr>
        <w:spacing w:after="0"/>
        <w:rPr>
          <w:noProof/>
        </w:rPr>
      </w:pPr>
      <w:r>
        <w:rPr>
          <w:noProof/>
        </w:rPr>
        <w:t>In 2014 was het totale aantal uren dat in moeilijke omstandigheden werd verricht, als volgt verdeeld:</w:t>
      </w:r>
    </w:p>
    <w:p>
      <w:pPr>
        <w:pStyle w:val="Text1"/>
        <w:numPr>
          <w:ilvl w:val="0"/>
          <w:numId w:val="29"/>
        </w:numPr>
        <w:spacing w:before="0" w:after="0"/>
        <w:ind w:left="360"/>
        <w:rPr>
          <w:noProof/>
        </w:rPr>
      </w:pPr>
      <w:r>
        <w:rPr>
          <w:noProof/>
        </w:rPr>
        <w:t>76 996,59 uren in verband met persoonlijke bescherming (bijvoorbeeld het dragen van ongemakkelijke speciale beschermende kleding);</w:t>
      </w:r>
    </w:p>
    <w:p>
      <w:pPr>
        <w:pStyle w:val="Text1"/>
        <w:numPr>
          <w:ilvl w:val="0"/>
          <w:numId w:val="29"/>
        </w:numPr>
        <w:spacing w:before="0" w:after="0"/>
        <w:ind w:left="360"/>
        <w:rPr>
          <w:noProof/>
        </w:rPr>
      </w:pPr>
      <w:r>
        <w:rPr>
          <w:noProof/>
        </w:rPr>
        <w:t>129 751,25 uren in verband met de werkomgeving (bijvoorbeeld geluidsoverlast, gevaarlijke plaatsen); en</w:t>
      </w:r>
    </w:p>
    <w:p>
      <w:pPr>
        <w:pStyle w:val="Text1"/>
        <w:numPr>
          <w:ilvl w:val="0"/>
          <w:numId w:val="29"/>
        </w:numPr>
        <w:spacing w:before="0"/>
        <w:ind w:left="360"/>
        <w:jc w:val="left"/>
        <w:rPr>
          <w:noProof/>
        </w:rPr>
      </w:pPr>
      <w:r>
        <w:rPr>
          <w:noProof/>
        </w:rPr>
        <w:t>16 561,14 uren in verband met de aard van de werkzaamheden (bijvoorbeeld het hanteren van bijtende stoffen).</w:t>
      </w:r>
    </w:p>
    <w:p>
      <w:pPr>
        <w:pStyle w:val="Text1"/>
        <w:spacing w:before="0" w:after="0"/>
        <w:ind w:left="851"/>
        <w:jc w:val="left"/>
        <w:rPr>
          <w:noProof/>
        </w:rPr>
      </w:pPr>
    </w:p>
    <w:p>
      <w:pPr>
        <w:pStyle w:val="ManualHeading2"/>
        <w:rPr>
          <w:noProof/>
        </w:rPr>
      </w:pPr>
      <w:r>
        <w:t>5.3.</w:t>
      </w:r>
      <w:r>
        <w:tab/>
      </w:r>
      <w:r>
        <w:rPr>
          <w:noProof/>
        </w:rPr>
        <w:t>Motivering voor continu- of ploegendienst</w:t>
      </w:r>
    </w:p>
    <w:p>
      <w:pPr>
        <w:rPr>
          <w:noProof/>
        </w:rPr>
      </w:pPr>
      <w:r>
        <w:rPr>
          <w:b/>
          <w:i/>
          <w:noProof/>
        </w:rPr>
        <w:t>Commissie:</w:t>
      </w:r>
      <w:r>
        <w:rPr>
          <w:noProof/>
        </w:rPr>
        <w:t xml:space="preserve"> Binnen de Commissie hebben het JRC (hoofdzakelijk om technische redenen), en het DG HR (dienst beveiliging en preventie) het meest behoefte aan deze vorm van arbeidsorganisatie (respectievelijk 49 en 32 personeelsleden in 2014). </w:t>
      </w:r>
    </w:p>
    <w:p>
      <w:pPr>
        <w:rPr>
          <w:noProof/>
        </w:rPr>
      </w:pPr>
      <w:r>
        <w:rPr>
          <w:noProof/>
        </w:rPr>
        <w:t>In 2014 werkten in de andere DG’s (beleidsbegroting) 19,5 personen in ploegendienst op de volgende werkgebieden:</w:t>
      </w:r>
    </w:p>
    <w:p>
      <w:pPr>
        <w:pStyle w:val="Tiret1"/>
        <w:numPr>
          <w:ilvl w:val="0"/>
          <w:numId w:val="25"/>
        </w:numPr>
        <w:spacing w:before="0" w:after="0"/>
        <w:ind w:left="1418"/>
        <w:rPr>
          <w:noProof/>
        </w:rPr>
      </w:pPr>
      <w:r>
        <w:rPr>
          <w:noProof/>
        </w:rPr>
        <w:t>beveiliging en preventie: 15</w:t>
      </w:r>
    </w:p>
    <w:p>
      <w:pPr>
        <w:pStyle w:val="Tiret1"/>
        <w:numPr>
          <w:ilvl w:val="0"/>
          <w:numId w:val="25"/>
        </w:numPr>
        <w:spacing w:before="0" w:after="0"/>
        <w:ind w:left="1418"/>
        <w:rPr>
          <w:noProof/>
        </w:rPr>
      </w:pPr>
      <w:r>
        <w:rPr>
          <w:noProof/>
        </w:rPr>
        <w:t>technische installaties: 3</w:t>
      </w:r>
    </w:p>
    <w:p>
      <w:pPr>
        <w:pStyle w:val="Tiret1"/>
        <w:numPr>
          <w:ilvl w:val="0"/>
          <w:numId w:val="25"/>
        </w:numPr>
        <w:spacing w:before="0" w:after="0"/>
        <w:ind w:left="1418"/>
        <w:rPr>
          <w:noProof/>
        </w:rPr>
      </w:pPr>
      <w:r>
        <w:rPr>
          <w:noProof/>
        </w:rPr>
        <w:t>informatie- en communicatietechnologie (ICT): 1,5</w:t>
      </w:r>
    </w:p>
    <w:p>
      <w:pPr>
        <w:rPr>
          <w:noProof/>
        </w:rPr>
      </w:pPr>
      <w:r>
        <w:rPr>
          <w:noProof/>
        </w:rPr>
        <w:t>Alle vier tarieven (soorten toeslagen) worden in de Commissie toegepast, waarbij het tarief 4 (continudienst) vooral voor beveiligingsdiensten wordt toegepast.</w:t>
      </w:r>
    </w:p>
    <w:p>
      <w:pPr>
        <w:rPr>
          <w:noProof/>
        </w:rPr>
      </w:pPr>
      <w:r>
        <w:rPr>
          <w:b/>
          <w:i/>
          <w:noProof/>
        </w:rPr>
        <w:t>Raad:</w:t>
      </w:r>
      <w:r>
        <w:rPr>
          <w:noProof/>
        </w:rPr>
        <w:t xml:space="preserve"> In 2014 werd voor 62 personen een toeslag voor ploegendienst betaald. Van deze toeslag wordt in de meeste gevallen gebruik gemaakt op het gebied beveiliging en preventie (59 personeelsleden) en op het gebied GBVB/EVDB (3 personeelsleden). Het ging om werk in een dienst met twee ploegen (tarief 1) of een ononderbroken dienst van 24 uur/dag (tarief 4). </w:t>
      </w:r>
    </w:p>
    <w:p>
      <w:pPr>
        <w:shd w:val="clear" w:color="auto" w:fill="FFFFFF"/>
        <w:rPr>
          <w:rFonts w:cs="Arial"/>
          <w:noProof/>
        </w:rPr>
      </w:pPr>
      <w:r>
        <w:rPr>
          <w:b/>
          <w:i/>
          <w:noProof/>
        </w:rPr>
        <w:t xml:space="preserve">Europees Parlement: </w:t>
      </w:r>
      <w:r>
        <w:rPr>
          <w:noProof/>
        </w:rPr>
        <w:t xml:space="preserve">Met het oog op de beveiliging en bescherming van personen, infrastructuur, informatie en evenementen die tijdens feestdagen, weekends en 's avonds plaatsvinden, en om een permanente aanwezigheid van veiligheidsagenten in de gebouwen te garanderen zonder overuren te moeten uitbetalen, waardoor de begroting van het Europees Parlement zou worden verhoogd, werd besloten Verordening nr. 300/76 van de Raad van 9 februari 1976, laatstelijk gewijzigd bij Verordening nr. 1873/2006 van de Raad van 11 december 2006 toe te passen, en de overuren te vervangen door specifieke arbeidsuren. Derhalve komt het personeel dat werkzaam is op het gebied beveiliging en preventie in aanmerking voor de toeslag voor continudienst of ploegendienst. </w:t>
      </w:r>
    </w:p>
    <w:p>
      <w:pPr>
        <w:shd w:val="clear" w:color="auto" w:fill="FFFFFF"/>
        <w:spacing w:after="150" w:line="270" w:lineRule="atLeast"/>
        <w:rPr>
          <w:noProof/>
        </w:rPr>
      </w:pPr>
      <w:r>
        <w:rPr>
          <w:noProof/>
        </w:rPr>
        <w:t>In 2014 is het aantal toeslagen voor continu- of ploegendienst in het Europees Parlement meer dan verdubbeld ten opzichte van 2013, tot 344. Deze toeslag wordt momenteel gebruikt voor de werkgebieden beveiliging en telefooncentrale/ontvangstbalie. De forse stijging houdt verband met het werkgebied beveiligingsdiensten.</w:t>
      </w:r>
      <w:r>
        <w:rPr>
          <w:noProof/>
        </w:rPr>
        <w:tab/>
      </w:r>
    </w:p>
    <w:p>
      <w:pPr>
        <w:shd w:val="clear" w:color="auto" w:fill="FFFFFF"/>
        <w:spacing w:after="150" w:line="270" w:lineRule="atLeast"/>
        <w:rPr>
          <w:noProof/>
        </w:rPr>
      </w:pPr>
      <w:r>
        <w:rPr>
          <w:noProof/>
        </w:rPr>
        <w:t xml:space="preserve">Het ging om werk in een dienst met twee ploegen (tarief 1), ofwel een dienst met twee ploegen, nachtdienst, weekenddienst en dienst op feestdagen inbegrepen (tarief 2), een dienst van 24 uur/dag behalve op weekends en feestdagen (tarief 3), ofwel een ononderbroken dienst van 24 uur/dag (tarief 4). </w:t>
      </w:r>
    </w:p>
    <w:p>
      <w:pPr>
        <w:rPr>
          <w:noProof/>
        </w:rPr>
      </w:pPr>
      <w:r>
        <w:rPr>
          <w:b/>
          <w:i/>
          <w:noProof/>
        </w:rPr>
        <w:t>Rekenkamer:</w:t>
      </w:r>
      <w:r>
        <w:rPr>
          <w:noProof/>
        </w:rPr>
        <w:t xml:space="preserve"> Sinds 2011 beschikt de Rekenkamer over een continu- of ploegendienst voor de werkgebieden beveiliging en telefooncentrale/ontvangstbalie. Het ging om werk in een dienst met twee ploegen (tarief 1) of een ononderbroken dienst van 24 uur/dag (tarief 4). In 2014 werd in 11 gevallen een toeslag betaald.</w:t>
      </w:r>
    </w:p>
    <w:p>
      <w:pPr>
        <w:rPr>
          <w:noProof/>
        </w:rPr>
      </w:pPr>
      <w:r>
        <w:rPr>
          <w:b/>
          <w:noProof/>
        </w:rPr>
        <w:t>EDEO</w:t>
      </w:r>
      <w:r>
        <w:rPr>
          <w:noProof/>
        </w:rPr>
        <w:t>: In 2014 betaalde de EDEO 36 toeslagen voor de werkgebieden ICT, beveiliging en GBVB/EVDB .</w:t>
      </w:r>
    </w:p>
    <w:p>
      <w:pPr>
        <w:pStyle w:val="ManualHeading1"/>
        <w:rPr>
          <w:bCs/>
          <w:noProof/>
        </w:rPr>
      </w:pPr>
      <w:r>
        <w:t>6.</w:t>
      </w:r>
      <w:r>
        <w:tab/>
      </w:r>
      <w:r>
        <w:rPr>
          <w:noProof/>
        </w:rPr>
        <w:t>Begrotingsuitgaven per instelling en per toeslag (in euro)</w:t>
      </w:r>
    </w:p>
    <w:tbl>
      <w:tblPr>
        <w:tblW w:w="9615" w:type="dxa"/>
        <w:tblInd w:w="93" w:type="dxa"/>
        <w:tblLook w:val="0000" w:firstRow="0" w:lastRow="0" w:firstColumn="0" w:lastColumn="0" w:noHBand="0" w:noVBand="0"/>
      </w:tblPr>
      <w:tblGrid>
        <w:gridCol w:w="2229"/>
        <w:gridCol w:w="1868"/>
        <w:gridCol w:w="1776"/>
        <w:gridCol w:w="2004"/>
        <w:gridCol w:w="1738"/>
      </w:tblGrid>
      <w:tr>
        <w:trPr>
          <w:trHeight w:val="645"/>
        </w:trPr>
        <w:tc>
          <w:tcPr>
            <w:tcW w:w="2055" w:type="dxa"/>
            <w:tcBorders>
              <w:top w:val="single" w:sz="8" w:space="0" w:color="auto"/>
              <w:left w:val="single" w:sz="8" w:space="0" w:color="auto"/>
              <w:bottom w:val="nil"/>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Instelling</w:t>
            </w:r>
          </w:p>
        </w:tc>
        <w:tc>
          <w:tcPr>
            <w:tcW w:w="1920" w:type="dxa"/>
            <w:tcBorders>
              <w:top w:val="single" w:sz="8" w:space="0" w:color="auto"/>
              <w:left w:val="nil"/>
              <w:bottom w:val="single" w:sz="8"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Continu- of ploegendienst</w:t>
            </w:r>
          </w:p>
        </w:tc>
        <w:tc>
          <w:tcPr>
            <w:tcW w:w="1800" w:type="dxa"/>
            <w:tcBorders>
              <w:top w:val="single" w:sz="8" w:space="0" w:color="auto"/>
              <w:left w:val="nil"/>
              <w:bottom w:val="single" w:sz="8"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Wachtdiensten</w:t>
            </w:r>
          </w:p>
        </w:tc>
        <w:tc>
          <w:tcPr>
            <w:tcW w:w="2040" w:type="dxa"/>
            <w:tcBorders>
              <w:top w:val="single" w:sz="8" w:space="0" w:color="auto"/>
              <w:left w:val="nil"/>
              <w:bottom w:val="single" w:sz="8"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Werkzaamheden met een bezwaarlijk karakter</w:t>
            </w:r>
          </w:p>
        </w:tc>
        <w:tc>
          <w:tcPr>
            <w:tcW w:w="1800" w:type="dxa"/>
            <w:tcBorders>
              <w:top w:val="single" w:sz="8" w:space="0" w:color="auto"/>
              <w:left w:val="nil"/>
              <w:bottom w:val="single" w:sz="8" w:space="0" w:color="auto"/>
              <w:right w:val="single" w:sz="8" w:space="0" w:color="auto"/>
            </w:tcBorders>
            <w:shd w:val="clear" w:color="auto" w:fill="auto"/>
            <w:vAlign w:val="center"/>
          </w:tcPr>
          <w:p>
            <w:pPr>
              <w:spacing w:before="0" w:after="0"/>
              <w:jc w:val="center"/>
              <w:rPr>
                <w:rFonts w:ascii="Arial" w:hAnsi="Arial" w:cs="Arial"/>
                <w:b/>
                <w:bCs/>
                <w:noProof/>
                <w:sz w:val="20"/>
                <w:szCs w:val="20"/>
              </w:rPr>
            </w:pPr>
            <w:r>
              <w:rPr>
                <w:rFonts w:ascii="Arial" w:hAnsi="Arial"/>
                <w:b/>
                <w:noProof/>
                <w:sz w:val="20"/>
              </w:rPr>
              <w:t>Totaal</w:t>
            </w:r>
          </w:p>
        </w:tc>
      </w:tr>
      <w:tr>
        <w:trPr>
          <w:trHeight w:val="330"/>
        </w:trPr>
        <w:tc>
          <w:tcPr>
            <w:tcW w:w="2055" w:type="dxa"/>
            <w:tcBorders>
              <w:top w:val="single" w:sz="8" w:space="0" w:color="auto"/>
              <w:left w:val="single" w:sz="8" w:space="0" w:color="auto"/>
              <w:bottom w:val="single" w:sz="4" w:space="0" w:color="auto"/>
              <w:right w:val="single" w:sz="8" w:space="0" w:color="auto"/>
            </w:tcBorders>
            <w:shd w:val="clear" w:color="auto" w:fill="FFFFFF"/>
            <w:vAlign w:val="center"/>
          </w:tcPr>
          <w:p>
            <w:pPr>
              <w:spacing w:before="0" w:after="0"/>
              <w:jc w:val="left"/>
              <w:rPr>
                <w:rFonts w:ascii="Arial" w:hAnsi="Arial" w:cs="Arial"/>
                <w:noProof/>
                <w:sz w:val="20"/>
                <w:szCs w:val="20"/>
              </w:rPr>
            </w:pPr>
            <w:r>
              <w:rPr>
                <w:rFonts w:ascii="Arial" w:hAnsi="Arial"/>
                <w:noProof/>
                <w:sz w:val="20"/>
              </w:rPr>
              <w:t>Commissie</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813.756,85</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1.399.835,26</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588.256,91</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2.801.849,02</w:t>
            </w:r>
          </w:p>
        </w:tc>
      </w:tr>
      <w:tr>
        <w:trPr>
          <w:trHeight w:val="330"/>
        </w:trPr>
        <w:tc>
          <w:tcPr>
            <w:tcW w:w="2055" w:type="dxa"/>
            <w:tcBorders>
              <w:top w:val="nil"/>
              <w:left w:val="single" w:sz="8" w:space="0" w:color="auto"/>
              <w:bottom w:val="single" w:sz="8" w:space="0" w:color="auto"/>
              <w:right w:val="single" w:sz="8"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 waarvan JRC:</w:t>
            </w:r>
          </w:p>
        </w:tc>
        <w:tc>
          <w:tcPr>
            <w:tcW w:w="1920" w:type="dxa"/>
            <w:tcBorders>
              <w:top w:val="nil"/>
              <w:left w:val="nil"/>
              <w:bottom w:val="single" w:sz="8" w:space="0" w:color="auto"/>
              <w:right w:val="single" w:sz="8"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258.328,90</w:t>
            </w:r>
          </w:p>
        </w:tc>
        <w:tc>
          <w:tcPr>
            <w:tcW w:w="1800" w:type="dxa"/>
            <w:tcBorders>
              <w:top w:val="nil"/>
              <w:left w:val="nil"/>
              <w:bottom w:val="single" w:sz="8" w:space="0" w:color="auto"/>
              <w:right w:val="single" w:sz="8"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644.199,79</w:t>
            </w:r>
          </w:p>
        </w:tc>
        <w:tc>
          <w:tcPr>
            <w:tcW w:w="2040" w:type="dxa"/>
            <w:tcBorders>
              <w:top w:val="nil"/>
              <w:left w:val="nil"/>
              <w:bottom w:val="single" w:sz="8" w:space="0" w:color="auto"/>
              <w:right w:val="single" w:sz="8" w:space="0" w:color="auto"/>
            </w:tcBorders>
            <w:shd w:val="clear" w:color="auto" w:fill="FFFFFF"/>
            <w:vAlign w:val="center"/>
          </w:tcPr>
          <w:p>
            <w:pPr>
              <w:spacing w:before="0" w:after="0"/>
              <w:jc w:val="left"/>
              <w:rPr>
                <w:rFonts w:ascii="Arial" w:hAnsi="Arial" w:cs="Arial"/>
                <w:i/>
                <w:iCs/>
                <w:noProof/>
                <w:color w:val="808080"/>
                <w:sz w:val="20"/>
                <w:szCs w:val="20"/>
              </w:rPr>
            </w:pPr>
            <w:r>
              <w:rPr>
                <w:rFonts w:ascii="Arial" w:hAnsi="Arial"/>
                <w:i/>
                <w:noProof/>
                <w:color w:val="808080"/>
                <w:sz w:val="20"/>
              </w:rPr>
              <w:t>563.607,34</w:t>
            </w:r>
          </w:p>
        </w:tc>
        <w:tc>
          <w:tcPr>
            <w:tcW w:w="1800" w:type="dxa"/>
            <w:tcBorders>
              <w:top w:val="nil"/>
              <w:left w:val="nil"/>
              <w:bottom w:val="single" w:sz="8" w:space="0" w:color="auto"/>
              <w:right w:val="single" w:sz="8" w:space="0" w:color="auto"/>
            </w:tcBorders>
            <w:shd w:val="clear" w:color="auto" w:fill="FFFFFF"/>
            <w:vAlign w:val="center"/>
          </w:tcPr>
          <w:p>
            <w:pPr>
              <w:spacing w:before="0" w:after="0"/>
              <w:jc w:val="left"/>
              <w:rPr>
                <w:rFonts w:ascii="Arial" w:hAnsi="Arial" w:cs="Arial"/>
                <w:b/>
                <w:i/>
                <w:iCs/>
                <w:noProof/>
                <w:color w:val="808080"/>
                <w:sz w:val="20"/>
                <w:szCs w:val="20"/>
              </w:rPr>
            </w:pPr>
            <w:r>
              <w:rPr>
                <w:rFonts w:ascii="Arial" w:hAnsi="Arial"/>
                <w:b/>
                <w:i/>
                <w:noProof/>
                <w:color w:val="808080"/>
                <w:sz w:val="20"/>
              </w:rPr>
              <w:t>1.466.136,03</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Raad</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413.194,56</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187.498,74</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600.693,30</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Parlement</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1.795.946,01</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1.795.946,01</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Hof van Justitie</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r>
              <w:rPr>
                <w:rStyle w:val="FootnoteReference"/>
                <w:rFonts w:ascii="Arial" w:hAnsi="Arial"/>
                <w:noProof/>
                <w:sz w:val="20"/>
              </w:rPr>
              <w:footnoteReference w:id="3"/>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0</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Rekenkamer</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103.964,78</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15.354,90</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119.319,68</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EESC</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0</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Comité van de Regio’s</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0</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Europese toezichthouder voor gegevensbescherming</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0</w:t>
            </w:r>
          </w:p>
        </w:tc>
      </w:tr>
      <w:tr>
        <w:trPr>
          <w:trHeight w:val="330"/>
        </w:trPr>
        <w:tc>
          <w:tcPr>
            <w:tcW w:w="2055" w:type="dxa"/>
            <w:tcBorders>
              <w:top w:val="nil"/>
              <w:left w:val="single" w:sz="8" w:space="0" w:color="auto"/>
              <w:bottom w:val="single" w:sz="8"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Ombudsman</w:t>
            </w:r>
          </w:p>
        </w:tc>
        <w:tc>
          <w:tcPr>
            <w:tcW w:w="192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204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8"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0</w:t>
            </w:r>
          </w:p>
        </w:tc>
      </w:tr>
      <w:tr>
        <w:trPr>
          <w:trHeight w:val="330"/>
        </w:trPr>
        <w:tc>
          <w:tcPr>
            <w:tcW w:w="2055" w:type="dxa"/>
            <w:tcBorders>
              <w:top w:val="nil"/>
              <w:left w:val="single" w:sz="8" w:space="0" w:color="auto"/>
              <w:bottom w:val="single" w:sz="2" w:space="0" w:color="auto"/>
              <w:right w:val="single" w:sz="8" w:space="0" w:color="auto"/>
            </w:tcBorders>
            <w:shd w:val="clear" w:color="auto" w:fill="auto"/>
            <w:vAlign w:val="center"/>
          </w:tcPr>
          <w:p>
            <w:pPr>
              <w:spacing w:before="0" w:after="0"/>
              <w:jc w:val="left"/>
              <w:rPr>
                <w:rFonts w:ascii="Arial" w:hAnsi="Arial" w:cs="Arial"/>
                <w:noProof/>
                <w:sz w:val="20"/>
                <w:szCs w:val="20"/>
              </w:rPr>
            </w:pPr>
            <w:r>
              <w:rPr>
                <w:rFonts w:ascii="Arial" w:hAnsi="Arial"/>
                <w:noProof/>
                <w:sz w:val="20"/>
              </w:rPr>
              <w:t>EDEO</w:t>
            </w:r>
          </w:p>
        </w:tc>
        <w:tc>
          <w:tcPr>
            <w:tcW w:w="1920" w:type="dxa"/>
            <w:tcBorders>
              <w:top w:val="nil"/>
              <w:left w:val="nil"/>
              <w:bottom w:val="single" w:sz="2"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215.023,23</w:t>
            </w:r>
          </w:p>
        </w:tc>
        <w:tc>
          <w:tcPr>
            <w:tcW w:w="1800" w:type="dxa"/>
            <w:tcBorders>
              <w:top w:val="nil"/>
              <w:left w:val="nil"/>
              <w:bottom w:val="single" w:sz="2"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62.138,41</w:t>
            </w:r>
          </w:p>
        </w:tc>
        <w:tc>
          <w:tcPr>
            <w:tcW w:w="2040" w:type="dxa"/>
            <w:tcBorders>
              <w:top w:val="nil"/>
              <w:left w:val="nil"/>
              <w:bottom w:val="single" w:sz="2" w:space="0" w:color="auto"/>
              <w:right w:val="single" w:sz="8" w:space="0" w:color="auto"/>
            </w:tcBorders>
            <w:shd w:val="clear" w:color="auto" w:fill="auto"/>
            <w:vAlign w:val="center"/>
          </w:tcPr>
          <w:p>
            <w:pPr>
              <w:spacing w:before="0" w:after="0"/>
              <w:jc w:val="right"/>
              <w:rPr>
                <w:rFonts w:ascii="Arial" w:hAnsi="Arial" w:cs="Arial"/>
                <w:noProof/>
                <w:sz w:val="20"/>
                <w:szCs w:val="20"/>
              </w:rPr>
            </w:pPr>
            <w:r>
              <w:rPr>
                <w:rFonts w:ascii="Arial" w:hAnsi="Arial"/>
                <w:noProof/>
                <w:sz w:val="20"/>
              </w:rPr>
              <w:t>0</w:t>
            </w:r>
          </w:p>
        </w:tc>
        <w:tc>
          <w:tcPr>
            <w:tcW w:w="1800" w:type="dxa"/>
            <w:tcBorders>
              <w:top w:val="nil"/>
              <w:left w:val="nil"/>
              <w:bottom w:val="single" w:sz="2" w:space="0" w:color="auto"/>
              <w:right w:val="single" w:sz="8" w:space="0" w:color="auto"/>
            </w:tcBorders>
            <w:shd w:val="clear" w:color="auto" w:fill="auto"/>
            <w:vAlign w:val="center"/>
          </w:tcPr>
          <w:p>
            <w:pPr>
              <w:spacing w:before="0" w:after="0"/>
              <w:jc w:val="right"/>
              <w:rPr>
                <w:rFonts w:ascii="Arial" w:hAnsi="Arial" w:cs="Arial"/>
                <w:b/>
                <w:noProof/>
                <w:sz w:val="20"/>
                <w:szCs w:val="20"/>
              </w:rPr>
            </w:pPr>
            <w:r>
              <w:rPr>
                <w:rFonts w:ascii="Arial" w:hAnsi="Arial"/>
                <w:b/>
                <w:noProof/>
                <w:sz w:val="20"/>
              </w:rPr>
              <w:t>277.161,64</w:t>
            </w:r>
          </w:p>
        </w:tc>
      </w:tr>
      <w:tr>
        <w:trPr>
          <w:trHeight w:val="492"/>
        </w:trPr>
        <w:tc>
          <w:tcPr>
            <w:tcW w:w="2055"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Totaal</w:t>
            </w:r>
          </w:p>
        </w:tc>
        <w:tc>
          <w:tcPr>
            <w:tcW w:w="192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3.341.885,43</w:t>
            </w:r>
          </w:p>
        </w:tc>
        <w:tc>
          <w:tcPr>
            <w:tcW w:w="180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1.664.827,31</w:t>
            </w:r>
          </w:p>
        </w:tc>
        <w:tc>
          <w:tcPr>
            <w:tcW w:w="204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588.256,91</w:t>
            </w:r>
          </w:p>
        </w:tc>
        <w:tc>
          <w:tcPr>
            <w:tcW w:w="1800" w:type="dxa"/>
            <w:tcBorders>
              <w:top w:val="single" w:sz="2" w:space="0" w:color="auto"/>
              <w:left w:val="single" w:sz="2" w:space="0" w:color="auto"/>
              <w:bottom w:val="single" w:sz="2" w:space="0" w:color="auto"/>
              <w:right w:val="single" w:sz="2" w:space="0" w:color="auto"/>
            </w:tcBorders>
            <w:shd w:val="clear" w:color="auto" w:fill="auto"/>
            <w:vAlign w:val="center"/>
          </w:tcPr>
          <w:p>
            <w:pPr>
              <w:spacing w:before="0" w:after="0"/>
              <w:jc w:val="right"/>
              <w:rPr>
                <w:rFonts w:ascii="Arial" w:hAnsi="Arial" w:cs="Arial"/>
                <w:b/>
                <w:bCs/>
                <w:noProof/>
                <w:sz w:val="20"/>
                <w:szCs w:val="20"/>
              </w:rPr>
            </w:pPr>
            <w:r>
              <w:rPr>
                <w:rFonts w:ascii="Arial" w:hAnsi="Arial"/>
                <w:b/>
                <w:noProof/>
                <w:sz w:val="20"/>
              </w:rPr>
              <w:t>5.594.969,65</w:t>
            </w:r>
          </w:p>
        </w:tc>
      </w:tr>
    </w:tbl>
    <w:p>
      <w:pPr>
        <w:rPr>
          <w:noProof/>
        </w:rPr>
      </w:pPr>
    </w:p>
    <w:p>
      <w:pPr>
        <w:rPr>
          <w:noProof/>
        </w:rPr>
      </w:pPr>
      <w:r>
        <w:rPr>
          <w:noProof/>
        </w:rPr>
        <w:t>In 2014 bedroegen de totale uitgaven voor alle drie de toeslagen in alle Europese instellingen samen 5 594 969,65 euro.</w:t>
      </w:r>
      <w:bookmarkStart w:id="2" w:name="_CopyToNewDocument_"/>
      <w:bookmarkEnd w:id="2"/>
      <w:r>
        <w:rPr>
          <w:noProof/>
        </w:rPr>
        <w:t xml:space="preserve"> </w:t>
      </w:r>
    </w:p>
    <w:sectPr>
      <w:headerReference w:type="even" r:id="rId16"/>
      <w:headerReference w:type="default" r:id="rId17"/>
      <w:footerReference w:type="even" r:id="rId18"/>
      <w:footerReference w:type="default" r:id="rId19"/>
      <w:headerReference w:type="first" r:id="rId20"/>
      <w:footerReference w:type="first" r:id="rId21"/>
      <w:pgSz w:w="11907" w:h="16839"/>
      <w:pgMar w:top="1134" w:right="1417" w:bottom="1134" w:left="1417"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ListParagraph"/>
        <w:ind w:left="0"/>
        <w:rPr>
          <w:sz w:val="20"/>
          <w:szCs w:val="20"/>
        </w:rPr>
      </w:pPr>
      <w:r>
        <w:rPr>
          <w:rStyle w:val="FootnoteReference"/>
          <w:sz w:val="20"/>
        </w:rPr>
        <w:footnoteRef/>
      </w:r>
      <w:r>
        <w:rPr>
          <w:sz w:val="20"/>
        </w:rPr>
        <w:t xml:space="preserve"> Twee medewerkers van de beveiligingsdienst van OLAF delen de wachtdienst met elkaar, om een beveiligingsdienst van 24 uur/dag en 7 dagen per week te garanderen (= 0,5 SC-AST + 0,5 FG I).</w:t>
      </w:r>
    </w:p>
    <w:p>
      <w:pPr>
        <w:pStyle w:val="FootnoteText"/>
      </w:pPr>
    </w:p>
  </w:footnote>
  <w:footnote w:id="2">
    <w:p>
      <w:pPr>
        <w:pStyle w:val="ListParagraph"/>
        <w:ind w:left="0"/>
        <w:rPr>
          <w:sz w:val="20"/>
          <w:szCs w:val="20"/>
        </w:rPr>
      </w:pPr>
      <w:r>
        <w:rPr>
          <w:rStyle w:val="FootnoteReference"/>
          <w:sz w:val="20"/>
        </w:rPr>
        <w:footnoteRef/>
      </w:r>
      <w:r>
        <w:rPr>
          <w:sz w:val="20"/>
        </w:rPr>
        <w:t xml:space="preserve"> DG BUDG heeft aangegeven dat de continudienst tot 1 juli 2014 door twee ambtenaren en na 1 juli 2014 door één ambtenaar werd verricht (= 1,5 SC-AST voor het volledige jaar 2014). </w:t>
      </w:r>
    </w:p>
    <w:p>
      <w:pPr>
        <w:pStyle w:val="FootnoteText"/>
      </w:pPr>
    </w:p>
  </w:footnote>
  <w:footnote w:id="3">
    <w:p>
      <w:pPr>
        <w:rPr>
          <w:rFonts w:ascii="Calibri" w:hAnsi="Calibri" w:cs="Calibri"/>
          <w:noProof/>
          <w:sz w:val="20"/>
          <w:szCs w:val="20"/>
        </w:rPr>
      </w:pPr>
      <w:r>
        <w:rPr>
          <w:rStyle w:val="FootnoteReference"/>
          <w:rFonts w:ascii="Calibri" w:hAnsi="Calibri"/>
          <w:sz w:val="20"/>
        </w:rPr>
        <w:footnoteRef/>
      </w:r>
      <w:r>
        <w:rPr>
          <w:rFonts w:ascii="Calibri" w:hAnsi="Calibri"/>
          <w:sz w:val="20"/>
        </w:rPr>
        <w:t xml:space="preserve"> Aangezien de wachtdienst bij het Hof van Justitie pas in november 2014 werd opgericht, werden voor 2014 geen begrotingsuitgaven opgenomen.</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1664A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130D81A"/>
    <w:lvl w:ilvl="0">
      <w:start w:val="1"/>
      <w:numFmt w:val="decimal"/>
      <w:pStyle w:val="ListNumber3"/>
      <w:lvlText w:val="%1."/>
      <w:lvlJc w:val="left"/>
      <w:pPr>
        <w:tabs>
          <w:tab w:val="num" w:pos="926"/>
        </w:tabs>
        <w:ind w:left="926" w:hanging="360"/>
      </w:pPr>
    </w:lvl>
  </w:abstractNum>
  <w:abstractNum w:abstractNumId="2">
    <w:nsid w:val="FFFFFF7F"/>
    <w:multiLevelType w:val="singleLevel"/>
    <w:tmpl w:val="BD807A88"/>
    <w:lvl w:ilvl="0">
      <w:start w:val="1"/>
      <w:numFmt w:val="decimal"/>
      <w:pStyle w:val="ListNumber2"/>
      <w:lvlText w:val="%1."/>
      <w:lvlJc w:val="left"/>
      <w:pPr>
        <w:tabs>
          <w:tab w:val="num" w:pos="643"/>
        </w:tabs>
        <w:ind w:left="643" w:hanging="360"/>
      </w:pPr>
    </w:lvl>
  </w:abstractNum>
  <w:abstractNum w:abstractNumId="3">
    <w:nsid w:val="FFFFFF81"/>
    <w:multiLevelType w:val="singleLevel"/>
    <w:tmpl w:val="57FCEA9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DCA37A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982E70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F04D12E"/>
    <w:lvl w:ilvl="0">
      <w:start w:val="1"/>
      <w:numFmt w:val="decimal"/>
      <w:pStyle w:val="ListNumber"/>
      <w:lvlText w:val="%1."/>
      <w:lvlJc w:val="left"/>
      <w:pPr>
        <w:tabs>
          <w:tab w:val="num" w:pos="360"/>
        </w:tabs>
        <w:ind w:left="360" w:hanging="360"/>
      </w:pPr>
    </w:lvl>
  </w:abstractNum>
  <w:abstractNum w:abstractNumId="7">
    <w:nsid w:val="FFFFFF89"/>
    <w:multiLevelType w:val="singleLevel"/>
    <w:tmpl w:val="C10EA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38D241E"/>
    <w:multiLevelType w:val="hybridMultilevel"/>
    <w:tmpl w:val="074EA930"/>
    <w:lvl w:ilvl="0" w:tplc="0809000B">
      <w:start w:val="1"/>
      <w:numFmt w:val="bullet"/>
      <w:lvlText w:val=""/>
      <w:lvlJc w:val="left"/>
      <w:pPr>
        <w:ind w:left="840" w:hanging="360"/>
      </w:pPr>
      <w:rPr>
        <w:rFonts w:ascii="Wingdings" w:hAnsi="Wingdings"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1">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13">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14">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5">
    <w:nsid w:val="42713452"/>
    <w:multiLevelType w:val="singleLevel"/>
    <w:tmpl w:val="3B8CC7EA"/>
    <w:lvl w:ilvl="0">
      <w:start w:val="1"/>
      <w:numFmt w:val="bullet"/>
      <w:lvlRestart w:val="0"/>
      <w:lvlText w:val="–"/>
      <w:lvlJc w:val="left"/>
      <w:pPr>
        <w:tabs>
          <w:tab w:val="num" w:pos="1417"/>
        </w:tabs>
        <w:ind w:left="1417" w:hanging="567"/>
      </w:pPr>
    </w:lvl>
  </w:abstractNum>
  <w:abstractNum w:abstractNumId="16">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19">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22">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24">
    <w:nsid w:val="6CFA7791"/>
    <w:multiLevelType w:val="hybridMultilevel"/>
    <w:tmpl w:val="159690E8"/>
    <w:lvl w:ilvl="0" w:tplc="2544F14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7"/>
  </w:num>
  <w:num w:numId="2">
    <w:abstractNumId w:val="11"/>
  </w:num>
  <w:num w:numId="3">
    <w:abstractNumId w:val="20"/>
  </w:num>
  <w:num w:numId="4">
    <w:abstractNumId w:val="19"/>
  </w:num>
  <w:num w:numId="5">
    <w:abstractNumId w:val="16"/>
  </w:num>
  <w:num w:numId="6">
    <w:abstractNumId w:val="23"/>
  </w:num>
  <w:num w:numId="7">
    <w:abstractNumId w:val="26"/>
  </w:num>
  <w:num w:numId="8">
    <w:abstractNumId w:val="25"/>
  </w:num>
  <w:num w:numId="9">
    <w:abstractNumId w:val="27"/>
  </w:num>
  <w:num w:numId="10">
    <w:abstractNumId w:val="13"/>
  </w:num>
  <w:num w:numId="11">
    <w:abstractNumId w:val="12"/>
  </w:num>
  <w:num w:numId="12">
    <w:abstractNumId w:val="21"/>
  </w:num>
  <w:num w:numId="13">
    <w:abstractNumId w:val="14"/>
  </w:num>
  <w:num w:numId="14">
    <w:abstractNumId w:val="18"/>
  </w:num>
  <w:num w:numId="15">
    <w:abstractNumId w:val="6"/>
  </w:num>
  <w:num w:numId="16">
    <w:abstractNumId w:val="2"/>
  </w:num>
  <w:num w:numId="17">
    <w:abstractNumId w:val="1"/>
  </w:num>
  <w:num w:numId="18">
    <w:abstractNumId w:val="0"/>
  </w:num>
  <w:num w:numId="19">
    <w:abstractNumId w:val="7"/>
  </w:num>
  <w:num w:numId="20">
    <w:abstractNumId w:val="5"/>
  </w:num>
  <w:num w:numId="21">
    <w:abstractNumId w:val="4"/>
  </w:num>
  <w:num w:numId="22">
    <w:abstractNumId w:val="3"/>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num>
  <w:num w:numId="25">
    <w:abstractNumId w:val="15"/>
  </w:num>
  <w:num w:numId="26">
    <w:abstractNumId w:val="22"/>
  </w:num>
  <w:num w:numId="27">
    <w:abstractNumId w:val="24"/>
  </w:num>
  <w:num w:numId="28">
    <w:abstractNumId w:val="24"/>
  </w:num>
  <w:num w:numId="29">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characterSpacingControl w:val="doNotCompres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EBD204BA1F484E868DD0B81E5A000259"/>
    <w:docVar w:name="LW_CROSSREFERENCE" w:val="&lt;UNUSED&gt;"/>
    <w:docVar w:name="LW_DocType" w:val="NORMAL"/>
    <w:docVar w:name="LW_EMISSION" w:val="6.1.2017"/>
    <w:docVar w:name="LW_EMISSION_ISODATE" w:val="2017-01-06"/>
    <w:docVar w:name="LW_EMISSION_LOCATION" w:val="BRX"/>
    <w:docVar w:name="LW_EMISSION_PREFIX" w:val="Brussel, "/>
    <w:docVar w:name="LW_EMISSION_SUFFIX" w:val=" "/>
    <w:docVar w:name="LW_ID_DOCTYPE_NONLW" w:val="CP-005"/>
    <w:docVar w:name="LW_LANGUE" w:val="NL"/>
    <w:docVar w:name="LW_MARKING" w:val="&lt;UNUSED&g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16) 832"/>
    <w:docVar w:name="LW_REF.INTERNE" w:val="&lt;UNUSED&gt;"/>
    <w:docVar w:name="LW_SOUS.TITRE.OBJ.CP" w:val="&lt;UNUSED&gt;"/>
    <w:docVar w:name="LW_SUPERTITRE" w:val="&lt;UNUSED&gt;"/>
    <w:docVar w:name="LW_TITRE.OBJ.CP" w:val="over het gebruik dat in 2014 door de instellingen is gemaakt van de Verordeningen van de Raad nr. 495/77, laatstelijk gewijzigd bij Verordening nr. 1945/2006 (over wachtdiensten), nr. 858/2004 (over werkzaamheden met een bezwaarlijk karakter) en nr. 300/76, laatstelijk gewijzigd bij Verordening nr. 1873/2006 (over continu- of ploegendienst)"/>
    <w:docVar w:name="LW_TYPE.DOC.CP" w:val="VERSLAG VAN DE COMMISSIE AAN DE RAAD EN HET EUROPEES PARLEMEN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rPr>
      <w:shd w:val="clear" w:color="auto" w:fill="auto"/>
      <w:vertAlign w:val="superscript"/>
    </w:rPr>
  </w:style>
  <w:style w:type="paragraph" w:styleId="FootnoteText">
    <w:name w:val="footnote text"/>
    <w:basedOn w:val="Normal"/>
    <w:link w:val="FootnoteTextChar"/>
    <w:uiPriority w:val="99"/>
    <w:semiHidden/>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semiHidden/>
    <w:pPr>
      <w:tabs>
        <w:tab w:val="right" w:leader="dot" w:pos="9071"/>
      </w:tabs>
      <w:spacing w:before="60"/>
      <w:ind w:left="850" w:hanging="850"/>
      <w:jc w:val="left"/>
    </w:pPr>
  </w:style>
  <w:style w:type="paragraph" w:styleId="TOC2">
    <w:name w:val="toc 2"/>
    <w:basedOn w:val="Normal"/>
    <w:next w:val="Normal"/>
    <w:uiPriority w:val="39"/>
    <w:semiHidden/>
    <w:pPr>
      <w:tabs>
        <w:tab w:val="right" w:leader="dot" w:pos="9071"/>
      </w:tabs>
      <w:spacing w:before="60"/>
      <w:ind w:left="850" w:hanging="850"/>
      <w:jc w:val="left"/>
    </w:pPr>
  </w:style>
  <w:style w:type="paragraph" w:styleId="TOC3">
    <w:name w:val="toc 3"/>
    <w:basedOn w:val="Normal"/>
    <w:next w:val="Normal"/>
    <w:uiPriority w:val="39"/>
    <w:semiHidden/>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link w:val="TypedudocumentChar"/>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styleId="Caption">
    <w:name w:val="caption"/>
    <w:basedOn w:val="Normal"/>
    <w:next w:val="Normal"/>
    <w:qFormat/>
    <w:rPr>
      <w:b/>
      <w:bCs/>
      <w:sz w:val="20"/>
      <w:szCs w:val="20"/>
    </w:rPr>
  </w:style>
  <w:style w:type="paragraph" w:styleId="TableofFigures">
    <w:name w:val="table of figures"/>
    <w:basedOn w:val="Normal"/>
    <w:next w:val="Normal"/>
    <w:rPr>
      <w:szCs w:val="22"/>
    </w:rPr>
  </w:style>
  <w:style w:type="character" w:styleId="CommentReference">
    <w:name w:val="annotation reference"/>
    <w:rPr>
      <w:sz w:val="16"/>
      <w:szCs w:val="16"/>
      <w:shd w:val="clear" w:color="auto" w:fill="auto"/>
    </w:rPr>
  </w:style>
  <w:style w:type="paragraph" w:styleId="ListNumber">
    <w:name w:val="List Number"/>
    <w:basedOn w:val="Normal"/>
    <w:pPr>
      <w:numPr>
        <w:numId w:val="15"/>
      </w:numPr>
    </w:pPr>
    <w:rPr>
      <w:szCs w:val="22"/>
    </w:rPr>
  </w:style>
  <w:style w:type="paragraph" w:styleId="ListNumber2">
    <w:name w:val="List Number 2"/>
    <w:basedOn w:val="Normal"/>
    <w:pPr>
      <w:numPr>
        <w:numId w:val="16"/>
      </w:numPr>
    </w:pPr>
    <w:rPr>
      <w:szCs w:val="22"/>
    </w:rPr>
  </w:style>
  <w:style w:type="paragraph" w:styleId="ListNumber3">
    <w:name w:val="List Number 3"/>
    <w:basedOn w:val="Normal"/>
    <w:pPr>
      <w:numPr>
        <w:numId w:val="17"/>
      </w:numPr>
    </w:pPr>
    <w:rPr>
      <w:szCs w:val="22"/>
    </w:rPr>
  </w:style>
  <w:style w:type="paragraph" w:styleId="ListNumber4">
    <w:name w:val="List Number 4"/>
    <w:basedOn w:val="Normal"/>
    <w:pPr>
      <w:numPr>
        <w:numId w:val="18"/>
      </w:numPr>
    </w:pPr>
    <w:rPr>
      <w:szCs w:val="22"/>
    </w:rPr>
  </w:style>
  <w:style w:type="paragraph" w:styleId="ListBullet">
    <w:name w:val="List Bullet"/>
    <w:basedOn w:val="Normal"/>
    <w:pPr>
      <w:numPr>
        <w:numId w:val="19"/>
      </w:numPr>
    </w:pPr>
    <w:rPr>
      <w:szCs w:val="22"/>
    </w:rPr>
  </w:style>
  <w:style w:type="paragraph" w:styleId="ListBullet2">
    <w:name w:val="List Bullet 2"/>
    <w:basedOn w:val="Normal"/>
    <w:pPr>
      <w:numPr>
        <w:numId w:val="20"/>
      </w:numPr>
    </w:pPr>
    <w:rPr>
      <w:szCs w:val="22"/>
    </w:rPr>
  </w:style>
  <w:style w:type="paragraph" w:styleId="ListBullet3">
    <w:name w:val="List Bullet 3"/>
    <w:basedOn w:val="Normal"/>
    <w:pPr>
      <w:numPr>
        <w:numId w:val="21"/>
      </w:numPr>
    </w:pPr>
    <w:rPr>
      <w:szCs w:val="22"/>
    </w:rPr>
  </w:style>
  <w:style w:type="paragraph" w:styleId="ListBullet4">
    <w:name w:val="List Bullet 4"/>
    <w:basedOn w:val="Normal"/>
    <w:pPr>
      <w:numPr>
        <w:numId w:val="22"/>
      </w:numPr>
    </w:pPr>
    <w:rPr>
      <w:szCs w:val="22"/>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shd w:val="clear" w:color="auto" w:fill="auto"/>
      <w:lang w:val="nl-NL"/>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shd w:val="clear" w:color="auto" w:fill="auto"/>
      <w:lang w:val="nl-NL"/>
    </w:rPr>
  </w:style>
  <w:style w:type="character" w:styleId="Hyperlink">
    <w:name w:val="Hyperlink"/>
    <w:rPr>
      <w:color w:val="0000FF"/>
      <w:u w:val="single"/>
      <w:shd w:val="clear" w:color="auto" w:fill="auto"/>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shd w:val="clear" w:color="auto" w:fill="auto"/>
      <w:lang w:val="nl-NL"/>
    </w:rPr>
  </w:style>
  <w:style w:type="character" w:styleId="FollowedHyperlink">
    <w:name w:val="FollowedHyperlink"/>
    <w:rPr>
      <w:color w:val="800080"/>
      <w:u w:val="single"/>
      <w:shd w:val="clear" w:color="auto" w:fill="auto"/>
    </w:rPr>
  </w:style>
  <w:style w:type="character" w:styleId="PageNumber">
    <w:name w:val="page number"/>
    <w:rPr>
      <w:shd w:val="clear" w:color="auto" w:fill="auto"/>
    </w:rPr>
  </w:style>
  <w:style w:type="paragraph" w:styleId="Revision">
    <w:name w:val="Revision"/>
    <w:hidden/>
    <w:uiPriority w:val="99"/>
    <w:semiHidden/>
    <w:pPr>
      <w:spacing w:after="200" w:line="276" w:lineRule="auto"/>
    </w:pPr>
    <w:rPr>
      <w:sz w:val="24"/>
      <w:szCs w:val="24"/>
    </w:rPr>
  </w:style>
  <w:style w:type="character" w:customStyle="1" w:styleId="HeaderChar">
    <w:name w:val="Header Char"/>
    <w:link w:val="Header"/>
    <w:uiPriority w:val="99"/>
    <w:rPr>
      <w:sz w:val="24"/>
      <w:szCs w:val="24"/>
      <w:lang w:eastAsia="nl-NL"/>
    </w:rPr>
  </w:style>
  <w:style w:type="character" w:customStyle="1" w:styleId="FooterChar">
    <w:name w:val="Footer Char"/>
    <w:link w:val="Footer"/>
    <w:uiPriority w:val="99"/>
    <w:rPr>
      <w:sz w:val="24"/>
      <w:szCs w:val="24"/>
      <w:lang w:eastAsia="nl-NL"/>
    </w:rPr>
  </w:style>
  <w:style w:type="character" w:customStyle="1" w:styleId="FootnoteTextChar">
    <w:name w:val="Footnote Text Char"/>
    <w:link w:val="FootnoteText"/>
    <w:uiPriority w:val="99"/>
    <w:semiHidden/>
    <w:rPr>
      <w:lang w:eastAsia="nl-NL"/>
    </w:rPr>
  </w:style>
  <w:style w:type="character" w:customStyle="1" w:styleId="Heading1Char">
    <w:name w:val="Heading 1 Char"/>
    <w:link w:val="Heading1"/>
    <w:uiPriority w:val="9"/>
    <w:rPr>
      <w:b/>
      <w:bCs/>
      <w:smallCaps/>
      <w:sz w:val="24"/>
      <w:szCs w:val="32"/>
      <w:lang w:eastAsia="nl-NL"/>
    </w:rPr>
  </w:style>
  <w:style w:type="character" w:customStyle="1" w:styleId="Heading2Char">
    <w:name w:val="Heading 2 Char"/>
    <w:link w:val="Heading2"/>
    <w:uiPriority w:val="9"/>
    <w:rPr>
      <w:b/>
      <w:bCs/>
      <w:iCs/>
      <w:sz w:val="24"/>
      <w:szCs w:val="28"/>
      <w:lang w:eastAsia="nl-NL"/>
    </w:rPr>
  </w:style>
  <w:style w:type="character" w:customStyle="1" w:styleId="Heading3Char">
    <w:name w:val="Heading 3 Char"/>
    <w:link w:val="Heading3"/>
    <w:uiPriority w:val="9"/>
    <w:rPr>
      <w:bCs/>
      <w:i/>
      <w:sz w:val="24"/>
      <w:szCs w:val="26"/>
      <w:lang w:eastAsia="nl-NL"/>
    </w:rPr>
  </w:style>
  <w:style w:type="character" w:customStyle="1" w:styleId="Heading4Char">
    <w:name w:val="Heading 4 Char"/>
    <w:link w:val="Heading4"/>
    <w:uiPriority w:val="9"/>
    <w:rPr>
      <w:bCs/>
      <w:sz w:val="24"/>
      <w:szCs w:val="28"/>
      <w:lang w:eastAsia="nl-NL"/>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link w:val="Typedudocument"/>
    <w:rPr>
      <w:b/>
      <w:sz w:val="24"/>
      <w:szCs w:val="24"/>
      <w:shd w:val="clear" w:color="auto" w:fill="auto"/>
      <w:lang w:eastAsia="nl-NL"/>
    </w:r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paragraph" w:styleId="ListParagraph">
    <w:name w:val="List Paragraph"/>
    <w:basedOn w:val="Normal"/>
    <w:uiPriority w:val="34"/>
    <w:qFormat/>
    <w:pPr>
      <w:spacing w:before="0" w:after="0"/>
      <w:ind w:left="720"/>
      <w:jc w:val="left"/>
    </w:pPr>
    <w:rPr>
      <w:rFonts w:ascii="Calibri" w:eastAsia="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69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9F508-C379-44CD-B167-46D017A68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10</Pages>
  <Words>2700</Words>
  <Characters>13343</Characters>
  <Application>Microsoft Office Word</Application>
  <DocSecurity>0</DocSecurity>
  <Lines>1111</Lines>
  <Paragraphs>1002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24</cp:revision>
  <cp:lastPrinted>2016-08-29T11:35:00Z</cp:lastPrinted>
  <dcterms:created xsi:type="dcterms:W3CDTF">2016-11-29T08:00:00Z</dcterms:created>
  <dcterms:modified xsi:type="dcterms:W3CDTF">2016-12-22T09:24:00Z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