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6D5" w:rsidRDefault="00C97747" w:rsidP="00C97747">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E1CA57650D0D49428B37B1DE28E68848" style="width:450.75pt;height:321pt">
            <v:imagedata r:id="rId9" o:title=""/>
          </v:shape>
        </w:pict>
      </w:r>
    </w:p>
    <w:bookmarkEnd w:id="1"/>
    <w:p w:rsidR="007876D5" w:rsidRDefault="007876D5">
      <w:pPr>
        <w:widowControl/>
        <w:autoSpaceDE/>
        <w:autoSpaceDN/>
        <w:adjustRightInd/>
        <w:spacing w:before="120" w:after="120"/>
        <w:jc w:val="both"/>
        <w:rPr>
          <w:noProof/>
          <w:sz w:val="24"/>
          <w:szCs w:val="24"/>
        </w:rPr>
        <w:sectPr w:rsidR="007876D5" w:rsidSect="00C97747">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rsidR="007876D5" w:rsidRDefault="007876D5">
      <w:pPr>
        <w:rPr>
          <w:b/>
          <w:noProof/>
          <w:sz w:val="28"/>
          <w:szCs w:val="28"/>
        </w:rPr>
      </w:pPr>
      <w:bookmarkStart w:id="2" w:name="_GoBack"/>
      <w:bookmarkEnd w:id="2"/>
    </w:p>
    <w:p w:rsidR="007876D5" w:rsidRDefault="00C97747">
      <w:pPr>
        <w:widowControl/>
        <w:autoSpaceDE/>
        <w:autoSpaceDN/>
        <w:adjustRightInd/>
        <w:spacing w:before="120" w:after="240"/>
        <w:jc w:val="center"/>
        <w:rPr>
          <w:b/>
          <w:noProof/>
          <w:sz w:val="28"/>
          <w:szCs w:val="24"/>
        </w:rPr>
      </w:pPr>
      <w:r>
        <w:rPr>
          <w:b/>
          <w:noProof/>
          <w:sz w:val="28"/>
        </w:rPr>
        <w:t>Inhoudsopgave</w:t>
      </w:r>
    </w:p>
    <w:sdt>
      <w:sdtPr>
        <w:rPr>
          <w:noProof/>
          <w:sz w:val="24"/>
          <w:szCs w:val="24"/>
        </w:rPr>
        <w:id w:val="1191805404"/>
        <w:docPartObj>
          <w:docPartGallery w:val="Table of Contents"/>
          <w:docPartUnique/>
        </w:docPartObj>
      </w:sdtPr>
      <w:sdtEndPr>
        <w:rPr>
          <w:b/>
          <w:bCs/>
          <w:sz w:val="20"/>
          <w:szCs w:val="20"/>
        </w:rPr>
      </w:sdtEndPr>
      <w:sdtContent>
        <w:p w:rsidR="007876D5" w:rsidRDefault="00C97747">
          <w:pPr>
            <w:pStyle w:val="TOC1"/>
            <w:tabs>
              <w:tab w:val="left" w:pos="440"/>
              <w:tab w:val="right" w:leader="dot" w:pos="9062"/>
            </w:tabs>
            <w:rPr>
              <w:rFonts w:asciiTheme="minorHAnsi" w:eastAsiaTheme="minorEastAsia" w:hAnsiTheme="minorHAnsi" w:cstheme="minorBidi"/>
              <w:noProof/>
              <w:sz w:val="24"/>
              <w:szCs w:val="24"/>
              <w:lang w:val="en-GB" w:eastAsia="en-GB" w:bidi="ar-SA"/>
            </w:rPr>
          </w:pPr>
          <w:r>
            <w:rPr>
              <w:noProof/>
              <w:sz w:val="24"/>
              <w:szCs w:val="24"/>
            </w:rPr>
            <w:fldChar w:fldCharType="begin"/>
          </w:r>
          <w:r>
            <w:rPr>
              <w:noProof/>
              <w:sz w:val="24"/>
              <w:szCs w:val="24"/>
            </w:rPr>
            <w:instrText xml:space="preserve"> TOC \o "1-3" \h \z \u </w:instrText>
          </w:r>
          <w:r>
            <w:rPr>
              <w:noProof/>
              <w:sz w:val="24"/>
              <w:szCs w:val="24"/>
            </w:rPr>
            <w:fldChar w:fldCharType="separate"/>
          </w:r>
          <w:hyperlink w:anchor="_Toc450655342" w:history="1">
            <w:r>
              <w:rPr>
                <w:rStyle w:val="Hyperlink"/>
                <w:b/>
                <w:bCs/>
                <w:smallCaps/>
                <w:noProof/>
                <w:sz w:val="24"/>
                <w:szCs w:val="24"/>
              </w:rPr>
              <w:t>1.</w:t>
            </w:r>
            <w:r>
              <w:rPr>
                <w:rFonts w:asciiTheme="minorHAnsi" w:eastAsiaTheme="minorEastAsia" w:hAnsiTheme="minorHAnsi" w:cstheme="minorBidi"/>
                <w:noProof/>
                <w:sz w:val="24"/>
                <w:szCs w:val="24"/>
                <w:lang w:val="en-GB" w:eastAsia="en-GB" w:bidi="ar-SA"/>
              </w:rPr>
              <w:tab/>
            </w:r>
            <w:r>
              <w:rPr>
                <w:rStyle w:val="Hyperlink"/>
                <w:b/>
                <w:smallCaps/>
                <w:noProof/>
                <w:sz w:val="24"/>
                <w:szCs w:val="24"/>
              </w:rPr>
              <w:t>Inleiding</w:t>
            </w:r>
            <w:r>
              <w:rPr>
                <w:noProof/>
                <w:webHidden/>
                <w:sz w:val="24"/>
                <w:szCs w:val="24"/>
              </w:rPr>
              <w:tab/>
            </w:r>
            <w:r>
              <w:rPr>
                <w:noProof/>
                <w:webHidden/>
                <w:sz w:val="24"/>
                <w:szCs w:val="24"/>
              </w:rPr>
              <w:fldChar w:fldCharType="begin"/>
            </w:r>
            <w:r>
              <w:rPr>
                <w:noProof/>
                <w:webHidden/>
                <w:sz w:val="24"/>
                <w:szCs w:val="24"/>
              </w:rPr>
              <w:instrText xml:space="preserve"> PAGEREF _Toc450655342 \h </w:instrText>
            </w:r>
            <w:r>
              <w:rPr>
                <w:noProof/>
                <w:webHidden/>
                <w:sz w:val="24"/>
                <w:szCs w:val="24"/>
              </w:rPr>
            </w:r>
            <w:r>
              <w:rPr>
                <w:noProof/>
                <w:webHidden/>
                <w:sz w:val="24"/>
                <w:szCs w:val="24"/>
              </w:rPr>
              <w:fldChar w:fldCharType="separate"/>
            </w:r>
            <w:r>
              <w:rPr>
                <w:noProof/>
                <w:webHidden/>
                <w:sz w:val="24"/>
                <w:szCs w:val="24"/>
              </w:rPr>
              <w:t>3</w:t>
            </w:r>
            <w:r>
              <w:rPr>
                <w:noProof/>
                <w:webHidden/>
                <w:sz w:val="24"/>
                <w:szCs w:val="24"/>
              </w:rPr>
              <w:fldChar w:fldCharType="end"/>
            </w:r>
          </w:hyperlink>
        </w:p>
        <w:p w:rsidR="007876D5" w:rsidRDefault="00C97747">
          <w:pPr>
            <w:pStyle w:val="TOC1"/>
            <w:tabs>
              <w:tab w:val="left" w:pos="440"/>
              <w:tab w:val="right" w:leader="dot" w:pos="9062"/>
            </w:tabs>
            <w:rPr>
              <w:rFonts w:asciiTheme="minorHAnsi" w:eastAsiaTheme="minorEastAsia" w:hAnsiTheme="minorHAnsi" w:cstheme="minorBidi"/>
              <w:noProof/>
              <w:sz w:val="24"/>
              <w:szCs w:val="24"/>
              <w:lang w:val="en-GB" w:eastAsia="en-GB" w:bidi="ar-SA"/>
            </w:rPr>
          </w:pPr>
          <w:hyperlink w:anchor="_Toc450655343" w:history="1">
            <w:r>
              <w:rPr>
                <w:rStyle w:val="Hyperlink"/>
                <w:b/>
                <w:smallCaps/>
                <w:noProof/>
                <w:sz w:val="24"/>
                <w:szCs w:val="24"/>
              </w:rPr>
              <w:t>2.</w:t>
            </w:r>
            <w:r>
              <w:rPr>
                <w:rFonts w:asciiTheme="minorHAnsi" w:eastAsiaTheme="minorEastAsia" w:hAnsiTheme="minorHAnsi" w:cstheme="minorBidi"/>
                <w:noProof/>
                <w:sz w:val="24"/>
                <w:szCs w:val="24"/>
                <w:lang w:val="en-GB" w:eastAsia="en-GB" w:bidi="ar-SA"/>
              </w:rPr>
              <w:tab/>
            </w:r>
            <w:r>
              <w:rPr>
                <w:rStyle w:val="Hyperlink"/>
                <w:b/>
                <w:smallCaps/>
                <w:noProof/>
                <w:sz w:val="24"/>
                <w:szCs w:val="24"/>
              </w:rPr>
              <w:t>Operationele context</w:t>
            </w:r>
            <w:r>
              <w:rPr>
                <w:noProof/>
                <w:webHidden/>
                <w:sz w:val="24"/>
                <w:szCs w:val="24"/>
              </w:rPr>
              <w:tab/>
            </w:r>
            <w:r>
              <w:rPr>
                <w:noProof/>
                <w:webHidden/>
                <w:sz w:val="24"/>
                <w:szCs w:val="24"/>
              </w:rPr>
              <w:fldChar w:fldCharType="begin"/>
            </w:r>
            <w:r>
              <w:rPr>
                <w:noProof/>
                <w:webHidden/>
                <w:sz w:val="24"/>
                <w:szCs w:val="24"/>
              </w:rPr>
              <w:instrText xml:space="preserve"> PAGEREF _Toc450655343 \h </w:instrText>
            </w:r>
            <w:r>
              <w:rPr>
                <w:noProof/>
                <w:webHidden/>
                <w:sz w:val="24"/>
                <w:szCs w:val="24"/>
              </w:rPr>
            </w:r>
            <w:r>
              <w:rPr>
                <w:noProof/>
                <w:webHidden/>
                <w:sz w:val="24"/>
                <w:szCs w:val="24"/>
              </w:rPr>
              <w:fldChar w:fldCharType="separate"/>
            </w:r>
            <w:r>
              <w:rPr>
                <w:noProof/>
                <w:webHidden/>
                <w:sz w:val="24"/>
                <w:szCs w:val="24"/>
              </w:rPr>
              <w:t>3</w:t>
            </w:r>
            <w:r>
              <w:rPr>
                <w:noProof/>
                <w:webHidden/>
                <w:sz w:val="24"/>
                <w:szCs w:val="24"/>
              </w:rPr>
              <w:fldChar w:fldCharType="end"/>
            </w:r>
          </w:hyperlink>
        </w:p>
        <w:p w:rsidR="007876D5" w:rsidRDefault="00C97747">
          <w:pPr>
            <w:pStyle w:val="TOC1"/>
            <w:tabs>
              <w:tab w:val="left" w:pos="440"/>
              <w:tab w:val="right" w:leader="dot" w:pos="9062"/>
            </w:tabs>
            <w:rPr>
              <w:rFonts w:asciiTheme="minorHAnsi" w:eastAsiaTheme="minorEastAsia" w:hAnsiTheme="minorHAnsi" w:cstheme="minorBidi"/>
              <w:noProof/>
              <w:sz w:val="24"/>
              <w:szCs w:val="24"/>
              <w:lang w:val="en-GB" w:eastAsia="en-GB" w:bidi="ar-SA"/>
            </w:rPr>
          </w:pPr>
          <w:hyperlink w:anchor="_Toc450655344" w:history="1">
            <w:r>
              <w:rPr>
                <w:rStyle w:val="Hyperlink"/>
                <w:b/>
                <w:bCs/>
                <w:smallCaps/>
                <w:noProof/>
                <w:sz w:val="24"/>
                <w:szCs w:val="24"/>
              </w:rPr>
              <w:t>3.</w:t>
            </w:r>
            <w:r>
              <w:rPr>
                <w:rFonts w:asciiTheme="minorHAnsi" w:eastAsiaTheme="minorEastAsia" w:hAnsiTheme="minorHAnsi" w:cstheme="minorBidi"/>
                <w:noProof/>
                <w:sz w:val="24"/>
                <w:szCs w:val="24"/>
                <w:lang w:val="en-GB" w:eastAsia="en-GB" w:bidi="ar-SA"/>
              </w:rPr>
              <w:tab/>
            </w:r>
            <w:r>
              <w:rPr>
                <w:rStyle w:val="Hyperlink"/>
                <w:b/>
                <w:smallCaps/>
                <w:noProof/>
                <w:sz w:val="24"/>
                <w:szCs w:val="24"/>
              </w:rPr>
              <w:t>Fin</w:t>
            </w:r>
            <w:r>
              <w:rPr>
                <w:rStyle w:val="Hyperlink"/>
                <w:b/>
                <w:smallCaps/>
                <w:noProof/>
                <w:sz w:val="24"/>
                <w:szCs w:val="24"/>
              </w:rPr>
              <w:t>anciële rekeningen</w:t>
            </w:r>
            <w:r>
              <w:rPr>
                <w:noProof/>
                <w:webHidden/>
                <w:sz w:val="24"/>
                <w:szCs w:val="24"/>
              </w:rPr>
              <w:tab/>
            </w:r>
            <w:r>
              <w:rPr>
                <w:noProof/>
                <w:webHidden/>
                <w:sz w:val="24"/>
                <w:szCs w:val="24"/>
              </w:rPr>
              <w:fldChar w:fldCharType="begin"/>
            </w:r>
            <w:r>
              <w:rPr>
                <w:noProof/>
                <w:webHidden/>
                <w:sz w:val="24"/>
                <w:szCs w:val="24"/>
              </w:rPr>
              <w:instrText xml:space="preserve"> PAGEREF _Toc450655344 \h </w:instrText>
            </w:r>
            <w:r>
              <w:rPr>
                <w:noProof/>
                <w:webHidden/>
                <w:sz w:val="24"/>
                <w:szCs w:val="24"/>
              </w:rPr>
            </w:r>
            <w:r>
              <w:rPr>
                <w:noProof/>
                <w:webHidden/>
                <w:sz w:val="24"/>
                <w:szCs w:val="24"/>
              </w:rPr>
              <w:fldChar w:fldCharType="separate"/>
            </w:r>
            <w:r>
              <w:rPr>
                <w:noProof/>
                <w:webHidden/>
                <w:sz w:val="24"/>
                <w:szCs w:val="24"/>
              </w:rPr>
              <w:t>4</w:t>
            </w:r>
            <w:r>
              <w:rPr>
                <w:noProof/>
                <w:webHidden/>
                <w:sz w:val="24"/>
                <w:szCs w:val="24"/>
              </w:rPr>
              <w:fldChar w:fldCharType="end"/>
            </w:r>
          </w:hyperlink>
        </w:p>
        <w:p w:rsidR="007876D5" w:rsidRDefault="00C97747">
          <w:pPr>
            <w:pStyle w:val="TOC1"/>
            <w:tabs>
              <w:tab w:val="left" w:pos="440"/>
              <w:tab w:val="right" w:leader="dot" w:pos="9062"/>
            </w:tabs>
            <w:rPr>
              <w:rFonts w:asciiTheme="minorHAnsi" w:eastAsiaTheme="minorEastAsia" w:hAnsiTheme="minorHAnsi" w:cstheme="minorBidi"/>
              <w:noProof/>
              <w:sz w:val="24"/>
              <w:szCs w:val="24"/>
              <w:lang w:val="en-GB" w:eastAsia="en-GB" w:bidi="ar-SA"/>
            </w:rPr>
          </w:pPr>
          <w:hyperlink w:anchor="_Toc450655345" w:history="1">
            <w:r>
              <w:rPr>
                <w:rStyle w:val="Hyperlink"/>
                <w:b/>
                <w:bCs/>
                <w:smallCaps/>
                <w:noProof/>
                <w:sz w:val="24"/>
                <w:szCs w:val="24"/>
              </w:rPr>
              <w:t>4.</w:t>
            </w:r>
            <w:r>
              <w:rPr>
                <w:rFonts w:asciiTheme="minorHAnsi" w:eastAsiaTheme="minorEastAsia" w:hAnsiTheme="minorHAnsi" w:cstheme="minorBidi"/>
                <w:noProof/>
                <w:sz w:val="24"/>
                <w:szCs w:val="24"/>
                <w:lang w:val="en-GB" w:eastAsia="en-GB" w:bidi="ar-SA"/>
              </w:rPr>
              <w:tab/>
            </w:r>
            <w:r>
              <w:rPr>
                <w:rStyle w:val="Hyperlink"/>
                <w:b/>
                <w:smallCaps/>
                <w:noProof/>
                <w:sz w:val="24"/>
                <w:szCs w:val="24"/>
              </w:rPr>
              <w:t>Beheer van het EFSI-garantiefonds in 2015</w:t>
            </w:r>
            <w:r>
              <w:rPr>
                <w:noProof/>
                <w:webHidden/>
                <w:sz w:val="24"/>
                <w:szCs w:val="24"/>
              </w:rPr>
              <w:tab/>
            </w:r>
            <w:r>
              <w:rPr>
                <w:noProof/>
                <w:webHidden/>
                <w:sz w:val="24"/>
                <w:szCs w:val="24"/>
              </w:rPr>
              <w:fldChar w:fldCharType="begin"/>
            </w:r>
            <w:r>
              <w:rPr>
                <w:noProof/>
                <w:webHidden/>
                <w:sz w:val="24"/>
                <w:szCs w:val="24"/>
              </w:rPr>
              <w:instrText xml:space="preserve"> PAGEREF _Toc450655345 \h </w:instrText>
            </w:r>
            <w:r>
              <w:rPr>
                <w:noProof/>
                <w:webHidden/>
                <w:sz w:val="24"/>
                <w:szCs w:val="24"/>
              </w:rPr>
            </w:r>
            <w:r>
              <w:rPr>
                <w:noProof/>
                <w:webHidden/>
                <w:sz w:val="24"/>
                <w:szCs w:val="24"/>
              </w:rPr>
              <w:fldChar w:fldCharType="separate"/>
            </w:r>
            <w:r>
              <w:rPr>
                <w:noProof/>
                <w:webHidden/>
                <w:sz w:val="24"/>
                <w:szCs w:val="24"/>
              </w:rPr>
              <w:t>5</w:t>
            </w:r>
            <w:r>
              <w:rPr>
                <w:noProof/>
                <w:webHidden/>
                <w:sz w:val="24"/>
                <w:szCs w:val="24"/>
              </w:rPr>
              <w:fldChar w:fldCharType="end"/>
            </w:r>
          </w:hyperlink>
        </w:p>
        <w:p w:rsidR="007876D5" w:rsidRDefault="00C97747">
          <w:pPr>
            <w:pStyle w:val="TOC1"/>
            <w:tabs>
              <w:tab w:val="left" w:pos="440"/>
              <w:tab w:val="right" w:leader="dot" w:pos="9062"/>
            </w:tabs>
            <w:rPr>
              <w:rFonts w:asciiTheme="minorHAnsi" w:eastAsiaTheme="minorEastAsia" w:hAnsiTheme="minorHAnsi" w:cstheme="minorBidi"/>
              <w:noProof/>
              <w:sz w:val="24"/>
              <w:szCs w:val="24"/>
              <w:lang w:val="en-GB" w:eastAsia="en-GB" w:bidi="ar-SA"/>
            </w:rPr>
          </w:pPr>
          <w:hyperlink w:anchor="_Toc450655346" w:history="1">
            <w:r>
              <w:rPr>
                <w:rStyle w:val="Hyperlink"/>
                <w:b/>
                <w:bCs/>
                <w:smallCaps/>
                <w:noProof/>
                <w:sz w:val="24"/>
                <w:szCs w:val="24"/>
              </w:rPr>
              <w:t>5.</w:t>
            </w:r>
            <w:r>
              <w:rPr>
                <w:rFonts w:asciiTheme="minorHAnsi" w:eastAsiaTheme="minorEastAsia" w:hAnsiTheme="minorHAnsi" w:cstheme="minorBidi"/>
                <w:noProof/>
                <w:sz w:val="24"/>
                <w:szCs w:val="24"/>
                <w:lang w:val="en-GB" w:eastAsia="en-GB" w:bidi="ar-SA"/>
              </w:rPr>
              <w:tab/>
            </w:r>
            <w:r>
              <w:rPr>
                <w:rStyle w:val="Hyperlink"/>
                <w:b/>
                <w:smallCaps/>
                <w:noProof/>
                <w:sz w:val="24"/>
                <w:szCs w:val="24"/>
              </w:rPr>
              <w:t>Beoordeling van de toereikendheid van het streefbedrag en de omvang van het EFSI-garantiefonds</w:t>
            </w:r>
            <w:r>
              <w:rPr>
                <w:noProof/>
                <w:webHidden/>
                <w:sz w:val="24"/>
                <w:szCs w:val="24"/>
              </w:rPr>
              <w:tab/>
            </w:r>
            <w:r>
              <w:rPr>
                <w:noProof/>
                <w:webHidden/>
                <w:sz w:val="24"/>
                <w:szCs w:val="24"/>
              </w:rPr>
              <w:fldChar w:fldCharType="begin"/>
            </w:r>
            <w:r>
              <w:rPr>
                <w:noProof/>
                <w:webHidden/>
                <w:sz w:val="24"/>
                <w:szCs w:val="24"/>
              </w:rPr>
              <w:instrText xml:space="preserve"> PAGEREF _Toc450655346 \h </w:instrText>
            </w:r>
            <w:r>
              <w:rPr>
                <w:noProof/>
                <w:webHidden/>
                <w:sz w:val="24"/>
                <w:szCs w:val="24"/>
              </w:rPr>
            </w:r>
            <w:r>
              <w:rPr>
                <w:noProof/>
                <w:webHidden/>
                <w:sz w:val="24"/>
                <w:szCs w:val="24"/>
              </w:rPr>
              <w:fldChar w:fldCharType="separate"/>
            </w:r>
            <w:r>
              <w:rPr>
                <w:noProof/>
                <w:webHidden/>
                <w:sz w:val="24"/>
                <w:szCs w:val="24"/>
              </w:rPr>
              <w:t>5</w:t>
            </w:r>
            <w:r>
              <w:rPr>
                <w:noProof/>
                <w:webHidden/>
                <w:sz w:val="24"/>
                <w:szCs w:val="24"/>
              </w:rPr>
              <w:fldChar w:fldCharType="end"/>
            </w:r>
          </w:hyperlink>
        </w:p>
        <w:p w:rsidR="007876D5" w:rsidRDefault="00C97747">
          <w:pPr>
            <w:rPr>
              <w:noProof/>
            </w:rPr>
          </w:pPr>
          <w:r>
            <w:rPr>
              <w:b/>
              <w:bCs/>
              <w:noProof/>
              <w:sz w:val="24"/>
              <w:szCs w:val="24"/>
            </w:rPr>
            <w:fldChar w:fldCharType="end"/>
          </w:r>
        </w:p>
      </w:sdtContent>
    </w:sdt>
    <w:p w:rsidR="007876D5" w:rsidRDefault="00C97747">
      <w:pPr>
        <w:pStyle w:val="TOC1"/>
        <w:tabs>
          <w:tab w:val="left" w:pos="440"/>
          <w:tab w:val="right" w:leader="dot" w:pos="9062"/>
        </w:tabs>
        <w:rPr>
          <w:rFonts w:asciiTheme="minorHAnsi" w:eastAsiaTheme="minorEastAsia" w:hAnsiTheme="minorHAnsi" w:cstheme="minorBidi"/>
          <w:noProof/>
          <w:sz w:val="24"/>
          <w:szCs w:val="24"/>
        </w:rPr>
      </w:pPr>
      <w:r>
        <w:rPr>
          <w:noProof/>
          <w:sz w:val="24"/>
          <w:szCs w:val="24"/>
        </w:rPr>
        <w:fldChar w:fldCharType="begin"/>
      </w:r>
      <w:r>
        <w:rPr>
          <w:noProof/>
          <w:sz w:val="24"/>
          <w:szCs w:val="24"/>
        </w:rPr>
        <w:instrText xml:space="preserve"> TOC \o "1-3" \h \z \u </w:instrText>
      </w:r>
      <w:r>
        <w:rPr>
          <w:noProof/>
          <w:sz w:val="24"/>
          <w:szCs w:val="24"/>
        </w:rPr>
        <w:fldChar w:fldCharType="separate"/>
      </w:r>
    </w:p>
    <w:p w:rsidR="007876D5" w:rsidRDefault="00C97747">
      <w:pPr>
        <w:rPr>
          <w:rFonts w:asciiTheme="minorHAnsi" w:eastAsiaTheme="minorEastAsia" w:hAnsiTheme="minorHAnsi" w:cstheme="minorBidi"/>
          <w:b/>
          <w:bCs/>
          <w:noProof/>
          <w:sz w:val="24"/>
          <w:szCs w:val="24"/>
        </w:rPr>
        <w:sectPr w:rsidR="007876D5">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b/>
          <w:bCs/>
          <w:noProof/>
          <w:sz w:val="24"/>
          <w:szCs w:val="24"/>
        </w:rPr>
        <w:fldChar w:fldCharType="end"/>
      </w:r>
    </w:p>
    <w:p w:rsidR="007876D5" w:rsidRDefault="00C97747">
      <w:pPr>
        <w:keepNext/>
        <w:widowControl/>
        <w:numPr>
          <w:ilvl w:val="0"/>
          <w:numId w:val="18"/>
        </w:numPr>
        <w:tabs>
          <w:tab w:val="num" w:pos="850"/>
        </w:tabs>
        <w:autoSpaceDE/>
        <w:autoSpaceDN/>
        <w:adjustRightInd/>
        <w:spacing w:before="240" w:after="240"/>
        <w:ind w:left="850" w:hanging="850"/>
        <w:jc w:val="both"/>
        <w:outlineLvl w:val="0"/>
        <w:rPr>
          <w:b/>
          <w:bCs/>
          <w:smallCaps/>
          <w:noProof/>
          <w:sz w:val="24"/>
          <w:szCs w:val="32"/>
        </w:rPr>
      </w:pPr>
      <w:bookmarkStart w:id="3" w:name="_Toc449686519"/>
      <w:bookmarkStart w:id="4" w:name="_Toc449969919"/>
      <w:bookmarkStart w:id="5" w:name="_Toc449969966"/>
      <w:bookmarkStart w:id="6" w:name="_Toc449686550"/>
      <w:bookmarkStart w:id="7" w:name="_Toc449689406"/>
      <w:bookmarkStart w:id="8" w:name="_Toc358640308"/>
      <w:bookmarkStart w:id="9" w:name="_Toc358640576"/>
      <w:bookmarkStart w:id="10" w:name="_Toc358640627"/>
      <w:bookmarkStart w:id="11" w:name="_Toc358640725"/>
      <w:bookmarkStart w:id="12" w:name="_Toc385254771"/>
      <w:bookmarkStart w:id="13" w:name="_Toc415736037"/>
      <w:bookmarkStart w:id="14" w:name="_Toc415748654"/>
      <w:bookmarkStart w:id="15" w:name="_Toc417031771"/>
      <w:bookmarkStart w:id="16" w:name="_Toc449626267"/>
      <w:bookmarkStart w:id="17" w:name="_Toc449626494"/>
      <w:bookmarkStart w:id="18" w:name="_Toc449972638"/>
      <w:bookmarkStart w:id="19" w:name="_Toc450655342"/>
      <w:bookmarkStart w:id="20" w:name="_Toc449689407"/>
      <w:bookmarkEnd w:id="0"/>
      <w:bookmarkEnd w:id="3"/>
      <w:bookmarkEnd w:id="4"/>
      <w:bookmarkEnd w:id="5"/>
      <w:bookmarkEnd w:id="6"/>
      <w:bookmarkEnd w:id="7"/>
      <w:r>
        <w:rPr>
          <w:b/>
          <w:smallCaps/>
          <w:noProof/>
          <w:sz w:val="24"/>
        </w:rPr>
        <w:lastRenderedPageBreak/>
        <w:t>Inleiding</w:t>
      </w:r>
      <w:bookmarkEnd w:id="8"/>
      <w:bookmarkEnd w:id="9"/>
      <w:bookmarkEnd w:id="10"/>
      <w:bookmarkEnd w:id="11"/>
      <w:bookmarkEnd w:id="12"/>
      <w:bookmarkEnd w:id="13"/>
      <w:bookmarkEnd w:id="14"/>
      <w:bookmarkEnd w:id="15"/>
      <w:bookmarkEnd w:id="16"/>
      <w:bookmarkEnd w:id="17"/>
      <w:bookmarkEnd w:id="18"/>
      <w:bookmarkEnd w:id="19"/>
    </w:p>
    <w:bookmarkEnd w:id="20"/>
    <w:p w:rsidR="007876D5" w:rsidRDefault="00C97747">
      <w:pPr>
        <w:spacing w:before="240" w:after="240"/>
        <w:jc w:val="both"/>
        <w:rPr>
          <w:noProof/>
          <w:sz w:val="24"/>
          <w:szCs w:val="24"/>
        </w:rPr>
      </w:pPr>
      <w:r>
        <w:rPr>
          <w:noProof/>
          <w:sz w:val="24"/>
        </w:rPr>
        <w:t xml:space="preserve">De rechtsgrondslag van dit verslag is Verordening (EU) 2015/1017 van het Europees Parlement en de </w:t>
      </w:r>
      <w:r>
        <w:rPr>
          <w:noProof/>
          <w:sz w:val="24"/>
        </w:rPr>
        <w:t>Raad van 25 juni 2015 betreffende het Europees Fonds voor strategische investeringen, de Europese investeringsadvieshub en het Europese investeringsprojectenportaal en tot wijziging van de Verordeningen (EU) nr. 1291/2013 en (EU) nr. 1316/2013 — het Europe</w:t>
      </w:r>
      <w:r>
        <w:rPr>
          <w:noProof/>
          <w:sz w:val="24"/>
        </w:rPr>
        <w:t>es Fonds voor strategische investeringen</w:t>
      </w:r>
      <w:r>
        <w:rPr>
          <w:rStyle w:val="FootnoteReference"/>
          <w:noProof/>
          <w:sz w:val="24"/>
        </w:rPr>
        <w:footnoteReference w:id="1"/>
      </w:r>
      <w:r>
        <w:rPr>
          <w:noProof/>
          <w:sz w:val="24"/>
        </w:rPr>
        <w:t xml:space="preserve"> (hierna de "EFSI-verordening" genoemd). Op 22 juli 2015 hebben de Europese Commissie en de Europese Investeringsbank (hierna de "EIB" genoemd) de overeenkomst betreffende het beheer van het EFSI en betreffende de v</w:t>
      </w:r>
      <w:r>
        <w:rPr>
          <w:noProof/>
          <w:sz w:val="24"/>
        </w:rPr>
        <w:t>erlening van de EU-garantie (hierna de "EFSI-overeenkomst" genoemd) gesloten.</w:t>
      </w:r>
    </w:p>
    <w:p w:rsidR="007876D5" w:rsidRDefault="00C97747">
      <w:pPr>
        <w:spacing w:before="240" w:after="240"/>
        <w:jc w:val="both"/>
        <w:rPr>
          <w:noProof/>
          <w:sz w:val="24"/>
          <w:szCs w:val="24"/>
        </w:rPr>
      </w:pPr>
      <w:r>
        <w:rPr>
          <w:noProof/>
          <w:sz w:val="24"/>
        </w:rPr>
        <w:t>Overeenkomstig artikel 16, lid 6, van de EFSI-verordening moet de Commissie uiterlijk op 31 mei van elk jaar het Europees Parlement, de Raad en de Europese Rekenkamer een jaarver</w:t>
      </w:r>
      <w:r>
        <w:rPr>
          <w:noProof/>
          <w:sz w:val="24"/>
        </w:rPr>
        <w:t>slag voorleggen over het beheer van het EFSI-garantiefonds tijdens het voorgaande kalenderjaar, met inbegrip van een beoordeling van de toereikendheid van het streefbedrag en de omvang van het EFSI-garantiefonds en van de noodzaak tot aanvulling ervan. Dit</w:t>
      </w:r>
      <w:r>
        <w:rPr>
          <w:noProof/>
          <w:sz w:val="24"/>
        </w:rPr>
        <w:t xml:space="preserve"> jaarverslag moet een overzicht bevatten van de financiële positie van het EFSI-garantiefonds aan het eind van het voorgaande kalenderjaar, de financiële stromen tijdens het voorgaande kalenderjaar, alsmede de belangrijke transacties en alle relevante info</w:t>
      </w:r>
      <w:r>
        <w:rPr>
          <w:noProof/>
          <w:sz w:val="24"/>
        </w:rPr>
        <w:t>rmatie over de financiële rekeningen. Het verslag dient tevens informatie te bevatten over het financieel beheer, de prestaties en het risico van het EFSI-garantiefonds aan het eind van het voorgaande kalenderjaar.</w:t>
      </w:r>
    </w:p>
    <w:p w:rsidR="007876D5" w:rsidRDefault="00C97747">
      <w:pPr>
        <w:spacing w:before="240" w:after="240"/>
        <w:jc w:val="both"/>
        <w:rPr>
          <w:noProof/>
          <w:sz w:val="24"/>
          <w:szCs w:val="24"/>
        </w:rPr>
      </w:pPr>
      <w:r>
        <w:rPr>
          <w:noProof/>
          <w:sz w:val="24"/>
        </w:rPr>
        <w:t>In artikel 16, lid 2, van de EFSI-verorde</w:t>
      </w:r>
      <w:r>
        <w:rPr>
          <w:noProof/>
          <w:sz w:val="24"/>
        </w:rPr>
        <w:t>ning is tevens bepaald dat de EIB, in voorkomend geval in samenwerking met het Europees Investeringsfonds (hierna het "EIF" genoemd), een afzonderlijk jaarverslag bij het Europees Parlement en de Raad moet indienen over de financierings- en investeringsver</w:t>
      </w:r>
      <w:r>
        <w:rPr>
          <w:noProof/>
          <w:sz w:val="24"/>
        </w:rPr>
        <w:t>richtingen van de EIB die onder de verordening vallen (hierna "EFSI-verrichtingen" genoemd). Dat verslag moet openbaar worden gemaakt.</w:t>
      </w:r>
      <w:bookmarkStart w:id="21" w:name="_Toc449686522"/>
      <w:bookmarkStart w:id="22" w:name="_Toc449686553"/>
      <w:bookmarkStart w:id="23" w:name="_Toc449686523"/>
      <w:bookmarkStart w:id="24" w:name="_Toc449686554"/>
      <w:bookmarkEnd w:id="21"/>
      <w:bookmarkEnd w:id="22"/>
      <w:bookmarkEnd w:id="23"/>
      <w:bookmarkEnd w:id="24"/>
      <w:r>
        <w:rPr>
          <w:noProof/>
          <w:sz w:val="24"/>
        </w:rPr>
        <w:t xml:space="preserve"> Tot dusver heeft de EIB het jaarverslag voor 2015 nog niet goedgekeurd.</w:t>
      </w:r>
    </w:p>
    <w:p w:rsidR="007876D5" w:rsidRDefault="00C97747">
      <w:pPr>
        <w:keepNext/>
        <w:widowControl/>
        <w:numPr>
          <w:ilvl w:val="0"/>
          <w:numId w:val="18"/>
        </w:numPr>
        <w:tabs>
          <w:tab w:val="num" w:pos="850"/>
        </w:tabs>
        <w:autoSpaceDE/>
        <w:autoSpaceDN/>
        <w:adjustRightInd/>
        <w:spacing w:before="480" w:after="240"/>
        <w:ind w:left="851" w:hanging="851"/>
        <w:jc w:val="both"/>
        <w:outlineLvl w:val="0"/>
        <w:rPr>
          <w:b/>
          <w:smallCaps/>
          <w:noProof/>
          <w:sz w:val="24"/>
          <w:szCs w:val="32"/>
        </w:rPr>
      </w:pPr>
      <w:bookmarkStart w:id="25" w:name="_Toc449689408"/>
      <w:bookmarkStart w:id="26" w:name="_Toc449972639"/>
      <w:bookmarkStart w:id="27" w:name="_Toc450655343"/>
      <w:r>
        <w:rPr>
          <w:b/>
          <w:smallCaps/>
          <w:noProof/>
          <w:sz w:val="24"/>
        </w:rPr>
        <w:t>Operationele context</w:t>
      </w:r>
      <w:bookmarkEnd w:id="25"/>
      <w:bookmarkEnd w:id="26"/>
      <w:bookmarkEnd w:id="27"/>
    </w:p>
    <w:p w:rsidR="007876D5" w:rsidRDefault="00C97747">
      <w:pPr>
        <w:spacing w:before="240" w:after="240"/>
        <w:jc w:val="both"/>
        <w:rPr>
          <w:noProof/>
          <w:sz w:val="24"/>
          <w:szCs w:val="24"/>
        </w:rPr>
      </w:pPr>
      <w:r>
        <w:rPr>
          <w:noProof/>
          <w:sz w:val="24"/>
        </w:rPr>
        <w:t>De EU-garantie heeft betrekk</w:t>
      </w:r>
      <w:r>
        <w:rPr>
          <w:noProof/>
          <w:sz w:val="24"/>
        </w:rPr>
        <w:t>ing op de financierings- en investeringsverrichtingen van de EIB in het kader van het venster "infrastructuur en innovatie" en van het EIF in het kader van het venster "kmo's". Een deel van die verrichtingen wordt door de EU-garantie gedekt en een deel erv</w:t>
      </w:r>
      <w:r>
        <w:rPr>
          <w:noProof/>
          <w:sz w:val="24"/>
        </w:rPr>
        <w:t>an wordt door de EIB-groep op eigen risico uitgevoerd.</w:t>
      </w:r>
    </w:p>
    <w:p w:rsidR="007876D5" w:rsidRDefault="00C97747">
      <w:pPr>
        <w:spacing w:before="240" w:after="240"/>
        <w:jc w:val="both"/>
        <w:rPr>
          <w:noProof/>
          <w:sz w:val="24"/>
          <w:szCs w:val="24"/>
        </w:rPr>
      </w:pPr>
      <w:r>
        <w:rPr>
          <w:noProof/>
          <w:sz w:val="24"/>
        </w:rPr>
        <w:t xml:space="preserve">In 2015 waren de ondertekende overeenkomsten in het kader van het EFSI goed voor in totaal 3 miljard EUR, verdeeld over 19 lidstaten. Van dit totaalbedrag kwam 1,2 miljard EUR voor rekening van de EIB </w:t>
      </w:r>
      <w:r>
        <w:rPr>
          <w:noProof/>
          <w:sz w:val="24"/>
        </w:rPr>
        <w:t>(10 verrichtingen) en 1,8 miljard EUR voor rekening van het EIF (83 verrichtingen). Eind 2015 was 1 553 miljoen EUR gedekt door de EU-garantie (1 155 miljoen EUR van de EIB en 398 miljoen EUR van het EIF). Het door de EU-garantie gedekt, totaal uitstaand r</w:t>
      </w:r>
      <w:r>
        <w:rPr>
          <w:noProof/>
          <w:sz w:val="24"/>
        </w:rPr>
        <w:t>isico in termen van uitbetalingen was goed voor circa 202 miljoen EUR.</w:t>
      </w:r>
    </w:p>
    <w:p w:rsidR="007876D5" w:rsidRDefault="00C97747">
      <w:pPr>
        <w:widowControl/>
        <w:spacing w:before="240" w:after="240"/>
        <w:jc w:val="both"/>
        <w:rPr>
          <w:noProof/>
          <w:sz w:val="24"/>
          <w:szCs w:val="24"/>
        </w:rPr>
      </w:pPr>
      <w:r>
        <w:rPr>
          <w:noProof/>
          <w:sz w:val="24"/>
        </w:rPr>
        <w:t>De EIB en het EIF zijn verantwoordelijk voor het beoordelen en monitoren van het aan de individuele verrichtingen verbonden risico en hebben conform artikel 16, lid 3, van de EFSI-veror</w:t>
      </w:r>
      <w:r>
        <w:rPr>
          <w:noProof/>
          <w:sz w:val="24"/>
        </w:rPr>
        <w:t xml:space="preserve">dening in maart 2016 daarover aan de Commissie en de Europese Rekenkamer gerapporteerd. Op basis van die rapportage zal de Commissie de toereikendheid van het streefbedrag en de omvang van het EFSI-garantiefonds beoordelen. </w:t>
      </w:r>
    </w:p>
    <w:p w:rsidR="007876D5" w:rsidRDefault="00C97747">
      <w:pPr>
        <w:spacing w:before="240" w:after="240"/>
        <w:jc w:val="both"/>
        <w:rPr>
          <w:noProof/>
          <w:sz w:val="24"/>
          <w:szCs w:val="24"/>
        </w:rPr>
      </w:pPr>
      <w:r>
        <w:rPr>
          <w:noProof/>
          <w:sz w:val="24"/>
        </w:rPr>
        <w:t xml:space="preserve">Krachtens artikel 16, lid 2, </w:t>
      </w:r>
      <w:r>
        <w:rPr>
          <w:noProof/>
          <w:sz w:val="24"/>
        </w:rPr>
        <w:t>van de EFSI-verordening moet het voor het Europees Parlement en de Raad bestemde jaarverslag van de EIB specifieke informatie bevatten over de geaggregeerde risico's die aan de financierings- en investeringsverrichtingen in het kader van het EFSI verbonden</w:t>
      </w:r>
      <w:r>
        <w:rPr>
          <w:noProof/>
          <w:sz w:val="24"/>
        </w:rPr>
        <w:t xml:space="preserve"> zijn, alsook over het beroep dat op de garantie wordt gedaan.</w:t>
      </w:r>
    </w:p>
    <w:p w:rsidR="007876D5" w:rsidRDefault="00C97747">
      <w:pPr>
        <w:spacing w:before="240" w:after="240"/>
        <w:jc w:val="both"/>
        <w:rPr>
          <w:rFonts w:eastAsiaTheme="minorHAnsi"/>
          <w:noProof/>
          <w:sz w:val="24"/>
          <w:szCs w:val="24"/>
        </w:rPr>
      </w:pPr>
      <w:r>
        <w:rPr>
          <w:noProof/>
          <w:sz w:val="24"/>
        </w:rPr>
        <w:t>Overeenkomstig artikel 12 van de EFSI-verordening moet het EFSI-garantiefonds een liquiditeitsbuffer vormen waaruit de EIB wordt betaald ingeval een beroep op de EU-garantie wordt gedaan. Conform de EFSI-overeenkomst tussen de EU en de EIB wordt een beroep</w:t>
      </w:r>
      <w:r>
        <w:rPr>
          <w:noProof/>
          <w:sz w:val="24"/>
        </w:rPr>
        <w:t xml:space="preserve"> op de EU-garantie door het EFSI-garantiefonds gedekt indien het bedrag ervan hoger ligt dan de middelen waarover de EIB op de EFSI-rekening beschikt. De door de EIB beheerde EFSI-rekening is bedoeld voor het innen van de aan de EU toekomende inkomsten uit</w:t>
      </w:r>
      <w:r>
        <w:rPr>
          <w:noProof/>
          <w:sz w:val="24"/>
        </w:rPr>
        <w:t xml:space="preserve"> de door het EFSI gegarandeerde verrichtingen en van de teruggevorderde bedragen, alsook, voor zover er van een beschikbaar saldo sprake is, voor het doen van betalingen ingeval de EU-garantie wordt aangesproken. </w:t>
      </w:r>
    </w:p>
    <w:p w:rsidR="007876D5" w:rsidRDefault="00C97747">
      <w:pPr>
        <w:spacing w:before="240" w:after="240"/>
        <w:jc w:val="both"/>
        <w:rPr>
          <w:noProof/>
          <w:sz w:val="24"/>
          <w:szCs w:val="24"/>
        </w:rPr>
      </w:pPr>
      <w:r>
        <w:rPr>
          <w:noProof/>
          <w:sz w:val="24"/>
        </w:rPr>
        <w:t>Het EFSI-garantiefonds wordt geleidelijk o</w:t>
      </w:r>
      <w:r>
        <w:rPr>
          <w:noProof/>
          <w:sz w:val="24"/>
        </w:rPr>
        <w:t>pgebouwd naarmate het door de EU-garantie gedragen risico toeneemt.</w:t>
      </w:r>
    </w:p>
    <w:p w:rsidR="007876D5" w:rsidRDefault="00C97747">
      <w:pPr>
        <w:spacing w:before="240" w:after="240"/>
        <w:jc w:val="both"/>
        <w:rPr>
          <w:noProof/>
          <w:sz w:val="24"/>
          <w:szCs w:val="24"/>
        </w:rPr>
      </w:pPr>
      <w:r>
        <w:rPr>
          <w:noProof/>
          <w:sz w:val="24"/>
        </w:rPr>
        <w:t>De middelen van het EFSI-garantiefonds worden rechtstreeks beheerd door de Commissie en belegd met inachtneming van het beginsel van goed financieel beheer en van adequate prudentiële rege</w:t>
      </w:r>
      <w:r>
        <w:rPr>
          <w:noProof/>
          <w:sz w:val="24"/>
        </w:rPr>
        <w:t xml:space="preserve">ls. </w:t>
      </w:r>
    </w:p>
    <w:p w:rsidR="007876D5" w:rsidRDefault="00C97747">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28" w:name="_Toc449686525"/>
      <w:bookmarkStart w:id="29" w:name="_Toc449686556"/>
      <w:bookmarkStart w:id="30" w:name="_Toc449689409"/>
      <w:bookmarkStart w:id="31" w:name="_Toc449686526"/>
      <w:bookmarkStart w:id="32" w:name="_Toc449686557"/>
      <w:bookmarkStart w:id="33" w:name="_Toc449689410"/>
      <w:bookmarkStart w:id="34" w:name="_Toc449689411"/>
      <w:bookmarkStart w:id="35" w:name="_Toc449972640"/>
      <w:bookmarkStart w:id="36" w:name="_Toc450655344"/>
      <w:bookmarkEnd w:id="28"/>
      <w:bookmarkEnd w:id="29"/>
      <w:bookmarkEnd w:id="30"/>
      <w:bookmarkEnd w:id="31"/>
      <w:bookmarkEnd w:id="32"/>
      <w:bookmarkEnd w:id="33"/>
      <w:r>
        <w:rPr>
          <w:b/>
          <w:smallCaps/>
          <w:noProof/>
          <w:sz w:val="24"/>
        </w:rPr>
        <w:t>Financiële rekeningen</w:t>
      </w:r>
      <w:bookmarkEnd w:id="34"/>
      <w:bookmarkEnd w:id="35"/>
      <w:bookmarkEnd w:id="36"/>
    </w:p>
    <w:p w:rsidR="007876D5" w:rsidRDefault="00C97747">
      <w:pPr>
        <w:spacing w:before="240" w:after="240"/>
        <w:jc w:val="both"/>
        <w:rPr>
          <w:noProof/>
          <w:sz w:val="24"/>
          <w:szCs w:val="24"/>
        </w:rPr>
      </w:pPr>
      <w:r>
        <w:rPr>
          <w:noProof/>
          <w:sz w:val="24"/>
        </w:rPr>
        <w:t>Op 31 december 2015 waren er nog geen middelen in het EFSI-garantiefonds gestort. Het EFSI-garantiefonds is bijgevolg niet opgenomen in de geconsolideerde jaarrekening van de Europese Unie voor 2015.</w:t>
      </w:r>
    </w:p>
    <w:p w:rsidR="007876D5" w:rsidRDefault="00C97747">
      <w:pPr>
        <w:spacing w:before="240" w:after="240"/>
        <w:jc w:val="both"/>
        <w:rPr>
          <w:noProof/>
          <w:sz w:val="24"/>
          <w:szCs w:val="24"/>
        </w:rPr>
      </w:pPr>
      <w:r>
        <w:rPr>
          <w:rFonts w:eastAsiaTheme="minorHAnsi"/>
          <w:noProof/>
          <w:sz w:val="24"/>
        </w:rPr>
        <w:t xml:space="preserve">In de jaarrekening van de EU </w:t>
      </w:r>
      <w:r>
        <w:rPr>
          <w:rFonts w:eastAsiaTheme="minorHAnsi"/>
          <w:noProof/>
          <w:sz w:val="24"/>
        </w:rPr>
        <w:t xml:space="preserve">voor 2015 is een vordering van 1 399 423 EUR opgenomen die met de netto-inkomsten van de EU uit hoofde van de in 2015 door het EFSI gegarandeerde verrichtingen overeenstemt. Dat bedrag is in januari 2016 op de EFSI-rekening bijgeschreven. </w:t>
      </w:r>
    </w:p>
    <w:p w:rsidR="007876D5" w:rsidRDefault="00C97747">
      <w:pPr>
        <w:spacing w:before="240" w:after="240"/>
        <w:jc w:val="both"/>
        <w:rPr>
          <w:noProof/>
          <w:sz w:val="24"/>
          <w:szCs w:val="24"/>
        </w:rPr>
      </w:pPr>
      <w:r>
        <w:rPr>
          <w:noProof/>
          <w:sz w:val="24"/>
        </w:rPr>
        <w:t>Het door de EU g</w:t>
      </w:r>
      <w:r>
        <w:rPr>
          <w:noProof/>
          <w:sz w:val="24"/>
        </w:rPr>
        <w:t>elopen garantierisico in verband met lopende EFSI-verrichtingen in het kader waarvan uitbetalingen hebben plaatsgevonden, bedroeg op 31 december 2015 201 899 614 EUR, terwijl het door de EU gegarandeerde totale maximumbedrag 16 000 000 000 mag belopen (art</w:t>
      </w:r>
      <w:r>
        <w:rPr>
          <w:noProof/>
          <w:sz w:val="24"/>
        </w:rPr>
        <w:t>ikel 11 van de EFSI-verordening). Het bedrag van 201 899 614 EUR is als een voorwaardelijke verplichting vermeld in de toelichting bij de jaarrekening van de EU voor 2015.</w:t>
      </w:r>
    </w:p>
    <w:p w:rsidR="007876D5" w:rsidRDefault="00C97747">
      <w:pPr>
        <w:rPr>
          <w:b/>
          <w:noProof/>
          <w:sz w:val="24"/>
          <w:szCs w:val="24"/>
        </w:rPr>
      </w:pPr>
      <w:bookmarkStart w:id="37" w:name="_Toc449689412"/>
      <w:r>
        <w:rPr>
          <w:b/>
          <w:noProof/>
          <w:sz w:val="24"/>
        </w:rPr>
        <w:t>Belangrijke transacties</w:t>
      </w:r>
      <w:bookmarkEnd w:id="37"/>
      <w:r>
        <w:rPr>
          <w:b/>
          <w:noProof/>
          <w:sz w:val="24"/>
        </w:rPr>
        <w:t xml:space="preserve"> </w:t>
      </w:r>
    </w:p>
    <w:p w:rsidR="007876D5" w:rsidRDefault="00C97747">
      <w:pPr>
        <w:spacing w:before="240" w:after="240"/>
        <w:jc w:val="both"/>
        <w:rPr>
          <w:noProof/>
          <w:sz w:val="24"/>
          <w:szCs w:val="24"/>
        </w:rPr>
      </w:pPr>
      <w:r>
        <w:rPr>
          <w:noProof/>
          <w:sz w:val="24"/>
        </w:rPr>
        <w:t>In 2015 is een begrotingskrediet van 1,35 miljard EUR vastg</w:t>
      </w:r>
      <w:r>
        <w:rPr>
          <w:noProof/>
          <w:sz w:val="24"/>
        </w:rPr>
        <w:t xml:space="preserve">elegd dat is bestemd voor de voorziening van het EFSI-garantiefonds in 2016 en 2017. </w:t>
      </w:r>
    </w:p>
    <w:p w:rsidR="007876D5" w:rsidRDefault="00C97747">
      <w:pPr>
        <w:spacing w:before="240" w:after="240"/>
        <w:jc w:val="both"/>
        <w:rPr>
          <w:noProof/>
          <w:sz w:val="24"/>
          <w:szCs w:val="24"/>
        </w:rPr>
      </w:pPr>
      <w:r>
        <w:rPr>
          <w:noProof/>
          <w:sz w:val="24"/>
        </w:rPr>
        <w:t>Het is vermeld in het hoofdstuk "Begrotingsvastleggingen met betrekking tot nog niet gebruikte kredieten" van de toelichting bij de jaarrekening van de EU voor 2015.</w:t>
      </w:r>
    </w:p>
    <w:p w:rsidR="007876D5" w:rsidRDefault="00C97747">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38" w:name="_Toc449689413"/>
      <w:bookmarkStart w:id="39" w:name="_Toc449689414"/>
      <w:bookmarkStart w:id="40" w:name="_Toc449972641"/>
      <w:bookmarkStart w:id="41" w:name="_Toc450655345"/>
      <w:bookmarkEnd w:id="38"/>
      <w:r>
        <w:rPr>
          <w:b/>
          <w:smallCaps/>
          <w:noProof/>
          <w:sz w:val="24"/>
        </w:rPr>
        <w:t>Behe</w:t>
      </w:r>
      <w:r>
        <w:rPr>
          <w:b/>
          <w:smallCaps/>
          <w:noProof/>
          <w:sz w:val="24"/>
        </w:rPr>
        <w:t>er van het EFSI-garantiefonds in 2015</w:t>
      </w:r>
      <w:bookmarkEnd w:id="39"/>
      <w:bookmarkEnd w:id="40"/>
      <w:bookmarkEnd w:id="41"/>
    </w:p>
    <w:p w:rsidR="007876D5" w:rsidRDefault="00C97747">
      <w:pPr>
        <w:spacing w:before="240" w:after="240"/>
        <w:jc w:val="both"/>
        <w:rPr>
          <w:noProof/>
          <w:sz w:val="24"/>
          <w:szCs w:val="24"/>
        </w:rPr>
      </w:pPr>
      <w:r>
        <w:rPr>
          <w:noProof/>
          <w:sz w:val="24"/>
        </w:rPr>
        <w:t>Op 21 januari 2016 heeft de Commissie Besluit C(2016)165 tot goedkeuring van de richtsnoeren voor het beheer van de activa van het garantiefonds van het Europees Fonds voor strategische investeringen aangenomen.</w:t>
      </w:r>
    </w:p>
    <w:p w:rsidR="007876D5" w:rsidRDefault="00C97747">
      <w:pPr>
        <w:pStyle w:val="ListParagraph"/>
        <w:spacing w:before="240" w:after="240"/>
        <w:ind w:left="0"/>
        <w:jc w:val="both"/>
        <w:rPr>
          <w:noProof/>
          <w:sz w:val="24"/>
          <w:szCs w:val="24"/>
        </w:rPr>
      </w:pPr>
      <w:r>
        <w:rPr>
          <w:noProof/>
          <w:sz w:val="24"/>
        </w:rPr>
        <w:t>In 201</w:t>
      </w:r>
      <w:r>
        <w:rPr>
          <w:noProof/>
          <w:sz w:val="24"/>
        </w:rPr>
        <w:t>5 zijn er op geen enkel moment middelen in het EFSI-garantiefonds gestort. Het eerste verslag over het financieel beheer, de prestaties en het risico van de activa van het EFSI-garantiefonds zal derhalve in 2017 worden gepresenteerd voor het jaar 2016.</w:t>
      </w:r>
    </w:p>
    <w:p w:rsidR="007876D5" w:rsidRDefault="00C97747">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42" w:name="_Toc449689415"/>
      <w:bookmarkStart w:id="43" w:name="_Toc449972642"/>
      <w:bookmarkStart w:id="44" w:name="_Toc450655346"/>
      <w:r>
        <w:rPr>
          <w:b/>
          <w:smallCaps/>
          <w:noProof/>
          <w:sz w:val="24"/>
        </w:rPr>
        <w:t>Beo</w:t>
      </w:r>
      <w:r>
        <w:rPr>
          <w:b/>
          <w:smallCaps/>
          <w:noProof/>
          <w:sz w:val="24"/>
        </w:rPr>
        <w:t>ordeling van de toereikendheid van het streefbedrag en de omvang van het EFSI-garantiefonds</w:t>
      </w:r>
      <w:bookmarkEnd w:id="42"/>
      <w:bookmarkEnd w:id="43"/>
      <w:bookmarkEnd w:id="44"/>
    </w:p>
    <w:p w:rsidR="007876D5" w:rsidRDefault="00C97747">
      <w:pPr>
        <w:spacing w:before="240" w:after="240"/>
        <w:jc w:val="both"/>
        <w:rPr>
          <w:noProof/>
          <w:sz w:val="24"/>
          <w:szCs w:val="24"/>
        </w:rPr>
      </w:pPr>
      <w:r>
        <w:rPr>
          <w:noProof/>
          <w:sz w:val="24"/>
        </w:rPr>
        <w:t xml:space="preserve">Eind 2015 had de EIB overeenkomsten met betrekking tot tien verrichtingen met EFSI-garantiedekking ondertekend voor een totaalbedrag van 1 155 miljoen EUR, waarvan </w:t>
      </w:r>
      <w:r>
        <w:rPr>
          <w:noProof/>
          <w:sz w:val="24"/>
        </w:rPr>
        <w:t>202 miljoen EUR was uitgekeerd. Eventuele uit deze verrichtingen voortvloeiende verliezen zullen door de EU-garantie worden gedekt in overeenstemming met de voorwaarden die in de EFSI-overeenkomst zijn vastgelegd. De EU-garantie in het kader van het venste</w:t>
      </w:r>
      <w:r>
        <w:rPr>
          <w:noProof/>
          <w:sz w:val="24"/>
        </w:rPr>
        <w:t>r "infrastructuur en innovatie" wordt met name verleend in de vorm van een dekking van een eersteverliestranche voor de verstrekking van vreemd vermogen door de EIB en in de vorm van een volledige garantie voor de verstrekking van (quasi-)eigen vermogen wa</w:t>
      </w:r>
      <w:r>
        <w:rPr>
          <w:noProof/>
          <w:sz w:val="24"/>
        </w:rPr>
        <w:t xml:space="preserve">arbij de EIB voor eigen risico op voet van gelijkheid met andere investeerders eenzelfde bedrag investeert. </w:t>
      </w:r>
    </w:p>
    <w:p w:rsidR="007876D5" w:rsidRDefault="00C97747">
      <w:pPr>
        <w:spacing w:before="240" w:after="240"/>
        <w:jc w:val="both"/>
        <w:rPr>
          <w:noProof/>
          <w:sz w:val="24"/>
          <w:szCs w:val="24"/>
        </w:rPr>
      </w:pPr>
      <w:r>
        <w:rPr>
          <w:noProof/>
          <w:sz w:val="24"/>
        </w:rPr>
        <w:t>De in 2015 ondertekende overeenkomsten met betrekking tot EIF-verrichtingen met EFSI-garantiedekking zijn goed voor circa 398 miljoen EUR. Eventuel</w:t>
      </w:r>
      <w:r>
        <w:rPr>
          <w:noProof/>
          <w:sz w:val="24"/>
        </w:rPr>
        <w:t>e uit deze verrichtingen voortvloeiende verliezen zullen in de eerste plaats worden gedekt door bijdragen uit de InnovFin-garantiefaciliteit voor kmo's en uit de leninggarantiefaciliteit van Cosme.</w:t>
      </w:r>
    </w:p>
    <w:p w:rsidR="007876D5" w:rsidRDefault="00C97747">
      <w:pPr>
        <w:spacing w:before="240" w:after="240"/>
        <w:jc w:val="both"/>
        <w:rPr>
          <w:noProof/>
          <w:sz w:val="24"/>
          <w:szCs w:val="24"/>
        </w:rPr>
      </w:pPr>
      <w:r>
        <w:rPr>
          <w:noProof/>
          <w:sz w:val="24"/>
        </w:rPr>
        <w:t>Overeenkomstig de EFSI-verordening is het streefbedrag van</w:t>
      </w:r>
      <w:r>
        <w:rPr>
          <w:noProof/>
          <w:sz w:val="24"/>
        </w:rPr>
        <w:t xml:space="preserve"> het EFSI-garantiefonds vastgesteld op 50 % van de totale EU-garantieverplichtingen, die momenteel 16 miljard EUR bedragen. In het licht van de vrij beperkte omvang van de in de periode tot eind 2015 ondertekende overeenkomsten en gedane uitbetalingen zijn</w:t>
      </w:r>
      <w:r>
        <w:rPr>
          <w:noProof/>
          <w:sz w:val="24"/>
        </w:rPr>
        <w:t xml:space="preserve"> er onvoldoende elementen beschikbaar om een beoordeling van de toereikendheid van het streefbedrag uit te voeren op basis van de verrichtingen die daadwerkelijk hebben plaatsgevonden. Het eerste verslag over de beoordeling van de toereikendheid van het st</w:t>
      </w:r>
      <w:r>
        <w:rPr>
          <w:noProof/>
          <w:sz w:val="24"/>
        </w:rPr>
        <w:t xml:space="preserve">reefbedrag en de omvang van het EFSI-garantiefonds zal derhalve uiterlijk op 31 mei 2017 worden gepresenteerd voor het jaar 2016. </w:t>
      </w:r>
    </w:p>
    <w:p w:rsidR="007876D5" w:rsidRDefault="00C97747">
      <w:pPr>
        <w:spacing w:before="240" w:after="240"/>
        <w:jc w:val="both"/>
        <w:rPr>
          <w:noProof/>
          <w:sz w:val="24"/>
          <w:szCs w:val="24"/>
        </w:rPr>
      </w:pPr>
      <w:r>
        <w:rPr>
          <w:noProof/>
          <w:sz w:val="24"/>
        </w:rPr>
        <w:t>Momenteel wordt er in de EU-begroting van uitgegaan dat er in de loop van 2016 circa 500 miljoen EUR in het EFSI-garantiefond</w:t>
      </w:r>
      <w:r>
        <w:rPr>
          <w:noProof/>
          <w:sz w:val="24"/>
        </w:rPr>
        <w:t>s zal worden gestort.</w:t>
      </w:r>
    </w:p>
    <w:p w:rsidR="007876D5" w:rsidRDefault="00C97747">
      <w:pPr>
        <w:spacing w:before="240" w:after="240"/>
        <w:jc w:val="both"/>
        <w:rPr>
          <w:noProof/>
          <w:sz w:val="24"/>
          <w:szCs w:val="24"/>
        </w:rPr>
      </w:pPr>
      <w:r>
        <w:rPr>
          <w:noProof/>
          <w:sz w:val="24"/>
        </w:rPr>
        <w:t xml:space="preserve">Aangezien wordt verwacht dat de omvang van de portefeuille EFSI-verrichtingen mettertijd aanzienlijk zal toenemen en dat er tijdens de EFSI-programmeringsperiode tevens van budgettaire beperkingen sprake zal zijn, zal de Commissie in </w:t>
      </w:r>
      <w:r>
        <w:rPr>
          <w:noProof/>
          <w:sz w:val="24"/>
        </w:rPr>
        <w:t>de toekomst gedetailleerdere evaluaties verrichten.</w:t>
      </w:r>
    </w:p>
    <w:p w:rsidR="007876D5" w:rsidRDefault="007876D5">
      <w:pPr>
        <w:spacing w:before="240" w:after="240"/>
        <w:jc w:val="both"/>
        <w:rPr>
          <w:noProof/>
        </w:rPr>
      </w:pPr>
    </w:p>
    <w:sectPr w:rsidR="007876D5">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6D5" w:rsidRDefault="00C97747">
      <w:r>
        <w:separator/>
      </w:r>
    </w:p>
  </w:endnote>
  <w:endnote w:type="continuationSeparator" w:id="0">
    <w:p w:rsidR="007876D5" w:rsidRDefault="00C97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747" w:rsidRPr="00C97747" w:rsidRDefault="00C97747" w:rsidP="00C977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747" w:rsidRPr="00C97747" w:rsidRDefault="00C97747" w:rsidP="00C97747">
    <w:pPr>
      <w:pStyle w:val="FooterCoverPage"/>
      <w:rPr>
        <w:rFonts w:ascii="Arial" w:hAnsi="Arial" w:cs="Arial"/>
        <w:b/>
        <w:sz w:val="48"/>
      </w:rPr>
    </w:pPr>
    <w:r w:rsidRPr="00C97747">
      <w:rPr>
        <w:rFonts w:ascii="Arial" w:hAnsi="Arial" w:cs="Arial"/>
        <w:b/>
        <w:sz w:val="48"/>
      </w:rPr>
      <w:t>NL</w:t>
    </w:r>
    <w:r w:rsidRPr="00C97747">
      <w:rPr>
        <w:rFonts w:ascii="Arial" w:hAnsi="Arial" w:cs="Arial"/>
        <w:b/>
        <w:sz w:val="48"/>
      </w:rPr>
      <w:tab/>
    </w:r>
    <w:r w:rsidRPr="00C97747">
      <w:rPr>
        <w:rFonts w:ascii="Arial" w:hAnsi="Arial" w:cs="Arial"/>
        <w:b/>
        <w:sz w:val="48"/>
      </w:rPr>
      <w:tab/>
    </w:r>
    <w:fldSimple w:instr=" DOCVARIABLE &quot;LW_Confidence&quot; \* MERGEFORMAT ">
      <w:r>
        <w:t xml:space="preserve"> </w:t>
      </w:r>
    </w:fldSimple>
    <w:r w:rsidRPr="00C97747">
      <w:tab/>
    </w:r>
    <w:r w:rsidRPr="00C97747">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747" w:rsidRPr="00C97747" w:rsidRDefault="00C97747" w:rsidP="00C97747">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rsidR="007876D5" w:rsidRDefault="00C977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876D5" w:rsidRDefault="007876D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rsidR="007876D5" w:rsidRDefault="00C97747">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7876D5" w:rsidRDefault="007876D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6D5" w:rsidRDefault="00C97747">
      <w:r>
        <w:separator/>
      </w:r>
    </w:p>
  </w:footnote>
  <w:footnote w:type="continuationSeparator" w:id="0">
    <w:p w:rsidR="007876D5" w:rsidRDefault="00C97747">
      <w:r>
        <w:continuationSeparator/>
      </w:r>
    </w:p>
  </w:footnote>
  <w:footnote w:id="1">
    <w:p w:rsidR="007876D5" w:rsidRDefault="00C97747">
      <w:pPr>
        <w:pStyle w:val="FootnoteText"/>
      </w:pPr>
      <w:r>
        <w:rPr>
          <w:rStyle w:val="FootnoteReference"/>
        </w:rPr>
        <w:footnoteRef/>
      </w:r>
      <w:r>
        <w:tab/>
        <w:t>PB L 169 van 1.7.2015, blz.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747" w:rsidRPr="00C97747" w:rsidRDefault="00C97747" w:rsidP="00C977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747" w:rsidRPr="00C97747" w:rsidRDefault="00C97747" w:rsidP="00C97747">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747" w:rsidRPr="00C97747" w:rsidRDefault="00C97747" w:rsidP="00C97747">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D5" w:rsidRDefault="007876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E1CA57650D0D49428B37B1DE28E68848"/>
    <w:docVar w:name="LW_CROSSREFERENCE" w:val="&lt;UNUSED&gt;"/>
    <w:docVar w:name="LW_DocType" w:val="NORMAL"/>
    <w:docVar w:name="LW_EMISSION" w:val="31.5.2016"/>
    <w:docVar w:name="LW_EMISSION_ISODATE" w:val="2016-05-31"/>
    <w:docVar w:name="LW_EMISSION_LOCATION" w:val="BRX"/>
    <w:docVar w:name="LW_EMISSION_PREFIX" w:val="Brussel, "/>
    <w:docVar w:name="LW_EMISSION_SUFFIX" w:val=" "/>
    <w:docVar w:name="LW_ID_DOCTYPE_NONLW" w:val="CP-035"/>
    <w:docVar w:name="LW_LANGUE" w:val="NL"/>
    <w:docVar w:name="LW_MARKING" w:val="&lt;UNUSED&gt;"/>
    <w:docVar w:name="LW_NOM.INST" w:val="EUROPESE COMMISSI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OVER HET BEHEER VAN HET GARANTIEFONDS VAN HET EUROPEES FONDS VOOR STRATEGISCHE INVESTERINGEN IN 2015"/>
    <w:docVar w:name="LW_TYPE.DOC.CP" w:val="VERSLAG VAN DE COMMISSIE AAN HET EUROPEES PARLEMENT, DE RAAD EN DE EUROPESE REKENKAMER"/>
  </w:docVars>
  <w:rsids>
    <w:rsidRoot w:val="007876D5"/>
    <w:rsid w:val="007876D5"/>
    <w:rsid w:val="00C977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nl-NL"/>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nl-NL"/>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nl-NL"/>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nl-NL"/>
    </w:rPr>
  </w:style>
  <w:style w:type="character" w:customStyle="1" w:styleId="Heading6Char">
    <w:name w:val="Heading 6 Char"/>
    <w:basedOn w:val="DefaultParagraphFont"/>
    <w:link w:val="Heading6"/>
    <w:rPr>
      <w:rFonts w:ascii="Times New Roman" w:eastAsia="Times New Roman" w:hAnsi="Times New Roman" w:cs="Times New Roman"/>
      <w:b/>
      <w:bCs/>
      <w:lang w:eastAsia="nl-NL"/>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nl-NL"/>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nl-NL"/>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nl-N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nl-NL"/>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nl-NL"/>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nl-NL"/>
    </w:rPr>
  </w:style>
  <w:style w:type="paragraph" w:styleId="TOCHeading">
    <w:name w:val="TOC Heading"/>
    <w:basedOn w:val="Heading1"/>
    <w:next w:val="Normal"/>
    <w:uiPriority w:val="39"/>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nl-N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nl-N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nl-NL"/>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nl-NL"/>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nl-NL"/>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nl-NL"/>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nl-NL"/>
    </w:rPr>
  </w:style>
  <w:style w:type="character" w:customStyle="1" w:styleId="Heading6Char">
    <w:name w:val="Heading 6 Char"/>
    <w:basedOn w:val="DefaultParagraphFont"/>
    <w:link w:val="Heading6"/>
    <w:rPr>
      <w:rFonts w:ascii="Times New Roman" w:eastAsia="Times New Roman" w:hAnsi="Times New Roman" w:cs="Times New Roman"/>
      <w:b/>
      <w:bCs/>
      <w:lang w:eastAsia="nl-NL"/>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nl-NL"/>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nl-NL"/>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nl-N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nl-NL"/>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nl-NL"/>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nl-NL"/>
    </w:rPr>
  </w:style>
  <w:style w:type="paragraph" w:styleId="TOCHeading">
    <w:name w:val="TOC Heading"/>
    <w:basedOn w:val="Heading1"/>
    <w:next w:val="Normal"/>
    <w:uiPriority w:val="39"/>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nl-N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nl-N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nl-NL"/>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E89E3-84DB-4BF2-AFB9-14E8E7754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5</Pages>
  <Words>1357</Words>
  <Characters>7803</Characters>
  <Application>Microsoft Office Word</Application>
  <DocSecurity>0</DocSecurity>
  <Lines>129</Lines>
  <Paragraphs>34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9133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27</cp:revision>
  <cp:lastPrinted>2016-05-10T12:56:00Z</cp:lastPrinted>
  <dcterms:created xsi:type="dcterms:W3CDTF">2016-05-04T10:30:00Z</dcterms:created>
  <dcterms:modified xsi:type="dcterms:W3CDTF">2016-05-30T15:24:00Z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