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AD3E75CC06844408C141B1C84F5A3F3" style="width:450.8pt;height:586pt">
            <v:imagedata r:id="rId9" o:title=""/>
          </v:shape>
        </w:pict>
      </w:r>
    </w:p>
    <w:bookmarkEnd w:id="0"/>
    <w:p>
      <w:pPr>
        <w:spacing w:line="240" w:lineRule="auto"/>
        <w:rPr>
          <w:rFonts w:ascii="Times New Roman" w:hAnsi="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tbl>
      <w:tblPr>
        <w:tblStyle w:val="TableGrid3"/>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line="240" w:lineRule="auto"/>
              <w:jc w:val="center"/>
              <w:rPr>
                <w:b/>
                <w:noProof/>
                <w:sz w:val="24"/>
                <w:szCs w:val="24"/>
              </w:rPr>
            </w:pPr>
            <w:bookmarkStart w:id="1" w:name="_Toc421891865"/>
            <w:bookmarkStart w:id="2" w:name="_GoBack"/>
            <w:bookmarkEnd w:id="2"/>
            <w:r>
              <w:rPr>
                <w:b/>
                <w:noProof/>
                <w:sz w:val="24"/>
              </w:rPr>
              <w:lastRenderedPageBreak/>
              <w:t>Samenvatting</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line="240" w:lineRule="auto"/>
              <w:jc w:val="both"/>
              <w:rPr>
                <w:noProof/>
                <w:sz w:val="24"/>
                <w:szCs w:val="24"/>
              </w:rPr>
            </w:pPr>
            <w:r>
              <w:rPr>
                <w:noProof/>
                <w:color w:val="FFFFFF" w:themeColor="background1"/>
                <w:sz w:val="24"/>
              </w:rPr>
              <w:t>Effectbeoordeling van het voorstel voor een verordening betreffende securitisatie</w:t>
            </w:r>
          </w:p>
        </w:tc>
      </w:tr>
      <w:tr>
        <w:tc>
          <w:tcPr>
            <w:tcW w:w="10188" w:type="dxa"/>
            <w:tcBorders>
              <w:bottom w:val="single" w:sz="4" w:space="0" w:color="auto"/>
            </w:tcBorders>
            <w:shd w:val="clear" w:color="auto" w:fill="CCCCCC"/>
          </w:tcPr>
          <w:p>
            <w:pPr>
              <w:spacing w:before="60" w:after="60" w:line="240" w:lineRule="auto"/>
              <w:jc w:val="center"/>
              <w:rPr>
                <w:b/>
                <w:noProof/>
                <w:sz w:val="24"/>
                <w:szCs w:val="24"/>
              </w:rPr>
            </w:pPr>
            <w:r>
              <w:rPr>
                <w:b/>
                <w:noProof/>
                <w:sz w:val="24"/>
              </w:rPr>
              <w:t>A. Maatregelen zijn nodig</w:t>
            </w:r>
          </w:p>
        </w:tc>
      </w:tr>
      <w:tr>
        <w:tc>
          <w:tcPr>
            <w:tcW w:w="10188" w:type="dxa"/>
            <w:tcBorders>
              <w:bottom w:val="single" w:sz="4" w:space="0" w:color="auto"/>
            </w:tcBorders>
            <w:shd w:val="clear" w:color="auto" w:fill="E0E0E0"/>
          </w:tcPr>
          <w:p>
            <w:pPr>
              <w:spacing w:before="60" w:after="60" w:line="240" w:lineRule="auto"/>
              <w:jc w:val="both"/>
              <w:rPr>
                <w:noProof/>
                <w:sz w:val="24"/>
                <w:szCs w:val="24"/>
              </w:rPr>
            </w:pPr>
            <w:r>
              <w:rPr>
                <w:b/>
                <w:noProof/>
                <w:sz w:val="24"/>
              </w:rPr>
              <w:t xml:space="preserve">Waarom? Wat is het probleem?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 xml:space="preserve">Vóór de crisis was de securitisatiemarkt als belangrijk financieringskanaal voor de Europese economie in volle groei. Deze markt kon zich tijdens de crisis goed staande houden, de verliezen waren verwaarloosbaar. Maar praktijken en gebeurtenissen elders, hoofdzakelijk in de VS, hebben het imago van securitisatie besmeurd. Dit stigma komt naar voren in het beeld dat beleggers hebben van de securitisatierisico's in de EU en ook in de regelgeving voor securitisatie die voornamelijk is gekalibreerd op de verliezen op de Amerikaanse markt. Omdat de verliezen door securitisatie in de VS een veelvoud vormen van die in de EU, wordt securitisatie in de EU door de regelgeving stiefmoederlijk behandeld. </w:t>
            </w:r>
          </w:p>
          <w:p>
            <w:pPr>
              <w:spacing w:after="0" w:line="240" w:lineRule="auto"/>
              <w:jc w:val="both"/>
              <w:rPr>
                <w:noProof/>
                <w:sz w:val="24"/>
                <w:szCs w:val="24"/>
              </w:rPr>
            </w:pPr>
            <w:r>
              <w:rPr>
                <w:noProof/>
                <w:sz w:val="24"/>
              </w:rPr>
              <w:t xml:space="preserve">Als gevolg van dat stigma en van de regelgevende behandeling is de securitisatiemarkt in de EU tot stilstand gekomen en is de economie van de EU een kanaal voor financiering kwijtgeraakt. Zonder securitisatie kunnen banken maar in beperkte mate activa verkopen. Bijgevolg zien zij zich in de huidige context van schuldafbouw vaak gedwongen hun balanstotaal te verkleinen door minder krediet te verstrekken. In Europa gebeurt 80 % van de financiële bemiddeling via banken, dus zijn de gevolgen voor de groei aanzienlijk. Het herstel zonder krediet verloopt stroef en belemmert de groei en het scheppen van banen.  </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 xml:space="preserve">Wat is het doel van dit initiatief?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Het algemene doel van dit initiatief is het doen heropleven van een betrouwbare securitisatiemarkt met het oog op een betere financiering van de economie in de EU, wat de link tussen bancaire schuldafbouw en kredietschaarste op korte termijn zal doen vervagen en op lange termijn een evenwichtigere en stabielere financieringsstructuur voor de economie van de EU zal opleveren. Concreet moet dat worden verwezenlijkt door te differentiëren tussen eenvoudige, transparante en gestandaardiseerde securitisatieproducten (STS), die een duurzaam financieringskanaal kunnen vormen voor de Europese economie, en meer gecompliceerde en ondoorzichtige producten. Vervolgens moet werk worden gemaakt van de standaardisering van de procedures en praktijken op de securitisatiemarkten en moeten inconsistenties in de regelgeving verdwijnen. Het succes van deze maatregelen zal worden afgemeten aan het verschil in prijs en het aantal uitgiften van STS-producten en van andere dan STS-producten.</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Wat is de meerwaarde van maatregelen op EU-niveau?</w:t>
            </w:r>
            <w:r>
              <w:rPr>
                <w:noProof/>
                <w:sz w:val="24"/>
              </w:rPr>
              <w:t xml:space="preserve">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Securitisatieproducten maken deel uit van de EU-kapitaalmarkten, die open en geïntegreerd zijn. Securitisatie verbindt financiële instellingen uit verschillende lidstaten en niet-lidstaten. Vaak initiëren banken de leningen die gesecuritiseerd worden, terwijl financiële instellingen zoals verzekeraars en beleggingsinstellingen grensoverschrijdend ook over de Europese grenzen heen in deze producten beleggen. De regelgeving voor securitisatie is bovendien grotendeels gebaseerd op EU-wetgeving. Differentiatie van STS-producten kan daarom alleen worden bereikt met een initiatief op EU-niveau.</w:t>
            </w:r>
          </w:p>
        </w:tc>
      </w:tr>
      <w:tr>
        <w:tc>
          <w:tcPr>
            <w:tcW w:w="10188" w:type="dxa"/>
            <w:tcBorders>
              <w:bottom w:val="single" w:sz="4" w:space="0" w:color="auto"/>
            </w:tcBorders>
            <w:shd w:val="clear" w:color="auto" w:fill="CCCCCC"/>
          </w:tcPr>
          <w:p>
            <w:pPr>
              <w:spacing w:before="60" w:after="60" w:line="240" w:lineRule="auto"/>
              <w:jc w:val="center"/>
              <w:rPr>
                <w:b/>
                <w:noProof/>
                <w:sz w:val="24"/>
                <w:szCs w:val="24"/>
              </w:rPr>
            </w:pPr>
            <w:r>
              <w:rPr>
                <w:b/>
                <w:noProof/>
                <w:sz w:val="24"/>
              </w:rPr>
              <w:t>B. Oplossingen</w:t>
            </w:r>
          </w:p>
        </w:tc>
      </w:tr>
      <w:tr>
        <w:tc>
          <w:tcPr>
            <w:tcW w:w="10188" w:type="dxa"/>
            <w:tcBorders>
              <w:bottom w:val="single" w:sz="4" w:space="0" w:color="auto"/>
            </w:tcBorders>
            <w:shd w:val="clear" w:color="auto" w:fill="E6E6E6"/>
          </w:tcPr>
          <w:p>
            <w:pPr>
              <w:spacing w:before="60" w:after="0" w:line="240" w:lineRule="auto"/>
              <w:jc w:val="both"/>
              <w:rPr>
                <w:noProof/>
                <w:sz w:val="24"/>
                <w:szCs w:val="24"/>
              </w:rPr>
            </w:pPr>
            <w:r>
              <w:rPr>
                <w:b/>
                <w:noProof/>
                <w:sz w:val="24"/>
              </w:rPr>
              <w:t>Welke wetgevende en niet-wetgevende beleidsmaatregelen worden overwogen?</w:t>
            </w:r>
            <w:r>
              <w:rPr>
                <w:noProof/>
                <w:sz w:val="24"/>
              </w:rPr>
              <w:t xml:space="preserve"> </w:t>
            </w:r>
            <w:r>
              <w:rPr>
                <w:b/>
                <w:noProof/>
                <w:sz w:val="24"/>
              </w:rPr>
              <w:t xml:space="preserve">Heeft een bepaalde optie de voorkeur? Waarom?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Voor de invoering van STS-criteria zijn een aantal opties overwogen: aanpassing van het regelgevingskader om rekening te houden met het verschillende risicoprofiel van STS-producten en standaardisering van de bouwstenen van de securitisatiewetgeving (d.w.z. definities, openbaarmakings- en duediligencevereisten). Op elk gebied zijn drie opties onderzocht: geen maatregelen, wetgevend en niet-wetgevend handelen.</w:t>
            </w:r>
          </w:p>
          <w:p>
            <w:pPr>
              <w:spacing w:after="0" w:line="240" w:lineRule="auto"/>
              <w:jc w:val="both"/>
              <w:rPr>
                <w:noProof/>
                <w:sz w:val="24"/>
                <w:szCs w:val="24"/>
              </w:rPr>
            </w:pPr>
            <w:r>
              <w:rPr>
                <w:noProof/>
                <w:sz w:val="24"/>
              </w:rPr>
              <w:t>De voorkeur gaat uit naar een wetgevende handeling die STS-criteria en een gedifferentieerd regelgevingskader voor STS-producten invoert en de bouwstenen van de securitisatiewetgeving standaardiseert (d.w.z. definities, openbaarmakings- en duediligencevereisten). Die optie zou differentiatie moeten bewerkstelligen en de regelgevende behandeling risicogevoeliger moeten maken dan thans het geval is. Bovendien zouden de bestaande heterogene bepalingen in de EU-wetgeving voor de definitie van securitisatie en de openbaarmakings- en duediligencevereisten hierdoor worden gestandaardiseerd. Dat moet het stigma helpen wegnemen en een betrouwbare en duurzame securitisatiemarkt nieuw leven inblazen.</w:t>
            </w:r>
          </w:p>
        </w:tc>
      </w:tr>
      <w:tr>
        <w:tc>
          <w:tcPr>
            <w:tcW w:w="10188" w:type="dxa"/>
            <w:shd w:val="clear" w:color="auto" w:fill="CCCCCC"/>
          </w:tcPr>
          <w:p>
            <w:pPr>
              <w:spacing w:before="60" w:after="0" w:line="240" w:lineRule="auto"/>
              <w:jc w:val="both"/>
              <w:rPr>
                <w:noProof/>
                <w:sz w:val="24"/>
                <w:szCs w:val="24"/>
              </w:rPr>
            </w:pPr>
            <w:r>
              <w:rPr>
                <w:b/>
                <w:noProof/>
                <w:sz w:val="24"/>
              </w:rPr>
              <w:t xml:space="preserve">Wie steunt welke optie? </w:t>
            </w:r>
          </w:p>
        </w:tc>
      </w:tr>
      <w:tr>
        <w:tc>
          <w:tcPr>
            <w:tcW w:w="10188" w:type="dxa"/>
            <w:shd w:val="clear" w:color="auto" w:fill="auto"/>
          </w:tcPr>
          <w:p>
            <w:pPr>
              <w:spacing w:after="0" w:line="240" w:lineRule="auto"/>
              <w:jc w:val="both"/>
              <w:rPr>
                <w:noProof/>
                <w:sz w:val="24"/>
                <w:szCs w:val="24"/>
              </w:rPr>
            </w:pPr>
            <w:r>
              <w:rPr>
                <w:noProof/>
                <w:sz w:val="24"/>
              </w:rPr>
              <w:t xml:space="preserve">De overgrote meerderheid van de belanghebbenden is gewonnen voor dit initiatief. Er is geen verschil in mening volgens categorie van respondenten, de overgrote meerderheid van de wetgevers, centrale banken, regulators, toezichthouders, marktspelers en denktanks is voor dit initiatief. </w:t>
            </w:r>
          </w:p>
        </w:tc>
      </w:tr>
    </w:tbl>
    <w:p>
      <w:pPr>
        <w:spacing w:after="0" w:line="240" w:lineRule="auto"/>
        <w:rPr>
          <w:rFonts w:ascii="Times New Roman" w:eastAsia="Times New Roman" w:hAnsi="Times New Roman"/>
          <w:noProof/>
          <w:sz w:val="24"/>
          <w:szCs w:val="24"/>
        </w:rPr>
      </w:pPr>
    </w:p>
    <w:tbl>
      <w:tblPr>
        <w:tblStyle w:val="TableGrid3"/>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line="240" w:lineRule="auto"/>
              <w:jc w:val="center"/>
              <w:rPr>
                <w:b/>
                <w:noProof/>
                <w:sz w:val="24"/>
                <w:szCs w:val="24"/>
              </w:rPr>
            </w:pPr>
            <w:r>
              <w:rPr>
                <w:b/>
                <w:noProof/>
                <w:sz w:val="24"/>
              </w:rPr>
              <w:t>C. Gevolgen van de voorkeursoptie</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rPr>
              <w:t>Wat zijn de voordelen van de voorkeursoptie (enkel de belangrijkste)?</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 xml:space="preserve">Voor zover de voorgestelde maatregelen de economie in de EU een nieuw financieringskanaal verschaffen dat minder onderhevig is aan allerlei restricties in de banksector, zullen zij de gevolgen van financiële crises voor de kredietverstrekking en dus de groei en de werkgelegenheid afzwakken. De sociale kosten van de crisis zullen worden teruggedrongen. Daarnaast zullen deze maatregelen de opkomst stimuleren van securitisatiestructuren waarvan de risico’s kunnen worden geanalyseerd, doorgrond en becijferd, ten behoeve van een securitisatiemarkt die zorgt voor een betere financiering van de economie in een context van financiële stabiliteit. </w:t>
            </w:r>
          </w:p>
          <w:p>
            <w:pPr>
              <w:spacing w:after="0" w:line="240" w:lineRule="auto"/>
              <w:jc w:val="both"/>
              <w:rPr>
                <w:i/>
                <w:noProof/>
                <w:sz w:val="24"/>
                <w:szCs w:val="24"/>
              </w:rPr>
            </w:pPr>
            <w:r>
              <w:rPr>
                <w:noProof/>
                <w:sz w:val="24"/>
              </w:rPr>
              <w:t>Niets lijkt erop te wijzen dat de voorgestelde maatregelen rechtstreekse of onrechtstreekse gevolgen voor het milieu zullen hebben.</w:t>
            </w:r>
            <w:r>
              <w:rPr>
                <w:i/>
                <w:noProof/>
                <w:sz w:val="24"/>
              </w:rPr>
              <w:t xml:space="preserve"> </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Wat zijn de kosten van de voorkeursoptie (enkel de belangrijkste)?</w:t>
            </w:r>
            <w:r>
              <w:rPr>
                <w:noProof/>
                <w:sz w:val="24"/>
              </w:rPr>
              <w:t xml:space="preserve"> </w:t>
            </w:r>
          </w:p>
        </w:tc>
      </w:tr>
      <w:tr>
        <w:tc>
          <w:tcPr>
            <w:tcW w:w="10188" w:type="dxa"/>
            <w:tcBorders>
              <w:bottom w:val="single" w:sz="4" w:space="0" w:color="auto"/>
            </w:tcBorders>
            <w:shd w:val="clear" w:color="auto" w:fill="auto"/>
          </w:tcPr>
          <w:p>
            <w:pPr>
              <w:spacing w:after="0" w:line="240" w:lineRule="auto"/>
              <w:jc w:val="both"/>
              <w:rPr>
                <w:i/>
                <w:noProof/>
                <w:sz w:val="24"/>
                <w:szCs w:val="24"/>
              </w:rPr>
            </w:pPr>
            <w:r>
              <w:rPr>
                <w:noProof/>
                <w:sz w:val="24"/>
              </w:rPr>
              <w:t>Behalve de kosten voor marktdeelnemers en overheden om zich aan te passen aan het nieuwe regelgevingskader, zouden geen sociale en economische kosten van betekenis mogen ontstaan. Niets lijkt erop te wijzen dat de voorgestelde maatregelen rechtstreekse of onrechtstreekse gevolgen voor het milieu zullen hebben.</w:t>
            </w:r>
            <w:r>
              <w:rPr>
                <w:i/>
                <w:noProof/>
                <w:sz w:val="24"/>
              </w:rPr>
              <w:t xml:space="preserve"> </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 xml:space="preserve">Wat zijn de gevolgen voor bedrijven, voor het mkb en micro-ondernemingen? </w:t>
            </w:r>
          </w:p>
        </w:tc>
      </w:tr>
      <w:tr>
        <w:tc>
          <w:tcPr>
            <w:tcW w:w="10188" w:type="dxa"/>
            <w:tcBorders>
              <w:bottom w:val="single" w:sz="4" w:space="0" w:color="auto"/>
            </w:tcBorders>
            <w:shd w:val="clear" w:color="auto" w:fill="auto"/>
          </w:tcPr>
          <w:p>
            <w:pPr>
              <w:spacing w:before="60" w:after="60" w:line="240" w:lineRule="auto"/>
              <w:jc w:val="both"/>
              <w:rPr>
                <w:noProof/>
                <w:sz w:val="24"/>
                <w:szCs w:val="24"/>
              </w:rPr>
            </w:pPr>
            <w:r>
              <w:rPr>
                <w:noProof/>
                <w:sz w:val="24"/>
              </w:rPr>
              <w:t xml:space="preserve">De maatregelen zouden een aantal positieve gevolgen moeten hebben voor de financiering van het mkb. Ten eerste zou de opname van kortlopende securitisaties zoals ABCP in het STS-kader, met verbetering van hun toetsingskapitaal als gevolg, de groei van deze belangrijke financieringsbron voor het mkb moeten bevorderen. </w:t>
            </w:r>
          </w:p>
          <w:p>
            <w:pPr>
              <w:spacing w:before="60" w:after="60" w:line="240" w:lineRule="auto"/>
              <w:jc w:val="both"/>
              <w:rPr>
                <w:noProof/>
                <w:sz w:val="24"/>
                <w:szCs w:val="24"/>
              </w:rPr>
            </w:pPr>
            <w:r>
              <w:rPr>
                <w:noProof/>
                <w:sz w:val="24"/>
              </w:rPr>
              <w:t>Ten tweede zou dit initiatief de banken een instrument moeten verschaffen om hun balansen van risico's te ontdoen. Daarna zou het vrijgekomen kapitaal door de banken in toenemende mate moeten worden gebruikt om vers krediet te verschaffen aan gezinnen en bedrijven, voor het merendeel kleine en middelgrote ondernemingen in de EU.</w:t>
            </w:r>
          </w:p>
          <w:p>
            <w:pPr>
              <w:spacing w:before="60" w:after="60" w:line="240" w:lineRule="auto"/>
              <w:jc w:val="both"/>
              <w:rPr>
                <w:i/>
                <w:noProof/>
                <w:sz w:val="24"/>
                <w:szCs w:val="24"/>
              </w:rPr>
            </w:pPr>
            <w:r>
              <w:rPr>
                <w:noProof/>
                <w:sz w:val="24"/>
              </w:rPr>
              <w:t>Ten slotte zou het invoeren van één enkel coherent kader voor EU-securitisatie en het aanzetten van marktdeelnemers tot meer standaardisering moeten leiden tot lagere operationele kosten voor securitisaties. Aangezien deze kosten voor de securitisatie van mkb-leningen hoger dan gemiddeld liggen, zou de kostendaling een uitermate gunstige uitwerking moeten hebben op de kosten van kredietverstrekking aan het mkb.</w:t>
            </w:r>
          </w:p>
        </w:tc>
      </w:tr>
      <w:tr>
        <w:tc>
          <w:tcPr>
            <w:tcW w:w="10188" w:type="dxa"/>
            <w:tcBorders>
              <w:bottom w:val="single" w:sz="4" w:space="0" w:color="auto"/>
            </w:tcBorders>
            <w:shd w:val="clear" w:color="auto" w:fill="E6E6E6"/>
          </w:tcPr>
          <w:p>
            <w:pPr>
              <w:spacing w:before="60" w:after="0" w:line="240" w:lineRule="auto"/>
              <w:jc w:val="both"/>
              <w:rPr>
                <w:b/>
                <w:i/>
                <w:noProof/>
                <w:sz w:val="24"/>
                <w:szCs w:val="24"/>
              </w:rPr>
            </w:pPr>
            <w:r>
              <w:rPr>
                <w:b/>
                <w:noProof/>
              </w:rPr>
              <w:t>Zijn er significante gevolgen voor de nationale begrotingen en overheden?</w:t>
            </w:r>
          </w:p>
        </w:tc>
      </w:tr>
      <w:tr>
        <w:tc>
          <w:tcPr>
            <w:tcW w:w="10188" w:type="dxa"/>
            <w:shd w:val="clear" w:color="auto" w:fill="auto"/>
          </w:tcPr>
          <w:p>
            <w:pPr>
              <w:spacing w:after="0" w:line="240" w:lineRule="auto"/>
              <w:jc w:val="both"/>
              <w:rPr>
                <w:noProof/>
                <w:sz w:val="24"/>
                <w:szCs w:val="24"/>
              </w:rPr>
            </w:pPr>
            <w:r>
              <w:rPr>
                <w:noProof/>
                <w:sz w:val="24"/>
              </w:rPr>
              <w:t>NEEN</w:t>
            </w:r>
          </w:p>
        </w:tc>
      </w:tr>
      <w:tr>
        <w:tc>
          <w:tcPr>
            <w:tcW w:w="10188" w:type="dxa"/>
            <w:tcBorders>
              <w:bottom w:val="single" w:sz="4" w:space="0" w:color="auto"/>
            </w:tcBorders>
            <w:shd w:val="clear" w:color="auto" w:fill="E6E6E6"/>
          </w:tcPr>
          <w:p>
            <w:pPr>
              <w:spacing w:before="60" w:after="0" w:line="240" w:lineRule="auto"/>
              <w:jc w:val="both"/>
              <w:rPr>
                <w:noProof/>
                <w:sz w:val="24"/>
                <w:szCs w:val="24"/>
              </w:rPr>
            </w:pPr>
            <w:r>
              <w:rPr>
                <w:b/>
                <w:noProof/>
                <w:sz w:val="24"/>
              </w:rPr>
              <w:t>Zijn er nog andere significante gevolgen?</w:t>
            </w:r>
            <w:r>
              <w:rPr>
                <w:noProof/>
                <w:sz w:val="24"/>
              </w:rPr>
              <w:t xml:space="preserve">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NEEN</w:t>
            </w:r>
          </w:p>
        </w:tc>
      </w:tr>
      <w:tr>
        <w:tc>
          <w:tcPr>
            <w:tcW w:w="10188" w:type="dxa"/>
            <w:tcBorders>
              <w:bottom w:val="single" w:sz="4" w:space="0" w:color="auto"/>
            </w:tcBorders>
            <w:shd w:val="clear" w:color="auto" w:fill="C0C0C0"/>
          </w:tcPr>
          <w:p>
            <w:pPr>
              <w:spacing w:before="60" w:after="60" w:line="240" w:lineRule="auto"/>
              <w:jc w:val="center"/>
              <w:rPr>
                <w:b/>
                <w:noProof/>
                <w:sz w:val="24"/>
                <w:szCs w:val="24"/>
              </w:rPr>
            </w:pPr>
            <w:r>
              <w:rPr>
                <w:b/>
                <w:noProof/>
                <w:sz w:val="24"/>
              </w:rPr>
              <w:t>D. follow-up</w:t>
            </w:r>
          </w:p>
        </w:tc>
      </w:tr>
      <w:tr>
        <w:tc>
          <w:tcPr>
            <w:tcW w:w="10188" w:type="dxa"/>
            <w:tcBorders>
              <w:bottom w:val="single" w:sz="4" w:space="0" w:color="auto"/>
            </w:tcBorders>
            <w:shd w:val="clear" w:color="auto" w:fill="E6E6E6"/>
          </w:tcPr>
          <w:p>
            <w:pPr>
              <w:spacing w:before="60" w:after="0" w:line="240" w:lineRule="auto"/>
              <w:jc w:val="both"/>
              <w:rPr>
                <w:noProof/>
                <w:sz w:val="24"/>
                <w:szCs w:val="24"/>
              </w:rPr>
            </w:pPr>
            <w:r>
              <w:rPr>
                <w:b/>
                <w:noProof/>
                <w:sz w:val="24"/>
              </w:rPr>
              <w:t xml:space="preserve">Wanneer wordt dit beleid geëvalueerd? </w:t>
            </w:r>
          </w:p>
        </w:tc>
      </w:tr>
      <w:tr>
        <w:tc>
          <w:tcPr>
            <w:tcW w:w="10188" w:type="dxa"/>
            <w:tcBorders>
              <w:bottom w:val="single" w:sz="4" w:space="0" w:color="auto"/>
            </w:tcBorders>
            <w:shd w:val="clear" w:color="auto" w:fill="auto"/>
          </w:tcPr>
          <w:p>
            <w:pPr>
              <w:spacing w:after="0" w:line="240" w:lineRule="auto"/>
              <w:jc w:val="both"/>
              <w:rPr>
                <w:b/>
                <w:noProof/>
                <w:sz w:val="24"/>
                <w:szCs w:val="24"/>
              </w:rPr>
            </w:pPr>
            <w:r>
              <w:rPr>
                <w:noProof/>
                <w:sz w:val="24"/>
              </w:rPr>
              <w:t>De aangekondigde wetgeving zal aan een omstandige beoordeling worden onderworpen (ongeveer 4 jaar na de omzettingstermijn) waarbij zal worden nagegaan in hoeverre de in dit verslag beschreven doelstellingen op effectieve en efficiënte wijze zijn verwezenlijkt. Dan zal worden beslist of nieuwe maatregelen of wijzigingen nodig zijn.</w:t>
            </w:r>
          </w:p>
        </w:tc>
      </w:tr>
      <w:bookmarkEnd w:id="1"/>
    </w:tbl>
    <w:p>
      <w:pPr>
        <w:spacing w:line="240" w:lineRule="auto"/>
        <w:jc w:val="both"/>
        <w:rPr>
          <w:rFonts w:ascii="Times New Roman" w:hAnsi="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849"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3BB"/>
    <w:multiLevelType w:val="singleLevel"/>
    <w:tmpl w:val="B77A568C"/>
    <w:lvl w:ilvl="0">
      <w:start w:val="1"/>
      <w:numFmt w:val="bullet"/>
      <w:pStyle w:val="ListDash4"/>
      <w:lvlText w:val="–"/>
      <w:lvlJc w:val="left"/>
      <w:pPr>
        <w:tabs>
          <w:tab w:val="num" w:pos="1723"/>
        </w:tabs>
        <w:ind w:left="1723" w:hanging="283"/>
      </w:pPr>
      <w:rPr>
        <w:rFonts w:ascii="Times New Roman" w:hAnsi="Times New Roman"/>
      </w:rPr>
    </w:lvl>
  </w:abstractNum>
  <w:abstractNum w:abstractNumId="1">
    <w:nsid w:val="0CFE274F"/>
    <w:multiLevelType w:val="singleLevel"/>
    <w:tmpl w:val="7F461434"/>
    <w:lvl w:ilvl="0">
      <w:start w:val="1"/>
      <w:numFmt w:val="bullet"/>
      <w:pStyle w:val="ListBullet4"/>
      <w:lvlText w:val=""/>
      <w:lvlJc w:val="left"/>
      <w:pPr>
        <w:tabs>
          <w:tab w:val="num" w:pos="1723"/>
        </w:tabs>
        <w:ind w:left="1723" w:hanging="283"/>
      </w:pPr>
      <w:rPr>
        <w:rFonts w:ascii="Symbol" w:hAnsi="Symbol"/>
      </w:rPr>
    </w:lvl>
  </w:abstractNum>
  <w:abstractNum w:abstractNumId="2">
    <w:nsid w:val="18BE6CBF"/>
    <w:multiLevelType w:val="singleLevel"/>
    <w:tmpl w:val="268AE5F4"/>
    <w:lvl w:ilvl="0">
      <w:start w:val="1"/>
      <w:numFmt w:val="bullet"/>
      <w:pStyle w:val="ListBullet8"/>
      <w:lvlText w:val=""/>
      <w:lvlJc w:val="left"/>
      <w:pPr>
        <w:tabs>
          <w:tab w:val="num" w:pos="1723"/>
        </w:tabs>
        <w:ind w:left="1723" w:hanging="283"/>
      </w:pPr>
      <w:rPr>
        <w:rFonts w:ascii="Symbol" w:hAnsi="Symbol"/>
      </w:rPr>
    </w:lvl>
  </w:abstractNum>
  <w:abstractNum w:abstractNumId="3">
    <w:nsid w:val="1F734306"/>
    <w:multiLevelType w:val="multilevel"/>
    <w:tmpl w:val="09705662"/>
    <w:lvl w:ilvl="0">
      <w:start w:val="1"/>
      <w:numFmt w:val="decimal"/>
      <w:lvlText w:val="%1."/>
      <w:lvlJc w:val="left"/>
      <w:pPr>
        <w:tabs>
          <w:tab w:val="num" w:pos="480"/>
        </w:tabs>
        <w:ind w:left="480" w:hanging="480"/>
      </w:pPr>
      <w:rPr>
        <w:rFonts w:hint="default"/>
      </w:rPr>
    </w:lvl>
    <w:lvl w:ilvl="1">
      <w:start w:val="1"/>
      <w:numFmt w:val="decimal"/>
      <w:pStyle w:val="Heading2"/>
      <w:lvlText w:val="%1.%2."/>
      <w:lvlJc w:val="left"/>
      <w:pPr>
        <w:tabs>
          <w:tab w:val="num" w:pos="1200"/>
        </w:tabs>
        <w:ind w:left="120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numFmt w:val="none"/>
      <w:pStyle w:val="Heading3"/>
      <w:lvlText w:val=""/>
      <w:lvlJc w:val="left"/>
      <w:pPr>
        <w:tabs>
          <w:tab w:val="num" w:pos="360"/>
        </w:tabs>
      </w:pPr>
    </w:lvl>
    <w:lvl w:ilvl="3">
      <w:numFmt w:val="decimal"/>
      <w:pStyle w:val="Headi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5">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7E66849"/>
    <w:multiLevelType w:val="singleLevel"/>
    <w:tmpl w:val="0F5A4A9E"/>
    <w:lvl w:ilvl="0">
      <w:start w:val="1"/>
      <w:numFmt w:val="bullet"/>
      <w:pStyle w:val="ListBullet5"/>
      <w:lvlText w:val=""/>
      <w:lvlJc w:val="left"/>
      <w:pPr>
        <w:tabs>
          <w:tab w:val="num" w:pos="1723"/>
        </w:tabs>
        <w:ind w:left="1723" w:hanging="283"/>
      </w:pPr>
      <w:rPr>
        <w:rFonts w:ascii="Symbol" w:hAnsi="Symbol"/>
      </w:rPr>
    </w:lvl>
  </w:abstractNum>
  <w:abstractNum w:abstractNumId="7">
    <w:nsid w:val="2A316646"/>
    <w:multiLevelType w:val="multilevel"/>
    <w:tmpl w:val="E7D2FDB4"/>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F436774"/>
    <w:multiLevelType w:val="singleLevel"/>
    <w:tmpl w:val="CE16C822"/>
    <w:lvl w:ilvl="0">
      <w:start w:val="1"/>
      <w:numFmt w:val="bullet"/>
      <w:pStyle w:val="ListBullet1"/>
      <w:lvlText w:val=""/>
      <w:lvlJc w:val="left"/>
      <w:pPr>
        <w:tabs>
          <w:tab w:val="num" w:pos="1723"/>
        </w:tabs>
        <w:ind w:left="1723" w:hanging="283"/>
      </w:pPr>
      <w:rPr>
        <w:rFonts w:ascii="Symbol" w:hAnsi="Symbol"/>
      </w:rPr>
    </w:lvl>
  </w:abstractNum>
  <w:abstractNum w:abstractNumId="9">
    <w:nsid w:val="30A7464F"/>
    <w:multiLevelType w:val="multilevel"/>
    <w:tmpl w:val="0686B1B6"/>
    <w:lvl w:ilvl="0">
      <w:start w:val="1"/>
      <w:numFmt w:val="decimal"/>
      <w:pStyle w:val="ListNumber8"/>
      <w:lvlText w:val="(%1)"/>
      <w:lvlJc w:val="left"/>
      <w:pPr>
        <w:tabs>
          <w:tab w:val="num" w:pos="2149"/>
        </w:tabs>
        <w:ind w:left="2149" w:hanging="709"/>
      </w:pPr>
    </w:lvl>
    <w:lvl w:ilvl="1">
      <w:start w:val="1"/>
      <w:numFmt w:val="lowerLetter"/>
      <w:pStyle w:val="ListNumber8Level2"/>
      <w:lvlText w:val="(%2)"/>
      <w:lvlJc w:val="left"/>
      <w:pPr>
        <w:tabs>
          <w:tab w:val="num" w:pos="2857"/>
        </w:tabs>
        <w:ind w:left="2857" w:hanging="708"/>
      </w:pPr>
    </w:lvl>
    <w:lvl w:ilvl="2">
      <w:start w:val="1"/>
      <w:numFmt w:val="bullet"/>
      <w:pStyle w:val="ListNumber8Level3"/>
      <w:lvlText w:val="–"/>
      <w:lvlJc w:val="left"/>
      <w:pPr>
        <w:tabs>
          <w:tab w:val="num" w:pos="3566"/>
        </w:tabs>
        <w:ind w:left="3566" w:hanging="709"/>
      </w:pPr>
      <w:rPr>
        <w:rFonts w:ascii="Times New Roman" w:hAnsi="Times New Roman"/>
      </w:rPr>
    </w:lvl>
    <w:lvl w:ilvl="3">
      <w:start w:val="1"/>
      <w:numFmt w:val="bullet"/>
      <w:pStyle w:val="ListNumber8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4670ADC"/>
    <w:multiLevelType w:val="multilevel"/>
    <w:tmpl w:val="CBA63D2A"/>
    <w:lvl w:ilvl="0">
      <w:start w:val="1"/>
      <w:numFmt w:val="decimal"/>
      <w:pStyle w:val="ListNumber6"/>
      <w:lvlText w:val="(%1)"/>
      <w:lvlJc w:val="left"/>
      <w:pPr>
        <w:tabs>
          <w:tab w:val="num" w:pos="2149"/>
        </w:tabs>
        <w:ind w:left="2149" w:hanging="709"/>
      </w:pPr>
    </w:lvl>
    <w:lvl w:ilvl="1">
      <w:start w:val="1"/>
      <w:numFmt w:val="lowerLetter"/>
      <w:pStyle w:val="ListNumber6Level2"/>
      <w:lvlText w:val="(%2)"/>
      <w:lvlJc w:val="left"/>
      <w:pPr>
        <w:tabs>
          <w:tab w:val="num" w:pos="2857"/>
        </w:tabs>
        <w:ind w:left="2857" w:hanging="708"/>
      </w:pPr>
    </w:lvl>
    <w:lvl w:ilvl="2">
      <w:start w:val="1"/>
      <w:numFmt w:val="bullet"/>
      <w:pStyle w:val="ListNumber6Level3"/>
      <w:lvlText w:val="–"/>
      <w:lvlJc w:val="left"/>
      <w:pPr>
        <w:tabs>
          <w:tab w:val="num" w:pos="3566"/>
        </w:tabs>
        <w:ind w:left="3566" w:hanging="709"/>
      </w:pPr>
      <w:rPr>
        <w:rFonts w:ascii="Times New Roman" w:hAnsi="Times New Roman"/>
      </w:rPr>
    </w:lvl>
    <w:lvl w:ilvl="3">
      <w:start w:val="1"/>
      <w:numFmt w:val="bullet"/>
      <w:pStyle w:val="ListNumber6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66C7E5E"/>
    <w:multiLevelType w:val="singleLevel"/>
    <w:tmpl w:val="14185DC6"/>
    <w:lvl w:ilvl="0">
      <w:start w:val="1"/>
      <w:numFmt w:val="bullet"/>
      <w:pStyle w:val="ListBullet2"/>
      <w:lvlText w:val=""/>
      <w:lvlJc w:val="left"/>
      <w:pPr>
        <w:tabs>
          <w:tab w:val="num" w:pos="1723"/>
        </w:tabs>
        <w:ind w:left="1723" w:hanging="283"/>
      </w:pPr>
      <w:rPr>
        <w:rFonts w:ascii="Symbol" w:hAnsi="Symbol"/>
      </w:rPr>
    </w:lvl>
  </w:abstractNum>
  <w:abstractNum w:abstractNumId="12">
    <w:nsid w:val="366E5DB2"/>
    <w:multiLevelType w:val="multilevel"/>
    <w:tmpl w:val="2388A454"/>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6CD10E0"/>
    <w:multiLevelType w:val="singleLevel"/>
    <w:tmpl w:val="87A8B6B4"/>
    <w:lvl w:ilvl="0">
      <w:start w:val="1"/>
      <w:numFmt w:val="bullet"/>
      <w:pStyle w:val="ListDash7"/>
      <w:lvlText w:val="–"/>
      <w:lvlJc w:val="left"/>
      <w:pPr>
        <w:tabs>
          <w:tab w:val="num" w:pos="1723"/>
        </w:tabs>
        <w:ind w:left="1723" w:hanging="283"/>
      </w:pPr>
      <w:rPr>
        <w:rFonts w:ascii="Times New Roman" w:hAnsi="Times New Roman"/>
      </w:rPr>
    </w:lvl>
  </w:abstractNum>
  <w:abstractNum w:abstractNumId="14">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FB6CA5"/>
    <w:multiLevelType w:val="singleLevel"/>
    <w:tmpl w:val="0EFACC46"/>
    <w:lvl w:ilvl="0">
      <w:start w:val="1"/>
      <w:numFmt w:val="bullet"/>
      <w:pStyle w:val="ListDash8"/>
      <w:lvlText w:val="–"/>
      <w:lvlJc w:val="left"/>
      <w:pPr>
        <w:tabs>
          <w:tab w:val="num" w:pos="1723"/>
        </w:tabs>
        <w:ind w:left="1723" w:hanging="283"/>
      </w:pPr>
      <w:rPr>
        <w:rFonts w:ascii="Times New Roman" w:hAnsi="Times New Roman"/>
      </w:rPr>
    </w:lvl>
  </w:abstractNum>
  <w:abstractNum w:abstractNumId="16">
    <w:nsid w:val="59E74131"/>
    <w:multiLevelType w:val="singleLevel"/>
    <w:tmpl w:val="2B20B78E"/>
    <w:lvl w:ilvl="0">
      <w:start w:val="1"/>
      <w:numFmt w:val="bullet"/>
      <w:pStyle w:val="ListBullet7"/>
      <w:lvlText w:val=""/>
      <w:lvlJc w:val="left"/>
      <w:pPr>
        <w:tabs>
          <w:tab w:val="num" w:pos="1723"/>
        </w:tabs>
        <w:ind w:left="1723" w:hanging="283"/>
      </w:pPr>
      <w:rPr>
        <w:rFonts w:ascii="Symbol" w:hAnsi="Symbol"/>
      </w:rPr>
    </w:lvl>
  </w:abstractNum>
  <w:abstractNum w:abstractNumId="17">
    <w:nsid w:val="5A036134"/>
    <w:multiLevelType w:val="multilevel"/>
    <w:tmpl w:val="22EE6080"/>
    <w:lvl w:ilvl="0">
      <w:start w:val="1"/>
      <w:numFmt w:val="decimal"/>
      <w:pStyle w:val="ListNumber5"/>
      <w:lvlText w:val="(%1)"/>
      <w:lvlJc w:val="left"/>
      <w:pPr>
        <w:tabs>
          <w:tab w:val="num" w:pos="2149"/>
        </w:tabs>
        <w:ind w:left="2149" w:hanging="709"/>
      </w:pPr>
    </w:lvl>
    <w:lvl w:ilvl="1">
      <w:start w:val="1"/>
      <w:numFmt w:val="lowerLetter"/>
      <w:pStyle w:val="ListNumber5Level2"/>
      <w:lvlText w:val="(%2)"/>
      <w:lvlJc w:val="left"/>
      <w:pPr>
        <w:tabs>
          <w:tab w:val="num" w:pos="2857"/>
        </w:tabs>
        <w:ind w:left="2857" w:hanging="708"/>
      </w:pPr>
    </w:lvl>
    <w:lvl w:ilvl="2">
      <w:start w:val="1"/>
      <w:numFmt w:val="bullet"/>
      <w:pStyle w:val="ListNumber5Level3"/>
      <w:lvlText w:val="–"/>
      <w:lvlJc w:val="left"/>
      <w:pPr>
        <w:tabs>
          <w:tab w:val="num" w:pos="3566"/>
        </w:tabs>
        <w:ind w:left="3566" w:hanging="709"/>
      </w:pPr>
      <w:rPr>
        <w:rFonts w:ascii="Times New Roman" w:hAnsi="Times New Roman"/>
      </w:rPr>
    </w:lvl>
    <w:lvl w:ilvl="3">
      <w:start w:val="1"/>
      <w:numFmt w:val="bullet"/>
      <w:pStyle w:val="ListNumber5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19">
    <w:nsid w:val="5AED7CC1"/>
    <w:multiLevelType w:val="multilevel"/>
    <w:tmpl w:val="3FE20CA8"/>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BCE2673"/>
    <w:multiLevelType w:val="singleLevel"/>
    <w:tmpl w:val="1AE4F9D4"/>
    <w:lvl w:ilvl="0">
      <w:start w:val="1"/>
      <w:numFmt w:val="bullet"/>
      <w:pStyle w:val="ListDash5"/>
      <w:lvlText w:val="–"/>
      <w:lvlJc w:val="left"/>
      <w:pPr>
        <w:tabs>
          <w:tab w:val="num" w:pos="1723"/>
        </w:tabs>
        <w:ind w:left="1723" w:hanging="283"/>
      </w:pPr>
      <w:rPr>
        <w:rFonts w:ascii="Times New Roman" w:hAnsi="Times New Roman"/>
      </w:rPr>
    </w:lvl>
  </w:abstractNum>
  <w:abstractNum w:abstractNumId="21">
    <w:nsid w:val="5FBB6008"/>
    <w:multiLevelType w:val="hybridMultilevel"/>
    <w:tmpl w:val="982C65BC"/>
    <w:lvl w:ilvl="0" w:tplc="B4E0A286">
      <w:start w:val="1"/>
      <w:numFmt w:val="bullet"/>
      <w:pStyle w:val="Bulletpoint"/>
      <w:lvlText w:val=""/>
      <w:lvlJc w:val="left"/>
      <w:pPr>
        <w:tabs>
          <w:tab w:val="num" w:pos="851"/>
        </w:tabs>
        <w:ind w:left="851" w:hanging="851"/>
      </w:pPr>
      <w:rPr>
        <w:rFonts w:ascii="Symbol" w:hAnsi="Symbol" w:hint="default"/>
        <w:color w:val="auto"/>
      </w:rPr>
    </w:lvl>
    <w:lvl w:ilvl="1" w:tplc="B602E818">
      <w:start w:val="1"/>
      <w:numFmt w:val="bullet"/>
      <w:lvlText w:val="–"/>
      <w:lvlJc w:val="left"/>
      <w:pPr>
        <w:tabs>
          <w:tab w:val="num" w:pos="851"/>
        </w:tabs>
        <w:ind w:left="851" w:hanging="851"/>
      </w:pPr>
      <w:rPr>
        <w:rFonts w:ascii="Arial" w:hAnsi="Arial" w:cs="Times New Roman"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nsid w:val="621B7AB5"/>
    <w:multiLevelType w:val="singleLevel"/>
    <w:tmpl w:val="36C0E208"/>
    <w:lvl w:ilvl="0">
      <w:start w:val="1"/>
      <w:numFmt w:val="bullet"/>
      <w:pStyle w:val="ListDash3"/>
      <w:lvlText w:val="–"/>
      <w:lvlJc w:val="left"/>
      <w:pPr>
        <w:tabs>
          <w:tab w:val="num" w:pos="1723"/>
        </w:tabs>
        <w:ind w:left="1723" w:hanging="283"/>
      </w:pPr>
      <w:rPr>
        <w:rFonts w:ascii="Times New Roman" w:hAnsi="Times New Roman"/>
      </w:rPr>
    </w:lvl>
  </w:abstractNum>
  <w:abstractNum w:abstractNumId="23">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24">
    <w:nsid w:val="63225EEB"/>
    <w:multiLevelType w:val="multilevel"/>
    <w:tmpl w:val="CD7E0C86"/>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26">
    <w:nsid w:val="6D87223D"/>
    <w:multiLevelType w:val="singleLevel"/>
    <w:tmpl w:val="533212EA"/>
    <w:lvl w:ilvl="0">
      <w:start w:val="1"/>
      <w:numFmt w:val="bullet"/>
      <w:pStyle w:val="ListBullet3"/>
      <w:lvlText w:val=""/>
      <w:lvlJc w:val="left"/>
      <w:pPr>
        <w:tabs>
          <w:tab w:val="num" w:pos="1723"/>
        </w:tabs>
        <w:ind w:left="1723" w:hanging="283"/>
      </w:pPr>
      <w:rPr>
        <w:rFonts w:ascii="Symbol" w:hAnsi="Symbol"/>
      </w:rPr>
    </w:lvl>
  </w:abstractNum>
  <w:abstractNum w:abstractNumId="27">
    <w:nsid w:val="6F62497F"/>
    <w:multiLevelType w:val="singleLevel"/>
    <w:tmpl w:val="54E2F4D6"/>
    <w:lvl w:ilvl="0">
      <w:start w:val="1"/>
      <w:numFmt w:val="bullet"/>
      <w:pStyle w:val="ListDash6"/>
      <w:lvlText w:val="–"/>
      <w:lvlJc w:val="left"/>
      <w:pPr>
        <w:tabs>
          <w:tab w:val="num" w:pos="1723"/>
        </w:tabs>
        <w:ind w:left="1723" w:hanging="283"/>
      </w:pPr>
      <w:rPr>
        <w:rFonts w:ascii="Times New Roman" w:hAnsi="Times New Roman"/>
      </w:rPr>
    </w:lvl>
  </w:abstractNum>
  <w:abstractNum w:abstractNumId="28">
    <w:nsid w:val="71941C00"/>
    <w:multiLevelType w:val="singleLevel"/>
    <w:tmpl w:val="740C8B34"/>
    <w:lvl w:ilvl="0">
      <w:start w:val="1"/>
      <w:numFmt w:val="bullet"/>
      <w:pStyle w:val="ListBullet6"/>
      <w:lvlText w:val=""/>
      <w:lvlJc w:val="left"/>
      <w:pPr>
        <w:tabs>
          <w:tab w:val="num" w:pos="1723"/>
        </w:tabs>
        <w:ind w:left="1723" w:hanging="283"/>
      </w:pPr>
      <w:rPr>
        <w:rFonts w:ascii="Symbol" w:hAnsi="Symbol"/>
      </w:rPr>
    </w:lvl>
  </w:abstractNum>
  <w:abstractNum w:abstractNumId="29">
    <w:nsid w:val="7F4F4A65"/>
    <w:multiLevelType w:val="multilevel"/>
    <w:tmpl w:val="6A20B96E"/>
    <w:lvl w:ilvl="0">
      <w:start w:val="1"/>
      <w:numFmt w:val="decimal"/>
      <w:pStyle w:val="ListNumber7"/>
      <w:lvlText w:val="(%1)"/>
      <w:lvlJc w:val="left"/>
      <w:pPr>
        <w:tabs>
          <w:tab w:val="num" w:pos="2149"/>
        </w:tabs>
        <w:ind w:left="2149" w:hanging="709"/>
      </w:pPr>
    </w:lvl>
    <w:lvl w:ilvl="1">
      <w:start w:val="1"/>
      <w:numFmt w:val="lowerLetter"/>
      <w:pStyle w:val="ListNumber7Level2"/>
      <w:lvlText w:val="(%2)"/>
      <w:lvlJc w:val="left"/>
      <w:pPr>
        <w:tabs>
          <w:tab w:val="num" w:pos="2857"/>
        </w:tabs>
        <w:ind w:left="2857" w:hanging="708"/>
      </w:pPr>
    </w:lvl>
    <w:lvl w:ilvl="2">
      <w:start w:val="1"/>
      <w:numFmt w:val="bullet"/>
      <w:pStyle w:val="ListNumber7Level3"/>
      <w:lvlText w:val="–"/>
      <w:lvlJc w:val="left"/>
      <w:pPr>
        <w:tabs>
          <w:tab w:val="num" w:pos="3566"/>
        </w:tabs>
        <w:ind w:left="3566" w:hanging="709"/>
      </w:pPr>
      <w:rPr>
        <w:rFonts w:ascii="Times New Roman" w:hAnsi="Times New Roman"/>
      </w:rPr>
    </w:lvl>
    <w:lvl w:ilvl="3">
      <w:start w:val="1"/>
      <w:numFmt w:val="bullet"/>
      <w:pStyle w:val="ListNumber7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3"/>
  </w:num>
  <w:num w:numId="3">
    <w:abstractNumId w:val="21"/>
  </w:num>
  <w:num w:numId="4">
    <w:abstractNumId w:val="23"/>
  </w:num>
  <w:num w:numId="5">
    <w:abstractNumId w:val="8"/>
  </w:num>
  <w:num w:numId="6">
    <w:abstractNumId w:val="11"/>
  </w:num>
  <w:num w:numId="7">
    <w:abstractNumId w:val="26"/>
  </w:num>
  <w:num w:numId="8">
    <w:abstractNumId w:val="1"/>
  </w:num>
  <w:num w:numId="9">
    <w:abstractNumId w:val="6"/>
  </w:num>
  <w:num w:numId="10">
    <w:abstractNumId w:val="28"/>
  </w:num>
  <w:num w:numId="11">
    <w:abstractNumId w:val="16"/>
  </w:num>
  <w:num w:numId="12">
    <w:abstractNumId w:val="2"/>
  </w:num>
  <w:num w:numId="13">
    <w:abstractNumId w:val="4"/>
  </w:num>
  <w:num w:numId="14">
    <w:abstractNumId w:val="18"/>
  </w:num>
  <w:num w:numId="15">
    <w:abstractNumId w:val="25"/>
  </w:num>
  <w:num w:numId="16">
    <w:abstractNumId w:val="22"/>
  </w:num>
  <w:num w:numId="17">
    <w:abstractNumId w:val="0"/>
  </w:num>
  <w:num w:numId="18">
    <w:abstractNumId w:val="20"/>
  </w:num>
  <w:num w:numId="19">
    <w:abstractNumId w:val="27"/>
  </w:num>
  <w:num w:numId="20">
    <w:abstractNumId w:val="13"/>
  </w:num>
  <w:num w:numId="21">
    <w:abstractNumId w:val="15"/>
  </w:num>
  <w:num w:numId="22">
    <w:abstractNumId w:val="5"/>
  </w:num>
  <w:num w:numId="23">
    <w:abstractNumId w:val="7"/>
  </w:num>
  <w:num w:numId="24">
    <w:abstractNumId w:val="12"/>
  </w:num>
  <w:num w:numId="25">
    <w:abstractNumId w:val="19"/>
  </w:num>
  <w:num w:numId="26">
    <w:abstractNumId w:val="24"/>
  </w:num>
  <w:num w:numId="27">
    <w:abstractNumId w:val="17"/>
  </w:num>
  <w:num w:numId="28">
    <w:abstractNumId w:val="10"/>
  </w:num>
  <w:num w:numId="29">
    <w:abstractNumId w:val="29"/>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revisionView w:markup="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VERPAGE_EXISTS" w:val="True"/>
    <w:docVar w:name="DocStatus" w:val="Green"/>
    <w:docVar w:name="LW_ACCOMPAGNANT.CP" w:val="bij"/>
    <w:docVar w:name="LW_CONFIDENCE" w:val=" "/>
    <w:docVar w:name="LW_CONST_RESTREINT_UE" w:val="RESTREINT UE"/>
    <w:docVar w:name="LW_CORRIGENDUM" w:val="&lt;UNUSED&gt;"/>
    <w:docVar w:name="LW_COVERPAGE_GUID" w:val="3AD3E75CC06844408C141B1C84F5A3F3"/>
    <w:docVar w:name="LW_CROSSREFERENCE" w:val="{COM(2015) 472 final}_x000b_{SWD(2015) 185 final}"/>
    <w:docVar w:name="LW_DocType" w:val="NORMAL"/>
    <w:docVar w:name="LW_EMISSION" w:val="30.9.2015"/>
    <w:docVar w:name="LW_EMISSION_ISODATE" w:val="2015-09-30"/>
    <w:docVar w:name="LW_EMISSION_LOCATION" w:val="BRX"/>
    <w:docVar w:name="LW_EMISSION_PREFIX" w:val="Brussel, "/>
    <w:docVar w:name="LW_EMISSION_SUFFIX" w:val=" "/>
    <w:docVar w:name="LW_ID_DOCTYPE_NONLW" w:val="CP-027"/>
    <w:docVar w:name="LW_LANGUE" w:val="NL"/>
    <w:docVar w:name="LW_MARKING" w:val="&lt;UNUSED&gt;"/>
    <w:docVar w:name="LW_NOM.INST" w:val="EUROPESE COMMISSIE"/>
    <w:docVar w:name="LW_NOM.INST_JOINTDOC" w:val="&lt;EMPTY&gt;"/>
    <w:docVar w:name="LW_OBJETACTEPRINCIPAL.CP" w:val="tot vastelling van gemeenschappelijke regels betreffende securitisatie en tot instelling van een Europees kader voor eenvoudige, transparante en gestandaardiseerde securitisatie en tot wijziging van de Richtlijnen 2009/65/EG, 2009/138/EG, 2011/61/EU en de Verordeningen (EG) nr. 1060/2009 en (EU) nr. 648/2012 _x000b__x000b_en _x000b__x000b_Voorstel voor een_x000b__x000b_VERORDENING VAN HET EUROPEES PARLEMENT EN DE RAAD_x000b__x000b_tot wijziging van Verordening (EU) nr. 575/2013 betreffende prudentiële vereisten voor kredietinstellingen en beleggingsondernemingen"/>
    <w:docVar w:name="LW_PART_NBR" w:val="1"/>
    <w:docVar w:name="LW_PART_NBR_TOTAL" w:val="1"/>
    <w:docVar w:name="LW_REF.INST.NEW" w:val="SWD"/>
    <w:docVar w:name="LW_REF.INST.NEW_ADOPTED" w:val="final"/>
    <w:docVar w:name="LW_REF.INST.NEW_TEXT" w:val="(2015) 186"/>
    <w:docVar w:name="LW_REF.INTERNE" w:val="&lt;UNUSED&gt;"/>
    <w:docVar w:name="LW_SUPERTITRE" w:val="&lt;UNUSED&gt;"/>
    <w:docVar w:name="LW_TITRE.OBJ.CP" w:val="&lt;UNUSED&gt;"/>
    <w:docVar w:name="LW_TYPE.DOC.CP" w:val="WERKDOCUMENT VAN DE DIENSTEN VAN DE COMMISSIE_x000b__x000b_SAMENVATTING VAN DE EFFECTBEOORDELING_x000b_"/>
    <w:docVar w:name="LW_TYPEACTEPRINCIPAL.CP" w:val="Voorstel voor een_x000b__x000b_VERORDENING VAN HET EUROPEES PARLEMENT EN DE RAAD"/>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nl-N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numPr>
        <w:ilvl w:val="1"/>
        <w:numId w:val="2"/>
      </w:numPr>
      <w:spacing w:after="240" w:line="240" w:lineRule="auto"/>
      <w:jc w:val="both"/>
      <w:outlineLvl w:val="1"/>
    </w:pPr>
    <w:rPr>
      <w:rFonts w:ascii="Times New Roman" w:eastAsia="Times New Roman" w:hAnsi="Times New Roman"/>
      <w:b/>
      <w:sz w:val="24"/>
      <w:szCs w:val="20"/>
    </w:rPr>
  </w:style>
  <w:style w:type="paragraph" w:styleId="Heading3">
    <w:name w:val="heading 3"/>
    <w:basedOn w:val="Normal"/>
    <w:next w:val="Normal"/>
    <w:link w:val="Heading3Char"/>
    <w:qFormat/>
    <w:pPr>
      <w:keepNext/>
      <w:numPr>
        <w:ilvl w:val="2"/>
        <w:numId w:val="2"/>
      </w:numPr>
      <w:spacing w:after="240" w:line="240" w:lineRule="auto"/>
      <w:jc w:val="both"/>
      <w:outlineLvl w:val="2"/>
    </w:pPr>
    <w:rPr>
      <w:rFonts w:ascii="Times New Roman" w:eastAsia="Times New Roman" w:hAnsi="Times New Roman"/>
      <w:i/>
      <w:sz w:val="24"/>
      <w:szCs w:val="20"/>
    </w:rPr>
  </w:style>
  <w:style w:type="paragraph" w:styleId="Heading4">
    <w:name w:val="heading 4"/>
    <w:basedOn w:val="Normal"/>
    <w:next w:val="Normal"/>
    <w:link w:val="Heading4Char"/>
    <w:qFormat/>
    <w:pPr>
      <w:keepNext/>
      <w:numPr>
        <w:ilvl w:val="3"/>
        <w:numId w:val="2"/>
      </w:numPr>
      <w:spacing w:after="24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Pr>
      <w:sz w:val="20"/>
      <w:szCs w:val="20"/>
    </w:rPr>
  </w:style>
  <w:style w:type="character" w:customStyle="1" w:styleId="FootnoteTextChar">
    <w:name w:val="Footnote Text Char"/>
    <w:link w:val="FootnoteText"/>
    <w:uiPriority w:val="99"/>
    <w:rPr>
      <w:lang w:eastAsia="nl-NL"/>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nl-NL"/>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nl-NL"/>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nl-NL"/>
    </w:rPr>
  </w:style>
  <w:style w:type="paragraph" w:customStyle="1" w:styleId="numberedparagraph">
    <w:name w:val="numbered paragraph"/>
    <w:basedOn w:val="Normal"/>
    <w:qFormat/>
    <w:pPr>
      <w:numPr>
        <w:numId w:val="1"/>
      </w:numPr>
      <w:spacing w:before="240" w:after="120"/>
      <w:jc w:val="both"/>
    </w:pPr>
    <w:rPr>
      <w:rFonts w:eastAsia="MS PGothic"/>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nl-NL"/>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nl-NL"/>
    </w:rPr>
  </w:style>
  <w:style w:type="table" w:styleId="TableGrid">
    <w:name w:val="Table Grid"/>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tandard3520normal">
    <w:name w:val="a_standard__35__20_normal"/>
    <w:basedOn w:val="Normal"/>
    <w:pPr>
      <w:spacing w:after="120" w:line="240" w:lineRule="auto"/>
      <w:ind w:right="57"/>
      <w:jc w:val="both"/>
    </w:pPr>
    <w:rPr>
      <w:rFonts w:ascii="Times New Roman" w:eastAsia="Times New Roman" w:hAnsi="Times New Roman"/>
      <w:sz w:val="24"/>
      <w:szCs w:val="24"/>
    </w:rPr>
  </w:style>
  <w:style w:type="paragraph" w:styleId="Revision">
    <w:name w:val="Revision"/>
    <w:hidden/>
    <w:uiPriority w:val="99"/>
    <w:semiHidden/>
    <w:rPr>
      <w:sz w:val="22"/>
      <w:szCs w:val="22"/>
    </w:rPr>
  </w:style>
  <w:style w:type="table" w:customStyle="1" w:styleId="TableGrid2">
    <w:name w:val="Table Grid2"/>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Pr>
      <w:rFonts w:ascii="Times New Roman" w:eastAsia="Times New Roman" w:hAnsi="Times New Roman"/>
      <w:b/>
      <w:sz w:val="24"/>
    </w:rPr>
  </w:style>
  <w:style w:type="character" w:customStyle="1" w:styleId="Heading3Char">
    <w:name w:val="Heading 3 Char"/>
    <w:link w:val="Heading3"/>
    <w:rPr>
      <w:rFonts w:ascii="Times New Roman" w:eastAsia="Times New Roman" w:hAnsi="Times New Roman"/>
      <w:i/>
      <w:sz w:val="24"/>
    </w:rPr>
  </w:style>
  <w:style w:type="character" w:customStyle="1" w:styleId="Heading4Char">
    <w:name w:val="Heading 4 Char"/>
    <w:link w:val="Heading4"/>
    <w:rPr>
      <w:rFonts w:ascii="Times New Roman" w:eastAsia="Times New Roman" w:hAnsi="Times New Roman"/>
      <w:sz w:val="24"/>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8"/>
    </w:rPr>
  </w:style>
  <w:style w:type="character" w:customStyle="1" w:styleId="FooterCoverPageChar">
    <w:name w:val="Footer Cover Page Char"/>
    <w:link w:val="FooterCoverPage"/>
    <w:rPr>
      <w:rFonts w:ascii="Times New Roman" w:hAnsi="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8"/>
    </w:rPr>
  </w:style>
  <w:style w:type="character" w:customStyle="1" w:styleId="HeaderCoverPageChar">
    <w:name w:val="Header Cover Page Char"/>
    <w:link w:val="HeaderCoverPage"/>
    <w:rPr>
      <w:rFonts w:ascii="Times New Roman" w:hAnsi="Times New Roman"/>
      <w:sz w:val="24"/>
      <w:szCs w:val="28"/>
    </w:rPr>
  </w:style>
  <w:style w:type="character" w:customStyle="1" w:styleId="Heading1Char">
    <w:name w:val="Heading 1 Char"/>
    <w:link w:val="Heading1"/>
    <w:uiPriority w:val="9"/>
    <w:rPr>
      <w:rFonts w:ascii="Cambria" w:eastAsia="Times New Roman" w:hAnsi="Cambria" w:cs="Times New Roman"/>
      <w:b/>
      <w:bCs/>
      <w:kern w:val="32"/>
      <w:sz w:val="32"/>
      <w:szCs w:val="32"/>
      <w:lang w:eastAsia="nl-NL"/>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b/>
      <w:sz w:val="24"/>
      <w:szCs w:val="20"/>
      <w:lang w:eastAsia="en-US" w:bidi="ar-SA"/>
    </w:rPr>
  </w:style>
  <w:style w:type="paragraph" w:styleId="TOC1">
    <w:name w:val="toc 1"/>
    <w:basedOn w:val="Normal"/>
    <w:next w:val="Normal"/>
    <w:pPr>
      <w:tabs>
        <w:tab w:val="right" w:leader="dot" w:pos="8640"/>
      </w:tabs>
      <w:spacing w:before="120" w:after="120" w:line="240" w:lineRule="auto"/>
      <w:ind w:left="1440" w:right="720" w:hanging="1440"/>
      <w:jc w:val="both"/>
    </w:pPr>
    <w:rPr>
      <w:rFonts w:ascii="Times New Roman" w:eastAsia="Times New Roman" w:hAnsi="Times New Roman"/>
      <w:caps/>
      <w:sz w:val="24"/>
      <w:szCs w:val="20"/>
    </w:rPr>
  </w:style>
  <w:style w:type="paragraph" w:styleId="TOC2">
    <w:name w:val="toc 2"/>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paragraph" w:styleId="TOC3">
    <w:name w:val="toc 3"/>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table" w:customStyle="1" w:styleId="TableGrid3">
    <w:name w:val="Table Grid3"/>
    <w:basedOn w:val="TableNormal"/>
    <w:next w:val="TableGri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
    <w:name w:val="Contact"/>
    <w:basedOn w:val="Normal"/>
    <w:next w:val="Normal"/>
    <w:pPr>
      <w:spacing w:after="480" w:line="240" w:lineRule="auto"/>
      <w:ind w:left="567" w:hanging="567"/>
    </w:pPr>
    <w:rPr>
      <w:rFonts w:ascii="Times New Roman" w:eastAsia="Times New Roman" w:hAnsi="Times New Roman"/>
      <w:sz w:val="24"/>
      <w:szCs w:val="20"/>
      <w:lang w:eastAsia="en-US" w:bidi="ar-SA"/>
    </w:rPr>
  </w:style>
  <w:style w:type="paragraph" w:styleId="ListBullet">
    <w:name w:val="List Bullet"/>
    <w:basedOn w:val="Normal"/>
    <w:pPr>
      <w:numPr>
        <w:numId w:val="4"/>
      </w:numPr>
      <w:spacing w:after="240" w:line="240" w:lineRule="auto"/>
      <w:jc w:val="both"/>
    </w:pPr>
    <w:rPr>
      <w:rFonts w:ascii="Times New Roman" w:eastAsia="Times New Roman" w:hAnsi="Times New Roman"/>
      <w:sz w:val="24"/>
      <w:szCs w:val="20"/>
      <w:lang w:eastAsia="en-US" w:bidi="ar-SA"/>
    </w:rPr>
  </w:style>
  <w:style w:type="paragraph" w:customStyle="1" w:styleId="ListBullet1">
    <w:name w:val="List Bullet 1"/>
    <w:basedOn w:val="Normal"/>
    <w:pPr>
      <w:numPr>
        <w:numId w:val="5"/>
      </w:numPr>
      <w:spacing w:after="240" w:line="240" w:lineRule="auto"/>
      <w:jc w:val="both"/>
    </w:pPr>
    <w:rPr>
      <w:rFonts w:ascii="Times New Roman" w:eastAsia="Times New Roman" w:hAnsi="Times New Roman"/>
      <w:sz w:val="24"/>
      <w:szCs w:val="20"/>
      <w:lang w:eastAsia="en-US" w:bidi="ar-SA"/>
    </w:rPr>
  </w:style>
  <w:style w:type="paragraph" w:styleId="ListBullet2">
    <w:name w:val="List Bullet 2"/>
    <w:basedOn w:val="Normal"/>
    <w:pPr>
      <w:numPr>
        <w:numId w:val="6"/>
      </w:numPr>
      <w:spacing w:after="240" w:line="240" w:lineRule="auto"/>
      <w:jc w:val="both"/>
    </w:pPr>
    <w:rPr>
      <w:rFonts w:ascii="Times New Roman" w:eastAsia="Times New Roman" w:hAnsi="Times New Roman"/>
      <w:sz w:val="24"/>
      <w:szCs w:val="20"/>
      <w:lang w:eastAsia="en-US" w:bidi="ar-SA"/>
    </w:rPr>
  </w:style>
  <w:style w:type="paragraph" w:styleId="ListBullet3">
    <w:name w:val="List Bullet 3"/>
    <w:basedOn w:val="Normal"/>
    <w:pPr>
      <w:numPr>
        <w:numId w:val="7"/>
      </w:numPr>
      <w:spacing w:after="240" w:line="240" w:lineRule="auto"/>
      <w:jc w:val="both"/>
    </w:pPr>
    <w:rPr>
      <w:rFonts w:ascii="Times New Roman" w:eastAsia="Times New Roman" w:hAnsi="Times New Roman"/>
      <w:sz w:val="24"/>
      <w:szCs w:val="20"/>
      <w:lang w:eastAsia="en-US" w:bidi="ar-SA"/>
    </w:rPr>
  </w:style>
  <w:style w:type="paragraph" w:styleId="ListBullet4">
    <w:name w:val="List Bullet 4"/>
    <w:basedOn w:val="Normal"/>
    <w:pPr>
      <w:numPr>
        <w:numId w:val="8"/>
      </w:numPr>
      <w:spacing w:after="240" w:line="240" w:lineRule="auto"/>
      <w:jc w:val="both"/>
    </w:pPr>
    <w:rPr>
      <w:rFonts w:ascii="Times New Roman" w:eastAsia="Times New Roman" w:hAnsi="Times New Roman"/>
      <w:sz w:val="24"/>
      <w:szCs w:val="20"/>
      <w:lang w:eastAsia="en-US" w:bidi="ar-SA"/>
    </w:rPr>
  </w:style>
  <w:style w:type="paragraph" w:styleId="ListBullet5">
    <w:name w:val="List Bullet 5"/>
    <w:basedOn w:val="Normal"/>
    <w:pPr>
      <w:numPr>
        <w:numId w:val="9"/>
      </w:numPr>
      <w:spacing w:after="240" w:line="240" w:lineRule="auto"/>
      <w:jc w:val="both"/>
    </w:pPr>
    <w:rPr>
      <w:rFonts w:ascii="Times New Roman" w:eastAsia="Times New Roman" w:hAnsi="Times New Roman"/>
      <w:sz w:val="24"/>
      <w:szCs w:val="20"/>
      <w:lang w:eastAsia="en-US" w:bidi="ar-SA"/>
    </w:rPr>
  </w:style>
  <w:style w:type="paragraph" w:customStyle="1" w:styleId="ListBullet6">
    <w:name w:val="List Bullet 6"/>
    <w:basedOn w:val="Normal"/>
    <w:pPr>
      <w:numPr>
        <w:numId w:val="10"/>
      </w:numPr>
      <w:spacing w:after="240" w:line="240" w:lineRule="auto"/>
      <w:jc w:val="both"/>
    </w:pPr>
    <w:rPr>
      <w:rFonts w:ascii="Times New Roman" w:eastAsia="Times New Roman" w:hAnsi="Times New Roman"/>
      <w:sz w:val="24"/>
      <w:szCs w:val="20"/>
      <w:lang w:eastAsia="en-US" w:bidi="ar-SA"/>
    </w:rPr>
  </w:style>
  <w:style w:type="paragraph" w:customStyle="1" w:styleId="ListBullet7">
    <w:name w:val="List Bullet 7"/>
    <w:basedOn w:val="Normal"/>
    <w:pPr>
      <w:numPr>
        <w:numId w:val="11"/>
      </w:numPr>
      <w:spacing w:after="240" w:line="240" w:lineRule="auto"/>
      <w:jc w:val="both"/>
    </w:pPr>
    <w:rPr>
      <w:rFonts w:ascii="Times New Roman" w:eastAsia="Times New Roman" w:hAnsi="Times New Roman"/>
      <w:sz w:val="24"/>
      <w:szCs w:val="20"/>
      <w:lang w:eastAsia="en-US" w:bidi="ar-SA"/>
    </w:rPr>
  </w:style>
  <w:style w:type="paragraph" w:customStyle="1" w:styleId="ListBullet8">
    <w:name w:val="List Bullet 8"/>
    <w:basedOn w:val="Normal"/>
    <w:pPr>
      <w:numPr>
        <w:numId w:val="12"/>
      </w:numPr>
      <w:spacing w:after="240" w:line="240" w:lineRule="auto"/>
      <w:jc w:val="both"/>
    </w:pPr>
    <w:rPr>
      <w:rFonts w:ascii="Times New Roman" w:eastAsia="Times New Roman" w:hAnsi="Times New Roman"/>
      <w:sz w:val="24"/>
      <w:szCs w:val="20"/>
      <w:lang w:eastAsia="en-US" w:bidi="ar-SA"/>
    </w:rPr>
  </w:style>
  <w:style w:type="paragraph" w:customStyle="1" w:styleId="ListDash">
    <w:name w:val="List Dash"/>
    <w:basedOn w:val="Normal"/>
    <w:pPr>
      <w:numPr>
        <w:numId w:val="13"/>
      </w:numPr>
      <w:spacing w:after="240" w:line="240" w:lineRule="auto"/>
      <w:jc w:val="both"/>
    </w:pPr>
    <w:rPr>
      <w:rFonts w:ascii="Times New Roman" w:eastAsia="Times New Roman" w:hAnsi="Times New Roman"/>
      <w:sz w:val="24"/>
      <w:szCs w:val="20"/>
      <w:lang w:eastAsia="en-US" w:bidi="ar-SA"/>
    </w:rPr>
  </w:style>
  <w:style w:type="paragraph" w:customStyle="1" w:styleId="ListDash1">
    <w:name w:val="List Dash 1"/>
    <w:basedOn w:val="Normal"/>
    <w:pPr>
      <w:numPr>
        <w:numId w:val="14"/>
      </w:numPr>
      <w:spacing w:after="240" w:line="240" w:lineRule="auto"/>
      <w:jc w:val="both"/>
    </w:pPr>
    <w:rPr>
      <w:rFonts w:ascii="Times New Roman" w:eastAsia="Times New Roman" w:hAnsi="Times New Roman"/>
      <w:sz w:val="24"/>
      <w:szCs w:val="20"/>
      <w:lang w:eastAsia="en-US" w:bidi="ar-SA"/>
    </w:rPr>
  </w:style>
  <w:style w:type="paragraph" w:customStyle="1" w:styleId="ListDash2">
    <w:name w:val="List Dash 2"/>
    <w:basedOn w:val="Normal"/>
    <w:pPr>
      <w:numPr>
        <w:numId w:val="15"/>
      </w:numPr>
      <w:spacing w:after="240" w:line="240" w:lineRule="auto"/>
      <w:jc w:val="both"/>
    </w:pPr>
    <w:rPr>
      <w:rFonts w:ascii="Times New Roman" w:eastAsia="Times New Roman" w:hAnsi="Times New Roman"/>
      <w:sz w:val="24"/>
      <w:szCs w:val="20"/>
      <w:lang w:eastAsia="en-US" w:bidi="ar-SA"/>
    </w:rPr>
  </w:style>
  <w:style w:type="paragraph" w:customStyle="1" w:styleId="ListDash3">
    <w:name w:val="List Dash 3"/>
    <w:basedOn w:val="Normal"/>
    <w:pPr>
      <w:numPr>
        <w:numId w:val="16"/>
      </w:numPr>
      <w:spacing w:after="240" w:line="240" w:lineRule="auto"/>
      <w:jc w:val="both"/>
    </w:pPr>
    <w:rPr>
      <w:rFonts w:ascii="Times New Roman" w:eastAsia="Times New Roman" w:hAnsi="Times New Roman"/>
      <w:sz w:val="24"/>
      <w:szCs w:val="20"/>
      <w:lang w:eastAsia="en-US" w:bidi="ar-SA"/>
    </w:rPr>
  </w:style>
  <w:style w:type="paragraph" w:customStyle="1" w:styleId="ListDash4">
    <w:name w:val="List Dash 4"/>
    <w:basedOn w:val="Normal"/>
    <w:pPr>
      <w:numPr>
        <w:numId w:val="17"/>
      </w:numPr>
      <w:spacing w:after="240" w:line="240" w:lineRule="auto"/>
      <w:jc w:val="both"/>
    </w:pPr>
    <w:rPr>
      <w:rFonts w:ascii="Times New Roman" w:eastAsia="Times New Roman" w:hAnsi="Times New Roman"/>
      <w:sz w:val="24"/>
      <w:szCs w:val="20"/>
      <w:lang w:eastAsia="en-US" w:bidi="ar-SA"/>
    </w:rPr>
  </w:style>
  <w:style w:type="paragraph" w:customStyle="1" w:styleId="ListDash5">
    <w:name w:val="List Dash 5"/>
    <w:basedOn w:val="Normal"/>
    <w:pPr>
      <w:numPr>
        <w:numId w:val="18"/>
      </w:numPr>
      <w:spacing w:after="240" w:line="240" w:lineRule="auto"/>
      <w:jc w:val="both"/>
    </w:pPr>
    <w:rPr>
      <w:rFonts w:ascii="Times New Roman" w:eastAsia="Times New Roman" w:hAnsi="Times New Roman"/>
      <w:sz w:val="24"/>
      <w:szCs w:val="20"/>
      <w:lang w:eastAsia="en-US" w:bidi="ar-SA"/>
    </w:rPr>
  </w:style>
  <w:style w:type="paragraph" w:customStyle="1" w:styleId="ListDash6">
    <w:name w:val="List Dash 6"/>
    <w:basedOn w:val="Normal"/>
    <w:pPr>
      <w:numPr>
        <w:numId w:val="19"/>
      </w:numPr>
      <w:spacing w:after="240" w:line="240" w:lineRule="auto"/>
      <w:jc w:val="both"/>
    </w:pPr>
    <w:rPr>
      <w:rFonts w:ascii="Times New Roman" w:eastAsia="Times New Roman" w:hAnsi="Times New Roman"/>
      <w:sz w:val="24"/>
      <w:szCs w:val="20"/>
      <w:lang w:eastAsia="en-US" w:bidi="ar-SA"/>
    </w:rPr>
  </w:style>
  <w:style w:type="paragraph" w:customStyle="1" w:styleId="ListDash7">
    <w:name w:val="List Dash 7"/>
    <w:basedOn w:val="Normal"/>
    <w:pPr>
      <w:numPr>
        <w:numId w:val="20"/>
      </w:numPr>
      <w:spacing w:after="240" w:line="240" w:lineRule="auto"/>
      <w:jc w:val="both"/>
    </w:pPr>
    <w:rPr>
      <w:rFonts w:ascii="Times New Roman" w:eastAsia="Times New Roman" w:hAnsi="Times New Roman"/>
      <w:sz w:val="24"/>
      <w:szCs w:val="20"/>
      <w:lang w:eastAsia="en-US" w:bidi="ar-SA"/>
    </w:rPr>
  </w:style>
  <w:style w:type="paragraph" w:customStyle="1" w:styleId="ListDash8">
    <w:name w:val="List Dash 8"/>
    <w:basedOn w:val="Normal"/>
    <w:pPr>
      <w:numPr>
        <w:numId w:val="21"/>
      </w:numPr>
      <w:spacing w:after="240" w:line="240" w:lineRule="auto"/>
      <w:jc w:val="both"/>
    </w:pPr>
    <w:rPr>
      <w:rFonts w:ascii="Times New Roman" w:eastAsia="Times New Roman" w:hAnsi="Times New Roman"/>
      <w:sz w:val="24"/>
      <w:szCs w:val="20"/>
      <w:lang w:eastAsia="en-US" w:bidi="ar-SA"/>
    </w:rPr>
  </w:style>
  <w:style w:type="paragraph" w:styleId="ListNumber">
    <w:name w:val="List Number"/>
    <w:basedOn w:val="Normal"/>
    <w:pPr>
      <w:numPr>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
    <w:name w:val="List Number 1"/>
    <w:basedOn w:val="Normal"/>
    <w:pPr>
      <w:numPr>
        <w:numId w:val="23"/>
      </w:numPr>
      <w:spacing w:after="240" w:line="240" w:lineRule="auto"/>
      <w:jc w:val="both"/>
    </w:pPr>
    <w:rPr>
      <w:rFonts w:ascii="Times New Roman" w:eastAsia="Times New Roman" w:hAnsi="Times New Roman"/>
      <w:sz w:val="24"/>
      <w:szCs w:val="20"/>
      <w:lang w:eastAsia="en-US" w:bidi="ar-SA"/>
    </w:rPr>
  </w:style>
  <w:style w:type="paragraph" w:styleId="ListNumber2">
    <w:name w:val="List Number 2"/>
    <w:basedOn w:val="Normal"/>
    <w:pPr>
      <w:numPr>
        <w:numId w:val="24"/>
      </w:numPr>
      <w:spacing w:after="240" w:line="240" w:lineRule="auto"/>
      <w:jc w:val="both"/>
    </w:pPr>
    <w:rPr>
      <w:rFonts w:ascii="Times New Roman" w:eastAsia="Times New Roman" w:hAnsi="Times New Roman"/>
      <w:sz w:val="24"/>
      <w:szCs w:val="20"/>
      <w:lang w:eastAsia="en-US" w:bidi="ar-SA"/>
    </w:rPr>
  </w:style>
  <w:style w:type="paragraph" w:styleId="ListNumber3">
    <w:name w:val="List Number 3"/>
    <w:basedOn w:val="Normal"/>
    <w:pPr>
      <w:numPr>
        <w:numId w:val="25"/>
      </w:numPr>
      <w:spacing w:after="240" w:line="240" w:lineRule="auto"/>
      <w:jc w:val="both"/>
    </w:pPr>
    <w:rPr>
      <w:rFonts w:ascii="Times New Roman" w:eastAsia="Times New Roman" w:hAnsi="Times New Roman"/>
      <w:sz w:val="24"/>
      <w:szCs w:val="20"/>
      <w:lang w:eastAsia="en-US" w:bidi="ar-SA"/>
    </w:rPr>
  </w:style>
  <w:style w:type="paragraph" w:styleId="ListNumber4">
    <w:name w:val="List Number 4"/>
    <w:basedOn w:val="Normal"/>
    <w:pPr>
      <w:numPr>
        <w:numId w:val="26"/>
      </w:numPr>
      <w:spacing w:after="240" w:line="240" w:lineRule="auto"/>
      <w:jc w:val="both"/>
    </w:pPr>
    <w:rPr>
      <w:rFonts w:ascii="Times New Roman" w:eastAsia="Times New Roman" w:hAnsi="Times New Roman"/>
      <w:sz w:val="24"/>
      <w:szCs w:val="20"/>
      <w:lang w:eastAsia="en-US" w:bidi="ar-SA"/>
    </w:rPr>
  </w:style>
  <w:style w:type="paragraph" w:styleId="ListNumber5">
    <w:name w:val="List Number 5"/>
    <w:basedOn w:val="Normal"/>
    <w:pPr>
      <w:numPr>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
    <w:name w:val="List Number 6"/>
    <w:basedOn w:val="Normal"/>
    <w:pPr>
      <w:numPr>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
    <w:name w:val="List Number 7"/>
    <w:basedOn w:val="Normal"/>
    <w:pPr>
      <w:numPr>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
    <w:name w:val="List Number 8"/>
    <w:basedOn w:val="Normal"/>
    <w:pPr>
      <w:numPr>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2">
    <w:name w:val="List Number (Level 2)"/>
    <w:basedOn w:val="Normal"/>
    <w:pPr>
      <w:numPr>
        <w:ilvl w:val="1"/>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2">
    <w:name w:val="List Number 1 (Level 2)"/>
    <w:basedOn w:val="Normal"/>
    <w:pPr>
      <w:numPr>
        <w:ilvl w:val="1"/>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2">
    <w:name w:val="List Number 2 (Level 2)"/>
    <w:basedOn w:val="Normal"/>
    <w:pPr>
      <w:numPr>
        <w:ilvl w:val="1"/>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2">
    <w:name w:val="List Number 3 (Level 2)"/>
    <w:basedOn w:val="Normal"/>
    <w:pPr>
      <w:numPr>
        <w:ilvl w:val="1"/>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2">
    <w:name w:val="List Number 4 (Level 2)"/>
    <w:basedOn w:val="Normal"/>
    <w:pPr>
      <w:numPr>
        <w:ilvl w:val="1"/>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2">
    <w:name w:val="List Number 5 (Level 2)"/>
    <w:basedOn w:val="Normal"/>
    <w:pPr>
      <w:numPr>
        <w:ilvl w:val="1"/>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2">
    <w:name w:val="List Number 6 (Level 2)"/>
    <w:basedOn w:val="Normal"/>
    <w:pPr>
      <w:numPr>
        <w:ilvl w:val="1"/>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2">
    <w:name w:val="List Number 7 (Level 2)"/>
    <w:basedOn w:val="Normal"/>
    <w:pPr>
      <w:numPr>
        <w:ilvl w:val="1"/>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2">
    <w:name w:val="List Number 8 (Level 2)"/>
    <w:basedOn w:val="Normal"/>
    <w:pPr>
      <w:numPr>
        <w:ilvl w:val="1"/>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3">
    <w:name w:val="List Number (Level 3)"/>
    <w:basedOn w:val="Normal"/>
    <w:pPr>
      <w:numPr>
        <w:ilvl w:val="2"/>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3">
    <w:name w:val="List Number 1 (Level 3)"/>
    <w:basedOn w:val="Normal"/>
    <w:pPr>
      <w:numPr>
        <w:ilvl w:val="2"/>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3">
    <w:name w:val="List Number 2 (Level 3)"/>
    <w:basedOn w:val="Normal"/>
    <w:pPr>
      <w:numPr>
        <w:ilvl w:val="2"/>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3">
    <w:name w:val="List Number 3 (Level 3)"/>
    <w:basedOn w:val="Normal"/>
    <w:pPr>
      <w:numPr>
        <w:ilvl w:val="2"/>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3">
    <w:name w:val="List Number 4 (Level 3)"/>
    <w:basedOn w:val="Normal"/>
    <w:pPr>
      <w:numPr>
        <w:ilvl w:val="2"/>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3">
    <w:name w:val="List Number 5 (Level 3)"/>
    <w:basedOn w:val="Normal"/>
    <w:pPr>
      <w:numPr>
        <w:ilvl w:val="2"/>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3">
    <w:name w:val="List Number 6 (Level 3)"/>
    <w:basedOn w:val="Normal"/>
    <w:pPr>
      <w:numPr>
        <w:ilvl w:val="2"/>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3">
    <w:name w:val="List Number 7 (Level 3)"/>
    <w:basedOn w:val="Normal"/>
    <w:pPr>
      <w:numPr>
        <w:ilvl w:val="2"/>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3">
    <w:name w:val="List Number 8 (Level 3)"/>
    <w:basedOn w:val="Normal"/>
    <w:pPr>
      <w:numPr>
        <w:ilvl w:val="2"/>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4">
    <w:name w:val="List Number (Level 4)"/>
    <w:basedOn w:val="Normal"/>
    <w:pPr>
      <w:numPr>
        <w:ilvl w:val="3"/>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4">
    <w:name w:val="List Number 1 (Level 4)"/>
    <w:basedOn w:val="Normal"/>
    <w:pPr>
      <w:numPr>
        <w:ilvl w:val="3"/>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4">
    <w:name w:val="List Number 2 (Level 4)"/>
    <w:basedOn w:val="Normal"/>
    <w:pPr>
      <w:numPr>
        <w:ilvl w:val="3"/>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4">
    <w:name w:val="List Number 3 (Level 4)"/>
    <w:basedOn w:val="Normal"/>
    <w:pPr>
      <w:numPr>
        <w:ilvl w:val="3"/>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4">
    <w:name w:val="List Number 4 (Level 4)"/>
    <w:basedOn w:val="Normal"/>
    <w:pPr>
      <w:numPr>
        <w:ilvl w:val="3"/>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4">
    <w:name w:val="List Number 5 (Level 4)"/>
    <w:basedOn w:val="Normal"/>
    <w:pPr>
      <w:numPr>
        <w:ilvl w:val="3"/>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4">
    <w:name w:val="List Number 6 (Level 4)"/>
    <w:basedOn w:val="Normal"/>
    <w:pPr>
      <w:numPr>
        <w:ilvl w:val="3"/>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4">
    <w:name w:val="List Number 7 (Level 4)"/>
    <w:basedOn w:val="Normal"/>
    <w:pPr>
      <w:numPr>
        <w:ilvl w:val="3"/>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4">
    <w:name w:val="List Number 8 (Level 4)"/>
    <w:basedOn w:val="Normal"/>
    <w:pPr>
      <w:numPr>
        <w:ilvl w:val="3"/>
        <w:numId w:val="30"/>
      </w:numPr>
      <w:spacing w:after="240" w:line="240" w:lineRule="auto"/>
      <w:jc w:val="both"/>
    </w:pPr>
    <w:rPr>
      <w:rFonts w:ascii="Times New Roman" w:eastAsia="Times New Roman" w:hAnsi="Times New Roman"/>
      <w:sz w:val="24"/>
      <w:szCs w:val="20"/>
      <w:lang w:eastAsia="en-US" w:bidi="ar-SA"/>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aps/>
      <w:sz w:val="24"/>
      <w:szCs w:val="20"/>
      <w:lang w:eastAsia="en-US" w:bidi="ar-SA"/>
    </w:rPr>
  </w:style>
  <w:style w:type="table" w:styleId="LightShading">
    <w:name w:val="Light Shading"/>
    <w:basedOn w:val="TableNormal"/>
    <w:uiPriority w:val="6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point">
    <w:name w:val="Bullet point"/>
    <w:basedOn w:val="Normal"/>
    <w:qFormat/>
    <w:pPr>
      <w:numPr>
        <w:numId w:val="3"/>
      </w:numPr>
      <w:tabs>
        <w:tab w:val="clear" w:pos="851"/>
        <w:tab w:val="num" w:pos="360"/>
        <w:tab w:val="left" w:pos="794"/>
        <w:tab w:val="left" w:pos="1191"/>
      </w:tabs>
      <w:spacing w:after="120" w:line="240" w:lineRule="auto"/>
      <w:ind w:left="0" w:firstLine="794"/>
      <w:jc w:val="both"/>
    </w:pPr>
    <w:rPr>
      <w:rFonts w:ascii="Times New Roman" w:eastAsia="Times New Roman" w:hAnsi="Times New Roman"/>
      <w:noProof/>
    </w:rPr>
  </w:style>
  <w:style w:type="paragraph" w:styleId="NormalWeb">
    <w:name w:val="Normal (Web)"/>
    <w:basedOn w:val="Normal"/>
    <w:uiPriority w:val="99"/>
    <w:semiHidden/>
    <w:unhideWhenUsed/>
    <w:rPr>
      <w:rFonts w:ascii="Times New Roman" w:eastAsiaTheme="minorHAnsi" w:hAnsi="Times New Roman"/>
      <w:sz w:val="24"/>
      <w:szCs w:val="24"/>
    </w:rPr>
  </w:style>
  <w:style w:type="paragraph" w:styleId="NoSpacing">
    <w:name w:val="No Spacing"/>
    <w:uiPriority w:val="1"/>
    <w:qFormat/>
    <w:rPr>
      <w:sz w:val="22"/>
      <w:szCs w:val="22"/>
    </w:rPr>
  </w:style>
  <w:style w:type="paragraph" w:styleId="BodyText">
    <w:name w:val="Body Text"/>
    <w:basedOn w:val="Normal"/>
    <w:link w:val="BodyTextChar"/>
    <w:semiHidden/>
    <w:pPr>
      <w:shd w:val="clear" w:color="auto" w:fill="FFFFFF"/>
      <w:spacing w:line="224" w:lineRule="atLeast"/>
      <w:jc w:val="both"/>
    </w:pPr>
    <w:rPr>
      <w:rFonts w:ascii="Arial" w:hAnsi="Arial" w:cs="Arial"/>
      <w:b/>
      <w:bCs/>
      <w:sz w:val="24"/>
      <w:szCs w:val="24"/>
    </w:rPr>
  </w:style>
  <w:style w:type="character" w:customStyle="1" w:styleId="BodyTextChar">
    <w:name w:val="Body Text Char"/>
    <w:basedOn w:val="DefaultParagraphFont"/>
    <w:link w:val="BodyText"/>
    <w:semiHidden/>
    <w:rPr>
      <w:rFonts w:ascii="Arial" w:hAnsi="Arial" w:cs="Arial"/>
      <w:b/>
      <w:bCs/>
      <w:sz w:val="24"/>
      <w:szCs w:val="24"/>
      <w:shd w:val="clear" w:color="auto" w:fill="FFFFFF"/>
      <w:lang w:eastAsia="nl-NL"/>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uiPriority w:val="99"/>
    <w:semiHidden/>
    <w:unhideWhenUsed/>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Pr>
      <w:rFonts w:asciiTheme="minorHAnsi" w:eastAsiaTheme="minorHAnsi" w:hAnsiTheme="minorHAnsi" w:cstheme="minorBidi"/>
      <w:sz w:val="22"/>
      <w:szCs w:val="22"/>
      <w:lang w:eastAsia="nl-NL"/>
    </w:rPr>
  </w:style>
  <w:style w:type="character" w:customStyle="1" w:styleId="tgc">
    <w:name w:val="_tgc"/>
    <w:basedOn w:val="DefaultParagraphFont"/>
  </w:style>
  <w:style w:type="paragraph" w:styleId="TOC4">
    <w:name w:val="toc 4"/>
    <w:basedOn w:val="Normal"/>
    <w:next w:val="Normal"/>
    <w:semiHidden/>
    <w:pPr>
      <w:tabs>
        <w:tab w:val="right" w:leader="dot" w:pos="8641"/>
      </w:tabs>
      <w:spacing w:before="60" w:after="60" w:line="240" w:lineRule="auto"/>
      <w:ind w:left="1440" w:right="720" w:hanging="1440"/>
      <w:jc w:val="both"/>
    </w:pPr>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nl-N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numPr>
        <w:ilvl w:val="1"/>
        <w:numId w:val="2"/>
      </w:numPr>
      <w:spacing w:after="240" w:line="240" w:lineRule="auto"/>
      <w:jc w:val="both"/>
      <w:outlineLvl w:val="1"/>
    </w:pPr>
    <w:rPr>
      <w:rFonts w:ascii="Times New Roman" w:eastAsia="Times New Roman" w:hAnsi="Times New Roman"/>
      <w:b/>
      <w:sz w:val="24"/>
      <w:szCs w:val="20"/>
    </w:rPr>
  </w:style>
  <w:style w:type="paragraph" w:styleId="Heading3">
    <w:name w:val="heading 3"/>
    <w:basedOn w:val="Normal"/>
    <w:next w:val="Normal"/>
    <w:link w:val="Heading3Char"/>
    <w:qFormat/>
    <w:pPr>
      <w:keepNext/>
      <w:numPr>
        <w:ilvl w:val="2"/>
        <w:numId w:val="2"/>
      </w:numPr>
      <w:spacing w:after="240" w:line="240" w:lineRule="auto"/>
      <w:jc w:val="both"/>
      <w:outlineLvl w:val="2"/>
    </w:pPr>
    <w:rPr>
      <w:rFonts w:ascii="Times New Roman" w:eastAsia="Times New Roman" w:hAnsi="Times New Roman"/>
      <w:i/>
      <w:sz w:val="24"/>
      <w:szCs w:val="20"/>
    </w:rPr>
  </w:style>
  <w:style w:type="paragraph" w:styleId="Heading4">
    <w:name w:val="heading 4"/>
    <w:basedOn w:val="Normal"/>
    <w:next w:val="Normal"/>
    <w:link w:val="Heading4Char"/>
    <w:qFormat/>
    <w:pPr>
      <w:keepNext/>
      <w:numPr>
        <w:ilvl w:val="3"/>
        <w:numId w:val="2"/>
      </w:numPr>
      <w:spacing w:after="24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Pr>
      <w:sz w:val="20"/>
      <w:szCs w:val="20"/>
    </w:rPr>
  </w:style>
  <w:style w:type="character" w:customStyle="1" w:styleId="FootnoteTextChar">
    <w:name w:val="Footnote Text Char"/>
    <w:link w:val="FootnoteText"/>
    <w:uiPriority w:val="99"/>
    <w:rPr>
      <w:lang w:eastAsia="nl-NL"/>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nl-NL"/>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nl-NL"/>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nl-NL"/>
    </w:rPr>
  </w:style>
  <w:style w:type="paragraph" w:customStyle="1" w:styleId="numberedparagraph">
    <w:name w:val="numbered paragraph"/>
    <w:basedOn w:val="Normal"/>
    <w:qFormat/>
    <w:pPr>
      <w:numPr>
        <w:numId w:val="1"/>
      </w:numPr>
      <w:spacing w:before="240" w:after="120"/>
      <w:jc w:val="both"/>
    </w:pPr>
    <w:rPr>
      <w:rFonts w:eastAsia="MS PGothic"/>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nl-NL"/>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nl-NL"/>
    </w:rPr>
  </w:style>
  <w:style w:type="table" w:styleId="TableGrid">
    <w:name w:val="Table Grid"/>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tandard3520normal">
    <w:name w:val="a_standard__35__20_normal"/>
    <w:basedOn w:val="Normal"/>
    <w:pPr>
      <w:spacing w:after="120" w:line="240" w:lineRule="auto"/>
      <w:ind w:right="57"/>
      <w:jc w:val="both"/>
    </w:pPr>
    <w:rPr>
      <w:rFonts w:ascii="Times New Roman" w:eastAsia="Times New Roman" w:hAnsi="Times New Roman"/>
      <w:sz w:val="24"/>
      <w:szCs w:val="24"/>
    </w:rPr>
  </w:style>
  <w:style w:type="paragraph" w:styleId="Revision">
    <w:name w:val="Revision"/>
    <w:hidden/>
    <w:uiPriority w:val="99"/>
    <w:semiHidden/>
    <w:rPr>
      <w:sz w:val="22"/>
      <w:szCs w:val="22"/>
    </w:rPr>
  </w:style>
  <w:style w:type="table" w:customStyle="1" w:styleId="TableGrid2">
    <w:name w:val="Table Grid2"/>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Pr>
      <w:rFonts w:ascii="Times New Roman" w:eastAsia="Times New Roman" w:hAnsi="Times New Roman"/>
      <w:b/>
      <w:sz w:val="24"/>
    </w:rPr>
  </w:style>
  <w:style w:type="character" w:customStyle="1" w:styleId="Heading3Char">
    <w:name w:val="Heading 3 Char"/>
    <w:link w:val="Heading3"/>
    <w:rPr>
      <w:rFonts w:ascii="Times New Roman" w:eastAsia="Times New Roman" w:hAnsi="Times New Roman"/>
      <w:i/>
      <w:sz w:val="24"/>
    </w:rPr>
  </w:style>
  <w:style w:type="character" w:customStyle="1" w:styleId="Heading4Char">
    <w:name w:val="Heading 4 Char"/>
    <w:link w:val="Heading4"/>
    <w:rPr>
      <w:rFonts w:ascii="Times New Roman" w:eastAsia="Times New Roman" w:hAnsi="Times New Roman"/>
      <w:sz w:val="24"/>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8"/>
    </w:rPr>
  </w:style>
  <w:style w:type="character" w:customStyle="1" w:styleId="FooterCoverPageChar">
    <w:name w:val="Footer Cover Page Char"/>
    <w:link w:val="FooterCoverPage"/>
    <w:rPr>
      <w:rFonts w:ascii="Times New Roman" w:hAnsi="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8"/>
    </w:rPr>
  </w:style>
  <w:style w:type="character" w:customStyle="1" w:styleId="HeaderCoverPageChar">
    <w:name w:val="Header Cover Page Char"/>
    <w:link w:val="HeaderCoverPage"/>
    <w:rPr>
      <w:rFonts w:ascii="Times New Roman" w:hAnsi="Times New Roman"/>
      <w:sz w:val="24"/>
      <w:szCs w:val="28"/>
    </w:rPr>
  </w:style>
  <w:style w:type="character" w:customStyle="1" w:styleId="Heading1Char">
    <w:name w:val="Heading 1 Char"/>
    <w:link w:val="Heading1"/>
    <w:uiPriority w:val="9"/>
    <w:rPr>
      <w:rFonts w:ascii="Cambria" w:eastAsia="Times New Roman" w:hAnsi="Cambria" w:cs="Times New Roman"/>
      <w:b/>
      <w:bCs/>
      <w:kern w:val="32"/>
      <w:sz w:val="32"/>
      <w:szCs w:val="32"/>
      <w:lang w:eastAsia="nl-NL"/>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b/>
      <w:sz w:val="24"/>
      <w:szCs w:val="20"/>
      <w:lang w:eastAsia="en-US" w:bidi="ar-SA"/>
    </w:rPr>
  </w:style>
  <w:style w:type="paragraph" w:styleId="TOC1">
    <w:name w:val="toc 1"/>
    <w:basedOn w:val="Normal"/>
    <w:next w:val="Normal"/>
    <w:pPr>
      <w:tabs>
        <w:tab w:val="right" w:leader="dot" w:pos="8640"/>
      </w:tabs>
      <w:spacing w:before="120" w:after="120" w:line="240" w:lineRule="auto"/>
      <w:ind w:left="1440" w:right="720" w:hanging="1440"/>
      <w:jc w:val="both"/>
    </w:pPr>
    <w:rPr>
      <w:rFonts w:ascii="Times New Roman" w:eastAsia="Times New Roman" w:hAnsi="Times New Roman"/>
      <w:caps/>
      <w:sz w:val="24"/>
      <w:szCs w:val="20"/>
    </w:rPr>
  </w:style>
  <w:style w:type="paragraph" w:styleId="TOC2">
    <w:name w:val="toc 2"/>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paragraph" w:styleId="TOC3">
    <w:name w:val="toc 3"/>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table" w:customStyle="1" w:styleId="TableGrid3">
    <w:name w:val="Table Grid3"/>
    <w:basedOn w:val="TableNormal"/>
    <w:next w:val="TableGri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
    <w:name w:val="Contact"/>
    <w:basedOn w:val="Normal"/>
    <w:next w:val="Normal"/>
    <w:pPr>
      <w:spacing w:after="480" w:line="240" w:lineRule="auto"/>
      <w:ind w:left="567" w:hanging="567"/>
    </w:pPr>
    <w:rPr>
      <w:rFonts w:ascii="Times New Roman" w:eastAsia="Times New Roman" w:hAnsi="Times New Roman"/>
      <w:sz w:val="24"/>
      <w:szCs w:val="20"/>
      <w:lang w:eastAsia="en-US" w:bidi="ar-SA"/>
    </w:rPr>
  </w:style>
  <w:style w:type="paragraph" w:styleId="ListBullet">
    <w:name w:val="List Bullet"/>
    <w:basedOn w:val="Normal"/>
    <w:pPr>
      <w:numPr>
        <w:numId w:val="4"/>
      </w:numPr>
      <w:spacing w:after="240" w:line="240" w:lineRule="auto"/>
      <w:jc w:val="both"/>
    </w:pPr>
    <w:rPr>
      <w:rFonts w:ascii="Times New Roman" w:eastAsia="Times New Roman" w:hAnsi="Times New Roman"/>
      <w:sz w:val="24"/>
      <w:szCs w:val="20"/>
      <w:lang w:eastAsia="en-US" w:bidi="ar-SA"/>
    </w:rPr>
  </w:style>
  <w:style w:type="paragraph" w:customStyle="1" w:styleId="ListBullet1">
    <w:name w:val="List Bullet 1"/>
    <w:basedOn w:val="Normal"/>
    <w:pPr>
      <w:numPr>
        <w:numId w:val="5"/>
      </w:numPr>
      <w:spacing w:after="240" w:line="240" w:lineRule="auto"/>
      <w:jc w:val="both"/>
    </w:pPr>
    <w:rPr>
      <w:rFonts w:ascii="Times New Roman" w:eastAsia="Times New Roman" w:hAnsi="Times New Roman"/>
      <w:sz w:val="24"/>
      <w:szCs w:val="20"/>
      <w:lang w:eastAsia="en-US" w:bidi="ar-SA"/>
    </w:rPr>
  </w:style>
  <w:style w:type="paragraph" w:styleId="ListBullet2">
    <w:name w:val="List Bullet 2"/>
    <w:basedOn w:val="Normal"/>
    <w:pPr>
      <w:numPr>
        <w:numId w:val="6"/>
      </w:numPr>
      <w:spacing w:after="240" w:line="240" w:lineRule="auto"/>
      <w:jc w:val="both"/>
    </w:pPr>
    <w:rPr>
      <w:rFonts w:ascii="Times New Roman" w:eastAsia="Times New Roman" w:hAnsi="Times New Roman"/>
      <w:sz w:val="24"/>
      <w:szCs w:val="20"/>
      <w:lang w:eastAsia="en-US" w:bidi="ar-SA"/>
    </w:rPr>
  </w:style>
  <w:style w:type="paragraph" w:styleId="ListBullet3">
    <w:name w:val="List Bullet 3"/>
    <w:basedOn w:val="Normal"/>
    <w:pPr>
      <w:numPr>
        <w:numId w:val="7"/>
      </w:numPr>
      <w:spacing w:after="240" w:line="240" w:lineRule="auto"/>
      <w:jc w:val="both"/>
    </w:pPr>
    <w:rPr>
      <w:rFonts w:ascii="Times New Roman" w:eastAsia="Times New Roman" w:hAnsi="Times New Roman"/>
      <w:sz w:val="24"/>
      <w:szCs w:val="20"/>
      <w:lang w:eastAsia="en-US" w:bidi="ar-SA"/>
    </w:rPr>
  </w:style>
  <w:style w:type="paragraph" w:styleId="ListBullet4">
    <w:name w:val="List Bullet 4"/>
    <w:basedOn w:val="Normal"/>
    <w:pPr>
      <w:numPr>
        <w:numId w:val="8"/>
      </w:numPr>
      <w:spacing w:after="240" w:line="240" w:lineRule="auto"/>
      <w:jc w:val="both"/>
    </w:pPr>
    <w:rPr>
      <w:rFonts w:ascii="Times New Roman" w:eastAsia="Times New Roman" w:hAnsi="Times New Roman"/>
      <w:sz w:val="24"/>
      <w:szCs w:val="20"/>
      <w:lang w:eastAsia="en-US" w:bidi="ar-SA"/>
    </w:rPr>
  </w:style>
  <w:style w:type="paragraph" w:styleId="ListBullet5">
    <w:name w:val="List Bullet 5"/>
    <w:basedOn w:val="Normal"/>
    <w:pPr>
      <w:numPr>
        <w:numId w:val="9"/>
      </w:numPr>
      <w:spacing w:after="240" w:line="240" w:lineRule="auto"/>
      <w:jc w:val="both"/>
    </w:pPr>
    <w:rPr>
      <w:rFonts w:ascii="Times New Roman" w:eastAsia="Times New Roman" w:hAnsi="Times New Roman"/>
      <w:sz w:val="24"/>
      <w:szCs w:val="20"/>
      <w:lang w:eastAsia="en-US" w:bidi="ar-SA"/>
    </w:rPr>
  </w:style>
  <w:style w:type="paragraph" w:customStyle="1" w:styleId="ListBullet6">
    <w:name w:val="List Bullet 6"/>
    <w:basedOn w:val="Normal"/>
    <w:pPr>
      <w:numPr>
        <w:numId w:val="10"/>
      </w:numPr>
      <w:spacing w:after="240" w:line="240" w:lineRule="auto"/>
      <w:jc w:val="both"/>
    </w:pPr>
    <w:rPr>
      <w:rFonts w:ascii="Times New Roman" w:eastAsia="Times New Roman" w:hAnsi="Times New Roman"/>
      <w:sz w:val="24"/>
      <w:szCs w:val="20"/>
      <w:lang w:eastAsia="en-US" w:bidi="ar-SA"/>
    </w:rPr>
  </w:style>
  <w:style w:type="paragraph" w:customStyle="1" w:styleId="ListBullet7">
    <w:name w:val="List Bullet 7"/>
    <w:basedOn w:val="Normal"/>
    <w:pPr>
      <w:numPr>
        <w:numId w:val="11"/>
      </w:numPr>
      <w:spacing w:after="240" w:line="240" w:lineRule="auto"/>
      <w:jc w:val="both"/>
    </w:pPr>
    <w:rPr>
      <w:rFonts w:ascii="Times New Roman" w:eastAsia="Times New Roman" w:hAnsi="Times New Roman"/>
      <w:sz w:val="24"/>
      <w:szCs w:val="20"/>
      <w:lang w:eastAsia="en-US" w:bidi="ar-SA"/>
    </w:rPr>
  </w:style>
  <w:style w:type="paragraph" w:customStyle="1" w:styleId="ListBullet8">
    <w:name w:val="List Bullet 8"/>
    <w:basedOn w:val="Normal"/>
    <w:pPr>
      <w:numPr>
        <w:numId w:val="12"/>
      </w:numPr>
      <w:spacing w:after="240" w:line="240" w:lineRule="auto"/>
      <w:jc w:val="both"/>
    </w:pPr>
    <w:rPr>
      <w:rFonts w:ascii="Times New Roman" w:eastAsia="Times New Roman" w:hAnsi="Times New Roman"/>
      <w:sz w:val="24"/>
      <w:szCs w:val="20"/>
      <w:lang w:eastAsia="en-US" w:bidi="ar-SA"/>
    </w:rPr>
  </w:style>
  <w:style w:type="paragraph" w:customStyle="1" w:styleId="ListDash">
    <w:name w:val="List Dash"/>
    <w:basedOn w:val="Normal"/>
    <w:pPr>
      <w:numPr>
        <w:numId w:val="13"/>
      </w:numPr>
      <w:spacing w:after="240" w:line="240" w:lineRule="auto"/>
      <w:jc w:val="both"/>
    </w:pPr>
    <w:rPr>
      <w:rFonts w:ascii="Times New Roman" w:eastAsia="Times New Roman" w:hAnsi="Times New Roman"/>
      <w:sz w:val="24"/>
      <w:szCs w:val="20"/>
      <w:lang w:eastAsia="en-US" w:bidi="ar-SA"/>
    </w:rPr>
  </w:style>
  <w:style w:type="paragraph" w:customStyle="1" w:styleId="ListDash1">
    <w:name w:val="List Dash 1"/>
    <w:basedOn w:val="Normal"/>
    <w:pPr>
      <w:numPr>
        <w:numId w:val="14"/>
      </w:numPr>
      <w:spacing w:after="240" w:line="240" w:lineRule="auto"/>
      <w:jc w:val="both"/>
    </w:pPr>
    <w:rPr>
      <w:rFonts w:ascii="Times New Roman" w:eastAsia="Times New Roman" w:hAnsi="Times New Roman"/>
      <w:sz w:val="24"/>
      <w:szCs w:val="20"/>
      <w:lang w:eastAsia="en-US" w:bidi="ar-SA"/>
    </w:rPr>
  </w:style>
  <w:style w:type="paragraph" w:customStyle="1" w:styleId="ListDash2">
    <w:name w:val="List Dash 2"/>
    <w:basedOn w:val="Normal"/>
    <w:pPr>
      <w:numPr>
        <w:numId w:val="15"/>
      </w:numPr>
      <w:spacing w:after="240" w:line="240" w:lineRule="auto"/>
      <w:jc w:val="both"/>
    </w:pPr>
    <w:rPr>
      <w:rFonts w:ascii="Times New Roman" w:eastAsia="Times New Roman" w:hAnsi="Times New Roman"/>
      <w:sz w:val="24"/>
      <w:szCs w:val="20"/>
      <w:lang w:eastAsia="en-US" w:bidi="ar-SA"/>
    </w:rPr>
  </w:style>
  <w:style w:type="paragraph" w:customStyle="1" w:styleId="ListDash3">
    <w:name w:val="List Dash 3"/>
    <w:basedOn w:val="Normal"/>
    <w:pPr>
      <w:numPr>
        <w:numId w:val="16"/>
      </w:numPr>
      <w:spacing w:after="240" w:line="240" w:lineRule="auto"/>
      <w:jc w:val="both"/>
    </w:pPr>
    <w:rPr>
      <w:rFonts w:ascii="Times New Roman" w:eastAsia="Times New Roman" w:hAnsi="Times New Roman"/>
      <w:sz w:val="24"/>
      <w:szCs w:val="20"/>
      <w:lang w:eastAsia="en-US" w:bidi="ar-SA"/>
    </w:rPr>
  </w:style>
  <w:style w:type="paragraph" w:customStyle="1" w:styleId="ListDash4">
    <w:name w:val="List Dash 4"/>
    <w:basedOn w:val="Normal"/>
    <w:pPr>
      <w:numPr>
        <w:numId w:val="17"/>
      </w:numPr>
      <w:spacing w:after="240" w:line="240" w:lineRule="auto"/>
      <w:jc w:val="both"/>
    </w:pPr>
    <w:rPr>
      <w:rFonts w:ascii="Times New Roman" w:eastAsia="Times New Roman" w:hAnsi="Times New Roman"/>
      <w:sz w:val="24"/>
      <w:szCs w:val="20"/>
      <w:lang w:eastAsia="en-US" w:bidi="ar-SA"/>
    </w:rPr>
  </w:style>
  <w:style w:type="paragraph" w:customStyle="1" w:styleId="ListDash5">
    <w:name w:val="List Dash 5"/>
    <w:basedOn w:val="Normal"/>
    <w:pPr>
      <w:numPr>
        <w:numId w:val="18"/>
      </w:numPr>
      <w:spacing w:after="240" w:line="240" w:lineRule="auto"/>
      <w:jc w:val="both"/>
    </w:pPr>
    <w:rPr>
      <w:rFonts w:ascii="Times New Roman" w:eastAsia="Times New Roman" w:hAnsi="Times New Roman"/>
      <w:sz w:val="24"/>
      <w:szCs w:val="20"/>
      <w:lang w:eastAsia="en-US" w:bidi="ar-SA"/>
    </w:rPr>
  </w:style>
  <w:style w:type="paragraph" w:customStyle="1" w:styleId="ListDash6">
    <w:name w:val="List Dash 6"/>
    <w:basedOn w:val="Normal"/>
    <w:pPr>
      <w:numPr>
        <w:numId w:val="19"/>
      </w:numPr>
      <w:spacing w:after="240" w:line="240" w:lineRule="auto"/>
      <w:jc w:val="both"/>
    </w:pPr>
    <w:rPr>
      <w:rFonts w:ascii="Times New Roman" w:eastAsia="Times New Roman" w:hAnsi="Times New Roman"/>
      <w:sz w:val="24"/>
      <w:szCs w:val="20"/>
      <w:lang w:eastAsia="en-US" w:bidi="ar-SA"/>
    </w:rPr>
  </w:style>
  <w:style w:type="paragraph" w:customStyle="1" w:styleId="ListDash7">
    <w:name w:val="List Dash 7"/>
    <w:basedOn w:val="Normal"/>
    <w:pPr>
      <w:numPr>
        <w:numId w:val="20"/>
      </w:numPr>
      <w:spacing w:after="240" w:line="240" w:lineRule="auto"/>
      <w:jc w:val="both"/>
    </w:pPr>
    <w:rPr>
      <w:rFonts w:ascii="Times New Roman" w:eastAsia="Times New Roman" w:hAnsi="Times New Roman"/>
      <w:sz w:val="24"/>
      <w:szCs w:val="20"/>
      <w:lang w:eastAsia="en-US" w:bidi="ar-SA"/>
    </w:rPr>
  </w:style>
  <w:style w:type="paragraph" w:customStyle="1" w:styleId="ListDash8">
    <w:name w:val="List Dash 8"/>
    <w:basedOn w:val="Normal"/>
    <w:pPr>
      <w:numPr>
        <w:numId w:val="21"/>
      </w:numPr>
      <w:spacing w:after="240" w:line="240" w:lineRule="auto"/>
      <w:jc w:val="both"/>
    </w:pPr>
    <w:rPr>
      <w:rFonts w:ascii="Times New Roman" w:eastAsia="Times New Roman" w:hAnsi="Times New Roman"/>
      <w:sz w:val="24"/>
      <w:szCs w:val="20"/>
      <w:lang w:eastAsia="en-US" w:bidi="ar-SA"/>
    </w:rPr>
  </w:style>
  <w:style w:type="paragraph" w:styleId="ListNumber">
    <w:name w:val="List Number"/>
    <w:basedOn w:val="Normal"/>
    <w:pPr>
      <w:numPr>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
    <w:name w:val="List Number 1"/>
    <w:basedOn w:val="Normal"/>
    <w:pPr>
      <w:numPr>
        <w:numId w:val="23"/>
      </w:numPr>
      <w:spacing w:after="240" w:line="240" w:lineRule="auto"/>
      <w:jc w:val="both"/>
    </w:pPr>
    <w:rPr>
      <w:rFonts w:ascii="Times New Roman" w:eastAsia="Times New Roman" w:hAnsi="Times New Roman"/>
      <w:sz w:val="24"/>
      <w:szCs w:val="20"/>
      <w:lang w:eastAsia="en-US" w:bidi="ar-SA"/>
    </w:rPr>
  </w:style>
  <w:style w:type="paragraph" w:styleId="ListNumber2">
    <w:name w:val="List Number 2"/>
    <w:basedOn w:val="Normal"/>
    <w:pPr>
      <w:numPr>
        <w:numId w:val="24"/>
      </w:numPr>
      <w:spacing w:after="240" w:line="240" w:lineRule="auto"/>
      <w:jc w:val="both"/>
    </w:pPr>
    <w:rPr>
      <w:rFonts w:ascii="Times New Roman" w:eastAsia="Times New Roman" w:hAnsi="Times New Roman"/>
      <w:sz w:val="24"/>
      <w:szCs w:val="20"/>
      <w:lang w:eastAsia="en-US" w:bidi="ar-SA"/>
    </w:rPr>
  </w:style>
  <w:style w:type="paragraph" w:styleId="ListNumber3">
    <w:name w:val="List Number 3"/>
    <w:basedOn w:val="Normal"/>
    <w:pPr>
      <w:numPr>
        <w:numId w:val="25"/>
      </w:numPr>
      <w:spacing w:after="240" w:line="240" w:lineRule="auto"/>
      <w:jc w:val="both"/>
    </w:pPr>
    <w:rPr>
      <w:rFonts w:ascii="Times New Roman" w:eastAsia="Times New Roman" w:hAnsi="Times New Roman"/>
      <w:sz w:val="24"/>
      <w:szCs w:val="20"/>
      <w:lang w:eastAsia="en-US" w:bidi="ar-SA"/>
    </w:rPr>
  </w:style>
  <w:style w:type="paragraph" w:styleId="ListNumber4">
    <w:name w:val="List Number 4"/>
    <w:basedOn w:val="Normal"/>
    <w:pPr>
      <w:numPr>
        <w:numId w:val="26"/>
      </w:numPr>
      <w:spacing w:after="240" w:line="240" w:lineRule="auto"/>
      <w:jc w:val="both"/>
    </w:pPr>
    <w:rPr>
      <w:rFonts w:ascii="Times New Roman" w:eastAsia="Times New Roman" w:hAnsi="Times New Roman"/>
      <w:sz w:val="24"/>
      <w:szCs w:val="20"/>
      <w:lang w:eastAsia="en-US" w:bidi="ar-SA"/>
    </w:rPr>
  </w:style>
  <w:style w:type="paragraph" w:styleId="ListNumber5">
    <w:name w:val="List Number 5"/>
    <w:basedOn w:val="Normal"/>
    <w:pPr>
      <w:numPr>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
    <w:name w:val="List Number 6"/>
    <w:basedOn w:val="Normal"/>
    <w:pPr>
      <w:numPr>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
    <w:name w:val="List Number 7"/>
    <w:basedOn w:val="Normal"/>
    <w:pPr>
      <w:numPr>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
    <w:name w:val="List Number 8"/>
    <w:basedOn w:val="Normal"/>
    <w:pPr>
      <w:numPr>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2">
    <w:name w:val="List Number (Level 2)"/>
    <w:basedOn w:val="Normal"/>
    <w:pPr>
      <w:numPr>
        <w:ilvl w:val="1"/>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2">
    <w:name w:val="List Number 1 (Level 2)"/>
    <w:basedOn w:val="Normal"/>
    <w:pPr>
      <w:numPr>
        <w:ilvl w:val="1"/>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2">
    <w:name w:val="List Number 2 (Level 2)"/>
    <w:basedOn w:val="Normal"/>
    <w:pPr>
      <w:numPr>
        <w:ilvl w:val="1"/>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2">
    <w:name w:val="List Number 3 (Level 2)"/>
    <w:basedOn w:val="Normal"/>
    <w:pPr>
      <w:numPr>
        <w:ilvl w:val="1"/>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2">
    <w:name w:val="List Number 4 (Level 2)"/>
    <w:basedOn w:val="Normal"/>
    <w:pPr>
      <w:numPr>
        <w:ilvl w:val="1"/>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2">
    <w:name w:val="List Number 5 (Level 2)"/>
    <w:basedOn w:val="Normal"/>
    <w:pPr>
      <w:numPr>
        <w:ilvl w:val="1"/>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2">
    <w:name w:val="List Number 6 (Level 2)"/>
    <w:basedOn w:val="Normal"/>
    <w:pPr>
      <w:numPr>
        <w:ilvl w:val="1"/>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2">
    <w:name w:val="List Number 7 (Level 2)"/>
    <w:basedOn w:val="Normal"/>
    <w:pPr>
      <w:numPr>
        <w:ilvl w:val="1"/>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2">
    <w:name w:val="List Number 8 (Level 2)"/>
    <w:basedOn w:val="Normal"/>
    <w:pPr>
      <w:numPr>
        <w:ilvl w:val="1"/>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3">
    <w:name w:val="List Number (Level 3)"/>
    <w:basedOn w:val="Normal"/>
    <w:pPr>
      <w:numPr>
        <w:ilvl w:val="2"/>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3">
    <w:name w:val="List Number 1 (Level 3)"/>
    <w:basedOn w:val="Normal"/>
    <w:pPr>
      <w:numPr>
        <w:ilvl w:val="2"/>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3">
    <w:name w:val="List Number 2 (Level 3)"/>
    <w:basedOn w:val="Normal"/>
    <w:pPr>
      <w:numPr>
        <w:ilvl w:val="2"/>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3">
    <w:name w:val="List Number 3 (Level 3)"/>
    <w:basedOn w:val="Normal"/>
    <w:pPr>
      <w:numPr>
        <w:ilvl w:val="2"/>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3">
    <w:name w:val="List Number 4 (Level 3)"/>
    <w:basedOn w:val="Normal"/>
    <w:pPr>
      <w:numPr>
        <w:ilvl w:val="2"/>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3">
    <w:name w:val="List Number 5 (Level 3)"/>
    <w:basedOn w:val="Normal"/>
    <w:pPr>
      <w:numPr>
        <w:ilvl w:val="2"/>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3">
    <w:name w:val="List Number 6 (Level 3)"/>
    <w:basedOn w:val="Normal"/>
    <w:pPr>
      <w:numPr>
        <w:ilvl w:val="2"/>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3">
    <w:name w:val="List Number 7 (Level 3)"/>
    <w:basedOn w:val="Normal"/>
    <w:pPr>
      <w:numPr>
        <w:ilvl w:val="2"/>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3">
    <w:name w:val="List Number 8 (Level 3)"/>
    <w:basedOn w:val="Normal"/>
    <w:pPr>
      <w:numPr>
        <w:ilvl w:val="2"/>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4">
    <w:name w:val="List Number (Level 4)"/>
    <w:basedOn w:val="Normal"/>
    <w:pPr>
      <w:numPr>
        <w:ilvl w:val="3"/>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4">
    <w:name w:val="List Number 1 (Level 4)"/>
    <w:basedOn w:val="Normal"/>
    <w:pPr>
      <w:numPr>
        <w:ilvl w:val="3"/>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4">
    <w:name w:val="List Number 2 (Level 4)"/>
    <w:basedOn w:val="Normal"/>
    <w:pPr>
      <w:numPr>
        <w:ilvl w:val="3"/>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4">
    <w:name w:val="List Number 3 (Level 4)"/>
    <w:basedOn w:val="Normal"/>
    <w:pPr>
      <w:numPr>
        <w:ilvl w:val="3"/>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4">
    <w:name w:val="List Number 4 (Level 4)"/>
    <w:basedOn w:val="Normal"/>
    <w:pPr>
      <w:numPr>
        <w:ilvl w:val="3"/>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4">
    <w:name w:val="List Number 5 (Level 4)"/>
    <w:basedOn w:val="Normal"/>
    <w:pPr>
      <w:numPr>
        <w:ilvl w:val="3"/>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4">
    <w:name w:val="List Number 6 (Level 4)"/>
    <w:basedOn w:val="Normal"/>
    <w:pPr>
      <w:numPr>
        <w:ilvl w:val="3"/>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4">
    <w:name w:val="List Number 7 (Level 4)"/>
    <w:basedOn w:val="Normal"/>
    <w:pPr>
      <w:numPr>
        <w:ilvl w:val="3"/>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4">
    <w:name w:val="List Number 8 (Level 4)"/>
    <w:basedOn w:val="Normal"/>
    <w:pPr>
      <w:numPr>
        <w:ilvl w:val="3"/>
        <w:numId w:val="30"/>
      </w:numPr>
      <w:spacing w:after="240" w:line="240" w:lineRule="auto"/>
      <w:jc w:val="both"/>
    </w:pPr>
    <w:rPr>
      <w:rFonts w:ascii="Times New Roman" w:eastAsia="Times New Roman" w:hAnsi="Times New Roman"/>
      <w:sz w:val="24"/>
      <w:szCs w:val="20"/>
      <w:lang w:eastAsia="en-US" w:bidi="ar-SA"/>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aps/>
      <w:sz w:val="24"/>
      <w:szCs w:val="20"/>
      <w:lang w:eastAsia="en-US" w:bidi="ar-SA"/>
    </w:rPr>
  </w:style>
  <w:style w:type="table" w:styleId="LightShading">
    <w:name w:val="Light Shading"/>
    <w:basedOn w:val="TableNormal"/>
    <w:uiPriority w:val="6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point">
    <w:name w:val="Bullet point"/>
    <w:basedOn w:val="Normal"/>
    <w:qFormat/>
    <w:pPr>
      <w:numPr>
        <w:numId w:val="3"/>
      </w:numPr>
      <w:tabs>
        <w:tab w:val="clear" w:pos="851"/>
        <w:tab w:val="num" w:pos="360"/>
        <w:tab w:val="left" w:pos="794"/>
        <w:tab w:val="left" w:pos="1191"/>
      </w:tabs>
      <w:spacing w:after="120" w:line="240" w:lineRule="auto"/>
      <w:ind w:left="0" w:firstLine="794"/>
      <w:jc w:val="both"/>
    </w:pPr>
    <w:rPr>
      <w:rFonts w:ascii="Times New Roman" w:eastAsia="Times New Roman" w:hAnsi="Times New Roman"/>
      <w:noProof/>
    </w:rPr>
  </w:style>
  <w:style w:type="paragraph" w:styleId="NormalWeb">
    <w:name w:val="Normal (Web)"/>
    <w:basedOn w:val="Normal"/>
    <w:uiPriority w:val="99"/>
    <w:semiHidden/>
    <w:unhideWhenUsed/>
    <w:rPr>
      <w:rFonts w:ascii="Times New Roman" w:eastAsiaTheme="minorHAnsi" w:hAnsi="Times New Roman"/>
      <w:sz w:val="24"/>
      <w:szCs w:val="24"/>
    </w:rPr>
  </w:style>
  <w:style w:type="paragraph" w:styleId="NoSpacing">
    <w:name w:val="No Spacing"/>
    <w:uiPriority w:val="1"/>
    <w:qFormat/>
    <w:rPr>
      <w:sz w:val="22"/>
      <w:szCs w:val="22"/>
    </w:rPr>
  </w:style>
  <w:style w:type="paragraph" w:styleId="BodyText">
    <w:name w:val="Body Text"/>
    <w:basedOn w:val="Normal"/>
    <w:link w:val="BodyTextChar"/>
    <w:semiHidden/>
    <w:pPr>
      <w:shd w:val="clear" w:color="auto" w:fill="FFFFFF"/>
      <w:spacing w:line="224" w:lineRule="atLeast"/>
      <w:jc w:val="both"/>
    </w:pPr>
    <w:rPr>
      <w:rFonts w:ascii="Arial" w:hAnsi="Arial" w:cs="Arial"/>
      <w:b/>
      <w:bCs/>
      <w:sz w:val="24"/>
      <w:szCs w:val="24"/>
    </w:rPr>
  </w:style>
  <w:style w:type="character" w:customStyle="1" w:styleId="BodyTextChar">
    <w:name w:val="Body Text Char"/>
    <w:basedOn w:val="DefaultParagraphFont"/>
    <w:link w:val="BodyText"/>
    <w:semiHidden/>
    <w:rPr>
      <w:rFonts w:ascii="Arial" w:hAnsi="Arial" w:cs="Arial"/>
      <w:b/>
      <w:bCs/>
      <w:sz w:val="24"/>
      <w:szCs w:val="24"/>
      <w:shd w:val="clear" w:color="auto" w:fill="FFFFFF"/>
      <w:lang w:eastAsia="nl-NL"/>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uiPriority w:val="99"/>
    <w:semiHidden/>
    <w:unhideWhenUsed/>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Pr>
      <w:rFonts w:asciiTheme="minorHAnsi" w:eastAsiaTheme="minorHAnsi" w:hAnsiTheme="minorHAnsi" w:cstheme="minorBidi"/>
      <w:sz w:val="22"/>
      <w:szCs w:val="22"/>
      <w:lang w:eastAsia="nl-NL"/>
    </w:rPr>
  </w:style>
  <w:style w:type="character" w:customStyle="1" w:styleId="tgc">
    <w:name w:val="_tgc"/>
    <w:basedOn w:val="DefaultParagraphFont"/>
  </w:style>
  <w:style w:type="paragraph" w:styleId="TOC4">
    <w:name w:val="toc 4"/>
    <w:basedOn w:val="Normal"/>
    <w:next w:val="Normal"/>
    <w:semiHidden/>
    <w:pPr>
      <w:tabs>
        <w:tab w:val="right" w:leader="dot" w:pos="8641"/>
      </w:tabs>
      <w:spacing w:before="60" w:after="60" w:line="240" w:lineRule="auto"/>
      <w:ind w:left="1440" w:right="720" w:hanging="1440"/>
      <w:jc w:val="both"/>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143">
      <w:bodyDiv w:val="1"/>
      <w:marLeft w:val="0"/>
      <w:marRight w:val="0"/>
      <w:marTop w:val="0"/>
      <w:marBottom w:val="0"/>
      <w:divBdr>
        <w:top w:val="none" w:sz="0" w:space="0" w:color="auto"/>
        <w:left w:val="none" w:sz="0" w:space="0" w:color="auto"/>
        <w:bottom w:val="none" w:sz="0" w:space="0" w:color="auto"/>
        <w:right w:val="none" w:sz="0" w:space="0" w:color="auto"/>
      </w:divBdr>
      <w:divsChild>
        <w:div w:id="296838268">
          <w:marLeft w:val="0"/>
          <w:marRight w:val="0"/>
          <w:marTop w:val="0"/>
          <w:marBottom w:val="0"/>
          <w:divBdr>
            <w:top w:val="none" w:sz="0" w:space="0" w:color="auto"/>
            <w:left w:val="none" w:sz="0" w:space="0" w:color="auto"/>
            <w:bottom w:val="none" w:sz="0" w:space="0" w:color="auto"/>
            <w:right w:val="none" w:sz="0" w:space="0" w:color="auto"/>
          </w:divBdr>
          <w:divsChild>
            <w:div w:id="170997771">
              <w:marLeft w:val="0"/>
              <w:marRight w:val="0"/>
              <w:marTop w:val="0"/>
              <w:marBottom w:val="0"/>
              <w:divBdr>
                <w:top w:val="none" w:sz="0" w:space="0" w:color="auto"/>
                <w:left w:val="none" w:sz="0" w:space="0" w:color="auto"/>
                <w:bottom w:val="none" w:sz="0" w:space="0" w:color="auto"/>
                <w:right w:val="none" w:sz="0" w:space="0" w:color="auto"/>
              </w:divBdr>
              <w:divsChild>
                <w:div w:id="1693795870">
                  <w:marLeft w:val="0"/>
                  <w:marRight w:val="0"/>
                  <w:marTop w:val="0"/>
                  <w:marBottom w:val="0"/>
                  <w:divBdr>
                    <w:top w:val="none" w:sz="0" w:space="0" w:color="auto"/>
                    <w:left w:val="none" w:sz="0" w:space="0" w:color="auto"/>
                    <w:bottom w:val="none" w:sz="0" w:space="0" w:color="auto"/>
                    <w:right w:val="none" w:sz="0" w:space="0" w:color="auto"/>
                  </w:divBdr>
                  <w:divsChild>
                    <w:div w:id="1757943188">
                      <w:marLeft w:val="0"/>
                      <w:marRight w:val="0"/>
                      <w:marTop w:val="0"/>
                      <w:marBottom w:val="0"/>
                      <w:divBdr>
                        <w:top w:val="none" w:sz="0" w:space="0" w:color="auto"/>
                        <w:left w:val="none" w:sz="0" w:space="0" w:color="auto"/>
                        <w:bottom w:val="none" w:sz="0" w:space="0" w:color="auto"/>
                        <w:right w:val="none" w:sz="0" w:space="0" w:color="auto"/>
                      </w:divBdr>
                      <w:divsChild>
                        <w:div w:id="1587423141">
                          <w:marLeft w:val="0"/>
                          <w:marRight w:val="0"/>
                          <w:marTop w:val="0"/>
                          <w:marBottom w:val="0"/>
                          <w:divBdr>
                            <w:top w:val="none" w:sz="0" w:space="0" w:color="auto"/>
                            <w:left w:val="none" w:sz="0" w:space="0" w:color="auto"/>
                            <w:bottom w:val="none" w:sz="0" w:space="0" w:color="auto"/>
                            <w:right w:val="none" w:sz="0" w:space="0" w:color="auto"/>
                          </w:divBdr>
                          <w:divsChild>
                            <w:div w:id="779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71336">
      <w:bodyDiv w:val="1"/>
      <w:marLeft w:val="0"/>
      <w:marRight w:val="0"/>
      <w:marTop w:val="0"/>
      <w:marBottom w:val="0"/>
      <w:divBdr>
        <w:top w:val="none" w:sz="0" w:space="0" w:color="auto"/>
        <w:left w:val="none" w:sz="0" w:space="0" w:color="auto"/>
        <w:bottom w:val="none" w:sz="0" w:space="0" w:color="auto"/>
        <w:right w:val="none" w:sz="0" w:space="0" w:color="auto"/>
      </w:divBdr>
      <w:divsChild>
        <w:div w:id="448931973">
          <w:marLeft w:val="0"/>
          <w:marRight w:val="0"/>
          <w:marTop w:val="0"/>
          <w:marBottom w:val="0"/>
          <w:divBdr>
            <w:top w:val="none" w:sz="0" w:space="0" w:color="auto"/>
            <w:left w:val="none" w:sz="0" w:space="0" w:color="auto"/>
            <w:bottom w:val="none" w:sz="0" w:space="0" w:color="auto"/>
            <w:right w:val="none" w:sz="0" w:space="0" w:color="auto"/>
          </w:divBdr>
          <w:divsChild>
            <w:div w:id="228855553">
              <w:marLeft w:val="0"/>
              <w:marRight w:val="0"/>
              <w:marTop w:val="0"/>
              <w:marBottom w:val="0"/>
              <w:divBdr>
                <w:top w:val="none" w:sz="0" w:space="0" w:color="auto"/>
                <w:left w:val="none" w:sz="0" w:space="0" w:color="auto"/>
                <w:bottom w:val="none" w:sz="0" w:space="0" w:color="auto"/>
                <w:right w:val="none" w:sz="0" w:space="0" w:color="auto"/>
              </w:divBdr>
              <w:divsChild>
                <w:div w:id="732461001">
                  <w:marLeft w:val="0"/>
                  <w:marRight w:val="0"/>
                  <w:marTop w:val="0"/>
                  <w:marBottom w:val="0"/>
                  <w:divBdr>
                    <w:top w:val="none" w:sz="0" w:space="0" w:color="auto"/>
                    <w:left w:val="none" w:sz="0" w:space="0" w:color="auto"/>
                    <w:bottom w:val="none" w:sz="0" w:space="0" w:color="auto"/>
                    <w:right w:val="none" w:sz="0" w:space="0" w:color="auto"/>
                  </w:divBdr>
                  <w:divsChild>
                    <w:div w:id="1862427799">
                      <w:marLeft w:val="0"/>
                      <w:marRight w:val="0"/>
                      <w:marTop w:val="0"/>
                      <w:marBottom w:val="0"/>
                      <w:divBdr>
                        <w:top w:val="none" w:sz="0" w:space="0" w:color="auto"/>
                        <w:left w:val="none" w:sz="0" w:space="0" w:color="auto"/>
                        <w:bottom w:val="none" w:sz="0" w:space="0" w:color="auto"/>
                        <w:right w:val="none" w:sz="0" w:space="0" w:color="auto"/>
                      </w:divBdr>
                      <w:divsChild>
                        <w:div w:id="33895731">
                          <w:marLeft w:val="0"/>
                          <w:marRight w:val="0"/>
                          <w:marTop w:val="0"/>
                          <w:marBottom w:val="0"/>
                          <w:divBdr>
                            <w:top w:val="none" w:sz="0" w:space="0" w:color="auto"/>
                            <w:left w:val="none" w:sz="0" w:space="0" w:color="auto"/>
                            <w:bottom w:val="none" w:sz="0" w:space="0" w:color="auto"/>
                            <w:right w:val="none" w:sz="0" w:space="0" w:color="auto"/>
                          </w:divBdr>
                          <w:divsChild>
                            <w:div w:id="1695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12975">
      <w:bodyDiv w:val="1"/>
      <w:marLeft w:val="0"/>
      <w:marRight w:val="0"/>
      <w:marTop w:val="0"/>
      <w:marBottom w:val="0"/>
      <w:divBdr>
        <w:top w:val="none" w:sz="0" w:space="0" w:color="auto"/>
        <w:left w:val="none" w:sz="0" w:space="0" w:color="auto"/>
        <w:bottom w:val="none" w:sz="0" w:space="0" w:color="auto"/>
        <w:right w:val="none" w:sz="0" w:space="0" w:color="auto"/>
      </w:divBdr>
      <w:divsChild>
        <w:div w:id="1704868788">
          <w:marLeft w:val="0"/>
          <w:marRight w:val="0"/>
          <w:marTop w:val="0"/>
          <w:marBottom w:val="0"/>
          <w:divBdr>
            <w:top w:val="none" w:sz="0" w:space="0" w:color="auto"/>
            <w:left w:val="none" w:sz="0" w:space="0" w:color="auto"/>
            <w:bottom w:val="none" w:sz="0" w:space="0" w:color="auto"/>
            <w:right w:val="none" w:sz="0" w:space="0" w:color="auto"/>
          </w:divBdr>
          <w:divsChild>
            <w:div w:id="2028552890">
              <w:marLeft w:val="0"/>
              <w:marRight w:val="0"/>
              <w:marTop w:val="0"/>
              <w:marBottom w:val="0"/>
              <w:divBdr>
                <w:top w:val="none" w:sz="0" w:space="0" w:color="auto"/>
                <w:left w:val="none" w:sz="0" w:space="0" w:color="auto"/>
                <w:bottom w:val="none" w:sz="0" w:space="0" w:color="auto"/>
                <w:right w:val="none" w:sz="0" w:space="0" w:color="auto"/>
              </w:divBdr>
              <w:divsChild>
                <w:div w:id="1037126958">
                  <w:marLeft w:val="0"/>
                  <w:marRight w:val="0"/>
                  <w:marTop w:val="0"/>
                  <w:marBottom w:val="0"/>
                  <w:divBdr>
                    <w:top w:val="none" w:sz="0" w:space="0" w:color="auto"/>
                    <w:left w:val="none" w:sz="0" w:space="0" w:color="auto"/>
                    <w:bottom w:val="none" w:sz="0" w:space="0" w:color="auto"/>
                    <w:right w:val="none" w:sz="0" w:space="0" w:color="auto"/>
                  </w:divBdr>
                  <w:divsChild>
                    <w:div w:id="1701004728">
                      <w:marLeft w:val="0"/>
                      <w:marRight w:val="0"/>
                      <w:marTop w:val="0"/>
                      <w:marBottom w:val="0"/>
                      <w:divBdr>
                        <w:top w:val="none" w:sz="0" w:space="0" w:color="auto"/>
                        <w:left w:val="none" w:sz="0" w:space="0" w:color="auto"/>
                        <w:bottom w:val="none" w:sz="0" w:space="0" w:color="auto"/>
                        <w:right w:val="none" w:sz="0" w:space="0" w:color="auto"/>
                      </w:divBdr>
                      <w:divsChild>
                        <w:div w:id="1689867246">
                          <w:marLeft w:val="0"/>
                          <w:marRight w:val="0"/>
                          <w:marTop w:val="0"/>
                          <w:marBottom w:val="0"/>
                          <w:divBdr>
                            <w:top w:val="none" w:sz="0" w:space="0" w:color="auto"/>
                            <w:left w:val="none" w:sz="0" w:space="0" w:color="auto"/>
                            <w:bottom w:val="none" w:sz="0" w:space="0" w:color="auto"/>
                            <w:right w:val="none" w:sz="0" w:space="0" w:color="auto"/>
                          </w:divBdr>
                          <w:divsChild>
                            <w:div w:id="30581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74421">
      <w:bodyDiv w:val="1"/>
      <w:marLeft w:val="0"/>
      <w:marRight w:val="0"/>
      <w:marTop w:val="0"/>
      <w:marBottom w:val="0"/>
      <w:divBdr>
        <w:top w:val="none" w:sz="0" w:space="0" w:color="auto"/>
        <w:left w:val="none" w:sz="0" w:space="0" w:color="auto"/>
        <w:bottom w:val="none" w:sz="0" w:space="0" w:color="auto"/>
        <w:right w:val="none" w:sz="0" w:space="0" w:color="auto"/>
      </w:divBdr>
    </w:div>
    <w:div w:id="637806269">
      <w:bodyDiv w:val="1"/>
      <w:marLeft w:val="0"/>
      <w:marRight w:val="0"/>
      <w:marTop w:val="0"/>
      <w:marBottom w:val="0"/>
      <w:divBdr>
        <w:top w:val="none" w:sz="0" w:space="0" w:color="auto"/>
        <w:left w:val="none" w:sz="0" w:space="0" w:color="auto"/>
        <w:bottom w:val="none" w:sz="0" w:space="0" w:color="auto"/>
        <w:right w:val="none" w:sz="0" w:space="0" w:color="auto"/>
      </w:divBdr>
    </w:div>
    <w:div w:id="1243370168">
      <w:bodyDiv w:val="1"/>
      <w:marLeft w:val="0"/>
      <w:marRight w:val="0"/>
      <w:marTop w:val="0"/>
      <w:marBottom w:val="0"/>
      <w:divBdr>
        <w:top w:val="none" w:sz="0" w:space="0" w:color="auto"/>
        <w:left w:val="none" w:sz="0" w:space="0" w:color="auto"/>
        <w:bottom w:val="none" w:sz="0" w:space="0" w:color="auto"/>
        <w:right w:val="none" w:sz="0" w:space="0" w:color="auto"/>
      </w:divBdr>
      <w:divsChild>
        <w:div w:id="434399965">
          <w:marLeft w:val="0"/>
          <w:marRight w:val="0"/>
          <w:marTop w:val="0"/>
          <w:marBottom w:val="0"/>
          <w:divBdr>
            <w:top w:val="none" w:sz="0" w:space="0" w:color="auto"/>
            <w:left w:val="none" w:sz="0" w:space="0" w:color="auto"/>
            <w:bottom w:val="none" w:sz="0" w:space="0" w:color="auto"/>
            <w:right w:val="none" w:sz="0" w:space="0" w:color="auto"/>
          </w:divBdr>
          <w:divsChild>
            <w:div w:id="1755130360">
              <w:marLeft w:val="0"/>
              <w:marRight w:val="0"/>
              <w:marTop w:val="0"/>
              <w:marBottom w:val="0"/>
              <w:divBdr>
                <w:top w:val="none" w:sz="0" w:space="0" w:color="auto"/>
                <w:left w:val="none" w:sz="0" w:space="0" w:color="auto"/>
                <w:bottom w:val="none" w:sz="0" w:space="0" w:color="auto"/>
                <w:right w:val="none" w:sz="0" w:space="0" w:color="auto"/>
              </w:divBdr>
              <w:divsChild>
                <w:div w:id="971599942">
                  <w:marLeft w:val="0"/>
                  <w:marRight w:val="0"/>
                  <w:marTop w:val="0"/>
                  <w:marBottom w:val="0"/>
                  <w:divBdr>
                    <w:top w:val="none" w:sz="0" w:space="0" w:color="auto"/>
                    <w:left w:val="none" w:sz="0" w:space="0" w:color="auto"/>
                    <w:bottom w:val="none" w:sz="0" w:space="0" w:color="auto"/>
                    <w:right w:val="none" w:sz="0" w:space="0" w:color="auto"/>
                  </w:divBdr>
                  <w:divsChild>
                    <w:div w:id="520507439">
                      <w:marLeft w:val="0"/>
                      <w:marRight w:val="0"/>
                      <w:marTop w:val="0"/>
                      <w:marBottom w:val="0"/>
                      <w:divBdr>
                        <w:top w:val="none" w:sz="0" w:space="0" w:color="auto"/>
                        <w:left w:val="none" w:sz="0" w:space="0" w:color="auto"/>
                        <w:bottom w:val="none" w:sz="0" w:space="0" w:color="auto"/>
                        <w:right w:val="none" w:sz="0" w:space="0" w:color="auto"/>
                      </w:divBdr>
                      <w:divsChild>
                        <w:div w:id="907768190">
                          <w:marLeft w:val="0"/>
                          <w:marRight w:val="0"/>
                          <w:marTop w:val="0"/>
                          <w:marBottom w:val="0"/>
                          <w:divBdr>
                            <w:top w:val="none" w:sz="0" w:space="0" w:color="auto"/>
                            <w:left w:val="none" w:sz="0" w:space="0" w:color="auto"/>
                            <w:bottom w:val="none" w:sz="0" w:space="0" w:color="auto"/>
                            <w:right w:val="none" w:sz="0" w:space="0" w:color="auto"/>
                          </w:divBdr>
                          <w:divsChild>
                            <w:div w:id="13162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275575">
      <w:bodyDiv w:val="1"/>
      <w:marLeft w:val="0"/>
      <w:marRight w:val="0"/>
      <w:marTop w:val="0"/>
      <w:marBottom w:val="0"/>
      <w:divBdr>
        <w:top w:val="none" w:sz="0" w:space="0" w:color="auto"/>
        <w:left w:val="none" w:sz="0" w:space="0" w:color="auto"/>
        <w:bottom w:val="none" w:sz="0" w:space="0" w:color="auto"/>
        <w:right w:val="none" w:sz="0" w:space="0" w:color="auto"/>
      </w:divBdr>
      <w:divsChild>
        <w:div w:id="2048218030">
          <w:marLeft w:val="0"/>
          <w:marRight w:val="0"/>
          <w:marTop w:val="0"/>
          <w:marBottom w:val="0"/>
          <w:divBdr>
            <w:top w:val="none" w:sz="0" w:space="0" w:color="auto"/>
            <w:left w:val="none" w:sz="0" w:space="0" w:color="auto"/>
            <w:bottom w:val="none" w:sz="0" w:space="0" w:color="auto"/>
            <w:right w:val="none" w:sz="0" w:space="0" w:color="auto"/>
          </w:divBdr>
          <w:divsChild>
            <w:div w:id="1138181895">
              <w:marLeft w:val="0"/>
              <w:marRight w:val="0"/>
              <w:marTop w:val="0"/>
              <w:marBottom w:val="0"/>
              <w:divBdr>
                <w:top w:val="none" w:sz="0" w:space="0" w:color="auto"/>
                <w:left w:val="none" w:sz="0" w:space="0" w:color="auto"/>
                <w:bottom w:val="none" w:sz="0" w:space="0" w:color="auto"/>
                <w:right w:val="none" w:sz="0" w:space="0" w:color="auto"/>
              </w:divBdr>
              <w:divsChild>
                <w:div w:id="770586950">
                  <w:marLeft w:val="0"/>
                  <w:marRight w:val="0"/>
                  <w:marTop w:val="0"/>
                  <w:marBottom w:val="0"/>
                  <w:divBdr>
                    <w:top w:val="none" w:sz="0" w:space="0" w:color="auto"/>
                    <w:left w:val="none" w:sz="0" w:space="0" w:color="auto"/>
                    <w:bottom w:val="none" w:sz="0" w:space="0" w:color="auto"/>
                    <w:right w:val="none" w:sz="0" w:space="0" w:color="auto"/>
                  </w:divBdr>
                  <w:divsChild>
                    <w:div w:id="1899591643">
                      <w:marLeft w:val="0"/>
                      <w:marRight w:val="0"/>
                      <w:marTop w:val="0"/>
                      <w:marBottom w:val="0"/>
                      <w:divBdr>
                        <w:top w:val="none" w:sz="0" w:space="0" w:color="auto"/>
                        <w:left w:val="none" w:sz="0" w:space="0" w:color="auto"/>
                        <w:bottom w:val="none" w:sz="0" w:space="0" w:color="auto"/>
                        <w:right w:val="none" w:sz="0" w:space="0" w:color="auto"/>
                      </w:divBdr>
                      <w:divsChild>
                        <w:div w:id="764957164">
                          <w:marLeft w:val="0"/>
                          <w:marRight w:val="0"/>
                          <w:marTop w:val="0"/>
                          <w:marBottom w:val="0"/>
                          <w:divBdr>
                            <w:top w:val="none" w:sz="0" w:space="0" w:color="auto"/>
                            <w:left w:val="none" w:sz="0" w:space="0" w:color="auto"/>
                            <w:bottom w:val="none" w:sz="0" w:space="0" w:color="auto"/>
                            <w:right w:val="none" w:sz="0" w:space="0" w:color="auto"/>
                          </w:divBdr>
                          <w:divsChild>
                            <w:div w:id="19199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712">
      <w:bodyDiv w:val="1"/>
      <w:marLeft w:val="0"/>
      <w:marRight w:val="0"/>
      <w:marTop w:val="0"/>
      <w:marBottom w:val="0"/>
      <w:divBdr>
        <w:top w:val="none" w:sz="0" w:space="0" w:color="auto"/>
        <w:left w:val="none" w:sz="0" w:space="0" w:color="auto"/>
        <w:bottom w:val="none" w:sz="0" w:space="0" w:color="auto"/>
        <w:right w:val="none" w:sz="0" w:space="0" w:color="auto"/>
      </w:divBdr>
    </w:div>
    <w:div w:id="1354917855">
      <w:bodyDiv w:val="1"/>
      <w:marLeft w:val="0"/>
      <w:marRight w:val="0"/>
      <w:marTop w:val="0"/>
      <w:marBottom w:val="0"/>
      <w:divBdr>
        <w:top w:val="none" w:sz="0" w:space="0" w:color="auto"/>
        <w:left w:val="none" w:sz="0" w:space="0" w:color="auto"/>
        <w:bottom w:val="none" w:sz="0" w:space="0" w:color="auto"/>
        <w:right w:val="none" w:sz="0" w:space="0" w:color="auto"/>
      </w:divBdr>
    </w:div>
    <w:div w:id="1765225852">
      <w:bodyDiv w:val="1"/>
      <w:marLeft w:val="0"/>
      <w:marRight w:val="0"/>
      <w:marTop w:val="0"/>
      <w:marBottom w:val="0"/>
      <w:divBdr>
        <w:top w:val="none" w:sz="0" w:space="0" w:color="auto"/>
        <w:left w:val="none" w:sz="0" w:space="0" w:color="auto"/>
        <w:bottom w:val="none" w:sz="0" w:space="0" w:color="auto"/>
        <w:right w:val="none" w:sz="0" w:space="0" w:color="auto"/>
      </w:divBdr>
    </w:div>
    <w:div w:id="1794710118">
      <w:bodyDiv w:val="1"/>
      <w:marLeft w:val="0"/>
      <w:marRight w:val="0"/>
      <w:marTop w:val="0"/>
      <w:marBottom w:val="0"/>
      <w:divBdr>
        <w:top w:val="none" w:sz="0" w:space="0" w:color="auto"/>
        <w:left w:val="none" w:sz="0" w:space="0" w:color="auto"/>
        <w:bottom w:val="none" w:sz="0" w:space="0" w:color="auto"/>
        <w:right w:val="none" w:sz="0" w:space="0" w:color="auto"/>
      </w:divBdr>
      <w:divsChild>
        <w:div w:id="2117092947">
          <w:marLeft w:val="0"/>
          <w:marRight w:val="0"/>
          <w:marTop w:val="0"/>
          <w:marBottom w:val="0"/>
          <w:divBdr>
            <w:top w:val="none" w:sz="0" w:space="0" w:color="auto"/>
            <w:left w:val="none" w:sz="0" w:space="0" w:color="auto"/>
            <w:bottom w:val="none" w:sz="0" w:space="0" w:color="auto"/>
            <w:right w:val="none" w:sz="0" w:space="0" w:color="auto"/>
          </w:divBdr>
          <w:divsChild>
            <w:div w:id="1926760165">
              <w:marLeft w:val="0"/>
              <w:marRight w:val="0"/>
              <w:marTop w:val="0"/>
              <w:marBottom w:val="0"/>
              <w:divBdr>
                <w:top w:val="none" w:sz="0" w:space="0" w:color="auto"/>
                <w:left w:val="none" w:sz="0" w:space="0" w:color="auto"/>
                <w:bottom w:val="none" w:sz="0" w:space="0" w:color="auto"/>
                <w:right w:val="none" w:sz="0" w:space="0" w:color="auto"/>
              </w:divBdr>
              <w:divsChild>
                <w:div w:id="152764989">
                  <w:marLeft w:val="0"/>
                  <w:marRight w:val="0"/>
                  <w:marTop w:val="0"/>
                  <w:marBottom w:val="0"/>
                  <w:divBdr>
                    <w:top w:val="none" w:sz="0" w:space="0" w:color="auto"/>
                    <w:left w:val="none" w:sz="0" w:space="0" w:color="auto"/>
                    <w:bottom w:val="none" w:sz="0" w:space="0" w:color="auto"/>
                    <w:right w:val="none" w:sz="0" w:space="0" w:color="auto"/>
                  </w:divBdr>
                  <w:divsChild>
                    <w:div w:id="911037379">
                      <w:marLeft w:val="0"/>
                      <w:marRight w:val="0"/>
                      <w:marTop w:val="0"/>
                      <w:marBottom w:val="0"/>
                      <w:divBdr>
                        <w:top w:val="none" w:sz="0" w:space="0" w:color="auto"/>
                        <w:left w:val="none" w:sz="0" w:space="0" w:color="auto"/>
                        <w:bottom w:val="none" w:sz="0" w:space="0" w:color="auto"/>
                        <w:right w:val="none" w:sz="0" w:space="0" w:color="auto"/>
                      </w:divBdr>
                      <w:divsChild>
                        <w:div w:id="705299748">
                          <w:marLeft w:val="0"/>
                          <w:marRight w:val="0"/>
                          <w:marTop w:val="0"/>
                          <w:marBottom w:val="0"/>
                          <w:divBdr>
                            <w:top w:val="none" w:sz="0" w:space="0" w:color="auto"/>
                            <w:left w:val="none" w:sz="0" w:space="0" w:color="auto"/>
                            <w:bottom w:val="none" w:sz="0" w:space="0" w:color="auto"/>
                            <w:right w:val="none" w:sz="0" w:space="0" w:color="auto"/>
                          </w:divBdr>
                          <w:divsChild>
                            <w:div w:id="10871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4077">
      <w:bodyDiv w:val="1"/>
      <w:marLeft w:val="0"/>
      <w:marRight w:val="0"/>
      <w:marTop w:val="0"/>
      <w:marBottom w:val="0"/>
      <w:divBdr>
        <w:top w:val="none" w:sz="0" w:space="0" w:color="auto"/>
        <w:left w:val="none" w:sz="0" w:space="0" w:color="auto"/>
        <w:bottom w:val="none" w:sz="0" w:space="0" w:color="auto"/>
        <w:right w:val="none" w:sz="0" w:space="0" w:color="auto"/>
      </w:divBdr>
    </w:div>
    <w:div w:id="2022463544">
      <w:bodyDiv w:val="1"/>
      <w:marLeft w:val="0"/>
      <w:marRight w:val="0"/>
      <w:marTop w:val="0"/>
      <w:marBottom w:val="0"/>
      <w:divBdr>
        <w:top w:val="none" w:sz="0" w:space="0" w:color="auto"/>
        <w:left w:val="none" w:sz="0" w:space="0" w:color="auto"/>
        <w:bottom w:val="none" w:sz="0" w:space="0" w:color="auto"/>
        <w:right w:val="none" w:sz="0" w:space="0" w:color="auto"/>
      </w:divBdr>
    </w:div>
    <w:div w:id="2044593092">
      <w:bodyDiv w:val="1"/>
      <w:marLeft w:val="0"/>
      <w:marRight w:val="0"/>
      <w:marTop w:val="0"/>
      <w:marBottom w:val="0"/>
      <w:divBdr>
        <w:top w:val="none" w:sz="0" w:space="0" w:color="auto"/>
        <w:left w:val="none" w:sz="0" w:space="0" w:color="auto"/>
        <w:bottom w:val="none" w:sz="0" w:space="0" w:color="auto"/>
        <w:right w:val="none" w:sz="0" w:space="0" w:color="auto"/>
      </w:divBdr>
    </w:div>
    <w:div w:id="2051880244">
      <w:bodyDiv w:val="1"/>
      <w:marLeft w:val="0"/>
      <w:marRight w:val="0"/>
      <w:marTop w:val="0"/>
      <w:marBottom w:val="0"/>
      <w:divBdr>
        <w:top w:val="none" w:sz="0" w:space="0" w:color="auto"/>
        <w:left w:val="none" w:sz="0" w:space="0" w:color="auto"/>
        <w:bottom w:val="none" w:sz="0" w:space="0" w:color="auto"/>
        <w:right w:val="none" w:sz="0" w:space="0" w:color="auto"/>
      </w:divBdr>
      <w:divsChild>
        <w:div w:id="9332086">
          <w:marLeft w:val="0"/>
          <w:marRight w:val="0"/>
          <w:marTop w:val="0"/>
          <w:marBottom w:val="0"/>
          <w:divBdr>
            <w:top w:val="none" w:sz="0" w:space="0" w:color="auto"/>
            <w:left w:val="none" w:sz="0" w:space="0" w:color="auto"/>
            <w:bottom w:val="none" w:sz="0" w:space="0" w:color="auto"/>
            <w:right w:val="none" w:sz="0" w:space="0" w:color="auto"/>
          </w:divBdr>
          <w:divsChild>
            <w:div w:id="598948251">
              <w:marLeft w:val="0"/>
              <w:marRight w:val="0"/>
              <w:marTop w:val="0"/>
              <w:marBottom w:val="0"/>
              <w:divBdr>
                <w:top w:val="none" w:sz="0" w:space="0" w:color="auto"/>
                <w:left w:val="none" w:sz="0" w:space="0" w:color="auto"/>
                <w:bottom w:val="none" w:sz="0" w:space="0" w:color="auto"/>
                <w:right w:val="none" w:sz="0" w:space="0" w:color="auto"/>
              </w:divBdr>
              <w:divsChild>
                <w:div w:id="2054112839">
                  <w:marLeft w:val="0"/>
                  <w:marRight w:val="0"/>
                  <w:marTop w:val="0"/>
                  <w:marBottom w:val="0"/>
                  <w:divBdr>
                    <w:top w:val="none" w:sz="0" w:space="0" w:color="auto"/>
                    <w:left w:val="none" w:sz="0" w:space="0" w:color="auto"/>
                    <w:bottom w:val="none" w:sz="0" w:space="0" w:color="auto"/>
                    <w:right w:val="none" w:sz="0" w:space="0" w:color="auto"/>
                  </w:divBdr>
                  <w:divsChild>
                    <w:div w:id="554001541">
                      <w:marLeft w:val="0"/>
                      <w:marRight w:val="0"/>
                      <w:marTop w:val="0"/>
                      <w:marBottom w:val="0"/>
                      <w:divBdr>
                        <w:top w:val="none" w:sz="0" w:space="0" w:color="auto"/>
                        <w:left w:val="none" w:sz="0" w:space="0" w:color="auto"/>
                        <w:bottom w:val="none" w:sz="0" w:space="0" w:color="auto"/>
                        <w:right w:val="none" w:sz="0" w:space="0" w:color="auto"/>
                      </w:divBdr>
                      <w:divsChild>
                        <w:div w:id="702091756">
                          <w:marLeft w:val="0"/>
                          <w:marRight w:val="0"/>
                          <w:marTop w:val="0"/>
                          <w:marBottom w:val="0"/>
                          <w:divBdr>
                            <w:top w:val="none" w:sz="0" w:space="0" w:color="auto"/>
                            <w:left w:val="none" w:sz="0" w:space="0" w:color="auto"/>
                            <w:bottom w:val="none" w:sz="0" w:space="0" w:color="auto"/>
                            <w:right w:val="none" w:sz="0" w:space="0" w:color="auto"/>
                          </w:divBdr>
                          <w:divsChild>
                            <w:div w:id="11318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8414E-3B17-462D-A84A-5CA1E1EF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COT.DOTM</Template>
  <TotalTime>59</TotalTime>
  <Pages>4</Pages>
  <Words>1053</Words>
  <Characters>6594</Characters>
  <Application>Microsoft Office Word</Application>
  <DocSecurity>0</DocSecurity>
  <Lines>103</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7609</CharactersWithSpaces>
  <SharedDoc>false</SharedDoc>
  <HLinks>
    <vt:vector size="330" baseType="variant">
      <vt:variant>
        <vt:i4>7602294</vt:i4>
      </vt:variant>
      <vt:variant>
        <vt:i4>318</vt:i4>
      </vt:variant>
      <vt:variant>
        <vt:i4>0</vt:i4>
      </vt:variant>
      <vt:variant>
        <vt:i4>5</vt:i4>
      </vt:variant>
      <vt:variant>
        <vt:lpwstr>http://www.dutchsecuritisation.nl/documentation</vt:lpwstr>
      </vt:variant>
      <vt:variant>
        <vt:lpwstr/>
      </vt:variant>
      <vt:variant>
        <vt:i4>1507396</vt:i4>
      </vt:variant>
      <vt:variant>
        <vt:i4>315</vt:i4>
      </vt:variant>
      <vt:variant>
        <vt:i4>0</vt:i4>
      </vt:variant>
      <vt:variant>
        <vt:i4>5</vt:i4>
      </vt:variant>
      <vt:variant>
        <vt:lpwstr>http://www.dutchsecuritisation.nl/investor-reporting</vt:lpwstr>
      </vt:variant>
      <vt:variant>
        <vt:lpwstr/>
      </vt:variant>
      <vt:variant>
        <vt:i4>1900597</vt:i4>
      </vt:variant>
      <vt:variant>
        <vt:i4>302</vt:i4>
      </vt:variant>
      <vt:variant>
        <vt:i4>0</vt:i4>
      </vt:variant>
      <vt:variant>
        <vt:i4>5</vt:i4>
      </vt:variant>
      <vt:variant>
        <vt:lpwstr/>
      </vt:variant>
      <vt:variant>
        <vt:lpwstr>_Toc421891915</vt:lpwstr>
      </vt:variant>
      <vt:variant>
        <vt:i4>1900597</vt:i4>
      </vt:variant>
      <vt:variant>
        <vt:i4>296</vt:i4>
      </vt:variant>
      <vt:variant>
        <vt:i4>0</vt:i4>
      </vt:variant>
      <vt:variant>
        <vt:i4>5</vt:i4>
      </vt:variant>
      <vt:variant>
        <vt:lpwstr/>
      </vt:variant>
      <vt:variant>
        <vt:lpwstr>_Toc421891914</vt:lpwstr>
      </vt:variant>
      <vt:variant>
        <vt:i4>1900597</vt:i4>
      </vt:variant>
      <vt:variant>
        <vt:i4>290</vt:i4>
      </vt:variant>
      <vt:variant>
        <vt:i4>0</vt:i4>
      </vt:variant>
      <vt:variant>
        <vt:i4>5</vt:i4>
      </vt:variant>
      <vt:variant>
        <vt:lpwstr/>
      </vt:variant>
      <vt:variant>
        <vt:lpwstr>_Toc421891913</vt:lpwstr>
      </vt:variant>
      <vt:variant>
        <vt:i4>1900597</vt:i4>
      </vt:variant>
      <vt:variant>
        <vt:i4>284</vt:i4>
      </vt:variant>
      <vt:variant>
        <vt:i4>0</vt:i4>
      </vt:variant>
      <vt:variant>
        <vt:i4>5</vt:i4>
      </vt:variant>
      <vt:variant>
        <vt:lpwstr/>
      </vt:variant>
      <vt:variant>
        <vt:lpwstr>_Toc421891912</vt:lpwstr>
      </vt:variant>
      <vt:variant>
        <vt:i4>1900597</vt:i4>
      </vt:variant>
      <vt:variant>
        <vt:i4>278</vt:i4>
      </vt:variant>
      <vt:variant>
        <vt:i4>0</vt:i4>
      </vt:variant>
      <vt:variant>
        <vt:i4>5</vt:i4>
      </vt:variant>
      <vt:variant>
        <vt:lpwstr/>
      </vt:variant>
      <vt:variant>
        <vt:lpwstr>_Toc421891911</vt:lpwstr>
      </vt:variant>
      <vt:variant>
        <vt:i4>1900597</vt:i4>
      </vt:variant>
      <vt:variant>
        <vt:i4>272</vt:i4>
      </vt:variant>
      <vt:variant>
        <vt:i4>0</vt:i4>
      </vt:variant>
      <vt:variant>
        <vt:i4>5</vt:i4>
      </vt:variant>
      <vt:variant>
        <vt:lpwstr/>
      </vt:variant>
      <vt:variant>
        <vt:lpwstr>_Toc421891910</vt:lpwstr>
      </vt:variant>
      <vt:variant>
        <vt:i4>1835061</vt:i4>
      </vt:variant>
      <vt:variant>
        <vt:i4>266</vt:i4>
      </vt:variant>
      <vt:variant>
        <vt:i4>0</vt:i4>
      </vt:variant>
      <vt:variant>
        <vt:i4>5</vt:i4>
      </vt:variant>
      <vt:variant>
        <vt:lpwstr/>
      </vt:variant>
      <vt:variant>
        <vt:lpwstr>_Toc421891909</vt:lpwstr>
      </vt:variant>
      <vt:variant>
        <vt:i4>1835061</vt:i4>
      </vt:variant>
      <vt:variant>
        <vt:i4>260</vt:i4>
      </vt:variant>
      <vt:variant>
        <vt:i4>0</vt:i4>
      </vt:variant>
      <vt:variant>
        <vt:i4>5</vt:i4>
      </vt:variant>
      <vt:variant>
        <vt:lpwstr/>
      </vt:variant>
      <vt:variant>
        <vt:lpwstr>_Toc421891908</vt:lpwstr>
      </vt:variant>
      <vt:variant>
        <vt:i4>1835061</vt:i4>
      </vt:variant>
      <vt:variant>
        <vt:i4>254</vt:i4>
      </vt:variant>
      <vt:variant>
        <vt:i4>0</vt:i4>
      </vt:variant>
      <vt:variant>
        <vt:i4>5</vt:i4>
      </vt:variant>
      <vt:variant>
        <vt:lpwstr/>
      </vt:variant>
      <vt:variant>
        <vt:lpwstr>_Toc421891907</vt:lpwstr>
      </vt:variant>
      <vt:variant>
        <vt:i4>1835061</vt:i4>
      </vt:variant>
      <vt:variant>
        <vt:i4>248</vt:i4>
      </vt:variant>
      <vt:variant>
        <vt:i4>0</vt:i4>
      </vt:variant>
      <vt:variant>
        <vt:i4>5</vt:i4>
      </vt:variant>
      <vt:variant>
        <vt:lpwstr/>
      </vt:variant>
      <vt:variant>
        <vt:lpwstr>_Toc421891906</vt:lpwstr>
      </vt:variant>
      <vt:variant>
        <vt:i4>1835061</vt:i4>
      </vt:variant>
      <vt:variant>
        <vt:i4>242</vt:i4>
      </vt:variant>
      <vt:variant>
        <vt:i4>0</vt:i4>
      </vt:variant>
      <vt:variant>
        <vt:i4>5</vt:i4>
      </vt:variant>
      <vt:variant>
        <vt:lpwstr/>
      </vt:variant>
      <vt:variant>
        <vt:lpwstr>_Toc421891905</vt:lpwstr>
      </vt:variant>
      <vt:variant>
        <vt:i4>1835061</vt:i4>
      </vt:variant>
      <vt:variant>
        <vt:i4>236</vt:i4>
      </vt:variant>
      <vt:variant>
        <vt:i4>0</vt:i4>
      </vt:variant>
      <vt:variant>
        <vt:i4>5</vt:i4>
      </vt:variant>
      <vt:variant>
        <vt:lpwstr/>
      </vt:variant>
      <vt:variant>
        <vt:lpwstr>_Toc421891904</vt:lpwstr>
      </vt:variant>
      <vt:variant>
        <vt:i4>1835061</vt:i4>
      </vt:variant>
      <vt:variant>
        <vt:i4>230</vt:i4>
      </vt:variant>
      <vt:variant>
        <vt:i4>0</vt:i4>
      </vt:variant>
      <vt:variant>
        <vt:i4>5</vt:i4>
      </vt:variant>
      <vt:variant>
        <vt:lpwstr/>
      </vt:variant>
      <vt:variant>
        <vt:lpwstr>_Toc421891903</vt:lpwstr>
      </vt:variant>
      <vt:variant>
        <vt:i4>1835061</vt:i4>
      </vt:variant>
      <vt:variant>
        <vt:i4>224</vt:i4>
      </vt:variant>
      <vt:variant>
        <vt:i4>0</vt:i4>
      </vt:variant>
      <vt:variant>
        <vt:i4>5</vt:i4>
      </vt:variant>
      <vt:variant>
        <vt:lpwstr/>
      </vt:variant>
      <vt:variant>
        <vt:lpwstr>_Toc421891902</vt:lpwstr>
      </vt:variant>
      <vt:variant>
        <vt:i4>1835061</vt:i4>
      </vt:variant>
      <vt:variant>
        <vt:i4>218</vt:i4>
      </vt:variant>
      <vt:variant>
        <vt:i4>0</vt:i4>
      </vt:variant>
      <vt:variant>
        <vt:i4>5</vt:i4>
      </vt:variant>
      <vt:variant>
        <vt:lpwstr/>
      </vt:variant>
      <vt:variant>
        <vt:lpwstr>_Toc421891901</vt:lpwstr>
      </vt:variant>
      <vt:variant>
        <vt:i4>1835061</vt:i4>
      </vt:variant>
      <vt:variant>
        <vt:i4>212</vt:i4>
      </vt:variant>
      <vt:variant>
        <vt:i4>0</vt:i4>
      </vt:variant>
      <vt:variant>
        <vt:i4>5</vt:i4>
      </vt:variant>
      <vt:variant>
        <vt:lpwstr/>
      </vt:variant>
      <vt:variant>
        <vt:lpwstr>_Toc421891900</vt:lpwstr>
      </vt:variant>
      <vt:variant>
        <vt:i4>1376308</vt:i4>
      </vt:variant>
      <vt:variant>
        <vt:i4>206</vt:i4>
      </vt:variant>
      <vt:variant>
        <vt:i4>0</vt:i4>
      </vt:variant>
      <vt:variant>
        <vt:i4>5</vt:i4>
      </vt:variant>
      <vt:variant>
        <vt:lpwstr/>
      </vt:variant>
      <vt:variant>
        <vt:lpwstr>_Toc421891899</vt:lpwstr>
      </vt:variant>
      <vt:variant>
        <vt:i4>1376308</vt:i4>
      </vt:variant>
      <vt:variant>
        <vt:i4>200</vt:i4>
      </vt:variant>
      <vt:variant>
        <vt:i4>0</vt:i4>
      </vt:variant>
      <vt:variant>
        <vt:i4>5</vt:i4>
      </vt:variant>
      <vt:variant>
        <vt:lpwstr/>
      </vt:variant>
      <vt:variant>
        <vt:lpwstr>_Toc421891898</vt:lpwstr>
      </vt:variant>
      <vt:variant>
        <vt:i4>1376308</vt:i4>
      </vt:variant>
      <vt:variant>
        <vt:i4>194</vt:i4>
      </vt:variant>
      <vt:variant>
        <vt:i4>0</vt:i4>
      </vt:variant>
      <vt:variant>
        <vt:i4>5</vt:i4>
      </vt:variant>
      <vt:variant>
        <vt:lpwstr/>
      </vt:variant>
      <vt:variant>
        <vt:lpwstr>_Toc421891897</vt:lpwstr>
      </vt:variant>
      <vt:variant>
        <vt:i4>1376308</vt:i4>
      </vt:variant>
      <vt:variant>
        <vt:i4>188</vt:i4>
      </vt:variant>
      <vt:variant>
        <vt:i4>0</vt:i4>
      </vt:variant>
      <vt:variant>
        <vt:i4>5</vt:i4>
      </vt:variant>
      <vt:variant>
        <vt:lpwstr/>
      </vt:variant>
      <vt:variant>
        <vt:lpwstr>_Toc421891896</vt:lpwstr>
      </vt:variant>
      <vt:variant>
        <vt:i4>1376308</vt:i4>
      </vt:variant>
      <vt:variant>
        <vt:i4>182</vt:i4>
      </vt:variant>
      <vt:variant>
        <vt:i4>0</vt:i4>
      </vt:variant>
      <vt:variant>
        <vt:i4>5</vt:i4>
      </vt:variant>
      <vt:variant>
        <vt:lpwstr/>
      </vt:variant>
      <vt:variant>
        <vt:lpwstr>_Toc421891895</vt:lpwstr>
      </vt:variant>
      <vt:variant>
        <vt:i4>1376308</vt:i4>
      </vt:variant>
      <vt:variant>
        <vt:i4>176</vt:i4>
      </vt:variant>
      <vt:variant>
        <vt:i4>0</vt:i4>
      </vt:variant>
      <vt:variant>
        <vt:i4>5</vt:i4>
      </vt:variant>
      <vt:variant>
        <vt:lpwstr/>
      </vt:variant>
      <vt:variant>
        <vt:lpwstr>_Toc421891894</vt:lpwstr>
      </vt:variant>
      <vt:variant>
        <vt:i4>1376308</vt:i4>
      </vt:variant>
      <vt:variant>
        <vt:i4>170</vt:i4>
      </vt:variant>
      <vt:variant>
        <vt:i4>0</vt:i4>
      </vt:variant>
      <vt:variant>
        <vt:i4>5</vt:i4>
      </vt:variant>
      <vt:variant>
        <vt:lpwstr/>
      </vt:variant>
      <vt:variant>
        <vt:lpwstr>_Toc421891893</vt:lpwstr>
      </vt:variant>
      <vt:variant>
        <vt:i4>1376308</vt:i4>
      </vt:variant>
      <vt:variant>
        <vt:i4>164</vt:i4>
      </vt:variant>
      <vt:variant>
        <vt:i4>0</vt:i4>
      </vt:variant>
      <vt:variant>
        <vt:i4>5</vt:i4>
      </vt:variant>
      <vt:variant>
        <vt:lpwstr/>
      </vt:variant>
      <vt:variant>
        <vt:lpwstr>_Toc421891892</vt:lpwstr>
      </vt:variant>
      <vt:variant>
        <vt:i4>1376308</vt:i4>
      </vt:variant>
      <vt:variant>
        <vt:i4>158</vt:i4>
      </vt:variant>
      <vt:variant>
        <vt:i4>0</vt:i4>
      </vt:variant>
      <vt:variant>
        <vt:i4>5</vt:i4>
      </vt:variant>
      <vt:variant>
        <vt:lpwstr/>
      </vt:variant>
      <vt:variant>
        <vt:lpwstr>_Toc421891891</vt:lpwstr>
      </vt:variant>
      <vt:variant>
        <vt:i4>1376308</vt:i4>
      </vt:variant>
      <vt:variant>
        <vt:i4>152</vt:i4>
      </vt:variant>
      <vt:variant>
        <vt:i4>0</vt:i4>
      </vt:variant>
      <vt:variant>
        <vt:i4>5</vt:i4>
      </vt:variant>
      <vt:variant>
        <vt:lpwstr/>
      </vt:variant>
      <vt:variant>
        <vt:lpwstr>_Toc421891890</vt:lpwstr>
      </vt:variant>
      <vt:variant>
        <vt:i4>1310772</vt:i4>
      </vt:variant>
      <vt:variant>
        <vt:i4>146</vt:i4>
      </vt:variant>
      <vt:variant>
        <vt:i4>0</vt:i4>
      </vt:variant>
      <vt:variant>
        <vt:i4>5</vt:i4>
      </vt:variant>
      <vt:variant>
        <vt:lpwstr/>
      </vt:variant>
      <vt:variant>
        <vt:lpwstr>_Toc421891889</vt:lpwstr>
      </vt:variant>
      <vt:variant>
        <vt:i4>1310772</vt:i4>
      </vt:variant>
      <vt:variant>
        <vt:i4>140</vt:i4>
      </vt:variant>
      <vt:variant>
        <vt:i4>0</vt:i4>
      </vt:variant>
      <vt:variant>
        <vt:i4>5</vt:i4>
      </vt:variant>
      <vt:variant>
        <vt:lpwstr/>
      </vt:variant>
      <vt:variant>
        <vt:lpwstr>_Toc421891888</vt:lpwstr>
      </vt:variant>
      <vt:variant>
        <vt:i4>1310772</vt:i4>
      </vt:variant>
      <vt:variant>
        <vt:i4>134</vt:i4>
      </vt:variant>
      <vt:variant>
        <vt:i4>0</vt:i4>
      </vt:variant>
      <vt:variant>
        <vt:i4>5</vt:i4>
      </vt:variant>
      <vt:variant>
        <vt:lpwstr/>
      </vt:variant>
      <vt:variant>
        <vt:lpwstr>_Toc421891887</vt:lpwstr>
      </vt:variant>
      <vt:variant>
        <vt:i4>1310772</vt:i4>
      </vt:variant>
      <vt:variant>
        <vt:i4>128</vt:i4>
      </vt:variant>
      <vt:variant>
        <vt:i4>0</vt:i4>
      </vt:variant>
      <vt:variant>
        <vt:i4>5</vt:i4>
      </vt:variant>
      <vt:variant>
        <vt:lpwstr/>
      </vt:variant>
      <vt:variant>
        <vt:lpwstr>_Toc421891886</vt:lpwstr>
      </vt:variant>
      <vt:variant>
        <vt:i4>1310772</vt:i4>
      </vt:variant>
      <vt:variant>
        <vt:i4>122</vt:i4>
      </vt:variant>
      <vt:variant>
        <vt:i4>0</vt:i4>
      </vt:variant>
      <vt:variant>
        <vt:i4>5</vt:i4>
      </vt:variant>
      <vt:variant>
        <vt:lpwstr/>
      </vt:variant>
      <vt:variant>
        <vt:lpwstr>_Toc421891885</vt:lpwstr>
      </vt:variant>
      <vt:variant>
        <vt:i4>1310772</vt:i4>
      </vt:variant>
      <vt:variant>
        <vt:i4>116</vt:i4>
      </vt:variant>
      <vt:variant>
        <vt:i4>0</vt:i4>
      </vt:variant>
      <vt:variant>
        <vt:i4>5</vt:i4>
      </vt:variant>
      <vt:variant>
        <vt:lpwstr/>
      </vt:variant>
      <vt:variant>
        <vt:lpwstr>_Toc421891884</vt:lpwstr>
      </vt:variant>
      <vt:variant>
        <vt:i4>1310772</vt:i4>
      </vt:variant>
      <vt:variant>
        <vt:i4>110</vt:i4>
      </vt:variant>
      <vt:variant>
        <vt:i4>0</vt:i4>
      </vt:variant>
      <vt:variant>
        <vt:i4>5</vt:i4>
      </vt:variant>
      <vt:variant>
        <vt:lpwstr/>
      </vt:variant>
      <vt:variant>
        <vt:lpwstr>_Toc421891883</vt:lpwstr>
      </vt:variant>
      <vt:variant>
        <vt:i4>1310772</vt:i4>
      </vt:variant>
      <vt:variant>
        <vt:i4>104</vt:i4>
      </vt:variant>
      <vt:variant>
        <vt:i4>0</vt:i4>
      </vt:variant>
      <vt:variant>
        <vt:i4>5</vt:i4>
      </vt:variant>
      <vt:variant>
        <vt:lpwstr/>
      </vt:variant>
      <vt:variant>
        <vt:lpwstr>_Toc421891882</vt:lpwstr>
      </vt:variant>
      <vt:variant>
        <vt:i4>1310772</vt:i4>
      </vt:variant>
      <vt:variant>
        <vt:i4>98</vt:i4>
      </vt:variant>
      <vt:variant>
        <vt:i4>0</vt:i4>
      </vt:variant>
      <vt:variant>
        <vt:i4>5</vt:i4>
      </vt:variant>
      <vt:variant>
        <vt:lpwstr/>
      </vt:variant>
      <vt:variant>
        <vt:lpwstr>_Toc421891881</vt:lpwstr>
      </vt:variant>
      <vt:variant>
        <vt:i4>1310772</vt:i4>
      </vt:variant>
      <vt:variant>
        <vt:i4>92</vt:i4>
      </vt:variant>
      <vt:variant>
        <vt:i4>0</vt:i4>
      </vt:variant>
      <vt:variant>
        <vt:i4>5</vt:i4>
      </vt:variant>
      <vt:variant>
        <vt:lpwstr/>
      </vt:variant>
      <vt:variant>
        <vt:lpwstr>_Toc421891880</vt:lpwstr>
      </vt:variant>
      <vt:variant>
        <vt:i4>1769524</vt:i4>
      </vt:variant>
      <vt:variant>
        <vt:i4>86</vt:i4>
      </vt:variant>
      <vt:variant>
        <vt:i4>0</vt:i4>
      </vt:variant>
      <vt:variant>
        <vt:i4>5</vt:i4>
      </vt:variant>
      <vt:variant>
        <vt:lpwstr/>
      </vt:variant>
      <vt:variant>
        <vt:lpwstr>_Toc421891879</vt:lpwstr>
      </vt:variant>
      <vt:variant>
        <vt:i4>1769524</vt:i4>
      </vt:variant>
      <vt:variant>
        <vt:i4>80</vt:i4>
      </vt:variant>
      <vt:variant>
        <vt:i4>0</vt:i4>
      </vt:variant>
      <vt:variant>
        <vt:i4>5</vt:i4>
      </vt:variant>
      <vt:variant>
        <vt:lpwstr/>
      </vt:variant>
      <vt:variant>
        <vt:lpwstr>_Toc421891878</vt:lpwstr>
      </vt:variant>
      <vt:variant>
        <vt:i4>1769524</vt:i4>
      </vt:variant>
      <vt:variant>
        <vt:i4>74</vt:i4>
      </vt:variant>
      <vt:variant>
        <vt:i4>0</vt:i4>
      </vt:variant>
      <vt:variant>
        <vt:i4>5</vt:i4>
      </vt:variant>
      <vt:variant>
        <vt:lpwstr/>
      </vt:variant>
      <vt:variant>
        <vt:lpwstr>_Toc421891877</vt:lpwstr>
      </vt:variant>
      <vt:variant>
        <vt:i4>1769524</vt:i4>
      </vt:variant>
      <vt:variant>
        <vt:i4>68</vt:i4>
      </vt:variant>
      <vt:variant>
        <vt:i4>0</vt:i4>
      </vt:variant>
      <vt:variant>
        <vt:i4>5</vt:i4>
      </vt:variant>
      <vt:variant>
        <vt:lpwstr/>
      </vt:variant>
      <vt:variant>
        <vt:lpwstr>_Toc421891876</vt:lpwstr>
      </vt:variant>
      <vt:variant>
        <vt:i4>1769524</vt:i4>
      </vt:variant>
      <vt:variant>
        <vt:i4>62</vt:i4>
      </vt:variant>
      <vt:variant>
        <vt:i4>0</vt:i4>
      </vt:variant>
      <vt:variant>
        <vt:i4>5</vt:i4>
      </vt:variant>
      <vt:variant>
        <vt:lpwstr/>
      </vt:variant>
      <vt:variant>
        <vt:lpwstr>_Toc421891875</vt:lpwstr>
      </vt:variant>
      <vt:variant>
        <vt:i4>1769524</vt:i4>
      </vt:variant>
      <vt:variant>
        <vt:i4>56</vt:i4>
      </vt:variant>
      <vt:variant>
        <vt:i4>0</vt:i4>
      </vt:variant>
      <vt:variant>
        <vt:i4>5</vt:i4>
      </vt:variant>
      <vt:variant>
        <vt:lpwstr/>
      </vt:variant>
      <vt:variant>
        <vt:lpwstr>_Toc421891874</vt:lpwstr>
      </vt:variant>
      <vt:variant>
        <vt:i4>1769524</vt:i4>
      </vt:variant>
      <vt:variant>
        <vt:i4>50</vt:i4>
      </vt:variant>
      <vt:variant>
        <vt:i4>0</vt:i4>
      </vt:variant>
      <vt:variant>
        <vt:i4>5</vt:i4>
      </vt:variant>
      <vt:variant>
        <vt:lpwstr/>
      </vt:variant>
      <vt:variant>
        <vt:lpwstr>_Toc421891873</vt:lpwstr>
      </vt:variant>
      <vt:variant>
        <vt:i4>1769524</vt:i4>
      </vt:variant>
      <vt:variant>
        <vt:i4>44</vt:i4>
      </vt:variant>
      <vt:variant>
        <vt:i4>0</vt:i4>
      </vt:variant>
      <vt:variant>
        <vt:i4>5</vt:i4>
      </vt:variant>
      <vt:variant>
        <vt:lpwstr/>
      </vt:variant>
      <vt:variant>
        <vt:lpwstr>_Toc421891872</vt:lpwstr>
      </vt:variant>
      <vt:variant>
        <vt:i4>1769524</vt:i4>
      </vt:variant>
      <vt:variant>
        <vt:i4>38</vt:i4>
      </vt:variant>
      <vt:variant>
        <vt:i4>0</vt:i4>
      </vt:variant>
      <vt:variant>
        <vt:i4>5</vt:i4>
      </vt:variant>
      <vt:variant>
        <vt:lpwstr/>
      </vt:variant>
      <vt:variant>
        <vt:lpwstr>_Toc421891871</vt:lpwstr>
      </vt:variant>
      <vt:variant>
        <vt:i4>1769524</vt:i4>
      </vt:variant>
      <vt:variant>
        <vt:i4>32</vt:i4>
      </vt:variant>
      <vt:variant>
        <vt:i4>0</vt:i4>
      </vt:variant>
      <vt:variant>
        <vt:i4>5</vt:i4>
      </vt:variant>
      <vt:variant>
        <vt:lpwstr/>
      </vt:variant>
      <vt:variant>
        <vt:lpwstr>_Toc421891870</vt:lpwstr>
      </vt:variant>
      <vt:variant>
        <vt:i4>1703988</vt:i4>
      </vt:variant>
      <vt:variant>
        <vt:i4>26</vt:i4>
      </vt:variant>
      <vt:variant>
        <vt:i4>0</vt:i4>
      </vt:variant>
      <vt:variant>
        <vt:i4>5</vt:i4>
      </vt:variant>
      <vt:variant>
        <vt:lpwstr/>
      </vt:variant>
      <vt:variant>
        <vt:lpwstr>_Toc421891869</vt:lpwstr>
      </vt:variant>
      <vt:variant>
        <vt:i4>1703988</vt:i4>
      </vt:variant>
      <vt:variant>
        <vt:i4>20</vt:i4>
      </vt:variant>
      <vt:variant>
        <vt:i4>0</vt:i4>
      </vt:variant>
      <vt:variant>
        <vt:i4>5</vt:i4>
      </vt:variant>
      <vt:variant>
        <vt:lpwstr/>
      </vt:variant>
      <vt:variant>
        <vt:lpwstr>_Toc421891868</vt:lpwstr>
      </vt:variant>
      <vt:variant>
        <vt:i4>1703988</vt:i4>
      </vt:variant>
      <vt:variant>
        <vt:i4>14</vt:i4>
      </vt:variant>
      <vt:variant>
        <vt:i4>0</vt:i4>
      </vt:variant>
      <vt:variant>
        <vt:i4>5</vt:i4>
      </vt:variant>
      <vt:variant>
        <vt:lpwstr/>
      </vt:variant>
      <vt:variant>
        <vt:lpwstr>_Toc421891867</vt:lpwstr>
      </vt:variant>
      <vt:variant>
        <vt:i4>1703988</vt:i4>
      </vt:variant>
      <vt:variant>
        <vt:i4>8</vt:i4>
      </vt:variant>
      <vt:variant>
        <vt:i4>0</vt:i4>
      </vt:variant>
      <vt:variant>
        <vt:i4>5</vt:i4>
      </vt:variant>
      <vt:variant>
        <vt:lpwstr/>
      </vt:variant>
      <vt:variant>
        <vt:lpwstr>_Toc421891866</vt:lpwstr>
      </vt:variant>
      <vt:variant>
        <vt:i4>1703988</vt:i4>
      </vt:variant>
      <vt:variant>
        <vt:i4>2</vt:i4>
      </vt:variant>
      <vt:variant>
        <vt:i4>0</vt:i4>
      </vt:variant>
      <vt:variant>
        <vt:i4>5</vt:i4>
      </vt:variant>
      <vt:variant>
        <vt:lpwstr/>
      </vt:variant>
      <vt:variant>
        <vt:lpwstr>_Toc421891865</vt:lpwstr>
      </vt:variant>
      <vt:variant>
        <vt:i4>3866627</vt:i4>
      </vt:variant>
      <vt:variant>
        <vt:i4>3</vt:i4>
      </vt:variant>
      <vt:variant>
        <vt:i4>0</vt:i4>
      </vt:variant>
      <vt:variant>
        <vt:i4>5</vt:i4>
      </vt:variant>
      <vt:variant>
        <vt:lpwstr>http://ec.europa.eu/finance/insurance/docs/solvency/solvency2/delegated/141010-impact-assessment_en.pdf</vt:lpwstr>
      </vt:variant>
      <vt:variant>
        <vt:lpwstr/>
      </vt:variant>
      <vt:variant>
        <vt:i4>1703952</vt:i4>
      </vt:variant>
      <vt:variant>
        <vt:i4>0</vt:i4>
      </vt:variant>
      <vt:variant>
        <vt:i4>0</vt:i4>
      </vt:variant>
      <vt:variant>
        <vt:i4>5</vt:i4>
      </vt:variant>
      <vt:variant>
        <vt:lpwstr>http://www.bis.org/bcbs/publ/d304.pdf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2015-10-09T08:57:00Z</cp:lastPrinted>
  <dcterms:created xsi:type="dcterms:W3CDTF">2015-09-21T12:18:00Z</dcterms:created>
  <dcterms:modified xsi:type="dcterms:W3CDTF">2015-10-09T12:47:00Z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fmtid="{D5CDD505-2E9C-101B-9397-08002B2CF9AE}" pid="6" name="ELDocType">
    <vt:lpwstr>COT.DOT</vt:lpwstr>
  </property>
  <property fmtid="{D5CDD505-2E9C-101B-9397-08002B2CF9AE}" pid="7" name="Created using">
    <vt:lpwstr>3.0</vt:lpwstr>
  </property>
  <property fmtid="{D5CDD505-2E9C-101B-9397-08002B2CF9AE}" pid="8" name="Last edited using">
    <vt:lpwstr>EL </vt:lpwstr>
  </property>
  <property fmtid="{D5CDD505-2E9C-101B-9397-08002B2CF9AE}" pid="9" name="Formatting">
    <vt:lpwstr>4.1</vt:lpwstr>
  </property>
  <property name="OP_sanitized" fmtid="{D5CDD505-2E9C-101B-9397-08002B2CF9AE}" pid="10">
    <vt:lpwstr>True</vt:lpwstr>
  </property>
</Properties>
</file>