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464116" w:rsidP="00ED7346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72"/>
              </w:rPr>
              <w:t>OPINJONI</w:t>
            </w:r>
          </w:p>
        </w:tc>
      </w:tr>
      <w:tr w:rsidR="00464116" w:rsidRPr="002B4F9E" w:rsidTr="00ED7346">
        <w:trPr>
          <w:trHeight w:val="567"/>
          <w:jc w:val="center"/>
        </w:trPr>
        <w:tc>
          <w:tcPr>
            <w:tcW w:w="5000" w:type="pct"/>
            <w:vAlign w:val="center"/>
          </w:tcPr>
          <w:p w:rsidR="00464116" w:rsidRPr="00DE154D" w:rsidRDefault="00464116" w:rsidP="00ED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Kumitat Ekonomiku u Soċjali Ewropew</w:t>
            </w:r>
          </w:p>
        </w:tc>
      </w:tr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464116" w:rsidP="00ED734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44"/>
              </w:rPr>
              <w:t>ReFuelEU Aviation</w:t>
            </w:r>
          </w:p>
        </w:tc>
      </w:tr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464116" w:rsidP="00ED73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positio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_____________</w:t>
            </w:r>
          </w:p>
        </w:tc>
      </w:tr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90409A" w:rsidP="00ED7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Proposta għal Regolament tal-Parlament Ewropew u tal-Kunsill dwar l-iżgurar ta’ kundizzjonijiet ekwi għal trasport bl-ajru sostenibbli</w:t>
            </w:r>
            <w:r>
              <w:rPr>
                <w:rFonts w:ascii="Times New Roman" w:hAnsi="Times New Roman"/>
                <w:sz w:val="24"/>
              </w:rPr>
              <w:br/>
              <w:t>[COM(2021) 561 final - 2021/0205 (COD)]</w:t>
            </w:r>
          </w:p>
        </w:tc>
      </w:tr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464116" w:rsidP="00ED7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90409A" w:rsidP="00ED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TEN/744</w:t>
            </w:r>
          </w:p>
        </w:tc>
      </w:tr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464116" w:rsidP="00ED7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64116" w:rsidRPr="002B4F9E" w:rsidTr="00ED7346">
        <w:trPr>
          <w:jc w:val="center"/>
        </w:trPr>
        <w:tc>
          <w:tcPr>
            <w:tcW w:w="5000" w:type="pct"/>
            <w:vAlign w:val="center"/>
          </w:tcPr>
          <w:p w:rsidR="00464116" w:rsidRPr="00DE154D" w:rsidRDefault="00464116" w:rsidP="00904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Relatur: </w:t>
            </w:r>
            <w:r>
              <w:rPr>
                <w:rFonts w:ascii="Times New Roman" w:hAnsi="Times New Roman"/>
                <w:b/>
                <w:sz w:val="24"/>
              </w:rPr>
              <w:t>Thomas KROPP</w:t>
            </w:r>
          </w:p>
        </w:tc>
      </w:tr>
    </w:tbl>
    <w:p w:rsidR="00464116" w:rsidRPr="002B4F9E" w:rsidRDefault="00464116" w:rsidP="0046411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AB98CA3" wp14:editId="5B54FCFD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116" w:rsidRDefault="00464116" w:rsidP="00464116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98CA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5.9pt;margin-top:747pt;width:58.4pt;height:34pt;z-index:-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hItQIAALk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" o:allowincell="f" filled="f" stroked="f">
                <v:textbox>
                  <w:txbxContent>
                    <w:p w:rsidR="00464116" w:rsidRDefault="00464116" w:rsidP="00464116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64116" w:rsidRPr="002B4F9E" w:rsidRDefault="00464116" w:rsidP="00464116">
      <w:pPr>
        <w:rPr>
          <w:lang w:val="en-GB"/>
        </w:rPr>
      </w:pPr>
    </w:p>
    <w:p w:rsidR="00464116" w:rsidRPr="002B4F9E" w:rsidRDefault="00464116" w:rsidP="00464116">
      <w:pPr>
        <w:rPr>
          <w:lang w:val="en-GB"/>
        </w:rPr>
        <w:sectPr w:rsidR="00464116" w:rsidRPr="002B4F9E" w:rsidSect="00995B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69" w:right="1417" w:bottom="1417" w:left="1417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464116" w:rsidRPr="00AC5114" w:rsidTr="00ED7346">
        <w:tc>
          <w:tcPr>
            <w:tcW w:w="3085" w:type="dxa"/>
          </w:tcPr>
          <w:p w:rsidR="00464116" w:rsidRPr="00AC5114" w:rsidRDefault="00464116" w:rsidP="00ED7346">
            <w:pPr>
              <w:autoSpaceDE w:val="0"/>
              <w:autoSpaceDN w:val="0"/>
            </w:pPr>
            <w:r>
              <w:lastRenderedPageBreak/>
              <w:t>Konsultazzjoni</w:t>
            </w:r>
          </w:p>
        </w:tc>
        <w:tc>
          <w:tcPr>
            <w:tcW w:w="6204" w:type="dxa"/>
            <w:vAlign w:val="bottom"/>
          </w:tcPr>
          <w:p w:rsidR="0090409A" w:rsidRPr="0090409A" w:rsidRDefault="0090409A" w:rsidP="0090409A">
            <w:pPr>
              <w:autoSpaceDE w:val="0"/>
              <w:autoSpaceDN w:val="0"/>
            </w:pPr>
            <w:r>
              <w:t>Parlament Ewropew, 13/09/2021</w:t>
            </w:r>
          </w:p>
          <w:p w:rsidR="00464116" w:rsidRPr="00AC5114" w:rsidRDefault="0090409A" w:rsidP="0090409A">
            <w:pPr>
              <w:autoSpaceDE w:val="0"/>
              <w:autoSpaceDN w:val="0"/>
            </w:pPr>
            <w:r>
              <w:t>Kunsill tal-Unjoni Ewropea, 14/09/2021</w:t>
            </w:r>
          </w:p>
        </w:tc>
      </w:tr>
      <w:tr w:rsidR="00464116" w:rsidRPr="00AC5114" w:rsidTr="00ED7346">
        <w:tc>
          <w:tcPr>
            <w:tcW w:w="3085" w:type="dxa"/>
          </w:tcPr>
          <w:p w:rsidR="00464116" w:rsidRPr="00AC5114" w:rsidRDefault="00464116" w:rsidP="00ED7346">
            <w:pPr>
              <w:autoSpaceDE w:val="0"/>
              <w:autoSpaceDN w:val="0"/>
              <w:rPr>
                <w:szCs w:val="20"/>
              </w:rPr>
            </w:pPr>
            <w:r>
              <w:t>Bażi legali</w:t>
            </w:r>
          </w:p>
        </w:tc>
        <w:tc>
          <w:tcPr>
            <w:tcW w:w="6204" w:type="dxa"/>
            <w:vAlign w:val="bottom"/>
          </w:tcPr>
          <w:p w:rsidR="00464116" w:rsidRPr="00AC5114" w:rsidRDefault="00464116" w:rsidP="00ED7346">
            <w:pPr>
              <w:autoSpaceDE w:val="0"/>
              <w:autoSpaceDN w:val="0"/>
              <w:rPr>
                <w:szCs w:val="20"/>
              </w:rPr>
            </w:pPr>
            <w:r>
              <w:t>Artikoli 100(2) u 304 tat-Trattat dwar il-Funzjonament tal-Unjoni Ewropea</w:t>
            </w:r>
          </w:p>
        </w:tc>
      </w:tr>
      <w:tr w:rsidR="00464116" w:rsidRPr="00AC5114" w:rsidTr="00ED7346">
        <w:tc>
          <w:tcPr>
            <w:tcW w:w="3085" w:type="dxa"/>
          </w:tcPr>
          <w:p w:rsidR="00464116" w:rsidRPr="00AC5114" w:rsidRDefault="00464116" w:rsidP="00ED7346">
            <w:pPr>
              <w:autoSpaceDE w:val="0"/>
              <w:autoSpaceDN w:val="0"/>
            </w:pPr>
            <w:r>
              <w:t>Sezzjoni kompetenti</w:t>
            </w:r>
          </w:p>
        </w:tc>
        <w:tc>
          <w:tcPr>
            <w:tcW w:w="6204" w:type="dxa"/>
            <w:vAlign w:val="bottom"/>
          </w:tcPr>
          <w:p w:rsidR="00464116" w:rsidRPr="00AC5114" w:rsidRDefault="0090409A" w:rsidP="00ED7346">
            <w:pPr>
              <w:autoSpaceDE w:val="0"/>
              <w:autoSpaceDN w:val="0"/>
            </w:pPr>
            <w:r>
              <w:t>Sezzjoni għat-Trasport, l-Enerġija, l-Infrastruttura u s-Soċjetà tal-Informazzjoni</w:t>
            </w:r>
          </w:p>
        </w:tc>
      </w:tr>
      <w:tr w:rsidR="00464116" w:rsidRPr="00AC5114" w:rsidTr="00ED7346">
        <w:tc>
          <w:tcPr>
            <w:tcW w:w="3085" w:type="dxa"/>
          </w:tcPr>
          <w:p w:rsidR="00464116" w:rsidRPr="002B4F9E" w:rsidRDefault="00464116" w:rsidP="00ED7346">
            <w:pPr>
              <w:autoSpaceDE w:val="0"/>
              <w:autoSpaceDN w:val="0"/>
            </w:pPr>
            <w:r>
              <w:t>Adottata fis-sezzjoni</w:t>
            </w:r>
          </w:p>
        </w:tc>
        <w:tc>
          <w:tcPr>
            <w:tcW w:w="6204" w:type="dxa"/>
            <w:vAlign w:val="bottom"/>
          </w:tcPr>
          <w:p w:rsidR="00464116" w:rsidRDefault="0090409A" w:rsidP="0090409A">
            <w:pPr>
              <w:autoSpaceDE w:val="0"/>
              <w:autoSpaceDN w:val="0"/>
            </w:pPr>
            <w:r>
              <w:t>07/10/2021</w:t>
            </w:r>
          </w:p>
        </w:tc>
      </w:tr>
      <w:tr w:rsidR="00464116" w:rsidRPr="00AC5114" w:rsidTr="00ED7346">
        <w:tc>
          <w:tcPr>
            <w:tcW w:w="3085" w:type="dxa"/>
          </w:tcPr>
          <w:p w:rsidR="00464116" w:rsidRPr="002B4F9E" w:rsidRDefault="00464116" w:rsidP="00ED7346">
            <w:pPr>
              <w:autoSpaceDE w:val="0"/>
              <w:autoSpaceDN w:val="0"/>
            </w:pPr>
            <w:r>
              <w:t>Adottata fil-plenarja</w:t>
            </w:r>
          </w:p>
        </w:tc>
        <w:tc>
          <w:tcPr>
            <w:tcW w:w="6204" w:type="dxa"/>
            <w:vAlign w:val="bottom"/>
          </w:tcPr>
          <w:p w:rsidR="00464116" w:rsidRDefault="0090409A" w:rsidP="0090409A">
            <w:pPr>
              <w:autoSpaceDE w:val="0"/>
              <w:autoSpaceDN w:val="0"/>
            </w:pPr>
            <w:r>
              <w:t>20/10/2021</w:t>
            </w:r>
          </w:p>
        </w:tc>
      </w:tr>
      <w:tr w:rsidR="00464116" w:rsidRPr="00AC5114" w:rsidTr="00ED7346">
        <w:tc>
          <w:tcPr>
            <w:tcW w:w="3085" w:type="dxa"/>
          </w:tcPr>
          <w:p w:rsidR="00464116" w:rsidRDefault="00464116" w:rsidP="00ED7346">
            <w:pPr>
              <w:autoSpaceDE w:val="0"/>
              <w:autoSpaceDN w:val="0"/>
            </w:pPr>
            <w:r>
              <w:t>Sessjoni plenarja Nru</w:t>
            </w:r>
          </w:p>
        </w:tc>
        <w:tc>
          <w:tcPr>
            <w:tcW w:w="6204" w:type="dxa"/>
            <w:vAlign w:val="bottom"/>
          </w:tcPr>
          <w:p w:rsidR="00464116" w:rsidRPr="002B4F9E" w:rsidRDefault="0090409A" w:rsidP="00ED7346">
            <w:pPr>
              <w:autoSpaceDE w:val="0"/>
              <w:autoSpaceDN w:val="0"/>
            </w:pPr>
            <w:r>
              <w:t>564</w:t>
            </w:r>
          </w:p>
        </w:tc>
      </w:tr>
      <w:tr w:rsidR="00464116" w:rsidRPr="00AC5114" w:rsidTr="00ED7346">
        <w:tc>
          <w:tcPr>
            <w:tcW w:w="3085" w:type="dxa"/>
          </w:tcPr>
          <w:p w:rsidR="00464116" w:rsidRPr="002B4F9E" w:rsidRDefault="00464116" w:rsidP="00ED7346">
            <w:pPr>
              <w:autoSpaceDE w:val="0"/>
              <w:autoSpaceDN w:val="0"/>
            </w:pPr>
            <w:r>
              <w:t>Riżultat tal-votazzjoni</w:t>
            </w:r>
            <w:r>
              <w:br/>
              <w:t>(favur/kontra/astensjonijiet)</w:t>
            </w:r>
          </w:p>
        </w:tc>
        <w:tc>
          <w:tcPr>
            <w:tcW w:w="6204" w:type="dxa"/>
            <w:vAlign w:val="bottom"/>
          </w:tcPr>
          <w:p w:rsidR="00464116" w:rsidRDefault="00022373" w:rsidP="005B2B00">
            <w:pPr>
              <w:autoSpaceDE w:val="0"/>
              <w:autoSpaceDN w:val="0"/>
            </w:pPr>
            <w:r>
              <w:t>231/0/9</w:t>
            </w:r>
          </w:p>
        </w:tc>
      </w:tr>
    </w:tbl>
    <w:p w:rsidR="00464116" w:rsidRDefault="00464116" w:rsidP="00464116">
      <w:pPr>
        <w:rPr>
          <w:lang w:val="en-GB"/>
        </w:rPr>
      </w:pPr>
    </w:p>
    <w:p w:rsidR="00464116" w:rsidRPr="002B4F9E" w:rsidRDefault="00464116" w:rsidP="00464116">
      <w:pPr>
        <w:rPr>
          <w:lang w:val="en-GB"/>
        </w:rPr>
        <w:sectPr w:rsidR="00464116" w:rsidRPr="002B4F9E" w:rsidSect="00995B2C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:rsidR="00586F34" w:rsidRPr="00D631C0" w:rsidRDefault="00586F34" w:rsidP="00D42546">
      <w:pPr>
        <w:pStyle w:val="Heading1"/>
        <w:keepNext/>
      </w:pPr>
      <w:r>
        <w:rPr>
          <w:b/>
        </w:rPr>
        <w:t>Konklużjonijiet u rakkomandazzjonijiet</w:t>
      </w:r>
    </w:p>
    <w:p w:rsidR="00586F34" w:rsidRPr="00800A91" w:rsidRDefault="00586F34" w:rsidP="00D42546">
      <w:pPr>
        <w:keepNext/>
        <w:rPr>
          <w:lang w:val="en-GB"/>
        </w:rPr>
      </w:pPr>
    </w:p>
    <w:p w:rsidR="00F947CA" w:rsidRPr="00800A91" w:rsidRDefault="00E41099" w:rsidP="00B97A93">
      <w:pPr>
        <w:pStyle w:val="Heading2"/>
      </w:pPr>
      <w:r>
        <w:t>Il-KESE jsostni li s-suq tal-avjazzjoni tal-UE huwa essenzjali għall-kummerċ u t-turiżmu fl-Unjoni Ewropea, kif ukoll għall-kompetittività internazzjonali tal-ekonomija Ewropea</w:t>
      </w:r>
      <w:r w:rsidR="004D3314" w:rsidRPr="00800A91">
        <w:rPr>
          <w:rStyle w:val="FootnoteReference"/>
          <w:lang w:val="en-GB"/>
        </w:rPr>
        <w:footnoteReference w:id="2"/>
      </w:r>
      <w:r>
        <w:t>.</w:t>
      </w:r>
    </w:p>
    <w:p w:rsidR="00722CB7" w:rsidRPr="00800A91" w:rsidRDefault="00722CB7" w:rsidP="00B97A93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="00C83CA5" w:rsidRPr="00800A91" w:rsidRDefault="00125B1A" w:rsidP="00B97A93">
      <w:pPr>
        <w:pStyle w:val="Heading2"/>
        <w:numPr>
          <w:ilvl w:val="0"/>
          <w:numId w:val="0"/>
        </w:numPr>
        <w:ind w:left="567"/>
      </w:pPr>
      <w:r>
        <w:t>Madankollu, minħabba li l-avjazzjoni hija wieħed mis-setturi li qed jikbru l-aktar malajr f’termini ta’ emissjonijiet tas-CO</w:t>
      </w:r>
      <w:r>
        <w:rPr>
          <w:vertAlign w:val="subscript"/>
        </w:rPr>
        <w:t>2</w:t>
      </w:r>
      <w:r>
        <w:t>, il-KESE jappoġġja l-inizjattivi regolatorji meħuda mill-istituzzjonijiet tal-UE biex jiġi mmitigat l-impatt tal-avjazzjoni fuq l-ambjent</w:t>
      </w:r>
      <w:r w:rsidR="00966CCC" w:rsidRPr="00800A91">
        <w:rPr>
          <w:rStyle w:val="FootnoteReference"/>
          <w:lang w:val="en-GB"/>
        </w:rPr>
        <w:footnoteReference w:id="3"/>
      </w:r>
      <w:r>
        <w:t>.</w:t>
      </w:r>
    </w:p>
    <w:p w:rsidR="005539B5" w:rsidRPr="00800A91" w:rsidRDefault="005539B5" w:rsidP="00B11D1B">
      <w:pPr>
        <w:pStyle w:val="ListParagraph"/>
        <w:ind w:left="0"/>
        <w:rPr>
          <w:lang w:val="en-GB"/>
        </w:rPr>
      </w:pPr>
    </w:p>
    <w:p w:rsidR="00B11D1B" w:rsidRPr="00800A91" w:rsidRDefault="005539B5" w:rsidP="00B11D1B">
      <w:pPr>
        <w:pStyle w:val="Heading2"/>
      </w:pPr>
      <w:r>
        <w:t>Il-pakkett "Lesti għall-mira ta' 55 %" tal-Kummissjoni għandu l-għan li jpoġġi lill-blokk fit-triq it-tajba biex jilħaq il-mira ambizzjuża tiegħu ta' tnaqqis ta' 55 % fl-emissjonijiet ta' gassijiet serra sal-2030, meta mqabbel mal-livelli tal-1990, filwaqt li jallinja l-politika tal-UE mal-mandati politiċi ambizzjużi tal-Patt Ekoloġiku u l-Liġi Ewropea dwar il-Klima. Il-KESE jappoġġja din il-politika ambizzjuża ħafna, li fiha diversi proposti leġiżlattivi li jaffettwaw l-avjazzjoni, li element essenzjali tagħhom huwa l-promozzjoni ta' fjuwils tal-avjazzjoni sostenibbli (SAF). Għalkemm il-Kummissjoni evalwat in-natura komplementari ta' din il-proposta ma' proposti rilevanti oħra, il-KESE jemmen li l-Kummissjoni għandha tqis ukoll l-effetti finanzjarji kumulattivi tal-miżuri regolatorji rilevanti kollha.</w:t>
      </w:r>
    </w:p>
    <w:p w:rsidR="00586F34" w:rsidRPr="00800A91" w:rsidRDefault="00586F34" w:rsidP="00D42546">
      <w:pPr>
        <w:pStyle w:val="Heading2"/>
        <w:numPr>
          <w:ilvl w:val="0"/>
          <w:numId w:val="0"/>
        </w:numPr>
        <w:rPr>
          <w:lang w:val="en-GB"/>
        </w:rPr>
      </w:pPr>
    </w:p>
    <w:p w:rsidR="00034A21" w:rsidRPr="00800A91" w:rsidRDefault="00BC4561" w:rsidP="00B97A93">
      <w:pPr>
        <w:pStyle w:val="Heading2"/>
      </w:pPr>
      <w:r>
        <w:t>Fil-kuntest tal-inizjattivi regolatorji mfassla biex tiġi aċċellerata t-tranżizzjoni lejn newtralità klimatika, il-Proposta RefuelEU Aviation hija ta' importanza ewlenija għall-avjazzjoni. Għall-kuntrarju ta' setturi oħra, l-avjazzjoni tiddependi mill-fjuwils fossili bħala sors ta' enerġija. Sabiex is-settur tal-avjazzjoni jkun jista' jikber filwaqt li jitnaqqsu l-emissjonijiet tas-CO</w:t>
      </w:r>
      <w:r>
        <w:rPr>
          <w:vertAlign w:val="subscript"/>
        </w:rPr>
        <w:t>2</w:t>
      </w:r>
      <w:r>
        <w:t xml:space="preserve"> tiegħu, il-Proposta għal Regolament rigward RefuelEU Aviation tfittex li taċċellera l-produzzjoni, id-distribuzzjoni u l-użu tal-SAF billi jiġi impost obbligu fuq il-fornituri tal-fjuwil tal-ġettijiet lill-avjazzjoni biex jipprovdu sehem dejjem akbar ta' fjuwil tal-avjazzjoni mħallat mal-SAF fl-ajruporti kollha tal-UE, u billi l-linji tal-ajru jintalbu jżidu l-użu tagħhom tal-SAF fi stadji inkrementali predefiniti. </w:t>
      </w:r>
    </w:p>
    <w:p w:rsidR="006F7EE6" w:rsidRPr="00800A91" w:rsidRDefault="006F7EE6" w:rsidP="00B11D1B">
      <w:pPr>
        <w:pStyle w:val="ListParagraph"/>
        <w:ind w:left="567"/>
        <w:rPr>
          <w:lang w:val="en-GB"/>
        </w:rPr>
      </w:pPr>
    </w:p>
    <w:p w:rsidR="00586F34" w:rsidRPr="00800A91" w:rsidRDefault="000E25DA" w:rsidP="00B97A93">
      <w:pPr>
        <w:pStyle w:val="Heading2"/>
        <w:numPr>
          <w:ilvl w:val="0"/>
          <w:numId w:val="0"/>
        </w:numPr>
        <w:ind w:left="567"/>
      </w:pPr>
      <w:r>
        <w:t xml:space="preserve">F'konformità mal-approċċ tiegħu għall-promozzjoni tal-avjazzjoni sostenibbli, il-KESE jappoġġja l-impetu tal-Proposta tal-Kummissjoni, iżda jissuġġerixxi emendi biex jiżguraw li din tkun tista' tiġi implimentata b'mod effettiv u mingħajr ma jinħolqu distorsjonijiet.  </w:t>
      </w:r>
    </w:p>
    <w:p w:rsidR="00AB745F" w:rsidRPr="00800A91" w:rsidRDefault="00AB745F" w:rsidP="00B11D1B">
      <w:pPr>
        <w:pStyle w:val="ListParagraph"/>
        <w:ind w:left="0"/>
        <w:rPr>
          <w:lang w:val="en-GB"/>
        </w:rPr>
      </w:pPr>
    </w:p>
    <w:p w:rsidR="00B058FF" w:rsidRPr="00800A91" w:rsidRDefault="00AB745F" w:rsidP="00B97A93">
      <w:pPr>
        <w:pStyle w:val="Heading2"/>
      </w:pPr>
      <w:r>
        <w:t>Il-KESE jilqa' l-inizjattiva tal-Kummissjoni biex jiġi aċċellerat it-tkabbir ta' suq għall-SAF. Tabilħaqq huwa minnu li l-SAF – jekk jiġu prodotti fi kwantitajiet suffiċjenti u jkunu disponibbli għal-linji tal-ajru kollha – inaqqsu b'mod sinifikanti l-emissjonijiet tas-CO</w:t>
      </w:r>
      <w:r>
        <w:rPr>
          <w:vertAlign w:val="subscript"/>
        </w:rPr>
        <w:t>2</w:t>
      </w:r>
      <w:r>
        <w:t xml:space="preserve"> tas-settur. Madankollu, mhuwiex ċar jekk l-approċċ segwit mill-Kummissjoni huwiex se jipprevjeni distorsjonijiet għall-kompetizzjoni. </w:t>
      </w:r>
    </w:p>
    <w:p w:rsidR="003D794B" w:rsidRPr="00800A91" w:rsidRDefault="003D794B" w:rsidP="00B11D1B">
      <w:pPr>
        <w:pStyle w:val="ListParagraph"/>
        <w:ind w:left="567"/>
        <w:rPr>
          <w:lang w:val="en-GB"/>
        </w:rPr>
      </w:pPr>
    </w:p>
    <w:p w:rsidR="00586F34" w:rsidRPr="00800A91" w:rsidRDefault="00586F34" w:rsidP="00AE053D">
      <w:pPr>
        <w:pStyle w:val="Heading2"/>
      </w:pPr>
      <w:r>
        <w:t xml:space="preserve">L-avjazzjoni hija settur tas-servizzi internazzjonali, li fil-fatt ikopri żewġ swieq distinti b'dinamika differenti tas-suq: is-Suq Uniku Ewropew taż-ŻEE minn naħa waħda, u s-suq regolat fuq livell internazzjonali min-naħa l-oħra. Il-KESE jemmen li l-abbozz ta' Proposta għandu jirrifletti b'mod ċar din id-differenza, u jistieden lill-Kummissjoni żżomm kundizzjonijiet ekwi </w:t>
      </w:r>
      <w:r>
        <w:rPr>
          <w:i/>
        </w:rPr>
        <w:t>fi ħdan</w:t>
      </w:r>
      <w:r>
        <w:t xml:space="preserve"> iż-ŻEE u tippromovi b'mod proattiv standards applikabbli </w:t>
      </w:r>
      <w:r>
        <w:rPr>
          <w:i/>
        </w:rPr>
        <w:t>globalment</w:t>
      </w:r>
      <w:r>
        <w:t xml:space="preserve"> għas-sostenibbiltà. </w:t>
      </w:r>
    </w:p>
    <w:p w:rsidR="00586F34" w:rsidRPr="00800A91" w:rsidRDefault="00586F34" w:rsidP="00AE053D">
      <w:pPr>
        <w:rPr>
          <w:lang w:val="en-GB"/>
        </w:rPr>
      </w:pPr>
    </w:p>
    <w:p w:rsidR="00AB745F" w:rsidRPr="00800A91" w:rsidRDefault="00AB745F" w:rsidP="00B97A93">
      <w:pPr>
        <w:pStyle w:val="Heading2"/>
      </w:pPr>
      <w:r>
        <w:t xml:space="preserve">Ir-Regolament propost se jkopri l-operazzjonijiet kollha tal-linji tal-ajru kollha tal-UE, kemm jekk dawn joperaw fiż-ŻEE kif ukoll fuq livell internazzjonali; madankollu, in-networks tal-linji tal-ajru mhux tal-UE se jkunu koperti biss sal-punt fejn dawn jinkludu servizzi minn ajruport tal-UE. Is-servizzi globali l-oħra kollha tal-linji tal-ajru mhux tal-UE ma jiġux affettwati mill-użu minimu meħtieġ tal-fjuwil tal-avjazzjoni mħallat mal-SAF. Għalhekk, id-differenza mistennija fil-prezz bejn il-fjuwil tal-avjazzjoni u l-SAF tista' tipprovdi vantaġġ kompetittiv lil-linji tal-ajru mhux tal-UE. Fi żmien meta s-settur tal-avjazzjoni globali kollu qed jitħabat biex jirkupra mill-agħar kriżi fl-istorja tiegħu ta' wara l-gwerra, il-linji tal-ajru tal-UE m'għandhomx għalfejn iġarrbu kostijiet addizzjonali b'mod unilaterali. Barra minn hekk, jekk id-differenza fil-prezzijiet tiġi mgħoddija lill-passiġġieri, titjiriet inqas ekoloġiċi operati minn linji tal-ajru mhux tal-UE jsiru aktar attraenti għall-passiġġieri tal-UE. </w:t>
      </w:r>
    </w:p>
    <w:p w:rsidR="00586F34" w:rsidRPr="00800A91" w:rsidRDefault="00586F34" w:rsidP="00586F34">
      <w:pPr>
        <w:pStyle w:val="ListParagraph"/>
        <w:ind w:left="360"/>
        <w:rPr>
          <w:lang w:val="en-GB"/>
        </w:rPr>
      </w:pPr>
    </w:p>
    <w:p w:rsidR="00586F34" w:rsidRPr="00800A91" w:rsidRDefault="00400869" w:rsidP="00B97A93">
      <w:pPr>
        <w:pStyle w:val="Heading2"/>
      </w:pPr>
      <w:r>
        <w:t>Il-KESE jirrakkomanda li ssir fażi pilota qabel l-implimentazzjoni attwali ta' dan ir-Regolament, li matulha jistgħu jiġu allinjati d-dispożizzjonijiet interni fi ħdan iż-ŻEE relatati mal-mitigazzjoni tal-impatt tal-avjazzjoni fuq l-ambjent, u l-Kummissjoni tiffoka l-isforzi tagħha fuq il-koordinazzjoni mill-qrib tal-promozzjoni tal-UE tal-SAF b'inizjattivi simili mwettqa fuq livell internazzjonali. Ladarba tiġi prodotta kwantità suffiċjenti ta' SAF u tkun disponibbli għat-trasportaturi tal-UE u mhux tal-UE, dan ir-Regolament jiġi applikat bis-sħiħ biex ikopri wkoll l-obbligi għal-linji tal-ajru mhux tal-UE li jitilqu minn ajruporti tal-UE. Approċċ gradwali bħal dan jimminimizza r-riskji ta' żvantaġġi ta' min jidħol l-ewwel, inaqqas ir-riskju ta' rilokazzjoni tal-emissjonijiet tal-karbonju, jippermetti proċess ta' implimentazzjoni kosteffettiv u jistabbilixxi l-istabbiltà tal-ippjanar għall-partijiet ikkonċernati kollha, inklużi l-manifatturi tal-SAF. Barra minn hekk, dan jiffaċilita approċċ konsistenti għall-bijofjuwils.</w:t>
      </w:r>
    </w:p>
    <w:p w:rsidR="00A1465E" w:rsidRPr="00800A91" w:rsidRDefault="00A1465E" w:rsidP="00A1465E">
      <w:pPr>
        <w:rPr>
          <w:lang w:val="en-GB"/>
        </w:rPr>
      </w:pPr>
    </w:p>
    <w:p w:rsidR="00586F34" w:rsidRPr="00800A91" w:rsidRDefault="00586F34" w:rsidP="00AE053D">
      <w:pPr>
        <w:pStyle w:val="Heading2"/>
      </w:pPr>
      <w:r>
        <w:t>Minħabba li proporzjon ferm ogħla ta' CO</w:t>
      </w:r>
      <w:r>
        <w:rPr>
          <w:vertAlign w:val="subscript"/>
        </w:rPr>
        <w:t>2</w:t>
      </w:r>
      <w:r>
        <w:t xml:space="preserve"> jiġi rilaxxat fuq rotot internazzjonali fit-tul milli fuq ir-rotot ta' distanzi medji sa qosra taż-ŻEE</w:t>
      </w:r>
      <w:r w:rsidR="008B601E" w:rsidRPr="00800A91">
        <w:rPr>
          <w:rStyle w:val="FootnoteReference"/>
          <w:lang w:val="en-GB"/>
        </w:rPr>
        <w:footnoteReference w:id="4"/>
      </w:r>
      <w:r>
        <w:t>, il-KESE jemmen li l-Kummissjoni għandha tagħmel enfasi akbar fuq il-mezzi biex tinkiseb koordinazzjoni tal-miżuri regolatorji internazzjonali. Dawn il-miżuri ta’ partijiet terzi, flimkien ma’ mekkaniżmi ta’ kumpens diġà miftiehma bħall-CORSIA</w:t>
      </w:r>
      <w:r w:rsidR="003258E9" w:rsidRPr="00800A91">
        <w:rPr>
          <w:rStyle w:val="FootnoteReference"/>
          <w:lang w:val="en-GB"/>
        </w:rPr>
        <w:footnoteReference w:id="5"/>
      </w:r>
      <w:r>
        <w:t>, se jiġġeneraw aktar momentum għall-produzzjoni, it-tixrid u l-użu tal-SAF fuq livell internazzjonali, u b’hekk jaċċelleraw id-domanda akbar għall-SAF u jnaqqsu r-riskju ta' rilokazzjoni tal-emissjonijiet tal-karbonju</w:t>
      </w:r>
      <w:r w:rsidR="00952143" w:rsidRPr="00800A91">
        <w:rPr>
          <w:rStyle w:val="FootnoteReference"/>
          <w:lang w:val="en-GB"/>
        </w:rPr>
        <w:footnoteReference w:id="6"/>
      </w:r>
      <w:r>
        <w:t xml:space="preserve">. </w:t>
      </w:r>
    </w:p>
    <w:p w:rsidR="00586F34" w:rsidRPr="00800A91" w:rsidRDefault="00586F34" w:rsidP="00D42546">
      <w:pPr>
        <w:pStyle w:val="ListParagraph"/>
        <w:ind w:left="567"/>
        <w:rPr>
          <w:lang w:val="en-GB"/>
        </w:rPr>
      </w:pPr>
    </w:p>
    <w:p w:rsidR="00586F34" w:rsidRPr="00800A91" w:rsidRDefault="00586F34" w:rsidP="00D42546">
      <w:pPr>
        <w:pStyle w:val="Heading2"/>
        <w:numPr>
          <w:ilvl w:val="0"/>
          <w:numId w:val="0"/>
        </w:numPr>
        <w:ind w:left="567"/>
      </w:pPr>
      <w:r>
        <w:t xml:space="preserve">Il-KESE jaqbel mal-analiżi tal-Kummissjoni li se jieħu ż-żmien biex jinħoloq suq għall-SAF. Il-KESE jistieden lill-Kummissjoni tiżviluppa pjan direzzjonali realistiku u komprensiv għaż-żieda inkrementali fl-użu tal-SAF biex tipprovdi stabbiltà fl-ippjanar għall-partijiet ikkonċernati kollha, inklużi għall-produtturi tal-SAF, u biex tipprovdi orjentazzjoni għall-proċess ta' monitoraġġ politiku. </w:t>
      </w:r>
    </w:p>
    <w:p w:rsidR="00586F34" w:rsidRPr="00800A91" w:rsidRDefault="00586F34" w:rsidP="00586F34">
      <w:pPr>
        <w:rPr>
          <w:lang w:val="en-GB"/>
        </w:rPr>
      </w:pPr>
    </w:p>
    <w:p w:rsidR="00586F34" w:rsidRPr="00D631C0" w:rsidRDefault="00586F34" w:rsidP="00D42546">
      <w:pPr>
        <w:pStyle w:val="Heading1"/>
      </w:pPr>
      <w:r>
        <w:rPr>
          <w:b/>
        </w:rPr>
        <w:t>Kummenti ġenerali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2"/>
      </w:pPr>
      <w:r>
        <w:t>Huwa meħtieġ approċċ regolatorju komprensiv u effettiv għall-promozzjoni tat-tkabbir tal-avjazzjoni sostenibbli.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>L-abbozz tal-Proposta RefuelEU Aviation huwa inkorporat f'diversi proposti regolatorji oħra fil-pakkett "Lesti għall-mira ta' 55 %", li kollha huma mmirati biex jimmitigaw l-effetti tal-avjazzjoni fuq l-ambjent</w:t>
      </w:r>
      <w:r w:rsidR="004627D2" w:rsidRPr="00800A91">
        <w:rPr>
          <w:rStyle w:val="FootnoteReference"/>
          <w:lang w:val="en-GB"/>
        </w:rPr>
        <w:footnoteReference w:id="7"/>
      </w:r>
      <w:r>
        <w:t>. Għalhekk, fil-valutazzjoni tal-impatt u l-prattiċità tal-proposta RefuelEU Aviation, għandha tingħata kunsiderazzjoni xierqa lill-interdipendenza ta' dawn il-proposti u lill-effett kumulattiv tagħhom fuq is-suq tal-avjazzjoni.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F95D24" w:rsidRPr="00800A91" w:rsidRDefault="00586F34" w:rsidP="00AE053D">
      <w:pPr>
        <w:pStyle w:val="Heading3"/>
      </w:pPr>
      <w:r>
        <w:t>Direttiva riveduta dwar it-Tassazzjoni fuq l-Enerġija tintroduċi rata tat-taxxa minima applikabbli għal titjiriet intra-UE; l-SAF jibbenefikaw minn rata tat-taxxa minima żero, filwaqt li r-rati tat-taxxa minimi għandhom jiżdiedu fi stadji inkrementali fuq perjodu ta’ għaxar snin għal livell ta’ EUR 10,75/Gigajoule. L-għan iddikjarat ta' din il-proposta huwa li jiġi stimulat l-użu ta' aktar SAF u li l-linji tal-ajru jiġu mħeġġa jużaw inġenji tal-ajru aktar effiċjenti u li jniġġsu anqas u li jiġi evitat nuqqas possibbli ta' dħul ta' 32 %. Jekk l-Istati Membri jaqbżu r-rata minima individwalment, dawn it-taxxi nazzjonali addizzjonali tas-CO</w:t>
      </w:r>
      <w:r>
        <w:rPr>
          <w:vertAlign w:val="subscript"/>
        </w:rPr>
        <w:t>2</w:t>
      </w:r>
      <w:r>
        <w:t xml:space="preserve"> iżidu b'mod sinifikanti l-piż tal-kost fuq il-linji tal-ajru, sakemm l-SAF ma jiġux prodotti fi kwantitajiet suffiċjenti. Jidher essenzjali li tiġi stabbilita rabta bħal din mad-disponibbiltà tal-SAF, inkella r-regoli jista' jkollhom effett li jikkastigaw minflok jipprovdu aktar inċentivi għall-produzzjoni u l-użu tal-SAF. </w:t>
      </w:r>
    </w:p>
    <w:p w:rsidR="00F95D24" w:rsidRPr="00800A91" w:rsidRDefault="00F95D24" w:rsidP="00D42546">
      <w:pPr>
        <w:pStyle w:val="ListParagraph"/>
        <w:ind w:left="0"/>
        <w:rPr>
          <w:lang w:val="en-GB"/>
        </w:rPr>
      </w:pPr>
    </w:p>
    <w:p w:rsidR="00AE05FE" w:rsidRPr="00800A91" w:rsidRDefault="00ED3A6F" w:rsidP="00B97A93">
      <w:pPr>
        <w:pStyle w:val="Heading3"/>
      </w:pPr>
      <w:r>
        <w:t>Fil-fatt, hemm dubju dwar jekk taxxi addizzjonali jistgħux jipprovdu stimolu għat-tranżizzjoni mill-fjuwils fossili lejn l-SAF, jekk l-SAF ma jkunux disponibbli fi kwantitajiet suffiċjenti.</w:t>
      </w:r>
    </w:p>
    <w:p w:rsidR="00F947CA" w:rsidRPr="00800A91" w:rsidRDefault="00F947CA" w:rsidP="00B97A93">
      <w:pPr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 xml:space="preserve"> Fin-nuqqas ta' dispożizzjonijiet dwar l-anti-dumping sinifikanti, il-kundizzjonijiet tas-suq bħalissa jippermettu lill-kompetituri tal-linji tal-ajru joffru prezzijiet tal-biljetti li huma taħt il-kostijiet operazzjonali marġinali tagħhom, saħansitra anke taħt il-kostijiet kumulattivi tal-ATM u tal-imposti tal-ajruporti. Taxxa ulterjuri ma taffettwax tali livelli ta' prezzijiet marġinali u għalhekk ma tipprevedix inċentivi għall-benefiċċju mill-SAF bħala miżura kompetittiva; tali taxxa minima madwar l-UE sempliċiment iċċaħħad lil-linji tal-ajru mill-mezzi finanzjarji meħtieġa għall-investimenti f'inġenji tal-ajru aktar effiċjenti. Barra minn hekk, id-dħul miksub minn dawn it-taxxi addizzjonali jista', min-natura tiegħu, ma jintużax għall-objettivi predefiniti (rilevanti għall-ambjent), iżda se jgħaddi fil-fondi tal-Istati Membri. Għalhekk, dawn ma jippermettux it-tkabbir tal-provvista biex tiġi ssodisfata d-domanda dejjem tikber għall-ivvjaġġar bl-ajru.</w:t>
      </w:r>
    </w:p>
    <w:p w:rsidR="00586F34" w:rsidRPr="00800A91" w:rsidRDefault="00586F34" w:rsidP="001241A1">
      <w:pPr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>Għalhekk, il-KESE jemmen li hija meħtieġa evalwazzjoni aktar divrenzjata tad-dinamika tas-suq b'enfasi partikolari fuq il-ħtieġa potenzjali li tiġi indirizzata, bħala miżura regolatorja addizzjonali, il-ħtieġa ta' leġiżlazzjoni anti-dumping immirata biex effettivament teirrikjedi livell minimu ta' prezzijiet biex tkopri l-kostijiet eżoġeni</w:t>
      </w:r>
      <w:r w:rsidRPr="00800A91">
        <w:rPr>
          <w:rStyle w:val="FootnoteReference"/>
          <w:lang w:val="en-GB"/>
        </w:rPr>
        <w:footnoteReference w:id="8"/>
      </w:r>
      <w:r>
        <w:t>.</w:t>
      </w:r>
    </w:p>
    <w:p w:rsidR="00586F34" w:rsidRPr="00800A91" w:rsidRDefault="00586F34" w:rsidP="00D42546">
      <w:pPr>
        <w:pStyle w:val="ListParagraph"/>
        <w:ind w:left="567"/>
        <w:rPr>
          <w:lang w:val="en-GB"/>
        </w:rPr>
      </w:pPr>
    </w:p>
    <w:p w:rsidR="00586F34" w:rsidRPr="00800A91" w:rsidRDefault="00586F34" w:rsidP="00D42546">
      <w:pPr>
        <w:pStyle w:val="Heading3"/>
        <w:numPr>
          <w:ilvl w:val="0"/>
          <w:numId w:val="0"/>
        </w:numPr>
        <w:ind w:left="567"/>
      </w:pPr>
      <w:r>
        <w:t>Il-Kummissjoni tipproponi wkoll ir-reviżjoni tar-regoli tal-avjazzjoni tal-ETS bħala miżura oħra skont il-pakkett "Lesti għall-mira ta' 55 %". L-ETS qabel kienet tkopri madwar 40 % tal-emissjonijiet totali fl-UE; il-verżjoni riveduta żiedet dan is-sehem bl-inklużjoni ta' setturi addizzjonali bħal dak marittimu. L-obbligu tat-tnaqqis tal-emissjonijiet għas-setturi tal-ETS żdied ukoll minn 40 % għal 61 % sal-2030 abbażi tal-livelli tal-2005, filwaqt li l-kwoti bla ħlas fl-avjazzjoni għandhom jitneħħew gradwalment bejn l-2023 u l-2025. </w:t>
      </w:r>
    </w:p>
    <w:p w:rsidR="00586F34" w:rsidRPr="00800A91" w:rsidRDefault="00586F34" w:rsidP="001241A1">
      <w:pPr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 xml:space="preserve">Fil-fatt, l-iskambju ta' kwoti tal-emissjonijiet huwa mekkaniżmu bbażat fuq is-suq biex jitnaqqsu l-emissjonijiet, u l-irfinar ulterjuri tal-parametri ta' dan l-istrument jista' jsaħħaħ il-mekkaniżmu. Meta jiġu evalwati l-effetti ta' tali miżuri fuq id-dinamika tas-suq, kif issuġġerit hawn fuq, għandu jiġi mfakkar li t-tnaqqis inkrementali tal-kwoti bla ħlas iżid piż ta' spiża fuq il-kost addizzjonali diġà previst tat-taxxa minima madwar l-UE. Barra minn hekk, id-Direttiva dwar it-Tassazzjoni fuq l-Enerġija, id-Direttiva dwar l-Iskambju tal-Kwoti tal-Emissjonijiet u r-Regolament RefuelEU Aviation kollha jirrikjedu data dwar l-użu u l-konsum tal-fjuwil tal-ġettijiet tal-avjazzjoni, kif ukoll l-użu tal-SAF. Għandha tingħata aktar kunsiderazzjoni lis-simplifikazzjoni tad-dispożizzjonijiet dwar il-ġbir, ir-rapportar u l-verifika tad-data sabiex tiġi evitata kumplessità bla bżonn u tiġi żgurata l-prattiċità tal-proċessi. </w:t>
      </w:r>
    </w:p>
    <w:p w:rsidR="00586F34" w:rsidRPr="00800A91" w:rsidRDefault="00586F34" w:rsidP="00D42546">
      <w:pPr>
        <w:pStyle w:val="ListParagraph"/>
        <w:ind w:left="567"/>
        <w:rPr>
          <w:lang w:val="en-GB"/>
        </w:rPr>
      </w:pPr>
    </w:p>
    <w:p w:rsidR="00586F34" w:rsidRPr="00800A91" w:rsidRDefault="00586F34" w:rsidP="00D42546">
      <w:pPr>
        <w:pStyle w:val="Heading3"/>
        <w:numPr>
          <w:ilvl w:val="0"/>
          <w:numId w:val="0"/>
        </w:numPr>
        <w:ind w:left="567"/>
      </w:pPr>
      <w:r>
        <w:t>Ir-Regolament propost dwar l-Infrastruttura tal-Fjuwils Alternattivi huwa maħsub biex jiżgura li fl-ajruporti jkun hemm l-infrastruttura xierqa biex tippermetti l-aċċess għall-SAF fl-ajruporti kollha tal-UE. Filwaqt li l-iżgurar ta' loġistika effiċjenti għat-tixrid tal-SAF huwa bla dubju essenzjali, ir-Regolament innifsu jeħtieġ kjarifika ulterjuri; skont il-formulazzjoni attwali tiegħu, il-vetturi għall-forniment ta' fjuwil ekoloġiku għall-avjazzjoni jistgħu jitqiesu li mhumiex ekoloġiċi</w:t>
      </w:r>
      <w:r w:rsidR="00687225" w:rsidRPr="00800A91">
        <w:rPr>
          <w:rStyle w:val="FootnoteReference"/>
          <w:lang w:val="en-GB"/>
        </w:rPr>
        <w:footnoteReference w:id="9"/>
      </w:r>
      <w:r>
        <w:t xml:space="preserve">. Fin-nuqqas ta' kjarifiki bħal dawn, huwa diffiċli li jiġi vvalutat sa liema punt jistgħu jirriżultaw aktar kostijiet fl-ajruporti li potenzjalment jistgħu jiġu mgħoddija lil-linji tal-ajru.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1241A1">
      <w:pPr>
        <w:pStyle w:val="Heading2"/>
        <w:keepNext/>
        <w:keepLines/>
      </w:pPr>
      <w:r>
        <w:t>Ir-Regolament propost RefuelEU Aviation huwa proposta ewlenija biex tiġi żgurata s-sostenibbiltà tal-futur tal-avjazzjoni, iżda għandu jevita effetti ta' distorsjoni fuq is-suq tal-avjazzjoni.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>
      <w:pPr>
        <w:pStyle w:val="Heading3"/>
      </w:pPr>
      <w:r>
        <w:t xml:space="preserve">Il-Kummissjoni tirrikonoxxi li l-produzzjoni u t-tixrid tal-SAF fil-livell industrijali se jeħtieġu investimenti sinifikanti, u ż-żmien, għal applikazzjoni fuq skala akbar sinifikanti. Minħabba li l-ġurisdizzjoni tal-Kummissjoni hija legalment limitata għal traffiku tal-ajru intra-UE, u b'mod effettiv għal traffiku tal-ajru intra-ŻEE, il-Kummissjoni tipproponi li timminimizza d-distorsjonijiet għall-kompetizzjoni internazzjonali b'żewġ miżuri: l-iżgurar tal-użu ta' fjuwil tal-ġettijiet imħallat mal-SAF għat-titjiriet kollha li jitilqu mill-ajruporti tal-UE irrispettivament mid-destinazzjoni tagħhom, u l-impożizzjoni ta' użu minimu tal-fjuwil tal-ġettijiet tal-avjazzjoni fl-ajruporti tal-UE. Tal-ewwel hija mmirata lejn il-fornitur u mhijiex diskriminatorja fir-rigward tal-linji tal-ajru. Madankollu, hemm dubju dwar jekk il-miżura tal-aħħar hijiex prattikabbli u effettiva fil-prevenzjoni tad-distorsjonijiet tas-suq.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>L-Artikolu 7 jimponi obbligu fuq il-linji tal-ajru kollha biex jipprovdu data, fost l-oħrajn, dwar l-użu tal-fjuwil tal-ġettijiet tal-avjazzjoni f'ajruport partikolari tal-UE, u obbligu li jirrapportaw l-ammont totali ta' fjuwil tal-avjazzjoni mħallat mal-SAF mixtri mill-fornituri. Il-linji tal-ajru bħalissa diġà jirrapportaw l-użu u l-konsum tal-fjuwil tal-ġettijiet għal kull titjira fil-kuntest tal-obbligi ta' rapportar skont l-EU ETS; din l-iskema tapplika biss għal titjiriet intra-UE</w:t>
      </w:r>
      <w:r w:rsidRPr="00800A91">
        <w:rPr>
          <w:rStyle w:val="FootnoteReference"/>
          <w:lang w:val="en-GB"/>
        </w:rPr>
        <w:footnoteReference w:id="10"/>
      </w:r>
      <w:r>
        <w:t xml:space="preserve">. Ir-Regolament propost jestendi l-obbligi ta' rapportar għal titjiriet internazzjonali mill-ajruporti tal-UE. Dawn huma operati wkoll minn trasportaturi mhux tal-UE li għalhekk huma inklużi fl-obbligi ta' rapportar tad-data. Huwa aċċettat fuq livell internazzjonali li l-linji tal-ajru mhux nazzjonali jiġu inklużi fl-obbligi ta' rapportar tad-data sabiex l-awtoritajiet nazzjonali jkunu jistgħu jimmonitorjaw il-konformità. Għalhekk, mhix mistennija oppożizzjoni internazzjonali għal dan l-obbligu ta' rapportar.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>Madankollu, l-Artikolu 5 jimponi obbligu fuq il-linji tal-ajru (kollha) biex jiżguraw li l-użu annwali tagħhom tal-fjuwil tal-ġettijiet f'ajruport partikolari tal-UE jkun mill-inqas 90 % tal-fjuwil tal-ġettijiet tal-avjazzjoni meħtieġ fis-sena. L-għan ta' din id-dispożizzjoni huwa li tipprevjeni l-hekk imsejħa tankering. Il-Kummissjoni tirreferi għat-tankering bħala mezz għal linja tal-ajru biex iżżid aktar fjuwil tal-ġettijiet milli meħtieġ biex jiġi evitat ir-riforniment fl-ajruport tad-destinazzjoni fejn il-fjuwil tal-ġettijiet jista' jkun aktar għali</w:t>
      </w:r>
      <w:r w:rsidR="00226EBE" w:rsidRPr="00800A91">
        <w:rPr>
          <w:rStyle w:val="FootnoteReference"/>
          <w:lang w:val="en-GB"/>
        </w:rPr>
        <w:footnoteReference w:id="11"/>
      </w:r>
      <w:r>
        <w:t>. Madankollu, iċ-ċentri ta' xi linji tal-ajru tan-network mhux tal-UE jinsabu fil-prossimità taż-ŻEE (eżempji: Londra, Doha, Dubai, Istanbul) u jeħtieġu biss titjira qasira minn ajruport partikolari taż-ŻEE għal dak iċ-ċentru. Imbagħad, id-destinazzjonijiet fuq distanzi twal jistgħu jintlaħqu b'forniment ta' fjuwil minn ajruport ċentrali mhux tal-UE mingħajr it-tankering. L-ammont ta' kost addizzjonali relatat mal-SAF mgħoddi lill-passiġġier fil-prezz tal-biljett jista' jinċentiva lill-passiġġieri jilħqu d-destinazzjoni finali tagħhom fuq distanzi twal billi jtiru mill-ajruport ta' konnessjoni ċentrali mhux tal-UE (inqas għali)</w:t>
      </w:r>
      <w:r w:rsidR="007A7E81" w:rsidRPr="00800A91">
        <w:rPr>
          <w:rStyle w:val="FootnoteReference"/>
          <w:lang w:val="en-GB"/>
        </w:rPr>
        <w:footnoteReference w:id="12"/>
      </w:r>
      <w:r>
        <w:t xml:space="preserve">. Madankollu, l-Artikolu 5 ma jindirizzax id-distorsjonijiet </w:t>
      </w:r>
      <w:r>
        <w:rPr>
          <w:i/>
        </w:rPr>
        <w:t>sistemiċi</w:t>
      </w:r>
      <w:r>
        <w:t xml:space="preserve"> li jirriżultaw mill-ħolqien ta' żvantaġġi kompetittivi għall-ajruporti ċentrali tal-UE u b'hekk għal-linji tal-ajru tan-network tal-UE.</w:t>
      </w:r>
    </w:p>
    <w:p w:rsidR="00E76006" w:rsidRPr="00800A91" w:rsidRDefault="00E76006" w:rsidP="001241A1">
      <w:pPr>
        <w:rPr>
          <w:lang w:val="en-GB"/>
        </w:rPr>
      </w:pPr>
    </w:p>
    <w:p w:rsidR="00E76006" w:rsidRPr="00800A91" w:rsidRDefault="009E0791" w:rsidP="00AE053D">
      <w:pPr>
        <w:pStyle w:val="Heading3"/>
      </w:pPr>
      <w:r>
        <w:t>Minħabba li r-rotot lejn iċ-ċentri fil-viċinanza tal-UE jinvolvu titjiriet fuq distanzi qosra, ir-riforniment bil-fjuwil għal dawn it-titjiriet barra mill-UE jkopri biss frazzjoni żgħira tal-operazzjonijiet internazzjonali totali tal-linji tal-ajru mhux tal-UE. Maż-żmien, hekk kif is-sehem tal-fjuwil imħallat mal-SAF jiżdied, se tiżdied ukoll id-differenza fil-prezzijiet bejn it-taħlita tal-SAF u l-fjuwil tradizzjonali tal-avjazzjoni, u b'hekk tiżdied l-attraenza kompetittiva tat-titjiriet permezz ta' ċentri mhux tal-UE. Il-passiġġieri se jkunu saħansitra aktar inċentivati biex jevitaw ir-rotot li jinvolvu r-riforniment bl-SAF; dan ikollu impatt negattiv fuq l-għan iddikjarat ta' din il-proposta regolatorja biex jiġi promoss l-użu tal-SAF u b'hekk jitnaqqsu l-emissjonijiet tas-CO</w:t>
      </w:r>
      <w:r>
        <w:rPr>
          <w:vertAlign w:val="subscript"/>
        </w:rPr>
        <w:t>2</w:t>
      </w:r>
      <w:r>
        <w:t xml:space="preserve">, inkluż fuq ir-rotot 'il barra mill-UE. </w:t>
      </w:r>
    </w:p>
    <w:p w:rsidR="00586F34" w:rsidRPr="00800A91" w:rsidRDefault="00586F34" w:rsidP="00D42546">
      <w:pPr>
        <w:pStyle w:val="Heading3"/>
        <w:numPr>
          <w:ilvl w:val="0"/>
          <w:numId w:val="0"/>
        </w:numPr>
        <w:rPr>
          <w:lang w:val="en-GB"/>
        </w:rPr>
      </w:pPr>
    </w:p>
    <w:p w:rsidR="00156E8A" w:rsidRPr="00800A91" w:rsidRDefault="00586F34" w:rsidP="00B97A93">
      <w:pPr>
        <w:pStyle w:val="Heading3"/>
      </w:pPr>
      <w:r>
        <w:t>Fid-dawl ta' dan ta' hawn fuq, il-KESE jirrakkomanda li l-applikazzjoni ta' dan ir-Regolament propost issir fi stadji. F'fażi pilota, l-enfasi tal-attivitajiet għandha tkun fuq l-allinjament tad-dispożizzjonijiet eżistenti dwar ir-rapportar tad-data u dwar l-imposti relatati mas-CO</w:t>
      </w:r>
      <w:r>
        <w:rPr>
          <w:vertAlign w:val="subscript"/>
        </w:rPr>
        <w:t xml:space="preserve">2 </w:t>
      </w:r>
      <w:r>
        <w:t>fil-livell tal-UE u f'dak nazzjonali. Bħalissa jeżistu diversi dispożizzjonijiet bħal dawn b'mod parallel, u dawn jiffurmaw il-bażi għall-kalkolu tal-livell kemm ta' kwoti tal-emissjonijiet kif ukoll ta' kumpensi, u t-taxxi nazzjonali fuq is-CO</w:t>
      </w:r>
      <w:r>
        <w:rPr>
          <w:vertAlign w:val="subscript"/>
        </w:rPr>
        <w:t>2</w:t>
      </w:r>
      <w:r>
        <w:t>/il-fjuwil tal-avjazzjoni li għandhom jitħallsu. Madankollu, bħalissa, dawn id-dispożizzjonijiet mhux qed jitqiesu fl-istess kuntest, li jwassal għal proċessi amministrattivi paralleli għall-partijiet ikkonċernati u għall-amministrazzjonijiet. Dan ir-Regolament propost, fil-forma attwali tiegħu, jintroduċi rekwiżit ulterjuri biex tiġi pprovduta saħansitra aktar data dwar l-użu tal-fjuwil fl-ajruporti kollha, inkluż l-użu tal-fjuwil SAF u l-użu tal-fjuwil madwar l-UE kollha; l-EASA u l-EUROCONTROL ikunu obbligati wkoll li jirrapportaw data akkumulata li jirċievu f'konformità mad-dispożizzjonijiet ta' dan ir-Regolament, iżda mhux neċessarjament data oħra.</w:t>
      </w:r>
    </w:p>
    <w:p w:rsidR="00156E8A" w:rsidRPr="00800A91" w:rsidRDefault="00156E8A" w:rsidP="00D42546">
      <w:pPr>
        <w:pStyle w:val="Heading3"/>
        <w:numPr>
          <w:ilvl w:val="0"/>
          <w:numId w:val="0"/>
        </w:numPr>
        <w:rPr>
          <w:lang w:val="en-GB"/>
        </w:rPr>
      </w:pPr>
    </w:p>
    <w:p w:rsidR="00586F34" w:rsidRPr="00800A91" w:rsidRDefault="00156E8A" w:rsidP="00AE053D">
      <w:pPr>
        <w:pStyle w:val="Heading3"/>
      </w:pPr>
      <w:r>
        <w:t>Jidher li għall-bidu jeħtieġ li tiġi stabbilita t-trasparenza u titnaqqas il-kumplessità bla bżonn billi jiġu ssimplifikati l-mekkaniżmi ta' rapportar, ta' verifika u ta' monitoraġġ għar-regolamenti eżistenti għal-linji tal-ajru tal-UE, u b'hekk jiġi stabbilit sett ta' miżuri koerenti, effettiv u effiċjenti li jista' jintegra wkoll l-inizjattivi nazzjonali varji, u b'hekk jinħoloq qafas armonizzat. F'din il-fażi pilota, id-data pprovduta mil-linji tal-ajru tal-UE tkun tirrifletti l-użu tal-SAF (biss) mil-linji tal-ajru tal-UE għal titjiriet intra-ŻEE. Dan jidher realistiku fid-dawl taż-żmien meħtieġ biex tiżdied l-iskala tal-produzzjoni tal-SAF. Tali titjiriet fis-Suq Uniku Ewropew tal-Avjazzjoni, inizjalment, ma għandhomx jinkludu passiġġieri internazzjonali.</w:t>
      </w:r>
    </w:p>
    <w:p w:rsidR="00586F34" w:rsidRPr="00800A91" w:rsidRDefault="00586F34" w:rsidP="001241A1">
      <w:pPr>
        <w:rPr>
          <w:lang w:val="en-GB"/>
        </w:rPr>
      </w:pPr>
    </w:p>
    <w:p w:rsidR="000D4EFC" w:rsidRPr="00800A91" w:rsidRDefault="000D4EFC">
      <w:pPr>
        <w:pStyle w:val="Heading3"/>
      </w:pPr>
      <w:r>
        <w:t xml:space="preserve">Din il-fażi pilota ssuġġerita mhux neċessarjament iddewwem l-implimentazzjoni sħiħa tar-Regolament, bl-għan tagħha jkun li tissimplifika l-proċessi ta' rapportar u ta' verifika tad-data intra-UE biex jiġi żgurat li l-miżuri tal-pakkett "Lesti għall-mira ta' 55 %" għall-avjazzjoni ma jwasslux għal burokrazija kumplessa bla bżonn. Barra minn hekk, din toħloq trasparenza dwar l-effett finanzjarju kumulattiv tal-miżuri fuq is-settur tal-avjazzjoni Ewropew. Il-fażi pilota ma tipprekludix lill-Kummissjoni milli tallinja l-proċessi ma' dawk adottati barra miż-ŻEE. </w:t>
      </w:r>
    </w:p>
    <w:p w:rsidR="00056797" w:rsidRPr="00800A91" w:rsidRDefault="00056797" w:rsidP="00D42546">
      <w:pPr>
        <w:pStyle w:val="Heading3"/>
        <w:numPr>
          <w:ilvl w:val="0"/>
          <w:numId w:val="0"/>
        </w:numPr>
        <w:rPr>
          <w:lang w:val="en-GB"/>
        </w:rPr>
      </w:pPr>
    </w:p>
    <w:p w:rsidR="00586F34" w:rsidRPr="00800A91" w:rsidRDefault="00156E8A" w:rsidP="00AE053D">
      <w:pPr>
        <w:pStyle w:val="Heading3"/>
      </w:pPr>
      <w:r>
        <w:t>L-applikazzjoni ta' dan ir-Regolament għal titjiriet internazzjonali minn ajruporti tal-UE għandha ssir dipendenti mid-disponibbiltà tal-SAF biex tilqa' għad-domanda akbar. Skema effettiva ta' użu tal-SAF madwar iż-ŻEE tista' mbagħad isservi fuq livell internazzjonali bħala punt ta' riferiment, mudell u standard possibbli. Barra minn hekk, it-tqassim tal-iskema proposta fi stadji differenti se jevita ripetizzjoni tal-kontroversja esperjenzata mill-Kummissjoni dwar l-inklużjoni ta' titjiriet 'il barra mill-UE fl-EU ETS. Huwa essenzjali li l-Kummissjoni tiżviluppa strumenti regolatorji prattikabbli fil-livell taż-</w:t>
      </w:r>
      <w:r>
        <w:rPr>
          <w:i/>
        </w:rPr>
        <w:t>ŻEE</w:t>
      </w:r>
      <w:r>
        <w:t xml:space="preserve">, u tinnegozja approċċ armonizzat fil-livell </w:t>
      </w:r>
      <w:r>
        <w:rPr>
          <w:i/>
        </w:rPr>
        <w:t>globali</w:t>
      </w:r>
      <w:r>
        <w:t xml:space="preserve">. 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 xml:space="preserve">Fil-kuntest tal-koordinazzjoni tal-passi lejn qafas </w:t>
      </w:r>
      <w:r>
        <w:rPr>
          <w:i/>
        </w:rPr>
        <w:t>internazzjonali</w:t>
      </w:r>
      <w:r>
        <w:t xml:space="preserve"> rfinat u mmirat, il-CORSIA tista', u se tkun teħtieġ li, tiġi indirizzata. Billi tinżamm distinzjoni bejn l-istadji importanti għall-miżuri fiż-ŻEE, u l-istadji importanti għall-qafas internazzjonali, il-CORSIA tista' tiġi adattata b'mod kunsenswali għal dan tal-aħħar mingħajr ma tinħoloq aktar kumplessità għal tal-ewwel.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2"/>
      </w:pPr>
      <w:r>
        <w:t>Huwa meħtieġ pjan direzzjonali komprensiv, ċar u konvinċenti għall-implimentazzjoni tal-proposti abbozzati kollha, kif ukoll stadji importanti ta' monitoraġġ, jekk ikun meħtieġ.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>Il-miri klimatiċi li ġew miftiehma politikament fiż-ŻEE għas-setturi kollha, b'mod partikolari l-avjazzjoni, huma tassew ambizzjużi u, kif jikkonferma r-rapport tal-IPCC li ġie ppubblikat dan l-aħħar, suppost ilhom li ddaħħlu. Madankollu, l-ispeċifiċitajiet tal-avjazzjoni, kif deskritti mill-Kummissjoni u miġbura fil-qosor hawn fuq, jirrikjedu l-inċentivar tad-domanda u tal-provvista għal suq (tal-SAF) attwalment negliġibbli mingħajr ma tiġi pperikolata l-kompetittività internazzjonali tas-settur tal-avjazzjoni Ewropew jew tiġi pperikolata s-sigurtà tal-impjieg fl-Ewropa. Sabiex jiġu ssodisfati dawn l-isfidi speċifiċi għas-settur, se jkun essenzjali li jiġu implimentati miżuri effettivi fi stadji inkrementali definiti b'mod ċar li għalihom il-partijiet ikkonċernati jistgħu jadattaw b'mod realistiku l-prodotti u l-proċessi interni tagħhom.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 xml:space="preserve">Il-proċess leġiżlattiv li għaddej minnu nnifsu fih livell ta' inċertezza fir-rigward tal-eżitu finali tal-pakketti leġiżlattivi. Il-KESE jħeġġeġ lill-istituzzjonijiet kollha tal-UE biex ifittxu li jżommu u tabilħaqq itejbu aktar l-effettività kumulata tal-miżuri proposti – u jilħqu kunsens dwar il-pjan direzzjonali għall-implimentazzjoni tagħhom.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3"/>
      </w:pPr>
      <w:r>
        <w:t>Pjan direzzjonali bħal dan se jinkludi l-allinjament ta' miżuri nazzjonali diġà eżistenti. Xi Stati Membri diġà żviluppaw pjani direzzjonali bħal dawn wara konsultazzjoni mal-partijiet ikkonċernati</w:t>
      </w:r>
      <w:r w:rsidRPr="00800A91">
        <w:rPr>
          <w:rStyle w:val="FootnoteReference"/>
          <w:lang w:val="en-GB"/>
        </w:rPr>
        <w:footnoteReference w:id="13"/>
      </w:r>
      <w:r>
        <w:t xml:space="preserve">. </w:t>
      </w:r>
    </w:p>
    <w:p w:rsidR="00586F34" w:rsidRPr="00800A91" w:rsidRDefault="00586F34" w:rsidP="001241A1">
      <w:pPr>
        <w:rPr>
          <w:lang w:val="en-GB"/>
        </w:rPr>
      </w:pPr>
    </w:p>
    <w:p w:rsidR="00586F34" w:rsidRPr="00800A91" w:rsidRDefault="00586F34" w:rsidP="00875FEB">
      <w:pPr>
        <w:pStyle w:val="Heading1"/>
        <w:keepNext/>
      </w:pPr>
      <w:r>
        <w:rPr>
          <w:b/>
        </w:rPr>
        <w:t>Kummenti speċifiċi</w:t>
      </w:r>
    </w:p>
    <w:p w:rsidR="00586F34" w:rsidRPr="00800A91" w:rsidRDefault="00586F34" w:rsidP="00D631C0">
      <w:pPr>
        <w:pStyle w:val="ListParagraph"/>
        <w:keepNext/>
        <w:ind w:left="0"/>
        <w:rPr>
          <w:lang w:val="en-GB"/>
        </w:rPr>
      </w:pPr>
    </w:p>
    <w:p w:rsidR="00586F34" w:rsidRPr="00800A91" w:rsidRDefault="004B0855" w:rsidP="00AE053D">
      <w:pPr>
        <w:pStyle w:val="Heading2"/>
      </w:pPr>
      <w:r>
        <w:t xml:space="preserve">Sabiex il-proposta tiġi implimentata b'suċċess, huwa essenzjali li jiġi żgurat li jiġu esklużi l-iżbalji kritiċi fid-disinn f'mandat rigward l-SAF. Il-Kummissjoni żviluppat 8 tfassiliet tal-politika li jvarjaw fir-rigward tal-parti obbligata tar-Regolament (Fornitur u/jew Linja tal-ajru), il-kamp ta' applikazzjoni ġeografiku (intra-ŻEE b'żona extra-ŻEE jew mingħajrha), is-sottomandati għal prodotti tal-SAF sofistikati futuri (b'mod partikolari l-RFNBO), l-objettiv (volum tal-SAF /iffrankar tal-gassijiet serra), u r-rekwiżiti loġistiċi (jiġifieri jekk l-opzjoni tinkludix sistema ta' ċertifikati negozjabbli (book and claim) li tagħmel il-provvista fiżika ta' kull ajruport mhux meħtieġa, sabiex jiġi evitat l-iżgurar li kull lott ta' fjuwil f'kull ajruport ikollu jkun fih l-SAF).  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2"/>
        <w:rPr>
          <w:i/>
        </w:rPr>
      </w:pPr>
      <w:r>
        <w:t xml:space="preserve">Il-KESE jappoġġja l-approċċ tal-Kummissjoni ta' mandat għall-bijofjuwils avvanzati u l-e-kerosin. Il-Proposta tal-UE tieħu post mandati nazzjonali partikolari li parzjalment jiddependu minn fjuwils ibbażati fuq kultivazzjonijiet alimentari. Għalhekk, minħabba li l-produzzjoni tal-bijofjuwils hija ta' importanza prevalenti għal ħafna setturi, u mhux biss għall-avjazzjoni, huwa kruċjali li jiġi żgurat li l-produzzjoni tagħhom tkun dejjem sostenibbli. </w:t>
      </w:r>
    </w:p>
    <w:p w:rsidR="00586F34" w:rsidRPr="00800A91" w:rsidRDefault="00586F34" w:rsidP="00D42546">
      <w:pPr>
        <w:pStyle w:val="ListParagraph"/>
        <w:ind w:left="0"/>
        <w:rPr>
          <w:lang w:val="en-GB"/>
        </w:rPr>
      </w:pPr>
    </w:p>
    <w:p w:rsidR="00586F34" w:rsidRPr="00800A91" w:rsidRDefault="00586F34" w:rsidP="00AE053D">
      <w:pPr>
        <w:pStyle w:val="Heading2"/>
        <w:rPr>
          <w:i/>
        </w:rPr>
      </w:pPr>
      <w:r>
        <w:t>Il-Proposta tal-Kummissjoni tipprevedi taħlita ta' 5 % ta' SAF sal-2023, li 4,3 % minnha hija attribwita għall-bijofjuwils, u 0,7 % għall-e-kerosin. Il-Kummissjoni għandha tirrevedi l-bilanċ bejn il-bijofjuwils avvanzati u l-e-kerosin. Minħabba li l-bijofjuwils avvanzati huma magħmula mill-iskart u mir-residwi, ir-riżorsi jillimitaw l-isfruttar ambizzjuż tagħhom. Madankollu, l-e-kerosin, jekk ikun magħmul minn elettriku rinnovabbli (ekoloġiku) u mis-CO</w:t>
      </w:r>
      <w:r>
        <w:rPr>
          <w:vertAlign w:val="subscript"/>
        </w:rPr>
        <w:t>2</w:t>
      </w:r>
      <w:r>
        <w:t xml:space="preserve"> maqbud mill-atmosfera, dan jipprovdi fjuwil b'emissjonijiet negliġibbli ta' CO</w:t>
      </w:r>
      <w:r>
        <w:rPr>
          <w:vertAlign w:val="subscript"/>
        </w:rPr>
        <w:t>2</w:t>
      </w:r>
      <w:r>
        <w:t>. Il-KESE jemmen li leġiżlazzjoni sekondarja ulterjuri tista' taċċellera l-introduzzjoni ta' proċessi ta' produzzjoni avvanzati, u tiffaċilita l-kisba ta' miri aktar ambizzjużi fuq perjodu medju u twil għat-taħlitiet tal-SAF.</w:t>
      </w:r>
    </w:p>
    <w:p w:rsidR="0054419C" w:rsidRPr="00800A91" w:rsidRDefault="0054419C" w:rsidP="00800A91">
      <w:pPr>
        <w:pStyle w:val="ListParagraph"/>
        <w:ind w:left="0"/>
        <w:rPr>
          <w:iCs/>
          <w:lang w:val="en-GB"/>
        </w:rPr>
      </w:pPr>
    </w:p>
    <w:p w:rsidR="0054419C" w:rsidRPr="00800A91" w:rsidRDefault="00D94E09" w:rsidP="00B97A93">
      <w:pPr>
        <w:pStyle w:val="Heading2"/>
      </w:pPr>
      <w:r>
        <w:t>Fid-dawl tal-potenzjal tiegħu, il-KESE jirrakkomanda li jiġu segwiti inklużjonijiet aktar ambizzjużi tal-e-kerosin. Ma jidhirx li huwa impossibbli li l-mira minima tiżdied għal 0,7 % fl-2027 u għal 5 % fl-2030. Fil-fehma tal-KESE, il-Kummissjoni tissottovaluta d-dinamika tas-suq tal-e-kerosin. Il-pajjiżi li qed jiżviluppaw fl-Amerika t'Isfel u fl-Afrika jistgħu jiżviluppaw impjanti tal-enerġija, jaħżnu u jittrasportaw l-e-fjuwils lejn pajjiżi li jeħtieġu l-SAF u l-e-fjuwils. Skont kemm tikber l-iskala tal-impjanti, il-produzzjoni tal-e-fjuwils se ssir dejjem aktar affordabbli għal dawn il-pajjiżi. Madankollu, il-formulazzjoni attwali tad-Direttiva dwar l-Enerġija Rinnovabbli (RED III) ma tipprevedix biżżejjed stabbiltà fl-ippjanar għall-investituri biex jinvestu f'teknoloġiji ġodda. Madankollu, dan is-sors ta' enerġija huwa tant importanti li hemm bżonn ta' pjan direzzjonali politiku ċar, kif deskritt hawn fuq.</w:t>
      </w:r>
    </w:p>
    <w:p w:rsidR="000544B2" w:rsidRPr="00800A91" w:rsidRDefault="000544B2" w:rsidP="00D631C0">
      <w:pPr>
        <w:rPr>
          <w:lang w:val="en-GB"/>
        </w:rPr>
      </w:pPr>
    </w:p>
    <w:p w:rsidR="000544B2" w:rsidRPr="00800A91" w:rsidRDefault="000544B2" w:rsidP="000544B2">
      <w:pPr>
        <w:outlineLvl w:val="1"/>
      </w:pPr>
      <w:r>
        <w:t>Brussell, 20 ta’ Ottubru 2021</w:t>
      </w:r>
    </w:p>
    <w:p w:rsidR="000544B2" w:rsidRPr="00800A91" w:rsidRDefault="000544B2" w:rsidP="000544B2">
      <w:pPr>
        <w:outlineLvl w:val="1"/>
        <w:rPr>
          <w:lang w:val="en-GB"/>
        </w:rPr>
      </w:pPr>
    </w:p>
    <w:p w:rsidR="000544B2" w:rsidRPr="00800A91" w:rsidRDefault="000544B2" w:rsidP="000544B2">
      <w:pPr>
        <w:outlineLvl w:val="1"/>
        <w:rPr>
          <w:lang w:val="en-GB"/>
        </w:rPr>
      </w:pPr>
    </w:p>
    <w:p w:rsidR="00875FEB" w:rsidRPr="00800A91" w:rsidRDefault="00875FEB" w:rsidP="000544B2">
      <w:pPr>
        <w:outlineLvl w:val="1"/>
        <w:rPr>
          <w:lang w:val="en-GB"/>
        </w:rPr>
      </w:pPr>
    </w:p>
    <w:p w:rsidR="00D867F1" w:rsidRPr="00800A91" w:rsidRDefault="00D867F1" w:rsidP="000544B2">
      <w:pPr>
        <w:outlineLvl w:val="1"/>
        <w:rPr>
          <w:lang w:val="en-GB"/>
        </w:rPr>
      </w:pPr>
    </w:p>
    <w:p w:rsidR="000544B2" w:rsidRPr="00800A91" w:rsidRDefault="00022373" w:rsidP="000544B2">
      <w:pPr>
        <w:outlineLvl w:val="1"/>
      </w:pPr>
      <w:r>
        <w:t>Christa SCHWENG</w:t>
      </w:r>
    </w:p>
    <w:p w:rsidR="000544B2" w:rsidRPr="00800A91" w:rsidRDefault="000544B2" w:rsidP="000544B2">
      <w:r>
        <w:t xml:space="preserve">President tal-Kumitat Ekonomiku u Soċjali Ewropew </w:t>
      </w:r>
    </w:p>
    <w:p w:rsidR="00011D33" w:rsidRPr="00800A91" w:rsidRDefault="00011D33" w:rsidP="00AE053D">
      <w:pPr>
        <w:rPr>
          <w:lang w:val="en-GB"/>
        </w:rPr>
      </w:pPr>
    </w:p>
    <w:p w:rsidR="000544B2" w:rsidRPr="00800A91" w:rsidRDefault="00646AC2" w:rsidP="00AE053D">
      <w:pPr>
        <w:jc w:val="center"/>
      </w:pPr>
      <w:r>
        <w:t>__________</w:t>
      </w:r>
    </w:p>
    <w:sectPr w:rsidR="000544B2" w:rsidRPr="00800A91" w:rsidSect="00995B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05" w:rsidRDefault="009F3205">
      <w:r>
        <w:separator/>
      </w:r>
    </w:p>
  </w:endnote>
  <w:endnote w:type="continuationSeparator" w:id="0">
    <w:p w:rsidR="009F3205" w:rsidRDefault="009F3205">
      <w:r>
        <w:continuationSeparator/>
      </w:r>
    </w:p>
  </w:endnote>
  <w:endnote w:type="continuationNotice" w:id="1">
    <w:p w:rsidR="009F3205" w:rsidRDefault="009F32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00" w:rsidRDefault="005B2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00" w:rsidRDefault="005B2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00" w:rsidRDefault="005B2B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16" w:rsidRDefault="0046411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AD" w:rsidRPr="00800A91" w:rsidRDefault="00F70AAD" w:rsidP="00800A9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AD" w:rsidRPr="00800A91" w:rsidRDefault="00995B2C" w:rsidP="00995B2C">
    <w:pPr>
      <w:pStyle w:val="Footer"/>
    </w:pPr>
    <w:r>
      <w:t xml:space="preserve">TEN/744 – EESC-2021-02594-00-00-AC-TRA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AE6186">
      <w:rPr>
        <w:noProof/>
      </w:rPr>
      <w:t>8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AE6186">
        <w:rPr>
          <w:noProof/>
        </w:rPr>
        <w:instrText>11</w:instrText>
      </w:r>
    </w:fldSimple>
    <w:r>
      <w:instrText xml:space="preserve"> - 2 </w:instrText>
    </w:r>
    <w:r>
      <w:fldChar w:fldCharType="separate"/>
    </w:r>
    <w:r w:rsidR="00AE6186">
      <w:rPr>
        <w:noProof/>
      </w:rPr>
      <w:t>9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AD" w:rsidRPr="00800A91" w:rsidRDefault="00F70AAD" w:rsidP="0080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05" w:rsidRDefault="009F3205">
      <w:r>
        <w:separator/>
      </w:r>
    </w:p>
  </w:footnote>
  <w:footnote w:type="continuationSeparator" w:id="0">
    <w:p w:rsidR="009F3205" w:rsidRDefault="009F3205">
      <w:r>
        <w:continuationSeparator/>
      </w:r>
    </w:p>
  </w:footnote>
  <w:footnote w:type="continuationNotice" w:id="1">
    <w:p w:rsidR="009F3205" w:rsidRDefault="009F3205">
      <w:pPr>
        <w:spacing w:line="240" w:lineRule="auto"/>
      </w:pPr>
    </w:p>
  </w:footnote>
  <w:footnote w:id="2">
    <w:p w:rsidR="00F70AAD" w:rsidRDefault="00F70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rStyle w:val="Hyperlink"/>
          </w:rPr>
          <w:t>ĠU C 429, 11.12.2020, p. 99</w:t>
        </w:r>
      </w:hyperlink>
      <w:r>
        <w:t xml:space="preserve">; </w:t>
      </w:r>
      <w:hyperlink r:id="rId2" w:history="1">
        <w:r>
          <w:rPr>
            <w:rStyle w:val="Hyperlink"/>
          </w:rPr>
          <w:t>ĠU C 389, 21.10.2016, p. 86</w:t>
        </w:r>
      </w:hyperlink>
      <w:r>
        <w:t xml:space="preserve">. </w:t>
      </w:r>
    </w:p>
  </w:footnote>
  <w:footnote w:id="3">
    <w:p w:rsidR="00F13E97" w:rsidRDefault="00F70AAD" w:rsidP="00F13E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Komunikazzjoni dwar il-Patt Ekoloġiku Ewropew, </w:t>
      </w:r>
      <w:hyperlink r:id="rId3" w:history="1">
        <w:r>
          <w:rPr>
            <w:rStyle w:val="Hyperlink"/>
          </w:rPr>
          <w:t>COM(2019) 640 final</w:t>
        </w:r>
      </w:hyperlink>
      <w:r>
        <w:t>;</w:t>
      </w:r>
    </w:p>
    <w:p w:rsidR="00D867F1" w:rsidRPr="00875FEB" w:rsidRDefault="00F13E97" w:rsidP="00243CCB">
      <w:pPr>
        <w:pStyle w:val="FootnoteText"/>
      </w:pPr>
      <w:r>
        <w:tab/>
        <w:t xml:space="preserve">Strateġija għal Mobilità Sostenibbli u Intelliġenti, </w:t>
      </w:r>
      <w:hyperlink r:id="rId4" w:history="1">
        <w:r>
          <w:rPr>
            <w:rStyle w:val="Hyperlink"/>
          </w:rPr>
          <w:t>https://ec.europa.eu/transport/themes/mobilitystrategy_mt</w:t>
        </w:r>
      </w:hyperlink>
      <w:r>
        <w:t>;</w:t>
      </w:r>
    </w:p>
    <w:p w:rsidR="00F70AAD" w:rsidRPr="00807986" w:rsidRDefault="00D867F1" w:rsidP="00243CCB">
      <w:pPr>
        <w:pStyle w:val="FootnoteText"/>
        <w:rPr>
          <w:szCs w:val="16"/>
        </w:rPr>
      </w:pPr>
      <w:r>
        <w:tab/>
        <w:t xml:space="preserve">Id-Direttiva tal-UE dwar l-Iskambju tal-Kwoti tal-Emissjonijiet, inkluża l-avjazzjoni, </w:t>
      </w:r>
      <w:hyperlink r:id="rId5" w:history="1">
        <w:r>
          <w:rPr>
            <w:rStyle w:val="Hyperlink"/>
          </w:rPr>
          <w:t>COM(2021) 552 final</w:t>
        </w:r>
      </w:hyperlink>
      <w:r>
        <w:t xml:space="preserve">; </w:t>
      </w:r>
    </w:p>
    <w:p w:rsidR="00D867F1" w:rsidRPr="00693FF1" w:rsidRDefault="00F70AAD">
      <w:pPr>
        <w:pStyle w:val="FootnoteText"/>
      </w:pPr>
      <w:r>
        <w:tab/>
        <w:t xml:space="preserve">Id-Direttiva dwar l-Enerġija Rinnovabbli </w:t>
      </w:r>
      <w:hyperlink r:id="rId6" w:history="1">
        <w:r>
          <w:rPr>
            <w:rStyle w:val="Hyperlink"/>
            <w:shd w:val="clear" w:color="auto" w:fill="FFFFFF"/>
          </w:rPr>
          <w:t>COM/2021/557 final</w:t>
        </w:r>
      </w:hyperlink>
      <w:r>
        <w:t xml:space="preserve">; </w:t>
      </w:r>
    </w:p>
    <w:p w:rsidR="00F70AAD" w:rsidRPr="00D631C0" w:rsidRDefault="00D867F1" w:rsidP="00243CCB">
      <w:pPr>
        <w:pStyle w:val="FootnoteText"/>
        <w:rPr>
          <w:szCs w:val="16"/>
        </w:rPr>
      </w:pPr>
      <w:r>
        <w:tab/>
        <w:t xml:space="preserve">Id-Direttiva dwar l-Infrastruttura tal-Fjuwils Alternattivi, </w:t>
      </w:r>
      <w:hyperlink r:id="rId7" w:history="1">
        <w:r>
          <w:rPr>
            <w:rStyle w:val="Hyperlink"/>
          </w:rPr>
          <w:t>COM(2021) 560 final</w:t>
        </w:r>
      </w:hyperlink>
      <w:r>
        <w:t>.</w:t>
      </w:r>
    </w:p>
  </w:footnote>
  <w:footnote w:id="4">
    <w:p w:rsidR="00F70AAD" w:rsidRDefault="00F70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Nofs l-emissjonijiet tas-CO</w:t>
      </w:r>
      <w:r>
        <w:rPr>
          <w:vertAlign w:val="subscript"/>
        </w:rPr>
        <w:t>2</w:t>
      </w:r>
      <w:r>
        <w:t xml:space="preserve"> ġejjin minn 6 % biss tat-titjiriet: l-operazzjonijiet fit-tul., </w:t>
      </w:r>
      <w:hyperlink r:id="rId8" w:history="1">
        <w:r>
          <w:rPr>
            <w:rStyle w:val="Hyperlink"/>
          </w:rPr>
          <w:t>Data Snapshot on CO₂ emissions and flight distance | EUROCONTROL</w:t>
        </w:r>
      </w:hyperlink>
      <w:r>
        <w:t>.</w:t>
      </w:r>
    </w:p>
  </w:footnote>
  <w:footnote w:id="5">
    <w:p w:rsidR="00F70AAD" w:rsidRPr="00531114" w:rsidRDefault="00F70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L-Iskema ta' Kumpens u Tnaqqis tal-Karbonju għall-Avjazzjoni Internazzjonali, CORSIA, hija reġim globali ta' miżuri bbażati fuq is-suq biex jiġi kkumpensat is-sehem tal-emissjonijiet tas-CO</w:t>
      </w:r>
      <w:r>
        <w:rPr>
          <w:vertAlign w:val="subscript"/>
        </w:rPr>
        <w:t>2</w:t>
      </w:r>
      <w:r>
        <w:t xml:space="preserve"> minn titjiriet internazzjonali li jaqbżu l-livell tagħhom tal-2020. Din qed tiġi applikata mill-1 ta' Jannar 2021 fuq bażi volontarja, sal-2026; ivvolontarjaw 81 pajjiż (inklużi l-Istati Membri kollha tal-UE) li jirrappreżentaw 77 % tal-avjazzjoni internazzjonali. </w:t>
      </w:r>
    </w:p>
  </w:footnote>
  <w:footnote w:id="6">
    <w:p w:rsidR="00F70AAD" w:rsidRDefault="00F70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Diversi nazzjonijiet, bħar-Renju Unit u l-Istati Uniti, qed jippjanaw ukoll miżuri biex jippromovu l-SAF u jnaqqsu l-emissjonijiet tas-CO</w:t>
      </w:r>
      <w:r>
        <w:rPr>
          <w:vertAlign w:val="subscript"/>
        </w:rPr>
        <w:t>2</w:t>
      </w:r>
      <w:r>
        <w:t xml:space="preserve">, ara </w:t>
      </w:r>
      <w:hyperlink r:id="rId9" w:history="1">
        <w:r>
          <w:rPr>
            <w:rStyle w:val="Hyperlink"/>
          </w:rPr>
          <w:t>SWD(2021) 633 final</w:t>
        </w:r>
      </w:hyperlink>
      <w:r>
        <w:t xml:space="preserve">. </w:t>
      </w:r>
    </w:p>
  </w:footnote>
  <w:footnote w:id="7">
    <w:p w:rsidR="00F70AAD" w:rsidRDefault="00F70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0" w:history="1">
        <w:r>
          <w:rPr>
            <w:rStyle w:val="Hyperlink"/>
          </w:rPr>
          <w:t>SWD(2021) 633 final</w:t>
        </w:r>
      </w:hyperlink>
      <w:r>
        <w:t>, sezzjoni 7.2 (mhux disponibbli bil-Malti).</w:t>
      </w:r>
    </w:p>
  </w:footnote>
  <w:footnote w:id="8">
    <w:p w:rsidR="00F70AAD" w:rsidRDefault="00F70AAD" w:rsidP="00586F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Kwalunkwe intervent regolatorju fil-mekkaniżmi tas-suq imur kontra l-objettivi tal-liberalizzazzjoni tas-suq tal-avjazzjoni. Madankollu, il-liberalizzazzjoni mhijiex domma, u għandha l-limiti tagħha meta tipprevjeni l-kisba tal-għanijiet klimatiċi kif stabbiliti fil-Patt Ekoloġiku. Minn dan jirriżulta r-rekwiżit għal analiżi dettaljata u divrenzjata tal-implikazzjonijiet tas-suq ta' tali interventi f'qafas regolatorju liberalizzat. Dan huwa aktar rilevanti jekk diversi inizjattivi regolatorji komplementari jkunu interdipendenti u jista' jkollhom effetti finanzjarji kumulattivi fuq il-partijiet ikkonċernati. </w:t>
      </w:r>
    </w:p>
  </w:footnote>
  <w:footnote w:id="9">
    <w:p w:rsidR="00F70AAD" w:rsidRDefault="00F70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Opinjoni tal-KESE dwar </w:t>
      </w:r>
      <w:r>
        <w:rPr>
          <w:i/>
        </w:rPr>
        <w:t>Tassonomija tal-finanzi sostenibbli – tibdil fil-klima</w:t>
      </w:r>
      <w:r>
        <w:t>, adottata fit-22 ta’ Settembru 2021.</w:t>
      </w:r>
    </w:p>
  </w:footnote>
  <w:footnote w:id="10">
    <w:p w:rsidR="00F70AAD" w:rsidRDefault="00F70AAD" w:rsidP="00586F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L-intenzjoni oriġinali li tiġi estiża l-applikabbiltà tal-EU ETS għat-titjiriet lejn/minn ajruporti tal-UE tneħħiet wara oppożizzjoni minn stati mhux tal-UE li saħqu li l-linji tal-ajru tagħhom ma jistgħux jiġu inklużi legalment fi skema regolatorja tal-UE simili għal taxxa. </w:t>
      </w:r>
    </w:p>
  </w:footnote>
  <w:footnote w:id="11">
    <w:p w:rsidR="00F70AAD" w:rsidRDefault="00F70AAD" w:rsidP="00226EBE">
      <w:pPr>
        <w:pStyle w:val="FootnoteText"/>
      </w:pPr>
      <w:r>
        <w:rPr>
          <w:rStyle w:val="FootnoteReference"/>
        </w:rPr>
        <w:footnoteRef/>
      </w:r>
      <w:r>
        <w:tab/>
        <w:t>Il-Memorandum ta' Spjegazzjoni (1. Ir-raġunijiet u l-objettivi tal-proposta), p. 1.</w:t>
      </w:r>
    </w:p>
  </w:footnote>
  <w:footnote w:id="12">
    <w:p w:rsidR="00F70AAD" w:rsidRPr="00D42546" w:rsidRDefault="00F70AAD" w:rsidP="007A7E81">
      <w:pPr>
        <w:pStyle w:val="FootnoteText"/>
        <w:rPr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  <w:t>Eżempju: Il-prezz tal-biljett għal Stuttgart-Vjenna-Kuala Lumpur jiġi affettwat mill-użu ta' fjuwil imħallat mal-SAF, li jiswa aktar, għar-rotta qasira ta' Stuttgart-Vjenna, kif ukoll mir-rekwiżit ta' użu tal-SAF għar-rotta twila ta' Vjenna-Kuala Lumpur. B'kuntrast ma' dan, it-titjiriet ta' Stuttgart-Istanbul-Kuala Lumpur ikunu jirrikjedu biss l-użu ta' fjuwil tal-avjazzjoni mħallat mal-SAF għar-rotta qasira ta' Stuttgart-Istanbul.</w:t>
      </w:r>
    </w:p>
    <w:p w:rsidR="00F70AAD" w:rsidRPr="001241A1" w:rsidRDefault="00F70AAD" w:rsidP="007A7E81">
      <w:pPr>
        <w:pStyle w:val="FootnoteText"/>
      </w:pPr>
      <w:r>
        <w:tab/>
        <w:t>Fl-eżempju mogħti hawn fuq, jista’ tabilħaqq ikun ta’ vantaġġ mill-aspett finanzjarju għal-linja tal-ajru li topera Istanbul-Stuttgart biex tuża l-kwantità ta’ fjuwil meħtieġa minn Istanbul biex titnaqqas il-ħtieġa ta’ riforniment tal-fjuwil ulterjuri għat-titjira tar-ritorn Stuttgart-Istanbul u b'hekk jiġi evitat għalkollox l-użu tal-fjuwil imħallat mal-SAF. L-Artikolu 5 jipprevjeni kunsiderazzjonijiet bħal dawn</w:t>
      </w:r>
      <w:r>
        <w:rPr>
          <w:sz w:val="18"/>
        </w:rPr>
        <w:t>.</w:t>
      </w:r>
    </w:p>
  </w:footnote>
  <w:footnote w:id="13">
    <w:p w:rsidR="00F70AAD" w:rsidRPr="00F82B63" w:rsidRDefault="00F70AAD" w:rsidP="00586F34">
      <w:pPr>
        <w:pStyle w:val="FootnoteText"/>
        <w:rPr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  <w:t>Eżempju: Il-Pjan Direzzjonali tal-Ġermanja dwar 'mill-elettriku għal fjuwil likwidu' (PtL-Roadmap), 2021</w:t>
      </w:r>
      <w:r>
        <w:rPr>
          <w:rFonts w:ascii="Verdana" w:hAnsi="Verdana"/>
          <w:sz w:val="18"/>
        </w:rPr>
        <w:t xml:space="preserve"> </w:t>
      </w:r>
      <w:hyperlink r:id="rId11" w:history="1">
        <w:r>
          <w:rPr>
            <w:rStyle w:val="Hyperlink"/>
            <w:sz w:val="18"/>
          </w:rPr>
          <w:t>https://www.bmvi.de/SharedDocs/DE/Anlage/LF/ptl-roadmap.pdf?__blob=publicationFile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16" w:rsidRDefault="007D7321">
    <w:pPr>
      <w:pStyle w:val="Header"/>
    </w:pPr>
    <w:r>
      <w:rPr>
        <w:lang w:val="mt-M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2050" type="#_x0000_t75" style="position:absolute;margin-left:0;margin-top:0;width:598.15pt;height:843.9pt;z-index:-25165875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86" w:rsidRDefault="00AE6186" w:rsidP="00AE6186">
    <w:pPr>
      <w:pStyle w:val="Header"/>
    </w:pPr>
    <w:r w:rsidRPr="0082245F">
      <w:rPr>
        <w:noProof/>
      </w:rPr>
      <w:drawing>
        <wp:anchor distT="0" distB="0" distL="114300" distR="114300" simplePos="0" relativeHeight="251665408" behindDoc="0" locked="0" layoutInCell="1" allowOverlap="1" wp14:anchorId="6AB49997" wp14:editId="2D7524D3">
          <wp:simplePos x="898543" y="449272"/>
          <wp:positionH relativeFrom="page">
            <wp:align>center</wp:align>
          </wp:positionH>
          <wp:positionV relativeFrom="page">
            <wp:posOffset>288290</wp:posOffset>
          </wp:positionV>
          <wp:extent cx="6944400" cy="3348000"/>
          <wp:effectExtent l="0" t="0" r="889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word2016\Templates\Models\EESC\AC frontpage logos\header logo and curves_M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4400" cy="33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321">
      <w:rPr>
        <w:lang w:val="mt-M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2054" type="#_x0000_t75" style="position:absolute;margin-left:0;margin-top:0;width:598.15pt;height:843.9pt;z-index:-251652096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  <w:p w:rsidR="00464116" w:rsidRPr="00AE6186" w:rsidRDefault="00464116" w:rsidP="00AE6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16" w:rsidRDefault="007D7321">
    <w:pPr>
      <w:pStyle w:val="Header"/>
    </w:pPr>
    <w:r>
      <w:rPr>
        <w:lang w:val="mt-M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2049" type="#_x0000_t75" style="position:absolute;margin-left:0;margin-top:0;width:598.15pt;height:843.9pt;z-index:-251659776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16" w:rsidRDefault="007D7321">
    <w:pPr>
      <w:pStyle w:val="Header"/>
    </w:pPr>
    <w:r>
      <w:rPr>
        <w:lang w:val="mt-M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7" o:spid="_x0000_s2053" type="#_x0000_t75" style="position:absolute;margin-left:0;margin-top:0;width:598.15pt;height:843.9pt;z-index:-251655680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16" w:rsidRDefault="00464116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91D65D6" wp14:editId="27D8BB9A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16" w:rsidRDefault="007D7321">
    <w:pPr>
      <w:pStyle w:val="Header"/>
    </w:pPr>
    <w:r>
      <w:rPr>
        <w:lang w:val="mt-M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6" o:spid="_x0000_s2052" type="#_x0000_t75" style="position:absolute;margin-left:0;margin-top:0;width:598.15pt;height:843.9pt;z-index:-251656704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AD" w:rsidRPr="00800A91" w:rsidRDefault="00F70AAD" w:rsidP="00800A9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AD" w:rsidRPr="00800A91" w:rsidRDefault="00F70AAD" w:rsidP="00800A9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AAD" w:rsidRPr="00800A91" w:rsidRDefault="00F70AAD" w:rsidP="00800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88242A6"/>
    <w:multiLevelType w:val="multilevel"/>
    <w:tmpl w:val="B2D41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0851191"/>
    <w:multiLevelType w:val="multilevel"/>
    <w:tmpl w:val="AB70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6D117175"/>
    <w:multiLevelType w:val="multilevel"/>
    <w:tmpl w:val="EC6A1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5">
    <w:abstractNumId w:val="1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2"/>
  </w:num>
  <w:num w:numId="72">
    <w:abstractNumId w:val="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BE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BE" w:vendorID="64" w:dllVersion="131078" w:nlCheck="1" w:checkStyle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F"/>
    <w:rsid w:val="00000CB9"/>
    <w:rsid w:val="000010AB"/>
    <w:rsid w:val="00005653"/>
    <w:rsid w:val="00005AB9"/>
    <w:rsid w:val="00005EB9"/>
    <w:rsid w:val="00005FB3"/>
    <w:rsid w:val="00006E24"/>
    <w:rsid w:val="00007A40"/>
    <w:rsid w:val="00011D33"/>
    <w:rsid w:val="00016EDA"/>
    <w:rsid w:val="00020E6E"/>
    <w:rsid w:val="00022373"/>
    <w:rsid w:val="0002446D"/>
    <w:rsid w:val="00024D5A"/>
    <w:rsid w:val="00027B08"/>
    <w:rsid w:val="00031A4B"/>
    <w:rsid w:val="00033913"/>
    <w:rsid w:val="00033A56"/>
    <w:rsid w:val="00033E5B"/>
    <w:rsid w:val="00034A21"/>
    <w:rsid w:val="00034B27"/>
    <w:rsid w:val="00035492"/>
    <w:rsid w:val="000357A8"/>
    <w:rsid w:val="00037B26"/>
    <w:rsid w:val="00042684"/>
    <w:rsid w:val="000430A6"/>
    <w:rsid w:val="00044923"/>
    <w:rsid w:val="0005249C"/>
    <w:rsid w:val="000534A5"/>
    <w:rsid w:val="000544B2"/>
    <w:rsid w:val="00056797"/>
    <w:rsid w:val="0005680D"/>
    <w:rsid w:val="00056B2B"/>
    <w:rsid w:val="00063FB4"/>
    <w:rsid w:val="00065915"/>
    <w:rsid w:val="00065B3A"/>
    <w:rsid w:val="00066618"/>
    <w:rsid w:val="0006793E"/>
    <w:rsid w:val="00072E0F"/>
    <w:rsid w:val="000735E5"/>
    <w:rsid w:val="0007392F"/>
    <w:rsid w:val="00077289"/>
    <w:rsid w:val="000801E7"/>
    <w:rsid w:val="000814F1"/>
    <w:rsid w:val="00087B39"/>
    <w:rsid w:val="00092816"/>
    <w:rsid w:val="00095EA1"/>
    <w:rsid w:val="00096502"/>
    <w:rsid w:val="000A49BB"/>
    <w:rsid w:val="000B54A1"/>
    <w:rsid w:val="000B5E6D"/>
    <w:rsid w:val="000B700F"/>
    <w:rsid w:val="000C3441"/>
    <w:rsid w:val="000C7F53"/>
    <w:rsid w:val="000D2F8E"/>
    <w:rsid w:val="000D4EFC"/>
    <w:rsid w:val="000D6971"/>
    <w:rsid w:val="000E25DA"/>
    <w:rsid w:val="000E6F85"/>
    <w:rsid w:val="000F013D"/>
    <w:rsid w:val="000F1797"/>
    <w:rsid w:val="000F196B"/>
    <w:rsid w:val="000F7E2F"/>
    <w:rsid w:val="00101B05"/>
    <w:rsid w:val="00102016"/>
    <w:rsid w:val="00105361"/>
    <w:rsid w:val="001062EB"/>
    <w:rsid w:val="001101F8"/>
    <w:rsid w:val="0011155F"/>
    <w:rsid w:val="0011206F"/>
    <w:rsid w:val="0011656A"/>
    <w:rsid w:val="00120312"/>
    <w:rsid w:val="0012143C"/>
    <w:rsid w:val="0012220C"/>
    <w:rsid w:val="001241A1"/>
    <w:rsid w:val="00125B1A"/>
    <w:rsid w:val="00127679"/>
    <w:rsid w:val="00130B19"/>
    <w:rsid w:val="00131335"/>
    <w:rsid w:val="00132816"/>
    <w:rsid w:val="00136EA3"/>
    <w:rsid w:val="00137575"/>
    <w:rsid w:val="001403E8"/>
    <w:rsid w:val="00141F4D"/>
    <w:rsid w:val="0014315D"/>
    <w:rsid w:val="00144231"/>
    <w:rsid w:val="0014424A"/>
    <w:rsid w:val="001478BF"/>
    <w:rsid w:val="00150434"/>
    <w:rsid w:val="00153DCC"/>
    <w:rsid w:val="00155721"/>
    <w:rsid w:val="00155F6D"/>
    <w:rsid w:val="0015678B"/>
    <w:rsid w:val="00156E8A"/>
    <w:rsid w:val="00160911"/>
    <w:rsid w:val="0016503F"/>
    <w:rsid w:val="0016674F"/>
    <w:rsid w:val="00166D78"/>
    <w:rsid w:val="00167CA0"/>
    <w:rsid w:val="0017120D"/>
    <w:rsid w:val="001714F6"/>
    <w:rsid w:val="00175A6D"/>
    <w:rsid w:val="00176168"/>
    <w:rsid w:val="00177158"/>
    <w:rsid w:val="0018014F"/>
    <w:rsid w:val="001808A5"/>
    <w:rsid w:val="001833D9"/>
    <w:rsid w:val="00184E9C"/>
    <w:rsid w:val="00184FD4"/>
    <w:rsid w:val="00186B04"/>
    <w:rsid w:val="00186F1E"/>
    <w:rsid w:val="00190836"/>
    <w:rsid w:val="00193930"/>
    <w:rsid w:val="001962BA"/>
    <w:rsid w:val="001963A5"/>
    <w:rsid w:val="00196F1E"/>
    <w:rsid w:val="00197FCA"/>
    <w:rsid w:val="001A27DB"/>
    <w:rsid w:val="001A2E11"/>
    <w:rsid w:val="001A6852"/>
    <w:rsid w:val="001B09CB"/>
    <w:rsid w:val="001B286A"/>
    <w:rsid w:val="001B2D02"/>
    <w:rsid w:val="001B3647"/>
    <w:rsid w:val="001B4B0C"/>
    <w:rsid w:val="001B77FA"/>
    <w:rsid w:val="001B7F3B"/>
    <w:rsid w:val="001C07E2"/>
    <w:rsid w:val="001C0ABE"/>
    <w:rsid w:val="001C0AFE"/>
    <w:rsid w:val="001C57D3"/>
    <w:rsid w:val="001C5852"/>
    <w:rsid w:val="001C5D5D"/>
    <w:rsid w:val="001D0960"/>
    <w:rsid w:val="001D3232"/>
    <w:rsid w:val="001D45F0"/>
    <w:rsid w:val="001E121F"/>
    <w:rsid w:val="001E1E15"/>
    <w:rsid w:val="001E4A33"/>
    <w:rsid w:val="001E5C27"/>
    <w:rsid w:val="001F52E7"/>
    <w:rsid w:val="001F602B"/>
    <w:rsid w:val="001F6AC8"/>
    <w:rsid w:val="001F7578"/>
    <w:rsid w:val="002037D5"/>
    <w:rsid w:val="0020692A"/>
    <w:rsid w:val="00206F90"/>
    <w:rsid w:val="00212B03"/>
    <w:rsid w:val="002131AE"/>
    <w:rsid w:val="00215C10"/>
    <w:rsid w:val="00215C2D"/>
    <w:rsid w:val="0022433A"/>
    <w:rsid w:val="002252C4"/>
    <w:rsid w:val="00226D85"/>
    <w:rsid w:val="00226EBE"/>
    <w:rsid w:val="0022789F"/>
    <w:rsid w:val="0023183E"/>
    <w:rsid w:val="00232994"/>
    <w:rsid w:val="002342BB"/>
    <w:rsid w:val="00235138"/>
    <w:rsid w:val="002420EB"/>
    <w:rsid w:val="00243BC3"/>
    <w:rsid w:val="00243CCB"/>
    <w:rsid w:val="00243E36"/>
    <w:rsid w:val="0024540B"/>
    <w:rsid w:val="00245EF4"/>
    <w:rsid w:val="00247E22"/>
    <w:rsid w:val="0025051B"/>
    <w:rsid w:val="00250E11"/>
    <w:rsid w:val="00251383"/>
    <w:rsid w:val="002522C9"/>
    <w:rsid w:val="00252A21"/>
    <w:rsid w:val="00253E4F"/>
    <w:rsid w:val="002542E4"/>
    <w:rsid w:val="0025696D"/>
    <w:rsid w:val="002569EC"/>
    <w:rsid w:val="00261053"/>
    <w:rsid w:val="00261FE5"/>
    <w:rsid w:val="0026257A"/>
    <w:rsid w:val="00262FDE"/>
    <w:rsid w:val="00263629"/>
    <w:rsid w:val="002701B1"/>
    <w:rsid w:val="0027498C"/>
    <w:rsid w:val="002769BD"/>
    <w:rsid w:val="00276A75"/>
    <w:rsid w:val="00276DFD"/>
    <w:rsid w:val="00277621"/>
    <w:rsid w:val="002809EA"/>
    <w:rsid w:val="00280C13"/>
    <w:rsid w:val="00282B6C"/>
    <w:rsid w:val="0028372A"/>
    <w:rsid w:val="00284962"/>
    <w:rsid w:val="002861D8"/>
    <w:rsid w:val="00287B0E"/>
    <w:rsid w:val="00295367"/>
    <w:rsid w:val="00296519"/>
    <w:rsid w:val="00296E49"/>
    <w:rsid w:val="002A0B53"/>
    <w:rsid w:val="002A0EEF"/>
    <w:rsid w:val="002A1836"/>
    <w:rsid w:val="002A32FD"/>
    <w:rsid w:val="002A76F9"/>
    <w:rsid w:val="002B2DF7"/>
    <w:rsid w:val="002B3BD8"/>
    <w:rsid w:val="002B44B0"/>
    <w:rsid w:val="002B7126"/>
    <w:rsid w:val="002B79C0"/>
    <w:rsid w:val="002C1C12"/>
    <w:rsid w:val="002C1DB1"/>
    <w:rsid w:val="002C3BF4"/>
    <w:rsid w:val="002C5DAA"/>
    <w:rsid w:val="002C6A97"/>
    <w:rsid w:val="002C749F"/>
    <w:rsid w:val="002D1743"/>
    <w:rsid w:val="002D48B9"/>
    <w:rsid w:val="002D524A"/>
    <w:rsid w:val="002D5DD3"/>
    <w:rsid w:val="002D6361"/>
    <w:rsid w:val="002D6E17"/>
    <w:rsid w:val="002D749F"/>
    <w:rsid w:val="002E174F"/>
    <w:rsid w:val="002E353B"/>
    <w:rsid w:val="002E6DD0"/>
    <w:rsid w:val="002E7767"/>
    <w:rsid w:val="002E7B33"/>
    <w:rsid w:val="002E7B52"/>
    <w:rsid w:val="002F059B"/>
    <w:rsid w:val="002F5B0B"/>
    <w:rsid w:val="002F5C58"/>
    <w:rsid w:val="002F66CC"/>
    <w:rsid w:val="002F6A33"/>
    <w:rsid w:val="00300924"/>
    <w:rsid w:val="0030596E"/>
    <w:rsid w:val="003062F7"/>
    <w:rsid w:val="003073C3"/>
    <w:rsid w:val="0031136F"/>
    <w:rsid w:val="00323637"/>
    <w:rsid w:val="00324E8A"/>
    <w:rsid w:val="003258E9"/>
    <w:rsid w:val="00331D87"/>
    <w:rsid w:val="00332850"/>
    <w:rsid w:val="00334478"/>
    <w:rsid w:val="003346B4"/>
    <w:rsid w:val="00334AE6"/>
    <w:rsid w:val="003365D0"/>
    <w:rsid w:val="003439AB"/>
    <w:rsid w:val="00344F22"/>
    <w:rsid w:val="0035034C"/>
    <w:rsid w:val="00353F39"/>
    <w:rsid w:val="00354025"/>
    <w:rsid w:val="00354695"/>
    <w:rsid w:val="0035549B"/>
    <w:rsid w:val="00360E1A"/>
    <w:rsid w:val="0036611B"/>
    <w:rsid w:val="003755C8"/>
    <w:rsid w:val="00375687"/>
    <w:rsid w:val="00376263"/>
    <w:rsid w:val="00380AE0"/>
    <w:rsid w:val="00383324"/>
    <w:rsid w:val="0038464E"/>
    <w:rsid w:val="00384EB6"/>
    <w:rsid w:val="00385EE6"/>
    <w:rsid w:val="00387A75"/>
    <w:rsid w:val="003904FD"/>
    <w:rsid w:val="00394254"/>
    <w:rsid w:val="003A42CA"/>
    <w:rsid w:val="003B2400"/>
    <w:rsid w:val="003B4F89"/>
    <w:rsid w:val="003B5F17"/>
    <w:rsid w:val="003C2BFB"/>
    <w:rsid w:val="003C3B52"/>
    <w:rsid w:val="003C436B"/>
    <w:rsid w:val="003C4FEB"/>
    <w:rsid w:val="003C5053"/>
    <w:rsid w:val="003C5337"/>
    <w:rsid w:val="003C5F92"/>
    <w:rsid w:val="003C7368"/>
    <w:rsid w:val="003D689F"/>
    <w:rsid w:val="003D794B"/>
    <w:rsid w:val="003D7A8C"/>
    <w:rsid w:val="003D7C00"/>
    <w:rsid w:val="003E4C84"/>
    <w:rsid w:val="003E56E5"/>
    <w:rsid w:val="003E5AB1"/>
    <w:rsid w:val="003E7E60"/>
    <w:rsid w:val="003F00D4"/>
    <w:rsid w:val="003F2209"/>
    <w:rsid w:val="003F3B18"/>
    <w:rsid w:val="003F3D39"/>
    <w:rsid w:val="003F646A"/>
    <w:rsid w:val="003F6761"/>
    <w:rsid w:val="003F6A0A"/>
    <w:rsid w:val="00400869"/>
    <w:rsid w:val="00401645"/>
    <w:rsid w:val="004024F5"/>
    <w:rsid w:val="00402DE1"/>
    <w:rsid w:val="00403D8B"/>
    <w:rsid w:val="004058F1"/>
    <w:rsid w:val="00407E7D"/>
    <w:rsid w:val="00411E05"/>
    <w:rsid w:val="0041283D"/>
    <w:rsid w:val="00413AB4"/>
    <w:rsid w:val="00421373"/>
    <w:rsid w:val="00421A29"/>
    <w:rsid w:val="00421FB7"/>
    <w:rsid w:val="00425C5B"/>
    <w:rsid w:val="0042763B"/>
    <w:rsid w:val="0043024C"/>
    <w:rsid w:val="00433318"/>
    <w:rsid w:val="00436706"/>
    <w:rsid w:val="00443543"/>
    <w:rsid w:val="00443D38"/>
    <w:rsid w:val="004454A2"/>
    <w:rsid w:val="00450342"/>
    <w:rsid w:val="00450E7A"/>
    <w:rsid w:val="004512E6"/>
    <w:rsid w:val="00454793"/>
    <w:rsid w:val="00454A53"/>
    <w:rsid w:val="00454CF5"/>
    <w:rsid w:val="00455B70"/>
    <w:rsid w:val="00456AF8"/>
    <w:rsid w:val="00457EB1"/>
    <w:rsid w:val="004616CA"/>
    <w:rsid w:val="00461ADE"/>
    <w:rsid w:val="004627D2"/>
    <w:rsid w:val="00464116"/>
    <w:rsid w:val="0046445F"/>
    <w:rsid w:val="00465204"/>
    <w:rsid w:val="00467349"/>
    <w:rsid w:val="0046781E"/>
    <w:rsid w:val="0047059D"/>
    <w:rsid w:val="00470B15"/>
    <w:rsid w:val="00475869"/>
    <w:rsid w:val="00475A77"/>
    <w:rsid w:val="00477196"/>
    <w:rsid w:val="004775B1"/>
    <w:rsid w:val="004812EA"/>
    <w:rsid w:val="00484CD6"/>
    <w:rsid w:val="004853B4"/>
    <w:rsid w:val="004866A9"/>
    <w:rsid w:val="00490A53"/>
    <w:rsid w:val="00492774"/>
    <w:rsid w:val="00496D7A"/>
    <w:rsid w:val="00497F5E"/>
    <w:rsid w:val="004A1D17"/>
    <w:rsid w:val="004A31BC"/>
    <w:rsid w:val="004A336F"/>
    <w:rsid w:val="004A3F1A"/>
    <w:rsid w:val="004A3F45"/>
    <w:rsid w:val="004A5738"/>
    <w:rsid w:val="004B0855"/>
    <w:rsid w:val="004B0F8B"/>
    <w:rsid w:val="004B1AFA"/>
    <w:rsid w:val="004B7088"/>
    <w:rsid w:val="004C471D"/>
    <w:rsid w:val="004C4D12"/>
    <w:rsid w:val="004C5B76"/>
    <w:rsid w:val="004D02CD"/>
    <w:rsid w:val="004D0B24"/>
    <w:rsid w:val="004D3314"/>
    <w:rsid w:val="004D4B90"/>
    <w:rsid w:val="004D5301"/>
    <w:rsid w:val="004D53C0"/>
    <w:rsid w:val="004D566F"/>
    <w:rsid w:val="004D6B95"/>
    <w:rsid w:val="004D7F41"/>
    <w:rsid w:val="004E03A2"/>
    <w:rsid w:val="004E07B8"/>
    <w:rsid w:val="004E317E"/>
    <w:rsid w:val="004E3954"/>
    <w:rsid w:val="004E5856"/>
    <w:rsid w:val="004E62C9"/>
    <w:rsid w:val="004F2330"/>
    <w:rsid w:val="004F2C5C"/>
    <w:rsid w:val="004F34D2"/>
    <w:rsid w:val="004F53C6"/>
    <w:rsid w:val="004F55C6"/>
    <w:rsid w:val="004F69DB"/>
    <w:rsid w:val="004F6B87"/>
    <w:rsid w:val="00501C2D"/>
    <w:rsid w:val="00502567"/>
    <w:rsid w:val="00502637"/>
    <w:rsid w:val="005039C6"/>
    <w:rsid w:val="00511140"/>
    <w:rsid w:val="00511BDA"/>
    <w:rsid w:val="00513CFE"/>
    <w:rsid w:val="0051447D"/>
    <w:rsid w:val="005151E1"/>
    <w:rsid w:val="00521A61"/>
    <w:rsid w:val="005233B8"/>
    <w:rsid w:val="00523B6A"/>
    <w:rsid w:val="00525693"/>
    <w:rsid w:val="00525F6C"/>
    <w:rsid w:val="00531114"/>
    <w:rsid w:val="0053114A"/>
    <w:rsid w:val="0054419C"/>
    <w:rsid w:val="00544F8E"/>
    <w:rsid w:val="0054670F"/>
    <w:rsid w:val="00546AB4"/>
    <w:rsid w:val="005514E5"/>
    <w:rsid w:val="005539B5"/>
    <w:rsid w:val="005543FA"/>
    <w:rsid w:val="00555C2E"/>
    <w:rsid w:val="00560334"/>
    <w:rsid w:val="005627A6"/>
    <w:rsid w:val="00563C84"/>
    <w:rsid w:val="00564552"/>
    <w:rsid w:val="00564BB5"/>
    <w:rsid w:val="005706EF"/>
    <w:rsid w:val="00570CBF"/>
    <w:rsid w:val="0057190E"/>
    <w:rsid w:val="00571FBA"/>
    <w:rsid w:val="00573043"/>
    <w:rsid w:val="005758B8"/>
    <w:rsid w:val="005762F6"/>
    <w:rsid w:val="005764DB"/>
    <w:rsid w:val="00577526"/>
    <w:rsid w:val="00584FBE"/>
    <w:rsid w:val="005852F9"/>
    <w:rsid w:val="00585483"/>
    <w:rsid w:val="00586F34"/>
    <w:rsid w:val="00587378"/>
    <w:rsid w:val="00587C05"/>
    <w:rsid w:val="00590523"/>
    <w:rsid w:val="00590AAB"/>
    <w:rsid w:val="00592A9E"/>
    <w:rsid w:val="005938C3"/>
    <w:rsid w:val="0059468C"/>
    <w:rsid w:val="00595125"/>
    <w:rsid w:val="00596701"/>
    <w:rsid w:val="00596F21"/>
    <w:rsid w:val="005A1165"/>
    <w:rsid w:val="005A404B"/>
    <w:rsid w:val="005A40DE"/>
    <w:rsid w:val="005A6621"/>
    <w:rsid w:val="005B0CEC"/>
    <w:rsid w:val="005B1CDD"/>
    <w:rsid w:val="005B1E19"/>
    <w:rsid w:val="005B2B00"/>
    <w:rsid w:val="005B55FC"/>
    <w:rsid w:val="005B5A82"/>
    <w:rsid w:val="005B5BDC"/>
    <w:rsid w:val="005B62D5"/>
    <w:rsid w:val="005C2D5E"/>
    <w:rsid w:val="005C3B81"/>
    <w:rsid w:val="005C5DBA"/>
    <w:rsid w:val="005C650C"/>
    <w:rsid w:val="005D086C"/>
    <w:rsid w:val="005D11D3"/>
    <w:rsid w:val="005D187B"/>
    <w:rsid w:val="005D4E1F"/>
    <w:rsid w:val="005D4FB3"/>
    <w:rsid w:val="005E041F"/>
    <w:rsid w:val="005E1CF6"/>
    <w:rsid w:val="005E2F07"/>
    <w:rsid w:val="005E2FEA"/>
    <w:rsid w:val="005E3FB7"/>
    <w:rsid w:val="005E414C"/>
    <w:rsid w:val="005E43E0"/>
    <w:rsid w:val="005E776D"/>
    <w:rsid w:val="005F314B"/>
    <w:rsid w:val="005F33E9"/>
    <w:rsid w:val="005F3D98"/>
    <w:rsid w:val="00600CB9"/>
    <w:rsid w:val="00603893"/>
    <w:rsid w:val="00606357"/>
    <w:rsid w:val="00606868"/>
    <w:rsid w:val="00611AF2"/>
    <w:rsid w:val="0061212B"/>
    <w:rsid w:val="006127AF"/>
    <w:rsid w:val="006129D5"/>
    <w:rsid w:val="00613A98"/>
    <w:rsid w:val="00615FB2"/>
    <w:rsid w:val="00617BD1"/>
    <w:rsid w:val="00617CE8"/>
    <w:rsid w:val="00621968"/>
    <w:rsid w:val="00622C22"/>
    <w:rsid w:val="006230B0"/>
    <w:rsid w:val="006252A4"/>
    <w:rsid w:val="00626CBB"/>
    <w:rsid w:val="006278A0"/>
    <w:rsid w:val="006307EF"/>
    <w:rsid w:val="0063095F"/>
    <w:rsid w:val="00631CBD"/>
    <w:rsid w:val="0063474F"/>
    <w:rsid w:val="0063704F"/>
    <w:rsid w:val="00641846"/>
    <w:rsid w:val="006450D6"/>
    <w:rsid w:val="00646AC2"/>
    <w:rsid w:val="00650390"/>
    <w:rsid w:val="0065379E"/>
    <w:rsid w:val="00654DAB"/>
    <w:rsid w:val="006574BF"/>
    <w:rsid w:val="00657894"/>
    <w:rsid w:val="006579DF"/>
    <w:rsid w:val="0066204A"/>
    <w:rsid w:val="00662133"/>
    <w:rsid w:val="006702C2"/>
    <w:rsid w:val="006703F2"/>
    <w:rsid w:val="00670E3C"/>
    <w:rsid w:val="00671B30"/>
    <w:rsid w:val="00677F57"/>
    <w:rsid w:val="00681088"/>
    <w:rsid w:val="0068350F"/>
    <w:rsid w:val="006848E5"/>
    <w:rsid w:val="00685A7F"/>
    <w:rsid w:val="00685D5E"/>
    <w:rsid w:val="00687225"/>
    <w:rsid w:val="006914BA"/>
    <w:rsid w:val="00692F3A"/>
    <w:rsid w:val="00693FF1"/>
    <w:rsid w:val="006942E3"/>
    <w:rsid w:val="0069449B"/>
    <w:rsid w:val="00695143"/>
    <w:rsid w:val="0069577E"/>
    <w:rsid w:val="0069634B"/>
    <w:rsid w:val="00696623"/>
    <w:rsid w:val="006A04E9"/>
    <w:rsid w:val="006A139E"/>
    <w:rsid w:val="006A46B0"/>
    <w:rsid w:val="006A4947"/>
    <w:rsid w:val="006A4A03"/>
    <w:rsid w:val="006A7543"/>
    <w:rsid w:val="006A78B4"/>
    <w:rsid w:val="006B2AD2"/>
    <w:rsid w:val="006B725C"/>
    <w:rsid w:val="006B76F7"/>
    <w:rsid w:val="006C0D56"/>
    <w:rsid w:val="006C2388"/>
    <w:rsid w:val="006C273D"/>
    <w:rsid w:val="006C52FB"/>
    <w:rsid w:val="006C5C4F"/>
    <w:rsid w:val="006C6282"/>
    <w:rsid w:val="006C6ACB"/>
    <w:rsid w:val="006C762A"/>
    <w:rsid w:val="006D309A"/>
    <w:rsid w:val="006D57D6"/>
    <w:rsid w:val="006D5FF9"/>
    <w:rsid w:val="006E0772"/>
    <w:rsid w:val="006E0F86"/>
    <w:rsid w:val="006E427C"/>
    <w:rsid w:val="006F0B15"/>
    <w:rsid w:val="006F0DCC"/>
    <w:rsid w:val="006F1581"/>
    <w:rsid w:val="006F2CDE"/>
    <w:rsid w:val="006F32C2"/>
    <w:rsid w:val="006F6182"/>
    <w:rsid w:val="006F7EE6"/>
    <w:rsid w:val="007020B8"/>
    <w:rsid w:val="00703DF9"/>
    <w:rsid w:val="007048EB"/>
    <w:rsid w:val="00704FBB"/>
    <w:rsid w:val="0070726A"/>
    <w:rsid w:val="0071226B"/>
    <w:rsid w:val="00716143"/>
    <w:rsid w:val="00717040"/>
    <w:rsid w:val="00722CB7"/>
    <w:rsid w:val="00730786"/>
    <w:rsid w:val="007335AE"/>
    <w:rsid w:val="00741996"/>
    <w:rsid w:val="00745F4F"/>
    <w:rsid w:val="00750599"/>
    <w:rsid w:val="00755E33"/>
    <w:rsid w:val="00756A0D"/>
    <w:rsid w:val="007570E3"/>
    <w:rsid w:val="00760D4D"/>
    <w:rsid w:val="0076226A"/>
    <w:rsid w:val="007622A7"/>
    <w:rsid w:val="0076612E"/>
    <w:rsid w:val="007730A1"/>
    <w:rsid w:val="00774D9C"/>
    <w:rsid w:val="007750A2"/>
    <w:rsid w:val="00775E37"/>
    <w:rsid w:val="0078009F"/>
    <w:rsid w:val="00780A2D"/>
    <w:rsid w:val="007817D6"/>
    <w:rsid w:val="00781E1C"/>
    <w:rsid w:val="00784638"/>
    <w:rsid w:val="00785191"/>
    <w:rsid w:val="00785381"/>
    <w:rsid w:val="00787912"/>
    <w:rsid w:val="007900BD"/>
    <w:rsid w:val="0079177A"/>
    <w:rsid w:val="0079413D"/>
    <w:rsid w:val="00794836"/>
    <w:rsid w:val="007948D5"/>
    <w:rsid w:val="0079628E"/>
    <w:rsid w:val="00796A25"/>
    <w:rsid w:val="007A0973"/>
    <w:rsid w:val="007A15C9"/>
    <w:rsid w:val="007A6676"/>
    <w:rsid w:val="007A7E81"/>
    <w:rsid w:val="007B34A6"/>
    <w:rsid w:val="007B7FF5"/>
    <w:rsid w:val="007C3FC6"/>
    <w:rsid w:val="007D0AA9"/>
    <w:rsid w:val="007D244C"/>
    <w:rsid w:val="007D2CE9"/>
    <w:rsid w:val="007D4FED"/>
    <w:rsid w:val="007D69DA"/>
    <w:rsid w:val="007D70B1"/>
    <w:rsid w:val="007D7140"/>
    <w:rsid w:val="007D7321"/>
    <w:rsid w:val="007E19FD"/>
    <w:rsid w:val="007E1CDB"/>
    <w:rsid w:val="007E2E5D"/>
    <w:rsid w:val="007E408C"/>
    <w:rsid w:val="007E50BF"/>
    <w:rsid w:val="007E566C"/>
    <w:rsid w:val="007E57C8"/>
    <w:rsid w:val="007E7E21"/>
    <w:rsid w:val="007F0460"/>
    <w:rsid w:val="007F0DA2"/>
    <w:rsid w:val="007F15CD"/>
    <w:rsid w:val="007F39CE"/>
    <w:rsid w:val="007F5E0D"/>
    <w:rsid w:val="00800A91"/>
    <w:rsid w:val="00801085"/>
    <w:rsid w:val="00801A89"/>
    <w:rsid w:val="00803C5D"/>
    <w:rsid w:val="00804457"/>
    <w:rsid w:val="00805209"/>
    <w:rsid w:val="00806597"/>
    <w:rsid w:val="0080694F"/>
    <w:rsid w:val="00807986"/>
    <w:rsid w:val="00807990"/>
    <w:rsid w:val="008108F6"/>
    <w:rsid w:val="00812138"/>
    <w:rsid w:val="00812B2E"/>
    <w:rsid w:val="00813B26"/>
    <w:rsid w:val="008151F2"/>
    <w:rsid w:val="0081777A"/>
    <w:rsid w:val="008210E0"/>
    <w:rsid w:val="00824079"/>
    <w:rsid w:val="008254A0"/>
    <w:rsid w:val="00831F0A"/>
    <w:rsid w:val="00832A7C"/>
    <w:rsid w:val="00833492"/>
    <w:rsid w:val="00833A78"/>
    <w:rsid w:val="0084578B"/>
    <w:rsid w:val="0084585F"/>
    <w:rsid w:val="00851B44"/>
    <w:rsid w:val="00853E53"/>
    <w:rsid w:val="00854029"/>
    <w:rsid w:val="0085535C"/>
    <w:rsid w:val="00855EC2"/>
    <w:rsid w:val="00855FE6"/>
    <w:rsid w:val="00860D23"/>
    <w:rsid w:val="00860E36"/>
    <w:rsid w:val="00864D76"/>
    <w:rsid w:val="00865533"/>
    <w:rsid w:val="008656C9"/>
    <w:rsid w:val="0086711C"/>
    <w:rsid w:val="00867535"/>
    <w:rsid w:val="00875C5B"/>
    <w:rsid w:val="00875FEB"/>
    <w:rsid w:val="00876589"/>
    <w:rsid w:val="00883C5F"/>
    <w:rsid w:val="00886EE9"/>
    <w:rsid w:val="00890351"/>
    <w:rsid w:val="00891AEB"/>
    <w:rsid w:val="00891C7D"/>
    <w:rsid w:val="00892FA7"/>
    <w:rsid w:val="008934A5"/>
    <w:rsid w:val="008A3301"/>
    <w:rsid w:val="008A4DF1"/>
    <w:rsid w:val="008A557B"/>
    <w:rsid w:val="008A5636"/>
    <w:rsid w:val="008B125E"/>
    <w:rsid w:val="008B241C"/>
    <w:rsid w:val="008B408B"/>
    <w:rsid w:val="008B4F11"/>
    <w:rsid w:val="008B601E"/>
    <w:rsid w:val="008C1175"/>
    <w:rsid w:val="008C2362"/>
    <w:rsid w:val="008C3049"/>
    <w:rsid w:val="008C39BB"/>
    <w:rsid w:val="008C5D02"/>
    <w:rsid w:val="008C71D2"/>
    <w:rsid w:val="008C74D9"/>
    <w:rsid w:val="008D4AE9"/>
    <w:rsid w:val="008D521B"/>
    <w:rsid w:val="008D5A4C"/>
    <w:rsid w:val="008D5CF3"/>
    <w:rsid w:val="008D7D39"/>
    <w:rsid w:val="008E4574"/>
    <w:rsid w:val="008E4680"/>
    <w:rsid w:val="008E65B9"/>
    <w:rsid w:val="008E6970"/>
    <w:rsid w:val="008F0A0B"/>
    <w:rsid w:val="008F364E"/>
    <w:rsid w:val="008F4016"/>
    <w:rsid w:val="008F42FE"/>
    <w:rsid w:val="008F4A00"/>
    <w:rsid w:val="008F4EFA"/>
    <w:rsid w:val="008F5402"/>
    <w:rsid w:val="008F7B16"/>
    <w:rsid w:val="0090053A"/>
    <w:rsid w:val="00901C2A"/>
    <w:rsid w:val="0090409A"/>
    <w:rsid w:val="009118C7"/>
    <w:rsid w:val="0091651F"/>
    <w:rsid w:val="009208FD"/>
    <w:rsid w:val="00920E9C"/>
    <w:rsid w:val="009225B6"/>
    <w:rsid w:val="00925397"/>
    <w:rsid w:val="00926532"/>
    <w:rsid w:val="0093243F"/>
    <w:rsid w:val="00933A21"/>
    <w:rsid w:val="00934C10"/>
    <w:rsid w:val="0093662A"/>
    <w:rsid w:val="0094060C"/>
    <w:rsid w:val="00942C4B"/>
    <w:rsid w:val="00944196"/>
    <w:rsid w:val="00945F9B"/>
    <w:rsid w:val="009476E6"/>
    <w:rsid w:val="00952143"/>
    <w:rsid w:val="009569A0"/>
    <w:rsid w:val="009606A5"/>
    <w:rsid w:val="00962F1F"/>
    <w:rsid w:val="00963CB2"/>
    <w:rsid w:val="00965304"/>
    <w:rsid w:val="00966CCC"/>
    <w:rsid w:val="00967700"/>
    <w:rsid w:val="00970028"/>
    <w:rsid w:val="00971293"/>
    <w:rsid w:val="00972C9A"/>
    <w:rsid w:val="00973A3B"/>
    <w:rsid w:val="009772DB"/>
    <w:rsid w:val="0098333E"/>
    <w:rsid w:val="0098384E"/>
    <w:rsid w:val="00983EAE"/>
    <w:rsid w:val="0098760B"/>
    <w:rsid w:val="00990259"/>
    <w:rsid w:val="00994F84"/>
    <w:rsid w:val="00995B2C"/>
    <w:rsid w:val="009A11DD"/>
    <w:rsid w:val="009B11A7"/>
    <w:rsid w:val="009B1C09"/>
    <w:rsid w:val="009B30AA"/>
    <w:rsid w:val="009B5217"/>
    <w:rsid w:val="009B7DA7"/>
    <w:rsid w:val="009C48DE"/>
    <w:rsid w:val="009C77FC"/>
    <w:rsid w:val="009D32FD"/>
    <w:rsid w:val="009D46B0"/>
    <w:rsid w:val="009D60D9"/>
    <w:rsid w:val="009D7A67"/>
    <w:rsid w:val="009E0791"/>
    <w:rsid w:val="009E1E1E"/>
    <w:rsid w:val="009E33E3"/>
    <w:rsid w:val="009E4DCD"/>
    <w:rsid w:val="009E7988"/>
    <w:rsid w:val="009E7F16"/>
    <w:rsid w:val="009F1E65"/>
    <w:rsid w:val="009F3205"/>
    <w:rsid w:val="009F5052"/>
    <w:rsid w:val="00A01101"/>
    <w:rsid w:val="00A01F1C"/>
    <w:rsid w:val="00A03083"/>
    <w:rsid w:val="00A04C85"/>
    <w:rsid w:val="00A05C01"/>
    <w:rsid w:val="00A05F43"/>
    <w:rsid w:val="00A100F0"/>
    <w:rsid w:val="00A102A0"/>
    <w:rsid w:val="00A10F55"/>
    <w:rsid w:val="00A1465E"/>
    <w:rsid w:val="00A156E6"/>
    <w:rsid w:val="00A177C5"/>
    <w:rsid w:val="00A17F1D"/>
    <w:rsid w:val="00A234D7"/>
    <w:rsid w:val="00A26F41"/>
    <w:rsid w:val="00A27D86"/>
    <w:rsid w:val="00A30A3D"/>
    <w:rsid w:val="00A31734"/>
    <w:rsid w:val="00A32328"/>
    <w:rsid w:val="00A33151"/>
    <w:rsid w:val="00A36970"/>
    <w:rsid w:val="00A36D1C"/>
    <w:rsid w:val="00A375EA"/>
    <w:rsid w:val="00A41EB4"/>
    <w:rsid w:val="00A44BFF"/>
    <w:rsid w:val="00A462C4"/>
    <w:rsid w:val="00A46CEE"/>
    <w:rsid w:val="00A501E3"/>
    <w:rsid w:val="00A50248"/>
    <w:rsid w:val="00A50F0C"/>
    <w:rsid w:val="00A519A5"/>
    <w:rsid w:val="00A5367F"/>
    <w:rsid w:val="00A54918"/>
    <w:rsid w:val="00A56182"/>
    <w:rsid w:val="00A56441"/>
    <w:rsid w:val="00A56C29"/>
    <w:rsid w:val="00A56FC4"/>
    <w:rsid w:val="00A60FDE"/>
    <w:rsid w:val="00A6231C"/>
    <w:rsid w:val="00A63024"/>
    <w:rsid w:val="00A650FD"/>
    <w:rsid w:val="00A67957"/>
    <w:rsid w:val="00A736DD"/>
    <w:rsid w:val="00A76684"/>
    <w:rsid w:val="00A77C95"/>
    <w:rsid w:val="00A805D5"/>
    <w:rsid w:val="00A8193B"/>
    <w:rsid w:val="00A82869"/>
    <w:rsid w:val="00A84480"/>
    <w:rsid w:val="00A8758C"/>
    <w:rsid w:val="00A976B5"/>
    <w:rsid w:val="00AA127E"/>
    <w:rsid w:val="00AA19AE"/>
    <w:rsid w:val="00AA423D"/>
    <w:rsid w:val="00AA4C15"/>
    <w:rsid w:val="00AA4ED3"/>
    <w:rsid w:val="00AA583D"/>
    <w:rsid w:val="00AA6A95"/>
    <w:rsid w:val="00AB10DE"/>
    <w:rsid w:val="00AB3668"/>
    <w:rsid w:val="00AB5ED7"/>
    <w:rsid w:val="00AB745F"/>
    <w:rsid w:val="00AC0B4C"/>
    <w:rsid w:val="00AC0B9A"/>
    <w:rsid w:val="00AC3CB7"/>
    <w:rsid w:val="00AC738E"/>
    <w:rsid w:val="00AC7502"/>
    <w:rsid w:val="00AD09B6"/>
    <w:rsid w:val="00AD0AEE"/>
    <w:rsid w:val="00AD4063"/>
    <w:rsid w:val="00AD49E3"/>
    <w:rsid w:val="00AD4B4F"/>
    <w:rsid w:val="00AD55CB"/>
    <w:rsid w:val="00AE053D"/>
    <w:rsid w:val="00AE05FE"/>
    <w:rsid w:val="00AE6186"/>
    <w:rsid w:val="00AE7A97"/>
    <w:rsid w:val="00AF0616"/>
    <w:rsid w:val="00AF0E28"/>
    <w:rsid w:val="00AF2933"/>
    <w:rsid w:val="00AF4EBF"/>
    <w:rsid w:val="00AF566F"/>
    <w:rsid w:val="00AF5B20"/>
    <w:rsid w:val="00AF6F9B"/>
    <w:rsid w:val="00B01409"/>
    <w:rsid w:val="00B0228C"/>
    <w:rsid w:val="00B058FF"/>
    <w:rsid w:val="00B10DBD"/>
    <w:rsid w:val="00B116AD"/>
    <w:rsid w:val="00B11D1B"/>
    <w:rsid w:val="00B14A9E"/>
    <w:rsid w:val="00B14DF4"/>
    <w:rsid w:val="00B15629"/>
    <w:rsid w:val="00B17A0C"/>
    <w:rsid w:val="00B22655"/>
    <w:rsid w:val="00B2372C"/>
    <w:rsid w:val="00B252AC"/>
    <w:rsid w:val="00B32F70"/>
    <w:rsid w:val="00B36818"/>
    <w:rsid w:val="00B373D0"/>
    <w:rsid w:val="00B37F03"/>
    <w:rsid w:val="00B414D2"/>
    <w:rsid w:val="00B43AAA"/>
    <w:rsid w:val="00B44B9F"/>
    <w:rsid w:val="00B53139"/>
    <w:rsid w:val="00B562CE"/>
    <w:rsid w:val="00B5630D"/>
    <w:rsid w:val="00B62DE2"/>
    <w:rsid w:val="00B65977"/>
    <w:rsid w:val="00B67AB1"/>
    <w:rsid w:val="00B729B5"/>
    <w:rsid w:val="00B74417"/>
    <w:rsid w:val="00B77246"/>
    <w:rsid w:val="00B866CD"/>
    <w:rsid w:val="00B92AD4"/>
    <w:rsid w:val="00B93034"/>
    <w:rsid w:val="00B93A81"/>
    <w:rsid w:val="00B942AF"/>
    <w:rsid w:val="00B94B0D"/>
    <w:rsid w:val="00B96962"/>
    <w:rsid w:val="00B97147"/>
    <w:rsid w:val="00B97A93"/>
    <w:rsid w:val="00B97C5D"/>
    <w:rsid w:val="00BA1290"/>
    <w:rsid w:val="00BA3490"/>
    <w:rsid w:val="00BA4FCF"/>
    <w:rsid w:val="00BA54D4"/>
    <w:rsid w:val="00BA5FF9"/>
    <w:rsid w:val="00BB23C5"/>
    <w:rsid w:val="00BB2792"/>
    <w:rsid w:val="00BB343A"/>
    <w:rsid w:val="00BB5C50"/>
    <w:rsid w:val="00BB76BF"/>
    <w:rsid w:val="00BC1AD1"/>
    <w:rsid w:val="00BC1D82"/>
    <w:rsid w:val="00BC4561"/>
    <w:rsid w:val="00BC4A58"/>
    <w:rsid w:val="00BC537A"/>
    <w:rsid w:val="00BC5758"/>
    <w:rsid w:val="00BC613B"/>
    <w:rsid w:val="00BD249D"/>
    <w:rsid w:val="00BD2D0E"/>
    <w:rsid w:val="00BD51D9"/>
    <w:rsid w:val="00BD64E2"/>
    <w:rsid w:val="00BE333E"/>
    <w:rsid w:val="00BE3FA7"/>
    <w:rsid w:val="00BE4995"/>
    <w:rsid w:val="00BE7DEF"/>
    <w:rsid w:val="00BF1447"/>
    <w:rsid w:val="00BF429A"/>
    <w:rsid w:val="00BF62BE"/>
    <w:rsid w:val="00C07126"/>
    <w:rsid w:val="00C12722"/>
    <w:rsid w:val="00C12C80"/>
    <w:rsid w:val="00C137EF"/>
    <w:rsid w:val="00C1518F"/>
    <w:rsid w:val="00C16853"/>
    <w:rsid w:val="00C23F60"/>
    <w:rsid w:val="00C24168"/>
    <w:rsid w:val="00C263F0"/>
    <w:rsid w:val="00C26D06"/>
    <w:rsid w:val="00C30B6A"/>
    <w:rsid w:val="00C3295C"/>
    <w:rsid w:val="00C33D41"/>
    <w:rsid w:val="00C33D91"/>
    <w:rsid w:val="00C34C1A"/>
    <w:rsid w:val="00C40AFD"/>
    <w:rsid w:val="00C40B19"/>
    <w:rsid w:val="00C41E20"/>
    <w:rsid w:val="00C42E3E"/>
    <w:rsid w:val="00C44AB5"/>
    <w:rsid w:val="00C462B3"/>
    <w:rsid w:val="00C5104F"/>
    <w:rsid w:val="00C51171"/>
    <w:rsid w:val="00C51C13"/>
    <w:rsid w:val="00C525A5"/>
    <w:rsid w:val="00C52D3E"/>
    <w:rsid w:val="00C5300F"/>
    <w:rsid w:val="00C54594"/>
    <w:rsid w:val="00C61933"/>
    <w:rsid w:val="00C63ED1"/>
    <w:rsid w:val="00C64F40"/>
    <w:rsid w:val="00C65AB3"/>
    <w:rsid w:val="00C66CE0"/>
    <w:rsid w:val="00C71BED"/>
    <w:rsid w:val="00C737B2"/>
    <w:rsid w:val="00C74CC8"/>
    <w:rsid w:val="00C761E6"/>
    <w:rsid w:val="00C770EF"/>
    <w:rsid w:val="00C80068"/>
    <w:rsid w:val="00C81B53"/>
    <w:rsid w:val="00C8289D"/>
    <w:rsid w:val="00C82AD2"/>
    <w:rsid w:val="00C83CA5"/>
    <w:rsid w:val="00C86C7B"/>
    <w:rsid w:val="00C87AF3"/>
    <w:rsid w:val="00C90FB6"/>
    <w:rsid w:val="00C9220E"/>
    <w:rsid w:val="00C932BD"/>
    <w:rsid w:val="00C93429"/>
    <w:rsid w:val="00C939EC"/>
    <w:rsid w:val="00C96422"/>
    <w:rsid w:val="00C97FE5"/>
    <w:rsid w:val="00CA14F2"/>
    <w:rsid w:val="00CA16C5"/>
    <w:rsid w:val="00CA415A"/>
    <w:rsid w:val="00CA4C72"/>
    <w:rsid w:val="00CA7A35"/>
    <w:rsid w:val="00CB1536"/>
    <w:rsid w:val="00CB7F0B"/>
    <w:rsid w:val="00CB7FB8"/>
    <w:rsid w:val="00CC1F71"/>
    <w:rsid w:val="00CC5588"/>
    <w:rsid w:val="00CC5EB3"/>
    <w:rsid w:val="00CD0E7B"/>
    <w:rsid w:val="00CD2ABD"/>
    <w:rsid w:val="00CD4024"/>
    <w:rsid w:val="00CD45CC"/>
    <w:rsid w:val="00CD4617"/>
    <w:rsid w:val="00CD4855"/>
    <w:rsid w:val="00CD6400"/>
    <w:rsid w:val="00CD6462"/>
    <w:rsid w:val="00CD6EF7"/>
    <w:rsid w:val="00CE3A3F"/>
    <w:rsid w:val="00CE6D43"/>
    <w:rsid w:val="00CE74C7"/>
    <w:rsid w:val="00CE7888"/>
    <w:rsid w:val="00CF2278"/>
    <w:rsid w:val="00CF2807"/>
    <w:rsid w:val="00D009FE"/>
    <w:rsid w:val="00D03521"/>
    <w:rsid w:val="00D068C1"/>
    <w:rsid w:val="00D06F3E"/>
    <w:rsid w:val="00D10E1C"/>
    <w:rsid w:val="00D161A3"/>
    <w:rsid w:val="00D203CA"/>
    <w:rsid w:val="00D22A28"/>
    <w:rsid w:val="00D22E49"/>
    <w:rsid w:val="00D23716"/>
    <w:rsid w:val="00D25ED8"/>
    <w:rsid w:val="00D27F8F"/>
    <w:rsid w:val="00D316B8"/>
    <w:rsid w:val="00D31CFC"/>
    <w:rsid w:val="00D322E2"/>
    <w:rsid w:val="00D3255D"/>
    <w:rsid w:val="00D340C3"/>
    <w:rsid w:val="00D37E12"/>
    <w:rsid w:val="00D37FB5"/>
    <w:rsid w:val="00D409CD"/>
    <w:rsid w:val="00D42346"/>
    <w:rsid w:val="00D423D4"/>
    <w:rsid w:val="00D42546"/>
    <w:rsid w:val="00D4285C"/>
    <w:rsid w:val="00D42CAF"/>
    <w:rsid w:val="00D440BA"/>
    <w:rsid w:val="00D45C28"/>
    <w:rsid w:val="00D507D8"/>
    <w:rsid w:val="00D50EF3"/>
    <w:rsid w:val="00D5310F"/>
    <w:rsid w:val="00D57FC6"/>
    <w:rsid w:val="00D601EF"/>
    <w:rsid w:val="00D611E7"/>
    <w:rsid w:val="00D61533"/>
    <w:rsid w:val="00D631C0"/>
    <w:rsid w:val="00D63B2F"/>
    <w:rsid w:val="00D63DA4"/>
    <w:rsid w:val="00D70747"/>
    <w:rsid w:val="00D7261D"/>
    <w:rsid w:val="00D73C4B"/>
    <w:rsid w:val="00D755FC"/>
    <w:rsid w:val="00D75C97"/>
    <w:rsid w:val="00D767E7"/>
    <w:rsid w:val="00D76B6D"/>
    <w:rsid w:val="00D8117A"/>
    <w:rsid w:val="00D84D07"/>
    <w:rsid w:val="00D85021"/>
    <w:rsid w:val="00D8526A"/>
    <w:rsid w:val="00D85C5C"/>
    <w:rsid w:val="00D867F1"/>
    <w:rsid w:val="00D90E91"/>
    <w:rsid w:val="00D94E09"/>
    <w:rsid w:val="00D96D8A"/>
    <w:rsid w:val="00DA5924"/>
    <w:rsid w:val="00DB3854"/>
    <w:rsid w:val="00DB45B7"/>
    <w:rsid w:val="00DB4611"/>
    <w:rsid w:val="00DB51A1"/>
    <w:rsid w:val="00DB60E1"/>
    <w:rsid w:val="00DB6BE8"/>
    <w:rsid w:val="00DC1347"/>
    <w:rsid w:val="00DC1E2F"/>
    <w:rsid w:val="00DC39F1"/>
    <w:rsid w:val="00DC4354"/>
    <w:rsid w:val="00DC5575"/>
    <w:rsid w:val="00DC5DB1"/>
    <w:rsid w:val="00DD20A8"/>
    <w:rsid w:val="00DD2641"/>
    <w:rsid w:val="00DD402C"/>
    <w:rsid w:val="00DD4915"/>
    <w:rsid w:val="00DE031A"/>
    <w:rsid w:val="00DE154D"/>
    <w:rsid w:val="00DE3339"/>
    <w:rsid w:val="00DE43E0"/>
    <w:rsid w:val="00DE4B35"/>
    <w:rsid w:val="00DE70E5"/>
    <w:rsid w:val="00DE7A16"/>
    <w:rsid w:val="00DF19C1"/>
    <w:rsid w:val="00DF1BA5"/>
    <w:rsid w:val="00DF3DBB"/>
    <w:rsid w:val="00DF54CA"/>
    <w:rsid w:val="00DF56C9"/>
    <w:rsid w:val="00DF5B64"/>
    <w:rsid w:val="00DF70F9"/>
    <w:rsid w:val="00E02794"/>
    <w:rsid w:val="00E043E3"/>
    <w:rsid w:val="00E0505B"/>
    <w:rsid w:val="00E11280"/>
    <w:rsid w:val="00E1155C"/>
    <w:rsid w:val="00E118A7"/>
    <w:rsid w:val="00E118B4"/>
    <w:rsid w:val="00E12359"/>
    <w:rsid w:val="00E13D43"/>
    <w:rsid w:val="00E14529"/>
    <w:rsid w:val="00E152FF"/>
    <w:rsid w:val="00E164A1"/>
    <w:rsid w:val="00E17F99"/>
    <w:rsid w:val="00E2461B"/>
    <w:rsid w:val="00E24886"/>
    <w:rsid w:val="00E24B06"/>
    <w:rsid w:val="00E26EBE"/>
    <w:rsid w:val="00E276FB"/>
    <w:rsid w:val="00E2789B"/>
    <w:rsid w:val="00E278DA"/>
    <w:rsid w:val="00E31084"/>
    <w:rsid w:val="00E31754"/>
    <w:rsid w:val="00E32016"/>
    <w:rsid w:val="00E32595"/>
    <w:rsid w:val="00E32DC6"/>
    <w:rsid w:val="00E3349F"/>
    <w:rsid w:val="00E3389D"/>
    <w:rsid w:val="00E33938"/>
    <w:rsid w:val="00E33A74"/>
    <w:rsid w:val="00E351AD"/>
    <w:rsid w:val="00E35EE8"/>
    <w:rsid w:val="00E4030B"/>
    <w:rsid w:val="00E41099"/>
    <w:rsid w:val="00E41D56"/>
    <w:rsid w:val="00E447B1"/>
    <w:rsid w:val="00E457DF"/>
    <w:rsid w:val="00E46642"/>
    <w:rsid w:val="00E5065F"/>
    <w:rsid w:val="00E5139A"/>
    <w:rsid w:val="00E526D4"/>
    <w:rsid w:val="00E5413D"/>
    <w:rsid w:val="00E543FF"/>
    <w:rsid w:val="00E57977"/>
    <w:rsid w:val="00E57E6E"/>
    <w:rsid w:val="00E60675"/>
    <w:rsid w:val="00E635D7"/>
    <w:rsid w:val="00E6463A"/>
    <w:rsid w:val="00E70576"/>
    <w:rsid w:val="00E705F2"/>
    <w:rsid w:val="00E71DED"/>
    <w:rsid w:val="00E75123"/>
    <w:rsid w:val="00E76006"/>
    <w:rsid w:val="00E7708E"/>
    <w:rsid w:val="00E83954"/>
    <w:rsid w:val="00E85114"/>
    <w:rsid w:val="00E862A5"/>
    <w:rsid w:val="00E86506"/>
    <w:rsid w:val="00E91730"/>
    <w:rsid w:val="00E948E0"/>
    <w:rsid w:val="00E95AD6"/>
    <w:rsid w:val="00E96F04"/>
    <w:rsid w:val="00E97AEC"/>
    <w:rsid w:val="00EA20FE"/>
    <w:rsid w:val="00EB0E13"/>
    <w:rsid w:val="00EB15FB"/>
    <w:rsid w:val="00EB491E"/>
    <w:rsid w:val="00EB4DE1"/>
    <w:rsid w:val="00EB681B"/>
    <w:rsid w:val="00EC0E90"/>
    <w:rsid w:val="00EC4515"/>
    <w:rsid w:val="00EC4FAD"/>
    <w:rsid w:val="00EC4FE7"/>
    <w:rsid w:val="00ED0FA0"/>
    <w:rsid w:val="00ED31B4"/>
    <w:rsid w:val="00ED3A6F"/>
    <w:rsid w:val="00ED705B"/>
    <w:rsid w:val="00ED76FA"/>
    <w:rsid w:val="00EE0823"/>
    <w:rsid w:val="00EE16F9"/>
    <w:rsid w:val="00EE3CFA"/>
    <w:rsid w:val="00EE69E4"/>
    <w:rsid w:val="00EF1C4A"/>
    <w:rsid w:val="00EF2A7F"/>
    <w:rsid w:val="00EF30D3"/>
    <w:rsid w:val="00EF3102"/>
    <w:rsid w:val="00EF3A5E"/>
    <w:rsid w:val="00EF7E90"/>
    <w:rsid w:val="00F002B6"/>
    <w:rsid w:val="00F00F15"/>
    <w:rsid w:val="00F00F5B"/>
    <w:rsid w:val="00F03BA8"/>
    <w:rsid w:val="00F04B36"/>
    <w:rsid w:val="00F10507"/>
    <w:rsid w:val="00F10AFE"/>
    <w:rsid w:val="00F13B1C"/>
    <w:rsid w:val="00F13E97"/>
    <w:rsid w:val="00F15C6C"/>
    <w:rsid w:val="00F163A9"/>
    <w:rsid w:val="00F17173"/>
    <w:rsid w:val="00F176E5"/>
    <w:rsid w:val="00F20987"/>
    <w:rsid w:val="00F224DC"/>
    <w:rsid w:val="00F2687F"/>
    <w:rsid w:val="00F26A5E"/>
    <w:rsid w:val="00F26C0C"/>
    <w:rsid w:val="00F27F29"/>
    <w:rsid w:val="00F32D54"/>
    <w:rsid w:val="00F36C54"/>
    <w:rsid w:val="00F418EA"/>
    <w:rsid w:val="00F41A29"/>
    <w:rsid w:val="00F4256C"/>
    <w:rsid w:val="00F4478F"/>
    <w:rsid w:val="00F44C1C"/>
    <w:rsid w:val="00F518DF"/>
    <w:rsid w:val="00F544DB"/>
    <w:rsid w:val="00F54DF3"/>
    <w:rsid w:val="00F55B68"/>
    <w:rsid w:val="00F61523"/>
    <w:rsid w:val="00F61ACC"/>
    <w:rsid w:val="00F648EA"/>
    <w:rsid w:val="00F6502E"/>
    <w:rsid w:val="00F65663"/>
    <w:rsid w:val="00F66CE2"/>
    <w:rsid w:val="00F70AAD"/>
    <w:rsid w:val="00F75147"/>
    <w:rsid w:val="00F756C0"/>
    <w:rsid w:val="00F75A40"/>
    <w:rsid w:val="00F77637"/>
    <w:rsid w:val="00F82338"/>
    <w:rsid w:val="00F82B63"/>
    <w:rsid w:val="00F8435D"/>
    <w:rsid w:val="00F862E5"/>
    <w:rsid w:val="00F87834"/>
    <w:rsid w:val="00F87DD0"/>
    <w:rsid w:val="00F91917"/>
    <w:rsid w:val="00F9329E"/>
    <w:rsid w:val="00F93360"/>
    <w:rsid w:val="00F93FE4"/>
    <w:rsid w:val="00F947CA"/>
    <w:rsid w:val="00F95D24"/>
    <w:rsid w:val="00F97E4E"/>
    <w:rsid w:val="00FA0A4C"/>
    <w:rsid w:val="00FA1A40"/>
    <w:rsid w:val="00FA217B"/>
    <w:rsid w:val="00FB00BC"/>
    <w:rsid w:val="00FB0BC5"/>
    <w:rsid w:val="00FB0BCC"/>
    <w:rsid w:val="00FB5111"/>
    <w:rsid w:val="00FC0FE5"/>
    <w:rsid w:val="00FC1057"/>
    <w:rsid w:val="00FC6BB9"/>
    <w:rsid w:val="00FD1943"/>
    <w:rsid w:val="00FD1ABC"/>
    <w:rsid w:val="00FD6CF2"/>
    <w:rsid w:val="00FD7996"/>
    <w:rsid w:val="00FD7DDF"/>
    <w:rsid w:val="00FE125A"/>
    <w:rsid w:val="00FE1E3C"/>
    <w:rsid w:val="00FE3B6E"/>
    <w:rsid w:val="00FE4762"/>
    <w:rsid w:val="00FE49CC"/>
    <w:rsid w:val="00FE4C92"/>
    <w:rsid w:val="00FE5C60"/>
    <w:rsid w:val="00FF0FAA"/>
    <w:rsid w:val="00FF118A"/>
    <w:rsid w:val="00FF35ED"/>
    <w:rsid w:val="00FF3759"/>
    <w:rsid w:val="00FF4396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5:docId w15:val="{0EB922CC-E359-4839-A539-31F47895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mt-MT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21"/>
    <w:pPr>
      <w:spacing w:after="160" w:line="259" w:lineRule="auto"/>
    </w:pPr>
    <w:rPr>
      <w:rFonts w:asciiTheme="minorHAnsi" w:eastAsiaTheme="minorHAnsi" w:hAnsiTheme="minorHAnsi" w:cstheme="minorBidi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A42CA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3A42CA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3A42CA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3A42CA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A42CA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3A42CA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3A42CA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A42CA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3A42CA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7D73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D7321"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val="mt-MT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lang w:val="mt-MT"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val="mt-MT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val="mt-MT"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val="mt-MT"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val="mt-MT"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val="mt-MT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val="mt-MT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val="mt-MT" w:eastAsia="en-US" w:bidi="ar-SA"/>
    </w:rPr>
  </w:style>
  <w:style w:type="paragraph" w:styleId="Footer">
    <w:name w:val="footer"/>
    <w:basedOn w:val="Normal"/>
    <w:link w:val="FooterChar"/>
    <w:qFormat/>
    <w:rsid w:val="003A42CA"/>
  </w:style>
  <w:style w:type="character" w:customStyle="1" w:styleId="FooterChar">
    <w:name w:val="Footer Char"/>
    <w:basedOn w:val="DefaultParagraphFont"/>
    <w:link w:val="Footer"/>
    <w:locked/>
    <w:rsid w:val="00CB1536"/>
    <w:rPr>
      <w:lang w:val="mt-MT" w:eastAsia="en-US" w:bidi="ar-SA"/>
    </w:rPr>
  </w:style>
  <w:style w:type="paragraph" w:styleId="FootnoteText">
    <w:name w:val="footnote text"/>
    <w:basedOn w:val="Normal"/>
    <w:link w:val="FootnoteTextChar"/>
    <w:qFormat/>
    <w:rsid w:val="003A42CA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locked/>
    <w:rsid w:val="00CB1536"/>
    <w:rPr>
      <w:sz w:val="16"/>
      <w:lang w:val="mt-MT" w:eastAsia="en-US" w:bidi="ar-SA"/>
    </w:rPr>
  </w:style>
  <w:style w:type="paragraph" w:styleId="Header">
    <w:name w:val="header"/>
    <w:basedOn w:val="Normal"/>
    <w:link w:val="HeaderChar"/>
    <w:qFormat/>
    <w:rsid w:val="003A42CA"/>
  </w:style>
  <w:style w:type="character" w:customStyle="1" w:styleId="HeaderChar">
    <w:name w:val="Header Char"/>
    <w:basedOn w:val="DefaultParagraphFont"/>
    <w:link w:val="Header"/>
    <w:locked/>
    <w:rsid w:val="00CB1536"/>
    <w:rPr>
      <w:lang w:val="mt-MT"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3A42CA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customStyle="1" w:styleId="quotes">
    <w:name w:val="quotes"/>
    <w:basedOn w:val="Normal"/>
    <w:next w:val="Normal"/>
    <w:rsid w:val="003A42CA"/>
    <w:pPr>
      <w:ind w:left="720"/>
    </w:pPr>
    <w:rPr>
      <w:i/>
    </w:rPr>
  </w:style>
  <w:style w:type="paragraph" w:styleId="ListParagraph">
    <w:name w:val="List Paragraph"/>
    <w:basedOn w:val="Normal"/>
    <w:uiPriority w:val="34"/>
    <w:qFormat/>
    <w:rsid w:val="0093243F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464116"/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09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notes.xml.rels><?xml version='1.0' encoding='UTF-8' standalone='yes'?>
<Relationships xmlns="http://schemas.openxmlformats.org/package/2006/relationships"><Relationship Id="rId8" Type="http://schemas.openxmlformats.org/officeDocument/2006/relationships/hyperlink" Target="https://www.eurocontrol.int/publication/eurocontrol-data-snapshot-co2-emissions-flight-distance" TargetMode="External"/><Relationship Id="rId3" Type="http://schemas.openxmlformats.org/officeDocument/2006/relationships/hyperlink" Target="https://eur-lex.europa.eu/legal-content/MT/TXT/?uri=CELEX:52019DC0640&amp;qid=1633706782433" TargetMode="External"/><Relationship Id="rId7" Type="http://schemas.openxmlformats.org/officeDocument/2006/relationships/hyperlink" Target="https://eur-lex.europa.eu/legal-content/MT/TXT/?uri=CELEX:52021DC0560&amp;qid=1633707225323" TargetMode="External"/><Relationship Id="rId2" Type="http://schemas.openxmlformats.org/officeDocument/2006/relationships/hyperlink" Target="https://eur-lex.europa.eu/legal-content/MT/TXT/?uri=CELEX:52016AE0095" TargetMode="External"/><Relationship Id="rId1" Type="http://schemas.openxmlformats.org/officeDocument/2006/relationships/hyperlink" Target="https://eur-lex.europa.eu/legal-content/MT/TXT/?uri=CELEX:52020IE1239" TargetMode="External"/><Relationship Id="rId6" Type="http://schemas.openxmlformats.org/officeDocument/2006/relationships/hyperlink" Target="https://eur-lex.europa.eu/legal-content/MT/TXT/?uri=CELEX:52021PC0557&amp;qid=1633707139867" TargetMode="External"/><Relationship Id="rId11" Type="http://schemas.openxmlformats.org/officeDocument/2006/relationships/hyperlink" Target="https://www.bmvi.de/SharedDocs/DE/Anlage/LF/ptl-roadmap.pdf?__blob=publicationFile" TargetMode="External"/><Relationship Id="rId5" Type="http://schemas.openxmlformats.org/officeDocument/2006/relationships/hyperlink" Target="https://eur-lex.europa.eu/legal-content/MT/TXT/?uri=CELEX:52021PC0552&amp;qid=1633707033549" TargetMode="External"/><Relationship Id="rId10" Type="http://schemas.openxmlformats.org/officeDocument/2006/relationships/hyperlink" Target="https://eur-lex.europa.eu/legal-content/MT/TXT/?uri=CELEX:52021SC0633&amp;qid=1633706715852" TargetMode="External"/><Relationship Id="rId4" Type="http://schemas.openxmlformats.org/officeDocument/2006/relationships/hyperlink" Target="https://ec.europa.eu/transport/themes/mobilitystrategy_mt" TargetMode="External"/><Relationship Id="rId9" Type="http://schemas.openxmlformats.org/officeDocument/2006/relationships/hyperlink" Target="https://eur-lex.europa.eu/legal-content/MT/TXT/?uri=CELEX:52021SC0633&amp;qid=1633706715852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V63NAVDT5PV3-197900780-11424</_dlc_DocId>
    <_dlc_DocIdUrl xmlns="01cfe264-354f-4f3f-acd0-cf26eb309336">
      <Url>http://dm/eesc/2021/_layouts/15/DocIdRedir.aspx?ID=V63NAVDT5PV3-197900780-11424</Url>
      <Description>V63NAVDT5PV3-197900780-11424</Description>
    </_dlc_DocIdUrl>
    <Procedure xmlns="01cfe264-354f-4f3f-acd0-cf26eb309336">2021/0205(COD)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2021-10-22T12:00:00+00:00</ProductionDate>
    <DocumentNumber xmlns="1bc4b14f-a4b5-43b1-8863-417d54b6b72f">2594</DocumentNumber>
    <FicheYear xmlns="01cfe264-354f-4f3f-acd0-cf26eb309336" xsi:nil="true"/>
    <DocumentVersion xmlns="01cfe264-354f-4f3f-acd0-cf26eb309336">0</DocumentVersion>
    <DossierNumber xmlns="01cfe264-354f-4f3f-acd0-cf26eb309336">744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 xsi:nil="true"/>
    <TaxCatchAll xmlns="01cfe264-354f-4f3f-acd0-cf26eb309336">
      <Value>86</Value>
      <Value>66</Value>
      <Value>58</Value>
      <Value>47</Value>
      <Value>45</Value>
      <Value>42</Value>
      <Value>41</Value>
      <Value>40</Value>
      <Value>39</Value>
      <Value>38</Value>
      <Value>37</Value>
      <Value>35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11</Value>
      <Value>9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Rapporteur xmlns="01cfe264-354f-4f3f-acd0-cf26eb309336">KROPP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01cfe264-354f-4f3f-acd0-cf26eb309336">2021</DocumentYear>
    <FicheNumber xmlns="01cfe264-354f-4f3f-acd0-cf26eb309336">12773</FicheNumber>
    <OriginalSender xmlns="01cfe264-354f-4f3f-acd0-cf26eb309336">
      <UserInfo>
        <DisplayName>Zerafa Ramon</DisplayName>
        <AccountId>1955</AccountId>
        <AccountType/>
      </UserInfo>
    </OriginalSender>
    <DocumentPart xmlns="01cfe264-354f-4f3f-acd0-cf26eb309336">0</DocumentPart>
    <AdoptionDate xmlns="01cfe264-354f-4f3f-acd0-cf26eb309336">2021-10-20T12:00:00+00:00</AdoptionDate>
    <RequestingService xmlns="01cfe264-354f-4f3f-acd0-cf26eb309336">Transports, énergie, infrastructures,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bc4b14f-a4b5-43b1-8863-417d54b6b72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690440AC106F944B6F22BE813F1E9BC" ma:contentTypeVersion="6" ma:contentTypeDescription="Defines the documents for Document Manager V2" ma:contentTypeScope="" ma:versionID="d519d576acc3faf30814d5b68e6ef22c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bc4b14f-a4b5-43b1-8863-417d54b6b72f" targetNamespace="http://schemas.microsoft.com/office/2006/metadata/properties" ma:root="true" ma:fieldsID="52b7c5fda01af84229fc452a92b24884" ns2:_="" ns3:_="" ns4:_="">
    <xsd:import namespace="01cfe264-354f-4f3f-acd0-cf26eb309336"/>
    <xsd:import namespace="http://schemas.microsoft.com/sharepoint/v3/fields"/>
    <xsd:import namespace="1bc4b14f-a4b5-43b1-8863-417d54b6b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  <xsd:element ref="ns2:Original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  <xsd:element name="OriginalSender" ma:index="47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b14f-a4b5-43b1-8863-417d54b6b72f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00C38-9EC3-487C-9F55-331FA0F5D101}"/>
</file>

<file path=customXml/itemProps2.xml><?xml version="1.0" encoding="utf-8"?>
<ds:datastoreItem xmlns:ds="http://schemas.openxmlformats.org/officeDocument/2006/customXml" ds:itemID="{0827C7F9-0DD4-4631-A708-613572FB9930}"/>
</file>

<file path=customXml/itemProps3.xml><?xml version="1.0" encoding="utf-8"?>
<ds:datastoreItem xmlns:ds="http://schemas.openxmlformats.org/officeDocument/2006/customXml" ds:itemID="{00E3ECCA-8342-4239-A928-8718DA6EC008}"/>
</file>

<file path=customXml/itemProps4.xml><?xml version="1.0" encoding="utf-8"?>
<ds:datastoreItem xmlns:ds="http://schemas.openxmlformats.org/officeDocument/2006/customXml" ds:itemID="{A681070D-B14C-438C-843D-E3049C72E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3719</Words>
  <Characters>21203</Characters>
  <Application>Microsoft Office Word</Application>
  <DocSecurity>0</DocSecurity>
  <Lines>176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ReFuelEU Aviation</vt:lpstr>
      <vt:lpstr>NEW EESC MODEL  - DT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24873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ReFuelEU Avjazzjoni</dc:title>
  <dc:subject>AC</dc:subject>
  <dc:creator/>
  <cp:keywords>EESC-2021-02594-00-00-AC-TRA-EN</cp:keywords>
  <dc:description>Rapporteur: KROPP - Original language: EN - Date of document: 22/10/2021 - Date of meeting:  - External documents: COM(2021)561- final - Administrator: Mme JANICAUDNÉ BAZSIK Agota</dc:description>
  <cp:lastModifiedBy/>
  <cp:revision>14</cp:revision>
  <cp:lastPrinted>2016-01-26T08:31:00Z</cp:lastPrinted>
  <dcterms:created xsi:type="dcterms:W3CDTF">2021-10-22T07:14:00Z</dcterms:created>
  <dcterms:modified xsi:type="dcterms:W3CDTF">2022-03-18T21:12:00Z</dcterms:modified>
  <cp:category>TEN/744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22/10/2021, 11/10/2021, 11/10/2021, 22/09/2021, 18/08/2021, 18/08/2021, 04/11/2015, 27/10/2015, 19/10/2015, 09/10/2015, 05/10/2015, 05/10/2015, 26/08/2015, 26/08/2015, 25/08/2015</vt:lpwstr>
  </property>
  <property fmtid="{D5CDD505-2E9C-101B-9397-08002B2CF9AE}" pid="4" name="Pref_Time">
    <vt:lpwstr>09:14:14, 09:03:05, 08:31:38, 17:39:53, 16:14:37, 16:08:11, 12:10:07, 14:44:02, 16:04:16, 14:09:30, 16:24:55, 16:04:02, 08:56:14, 07:27:56, 17:31:53</vt:lpwstr>
  </property>
  <property fmtid="{D5CDD505-2E9C-101B-9397-08002B2CF9AE}" pid="5" name="Pref_User">
    <vt:lpwstr>hnic, hnic, ymur, hnic, enied, htoo, ssex, enied, amett, tvoc, mreg, mreg, amett, enied, ssex</vt:lpwstr>
  </property>
  <property fmtid="{D5CDD505-2E9C-101B-9397-08002B2CF9AE}" pid="6" name="Pref_FileName">
    <vt:lpwstr>EESC-2021-02594-00-00-AC-ORI.docx, EESC-2021-02594-00-00-AS-TRA-EN-CRR.docx, EESC-2021-02594-00-00-AS-CRR-EN.docx, EESC-2021-02594-00-00-PA-ORI.docx, EESC-2021-02594-00-00-DT-TRA-EN-CRR.docx, EESC-2021-02594-00-00-DT-CRR-EN.docx, EESC-2015-05408-00-00-PA-</vt:lpwstr>
  </property>
  <property fmtid="{D5CDD505-2E9C-101B-9397-08002B2CF9AE}" pid="7" name="ContentTypeId">
    <vt:lpwstr>0x010100EA97B91038054C99906057A708A1480A009690440AC106F944B6F22BE813F1E9BC</vt:lpwstr>
  </property>
  <property fmtid="{D5CDD505-2E9C-101B-9397-08002B2CF9AE}" pid="8" name="_dlc_DocIdItemGuid">
    <vt:lpwstr>9c05244a-764e-4725-80f7-b4b7ebc77dad</vt:lpwstr>
  </property>
  <property fmtid="{D5CDD505-2E9C-101B-9397-08002B2CF9AE}" pid="9" name="Procedure">
    <vt:lpwstr>2021/0205(COD)</vt:lpwstr>
  </property>
  <property fmtid="{D5CDD505-2E9C-101B-9397-08002B2CF9AE}" pid="10" name="AvailableTranslations">
    <vt:lpwstr>13;#PT|50ccc04a-eadd-42ae-a0cb-acaf45f812ba;#14;#ET|ff6c3f4c-b02c-4c3c-ab07-2c37995a7a0a;#25;#CS|72f9705b-0217-4fd3-bea2-cbc7ed80e26e;#37;#EL|6d4f4d51-af9b-4650-94b4-4276bee85c91;#21;#HU|6b229040-c589-4408-b4c1-4285663d20a8;#38;#HR|2f555653-ed1a-4fe6-8362</vt:lpwstr>
  </property>
  <property fmtid="{D5CDD505-2E9C-101B-9397-08002B2CF9AE}" pid="11" name="DocumentType_0">
    <vt:lpwstr>AC|a4cc1d15-fb08-4679-ad46-e4e0cba5fe92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2594</vt:i4>
  </property>
  <property fmtid="{D5CDD505-2E9C-101B-9397-08002B2CF9AE}" pid="15" name="DocumentVersion">
    <vt:i4>0</vt:i4>
  </property>
  <property fmtid="{D5CDD505-2E9C-101B-9397-08002B2CF9AE}" pid="16" name="DossierNumber">
    <vt:i4>744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>47;#TEN|5e12260d-3aca-41f8-baf2-ad3d18475f10</vt:lpwstr>
  </property>
  <property fmtid="{D5CDD505-2E9C-101B-9397-08002B2CF9AE}" pid="20" name="DocumentSource">
    <vt:lpwstr>1;#EESC|422833ec-8d7e-4e65-8e4e-8bed07ffb729</vt:lpwstr>
  </property>
  <property fmtid="{D5CDD505-2E9C-101B-9397-08002B2CF9AE}" pid="21" name="AdoptionDate">
    <vt:filetime>2021-10-20T12:00:00Z</vt:filetime>
  </property>
  <property fmtid="{D5CDD505-2E9C-101B-9397-08002B2CF9AE}" pid="22" name="DocumentType">
    <vt:lpwstr>86;#AC|a4cc1d15-fb08-4679-ad46-e4e0cba5fe92</vt:lpwstr>
  </property>
  <property fmtid="{D5CDD505-2E9C-101B-9397-08002B2CF9AE}" pid="23" name="RequestingService">
    <vt:lpwstr>Transports, énergie, infrastructures, société de l'information</vt:lpwstr>
  </property>
  <property fmtid="{D5CDD505-2E9C-101B-9397-08002B2CF9AE}" pid="24" name="Confidentiality">
    <vt:lpwstr>5;#Unrestricted|826e22d7-d029-4ec0-a450-0c28ff673572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9;#EN|f2175f21-25d7-44a3-96da-d6a61b075e1b</vt:lpwstr>
  </property>
  <property fmtid="{D5CDD505-2E9C-101B-9397-08002B2CF9AE}" pid="28" name="MeetingName">
    <vt:lpwstr/>
  </property>
  <property fmtid="{D5CDD505-2E9C-101B-9397-08002B2CF9AE}" pid="29" name="AvailableTranslations_0">
    <vt:lpwstr>PT|50ccc04a-eadd-42ae-a0cb-acaf45f812ba;ET|ff6c3f4c-b02c-4c3c-ab07-2c37995a7a0a;EL|6d4f4d51-af9b-4650-94b4-4276bee85c91;HU|6b229040-c589-4408-b4c1-4285663d20a8;PL|1e03da61-4678-4e07-b136-b5024ca9197b;EN|f2175f21-25d7-44a3-96da-d6a61b075e1b;RO|feb747a2-64c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35;#PL|1e03da61-4678-4e07-b136-b5024ca9197b;#28;#ES|e7a6b05b-ae16-40c8-add9-68b64b03aeba;#12;#DA|5d49c027-8956-412b-aa16-e85a0f96ad0e;#21;#HU|6b229040-c589-4408-b4c1-4285663d20a8;#16;#IT|0774613c-01ed-4e5d-a25d-11d2388de825;#15;#LT|a7ff5ce7-6123-4f68-865a</vt:lpwstr>
  </property>
  <property fmtid="{D5CDD505-2E9C-101B-9397-08002B2CF9AE}" pid="33" name="Rapporteur">
    <vt:lpwstr>KROPP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Year">
    <vt:i4>2021</vt:i4>
  </property>
  <property fmtid="{D5CDD505-2E9C-101B-9397-08002B2CF9AE}" pid="37" name="FicheNumber">
    <vt:i4>12773</vt:i4>
  </property>
  <property fmtid="{D5CDD505-2E9C-101B-9397-08002B2CF9AE}" pid="38" name="DocumentLanguage">
    <vt:lpwstr>58;#MT|7df99101-6854-4a26-b53a-b88c0da02c26</vt:lpwstr>
  </property>
  <property name="OP_sanitized" fmtid="{D5CDD505-2E9C-101B-9397-08002B2CF9AE}" pid="39">
    <vt:lpwstr>True</vt:lpwstr>
  </property>
</Properties>
</file>