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A40A20CE-BB11-4581-93FA-1DFE59F751FF" style="width:455.25pt;height:426pt">
            <v:imagedata r:id="rId9" o:title=""/>
          </v:shape>
        </w:pict>
      </w:r>
    </w:p>
    <w:p>
      <w:pPr>
        <w:rPr>
          <w:noProof/>
        </w:rPr>
        <w:sectPr>
          <w:footerReference w:type="default" r:id="rId10"/>
          <w:footnotePr>
            <w:numRestart w:val="eachPage"/>
          </w:footnotePr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MEMORANDUM TA’ SPJEGAZZJONI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KUNTEST TAL-ATT DELEGAT</w:t>
      </w:r>
    </w:p>
    <w:p>
      <w:pPr>
        <w:rPr>
          <w:noProof/>
        </w:rPr>
      </w:pPr>
      <w:r>
        <w:rPr>
          <w:noProof/>
        </w:rPr>
        <w:t>Ir-Regolament (UE) 2019/2144 tal-Parlament Ewropew u tal-Kunsill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jeżiġi li l-vetturi bil-mutur tal-kategoriji M u N jkunu mgħammra b’sistemi ta’ assistenza intelliġenti tal-veloċità (ISA) mis-6 ta’ Lulju 2022 għal tipi ġodda ta’ vetturi u mis-7 ta’ Lulju 2024 għall-vetturi l-ġodda kollha.</w:t>
      </w:r>
    </w:p>
    <w:p>
      <w:pPr>
        <w:rPr>
          <w:noProof/>
        </w:rPr>
      </w:pPr>
      <w:r>
        <w:rPr>
          <w:noProof/>
          <w:color w:val="000000" w:themeColor="text1"/>
        </w:rPr>
        <w:t xml:space="preserve">Fl-2019 kien hemm kważi 23 000 fatalità fit-toroq tal-UE. </w:t>
      </w:r>
      <w:r>
        <w:rPr>
          <w:noProof/>
        </w:rPr>
        <w:t>Is-sewqan b’veloċità eċċessiva jew mhux xierqa huwa theddida kbira għas-sikurezza fit-toroq. Huwa stmat li bejn 10 % u 15 % tal-ħabtiet kollha u 30 % tal-ħabtiet fatali kollha huma kkawżati b’mod dirett minn veloċità eċċessiva jew minn veloċità mhux xierqa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. Is-soluzzjonijiet tekniċi li jgħinu lis-sewwieqa jnaqqsu l-veloċità tas-sewqan </w:t>
      </w:r>
      <w:r>
        <w:rPr>
          <w:noProof/>
          <w:color w:val="000000" w:themeColor="text1"/>
        </w:rPr>
        <w:t>jista’ jkollhom impatt profond fuq l-eżitu tal-aċċidenti u t-tnaqqis tal-livelli ta’ korrimenti.</w:t>
      </w:r>
    </w:p>
    <w:p>
      <w:pPr>
        <w:rPr>
          <w:noProof/>
        </w:rPr>
      </w:pPr>
      <w:r>
        <w:rPr>
          <w:noProof/>
        </w:rPr>
        <w:t>L-Assistenza Intelliġenti tal-Veloċità (ISA) hija sistema li tinnotifika lis-sewwieqa u tħeġġiġhom inaqqsu l-veloċità tagħhom meta jaqbżu l-limitu tal-veloċità. Is-sistema taħdem mas-sewwieq bħala funzjoni ta’ assistenza, permezz tal-kontroll tal-aċċelleratur, jew permezz ta’ feedback dedikat, xieraq u effettiv ieħor, filwaqt li s-sewwieq dejjem ikollu kontroll sħiħ tal-veloċità tas-sewqan tal-vettura. Hija miżura ta’ sikurezza effettiva għaliex anke veloċità tas-sewqan imnaqqsa bi ftit għandha effett ta’ benefiċċju sinifikanti fuq l-evitar tal-aċċidenti jew il-mitigazzjoni tal-eżitu tal-aċċidenti.</w:t>
      </w:r>
    </w:p>
    <w:p>
      <w:pPr>
        <w:rPr>
          <w:noProof/>
        </w:rPr>
      </w:pPr>
      <w:r>
        <w:rPr>
          <w:noProof/>
        </w:rPr>
        <w:t>Il-Kummissjoni għandha s-setgħa tistabbilixxi regoli dettaljati dwar il-proċeduri ta’ ttestjar speċifiċi u r-rekwiżiti tekniċi għall-approvazzjoni tat-tip ta’ vetturi bil-mutur fir-rigward tas-sistemi ta’ assistenza intelliġenti tal-veloċità kif ukoll għall-approvazzjoni tat-tip ta’ dawk is-sistemi bħala unitajiet tekniċi separati. Dan ir-Regolament Delegat tal-Kummissjoni jissupplimenta r-Regolament (UE) 2019/2144 billi jistabbilixxi r-rekwiżiti tekniċi rispettivi u l-proċeduri ta’ ttestjar.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KONSULTAZZJONIJIET QABEL L-ADOZZJONI TAL-ATT</w:t>
      </w:r>
    </w:p>
    <w:p>
      <w:pPr>
        <w:rPr>
          <w:noProof/>
        </w:rPr>
      </w:pPr>
      <w:r>
        <w:rPr>
          <w:noProof/>
        </w:rPr>
        <w:t>Fit-tħejjija ta’ dan l-att, il-Kummissjoni għamlet konsultazzjonijiet xierqa mal-esperti tal-Istati Membri u mal-partijiet ikkonċernati. L-iskambju ta’ fehmiet dwar l-approċċ propost seħħ fil-laqgħat tal-Grupp ta’ Ħidma dwar il-Vetturi bil-Mutur li saru fit-8 ta’ Lulju, fit-8 ta’ Ottubru, fid-9 ta’ Novembru (</w:t>
      </w:r>
      <w:r>
        <w:rPr>
          <w:i/>
          <w:noProof/>
        </w:rPr>
        <w:t>ad hoc</w:t>
      </w:r>
      <w:r>
        <w:rPr>
          <w:noProof/>
        </w:rPr>
        <w:t xml:space="preserve">), fis-16 ta’ Diċembru 2020 u fil-21 ta’ April 2021, kif ukoll fil-laqgħa tal-Grupp ta’ Esperti tal-Istati Membri fit-18 ta’ Jannar 2021 u fl-20 ta’ Mejju 2021. </w:t>
      </w:r>
    </w:p>
    <w:p>
      <w:pPr>
        <w:rPr>
          <w:noProof/>
        </w:rPr>
      </w:pPr>
      <w:r>
        <w:rPr>
          <w:noProof/>
        </w:rPr>
        <w:t>Il-mistoqsijiet li tqajmu fil-proċess ta’ konsultazzjoni kienu relatati mal-effettività tal-funzjoni ta’ twissija akustika kaskata tal-ISA (waħda mill-erba’ għażliet proposti fl-abbozz) u mal-potenzjal tagħha li tkun irritanti għas-sewwieqa f’kundizzjonijiet reali tas-sewqan; il-livell tar-rekwiżiti tar-rata tal-prestazzjoni għas-sistemi tal-ISA, li jistgħu jkunu partikolarment ta’ sfida fir-rigward tal-konformità tas-sistemi tal-ISA mas-sinjali tal-limitu tal-veloċità impliċitu; l-istatus tal-vetturi mgħammra b’sistemi tal-ISA li bdew jintużaw qabel l-adozzjoni tar-Regolament (UE) 2019/2144 u li mhumiex konformi bis-sħiħ mar-rekwiżiti tekniċi skont dan ir-Regolament Delegat.</w:t>
      </w:r>
    </w:p>
    <w:p>
      <w:pPr>
        <w:rPr>
          <w:noProof/>
        </w:rPr>
      </w:pPr>
      <w:r>
        <w:rPr>
          <w:noProof/>
        </w:rPr>
        <w:t>Ir-Regolament Delegat tal-Kummissjoni jindirizza kemm jista’ jkun it-tħassib li tqajjem fil-konsultazzjoni u huwa appoġġat b’mod ġenerali mill-Istati Membri tal-UE u mill-partijiet ikkonċernati.</w:t>
      </w:r>
    </w:p>
    <w:p>
      <w:pPr>
        <w:pStyle w:val="ManualHeading1"/>
        <w:rPr>
          <w:noProof/>
        </w:rPr>
      </w:pPr>
      <w:r>
        <w:rPr>
          <w:noProof/>
        </w:rPr>
        <w:lastRenderedPageBreak/>
        <w:t>3.</w:t>
      </w:r>
      <w:r>
        <w:rPr>
          <w:noProof/>
        </w:rPr>
        <w:tab/>
        <w:t>ELEMENTI ĠURIDIĊI TAL-ATT DELEGAT</w:t>
      </w:r>
    </w:p>
    <w:p>
      <w:pPr>
        <w:rPr>
          <w:noProof/>
        </w:rPr>
      </w:pPr>
      <w:r>
        <w:rPr>
          <w:noProof/>
        </w:rPr>
        <w:t>Il-bażi ġuridika ta’ dan l-att delegat hija l-Artikolu 4(6) u l-Artikolu 6(6) tar-Regolament (UE) 2019/2144 tal-Parlament Ewropew u tal-Kunsill.</w:t>
      </w:r>
    </w:p>
    <w:p>
      <w:pPr>
        <w:rPr>
          <w:noProof/>
        </w:rPr>
      </w:pPr>
      <w:r>
        <w:rPr>
          <w:noProof/>
        </w:rPr>
        <w:t>Is-sistemi tal-ISA iridu jipprovdu feedback xieraq u effettiv lis-sewwieq f’każ ta’ kundizzjonijiet ta’ veloċità eċċessiva. Fl-istat ta’ żvilupp attwali tat-teknoloġija, hemm diversi għażliet tekniċi għall-metodoloġija tal-feedback. Madankollu, mhux kollha jistgħu jintużaw f’kull vettura bil-mutur (għaliex dan jiddependi fuq il-magna, it-tip ta’ propulsjoni (ibrida), il-gearbox, eċċ.). Għalhekk, fir-Regolament Delegat huwa previst li l-manifatturi tal-vetturi jistgħu jagħżlu waħda mill-erba’ metodoloġiji ta’ feedback li ġejjin biex jibbażaw is-sistemi tagħhom tal-ISA fuqha:</w:t>
      </w:r>
    </w:p>
    <w:p>
      <w:pPr>
        <w:pStyle w:val="Point0"/>
        <w:rPr>
          <w:noProof/>
        </w:rPr>
      </w:pPr>
      <w:r>
        <w:t>(1)</w:t>
      </w:r>
      <w:r>
        <w:tab/>
      </w:r>
      <w:r>
        <w:rPr>
          <w:noProof/>
        </w:rPr>
        <w:t>is-sistema ta’ feedback tattili li tiddependi fuq il-forza ta’ restawr tal-pedala:</w:t>
      </w:r>
    </w:p>
    <w:p>
      <w:pPr>
        <w:pStyle w:val="Tiret0"/>
        <w:numPr>
          <w:ilvl w:val="0"/>
          <w:numId w:val="12"/>
        </w:numPr>
        <w:ind w:hanging="141"/>
        <w:rPr>
          <w:noProof/>
        </w:rPr>
      </w:pPr>
      <w:r>
        <w:rPr>
          <w:noProof/>
        </w:rPr>
        <w:t>Sieq is-sewwieq tiġi mbuttata lura bil-mod f’każ ta’ veloċità eċċessiva. Din is-sistema tgħin biex titnaqqas il-veloċità tas-sewqan u tista’ tiġi diżattivata mis-sewwieq.</w:t>
      </w:r>
    </w:p>
    <w:p>
      <w:pPr>
        <w:pStyle w:val="Point0"/>
        <w:rPr>
          <w:noProof/>
        </w:rPr>
      </w:pPr>
      <w:r>
        <w:t>(2)</w:t>
      </w:r>
      <w:r>
        <w:tab/>
      </w:r>
      <w:r>
        <w:rPr>
          <w:noProof/>
        </w:rPr>
        <w:t>is-sistema ta’ kontroll tal-veloċità li tiddependi fuq il-ġestjoni tal-magna:</w:t>
      </w:r>
    </w:p>
    <w:p>
      <w:pPr>
        <w:pStyle w:val="Tiret0"/>
        <w:ind w:hanging="141"/>
        <w:rPr>
          <w:noProof/>
        </w:rPr>
      </w:pPr>
      <w:r>
        <w:rPr>
          <w:noProof/>
        </w:rPr>
        <w:t>Tnaqqis awtomatiku tal-potenza tal-propulsjoni b’mod indipendenti mill-pożizzjoni ta’ sieq is-sewwieq fuq il-pedala, iżda din is-sistema wkoll tista’ tiġi diżattivata faċilment mis-sewwieq.</w:t>
      </w:r>
    </w:p>
    <w:p>
      <w:pPr>
        <w:pStyle w:val="Point0"/>
        <w:rPr>
          <w:noProof/>
        </w:rPr>
      </w:pPr>
      <w:r>
        <w:t>(3)</w:t>
      </w:r>
      <w:r>
        <w:tab/>
      </w:r>
      <w:r>
        <w:rPr>
          <w:noProof/>
        </w:rPr>
        <w:t>it-twissija akustika kaskata:</w:t>
      </w:r>
    </w:p>
    <w:p>
      <w:pPr>
        <w:pStyle w:val="Tiret0"/>
        <w:ind w:hanging="141"/>
        <w:rPr>
          <w:noProof/>
        </w:rPr>
      </w:pPr>
      <w:r>
        <w:rPr>
          <w:noProof/>
        </w:rPr>
        <w:t>L-1 pass: teptipa ta’ sinjal ottiku</w:t>
      </w:r>
    </w:p>
    <w:p>
      <w:pPr>
        <w:pStyle w:val="Tiret0"/>
        <w:ind w:hanging="141"/>
        <w:rPr>
          <w:noProof/>
        </w:rPr>
      </w:pPr>
      <w:r>
        <w:rPr>
          <w:noProof/>
        </w:rPr>
        <w:t>It-2 pass: wara diversi sekondi, jekk ma jkun hemm l-ebda reazzjoni mis-sewwieq, it-twissija akustika tiġi attivata</w:t>
      </w:r>
    </w:p>
    <w:p>
      <w:pPr>
        <w:pStyle w:val="Tiret0"/>
        <w:ind w:hanging="141"/>
        <w:rPr>
          <w:noProof/>
        </w:rPr>
      </w:pPr>
      <w:r>
        <w:rPr>
          <w:noProof/>
        </w:rPr>
        <w:t>Jekk is-sewwieq jinjora dan il-feedback ikkombinat, iż-żewġ twissijiet jieqfu wara ċertu ammont ta’ ħin.</w:t>
      </w:r>
    </w:p>
    <w:p>
      <w:pPr>
        <w:pStyle w:val="Point0"/>
        <w:rPr>
          <w:noProof/>
        </w:rPr>
      </w:pPr>
      <w:r>
        <w:t>(4)</w:t>
      </w:r>
      <w:r>
        <w:tab/>
      </w:r>
      <w:r>
        <w:rPr>
          <w:noProof/>
        </w:rPr>
        <w:t>it-twissija b’vibrazzjoni kaskata</w:t>
      </w:r>
    </w:p>
    <w:p>
      <w:pPr>
        <w:pStyle w:val="Tiret0"/>
        <w:ind w:hanging="141"/>
        <w:rPr>
          <w:noProof/>
        </w:rPr>
      </w:pPr>
      <w:r>
        <w:rPr>
          <w:noProof/>
        </w:rPr>
        <w:t xml:space="preserve">L-1 pass: teptipa ta’ sinjal ottiku </w:t>
      </w:r>
    </w:p>
    <w:p>
      <w:pPr>
        <w:pStyle w:val="Tiret0"/>
        <w:ind w:hanging="141"/>
        <w:rPr>
          <w:noProof/>
        </w:rPr>
      </w:pPr>
      <w:r>
        <w:rPr>
          <w:noProof/>
        </w:rPr>
        <w:t xml:space="preserve">It-2 pass: wara diversi sekondi, jekk ma jkun hemm l-ebda reazzjoni mis-sewwieq, il-pedala tivvibra  </w:t>
      </w:r>
    </w:p>
    <w:p>
      <w:pPr>
        <w:pStyle w:val="Tiret0"/>
        <w:ind w:hanging="141"/>
        <w:rPr>
          <w:noProof/>
        </w:rPr>
      </w:pPr>
      <w:r>
        <w:rPr>
          <w:noProof/>
        </w:rPr>
        <w:t>Jekk is-sewwieq jinjora dan il-feedback ikkombinat, iż-żewġ twissijiet jieqfu wara ċertu ammont ta’ ħin.</w:t>
      </w:r>
    </w:p>
    <w:p>
      <w:pPr>
        <w:rPr>
          <w:noProof/>
        </w:rPr>
      </w:pPr>
      <w:r>
        <w:rPr>
          <w:noProof/>
        </w:rPr>
        <w:t xml:space="preserve">Minkejja d-differenzi funzjonali, is-sistemi tal-ISA ibbażati fuq kull waħda minn dawn l-erba’ għażliet huma meqjusa sikuri u effettivi b’mod ugwali. </w:t>
      </w:r>
    </w:p>
    <w:p>
      <w:pPr>
        <w:rPr>
          <w:noProof/>
        </w:rPr>
      </w:pPr>
      <w:r>
        <w:rPr>
          <w:noProof/>
        </w:rPr>
        <w:t xml:space="preserve">Is-sistema ta’ informazzjoni bażika dwar il-limitu tal-veloċità (SLI - twissija viżwali biss), li llum hija teknoloġija disponibbli f’xi vetturi bil-mutur, hija stmata li hija 20 % inqas effettiva minħabba li għadd ta’ twissijiet viżwali ma jiġux innutati mis-sewwieqa. Għalhekk, hija meqjusa mhux effettiva jew xierqa biżżejjed biex tiġi pprovduta bħala teknoloġija ta’ feedback weħidha f’dan ir-Regolament. </w:t>
      </w:r>
    </w:p>
    <w:p>
      <w:pPr>
        <w:rPr>
          <w:noProof/>
        </w:rPr>
      </w:pPr>
      <w:r>
        <w:rPr>
          <w:noProof/>
        </w:rPr>
        <w:t xml:space="preserve">Min-naħa l-oħra, jidher li t-twissija akustika hija effettiva ħafna f’termini ta’ reazzjoni mis-sewwieq, iżda titqies li hija irritanti. </w:t>
      </w:r>
    </w:p>
    <w:p>
      <w:pPr>
        <w:spacing w:before="0" w:after="0"/>
        <w:rPr>
          <w:noProof/>
        </w:rPr>
      </w:pPr>
      <w:r>
        <w:rPr>
          <w:noProof/>
        </w:rPr>
        <w:t>L-element ta’ irritazzjoni huwa importanti b’rabta mal-għażla tat-teknoloġija. Għalhekk, għal kull avveniment ta’ veloċità eċċessiva, l-għażla ta’ twissija akustika kaskata tikkombina s-sinjal ottiku, li mhuwiex irritanti iżda li huwa inqas effettiv, mat-twissija akustika bħala riżerva. Biex jiġi żgurat li t-twissija ma ssirx mhux mixtieqa, it-tul ta’ żmien ta’ attivazzjoni tagħha jinżamm qasir. Għalhekk, hija mfassla b’tali mod li ttaffi l-element ta’ irritazzjoni b’mod xieraq.</w:t>
      </w:r>
    </w:p>
    <w:p>
      <w:pPr>
        <w:rPr>
          <w:noProof/>
        </w:rPr>
      </w:pPr>
      <w:r>
        <w:rPr>
          <w:noProof/>
        </w:rPr>
        <w:t xml:space="preserve">F’dan l-istadju, ma hemm l-ebda evidenza konklużiva dwar liema mill-erba’ teknoloġiji ta’ feedback proposti se jkunu ferm aktar effettivi jew inqas irritanti f’kundizzjonijiet reali tas-sewqan fl-UE. Ir-riċerka kollha disponibbli bħalissa u li ġiet analizzata rigward l-effettività u l-irritazzjoni, inkluż dwar il-ħoss ta’ twissija, tirrifletti primarjament l-ittestjar ta’ simulazzjoni fil-laboratorju u mhux il-prestazzjoni f’kundizzjonijiet reali tas-sewqan, peress li dawk is-sistemi konformi mal-ISA se jintużaw fil-vetturi bil-mutur biss minn issa ’l quddiem. </w:t>
      </w:r>
    </w:p>
    <w:p>
      <w:pPr>
        <w:rPr>
          <w:noProof/>
        </w:rPr>
      </w:pPr>
      <w:r>
        <w:rPr>
          <w:noProof/>
        </w:rPr>
        <w:t>L-effettività u l-affidabbiltà tal-metodoloġiji differenti użati mis-sistemi tal-ISA jridu jiġu vvalutati ladarba jkun tqiegħed fis-suq għadd suffiċjenti ta’ vetturi bil-mutur mgħammra b’sistemi bħal dawn, u tkun disponibbli l-esperjenza reali rilevanti waqt is-sewqan. Huwa essenzjali wkoll li l-prestazzjoni tas-sistemi tal-ISA bbażati fuq il-metodoloġiji previsti f’dan ir-Regolament Delegat tal-Kummissjoni tiġi evalwata malajr kemm jista’ jkun u, jekk ikun meħtieġ, li r-rekwiżiti tekniċi jiġu emendati kif xieraq. Huwa previst li l-Kummissjoni trid tivvaluta l-prestazzjoni tas-sistemi tal-ISA sal-31 ta’ Diċembru 2025 (li huwa aktar kmieni mir-rieżami ġenerali previst fl-Artikolu 14 tar-Regolament (UE) 2019/2144, sa Lulju 2027) abbażi tal-informazzjoni li għandha tiġi pprovduta mill-manifatturi tal-vetturi u mill-awtoritajiet tal-approvazzjoni tal-Istati Membri tal-UE.</w:t>
      </w:r>
    </w:p>
    <w:p>
      <w:pPr>
        <w:rPr>
          <w:noProof/>
        </w:rPr>
      </w:pPr>
      <w:r>
        <w:rPr>
          <w:noProof/>
        </w:rPr>
        <w:t xml:space="preserve">Għall-finijiet tal-ittestjar u l-validazzjoni tal-approvazzjoni tat-tip tas-sistemi tal-ISA f’kundizzjonijiet reali tas-sewqan, fl-Annessi ta’ dan ir-Regolament hemm inkluż katalogu ta’ sinjali skont il-pajjiż. </w:t>
      </w:r>
    </w:p>
    <w:p>
      <w:pPr>
        <w:rPr>
          <w:noProof/>
        </w:rPr>
      </w:pPr>
      <w:r>
        <w:rPr>
          <w:noProof/>
        </w:rPr>
        <w:t>Id-dispożizzjonijiet ta’ dan ir-Regolament Delegat tal-Kummissjoni se japplikaw mid-data tal-applikazzjoni tar-Regolament (UE) 2019/2144.</w:t>
      </w:r>
    </w:p>
    <w:p>
      <w:pPr>
        <w:rPr>
          <w:noProof/>
        </w:rPr>
      </w:pPr>
      <w:r>
        <w:rPr>
          <w:noProof/>
        </w:rPr>
        <w:t>Dan ir-Regolament Delegat tal-Kummissjoni jemenda wkoll l-Anness II tar-Regolament (UE) 2019/2144 billi jżid referenza għall-att regolatorju li jistabbilixxi r-rekwiżiti speċifiċi fir-rigward tas-sistemi ta’ assistenza intelliġenti tal-veloċità.</w:t>
      </w:r>
    </w:p>
    <w:p>
      <w:pPr>
        <w:rPr>
          <w:noProof/>
        </w:rPr>
        <w:sectPr>
          <w:footerReference w:type="default" r:id="rId11"/>
          <w:footerReference w:type="first" r:id="rId12"/>
          <w:footnotePr>
            <w:numRestart w:val="eachPage"/>
          </w:footnotePr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>
      <w:pPr>
        <w:pStyle w:val="Typedudocument"/>
        <w:rPr>
          <w:noProof/>
        </w:rPr>
      </w:pPr>
      <w:r>
        <w:rPr>
          <w:noProof/>
        </w:rPr>
        <w:t>REGOLAMENT DELEGAT TAL-KUMMISSJONI (UE) .../...</w:t>
      </w:r>
    </w:p>
    <w:p>
      <w:pPr>
        <w:pStyle w:val="Datedadoption"/>
        <w:rPr>
          <w:noProof/>
        </w:rPr>
      </w:pPr>
      <w:r>
        <w:t>ta’ 23.6.2021</w:t>
      </w:r>
    </w:p>
    <w:p>
      <w:pPr>
        <w:pStyle w:val="Titreobjet"/>
        <w:rPr>
          <w:noProof/>
        </w:rPr>
      </w:pPr>
      <w:r>
        <w:rPr>
          <w:noProof/>
        </w:rPr>
        <w:t>li jissupplimenta r-Regolament (UE) 2019/2144 tal-Parlament Ewropew u tal-Kunsill billi jistabbilixxi regoli dettaljati dwar il-proċeduri ta’ ttestjar speċifiċi u r-rekwiżiti tekniċi għall-approvazzjoni tat-tip ta’ vetturi bil-mutur fir-rigward tas-sistemi tagħhom ta’ assistenza intelliġenti tal-veloċità u għall-approvazzjoni tat-tip ta’ dawk is-sistemi bħala unitajiet tekniċi separati u li jemenda l-Anness II ta’ dak ir-Regolament</w:t>
      </w:r>
    </w:p>
    <w:p>
      <w:pPr>
        <w:pStyle w:val="IntrtEEE"/>
        <w:rPr>
          <w:noProof/>
        </w:rPr>
      </w:pPr>
      <w:r>
        <w:rPr>
          <w:noProof/>
        </w:rPr>
        <w:t>(Test b’rilevanza għaż-ŻEE)</w:t>
      </w:r>
    </w:p>
    <w:p>
      <w:pPr>
        <w:pStyle w:val="Institutionquiagit"/>
        <w:rPr>
          <w:noProof/>
        </w:rPr>
      </w:pPr>
      <w:r>
        <w:rPr>
          <w:noProof/>
        </w:rPr>
        <w:t>IL-KUMMISSJONI EWROPEA,</w:t>
      </w:r>
    </w:p>
    <w:p>
      <w:pPr>
        <w:rPr>
          <w:noProof/>
        </w:rPr>
      </w:pPr>
      <w:r>
        <w:rPr>
          <w:noProof/>
          <w:color w:val="000000"/>
        </w:rPr>
        <w:t>Wara li kkunsidrat it-Trattat dwar il-Funzjonament tal-Unjoni Ewropea</w:t>
      </w:r>
      <w:r>
        <w:rPr>
          <w:noProof/>
        </w:rPr>
        <w:t>,</w:t>
      </w:r>
    </w:p>
    <w:p>
      <w:pPr>
        <w:rPr>
          <w:noProof/>
        </w:rPr>
      </w:pPr>
      <w:r>
        <w:rPr>
          <w:noProof/>
        </w:rPr>
        <w:t>Wara li kkunsidrat ir-Regolament (UE) 2019/2144 tal-Parlament Ewropew u tal-Kunsill tas-27 ta’ Novembru 2019 dwar rekwiżiti tal-approvazzjoni tat-tip għall-vetturi bil-mutur u t-trejlers tagħhom, kif ukoll għas-sistemi, għall-komponenti u għall-unitajiet tekniċi separati maħsubin għat-tali vetturi, fir-rigward tas-sikurezza ġenerali tagħhom u tal-protezzjoni tal-okkupanti tal-vetturi u l-utenti vulnerabbli tat-triq, li jemenda r-Regolament (UE) 2018/858 tal-Parlament Ewropew u tal-Kunsill u li jħassar ir-Regolamenti (KE) Nru 78/2009, (KE) Nru 79/2009 u (KE) Nru 661/2009 tal-Parlament Ewropew u tal-Kunsill u tar-Regolamenti tal-Kummissjoni (KE) Nru 631/2009, (UE) Nru 406/2010, (UE) Nru 672/2010, (UE) Nru 1003/2010, (UE) Nru 1005/2010, (UE) Nru 1008/2010, (UE) Nru 1009/2010, (UE) Nru 19/2011, (UE) Nru 109/2011, (UE) Nru 458/2011, (UE) Nru 65/2012, (UE) Nru 130/2012, (UE) Nru 347/2012, (UE) Nru 351/2012, (UE) Nru 1230/2012 u (UE) 2015/166</w:t>
      </w:r>
      <w:r>
        <w:rPr>
          <w:rStyle w:val="FootnoteReference"/>
          <w:noProof/>
        </w:rPr>
        <w:footnoteReference w:id="3"/>
      </w:r>
      <w:r>
        <w:rPr>
          <w:noProof/>
        </w:rPr>
        <w:t>, u b’mod partikolari l-Artikolu 4(6) u l-Artikolu 6(6) tiegħu,</w:t>
      </w:r>
    </w:p>
    <w:p>
      <w:pPr>
        <w:rPr>
          <w:noProof/>
        </w:rPr>
      </w:pPr>
      <w:r>
        <w:rPr>
          <w:noProof/>
        </w:rPr>
        <w:t>Billi: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L-Artikolu 6 tar-Regolament (UE) 2019/2144 jirrikjedi li vetturi bil-mutur tal-kategoriji M u N jkunu mgħammra b’ċerti sistemi avvanzati tal-vetturi, inkluż sistemi ta’ assistenza intelliġenti tal-veloċità (“ISA”). L-Anness II tar-Regolament (UE) 2019/2144 jistabbilixxi r-rekwiżiti bażiċi għall-approvazzjoni tat-tip ta’ vetturi bil-mutur fir-rigward tas-sistemi tal-ISA.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 xml:space="preserve">Huma meħtieġa regoli dettaljati dwar il-proċeduri ta’ ttestjar speċifiċi u r-rekwiżiti tekniċi għall-approvazzjoni tat-tip ta’ vetturi bil-mutur fir-rigward tas-sistemi tal-ISA kif ukoll għall-approvazzjoni tat-tip ta’ dawk is-sistemi bħala unitajiet tekniċi separati. 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>Skont il-punt (3) tal-Artikolu 3 tar-Regolament (UE) 2019/2144, is-sistema tal-ISA hija sistema li tgħin lis-sewwieq iżomm il-veloċità xierqa għall-ambjent tat-triq billi tipprovdi feedback dedikat u xieraq. Bħalissa hemm diversi għażliet tekniċi b’rabta mal-metodoloġija tal-feedback li għandha tintuża bħala bażi għal sistema tal-ISA. Madankollu, minħabba l-karatteristiċi tekniċi tagħhom, dawk l-għażliet ma jistgħux jintużaw kollha f’kull vettura bil-mutur. Għalhekk, huwa meħtieġ li jiġu speċifikati metodoloġiji ta’ feedback li huma sikuri u effettivi b’mod komparabbli minkejja d-differenzi funzjonali tagħhom. Huwa xieraq li jiġu speċifikati diversi metodoloġiji ta’ feedback u li l-manifatturi jitħallew jagħżlu kwalunkwe waħda minn dawk il-metodoloġiji biex jibbażaw is-sistemi tagħhom tal-ISA fuqhom.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 xml:space="preserve">Is-sistema tal-ISA tista’ sserraħ fuq diversi metodi ta’ input, bħal osservazzjoni b’kamera, </w:t>
      </w:r>
      <w:r>
        <w:rPr>
          <w:i/>
          <w:noProof/>
        </w:rPr>
        <w:t>data</w:t>
      </w:r>
      <w:r>
        <w:rPr>
          <w:noProof/>
        </w:rPr>
        <w:t xml:space="preserve"> kartografika u l-apprendiment awtomatiku, iżda l-preżenza effettiva ta’ sinjali numeriċi tal-limitu tal-veloċità espliċitu f’kundizzjonijiet reali tas-sewqan dejjem jenħtieġ li tieħu preċedenza fuq kwalunkwe informazzjoni oħra disponibbli abbord il-vettura.</w:t>
      </w:r>
    </w:p>
    <w:p>
      <w:pPr>
        <w:pStyle w:val="ManualConsidrant"/>
        <w:rPr>
          <w:noProof/>
        </w:rPr>
      </w:pPr>
      <w:r>
        <w:t>(5)</w:t>
      </w:r>
      <w:r>
        <w:tab/>
      </w:r>
      <w:r>
        <w:rPr>
          <w:noProof/>
        </w:rPr>
        <w:t xml:space="preserve">Għall-ittestjar tal-kapaċitajiet tekniċi tas-sistemi tal-ISA, huwa meħtieġ li jiġi stabbilit katalogu tas-sinjali tat-traffiku użati f’kull Stat Membru. Is-sett ta’ </w:t>
      </w:r>
      <w:r>
        <w:rPr>
          <w:i/>
          <w:noProof/>
        </w:rPr>
        <w:t>data</w:t>
      </w:r>
      <w:r>
        <w:rPr>
          <w:noProof/>
        </w:rPr>
        <w:t xml:space="preserve"> fil-katalogu għandu jservi għal skopijiet ta’ approvazzjoni tat-tip mingħajr preġudizzju għar-regoli nazzjonali applikabbli tat-traffiku.</w:t>
      </w:r>
    </w:p>
    <w:p>
      <w:pPr>
        <w:pStyle w:val="ManualConsidrant"/>
        <w:rPr>
          <w:noProof/>
        </w:rPr>
      </w:pPr>
      <w:r>
        <w:t>(6)</w:t>
      </w:r>
      <w:r>
        <w:tab/>
      </w:r>
      <w:r>
        <w:rPr>
          <w:noProof/>
        </w:rPr>
        <w:t xml:space="preserve">Is-sistemi tal-ISA jistgħu jiġu ffaċċjati b’informazzjoni ambigwa relatata mal-veloċità minħabba sinjali neqsin, vandalizzati, manipulati jew li tkun saritilhom ħsara, it-tqegħid ta’ sinjali żbaljati, kundizzjonijiet ta’ maltemp jew restrizzjonijiet tal-veloċità mhux armonizzati, ikkumplikati u impliċiti. Għalhekk, il-prinċipju sottostanti jenħtieġ li jkun li s-sewwieq dejjem għandu r-responsabbiltà josserva r-regoli tat-traffiku rilevanti, u li s-sistema tal-ISA hija sistema ta’ assistenza tal-aħjar sforz għas-sewwieq li tavża lis-sewwieq kull meta jkun possibbli u xieraq. </w:t>
      </w:r>
    </w:p>
    <w:p>
      <w:pPr>
        <w:pStyle w:val="ManualConsidrant"/>
        <w:rPr>
          <w:noProof/>
        </w:rPr>
      </w:pPr>
      <w:r>
        <w:t>(7)</w:t>
      </w:r>
      <w:r>
        <w:tab/>
      </w:r>
      <w:r>
        <w:rPr>
          <w:noProof/>
        </w:rPr>
        <w:t>Il-proċeduri ta’ ttestjar speċifiċi u r-rekwiżiti tekniċi għas-sistemi tal-ISA jenħtieġ li jkunu kemm jista’ jkun newtrali fir-rigward tat-teknoloġija, u bbażati fuq il-prestazzjoni biex jippermettu soluzzjonijiet innovattivi.</w:t>
      </w:r>
    </w:p>
    <w:p>
      <w:pPr>
        <w:pStyle w:val="ManualConsidrant"/>
        <w:rPr>
          <w:noProof/>
        </w:rPr>
      </w:pPr>
      <w:r>
        <w:t>(8)</w:t>
      </w:r>
      <w:r>
        <w:tab/>
      </w:r>
      <w:r>
        <w:rPr>
          <w:noProof/>
        </w:rPr>
        <w:t>Il-proċeduri ta’ ttestjar speċifiċi u r-rekwiżiti tekniċi għas-sistemi tal-ISA jenħtieġ li jiżguraw ukoll li sistema ma taqbiżx il-kapaċità ta’ sewwieq uman medju li jinterpreta u jifhem l-informazzjoni pertinenti dwar il-limiti tal-veloċità. Jenħtieġ li s-sistemi tal-ISA ma jkollhomx livelli ta’ kapaċità ta’ sewqan awtonomu, u li jipprovdu biss assistenza lis-sewwieqa.</w:t>
      </w:r>
    </w:p>
    <w:p>
      <w:pPr>
        <w:pStyle w:val="ManualConsidrant"/>
        <w:rPr>
          <w:noProof/>
        </w:rPr>
      </w:pPr>
      <w:r>
        <w:t>(9)</w:t>
      </w:r>
      <w:r>
        <w:tab/>
      </w:r>
      <w:r>
        <w:rPr>
          <w:noProof/>
        </w:rPr>
        <w:t>Il-valutazzjoni tal-effettività tal-metodoloġiji ta’ feedback u l-funzjonijiet ta’ kontroll differenti tas-sistemi tal-ISA f’kundizzjonijiet reali tas-sewqan se tkun possibbli biss ladarba jkun tqiegħed fis-suq għadd sinifikanti ta’ vetturi bil-mutur mgħammra b’sistemi bħal dawn. Min-naħa l-oħra, huwa essenzjali li titwettaq mingħajr dewmien valutazzjoni tal-prestazzjoni tas-sistemi tal-ISA abbażi ta’ metodoloġiji differenti ta’ feedback f’konformità ma’ dan ir-Regolament, mhux aktar tard mill-31 ta’ Diċembru 2025, sabiex jinkisbu l-benefiċċji potenzjali kollha tas-sikurezza fit-toroq tas-sistemi tal-ISA. Huwa mistenni li t-teknoloġiji rilevanti u l-esperjenza f’kundizzjonijiet reali tas-sewqan se jkunu disponibbli sa Lulju tal-2024, u għalhekk ferm qabel id-data għar-rieżami ġenerali stabbilita fl-Artikolu 14 tar-Regolament (UE) 2019/2144. Sabiex il-Kummissjoni tkun tista’ tevalwa l-prestazzjoni tal-metodoloġiji ta’ feedback previsti b’dan ir-Regolament kmieni kemm jista’ jkun, huwa meħtieġ li l-manifatturi jintalbu jipprovdu l-informazzjoni rilevanti lill-awtorità tal-approvazzjoni li tkun ħarġet l-approvazzjoni tat-tip, u li l-awtoritajiet tal-approvazzjoni rispettivi jintalbu jaggregaw l-informazzjoni u jipprovduha lill-Kummissjoni.</w:t>
      </w:r>
    </w:p>
    <w:p>
      <w:pPr>
        <w:pStyle w:val="ManualConsidrant"/>
        <w:rPr>
          <w:noProof/>
        </w:rPr>
      </w:pPr>
      <w:r>
        <w:t>(10)</w:t>
      </w:r>
      <w:r>
        <w:tab/>
      </w:r>
      <w:r>
        <w:rPr>
          <w:noProof/>
        </w:rPr>
        <w:t xml:space="preserve">L-informazzjoni dwar kundizzjonijiet reali tas-sewqan, li għandha tinġabar u tiġi pprovduta għall-valutazzjoni tal-prestazzjoni tas-sistemi tal-ISA, għandha tkun ġenerika u ma għandha tkun marbuta ma’ ebda vettura bil-mutur jew sewwieq individwali. Il-manifatturi jistgħu jużaw kwalunkwe mezz disponibbli għall-ġbir ta’ </w:t>
      </w:r>
      <w:r>
        <w:rPr>
          <w:i/>
          <w:noProof/>
        </w:rPr>
        <w:t>data</w:t>
      </w:r>
      <w:r>
        <w:rPr>
          <w:noProof/>
        </w:rPr>
        <w:t xml:space="preserve"> bħal pereżempju l-ittestjar tal-flotta tal-vetturi jew arranġamenti volontarji direttament mal-utenti finali, wara li jagħtu l-kunsens espliċitu tagħhom skont il-liġijiet tal-Unjoni dwar il-protezzjoni tad-</w:t>
      </w:r>
      <w:r>
        <w:rPr>
          <w:i/>
          <w:noProof/>
        </w:rPr>
        <w:t>data</w:t>
      </w:r>
      <w:r>
        <w:rPr>
          <w:rStyle w:val="FootnoteReference"/>
          <w:noProof/>
        </w:rPr>
        <w:footnoteReference w:id="4"/>
      </w:r>
      <w:r>
        <w:rPr>
          <w:noProof/>
        </w:rPr>
        <w:t>. Il-Kummissjoni għandha tappoġġa dan il-proċess billi tipprovdi, meta meħtieġ, linji gwida dwar il-modalitajiet għall-ġbir tad-</w:t>
      </w:r>
      <w:r>
        <w:rPr>
          <w:i/>
          <w:noProof/>
        </w:rPr>
        <w:t>data</w:t>
      </w:r>
      <w:r>
        <w:rPr>
          <w:noProof/>
        </w:rPr>
        <w:t>, u dwar il-kontenut, l-istruttura u l-mezzi ta’ sottomissjoni tagħha.</w:t>
      </w:r>
    </w:p>
    <w:p>
      <w:pPr>
        <w:pStyle w:val="ManualConsidrant"/>
        <w:rPr>
          <w:noProof/>
        </w:rPr>
      </w:pPr>
      <w:r>
        <w:t>(11)</w:t>
      </w:r>
      <w:r>
        <w:tab/>
      </w:r>
      <w:r>
        <w:rPr>
          <w:noProof/>
        </w:rPr>
        <w:t>Sabiex tiġi minimizzata d-distrazzjoni u biex is-sewwieqa ma jingħatawx ammont żejjed ta’ twissijiet foloz ikkawżati minn sistemi subottimali f’kundizzjonijiet reali tas-sewqan, huwa meħtieġ li jiġi żgurat li l-manifatturi tal-vetturi jużaw teknoloġiji xierqa fil-flotta tal-vetturi u li l-manifatturi jipprovdu, fejn xieraq u meħtieġ għal proporzjon raġonevoli tal-ħajja tal-vettura, aċċess mhux ristrett u faċli għall-aġġornamenti tas-sistema.</w:t>
      </w:r>
    </w:p>
    <w:p>
      <w:pPr>
        <w:pStyle w:val="ManualConsidrant"/>
        <w:rPr>
          <w:noProof/>
        </w:rPr>
      </w:pPr>
      <w:r>
        <w:t>(12)</w:t>
      </w:r>
      <w:r>
        <w:tab/>
      </w:r>
      <w:r>
        <w:rPr>
          <w:noProof/>
        </w:rPr>
        <w:t xml:space="preserve">Is-sistemi tal-ISA jistgħu jużaw </w:t>
      </w:r>
      <w:r>
        <w:rPr>
          <w:i/>
          <w:noProof/>
        </w:rPr>
        <w:t>data</w:t>
      </w:r>
      <w:r>
        <w:rPr>
          <w:noProof/>
        </w:rPr>
        <w:t xml:space="preserve"> kartografika biex tiġi żgurata prestazzjoni xierqa matul kundizzjonijiet reali tas-sewqan. Madankollu, ma għandu jkun hemm ebda obbligu li jintalab li d-</w:t>
      </w:r>
      <w:r>
        <w:rPr>
          <w:i/>
          <w:noProof/>
        </w:rPr>
        <w:t>data</w:t>
      </w:r>
      <w:r>
        <w:rPr>
          <w:noProof/>
        </w:rPr>
        <w:t xml:space="preserve"> kartografika tkun tant iddettaljata u ta’ kwalità li tippermetti li biha jkun possibbli li ssir navigazzjoni pass pass (turn-by-turn), peress li jista’ jkun biżżejjed ukoll li jiġu inkorporati biss il-koordinati ta’ żoni urbani u mhux urbani, kif ukoll għat-toroq espress u għall-awtostradi.</w:t>
      </w:r>
    </w:p>
    <w:p>
      <w:pPr>
        <w:pStyle w:val="ManualConsidrant"/>
        <w:rPr>
          <w:noProof/>
        </w:rPr>
      </w:pPr>
      <w:r>
        <w:t>(13)</w:t>
      </w:r>
      <w:r>
        <w:tab/>
      </w:r>
      <w:r>
        <w:rPr>
          <w:noProof/>
        </w:rPr>
        <w:t>L-Istati Membri huma mħeġġa jiffaċilitaw il-prestazzjoni aħjar tas-sistemi tal-ISA fis-sewqan fid-dinja reali billi jiżguraw it-tqegħid korrett ta’ sinjali numeriċi tal-limiti tal-veloċità espliċiti fit-toroq u permezz tal-identifikazzjoni ċara b’sinjali tal-bidu u tat-tmiem taż-żoni tal-veloċità, tat-toroq espress u tal-awtostradi. F’ċerti każijiet, intersezzjonijiet u toroq li jingħaqdu flimkien ma jingħarfux b’mod ċar mis-sewwieqa, u b’hekk tinħoloq diffikultà ta’ interpretazzjoni għat-teknoloġiji tal-ISA. Għalhekk, it-tqegħid ta’ sinjali numeriċi tal-limitu tal-veloċità espliċitu, sinjal numeriċi tal-limitu tal-veloċità impliċitu, jew sinjali mhux numeriċi tal-limitu tal-veloċità impliċitu f’tali postijiet huwa meħtieġ biex tiġi żgurata l-prestazzjoni konsistenti tas-sistemi tal-ISA installati f’vetturi bil-mutur li jiċċirkolaw fl-Unjoni.</w:t>
      </w:r>
    </w:p>
    <w:p>
      <w:pPr>
        <w:pStyle w:val="ManualConsidrant"/>
        <w:rPr>
          <w:noProof/>
        </w:rPr>
      </w:pPr>
      <w:r>
        <w:t>(14)</w:t>
      </w:r>
      <w:r>
        <w:tab/>
      </w:r>
      <w:r>
        <w:rPr>
          <w:noProof/>
        </w:rPr>
        <w:t>Madankollu huwa ċar li s-sistemi li jużaw kombinament ta’ sistema ta’ kameras, Sistema Globali ta’ Navigazzjoni bis-Satellita (GNSS) u mapep diġitali aġġornati huma meqjusa bħala l-aktar sistemi avvanzati bl-aqwa prestazzjoni u affidabbiltà f’kundizzjonijiet reali.</w:t>
      </w:r>
    </w:p>
    <w:p>
      <w:pPr>
        <w:pStyle w:val="ManualConsidrant"/>
        <w:rPr>
          <w:noProof/>
        </w:rPr>
      </w:pPr>
      <w:r>
        <w:t>(15)</w:t>
      </w:r>
      <w:r>
        <w:tab/>
      </w:r>
      <w:r>
        <w:rPr>
          <w:noProof/>
        </w:rPr>
        <w:t xml:space="preserve">It-tabella fl-Anness II tar-Regolament (UE) 2019/2144 li fiha l-lista ta’ rekwiżiti msemmija fl-Artikolu 4(5) u l-Artikolu 5(3) ta’ dak ir-Regolament ma fiha l-ebda referenza għall-atti regolatorji fir-rigward tas-sistemi ta’ assistenza intelliġenti tal-veloċità. Għalhekk huwa meħtieġ li tiżdied referenza għal dan ir-Regolament f’dak l-Anness. </w:t>
      </w:r>
    </w:p>
    <w:p>
      <w:pPr>
        <w:pStyle w:val="ManualConsidrant"/>
        <w:rPr>
          <w:noProof/>
        </w:rPr>
      </w:pPr>
      <w:r>
        <w:t>(16)</w:t>
      </w:r>
      <w:r>
        <w:tab/>
      </w:r>
      <w:r>
        <w:rPr>
          <w:noProof/>
        </w:rPr>
        <w:t>Għaldaqstant jenħtieġ li r-Regolament (UE) 2019/2144 jiġi emendat skont dan.</w:t>
      </w:r>
    </w:p>
    <w:p>
      <w:pPr>
        <w:pStyle w:val="ManualConsidrant"/>
        <w:rPr>
          <w:noProof/>
        </w:rPr>
      </w:pPr>
      <w:r>
        <w:t>(17)</w:t>
      </w:r>
      <w:r>
        <w:tab/>
      </w:r>
      <w:r>
        <w:rPr>
          <w:noProof/>
        </w:rPr>
        <w:t>Peress li r-Regolament (UE) 2019/2144 għandu japplika mis-6 ta’ Lulju 2022, dan ir-Regolament jenħtieġ li japplika mill-istess data.</w:t>
      </w:r>
    </w:p>
    <w:p>
      <w:pPr>
        <w:pStyle w:val="ManualConsidrant"/>
        <w:rPr>
          <w:noProof/>
          <w:shd w:val="clear" w:color="auto" w:fill="FFFFFF"/>
        </w:rPr>
      </w:pPr>
      <w:r>
        <w:t>(18)</w:t>
      </w:r>
      <w:r>
        <w:tab/>
      </w:r>
      <w:r>
        <w:rPr>
          <w:noProof/>
        </w:rPr>
        <w:t>Id-dispożizzjonijiet ta’ dan ir-Regolament huma marbuta mill-qrib peress li jittrattaw ir-regoli li jikkonċernaw il-proċeduri speċifiċi ta’ ttestjar u r-rekwiżiti tekniċi għall-approvazzjoni tat-tip ta’ vetturi bil-mutur fir-rigward tas-sistemi tagħhom ta’ assistenza intelliġenti tal-veloċità u għall-approvazzjoni tat-tip ta’ dawk is-sistemi bħala unitajiet tekniċi separati. Bħala riżultat tar-regoli stabbiliti f’dan ir-Regolament, huwa meħtieġ li tiżdied referenza għal dan ir-Regolament fl-Anness II tar-Regolament (UE) 2019/2144. Għalhekk, huwa xieraq li dawn id-dispożizzjonijiet jiġu stabbiliti f’Regolament Delegat wieħed,</w:t>
      </w:r>
    </w:p>
    <w:p>
      <w:pPr>
        <w:pStyle w:val="Formuledadoption"/>
        <w:rPr>
          <w:noProof/>
        </w:rPr>
      </w:pPr>
      <w:r>
        <w:rPr>
          <w:noProof/>
        </w:rPr>
        <w:t>ADOTTAT DAN IR-REGOLAMENT:</w:t>
      </w:r>
    </w:p>
    <w:p>
      <w:pPr>
        <w:pStyle w:val="Titrearticle"/>
        <w:rPr>
          <w:noProof/>
        </w:rPr>
      </w:pPr>
      <w:r>
        <w:rPr>
          <w:noProof/>
        </w:rPr>
        <w:t>Artikolu 1</w:t>
      </w:r>
    </w:p>
    <w:p>
      <w:pPr>
        <w:jc w:val="center"/>
        <w:rPr>
          <w:b/>
          <w:noProof/>
        </w:rPr>
      </w:pPr>
      <w:r>
        <w:rPr>
          <w:b/>
          <w:noProof/>
        </w:rPr>
        <w:t xml:space="preserve">Proċeduri ta’ ttestjar u rekwiżiti tekniċi għall-approvazzjoni tat-tip ta’ vettura fir-rigward tas-sistemi ta’ assistenza intelliġenti tal-veloċità </w:t>
      </w:r>
    </w:p>
    <w:p>
      <w:pPr>
        <w:rPr>
          <w:noProof/>
        </w:rPr>
      </w:pPr>
      <w:r>
        <w:rPr>
          <w:noProof/>
        </w:rPr>
        <w:t>L-approvazzjoni tat-tip ta’ vettura fir-rigward tas-sistemi ta’ assistenza intelliġenti tal-veloċità għandha tkun soġġetta għall-konformità tal-vettura mal-proċeduri ta’ ttestjar u mar-rekwiżiti tekniċi stabbiliti fl-Anness I.</w:t>
      </w:r>
    </w:p>
    <w:p>
      <w:pPr>
        <w:pStyle w:val="Titrearticle"/>
        <w:rPr>
          <w:noProof/>
        </w:rPr>
      </w:pPr>
      <w:r>
        <w:rPr>
          <w:noProof/>
        </w:rPr>
        <w:t>Artikolu 2</w:t>
      </w:r>
    </w:p>
    <w:p>
      <w:pPr>
        <w:jc w:val="center"/>
        <w:rPr>
          <w:noProof/>
        </w:rPr>
      </w:pPr>
      <w:r>
        <w:rPr>
          <w:b/>
          <w:noProof/>
        </w:rPr>
        <w:t>Proċeduri ta’ ttestjar u rekwiżiti tekniċi għall-approvazzjoni tat-tip ta’ sistema ta’ assistenza intelliġenti tal-veloċità bħala unità teknika separata</w:t>
      </w:r>
    </w:p>
    <w:p>
      <w:pPr>
        <w:rPr>
          <w:noProof/>
        </w:rPr>
      </w:pPr>
      <w:r>
        <w:rPr>
          <w:noProof/>
        </w:rPr>
        <w:t>L-approvazzjoni tat-tip ta’ sistema ta’ assistenza intelliġenti tal-veloċità bħala unità teknika separata għandha tkun soġġetta għas-sistema li tikkonforma mal-proċeduri ta’ ttestjar u mar-rekwiżiti tekniċi stabbiliti fl-Anness I.</w:t>
      </w:r>
    </w:p>
    <w:p>
      <w:pPr>
        <w:pStyle w:val="Titrearticle"/>
        <w:rPr>
          <w:noProof/>
        </w:rPr>
      </w:pPr>
      <w:r>
        <w:rPr>
          <w:noProof/>
        </w:rPr>
        <w:t>Artikolu 3</w:t>
      </w:r>
    </w:p>
    <w:p>
      <w:pPr>
        <w:jc w:val="center"/>
        <w:rPr>
          <w:b/>
          <w:noProof/>
        </w:rPr>
      </w:pPr>
      <w:r>
        <w:rPr>
          <w:b/>
          <w:noProof/>
        </w:rPr>
        <w:t>Katalogu tas-sinjali tat-traffiku</w:t>
      </w:r>
    </w:p>
    <w:p>
      <w:pPr>
        <w:rPr>
          <w:noProof/>
        </w:rPr>
      </w:pPr>
      <w:r>
        <w:rPr>
          <w:noProof/>
        </w:rPr>
        <w:t>Il-lista ta’ sinjali tal-limitu tal-veloċità użati f’kull Stat Membru, li abbażi tagħha l-awtoritajiet tal-approvazzjoni tat-tip u s-servizzi tekniċi għandhom jivvalutaw il-prestazzjoni tas-sistemi intelliġenti ta’ assistenza tal-veloċità skont dan ir-Regolament, hija stabbilita fl-Anness II.</w:t>
      </w:r>
    </w:p>
    <w:p>
      <w:pPr>
        <w:pStyle w:val="Titrearticle"/>
        <w:rPr>
          <w:noProof/>
        </w:rPr>
      </w:pPr>
      <w:r>
        <w:rPr>
          <w:noProof/>
        </w:rPr>
        <w:t>Artikolu 4</w:t>
      </w:r>
    </w:p>
    <w:p>
      <w:pPr>
        <w:jc w:val="center"/>
        <w:rPr>
          <w:b/>
          <w:noProof/>
        </w:rPr>
      </w:pPr>
      <w:r>
        <w:rPr>
          <w:b/>
          <w:noProof/>
        </w:rPr>
        <w:t>Informazzjoni dwar l-użu ta’ sistemi ta’ assistenza intelliġenti tal-veloċità</w:t>
      </w:r>
    </w:p>
    <w:p>
      <w:pPr>
        <w:rPr>
          <w:noProof/>
        </w:rPr>
      </w:pPr>
      <w:r>
        <w:rPr>
          <w:noProof/>
        </w:rPr>
        <w:t>1. Il-manifatturi tal-vetturi għandhom jipprovdu l-informazzjoni li ġejja lill-awtoritajiet tal-approvazzjoni li jagħtu approvazzjonijiet tat-tip skont dan ir-Regolament:</w:t>
      </w:r>
    </w:p>
    <w:p>
      <w:pPr>
        <w:pStyle w:val="Point0"/>
        <w:rPr>
          <w:noProof/>
        </w:rPr>
      </w:pPr>
      <w:r>
        <w:t>(a)</w:t>
      </w:r>
      <w:r>
        <w:tab/>
      </w:r>
      <w:r>
        <w:rPr>
          <w:noProof/>
        </w:rPr>
        <w:t>il-proporzjonijiet tal-ħin ta’ sewqan jew id-distanzi li jiġu vvjaġġati bis-sistemi ta’ assistenza intelliġenti tal-veloċità mixgħula u mitfija;</w:t>
      </w:r>
    </w:p>
    <w:p>
      <w:pPr>
        <w:pStyle w:val="Point0"/>
        <w:rPr>
          <w:noProof/>
        </w:rPr>
      </w:pPr>
      <w:r>
        <w:t>(b)</w:t>
      </w:r>
      <w:r>
        <w:tab/>
      </w:r>
      <w:r>
        <w:rPr>
          <w:noProof/>
        </w:rPr>
        <w:t>il-proporzjonijiet tal-ħin ta’ sewqan jew id-distanzi li jiġu vvjaġġati bil-limiti tal-veloċità perċepiti osservati u diżattivati, rispettivament;</w:t>
      </w:r>
    </w:p>
    <w:p>
      <w:pPr>
        <w:pStyle w:val="Point0"/>
        <w:rPr>
          <w:noProof/>
        </w:rPr>
      </w:pPr>
      <w:r>
        <w:t>(c)</w:t>
      </w:r>
      <w:r>
        <w:tab/>
      </w:r>
      <w:r>
        <w:rPr>
          <w:noProof/>
        </w:rPr>
        <w:t>il-ħin medju li jkun għadda bejn l-attivazzjoni u d-diżattivazzjoni tas-sistema ta’ assistenza intelliġenti tal-veloċità mis-sewwieq, meta applikabbli;</w:t>
      </w:r>
    </w:p>
    <w:p>
      <w:pPr>
        <w:rPr>
          <w:noProof/>
        </w:rPr>
      </w:pPr>
      <w:r>
        <w:rPr>
          <w:noProof/>
        </w:rPr>
        <w:t>L-informazzjoni msemmija fis-subparagrafu (a) għandha tiġi pprovduta separatament għall-funzjoni ta’ twissija akustika kaskata, il-funzjoni ta’ twissija b’vibrazzjoni kaskata, il-funzjoni ta’ feedback tattili u l-funzjoni tal-kontroll tal-veloċità.</w:t>
      </w:r>
    </w:p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t>2. L-awtoritajiet tal-approvazzjoni għandhom jaggregaw l-informazzjoni li jirċievu f’konformità mal-paragrafu 1 u jipprovduha lill-Kummissjoni fis-7 ta’ Lulju 2024 u tal-anqas kull 6 xhur minn hemm ’il quddiem għal perjodu ta’ sentejn.</w:t>
      </w:r>
    </w:p>
    <w:p>
      <w:pPr>
        <w:pStyle w:val="Titrearticle"/>
        <w:rPr>
          <w:noProof/>
        </w:rPr>
      </w:pPr>
      <w:r>
        <w:rPr>
          <w:noProof/>
        </w:rPr>
        <w:t>Artikolu 5</w:t>
      </w:r>
    </w:p>
    <w:p>
      <w:pPr>
        <w:jc w:val="center"/>
        <w:rPr>
          <w:b/>
          <w:noProof/>
        </w:rPr>
      </w:pPr>
      <w:r>
        <w:rPr>
          <w:b/>
          <w:noProof/>
        </w:rPr>
        <w:t>Emenda għar-Regolament (UE) 2019/2144</w:t>
      </w:r>
    </w:p>
    <w:p>
      <w:pPr>
        <w:rPr>
          <w:noProof/>
        </w:rPr>
      </w:pPr>
      <w:r>
        <w:rPr>
          <w:noProof/>
        </w:rPr>
        <w:t>L-Anness II tar-Regolament (UE) 2019/2144 huwa emendat f’konformità mal-Anness III ta’ dan ir-Regolament.</w:t>
      </w:r>
    </w:p>
    <w:p>
      <w:pPr>
        <w:pStyle w:val="Titrearticle"/>
        <w:rPr>
          <w:noProof/>
        </w:rPr>
      </w:pPr>
      <w:r>
        <w:rPr>
          <w:noProof/>
        </w:rPr>
        <w:t>Artikolu 6</w:t>
      </w:r>
    </w:p>
    <w:p>
      <w:pPr>
        <w:jc w:val="center"/>
        <w:rPr>
          <w:b/>
          <w:noProof/>
        </w:rPr>
      </w:pPr>
      <w:r>
        <w:rPr>
          <w:b/>
          <w:noProof/>
        </w:rPr>
        <w:t>Dħul fis-seħħ u applikazzjoni</w:t>
      </w:r>
    </w:p>
    <w:p>
      <w:pPr>
        <w:rPr>
          <w:noProof/>
        </w:rPr>
      </w:pPr>
      <w:r>
        <w:rPr>
          <w:noProof/>
        </w:rPr>
        <w:t>Dan ir-Regolament għandu jidħol fis-seħħ fl-għoxrin jum wara dak tal-pubblikazzjoni tiegħu f’</w:t>
      </w:r>
      <w:r>
        <w:rPr>
          <w:i/>
          <w:noProof/>
        </w:rPr>
        <w:t>Il-Ġurnal Uffiċjali tal-Unjoni Ewropea</w:t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t>Għandu japplika mis-6 ta’ Lulju 2022.</w:t>
      </w:r>
    </w:p>
    <w:p>
      <w:pPr>
        <w:pStyle w:val="Applicationdirecte"/>
        <w:rPr>
          <w:noProof/>
        </w:rPr>
      </w:pPr>
      <w:r>
        <w:rPr>
          <w:noProof/>
        </w:rPr>
        <w:t>Dan ir-Regolament għandu jorbot fl-intier tiegħu u japplika direttament fl-Istati Membri kollha.</w:t>
      </w:r>
    </w:p>
    <w:p>
      <w:pPr>
        <w:pStyle w:val="Fait"/>
        <w:rPr>
          <w:noProof/>
        </w:rPr>
      </w:pPr>
      <w:r>
        <w:t>Magħmul fi Brussell, 23.6.2021</w:t>
      </w:r>
    </w:p>
    <w:p>
      <w:pPr>
        <w:pStyle w:val="Institutionquisigne"/>
        <w:rPr>
          <w:noProof/>
        </w:rPr>
      </w:pPr>
      <w:r>
        <w:rPr>
          <w:noProof/>
        </w:rPr>
        <w:tab/>
        <w:t>Għall-Kummissjoni</w:t>
      </w:r>
    </w:p>
    <w:p>
      <w:pPr>
        <w:pStyle w:val="Personnequisigne"/>
        <w:rPr>
          <w:noProof/>
          <w:color w:val="008000"/>
        </w:rPr>
      </w:pPr>
      <w:r>
        <w:tab/>
        <w:t>Il-President</w:t>
      </w:r>
      <w:r>
        <w:br/>
      </w:r>
      <w:r>
        <w:tab/>
        <w:t>Ursula VON DER LEYEN</w:t>
      </w:r>
    </w:p>
    <w:sectPr>
      <w:footnotePr>
        <w:numRestart w:val="eachPage"/>
      </w:footnotePr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>
        <w:tab/>
        <w:t>ĠU L 325, 16.12.2019, p. 1.</w:t>
      </w:r>
    </w:p>
  </w:footnote>
  <w:footnote w:id="2">
    <w:p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>
        <w:tab/>
      </w:r>
      <w:r>
        <w:rPr>
          <w:sz w:val="16"/>
        </w:rPr>
        <w:t>https://ec.europa.eu/transport/road_safety/sites/roadsafety/files/pdf/2020-10-08-road_safety_thematic_report_speed.pdf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ab/>
        <w:t xml:space="preserve">ĠU L 325, 16.12.2019, p. 1. 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color w:val="444444"/>
          <w:shd w:val="clear" w:color="auto" w:fill="FFFFFF"/>
        </w:rPr>
        <w:t xml:space="preserve">Ir-Regolament (UE) 2016/679 tal-Parlament Ewropew u tal-Kunsill tas-27 ta’ April 2016 dwar il-protezzjoni tal-persuni fiżiċi fir-rigward tal-ipproċessar ta’ </w:t>
      </w:r>
      <w:r>
        <w:rPr>
          <w:i/>
          <w:color w:val="444444"/>
          <w:shd w:val="clear" w:color="auto" w:fill="FFFFFF"/>
        </w:rPr>
        <w:t>data</w:t>
      </w:r>
      <w:r>
        <w:rPr>
          <w:color w:val="444444"/>
          <w:shd w:val="clear" w:color="auto" w:fill="FFFFFF"/>
        </w:rPr>
        <w:t xml:space="preserve"> personali u dwar il-moviment liberu ta’ tali </w:t>
      </w:r>
      <w:r>
        <w:rPr>
          <w:i/>
          <w:color w:val="444444"/>
          <w:shd w:val="clear" w:color="auto" w:fill="FFFFFF"/>
        </w:rPr>
        <w:t>data</w:t>
      </w:r>
      <w:r>
        <w:rPr>
          <w:color w:val="444444"/>
          <w:shd w:val="clear" w:color="auto" w:fill="FFFFFF"/>
        </w:rPr>
        <w:t>, u li jħassar id-Direttiva 95/46/KE (Regolament Ġenerali dwar il-Protezzjoni tad-</w:t>
      </w:r>
      <w:r>
        <w:rPr>
          <w:i/>
          <w:color w:val="444444"/>
          <w:shd w:val="clear" w:color="auto" w:fill="FFFFFF"/>
        </w:rPr>
        <w:t>Data</w:t>
      </w:r>
      <w:r>
        <w:rPr>
          <w:color w:val="444444"/>
          <w:shd w:val="clear" w:color="auto" w:fill="FFFFFF"/>
        </w:rPr>
        <w:t>) (</w:t>
      </w:r>
      <w:hyperlink r:id="rId1">
        <w:r>
          <w:t>ĠU L 119, 4.5.2016, p. 1</w:t>
        </w:r>
      </w:hyperlink>
      <w:r>
        <w:rPr>
          <w:color w:val="444444"/>
          <w:shd w:val="clear" w:color="auto" w:fill="FFFFFF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F0C336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362ED6F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3B5A664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D26C11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B6843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B58A0A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8318D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E9760C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2D293CE3"/>
    <w:multiLevelType w:val="multilevel"/>
    <w:tmpl w:val="8D7C4D2A"/>
    <w:name w:val="3.379464E-03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5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6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7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8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3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2"/>
  </w:num>
  <w:num w:numId="6">
    <w:abstractNumId w:val="23"/>
    <w:lvlOverride w:ilvl="0">
      <w:startOverride w:val="1"/>
    </w:lvlOverride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</w:num>
  <w:num w:numId="14">
    <w:abstractNumId w:val="13"/>
  </w:num>
  <w:num w:numId="15">
    <w:abstractNumId w:val="22"/>
  </w:num>
  <w:num w:numId="16">
    <w:abstractNumId w:val="11"/>
  </w:num>
  <w:num w:numId="17">
    <w:abstractNumId w:val="14"/>
  </w:num>
  <w:num w:numId="18">
    <w:abstractNumId w:val="15"/>
  </w:num>
  <w:num w:numId="19">
    <w:abstractNumId w:val="9"/>
  </w:num>
  <w:num w:numId="20">
    <w:abstractNumId w:val="21"/>
  </w:num>
  <w:num w:numId="21">
    <w:abstractNumId w:val="8"/>
  </w:num>
  <w:num w:numId="22">
    <w:abstractNumId w:val="16"/>
  </w:num>
  <w:num w:numId="23">
    <w:abstractNumId w:val="18"/>
  </w:num>
  <w:num w:numId="24">
    <w:abstractNumId w:val="19"/>
  </w:num>
  <w:num w:numId="25">
    <w:abstractNumId w:val="10"/>
  </w:num>
  <w:num w:numId="26">
    <w:abstractNumId w:val="17"/>
  </w:num>
  <w:num w:numId="27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hideSpellingErrors/>
  <w:hideGrammaticalErrors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activeWritingStyle w:appName="MSWord" w:lang="da-DK" w:vendorID="64" w:dllVersion="131078" w:nlCheck="1" w:checkStyle="0"/>
  <w:activeWritingStyle w:appName="MSWord" w:lang="nl-NL" w:vendorID="64" w:dllVersion="131078" w:nlCheck="1" w:checkStyle="0"/>
  <w:attachedTemplate r:id="rId1"/>
  <w:defaultTabStop w:val="720"/>
  <w:hyphenationZone w:val="425"/>
  <w:characterSpacingControl w:val="doNotCompress"/>
  <w:hdrShapeDefaults>
    <o:shapedefaults v:ext="edit" spidmax="16281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1-06-23 11:34:42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8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VERPAGE_EXISTS" w:val="True"/>
    <w:docVar w:name="LW_COVERPAGE_GUID" w:val="A40A20CE-BB11-4581-93FA-1DFE59F751FF"/>
    <w:docVar w:name="LW_COVERPAGE_TYPE" w:val="1"/>
    <w:docVar w:name="LW_CROSSREFERENCE" w:val="&lt;UNUSED&gt;"/>
    <w:docVar w:name="LW_DATE.ADOPT.CP" w:val="ta\u8217? 23.6.2021"/>
    <w:docVar w:name="LW_DATE.ADOPT.CP_DATEFORMAT" w:val="ta\u8217? %DATE%"/>
    <w:docVar w:name="LW_DATE.ADOPT.CP_ISODATE" w:val="2021-06-23"/>
    <w:docVar w:name="LW_DocType" w:val="COM"/>
    <w:docVar w:name="LW_EMISSION" w:val="23.6.2021"/>
    <w:docVar w:name="LW_EMISSION_ISODATE" w:val="2021-06-23"/>
    <w:docVar w:name="LW_EMISSION_LOCATION" w:val="BRX"/>
    <w:docVar w:name="LW_EMISSION_PREFIX" w:val="Brussell, "/>
    <w:docVar w:name="LW_EMISSION_SUFFIX" w:val=" "/>
    <w:docVar w:name="LW_ID_DOCMODEL" w:val="SJ-003"/>
    <w:docVar w:name="LW_ID_DOCSIGNATURE" w:val="SJ-003"/>
    <w:docVar w:name="LW_ID_DOCSTRUCTURE" w:val="COM/AA"/>
    <w:docVar w:name="LW_ID_DOCTYPE" w:val="SJ-003"/>
    <w:docVar w:name="LW_ID_EXP.MOTIFS.NEW" w:val="EM_AA_"/>
    <w:docVar w:name="LW_INTERETEEE.CP" w:val="(Test b\u8217?rilevanza g\u295?a\u380?-\u379?EE)"/>
    <w:docVar w:name="LW_LANGUE" w:val="MT"/>
    <w:docVar w:name="LW_LANGUESFAISANTFOI.CP" w:val="&lt;UNUSED&gt;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1) 4455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li jissupplimenta r-Regolament (UE) 2019/2144 tal-Parlament Ewropew u tal-Kunsill billi jistabbilixxi regoli dettaljati dwar il-pro\u267?eduri ta\u8217? ttestjar spe\u267?ifi\u267?i u r-rekwi\u380?iti tekni\u267?i g\u295?all-approvazzjoni tat-tip ta\u8217? vetturi bil-mutur fir-rigward tas-sistemi tag\u295?hom ta\u8217? assistenza intelli\u289?enti tal-velo\u267?ità u g\u295?all-approvazzjoni tat-tip ta\u8217? dawk is-sistemi b\u295?ala unitajiet tekni\u267?i separati u li jemenda l-Anness II ta\u8217? dak ir-Regolament"/>
    <w:docVar w:name="LW_TYPE.DOC.CP" w:val="REGOLAMENT DELEGAT TAL-KUMMISSJONI (UE) .../..."/>
    <w:docVar w:name="LwApiVersions" w:val="LW4CoDe 1.23.0.0; LW 8.0, Build 20210114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0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20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20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20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customStyle="1" w:styleId="LegalNumPar">
    <w:name w:val="LegalNumPar"/>
    <w:basedOn w:val="Normal"/>
    <w:pPr>
      <w:numPr>
        <w:numId w:val="5"/>
      </w:numPr>
      <w:spacing w:line="360" w:lineRule="auto"/>
    </w:pPr>
  </w:style>
  <w:style w:type="paragraph" w:customStyle="1" w:styleId="LegalNumPar2">
    <w:name w:val="LegalNumPar2"/>
    <w:basedOn w:val="Normal"/>
    <w:pPr>
      <w:numPr>
        <w:ilvl w:val="1"/>
        <w:numId w:val="5"/>
      </w:numPr>
      <w:spacing w:line="360" w:lineRule="auto"/>
    </w:pPr>
  </w:style>
  <w:style w:type="paragraph" w:customStyle="1" w:styleId="LegalNumPar3">
    <w:name w:val="LegalNumPar3"/>
    <w:basedOn w:val="Normal"/>
    <w:pPr>
      <w:numPr>
        <w:ilvl w:val="2"/>
        <w:numId w:val="5"/>
      </w:numPr>
      <w:spacing w:line="36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Hyperlink">
    <w:name w:val="Hyperlink"/>
    <w:unhideWhenUsed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mt-M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mt-MT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3"/>
      </w:numPr>
    </w:pPr>
  </w:style>
  <w:style w:type="paragraph" w:customStyle="1" w:styleId="Tiret1">
    <w:name w:val="Tiret 1"/>
    <w:basedOn w:val="Point1"/>
    <w:pPr>
      <w:numPr>
        <w:numId w:val="14"/>
      </w:numPr>
    </w:pPr>
  </w:style>
  <w:style w:type="paragraph" w:customStyle="1" w:styleId="Tiret2">
    <w:name w:val="Tiret 2"/>
    <w:basedOn w:val="Point2"/>
    <w:pPr>
      <w:numPr>
        <w:numId w:val="15"/>
      </w:numPr>
    </w:pPr>
  </w:style>
  <w:style w:type="paragraph" w:customStyle="1" w:styleId="Tiret3">
    <w:name w:val="Tiret 3"/>
    <w:basedOn w:val="Point3"/>
    <w:pPr>
      <w:numPr>
        <w:numId w:val="16"/>
      </w:numPr>
    </w:pPr>
  </w:style>
  <w:style w:type="paragraph" w:customStyle="1" w:styleId="Tiret4">
    <w:name w:val="Tiret 4"/>
    <w:basedOn w:val="Point4"/>
    <w:pPr>
      <w:numPr>
        <w:numId w:val="17"/>
      </w:numPr>
    </w:pPr>
  </w:style>
  <w:style w:type="paragraph" w:customStyle="1" w:styleId="Tiret5">
    <w:name w:val="Tiret 5"/>
    <w:basedOn w:val="Point5"/>
    <w:pPr>
      <w:numPr>
        <w:numId w:val="1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9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9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9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1"/>
      </w:numPr>
    </w:pPr>
  </w:style>
  <w:style w:type="paragraph" w:customStyle="1" w:styleId="Point1number">
    <w:name w:val="Point 1 (number)"/>
    <w:basedOn w:val="Normal"/>
    <w:pPr>
      <w:numPr>
        <w:ilvl w:val="2"/>
        <w:numId w:val="21"/>
      </w:numPr>
    </w:pPr>
  </w:style>
  <w:style w:type="paragraph" w:customStyle="1" w:styleId="Point2number">
    <w:name w:val="Point 2 (number)"/>
    <w:basedOn w:val="Normal"/>
    <w:pPr>
      <w:numPr>
        <w:ilvl w:val="4"/>
        <w:numId w:val="21"/>
      </w:numPr>
    </w:pPr>
  </w:style>
  <w:style w:type="paragraph" w:customStyle="1" w:styleId="Point3number">
    <w:name w:val="Point 3 (number)"/>
    <w:basedOn w:val="Normal"/>
    <w:pPr>
      <w:numPr>
        <w:ilvl w:val="6"/>
        <w:numId w:val="21"/>
      </w:numPr>
    </w:pPr>
  </w:style>
  <w:style w:type="paragraph" w:customStyle="1" w:styleId="Point0letter">
    <w:name w:val="Point 0 (letter)"/>
    <w:basedOn w:val="Normal"/>
    <w:pPr>
      <w:numPr>
        <w:ilvl w:val="1"/>
        <w:numId w:val="21"/>
      </w:numPr>
    </w:pPr>
  </w:style>
  <w:style w:type="paragraph" w:customStyle="1" w:styleId="Point1letter">
    <w:name w:val="Point 1 (letter)"/>
    <w:basedOn w:val="Normal"/>
    <w:pPr>
      <w:numPr>
        <w:ilvl w:val="3"/>
        <w:numId w:val="21"/>
      </w:numPr>
    </w:pPr>
  </w:style>
  <w:style w:type="paragraph" w:customStyle="1" w:styleId="Point2letter">
    <w:name w:val="Point 2 (letter)"/>
    <w:basedOn w:val="Normal"/>
    <w:pPr>
      <w:numPr>
        <w:ilvl w:val="5"/>
        <w:numId w:val="21"/>
      </w:numPr>
    </w:pPr>
  </w:style>
  <w:style w:type="paragraph" w:customStyle="1" w:styleId="Point3letter">
    <w:name w:val="Point 3 (letter)"/>
    <w:basedOn w:val="Normal"/>
    <w:pPr>
      <w:numPr>
        <w:ilvl w:val="7"/>
        <w:numId w:val="21"/>
      </w:numPr>
    </w:pPr>
  </w:style>
  <w:style w:type="paragraph" w:customStyle="1" w:styleId="Point4letter">
    <w:name w:val="Point 4 (letter)"/>
    <w:basedOn w:val="Normal"/>
    <w:pPr>
      <w:numPr>
        <w:ilvl w:val="8"/>
        <w:numId w:val="21"/>
      </w:numPr>
    </w:pPr>
  </w:style>
  <w:style w:type="paragraph" w:customStyle="1" w:styleId="Bullet0">
    <w:name w:val="Bullet 0"/>
    <w:basedOn w:val="Normal"/>
    <w:pPr>
      <w:numPr>
        <w:numId w:val="22"/>
      </w:numPr>
    </w:pPr>
  </w:style>
  <w:style w:type="paragraph" w:customStyle="1" w:styleId="Bullet1">
    <w:name w:val="Bullet 1"/>
    <w:basedOn w:val="Normal"/>
    <w:pPr>
      <w:numPr>
        <w:numId w:val="23"/>
      </w:numPr>
    </w:pPr>
  </w:style>
  <w:style w:type="paragraph" w:customStyle="1" w:styleId="Bullet2">
    <w:name w:val="Bullet 2"/>
    <w:basedOn w:val="Normal"/>
    <w:pPr>
      <w:numPr>
        <w:numId w:val="24"/>
      </w:numPr>
    </w:pPr>
  </w:style>
  <w:style w:type="paragraph" w:customStyle="1" w:styleId="Bullet3">
    <w:name w:val="Bullet 3"/>
    <w:basedOn w:val="Normal"/>
    <w:pPr>
      <w:numPr>
        <w:numId w:val="25"/>
      </w:numPr>
    </w:pPr>
  </w:style>
  <w:style w:type="paragraph" w:customStyle="1" w:styleId="Bullet4">
    <w:name w:val="Bullet 4"/>
    <w:basedOn w:val="Normal"/>
    <w:pPr>
      <w:numPr>
        <w:numId w:val="2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0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20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20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20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customStyle="1" w:styleId="LegalNumPar">
    <w:name w:val="LegalNumPar"/>
    <w:basedOn w:val="Normal"/>
    <w:pPr>
      <w:numPr>
        <w:numId w:val="5"/>
      </w:numPr>
      <w:spacing w:line="360" w:lineRule="auto"/>
    </w:pPr>
  </w:style>
  <w:style w:type="paragraph" w:customStyle="1" w:styleId="LegalNumPar2">
    <w:name w:val="LegalNumPar2"/>
    <w:basedOn w:val="Normal"/>
    <w:pPr>
      <w:numPr>
        <w:ilvl w:val="1"/>
        <w:numId w:val="5"/>
      </w:numPr>
      <w:spacing w:line="360" w:lineRule="auto"/>
    </w:pPr>
  </w:style>
  <w:style w:type="paragraph" w:customStyle="1" w:styleId="LegalNumPar3">
    <w:name w:val="LegalNumPar3"/>
    <w:basedOn w:val="Normal"/>
    <w:pPr>
      <w:numPr>
        <w:ilvl w:val="2"/>
        <w:numId w:val="5"/>
      </w:numPr>
      <w:spacing w:line="36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Hyperlink">
    <w:name w:val="Hyperlink"/>
    <w:unhideWhenUsed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mt-M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mt-MT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3"/>
      </w:numPr>
    </w:pPr>
  </w:style>
  <w:style w:type="paragraph" w:customStyle="1" w:styleId="Tiret1">
    <w:name w:val="Tiret 1"/>
    <w:basedOn w:val="Point1"/>
    <w:pPr>
      <w:numPr>
        <w:numId w:val="14"/>
      </w:numPr>
    </w:pPr>
  </w:style>
  <w:style w:type="paragraph" w:customStyle="1" w:styleId="Tiret2">
    <w:name w:val="Tiret 2"/>
    <w:basedOn w:val="Point2"/>
    <w:pPr>
      <w:numPr>
        <w:numId w:val="15"/>
      </w:numPr>
    </w:pPr>
  </w:style>
  <w:style w:type="paragraph" w:customStyle="1" w:styleId="Tiret3">
    <w:name w:val="Tiret 3"/>
    <w:basedOn w:val="Point3"/>
    <w:pPr>
      <w:numPr>
        <w:numId w:val="16"/>
      </w:numPr>
    </w:pPr>
  </w:style>
  <w:style w:type="paragraph" w:customStyle="1" w:styleId="Tiret4">
    <w:name w:val="Tiret 4"/>
    <w:basedOn w:val="Point4"/>
    <w:pPr>
      <w:numPr>
        <w:numId w:val="17"/>
      </w:numPr>
    </w:pPr>
  </w:style>
  <w:style w:type="paragraph" w:customStyle="1" w:styleId="Tiret5">
    <w:name w:val="Tiret 5"/>
    <w:basedOn w:val="Point5"/>
    <w:pPr>
      <w:numPr>
        <w:numId w:val="1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9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9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9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1"/>
      </w:numPr>
    </w:pPr>
  </w:style>
  <w:style w:type="paragraph" w:customStyle="1" w:styleId="Point1number">
    <w:name w:val="Point 1 (number)"/>
    <w:basedOn w:val="Normal"/>
    <w:pPr>
      <w:numPr>
        <w:ilvl w:val="2"/>
        <w:numId w:val="21"/>
      </w:numPr>
    </w:pPr>
  </w:style>
  <w:style w:type="paragraph" w:customStyle="1" w:styleId="Point2number">
    <w:name w:val="Point 2 (number)"/>
    <w:basedOn w:val="Normal"/>
    <w:pPr>
      <w:numPr>
        <w:ilvl w:val="4"/>
        <w:numId w:val="21"/>
      </w:numPr>
    </w:pPr>
  </w:style>
  <w:style w:type="paragraph" w:customStyle="1" w:styleId="Point3number">
    <w:name w:val="Point 3 (number)"/>
    <w:basedOn w:val="Normal"/>
    <w:pPr>
      <w:numPr>
        <w:ilvl w:val="6"/>
        <w:numId w:val="21"/>
      </w:numPr>
    </w:pPr>
  </w:style>
  <w:style w:type="paragraph" w:customStyle="1" w:styleId="Point0letter">
    <w:name w:val="Point 0 (letter)"/>
    <w:basedOn w:val="Normal"/>
    <w:pPr>
      <w:numPr>
        <w:ilvl w:val="1"/>
        <w:numId w:val="21"/>
      </w:numPr>
    </w:pPr>
  </w:style>
  <w:style w:type="paragraph" w:customStyle="1" w:styleId="Point1letter">
    <w:name w:val="Point 1 (letter)"/>
    <w:basedOn w:val="Normal"/>
    <w:pPr>
      <w:numPr>
        <w:ilvl w:val="3"/>
        <w:numId w:val="21"/>
      </w:numPr>
    </w:pPr>
  </w:style>
  <w:style w:type="paragraph" w:customStyle="1" w:styleId="Point2letter">
    <w:name w:val="Point 2 (letter)"/>
    <w:basedOn w:val="Normal"/>
    <w:pPr>
      <w:numPr>
        <w:ilvl w:val="5"/>
        <w:numId w:val="21"/>
      </w:numPr>
    </w:pPr>
  </w:style>
  <w:style w:type="paragraph" w:customStyle="1" w:styleId="Point3letter">
    <w:name w:val="Point 3 (letter)"/>
    <w:basedOn w:val="Normal"/>
    <w:pPr>
      <w:numPr>
        <w:ilvl w:val="7"/>
        <w:numId w:val="21"/>
      </w:numPr>
    </w:pPr>
  </w:style>
  <w:style w:type="paragraph" w:customStyle="1" w:styleId="Point4letter">
    <w:name w:val="Point 4 (letter)"/>
    <w:basedOn w:val="Normal"/>
    <w:pPr>
      <w:numPr>
        <w:ilvl w:val="8"/>
        <w:numId w:val="21"/>
      </w:numPr>
    </w:pPr>
  </w:style>
  <w:style w:type="paragraph" w:customStyle="1" w:styleId="Bullet0">
    <w:name w:val="Bullet 0"/>
    <w:basedOn w:val="Normal"/>
    <w:pPr>
      <w:numPr>
        <w:numId w:val="22"/>
      </w:numPr>
    </w:pPr>
  </w:style>
  <w:style w:type="paragraph" w:customStyle="1" w:styleId="Bullet1">
    <w:name w:val="Bullet 1"/>
    <w:basedOn w:val="Normal"/>
    <w:pPr>
      <w:numPr>
        <w:numId w:val="23"/>
      </w:numPr>
    </w:pPr>
  </w:style>
  <w:style w:type="paragraph" w:customStyle="1" w:styleId="Bullet2">
    <w:name w:val="Bullet 2"/>
    <w:basedOn w:val="Normal"/>
    <w:pPr>
      <w:numPr>
        <w:numId w:val="24"/>
      </w:numPr>
    </w:pPr>
  </w:style>
  <w:style w:type="paragraph" w:customStyle="1" w:styleId="Bullet3">
    <w:name w:val="Bullet 3"/>
    <w:basedOn w:val="Normal"/>
    <w:pPr>
      <w:numPr>
        <w:numId w:val="25"/>
      </w:numPr>
    </w:pPr>
  </w:style>
  <w:style w:type="paragraph" w:customStyle="1" w:styleId="Bullet4">
    <w:name w:val="Bullet 4"/>
    <w:basedOn w:val="Normal"/>
    <w:pPr>
      <w:numPr>
        <w:numId w:val="2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s://eur-lex.europa.eu/legal-content/MT/AUTO/?uri=OJ:L:2016:119:TOC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A4B7-D0DC-4B0C-9387-2D420EAE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3</TotalTime>
  <Pages>9</Pages>
  <Words>2616</Words>
  <Characters>18996</Characters>
  <Application>Microsoft Office Word</Application>
  <DocSecurity>0</DocSecurity>
  <Lines>296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38</cp:revision>
  <dcterms:created xsi:type="dcterms:W3CDTF">2021-06-16T08:42:00Z</dcterms:created>
  <dcterms:modified xsi:type="dcterms:W3CDTF">2021-06-23T09:34:00Z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7.0.9.0</vt:lpwstr>
  </property>
  <property fmtid="{D5CDD505-2E9C-101B-9397-08002B2CF9AE}" pid="4" name="Last edited using">
    <vt:lpwstr>LW 7.0.1, Build 20200226</vt:lpwstr>
  </property>
  <property fmtid="{D5CDD505-2E9C-101B-9397-08002B2CF9AE}" pid="5" name="Created using">
    <vt:lpwstr>LW 7.0.1, Build 20190916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SJ-003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