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FD858681-36D3-4671-AD95-729535B302F0" style="width:450.75pt;height:389.2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jc w:val="center"/>
        <w:rPr>
          <w:b/>
          <w:noProof/>
        </w:rPr>
      </w:pPr>
      <w:bookmarkStart w:id="0" w:name="_GoBack"/>
      <w:bookmarkEnd w:id="0"/>
      <w:r>
        <w:rPr>
          <w:b/>
          <w:noProof/>
        </w:rPr>
        <w:lastRenderedPageBreak/>
        <w:t>MEMORANDUM TA’ SPJEGAZZJONI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KUNTEST TAR-RETTIFIKA</w:t>
      </w:r>
    </w:p>
    <w:p>
      <w:pPr>
        <w:rPr>
          <w:noProof/>
        </w:rPr>
      </w:pPr>
      <w:r>
        <w:rPr>
          <w:noProof/>
        </w:rPr>
        <w:t xml:space="preserve">L-Artikolu 29(7) tad-Direttiva (UE) 2015/2366 jagħti s-setgħa lill-Kummissjoni biex tadotta, wara s-sottomissjoni tal-abbozz tal-istandards tekniċi regolatorji mill-Awtorità Bankarja Ewropea (EBA) u skont l-Artikoli 10 sa 14 tar-Regolament (UE) Nru 1093/2010, att delegat li jispeċifika l-kriterji li għandhom jiġu applikati biex jiġu ddeterminati, skont il-prinċipju tal-proporzjonalità, iċ-ċirkostanzi meta l-ħatra ta’ punt ta’ kuntatt ċentrali tkun xierqa, u l-funzjonijiet ta’ dawk il-punti ta’ kuntatt, skont l-Artikolu 29(4) tad-Direttiva (UE) 2015/2366. </w:t>
      </w:r>
    </w:p>
    <w:p>
      <w:pPr>
        <w:rPr>
          <w:noProof/>
        </w:rPr>
      </w:pPr>
      <w:r>
        <w:rPr>
          <w:noProof/>
        </w:rPr>
        <w:t>Fil-11 ta’ Diċembru 2017, l-Awtorità Bankarja Ewropea (EBA) uffiċjalment ippreżentat lill-Kummissjoni l-abbozz tal-istandards tekniċi regolatorji. Il-Kummissjoni adottat l-istandards tekniċi regolatorji fl-14 ta’ Marzu 2019 u nnotifikathom lill-Parlament Ewropew u lill-Kunsill skont l-Artikolu 13 tar-Regolament (UE) Nru 1093/2010. La l-Parlament Ewropew u lanqas il-Kunsill ma oġġezzjonaw għall-istandards tekniċi regolatorji.</w:t>
      </w:r>
    </w:p>
    <w:p>
      <w:pPr>
        <w:rPr>
          <w:noProof/>
        </w:rPr>
      </w:pPr>
      <w:r>
        <w:rPr>
          <w:noProof/>
        </w:rPr>
        <w:t>Ġie identifikat żball fil-punt (a) tal-Artikolu 1 wara li l-istandards tekniċi regolatorji ġew innotifikati lill-Parlament Ewropew u lill-Kunsill. B’riżultat ta’ dan, dawn l-istandards tekniċi regolatorji ma ġewx ippubblikati f’</w:t>
      </w:r>
      <w:r>
        <w:rPr>
          <w:i/>
          <w:noProof/>
        </w:rPr>
        <w:t>Il-Ġurnal Uffiċjali tal-Unjoni Ewropea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>Din ir-rettifika tikkoreġi żball fil-punt (a) tal-Artikolu 1 tal-istandards tekniċi regolatorji adottati mill-Kummissjoni skont l-Artikolu 29(7) tad-Direttiva (UE) 2015/2366.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KONSULTAZZJONIJIET QABEL L-ADOZZJONI TAR-RETTIFIKA</w:t>
      </w:r>
    </w:p>
    <w:p>
      <w:pPr>
        <w:rPr>
          <w:noProof/>
        </w:rPr>
      </w:pPr>
      <w:r>
        <w:rPr>
          <w:noProof/>
        </w:rPr>
        <w:t>L-ebda konsultazzjoni jew valutazzjoni tal-impatt ma hija meħtieġa fir-rigward ta’ din ir-rettifika.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ELEMENTI ĠURIDIĊI TAR-RETTIFIKA</w:t>
      </w:r>
    </w:p>
    <w:p>
      <w:pPr>
        <w:rPr>
          <w:noProof/>
        </w:rPr>
      </w:pPr>
      <w:r>
        <w:rPr>
          <w:noProof/>
        </w:rPr>
        <w:t>Din ir-rettifika tikkoreġi żball fil-punt (a) tal-Artikolu 1 tal-istandards tekniċi regolatorji adottati mill-Kummissjoni. Din id-dispożizzjoni tistipula li l-ħtieġa li l-istituzzjonijiet tal-ħlas jaħtru punt ta’ kuntatt ċentrali għandha tkun ikkunsidrata xierqa jekk l-għadd totali ta’ aġenti li permezz tagħhom istituzzjoni ta’ pagament tipprovdi kwalunkwe wieħed mis-servizzi ta’ pagament imsemmija fl-Anness I tad-Direttiva (UE) 2015/2366 fi Stat Membru ospitanti taħt id-dritt ta’ stabbiliment fl-aħħar sena finanzjarja huwa ugwali għal jew jaqbeż l-10.</w:t>
      </w:r>
    </w:p>
    <w:p>
      <w:pPr>
        <w:rPr>
          <w:noProof/>
        </w:rPr>
      </w:pPr>
      <w:r>
        <w:rPr>
          <w:noProof/>
        </w:rPr>
        <w:t>Il-kliem “fl-aħħar sena finanzjarja” ddaħħal b’mod żbaljat fil-punt (a) tal-Artikolu 1 bil-ħsieb li tiġi allinjata l-formulazzjoni ta’ dan il-punt mal-formulazzjoni tal-punti (b) u (c) tal-istess Artikolu, jekk wieħed jassumi li n-nuqqas ta’ dan il-kliem ma kienx intenzjonat.</w:t>
      </w:r>
    </w:p>
    <w:p>
      <w:pPr>
        <w:rPr>
          <w:noProof/>
        </w:rPr>
      </w:pPr>
      <w:r>
        <w:rPr>
          <w:noProof/>
        </w:rPr>
        <w:t>Madankollu, l-objettiv intenzjonat tad-dispożizzjoni taħt il-punt (a) kien li jiżgura li l-kriterju biex jiġi ddeterminat jekk il-ħatra ta’ punt ta’ kuntatt ċentrali jiġix issodisfat b’mod xieraq hekk kif l-istituzzjoni ta’ pagament tilħaq in-numru determinat ta’ aġenti fi Stat Membru ospitanti (10 jew aktar).</w:t>
      </w:r>
    </w:p>
    <w:p>
      <w:pPr>
        <w:rPr>
          <w:noProof/>
        </w:rPr>
      </w:pPr>
      <w:r>
        <w:rPr>
          <w:noProof/>
        </w:rPr>
        <w:t xml:space="preserve">Bl-inklużjoni tal-kliem “fl-aħħar sena finanzjarja”, l-imsemmi kriterju jista’ biss jiġi ssodisfat fis-sena finanzjarja ta’ wara. </w:t>
      </w:r>
    </w:p>
    <w:p>
      <w:pPr>
        <w:rPr>
          <w:noProof/>
        </w:rPr>
      </w:pPr>
      <w:r>
        <w:rPr>
          <w:noProof/>
        </w:rPr>
        <w:t>Għalhekk, l-objettiv tal-politika tal-Kummissjoni jintlaħaq bit-tħassir tal-kliem mhux intenzjonat “fl-aħħar sena finanzjarja” fl-Artikolu 1(a) tal-istandards tekniċi regolatorji adottati mill-Kummissjoni.</w:t>
      </w:r>
    </w:p>
    <w:p>
      <w:pPr>
        <w:rPr>
          <w:noProof/>
        </w:rPr>
      </w:pPr>
    </w:p>
    <w:p>
      <w:pPr>
        <w:spacing w:before="0" w:after="200" w:line="276" w:lineRule="auto"/>
        <w:jc w:val="left"/>
        <w:rPr>
          <w:b/>
          <w:noProof/>
        </w:rPr>
      </w:pPr>
    </w:p>
    <w:p>
      <w:pPr>
        <w:jc w:val="center"/>
        <w:rPr>
          <w:b/>
          <w:noProof/>
        </w:rPr>
      </w:pPr>
      <w:r>
        <w:rPr>
          <w:b/>
          <w:noProof/>
        </w:rPr>
        <w:t>RETTIFIKA</w:t>
      </w:r>
    </w:p>
    <w:p>
      <w:pPr>
        <w:jc w:val="center"/>
        <w:rPr>
          <w:b/>
          <w:noProof/>
        </w:rPr>
      </w:pPr>
      <w:r>
        <w:rPr>
          <w:b/>
          <w:noProof/>
        </w:rPr>
        <w:t>tar-Regolament Delegat tal-Kummissjoni tal-14 ta’ Marzu 2019 dwar is-supplimentazzjoni tad-Direttiva (UE) 2015/2366 tal-Parlament Ewropew u tal-Kunsill fir-rigward tal-istandards tekniċi regolatorji dwar il-kriterji għall-ħatra ta’ punti ta’ kuntatt ċentrali fil-qasam tas-servizzi ta’ pagament u dwar l-funzjonijiet ta’ dawk il-punti ta’ kuntatt ċentrali</w:t>
      </w:r>
      <w:r>
        <w:rPr>
          <w:b/>
          <w:noProof/>
        </w:rPr>
        <w:br/>
      </w:r>
      <w:r>
        <w:rPr>
          <w:b/>
          <w:noProof/>
        </w:rPr>
        <w:br/>
      </w:r>
      <w:r>
        <w:rPr>
          <w:b/>
          <w:noProof/>
        </w:rPr>
        <w:br/>
      </w:r>
      <w:r>
        <w:rPr>
          <w:b/>
          <w:i/>
          <w:noProof/>
        </w:rPr>
        <w:t>(C(2019)1997)</w:t>
      </w:r>
    </w:p>
    <w:p>
      <w:pPr>
        <w:rPr>
          <w:rFonts w:ascii="EUAlbertina" w:hAnsi="EUAlbertina"/>
          <w:noProof/>
        </w:rPr>
      </w:pP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 xml:space="preserve">Fil-paġna 3, fl-Artikolu 1(a) </w:t>
      </w:r>
    </w:p>
    <w:p>
      <w:pPr>
        <w:autoSpaceDE w:val="0"/>
        <w:autoSpaceDN w:val="0"/>
        <w:adjustRightInd w:val="0"/>
        <w:rPr>
          <w:noProof/>
        </w:rPr>
      </w:pPr>
      <w:r>
        <w:rPr>
          <w:i/>
          <w:noProof/>
        </w:rPr>
        <w:t>għal:</w:t>
      </w:r>
      <w:r>
        <w:rPr>
          <w:noProof/>
        </w:rPr>
        <w:t xml:space="preserve"> </w:t>
      </w:r>
    </w:p>
    <w:p>
      <w:pPr>
        <w:autoSpaceDE w:val="0"/>
        <w:autoSpaceDN w:val="0"/>
        <w:adjustRightInd w:val="0"/>
        <w:rPr>
          <w:rFonts w:ascii="EUAlbertina" w:hAnsi="EUAlbertina"/>
          <w:noProof/>
        </w:rPr>
      </w:pPr>
      <w:r>
        <w:rPr>
          <w:noProof/>
        </w:rPr>
        <w:t>“l-għadd totali ta’ aġenti li permezz tagħhom istituzzjoni ta’ pagament tipprovdi kwalunkwe wieħed mis-servizzi ta’ pagament imsemmija fl-Anness I tad-Direttiva (UE) 2015/2366 fi Stat Membru ospitanti taħt id-dritt ta’ stabbiliment fl-aħħar sena finanzjarja huwa ugwali għal jew jaqbeż l-10;”</w:t>
      </w:r>
    </w:p>
    <w:p>
      <w:pPr>
        <w:autoSpaceDE w:val="0"/>
        <w:autoSpaceDN w:val="0"/>
        <w:adjustRightInd w:val="0"/>
        <w:rPr>
          <w:noProof/>
        </w:rPr>
      </w:pPr>
      <w:r>
        <w:rPr>
          <w:i/>
          <w:noProof/>
        </w:rPr>
        <w:t>aqra:</w:t>
      </w:r>
      <w:r>
        <w:rPr>
          <w:noProof/>
        </w:rPr>
        <w:t xml:space="preserve"> </w:t>
      </w:r>
    </w:p>
    <w:p>
      <w:pPr>
        <w:autoSpaceDE w:val="0"/>
        <w:autoSpaceDN w:val="0"/>
        <w:adjustRightInd w:val="0"/>
        <w:rPr>
          <w:rFonts w:ascii="EUAlbertina" w:hAnsi="EUAlbertina"/>
          <w:noProof/>
        </w:rPr>
      </w:pPr>
      <w:r>
        <w:rPr>
          <w:noProof/>
        </w:rPr>
        <w:t>“l-għadd totali ta’ aġenti li permezz tagħhom istituzzjoni ta’ pagament tipprovdi kwalunkwe wieħed mis-servizzi ta’ pagament imsemmija fl-Anness I tad-Direttiva (UE) 2015/2366 fi Stat Membru ospitanti taħt id-dritt ta’ stabbiliment huwa ugwali għal jew jaqbeż l-10;”</w:t>
      </w:r>
    </w:p>
    <w:p>
      <w:pPr>
        <w:autoSpaceDE w:val="0"/>
        <w:autoSpaceDN w:val="0"/>
        <w:adjustRightInd w:val="0"/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MT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MT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969C62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2E2BC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ADE4A2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7440531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F0A47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34BC78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B1F81D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767013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 w:numId="37">
    <w:abstractNumId w:val="18"/>
  </w:num>
  <w:num w:numId="38">
    <w:abstractNumId w:val="12"/>
  </w:num>
  <w:num w:numId="39">
    <w:abstractNumId w:val="20"/>
  </w:num>
  <w:num w:numId="40">
    <w:abstractNumId w:val="11"/>
  </w:num>
  <w:num w:numId="41">
    <w:abstractNumId w:val="13"/>
  </w:num>
  <w:num w:numId="42">
    <w:abstractNumId w:val="9"/>
  </w:num>
  <w:num w:numId="43">
    <w:abstractNumId w:val="19"/>
  </w:num>
  <w:num w:numId="44">
    <w:abstractNumId w:val="8"/>
  </w:num>
  <w:num w:numId="45">
    <w:abstractNumId w:val="14"/>
  </w:num>
  <w:num w:numId="46">
    <w:abstractNumId w:val="16"/>
  </w:num>
  <w:num w:numId="47">
    <w:abstractNumId w:val="17"/>
  </w:num>
  <w:num w:numId="48">
    <w:abstractNumId w:val="10"/>
  </w:num>
  <w:num w:numId="49">
    <w:abstractNumId w:val="15"/>
  </w:num>
  <w:num w:numId="50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0-05-25 15:22:3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FD858681-36D3-4671-AD95-729535B302F0"/>
    <w:docVar w:name="LW_COVERPAGE_TYPE" w:val="1"/>
    <w:docVar w:name="LW_CROSSREFERENCE" w:val="&lt;UNUSED&gt;"/>
    <w:docVar w:name="LW_DocType" w:val="COM"/>
    <w:docVar w:name="LW_EMISSION" w:val="2.6.2020"/>
    <w:docVar w:name="LW_EMISSION_ISODATE" w:val="2020-06-02"/>
    <w:docVar w:name="LW_EMISSION_LOCATION" w:val="BRX"/>
    <w:docVar w:name="LW_EMISSION_PREFIX" w:val="Brussell, "/>
    <w:docVar w:name="LW_EMISSION_SUFFIX" w:val=" "/>
    <w:docVar w:name="LW_ID_DOCMODEL" w:val="SG-039"/>
    <w:docVar w:name="LW_ID_DOCSTRUCTURE" w:val="COM/PRELIM/SIMPLE"/>
    <w:docVar w:name="LW_ID_DOCTYPE" w:val="SG-039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0) 346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" w:val="tar-Regolament Delegat tal-Kummissjoni tal-14 ta\u8217? Marzu 2019 dwar is-supplimentazzjoni tad-Direttiva (UE) 2015/2366 tal-Parlament Ewropew u tal-Kunsill fir-rigward tal-istandards tekni\u267?i regolatorji dwar il-kriterji g\u295?all-\u295?atra ta\u8217? punti ta\u8217? kuntatt \u267?entrali fil-qasam tas-servizzi ta\u8217? pagament u dwar l-funzjonijiet ta\u8217? dawk il-punti ta\u8217? kuntatt \u267?entrali_x000d__x000d__x000d__x000d__x000b__x000d__x000d__x000d__x000d__x000b__x000d__x000d__x000d__x000d__x000b_&lt;FMT:Italic&gt;(C(2019)1997)&lt;/FMT&gt;"/>
    <w:docVar w:name="LW_TITRE.OBJ.CP" w:val="tar-Regolament Delegat tal-Kummissjoni tal-14 ta\u8217? Marzu 2019 dwar is-supplimentazzjoni tad-Direttiva (UE) 2015/2366 tal-Parlament Ewropew u tal-Kunsill fir-rigward tal-istandards tekni\u267?i regolatorji dwar il-kriterji g\u295?all-\u295?atra ta\u8217? punti ta\u8217? kuntatt \u267?entrali fil-qasam tas-servizzi ta\u8217? pagament u dwar l-funzjonijiet ta\u8217? dawk il-punti ta\u8217? kuntatt \u267?entrali_x000d__x000d__x000d__x000d__x000b__x000d__x000d__x000d__x000d__x000b__x000d__x000d__x000d__x000d__x000b_&lt;FMT:Italic&gt;(C(2019)1997)&lt;/FMT&gt;"/>
    <w:docVar w:name="LW_TYPE.DOC" w:val="RETTIFIKA"/>
    <w:docVar w:name="LW_TYPE.DOC.CP" w:val="RETTIFIK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mt-M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43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43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43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43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mt-M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mt-M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mt-M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mt-M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37"/>
      </w:numPr>
    </w:pPr>
  </w:style>
  <w:style w:type="paragraph" w:customStyle="1" w:styleId="Tiret1">
    <w:name w:val="Tiret 1"/>
    <w:basedOn w:val="Point1"/>
    <w:pPr>
      <w:numPr>
        <w:numId w:val="38"/>
      </w:numPr>
    </w:pPr>
  </w:style>
  <w:style w:type="paragraph" w:customStyle="1" w:styleId="Tiret2">
    <w:name w:val="Tiret 2"/>
    <w:basedOn w:val="Point2"/>
    <w:pPr>
      <w:numPr>
        <w:numId w:val="39"/>
      </w:numPr>
    </w:pPr>
  </w:style>
  <w:style w:type="paragraph" w:customStyle="1" w:styleId="Tiret3">
    <w:name w:val="Tiret 3"/>
    <w:basedOn w:val="Point3"/>
    <w:pPr>
      <w:numPr>
        <w:numId w:val="40"/>
      </w:numPr>
    </w:pPr>
  </w:style>
  <w:style w:type="paragraph" w:customStyle="1" w:styleId="Tiret4">
    <w:name w:val="Tiret 4"/>
    <w:basedOn w:val="Point4"/>
    <w:pPr>
      <w:numPr>
        <w:numId w:val="41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42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42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42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42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44"/>
      </w:numPr>
    </w:pPr>
  </w:style>
  <w:style w:type="paragraph" w:customStyle="1" w:styleId="Point1number">
    <w:name w:val="Point 1 (number)"/>
    <w:basedOn w:val="Normal"/>
    <w:pPr>
      <w:numPr>
        <w:ilvl w:val="2"/>
        <w:numId w:val="44"/>
      </w:numPr>
    </w:pPr>
  </w:style>
  <w:style w:type="paragraph" w:customStyle="1" w:styleId="Point2number">
    <w:name w:val="Point 2 (number)"/>
    <w:basedOn w:val="Normal"/>
    <w:pPr>
      <w:numPr>
        <w:ilvl w:val="4"/>
        <w:numId w:val="44"/>
      </w:numPr>
    </w:pPr>
  </w:style>
  <w:style w:type="paragraph" w:customStyle="1" w:styleId="Point3number">
    <w:name w:val="Point 3 (number)"/>
    <w:basedOn w:val="Normal"/>
    <w:pPr>
      <w:numPr>
        <w:ilvl w:val="6"/>
        <w:numId w:val="44"/>
      </w:numPr>
    </w:pPr>
  </w:style>
  <w:style w:type="paragraph" w:customStyle="1" w:styleId="Point0letter">
    <w:name w:val="Point 0 (letter)"/>
    <w:basedOn w:val="Normal"/>
    <w:pPr>
      <w:numPr>
        <w:ilvl w:val="1"/>
        <w:numId w:val="44"/>
      </w:numPr>
    </w:pPr>
  </w:style>
  <w:style w:type="paragraph" w:customStyle="1" w:styleId="Point1letter">
    <w:name w:val="Point 1 (letter)"/>
    <w:basedOn w:val="Normal"/>
    <w:pPr>
      <w:numPr>
        <w:ilvl w:val="3"/>
        <w:numId w:val="44"/>
      </w:numPr>
    </w:pPr>
  </w:style>
  <w:style w:type="paragraph" w:customStyle="1" w:styleId="Point2letter">
    <w:name w:val="Point 2 (letter)"/>
    <w:basedOn w:val="Normal"/>
    <w:pPr>
      <w:numPr>
        <w:ilvl w:val="5"/>
        <w:numId w:val="44"/>
      </w:numPr>
    </w:pPr>
  </w:style>
  <w:style w:type="paragraph" w:customStyle="1" w:styleId="Point3letter">
    <w:name w:val="Point 3 (letter)"/>
    <w:basedOn w:val="Normal"/>
    <w:pPr>
      <w:numPr>
        <w:ilvl w:val="7"/>
        <w:numId w:val="44"/>
      </w:numPr>
    </w:pPr>
  </w:style>
  <w:style w:type="paragraph" w:customStyle="1" w:styleId="Point4letter">
    <w:name w:val="Point 4 (letter)"/>
    <w:basedOn w:val="Normal"/>
    <w:pPr>
      <w:numPr>
        <w:ilvl w:val="8"/>
        <w:numId w:val="44"/>
      </w:numPr>
    </w:pPr>
  </w:style>
  <w:style w:type="paragraph" w:customStyle="1" w:styleId="Bullet0">
    <w:name w:val="Bullet 0"/>
    <w:basedOn w:val="Normal"/>
    <w:pPr>
      <w:numPr>
        <w:numId w:val="45"/>
      </w:numPr>
    </w:pPr>
  </w:style>
  <w:style w:type="paragraph" w:customStyle="1" w:styleId="Bullet1">
    <w:name w:val="Bullet 1"/>
    <w:basedOn w:val="Normal"/>
    <w:pPr>
      <w:numPr>
        <w:numId w:val="46"/>
      </w:numPr>
    </w:pPr>
  </w:style>
  <w:style w:type="paragraph" w:customStyle="1" w:styleId="Bullet2">
    <w:name w:val="Bullet 2"/>
    <w:basedOn w:val="Normal"/>
    <w:pPr>
      <w:numPr>
        <w:numId w:val="47"/>
      </w:numPr>
    </w:pPr>
  </w:style>
  <w:style w:type="paragraph" w:customStyle="1" w:styleId="Bullet3">
    <w:name w:val="Bullet 3"/>
    <w:basedOn w:val="Normal"/>
    <w:pPr>
      <w:numPr>
        <w:numId w:val="48"/>
      </w:numPr>
    </w:pPr>
  </w:style>
  <w:style w:type="paragraph" w:customStyle="1" w:styleId="Bullet4">
    <w:name w:val="Bullet 4"/>
    <w:basedOn w:val="Normal"/>
    <w:pPr>
      <w:numPr>
        <w:numId w:val="49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50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3</Pages>
  <Words>504</Words>
  <Characters>3654</Characters>
  <Application>Microsoft Office Word</Application>
  <DocSecurity>0</DocSecurity>
  <Lines>66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cp:lastPrinted>2019-11-07T16:12:00Z</cp:lastPrinted>
  <dcterms:created xsi:type="dcterms:W3CDTF">2020-05-05T12:22:00Z</dcterms:created>
  <dcterms:modified xsi:type="dcterms:W3CDTF">2020-05-25T13:22:00Z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COM/PRELIM/SIMPLE</vt:lpwstr>
  </property>
  <property fmtid="{D5CDD505-2E9C-101B-9397-08002B2CF9AE}" pid="3" name="Version">
    <vt:lpwstr>7.0.8.0</vt:lpwstr>
  </property>
  <property fmtid="{D5CDD505-2E9C-101B-9397-08002B2CF9AE}" pid="4" name="Last edited using">
    <vt:lpwstr>LW 7.0, Build 20190717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SG-039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