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E72EF2" w:rsidRPr="00355002">
      <w:pPr>
        <w:rPr>
          <w:b/>
          <w:lang w:val="en-I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7"/>
        <w:gridCol w:w="7381"/>
      </w:tblGrid>
      <w:tr w:rsidTr="13A23496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7D6F93" w:rsidRPr="00CB6492" w:rsidP="00824525">
            <w:pPr>
              <w:spacing w:before="60" w:after="6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SEJĦA GĦAL EVIDENZA</w:t>
            </w:r>
          </w:p>
          <w:p w:rsidR="009E6661" w:rsidRPr="00355002" w:rsidP="00B312B7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color w:val="FFFFFF" w:themeColor="background1"/>
                <w:sz w:val="28"/>
              </w:rPr>
              <w:t xml:space="preserve">GĦAL INIZJATTIVA </w:t>
            </w:r>
            <w:r>
              <w:rPr>
                <w:b/>
                <w:color w:val="FFFFFF" w:themeColor="background1"/>
                <w:sz w:val="28"/>
              </w:rPr>
              <w:t>(mingħajr valutazzjoni tal-impatt)</w:t>
            </w: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96B28" w:rsidRPr="00355002" w:rsidP="003A46A1">
            <w:pPr>
              <w:spacing w:before="60" w:after="120"/>
              <w:jc w:val="both"/>
              <w:rPr>
                <w:b/>
                <w:color w:val="FF0000"/>
                <w:lang w:val="en-IE"/>
              </w:rPr>
            </w:pP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CB6492" w:rsidP="00824525">
            <w:pPr>
              <w:spacing w:before="60" w:after="60"/>
              <w:jc w:val="both"/>
              <w:rPr>
                <w:b/>
                <w:smallCaps/>
                <w:color w:val="auto"/>
              </w:rPr>
            </w:pPr>
            <w:r>
              <w:rPr>
                <w:b/>
                <w:smallCaps/>
                <w:color w:val="auto"/>
              </w:rPr>
              <w:t>Titolu tal-inizjattiva</w:t>
            </w:r>
          </w:p>
        </w:tc>
        <w:tc>
          <w:tcPr>
            <w:tcW w:w="7381" w:type="dxa"/>
            <w:shd w:val="clear" w:color="auto" w:fill="auto"/>
          </w:tcPr>
          <w:p w:rsidR="0075560F" w:rsidRPr="00355002" w:rsidP="00496C53">
            <w:pPr>
              <w:spacing w:before="60" w:after="60"/>
              <w:rPr>
                <w:color w:val="000080"/>
              </w:rPr>
            </w:pPr>
            <w:r>
              <w:rPr>
                <w:color w:val="000080"/>
              </w:rPr>
              <w:t>Il-pjan tal-Unjoni ta’ prevenzjoni, tħejjija, u rispons</w:t>
            </w: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7210" w:rsidRPr="00CB6492" w:rsidP="13A23496">
            <w:pPr>
              <w:spacing w:before="60" w:after="60"/>
              <w:jc w:val="both"/>
              <w:rPr>
                <w:b/>
                <w:bCs/>
                <w:smallCaps/>
                <w:color w:val="auto"/>
              </w:rPr>
            </w:pPr>
            <w:r>
              <w:rPr>
                <w:b/>
                <w:smallCaps/>
                <w:color w:val="auto"/>
              </w:rPr>
              <w:t>DĠ ewlieni — unità responsabbli</w:t>
            </w:r>
            <w:r>
              <w:rPr>
                <w:b/>
                <w:smallCaps/>
                <w:color w:val="auto"/>
              </w:rPr>
              <w:t xml:space="preserve">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10" w:rsidRPr="00355002" w:rsidP="00106A9A">
            <w:pPr>
              <w:spacing w:before="60" w:after="60"/>
              <w:jc w:val="both"/>
              <w:rPr>
                <w:color w:val="000080"/>
              </w:rPr>
            </w:pPr>
            <w:r>
              <w:rPr>
                <w:color w:val="000080"/>
              </w:rPr>
              <w:t>SANTE – B2 (Sigurtà tas-Saħħa)</w:t>
            </w: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3AEF" w:rsidRPr="00CB6492" w:rsidP="00824525">
            <w:pPr>
              <w:spacing w:before="60" w:after="60"/>
              <w:jc w:val="both"/>
              <w:rPr>
                <w:b/>
                <w:smallCaps/>
                <w:color w:val="auto"/>
              </w:rPr>
            </w:pPr>
            <w:r>
              <w:rPr>
                <w:b/>
                <w:smallCaps/>
                <w:color w:val="auto"/>
              </w:rPr>
              <w:t>Tip probabbli ta’ inizjattiva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EF" w:rsidRPr="00355002" w:rsidP="00496C53">
            <w:pPr>
              <w:spacing w:before="120" w:after="60"/>
              <w:jc w:val="both"/>
              <w:rPr>
                <w:color w:val="000080"/>
              </w:rPr>
            </w:pPr>
            <w:r>
              <w:rPr>
                <w:color w:val="000080"/>
              </w:rPr>
              <w:t>Komunikazzjoni tal-Kummissjoni lill-Parlament Ewropew, lill-Kunsill, lill-Kumitat Ekonomiku u Soċjali Ewropew, u lill-Kumitat tar-Reġjuni</w:t>
            </w: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2DFF" w:rsidRPr="00CB6492" w:rsidP="0066565B">
            <w:pPr>
              <w:spacing w:before="60" w:after="60"/>
              <w:jc w:val="both"/>
              <w:rPr>
                <w:b/>
                <w:smallCaps/>
                <w:color w:val="auto"/>
              </w:rPr>
            </w:pPr>
            <w:r>
              <w:rPr>
                <w:b/>
                <w:smallCaps/>
                <w:color w:val="auto"/>
              </w:rPr>
              <w:t>Żmien indikattiv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DFF" w:rsidRPr="00355002" w:rsidP="00B312B7">
            <w:pPr>
              <w:spacing w:before="120" w:after="120"/>
              <w:jc w:val="both"/>
              <w:rPr>
                <w:color w:val="000080"/>
                <w:highlight w:val="green"/>
              </w:rPr>
            </w:pPr>
            <w:r>
              <w:rPr>
                <w:color w:val="000080"/>
              </w:rPr>
              <w:t>Q4-2025</w:t>
            </w: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5042" w:rsidRPr="00CB6492" w:rsidP="00224B13">
            <w:pPr>
              <w:spacing w:before="60" w:after="60"/>
              <w:jc w:val="both"/>
              <w:rPr>
                <w:b/>
                <w:smallCaps/>
                <w:color w:val="auto"/>
              </w:rPr>
            </w:pPr>
            <w:r>
              <w:rPr>
                <w:b/>
                <w:smallCaps/>
                <w:color w:val="auto"/>
              </w:rPr>
              <w:t>Informazzjoni addizzjonali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42" w:rsidRPr="005007EE" w:rsidP="00347966">
            <w:pPr>
              <w:spacing w:before="120" w:after="120"/>
              <w:jc w:val="both"/>
              <w:rPr>
                <w:color w:val="000080"/>
              </w:rPr>
            </w:pPr>
            <w:r>
              <w:fldChar w:fldCharType="begin"/>
            </w:r>
            <w:r>
              <w:instrText xml:space="preserve"> HYPERLINK "https://health.ec.europa.eu/health-security-and-infectious-diseases_en?prefLang=mt" </w:instrText>
            </w:r>
            <w:r>
              <w:fldChar w:fldCharType="separate"/>
            </w:r>
            <w:r>
              <w:rPr>
                <w:rStyle w:val="Hyperlink"/>
              </w:rPr>
              <w:t>Is-sigurtà tas-saħħa u l-mard infettiv — il-Kummissjoni Ewropea</w:t>
            </w:r>
            <w:r>
              <w:fldChar w:fldCharType="end"/>
            </w:r>
          </w:p>
        </w:tc>
      </w:tr>
      <w:tr w:rsidTr="13A23496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6C0F" w:rsidRPr="005007EE" w:rsidP="00D97348">
            <w:pPr>
              <w:spacing w:before="60" w:after="60"/>
              <w:rPr>
                <w:i/>
                <w:color w:val="FF0000"/>
                <w:sz w:val="18"/>
              </w:rPr>
            </w:pPr>
            <w:r>
              <w:rPr>
                <w:i/>
                <w:color w:val="FF0000"/>
                <w:sz w:val="18"/>
              </w:rPr>
              <w:t>Dan id-dokument huwa biss għal finijiet ta’ informazzjoni.</w:t>
            </w:r>
            <w:r>
              <w:rPr>
                <w:i/>
                <w:color w:val="FF000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Ma jippreġudikax id-deċiżjoni finali tal-Kummissjoni dwar jekk din l-inizjattiva hijiex se tiġi segwita jew dwar il-kontenut finali tagħha.</w:t>
            </w:r>
            <w:r>
              <w:rPr>
                <w:i/>
                <w:color w:val="FF000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L-elementi kollha tal-inizjattiva deskritti f’dan id-dokument, inkluż it-twaqqit tagħha, huma soġġetti għal tibdil.</w:t>
            </w:r>
          </w:p>
        </w:tc>
      </w:tr>
    </w:tbl>
    <w:p w:rsidR="00BA33B7" w:rsidRPr="005007EE">
      <w:pPr>
        <w:rPr>
          <w:lang w:val="en-IE"/>
        </w:rPr>
        <w:sectPr w:rsidSect="00E72E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A33B7" w:rsidRPr="005007EE">
      <w:pPr>
        <w:rPr>
          <w:lang w:val="en-I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Tr="13A23496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9E6661" w:rsidRPr="001D0B25" w:rsidP="00AB4B4B">
            <w:pPr>
              <w:spacing w:before="60" w:after="60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color w:val="FFFFFF" w:themeColor="background1"/>
                <w:sz w:val="24"/>
              </w:rPr>
              <w:t>A. Kuntest politiku, definizzjoni tal-problema, u analiżi tas-sussidjarjetà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5007EE" w:rsidP="00347966">
            <w:pPr>
              <w:spacing w:before="120" w:after="120"/>
              <w:jc w:val="both"/>
            </w:pPr>
            <w:r>
              <w:rPr>
                <w:b/>
                <w:color w:val="auto"/>
                <w:sz w:val="24"/>
              </w:rPr>
              <w:t>Kuntest politiku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E3125C" w:rsidRPr="00743850" w:rsidP="00A068E5">
            <w:pPr>
              <w:spacing w:before="120" w:after="120"/>
              <w:jc w:val="both"/>
              <w:rPr>
                <w:color w:val="1036A0"/>
              </w:rPr>
            </w:pPr>
            <w:r>
              <w:t xml:space="preserve">Fuq il-bażi tal-lezzjonijiet li tatna l-pandemija tal-COVID-19, il-Kummissjoni ressqet damma ta’ proposti biex tissawwar </w:t>
            </w:r>
            <w:r>
              <w:fldChar w:fldCharType="begin"/>
            </w:r>
            <w:r>
              <w:instrText xml:space="preserve"> HYPERLINK "https://commission.europa.eu/strategy-and-policy/priorities-2019-2024/promoting-our-european-way-life/european-health-union_mt" </w:instrText>
            </w:r>
            <w:r>
              <w:fldChar w:fldCharType="separate"/>
            </w:r>
            <w:r>
              <w:rPr>
                <w:rStyle w:val="Hyperlink"/>
              </w:rPr>
              <w:t>Unjoni Ewropea tas-Saħħa</w:t>
            </w:r>
            <w:r>
              <w:fldChar w:fldCharType="end"/>
            </w:r>
            <w:r>
              <w:t xml:space="preserve"> li saħħet il-qafas tal-UE għas-sigurtà fil-qasam tas-saħħa.</w:t>
            </w:r>
            <w:r>
              <w:rPr>
                <w:color w:val="1036A0"/>
              </w:rPr>
              <w:t xml:space="preserve"> </w:t>
            </w:r>
            <w:r>
              <w:fldChar w:fldCharType="begin"/>
            </w:r>
            <w:r>
              <w:instrText xml:space="preserve"> HYPERLINK "https://eur-lex.europa.eu/legal-content/MT/TXT/?qid=1673887469777&amp;uri=CELEX%3A32022R2371" </w:instrText>
            </w:r>
            <w:r>
              <w:fldChar w:fldCharType="separate"/>
            </w:r>
            <w:r>
              <w:rPr>
                <w:rStyle w:val="Hyperlink"/>
              </w:rPr>
              <w:t>Ir-Regolament (UE) 2022/2371 dwar theddid transkonfinali serju għas-saħħa</w:t>
            </w:r>
            <w:r>
              <w:fldChar w:fldCharType="end"/>
            </w:r>
            <w:r>
              <w:t xml:space="preserve"> huwa biċċa prinċipali mil-leġiżlazzjoni li tagħmel parti mill-qafas.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L-Artikolu 5 ta’ dan ir-regolament jitlob li l-Kummissjoni tistabbilixxi pjan tal-Unjoni ta’ prevenzjoni, tħejjija, u rispons għall-kriżijiet tas-saħħa (il-pjan tal-Unjoni).</w:t>
            </w:r>
          </w:p>
          <w:p w:rsidR="00C55B2C" w:rsidRPr="00683186" w:rsidP="00A068E5">
            <w:pPr>
              <w:spacing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Il-pjan tal-Unjoni għandu l-għan li jippromwovi rispons effettiv u kkoordinat għal theddid transkonfinali serju għas-saħħa fil-livell tal-UE billi jiddeskrivi l-arranġamenti konġunti li huma fis-seħħ għall-governanza, għall-kapaċitajiet, u għar-riżorsi.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Se jiddeskrivi d-dispożizzjonijiet operazzjonali biex jingħata l-appoġġ lill-Istati Membri għall-prevenzjoni, it-tħejjija, u r-rispons f’każ ta’ theddida transkonfinali serja għas-saħħa, inklużi r-reżistenza għall-antimikrobiċi u r-riskji klimatiċi iżda wkoll xenarji intenzjonali bħat-terroriżmu sponsorjat mill-istat u l-operazzjonijiet ta’ ġlied fuq skala kbira.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Il-pjan tal-Unjoni se jikkomplementa l-pjanijiet nazzjonali ta’ prevenzjoni, tħejjija, u rispons.</w:t>
            </w:r>
          </w:p>
          <w:p w:rsidR="006139D1" w:rsidRPr="00683186" w:rsidP="00A068E5">
            <w:pPr>
              <w:spacing w:after="120"/>
              <w:jc w:val="both"/>
              <w:rPr>
                <w:color w:val="1036A0"/>
              </w:rPr>
            </w:pPr>
            <w:r>
              <w:t xml:space="preserve">Il-pjan tal-Unjoni se jkun marbut mill-qrib ma’ inizjattivi oħrajn tal-Kummissjoni, inklużi </w:t>
            </w:r>
            <w:r>
              <w:fldChar w:fldCharType="begin"/>
            </w:r>
            <w:r>
              <w:instrText xml:space="preserve"> HYPERLINK "https://commission.europa.eu/topics/preparedness_en?prefLang=mt" </w:instrText>
            </w:r>
            <w:r>
              <w:fldChar w:fldCharType="separate"/>
            </w:r>
            <w:r>
              <w:rPr>
                <w:rStyle w:val="Hyperlink"/>
              </w:rPr>
              <w:t>l-istrateġija għal Unjoni ta’ Preparatezza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"https://eur-lex.europa.eu/legal-content/MT/TXT/?uri=COM%3A2021%3A82%3AFIN" </w:instrText>
            </w:r>
            <w:r>
              <w:fldChar w:fldCharType="separate"/>
            </w:r>
            <w:r>
              <w:rPr>
                <w:rStyle w:val="Hyperlink"/>
              </w:rPr>
              <w:t>l-istrateġija tal-UE dwar l-adattament għat-tibdil fil-klima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"https://eur-lex.europa.eu/legal-content/MT/TXT/?uri=CELEX%3A52025PC0148" </w:instrText>
            </w:r>
            <w:r>
              <w:fldChar w:fldCharType="separate"/>
            </w:r>
            <w:r>
              <w:rPr>
                <w:rStyle w:val="Hyperlink"/>
              </w:rPr>
              <w:t>l-istrateġija Ewropea ta’ sigurtà interna</w:t>
            </w:r>
            <w:r>
              <w:fldChar w:fldCharType="end"/>
            </w:r>
            <w:r>
              <w:t>, l-istrateġija biex jiġu appoġġati kontromiżuri mediċi kontra t-theddid għas-saħħa pubblika, u l-istrateġija tal-UE għall-kumulazzjoni tar-riżervi.</w:t>
            </w:r>
            <w:r>
              <w:t xml:space="preserve"> </w:t>
            </w:r>
            <w:r>
              <w:t xml:space="preserve">Jirrifletti wkoll </w:t>
            </w:r>
            <w:r>
              <w:fldChar w:fldCharType="begin"/>
            </w:r>
            <w:r>
              <w:instrText xml:space="preserve"> HYPERLINK "https://commission.europa.eu/topics/defence/safer-together-path-towards-fully-prepared-union_en?prefLang=mt" </w:instrText>
            </w:r>
            <w:r>
              <w:fldChar w:fldCharType="separate"/>
            </w:r>
            <w:r>
              <w:rPr>
                <w:rStyle w:val="Hyperlink"/>
              </w:rPr>
              <w:t>ir-Rapport tal-Konsulent Speċjali Niinistö</w:t>
            </w:r>
            <w:r>
              <w:fldChar w:fldCharType="end"/>
            </w:r>
            <w:r>
              <w:t>.</w:t>
            </w:r>
            <w:r>
              <w:t xml:space="preserve"> </w:t>
            </w:r>
            <w:r>
              <w:t>Il-pjan tal-Unjoni se jikkunsidra l-evalwazzjoni tar-Regolament (UE) 2022/2371.</w:t>
            </w:r>
            <w:r>
              <w:rPr>
                <w:rStyle w:val="Hyperlink"/>
                <w:color w:val="1F497D" w:themeColor="text2"/>
              </w:rPr>
              <w:t xml:space="preserve"> 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71651E" w:rsidRPr="00A76BF1" w:rsidP="00347966">
            <w:pPr>
              <w:spacing w:before="120" w:after="120"/>
              <w:jc w:val="both"/>
            </w:pPr>
            <w:r>
              <w:rPr>
                <w:b/>
                <w:color w:val="auto"/>
                <w:sz w:val="24"/>
              </w:rPr>
              <w:t>Problema li l-inizjattiva timmira li tindirizza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F5C7C" w:rsidRPr="00155D7B" w:rsidP="00C31B7B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Il-pandemija tal-COVID-19 enfasizzat il-ħtieġa għal approċċ effettiv u kkoordinat biex jiġi indirizzat it-theddid transkonfinali serju għas-saħħa.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Kixfet ukoll lakuni u dgħufijiet fil-kapaċitajiet tat-tħejjija u tar-rispons tal-UE.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Xi pjanijiet ta’ tħejjija kienu fis-seħħ, iżda l-mekkaniżmi u l-għodod mhux dejjem kienu jaqblu mal-ħtiġijiet tal-ġestjoni tal-emerġenzi u ġew adottati ad hoc.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 xml:space="preserve">Din il-kriżi wriet li l-kost tan-nuqqas ta’ azzjoni jisboq il-kost ta’ investiment effettiv u sistematiku fit-tħejjija u l-ippjanar, inkluża l-prospettiva strateġika </w:t>
            </w:r>
            <w:r>
              <w:rPr>
                <w:rStyle w:val="FootnoteReference"/>
                <w:color w:val="1036A0"/>
                <w:lang w:val="en-IE"/>
              </w:rPr>
              <w:footnoteReference w:id="3"/>
            </w:r>
            <w:r>
              <w:rPr>
                <w:color w:val="1036A0"/>
              </w:rPr>
              <w:t>.</w:t>
            </w:r>
          </w:p>
          <w:p w:rsidR="00CB4D51" w:rsidRPr="00743850" w:rsidP="00C31B7B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Il-kriżi klimatika li qed tikber qed toħloq theddid serju għas-saħħa li jirrikjedi azzjoni koordinata mill-Istati Membri kollha għall-prevenzjoni, it-tħejjija, u r-rispons effettivi fir-rigward tat-theddid għas-saħħa għajr it-tifqigħat ta’ mard infettiv.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Barra minn hekk, is-sitwazzjoni ġeopolitika attwali tbiddel ix-xenarju tat-theddid.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Sabiex jiġu indirizzati dawn ix-xenarji multipli u kumplessi ta’ theddid, huwa meħtieġ approċċ ta’ gvern sħiħ u tas-soċjetà kollha għall-ippjanar tat-tħejjija.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L-applikazzjoni tal-approċċ “Saħħa Waħda” tippermetti lil dawk li jfasslu l-politika jindirizzaw id-determinanti komuni għas-saħħa tan-nies, tal-annimali, u tal-ekosistemi.</w:t>
            </w:r>
          </w:p>
          <w:p w:rsidR="00DA1673" w:rsidRPr="00E87F40" w:rsidP="00C31B7B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Biex jiġu fformalizzati t-tagħlimiet li ħadna mill-pandemija tal-COVID-19, ir-Regolament (UE) 2022/2371 jinkludi diversi dispożizzjonijiet dwar it-tisħiħ tal-ippjanar għall-prevenzjoni, it-tħejjija, u r-rispons fl-UE/fiż-ŻEE.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Dawn jinkludu rappurtar u valutazzjoni regolari tal-ippjanar tal-Istati Membri, u l-koordinazzjoni tal-ippjanar fil-Kumitat għas-Sigurtà tas-Saħħa.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Barra minn hekk, ir-Regolament jintroduċi l-pjan tal-Unjoni ta’ prevenzjoni, tħejjija, u rispons għall-kriżijiet tas-saħħa, li se jiġi stabbilit mill-Kummissjoni f’kooperazzjoni mal-Istati Membri u mal-aġenziji u l-korpi rilevanti tal-UE, u f’konformità mal-qafas ta’ tħejjija u rispons f’każ ta’ emerġenza stabbilit fir-Regolamenti Internazzjonali tas-Saħħa.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Il-pjan tal-Unjoni huwa bbażat fuq il-leġiżlazzjoni, l-istrutturi ta’ governanza, il-kapaċitajiet, u r-riżorsi eżistenti tal-UE, u għalhekk ma jintroduċi l-ebda obbligu ġdid għall-Istati Membri jew għall-istituzzjonijiet tal-UE.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Minflok, il-valur miżjud tal-pjan tal-Unjoni jinsab fil-kapaċità li tinġabar informazzjoni frammentata dwar arranġamenti konġunti f’dokument uniku, aċċessibbli, u operazzjonali li l-maniġers tal-kriżijiet jistgħu jikkonsultaw f’każ ta’ bżonn.</w:t>
            </w:r>
          </w:p>
          <w:p w:rsidR="004E3C19" w:rsidRPr="00A82377" w:rsidP="006D0F02">
            <w:pPr>
              <w:spacing w:before="120" w:after="120"/>
              <w:jc w:val="both"/>
              <w:rPr>
                <w:i/>
                <w:color w:val="00B050"/>
              </w:rPr>
            </w:pPr>
            <w:r>
              <w:rPr>
                <w:color w:val="1036A0"/>
              </w:rPr>
              <w:t>Il-pjan tal-Unjoni se jikkomplementa l-politiki nazzjonali billi jiffaċilita livell adegwat ta’ prevenzjoni, tħejjija, u rispons fl-UE kollha fir-rigward tat-theddid transkonfinali kollu għas-saħħa;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u billi jiġu kkoordinati azzjonijiet għall-monitoraġġ, it-twissija bikrija, u l-ġestjoni ta’ dak it-theddid.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Dan ifisser li, flimkien mal-pjanijiet nazzjonali tal-Istati Membri kif ukoll ma’ pjanijiet settorjali oħra, il-pjan tal-Unjoni se jifforma arkitettura ta’ ppjanar solida u li qed titjieb b’mod kostanti għall-UE/għaż-ŻEE.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A82377" w:rsidP="00347966">
            <w:pPr>
              <w:spacing w:before="120" w:after="120"/>
              <w:jc w:val="both"/>
            </w:pPr>
            <w:r>
              <w:rPr>
                <w:b/>
                <w:color w:val="auto"/>
                <w:sz w:val="24"/>
              </w:rPr>
              <w:t>Bażi għall-azzjoni tal-UE (bażi legali u analiżi tas-sussidjarjetà)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3A46A1" w:rsidRPr="00A82377" w:rsidP="00BF5565">
            <w:pPr>
              <w:spacing w:before="60" w:after="120"/>
              <w:jc w:val="both"/>
              <w:rPr>
                <w:color w:val="00B050"/>
                <w:lang w:val="en-IE"/>
              </w:rPr>
            </w:pP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E87F40" w:rsidP="001533F9">
            <w:pPr>
              <w:spacing w:before="120" w:after="120"/>
              <w:jc w:val="both"/>
              <w:rPr>
                <w:b/>
                <w:color w:val="1036A0"/>
              </w:rPr>
            </w:pPr>
            <w:r>
              <w:rPr>
                <w:b/>
                <w:color w:val="000000" w:themeColor="text1"/>
                <w:sz w:val="24"/>
              </w:rPr>
              <w:t>Bażi</w:t>
            </w:r>
            <w:r>
              <w:rPr>
                <w:b/>
                <w:color w:val="1036A0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legali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AC62FE" w:rsidRPr="00E87F40" w:rsidP="00AC62FE">
            <w:pPr>
              <w:spacing w:before="120" w:after="120"/>
              <w:jc w:val="both"/>
              <w:rPr>
                <w:color w:val="1036A0"/>
              </w:rPr>
            </w:pPr>
            <w:r>
              <w:t>L-Artikolu 5 tar-</w:t>
            </w:r>
            <w:r>
              <w:fldChar w:fldCharType="begin"/>
            </w:r>
            <w:r>
              <w:instrText xml:space="preserve"> HYPERLINK "https://eur-lex.europa.eu/legal-content/MT/TXT/?qid=1673887469777&amp;uri=CELEX%3A32022R2371" </w:instrText>
            </w:r>
            <w:r>
              <w:fldChar w:fldCharType="separate"/>
            </w:r>
            <w:r>
              <w:rPr>
                <w:rStyle w:val="Hyperlink"/>
              </w:rPr>
              <w:t>Regolament (UE) 2022/2371 dwar theddid transkonfinali serju għas-saħħa</w:t>
            </w:r>
            <w:r>
              <w:fldChar w:fldCharType="end"/>
            </w:r>
            <w:r>
              <w:t xml:space="preserve"> jagħti s-setgħa lill-Kummissjoni biex tistabbilixxi pjan tal-Unjoni ta’ prevenzjoni, tħejjija, u rispons għall-kriżijiet tas-saħħa.</w:t>
            </w:r>
          </w:p>
          <w:p w:rsidR="007F5183" w:rsidRPr="00E87F40" w:rsidP="00E15F4D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Ir-Regolament (UE) 2022/2371 huwa bbażat fuq l-Artikolu 168(5) tat-Trattat dwar il-Funzjonament tal-Unjoni Ewropea.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Dan jippermetti lill-UE tadotta (i) miżuri ta’ inċentiv għall-protezzjoni u t-titjib tas-saħħa tal-bniedem u għall-ġlieda kontra l-flaġelli transkonfinali ewlenin fil-qasam tas-saħħa;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u (ii) miżuri dwar il-monitoraġġ, it-twissija bikrija, u l-ġlieda kontra theddid transkonfinali serju għas-saħħa, bl-esklużjoni ta’ kwalunkwe armonizzazzjoni tal-liġijiet u r-regolamenti tal-Istati Membri.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E87F40" w:rsidP="001E25A5">
            <w:pPr>
              <w:spacing w:before="120" w:after="120"/>
              <w:jc w:val="both"/>
              <w:rPr>
                <w:b/>
                <w:color w:val="1036A0"/>
              </w:rPr>
            </w:pPr>
            <w:r>
              <w:rPr>
                <w:b/>
                <w:color w:val="000000" w:themeColor="text1"/>
                <w:sz w:val="24"/>
              </w:rPr>
              <w:t>Ħtieġa prattika li tittieħed azzjoni tal-UE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A50ADB" w:rsidRPr="00E87F40" w:rsidP="46B4620C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Il-valur miżjud tal-UE fil-ħolqien ta’ pjan tal-Unjoni ta’ prevenzjoni, tħejjija, u rispons għall-kriżijiet tas-saħħa jinsab fil-kapaċità tagħha li tikkomplementa l-pjanijiet nazzjonali, filwaqt li tiżgura approċċ ikkoordinat biex jiġu indirizzati t-theddid u l-kriżijiet transkonfinali għas-saħħa.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Permezz ta’ azzjoni fil-livell tal-UE, il-pjan tal-Unjoni (i) isaħħaħ il-koordinazzjoni tat-tħejjija għall-kriżijiet tas-saħħa u tar-rispons għalihom;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u (ii) iżid l-effiċjenza billi jevita d-duplikazzjoni tal-isforzi u jippromwovi l-aħjar użu tar-riżorsi u l-għodod eżistenti.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Għalhekk jipprovdi rispons f’waqtu, aktar effettiv, u simplifikat għall-kriżijiet tas-saħħa fil-livell tal-UE.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Fl-aħħar mill-aħħar, inaqqas ir-riskju u l-impatt tat-theddid transkonfinali għas-saħħa pubblika, għas-soċjetajiet, u għall-ekonomiji.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423AEF" w:rsidRPr="00E87F40" w:rsidP="46B4620C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B. X’objettivi għandha l-inizjattiva u kif se tiksibhom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7B22E2" w:rsidRPr="00E87F40" w:rsidP="00A068E5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Il-pjan tal-Unjoni se jistabbilixxi qafas (i) għall-attivitajiet relatati mal-prevenzjoni, it-tħejjija, u r-rispons fir-rigward tal-kriżijiet tas-saħħa fis-servizzi kollha tal-Kummissjoni, tal-Kunsill, u tal-aġenziji u l-korpi tal-UE;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kif ukoll (ii) għall-interazzjonijiet u l-koordinazzjoni ma’ korpi internazzjonali rilevanti f’approċċ ikkoordinat li jkopri l-perikli kollha, il-gvern kollu, is-soċjetà kollha, u “Saħħa Waħda”.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ll-pjan se jiddeskrivi l-partijiet ikkonċernati ewlenin kif ukoll ir-rwoli u r-responsabbiltajiet tagħhom fil-livell tal-UE.</w:t>
            </w:r>
          </w:p>
          <w:p w:rsidR="00423AEF" w:rsidRPr="005007EE" w:rsidP="00A068E5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L-għan ġenerali tal-pjan tal-Unjoni huwa li jgħin biex tissaħħaħ il-kapaċità tal-UE għat-tħejjija u r-rispons f’każ ta’ emerġenza kaġun ta’ kriżijiet tas-saħħa, inklużi l-pandemiji;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li tinbena r-reżiljenza maż-żmien permezz ta’ ttestjar regolari tal-istress;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li jkun hemm rispons f’waqtu fil-livell tal-UE;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kif ukoll li jingħata appoġġ lir-risponsi fil-livell nazzjonali jekk jintalab.</w:t>
            </w:r>
          </w:p>
          <w:p w:rsidR="000F4844" w:rsidP="13A23496">
            <w:pPr>
              <w:jc w:val="both"/>
              <w:rPr>
                <w:rFonts w:cs="Arial"/>
                <w:color w:val="1036A0"/>
              </w:rPr>
            </w:pPr>
            <w:r>
              <w:rPr>
                <w:color w:val="1036A0"/>
              </w:rPr>
              <w:t>Il-kamp ta’ applikazzjoni tal-pjan tal-Unjoni jestendi għal theddid ta’ oriġini bijoloġika, kimika, ambjentali, u mhux magħrufa u għal theddid għas-saħħa transfruntier ieħor, kif iddikjarat fl-Artikolu 2 tar-Regolament (UE) 2022/2371.</w:t>
            </w:r>
            <w:r>
              <w:rPr>
                <w:color w:val="1036A0"/>
              </w:rPr>
              <w:t xml:space="preserve"> </w:t>
            </w:r>
          </w:p>
          <w:p w:rsidR="00423AEF" w:rsidRPr="00580A8D" w:rsidP="46B4620C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Il-pjan tal-Unjoni se jinkludi dispożizzjonijiet dwar arranġamenti konġunti għall-governanza, il-kapaċitajiet, u r-riżorsi.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Dawn id-dispożizzjonijiet se jiżguraw il-kooperazzjoni f’waqtha bejn il-partijiet ikkonċernati rilevanti;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l-iskambju sigur tal-informazzjoni;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is-sorveljanza epidemjoloġika u l-monitoraġġ;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twissija bikrija u valutazzjoni ta’ perikli multipli ta’ riskji fuq terminu qasir u fit-tul;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komunikazzjoni dwar ir-riskji u l-kriżijiet;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kollaborazzjoni multisettorjali;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id-disponibbiltà ta’ kontromiżuri mediċi;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u r-riċerka u l-innovazzjoni ta' emerġenza.</w:t>
            </w:r>
          </w:p>
          <w:p w:rsidR="46B4620C" w:rsidRPr="00580A8D" w:rsidP="46B4620C">
            <w:pPr>
              <w:spacing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Il-pjan tal-Unjoni se jinkludi elementi ta’ tħejjija interreġjonali transkonfinali f’konformità mal-approċċ “Saħħa Waħda” biex jappoġġa miżuri tas-saħħa pubblika li jkunu konsistenti, multisettorjali, u transkonfinali.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Se jikkunsidra ċ-ċirkostanzi nazzjonali u jinkludi miżuri ta’ prevenzjoni, tħejjija, u rispons sabiex tiġi indirizzata s-sitwazzjoni ta’ individwi b’riskji ogħla ta’ impatti minn theddida transkonfinali serja għas-saħħa.</w:t>
            </w:r>
            <w:r>
              <w:rPr>
                <w:color w:val="1036A0"/>
              </w:rPr>
              <w:t xml:space="preserve"> </w:t>
            </w:r>
          </w:p>
          <w:p w:rsidR="46B4620C" w:rsidRPr="005007EE" w:rsidP="46B4620C">
            <w:pPr>
              <w:spacing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Għal rispons effettiv u kkoordinat fil-livell tal-UE, il-pjanijiet nazzjonali ta’ prevenzjoni, tħejjija, u rispons tal-Istati Membri u l-pjan tal-Unjoni jeħtieġ li jaħdmu flimkien mingħajr xkiel.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Il-pjan tal-Unjoni, għalhekk, se jikkomplementa l-pjanijiet nazzjonali u jippromwovi sinerġiji effettivi bejn l-Istati Membri, il-Kummissjoni, u l-aġenziji u l-korpi rilevanti tal-UE.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Barra minn hekk, il-pjanijiet tal-Istati Membri jeħtieġ li jfittxu li jkunu kemm jista’ jkun koerenti mal-pjan tal-Unjoni.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Il-pjan tal-Unjoni se jiġi ttestjat u aġġornat jekk ikun meħtieġ.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974" w:rsidRPr="00580A8D" w:rsidP="006C75CC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color w:val="auto"/>
              </w:rPr>
              <w:t>Impatti probabbli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6F79FE" w:rsidRPr="00580A8D" w:rsidP="00A068E5">
            <w:pPr>
              <w:pStyle w:val="ListParagraph"/>
              <w:spacing w:before="120" w:after="120"/>
              <w:ind w:left="0"/>
              <w:contextualSpacing w:val="0"/>
              <w:rPr>
                <w:color w:val="1036A0"/>
              </w:rPr>
            </w:pPr>
            <w:r>
              <w:rPr>
                <w:color w:val="1036A0"/>
              </w:rPr>
              <w:t>Il-pjan tal-Unjoni huwa mistenni li jkollu impatti pożittivi fuq is-saħħa pubblika, fuq is-soċjetajiet, u fuq l-ekonomiji billi:</w:t>
            </w:r>
          </w:p>
          <w:p w:rsidR="006F79FE" w:rsidRPr="00355002" w:rsidP="00A068E5">
            <w:pPr>
              <w:numPr>
                <w:ilvl w:val="0"/>
                <w:numId w:val="4"/>
              </w:numPr>
              <w:spacing w:before="120" w:after="120"/>
              <w:ind w:left="284" w:hanging="284"/>
              <w:jc w:val="both"/>
              <w:rPr>
                <w:color w:val="1036A0"/>
              </w:rPr>
            </w:pPr>
            <w:r>
              <w:rPr>
                <w:color w:val="1036A0"/>
              </w:rPr>
              <w:t>jippromwovi sinerġiji bejn l-Istati Membri, il-Kummissjoni, u l-aġenziji u l-korpi rilevanti tal-UE għal rispons effettiv u kkoordinat għal theddid transkonfinali serju għas-saħħa, filwaqt li tingħata attenzjoni partikolari lill-gruppi vulnerabbli u emarġinati li huma affettwati b’mod sproporzjonat minn theddid bħal dan;</w:t>
            </w:r>
          </w:p>
          <w:p w:rsidR="003A7541" w:rsidRPr="00355002" w:rsidP="00A068E5">
            <w:pPr>
              <w:numPr>
                <w:ilvl w:val="0"/>
                <w:numId w:val="4"/>
              </w:numPr>
              <w:spacing w:before="120" w:after="120"/>
              <w:ind w:left="284" w:hanging="284"/>
              <w:jc w:val="both"/>
            </w:pPr>
            <w:r>
              <w:rPr>
                <w:color w:val="1036A0"/>
              </w:rPr>
              <w:t>jiddeskrivi l-arranġamenti konġunti għall-governanza, il-kapaċitajiet, u r-riżorsi għall-kooperazzjoni f’waqtha, l-iskambju sigur tal-informazzjoni, is-sorveljanza, it-twissija bikrija, il-valutazzjoni tar-riskju, il-komunikazzjoni tar-riskji u tal-kriżijiet, il-kontromiżuri mediċi, ir-riċerka u l-innovazzjoni ta’ emerġenza, u l-valutazzjoni tar-riskji u tal-impatt;</w:t>
            </w:r>
            <w:r>
              <w:rPr>
                <w:color w:val="1036A0"/>
              </w:rPr>
              <w:t xml:space="preserve"> </w:t>
            </w:r>
          </w:p>
          <w:p w:rsidR="006F79FE" w:rsidRPr="00355002" w:rsidP="00A068E5">
            <w:pPr>
              <w:numPr>
                <w:ilvl w:val="0"/>
                <w:numId w:val="4"/>
              </w:numPr>
              <w:spacing w:before="120" w:after="120"/>
              <w:ind w:left="284" w:hanging="284"/>
              <w:jc w:val="both"/>
              <w:rPr>
                <w:color w:val="1036A0"/>
              </w:rPr>
            </w:pPr>
            <w:r>
              <w:rPr>
                <w:color w:val="1036A0"/>
              </w:rPr>
              <w:t>jiddeskrivi d-dispożizzjonijiet operazzjonali fis-seħħ għall-prevenzjoni, it-tħejjija, u r-rispons multisettorjali fil-livell tal-UE fir-rigward ta’ theddid transkonfinali serju għas-saħħa;</w:t>
            </w:r>
          </w:p>
          <w:p w:rsidR="00D900EC" w:rsidRPr="00355002" w:rsidP="00A068E5">
            <w:pPr>
              <w:numPr>
                <w:ilvl w:val="0"/>
                <w:numId w:val="4"/>
              </w:numPr>
              <w:spacing w:before="120" w:after="120"/>
              <w:ind w:left="284" w:hanging="284"/>
              <w:jc w:val="both"/>
            </w:pPr>
            <w:r>
              <w:rPr>
                <w:color w:val="1036A0"/>
              </w:rPr>
              <w:t>jippromwovi l-kooperazzjoni interreġjonali transkonfinali għall-prevenzjoni, it-tħejjija, u r-rispons għal theddid transkonfinali serju għas-saħħa;</w:t>
            </w:r>
          </w:p>
          <w:p w:rsidR="00D900EC" w:rsidRPr="005007EE" w:rsidP="00A068E5">
            <w:pPr>
              <w:numPr>
                <w:ilvl w:val="0"/>
                <w:numId w:val="4"/>
              </w:numPr>
              <w:spacing w:before="120" w:after="120"/>
              <w:ind w:left="284" w:hanging="284"/>
              <w:jc w:val="both"/>
            </w:pPr>
            <w:r>
              <w:rPr>
                <w:color w:val="1036A0"/>
              </w:rPr>
              <w:t>jgħin lill-Istati Membri biex ifittxu li jkunu koerenti mal-pjan tal-Unjoni, filwaqt li jiżviluppaw jew jaġġornaw il-pjanijiet tagħhom biex jiżguraw azzjoni koordinata mil-livell lokali sa dak reġjonali sa dak nazzjonali sal-livell tal-UE u fis-setturi kollha.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75CC" w:rsidRPr="00355002" w:rsidP="00A22CFB">
            <w:pPr>
              <w:spacing w:before="60" w:after="60"/>
              <w:jc w:val="both"/>
              <w:rPr>
                <w:color w:val="00B050"/>
              </w:rPr>
            </w:pPr>
            <w:r>
              <w:rPr>
                <w:b/>
                <w:color w:val="auto"/>
              </w:rPr>
              <w:t>Monitoraġġ futur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6C75CC" w:rsidRPr="00355002" w:rsidP="003D47B5">
            <w:pPr>
              <w:spacing w:before="120" w:after="120"/>
              <w:jc w:val="both"/>
              <w:rPr>
                <w:color w:val="00B050"/>
              </w:rPr>
            </w:pPr>
            <w:r>
              <w:rPr>
                <w:color w:val="1036A0"/>
              </w:rPr>
              <w:t>Il-pjan tal-Unjoni se jiġi ttestjat u aġġornat regolarment sabiex jiġi żgurat li jippromwovi azzjoni effettiva u kkoordinata fil-livell tal-UE u li jkun interoperabbli mal-pjanijiet nazzjonali u mal-qafas ta’ tħejjija u rispons għall-emerġenzi tal-Organizzazzjoni Dinjija tas-Saħħa (WHO).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Se jsiru eżerċizzji li se jidentifikaw l-aħjar prattiki u l-lakuni potenzjali u joħolqu sinerġiji, u b’hekk jiżguraw titjib kontinwu tat-tħejjija għal sitwazzjonijiet ta’ kriżi fil-ħajja reali.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L-eżerċizzji se jsegwu l-linji gwida tal-Kummissjoni għall-eżerċizzji tal-ġestjoni tal-kriżijiet.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09231D" w:rsidRPr="00355002" w:rsidP="00353BFB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color w:val="FFFFFF" w:themeColor="background1"/>
                <w:sz w:val="24"/>
                <w:highlight w:val="blue"/>
              </w:rPr>
              <w:t>C. Regolamentazzjoni aħjar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355002" w:rsidP="0071522F">
            <w:pPr>
              <w:spacing w:before="120" w:after="120"/>
              <w:jc w:val="both"/>
            </w:pPr>
            <w:r>
              <w:rPr>
                <w:b/>
                <w:color w:val="auto"/>
              </w:rPr>
              <w:t>Valutazzjoni tal-impatt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A7DB5" w:rsidRPr="00355002" w:rsidP="00A068E5">
            <w:pPr>
              <w:spacing w:before="120" w:after="120"/>
              <w:jc w:val="both"/>
              <w:rPr>
                <w:color w:val="00B050"/>
              </w:rPr>
            </w:pPr>
            <w:r>
              <w:rPr>
                <w:color w:val="1036A0"/>
              </w:rPr>
              <w:t>Mhijiex meħtieġa valutazzjoni tal-impatt għal din l-inizjattiva.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Il-pjan tal-Unjoni ta’ prevenzjoni, tħejjija, u rispons għall-kriżijiet tas-saħħa huwa mistenni li jieħu l-forma ta’ komunikazzjoni tal-Kummissjoni li tiddeskrivi d-dispożizzjonijiet operazzjonali biex tippromwovi sinerġiji effettivi bejn l-Istati Membri, il-Kummissjoni, u l-aġenziji u l-korpi rilevanti tal-UE.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Għalhekk, il-pjan huwa mistenni li jissimplifika l-prevenzjoni, it-tħejjija, u r-rispons għal theddid transkonfinali serju għas-saħħa madwar l-UE.</w:t>
            </w:r>
            <w:r>
              <w:rPr>
                <w:color w:val="1036A0"/>
              </w:rPr>
              <w:t xml:space="preserve"> 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355002" w:rsidP="00BF5565">
            <w:pPr>
              <w:spacing w:before="60" w:after="60"/>
              <w:jc w:val="both"/>
            </w:pPr>
            <w:r>
              <w:rPr>
                <w:b/>
                <w:color w:val="auto"/>
                <w:sz w:val="24"/>
              </w:rPr>
              <w:t>Strateġija ta’ konsultazzjoni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AA0FB3" w:rsidRPr="00355002" w:rsidP="00A068E5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L-għan tal-attivitajiet ta’ konsultazzjoni huwa li jinġabru l-kummenti ta’ diversi partijiet ikkonċernati dwar l-iżvilupp tal-pjan tal-Unjoni ta’ prevenzjoni, tħejjija, u rispons għall-kriżijiet tas-saħħa.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L-għan huwa li jiġi żgurat li dan jippromwovi rispons effettiv u kkoordinat għat-theddid transkonfinali għas-saħħa fil-livell tal-UE.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Il-konsultazzjonijiet se jkopru diversi servizzi tal-Kummissjoni, u aġenziji u korpi rilevanti tal-UE;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u se jinvolvu wkoll organizzazzjonijiet internazzjonali (b’mod partikolari d-WHO) sabiex tiġi żgurata l-konsistenza mal-qafas globali ta’ tħejjija għall-emerġenzi tas-saħħa.</w:t>
            </w:r>
          </w:p>
          <w:p w:rsidR="00A04560" w:rsidRPr="00355002" w:rsidP="00A068E5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Il-pjan tal-Unjoni se jiġi żviluppat f’kooperazzjoni mal-Istati Membri permezz tal-</w:t>
            </w:r>
            <w:r>
              <w:fldChar w:fldCharType="begin"/>
            </w:r>
            <w:r>
              <w:instrText xml:space="preserve"> HYPERLINK "https://health.ec.europa.eu/health-security-and-infectious-diseases/crisis-management_mt" \l "Il-Kumitat għas-Sigurtà tas-Saħħa" </w:instrText>
            </w:r>
            <w:r>
              <w:fldChar w:fldCharType="separate"/>
            </w:r>
            <w:r>
              <w:rPr>
                <w:rStyle w:val="Hyperlink"/>
              </w:rPr>
              <w:t>Kumitat għas-Sigurtà tas-Saħħa</w:t>
            </w:r>
            <w:r>
              <w:fldChar w:fldCharType="end"/>
            </w:r>
            <w:r>
              <w:t>.</w:t>
            </w:r>
            <w:r>
              <w:t xml:space="preserve"> </w:t>
            </w:r>
            <w:r>
              <w:t>Jistgħu jiġu kkonsultati wkoll gruppi rilevanti oħra.</w:t>
            </w:r>
            <w:r>
              <w:rPr>
                <w:color w:val="1036A0"/>
              </w:rPr>
              <w:t xml:space="preserve"> </w:t>
            </w:r>
          </w:p>
          <w:p w:rsidR="008968CE" w:rsidRPr="00E45836" w:rsidP="00A068E5">
            <w:pPr>
              <w:spacing w:before="120" w:after="120"/>
              <w:jc w:val="both"/>
              <w:rPr>
                <w:color w:val="1036A0"/>
              </w:rPr>
            </w:pPr>
            <w:r>
              <w:t>Il-pubbliku ġenerali, l-organizzazzjonijiet tas-soċjetà ċivili, l-atturi tas-settur privat, u l-akkademja qed jiġu infurmati permezz ta’ webinars permezz tal-</w:t>
            </w:r>
            <w:r>
              <w:fldChar w:fldCharType="begin"/>
            </w:r>
            <w:r>
              <w:instrText xml:space="preserve"> HYPERLINK "https://webgate.ec.europa.eu/hpf/mt" </w:instrText>
            </w:r>
            <w:r>
              <w:fldChar w:fldCharType="separate"/>
            </w:r>
            <w:r>
              <w:rPr>
                <w:rStyle w:val="Hyperlink"/>
              </w:rPr>
              <w:t>Pjattaforma tal-Politika tas-Saħħa</w:t>
            </w:r>
            <w:r>
              <w:fldChar w:fldCharType="end"/>
            </w:r>
            <w:r>
              <w:t>.</w:t>
            </w:r>
            <w:r>
              <w:rPr>
                <w:color w:val="1036A0"/>
              </w:rPr>
              <w:t xml:space="preserve"> </w:t>
            </w:r>
            <w:r>
              <w:rPr>
                <w:color w:val="1036A0"/>
              </w:rPr>
              <w:t>L-għan ta’ dawk il-webinars huwa li ninfurmaw lid-diversi partijiet ikkonċernati u nitkellmu magħhom dwar il-pjan tal-Unjoni sabiex nisimgħu l-fehmiet u s-suġġerimenti tagħhom.</w:t>
            </w:r>
          </w:p>
          <w:p w:rsidR="008968CE" w:rsidRPr="00E45836" w:rsidP="00A068E5">
            <w:pPr>
              <w:spacing w:before="120" w:after="120"/>
              <w:jc w:val="both"/>
              <w:rPr>
                <w:color w:val="1036A0"/>
              </w:rPr>
            </w:pPr>
            <w:r>
              <w:rPr>
                <w:color w:val="1036A0"/>
              </w:rPr>
              <w:t>Il-kontribut tal-partijiet ikkonċernati qed jiġi kkunsidrat matul l-iżvilupp tal-pjan tal-Unjoni biex jiġi żgurat li jaqdi l-iskop tiegħu.</w:t>
            </w:r>
          </w:p>
          <w:p w:rsidR="008968CE" w:rsidRPr="00E45836" w:rsidP="00A068E5">
            <w:pPr>
              <w:spacing w:before="120" w:after="120"/>
              <w:jc w:val="both"/>
              <w:rPr>
                <w:color w:val="00B050"/>
                <w:u w:val="single"/>
              </w:rPr>
            </w:pPr>
            <w:r>
              <w:rPr>
                <w:color w:val="1036A0"/>
              </w:rPr>
              <w:t>Minħabba l-ambitu u l-varjetà ta’ dawn l-attivitajiet ta’ konsultazzjoni, mhux se ssir konsultazzjoni pubblika.</w:t>
            </w:r>
            <w:r>
              <w:rPr>
                <w:color w:val="1036A0"/>
              </w:rPr>
              <w:t xml:space="preserve"> </w:t>
            </w:r>
          </w:p>
        </w:tc>
      </w:tr>
      <w:tr w:rsidTr="13A23496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312B7" w:rsidRPr="00E45836" w:rsidP="00E45836">
            <w:pPr>
              <w:spacing w:before="120" w:after="120"/>
              <w:rPr>
                <w:b/>
              </w:rPr>
            </w:pPr>
            <w:r>
              <w:t xml:space="preserve">Din is-sejħa għal evidenza se tiġi ppubblikata għal erba’ ġimgħat fuq il-website tal-Kummissjoni </w:t>
            </w:r>
            <w:r>
              <w:fldChar w:fldCharType="begin"/>
            </w:r>
            <w:r>
              <w:instrText xml:space="preserve"> HYPERLINK "https://ec.europa.eu/info/law/better-regulation/have-your-say_mt" </w:instrText>
            </w:r>
            <w:r>
              <w:fldChar w:fldCharType="separate"/>
            </w:r>
            <w:r>
              <w:rPr>
                <w:rStyle w:val="Hyperlink"/>
              </w:rPr>
              <w:t>Semma’ Leħnek</w:t>
            </w:r>
            <w:r>
              <w:fldChar w:fldCharType="end"/>
            </w:r>
            <w:r>
              <w:t xml:space="preserve"> sabiex jinġabru l-kummenti ta’ diversi partijiet ikkonċernati.</w:t>
            </w:r>
            <w:r>
              <w:rPr>
                <w:color w:val="1036A0"/>
              </w:rPr>
              <w:t xml:space="preserve"> </w:t>
            </w:r>
          </w:p>
        </w:tc>
      </w:tr>
    </w:tbl>
    <w:p w:rsidR="009E6661" w:rsidRPr="00E45836" w:rsidP="004B7E6F">
      <w:pPr>
        <w:rPr>
          <w:lang w:val="en-IE"/>
        </w:rPr>
      </w:pPr>
    </w:p>
    <w:sectPr w:rsidSect="00C9010B">
      <w:footerReference w:type="even" r:id="rId15"/>
      <w:footerReference w:type="default" r:id="rId16"/>
      <w:headerReference w:type="first" r:id="rId17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P="00D92C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035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P="002B4E61">
    <w:pPr>
      <w:pStyle w:val="Footer"/>
      <w:framePr w:wrap="around" w:vAnchor="text" w:hAnchor="margin" w:xAlign="center" w:y="1"/>
      <w:rPr>
        <w:rStyle w:val="PageNumber"/>
        <w:sz w:val="16"/>
      </w:rPr>
    </w:pPr>
    <w:r>
      <w:tab/>
    </w:r>
    <w:r>
      <w:tab/>
    </w:r>
  </w:p>
  <w:p w:rsidR="00035A3D" w:rsidRPr="002B4E61" w:rsidP="002B4E61">
    <w:pPr>
      <w:pStyle w:val="Footer"/>
      <w:framePr w:wrap="around" w:vAnchor="text" w:hAnchor="margin" w:xAlign="center" w:y="1"/>
      <w:rPr>
        <w:rStyle w:val="PageNumber"/>
        <w:sz w:val="16"/>
      </w:rPr>
    </w:pPr>
    <w:r>
      <w:tab/>
    </w:r>
    <w:r>
      <w:tab/>
    </w:r>
    <w:r>
      <w:tab/>
    </w:r>
    <w:r>
      <w:rPr>
        <w:rStyle w:val="PageNumber"/>
        <w:sz w:val="16"/>
      </w:rPr>
      <w:t xml:space="preserve">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  <w:p w:rsidR="00035A3D" w:rsidRPr="002B4E6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P="00D92C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035A3D">
    <w:pPr>
      <w:pStyle w:val="Footer"/>
    </w:pPr>
  </w:p>
  <w:p w:rsidR="002474F8"/>
  <w:p w:rsidR="002474F8" w:rsidP="001E1E7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P="002B4E61">
    <w:pPr>
      <w:pStyle w:val="Footer"/>
      <w:framePr w:wrap="around" w:vAnchor="text" w:hAnchor="margin" w:xAlign="center" w:y="1"/>
      <w:rPr>
        <w:rStyle w:val="PageNumber"/>
        <w:sz w:val="16"/>
      </w:rPr>
    </w:pPr>
    <w:r>
      <w:tab/>
    </w:r>
    <w:r>
      <w:tab/>
    </w:r>
  </w:p>
  <w:p w:rsidR="00035A3D" w:rsidRPr="002B4E61" w:rsidP="002B4E61">
    <w:pPr>
      <w:pStyle w:val="Footer"/>
      <w:framePr w:wrap="around" w:vAnchor="text" w:hAnchor="margin" w:xAlign="center" w:y="1"/>
      <w:rPr>
        <w:rStyle w:val="PageNumber"/>
        <w:sz w:val="16"/>
      </w:rPr>
    </w:pPr>
    <w:r>
      <w:tab/>
    </w:r>
    <w:r>
      <w:tab/>
    </w:r>
    <w:r>
      <w:tab/>
    </w:r>
    <w:r>
      <w:rPr>
        <w:rStyle w:val="PageNumber"/>
        <w:sz w:val="16"/>
      </w:rPr>
      <w:t xml:space="preserve">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</w:p>
  <w:p w:rsidR="00035A3D" w:rsidRPr="002B4E61">
    <w:pPr>
      <w:pStyle w:val="Footer"/>
      <w:rPr>
        <w:sz w:val="16"/>
      </w:rPr>
    </w:pPr>
  </w:p>
  <w:p w:rsidR="002474F8"/>
  <w:p w:rsidR="002474F8" w:rsidP="001E1E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D4A57">
      <w:r>
        <w:separator/>
      </w:r>
    </w:p>
    <w:p w:rsidR="003D4A57"/>
    <w:p w:rsidR="003D4A57" w:rsidP="001E1E7B"/>
  </w:footnote>
  <w:footnote w:type="continuationSeparator" w:id="1">
    <w:p w:rsidR="003D4A57">
      <w:r>
        <w:continuationSeparator/>
      </w:r>
    </w:p>
    <w:p w:rsidR="003D4A57"/>
    <w:p w:rsidR="003D4A57" w:rsidP="001E1E7B"/>
  </w:footnote>
  <w:footnote w:type="continuationNotice" w:id="2">
    <w:p w:rsidR="003D4A57"/>
    <w:p w:rsidR="003D4A57"/>
    <w:p w:rsidR="003D4A57" w:rsidP="001E1E7B"/>
  </w:footnote>
  <w:footnote w:id="3">
    <w:p w:rsidR="00BF5C7C" w:rsidRPr="006D0F02" w:rsidP="005007EE">
      <w:pPr>
        <w:pStyle w:val="FootnoteText"/>
        <w:rPr>
          <w:rFonts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Komunikazzjoni tal-Kummissjoni lill-Parlament Ewropew, lill-Kunsill Ewropew, lill-Kunsill, lill-Kumitat Ekonomiku u Soċjali Ewropew u lill-Kumitat tar-Reġjuni – Nisiltu tagħlimiet bikrija mill-pandemija tal-COVID-19 (</w:t>
      </w:r>
      <w:r>
        <w:fldChar w:fldCharType="begin"/>
      </w:r>
      <w:r>
        <w:instrText xml:space="preserve"> HYPERLINK "https://eur-lex.europa.eu/legal-content/MT/TXT/?qid=1742568973570&amp;uri=CELEX%3A52021DC0380" </w:instrText>
      </w:r>
      <w:r>
        <w:fldChar w:fldCharType="separate"/>
      </w:r>
      <w:r>
        <w:rPr>
          <w:rStyle w:val="Hyperlink"/>
          <w:sz w:val="16"/>
        </w:rPr>
        <w:t>COM(2021) 380 final</w:t>
      </w:r>
      <w:r>
        <w:fldChar w:fldCharType="end"/>
      </w:r>
      <w:r>
        <w:rPr>
          <w:sz w:val="16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P="00E72EF2">
    <w:pPr>
      <w:pStyle w:val="Header"/>
      <w:jc w:val="center"/>
    </w:pPr>
    <w:r>
      <w:drawing>
        <wp:inline distT="0" distB="0" distL="0" distR="0">
          <wp:extent cx="1908175" cy="508635"/>
          <wp:effectExtent l="0" t="0" r="0" b="5715"/>
          <wp:docPr id="1586528194" name="Picture 1586528194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P="00E72EF2">
    <w:pPr>
      <w:pStyle w:val="Header"/>
      <w:jc w:val="center"/>
    </w:pPr>
    <w:r>
      <w:drawing>
        <wp:inline distT="0" distB="0" distL="0" distR="0">
          <wp:extent cx="1908175" cy="508635"/>
          <wp:effectExtent l="0" t="0" r="0" b="5715"/>
          <wp:docPr id="2" name="Picture 2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B3651B"/>
    <w:multiLevelType w:val="hybridMultilevel"/>
    <w:tmpl w:val="2D06C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3A3C3D2A"/>
    <w:multiLevelType w:val="hybridMultilevel"/>
    <w:tmpl w:val="54EA01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>
    <w:nsid w:val="6D2B5511"/>
    <w:multiLevelType w:val="singleLevel"/>
    <w:tmpl w:val="74A09970"/>
    <w:name w:val="List Bullet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6">
    <w:nsid w:val="6D7B58CE"/>
    <w:multiLevelType w:val="hybridMultilevel"/>
    <w:tmpl w:val="55143764"/>
    <w:lvl w:ilvl="0">
      <w:start w:val="1"/>
      <w:numFmt w:val="bullet"/>
      <w:pStyle w:val="ListDash4"/>
      <w:lvlText w:val="–"/>
      <w:lvlJc w:val="left"/>
      <w:pPr>
        <w:tabs>
          <w:tab w:val="num" w:pos="1287"/>
        </w:tabs>
        <w:ind w:left="1287" w:hanging="2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593" w:hanging="360"/>
      </w:pPr>
      <w:rPr>
        <w:rFonts w:ascii="Times" w:eastAsia="Times New Roman" w:hAnsi="Time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doNotShadeFormData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A95"/>
    <w:rPr>
      <w:rFonts w:ascii="Arial" w:hAnsi="Arial"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6661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9E6661"/>
    <w:pPr>
      <w:spacing w:after="240"/>
      <w:ind w:left="357" w:hanging="357"/>
      <w:jc w:val="both"/>
    </w:pPr>
    <w:rPr>
      <w:szCs w:val="20"/>
    </w:rPr>
  </w:style>
  <w:style w:type="character" w:styleId="FootnoteReference">
    <w:name w:val="footnote reference"/>
    <w:aliases w:val=" BVI fnr,BVI fnr,Footnote Reference Superscript,Footnote symbol"/>
    <w:semiHidden/>
    <w:rsid w:val="009E6661"/>
    <w:rPr>
      <w:vertAlign w:val="superscript"/>
    </w:rPr>
  </w:style>
  <w:style w:type="character" w:customStyle="1" w:styleId="FootnoteTextChar">
    <w:name w:val="Footnote Text Char"/>
    <w:link w:val="FootnoteText"/>
    <w:rsid w:val="009E6661"/>
    <w:rPr>
      <w:lang w:val="mt-MT" w:eastAsia="en-GB" w:bidi="ar-SA"/>
    </w:rPr>
  </w:style>
  <w:style w:type="paragraph" w:styleId="ListBullet">
    <w:name w:val="List Bullet"/>
    <w:basedOn w:val="Normal"/>
    <w:rsid w:val="009E6661"/>
    <w:pPr>
      <w:numPr>
        <w:numId w:val="1"/>
      </w:numPr>
      <w:spacing w:before="120" w:after="120"/>
      <w:jc w:val="both"/>
    </w:pPr>
    <w:rPr>
      <w:lang w:eastAsia="de-DE"/>
    </w:rPr>
  </w:style>
  <w:style w:type="paragraph" w:customStyle="1" w:styleId="Text1">
    <w:name w:val="Text 1"/>
    <w:basedOn w:val="Normal"/>
    <w:rsid w:val="009E6661"/>
    <w:pPr>
      <w:spacing w:before="120" w:after="120"/>
      <w:ind w:left="850"/>
      <w:jc w:val="both"/>
    </w:pPr>
    <w:rPr>
      <w:lang w:eastAsia="en-US"/>
    </w:rPr>
  </w:style>
  <w:style w:type="character" w:styleId="Emphasis">
    <w:name w:val="Emphasis"/>
    <w:qFormat/>
    <w:rsid w:val="009E6661"/>
    <w:rPr>
      <w:b/>
      <w:bCs/>
      <w:i w:val="0"/>
      <w:iCs w:val="0"/>
    </w:rPr>
  </w:style>
  <w:style w:type="paragraph" w:customStyle="1" w:styleId="ListBullet1">
    <w:name w:val="List Bullet 1"/>
    <w:basedOn w:val="Normal"/>
    <w:rsid w:val="009E6661"/>
    <w:pPr>
      <w:numPr>
        <w:numId w:val="2"/>
      </w:numPr>
      <w:spacing w:before="120" w:after="120"/>
      <w:jc w:val="both"/>
    </w:pPr>
    <w:rPr>
      <w:lang w:eastAsia="de-DE"/>
    </w:rPr>
  </w:style>
  <w:style w:type="character" w:customStyle="1" w:styleId="at31">
    <w:name w:val="a__t31"/>
    <w:rsid w:val="009E6661"/>
    <w:rPr>
      <w:b/>
      <w:bCs/>
    </w:rPr>
  </w:style>
  <w:style w:type="paragraph" w:styleId="NormalWeb">
    <w:name w:val="Normal (Web)"/>
    <w:basedOn w:val="Normal"/>
    <w:link w:val="NormalWebChar"/>
    <w:rsid w:val="00D0306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03063"/>
    <w:rPr>
      <w:sz w:val="24"/>
      <w:szCs w:val="24"/>
      <w:lang w:val="mt-MT" w:eastAsia="en-GB" w:bidi="ar-SA"/>
    </w:rPr>
  </w:style>
  <w:style w:type="paragraph" w:customStyle="1" w:styleId="ListDash4">
    <w:name w:val="List Dash 4"/>
    <w:basedOn w:val="Normal"/>
    <w:rsid w:val="00D03063"/>
    <w:pPr>
      <w:numPr>
        <w:numId w:val="3"/>
      </w:numPr>
    </w:pPr>
    <w:rPr>
      <w:lang w:val="mt-MT"/>
    </w:rPr>
  </w:style>
  <w:style w:type="paragraph" w:styleId="Footer">
    <w:name w:val="footer"/>
    <w:basedOn w:val="Normal"/>
    <w:rsid w:val="00B079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7956"/>
  </w:style>
  <w:style w:type="paragraph" w:styleId="BalloonText">
    <w:name w:val="Balloon Text"/>
    <w:basedOn w:val="Normal"/>
    <w:semiHidden/>
    <w:rsid w:val="009911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F3"/>
    <w:rPr>
      <w:color w:val="0000FF"/>
      <w:u w:val="single"/>
    </w:rPr>
  </w:style>
  <w:style w:type="character" w:styleId="CommentReference">
    <w:name w:val="annotation reference"/>
    <w:rsid w:val="000E1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0E132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E132C"/>
  </w:style>
  <w:style w:type="paragraph" w:styleId="CommentSubject">
    <w:name w:val="annotation subject"/>
    <w:basedOn w:val="CommentText"/>
    <w:next w:val="CommentText"/>
    <w:link w:val="CommentSubjectChar"/>
    <w:rsid w:val="000E132C"/>
    <w:rPr>
      <w:b/>
      <w:bCs/>
    </w:rPr>
  </w:style>
  <w:style w:type="character" w:customStyle="1" w:styleId="CommentSubjectChar">
    <w:name w:val="Comment Subject Char"/>
    <w:link w:val="CommentSubject"/>
    <w:rsid w:val="000E132C"/>
    <w:rPr>
      <w:b/>
      <w:bCs/>
    </w:rPr>
  </w:style>
  <w:style w:type="paragraph" w:customStyle="1" w:styleId="ListDash1">
    <w:name w:val="List Dash 1"/>
    <w:basedOn w:val="Normal"/>
    <w:qFormat/>
    <w:rsid w:val="00FA069C"/>
    <w:pPr>
      <w:tabs>
        <w:tab w:val="num" w:pos="567"/>
      </w:tabs>
      <w:ind w:left="568" w:hanging="284"/>
    </w:pPr>
    <w:rPr>
      <w:lang w:val="mt-MT"/>
    </w:rPr>
  </w:style>
  <w:style w:type="paragraph" w:styleId="ListParagraph">
    <w:name w:val="List Paragraph"/>
    <w:basedOn w:val="Normal"/>
    <w:uiPriority w:val="34"/>
    <w:qFormat/>
    <w:rsid w:val="001C7D0F"/>
    <w:pPr>
      <w:ind w:left="720"/>
      <w:contextualSpacing/>
    </w:pPr>
  </w:style>
  <w:style w:type="character" w:styleId="FollowedHyperlink">
    <w:name w:val="FollowedHyperlink"/>
    <w:basedOn w:val="DefaultParagraphFont"/>
    <w:rsid w:val="00454F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0C61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1058d-612f-4002-be6e-26152fb8764f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cb0edfba-c7d8-4cce-b67b-51dbe0f3a679" xsi:nil="true"/>
    <ce4fc0aaa370459fa635d35e91b0018f xmlns="e5f1058d-612f-4002-be6e-26152fb8764f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ce4fc0aaa370459fa635d35e91b0018f>
    <Modified0 xmlns="e5f1058d-612f-4002-be6e-26152fb8764f" xsi:nil="true"/>
    <Ready_x0020_to_x0020_be_x0020_moved_x0020_to_x0020_HERA_x0020_Knowledge_x0020_Portal xmlns="e5f1058d-612f-4002-be6e-26152fb8764f">No</Ready_x0020_to_x0020_be_x0020_moved_x0020_to_x0020_HERA_x0020_Knowledge_x0020_Portal>
    <Guidance xmlns="e5f1058d-612f-4002-be6e-26152fb8764f">2025-07-30T15:03:51+00:00</Guida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70585FF3D2B48A5042EB41E63D13E" ma:contentTypeVersion="18" ma:contentTypeDescription="Create a new document." ma:contentTypeScope="" ma:versionID="00c713f7475ee191f4fded318613c751">
  <xsd:schema xmlns:xsd="http://www.w3.org/2001/XMLSchema" xmlns:xs="http://www.w3.org/2001/XMLSchema" xmlns:p="http://schemas.microsoft.com/office/2006/metadata/properties" xmlns:ns2="e5f1058d-612f-4002-be6e-26152fb8764f" xmlns:ns3="cb0edfba-c7d8-4cce-b67b-51dbe0f3a679" targetNamespace="http://schemas.microsoft.com/office/2006/metadata/properties" ma:root="true" ma:fieldsID="43cd7d1a6229375e7416f588be8f7e11" ns2:_="" ns3:_="">
    <xsd:import namespace="e5f1058d-612f-4002-be6e-26152fb8764f"/>
    <xsd:import namespace="cb0edfba-c7d8-4cce-b67b-51dbe0f3a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uidance" minOccurs="0"/>
                <xsd:element ref="ns2:Modified0" minOccurs="0"/>
                <xsd:element ref="ns2:ce4fc0aaa370459fa635d35e91b0018f" minOccurs="0"/>
                <xsd:element ref="ns2:Ready_x0020_to_x0020_be_x0020_moved_x0020_to_x0020_HERA_x0020_Knowledge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058d-612f-4002-be6e-26152fb8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Guidance" ma:index="21" nillable="true" ma:displayName="Creation date" ma:default="[today]" ma:format="DateTime" ma:internalName="Guidance">
      <xsd:simpleType>
        <xsd:restriction base="dms:DateTime"/>
      </xsd:simpleType>
    </xsd:element>
    <xsd:element name="Modified0" ma:index="22" nillable="true" ma:displayName="Modified" ma:format="DateOnly" ma:internalName="Modified0">
      <xsd:simpleType>
        <xsd:restriction base="dms:DateTime"/>
      </xsd:simpleType>
    </xsd:element>
    <xsd:element name="ce4fc0aaa370459fa635d35e91b0018f" ma:index="24" nillable="true" ma:taxonomy="true" ma:internalName="ce4fc0aaa370459fa635d35e91b0018f" ma:taxonomyFieldName="Work_x0020_areas_x0020__x0028_based_x0020_on_x0020_the_x0020_HERA_x0020_Knowledge_x0020_Portal_x0029_" ma:displayName="Work areas (based on the HERA Knowledge Portal)" ma:default="" ma:fieldId="{ce4fc0aa-a370-459f-a635-d35e91b0018f}" ma:taxonomyMulti="true" ma:sspId="22b2fad6-9d2c-441c-a321-3f5f1e9bd928" ma:termSetId="b54b4221-8b7a-4ad7-89c3-567b7bc72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ady_x0020_to_x0020_be_x0020_moved_x0020_to_x0020_HERA_x0020_Knowledge_x0020_Portal" ma:index="25" nillable="true" ma:displayName="Ready to be moved to HERA Knowledge Portal" ma:default="No" ma:description="Please change the value to yes when file ready to be moved to HERA Knowledge Portal" ma:format="Dropdown" ma:internalName="Ready_x0020_to_x0020_be_x0020_moved_x0020_to_x0020_HERA_x0020_Knowledge_x0020_Portal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dfba-c7d8-4cce-b67b-51dbe0f3a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1fe6af-d9d3-47bd-b9f9-417f8ebf6c69}" ma:internalName="TaxCatchAll" ma:showField="CatchAllData" ma:web="cb0edfba-c7d8-4cce-b67b-51dbe0f3a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86E0-4EBE-44A2-9B0A-253812EDE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65465-EB63-4387-AC46-68003DEFE97F}">
  <ds:schemaRefs>
    <ds:schemaRef ds:uri="http://schemas.microsoft.com/office/2006/metadata/properties"/>
    <ds:schemaRef ds:uri="http://schemas.microsoft.com/office/infopath/2007/PartnerControls"/>
    <ds:schemaRef ds:uri="e5f1058d-612f-4002-be6e-26152fb8764f"/>
    <ds:schemaRef ds:uri="cb0edfba-c7d8-4cce-b67b-51dbe0f3a679"/>
  </ds:schemaRefs>
</ds:datastoreItem>
</file>

<file path=customXml/itemProps3.xml><?xml version="1.0" encoding="utf-8"?>
<ds:datastoreItem xmlns:ds="http://schemas.openxmlformats.org/officeDocument/2006/customXml" ds:itemID="{44890DB0-611D-4937-9BDD-D1C892A36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A6416-72F0-4956-9F5A-EFDC8F75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1058d-612f-4002-be6e-26152fb8764f"/>
    <ds:schemaRef ds:uri="cb0edfba-c7d8-4cce-b67b-51dbe0f3a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