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6.2.0.0 -->
  <w:body>
    <w:p w:rsidR="00E72EF2" w:rsidRPr="0073328C">
      <w:pPr>
        <w:rPr>
          <w:rFonts w:ascii="Arial" w:hAnsi="Arial" w:cs="Arial"/>
          <w:b/>
          <w:sz w:val="20"/>
          <w:szCs w:val="20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7"/>
        <w:gridCol w:w="7381"/>
      </w:tblGrid>
      <w:tr w:rsidTr="008607B9">
        <w:tblPrEx>
          <w:tblW w:w="101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10188" w:type="dxa"/>
            <w:gridSpan w:val="2"/>
            <w:tcBorders>
              <w:bottom w:val="single" w:sz="4" w:space="0" w:color="auto"/>
            </w:tcBorders>
            <w:shd w:val="clear" w:color="auto" w:fill="0000FF"/>
          </w:tcPr>
          <w:p w:rsidR="007D6F93" w:rsidRPr="0073328C" w:rsidP="00824525">
            <w:pPr>
              <w:spacing w:before="60" w:after="6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</w:rPr>
              <w:t>SEJĦA GĦAL EVIDENZA</w:t>
            </w:r>
          </w:p>
          <w:p w:rsidR="009E6661" w:rsidRPr="0073328C" w:rsidP="00B312B7">
            <w:pPr>
              <w:spacing w:before="60" w:after="6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/>
                <w:b/>
                <w:sz w:val="28"/>
              </w:rPr>
              <w:t xml:space="preserve">GĦAL INIZJATTIVA </w:t>
            </w:r>
            <w:r>
              <w:rPr>
                <w:rFonts w:ascii="Arial" w:hAnsi="Arial"/>
                <w:b/>
                <w:color w:val="FFFFFF" w:themeColor="background1"/>
                <w:sz w:val="28"/>
              </w:rPr>
              <w:t>(mingħajr valutazzjoni tal-impatt)</w:t>
            </w:r>
          </w:p>
        </w:tc>
      </w:tr>
      <w:tr w:rsidTr="00035A3D">
        <w:tblPrEx>
          <w:tblW w:w="10188" w:type="dxa"/>
          <w:tblLayout w:type="fixed"/>
          <w:tblLook w:val="01E0"/>
        </w:tblPrEx>
        <w:tc>
          <w:tcPr>
            <w:tcW w:w="10188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810C61" w:rsidRPr="0073328C" w:rsidP="00347966">
            <w:pPr>
              <w:spacing w:before="120" w:after="120"/>
              <w:jc w:val="both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/>
                <w:color w:val="000080"/>
                <w:sz w:val="18"/>
              </w:rPr>
              <w:t xml:space="preserve">Dan id-dokument għandu l-għan li jgħarraf lill-pubbliku u lill-partijiet ikkonċernati bil-ħidma </w:t>
            </w:r>
            <w:r>
              <w:rPr>
                <w:rFonts w:ascii="Arial" w:hAnsi="Arial"/>
                <w:color w:val="000080"/>
                <w:sz w:val="18"/>
              </w:rPr>
              <w:t>tal-Kummissjoni</w:t>
            </w:r>
            <w:r>
              <w:rPr>
                <w:rFonts w:ascii="Arial" w:hAnsi="Arial"/>
                <w:color w:val="000080"/>
                <w:sz w:val="18"/>
              </w:rPr>
              <w:t xml:space="preserve">, sabiex ikunu jistgħu jipprovdu </w:t>
            </w:r>
            <w:r>
              <w:rPr>
                <w:rFonts w:ascii="Arial" w:hAnsi="Arial"/>
                <w:color w:val="000080"/>
                <w:sz w:val="18"/>
              </w:rPr>
              <w:t>feedback</w:t>
            </w:r>
            <w:r>
              <w:rPr>
                <w:rFonts w:ascii="Arial" w:hAnsi="Arial"/>
                <w:color w:val="000080"/>
                <w:sz w:val="18"/>
              </w:rPr>
              <w:t xml:space="preserve"> u jipparteċipaw b’mod effettiv f’attivitajiet ta’ konsultazzjoni.</w:t>
            </w:r>
          </w:p>
          <w:p w:rsidR="00B96B28" w:rsidRPr="0073328C" w:rsidP="003A46A1">
            <w:pPr>
              <w:spacing w:before="60" w:after="120"/>
              <w:jc w:val="both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/>
                <w:color w:val="000080"/>
                <w:sz w:val="18"/>
              </w:rPr>
              <w:t xml:space="preserve">Nitolbu lil dawn il-gruppi biex jipprovdu l-opinjonijiet dwar kif </w:t>
            </w:r>
            <w:r>
              <w:rPr>
                <w:rFonts w:ascii="Arial" w:hAnsi="Arial"/>
                <w:color w:val="000080"/>
                <w:sz w:val="18"/>
              </w:rPr>
              <w:t>il-Kummissjoni</w:t>
            </w:r>
            <w:r>
              <w:rPr>
                <w:rFonts w:ascii="Arial" w:hAnsi="Arial"/>
                <w:color w:val="000080"/>
                <w:sz w:val="18"/>
              </w:rPr>
              <w:t xml:space="preserve"> tinterpreta l-problema u s-soluzzjonijiet possibbli u biex jagħtuna kull informazzjoni rilevanti li jista’ jkollhom. </w:t>
            </w:r>
          </w:p>
        </w:tc>
      </w:tr>
      <w:tr w:rsidTr="008607B9">
        <w:tblPrEx>
          <w:tblW w:w="10188" w:type="dxa"/>
          <w:tblLayout w:type="fixed"/>
          <w:tblLook w:val="01E0"/>
        </w:tblPrEx>
        <w:tc>
          <w:tcPr>
            <w:tcW w:w="2807" w:type="dxa"/>
            <w:tcBorders>
              <w:bottom w:val="single" w:sz="4" w:space="0" w:color="auto"/>
            </w:tcBorders>
            <w:shd w:val="clear" w:color="auto" w:fill="E6E6E6"/>
          </w:tcPr>
          <w:p w:rsidR="009E6661" w:rsidRPr="0073328C" w:rsidP="00824525">
            <w:pPr>
              <w:spacing w:before="60" w:after="60"/>
              <w:jc w:val="both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>
              <w:rPr>
                <w:rFonts w:ascii="Arial" w:hAnsi="Arial"/>
                <w:b/>
                <w:smallCaps/>
                <w:sz w:val="20"/>
              </w:rPr>
              <w:t>Titolu tal-inizjattiva</w:t>
            </w:r>
          </w:p>
        </w:tc>
        <w:tc>
          <w:tcPr>
            <w:tcW w:w="7381" w:type="dxa"/>
            <w:shd w:val="clear" w:color="auto" w:fill="auto"/>
          </w:tcPr>
          <w:p w:rsidR="0075560F" w:rsidRPr="0073328C" w:rsidP="00887B22">
            <w:pPr>
              <w:jc w:val="both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</w:rPr>
              <w:t>Kiri ta’ karozza biex tmur f’pajjiżi oħra tal-UE – regoli</w:t>
            </w:r>
          </w:p>
        </w:tc>
      </w:tr>
      <w:tr w:rsidTr="00035A3D">
        <w:tblPrEx>
          <w:tblW w:w="10188" w:type="dxa"/>
          <w:tblLayout w:type="fixed"/>
          <w:tblLook w:val="01E0"/>
        </w:tblPrEx>
        <w:tc>
          <w:tcPr>
            <w:tcW w:w="28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07210" w:rsidRPr="0073328C" w:rsidP="008B4A52">
            <w:pPr>
              <w:spacing w:before="60" w:after="60"/>
              <w:jc w:val="both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>
              <w:rPr>
                <w:rFonts w:ascii="Arial" w:hAnsi="Arial"/>
                <w:b/>
                <w:smallCaps/>
                <w:sz w:val="20"/>
              </w:rPr>
              <w:t xml:space="preserve">DĠ ewlieni – unità responsabbli 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210" w:rsidRPr="0073328C" w:rsidP="00106A9A">
            <w:pPr>
              <w:spacing w:before="60" w:after="60"/>
              <w:jc w:val="both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/>
                <w:color w:val="000080"/>
                <w:sz w:val="20"/>
              </w:rPr>
              <w:t xml:space="preserve">DĠ MOVE C 1 — Trasport </w:t>
            </w:r>
            <w:r>
              <w:rPr>
                <w:rFonts w:ascii="Arial" w:hAnsi="Arial"/>
                <w:color w:val="000080"/>
                <w:sz w:val="20"/>
              </w:rPr>
              <w:t>bit-Triq</w:t>
            </w:r>
          </w:p>
        </w:tc>
      </w:tr>
      <w:tr w:rsidTr="008607B9">
        <w:tblPrEx>
          <w:tblW w:w="10188" w:type="dxa"/>
          <w:tblLayout w:type="fixed"/>
          <w:tblLook w:val="01E0"/>
        </w:tblPrEx>
        <w:tc>
          <w:tcPr>
            <w:tcW w:w="28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23AEF" w:rsidRPr="0073328C" w:rsidP="00824525">
            <w:pPr>
              <w:spacing w:before="60" w:after="60"/>
              <w:jc w:val="both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>
              <w:rPr>
                <w:rFonts w:ascii="Arial" w:hAnsi="Arial"/>
                <w:b/>
                <w:smallCaps/>
                <w:sz w:val="20"/>
              </w:rPr>
              <w:t>Tip Probabbli ta’ inizjattiva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EF" w:rsidRPr="0073328C" w:rsidP="00810C61">
            <w:pPr>
              <w:spacing w:before="60" w:after="60"/>
              <w:jc w:val="both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/>
                <w:color w:val="000080"/>
                <w:sz w:val="20"/>
              </w:rPr>
              <w:t>leġiżlattiva</w:t>
            </w:r>
          </w:p>
        </w:tc>
      </w:tr>
      <w:tr w:rsidTr="00AB5C82">
        <w:tblPrEx>
          <w:tblW w:w="10188" w:type="dxa"/>
          <w:tblLayout w:type="fixed"/>
          <w:tblLook w:val="01E0"/>
        </w:tblPrEx>
        <w:tc>
          <w:tcPr>
            <w:tcW w:w="28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02DFF" w:rsidRPr="0073328C" w:rsidP="0066565B">
            <w:pPr>
              <w:spacing w:before="60" w:after="60"/>
              <w:jc w:val="both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>
              <w:rPr>
                <w:rFonts w:ascii="Arial" w:hAnsi="Arial"/>
                <w:b/>
                <w:smallCaps/>
                <w:sz w:val="20"/>
              </w:rPr>
              <w:t>Twaqqit Indikattiv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DFF" w:rsidRPr="0073328C" w:rsidP="00B312B7">
            <w:pPr>
              <w:spacing w:before="120" w:after="120"/>
              <w:jc w:val="both"/>
              <w:rPr>
                <w:rFonts w:ascii="Arial" w:hAnsi="Arial" w:cs="Arial"/>
                <w:color w:val="000080"/>
                <w:sz w:val="20"/>
                <w:szCs w:val="20"/>
                <w:highlight w:val="green"/>
              </w:rPr>
            </w:pPr>
            <w:r>
              <w:rPr>
                <w:rFonts w:ascii="Arial" w:hAnsi="Arial"/>
                <w:color w:val="000080"/>
                <w:sz w:val="20"/>
              </w:rPr>
              <w:t>L-1el trimestru 2025</w:t>
            </w:r>
          </w:p>
        </w:tc>
      </w:tr>
      <w:tr w:rsidTr="00224B13">
        <w:tblPrEx>
          <w:tblW w:w="10188" w:type="dxa"/>
          <w:tblLayout w:type="fixed"/>
          <w:tblLook w:val="01E0"/>
        </w:tblPrEx>
        <w:tc>
          <w:tcPr>
            <w:tcW w:w="28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D5042" w:rsidRPr="0073328C" w:rsidP="00224B13">
            <w:pPr>
              <w:spacing w:before="60" w:after="60"/>
              <w:jc w:val="both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>
              <w:rPr>
                <w:rFonts w:ascii="Arial" w:hAnsi="Arial"/>
                <w:b/>
                <w:smallCaps/>
                <w:sz w:val="20"/>
              </w:rPr>
              <w:t>Tagħrif Addizzjonali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042" w:rsidRPr="0073328C" w:rsidP="00347966">
            <w:pPr>
              <w:spacing w:before="120" w:after="120"/>
              <w:jc w:val="both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/>
                <w:color w:val="000080"/>
                <w:sz w:val="20"/>
              </w:rPr>
              <w:t>-</w:t>
            </w:r>
          </w:p>
        </w:tc>
      </w:tr>
      <w:tr w:rsidTr="008607B9">
        <w:tblPrEx>
          <w:tblW w:w="10188" w:type="dxa"/>
          <w:tblLayout w:type="fixed"/>
          <w:tblLook w:val="01E0"/>
        </w:tblPrEx>
        <w:tc>
          <w:tcPr>
            <w:tcW w:w="10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6C0F" w:rsidRPr="0073328C" w:rsidP="00694440">
            <w:pPr>
              <w:spacing w:before="60" w:after="60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i/>
                <w:color w:val="FF0000"/>
                <w:sz w:val="18"/>
              </w:rPr>
              <w:t xml:space="preserve">Dan id-dokument huwa biss għal finijiet ta’ informazzjoni. Ma </w:t>
            </w:r>
            <w:r>
              <w:rPr>
                <w:rFonts w:ascii="Arial" w:hAnsi="Arial"/>
                <w:i/>
                <w:color w:val="FF0000"/>
                <w:sz w:val="18"/>
              </w:rPr>
              <w:t>jippreġudikax</w:t>
            </w:r>
            <w:r>
              <w:rPr>
                <w:rFonts w:ascii="Arial" w:hAnsi="Arial"/>
                <w:i/>
                <w:color w:val="FF0000"/>
                <w:sz w:val="18"/>
              </w:rPr>
              <w:t xml:space="preserve"> id-deċiżjoni finali </w:t>
            </w:r>
            <w:r>
              <w:rPr>
                <w:rFonts w:ascii="Arial" w:hAnsi="Arial"/>
                <w:i/>
                <w:color w:val="FF0000"/>
                <w:sz w:val="18"/>
              </w:rPr>
              <w:t>tal-Kummissjoni</w:t>
            </w:r>
            <w:r>
              <w:rPr>
                <w:rFonts w:ascii="Arial" w:hAnsi="Arial"/>
                <w:i/>
                <w:color w:val="FF0000"/>
                <w:sz w:val="18"/>
              </w:rPr>
              <w:t xml:space="preserve"> dwar jekk din l-inizjattiva hijiex se tiġi segwita jew dwar il-kontenut finali tagħha. L-elementi kollha tal-inizjattiva deskritti f’dan id-dokument, inkluż it-twaqqit tagħha, huma soġġetti għal tibdil.</w:t>
            </w:r>
          </w:p>
        </w:tc>
      </w:tr>
    </w:tbl>
    <w:p w:rsidR="00BA33B7" w:rsidRPr="0073328C">
      <w:pPr>
        <w:rPr>
          <w:sz w:val="20"/>
          <w:szCs w:val="20"/>
        </w:rPr>
        <w:sectPr w:rsidSect="00E72EF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851" w:right="567" w:bottom="851" w:left="1134" w:header="709" w:footer="709" w:gutter="0"/>
          <w:cols w:space="708"/>
          <w:titlePg/>
          <w:docGrid w:linePitch="360"/>
        </w:sectPr>
      </w:pPr>
    </w:p>
    <w:p w:rsidR="00BA33B7" w:rsidRPr="0073328C">
      <w:pPr>
        <w:rPr>
          <w:sz w:val="20"/>
          <w:szCs w:val="20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88"/>
      </w:tblGrid>
      <w:tr w:rsidTr="3CB5D559">
        <w:tblPrEx>
          <w:tblW w:w="101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0188" w:type="dxa"/>
            <w:tcBorders>
              <w:bottom w:val="single" w:sz="4" w:space="0" w:color="auto"/>
            </w:tcBorders>
            <w:shd w:val="clear" w:color="auto" w:fill="0000FF"/>
          </w:tcPr>
          <w:p w:rsidR="009E6661" w:rsidRPr="0073328C" w:rsidP="00AB4B4B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A. Kuntest politiku, definizzjoni tal-problema u analiżi tas-sussidjarjetà</w:t>
            </w:r>
          </w:p>
        </w:tc>
      </w:tr>
      <w:tr w:rsidTr="3CB5D559">
        <w:tblPrEx>
          <w:tblW w:w="10188" w:type="dxa"/>
          <w:tblLook w:val="01E0"/>
        </w:tblPrEx>
        <w:tc>
          <w:tcPr>
            <w:tcW w:w="10188" w:type="dxa"/>
            <w:tcBorders>
              <w:bottom w:val="single" w:sz="4" w:space="0" w:color="auto"/>
            </w:tcBorders>
            <w:shd w:val="clear" w:color="auto" w:fill="E6E6E6"/>
          </w:tcPr>
          <w:p w:rsidR="009E6661" w:rsidRPr="0073328C" w:rsidP="00347966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  <w:b/>
              </w:rPr>
              <w:t xml:space="preserve">Kuntest politiku </w:t>
            </w:r>
          </w:p>
        </w:tc>
      </w:tr>
      <w:tr w:rsidTr="3CB5D559">
        <w:tblPrEx>
          <w:tblW w:w="10188" w:type="dxa"/>
          <w:tblLook w:val="01E0"/>
        </w:tblPrEx>
        <w:tc>
          <w:tcPr>
            <w:tcW w:w="10188" w:type="dxa"/>
            <w:tcBorders>
              <w:bottom w:val="single" w:sz="4" w:space="0" w:color="auto"/>
            </w:tcBorders>
            <w:shd w:val="clear" w:color="auto" w:fill="auto"/>
          </w:tcPr>
          <w:p w:rsidR="006139D1" w:rsidRPr="0073328C" w:rsidP="00803B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Ir-regoli dwar ir-reġistrazzjoni ta’ vetturi bil-mutur jaqgħu taħt il-kompetenza nazzjonali. B’mod ġenerali, ir-reġistrazzjoni hija formalità amministrattiva sempliċi fil-maġġoranza </w:t>
            </w:r>
            <w:r>
              <w:rPr>
                <w:sz w:val="20"/>
              </w:rPr>
              <w:t>tal-Istati</w:t>
            </w:r>
            <w:r>
              <w:rPr>
                <w:sz w:val="20"/>
              </w:rPr>
              <w:t xml:space="preserve"> Membri. Madankollu, ir-rekwiżiti nazzjonali rigward l-użu ta’ karozzi mikrija għal vjaġġi transfruntiera jagħmluha aktar diffiċli għaċ-ċittadini tal-UE biex iħallsu għas-servizzi ta’ mobbiltà pprovduti minn kumpaniji tal-kiri tal-karozzi u jużawhom b’mod effiċjenti. Barra minn hekk, xi rekwiżiti rigward ir-reġistrazzjoni, il-kiri u r-ritorn tal-karozzi tal-kiri jistgħu jwasslu għal ineffiċjenzi operazzjonali. </w:t>
            </w:r>
            <w:r>
              <w:rPr>
                <w:sz w:val="20"/>
              </w:rPr>
              <w:t>L-</w:t>
            </w:r>
            <w:r>
              <w:fldChar w:fldCharType="begin"/>
            </w:r>
            <w:r>
              <w:instrText xml:space="preserve"> HYPERLINK "https://eur-lex.europa.eu/resource.html?uri=cellar:5e601657-3b06-11eb-b27b-01aa75ed71a1.0001.02/DOC_2&amp;format=PDF" </w:instrText>
            </w:r>
            <w:r>
              <w:fldChar w:fldCharType="separate"/>
            </w:r>
            <w:r>
              <w:rPr>
                <w:rStyle w:val="Hyperlink"/>
                <w:sz w:val="20"/>
              </w:rPr>
              <w:t>Istrateġija</w:t>
            </w:r>
            <w:r>
              <w:rPr>
                <w:rStyle w:val="Hyperlink"/>
                <w:sz w:val="20"/>
              </w:rPr>
              <w:t xml:space="preserve"> għal Mobbiltà Sostenibbli u Intelliġenti tal-2020</w:t>
            </w:r>
            <w:r>
              <w:fldChar w:fldCharType="end"/>
            </w:r>
            <w:r>
              <w:rPr>
                <w:sz w:val="20"/>
              </w:rPr>
              <w:t xml:space="preserve"> fiha azzjoni (Nru 60) biex “tipproponi miżuri li jinkoraġġixxu l-kirjiet transfruntiera tal-karozzi”.</w:t>
            </w:r>
          </w:p>
        </w:tc>
      </w:tr>
      <w:tr w:rsidTr="3CB5D559">
        <w:tblPrEx>
          <w:tblW w:w="10188" w:type="dxa"/>
          <w:tblLook w:val="01E0"/>
        </w:tblPrEx>
        <w:tc>
          <w:tcPr>
            <w:tcW w:w="10188" w:type="dxa"/>
            <w:tcBorders>
              <w:bottom w:val="single" w:sz="4" w:space="0" w:color="auto"/>
            </w:tcBorders>
            <w:shd w:val="clear" w:color="auto" w:fill="E6E6E6"/>
          </w:tcPr>
          <w:p w:rsidR="0071651E" w:rsidRPr="0073328C" w:rsidP="00347966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  <w:b/>
              </w:rPr>
              <w:t xml:space="preserve">Il-problema li trid tiġi indirizzata mill-inizjattiva </w:t>
            </w:r>
          </w:p>
        </w:tc>
      </w:tr>
      <w:tr w:rsidTr="3CB5D559">
        <w:tblPrEx>
          <w:tblW w:w="10188" w:type="dxa"/>
          <w:tblLook w:val="01E0"/>
        </w:tblPrEx>
        <w:tc>
          <w:tcPr>
            <w:tcW w:w="10188" w:type="dxa"/>
            <w:tcBorders>
              <w:bottom w:val="single" w:sz="4" w:space="0" w:color="auto"/>
            </w:tcBorders>
            <w:shd w:val="clear" w:color="auto" w:fill="auto"/>
          </w:tcPr>
          <w:p w:rsidR="004E3C19" w:rsidRPr="0073328C" w:rsidP="1C6AF830">
            <w:pPr>
              <w:jc w:val="both"/>
              <w:rPr>
                <w:rFonts w:ascii="Arial" w:hAnsi="Arial" w:cs="Arial"/>
                <w:b/>
                <w:bCs/>
                <w:color w:val="1036A0"/>
              </w:rPr>
            </w:pPr>
            <w:r>
              <w:rPr>
                <w:sz w:val="20"/>
              </w:rPr>
              <w:t xml:space="preserve">Skont ir-regoli attwali dwar ir-reġistrazzjoni tal-karozzi, il-karozzi tal-kiri rritornati f’pajjiż differenti minn dak li jkunu rreġistrati u mikrija fih, jista’ jkollhom bżonn jerġgħu jiġu rreġistrati minnufih fil-pajjiż tal-użu, jew jinġiebu lura immedjatament fil-pajjiż tal-oriġini (bit-trakk, bil-ferrovija jew bl-għajnuna ta’ sewwieq speċifiku) ħlief fil-każijiet rari meta klijent ikun jista’ jinstab immedjatament fil-pajjiż tad-destinazzjoni għal vjaġġ bir-ritorn. Għalhekk, il-kumpaniji tal-kiri tal-karozzi jistgħu </w:t>
            </w:r>
            <w:r>
              <w:rPr>
                <w:i/>
                <w:iCs/>
                <w:sz w:val="20"/>
              </w:rPr>
              <w:t>de facto</w:t>
            </w:r>
            <w:r>
              <w:rPr>
                <w:sz w:val="20"/>
              </w:rPr>
              <w:t xml:space="preserve"> ma jitħallewx iċaqilqu temporanjament partijiet mill-flotot tagħhom bejn pajjiż u ieħor biex jimmaniġġjaw il-fluttwazzjonijiet fid-domanda. Dawn il-proċeduri differenti ta’ reġistrazzjoni mill-ġdid </w:t>
            </w:r>
            <w:r>
              <w:rPr>
                <w:sz w:val="20"/>
              </w:rPr>
              <w:t>fl-Istati</w:t>
            </w:r>
            <w:r>
              <w:rPr>
                <w:sz w:val="20"/>
              </w:rPr>
              <w:t xml:space="preserve"> Membri jrendu spejjeż żejda u dewmien burokratiku għall-kumpaniji tal-kiri tal-karozzi, li mbagħad jiġu ttrasferiti lill-konsumaturi li jikru l-karozzi.</w:t>
            </w:r>
            <w:r>
              <w:t xml:space="preserve"> </w:t>
            </w:r>
          </w:p>
        </w:tc>
      </w:tr>
      <w:tr w:rsidTr="3CB5D559">
        <w:tblPrEx>
          <w:tblW w:w="10188" w:type="dxa"/>
          <w:tblLook w:val="01E0"/>
        </w:tblPrEx>
        <w:tc>
          <w:tcPr>
            <w:tcW w:w="10188" w:type="dxa"/>
            <w:tcBorders>
              <w:bottom w:val="single" w:sz="4" w:space="0" w:color="auto"/>
            </w:tcBorders>
            <w:shd w:val="clear" w:color="auto" w:fill="E6E6E6"/>
          </w:tcPr>
          <w:p w:rsidR="009E6661" w:rsidRPr="0073328C" w:rsidP="00347966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  <w:b/>
              </w:rPr>
              <w:t xml:space="preserve">Bażi għall-azzjoni tal-UE (bażi legali u analiżi tas-sussidjarjetà) </w:t>
            </w:r>
          </w:p>
        </w:tc>
      </w:tr>
      <w:tr w:rsidTr="3CB5D559">
        <w:tblPrEx>
          <w:tblW w:w="10188" w:type="dxa"/>
          <w:tblLook w:val="01E0"/>
        </w:tblPrEx>
        <w:tc>
          <w:tcPr>
            <w:tcW w:w="10188" w:type="dxa"/>
            <w:shd w:val="clear" w:color="auto" w:fill="D9D9D9" w:themeFill="background1" w:themeFillShade="D9"/>
          </w:tcPr>
          <w:p w:rsidR="002B1AA3" w:rsidRPr="0073328C" w:rsidP="001533F9">
            <w:pPr>
              <w:spacing w:before="120" w:after="120"/>
              <w:jc w:val="both"/>
              <w:rPr>
                <w:rFonts w:ascii="Arial" w:hAnsi="Arial" w:cs="Arial"/>
                <w:b/>
                <w:color w:val="1036A0"/>
              </w:rPr>
            </w:pPr>
            <w:r>
              <w:rPr>
                <w:rFonts w:ascii="Arial" w:hAnsi="Arial"/>
                <w:b/>
                <w:color w:val="000000" w:themeColor="text1"/>
              </w:rPr>
              <w:t>Bażi</w:t>
            </w:r>
            <w:r>
              <w:rPr>
                <w:rFonts w:ascii="Arial" w:hAnsi="Arial"/>
                <w:b/>
                <w:color w:val="1036A0"/>
              </w:rPr>
              <w:t xml:space="preserve"> </w:t>
            </w:r>
            <w:r>
              <w:rPr>
                <w:rFonts w:ascii="Arial" w:hAnsi="Arial"/>
                <w:b/>
                <w:color w:val="000000" w:themeColor="text1"/>
              </w:rPr>
              <w:t>legali</w:t>
            </w:r>
          </w:p>
        </w:tc>
      </w:tr>
      <w:tr w:rsidTr="3CB5D559">
        <w:tblPrEx>
          <w:tblW w:w="10188" w:type="dxa"/>
          <w:tblLook w:val="01E0"/>
        </w:tblPrEx>
        <w:tc>
          <w:tcPr>
            <w:tcW w:w="10188" w:type="dxa"/>
            <w:shd w:val="clear" w:color="auto" w:fill="auto"/>
          </w:tcPr>
          <w:p w:rsidR="002B1AA3" w:rsidRPr="0073328C" w:rsidP="00464BBA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Minħabba li regoli nazzjonali diverġenti dwar l-użu ta’ vetturi mikrija fit-territorju ta’ Stati Membri oħra jħallu impatt fuq il-moviment liberu ta’ karozzi mikrija u l-libertà li jiġu pprovduti servizzi transfruntiera fl-UE, l-UE għandha d-dritt li taġixxi </w:t>
            </w:r>
            <w:r>
              <w:rPr>
                <w:sz w:val="20"/>
              </w:rPr>
              <w:t>f’konformità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mal-</w:t>
            </w:r>
            <w:r>
              <w:rPr>
                <w:b/>
                <w:sz w:val="20"/>
              </w:rPr>
              <w:t>Artikolu</w:t>
            </w:r>
            <w:r>
              <w:rPr>
                <w:b/>
                <w:sz w:val="20"/>
              </w:rPr>
              <w:t xml:space="preserve"> 114 tat-TFUE</w:t>
            </w:r>
            <w:r>
              <w:rPr>
                <w:sz w:val="20"/>
              </w:rPr>
              <w:t xml:space="preserve">. </w:t>
            </w:r>
          </w:p>
        </w:tc>
      </w:tr>
      <w:tr w:rsidTr="3CB5D559">
        <w:tblPrEx>
          <w:tblW w:w="10188" w:type="dxa"/>
          <w:tblLook w:val="01E0"/>
        </w:tblPrEx>
        <w:tc>
          <w:tcPr>
            <w:tcW w:w="10188" w:type="dxa"/>
            <w:shd w:val="clear" w:color="auto" w:fill="D9D9D9" w:themeFill="background1" w:themeFillShade="D9"/>
          </w:tcPr>
          <w:p w:rsidR="002B1AA3" w:rsidRPr="0073328C" w:rsidP="001E25A5">
            <w:pPr>
              <w:spacing w:before="120" w:after="120"/>
              <w:jc w:val="both"/>
              <w:rPr>
                <w:rFonts w:ascii="Arial" w:hAnsi="Arial" w:cs="Arial"/>
                <w:b/>
                <w:color w:val="1036A0"/>
              </w:rPr>
            </w:pPr>
            <w:r>
              <w:rPr>
                <w:rFonts w:ascii="Arial" w:hAnsi="Arial"/>
                <w:b/>
                <w:color w:val="000000" w:themeColor="text1"/>
              </w:rPr>
              <w:t>Ħtieġa prattika li tittieħed azzjoni tal-UE</w:t>
            </w:r>
          </w:p>
        </w:tc>
      </w:tr>
      <w:tr w:rsidTr="3CB5D559">
        <w:tblPrEx>
          <w:tblW w:w="10188" w:type="dxa"/>
          <w:tblLook w:val="01E0"/>
        </w:tblPrEx>
        <w:tc>
          <w:tcPr>
            <w:tcW w:w="10188" w:type="dxa"/>
            <w:shd w:val="clear" w:color="auto" w:fill="auto"/>
          </w:tcPr>
          <w:p w:rsidR="002B1AA3" w:rsidRPr="0073328C" w:rsidP="001533F9">
            <w:pPr>
              <w:spacing w:before="120" w:after="120"/>
              <w:jc w:val="both"/>
              <w:rPr>
                <w:rFonts w:ascii="Arial" w:hAnsi="Arial" w:cs="Arial"/>
                <w:b/>
                <w:i/>
                <w:color w:val="1036A0"/>
                <w:sz w:val="20"/>
                <w:szCs w:val="20"/>
              </w:rPr>
            </w:pPr>
            <w:r>
              <w:rPr>
                <w:sz w:val="20"/>
              </w:rPr>
              <w:t xml:space="preserve">Peress li m’hemm l-ebda leġiżlazzjoni tal-UE dwar il-kiri </w:t>
            </w:r>
            <w:r>
              <w:rPr>
                <w:sz w:val="20"/>
              </w:rPr>
              <w:t>transfruntier</w:t>
            </w:r>
            <w:r>
              <w:rPr>
                <w:sz w:val="20"/>
              </w:rPr>
              <w:t xml:space="preserve"> tal-karozzi, din l-inizjattiva għandha ttejjeb il-funzjonament tas-suq intern billi tnaqqas l-ostakli għas-servizzi transkonfinali tal-kiri tal-karozzi permezz tal-istabbiliment ta’ rekwiżiti minimi rigward ir-reġistrazzjoni, il-kera u l-użu ta’ karozzi mikrija bejn il-fruntieri. Dan jista’ jsir biss fil-livell tal-UE, peress li jikkonċerna l-kiri </w:t>
            </w:r>
            <w:r>
              <w:rPr>
                <w:sz w:val="20"/>
              </w:rPr>
              <w:t>transfruntier</w:t>
            </w:r>
            <w:r>
              <w:rPr>
                <w:sz w:val="20"/>
              </w:rPr>
              <w:t xml:space="preserve"> tal-karozzi bejn Stati Membri differenti.</w:t>
            </w:r>
          </w:p>
        </w:tc>
      </w:tr>
      <w:tr w:rsidTr="3CB5D559">
        <w:tblPrEx>
          <w:tblW w:w="10188" w:type="dxa"/>
          <w:tblLook w:val="01E0"/>
        </w:tblPrEx>
        <w:tc>
          <w:tcPr>
            <w:tcW w:w="10188" w:type="dxa"/>
            <w:tcBorders>
              <w:bottom w:val="single" w:sz="4" w:space="0" w:color="auto"/>
            </w:tcBorders>
            <w:shd w:val="clear" w:color="auto" w:fill="0000FF"/>
          </w:tcPr>
          <w:p w:rsidR="00423AEF" w:rsidRPr="0073328C" w:rsidP="00353BFB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B. X’objettivi għandha l-inizjattiva u kif se </w:t>
            </w:r>
            <w:r>
              <w:rPr>
                <w:rFonts w:ascii="Arial" w:hAnsi="Arial"/>
                <w:b/>
              </w:rPr>
              <w:t>tiksibhom</w:t>
            </w:r>
            <w:r>
              <w:rPr>
                <w:rFonts w:ascii="Arial" w:hAnsi="Arial"/>
                <w:b/>
              </w:rPr>
              <w:t xml:space="preserve">? </w:t>
            </w:r>
          </w:p>
        </w:tc>
      </w:tr>
      <w:tr w:rsidTr="3CB5D559">
        <w:tblPrEx>
          <w:tblW w:w="10188" w:type="dxa"/>
          <w:tblLook w:val="01E0"/>
        </w:tblPrEx>
        <w:tc>
          <w:tcPr>
            <w:tcW w:w="10188" w:type="dxa"/>
            <w:tcBorders>
              <w:bottom w:val="single" w:sz="4" w:space="0" w:color="auto"/>
            </w:tcBorders>
            <w:shd w:val="clear" w:color="auto" w:fill="auto"/>
          </w:tcPr>
          <w:p w:rsidR="00577DB5" w:rsidRPr="0073328C" w:rsidP="00577D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L-objettiv ġenerali ta’ din l-inizjattiva huwa li tikkontribwixxi għall-funzjonament tas-suq uniku billi tiżgura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mobbiltà ġusta, effiċjenti u sostenibbli bejn il-fruntieri billi tiffaċilita l-użu </w:t>
            </w:r>
            <w:r>
              <w:rPr>
                <w:sz w:val="20"/>
              </w:rPr>
              <w:t>transfruntier</w:t>
            </w:r>
            <w:r>
              <w:rPr>
                <w:sz w:val="20"/>
              </w:rPr>
              <w:t xml:space="preserve"> tal-kiri tal-karozzi. F’dan il-kuntest l-objettivi speċifiċi ta’ din l-inizjattiva huma:</w:t>
            </w:r>
          </w:p>
          <w:p w:rsidR="00577DB5" w:rsidRPr="0073328C" w:rsidP="00577DB5">
            <w:pPr>
              <w:jc w:val="both"/>
              <w:rPr>
                <w:sz w:val="20"/>
                <w:szCs w:val="20"/>
              </w:rPr>
            </w:pPr>
          </w:p>
          <w:p w:rsidR="00577DB5" w:rsidRPr="0073328C" w:rsidP="00D3056B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li </w:t>
            </w:r>
            <w:r>
              <w:rPr>
                <w:sz w:val="20"/>
              </w:rPr>
              <w:t>jinkiseb</w:t>
            </w:r>
            <w:r>
              <w:rPr>
                <w:sz w:val="20"/>
              </w:rPr>
              <w:t xml:space="preserve"> użu affordabbli u effiċjenti tas-servizzi transfruntiera tal-kiri tal-karozzi mill-klijenti;</w:t>
            </w:r>
          </w:p>
          <w:p w:rsidR="00577DB5" w:rsidRPr="0073328C" w:rsidP="00D3056B">
            <w:pPr>
              <w:pStyle w:val="ListParagraph"/>
              <w:numPr>
                <w:ilvl w:val="0"/>
                <w:numId w:val="4"/>
              </w:numPr>
              <w:ind w:left="702"/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li </w:t>
            </w:r>
            <w:r w:rsidR="008C0807">
              <w:rPr>
                <w:sz w:val="20"/>
              </w:rPr>
              <w:t>jinkiseb</w:t>
            </w:r>
            <w:r>
              <w:rPr>
                <w:sz w:val="20"/>
              </w:rPr>
              <w:t xml:space="preserve"> użu aktar effiċjenti tal-flotot tal-karozzi mill-kumpaniji tal-kiri tal-karozzi, li jista’ jissarraf fi prezzijiet aktar baxxi għall-klijenti meta jkun hemm kompetizzjoni effiċjenti;</w:t>
            </w:r>
          </w:p>
          <w:p w:rsidR="00577DB5" w:rsidRPr="0073328C" w:rsidP="00D3056B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li </w:t>
            </w:r>
            <w:r w:rsidR="008C0807">
              <w:rPr>
                <w:sz w:val="20"/>
              </w:rPr>
              <w:t>jiġu offruti</w:t>
            </w:r>
            <w:r>
              <w:rPr>
                <w:sz w:val="20"/>
              </w:rPr>
              <w:t xml:space="preserve"> alternattivi lill-klijenti milli jużaw il-karozzi individwali tagħhom stess f’sitwazzjonijiet transfruntiera.</w:t>
            </w:r>
          </w:p>
          <w:p w:rsidR="00464BBA" w:rsidRPr="0073328C" w:rsidP="006944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Sabiex tindirizza din il-kwistjoni, </w:t>
            </w:r>
            <w:r>
              <w:rPr>
                <w:sz w:val="20"/>
              </w:rPr>
              <w:t>il-Kummissjoni</w:t>
            </w:r>
            <w:r>
              <w:rPr>
                <w:sz w:val="20"/>
              </w:rPr>
              <w:t xml:space="preserve"> qed tikkunsidra rekwiżiti minimi rigward ir-reġistrazzjoni, il-kiri u l-użu ta’ karozzi mikrija bejn il-fruntieri, b’mod partikolari billi tintroduċi ċertu perjodu ta’ żmien li fih il-kumpaniji tal-kiri tal-karozzi jistgħu</w:t>
            </w:r>
            <w:r>
              <w:t xml:space="preserve"> </w:t>
            </w:r>
            <w:r>
              <w:rPr>
                <w:sz w:val="20"/>
              </w:rPr>
              <w:t xml:space="preserve">jikru vettura fi Stat Membru differenti minn dak li fih tkun irreġistrata l-karozza, mingħajr ma </w:t>
            </w:r>
            <w:r>
              <w:rPr>
                <w:sz w:val="20"/>
              </w:rPr>
              <w:t>jirreġistrawha</w:t>
            </w:r>
            <w:r>
              <w:rPr>
                <w:sz w:val="20"/>
              </w:rPr>
              <w:t xml:space="preserve"> mill-ġdid skont il-liġijiet nazzjonali speċifiċi tal-pajjiż tal-użu. </w:t>
            </w:r>
          </w:p>
        </w:tc>
      </w:tr>
      <w:tr w:rsidTr="3CB5D559">
        <w:tblPrEx>
          <w:tblW w:w="10188" w:type="dxa"/>
          <w:tblLook w:val="01E0"/>
        </w:tblPrEx>
        <w:tc>
          <w:tcPr>
            <w:tcW w:w="101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90974" w:rsidRPr="0073328C" w:rsidP="006C75C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Impatti probabbli</w:t>
            </w:r>
          </w:p>
        </w:tc>
      </w:tr>
      <w:tr w:rsidTr="3CB5D559">
        <w:tblPrEx>
          <w:tblW w:w="10188" w:type="dxa"/>
          <w:tblLook w:val="01E0"/>
        </w:tblPrEx>
        <w:tc>
          <w:tcPr>
            <w:tcW w:w="10188" w:type="dxa"/>
            <w:tcBorders>
              <w:bottom w:val="single" w:sz="4" w:space="0" w:color="auto"/>
            </w:tcBorders>
            <w:shd w:val="clear" w:color="auto" w:fill="auto"/>
          </w:tcPr>
          <w:p w:rsidR="00024EFF" w:rsidRPr="0073328C" w:rsidP="00FC3229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F’termini ta’ impatti soċjoekonomiċi, l-inizjattiva x’aktarx li twassal għal tnaqqis fl-ispejjeż u l-kostijiet operatorji għall-kumpaniji tal-kiri tal-karozzi. Dan jista’ mbagħad ikollu impatt fuq il-kostijiet u d-disponibbiltà ta’ karozzi tal-kiri transfruntiera, inkluż permezz tal-impatt fuq il-kompetizzjoni bejn l-operaturi tal-kiri tal-karozzi.</w:t>
            </w:r>
          </w:p>
          <w:p w:rsidR="008A5003" w:rsidRPr="0073328C" w:rsidP="00FC1C09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L-inizjattiva jista’ jkollha impatt ukoll fuq id-dħul mit-taxxa </w:t>
            </w:r>
            <w:r>
              <w:rPr>
                <w:sz w:val="20"/>
              </w:rPr>
              <w:t>tal-Istati</w:t>
            </w:r>
            <w:r>
              <w:rPr>
                <w:sz w:val="20"/>
              </w:rPr>
              <w:t xml:space="preserve"> Membri direttament jew indirettament marbut mal-użu ta’ kirjiet transfruntiera tal-karozzi, kemm jekk mit-taxxi tar-reġistrazzjoni, mit-taxxi taċ-ċirkolazzjoni jew mit-taxxa fuq il-valur miżjud.</w:t>
            </w:r>
          </w:p>
        </w:tc>
      </w:tr>
      <w:tr w:rsidTr="3CB5D559">
        <w:tblPrEx>
          <w:tblW w:w="10188" w:type="dxa"/>
          <w:tblLook w:val="01E0"/>
        </w:tblPrEx>
        <w:tc>
          <w:tcPr>
            <w:tcW w:w="101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C75CC" w:rsidRPr="0073328C" w:rsidP="00A22CFB">
            <w:pPr>
              <w:spacing w:before="60" w:after="60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Monitoraġġ futur</w:t>
            </w:r>
          </w:p>
        </w:tc>
      </w:tr>
      <w:tr w:rsidTr="3CB5D559">
        <w:tblPrEx>
          <w:tblW w:w="10188" w:type="dxa"/>
          <w:tblLook w:val="01E0"/>
        </w:tblPrEx>
        <w:tc>
          <w:tcPr>
            <w:tcW w:w="10188" w:type="dxa"/>
            <w:tcBorders>
              <w:bottom w:val="single" w:sz="4" w:space="0" w:color="auto"/>
            </w:tcBorders>
            <w:shd w:val="clear" w:color="auto" w:fill="auto"/>
          </w:tcPr>
          <w:p w:rsidR="006C75CC" w:rsidRPr="0073328C" w:rsidP="003A46A1">
            <w:pPr>
              <w:spacing w:after="120"/>
              <w:rPr>
                <w:color w:val="00B050"/>
                <w:sz w:val="20"/>
                <w:szCs w:val="20"/>
              </w:rPr>
            </w:pPr>
            <w:r>
              <w:rPr>
                <w:sz w:val="20"/>
              </w:rPr>
              <w:t>Il-Kummissjoni</w:t>
            </w:r>
            <w:r>
              <w:rPr>
                <w:sz w:val="20"/>
              </w:rPr>
              <w:t xml:space="preserve"> se timmonitorja regolarment l-effetti tal-inizjattiva meta jkun għadda żmien biżżejjed biex din tkun ġiet implimentata u infurzata fl-UE kollha.</w:t>
            </w:r>
          </w:p>
        </w:tc>
      </w:tr>
      <w:tr w:rsidTr="3CB5D559">
        <w:tblPrEx>
          <w:tblW w:w="10188" w:type="dxa"/>
          <w:tblLook w:val="01E0"/>
        </w:tblPrEx>
        <w:tc>
          <w:tcPr>
            <w:tcW w:w="10188" w:type="dxa"/>
            <w:tcBorders>
              <w:bottom w:val="single" w:sz="4" w:space="0" w:color="auto"/>
            </w:tcBorders>
            <w:shd w:val="clear" w:color="auto" w:fill="0000FF"/>
          </w:tcPr>
          <w:p w:rsidR="0009231D" w:rsidRPr="0073328C" w:rsidP="00353BFB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highlight w:val="blue"/>
              </w:rPr>
              <w:t>C. Regolamentazzjoni aħjar</w:t>
            </w:r>
          </w:p>
        </w:tc>
      </w:tr>
      <w:tr w:rsidTr="3CB5D559">
        <w:tblPrEx>
          <w:tblW w:w="10188" w:type="dxa"/>
          <w:tblLook w:val="01E0"/>
        </w:tblPrEx>
        <w:tc>
          <w:tcPr>
            <w:tcW w:w="10188" w:type="dxa"/>
            <w:tcBorders>
              <w:bottom w:val="single" w:sz="4" w:space="0" w:color="auto"/>
            </w:tcBorders>
            <w:shd w:val="clear" w:color="auto" w:fill="E6E6E6"/>
          </w:tcPr>
          <w:p w:rsidR="00B312B7" w:rsidRPr="0073328C" w:rsidP="00C44D5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Valutazzjoni tal-impatt </w:t>
            </w:r>
          </w:p>
        </w:tc>
      </w:tr>
      <w:tr w:rsidTr="3CB5D559">
        <w:tblPrEx>
          <w:tblW w:w="10188" w:type="dxa"/>
          <w:tblLook w:val="01E0"/>
        </w:tblPrEx>
        <w:trPr>
          <w:trHeight w:val="1469"/>
        </w:trPr>
        <w:tc>
          <w:tcPr>
            <w:tcW w:w="10188" w:type="dxa"/>
            <w:tcBorders>
              <w:bottom w:val="single" w:sz="4" w:space="0" w:color="auto"/>
            </w:tcBorders>
            <w:shd w:val="clear" w:color="auto" w:fill="auto"/>
          </w:tcPr>
          <w:p w:rsidR="00BA7DB5" w:rsidRPr="0073328C" w:rsidP="007F6BBF">
            <w:pPr>
              <w:spacing w:before="60" w:after="240"/>
              <w:jc w:val="both"/>
              <w:rPr>
                <w:color w:val="1036A0"/>
                <w:sz w:val="20"/>
                <w:szCs w:val="20"/>
              </w:rPr>
            </w:pPr>
            <w:r>
              <w:rPr>
                <w:sz w:val="20"/>
              </w:rPr>
              <w:t>Din l-inizjattiva hija limitata ħafna fil-kamp ta’ applikazzjoni u hemm biss għażla ta’ politika ewlenija waħda li qed tiġi kkunsidrata biex jiġu indirizzati l-problemi indikati hawn fuq, jiġifieri l-istabbiliment ta’ ċertu perjodu ta’ żmien li fih il-kumpaniji tal-kiri tal-karozzi jitħallew</w:t>
            </w:r>
            <w:r>
              <w:t xml:space="preserve"> </w:t>
            </w:r>
            <w:r>
              <w:rPr>
                <w:sz w:val="20"/>
              </w:rPr>
              <w:t>jikru vetturi fi Stati Membri oħra tal-UE mingħajr ma jkunu obbligati jirreġistrawhom mill-ġdid skont ir-regoli nazzjonali. Għalhekk, valutazzjoni u tqabbil fil-fond tal-effetti tal-għażliet differenti ta’ politika, bħal waqt valutazzjoni tal-impatt, mhumiex possibbli. Minflok, se jitħejja dokument analitiku li jipprovdi l-aħjar evidenza rilevanti disponibbli li tappoġġa dan l-intervent.</w:t>
            </w:r>
          </w:p>
        </w:tc>
      </w:tr>
      <w:tr w:rsidTr="3CB5D559">
        <w:tblPrEx>
          <w:tblW w:w="10188" w:type="dxa"/>
          <w:tblLook w:val="01E0"/>
        </w:tblPrEx>
        <w:tc>
          <w:tcPr>
            <w:tcW w:w="10188" w:type="dxa"/>
            <w:tcBorders>
              <w:bottom w:val="single" w:sz="4" w:space="0" w:color="auto"/>
            </w:tcBorders>
            <w:shd w:val="clear" w:color="auto" w:fill="E6E6E6"/>
          </w:tcPr>
          <w:p w:rsidR="00B312B7" w:rsidRPr="0073328C" w:rsidP="00BF5565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  <w:b/>
              </w:rPr>
              <w:t xml:space="preserve">Strateġija ta’ konsultazzjoni </w:t>
            </w:r>
          </w:p>
        </w:tc>
      </w:tr>
      <w:tr w:rsidTr="3CB5D559">
        <w:tblPrEx>
          <w:tblW w:w="10188" w:type="dxa"/>
          <w:tblLook w:val="01E0"/>
        </w:tblPrEx>
        <w:tc>
          <w:tcPr>
            <w:tcW w:w="10188" w:type="dxa"/>
            <w:shd w:val="clear" w:color="auto" w:fill="auto"/>
          </w:tcPr>
          <w:p w:rsidR="004510D1" w:rsidRPr="0073328C" w:rsidP="007F6BBF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Il-proċess ta’ konsultazzjoni se jikkonsisti f’żewġ partijiet ewlenin: </w:t>
            </w:r>
            <w:r>
              <w:rPr>
                <w:rFonts w:ascii="Symbol" w:hAnsi="Symbol"/>
                <w:sz w:val="20"/>
              </w:rPr>
              <w:t>·</w:t>
            </w:r>
            <w:r>
              <w:rPr>
                <w:sz w:val="20"/>
              </w:rPr>
              <w:t xml:space="preserve">Konsultazzjoni pubblika ta’ 12-il ġimgħa bil-lingwi uffiċjali kollha tal-UE, permezz tal-paġna ċentrali tal-konsultazzjonijiet pubbliċi </w:t>
            </w:r>
            <w:r>
              <w:rPr>
                <w:sz w:val="20"/>
              </w:rPr>
              <w:t>tal-Kummissjoni</w:t>
            </w:r>
            <w:r>
              <w:rPr>
                <w:sz w:val="20"/>
              </w:rPr>
              <w:t xml:space="preserve"> (“</w:t>
            </w:r>
            <w:r>
              <w:fldChar w:fldCharType="begin"/>
            </w:r>
            <w:r>
              <w:instrText xml:space="preserve"> HYPERLINK "https://have-your-say.ec.europa.eu/index_mt" </w:instrText>
            </w:r>
            <w:r>
              <w:fldChar w:fldCharType="separate"/>
            </w:r>
            <w:r>
              <w:rPr>
                <w:rStyle w:val="Hyperlink"/>
                <w:sz w:val="20"/>
              </w:rPr>
              <w:t>Semma’ leħnek</w:t>
            </w:r>
            <w:r>
              <w:fldChar w:fldCharType="end"/>
            </w:r>
            <w:r>
              <w:rPr>
                <w:sz w:val="20"/>
              </w:rPr>
              <w:t xml:space="preserve">”). Rapport fattwali fil-qosor se jiġi ppubblikat fuq il-paġna tal-konsultazzjoni wara li tingħalaq din il-konsultazzjoni pubblika. </w:t>
            </w:r>
            <w:r>
              <w:rPr>
                <w:rFonts w:ascii="Symbol" w:hAnsi="Symbol"/>
                <w:sz w:val="20"/>
              </w:rPr>
              <w:t>·</w:t>
            </w:r>
            <w:r>
              <w:rPr>
                <w:sz w:val="20"/>
              </w:rPr>
              <w:t xml:space="preserve"> Diversi attivitajiet ta’ konsultazzjoni mmirati (inklużi stħarriġiet, intervisti u sessjonijiet ta’ ħidma) tal-partijiet ikkonċernati l-aktar affettwati, li se jitwettqu taħt studju ta’ appoġġ estern li se jsir matul l-2024.</w:t>
            </w:r>
          </w:p>
          <w:p w:rsidR="00B312B7" w:rsidRPr="0073328C" w:rsidP="004510D1">
            <w:pPr>
              <w:spacing w:before="60" w:after="60"/>
              <w:jc w:val="both"/>
              <w:rPr>
                <w:rFonts w:ascii="Arial" w:hAnsi="Arial" w:cs="Arial"/>
                <w:color w:val="1036A0"/>
                <w:sz w:val="20"/>
              </w:rPr>
            </w:pPr>
            <w:r>
              <w:rPr>
                <w:sz w:val="20"/>
              </w:rPr>
              <w:t xml:space="preserve">Ir-riżultati tal-attivitajiet ta’ konsultazzjoni kollha se </w:t>
            </w:r>
            <w:r>
              <w:rPr>
                <w:sz w:val="20"/>
              </w:rPr>
              <w:t>jitqassru</w:t>
            </w:r>
            <w:r>
              <w:rPr>
                <w:sz w:val="20"/>
              </w:rPr>
              <w:t xml:space="preserve"> f’rapport ta’ sinteżi li se jkun mehmuż mad-dokument analitiku.</w:t>
            </w:r>
            <w:r>
              <w:rPr>
                <w:rFonts w:ascii="Arial" w:hAnsi="Arial"/>
                <w:color w:val="1036A0"/>
                <w:sz w:val="20"/>
              </w:rPr>
              <w:t xml:space="preserve"> </w:t>
            </w:r>
          </w:p>
        </w:tc>
      </w:tr>
      <w:tr w:rsidTr="3CB5D559">
        <w:tblPrEx>
          <w:tblW w:w="10188" w:type="dxa"/>
          <w:tblLook w:val="01E0"/>
        </w:tblPrEx>
        <w:tc>
          <w:tcPr>
            <w:tcW w:w="10188" w:type="dxa"/>
            <w:shd w:val="clear" w:color="auto" w:fill="E6E6E6"/>
          </w:tcPr>
          <w:p w:rsidR="004A0EA6" w:rsidRPr="0073328C" w:rsidP="007F6BBF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</w:rPr>
              <w:t>Għaliex qed nagħmlu din il-konsultazzjoni?</w:t>
            </w:r>
          </w:p>
        </w:tc>
      </w:tr>
      <w:tr w:rsidTr="3CB5D559">
        <w:tblPrEx>
          <w:tblW w:w="10188" w:type="dxa"/>
          <w:tblLook w:val="01E0"/>
        </w:tblPrEx>
        <w:tc>
          <w:tcPr>
            <w:tcW w:w="10188" w:type="dxa"/>
            <w:shd w:val="clear" w:color="auto" w:fill="auto"/>
          </w:tcPr>
          <w:p w:rsidR="00F249D5" w:rsidRPr="0073328C" w:rsidP="007F6BBF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Il-Kummissjoni</w:t>
            </w:r>
            <w:r>
              <w:rPr>
                <w:sz w:val="20"/>
              </w:rPr>
              <w:t xml:space="preserve"> għandha l-għan li tiġbor il-fehmiet u d-</w:t>
            </w:r>
            <w:r>
              <w:rPr>
                <w:i/>
                <w:iCs/>
                <w:sz w:val="20"/>
              </w:rPr>
              <w:t>data</w:t>
            </w:r>
            <w:r>
              <w:rPr>
                <w:sz w:val="20"/>
              </w:rPr>
              <w:t xml:space="preserve"> tal-partijiet ikkonċernati bil-għan li tivvaluta l-fattibbiltà u l-impatti tal-inizjattiva. </w:t>
            </w:r>
          </w:p>
        </w:tc>
      </w:tr>
      <w:tr w:rsidTr="3CB5D559">
        <w:tblPrEx>
          <w:tblW w:w="10188" w:type="dxa"/>
          <w:tblLook w:val="01E0"/>
        </w:tblPrEx>
        <w:tc>
          <w:tcPr>
            <w:tcW w:w="10188" w:type="dxa"/>
            <w:shd w:val="clear" w:color="auto" w:fill="E6E6E6"/>
          </w:tcPr>
          <w:p w:rsidR="00CF1D23" w:rsidRPr="0073328C" w:rsidP="007F6BBF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</w:rPr>
              <w:t>Udjenza fil-mira</w:t>
            </w:r>
          </w:p>
        </w:tc>
      </w:tr>
      <w:tr w:rsidTr="3CB5D559">
        <w:tblPrEx>
          <w:tblW w:w="10188" w:type="dxa"/>
          <w:tblLook w:val="01E0"/>
        </w:tblPrEx>
        <w:tc>
          <w:tcPr>
            <w:tcW w:w="10188" w:type="dxa"/>
            <w:tcBorders>
              <w:bottom w:val="single" w:sz="4" w:space="0" w:color="auto"/>
            </w:tcBorders>
            <w:shd w:val="clear" w:color="auto" w:fill="auto"/>
          </w:tcPr>
          <w:p w:rsidR="00F249D5" w:rsidRPr="0073328C" w:rsidP="007F6BBF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>
              <w:rPr>
                <w:sz w:val="20"/>
              </w:rPr>
              <w:t>Il-partijiet ikkonċernati ewlenin identifikati jinkludu l-kumpaniji tal-kiri tal-karozzi, it-</w:t>
            </w:r>
            <w:r>
              <w:rPr>
                <w:sz w:val="20"/>
              </w:rPr>
              <w:t>trade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unions</w:t>
            </w:r>
            <w:r>
              <w:rPr>
                <w:sz w:val="20"/>
              </w:rPr>
              <w:t xml:space="preserve">, l-awtoritajiet nazzjonali tat-trasport u fiskali, l-organizzazzjonijiet tal-konsumaturi, b’mod partikolari dawk immirati lejn dawk li jużaw il-karozzi, u ċ-ċittadini tal-UE. </w:t>
            </w:r>
          </w:p>
        </w:tc>
      </w:tr>
    </w:tbl>
    <w:p w:rsidR="009E6661" w:rsidRPr="0073328C" w:rsidP="00694440">
      <w:pPr>
        <w:rPr>
          <w:rFonts w:ascii="Arial" w:hAnsi="Arial" w:cs="Arial"/>
          <w:sz w:val="20"/>
          <w:szCs w:val="20"/>
        </w:rPr>
      </w:pPr>
    </w:p>
    <w:sectPr w:rsidSect="00C9010B">
      <w:footerReference w:type="even" r:id="rId15"/>
      <w:footerReference w:type="default" r:id="rId16"/>
      <w:headerReference w:type="first" r:id="rId17"/>
      <w:type w:val="continuous"/>
      <w:pgSz w:w="11906" w:h="16838" w:code="9"/>
      <w:pgMar w:top="851" w:right="567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5A3D" w:rsidRPr="0073328C" w:rsidP="00D92C25">
    <w:pPr>
      <w:pStyle w:val="Footer"/>
      <w:framePr w:wrap="around" w:vAnchor="text" w:hAnchor="margin" w:xAlign="center" w:y="1"/>
      <w:rPr>
        <w:rStyle w:val="PageNumber"/>
      </w:rPr>
    </w:pPr>
    <w:r w:rsidRPr="0073328C">
      <w:rPr>
        <w:rStyle w:val="PageNumber"/>
      </w:rPr>
      <w:fldChar w:fldCharType="begin"/>
    </w:r>
    <w:r w:rsidRPr="0073328C">
      <w:rPr>
        <w:rStyle w:val="PageNumber"/>
      </w:rPr>
      <w:instrText xml:space="preserve">PAGE  </w:instrText>
    </w:r>
    <w:r w:rsidRPr="0073328C">
      <w:rPr>
        <w:rStyle w:val="PageNumber"/>
      </w:rPr>
      <w:fldChar w:fldCharType="separate"/>
    </w:r>
    <w:r w:rsidRPr="0073328C">
      <w:rPr>
        <w:rStyle w:val="PageNumber"/>
      </w:rPr>
      <w:t>4</w:t>
    </w:r>
    <w:r w:rsidRPr="0073328C">
      <w:rPr>
        <w:rStyle w:val="PageNumber"/>
      </w:rPr>
      <w:fldChar w:fldCharType="end"/>
    </w:r>
  </w:p>
  <w:p w:rsidR="00035A3D" w:rsidRPr="0073328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5A3D" w:rsidRPr="0073328C" w:rsidP="002B4E61">
    <w:pPr>
      <w:pStyle w:val="Footer"/>
      <w:framePr w:wrap="around" w:vAnchor="text" w:hAnchor="margin" w:xAlign="center" w:y="1"/>
      <w:rPr>
        <w:rStyle w:val="PageNumber"/>
        <w:rFonts w:ascii="Arial" w:hAnsi="Arial"/>
        <w:sz w:val="16"/>
      </w:rPr>
    </w:pPr>
    <w:r>
      <w:rPr>
        <w:rStyle w:val="PageNumber"/>
        <w:rFonts w:ascii="Arial" w:hAnsi="Arial"/>
        <w:sz w:val="16"/>
      </w:rPr>
      <w:tab/>
    </w:r>
    <w:r>
      <w:rPr>
        <w:rStyle w:val="PageNumber"/>
        <w:rFonts w:ascii="Arial" w:hAnsi="Arial"/>
        <w:sz w:val="16"/>
      </w:rPr>
      <w:tab/>
    </w:r>
  </w:p>
  <w:p w:rsidR="00035A3D" w:rsidRPr="0073328C" w:rsidP="002B4E61">
    <w:pPr>
      <w:pStyle w:val="Footer"/>
      <w:framePr w:wrap="around" w:vAnchor="text" w:hAnchor="margin" w:xAlign="center" w:y="1"/>
      <w:rPr>
        <w:rStyle w:val="PageNumber"/>
        <w:rFonts w:ascii="Arial" w:hAnsi="Arial"/>
        <w:sz w:val="16"/>
      </w:rPr>
    </w:pPr>
    <w:r>
      <w:rPr>
        <w:rStyle w:val="PageNumber"/>
        <w:rFonts w:ascii="Arial" w:hAnsi="Arial"/>
        <w:sz w:val="16"/>
      </w:rPr>
      <w:tab/>
    </w:r>
    <w:r>
      <w:rPr>
        <w:rStyle w:val="PageNumber"/>
        <w:rFonts w:ascii="Arial" w:hAnsi="Arial"/>
        <w:sz w:val="16"/>
      </w:rPr>
      <w:tab/>
    </w:r>
    <w:r>
      <w:rPr>
        <w:rStyle w:val="PageNumber"/>
        <w:rFonts w:ascii="Arial" w:hAnsi="Arial"/>
        <w:sz w:val="16"/>
      </w:rPr>
      <w:tab/>
      <w:t xml:space="preserve">         </w:t>
    </w:r>
    <w:r w:rsidRPr="0073328C">
      <w:rPr>
        <w:rStyle w:val="PageNumber"/>
        <w:rFonts w:ascii="Arial" w:hAnsi="Arial"/>
        <w:sz w:val="16"/>
      </w:rPr>
      <w:fldChar w:fldCharType="begin"/>
    </w:r>
    <w:r w:rsidRPr="0073328C">
      <w:rPr>
        <w:rStyle w:val="PageNumber"/>
        <w:rFonts w:ascii="Arial" w:hAnsi="Arial"/>
        <w:sz w:val="16"/>
      </w:rPr>
      <w:instrText xml:space="preserve">PAGE  </w:instrText>
    </w:r>
    <w:r w:rsidRPr="0073328C">
      <w:rPr>
        <w:rStyle w:val="PageNumber"/>
        <w:rFonts w:ascii="Arial" w:hAnsi="Arial"/>
        <w:sz w:val="16"/>
      </w:rPr>
      <w:fldChar w:fldCharType="separate"/>
    </w:r>
    <w:r w:rsidRPr="0073328C">
      <w:rPr>
        <w:rStyle w:val="PageNumber"/>
        <w:rFonts w:ascii="Arial" w:hAnsi="Arial"/>
        <w:sz w:val="16"/>
      </w:rPr>
      <w:t>3</w:t>
    </w:r>
    <w:r w:rsidRPr="0073328C">
      <w:rPr>
        <w:rStyle w:val="PageNumber"/>
        <w:rFonts w:ascii="Arial" w:hAnsi="Arial"/>
        <w:sz w:val="16"/>
      </w:rPr>
      <w:fldChar w:fldCharType="end"/>
    </w:r>
  </w:p>
  <w:p w:rsidR="00035A3D" w:rsidRPr="0073328C">
    <w:pPr>
      <w:pStyle w:val="Footer"/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5A31" w:rsidRPr="0073328C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5A3D" w:rsidRPr="0073328C" w:rsidP="00D92C25">
    <w:pPr>
      <w:pStyle w:val="Footer"/>
      <w:framePr w:wrap="around" w:vAnchor="text" w:hAnchor="margin" w:xAlign="center" w:y="1"/>
      <w:rPr>
        <w:rStyle w:val="PageNumber"/>
      </w:rPr>
    </w:pPr>
    <w:r w:rsidRPr="0073328C">
      <w:rPr>
        <w:rStyle w:val="PageNumber"/>
      </w:rPr>
      <w:fldChar w:fldCharType="begin"/>
    </w:r>
    <w:r w:rsidRPr="0073328C">
      <w:rPr>
        <w:rStyle w:val="PageNumber"/>
      </w:rPr>
      <w:instrText xml:space="preserve">PAGE  </w:instrText>
    </w:r>
    <w:r w:rsidRPr="0073328C">
      <w:rPr>
        <w:rStyle w:val="PageNumber"/>
      </w:rPr>
      <w:fldChar w:fldCharType="separate"/>
    </w:r>
    <w:r w:rsidRPr="0073328C">
      <w:rPr>
        <w:rStyle w:val="PageNumber"/>
      </w:rPr>
      <w:t>4</w:t>
    </w:r>
    <w:r w:rsidRPr="0073328C">
      <w:rPr>
        <w:rStyle w:val="PageNumber"/>
      </w:rPr>
      <w:fldChar w:fldCharType="end"/>
    </w:r>
  </w:p>
  <w:p w:rsidR="00035A3D" w:rsidRPr="0073328C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5A3D" w:rsidRPr="0073328C" w:rsidP="002B4E61">
    <w:pPr>
      <w:pStyle w:val="Footer"/>
      <w:framePr w:wrap="around" w:vAnchor="text" w:hAnchor="margin" w:xAlign="center" w:y="1"/>
      <w:rPr>
        <w:rStyle w:val="PageNumber"/>
        <w:rFonts w:ascii="Arial" w:hAnsi="Arial"/>
        <w:sz w:val="16"/>
      </w:rPr>
    </w:pPr>
    <w:r>
      <w:rPr>
        <w:rStyle w:val="PageNumber"/>
        <w:rFonts w:ascii="Arial" w:hAnsi="Arial"/>
        <w:sz w:val="16"/>
      </w:rPr>
      <w:tab/>
    </w:r>
    <w:r>
      <w:rPr>
        <w:rStyle w:val="PageNumber"/>
        <w:rFonts w:ascii="Arial" w:hAnsi="Arial"/>
        <w:sz w:val="16"/>
      </w:rPr>
      <w:tab/>
    </w:r>
  </w:p>
  <w:p w:rsidR="00035A3D" w:rsidRPr="0073328C" w:rsidP="002B4E61">
    <w:pPr>
      <w:pStyle w:val="Footer"/>
      <w:framePr w:wrap="around" w:vAnchor="text" w:hAnchor="margin" w:xAlign="center" w:y="1"/>
      <w:rPr>
        <w:rStyle w:val="PageNumber"/>
        <w:rFonts w:ascii="Arial" w:hAnsi="Arial"/>
        <w:sz w:val="16"/>
      </w:rPr>
    </w:pPr>
    <w:r>
      <w:rPr>
        <w:rStyle w:val="PageNumber"/>
        <w:rFonts w:ascii="Arial" w:hAnsi="Arial"/>
        <w:sz w:val="16"/>
      </w:rPr>
      <w:tab/>
    </w:r>
    <w:r>
      <w:rPr>
        <w:rStyle w:val="PageNumber"/>
        <w:rFonts w:ascii="Arial" w:hAnsi="Arial"/>
        <w:sz w:val="16"/>
      </w:rPr>
      <w:tab/>
    </w:r>
    <w:r>
      <w:rPr>
        <w:rStyle w:val="PageNumber"/>
        <w:rFonts w:ascii="Arial" w:hAnsi="Arial"/>
        <w:sz w:val="16"/>
      </w:rPr>
      <w:tab/>
      <w:t xml:space="preserve">         </w:t>
    </w:r>
    <w:r w:rsidRPr="0073328C">
      <w:rPr>
        <w:rStyle w:val="PageNumber"/>
        <w:rFonts w:ascii="Arial" w:hAnsi="Arial"/>
        <w:sz w:val="16"/>
      </w:rPr>
      <w:fldChar w:fldCharType="begin"/>
    </w:r>
    <w:r w:rsidRPr="0073328C">
      <w:rPr>
        <w:rStyle w:val="PageNumber"/>
        <w:rFonts w:ascii="Arial" w:hAnsi="Arial"/>
        <w:sz w:val="16"/>
      </w:rPr>
      <w:instrText xml:space="preserve">PAGE  </w:instrText>
    </w:r>
    <w:r w:rsidRPr="0073328C">
      <w:rPr>
        <w:rStyle w:val="PageNumber"/>
        <w:rFonts w:ascii="Arial" w:hAnsi="Arial"/>
        <w:sz w:val="16"/>
      </w:rPr>
      <w:fldChar w:fldCharType="separate"/>
    </w:r>
    <w:r w:rsidRPr="0073328C" w:rsidR="00E66E1E">
      <w:rPr>
        <w:rStyle w:val="PageNumber"/>
        <w:rFonts w:ascii="Arial" w:hAnsi="Arial"/>
        <w:sz w:val="16"/>
      </w:rPr>
      <w:t>2</w:t>
    </w:r>
    <w:r w:rsidRPr="0073328C">
      <w:rPr>
        <w:rStyle w:val="PageNumber"/>
        <w:rFonts w:ascii="Arial" w:hAnsi="Arial"/>
        <w:sz w:val="16"/>
      </w:rPr>
      <w:fldChar w:fldCharType="end"/>
    </w:r>
  </w:p>
  <w:p w:rsidR="00035A3D" w:rsidRPr="0073328C">
    <w:pPr>
      <w:pStyle w:val="Footer"/>
      <w:rPr>
        <w:rFonts w:ascii="Arial" w:hAnsi="Arial"/>
        <w:sz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5A31" w:rsidRPr="0073328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5A31" w:rsidRPr="0073328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5A3D" w:rsidRPr="0073328C" w:rsidP="00E72EF2">
    <w:pPr>
      <w:pStyle w:val="Header"/>
      <w:jc w:val="center"/>
    </w:pPr>
    <w:r>
      <w:rPr>
        <w:rFonts w:ascii="Arial" w:hAnsi="Arial"/>
        <w:noProof/>
      </w:rPr>
      <w:drawing>
        <wp:inline distT="0" distB="0" distL="0" distR="0">
          <wp:extent cx="1908175" cy="508635"/>
          <wp:effectExtent l="0" t="0" r="0" b="5715"/>
          <wp:docPr id="5" name="Picture 5" descr="logo-ce-horizontal-en-quadri-l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ce-horizontal-en-quadri-l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5A3D" w:rsidRPr="0073328C" w:rsidP="00E72EF2">
    <w:pPr>
      <w:pStyle w:val="Header"/>
      <w:jc w:val="center"/>
    </w:pPr>
    <w:r>
      <w:rPr>
        <w:rFonts w:ascii="Arial" w:hAnsi="Arial"/>
        <w:noProof/>
      </w:rPr>
      <w:drawing>
        <wp:inline distT="0" distB="0" distL="0" distR="0">
          <wp:extent cx="1908175" cy="508635"/>
          <wp:effectExtent l="0" t="0" r="0" b="5715"/>
          <wp:docPr id="2" name="Picture 2" descr="logo-ce-horizontal-en-quadri-l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ce-horizontal-en-quadri-l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B"/>
    <w:multiLevelType w:val="multilevel"/>
    <w:tmpl w:val="0000000B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51E04B03"/>
    <w:multiLevelType w:val="hybridMultilevel"/>
    <w:tmpl w:val="DE0E56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6901C1"/>
    <w:multiLevelType w:val="singleLevel"/>
    <w:tmpl w:val="208841AE"/>
    <w:lvl w:ilvl="0">
      <w:start w:val="1"/>
      <w:numFmt w:val="bullet"/>
      <w:pStyle w:val="ListBullet1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4">
    <w:nsid w:val="6D2B5511"/>
    <w:multiLevelType w:val="singleLevel"/>
    <w:tmpl w:val="74A09970"/>
    <w:name w:val="List Bullet 1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5">
    <w:nsid w:val="6D7B58CE"/>
    <w:multiLevelType w:val="hybridMultilevel"/>
    <w:tmpl w:val="55143764"/>
    <w:lvl w:ilvl="0">
      <w:start w:val="1"/>
      <w:numFmt w:val="bullet"/>
      <w:pStyle w:val="ListDash4"/>
      <w:lvlText w:val="–"/>
      <w:lvlJc w:val="left"/>
      <w:pPr>
        <w:tabs>
          <w:tab w:val="num" w:pos="1287"/>
        </w:tabs>
        <w:ind w:left="1287" w:hanging="283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-"/>
      <w:lvlJc w:val="left"/>
      <w:pPr>
        <w:ind w:left="1593" w:hanging="360"/>
      </w:pPr>
      <w:rPr>
        <w:rFonts w:ascii="Times" w:eastAsia="Times New Roman" w:hAnsi="Times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cumentProtection w:edit="forms" w:enforcement="0"/>
  <w:defaultTabStop w:val="720"/>
  <w:hyphenationZone w:val="425"/>
  <w:doNotShadeFormData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docVars>
    <w:docVar w:name="LW_DocType" w:val="NORMAL"/>
    <w:docVar w:name="Stamp" w:val="\\dossiers.dgt.cec.eu.int\dossiers\MOVE\MOVE-2024-00745\MOVE-2024-00745-00-00-EN-EDT-00.20240430151834140449.DOCX"/>
  </w:docVars>
  <m:mathPr>
    <m:mathFont m:val="Cambria Math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mt-M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07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E6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E6661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rsid w:val="009E6661"/>
    <w:pPr>
      <w:spacing w:after="240"/>
      <w:ind w:left="357" w:hanging="357"/>
      <w:jc w:val="both"/>
    </w:pPr>
    <w:rPr>
      <w:sz w:val="20"/>
      <w:szCs w:val="20"/>
    </w:rPr>
  </w:style>
  <w:style w:type="character" w:styleId="FootnoteReference">
    <w:name w:val="footnote reference"/>
    <w:aliases w:val=" BVI fnr,BVI fnr,Footnote Reference Superscript,Footnote symbol"/>
    <w:semiHidden/>
    <w:rsid w:val="009E6661"/>
    <w:rPr>
      <w:vertAlign w:val="superscript"/>
    </w:rPr>
  </w:style>
  <w:style w:type="character" w:customStyle="1" w:styleId="FootnoteTextChar">
    <w:name w:val="Footnote Text Char"/>
    <w:link w:val="FootnoteText"/>
    <w:rsid w:val="009E6661"/>
    <w:rPr>
      <w:lang w:val="mt-MT" w:eastAsia="en-GB" w:bidi="ar-SA"/>
    </w:rPr>
  </w:style>
  <w:style w:type="paragraph" w:styleId="ListBullet">
    <w:name w:val="List Bullet"/>
    <w:basedOn w:val="Normal"/>
    <w:rsid w:val="009E6661"/>
    <w:pPr>
      <w:numPr>
        <w:numId w:val="1"/>
      </w:numPr>
      <w:spacing w:before="120" w:after="120"/>
      <w:jc w:val="both"/>
    </w:pPr>
    <w:rPr>
      <w:lang w:eastAsia="de-DE"/>
    </w:rPr>
  </w:style>
  <w:style w:type="paragraph" w:customStyle="1" w:styleId="Text1">
    <w:name w:val="Text 1"/>
    <w:basedOn w:val="Normal"/>
    <w:rsid w:val="009E6661"/>
    <w:pPr>
      <w:spacing w:before="120" w:after="120"/>
      <w:ind w:left="850"/>
      <w:jc w:val="both"/>
    </w:pPr>
    <w:rPr>
      <w:lang w:eastAsia="en-US"/>
    </w:rPr>
  </w:style>
  <w:style w:type="character" w:styleId="Emphasis">
    <w:name w:val="Emphasis"/>
    <w:qFormat/>
    <w:rsid w:val="009E6661"/>
    <w:rPr>
      <w:b/>
      <w:bCs/>
      <w:i w:val="0"/>
      <w:iCs w:val="0"/>
    </w:rPr>
  </w:style>
  <w:style w:type="paragraph" w:customStyle="1" w:styleId="ListBullet1">
    <w:name w:val="List Bullet 1"/>
    <w:basedOn w:val="Normal"/>
    <w:rsid w:val="009E6661"/>
    <w:pPr>
      <w:numPr>
        <w:numId w:val="2"/>
      </w:numPr>
      <w:spacing w:before="120" w:after="120"/>
      <w:jc w:val="both"/>
    </w:pPr>
    <w:rPr>
      <w:lang w:eastAsia="de-DE"/>
    </w:rPr>
  </w:style>
  <w:style w:type="character" w:customStyle="1" w:styleId="at31">
    <w:name w:val="a__t31"/>
    <w:rsid w:val="009E6661"/>
    <w:rPr>
      <w:b/>
      <w:bCs/>
    </w:rPr>
  </w:style>
  <w:style w:type="paragraph" w:styleId="NormalWeb">
    <w:name w:val="Normal (Web)"/>
    <w:basedOn w:val="Normal"/>
    <w:link w:val="NormalWebChar"/>
    <w:rsid w:val="00D03063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rsid w:val="00D03063"/>
    <w:rPr>
      <w:sz w:val="24"/>
      <w:szCs w:val="24"/>
      <w:lang w:val="mt-MT" w:eastAsia="en-GB" w:bidi="ar-SA"/>
    </w:rPr>
  </w:style>
  <w:style w:type="paragraph" w:customStyle="1" w:styleId="ListDash4">
    <w:name w:val="List Dash 4"/>
    <w:basedOn w:val="Normal"/>
    <w:rsid w:val="00D03063"/>
    <w:pPr>
      <w:numPr>
        <w:numId w:val="3"/>
      </w:numPr>
    </w:pPr>
  </w:style>
  <w:style w:type="paragraph" w:styleId="Footer">
    <w:name w:val="footer"/>
    <w:basedOn w:val="Normal"/>
    <w:rsid w:val="00B07956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B07956"/>
  </w:style>
  <w:style w:type="paragraph" w:styleId="BalloonText">
    <w:name w:val="Balloon Text"/>
    <w:basedOn w:val="Normal"/>
    <w:semiHidden/>
    <w:rsid w:val="0099112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154F3"/>
    <w:rPr>
      <w:color w:val="0000FF"/>
      <w:u w:val="single"/>
    </w:rPr>
  </w:style>
  <w:style w:type="character" w:styleId="CommentReference">
    <w:name w:val="annotation reference"/>
    <w:rsid w:val="000E13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E13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E132C"/>
  </w:style>
  <w:style w:type="paragraph" w:styleId="CommentSubject">
    <w:name w:val="annotation subject"/>
    <w:basedOn w:val="CommentText"/>
    <w:next w:val="CommentText"/>
    <w:link w:val="CommentSubjectChar"/>
    <w:rsid w:val="000E132C"/>
    <w:rPr>
      <w:b/>
      <w:bCs/>
    </w:rPr>
  </w:style>
  <w:style w:type="character" w:customStyle="1" w:styleId="CommentSubjectChar">
    <w:name w:val="Comment Subject Char"/>
    <w:link w:val="CommentSubject"/>
    <w:rsid w:val="000E132C"/>
    <w:rPr>
      <w:b/>
      <w:bCs/>
    </w:rPr>
  </w:style>
  <w:style w:type="paragraph" w:customStyle="1" w:styleId="ListDash1">
    <w:name w:val="List Dash 1"/>
    <w:basedOn w:val="Normal"/>
    <w:qFormat/>
    <w:rsid w:val="00FA069C"/>
    <w:pPr>
      <w:tabs>
        <w:tab w:val="num" w:pos="567"/>
      </w:tabs>
      <w:ind w:left="568" w:hanging="284"/>
    </w:pPr>
  </w:style>
  <w:style w:type="paragraph" w:styleId="ListParagraph">
    <w:name w:val="List Paragraph"/>
    <w:basedOn w:val="Normal"/>
    <w:uiPriority w:val="34"/>
    <w:qFormat/>
    <w:rsid w:val="001C7D0F"/>
    <w:pPr>
      <w:ind w:left="720"/>
      <w:contextualSpacing/>
    </w:pPr>
  </w:style>
  <w:style w:type="character" w:styleId="FollowedHyperlink">
    <w:name w:val="FollowedHyperlink"/>
    <w:basedOn w:val="DefaultParagraphFont"/>
    <w:rsid w:val="00454F27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10C61"/>
    <w:rPr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A50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footer" Target="footer4.xml" /><Relationship Id="rId16" Type="http://schemas.openxmlformats.org/officeDocument/2006/relationships/footer" Target="footer5.xml" /><Relationship Id="rId17" Type="http://schemas.openxmlformats.org/officeDocument/2006/relationships/header" Target="header4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4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brusspa\Desktop\ROADMAP%20template%20new%2010%20January%202012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33f916-ce21-4f98-a771-0bef3058cb3e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lcf76f155ced4ddcb4097134ff3c332f>
    <TaxCatchAll xmlns="237e0e33-a802-4302-8cc8-d84d7732b0d9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EB0B91E7464E95EBA7AA7632CE11" ma:contentTypeVersion="16" ma:contentTypeDescription="Create a new document." ma:contentTypeScope="" ma:versionID="27c668fd5abe0ba2b809abbb42f766f8">
  <xsd:schema xmlns:xsd="http://www.w3.org/2001/XMLSchema" xmlns:xs="http://www.w3.org/2001/XMLSchema" xmlns:p="http://schemas.microsoft.com/office/2006/metadata/properties" xmlns:ns2="f133f916-ce21-4f98-a771-0bef3058cb3e" xmlns:ns3="237e0e33-a802-4302-8cc8-d84d7732b0d9" targetNamespace="http://schemas.microsoft.com/office/2006/metadata/properties" ma:root="true" ma:fieldsID="f75860206572ddcab9373c0d7f4841d4" ns2:_="" ns3:_="">
    <xsd:import namespace="f133f916-ce21-4f98-a771-0bef3058cb3e"/>
    <xsd:import namespace="237e0e33-a802-4302-8cc8-d84d7732b0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3f916-ce21-4f98-a771-0bef3058cb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e0e33-a802-4302-8cc8-d84d7732b0d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77dfdb3-8c71-4595-9b02-2349378e6ae9}" ma:internalName="TaxCatchAll" ma:showField="CatchAllData" ma:web="237e0e33-a802-4302-8cc8-d84d7732b0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8AD5CF-E8B4-447F-AE82-B85FCBFC32F4}">
  <ds:schemaRefs>
    <ds:schemaRef ds:uri="http://schemas.microsoft.com/office/2006/metadata/properties"/>
    <ds:schemaRef ds:uri="http://schemas.microsoft.com/office/infopath/2007/PartnerControls"/>
    <ds:schemaRef ds:uri="f133f916-ce21-4f98-a771-0bef3058cb3e"/>
    <ds:schemaRef ds:uri="237e0e33-a802-4302-8cc8-d84d7732b0d9"/>
  </ds:schemaRefs>
</ds:datastoreItem>
</file>

<file path=customXml/itemProps2.xml><?xml version="1.0" encoding="utf-8"?>
<ds:datastoreItem xmlns:ds="http://schemas.openxmlformats.org/officeDocument/2006/customXml" ds:itemID="{A9ADF71C-59A8-4C6F-A3C1-8CF867750A4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E264D60-ED6E-4DD2-B86C-B80F17D8C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33f916-ce21-4f98-a771-0bef3058cb3e"/>
    <ds:schemaRef ds:uri="237e0e33-a802-4302-8cc8-d84d7732b0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19C7C2-FFD0-42A3-8379-592EFD88BF9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5DDC3C4-2292-4C4E-BF8F-969950C98C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