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1588C" w14:textId="753D00E2" w:rsidR="00625E3A" w:rsidRDefault="006A394C" w:rsidP="006A394C">
      <w:pPr>
        <w:pStyle w:val="Pagedecouverture"/>
        <w:rPr>
          <w:noProof/>
        </w:rPr>
      </w:pPr>
      <w:bookmarkStart w:id="0" w:name="LW_BM_COVERPAGE"/>
      <w:r>
        <w:rPr>
          <w:noProof/>
        </w:rPr>
        <w:pict w14:anchorId="77287D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784600BC-AB80-4086-9177-0C19D2883D9E" style="width:455.25pt;height:300pt">
            <v:imagedata r:id="rId11" o:title=""/>
          </v:shape>
        </w:pict>
      </w:r>
    </w:p>
    <w:bookmarkEnd w:id="0"/>
    <w:p w14:paraId="110EECB2" w14:textId="77777777" w:rsidR="00625E3A" w:rsidRDefault="00625E3A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  <w:sectPr w:rsidR="00625E3A" w:rsidSect="006A394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14:paraId="049B297B" w14:textId="77777777" w:rsidR="00625E3A" w:rsidRDefault="004C7FB2">
      <w:pPr>
        <w:pStyle w:val="Heading2"/>
        <w:numPr>
          <w:ilvl w:val="0"/>
          <w:numId w:val="25"/>
        </w:numPr>
        <w:tabs>
          <w:tab w:val="num" w:pos="360"/>
        </w:tabs>
        <w:spacing w:beforeLines="60" w:before="144" w:afterLines="60" w:after="144" w:line="240" w:lineRule="auto"/>
        <w:ind w:left="283" w:hanging="283"/>
        <w:jc w:val="both"/>
        <w:rPr>
          <w:rFonts w:cs="Times New Roman"/>
          <w:noProof/>
          <w:sz w:val="24"/>
          <w:szCs w:val="24"/>
        </w:rPr>
      </w:pPr>
      <w:bookmarkStart w:id="1" w:name="_GoBack"/>
      <w:bookmarkEnd w:id="1"/>
      <w:r>
        <w:rPr>
          <w:noProof/>
          <w:sz w:val="24"/>
        </w:rPr>
        <w:lastRenderedPageBreak/>
        <w:t>Introduzzjoni</w:t>
      </w:r>
    </w:p>
    <w:p w14:paraId="4F930BBB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Id-diġitalizzazzjoni qed issawwar mill-ġdid ħajjitna, u s-settur tal-enerġija ma huwiex eċċezzjoni. Ir-rapport ta’ Mario Draghi dwar il-futur tal-Kompetittività Ewropea</w:t>
      </w:r>
      <w:r>
        <w:rPr>
          <w:rStyle w:val="FootnoteReference"/>
          <w:noProof/>
        </w:rPr>
        <w:footnoteReference w:id="2"/>
      </w:r>
      <w:r>
        <w:rPr>
          <w:rFonts w:ascii="Times New Roman" w:hAnsi="Times New Roman"/>
          <w:noProof/>
          <w:sz w:val="24"/>
        </w:rPr>
        <w:t xml:space="preserve"> enfasizza l-fatt li l-Unjoni Ewropea trid tisfrutta r-“rivoluzzjoni diġitali” u tinvesti b’mod deċiżiv fl-Intelliġenza Artifiċjali (IA) u fl-infrastruttura tad-data biex tissalvagwardja l-kompetittività tagħha u tmexxi t-tranżizzjoni lejn enerġija nadifa.</w:t>
      </w:r>
    </w:p>
    <w:p w14:paraId="5735D9AD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Il-prezzijiet għoljin tal-enerġija fl-UE, aggravati mill-kriżi tal-fjuwils fossili li dejjem sejra għall-agħar, u l-pressjoni li joħolqu kemm fuq il-kompetittività industrijali kif ukoll fuq l-unitajiet domestiċi, jagħmlu t-trasformazzjoni diġitali tas-sistema tal-enerġija aktar urġenti minn qatt qabel. Il-kunflitt fil-Lvant Nofsani wassal għal żidiet volatili fil-prezzijiet, li esponew il-fraġilità tad-dipendenza tal-UE fuq l-importazzjonijiet globali.</w:t>
      </w:r>
      <w:r>
        <w:rPr>
          <w:rFonts w:ascii="Times New Roman" w:hAnsi="Times New Roman"/>
          <w:noProof/>
        </w:rPr>
        <w:t xml:space="preserve"> </w:t>
      </w:r>
    </w:p>
    <w:p w14:paraId="47ECAC65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Is-sovranità teknoloġika vera tinsab f’sistema tal-enerġija diġitalizzata u interkonnessa li żżid l-elettrifikazzjoni u l-integrazzjoni tal-enerġija nadifa.</w:t>
      </w:r>
      <w:r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  <w:sz w:val="24"/>
        </w:rPr>
        <w:t>Is-soluzzjonijiet diġitali jistgħu jagħtu lill-konsumaturi kontroll akbar fuq meta jużaw l-elettriku, u b’hekk ikunu jistgħu jressqu l-konsum għal sigħat orħos u jbaxxu l-kontijiet tagħhom. Għall-industrija, id-diġitalizzazzjoni tista’ tnaqqas il-kostijiet tal-enerġija, ittejjeb l-effiċjenza, tottimizza l-proċessi tal-produzzjoni, u tagħmilha aktar faċli biex wieħed jirrispondi għas-sinjali tal-prezzijiet u jipparteċipa fis-swieq tal-flessibbiltà. Meta l-flessibbiltà minn ħafna apparati, bini u proċessi industrijali tiġi aggregata, din tista’ tnaqqas id-domanda massima, tillimita l-ħtieġa għal ġenerazzjoni għalja mħaddma bil-fjuwils fossili, u tbaxxi l-kostijiet fis-sistema kollha. Fl-istess ħin, l-għodod diġitali u l-IA jistgħu jgħinu lill-operaturi tal-grilji, lill-impjanti tal-enerġija, lill-faċilitajiet tal-ħżin u lis-siti industrijali jaħdmu b’mod aktar effiċjenti u prevedibbli. Ir-riżultat huwa industrija aktar kompetittiva, kontijiet aktar baxxi għall-unitajiet domestiċi, u sistema tal-enerġija aktar reżiljenti u affordabbli b’mod ġenerali.</w:t>
      </w:r>
      <w:r>
        <w:rPr>
          <w:rStyle w:val="FootnoteReference"/>
          <w:noProof/>
        </w:rPr>
        <w:footnoteReference w:id="3"/>
      </w:r>
      <w:r>
        <w:rPr>
          <w:rFonts w:ascii="Times New Roman" w:hAnsi="Times New Roman"/>
          <w:noProof/>
          <w:sz w:val="24"/>
        </w:rPr>
        <w:t xml:space="preserve"> </w:t>
      </w:r>
    </w:p>
    <w:p w14:paraId="5D9E83C5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Il-ħtieġa għal żieda fil-kapaċitajiet tal-computing se twassal għal żieda konsegwenti fil-ħtiġijiet tal-enerġija għad-diġitalizzazzjoni, u b’mod partikolari l-IA u ċ-ċentri tad-data qed iżidu d-domanda għall-enerġija,</w:t>
      </w:r>
      <w:r>
        <w:rPr>
          <w:rStyle w:val="FootnoteReference"/>
          <w:noProof/>
        </w:rPr>
        <w:footnoteReference w:id="4"/>
      </w:r>
      <w:r>
        <w:rPr>
          <w:rFonts w:ascii="Times New Roman" w:hAnsi="Times New Roman"/>
          <w:noProof/>
          <w:sz w:val="24"/>
        </w:rPr>
        <w:t xml:space="preserve"> b’konsegwenzi potenzjali għad-dekarbonizzazzjoni, il-prezzijiet u l-aċċess għall-grilji għall-konsumaturi kollha. Dan jimxi id f’id ma’ pressjoni dejjem akbar fuq ir-riżorsi tal-ilma kif rikonoxxut fl-Istrateġija tal-UE għar-Reżiljenza tal-Ilma.</w:t>
      </w:r>
      <w:r>
        <w:rPr>
          <w:rStyle w:val="FootnoteReference"/>
          <w:rFonts w:cs="Times New Roman"/>
          <w:noProof/>
          <w:szCs w:val="24"/>
        </w:rPr>
        <w:footnoteReference w:id="5"/>
      </w:r>
      <w:r>
        <w:rPr>
          <w:rFonts w:ascii="Times New Roman" w:hAnsi="Times New Roman"/>
          <w:noProof/>
          <w:sz w:val="24"/>
        </w:rPr>
        <w:t xml:space="preserve"> Xi Stati Membri u pajjiżi terzi diġà qed jiffaċċjaw dawn l-isfidi. Jekk ma jiġux indirizzati fil-livell tal-UE issa, dawn l-isfidi jistgħu jikbru b’mod konsiderevoli u jsiru aktar diffiċli biex jissolvew fis-snin li ġejjin, peress li huwa mistenni li l-konsum tal-enerġija tas-settur se jkompli jiżdied. Għalhekk huwa essenzjali li jiġi żgurat li d-diġitalizzazzjoni ma jkollhiex impatt negattiv fuq konsumaturi oħra u fuq l-aġenda tal-elettrifikazzjoni tal-Kummissjoni, iżda pjuttost tiġi ġestita b’mod li jippermetti l-integrazzjoni tas-sistema u li jillimita l-impatt fuq is-sistema tal-enerġija.  </w:t>
      </w:r>
    </w:p>
    <w:p w14:paraId="2531F7AE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Għalhekk, sistema tal-enerġija tal-UE diġitalizzata sostenibbli li tisfrutta l-potenzjal tat-teknoloġiji diġitali ma għadhiex fakultattiva, iżda saret essenzjali. Madankollu, din mhux se titfaċċa waħedha: teħtieġ grilji intelliġenti, miters intelliġenti, u skambju tad-data bla xkiel fis-sistema tal-enerġija kollha. Id-diġitalizzazzjoni lanqas ma hija se ssaħħaħ awtomatikament lill-Ewropa. Sabiex issaħħaħ il-kompetittività u l-awtonomija strateġika tal-UE, l-UE trid iżżomm kontroll sovran fuq is-soluzzjonijiet diġitali, il-mudelli tal-IA u l-algoritmi li fuqhom tiddependi dejjem aktar is-sistema tal-enerġija tagħha. L-atturi globali diġà qed jieħdu passi deċiżivi f’din id-direzzjoni.</w:t>
      </w:r>
      <w:r>
        <w:rPr>
          <w:rStyle w:val="FootnoteReference"/>
          <w:noProof/>
        </w:rPr>
        <w:footnoteReference w:id="6"/>
      </w:r>
      <w:r>
        <w:rPr>
          <w:rFonts w:ascii="Times New Roman" w:hAnsi="Times New Roman"/>
          <w:noProof/>
          <w:sz w:val="24"/>
        </w:rPr>
        <w:t xml:space="preserve"> Jekk l-UE trid tmexxi t-tranżizzjoni globali lejn l-enerġija nadifa, għandha tiżviluppa pjan direzzjonali ambizzjuż f’dan il-qasam.</w:t>
      </w:r>
    </w:p>
    <w:p w14:paraId="08F7A342" w14:textId="77777777" w:rsidR="00625E3A" w:rsidRDefault="004C7FB2">
      <w:pPr>
        <w:pStyle w:val="FootnoteText"/>
        <w:spacing w:after="0"/>
        <w:ind w:left="0" w:firstLine="0"/>
        <w:rPr>
          <w:noProof/>
          <w:sz w:val="18"/>
          <w:szCs w:val="18"/>
        </w:rPr>
      </w:pPr>
      <w:r>
        <w:rPr>
          <w:noProof/>
          <w:sz w:val="24"/>
        </w:rPr>
        <w:t>Dan il-Pjan Direzzjonali Strateġiku jistabbilixxi miżuri għal sistema tal-enerġija diġitalizzata tal-UE li fiha l-IA se tappoġġa t-twassil ta’ enerġija sigura, nadifa u kompetittiva għall-konsumaturi kollha. Dan jibni fuq il-prijoritajiet ta’ politika tal-Pjan ta’ Azzjoni għal Kontinent tal-IA,</w:t>
      </w:r>
      <w:r>
        <w:rPr>
          <w:rStyle w:val="FootnoteReference"/>
          <w:noProof/>
        </w:rPr>
        <w:footnoteReference w:id="7"/>
      </w:r>
      <w:r>
        <w:rPr>
          <w:noProof/>
          <w:sz w:val="24"/>
        </w:rPr>
        <w:t xml:space="preserve"> l-Istrateġija għall-Applikazzjoni tal-IA,</w:t>
      </w:r>
      <w:r>
        <w:rPr>
          <w:rStyle w:val="FootnoteReference"/>
          <w:noProof/>
        </w:rPr>
        <w:footnoteReference w:id="8"/>
      </w:r>
      <w:r>
        <w:rPr>
          <w:noProof/>
          <w:sz w:val="24"/>
        </w:rPr>
        <w:t xml:space="preserve"> il-ħidma tal-Uffiċċju tal-IA, u l-Pjan ta’ Azzjoni għad-Diġitalizzazzjoni tal-Enerġija tal-2022 biex jinkisbu l-benefiċċji ta’ soluzzjonijiet diġitali għas-settur tal-enerġija tal-Ewropa. Jikkomplementa l-Att dwar l-Iżvilupp tal-Cloud u tal-IA (CADA), li se joħloq il-kundizzjonijiet ix-xierqa għall-UE biex tinċentiva investimenti kbar fil-kapaċità tal-cloud u tal-edge.</w:t>
      </w:r>
    </w:p>
    <w:p w14:paraId="1F3ED4AC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Sal-2030, il-miżuri stabbiliti f’dan il-Pjan Direzzjonali Strateġiku se jgħinu biex jappoġġaw it-tkabbir sostenibbli tas-settur diġitali fl-UE, b’impatti pożittivi għall-konsumaturi kollha tal-enerġija. L-iskambju transfruntier u l-ġbir flimkien tad-data dwar l-enerġija se jgħinu wkoll biex l-UE titqiegħed fuq il-mappa internazzjonali tal-IA, billi jippermettu mudelli bażi tal-IA li jirrispettaw ir-regoli u l-valuri tad-data tal-UE.</w:t>
      </w:r>
    </w:p>
    <w:p w14:paraId="48719F14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Dan il-Pjan Direzzjonali Strateġiku huwa strutturat madwar tliet pilastri: il-Pilastru I jindirizza l-integrazzjoni sostenibbli taċ-ċentri tad-data fis-sistema tal-enerġija; il-Pilastru II jistabbilixxi miżuri biex jiġu  varati soluzzjonijiet diġitali u tal-IA fis-sistema tal-enerġija kollha; u l-Pilastru III jindirizza l-qafas ta’ governanza tad-data meħtieġ biex jiffaċilita servizzi tal-enerġija intelliġenti u IA fuq skala kbira. Dawn huma kkomplementati minn taqsima trażversali dwar il-fiduċja, iċ-ċibersigurtà, u l-ġlieda kontra t-theddidiet ibridi, il-ħiliet u l-kooperazzjoni internazzjonali, u taqsima konklużiva li tistabbilixxi kif l-implimentazzjoni se tiġi mmonitorjata u rieżaminata.</w:t>
      </w:r>
    </w:p>
    <w:p w14:paraId="49F09EE0" w14:textId="77777777" w:rsidR="00625E3A" w:rsidRDefault="004C7FB2">
      <w:pPr>
        <w:pStyle w:val="Heading2"/>
        <w:numPr>
          <w:ilvl w:val="0"/>
          <w:numId w:val="25"/>
        </w:numPr>
        <w:tabs>
          <w:tab w:val="num" w:pos="360"/>
        </w:tabs>
        <w:spacing w:beforeLines="60" w:before="144" w:afterLines="60" w:after="144" w:line="240" w:lineRule="auto"/>
        <w:ind w:left="283" w:hanging="283"/>
        <w:jc w:val="both"/>
        <w:rPr>
          <w:rFonts w:cs="Times New Roman"/>
          <w:noProof/>
          <w:sz w:val="24"/>
          <w:szCs w:val="24"/>
        </w:rPr>
      </w:pPr>
      <w:bookmarkStart w:id="2" w:name="_Toc214361464"/>
      <w:r>
        <w:rPr>
          <w:noProof/>
          <w:sz w:val="24"/>
        </w:rPr>
        <w:t xml:space="preserve">Pilastru I – Enerġija </w:t>
      </w:r>
      <w:bookmarkEnd w:id="2"/>
      <w:r>
        <w:rPr>
          <w:noProof/>
        </w:rPr>
        <w:t>għall-IA</w:t>
      </w:r>
    </w:p>
    <w:p w14:paraId="2F0BE4B2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3" w:name="_Toc214361465"/>
      <w:r>
        <w:rPr>
          <w:rFonts w:ascii="Times New Roman" w:hAnsi="Times New Roman"/>
          <w:noProof/>
          <w:sz w:val="24"/>
        </w:rPr>
        <w:t>Il-Pilastru I jidentifika azzjonijiet speċifiċi li jiżguraw li l-integrazzjoni sostenibbli taċ-ċentri tad-data fis-sistema tal-enerġija tappoġġa s-sigurtà tal-provvista, il-kompetittività u l-objettivi tal-enerġija nadifa.</w:t>
      </w:r>
    </w:p>
    <w:bookmarkEnd w:id="3"/>
    <w:p w14:paraId="76515B06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Iċ-ċentri tad-data huma kritiċi għall-kompetittività u s-sovranità diġitali tal-UE</w:t>
      </w:r>
      <w:r>
        <w:rPr>
          <w:rFonts w:ascii="Times New Roman" w:hAnsi="Times New Roman"/>
          <w:noProof/>
          <w:sz w:val="24"/>
        </w:rPr>
        <w:t xml:space="preserve">, billi jipprovdu l-kapaċità tal-computing li tirfed il-biċċa l-kbira tas-servizzi diġitali. Dawn jistgħu wkoll jagħtu spinta lill-ekonomiji lokali u jsaħħu l-ktajjen tal-valur diġitali integrati fl-UE kollha. L-UE għandha l-għan li titripla l-kapaċità taċ-ċentri tad-data tagħha fi żmien 5-7 snin, filwaqt li tiżgura li tissodisfa l-ħtiġijiet tagħha. </w:t>
      </w:r>
    </w:p>
    <w:p w14:paraId="2A1DF7A2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Dawn l-opportunitajiet iġibu magħhom sfidi. Iċ-ċentri tad-data bħalissa jammontaw għal madwar 2,5 % tal-konsum tal-elettriku tal-UE, u d-domanda tagħhom hija mistennija li tiżdied b’mod sostanzjali minħabba li l-kapaċità installata tagħhom hija mistennija li tikber minn madwar 12 GW fl-2025 għal madwar 28 GW sal-2030.</w:t>
      </w:r>
      <w:r>
        <w:rPr>
          <w:rStyle w:val="FootnoteReference"/>
          <w:noProof/>
        </w:rPr>
        <w:footnoteReference w:id="9"/>
      </w:r>
      <w:r>
        <w:rPr>
          <w:rFonts w:ascii="Times New Roman" w:hAnsi="Times New Roman"/>
          <w:noProof/>
          <w:sz w:val="24"/>
        </w:rPr>
        <w:t xml:space="preserve"> Id-domanda kurrenti hija kkonċentrata ġeografikament f’għadd limitat ta’ hotspots.</w:t>
      </w:r>
      <w:r>
        <w:rPr>
          <w:rStyle w:val="FootnoteReference"/>
          <w:noProof/>
        </w:rPr>
        <w:footnoteReference w:id="10"/>
      </w:r>
      <w:r>
        <w:rPr>
          <w:rFonts w:ascii="Times New Roman" w:hAnsi="Times New Roman"/>
          <w:noProof/>
          <w:sz w:val="24"/>
        </w:rPr>
        <w:t xml:space="preserve"> Madankollu, it-talbiet għal konnessjoni qed jiżdiedu b’mod drastiku, b’siti individwali li jeħtieġu kapaċitajiet bħal dawk ta’ siti industrijali ewlenin. Din id-domanda addizzjonali se tikkombina ż-żieda usa’ xprunata mill-elettrifikazzjoni tal-ekonomija. Dawn l-iżviluppi jistgħu, jekk ma jiġux ġestiti b’mod proattiv, jimminaw is-sigurtà u s-sostenibbiltà tal-provvista tal-enerġija, jaggravaw il-konġestjoni tal-grilja u jżidu l-prezzijiet tal-elettriku, speċjalment meta titqies il-kapaċità taċ-ċentri tad-data li jikkompetu ma’ konsumaturi tal-enerġija oħrajn għall-aċċess għall-enerġija. F’ċerti reġjuni, l-iskala u r-ritmu tat-tkabbir proġettat fid-domanda jistgħu jirrikjedu wkoll approċċi komplementari għall-provvista tal-enerġija u għall-integrazzjoni tas-sistema, flimkien ma’ tisħiħ f’waqtu tal-grilja, bħall-ġenerazzjoni fuq il-post, kolokalizzata jew “wara l-miter”, li qed tiġi varata dejjem aktar għal kampusijiet taċ-ċentri tad-data fuq skala kbira f’reġjuni oħra globalment.</w:t>
      </w:r>
    </w:p>
    <w:p w14:paraId="5AB1BE78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L-integrazzjoni taċ-ċentri tad-data fis-sistema tal-enerġija</w:t>
      </w:r>
      <w:r>
        <w:rPr>
          <w:rFonts w:ascii="Times New Roman" w:hAnsi="Times New Roman"/>
          <w:noProof/>
          <w:sz w:val="24"/>
        </w:rPr>
        <w:t xml:space="preserve"> tirrikjedi l-ġestjoni effiċjenti tal-konnessjonijiet mal-grilja, l-ippjanar u t-tħaddim koordinati tal-grilji, il-flessibbiltà min-naħa tad-domanda u provvista sostenibbli tal-enerġija, pereżempju permezz ta’ ġenerazzjoni kolokalizzata nadifa qrib iċ-ċentri tad-data li jikkontribwixxu għall-integrazzjoni tas-sistema u għas-sigurtà tal-provvista. L-operaturi tan-networks jeħtieġu informazzjoni f’waqtha dwar l-iżviluppi taċ-ċentri tad-data biex jippjanaw l-investimenti fil-grilja u jiġġestixxu l-konnessjonijiet b’mod effiċjenti. Is-settur diġitali għandu r-responsabbiltà li jiżgura l-integrazzjoni sostenibbli tiegħu fis-sistema tal-enerġija. Barra minn hekk, l-isfidi relatati mal-ilma jridu jiġu indirizzati biex jitqiesu bis-sħiħ l-implikazzjonijiet tar-rabta bejn l-ilma u l-enerġija. Il-pjan ta’ azzjoni diġitali li jmiss għas-settur tal-ilma huwa mistenni li jappoġġa u jikkomplementa l-iżvilupp tal-integrazzjoni sostenibbli taċ-ċentri tad-data.</w:t>
      </w:r>
    </w:p>
    <w:p w14:paraId="6FE4D968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Iċ-ċentri tad-data jittrasformaw l-elettriku f’intelliġenza għall-benefiċċju tal-ekonomija u tas-soċjetà kollha, u għandhom il-potenzjal li jesperjenzaw tkabbir bla preċedent fis-snin li ġejjin.  F’dan ir-rigward, filwaqt li d-domanda għall-enerġija taċ-ċentri tad-data hija bla preċedent, l-isfidi relatati mal-aċċess u l-flessibbiltà f’waqthom għall-grilja huma kondiviżi ma’ utenti oħra tal-grilja. Sabiex l-UE tibbenefika bis-sħiħ mill-potenzjal tal-cloud u tal-IA, </w:t>
      </w:r>
      <w:r>
        <w:rPr>
          <w:rFonts w:ascii="Times New Roman" w:hAnsi="Times New Roman"/>
          <w:b/>
          <w:noProof/>
          <w:sz w:val="24"/>
        </w:rPr>
        <w:t>iċ-ċentri tad-data jeħtieġu provvista tal-elettriku u aċċess għall-grilja f’waqthom</w:t>
      </w:r>
      <w:r>
        <w:rPr>
          <w:rFonts w:ascii="Times New Roman" w:hAnsi="Times New Roman"/>
          <w:noProof/>
          <w:sz w:val="24"/>
        </w:rPr>
        <w:t>. Inizjattivi reċenti tal-Kummissjoni</w:t>
      </w:r>
      <w:r>
        <w:rPr>
          <w:rStyle w:val="FootnoteReference"/>
          <w:rFonts w:cs="Times New Roman"/>
          <w:noProof/>
          <w:szCs w:val="24"/>
        </w:rPr>
        <w:footnoteReference w:id="11"/>
      </w:r>
      <w:r>
        <w:rPr>
          <w:rFonts w:ascii="Times New Roman" w:hAnsi="Times New Roman"/>
          <w:noProof/>
          <w:sz w:val="24"/>
        </w:rPr>
        <w:t xml:space="preserve"> jipprovdu sett ta’ għodod għall-Istati Membri, għall-awtoritajiet regolatorji u għall-operaturi tas-sistema biex jindirizzaw l-aktar ħtiġijiet urġenti relatati mal-aċċess għall-grilja, l-iżvilupp tan-network u l-użu effiċjenti tal-grilji, filwaqt li jibnu fuq il-qafas legali eżistenti.</w:t>
      </w:r>
      <w:r>
        <w:rPr>
          <w:rStyle w:val="FootnoteReference"/>
          <w:rFonts w:cs="Times New Roman"/>
          <w:noProof/>
          <w:szCs w:val="24"/>
        </w:rPr>
        <w:footnoteReference w:id="12"/>
      </w:r>
    </w:p>
    <w:p w14:paraId="3975667D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Id-dewmien fl-iżvilupp tan-network jitqies bħala raġuni ewlenija għall-</w:t>
      </w:r>
      <w:r>
        <w:rPr>
          <w:rFonts w:ascii="Times New Roman" w:hAnsi="Times New Roman"/>
          <w:b/>
          <w:noProof/>
          <w:sz w:val="24"/>
        </w:rPr>
        <w:t>kjuwijiet tal-konnessjoni</w:t>
      </w:r>
      <w:r>
        <w:rPr>
          <w:rFonts w:ascii="Times New Roman" w:hAnsi="Times New Roman"/>
          <w:noProof/>
          <w:sz w:val="24"/>
        </w:rPr>
        <w:t xml:space="preserve"> għall-utenti l-kbar tan-network bħaċ-ċentri tad-data. Il-Kummissjoni ressqet dispożizzjonijiet għall-aċċellerazzjoni tal-proċeduri tal-għoti tal-permessi skont il-pakkett dwar il-Grilji Ewropej u tistieden lill-awtoritajiet regolatorji u lill-operaturi tas-sistema biex jinvolvu lill-partijiet ikkonċernati fl-eżerċizzji tal-ippjanar tan-network tagħhom kmieni biex jiffaċilitaw l-investiment antiċipatorju.</w:t>
      </w:r>
    </w:p>
    <w:p w14:paraId="67E99F0D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Sabiex jindirizzaw l-ostaklu tal-</w:t>
      </w:r>
      <w:r>
        <w:rPr>
          <w:rFonts w:ascii="Times New Roman" w:hAnsi="Times New Roman"/>
          <w:b/>
          <w:noProof/>
          <w:sz w:val="24"/>
        </w:rPr>
        <w:t>użu ineffiċjenti tal-grilji</w:t>
      </w:r>
      <w:r>
        <w:rPr>
          <w:rFonts w:ascii="Times New Roman" w:hAnsi="Times New Roman"/>
          <w:noProof/>
          <w:sz w:val="24"/>
        </w:rPr>
        <w:t>, l-awtoritajiet regolatorji għandhom jiżguraw li jkun hemm fis-seħħ l-inċentivi t-tajba għall-operaturi tas-sistema u għall-utenti tas-sistema, li t-tariffi tan-network jitfasslu b’mod effiċjenti u jagħtu flessibbiltà, u li jiġu riflessi l-kostijiet tal-gruppi tal-utenti rispettivi. Il-proposta legali li jmiss għal kontijiet tal-elettriku li jibqgħu validi fil-futur fl-UE se tiċċara dawn il-prinċipji qabel is-sajf.</w:t>
      </w:r>
    </w:p>
    <w:p w14:paraId="0887A72B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Barra minn hekk, l-awtoritajiet regolatorji għandhom joħolqu qafas għal </w:t>
      </w:r>
      <w:r>
        <w:rPr>
          <w:rFonts w:ascii="Times New Roman" w:hAnsi="Times New Roman"/>
          <w:b/>
          <w:noProof/>
          <w:sz w:val="24"/>
        </w:rPr>
        <w:t>ftehimiet ta’ konnessjoni flessibbli</w:t>
      </w:r>
      <w:r>
        <w:rPr>
          <w:rFonts w:ascii="Times New Roman" w:hAnsi="Times New Roman"/>
          <w:noProof/>
          <w:sz w:val="24"/>
        </w:rPr>
        <w:t>. Meta l-ftehimiet ta’ konnessjoni flessibbli jkunu meħtieġa jew ta’ benefiċċju għas-sistema tal-enerġija, iċ-ċentri tad-data jistgħu jkunu kandidati tajbin. Huma jistgħu jipparteċipaw ukoll f’mekkaniżmi tas-suq li jirremuneraw il-flessibbiltà, bħas-servizzi tal-ibbilanċjar jew anċillari u s-swieq tal-ġestjoni tal-konġestjoni meta jissodisfaw il-kundizzjonijiet tekniċi.</w:t>
      </w:r>
    </w:p>
    <w:p w14:paraId="5724D03F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Fl-aħħar nett, </w:t>
      </w:r>
      <w:r>
        <w:rPr>
          <w:rFonts w:ascii="Times New Roman" w:hAnsi="Times New Roman"/>
          <w:b/>
          <w:noProof/>
          <w:sz w:val="24"/>
        </w:rPr>
        <w:t>il-proċeduri ta’ konnessjoni mal-grilja</w:t>
      </w:r>
      <w:r>
        <w:rPr>
          <w:rFonts w:ascii="Times New Roman" w:hAnsi="Times New Roman"/>
          <w:noProof/>
          <w:sz w:val="24"/>
        </w:rPr>
        <w:t xml:space="preserve"> jistgħu jkunu aktar effiċjenti billi jitbiegħdu mill-prinċipju ta’ min jiġi l-ewwel jinqeda l-ewwel lejn kunsiderazzjoni akbar tal-maturità u l-progress fl-iżvilupp tal-proġetti biex jiġi żgurat li l-proġetti spekulattivi ma jimblukkawx l-aċċess għall-grilja. Il-portal tal-kapaċità ta’ hosting tal-grilja fl-Unjoni kollha Capacitypedia</w:t>
      </w:r>
      <w:r>
        <w:rPr>
          <w:rStyle w:val="FootnoteReference"/>
          <w:rFonts w:cs="Times New Roman"/>
          <w:noProof/>
          <w:szCs w:val="24"/>
          <w:lang w:val="en-IE"/>
        </w:rPr>
        <w:footnoteReference w:id="13"/>
      </w:r>
      <w:r>
        <w:rPr>
          <w:rFonts w:ascii="Times New Roman" w:hAnsi="Times New Roman"/>
          <w:noProof/>
          <w:sz w:val="24"/>
        </w:rPr>
        <w:t xml:space="preserve"> għandu jgħin liċ-ċentri tad-data jressqu t-talba għall-konnessjoni tagħhom f’żoni bi żvilupp suffiċjenti jew ippjanat tal-grilji. Il-Kummissjoni hija impenjata li tkompli tiffaċilita l-implimentazzjoni tal-Gwida rilevanti biex tiżgura aċċess f’waqtu għall-grilja għall-utenti kollha.</w:t>
      </w:r>
    </w:p>
    <w:p w14:paraId="3A55E07F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Hija meħtieġa koordinazzjoni madwar l-UE biex titħaffef l-integrazzjoni sostenibbli taċ-ċentri tad-data fis-sistema tal-enerġija.</w:t>
      </w:r>
      <w:r>
        <w:rPr>
          <w:rFonts w:ascii="Times New Roman" w:hAnsi="Times New Roman"/>
          <w:b/>
          <w:noProof/>
          <w:sz w:val="24"/>
        </w:rPr>
        <w:t xml:space="preserve"> </w:t>
      </w:r>
      <w:r>
        <w:rPr>
          <w:rFonts w:ascii="Times New Roman" w:hAnsi="Times New Roman"/>
          <w:noProof/>
          <w:sz w:val="24"/>
        </w:rPr>
        <w:t>Inizjattiva mmexxija mill-Kummissjoni tiżviluppa mudell replikabbli għal ftehimiet bejn l-awtoritajiet pubbliċi, l-operaturi taċ-ċentri tad-data u l-atturi tal-enerġija biex jappoġġaw l-integrazzjoni tal-grilji, il-provvista tal-enerġija nadifa, il-flessibbiltà, ir-rendiment imtejjeb fl-użu tal-enerġija u s-salvagwardja tar-riżorsi tal-ilma u ambjentali. Il-mudell se jiffaċilita wkoll l-implimentazzjoni tal-miżuri orizzontali dwar l-aċċess sostenibbli għall-grilja msemmija hawn fuq, filwaqt li se jqis bis-sħiħ l-ispeċifiċitajiet taċ-ċentri tad-data. Sabiex tiggwida l-azzjoni, il-Kummissjoni se ttejjeb ukoll il-bażi tal-evidenza dwar l-użu tal-enerġija miċ-ċentri tad-data permezz ta’ għodda ta’ valutazzjoni u monitoraġġ fit-tul tal-UE, billi tibni fuq ir-rapportar tad-Direttiva dwar l-Effiċjenza Enerġetika, l-istatistika tal-UE</w:t>
      </w:r>
      <w:r>
        <w:rPr>
          <w:rStyle w:val="FootnoteReference"/>
          <w:noProof/>
        </w:rPr>
        <w:footnoteReference w:id="14"/>
      </w:r>
      <w:r>
        <w:rPr>
          <w:rFonts w:ascii="Times New Roman" w:hAnsi="Times New Roman"/>
          <w:noProof/>
          <w:sz w:val="24"/>
        </w:rPr>
        <w:t xml:space="preserve"> u l-kooperazzjoni mal-AIE. Dan se jikkomplementa u jiffaċilita l-implimentazzjoni tal-qafas regolatorju, inklużi l-Pakkett dwar il-Grilji Ewropej. </w:t>
      </w:r>
    </w:p>
    <w:tbl>
      <w:tblPr>
        <w:tblStyle w:val="TableGrid"/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25E3A" w14:paraId="6E0D7DF6" w14:textId="77777777">
        <w:trPr>
          <w:trHeight w:val="629"/>
        </w:trPr>
        <w:tc>
          <w:tcPr>
            <w:tcW w:w="9072" w:type="dxa"/>
            <w:shd w:val="clear" w:color="auto" w:fill="FFFFFF" w:themeFill="background1"/>
          </w:tcPr>
          <w:p w14:paraId="0B92394A" w14:textId="77777777" w:rsidR="00625E3A" w:rsidRDefault="004C7FB2">
            <w:pPr>
              <w:spacing w:before="60" w:after="60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Azzjoni ewlenija 1:</w:t>
            </w:r>
            <w:r>
              <w:rPr>
                <w:noProof/>
              </w:rPr>
              <w:t xml:space="preserve"> </w:t>
            </w:r>
            <w:r>
              <w:rPr>
                <w:b/>
                <w:noProof/>
              </w:rPr>
              <w:t>Mudell ta’ ftehim tripartitiku għall-integrazzjoni sostenibbli taċ-ċentri tad-data fis-sistema tal-enerġija</w:t>
            </w:r>
            <w:r>
              <w:rPr>
                <w:noProof/>
              </w:rPr>
              <w:t>, għall-introduzzjoni ta’ ftehimiet lokali bejn l-operaturi taċ-ċentri tad-data, il-partijiet relatati mal-enerġija u l-awtoritajiet pubbliċi.</w:t>
            </w:r>
            <w:r>
              <w:rPr>
                <w:b/>
                <w:noProof/>
              </w:rPr>
              <w:t xml:space="preserve"> </w:t>
            </w:r>
            <w:r>
              <w:rPr>
                <w:noProof/>
              </w:rPr>
              <w:t>Il-mudell jista’ jistabbilixxi azzjonijiet dwar: il-provvista mtejba ta’ informazzjoni għal ippjanar aħjar tal-grilja, l-għoti ta’ informazzjoni aħjar għat-teħid ta’ deċiżjonijiet għall-aħjar post fejn ikunu jinsabu l-proġetti taċ-ċentru tad-data, iż-żieda fit-trasparenza tat-talbiet għall-konnessjoni mal-grilja (inkluż il-prinċipju “tużah jew titilfu” biex tiġi evitata prenotazzjoni spekulattiva tal-kju), l-użu mtejjeb tal-PPAs</w:t>
            </w:r>
            <w:r>
              <w:rPr>
                <w:rStyle w:val="FootnoteReference"/>
                <w:noProof/>
                <w:szCs w:val="24"/>
              </w:rPr>
              <w:footnoteReference w:id="15"/>
            </w:r>
            <w:r>
              <w:rPr>
                <w:noProof/>
              </w:rPr>
              <w:t xml:space="preserve"> u t-twassil ta’ ġenerazzjoni addizzjonali ta’ enerġija nadifa, it-twassil ta’ soluzzjonijiet għall-flessibbiltà taċ-ċentri tad-data (permezz ta’ strumenti bbażati fuq is-suq u l-kapitalizzazzjoni fuq il-qafas legali fis-seħħ), l-appoġġ għall-irkupru u għall-użu tas-sħana mormija u t-titjib tar-rendiment fl-użu tal-enerġija, favur l-ksib ta’ ftehimiet ta’ konnessjoni flessibbli bħala mezz biex jiġu aċċessati l-grilji fejn meħtieġ. Il-mudell jista’ sussegwentement jiġi adattat u ppilotat fl-Istati Membri u fir-reġjuni. Il-kwistjonijiet relatati mal-ilma se jiġu indirizzati f’konformità mal-iżvilupp tal-iskema ta’ klassifikazzjoni tal-UE għaċ-ċentri tad-data.</w:t>
            </w:r>
          </w:p>
          <w:p w14:paraId="03AC747F" w14:textId="77777777" w:rsidR="00625E3A" w:rsidRDefault="004C7FB2">
            <w:pPr>
              <w:spacing w:before="60" w:after="60"/>
              <w:jc w:val="both"/>
              <w:rPr>
                <w:noProof/>
              </w:rPr>
            </w:pPr>
            <w:r>
              <w:rPr>
                <w:noProof/>
                <w:u w:val="single"/>
              </w:rPr>
              <w:t>Twaqqit:</w:t>
            </w:r>
            <w:r>
              <w:rPr>
                <w:noProof/>
              </w:rPr>
              <w:t xml:space="preserve"> Dikjarazzjoni ta’ intenzjoni li tiddikjara r-rieda tal-partijiet ikkonċernati tal-industrija li jikkooperaw fil-qafas ta’ ftehim tripartitiku, u li tidentifika l-oqsma ewlenin għall-azzjoni tagħhom, se tiġi adottata flimkien ma’ dan il-Pjan Direzzjonali Strateġiku; il-mudell tal-ftehim tripartitiku se jiġi ppubblikat u promoss fit-tieni nofs tal-2026. Barra minn hekk, u jekk ikun meħtieġ, il-Kummissjoni se tikkunsidra li tressaq proposta leġiżlattiva biex tiżgura l-integrazzjoni sostenibbli taċ-ċentri tad-data fis-sistema tal-enerġija tal-UE.</w:t>
            </w:r>
          </w:p>
          <w:p w14:paraId="09FDF0D9" w14:textId="77777777" w:rsidR="00625E3A" w:rsidRDefault="004C7FB2">
            <w:pPr>
              <w:spacing w:before="60" w:after="60"/>
              <w:jc w:val="both"/>
              <w:rPr>
                <w:noProof/>
              </w:rPr>
            </w:pPr>
            <w:r>
              <w:rPr>
                <w:noProof/>
                <w:u w:val="single"/>
              </w:rPr>
              <w:t>Impatti mistennija:</w:t>
            </w:r>
            <w:r>
              <w:rPr>
                <w:noProof/>
              </w:rPr>
              <w:t xml:space="preserve"> koordinazzjoni mtejba bejn l-awtoritajiet pubbliċi, l-operaturi taċ-ċentri tad-data, l-operaturi tas-sistemi tal-elettriku u partijiet ikkonċernati rilevanti oħrajn; integrazzjoni aktar mgħaġġla u sostenibbli tal-grilja taċ-ċentri tad-data; użu akbar ta’ sorsi ta’ enerġija nadifa u soluzzjonijiet ta’ flessibbiltà; rendiment aħjar fl-użu tal-enerġija; prezzijiet iktar baxxi tal-enerġija: u qafas aktar konsistenti iżda adattabbli fl-Istati Membri kollha. Sinerġiji massimizzati mat-tisħin distrettwali.</w:t>
            </w:r>
          </w:p>
        </w:tc>
      </w:tr>
    </w:tbl>
    <w:p w14:paraId="16A62B00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Sabiex it-tkabbir tal-infrastruttura diġitali jiġi allinjat mal-għanijiet ambjentali, tal-klima u tal-enerġija, iċ-ċentri tad-data jridu jkunu minn ta’ quddiem fl-effiċjenza enerġetika, fl-effiċjenza tar-riżorsi u fil-flessibbiltà tal-enerġija. Bħala rispons, il-Kummissjoni se tadotta </w:t>
      </w:r>
      <w:r>
        <w:rPr>
          <w:rFonts w:ascii="Times New Roman" w:hAnsi="Times New Roman"/>
          <w:b/>
          <w:noProof/>
          <w:sz w:val="24"/>
        </w:rPr>
        <w:t>Pakkett dwar l-Effiċjenza Enerġetika taċ-Ċentri tad-Data</w:t>
      </w:r>
      <w:r>
        <w:rPr>
          <w:rFonts w:ascii="Times New Roman" w:hAnsi="Times New Roman"/>
          <w:noProof/>
          <w:sz w:val="24"/>
        </w:rPr>
        <w:t>, inkluż rapport dwar it-titjib tal-effiċjenza enerġetika taċ-ċentri tad-data, Att Delegat li jistabbilixxi skema ta’ klassifikazzjoni tal-UE għas-sostenibbiltà taċ-ċentri tad-data,</w:t>
      </w:r>
      <w:r>
        <w:rPr>
          <w:rFonts w:ascii="Times New Roman" w:hAnsi="Times New Roman"/>
          <w:b/>
          <w:noProof/>
          <w:sz w:val="24"/>
        </w:rPr>
        <w:t xml:space="preserve"> </w:t>
      </w:r>
      <w:r>
        <w:rPr>
          <w:rFonts w:ascii="Times New Roman" w:hAnsi="Times New Roman"/>
          <w:noProof/>
          <w:sz w:val="24"/>
        </w:rPr>
        <w:t xml:space="preserve">u t-tnedija ta’ konsultazzjoni pubblika għal standards minimi ta’ prestazzjoni għaċ-ċentri tad-data ġodda u eżistenti fl-UE. L-Inizjattiva ta’ Tmexxija tal-Cloud u tal-IA skont l-Att dwar l-Iżvilupp tal-Cloud u tal-IA se jappoġġa u se jinċentiva l-varar tal-aqwa ċentri tad-data fil-klassi tagħhom madwar l-Unjoni. </w:t>
      </w:r>
    </w:p>
    <w:tbl>
      <w:tblPr>
        <w:tblStyle w:val="TableGrid"/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25E3A" w14:paraId="4BD5220C" w14:textId="77777777">
        <w:trPr>
          <w:trHeight w:val="699"/>
        </w:trPr>
        <w:tc>
          <w:tcPr>
            <w:tcW w:w="9072" w:type="dxa"/>
            <w:shd w:val="clear" w:color="auto" w:fill="FFFFFF" w:themeFill="background1"/>
          </w:tcPr>
          <w:p w14:paraId="7FCC5060" w14:textId="77777777" w:rsidR="00625E3A" w:rsidRDefault="004C7FB2">
            <w:pPr>
              <w:spacing w:before="60" w:after="60"/>
              <w:jc w:val="both"/>
              <w:rPr>
                <w:noProof/>
              </w:rPr>
            </w:pPr>
            <w:r>
              <w:rPr>
                <w:b/>
                <w:noProof/>
              </w:rPr>
              <w:t>Azzjoni ewlenija 2:</w:t>
            </w:r>
            <w:r>
              <w:rPr>
                <w:noProof/>
              </w:rPr>
              <w:t xml:space="preserve"> </w:t>
            </w:r>
            <w:r>
              <w:rPr>
                <w:b/>
                <w:noProof/>
              </w:rPr>
              <w:t>Skema ta’ klassifikazzjoni tal-UE għaċ-ċentri tad-data</w:t>
            </w:r>
            <w:r>
              <w:rPr>
                <w:noProof/>
              </w:rPr>
              <w:t xml:space="preserve"> li tkopri l-effiċjenza enerġetika, l-effiċjenza fl-użu tal-ilma, l-użu tal-enerġija nadifa, l-użu mill-ġdid u l-flessibbiltà tas-sħana mormija</w:t>
            </w:r>
            <w:r>
              <w:rPr>
                <w:rStyle w:val="FootnoteReference"/>
                <w:noProof/>
                <w:szCs w:val="24"/>
              </w:rPr>
              <w:footnoteReference w:id="16"/>
            </w:r>
            <w:r>
              <w:rPr>
                <w:noProof/>
              </w:rPr>
              <w:t xml:space="preserve"> </w:t>
            </w:r>
            <w:r>
              <w:rPr>
                <w:b/>
                <w:noProof/>
              </w:rPr>
              <w:t>u t-tnedija tal-proċess għal standards minimi tar-rendiment fl-użu tal-enerġija tal-UE</w:t>
            </w:r>
            <w:r>
              <w:rPr>
                <w:noProof/>
              </w:rPr>
              <w:t xml:space="preserve">. </w:t>
            </w:r>
          </w:p>
          <w:p w14:paraId="5C34679D" w14:textId="77777777" w:rsidR="00625E3A" w:rsidRDefault="004C7FB2">
            <w:pPr>
              <w:spacing w:before="60" w:after="60"/>
              <w:jc w:val="both"/>
              <w:rPr>
                <w:noProof/>
              </w:rPr>
            </w:pPr>
            <w:r>
              <w:rPr>
                <w:noProof/>
                <w:u w:val="single"/>
              </w:rPr>
              <w:t>Twaqqit:</w:t>
            </w:r>
            <w:r>
              <w:rPr>
                <w:noProof/>
              </w:rPr>
              <w:t xml:space="preserve"> skema ta’ klassifikazzjoni adottata fl-2026; l-ewwel tikketti fl-2027; valutazzjoni tal-ħtiġijiet tal-istandards minimi tar-rendiment fl-użu tal-enerġija tal-UE sal-2027.</w:t>
            </w:r>
          </w:p>
          <w:p w14:paraId="6177CBDF" w14:textId="77777777" w:rsidR="00625E3A" w:rsidRDefault="004C7FB2">
            <w:pPr>
              <w:spacing w:before="60" w:after="60"/>
              <w:jc w:val="both"/>
              <w:rPr>
                <w:noProof/>
              </w:rPr>
            </w:pPr>
            <w:r>
              <w:rPr>
                <w:noProof/>
                <w:u w:val="single"/>
              </w:rPr>
              <w:t>Impatti mistennija:</w:t>
            </w:r>
            <w:r>
              <w:rPr>
                <w:noProof/>
              </w:rPr>
              <w:t xml:space="preserve"> aktar trasparenza u promozzjoni tal-iżvilupp sostenibbli taċ-ċentri tad-data; konsum ipproġettat ottimizzat tal-enerġija u tal-ilma.</w:t>
            </w:r>
          </w:p>
        </w:tc>
      </w:tr>
    </w:tbl>
    <w:p w14:paraId="4A87FFC0" w14:textId="77777777" w:rsidR="00625E3A" w:rsidRDefault="004C7FB2">
      <w:pPr>
        <w:pStyle w:val="Heading2"/>
        <w:numPr>
          <w:ilvl w:val="0"/>
          <w:numId w:val="25"/>
        </w:numPr>
        <w:tabs>
          <w:tab w:val="num" w:pos="360"/>
        </w:tabs>
        <w:spacing w:beforeLines="60" w:before="144" w:afterLines="60" w:after="144" w:line="240" w:lineRule="auto"/>
        <w:ind w:left="283" w:hanging="283"/>
        <w:jc w:val="both"/>
        <w:rPr>
          <w:rFonts w:cs="Times New Roman"/>
          <w:noProof/>
          <w:sz w:val="24"/>
          <w:szCs w:val="24"/>
        </w:rPr>
      </w:pPr>
      <w:bookmarkStart w:id="4" w:name="_Toc214361468"/>
      <w:r>
        <w:rPr>
          <w:noProof/>
          <w:sz w:val="24"/>
        </w:rPr>
        <w:t>Pilastru II – Diġitalizzazzjoni u IA għas-sistema tal-enerġija</w:t>
      </w:r>
      <w:bookmarkEnd w:id="4"/>
    </w:p>
    <w:p w14:paraId="5E6B36F9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Il-Pilastru II jidentifika azzjonijiet speċifiċi sabiex is-sistema tal-enerġija ssir aktar intelliġenti u aktar xprunata mid-data bl-użu ta’ soluzzjonijiet diġitali u tal-IA. </w:t>
      </w:r>
    </w:p>
    <w:p w14:paraId="5228E092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Iktar ma s-settur tal-enerġija javvanza lejn l-elettrifikazzjoni u d-dekarbonizzazzjoni, il-grilji tal-elettriku qed isiru s-sinsla ta’ sistema tal-enerġija integrata u reżiljenti. Kif enfasizzat fil-Pakkett dwar il-Grilji Ewropej, </w:t>
      </w:r>
      <w:r>
        <w:rPr>
          <w:rFonts w:ascii="Times New Roman" w:hAnsi="Times New Roman"/>
          <w:b/>
          <w:noProof/>
          <w:sz w:val="24"/>
        </w:rPr>
        <w:t>il-grilji jridu jsiru aktar intelliġenti u aktar b’saħħithom</w:t>
      </w:r>
      <w:r>
        <w:rPr>
          <w:rFonts w:ascii="Times New Roman" w:hAnsi="Times New Roman"/>
          <w:noProof/>
          <w:sz w:val="24"/>
        </w:rPr>
        <w:t xml:space="preserve">, iżda wkoll aktar reżiljenti għall-klima u għall-avvenimenti estremi, filwaqt li jisfruttaw id-data ġeospazjali u l-IA biex itaffu r-riskji ta’ diżastri naturali. Il-grilji intelliġenti jipprovdu l-viżibbiltà, l-interoperabbiltà u l-kontroll f’ħin reali meħtieġa biex jiżdied l-użu ta’ sorsi rinnovabbli u jiġi ottimizzat it-tħaddim tas-sistema tal-enerġija, filwaqt li jibbenefikaw mill-IA. Is-sistemi ta’ kejl intelliġenti huma faċilitatur ewlieni tar-rispons għad-domanda u tal-kuntratti dinamiċi tal-prezzijiet tal-elettriku, li jistgħu jikkontribwixxu għat-titjib tal-użu tal-infrastruttura eżistenti tan-network tal-elettriku, inkluż billi jnaqqsu r-restrizzjonijiet tal-enerġija rinnovabbli u jiffaċilitaw l-elettrifikazzjoni. </w:t>
      </w:r>
    </w:p>
    <w:p w14:paraId="053C3362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Il-grilji intelliġenti jistgħu jnaqqsu l-kostijiet billi jagħmlu użu aħjar mill-assi eżistenti u mill-enerġija rinnovabbli</w:t>
      </w:r>
      <w:r>
        <w:rPr>
          <w:rFonts w:ascii="Times New Roman" w:hAnsi="Times New Roman"/>
          <w:noProof/>
          <w:sz w:val="24"/>
        </w:rPr>
        <w:t>. Huma jtejbu l-affordabbiltà u r-reżiljenza permezz ta’ ġestjoni aħjar tal-grilja u jappoġġaw l-integrazzjoni tas-sistema billi jisfruttaw il-flessibbiltà bejn id-domanda, il-ġenerazzjoni, il-ħżin, it-tisħin u l-mobbiltà. Pereżempju, in-network ta’ kondiviżjoni tal-karozzi mill-vettura għall-grilja ta’ Utrecht juri kif il-vetturi elettriċi jistgħu jaħżnu l-enerġija solari żejda u jfornuha lura lill-grilja fil-ħinijiet l-aktar intensivi, jappoġġaw l-istabbiltà tal-grilja u jnaqqsu r-restrizzjonijiet.</w:t>
      </w:r>
      <w:r>
        <w:rPr>
          <w:rStyle w:val="FootnoteReference"/>
          <w:noProof/>
        </w:rPr>
        <w:footnoteReference w:id="17"/>
      </w:r>
      <w:r>
        <w:rPr>
          <w:rFonts w:ascii="Times New Roman" w:hAnsi="Times New Roman"/>
          <w:noProof/>
          <w:sz w:val="24"/>
        </w:rPr>
        <w:t xml:space="preserve"> L-iċċarġjar intelliġenti u bidirezzjonali jista’ jiġġenera wkoll iffrankar sinifikanti għall-konsumaturi (bejn EUR 450 u EUR 2 900 fis-sena).</w:t>
      </w:r>
      <w:r>
        <w:rPr>
          <w:rStyle w:val="FootnoteReference"/>
          <w:noProof/>
        </w:rPr>
        <w:footnoteReference w:id="18"/>
      </w:r>
      <w:r>
        <w:rPr>
          <w:rFonts w:ascii="Times New Roman" w:hAnsi="Times New Roman"/>
          <w:noProof/>
          <w:sz w:val="24"/>
        </w:rPr>
        <w:t xml:space="preserve"> Eżempju ieħor huwa l-portijiet, fejn il-grilji intelliġenti jistgħu jgħinu fil-ġestjoni tad-domanda għolja għall-elettriku għall-provvista tal-enerġija mix-xatt lill-bastimenti, u jistgħu jiffaċilitaw servizzi ta’ flessibbiltà addizzjonali.</w:t>
      </w:r>
      <w:r>
        <w:rPr>
          <w:rStyle w:val="FootnoteReference"/>
          <w:rFonts w:cs="Times New Roman"/>
          <w:noProof/>
          <w:szCs w:val="24"/>
        </w:rPr>
        <w:footnoteReference w:id="19"/>
      </w:r>
    </w:p>
    <w:p w14:paraId="718BF11E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L-investiment fi grilji Ewropej aktar b’saħħithom u aktar intelliġenti huwa essenzjali.</w:t>
      </w:r>
      <w:r>
        <w:rPr>
          <w:rStyle w:val="FootnoteReference"/>
          <w:noProof/>
        </w:rPr>
        <w:footnoteReference w:id="20"/>
      </w:r>
      <w:r>
        <w:rPr>
          <w:rFonts w:ascii="Times New Roman" w:hAnsi="Times New Roman"/>
          <w:noProof/>
          <w:sz w:val="24"/>
        </w:rPr>
        <w:t xml:space="preserve"> Madankollu, il-progress għadu mxekkel minn prattiki regolatorji u tal-ippjanar li jiffavorixxu l-espansjoni tradizzjonali tal-grilji fuq soluzzjonijiet intelliġenti, approċċi frammentati għad-diġitalizzazzjoni fl-UE kollha, u inċertezza dwar il-prestazzjoni ta’ teknoloġiji ġodda. </w:t>
      </w:r>
    </w:p>
    <w:p w14:paraId="20AE06C8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Il-qafas tal-UE diġà indirizza diversi minn dawn l-ostakli, u appoġġa investiment akbar fil-grilji intelliġenti permezz tad-disinn tas-suq tal-elettriku,</w:t>
      </w:r>
      <w:r>
        <w:rPr>
          <w:rStyle w:val="FootnoteReference"/>
          <w:noProof/>
        </w:rPr>
        <w:footnoteReference w:id="21"/>
      </w:r>
      <w:r>
        <w:rPr>
          <w:rFonts w:ascii="Times New Roman" w:hAnsi="Times New Roman"/>
          <w:noProof/>
          <w:sz w:val="24"/>
        </w:rPr>
        <w:t xml:space="preserve"> il-Pakkett dwar il-Grilji Ewropej u l-finanzjament tar-riċerka tal-UE. B’mod partikolari, il-Pakkett dwar il-Grilji Ewropej</w:t>
      </w:r>
      <w:r>
        <w:rPr>
          <w:rStyle w:val="FootnoteReference"/>
          <w:noProof/>
        </w:rPr>
        <w:footnoteReference w:id="22"/>
      </w:r>
      <w:r>
        <w:rPr>
          <w:rFonts w:ascii="Times New Roman" w:hAnsi="Times New Roman"/>
          <w:b/>
          <w:noProof/>
          <w:sz w:val="24"/>
        </w:rPr>
        <w:t xml:space="preserve"> </w:t>
      </w:r>
      <w:r>
        <w:rPr>
          <w:rFonts w:ascii="Times New Roman" w:hAnsi="Times New Roman"/>
          <w:noProof/>
          <w:sz w:val="24"/>
        </w:rPr>
        <w:t xml:space="preserve">ressaq proposti </w:t>
      </w:r>
      <w:r>
        <w:rPr>
          <w:rFonts w:ascii="Times New Roman" w:hAnsi="Times New Roman"/>
          <w:b/>
          <w:noProof/>
          <w:sz w:val="24"/>
        </w:rPr>
        <w:t>biex jiġu promossi soluzzjonijiet diġitali u mingħajr fili</w:t>
      </w:r>
      <w:r>
        <w:rPr>
          <w:rFonts w:ascii="Times New Roman" w:hAnsi="Times New Roman"/>
          <w:noProof/>
          <w:sz w:val="24"/>
        </w:rPr>
        <w:t xml:space="preserve"> </w:t>
      </w:r>
      <w:r>
        <w:rPr>
          <w:rFonts w:ascii="Times New Roman" w:hAnsi="Times New Roman"/>
          <w:b/>
          <w:noProof/>
          <w:sz w:val="24"/>
        </w:rPr>
        <w:t>fl-ippjanar tan-network</w:t>
      </w:r>
      <w:r>
        <w:rPr>
          <w:rFonts w:ascii="Times New Roman" w:hAnsi="Times New Roman"/>
          <w:noProof/>
          <w:sz w:val="24"/>
        </w:rPr>
        <w:t>, filwaqt li Orizzont Ewropa qed jappoġġa l-innovazzjoni fis-sistemi tal-enerġija, fil-grilji u fil-ħżin.</w:t>
      </w:r>
      <w:r>
        <w:rPr>
          <w:rStyle w:val="FootnoteReference"/>
          <w:noProof/>
        </w:rPr>
        <w:footnoteReference w:id="23"/>
      </w:r>
      <w:r>
        <w:rPr>
          <w:rFonts w:ascii="Times New Roman" w:hAnsi="Times New Roman"/>
          <w:noProof/>
          <w:sz w:val="24"/>
        </w:rPr>
        <w:t xml:space="preserve"> </w:t>
      </w:r>
    </w:p>
    <w:p w14:paraId="4F46FC4C" w14:textId="77777777" w:rsidR="00625E3A" w:rsidRDefault="004C7FB2">
      <w:pPr>
        <w:spacing w:beforeLines="60" w:before="144" w:after="100" w:afterAutospacing="1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Biex tkompli tappoġġa l-varar ta’ grilji aktar intelliġenti, il-Kummissjoni se tipproponi leġiżlazzjoni biex il-kontijiet tal-elettriku tal-UE jibqgħu validi fil-futur, inklużi dispożizzjonijiet li jippermettu użu aktar effiċjenti tal-assi attwali tal-grilja billi jintużaw soluzzjonijiet intelliġenti u diġitali. Il-proposta tagħti mandat lill-Aġenzija għall-Kooperazzjoni tar-Regolaturi tal-Enerġija (ACER) biex tipprovdi rakkomandazzjoni lill-awtoritajiet regolatorji dwar l-użu ta’ indikaturi tal-grilji intelliġenti biex jitkejlu l-adozzjoni u l-prestazzjoni ta’ teknoloġiji innovattivi u soluzzjonijiet diġitali fin-networks tat-trażmissjoni u tad-distribuzzjoni. Ir-rakkomandazzjoni se tibni fuq il-ħidma li għaddejja f’dan il-qasam. L-awtoritajiet regolatorji mbagħad se jistabbilixxu indikaturi tal-prestazzjoni għat-tħaddim u għall-iżvilupp effiċjenti tal-grilja. L-ACER se timmonitorja l-progress, se tidentifika l-aħjar prattiki u se tipproponi aktar miżuri kif meħtieġ. Dawn l-indikaturi għandhom jappoġġaw ukoll il-varar ta’ teknoloġiji li jtejbu l-grilja, li jistgħu jespandu l-kapaċità tan-network sa 40 % u jnaqqsu l-kostijiet tal-espansjoni tal-grilja konvenzjonali sa 35 %.</w:t>
      </w:r>
      <w:r>
        <w:rPr>
          <w:rStyle w:val="FootnoteReference"/>
          <w:noProof/>
        </w:rPr>
        <w:footnoteReference w:id="24"/>
      </w:r>
    </w:p>
    <w:p w14:paraId="7149E10C" w14:textId="77777777" w:rsidR="00625E3A" w:rsidRDefault="004C7F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Sabiex tħaffef il-varar, il-Kummissjoni se tkompli tappoġġa lill-operaturi tas-sistemi ta’ trażmissjoni u distribuzzjoni fl-iżvilupp u fl-implimentazzjoni ta’ soluzzjonijiet doppji diġitali,</w:t>
      </w:r>
      <w:r>
        <w:rPr>
          <w:rStyle w:val="FootnoteReference"/>
          <w:rFonts w:cs="Times New Roman"/>
          <w:noProof/>
          <w:szCs w:val="24"/>
        </w:rPr>
        <w:footnoteReference w:id="25"/>
      </w:r>
      <w:r>
        <w:rPr>
          <w:rFonts w:ascii="Times New Roman" w:hAnsi="Times New Roman"/>
          <w:noProof/>
          <w:sz w:val="24"/>
        </w:rPr>
        <w:t xml:space="preserve"> inkluż permezz ta’ sett ta’ għodod iddedikat biex jittejbu l-interoperabbiltà, l-iskala u l-adozzjoni prattika. B’mod parallel, l-UE se tkompli tappoġġa l-innovazzjoni fis-sistemi tal-enerġija intelliġenti permezz ta’ Orizzont Ewropa, inkluż il-finanzjament għal soluzzjonijiet avvanzati tal-grilji tal-elettriku.</w:t>
      </w:r>
      <w:r>
        <w:rPr>
          <w:rStyle w:val="FootnoteReference"/>
          <w:noProof/>
        </w:rPr>
        <w:footnoteReference w:id="26"/>
      </w:r>
    </w:p>
    <w:p w14:paraId="3A4B89B6" w14:textId="77777777" w:rsidR="00625E3A" w:rsidRDefault="004C7FB2">
      <w:pPr>
        <w:spacing w:before="100" w:beforeAutospacing="1" w:line="240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  <w:noProof/>
          <w:sz w:val="24"/>
        </w:rPr>
        <w:t xml:space="preserve">L-użu effiċjenti tan-network tal-elettriku jiddependi fuq id-disponibbiltà ta’ data akkurata u granulari dwar il-konsum u fuq il-kapaċità tal-klijenti finali li jaċċessaw tali data u jieħdu azzjoni fir-rigward tagħha. Is-sistemi ta’ kejl intelliġenti huma faċilitatur ewlieni tar-rispons għad-domanda u tal-kuntratti dinamiċi tal-prezzijiet tal-elettriku, li jistgħu jikkontribwixxu għat-titjib tal-użu tal-infrastruttura eżistenti tan-network tal-elettriku, inkluż billi jnaqqsu r-restrizzjonijiet tal-enerġija rinnovabbli u jiffaċilitaw l-elettrifikazzjoni. Meta titqies il-ħtieġa imperattiva li l-Istati Membri kollha jikkontribwixxu biex is-sistema tal-elettriku ssir intelliġenti, </w:t>
      </w:r>
      <w:r>
        <w:rPr>
          <w:rFonts w:ascii="Times New Roman" w:hAnsi="Times New Roman"/>
          <w:b/>
          <w:noProof/>
          <w:sz w:val="24"/>
        </w:rPr>
        <w:t>il-Kummissjoni se tippreżenta proposta leġiżlattiva biex taċċellera l-introduzzjoni ta’ miters intelliġenti fl-UE</w:t>
      </w:r>
      <w:r>
        <w:rPr>
          <w:rFonts w:ascii="Times New Roman" w:hAnsi="Times New Roman"/>
          <w:noProof/>
          <w:sz w:val="24"/>
        </w:rPr>
        <w:t>, u b’hekk issaħħaħ il-parteċipazzjoni tal-konsumatur, tiffaċilita flessibbiltà min-naħa tad-domanda u tappoġġa użu aktar effiċjenti tas-sistema tal-elettriku.</w:t>
      </w:r>
    </w:p>
    <w:tbl>
      <w:tblPr>
        <w:tblStyle w:val="TableGrid"/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25E3A" w14:paraId="26E68C34" w14:textId="77777777">
        <w:trPr>
          <w:trHeight w:val="204"/>
        </w:trPr>
        <w:tc>
          <w:tcPr>
            <w:tcW w:w="9072" w:type="dxa"/>
          </w:tcPr>
          <w:p w14:paraId="7EEEEACC" w14:textId="77777777" w:rsidR="00625E3A" w:rsidRDefault="004C7FB2">
            <w:pPr>
              <w:spacing w:before="60" w:after="60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Azzjoni ewlenija 3:</w:t>
            </w:r>
            <w:r>
              <w:rPr>
                <w:noProof/>
              </w:rPr>
              <w:t xml:space="preserve"> </w:t>
            </w:r>
            <w:r>
              <w:rPr>
                <w:b/>
                <w:noProof/>
              </w:rPr>
              <w:t>Żvilupp ta’ indikaturi ewlenin tal-prestazzjoni tal-UE għall-grilji intelliġenti u l-aċċellerazzjoni tal-introduzzjoni tal-miters intelliġenti</w:t>
            </w:r>
          </w:p>
          <w:p w14:paraId="2EB29297" w14:textId="77777777" w:rsidR="00625E3A" w:rsidRDefault="004C7FB2">
            <w:pPr>
              <w:spacing w:before="60" w:after="60"/>
              <w:jc w:val="both"/>
              <w:rPr>
                <w:noProof/>
              </w:rPr>
            </w:pPr>
            <w:r>
              <w:rPr>
                <w:noProof/>
                <w:u w:val="single"/>
              </w:rPr>
              <w:t>Twaqqit:</w:t>
            </w:r>
            <w:r>
              <w:rPr>
                <w:noProof/>
              </w:rPr>
              <w:t xml:space="preserve"> Katalogu tal-indikaturi tal-UE li jrid jiġi ffinalizzat sa nofs l-2026. Proposta leġiżlattiva fl-2026 biex tiġi aċċellerata l-introduzzjoni ta’ miters intelliġenti fl-UE, bl-għan li jkun hemm kopertura minima f’kull Stat Membru, u biex l-ACER tingħata l-kompitu li tipprovdi rakkomandazzjoni dwar l-indikaturi tal-grilja intelliġenti fl-2028 b’monitoraġġ regolari tal-progress wara.</w:t>
            </w:r>
          </w:p>
          <w:p w14:paraId="13AE75B6" w14:textId="77777777" w:rsidR="00625E3A" w:rsidRDefault="004C7FB2">
            <w:pPr>
              <w:spacing w:before="60" w:after="60"/>
              <w:jc w:val="both"/>
              <w:rPr>
                <w:noProof/>
              </w:rPr>
            </w:pPr>
            <w:r>
              <w:rPr>
                <w:noProof/>
                <w:u w:val="single"/>
              </w:rPr>
              <w:t>Impatti mistennija</w:t>
            </w:r>
            <w:r>
              <w:rPr>
                <w:noProof/>
              </w:rPr>
              <w:t xml:space="preserve">: deċiżjonijiet ta’ investiment imtejba fil-grilji intelliġenti u diġitalizzati, użu aktar effiċjenti tal-grilji eżistenti, sorveljanza regolatorja msaħħa mill-Awtoritajiet Regolatorji Nazzjonali, varar aktar kosteffiċjenti ta’ soluzzjonijiet intelliġenti u diġitali, u integrazzjoni aċċellerata ta’ sorsi rinnovabbli, elettrifikazzjoni, reżiljenza u effiċjenza enerġetika fl-Ewropa kollha. </w:t>
            </w:r>
          </w:p>
        </w:tc>
      </w:tr>
    </w:tbl>
    <w:p w14:paraId="759D6C7F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L-IA qed tinfirex malajr fis-sistema tal-enerġija, filwaqt li l-assi, il-proċessi u s-swieq qed isiru aktar diġitali. Madankollu, id-diġitalizzazzjoni ta’ atturi individwali ma hijiex biżżejjed: il-potenzjal sħiħ ta’ sistema tal-enerġija li taħdem bl-IA se jinkiseb biss bl-użu ta’ soluzzjonijiet tal-IA tul il-</w:t>
      </w:r>
      <w:r>
        <w:rPr>
          <w:rFonts w:ascii="Times New Roman" w:hAnsi="Times New Roman"/>
          <w:b/>
          <w:noProof/>
          <w:sz w:val="24"/>
        </w:rPr>
        <w:t>katina tal-valur tal-enerġija kollha</w:t>
      </w:r>
      <w:r>
        <w:rPr>
          <w:rFonts w:ascii="Times New Roman" w:hAnsi="Times New Roman"/>
          <w:noProof/>
          <w:sz w:val="24"/>
        </w:rPr>
        <w:t>, mill-ġenerazzjoni tal-provvista u rinnovabbli sal-industrija, il-binjiet u l-mobbiltà.</w:t>
      </w:r>
    </w:p>
    <w:p w14:paraId="33583A86" w14:textId="77777777" w:rsidR="00625E3A" w:rsidRDefault="004C7FB2">
      <w:pPr>
        <w:spacing w:before="60" w:after="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Peress li għaddejja tellieqa globali tal-IA,</w:t>
      </w:r>
      <w:r>
        <w:rPr>
          <w:rStyle w:val="FootnoteReference"/>
          <w:noProof/>
        </w:rPr>
        <w:footnoteReference w:id="27"/>
      </w:r>
      <w:r>
        <w:rPr>
          <w:rFonts w:ascii="Times New Roman" w:hAnsi="Times New Roman"/>
          <w:noProof/>
          <w:sz w:val="24"/>
        </w:rPr>
        <w:t xml:space="preserve"> l-UE trid tisfrutta s-saħħa tagħha fl-awtomatizzazzjoni industrijali</w:t>
      </w:r>
      <w:r>
        <w:rPr>
          <w:rStyle w:val="FootnoteReference"/>
          <w:noProof/>
        </w:rPr>
        <w:footnoteReference w:id="28"/>
      </w:r>
      <w:r>
        <w:rPr>
          <w:rFonts w:ascii="Times New Roman" w:hAnsi="Times New Roman"/>
          <w:noProof/>
          <w:sz w:val="24"/>
        </w:rPr>
        <w:t xml:space="preserve"> biex tibni </w:t>
      </w:r>
      <w:r>
        <w:rPr>
          <w:rFonts w:ascii="Times New Roman" w:hAnsi="Times New Roman"/>
          <w:b/>
          <w:noProof/>
          <w:sz w:val="24"/>
        </w:rPr>
        <w:t>mudelli tal-IA sovrani u siguri għas-settur tal-enerġija</w:t>
      </w:r>
      <w:r>
        <w:rPr>
          <w:rFonts w:ascii="Times New Roman" w:hAnsi="Times New Roman"/>
          <w:noProof/>
          <w:sz w:val="24"/>
        </w:rPr>
        <w:t>, imħarrġa fuq id-data Ewropea u żviluppati minn ditti tal-UE,</w:t>
      </w:r>
      <w:r>
        <w:rPr>
          <w:rFonts w:ascii="Times New Roman" w:hAnsi="Times New Roman"/>
          <w:noProof/>
          <w:color w:val="242424"/>
          <w:sz w:val="24"/>
        </w:rPr>
        <w:t xml:space="preserve"> u tmexxi l-mewġa li jmiss ta’ teknoloġiji tal-enerġija intelliġenti. F’settur ta’ tali importanza strateġika bħall-enerġija, hija kwistjoni tas-sovranità teknoloġika tal-UE li jiġu żviluppati u ġestiti mudelli ġodda tal-IA fl-UE. </w:t>
      </w:r>
      <w:r>
        <w:rPr>
          <w:rFonts w:ascii="Times New Roman" w:hAnsi="Times New Roman"/>
          <w:noProof/>
          <w:sz w:val="24"/>
        </w:rPr>
        <w:t>Filwaqt li tibni fuq l-Istrateġija għall-Applikazzjoni tal-IA, u l-Istrateġija tal-IA fix-Xjenza, il-Kummissjoni se tappoġġa l-</w:t>
      </w:r>
      <w:r>
        <w:rPr>
          <w:rFonts w:ascii="Times New Roman" w:hAnsi="Times New Roman"/>
          <w:b/>
          <w:noProof/>
          <w:sz w:val="24"/>
        </w:rPr>
        <w:t>iżvilupp ta’ mudelli bażi tal-IA għall-ġestjoni u għall-ippjanar tal-grilji</w:t>
      </w:r>
      <w:r>
        <w:rPr>
          <w:rFonts w:ascii="Times New Roman" w:hAnsi="Times New Roman"/>
          <w:noProof/>
          <w:sz w:val="24"/>
        </w:rPr>
        <w:t xml:space="preserve"> bħala sinsla diġitali għas-sistema tal-enerġija. </w:t>
      </w:r>
    </w:p>
    <w:p w14:paraId="5ACA0038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Meta jiġu mħarrġa fuq settijiet ta’ data diversi u kbar, inkluż id-data tal-osservazzjoni tad-dinja (pereżempju miċ-Ċentru tal-Enerġija ta’ Copernicus), u rfinati għal każijiet ta’ użu speċifiċi, dawn il-mudelli tal-IA jistgħu jtejbu b’mod sinifikanti l-funzjonijiet tal-grilja</w:t>
      </w:r>
      <w:r>
        <w:rPr>
          <w:rStyle w:val="FootnoteReference"/>
          <w:noProof/>
        </w:rPr>
        <w:footnoteReference w:id="29"/>
      </w:r>
      <w:r>
        <w:rPr>
          <w:rFonts w:ascii="Times New Roman" w:hAnsi="Times New Roman"/>
          <w:noProof/>
          <w:sz w:val="24"/>
        </w:rPr>
        <w:t xml:space="preserve"> bħat-tbassir, il-ġestjoni tal-konġestjoni, l-identifikazzjoni tal-ħsarat u l-ippjanar tal-investiment u b’hekk tissaħħaħ il-kompetittività tas-settur. </w:t>
      </w:r>
    </w:p>
    <w:p w14:paraId="12774082" w14:textId="77777777" w:rsidR="00625E3A" w:rsidRDefault="004C7FB2">
      <w:pPr>
        <w:spacing w:before="60" w:after="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Lil hinn mill-grilji, l-IA tista’ ttejjeb il-kontroll tal-impjanti rinnovabbli u tnaqqas ir-restrizzjonijiet, issaħħaħ is-sikurezza u l-effiċjenza nukleari,</w:t>
      </w:r>
      <w:r>
        <w:rPr>
          <w:rStyle w:val="FootnoteReference"/>
          <w:noProof/>
        </w:rPr>
        <w:footnoteReference w:id="30"/>
      </w:r>
      <w:r>
        <w:rPr>
          <w:rFonts w:ascii="Times New Roman" w:hAnsi="Times New Roman"/>
          <w:noProof/>
          <w:sz w:val="24"/>
        </w:rPr>
        <w:t xml:space="preserve"> u tappoġġa l-ippjanar tar-rinnovazzjoni għall-bini u għall-unitajiet domestiċi foqra fl-enerġija.</w:t>
      </w:r>
      <w:r>
        <w:rPr>
          <w:rStyle w:val="FootnoteReference"/>
          <w:noProof/>
        </w:rPr>
        <w:footnoteReference w:id="31"/>
      </w:r>
      <w:r>
        <w:rPr>
          <w:rFonts w:ascii="Times New Roman" w:hAnsi="Times New Roman"/>
          <w:noProof/>
          <w:sz w:val="24"/>
        </w:rPr>
        <w:t xml:space="preserve"> F’konformità mal-Pakkett dwar il-Grilji, il-Kummissjoni se tappoġġa l-iżvilupp ta’ għodod tal-IA b’sors miftuħ biex tiffaċilita l-istabbiliment ta’ portali diġitali uniċi fil-livell nazzjonali li jaċċelleraw il-proċeduri tal-għoti tal-permessi.</w:t>
      </w:r>
    </w:p>
    <w:p w14:paraId="03F27EBE" w14:textId="77777777" w:rsidR="00625E3A" w:rsidRDefault="004C7FB2">
      <w:pPr>
        <w:spacing w:before="60" w:after="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Għall-2026–2027, </w:t>
      </w:r>
      <w:r>
        <w:rPr>
          <w:rFonts w:ascii="Times New Roman" w:hAnsi="Times New Roman"/>
          <w:b/>
          <w:noProof/>
          <w:sz w:val="24"/>
        </w:rPr>
        <w:t>Orizzont Ewropa se jipprovdi madwar EUR 75 miljun għat-teknoloġiji tal-IA</w:t>
      </w:r>
      <w:r>
        <w:rPr>
          <w:rFonts w:ascii="Times New Roman" w:hAnsi="Times New Roman"/>
          <w:noProof/>
          <w:sz w:val="24"/>
        </w:rPr>
        <w:t xml:space="preserve"> fl-enerġija, b’mod partikolari għall-grilji, l-awtokonsum, il-kondiviżjoni tal-enerġija u l-ħżin fuq skala tal-grilja, flimkien ma’ EUR 190 miljun oħra għal soluzzjonijiet diġitali usa’ fis-sorsi tal-enerġija rinnovabbli, fir-rinnovazzjoni tal-bini u fl-effiċjenza enerġetika. F’konformità mal-istrateġija għall-Ekosistemi Diġitali Miftuħa tal-UE, il-Kummissjoni se tappoġġa approċċi ta’ sors miftuħ fis-sejħiet tal-UE għar-riċerka u l-innovazzjoni. B’mod parallel, l-innovaturi tal-UE, in-negozji ġodda, il-kumpaniji scale-up u r-riċerkaturi jistgħu jibbażaw fuq strumenti komplementari tul il-katina tal-innovazzjoni, inkluż Fabbriki tal-IA, Ċentri tal-Esperjenza Ewropej għall-IA u RAISE</w:t>
      </w:r>
      <w:r>
        <w:rPr>
          <w:rStyle w:val="FootnoteReference"/>
          <w:noProof/>
        </w:rPr>
        <w:footnoteReference w:id="32"/>
      </w:r>
      <w:r>
        <w:rPr>
          <w:rFonts w:ascii="Times New Roman" w:hAnsi="Times New Roman"/>
          <w:noProof/>
          <w:sz w:val="24"/>
        </w:rPr>
        <w:t xml:space="preserve"> għal aċċess għall-computing, id-data, in-networks u l-finanzjament </w:t>
      </w:r>
      <w:r>
        <w:rPr>
          <w:rFonts w:ascii="Times New Roman" w:hAnsi="Times New Roman"/>
          <w:noProof/>
          <w:color w:val="000000" w:themeColor="text1"/>
          <w:sz w:val="24"/>
        </w:rPr>
        <w:t>biex imexxu ’l quddiem avvanzi xjentifiċi xprunati mill-IA</w:t>
      </w:r>
      <w:r>
        <w:rPr>
          <w:rFonts w:ascii="Times New Roman" w:hAnsi="Times New Roman"/>
          <w:noProof/>
          <w:sz w:val="24"/>
        </w:rPr>
        <w:t>, kif ukoll il-Fond Scaleup Europe</w:t>
      </w:r>
      <w:r>
        <w:rPr>
          <w:rStyle w:val="FootnoteReference"/>
          <w:noProof/>
        </w:rPr>
        <w:footnoteReference w:id="33"/>
      </w:r>
      <w:r>
        <w:rPr>
          <w:rFonts w:ascii="Times New Roman" w:hAnsi="Times New Roman"/>
          <w:noProof/>
          <w:sz w:val="24"/>
        </w:rPr>
        <w:t xml:space="preserve"> maħsub biex jagħti spinta lill-investimenti f’teknoloġiji strateġiċi li qed jespandu </w:t>
      </w:r>
      <w:r>
        <w:rPr>
          <w:rFonts w:ascii="Times New Roman" w:hAnsi="Times New Roman"/>
          <w:noProof/>
          <w:color w:val="000000" w:themeColor="text1"/>
          <w:sz w:val="24"/>
        </w:rPr>
        <w:t>u jnaqqas id-distakk ma’ dawk li jinsabu fuq quddiem nett fil-livell globali</w:t>
      </w:r>
      <w:r>
        <w:rPr>
          <w:rFonts w:ascii="Times New Roman" w:hAnsi="Times New Roman"/>
          <w:noProof/>
          <w:sz w:val="24"/>
        </w:rPr>
        <w:t>.</w:t>
      </w:r>
    </w:p>
    <w:tbl>
      <w:tblPr>
        <w:tblStyle w:val="TableGrid"/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25E3A" w14:paraId="5F4EB8E0" w14:textId="77777777">
        <w:trPr>
          <w:trHeight w:val="487"/>
        </w:trPr>
        <w:tc>
          <w:tcPr>
            <w:tcW w:w="9072" w:type="dxa"/>
          </w:tcPr>
          <w:p w14:paraId="08F4E564" w14:textId="77777777" w:rsidR="00625E3A" w:rsidRDefault="004C7FB2">
            <w:pPr>
              <w:spacing w:before="60" w:afterLines="60" w:after="144"/>
              <w:jc w:val="both"/>
              <w:rPr>
                <w:b/>
                <w:bCs/>
                <w:noProof/>
              </w:rPr>
            </w:pPr>
            <w:r>
              <w:rPr>
                <w:b/>
                <w:noProof/>
              </w:rPr>
              <w:t>Azzjoni ewlenija 4:</w:t>
            </w:r>
            <w:r>
              <w:rPr>
                <w:noProof/>
              </w:rPr>
              <w:t xml:space="preserve"> </w:t>
            </w:r>
            <w:r>
              <w:rPr>
                <w:b/>
                <w:noProof/>
              </w:rPr>
              <w:t>Żvilupp ta’ mudelli tal-IA tul il-katina tal-valur tal-enerġija</w:t>
            </w:r>
          </w:p>
          <w:p w14:paraId="3610E0CE" w14:textId="77777777" w:rsidR="00625E3A" w:rsidRDefault="004C7FB2">
            <w:pPr>
              <w:spacing w:before="60" w:afterLines="60" w:after="144"/>
              <w:jc w:val="both"/>
              <w:rPr>
                <w:noProof/>
              </w:rPr>
            </w:pPr>
            <w:r>
              <w:rPr>
                <w:noProof/>
                <w:u w:val="single"/>
              </w:rPr>
              <w:t>Twaqqit:</w:t>
            </w:r>
          </w:p>
          <w:p w14:paraId="408D1082" w14:textId="77777777" w:rsidR="00625E3A" w:rsidRDefault="004C7FB2">
            <w:pPr>
              <w:pStyle w:val="ListParagraph"/>
              <w:numPr>
                <w:ilvl w:val="0"/>
                <w:numId w:val="31"/>
              </w:numPr>
              <w:spacing w:before="60" w:afterLines="60" w:after="144"/>
              <w:jc w:val="both"/>
              <w:rPr>
                <w:noProof/>
              </w:rPr>
            </w:pPr>
            <w:r>
              <w:rPr>
                <w:noProof/>
              </w:rPr>
              <w:t>Ftehim ta’ proġett li jniedi Komunità ta’ Prattika għall-iżvilupp ta’ mudelli tal-IA għall-ġestjoni u għall-ippjanar tal-grilja jiġi ffirmat flimkien ma’ dan il-Pjan Direzzjonali Strateġiku; sejħiet iddedikati ta’ Orizzont Ewropa se jiftħu fl-2026 (EUR 30 miljun) u fl-2027 (EUR 20 miljun); il-mudelli tal-IA bi prova tal-kunċett se jiġu żviluppati u ttestjati fl-ewwel trimestru tal-2027; l-ewwel mudelli operazzjonali sa tmiem l-2027.</w:t>
            </w:r>
          </w:p>
          <w:p w14:paraId="7EBF249D" w14:textId="77777777" w:rsidR="00625E3A" w:rsidRDefault="004C7FB2">
            <w:pPr>
              <w:pStyle w:val="ListParagraph"/>
              <w:numPr>
                <w:ilvl w:val="0"/>
                <w:numId w:val="31"/>
              </w:numPr>
              <w:spacing w:before="60" w:afterLines="60" w:after="144"/>
              <w:jc w:val="both"/>
              <w:rPr>
                <w:noProof/>
              </w:rPr>
            </w:pPr>
            <w:r>
              <w:rPr>
                <w:noProof/>
              </w:rPr>
              <w:t>Żvilupp ta’ portali diġitali għall-Istati Membri, bl-użu ta’ teknoloġiji tal-IA ġenerattiva biex tirrazzjonalizza r-rieżami tal-permessi għall-proġetti tal-enerġija rinnovabbli, tal-ħżin u tal-grilja; disinn fl-2027; introduzzjoni fl-2028 għall-użu mill-awtoritajiet pubbliċi.</w:t>
            </w:r>
          </w:p>
          <w:p w14:paraId="05EC8FA1" w14:textId="77777777" w:rsidR="00625E3A" w:rsidRDefault="004C7FB2">
            <w:pPr>
              <w:spacing w:before="60" w:afterLines="60" w:after="144"/>
              <w:rPr>
                <w:noProof/>
              </w:rPr>
            </w:pPr>
            <w:r>
              <w:rPr>
                <w:noProof/>
                <w:u w:val="single"/>
              </w:rPr>
              <w:t>Impatti mistennija:</w:t>
            </w:r>
            <w:r>
              <w:rPr>
                <w:noProof/>
              </w:rPr>
              <w:t xml:space="preserve"> osservabbiltà, tbassir, ġestjoni tal-konġestjoni u integrazzjoni tal-flessibbiltà mtejba tal-grilji; aċċess aktar faċli għall-għodod diġitali li jgħinu lill-unitajiet domestiċi jikkontrollaw il-konsum, u parteċipazzjoni aktar inklużiva fl-iskemi ta’ awtokonsum u ta’ kondiviżjoni tal-enerġija, bażi ta’ evidenza mtejba għall-azzjoni pubblika permezz ta’ data aħjar dwar l-istokk tal-bini u l-prestazzjoni; varar aċċellerat tas-sorsi rinnovabbli, tal-ħżin u tal-grilji permezz ta’ proċedura aktar mgħaġġla u aktar trasparenti ta’ ħruġ tal-permessi.</w:t>
            </w:r>
          </w:p>
        </w:tc>
      </w:tr>
    </w:tbl>
    <w:p w14:paraId="6A175BB7" w14:textId="77777777" w:rsidR="00625E3A" w:rsidRDefault="00625E3A">
      <w:pPr>
        <w:rPr>
          <w:rFonts w:ascii="Times New Roman" w:eastAsiaTheme="majorEastAsia" w:hAnsi="Times New Roman" w:cs="Times New Roman"/>
          <w:b/>
          <w:noProof/>
          <w:sz w:val="24"/>
          <w:szCs w:val="24"/>
        </w:rPr>
      </w:pPr>
      <w:bookmarkStart w:id="5" w:name="_Toc214361472"/>
    </w:p>
    <w:p w14:paraId="1D265C5D" w14:textId="77777777" w:rsidR="00625E3A" w:rsidRDefault="004C7FB2">
      <w:pPr>
        <w:pStyle w:val="Heading2"/>
        <w:numPr>
          <w:ilvl w:val="0"/>
          <w:numId w:val="25"/>
        </w:numPr>
        <w:tabs>
          <w:tab w:val="num" w:pos="360"/>
        </w:tabs>
        <w:spacing w:beforeLines="60" w:before="144" w:afterLines="60" w:after="144" w:line="240" w:lineRule="auto"/>
        <w:ind w:left="283" w:hanging="283"/>
        <w:jc w:val="both"/>
        <w:rPr>
          <w:rFonts w:cs="Times New Roman"/>
          <w:noProof/>
          <w:sz w:val="24"/>
          <w:szCs w:val="24"/>
        </w:rPr>
      </w:pPr>
      <w:r>
        <w:rPr>
          <w:noProof/>
          <w:sz w:val="24"/>
        </w:rPr>
        <w:t xml:space="preserve">Pilastru III – Data </w:t>
      </w:r>
      <w:bookmarkEnd w:id="5"/>
      <w:r>
        <w:rPr>
          <w:noProof/>
          <w:sz w:val="24"/>
        </w:rPr>
        <w:t>għall-IA u għas-sistema tal-enerġija</w:t>
      </w:r>
    </w:p>
    <w:p w14:paraId="63B2304D" w14:textId="77777777" w:rsidR="00625E3A" w:rsidRDefault="004C7FB2">
      <w:pPr>
        <w:pStyle w:val="Text1"/>
        <w:spacing w:beforeLines="60" w:before="144" w:afterLines="60" w:after="144"/>
        <w:ind w:left="0"/>
        <w:rPr>
          <w:noProof/>
          <w:color w:val="000000" w:themeColor="text1"/>
        </w:rPr>
      </w:pPr>
      <w:r>
        <w:rPr>
          <w:b/>
          <w:noProof/>
          <w:color w:val="000000" w:themeColor="text1"/>
        </w:rPr>
        <w:t>L-iskambju effettiv tad-data dwar l-enerġija u l-interoperabbiltà</w:t>
      </w:r>
      <w:r>
        <w:rPr>
          <w:noProof/>
          <w:color w:val="000000" w:themeColor="text1"/>
        </w:rPr>
        <w:t xml:space="preserve"> huma kritiċi biex jiffaċilitaw servizzi tal-enerġija intelliġenti u l-iżvilupp ta’ mudelli robusti tal-IA. Il-Pilastru III jidentifika azzjonijiet konkreti biex jiġi stabbilit qafas komprensiv għall-iskambju u għall-interoperabbiltà tad-data, filwaqt li tiġi żgurata ekosistema tal-enerġija diġitali bla xkiel.</w:t>
      </w:r>
    </w:p>
    <w:p w14:paraId="45F3F5FB" w14:textId="77777777" w:rsidR="00625E3A" w:rsidRDefault="004C7FB2">
      <w:pPr>
        <w:pStyle w:val="Text1"/>
        <w:spacing w:beforeLines="60" w:before="144" w:afterLines="60" w:after="144"/>
        <w:ind w:left="0"/>
        <w:rPr>
          <w:noProof/>
          <w:color w:val="000000" w:themeColor="text1"/>
        </w:rPr>
      </w:pPr>
      <w:r>
        <w:rPr>
          <w:noProof/>
          <w:color w:val="000000" w:themeColor="text1"/>
        </w:rPr>
        <w:t>Il-qafas legali eżistenti</w:t>
      </w:r>
      <w:r>
        <w:rPr>
          <w:rStyle w:val="FootnoteReference"/>
          <w:rFonts w:eastAsiaTheme="majorEastAsia"/>
          <w:noProof/>
        </w:rPr>
        <w:footnoteReference w:id="34"/>
      </w:r>
      <w:r>
        <w:rPr>
          <w:noProof/>
          <w:color w:val="000000" w:themeColor="text1"/>
        </w:rPr>
        <w:t xml:space="preserve"> jipprovdi elementi importanti għall-iskambju ta’ data dwar l-enerġija iżda għadu frammentat.</w:t>
      </w:r>
      <w:r>
        <w:rPr>
          <w:rStyle w:val="FootnoteReference"/>
          <w:noProof/>
        </w:rPr>
        <w:footnoteReference w:id="35"/>
      </w:r>
      <w:r>
        <w:rPr>
          <w:noProof/>
          <w:color w:val="000000" w:themeColor="text1"/>
        </w:rPr>
        <w:t xml:space="preserve"> Il-qafas legali tal-UE diġà jkopri l-</w:t>
      </w:r>
      <w:r>
        <w:rPr>
          <w:b/>
          <w:noProof/>
          <w:color w:val="000000" w:themeColor="text1"/>
        </w:rPr>
        <w:t>użu primarju tad-data dwar l-enerġija</w:t>
      </w:r>
      <w:r>
        <w:rPr>
          <w:noProof/>
          <w:color w:val="000000" w:themeColor="text1"/>
        </w:rPr>
        <w:t>, jiġifieri</w:t>
      </w:r>
      <w:r>
        <w:rPr>
          <w:noProof/>
          <w:sz w:val="18"/>
        </w:rPr>
        <w:t xml:space="preserve"> </w:t>
      </w:r>
      <w:r>
        <w:rPr>
          <w:noProof/>
          <w:color w:val="000000" w:themeColor="text1"/>
        </w:rPr>
        <w:t>l-iskambji tad-data operazzjonali bejn l-atturi identifikati għal servizzi bħall-kejl, il-kontijiet, il-qlib tal-fornituri, ir-rispons għad-domanda u t-tħaddim tal-grilja. Madankollu, l-implimentazzjoni tvarja b’mod sinifikanti fost l-Istati Membri, u joħolqu kumplessità, inċertezza legali u ostakli għas-servizzi tal-enerġija intelliġenti transfruntieri. Barra minn hekk, il-leġiżlazzjoni orizzontali bħall-Att dwar id-Data, filwaqt li tipprovdi l-prinċipji għall-aċċess għad-data minn prodotti konnessi, ma tindirizzax bis-sħiħ l-ispeċifiċitajiet tad-data dwar l-enerġija regolata u tal-entitajiet regolati. B’riżultat ta’ dan, il-fornituri ta’ servizzi ta’ rispons għad-domanda jew ta’ ċċarġjar intelliġenti tal-vetturi elettriċi, spiss jiddisinjaw mill-ġdid l-interfaċċi tas-software u jinnegozjaw mill-ġdid il-proċeduri ta’ aċċess għad-data għal kull suq nazzjonali, u dan ixekkel it-tkabbir transfruntier tas-servizzi tal-enerġija intelliġenti.</w:t>
      </w:r>
    </w:p>
    <w:p w14:paraId="3B306943" w14:textId="77777777" w:rsidR="00625E3A" w:rsidRDefault="004C7FB2">
      <w:pPr>
        <w:pStyle w:val="Text1"/>
        <w:spacing w:beforeLines="60" w:before="144" w:afterLines="60" w:after="144"/>
        <w:ind w:left="0"/>
        <w:rPr>
          <w:noProof/>
          <w:color w:val="000000" w:themeColor="text1"/>
        </w:rPr>
      </w:pPr>
      <w:r>
        <w:rPr>
          <w:noProof/>
          <w:color w:val="000000" w:themeColor="text1"/>
        </w:rPr>
        <w:t>Fl-istess ħin, il-qafas għall-</w:t>
      </w:r>
      <w:r>
        <w:rPr>
          <w:b/>
          <w:noProof/>
          <w:color w:val="000000" w:themeColor="text1"/>
        </w:rPr>
        <w:t>użu sekondarju tad-data dwar l-enerġija</w:t>
      </w:r>
      <w:r>
        <w:rPr>
          <w:noProof/>
          <w:color w:val="000000" w:themeColor="text1"/>
        </w:rPr>
        <w:t>, jiġifieri l-ġbir flimkien u l-użu mill-ġdid tad-data dwar l-enerġija lil hinn mill-iskop operazzjonali oriġinali tagħha, pereżempju, għar-riċerka, l-analitika jew l-iżvilupp ta’ mudell tal-IA, huwa inqas żviluppat. Is-settijiet ta’ data pubbliċi għadhom frammentati jew limitati għall-analitika avvanzata. Filwaqt li l-leġiżlazzjoni orizzontali tipprovdi salvagwardji dwar il-protezzjoni tad-data u ċ-ċibersigurtà, ma hemm l-ebda qafas ċar speċifiku għas-settur għall-ġbir flimkien ta’ data strutturata dwar l-enerġija jew għall-użu tal-mudelli tal-IA. B’riżultat ta’ dan, il-kumpaniji tal-enerġija jew l-operaturi tal-grilja spiss joqogħdu lura milli jikkondividu data dettaljata għal skopijiet ta’ riċerka jew milli jħarrġu l-mudelli tal-IA. Dan jirriżulta fi żvilupp aktar bil-mod tal-IA minħabba settijiet ta’ data limitati jew sintetiċi.</w:t>
      </w:r>
    </w:p>
    <w:p w14:paraId="4B430954" w14:textId="77777777" w:rsidR="00625E3A" w:rsidRDefault="004C7FB2">
      <w:pPr>
        <w:pStyle w:val="Text1"/>
        <w:spacing w:beforeLines="60" w:before="144" w:afterLines="60" w:after="144"/>
        <w:ind w:left="0"/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L-isfida ewlenija hija l-assenza ta’ approċċ koerenti tal-UE għall-iskambju affidabbli u transfruntier tad-data dwar l-enerġija. Sabiex tindirizza dawn il-lakuni, tappoġġa s-servizzi transfruntieri tal-enerġija intelliġenti u trawwem IA sovrana, </w:t>
      </w:r>
      <w:r>
        <w:rPr>
          <w:b/>
          <w:noProof/>
          <w:color w:val="000000" w:themeColor="text1"/>
        </w:rPr>
        <w:t>il-Kummissjoni se tikkoordina azzjonijiet biex tirrazzjonalizza u tissimplifika l-iskambju tad-data speċifiku għall-enerġija kemm għall-użu primarju kif ukoll għal dak sekondarju tad-data dwar l-enerġija</w:t>
      </w:r>
      <w:r>
        <w:rPr>
          <w:noProof/>
          <w:color w:val="000000" w:themeColor="text1"/>
        </w:rPr>
        <w:t xml:space="preserve"> f’konformità mal-Omnibus Diġitali, l-Att dwar id-Data, il-Kartieri Ewropej tan-Negozju, il-Kartieri tal-Identità Diġitali tal-UE, u l-qafas usa’ tad-data orizzontali tal-UE.</w:t>
      </w:r>
      <w:r>
        <w:rPr>
          <w:rStyle w:val="FootnoteReference"/>
          <w:noProof/>
        </w:rPr>
        <w:footnoteReference w:id="36"/>
      </w:r>
      <w:r>
        <w:rPr>
          <w:noProof/>
          <w:color w:val="000000" w:themeColor="text1"/>
        </w:rPr>
        <w:t xml:space="preserve"> </w:t>
      </w:r>
    </w:p>
    <w:p w14:paraId="65C9BB1F" w14:textId="77777777" w:rsidR="00625E3A" w:rsidRDefault="004C7FB2">
      <w:pPr>
        <w:pStyle w:val="Text1"/>
        <w:spacing w:beforeLines="60" w:before="144" w:afterLines="60" w:after="144"/>
        <w:ind w:left="0"/>
        <w:rPr>
          <w:noProof/>
          <w:color w:val="000000" w:themeColor="text1"/>
        </w:rPr>
      </w:pPr>
      <w:r>
        <w:rPr>
          <w:b/>
          <w:noProof/>
          <w:color w:val="000000" w:themeColor="text1"/>
        </w:rPr>
        <w:t>L-objettiv huwa li l-iskambju transfruntier tad-data dwar l-enerġija jsir aktar sempliċi, aktar effiċjenti u prevedibbli billi jiġu pprovduti interfaċċi komuni, regoli armonizzati u servizzi fiduċjarji fil-livell tal-UE</w:t>
      </w:r>
      <w:r>
        <w:rPr>
          <w:noProof/>
          <w:color w:val="000000" w:themeColor="text1"/>
        </w:rPr>
        <w:t xml:space="preserve">. </w:t>
      </w:r>
    </w:p>
    <w:p w14:paraId="071C8BC7" w14:textId="77777777" w:rsidR="00625E3A" w:rsidRDefault="004C7FB2">
      <w:pPr>
        <w:pStyle w:val="Text1"/>
        <w:spacing w:beforeLines="60" w:before="144" w:afterLines="60" w:after="144"/>
        <w:ind w:left="0"/>
        <w:rPr>
          <w:noProof/>
          <w:color w:val="000000" w:themeColor="text1"/>
        </w:rPr>
      </w:pPr>
      <w:r>
        <w:rPr>
          <w:b/>
          <w:noProof/>
          <w:color w:val="000000" w:themeColor="text1"/>
        </w:rPr>
        <w:t>Fir-rigward tal-użu primarju tad-data dwar l-enerġija</w:t>
      </w:r>
      <w:r>
        <w:rPr>
          <w:noProof/>
          <w:color w:val="000000" w:themeColor="text1"/>
        </w:rPr>
        <w:t xml:space="preserve">, il-prijorità ewlenija se tkun li tittejjeb l-interoperabbiltà tad-data transfruntiera, u b’hekk jiġu appoġġati servizzi tal-enerġija intelliġenti bħall-flessibbiltà min-naħa tad-domanda u l-iċċarġjar bidirezzjonali tal-vetturi elettriċi, filwaqt li jiġu kkoordinati l-Istati Membri fl-iżvilupp ta’ ċentri tad-data nazzjonali interoperabbli. Skambju aħjar tad-data dwar l-enerġija jista’ jgħin biex tiġi attivata l-flessibbiltà mill-vetturi elettriċi, il-pompi tas-sħana, il-batteriji u d-domanda kontrollabbli, b’soluzzjonijiet iffaċilitati diġitalment li potenzjalment jiftħu madwar 230 GW ta’ flessibbiltà sal-2030 u jnaqqsu l-kostijiet tas-sistema għall-konsumaturi. Il-ħidma se tibni fuq is-sett importanti maqbul ta’ </w:t>
      </w:r>
      <w:r>
        <w:rPr>
          <w:b/>
          <w:noProof/>
          <w:color w:val="000000" w:themeColor="text1"/>
        </w:rPr>
        <w:t>rakkomandazzjonijiet għall-partijiet ikkonċernati tal-enerġija u l-elettromobbiltà fl-UE kollha</w:t>
      </w:r>
      <w:r>
        <w:rPr>
          <w:noProof/>
          <w:color w:val="000000" w:themeColor="text1"/>
        </w:rPr>
        <w:t xml:space="preserve"> dwar l-iskambju tad-data għal servizzi tal-enerġija intelliġenti li ġie ppubblikat fl-20 ta’ Mejju,</w:t>
      </w:r>
      <w:r>
        <w:rPr>
          <w:rStyle w:val="FootnoteReference"/>
          <w:noProof/>
        </w:rPr>
        <w:footnoteReference w:id="37"/>
      </w:r>
      <w:r>
        <w:rPr>
          <w:noProof/>
        </w:rPr>
        <w:t xml:space="preserve"> </w:t>
      </w:r>
      <w:r>
        <w:rPr>
          <w:noProof/>
          <w:color w:val="000000" w:themeColor="text1"/>
        </w:rPr>
        <w:t>kif ukoll dwar proġetti pilota ewlenin.</w:t>
      </w:r>
      <w:r>
        <w:rPr>
          <w:rStyle w:val="FootnoteReference"/>
          <w:noProof/>
        </w:rPr>
        <w:footnoteReference w:id="38"/>
      </w:r>
    </w:p>
    <w:p w14:paraId="6D2AF9E7" w14:textId="77777777" w:rsidR="00625E3A" w:rsidRDefault="004C7FB2">
      <w:pPr>
        <w:pStyle w:val="Text1"/>
        <w:spacing w:beforeLines="60" w:before="144" w:afterLines="60" w:after="144"/>
        <w:ind w:left="0"/>
        <w:rPr>
          <w:noProof/>
          <w:color w:val="000000" w:themeColor="text1"/>
        </w:rPr>
      </w:pPr>
      <w:r>
        <w:rPr>
          <w:b/>
          <w:noProof/>
          <w:color w:val="000000" w:themeColor="text1"/>
        </w:rPr>
        <w:t>Fir-rigward tal-użu sekondarju tad-data dwar l-enerġija</w:t>
      </w:r>
      <w:r>
        <w:rPr>
          <w:noProof/>
          <w:color w:val="000000" w:themeColor="text1"/>
        </w:rPr>
        <w:t>, l-enfasi se tkun fuq l-iffaċilitar tal-ġbir flimkien tad-data dwar l-enerġija għal mudelli ta’ taħriġ tal-IA u għall-finijiet ta’ interess pubbliku u ta’ riċerka, l-istabbiliment ta’ oqfsa fiduċjarji għall-IA fl-enerġija u l-iżvilupp ta’ ambjenti ta’ esperimentazzjoni regolatorja li jibnu fuq ir-riżultati ta’ proġetti li għaddejjin</w:t>
      </w:r>
      <w:r>
        <w:rPr>
          <w:rStyle w:val="FootnoteReference"/>
          <w:noProof/>
        </w:rPr>
        <w:footnoteReference w:id="39"/>
      </w:r>
      <w:r>
        <w:rPr>
          <w:noProof/>
          <w:color w:val="000000" w:themeColor="text1"/>
        </w:rPr>
        <w:t xml:space="preserve"> u l-Komunità ta’ prattika għall-iżvilupp ta’ mudelli bażi tal-IA għall-grilji tal-enerġija. Barra minn hekk, </w:t>
      </w:r>
      <w:r>
        <w:rPr>
          <w:noProof/>
        </w:rPr>
        <w:t xml:space="preserve">il-proposta legali li ġejja għal kontijiet tal-elettriku fl-UE li jibqgħu validi fil-futur se </w:t>
      </w:r>
      <w:r>
        <w:rPr>
          <w:noProof/>
          <w:color w:val="000000" w:themeColor="text1"/>
        </w:rPr>
        <w:t>tipprovdi inċentiv regolatorju għall-operaturi tal-grilji biex jikkooperaw għal dak l-iskop u qafas għall-użu sekondarju speċifiku għas-settur tad-data dwar l-enerġija.</w:t>
      </w:r>
    </w:p>
    <w:tbl>
      <w:tblPr>
        <w:tblStyle w:val="TableGrid"/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25E3A" w14:paraId="2FAAE3EB" w14:textId="77777777">
        <w:trPr>
          <w:trHeight w:val="699"/>
        </w:trPr>
        <w:tc>
          <w:tcPr>
            <w:tcW w:w="9072" w:type="dxa"/>
          </w:tcPr>
          <w:p w14:paraId="24C1FDFE" w14:textId="77777777" w:rsidR="00625E3A" w:rsidRDefault="004C7FB2">
            <w:pPr>
              <w:spacing w:before="60" w:after="60"/>
              <w:jc w:val="both"/>
              <w:rPr>
                <w:noProof/>
              </w:rPr>
            </w:pPr>
            <w:r>
              <w:rPr>
                <w:b/>
                <w:noProof/>
              </w:rPr>
              <w:t>Azzjoni ewlenija 5:</w:t>
            </w:r>
            <w:r>
              <w:rPr>
                <w:noProof/>
              </w:rPr>
              <w:t xml:space="preserve"> </w:t>
            </w:r>
            <w:r>
              <w:rPr>
                <w:b/>
                <w:noProof/>
              </w:rPr>
              <w:t>Stabbiliment ta’ qafas tal-UE għal skambju</w:t>
            </w:r>
            <w:r>
              <w:rPr>
                <w:b/>
                <w:noProof/>
                <w:color w:val="000000" w:themeColor="text1"/>
              </w:rPr>
              <w:t xml:space="preserve"> transfruntier </w:t>
            </w:r>
            <w:r>
              <w:rPr>
                <w:b/>
                <w:noProof/>
              </w:rPr>
              <w:t>simplifikat tad-data dwar l-enerġija għal servizzi tal-enerġija intelliġenti u taħriġ fil-mudelli tal-IA</w:t>
            </w:r>
          </w:p>
          <w:p w14:paraId="4139C27B" w14:textId="77777777" w:rsidR="00625E3A" w:rsidRDefault="004C7FB2">
            <w:pPr>
              <w:spacing w:before="60" w:after="60"/>
              <w:jc w:val="both"/>
              <w:rPr>
                <w:noProof/>
              </w:rPr>
            </w:pPr>
            <w:r>
              <w:rPr>
                <w:noProof/>
                <w:u w:val="single"/>
              </w:rPr>
              <w:t>Twaqqit:</w:t>
            </w:r>
            <w:r>
              <w:rPr>
                <w:noProof/>
              </w:rPr>
              <w:t xml:space="preserve"> valutazzjoni fl-2026; żvilupp mill-2027.</w:t>
            </w:r>
          </w:p>
          <w:p w14:paraId="5FE6ADEA" w14:textId="77777777" w:rsidR="00625E3A" w:rsidRDefault="004C7FB2">
            <w:pPr>
              <w:spacing w:before="60" w:after="60"/>
              <w:jc w:val="both"/>
              <w:rPr>
                <w:noProof/>
                <w:szCs w:val="24"/>
              </w:rPr>
            </w:pPr>
            <w:r>
              <w:rPr>
                <w:noProof/>
                <w:u w:val="single"/>
              </w:rPr>
              <w:t>Impatti mistennija:</w:t>
            </w:r>
            <w:r>
              <w:rPr>
                <w:noProof/>
              </w:rPr>
              <w:t xml:space="preserve"> frammentazzjoni mnaqqsa fl-iskambju ta’ data dwar l-enerġija; servizzi tal-enerġija intelliġenti transfruntieri ffaċilitati fuq skala kbira; flessibbiltà mtejba tal-grilja u integrazzjoni rinnovabbli; innovazzjoni u mudelli ta’ negozju ġodda; sistema tal-enerġija tal-UE aktar effiċjenti, integrata u kompetittiva; u suq uniku ta’ servizzi tal-enerġija intelliġenti skalabbli madwar l-UE.</w:t>
            </w:r>
          </w:p>
        </w:tc>
      </w:tr>
    </w:tbl>
    <w:p w14:paraId="49F67627" w14:textId="77777777" w:rsidR="00625E3A" w:rsidRDefault="004C7FB2">
      <w:pPr>
        <w:pStyle w:val="Heading2"/>
        <w:numPr>
          <w:ilvl w:val="0"/>
          <w:numId w:val="25"/>
        </w:numPr>
        <w:tabs>
          <w:tab w:val="num" w:pos="360"/>
        </w:tabs>
        <w:spacing w:beforeLines="60" w:before="144" w:afterLines="60" w:after="144" w:line="240" w:lineRule="auto"/>
        <w:ind w:left="283" w:hanging="283"/>
        <w:jc w:val="both"/>
        <w:rPr>
          <w:rFonts w:cs="Times New Roman"/>
          <w:noProof/>
          <w:sz w:val="24"/>
          <w:szCs w:val="24"/>
        </w:rPr>
      </w:pPr>
      <w:bookmarkStart w:id="6" w:name="_Toc214361476"/>
      <w:r>
        <w:rPr>
          <w:noProof/>
          <w:sz w:val="24"/>
        </w:rPr>
        <w:t xml:space="preserve">Żgurar tar-rabta bejn l-enerġija u l-IA: fiduċja, talent u kooperazzjoni globali </w:t>
      </w:r>
      <w:bookmarkEnd w:id="6"/>
    </w:p>
    <w:p w14:paraId="0F1F9076" w14:textId="77777777" w:rsidR="00625E3A" w:rsidRDefault="004C7FB2">
      <w:pPr>
        <w:spacing w:beforeLines="60" w:before="144"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L-integrazzjoni tat-teknoloġiji diġitali u tal-IA fl-infrastruttura kritika tal-enerġija tista’ ttejjeb il-prestazzjoni, iżda żżid ukoll </w:t>
      </w:r>
      <w:r>
        <w:rPr>
          <w:rFonts w:ascii="Times New Roman" w:hAnsi="Times New Roman"/>
          <w:b/>
          <w:noProof/>
          <w:sz w:val="24"/>
        </w:rPr>
        <w:t>is-sikurezza, kif ukoll ir-riskji ibridi u għaċ-ċibersigurtà</w:t>
      </w:r>
      <w:r>
        <w:rPr>
          <w:rFonts w:ascii="Times New Roman" w:hAnsi="Times New Roman"/>
          <w:noProof/>
          <w:sz w:val="24"/>
        </w:rPr>
        <w:t>. F’konformità mal-Istrateġija tal-UE għal Unjoni tal-Preparatezza u abbażi tal-għarfien espert tas-settur tal-karozzi u tal-avjazzjoni, grupp Ewropew għat-trasformazzjoni tas-sikurezza tal-enerġija tal-IA se jiffoka fuq it-trasparenza, l-ispjegabbiltà, u s-sorveljanza umana billi:</w:t>
      </w:r>
    </w:p>
    <w:p w14:paraId="48F5AD9F" w14:textId="77777777" w:rsidR="00625E3A" w:rsidRDefault="004C7FB2">
      <w:pPr>
        <w:pStyle w:val="ListParagraph"/>
        <w:numPr>
          <w:ilvl w:val="0"/>
          <w:numId w:val="38"/>
        </w:numPr>
        <w:spacing w:afterLines="60" w:after="144" w:line="24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javvanza s-sikurezza tal-enerġija tal-IA bħala dixxiplina fil-livell tas-sistema u jgħin biex jiġi żgurat li l-IA ma toħloqx riskji sistemiċi għall-infrastruttura kritika tal-enerġija, u jiġu miġġielda t-theddidiet ibridi.</w:t>
      </w:r>
    </w:p>
    <w:p w14:paraId="141293CB" w14:textId="77777777" w:rsidR="00625E3A" w:rsidRDefault="004C7FB2">
      <w:pPr>
        <w:pStyle w:val="ListParagraph"/>
        <w:numPr>
          <w:ilvl w:val="0"/>
          <w:numId w:val="38"/>
        </w:num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jappoġġa l-iskambji dwar l-inċidenti, it-tagħlimiet meħuda, l-aħjar prattiki, </w:t>
      </w:r>
      <w:r>
        <w:rPr>
          <w:rFonts w:ascii="Times New Roman" w:hAnsi="Times New Roman"/>
          <w:noProof/>
          <w:color w:val="000000" w:themeColor="text1"/>
          <w:sz w:val="24"/>
        </w:rPr>
        <w:t>u l-mitigazzjoni tar-riskju abbażi tal-Att dwar l-IA;</w:t>
      </w:r>
    </w:p>
    <w:p w14:paraId="27BC7CDC" w14:textId="77777777" w:rsidR="00625E3A" w:rsidRDefault="004C7FB2">
      <w:pPr>
        <w:pStyle w:val="ListParagraph"/>
        <w:numPr>
          <w:ilvl w:val="0"/>
          <w:numId w:val="38"/>
        </w:num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jimmonitorja l-każijiet ta’ użu tal-IA ta’ riskju għoli fl-infrastrutturi kritiċi tal-enerġija.</w:t>
      </w:r>
    </w:p>
    <w:p w14:paraId="050EBA8C" w14:textId="77777777" w:rsidR="00625E3A" w:rsidRDefault="004C7FB2">
      <w:pPr>
        <w:spacing w:before="60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Il-Kummissjoni se taħdem mal-Istati Membri biex tistabbilixxi ambjenti ta’ esperimentazzjoni regolatorja tal-IA għall-ittestjar u għall-validazzjoni tal-applikazzjonijiet tal-IA tal-enerġija biex trawwem l-innovazzjoni u tikkontribwixxi għal apprendiment regolatorju bbażat fuq l-evidenza dwar sistemi tal-IA ta’ riskju għoli u se toħroġ gwida dwar sistemi tal-IA ta’ riskju għoli f’konformità mal-Att dwar l-IA. Barra minn hekk, il-Kummissjoni se tippromwovi għodod sovrani ffaċilitati mill-IA għad-detezzjoni tal-vulnerabbiltajiet, il-monitoraġġ kontinwu, id-detezzjoni tal-anomaliji u r-rispons awtomatizzat</w:t>
      </w:r>
      <w:r>
        <w:rPr>
          <w:rFonts w:ascii="Times New Roman" w:hAnsi="Times New Roman"/>
          <w:b/>
          <w:noProof/>
          <w:sz w:val="24"/>
        </w:rPr>
        <w:t xml:space="preserve"> </w:t>
      </w:r>
      <w:r>
        <w:rPr>
          <w:rFonts w:ascii="Times New Roman" w:hAnsi="Times New Roman"/>
          <w:noProof/>
          <w:sz w:val="24"/>
        </w:rPr>
        <w:t>għall-inċidenti, f’konformità mal-qafas usa’ taċ-ċibersigurtà tal-UE.</w:t>
      </w:r>
    </w:p>
    <w:p w14:paraId="2117504C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Fl-istess ħin, l-elettrifikazzjoni, id-diġitalizzazzjoni u l-konnettività dejjem akbar tas-settur tal-enerġija jesponuh għat-theddidiet</w:t>
      </w:r>
      <w:r>
        <w:rPr>
          <w:rFonts w:ascii="Times New Roman" w:hAnsi="Times New Roman"/>
          <w:b/>
          <w:noProof/>
          <w:sz w:val="24"/>
        </w:rPr>
        <w:t xml:space="preserve"> </w:t>
      </w:r>
      <w:r>
        <w:rPr>
          <w:rFonts w:ascii="Times New Roman" w:hAnsi="Times New Roman"/>
          <w:noProof/>
          <w:sz w:val="24"/>
        </w:rPr>
        <w:t>taċ-ċibersigurtà.</w:t>
      </w:r>
      <w:r>
        <w:rPr>
          <w:rStyle w:val="FootnoteReference"/>
          <w:noProof/>
        </w:rPr>
        <w:footnoteReference w:id="40"/>
      </w:r>
      <w:r>
        <w:rPr>
          <w:rFonts w:ascii="Times New Roman" w:hAnsi="Times New Roman"/>
          <w:noProof/>
          <w:sz w:val="24"/>
        </w:rPr>
        <w:t xml:space="preserve"> Il-Komunikazzjoni Konġunta dwar it-tisħiħ tas-sigurtà ekonomika tal-UE</w:t>
      </w:r>
      <w:r>
        <w:rPr>
          <w:rStyle w:val="FootnoteReference"/>
          <w:noProof/>
        </w:rPr>
        <w:footnoteReference w:id="41"/>
      </w:r>
      <w:r>
        <w:rPr>
          <w:rFonts w:ascii="Times New Roman" w:hAnsi="Times New Roman"/>
          <w:noProof/>
          <w:sz w:val="24"/>
        </w:rPr>
        <w:t xml:space="preserve"> tidentifika sitt oqsma ta’ riskju għoli għal azzjoni immedjata. Diversi azzjonijiet ta’ prijorità identifikati huma marbuta direttament mas-settur tal-enerġija u jinkludu riskji li jirriżultaw minn dipendenzi strateġiċi, aċċess mhux awtorizzat għal informazzjoni sensittiva jew tfixkil fl-infrastruttura strateġika. L-infrastrutturi tal-ġenerazzjoni tal-enerġija solari u eolika qed tfaċċaw bħala tħassib prijoritarju dwar iċ-ċibersigurtà f’dawn il-kategoriji, b’riskji għoljin li jinkludu l-manipulazzjoni jew il-prevenzjoni tal-produzzjoni tal-elettriku, l-aċċess mhux awtorizzat għal data operazzjonali, l-infiltrazzjoni ta’ atturi ewlenin tal-katina tal-provvista u l-possibbiltà li jiġu skattati blackouts remoti.</w:t>
      </w:r>
    </w:p>
    <w:p w14:paraId="1670395F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Sabiex twieġeb għal dawn ir-riskji, il-Kummissjoni qed twettaq valutazzjoni sistemika tar-riskji f’dawn l-oqsma ta’ prijorità, li jinkludu wkoll l-installazzjonijiet solari u eoliċi fl-UE, u dan l-aħħar irrestrinġiet l-użu tal-fondi tal-UE għal proġetti li jinvolvu invertituri minn fornituri ta’ riskju għoli. Il-proposta l-ġdida għal Att dwar iċ-Ċibersigurtà tipprovdi l-qafas biex jiġi pprojbit l-użu ta’ invertituri minn fornituri b’riskju għoli fl-UE, jekk ikun meħtieġ. Fl-aħħar nett, l-UE se tirrieżamina l-qafas tas-sigurtà tal-provvista tal-enerġija, possibbilment billi tinkludi miżuri ġodda għal identifikazzjoni u ġestjoni aħjar tar-riskji taċ-ċibersigurtà f’apparati kritiċi tal-enerġija.</w:t>
      </w:r>
    </w:p>
    <w:p w14:paraId="6A55A91B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Billi s-sigurtà tal-enerġija tiddependi dejjem aktar fuq </w:t>
      </w:r>
      <w:r>
        <w:rPr>
          <w:rFonts w:ascii="Times New Roman" w:hAnsi="Times New Roman"/>
          <w:b/>
          <w:noProof/>
          <w:sz w:val="24"/>
        </w:rPr>
        <w:t>ktajjen tal-provvista reżiljenti</w:t>
      </w:r>
      <w:r>
        <w:rPr>
          <w:rFonts w:ascii="Times New Roman" w:hAnsi="Times New Roman"/>
          <w:noProof/>
          <w:sz w:val="24"/>
        </w:rPr>
        <w:t xml:space="preserve"> u ċ-ċibersigurtà ta’ komponenti individwali, ir-reviżjoni proposta tal-Kummissjoni tal-Att dwar iċ-Ċibersigurtà tinkludi rekwiżiti tal-katina tal-provvista tat-teknoloġiji tal-informazzjoni u tal-komunikazzjoni biex jissaħħu ulterjorment ir-reżiljenza u l-kapaċitajiet taċ-ċibersigurtà tal-UE. Fl-aħħar nett, </w:t>
      </w:r>
      <w:r>
        <w:rPr>
          <w:rFonts w:ascii="Times New Roman" w:hAnsi="Times New Roman"/>
          <w:b/>
          <w:noProof/>
          <w:sz w:val="24"/>
        </w:rPr>
        <w:t>il-Kummissjoni se titlob lill-Grupp Ewropew tal-Kummissjoni dwar l-Etika fix-Xjenza u t-Teknoloġiji Ġodda</w:t>
      </w:r>
      <w:r>
        <w:rPr>
          <w:rStyle w:val="FootnoteReference"/>
          <w:noProof/>
        </w:rPr>
        <w:footnoteReference w:id="42"/>
      </w:r>
      <w:r>
        <w:rPr>
          <w:rFonts w:ascii="Times New Roman" w:hAnsi="Times New Roman"/>
          <w:noProof/>
          <w:sz w:val="24"/>
        </w:rPr>
        <w:t xml:space="preserve"> biex jipprovdi opinjoni dwar il-governanza affidabbli u responsabbli tal-IA fis-sistema tal-enerġija tal-UE u kif għandhom jiġu ssalvagwardjati l-fiduċja pubblika, it-trasparenza u l-ġustizzja. </w:t>
      </w:r>
    </w:p>
    <w:tbl>
      <w:tblPr>
        <w:tblStyle w:val="TableGrid"/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25E3A" w14:paraId="2850118C" w14:textId="77777777">
        <w:trPr>
          <w:trHeight w:val="699"/>
        </w:trPr>
        <w:tc>
          <w:tcPr>
            <w:tcW w:w="9072" w:type="dxa"/>
          </w:tcPr>
          <w:p w14:paraId="73456877" w14:textId="77777777" w:rsidR="00625E3A" w:rsidRDefault="004C7FB2">
            <w:pPr>
              <w:spacing w:before="60" w:after="60"/>
              <w:jc w:val="both"/>
              <w:rPr>
                <w:noProof/>
              </w:rPr>
            </w:pPr>
            <w:r>
              <w:rPr>
                <w:b/>
                <w:noProof/>
              </w:rPr>
              <w:t>Azzjoni ewlenija 6:</w:t>
            </w:r>
            <w:r>
              <w:rPr>
                <w:noProof/>
              </w:rPr>
              <w:t xml:space="preserve"> </w:t>
            </w:r>
            <w:r>
              <w:rPr>
                <w:b/>
                <w:noProof/>
              </w:rPr>
              <w:t>Tisħiħ tas-sikurezza tal-IA u taċ-ċibersigurtà tal-apparati kritiċi</w:t>
            </w:r>
          </w:p>
          <w:p w14:paraId="48C5A081" w14:textId="77777777" w:rsidR="00625E3A" w:rsidRDefault="004C7FB2">
            <w:pPr>
              <w:spacing w:before="60" w:after="60"/>
              <w:jc w:val="both"/>
              <w:rPr>
                <w:noProof/>
              </w:rPr>
            </w:pPr>
            <w:r>
              <w:rPr>
                <w:noProof/>
                <w:u w:val="single"/>
              </w:rPr>
              <w:t>Twaqqit:</w:t>
            </w:r>
            <w:r>
              <w:rPr>
                <w:noProof/>
              </w:rPr>
              <w:t xml:space="preserve"> valutazzjoni tar-riskju tal-installazzjonijiet solari fl-UE fl-2026; rieżami tal-qafas tas-sigurtà tal-provvista tal-enerġija fl-2026.</w:t>
            </w:r>
          </w:p>
          <w:p w14:paraId="60AB57B1" w14:textId="77777777" w:rsidR="00625E3A" w:rsidRDefault="004C7FB2">
            <w:pPr>
              <w:spacing w:before="60" w:after="60"/>
              <w:jc w:val="both"/>
              <w:rPr>
                <w:noProof/>
              </w:rPr>
            </w:pPr>
            <w:r>
              <w:rPr>
                <w:noProof/>
                <w:u w:val="single"/>
              </w:rPr>
              <w:t>Impatti mistennija:</w:t>
            </w:r>
            <w:r>
              <w:rPr>
                <w:noProof/>
              </w:rPr>
              <w:t xml:space="preserve"> żgurar tat-trasparenza, tal-ispjegabbiltà u tas-sorveljanza mill-bniedem tat-teknoloġiji tal-IA inkorporati fl-infrastrutturi kritiċi tal-enerġija; żieda fiċ-ċibersigurtà u fir-reżiljenza tal-grilji tal-elettriku b’apparati ta’ riskju għoli bħall-invertituri solari; żgurar tal-allinjament mal-protokolli tal-protezzjoni ċivili u tar-rispons ta’ emerġenza.</w:t>
            </w:r>
          </w:p>
        </w:tc>
      </w:tr>
    </w:tbl>
    <w:p w14:paraId="22BDDF15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Id-diġitalizzazzjoni tal-enerġija tirrikjedi forza tax-xogħol li tgħaqqad l-għarfien espert dwar l-enerġija mal-</w:t>
      </w:r>
      <w:r>
        <w:rPr>
          <w:rFonts w:ascii="Times New Roman" w:hAnsi="Times New Roman"/>
          <w:b/>
          <w:noProof/>
          <w:sz w:val="24"/>
        </w:rPr>
        <w:t>ħiliet diġitali u tal-IA</w:t>
      </w:r>
      <w:r>
        <w:rPr>
          <w:rFonts w:ascii="Times New Roman" w:hAnsi="Times New Roman"/>
          <w:noProof/>
          <w:sz w:val="24"/>
        </w:rPr>
        <w:t>. L-ispeċjalizzazzjoni tradizzjonali waħedha ma għadhiex biżżejjed: is-settur jeħtieġ talent ibridu, adattabbli u divers li kapaċi jgħaqqad dawn l-oqsma, b’attenzjoni kbira għall-bilanċ bejn il-ġeneri.</w:t>
      </w:r>
    </w:p>
    <w:p w14:paraId="6923FD72" w14:textId="77777777" w:rsidR="00625E3A" w:rsidRDefault="004C7FB2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Sabiex tiġi indirizzata l-ħtieġa dejjem tikber għall-ħiliet fl-enerġija, diġitali u tal-IA, is-sejħa għall-proposti tal-2026 tas-sottoprogramm LIFE għat-Tranżizzjoni lejn Enerġija Nadifa tinkludi </w:t>
      </w:r>
      <w:r>
        <w:rPr>
          <w:rFonts w:ascii="Times New Roman" w:hAnsi="Times New Roman"/>
          <w:b/>
          <w:noProof/>
          <w:sz w:val="24"/>
        </w:rPr>
        <w:t>azzjoni ta’ EUR 10 miljun fuq il-grilji intelliġenti biex jissaħħu l-ħiliet diġitali u tal-IA interni tal-operaturi tas-sistemi ta’ distribuzzjoni</w:t>
      </w:r>
      <w:r>
        <w:rPr>
          <w:rFonts w:ascii="Times New Roman" w:hAnsi="Times New Roman"/>
          <w:noProof/>
          <w:sz w:val="24"/>
        </w:rPr>
        <w:t>. Fid-dawl tal-possibbiltà ta’ Akkademja b’Emissjonijiet Żero Netti dwar il-grilji intelliġenti, il-proposti għandhom iqisu r-rieżami tal-akkademji mħabbra fil-komunikazzjoni “L-Unjoni tal-Ħiliet”. Il-Kummissjoni se tinvesti wkoll fil-ħiliet u fil-kapaċitajiet permezz ta’ diversi mezzi oħrajn: sħubija estiża tal-Patt għall-Ħiliet dwar id-diġitalizzazzjoni tas-sistema tal-enerġija, b’miri li jridu jiġu adottati fl-2026 u rieżaminati fl-2029; u appoġġ kontinwu permezz tal-Erasmus+ u l-EIT/Komunità ta’ Konoxxenza u Innovazzjoni (KKI) għal proġetti li jiżviluppaw ħiliet diġitali u tal-IA fl-oqsma  u fil-programmi ta’ studju fis-settur tal-enerġija mill-2026 ’il quddiem, filwaqt li jippromwovu riżervi ta’ talent diversi u bbilanċjati bejn il-ġeneri.</w:t>
      </w:r>
    </w:p>
    <w:p w14:paraId="24BEEFEF" w14:textId="77777777" w:rsidR="00625E3A" w:rsidRDefault="004C7FB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Azzjoni kkoordinata tal-UE hija essenzjali biex tissawwar il-governanza globali tal-enerġija u diġitali b’mod li jkun ta’ benefiċċju kemm għall-UE kif ukoll għas-sħab tagħha. F’konformità mal-Istrateġija Diġitali Internazzjonali tal-UE,</w:t>
      </w:r>
      <w:r>
        <w:rPr>
          <w:rStyle w:val="FootnoteReference"/>
          <w:noProof/>
        </w:rPr>
        <w:footnoteReference w:id="43"/>
      </w:r>
      <w:r>
        <w:rPr>
          <w:rFonts w:ascii="Times New Roman" w:hAnsi="Times New Roman"/>
          <w:noProof/>
          <w:sz w:val="24"/>
        </w:rPr>
        <w:t xml:space="preserve"> il-Kummissjoni se </w:t>
      </w:r>
      <w:r>
        <w:rPr>
          <w:rFonts w:ascii="Times New Roman" w:hAnsi="Times New Roman"/>
          <w:b/>
          <w:noProof/>
          <w:sz w:val="24"/>
        </w:rPr>
        <w:t>tippromwovi l-kooperazzjoni internazzjonali dwar ir-rabta bejn l-enerġija u l-IA</w:t>
      </w:r>
      <w:r>
        <w:rPr>
          <w:rFonts w:ascii="Times New Roman" w:hAnsi="Times New Roman"/>
          <w:noProof/>
          <w:sz w:val="24"/>
        </w:rPr>
        <w:t xml:space="preserve"> u se taħdem ma’ sħab tal-istess fehma u ma’ organizzazzjonijiet internazzjonali</w:t>
      </w:r>
      <w:r>
        <w:rPr>
          <w:rStyle w:val="FootnoteReference"/>
          <w:noProof/>
        </w:rPr>
        <w:footnoteReference w:id="44"/>
      </w:r>
      <w:r>
        <w:rPr>
          <w:rFonts w:ascii="Times New Roman" w:hAnsi="Times New Roman"/>
          <w:noProof/>
          <w:sz w:val="24"/>
        </w:rPr>
        <w:t xml:space="preserve"> biex tmexxi ’l quddiem il-Pjan ta’ Ħidma tal-G7 dwar l-Enerġija u l-IA mill-2026 ’il quddiem. Il-Kummissjoni se tniedi flimkien mal-bliet u mas-sħab finanzjarji inizjattiva globali dwar l-għodod diġitali u tal-IA għat-tranżizzjoni tal-enerġija urbana u l-faqar enerġetiku sal-2028, u se tappoġġa t-trasferiment tal-għarfien ta’ soluzzjonijiet tal-IA għall-enerġija lil pajjiżi sħab skont l-inizjattiva tal-IA għall-Ġid Pubbliku, bl-ewwel dimostrazzjonijiet ippjanati għall-2027.</w:t>
      </w:r>
    </w:p>
    <w:p w14:paraId="4C075E6B" w14:textId="77777777" w:rsidR="00625E3A" w:rsidRDefault="004C7FB2">
      <w:pPr>
        <w:pStyle w:val="Heading2"/>
        <w:numPr>
          <w:ilvl w:val="0"/>
          <w:numId w:val="25"/>
        </w:numPr>
        <w:tabs>
          <w:tab w:val="num" w:pos="360"/>
        </w:tabs>
        <w:spacing w:beforeLines="60" w:before="144" w:afterLines="60" w:after="144" w:line="240" w:lineRule="auto"/>
        <w:ind w:left="283" w:hanging="283"/>
        <w:jc w:val="both"/>
        <w:rPr>
          <w:rFonts w:cs="Times New Roman"/>
          <w:noProof/>
          <w:sz w:val="24"/>
          <w:szCs w:val="24"/>
        </w:rPr>
      </w:pPr>
      <w:bookmarkStart w:id="7" w:name="_Toc214361480"/>
      <w:r>
        <w:rPr>
          <w:noProof/>
          <w:sz w:val="24"/>
        </w:rPr>
        <w:t>Implimentazzjoni tal-Pjan Direzzjonali Strateġiku</w:t>
      </w:r>
      <w:bookmarkEnd w:id="7"/>
    </w:p>
    <w:p w14:paraId="51BE0A5C" w14:textId="77777777" w:rsidR="00625E3A" w:rsidRDefault="004C7F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Id-differenzi ġeografiċi fit-tħejjija għall-IA jistgħu jwasslu għal progress mhux uniformi madwar l-UE, għalhekk hija meħtieġa azzjoni mmirata biex jiġu żgurati żvilupp bilanċjat u kapaċitajiet diġitali lokali aktar b’saħħithom.  Sabiex tappoġġa t-twettiq tal-Pjan Direzzjonali sal-2030, il-Kummissjoni se tlaqqa’ </w:t>
      </w:r>
      <w:r>
        <w:rPr>
          <w:rFonts w:ascii="Times New Roman" w:hAnsi="Times New Roman"/>
          <w:b/>
          <w:noProof/>
          <w:sz w:val="24"/>
        </w:rPr>
        <w:t>Forum annwali dwar id-Diġitalizzazzjoni tal-Enerġija</w:t>
      </w:r>
      <w:r>
        <w:rPr>
          <w:rFonts w:ascii="Times New Roman" w:hAnsi="Times New Roman"/>
          <w:noProof/>
          <w:sz w:val="24"/>
        </w:rPr>
        <w:t xml:space="preserve"> mill-2026 biex tirrieżamina l-progress, tidentifika l-ostakli, tikkondividi prattiki tajbin u tindirizza l-iżviluppi emerġenti li jistgħu jeħtieġu azzjoni ulterjuri. Il-Kummissjoni se teżamina wkoll kif id-diġitalizzazzjoni u l-IA jiġu integrati aħjar fil-qafas ta’ governanza tal-Unjoni tal-Enerġija</w:t>
      </w:r>
      <w:r>
        <w:rPr>
          <w:rStyle w:val="FootnoteReference"/>
          <w:noProof/>
        </w:rPr>
        <w:footnoteReference w:id="45"/>
      </w:r>
      <w:r>
        <w:rPr>
          <w:rFonts w:ascii="Times New Roman" w:hAnsi="Times New Roman"/>
          <w:noProof/>
          <w:sz w:val="24"/>
        </w:rPr>
        <w:t xml:space="preserve"> u se tiżviluppa wkoll objettivi konkreti u miri indikattivi mal-Istati Membri u mal-partijiet ikkonċernati biex timmonitorja l-progress tad-diġitalizzazzjoni u tal-adozzjoni tal-IA fis-sistema tal-enerġija matul id-deċennju li ġej. Dawn l-objettivi għandhom ikunu bbażati fuq l-oqfsa ta’ monitoraġġ eżistenti, u indikaturi tal-grilji intelliġenti, bħall-osservabbiltà tal-grilja u l-integrazzjoni ta’ riżorsi flessibbli u se jiddependu fuq is-sorsi ta’ data disponibbli. </w:t>
      </w:r>
    </w:p>
    <w:p w14:paraId="02A03CF3" w14:textId="77777777" w:rsidR="00625E3A" w:rsidRDefault="004C7F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Il-kriżi reċenti tal-enerġija enfasizzat l-importanza ta’ data ta’ kwalità għolja dwar l-enerġija biex tinforma t-tfassil tal-politika u taċċellera t-tranżizzjoni tal-enerġija. Kif enfasizzat fir-rapport ta’ Draghi, hemm lok sinifikanti biex jittejbu l-kwalità, l-interoperabbiltà, u d-disponibbiltà f’waqtha tad-data u tal-istatistika dwar l-enerġija fl-UE. Bħala rispons inizjali, il-Kummissjoni ħabbret </w:t>
      </w:r>
      <w:r>
        <w:rPr>
          <w:rFonts w:ascii="Times New Roman" w:hAnsi="Times New Roman"/>
          <w:b/>
          <w:noProof/>
          <w:sz w:val="24"/>
        </w:rPr>
        <w:t>Osservatorju tal-Fjuwil</w:t>
      </w:r>
      <w:r>
        <w:rPr>
          <w:rStyle w:val="FootnoteReference"/>
          <w:noProof/>
        </w:rPr>
        <w:footnoteReference w:id="46"/>
      </w:r>
      <w:r>
        <w:rPr>
          <w:rFonts w:ascii="Times New Roman" w:hAnsi="Times New Roman"/>
          <w:noProof/>
          <w:sz w:val="24"/>
        </w:rPr>
        <w:t xml:space="preserve"> biex tintraċċa l-provvista u d-disponibbiltà tal-istokk tal-fjuwils rilevanti tat-trasport. Barra minn hekk, f’konformità mal-Att dwar id-Data, il-Kummissjoni </w:t>
      </w:r>
      <w:r>
        <w:rPr>
          <w:rFonts w:ascii="Times New Roman" w:hAnsi="Times New Roman"/>
          <w:b/>
          <w:noProof/>
          <w:sz w:val="24"/>
        </w:rPr>
        <w:t>se tniedi inizjattiva għal Data Aħjar dwar l-Enerġija</w:t>
      </w:r>
      <w:r>
        <w:rPr>
          <w:rFonts w:ascii="Times New Roman" w:hAnsi="Times New Roman"/>
          <w:noProof/>
          <w:sz w:val="24"/>
        </w:rPr>
        <w:t>, bil-ħsieb li timmappja u tindirizza l-lakuni fid-disponibbiltà tad-data dwar l-enerġija, filwaqt li tiffoka fuq il-ksib ta’ data aktar komprensiva, dettaljata, interoperabbli u f’waqtha u tiżgura li din tkun faċilment aċċessibbli. Din l-inizjattiva se tinforma l-passi ulterjuri biex tiġi rrazzjonalizzata u ffaċilitata d-data pubblika u miftuħa dwar l-enerġija, inkluż id-data mill-awtoritajiet pubbliċi, mill-operaturi tas-sistema, u mill-ACER,</w:t>
      </w:r>
      <w:r>
        <w:rPr>
          <w:rStyle w:val="FootnoteReference"/>
          <w:noProof/>
        </w:rPr>
        <w:footnoteReference w:id="47"/>
      </w:r>
      <w:r>
        <w:rPr>
          <w:rFonts w:ascii="Times New Roman" w:hAnsi="Times New Roman"/>
          <w:noProof/>
          <w:sz w:val="24"/>
        </w:rPr>
        <w:t xml:space="preserve"> u biex tittejjeb l-istatistika dwar l-enerġija.</w:t>
      </w:r>
      <w:r>
        <w:rPr>
          <w:rStyle w:val="FootnoteReference"/>
          <w:noProof/>
        </w:rPr>
        <w:footnoteReference w:id="48"/>
      </w:r>
      <w:r>
        <w:rPr>
          <w:rFonts w:ascii="Times New Roman" w:hAnsi="Times New Roman"/>
          <w:noProof/>
          <w:sz w:val="24"/>
        </w:rPr>
        <w:t xml:space="preserve"> Dan se jsaħħaħ il-monitoraġġ tal-miri tal-politiki tal-enerġija tal-UE, se jtejjeb it-trasparenza fis-swieq tal-enerġija, u se jappoġġa tranżizzjoni aktar effettiva lejn enerġija nadifa.</w:t>
      </w:r>
    </w:p>
    <w:tbl>
      <w:tblPr>
        <w:tblStyle w:val="TableGrid"/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25E3A" w14:paraId="769FE5BC" w14:textId="77777777">
        <w:trPr>
          <w:trHeight w:val="699"/>
        </w:trPr>
        <w:tc>
          <w:tcPr>
            <w:tcW w:w="9072" w:type="dxa"/>
          </w:tcPr>
          <w:p w14:paraId="584EDB5E" w14:textId="77777777" w:rsidR="00625E3A" w:rsidRDefault="004C7FB2">
            <w:pPr>
              <w:spacing w:before="60" w:after="60"/>
              <w:jc w:val="both"/>
              <w:rPr>
                <w:noProof/>
              </w:rPr>
            </w:pPr>
            <w:r>
              <w:rPr>
                <w:b/>
                <w:noProof/>
              </w:rPr>
              <w:t>Azzjoni ewlenija 7:</w:t>
            </w:r>
            <w:r>
              <w:rPr>
                <w:noProof/>
              </w:rPr>
              <w:t xml:space="preserve"> </w:t>
            </w:r>
            <w:r>
              <w:rPr>
                <w:b/>
                <w:noProof/>
              </w:rPr>
              <w:t>Traċċar tal-progress tad-diġitalizzazzjoni fl-UE u titjib tad-disponibbiltà tad-data dwar l-enerġija</w:t>
            </w:r>
          </w:p>
          <w:p w14:paraId="64427B9E" w14:textId="77777777" w:rsidR="00625E3A" w:rsidRDefault="004C7FB2">
            <w:pPr>
              <w:spacing w:before="60" w:after="60"/>
              <w:jc w:val="both"/>
              <w:rPr>
                <w:noProof/>
              </w:rPr>
            </w:pPr>
            <w:r>
              <w:rPr>
                <w:noProof/>
                <w:u w:val="single"/>
              </w:rPr>
              <w:t>Twaqqit:</w:t>
            </w:r>
            <w:r>
              <w:rPr>
                <w:noProof/>
              </w:rPr>
              <w:t xml:space="preserve"> jitlaqqa’ Forum annwali dwar id-Diġitalizzazzjoni tal-Enerġija mill-2026; definizzjoni ta’ metriki għall-monitoraġġ tal-progress tad-diġitalizzazzjoni u l-adozzjoni tal-IA fl-2027; ħolqien ta’ Osservatorju tal-Fjuwil fl-2026; tnedija ta’ inizjattiva għal Data Aħjar dwar l-Enerġija fir-raba’ trimestru tal-2026.</w:t>
            </w:r>
          </w:p>
          <w:p w14:paraId="658D3E67" w14:textId="77777777" w:rsidR="00625E3A" w:rsidRDefault="004C7FB2">
            <w:pPr>
              <w:spacing w:before="60" w:after="60"/>
              <w:jc w:val="both"/>
              <w:rPr>
                <w:noProof/>
                <w:szCs w:val="24"/>
              </w:rPr>
            </w:pPr>
            <w:r>
              <w:rPr>
                <w:noProof/>
                <w:u w:val="single"/>
              </w:rPr>
              <w:t>Impatti mistennija:</w:t>
            </w:r>
            <w:r>
              <w:rPr>
                <w:noProof/>
              </w:rPr>
              <w:t xml:space="preserve"> tiġi żgurata diġitalizzazzjoni bbilanċjata fost l-Istati Membri, tittejjeb id-disponibbiltà tad-data dwar l-enerġija biex jiġu mmonitorjati l-miri tal-politiki tal-enerġija tal-UE u jiġi appoġġat it-teħid tad-deċiżjonijiet.</w:t>
            </w:r>
          </w:p>
        </w:tc>
      </w:tr>
    </w:tbl>
    <w:p w14:paraId="6F3D41D9" w14:textId="77777777" w:rsidR="00625E3A" w:rsidRDefault="00625E3A">
      <w:pPr>
        <w:pStyle w:val="Heading2"/>
        <w:spacing w:beforeLines="60" w:before="144" w:afterLines="60" w:after="144" w:line="240" w:lineRule="auto"/>
        <w:jc w:val="both"/>
        <w:rPr>
          <w:rFonts w:cs="Times New Roman"/>
          <w:noProof/>
          <w:sz w:val="24"/>
          <w:szCs w:val="24"/>
        </w:rPr>
      </w:pPr>
    </w:p>
    <w:sectPr w:rsidR="00625E3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endnotePr>
        <w:numFmt w:val="lowerLetter"/>
      </w:endnotePr>
      <w:pgSz w:w="11906" w:h="16838"/>
      <w:pgMar w:top="1440" w:right="1440" w:bottom="1440" w:left="1440" w:header="601" w:footer="107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B8F98" w14:textId="77777777" w:rsidR="004C7FB2" w:rsidRDefault="004C7FB2">
      <w:pPr>
        <w:spacing w:after="0" w:line="240" w:lineRule="auto"/>
      </w:pPr>
      <w:r>
        <w:separator/>
      </w:r>
    </w:p>
  </w:endnote>
  <w:endnote w:type="continuationSeparator" w:id="0">
    <w:p w14:paraId="189203AE" w14:textId="77777777" w:rsidR="004C7FB2" w:rsidRDefault="004C7FB2">
      <w:pPr>
        <w:spacing w:after="0" w:line="240" w:lineRule="auto"/>
      </w:pPr>
      <w:r>
        <w:continuationSeparator/>
      </w:r>
    </w:p>
  </w:endnote>
  <w:endnote w:type="continuationNotice" w:id="1">
    <w:p w14:paraId="11480EE6" w14:textId="77777777" w:rsidR="004C7FB2" w:rsidRDefault="004C7F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DE752" w14:textId="37E1AE0E" w:rsidR="006A394C" w:rsidRPr="006A394C" w:rsidRDefault="006A394C" w:rsidP="006A394C">
    <w:pPr>
      <w:pStyle w:val="FooterCoverPage"/>
      <w:rPr>
        <w:rFonts w:ascii="Arial" w:hAnsi="Arial" w:cs="Arial"/>
        <w:b/>
        <w:sz w:val="48"/>
      </w:rPr>
    </w:pPr>
    <w:r w:rsidRPr="006A394C">
      <w:rPr>
        <w:rFonts w:ascii="Arial" w:hAnsi="Arial" w:cs="Arial"/>
        <w:b/>
        <w:sz w:val="48"/>
      </w:rPr>
      <w:t>MT</w:t>
    </w:r>
    <w:r w:rsidRPr="006A394C">
      <w:rPr>
        <w:rFonts w:ascii="Arial" w:hAnsi="Arial" w:cs="Arial"/>
        <w:b/>
        <w:sz w:val="48"/>
      </w:rPr>
      <w:tab/>
    </w:r>
    <w:r w:rsidRPr="006A394C">
      <w:rPr>
        <w:rFonts w:ascii="Arial" w:hAnsi="Arial" w:cs="Arial"/>
        <w:b/>
        <w:sz w:val="48"/>
      </w:rPr>
      <w:tab/>
    </w:r>
    <w:r w:rsidRPr="006A394C">
      <w:tab/>
    </w:r>
    <w:r w:rsidRPr="006A394C">
      <w:rPr>
        <w:rFonts w:ascii="Arial" w:hAnsi="Arial" w:cs="Arial"/>
        <w:b/>
        <w:sz w:val="48"/>
      </w:rPr>
      <w:t>MT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B11A9" w14:textId="37A01116" w:rsidR="006A394C" w:rsidRPr="006A394C" w:rsidRDefault="006A394C" w:rsidP="006A394C">
    <w:pPr>
      <w:pStyle w:val="FooterCoverPage"/>
      <w:rPr>
        <w:rFonts w:ascii="Arial" w:hAnsi="Arial" w:cs="Arial"/>
        <w:b/>
        <w:sz w:val="48"/>
      </w:rPr>
    </w:pPr>
    <w:r w:rsidRPr="006A394C">
      <w:rPr>
        <w:rFonts w:ascii="Arial" w:hAnsi="Arial" w:cs="Arial"/>
        <w:b/>
        <w:sz w:val="48"/>
      </w:rPr>
      <w:t>MT</w:t>
    </w:r>
    <w:r w:rsidRPr="006A394C">
      <w:rPr>
        <w:rFonts w:ascii="Arial" w:hAnsi="Arial" w:cs="Arial"/>
        <w:b/>
        <w:sz w:val="48"/>
      </w:rPr>
      <w:tab/>
    </w:r>
    <w:r w:rsidRPr="006A394C">
      <w:rPr>
        <w:rFonts w:ascii="Arial" w:hAnsi="Arial" w:cs="Arial"/>
        <w:b/>
        <w:sz w:val="48"/>
      </w:rPr>
      <w:tab/>
    </w:r>
    <w:r w:rsidRPr="006A394C">
      <w:tab/>
    </w:r>
    <w:r w:rsidRPr="006A394C">
      <w:rPr>
        <w:rFonts w:ascii="Arial" w:hAnsi="Arial" w:cs="Arial"/>
        <w:b/>
        <w:sz w:val="48"/>
      </w:rPr>
      <w:t>MT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8DDF1" w14:textId="77777777" w:rsidR="006A394C" w:rsidRPr="006A394C" w:rsidRDefault="006A394C" w:rsidP="006A394C">
    <w:pPr>
      <w:pStyle w:val="FooterCover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8CC8F" w14:textId="77777777" w:rsidR="00625E3A" w:rsidRDefault="004C7FB2">
    <w:pPr>
      <w:pStyle w:val="FooterLine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27CED" w14:textId="1FA0DD52" w:rsidR="00625E3A" w:rsidRDefault="004C7FB2">
    <w:pPr>
      <w:pStyle w:val="FooterLine"/>
      <w:jc w:val="center"/>
    </w:pPr>
    <w:r>
      <w:fldChar w:fldCharType="begin"/>
    </w:r>
    <w:r>
      <w:instrText>PAGE   \* MERGEFORMAT</w:instrText>
    </w:r>
    <w:r>
      <w:fldChar w:fldCharType="separate"/>
    </w:r>
    <w:r w:rsidR="006A394C">
      <w:rPr>
        <w:noProof/>
      </w:rPr>
      <w:t>1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B80A5" w14:textId="77777777" w:rsidR="00625E3A" w:rsidRDefault="00625E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EB398" w14:textId="77777777" w:rsidR="004C7FB2" w:rsidRDefault="004C7FB2">
      <w:pPr>
        <w:spacing w:after="0" w:line="240" w:lineRule="auto"/>
      </w:pPr>
      <w:r>
        <w:separator/>
      </w:r>
    </w:p>
  </w:footnote>
  <w:footnote w:type="continuationSeparator" w:id="0">
    <w:p w14:paraId="34013B44" w14:textId="77777777" w:rsidR="004C7FB2" w:rsidRDefault="004C7FB2">
      <w:pPr>
        <w:spacing w:after="0" w:line="240" w:lineRule="auto"/>
      </w:pPr>
      <w:r>
        <w:continuationSeparator/>
      </w:r>
    </w:p>
  </w:footnote>
  <w:footnote w:type="continuationNotice" w:id="1">
    <w:p w14:paraId="1CC2865E" w14:textId="77777777" w:rsidR="004C7FB2" w:rsidRDefault="004C7FB2">
      <w:pPr>
        <w:spacing w:after="0" w:line="240" w:lineRule="auto"/>
      </w:pPr>
    </w:p>
  </w:footnote>
  <w:footnote w:id="2">
    <w:p w14:paraId="6394BB22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rFonts w:eastAsiaTheme="majorEastAsia"/>
          <w:sz w:val="18"/>
          <w:szCs w:val="18"/>
        </w:rPr>
        <w:footnoteRef/>
      </w:r>
      <w:r>
        <w:rPr>
          <w:sz w:val="18"/>
        </w:rPr>
        <w:t xml:space="preserve"> </w:t>
      </w:r>
      <w:hyperlink r:id="rId1" w:history="1">
        <w:r>
          <w:rPr>
            <w:rStyle w:val="Hyperlink"/>
            <w:sz w:val="18"/>
          </w:rPr>
          <w:t>The future of European competitiveness</w:t>
        </w:r>
      </w:hyperlink>
      <w:r>
        <w:rPr>
          <w:rStyle w:val="Hyperlink"/>
          <w:sz w:val="18"/>
        </w:rPr>
        <w:t>: A Competitiveness Strategy for Europe (Il-futur tal-kompetittività Ewropea: Strateġija għall-Kompetittività għall-Ewropa), M. Draghi, 2024</w:t>
      </w:r>
    </w:p>
  </w:footnote>
  <w:footnote w:id="3">
    <w:p w14:paraId="5BDC030F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Id-diġitalizzazzjoni tista’ twassal għal aktar minn EUR 71 biljun f’iffrankar dirett annwali għall-konsumaturi u aktar minn EUR 300 biljun f’benefiċċji usa’ tas-sistema (2030 Demand-side flexibility - </w:t>
      </w:r>
      <w:hyperlink r:id="rId2">
        <w:r>
          <w:rPr>
            <w:rStyle w:val="Hyperlink"/>
            <w:sz w:val="18"/>
          </w:rPr>
          <w:t>Quantification of benefits in the EU</w:t>
        </w:r>
      </w:hyperlink>
      <w:r>
        <w:rPr>
          <w:sz w:val="18"/>
        </w:rPr>
        <w:t>, studju mwettaq minn smartEn u DNV). L-Aġenzija għall-Koperazzjoni tar-Regolaturi tal-Enerġija (ACER) tirrapporta li l-unitajiet domestiċi Żvediżi li jużaw it-tisħin elettriku jistgħu jiffrankaw sa 40 % permezz ta’ flessibbiltà min-naħa tad-domanda, filwaqt li l-Aġenzija Internazzjonali tal-Enerġija (AIE) tistma li l-applikazzjonijiet eżistenti tal-IA fl-operazzjonijiet u l-manutenzjoni tal-impjanti tal-enerġija jistgħu jiġġeneraw EUR 95 biljun f’iffrankar annwali globali sal-2035 (</w:t>
      </w:r>
      <w:hyperlink r:id="rId3">
        <w:r>
          <w:rPr>
            <w:rStyle w:val="Hyperlink"/>
            <w:sz w:val="18"/>
          </w:rPr>
          <w:t>IEA - Energy and AI, World Energy Outlook Special Report, 2025</w:t>
        </w:r>
      </w:hyperlink>
      <w:r>
        <w:rPr>
          <w:sz w:val="18"/>
        </w:rPr>
        <w:t>).</w:t>
      </w:r>
    </w:p>
  </w:footnote>
  <w:footnote w:id="4">
    <w:p w14:paraId="226E2C05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 L-AIE tistma li, f’ekonomiji avvanzati, iċ-ċentri tad-data se jixprunaw aktar minn 20 % tat-tkabbir fid-domanda għall-elettriku bejn issa u l-2030 </w:t>
      </w:r>
      <w:hyperlink r:id="rId4" w:history="1">
        <w:r>
          <w:rPr>
            <w:rStyle w:val="Hyperlink"/>
            <w:sz w:val="18"/>
          </w:rPr>
          <w:t>AIE - Enerġija u IA, Rapport Speċjali ta’ Prospettiva tal-Enerġija Dinjija, 2025</w:t>
        </w:r>
      </w:hyperlink>
    </w:p>
  </w:footnote>
  <w:footnote w:id="5">
    <w:p w14:paraId="779B7FEC" w14:textId="77777777" w:rsidR="00625E3A" w:rsidRDefault="004C7FB2">
      <w:pPr>
        <w:pStyle w:val="FootnoteText"/>
        <w:spacing w:after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</w:t>
      </w:r>
      <w:hyperlink r:id="rId5" w:history="1">
        <w:r>
          <w:rPr>
            <w:rStyle w:val="Hyperlink"/>
            <w:sz w:val="18"/>
          </w:rPr>
          <w:t>Strateġija għar-reżiljenza tal-ilma</w:t>
        </w:r>
      </w:hyperlink>
    </w:p>
  </w:footnote>
  <w:footnote w:id="6">
    <w:p w14:paraId="23878536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Fl-Istati Uniti, l-Istrateġija tal-IA (</w:t>
      </w:r>
      <w:hyperlink r:id="rId6" w:history="1">
        <w:r>
          <w:rPr>
            <w:rStyle w:val="Hyperlink"/>
            <w:sz w:val="18"/>
          </w:rPr>
          <w:t>Id-Dipartiment tal-Enerġija tal-Istati Uniti, Artificial Intelligence Strategy, Ottubru 2025</w:t>
        </w:r>
      </w:hyperlink>
      <w:r>
        <w:rPr>
          <w:sz w:val="18"/>
        </w:rPr>
        <w:t>) u l-Missjoni Genesis (</w:t>
      </w:r>
      <w:hyperlink r:id="rId7" w:history="1">
        <w:r>
          <w:rPr>
            <w:rStyle w:val="Hyperlink"/>
            <w:sz w:val="18"/>
          </w:rPr>
          <w:t>The White House:</w:t>
        </w:r>
      </w:hyperlink>
      <w:hyperlink r:id="rId8" w:history="1">
        <w:r>
          <w:rPr>
            <w:rStyle w:val="Hyperlink"/>
            <w:sz w:val="18"/>
          </w:rPr>
          <w:t xml:space="preserve"> Launching the Genesis mission</w:t>
        </w:r>
      </w:hyperlink>
      <w:r>
        <w:rPr>
          <w:sz w:val="18"/>
        </w:rPr>
        <w:t xml:space="preserve">) jippożizzjonaw l-IA bħala assi strateġiku għas-settur tal-enerġija. </w:t>
      </w:r>
      <w:r>
        <w:t xml:space="preserve">Il-Pjan Nazzjonali taċ-Ċina għall-Integrazzjoni tal-IA-Enerġija </w:t>
      </w:r>
      <w:r>
        <w:rPr>
          <w:sz w:val="18"/>
        </w:rPr>
        <w:t>(</w:t>
      </w:r>
      <w:hyperlink r:id="rId9" w:history="1">
        <w:r>
          <w:rPr>
            <w:rStyle w:val="Hyperlink"/>
            <w:sz w:val="18"/>
          </w:rPr>
          <w:t>Il-Kunsill tal-Istat:</w:t>
        </w:r>
      </w:hyperlink>
      <w:hyperlink r:id="rId10" w:history="1">
        <w:r>
          <w:rPr>
            <w:rStyle w:val="Hyperlink"/>
            <w:sz w:val="18"/>
          </w:rPr>
          <w:t xml:space="preserve"> Plan on AI-energy integration</w:t>
        </w:r>
      </w:hyperlink>
      <w:r>
        <w:rPr>
          <w:sz w:val="18"/>
        </w:rPr>
        <w:t xml:space="preserve"> u </w:t>
      </w:r>
      <w:hyperlink r:id="rId11" w:history="1">
        <w:r>
          <w:rPr>
            <w:rStyle w:val="Hyperlink"/>
            <w:sz w:val="18"/>
          </w:rPr>
          <w:t>Forbes:</w:t>
        </w:r>
      </w:hyperlink>
      <w:hyperlink r:id="rId12" w:history="1">
        <w:r>
          <w:rPr>
            <w:rStyle w:val="Hyperlink"/>
            <w:sz w:val="18"/>
          </w:rPr>
          <w:t xml:space="preserve"> China’s new AI Strategy explained</w:t>
        </w:r>
      </w:hyperlink>
      <w:r>
        <w:rPr>
          <w:sz w:val="18"/>
        </w:rPr>
        <w:t>) tistabbilixxi strateġija kkoordinata sabiex l-IA tiġi inkorporata fis-sistema tal-enerġija kollha.</w:t>
      </w:r>
    </w:p>
  </w:footnote>
  <w:footnote w:id="7">
    <w:p w14:paraId="210E217D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</w:t>
      </w:r>
      <w:hyperlink r:id="rId13" w:history="1">
        <w:r>
          <w:rPr>
            <w:rStyle w:val="Hyperlink"/>
            <w:sz w:val="18"/>
          </w:rPr>
          <w:t>Pjan ta’ Azzjoni għal Kontinent tal-IA</w:t>
        </w:r>
      </w:hyperlink>
      <w:r>
        <w:rPr>
          <w:sz w:val="18"/>
        </w:rPr>
        <w:t xml:space="preserve"> (COM(2025) 165)</w:t>
      </w:r>
    </w:p>
  </w:footnote>
  <w:footnote w:id="8">
    <w:p w14:paraId="36278D14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</w:t>
      </w:r>
      <w:hyperlink r:id="rId14">
        <w:r>
          <w:rPr>
            <w:rStyle w:val="Hyperlink"/>
            <w:sz w:val="18"/>
          </w:rPr>
          <w:t>Strateġija għall-Applikazzjoni tal-IA</w:t>
        </w:r>
      </w:hyperlink>
      <w:r>
        <w:rPr>
          <w:sz w:val="18"/>
        </w:rPr>
        <w:t xml:space="preserve"> (COM(2025) 723 final)</w:t>
      </w:r>
    </w:p>
  </w:footnote>
  <w:footnote w:id="9">
    <w:p w14:paraId="265C1BD9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rFonts w:eastAsiaTheme="majorEastAsia"/>
          <w:sz w:val="18"/>
          <w:szCs w:val="18"/>
        </w:rPr>
        <w:footnoteRef/>
      </w:r>
      <w:r>
        <w:rPr>
          <w:sz w:val="18"/>
        </w:rPr>
        <w:t xml:space="preserve"> Study: “Cloud and AI”: Technopolis, Wavestone, Timelex, STL Partners, OpenForum Europe, KAPA Research (2025)</w:t>
      </w:r>
    </w:p>
  </w:footnote>
  <w:footnote w:id="10">
    <w:p w14:paraId="36A516AB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B’mod partikolari madwar Dublin, Frankfurt, Amsterdam u Pariġi, iżda wkoll fi Spanja, fl-Italja, fil-Belġju, fil-Polonja u fir-reġjuni Nordiċi.</w:t>
      </w:r>
    </w:p>
  </w:footnote>
  <w:footnote w:id="11">
    <w:p w14:paraId="766378DB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Avviż tal-Kummissjoni – Gwida dwar konnessjonijiet tal-grilja effiċjenti u f’waqthom (C/2025/8473), Avviż tal-Kummissjoni dwar Linji Gwida dwar tariffi tan-network li jibqgħu validi fil-futur għal kostijiet imnaqqsa tas-sistema tal-enerġija (C/2025/8574), Avviż tal-Kummissjoni dwar gwida dwar investimenti antiċipatorji għall-iżvilupp ta’ networks tal-elettriku li jħarsu ’l quddiem (C/2025/3291)</w:t>
      </w:r>
    </w:p>
  </w:footnote>
  <w:footnote w:id="12">
    <w:p w14:paraId="6120687C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B’mod partikolari d-dispożizzjonijiet tar-Regolament (UE) 2019/943 tal-Parlament Ewropew u tal-Kunsill tal-5 ta’ Ġunju 2019 dwar is-suq intern tal-elettriku u tad-Direttiva (UE) 2019/944 tal-Parlament Ewropew u tal-Kunsill tal-5 ta’ Ġunju 2019 dwar regoli komuni għas-suq intern għall-elettriku</w:t>
      </w:r>
    </w:p>
  </w:footnote>
  <w:footnote w:id="13">
    <w:p w14:paraId="335551DC" w14:textId="77777777" w:rsidR="00625E3A" w:rsidRDefault="004C7FB2">
      <w:pPr>
        <w:pStyle w:val="FootnoteText"/>
        <w:spacing w:after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</w:t>
      </w:r>
      <w:hyperlink r:id="rId15" w:history="1">
        <w:r>
          <w:rPr>
            <w:rStyle w:val="Hyperlink"/>
            <w:sz w:val="18"/>
          </w:rPr>
          <w:t>Capacitypedia:</w:t>
        </w:r>
      </w:hyperlink>
      <w:hyperlink r:id="rId16" w:history="1">
        <w:r>
          <w:rPr>
            <w:rStyle w:val="Hyperlink"/>
            <w:sz w:val="18"/>
          </w:rPr>
          <w:t xml:space="preserve"> Pan-EU Overview on Grid Hosting Capacity Information</w:t>
        </w:r>
      </w:hyperlink>
    </w:p>
  </w:footnote>
  <w:footnote w:id="14">
    <w:p w14:paraId="6B324594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L-istatistika Ewropea, inkluża d-data dwar il-konsum tal-enerġija fiċ-ċentri tad-data, tinġabar skont id-dispożizzjonijiet tar-Regolament (KE) 1099/2008. </w:t>
      </w:r>
    </w:p>
  </w:footnote>
  <w:footnote w:id="15">
    <w:p w14:paraId="02A424BF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>F’konformità mar-Rakkomandazzjoni tal-Kummissjoni dwar it-tneħħija tal-ostakli għall-iżvilupp ta’ ftehimiet dwar ix-xiri tal-enerġija u ftehimiet oħra dwar ix-xiri tal-enerġija (ir-Rakkomandazzjoni tal-Kummissjoni (UE) 2026/917).</w:t>
      </w:r>
    </w:p>
  </w:footnote>
  <w:footnote w:id="16">
    <w:p w14:paraId="6E226F1A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L-Artikoli 12 u 33 tad-Direttiva dwar l-Effiċjenza Enerġetika (UE) 2023/1791, li jibnu fuq l-iskema ta’ rapportar eżistenti għaċ-ċentri tad-data introdotta fl-2024 mir-Regolament Delegat tal-Kummissjoni (UE) 2024/1364</w:t>
      </w:r>
    </w:p>
  </w:footnote>
  <w:footnote w:id="17">
    <w:p w14:paraId="3A0D2FBC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</w:t>
      </w:r>
      <w:hyperlink r:id="rId17" w:history="1">
        <w:r>
          <w:rPr>
            <w:rStyle w:val="Hyperlink"/>
            <w:sz w:val="18"/>
          </w:rPr>
          <w:t>Utrecht becomes Europe’s first city with a V2G electric car‑sharing service</w:t>
        </w:r>
      </w:hyperlink>
    </w:p>
  </w:footnote>
  <w:footnote w:id="18">
    <w:p w14:paraId="26ED1072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</w:t>
      </w:r>
      <w:hyperlink r:id="rId18" w:history="1">
        <w:r>
          <w:rPr>
            <w:rStyle w:val="Hyperlink"/>
            <w:sz w:val="18"/>
          </w:rPr>
          <w:t>Plugging into potential:</w:t>
        </w:r>
      </w:hyperlink>
      <w:hyperlink r:id="rId19" w:history="1">
        <w:r>
          <w:rPr>
            <w:rStyle w:val="Hyperlink"/>
            <w:sz w:val="18"/>
          </w:rPr>
          <w:t xml:space="preserve"> unleashing the untapped flexibility of EVs</w:t>
        </w:r>
      </w:hyperlink>
      <w:r>
        <w:rPr>
          <w:sz w:val="18"/>
        </w:rPr>
        <w:t>, Eurelectric, 2025</w:t>
      </w:r>
    </w:p>
  </w:footnote>
  <w:footnote w:id="19">
    <w:p w14:paraId="6F9CB463" w14:textId="77777777" w:rsidR="00625E3A" w:rsidRDefault="004C7FB2">
      <w:pPr>
        <w:pStyle w:val="FootnoteText"/>
        <w:spacing w:after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</w:t>
      </w:r>
      <w:hyperlink r:id="rId20" w:history="1">
        <w:r>
          <w:rPr>
            <w:rStyle w:val="Hyperlink"/>
            <w:sz w:val="18"/>
          </w:rPr>
          <w:t>Port electricity commercial model (project pilot) - Publications Office of the EU</w:t>
        </w:r>
      </w:hyperlink>
    </w:p>
  </w:footnote>
  <w:footnote w:id="20">
    <w:p w14:paraId="69C12509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</w:t>
      </w:r>
      <w:hyperlink r:id="rId21" w:history="1">
        <w:r>
          <w:rPr>
            <w:rStyle w:val="Hyperlink"/>
            <w:sz w:val="18"/>
          </w:rPr>
          <w:t>Aktar minn EUR 1.2 triljun għandhom jiġu investiti matul il-perjodu 2024–2040</w:t>
        </w:r>
      </w:hyperlink>
      <w:r>
        <w:rPr>
          <w:sz w:val="18"/>
        </w:rPr>
        <w:t>, u minnhom, EUR 730 biljun huma previsti għall-grilji tad-distribuzzjoni u EUR 430 biljun għall-grilji tat-trażmissjoni.</w:t>
      </w:r>
    </w:p>
  </w:footnote>
  <w:footnote w:id="21">
    <w:p w14:paraId="31B6B9D7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Id-Direttiva (UE) 2024/1711 u r-Regolament (UE) 2024/1747.</w:t>
      </w:r>
    </w:p>
  </w:footnote>
  <w:footnote w:id="22">
    <w:p w14:paraId="4A043257" w14:textId="77777777" w:rsidR="00625E3A" w:rsidRDefault="004C7FB2">
      <w:pPr>
        <w:pStyle w:val="FootnoteText"/>
        <w:spacing w:after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B’mod aktar speċifiku, fil-Proposta għar-reviżjoni tar-Regolament TEN-E</w:t>
      </w:r>
    </w:p>
  </w:footnote>
  <w:footnote w:id="23">
    <w:p w14:paraId="1E0C0727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Fl-2021–2027, ġew allokati madwar EUR 1 biljun għas-sistemi tal-enerġija, il-grilji u l-ħżin. </w:t>
      </w:r>
    </w:p>
  </w:footnote>
  <w:footnote w:id="24">
    <w:p w14:paraId="4E7B2AF3" w14:textId="77777777" w:rsidR="00625E3A" w:rsidRDefault="004C7FB2">
      <w:pPr>
        <w:pStyle w:val="FootnoteText"/>
        <w:spacing w:after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L-istudju CurrENT: </w:t>
      </w:r>
      <w:hyperlink r:id="rId22" w:history="1">
        <w:r>
          <w:rPr>
            <w:rStyle w:val="Hyperlink"/>
            <w:sz w:val="18"/>
          </w:rPr>
          <w:t>Prospects for innovative power grid technologies</w:t>
        </w:r>
      </w:hyperlink>
      <w:r>
        <w:rPr>
          <w:sz w:val="18"/>
        </w:rPr>
        <w:t>, 2024.</w:t>
      </w:r>
    </w:p>
  </w:footnote>
  <w:footnote w:id="25">
    <w:p w14:paraId="662B8690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In-Network Ewropew għall-Operaturi tas-Sistema ta’ Trażmissjoni tal-Elettriku (ENTSO-E) u l-Entità Ewropea għall-operaturi tas-sistema tad-distribuzzjoni (EU DSO) identifikaw sfidi, opportunitajiet u każijiet ta’ użu komuni għal soluzzjonijiet doppji diġitali fil-grilji tal-UE, li jitolbu approċċ kollaborattiv strateġiku għall-implimentazzjoni.</w:t>
      </w:r>
    </w:p>
  </w:footnote>
  <w:footnote w:id="26">
    <w:p w14:paraId="2ED63DCC" w14:textId="77777777" w:rsidR="00625E3A" w:rsidRDefault="004C7FB2">
      <w:pPr>
        <w:pStyle w:val="FootnoteText"/>
        <w:spacing w:after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Il-programm ta’ ħidma 2026–2027 jalloka madwar EUR 90 miljun għal soluzzjonijiet avvanzati għall-grilji tal-elettriku.</w:t>
      </w:r>
    </w:p>
  </w:footnote>
  <w:footnote w:id="27">
    <w:p w14:paraId="6C0D7BC5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Il-professur Draghi jenfasizza li fl-2024 l-Istati Uniti pproduċew erbgħin mudell notevoli tal-IA, iċ-Ċina ħmistax, u l-UE tlieta biss.</w:t>
      </w:r>
    </w:p>
  </w:footnote>
  <w:footnote w:id="28">
    <w:p w14:paraId="5C522B67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rFonts w:eastAsiaTheme="majorEastAsia"/>
          <w:sz w:val="18"/>
          <w:szCs w:val="18"/>
        </w:rPr>
        <w:footnoteRef/>
      </w:r>
      <w:r>
        <w:rPr>
          <w:sz w:val="18"/>
        </w:rPr>
        <w:t xml:space="preserve"> </w:t>
      </w:r>
      <w:hyperlink r:id="rId23" w:history="1">
        <w:r>
          <w:rPr>
            <w:rStyle w:val="Hyperlink"/>
            <w:sz w:val="18"/>
          </w:rPr>
          <w:t>AIE - Energy and AI, World Energy Outlook Special Report, 2025</w:t>
        </w:r>
      </w:hyperlink>
    </w:p>
  </w:footnote>
  <w:footnote w:id="29">
    <w:p w14:paraId="5757EB8E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rFonts w:eastAsiaTheme="majorEastAsia"/>
          <w:sz w:val="18"/>
          <w:szCs w:val="18"/>
        </w:rPr>
        <w:footnoteRef/>
      </w:r>
      <w:r>
        <w:rPr>
          <w:sz w:val="18"/>
        </w:rPr>
        <w:t xml:space="preserve"> </w:t>
      </w:r>
      <w:r>
        <w:rPr>
          <w:color w:val="242424"/>
          <w:sz w:val="18"/>
        </w:rPr>
        <w:t xml:space="preserve">L-ottimizzazzjoni tal-operazzjonijiet u l-manutenzjoni abbażi tal-IA tista’ tiffranka sa $110 biljun fis-sena sal-2035 f’kostijiet tal-fjuwil u tal-O&amp;M skont ix-xenarju tal-adozzjoni mifruxa tal-IA tal-AIE (2025), </w:t>
      </w:r>
      <w:hyperlink r:id="rId24" w:history="1">
        <w:r>
          <w:rPr>
            <w:rStyle w:val="Hyperlink"/>
            <w:sz w:val="18"/>
          </w:rPr>
          <w:t>Energy and AI</w:t>
        </w:r>
      </w:hyperlink>
      <w:r>
        <w:rPr>
          <w:color w:val="242424"/>
          <w:sz w:val="18"/>
        </w:rPr>
        <w:t>, AIE, Pariġi</w:t>
      </w:r>
    </w:p>
  </w:footnote>
  <w:footnote w:id="30">
    <w:p w14:paraId="62F477F5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L-IA tista’ ttejjeb is-sikurezza u l-effiċjenza permezz ta’ manutenzjoni abbażi ta’ previżjonijiet, detezzjoni ta’ anomaliji u mmudellar avvanzat.</w:t>
      </w:r>
    </w:p>
  </w:footnote>
  <w:footnote w:id="31">
    <w:p w14:paraId="57AAD5E2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rFonts w:eastAsiaTheme="majorEastAsia"/>
          <w:sz w:val="18"/>
          <w:szCs w:val="18"/>
        </w:rPr>
        <w:footnoteRef/>
      </w:r>
      <w:r>
        <w:rPr>
          <w:sz w:val="18"/>
        </w:rPr>
        <w:t xml:space="preserve"> L-IA tista’ tiġi mħarrġa fuq data mill-</w:t>
      </w:r>
      <w:hyperlink r:id="rId25" w:history="1">
        <w:r>
          <w:rPr>
            <w:rStyle w:val="Hyperlink"/>
            <w:sz w:val="18"/>
          </w:rPr>
          <w:t>European Building Stock Observatory</w:t>
        </w:r>
      </w:hyperlink>
      <w:r>
        <w:rPr>
          <w:sz w:val="18"/>
        </w:rPr>
        <w:t xml:space="preserve"> jew data rilevanti tal-Osservazzjoni tad-Dinja ta’ Copernicus biex tappoġġa l-ippjanar tar-rinnovazzjoni b’mod partikolari għall-unitajiet domestiċi foqra fl-enerġija. L-</w:t>
      </w:r>
      <w:hyperlink r:id="rId26" w:history="1">
        <w:r>
          <w:rPr>
            <w:rStyle w:val="Hyperlink"/>
            <w:sz w:val="18"/>
          </w:rPr>
          <w:t>AIE tistma</w:t>
        </w:r>
      </w:hyperlink>
      <w:r>
        <w:rPr>
          <w:sz w:val="18"/>
        </w:rPr>
        <w:t xml:space="preserve"> li sal-2035, l-użu tal-IA fis-sistemi ta’ ġestjoni tal-enerġija tal-bini (BEMS) jista’ jiffranka madwar 300 TWh fis-sena globalment.</w:t>
      </w:r>
    </w:p>
  </w:footnote>
  <w:footnote w:id="32">
    <w:p w14:paraId="4FDC1DCF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</w:t>
      </w:r>
      <w:hyperlink r:id="rId27" w:history="1">
        <w:r>
          <w:rPr>
            <w:rStyle w:val="Hyperlink"/>
            <w:sz w:val="18"/>
          </w:rPr>
          <w:t>RAISE:</w:t>
        </w:r>
      </w:hyperlink>
      <w:hyperlink r:id="rId28" w:history="1">
        <w:r>
          <w:rPr>
            <w:rStyle w:val="Hyperlink"/>
            <w:sz w:val="18"/>
          </w:rPr>
          <w:t xml:space="preserve"> Resource for AI Science in Europe</w:t>
        </w:r>
      </w:hyperlink>
      <w:r>
        <w:rPr>
          <w:sz w:val="18"/>
        </w:rPr>
        <w:t xml:space="preserve">, istitut ta’ riċerka virtwali </w:t>
      </w:r>
      <w:r>
        <w:t>għar-riċerka tal-UE dwar l-IA u biha</w:t>
      </w:r>
    </w:p>
  </w:footnote>
  <w:footnote w:id="33">
    <w:p w14:paraId="4A707ED1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</w:t>
      </w:r>
      <w:r>
        <w:t>Il-</w:t>
      </w:r>
      <w:hyperlink r:id="rId29" w:history="1">
        <w:r>
          <w:rPr>
            <w:rStyle w:val="Hyperlink"/>
            <w:sz w:val="18"/>
          </w:rPr>
          <w:t>Fond Scaleup Europe</w:t>
        </w:r>
      </w:hyperlink>
      <w:r>
        <w:rPr>
          <w:sz w:val="18"/>
        </w:rPr>
        <w:t>, fond ta’ tkabbir ta’ diversi biljuni fi stadju avvanzat, li għandu l-għan li jinvesti fl-aktar kumpaniji Ewropej promettenti</w:t>
      </w:r>
    </w:p>
  </w:footnote>
  <w:footnote w:id="34">
    <w:p w14:paraId="58BDF1FD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rFonts w:eastAsiaTheme="majorEastAsia"/>
          <w:sz w:val="18"/>
          <w:szCs w:val="18"/>
        </w:rPr>
        <w:footnoteRef/>
      </w:r>
      <w:r>
        <w:rPr>
          <w:sz w:val="18"/>
        </w:rPr>
        <w:t xml:space="preserve"> Bħar-Regolament (UE) 2023/2854 tal-Att dwar id-Data; id-Direttiva (UE) 2019/944 dwar l-Elettriku; ir-Regolament (UE) 2019/943 dwar l-Elettriku; id-Direttiva (UE) 2024/1275 dwar ir-Rendiment tal-Bini fl-Użu tal-Enerġija; id-Direttiva (UE) 2018/2001 dwar l-Enerġija Rinnovabbli;</w:t>
      </w:r>
      <w:r>
        <w:rPr>
          <w:color w:val="000000" w:themeColor="text1"/>
          <w:sz w:val="18"/>
        </w:rPr>
        <w:t xml:space="preserve"> ir-Regolament (UE) 2023/1804 dwar l-Infrastruttura tal-Fjuwils Alternattivi</w:t>
      </w:r>
      <w:r>
        <w:rPr>
          <w:sz w:val="18"/>
        </w:rPr>
        <w:t xml:space="preserve"> u l-atti ta’ implimentazzjoni relatati</w:t>
      </w:r>
    </w:p>
  </w:footnote>
  <w:footnote w:id="35">
    <w:p w14:paraId="09F95D7E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“Aċċess limitat għal data ta’ kwalità għolja”, “Nuqqas ta’ interoperabbiltà tad-data”, “Ċibersigurtà u, fejn applikabbli, privatezza” ġew identifikati matul il-konsultazzjoni pubblika miftuħa għall-pjan direzzjonali strateġiku bħala l-ostakli ewlenin għall-varar ta’ soluzzjonijiet intelliġenti u tal-IA fl-enerġija; </w:t>
      </w:r>
      <w:hyperlink r:id="rId30" w:history="1">
        <w:r>
          <w:rPr>
            <w:rStyle w:val="Hyperlink"/>
            <w:sz w:val="18"/>
          </w:rPr>
          <w:t>Operational Conclusions and Key Takeaways</w:t>
        </w:r>
      </w:hyperlink>
      <w:r>
        <w:rPr>
          <w:sz w:val="18"/>
        </w:rPr>
        <w:t>, it-tielet laqgħa konġunta ta’ D4E, STF u CoW, Berlin, l-4-5 ta’ Novembru 2025</w:t>
      </w:r>
    </w:p>
  </w:footnote>
  <w:footnote w:id="36">
    <w:p w14:paraId="3E845170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Pereżempju, se tisfrutta l-kapaċitajiet siguri ta’ identifikazzjoni, awtentikazzjoni u skambju tad-data pprovduti mill-Kartieri Ewropej tan-Negozju u mill-Kartieri Ewropej tal-Identità Diġitali, filwaqt li se tiżgura li ċ-ċittadini jkunu jistgħu jaċċessaw u jiġġestixxu b’mod sigur u effiċjenti d-data relatata mal-enerġija tagħhom, filwaqt li jżommu kontroll fuq l-informazzjoni personali u sensittiva tagħhom.</w:t>
      </w:r>
    </w:p>
  </w:footnote>
  <w:footnote w:id="37">
    <w:p w14:paraId="75350509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</w:t>
      </w:r>
      <w:hyperlink r:id="rId31" w:history="1">
        <w:r>
          <w:rPr>
            <w:rStyle w:val="Hyperlink"/>
            <w:sz w:val="18"/>
          </w:rPr>
          <w:t>Data exchange for demand-side flexibility and smart and bi-directional charging</w:t>
        </w:r>
      </w:hyperlink>
      <w:r>
        <w:rPr>
          <w:color w:val="000000" w:themeColor="text1"/>
          <w:sz w:val="18"/>
        </w:rPr>
        <w:t xml:space="preserve"> </w:t>
      </w:r>
      <w:r>
        <w:rPr>
          <w:sz w:val="18"/>
        </w:rPr>
        <w:t xml:space="preserve">imħejji b’mod konġunt minn </w:t>
      </w:r>
      <w:r>
        <w:rPr>
          <w:color w:val="000000" w:themeColor="text1"/>
          <w:sz w:val="18"/>
        </w:rPr>
        <w:t>tliet gruppi ta’ esperti, jiġifieri s-sottogrupp dwar l-Enerġija tad-Data 4 tal-Grupp ta’ Esperti dwar l-Enerġija Intelliġenti, il-Forum dwar it-Trasport Sostenibbli u l-Koalizzjoni tal-Partijiet Disposti dwar l-Iċċarġjar Bidirezzjonali</w:t>
      </w:r>
    </w:p>
  </w:footnote>
  <w:footnote w:id="38">
    <w:p w14:paraId="0E0F11D3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>Ħames proġetti ta’ Orizzont Ewropa (</w:t>
      </w:r>
      <w:hyperlink r:id="rId32">
        <w:r>
          <w:rPr>
            <w:rStyle w:val="Hyperlink"/>
            <w:sz w:val="18"/>
          </w:rPr>
          <w:t>EDDIE</w:t>
        </w:r>
      </w:hyperlink>
      <w:r>
        <w:rPr>
          <w:sz w:val="18"/>
        </w:rPr>
        <w:t xml:space="preserve">, </w:t>
      </w:r>
      <w:hyperlink r:id="rId33">
        <w:r>
          <w:rPr>
            <w:rStyle w:val="Hyperlink"/>
            <w:sz w:val="18"/>
          </w:rPr>
          <w:t>Enershare</w:t>
        </w:r>
      </w:hyperlink>
      <w:r>
        <w:rPr>
          <w:sz w:val="18"/>
        </w:rPr>
        <w:t xml:space="preserve">, </w:t>
      </w:r>
      <w:hyperlink r:id="rId34">
        <w:r>
          <w:rPr>
            <w:rStyle w:val="Hyperlink"/>
            <w:sz w:val="18"/>
          </w:rPr>
          <w:t>Data Cellar</w:t>
        </w:r>
      </w:hyperlink>
      <w:r>
        <w:rPr>
          <w:sz w:val="18"/>
        </w:rPr>
        <w:t xml:space="preserve">, </w:t>
      </w:r>
      <w:hyperlink r:id="rId35">
        <w:r>
          <w:rPr>
            <w:rStyle w:val="Hyperlink"/>
            <w:sz w:val="18"/>
          </w:rPr>
          <w:t>Synergies</w:t>
        </w:r>
      </w:hyperlink>
      <w:r>
        <w:rPr>
          <w:sz w:val="18"/>
        </w:rPr>
        <w:t xml:space="preserve">, u </w:t>
      </w:r>
      <w:hyperlink r:id="rId36">
        <w:r>
          <w:rPr>
            <w:rStyle w:val="Hyperlink"/>
            <w:sz w:val="18"/>
          </w:rPr>
          <w:t>Omega-X</w:t>
        </w:r>
      </w:hyperlink>
      <w:r>
        <w:rPr>
          <w:sz w:val="18"/>
        </w:rPr>
        <w:t xml:space="preserve">) għandhom teknoloġiji spazjali avvanzati tad-data, li attwalment qed jiġu varati f’16-il SM permezz ta’ </w:t>
      </w:r>
      <w:hyperlink r:id="rId37">
        <w:r>
          <w:rPr>
            <w:rStyle w:val="Hyperlink"/>
            <w:sz w:val="18"/>
          </w:rPr>
          <w:t>INSIEME</w:t>
        </w:r>
      </w:hyperlink>
      <w:r>
        <w:rPr>
          <w:sz w:val="18"/>
        </w:rPr>
        <w:t xml:space="preserve">, proġett ta’ varar iffinanzjat mill-Ewropa Diġitali </w:t>
      </w:r>
    </w:p>
  </w:footnote>
  <w:footnote w:id="39">
    <w:p w14:paraId="732B8053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Tliet proġetti ta’ Orizzont Ewropa (</w:t>
      </w:r>
      <w:hyperlink r:id="rId38" w:history="1">
        <w:r>
          <w:rPr>
            <w:rStyle w:val="Hyperlink"/>
            <w:sz w:val="18"/>
          </w:rPr>
          <w:t>EnerTEF</w:t>
        </w:r>
      </w:hyperlink>
      <w:r>
        <w:rPr>
          <w:sz w:val="18"/>
        </w:rPr>
        <w:t xml:space="preserve">, </w:t>
      </w:r>
      <w:hyperlink r:id="rId39" w:history="1">
        <w:r>
          <w:rPr>
            <w:rStyle w:val="Hyperlink"/>
            <w:sz w:val="18"/>
          </w:rPr>
          <w:t>AI-Effect</w:t>
        </w:r>
      </w:hyperlink>
      <w:r>
        <w:rPr>
          <w:sz w:val="18"/>
        </w:rPr>
        <w:t xml:space="preserve">, u </w:t>
      </w:r>
      <w:hyperlink r:id="rId40" w:history="1">
        <w:r>
          <w:rPr>
            <w:rStyle w:val="Hyperlink"/>
            <w:sz w:val="18"/>
          </w:rPr>
          <w:t>EnergyGuard</w:t>
        </w:r>
      </w:hyperlink>
      <w:r>
        <w:rPr>
          <w:sz w:val="18"/>
        </w:rPr>
        <w:t>) qed jippilotaw Faċilitajiet għall-Ittestjar u l-Esperimentazzjoni</w:t>
      </w:r>
    </w:p>
  </w:footnote>
  <w:footnote w:id="40">
    <w:p w14:paraId="66E6E497" w14:textId="77777777" w:rsidR="00625E3A" w:rsidRDefault="004C7FB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FootnoteReference"/>
          <w:rFonts w:cs="Times New Roman"/>
          <w:sz w:val="18"/>
          <w:szCs w:val="18"/>
        </w:rPr>
        <w:footnoteRef/>
      </w:r>
      <w:r>
        <w:rPr>
          <w:rFonts w:ascii="Times New Roman" w:hAnsi="Times New Roman"/>
          <w:sz w:val="18"/>
        </w:rPr>
        <w:t xml:space="preserve"> </w:t>
      </w:r>
      <w:hyperlink r:id="rId41" w:history="1">
        <w:r>
          <w:rPr>
            <w:rStyle w:val="Hyperlink"/>
            <w:rFonts w:ascii="Times New Roman" w:hAnsi="Times New Roman"/>
            <w:sz w:val="18"/>
          </w:rPr>
          <w:t>Skont l-AIE</w:t>
        </w:r>
      </w:hyperlink>
      <w:r>
        <w:rPr>
          <w:rFonts w:ascii="Times New Roman" w:hAnsi="Times New Roman"/>
          <w:sz w:val="18"/>
        </w:rPr>
        <w:t>, utilità tal-enerġija esperjenzat aktar minn 1,500 attakk kull ġimgħa fl-2024, tliet darbiet aktar milli fl-2020.</w:t>
      </w:r>
    </w:p>
  </w:footnote>
  <w:footnote w:id="41">
    <w:p w14:paraId="42DC592F" w14:textId="77777777" w:rsidR="00625E3A" w:rsidRDefault="004C7FB2">
      <w:pPr>
        <w:pStyle w:val="FootnoteText"/>
        <w:spacing w:after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Il-Komunikazzjoni Konġunta, Insaħħu s-sigurtà ekonomika tal-UE, JOIN(2025) 977 final</w:t>
      </w:r>
    </w:p>
  </w:footnote>
  <w:footnote w:id="42">
    <w:p w14:paraId="1A56423C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</w:t>
      </w:r>
      <w:hyperlink r:id="rId42" w:history="1">
        <w:r>
          <w:rPr>
            <w:rStyle w:val="Hyperlink"/>
            <w:sz w:val="18"/>
          </w:rPr>
          <w:t>European Group on Ethics in Science and New Technologies (EGE)</w:t>
        </w:r>
      </w:hyperlink>
    </w:p>
  </w:footnote>
  <w:footnote w:id="43">
    <w:p w14:paraId="7A37A952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</w:t>
      </w:r>
      <w:hyperlink r:id="rId43" w:history="1">
        <w:r>
          <w:rPr>
            <w:rStyle w:val="Hyperlink"/>
            <w:sz w:val="18"/>
          </w:rPr>
          <w:t>L-Istrateġija Diġitali Internazzjonali għall-Unjoni Ewropea</w:t>
        </w:r>
      </w:hyperlink>
    </w:p>
  </w:footnote>
  <w:footnote w:id="44">
    <w:p w14:paraId="4467B177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Bħall-</w:t>
      </w:r>
      <w:hyperlink r:id="rId44" w:history="1">
        <w:r>
          <w:rPr>
            <w:rStyle w:val="Hyperlink"/>
            <w:sz w:val="18"/>
          </w:rPr>
          <w:t>Aġenzija Internazzjonali tal-Enerġija (AIE)</w:t>
        </w:r>
      </w:hyperlink>
      <w:r>
        <w:rPr>
          <w:sz w:val="18"/>
        </w:rPr>
        <w:t xml:space="preserve">, </w:t>
      </w:r>
      <w:hyperlink r:id="rId45" w:history="1">
        <w:r>
          <w:rPr>
            <w:rStyle w:val="Hyperlink"/>
            <w:sz w:val="18"/>
          </w:rPr>
          <w:t>l-Aġenzija Internazzjonali għall-Enerġija Rinnovabbli (IRENA)</w:t>
        </w:r>
      </w:hyperlink>
      <w:r>
        <w:rPr>
          <w:sz w:val="18"/>
        </w:rPr>
        <w:t xml:space="preserve"> u </w:t>
      </w:r>
      <w:hyperlink r:id="rId46" w:history="1">
        <w:r>
          <w:rPr>
            <w:rStyle w:val="Hyperlink"/>
            <w:sz w:val="18"/>
          </w:rPr>
          <w:t>l-Organizzazzjoni għall-Kooperazzjoni u l-Iżvilupp Ekonomiċi (OECD)</w:t>
        </w:r>
      </w:hyperlink>
    </w:p>
  </w:footnote>
  <w:footnote w:id="45">
    <w:p w14:paraId="590FF3AD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rFonts w:eastAsiaTheme="majorEastAsia"/>
          <w:sz w:val="18"/>
          <w:szCs w:val="18"/>
        </w:rPr>
        <w:footnoteRef/>
      </w:r>
      <w:r>
        <w:rPr>
          <w:sz w:val="18"/>
        </w:rPr>
        <w:t xml:space="preserve"> Ir-Regolament (UE) 2018/1999 dwar il-Governanza tal-Unjoni tal-Enerġija u tal-Azzjoni Klimatika </w:t>
      </w:r>
    </w:p>
  </w:footnote>
  <w:footnote w:id="46">
    <w:p w14:paraId="54041EB2" w14:textId="77777777" w:rsidR="00625E3A" w:rsidRDefault="004C7FB2">
      <w:pPr>
        <w:pStyle w:val="FootnoteText"/>
        <w:spacing w:after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>Tħabbar Osservatorju tal-Fjuwil fil-Komunikazzjoni AccelerateEU (COM(2026) 370 final)</w:t>
      </w:r>
    </w:p>
  </w:footnote>
  <w:footnote w:id="47">
    <w:p w14:paraId="3D1A6D41" w14:textId="77777777" w:rsidR="00625E3A" w:rsidRDefault="004C7FB2">
      <w:pPr>
        <w:pStyle w:val="FootnoteText"/>
        <w:spacing w:after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>Skont ir-</w:t>
      </w:r>
      <w:hyperlink r:id="rId47" w:history="1">
        <w:r>
          <w:rPr>
            <w:rStyle w:val="Hyperlink"/>
            <w:sz w:val="18"/>
          </w:rPr>
          <w:t>REMIT</w:t>
        </w:r>
      </w:hyperlink>
      <w:r>
        <w:t>, l-ACER timmonitorja s-swieq tal-enerġija billi tiġbor u tanalizza data dwar it-tranżazzjonijiet biex tidentifika l-manipulazzjoni tas-suq.</w:t>
      </w:r>
    </w:p>
  </w:footnote>
  <w:footnote w:id="48">
    <w:p w14:paraId="39DE213E" w14:textId="77777777" w:rsidR="00625E3A" w:rsidRDefault="004C7FB2">
      <w:pPr>
        <w:pStyle w:val="FootnoteText"/>
        <w:spacing w:after="0"/>
        <w:ind w:left="0" w:firstLine="0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Billi tirrevedi r-Regolament (KE) 1099/2008 biex ittejjeb il-monitoraġġ tal-miri ta’ politika tal-UE. Barra minn hekk, il-Kummissjoni qed tesplora wkoll il-produzzjoni ta’ statistika minn data innovattiva u miżmuma privatament, filwaqt li qed issegwi r-Regolament 223/2009 dwar l-istatistika uffiċjali.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E4F67" w14:textId="77777777" w:rsidR="006A394C" w:rsidRPr="006A394C" w:rsidRDefault="006A394C" w:rsidP="006A394C">
    <w:pPr>
      <w:pStyle w:val="HeaderCoverPag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2AF61" w14:textId="77777777" w:rsidR="006A394C" w:rsidRPr="006A394C" w:rsidRDefault="006A394C" w:rsidP="006A394C">
    <w:pPr>
      <w:pStyle w:val="HeaderCoverPag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0EC34" w14:textId="77777777" w:rsidR="006A394C" w:rsidRPr="006A394C" w:rsidRDefault="006A394C" w:rsidP="006A394C">
    <w:pPr>
      <w:pStyle w:val="HeaderCoverPag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99877" w14:textId="77777777" w:rsidR="00625E3A" w:rsidRDefault="006A394C">
    <w:pPr>
      <w:pStyle w:val="Header"/>
    </w:pPr>
    <w:r>
      <w:pict w14:anchorId="66D793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60300" o:spid="_x0000_s1033" type="#_x0000_t136" style="position:absolute;margin-left:0;margin-top:0;width:433.95pt;height:173.55pt;rotation:315;z-index:-251658239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BBOZZ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AA22" w14:textId="77777777" w:rsidR="00625E3A" w:rsidRDefault="00625E3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6F73B" w14:textId="77777777" w:rsidR="00625E3A" w:rsidRDefault="006A394C">
    <w:pPr>
      <w:pStyle w:val="Header"/>
    </w:pPr>
    <w:r>
      <w:pict w14:anchorId="773266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60299" o:spid="_x0000_s1034" type="#_x0000_t136" style="position:absolute;margin-left:0;margin-top:0;width:433.95pt;height:173.55pt;rotation:315;z-index:-251658240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BBOZ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D1424"/>
    <w:multiLevelType w:val="multilevel"/>
    <w:tmpl w:val="A286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11B6B"/>
    <w:multiLevelType w:val="hybridMultilevel"/>
    <w:tmpl w:val="24A08AD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2A481A"/>
    <w:multiLevelType w:val="multilevel"/>
    <w:tmpl w:val="BC82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E1AD2"/>
    <w:multiLevelType w:val="multilevel"/>
    <w:tmpl w:val="5750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76121A"/>
    <w:multiLevelType w:val="hybridMultilevel"/>
    <w:tmpl w:val="554A9432"/>
    <w:lvl w:ilvl="0" w:tplc="CE587D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5A6A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0E216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CFAB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4BED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A9CAC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36C0A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ABE68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7428A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9CA1869"/>
    <w:multiLevelType w:val="hybridMultilevel"/>
    <w:tmpl w:val="CB9A72A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D7380"/>
    <w:multiLevelType w:val="hybridMultilevel"/>
    <w:tmpl w:val="AD7AA4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F4451"/>
    <w:multiLevelType w:val="hybridMultilevel"/>
    <w:tmpl w:val="2FF4223C"/>
    <w:lvl w:ilvl="0" w:tplc="CB6C81CA">
      <w:start w:val="1"/>
      <w:numFmt w:val="decimal"/>
      <w:lvlText w:val="%1)"/>
      <w:lvlJc w:val="left"/>
      <w:pPr>
        <w:ind w:left="1020" w:hanging="360"/>
      </w:pPr>
    </w:lvl>
    <w:lvl w:ilvl="1" w:tplc="C59A2BC4">
      <w:start w:val="1"/>
      <w:numFmt w:val="decimal"/>
      <w:lvlText w:val="%2)"/>
      <w:lvlJc w:val="left"/>
      <w:pPr>
        <w:ind w:left="1020" w:hanging="360"/>
      </w:pPr>
    </w:lvl>
    <w:lvl w:ilvl="2" w:tplc="69A8A90C">
      <w:start w:val="1"/>
      <w:numFmt w:val="decimal"/>
      <w:lvlText w:val="%3)"/>
      <w:lvlJc w:val="left"/>
      <w:pPr>
        <w:ind w:left="1020" w:hanging="360"/>
      </w:pPr>
    </w:lvl>
    <w:lvl w:ilvl="3" w:tplc="9B442EF4">
      <w:start w:val="1"/>
      <w:numFmt w:val="decimal"/>
      <w:lvlText w:val="%4)"/>
      <w:lvlJc w:val="left"/>
      <w:pPr>
        <w:ind w:left="1020" w:hanging="360"/>
      </w:pPr>
    </w:lvl>
    <w:lvl w:ilvl="4" w:tplc="8B220946">
      <w:start w:val="1"/>
      <w:numFmt w:val="decimal"/>
      <w:lvlText w:val="%5)"/>
      <w:lvlJc w:val="left"/>
      <w:pPr>
        <w:ind w:left="1020" w:hanging="360"/>
      </w:pPr>
    </w:lvl>
    <w:lvl w:ilvl="5" w:tplc="00E0FF64">
      <w:start w:val="1"/>
      <w:numFmt w:val="decimal"/>
      <w:lvlText w:val="%6)"/>
      <w:lvlJc w:val="left"/>
      <w:pPr>
        <w:ind w:left="1020" w:hanging="360"/>
      </w:pPr>
    </w:lvl>
    <w:lvl w:ilvl="6" w:tplc="64A8D910">
      <w:start w:val="1"/>
      <w:numFmt w:val="decimal"/>
      <w:lvlText w:val="%7)"/>
      <w:lvlJc w:val="left"/>
      <w:pPr>
        <w:ind w:left="1020" w:hanging="360"/>
      </w:pPr>
    </w:lvl>
    <w:lvl w:ilvl="7" w:tplc="FEA256CA">
      <w:start w:val="1"/>
      <w:numFmt w:val="decimal"/>
      <w:lvlText w:val="%8)"/>
      <w:lvlJc w:val="left"/>
      <w:pPr>
        <w:ind w:left="1020" w:hanging="360"/>
      </w:pPr>
    </w:lvl>
    <w:lvl w:ilvl="8" w:tplc="FB488574">
      <w:start w:val="1"/>
      <w:numFmt w:val="decimal"/>
      <w:lvlText w:val="%9)"/>
      <w:lvlJc w:val="left"/>
      <w:pPr>
        <w:ind w:left="1020" w:hanging="360"/>
      </w:pPr>
    </w:lvl>
  </w:abstractNum>
  <w:abstractNum w:abstractNumId="8" w15:restartNumberingAfterBreak="0">
    <w:nsid w:val="22FD0B79"/>
    <w:multiLevelType w:val="multilevel"/>
    <w:tmpl w:val="ACB0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0B1771"/>
    <w:multiLevelType w:val="multilevel"/>
    <w:tmpl w:val="F022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55569D"/>
    <w:multiLevelType w:val="hybridMultilevel"/>
    <w:tmpl w:val="0D3044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C4ADB"/>
    <w:multiLevelType w:val="hybridMultilevel"/>
    <w:tmpl w:val="F8A6942C"/>
    <w:lvl w:ilvl="0" w:tplc="C20E3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2ABC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48299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8C27B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32AA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BBE2E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5947D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6BC66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27E06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299F73D0"/>
    <w:multiLevelType w:val="hybridMultilevel"/>
    <w:tmpl w:val="CA9440C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9B2AC3"/>
    <w:multiLevelType w:val="multilevel"/>
    <w:tmpl w:val="76D6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640880"/>
    <w:multiLevelType w:val="multilevel"/>
    <w:tmpl w:val="830E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D5386F"/>
    <w:multiLevelType w:val="multilevel"/>
    <w:tmpl w:val="98CE7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5C211FA"/>
    <w:multiLevelType w:val="hybridMultilevel"/>
    <w:tmpl w:val="98600D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523264"/>
    <w:multiLevelType w:val="multilevel"/>
    <w:tmpl w:val="CCF0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867228"/>
    <w:multiLevelType w:val="hybridMultilevel"/>
    <w:tmpl w:val="5802AB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579A9"/>
    <w:multiLevelType w:val="multilevel"/>
    <w:tmpl w:val="25AC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DB7A48"/>
    <w:multiLevelType w:val="hybridMultilevel"/>
    <w:tmpl w:val="A098918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F4139"/>
    <w:multiLevelType w:val="multilevel"/>
    <w:tmpl w:val="E39C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D337F5"/>
    <w:multiLevelType w:val="multilevel"/>
    <w:tmpl w:val="D054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8F603D"/>
    <w:multiLevelType w:val="hybridMultilevel"/>
    <w:tmpl w:val="A45620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B3FF6"/>
    <w:multiLevelType w:val="hybridMultilevel"/>
    <w:tmpl w:val="7EDC1AF2"/>
    <w:lvl w:ilvl="0" w:tplc="341C6C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2643C"/>
    <w:multiLevelType w:val="hybridMultilevel"/>
    <w:tmpl w:val="2546321C"/>
    <w:lvl w:ilvl="0" w:tplc="CE029B20">
      <w:start w:val="1"/>
      <w:numFmt w:val="decimal"/>
      <w:lvlText w:val="%1)"/>
      <w:lvlJc w:val="left"/>
      <w:pPr>
        <w:ind w:left="1020" w:hanging="360"/>
      </w:pPr>
    </w:lvl>
    <w:lvl w:ilvl="1" w:tplc="83746CA6">
      <w:start w:val="1"/>
      <w:numFmt w:val="decimal"/>
      <w:lvlText w:val="%2)"/>
      <w:lvlJc w:val="left"/>
      <w:pPr>
        <w:ind w:left="1020" w:hanging="360"/>
      </w:pPr>
    </w:lvl>
    <w:lvl w:ilvl="2" w:tplc="7FF68DE8">
      <w:start w:val="1"/>
      <w:numFmt w:val="decimal"/>
      <w:lvlText w:val="%3)"/>
      <w:lvlJc w:val="left"/>
      <w:pPr>
        <w:ind w:left="1020" w:hanging="360"/>
      </w:pPr>
    </w:lvl>
    <w:lvl w:ilvl="3" w:tplc="9C423C24">
      <w:start w:val="1"/>
      <w:numFmt w:val="decimal"/>
      <w:lvlText w:val="%4)"/>
      <w:lvlJc w:val="left"/>
      <w:pPr>
        <w:ind w:left="1020" w:hanging="360"/>
      </w:pPr>
    </w:lvl>
    <w:lvl w:ilvl="4" w:tplc="AFBC4AE4">
      <w:start w:val="1"/>
      <w:numFmt w:val="decimal"/>
      <w:lvlText w:val="%5)"/>
      <w:lvlJc w:val="left"/>
      <w:pPr>
        <w:ind w:left="1020" w:hanging="360"/>
      </w:pPr>
    </w:lvl>
    <w:lvl w:ilvl="5" w:tplc="85C2CCCC">
      <w:start w:val="1"/>
      <w:numFmt w:val="decimal"/>
      <w:lvlText w:val="%6)"/>
      <w:lvlJc w:val="left"/>
      <w:pPr>
        <w:ind w:left="1020" w:hanging="360"/>
      </w:pPr>
    </w:lvl>
    <w:lvl w:ilvl="6" w:tplc="5ADC3B94">
      <w:start w:val="1"/>
      <w:numFmt w:val="decimal"/>
      <w:lvlText w:val="%7)"/>
      <w:lvlJc w:val="left"/>
      <w:pPr>
        <w:ind w:left="1020" w:hanging="360"/>
      </w:pPr>
    </w:lvl>
    <w:lvl w:ilvl="7" w:tplc="1506FB74">
      <w:start w:val="1"/>
      <w:numFmt w:val="decimal"/>
      <w:lvlText w:val="%8)"/>
      <w:lvlJc w:val="left"/>
      <w:pPr>
        <w:ind w:left="1020" w:hanging="360"/>
      </w:pPr>
    </w:lvl>
    <w:lvl w:ilvl="8" w:tplc="260E3AAA">
      <w:start w:val="1"/>
      <w:numFmt w:val="decimal"/>
      <w:lvlText w:val="%9)"/>
      <w:lvlJc w:val="left"/>
      <w:pPr>
        <w:ind w:left="1020" w:hanging="360"/>
      </w:pPr>
    </w:lvl>
  </w:abstractNum>
  <w:abstractNum w:abstractNumId="26" w15:restartNumberingAfterBreak="0">
    <w:nsid w:val="64D228F6"/>
    <w:multiLevelType w:val="hybridMultilevel"/>
    <w:tmpl w:val="5D52688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A71414"/>
    <w:multiLevelType w:val="hybridMultilevel"/>
    <w:tmpl w:val="18ACF7A0"/>
    <w:lvl w:ilvl="0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i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8E72F6B"/>
    <w:multiLevelType w:val="multilevel"/>
    <w:tmpl w:val="B420B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E002CC"/>
    <w:multiLevelType w:val="multilevel"/>
    <w:tmpl w:val="D5166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996D06"/>
    <w:multiLevelType w:val="hybridMultilevel"/>
    <w:tmpl w:val="A9C471C8"/>
    <w:lvl w:ilvl="0" w:tplc="6A3AAFD4">
      <w:start w:val="1"/>
      <w:numFmt w:val="lowerLetter"/>
      <w:lvlText w:val="%1."/>
      <w:lvlJc w:val="left"/>
      <w:pPr>
        <w:ind w:left="1020" w:hanging="360"/>
      </w:pPr>
    </w:lvl>
    <w:lvl w:ilvl="1" w:tplc="FBAEC4C2">
      <w:start w:val="1"/>
      <w:numFmt w:val="lowerLetter"/>
      <w:lvlText w:val="%2."/>
      <w:lvlJc w:val="left"/>
      <w:pPr>
        <w:ind w:left="1020" w:hanging="360"/>
      </w:pPr>
    </w:lvl>
    <w:lvl w:ilvl="2" w:tplc="C25E470E">
      <w:start w:val="1"/>
      <w:numFmt w:val="lowerLetter"/>
      <w:lvlText w:val="%3."/>
      <w:lvlJc w:val="left"/>
      <w:pPr>
        <w:ind w:left="1020" w:hanging="360"/>
      </w:pPr>
    </w:lvl>
    <w:lvl w:ilvl="3" w:tplc="38CEBE94">
      <w:start w:val="1"/>
      <w:numFmt w:val="lowerLetter"/>
      <w:lvlText w:val="%4."/>
      <w:lvlJc w:val="left"/>
      <w:pPr>
        <w:ind w:left="1020" w:hanging="360"/>
      </w:pPr>
    </w:lvl>
    <w:lvl w:ilvl="4" w:tplc="D17AB898">
      <w:start w:val="1"/>
      <w:numFmt w:val="lowerLetter"/>
      <w:lvlText w:val="%5."/>
      <w:lvlJc w:val="left"/>
      <w:pPr>
        <w:ind w:left="1020" w:hanging="360"/>
      </w:pPr>
    </w:lvl>
    <w:lvl w:ilvl="5" w:tplc="3372E4D2">
      <w:start w:val="1"/>
      <w:numFmt w:val="lowerLetter"/>
      <w:lvlText w:val="%6."/>
      <w:lvlJc w:val="left"/>
      <w:pPr>
        <w:ind w:left="1020" w:hanging="360"/>
      </w:pPr>
    </w:lvl>
    <w:lvl w:ilvl="6" w:tplc="01B26F1A">
      <w:start w:val="1"/>
      <w:numFmt w:val="lowerLetter"/>
      <w:lvlText w:val="%7."/>
      <w:lvlJc w:val="left"/>
      <w:pPr>
        <w:ind w:left="1020" w:hanging="360"/>
      </w:pPr>
    </w:lvl>
    <w:lvl w:ilvl="7" w:tplc="916A3A6E">
      <w:start w:val="1"/>
      <w:numFmt w:val="lowerLetter"/>
      <w:lvlText w:val="%8."/>
      <w:lvlJc w:val="left"/>
      <w:pPr>
        <w:ind w:left="1020" w:hanging="360"/>
      </w:pPr>
    </w:lvl>
    <w:lvl w:ilvl="8" w:tplc="13AAA188">
      <w:start w:val="1"/>
      <w:numFmt w:val="lowerLetter"/>
      <w:lvlText w:val="%9."/>
      <w:lvlJc w:val="left"/>
      <w:pPr>
        <w:ind w:left="1020" w:hanging="360"/>
      </w:pPr>
    </w:lvl>
  </w:abstractNum>
  <w:abstractNum w:abstractNumId="31" w15:restartNumberingAfterBreak="0">
    <w:nsid w:val="6CD14B1C"/>
    <w:multiLevelType w:val="hybridMultilevel"/>
    <w:tmpl w:val="641855C8"/>
    <w:lvl w:ilvl="0" w:tplc="1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FBB257C"/>
    <w:multiLevelType w:val="multilevel"/>
    <w:tmpl w:val="98CE7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32B0BCD"/>
    <w:multiLevelType w:val="multilevel"/>
    <w:tmpl w:val="CED67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474030"/>
    <w:multiLevelType w:val="multilevel"/>
    <w:tmpl w:val="725E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FC6CF5"/>
    <w:multiLevelType w:val="hybridMultilevel"/>
    <w:tmpl w:val="89CA92DC"/>
    <w:lvl w:ilvl="0" w:tplc="7276A776">
      <w:start w:val="1"/>
      <w:numFmt w:val="decimal"/>
      <w:lvlText w:val="%1)"/>
      <w:lvlJc w:val="left"/>
      <w:pPr>
        <w:ind w:left="1020" w:hanging="360"/>
      </w:pPr>
    </w:lvl>
    <w:lvl w:ilvl="1" w:tplc="070C93FE">
      <w:start w:val="1"/>
      <w:numFmt w:val="decimal"/>
      <w:lvlText w:val="%2)"/>
      <w:lvlJc w:val="left"/>
      <w:pPr>
        <w:ind w:left="1020" w:hanging="360"/>
      </w:pPr>
    </w:lvl>
    <w:lvl w:ilvl="2" w:tplc="F7CE3052">
      <w:start w:val="1"/>
      <w:numFmt w:val="decimal"/>
      <w:lvlText w:val="%3)"/>
      <w:lvlJc w:val="left"/>
      <w:pPr>
        <w:ind w:left="1020" w:hanging="360"/>
      </w:pPr>
    </w:lvl>
    <w:lvl w:ilvl="3" w:tplc="2A5EC372">
      <w:start w:val="1"/>
      <w:numFmt w:val="decimal"/>
      <w:lvlText w:val="%4)"/>
      <w:lvlJc w:val="left"/>
      <w:pPr>
        <w:ind w:left="1020" w:hanging="360"/>
      </w:pPr>
    </w:lvl>
    <w:lvl w:ilvl="4" w:tplc="630C44F4">
      <w:start w:val="1"/>
      <w:numFmt w:val="decimal"/>
      <w:lvlText w:val="%5)"/>
      <w:lvlJc w:val="left"/>
      <w:pPr>
        <w:ind w:left="1020" w:hanging="360"/>
      </w:pPr>
    </w:lvl>
    <w:lvl w:ilvl="5" w:tplc="9CBEC8D6">
      <w:start w:val="1"/>
      <w:numFmt w:val="decimal"/>
      <w:lvlText w:val="%6)"/>
      <w:lvlJc w:val="left"/>
      <w:pPr>
        <w:ind w:left="1020" w:hanging="360"/>
      </w:pPr>
    </w:lvl>
    <w:lvl w:ilvl="6" w:tplc="6B984030">
      <w:start w:val="1"/>
      <w:numFmt w:val="decimal"/>
      <w:lvlText w:val="%7)"/>
      <w:lvlJc w:val="left"/>
      <w:pPr>
        <w:ind w:left="1020" w:hanging="360"/>
      </w:pPr>
    </w:lvl>
    <w:lvl w:ilvl="7" w:tplc="C26C2AE6">
      <w:start w:val="1"/>
      <w:numFmt w:val="decimal"/>
      <w:lvlText w:val="%8)"/>
      <w:lvlJc w:val="left"/>
      <w:pPr>
        <w:ind w:left="1020" w:hanging="360"/>
      </w:pPr>
    </w:lvl>
    <w:lvl w:ilvl="8" w:tplc="03D8CEA0">
      <w:start w:val="1"/>
      <w:numFmt w:val="decimal"/>
      <w:lvlText w:val="%9)"/>
      <w:lvlJc w:val="left"/>
      <w:pPr>
        <w:ind w:left="1020" w:hanging="360"/>
      </w:pPr>
    </w:lvl>
  </w:abstractNum>
  <w:abstractNum w:abstractNumId="36" w15:restartNumberingAfterBreak="0">
    <w:nsid w:val="781B79B0"/>
    <w:multiLevelType w:val="hybridMultilevel"/>
    <w:tmpl w:val="605E64AA"/>
    <w:lvl w:ilvl="0" w:tplc="6A6C52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1B2F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57014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800AB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0164C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6740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B82F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3DC17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C3801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7" w15:restartNumberingAfterBreak="0">
    <w:nsid w:val="7DF97D5F"/>
    <w:multiLevelType w:val="hybridMultilevel"/>
    <w:tmpl w:val="FD20583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4"/>
  </w:num>
  <w:num w:numId="3">
    <w:abstractNumId w:val="28"/>
  </w:num>
  <w:num w:numId="4">
    <w:abstractNumId w:val="21"/>
  </w:num>
  <w:num w:numId="5">
    <w:abstractNumId w:val="34"/>
  </w:num>
  <w:num w:numId="6">
    <w:abstractNumId w:val="13"/>
  </w:num>
  <w:num w:numId="7">
    <w:abstractNumId w:val="19"/>
  </w:num>
  <w:num w:numId="8">
    <w:abstractNumId w:val="2"/>
  </w:num>
  <w:num w:numId="9">
    <w:abstractNumId w:val="22"/>
  </w:num>
  <w:num w:numId="10">
    <w:abstractNumId w:val="0"/>
  </w:num>
  <w:num w:numId="11">
    <w:abstractNumId w:val="9"/>
  </w:num>
  <w:num w:numId="12">
    <w:abstractNumId w:val="17"/>
  </w:num>
  <w:num w:numId="13">
    <w:abstractNumId w:val="8"/>
  </w:num>
  <w:num w:numId="14">
    <w:abstractNumId w:val="16"/>
  </w:num>
  <w:num w:numId="15">
    <w:abstractNumId w:val="5"/>
  </w:num>
  <w:num w:numId="16">
    <w:abstractNumId w:val="12"/>
  </w:num>
  <w:num w:numId="17">
    <w:abstractNumId w:val="31"/>
  </w:num>
  <w:num w:numId="18">
    <w:abstractNumId w:val="23"/>
  </w:num>
  <w:num w:numId="19">
    <w:abstractNumId w:val="6"/>
  </w:num>
  <w:num w:numId="20">
    <w:abstractNumId w:val="7"/>
  </w:num>
  <w:num w:numId="21">
    <w:abstractNumId w:val="20"/>
  </w:num>
  <w:num w:numId="22">
    <w:abstractNumId w:val="27"/>
  </w:num>
  <w:num w:numId="23">
    <w:abstractNumId w:val="37"/>
  </w:num>
  <w:num w:numId="24">
    <w:abstractNumId w:val="25"/>
  </w:num>
  <w:num w:numId="25">
    <w:abstractNumId w:val="15"/>
  </w:num>
  <w:num w:numId="26">
    <w:abstractNumId w:val="4"/>
  </w:num>
  <w:num w:numId="27">
    <w:abstractNumId w:val="30"/>
  </w:num>
  <w:num w:numId="28">
    <w:abstractNumId w:val="32"/>
  </w:num>
  <w:num w:numId="29">
    <w:abstractNumId w:val="18"/>
  </w:num>
  <w:num w:numId="30">
    <w:abstractNumId w:val="35"/>
  </w:num>
  <w:num w:numId="31">
    <w:abstractNumId w:val="26"/>
  </w:num>
  <w:num w:numId="32">
    <w:abstractNumId w:val="1"/>
  </w:num>
  <w:num w:numId="33">
    <w:abstractNumId w:val="36"/>
  </w:num>
  <w:num w:numId="34">
    <w:abstractNumId w:val="11"/>
  </w:num>
  <w:num w:numId="35">
    <w:abstractNumId w:val="10"/>
  </w:num>
  <w:num w:numId="36">
    <w:abstractNumId w:val="29"/>
  </w:num>
  <w:num w:numId="37">
    <w:abstractNumId w:val="3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hideSpellingErrors/>
  <w:hideGrammaticalErrors/>
  <w:revisionView w:markup="0"/>
  <w:defaultTabStop w:val="720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Status" w:val="Green"/>
    <w:docVar w:name="LW_CORRIGENDUM" w:val="&lt;UNUSED&gt;"/>
    <w:docVar w:name="LW_COVERPAGE_EXISTS" w:val="True"/>
    <w:docVar w:name="LW_COVERPAGE_GUID" w:val="784600BC-AB80-4086-9177-0C19D2883D9E"/>
    <w:docVar w:name="LW_COVERPAGE_TYPE" w:val="1"/>
    <w:docVar w:name="LW_CROSSREFERENCE" w:val="&lt;UNUSED&gt;"/>
    <w:docVar w:name="LW_DocType" w:val="NORMAL"/>
    <w:docVar w:name="LW_EMISSION" w:val="3.6.2026"/>
    <w:docVar w:name="LW_EMISSION_ISODATE" w:val="2026-06-03"/>
    <w:docVar w:name="LW_EMISSION_LOCATION" w:val="BRX"/>
    <w:docVar w:name="LW_EMISSION_PREFIX" w:val="Brussell, "/>
    <w:docVar w:name="LW_EMISSION_SUFFIX" w:val=" "/>
    <w:docVar w:name="LW_ID_DOCTYPE_NONLW" w:val="CP-014"/>
    <w:docVar w:name="LW_LANGUE" w:val="MT"/>
    <w:docVar w:name="LW_LEVEL_OF_SENSITIVITY" w:val="Standard treatment"/>
    <w:docVar w:name="LW_NOM.INST" w:val="IL-KUMMISSJONI EWROPEA"/>
    <w:docVar w:name="LW_NOM.INST_JOINTDOC" w:val="&lt;EMPTY&gt;"/>
    <w:docVar w:name="LW_PART_NBR" w:val="1"/>
    <w:docVar w:name="LW_PART_NBR_TOTAL" w:val="1"/>
    <w:docVar w:name="LW_REF.INST.NEW" w:val="COM"/>
    <w:docVar w:name="LW_REF.INST.NEW_ADOPTED" w:val="final"/>
    <w:docVar w:name="LW_REF.INST.NEW_TEXT" w:val="(2026) 501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.CP" w:val="Pjan Direzzjonali Strate\u289?iku g\u295?ad-Di\u289?italizzazzjoni u g\u295?all-IA fis-Settur tal-Ener\u289?ija"/>
    <w:docVar w:name="LW_TYPE.DOC.CP" w:val="KOMUNIKAZZJONI TAL-KUMMISSJONI LILL-PARLAMENT EWROPEW, LILL-KUNSILL, LILL-KUMITAT EKONOMIKU U SO\u266?JALI EWROPEW U LILL-KUMITAT TAR-RE\u288?JUNI"/>
    <w:docVar w:name="LW_TYPE.DOC.CP.USERTEXT" w:val="&lt;EMPTY&gt;"/>
    <w:docVar w:name="LwApiVersions" w:val="LW4CoDe 1.24.5.0; LW 9.2, Build 20251112"/>
  </w:docVars>
  <w:rsids>
    <w:rsidRoot w:val="00625E3A"/>
    <w:rsid w:val="000B44DA"/>
    <w:rsid w:val="004C7FB2"/>
    <w:rsid w:val="0055423F"/>
    <w:rsid w:val="00625E3A"/>
    <w:rsid w:val="006A394C"/>
    <w:rsid w:val="0070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564F2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t-M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Times New Roman" w:eastAsiaTheme="majorEastAsia" w:hAnsi="Times New Roman" w:cstheme="majorBid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theme="majorBidi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List Paragraph1,Lettre d'introduction,Paragrafo elenco,Medium Grid 1 - Accent 21,Fiche List Paragraph,Dot pt,F5 List Paragraph,No Spacing1,List Paragraph Char Char Char,Indicator Text,Numbered Para 1,L,2"/>
    <w:basedOn w:val="Normal"/>
    <w:link w:val="ListParagraphChar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Pagedecouverture">
    <w:name w:val="Page de couverture"/>
    <w:basedOn w:val="Normal"/>
    <w:next w:val="Normal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hAnsi="Times New Roman" w:cs="Times New Roman"/>
      <w:sz w:val="24"/>
    </w:rPr>
  </w:style>
  <w:style w:type="paragraph" w:customStyle="1" w:styleId="FooterSensitivity">
    <w:name w:val="Footer Sensitivity"/>
    <w:basedOn w:val="Normal"/>
    <w:link w:val="FooterSensitivityChar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Pr>
      <w:rFonts w:ascii="Times New Roman" w:hAnsi="Times New Roman" w:cs="Times New Roman"/>
      <w:b/>
      <w:sz w:val="32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hAnsi="Times New Roman" w:cs="Times New Roman"/>
      <w:sz w:val="24"/>
    </w:rPr>
  </w:style>
  <w:style w:type="paragraph" w:customStyle="1" w:styleId="HeaderSensitivity">
    <w:name w:val="Header Sensitivity"/>
    <w:basedOn w:val="Normal"/>
    <w:link w:val="HeaderSensitivityChar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Pr>
      <w:rFonts w:ascii="Times New Roman" w:hAnsi="Times New Roman" w:cs="Times New Roman"/>
      <w:b/>
      <w:sz w:val="32"/>
    </w:rPr>
  </w:style>
  <w:style w:type="paragraph" w:customStyle="1" w:styleId="HeaderSensitivityRight">
    <w:name w:val="Header Sensitivity Right"/>
    <w:basedOn w:val="Normal"/>
    <w:link w:val="HeaderSensitivityRightChar"/>
    <w:pPr>
      <w:spacing w:after="120" w:line="240" w:lineRule="auto"/>
      <w:jc w:val="right"/>
    </w:pPr>
    <w:rPr>
      <w:rFonts w:ascii="Times New Roman" w:hAnsi="Times New Roman" w:cs="Times New Roman"/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Pr>
      <w:rFonts w:ascii="Times New Roman" w:hAnsi="Times New Roman" w:cs="Times New Roman"/>
      <w:sz w:val="28"/>
    </w:rPr>
  </w:style>
  <w:style w:type="character" w:styleId="FootnoteReference">
    <w:name w:val="footnote reference"/>
    <w:aliases w:val="Footnote Reference Superscript,BVI fnr,Footnote symbol,Footnote reference number,Times 10 Point,Exposant 3 Point,Footnote Reference Number,Footnote Reference_LVL6,Footnote Reference_LVL61,Footnote Reference_LVL62"/>
    <w:uiPriority w:val="99"/>
    <w:rPr>
      <w:rFonts w:ascii="Times New Roman" w:hAnsi="Times New Roman"/>
      <w:sz w:val="20"/>
      <w:vertAlign w:val="superscript"/>
    </w:rPr>
  </w:style>
  <w:style w:type="paragraph" w:customStyle="1" w:styleId="FooterLine">
    <w:name w:val="Footer Line"/>
    <w:basedOn w:val="Footer"/>
    <w:next w:val="Footer"/>
    <w:semiHidden/>
    <w:pPr>
      <w:tabs>
        <w:tab w:val="clear" w:pos="4513"/>
        <w:tab w:val="clear" w:pos="9026"/>
        <w:tab w:val="right" w:pos="8646"/>
      </w:tabs>
      <w:spacing w:before="120" w:line="264" w:lineRule="auto"/>
      <w:jc w:val="both"/>
    </w:pPr>
    <w:rPr>
      <w:rFonts w:ascii="Times New Roman" w:eastAsia="Times New Roman" w:hAnsi="Times New Roman" w:cs="Times New Roman"/>
      <w:sz w:val="16"/>
      <w:szCs w:val="20"/>
      <w:lang w:eastAsia="fr-BE"/>
    </w:rPr>
  </w:style>
  <w:style w:type="paragraph" w:styleId="FootnoteText">
    <w:name w:val="footnote text"/>
    <w:basedOn w:val="Normal"/>
    <w:link w:val="FootnoteTextChar"/>
    <w:uiPriority w:val="99"/>
    <w:pPr>
      <w:spacing w:after="12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eastAsia="fr-BE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eastAsia="Times New Roman" w:hAnsi="Times New Roman" w:cs="Times New Roman"/>
      <w:sz w:val="20"/>
      <w:szCs w:val="20"/>
      <w:lang w:val="mt-MT" w:eastAsia="fr-BE"/>
    </w:rPr>
  </w:style>
  <w:style w:type="paragraph" w:customStyle="1" w:styleId="Text1">
    <w:name w:val="Text 1"/>
    <w:basedOn w:val="Normal"/>
    <w:qFormat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eastAsia="fr-BE"/>
    </w:rPr>
  </w:style>
  <w:style w:type="table" w:styleId="TableGrid">
    <w:name w:val="Table Grid"/>
    <w:uiPriority w:val="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BE"/>
    </w:rPr>
    <w:tblPr>
      <w:tblStyleRowBandSize w:val="1"/>
      <w:tblStyleCol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1st level - Bullet List Paragraph Char,List Paragraph1 Char,Lettre d'introduction Char,Paragrafo elenco Char,Medium Grid 1 - Accent 21 Char,Fiche List Paragraph Char,Dot pt Char,F5 List Paragraph Char,No Spacing1 Char,L Char,2 Char"/>
    <w:basedOn w:val="DefaultParagraphFont"/>
    <w:link w:val="ListParagraph"/>
    <w:uiPriority w:val="34"/>
    <w:locked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customStyle="1" w:styleId="paragraph">
    <w:name w:val="paragraph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Mention">
    <w:name w:val="Mention"/>
    <w:basedOn w:val="DefaultParagraphFont"/>
    <w:uiPriority w:val="99"/>
    <w:unhideWhenUsed/>
    <w:rPr>
      <w:color w:val="2B579A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  <w:lang w:val="mt-MT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normaltextrun">
    <w:name w:val="normaltextrun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03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1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5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5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65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2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040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9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0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14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itehouse.gov/presidential-actions/2025/11/launching-the-genesis-mission" TargetMode="External"/><Relationship Id="rId13" Type="http://schemas.openxmlformats.org/officeDocument/2006/relationships/hyperlink" Target="https://eur-lex.europa.eu/legal-content/MT/TXT/?uri=CELEX:52025DC0165" TargetMode="External"/><Relationship Id="rId18" Type="http://schemas.openxmlformats.org/officeDocument/2006/relationships/hyperlink" Target="https://evision.eurelectric.org/report-2025/" TargetMode="External"/><Relationship Id="rId26" Type="http://schemas.openxmlformats.org/officeDocument/2006/relationships/hyperlink" Target="https://www.iea.org/reports/key-questions-on-energy-and-ai/" TargetMode="External"/><Relationship Id="rId39" Type="http://schemas.openxmlformats.org/officeDocument/2006/relationships/hyperlink" Target="https://ai-effect.eu/" TargetMode="External"/><Relationship Id="rId3" Type="http://schemas.openxmlformats.org/officeDocument/2006/relationships/hyperlink" Target="https://www.iea.org/reports/energy-and-ai" TargetMode="External"/><Relationship Id="rId21" Type="http://schemas.openxmlformats.org/officeDocument/2006/relationships/hyperlink" Target="https://data.europa.eu/doi/10.2833/8232521" TargetMode="External"/><Relationship Id="rId34" Type="http://schemas.openxmlformats.org/officeDocument/2006/relationships/hyperlink" Target="https://datacellarproject.eu/" TargetMode="External"/><Relationship Id="rId42" Type="http://schemas.openxmlformats.org/officeDocument/2006/relationships/hyperlink" Target="https://research-and-innovation.ec.europa.eu/strategy/support-policy-making/scientific-support-eu-policies/european-group-ethics_en" TargetMode="External"/><Relationship Id="rId47" Type="http://schemas.openxmlformats.org/officeDocument/2006/relationships/hyperlink" Target="https://www.acer.europa.eu/remit/about-remit" TargetMode="External"/><Relationship Id="rId7" Type="http://schemas.openxmlformats.org/officeDocument/2006/relationships/hyperlink" Target="https://www.whitehouse.gov/presidential-actions/2025/11/launching-the-genesis-mission" TargetMode="External"/><Relationship Id="rId12" Type="http://schemas.openxmlformats.org/officeDocument/2006/relationships/hyperlink" Target="https://www.forbes.com/sites/wesleyhill/2025/10/23/chinas-new-ai-strategy-explained/" TargetMode="External"/><Relationship Id="rId17" Type="http://schemas.openxmlformats.org/officeDocument/2006/relationships/hyperlink" Target="https://scale-horizon.eu/utrecht-becomes-europes-first-city-with-a-v2g-electric-car%E2%80%91sharing-service/" TargetMode="External"/><Relationship Id="rId25" Type="http://schemas.openxmlformats.org/officeDocument/2006/relationships/hyperlink" Target="https://energy.ec.europa.eu/topics/energy-efficiency/energy-performance-buildings/eu-building-stock-observatory_en" TargetMode="External"/><Relationship Id="rId33" Type="http://schemas.openxmlformats.org/officeDocument/2006/relationships/hyperlink" Target="https://enershare.eu/" TargetMode="External"/><Relationship Id="rId38" Type="http://schemas.openxmlformats.org/officeDocument/2006/relationships/hyperlink" Target="https://enertef.eu/" TargetMode="External"/><Relationship Id="rId46" Type="http://schemas.openxmlformats.org/officeDocument/2006/relationships/hyperlink" Target="https://www.oecd.org/en.html" TargetMode="External"/><Relationship Id="rId2" Type="http://schemas.openxmlformats.org/officeDocument/2006/relationships/hyperlink" Target="https://www.dnv.com/publications/demand-side-flexibility-quantification-of-benefits-in-the-eu-232342/" TargetMode="External"/><Relationship Id="rId16" Type="http://schemas.openxmlformats.org/officeDocument/2006/relationships/hyperlink" Target="https://www.tsodsoplatform.eu/capacitypedia" TargetMode="External"/><Relationship Id="rId20" Type="http://schemas.openxmlformats.org/officeDocument/2006/relationships/hyperlink" Target="https://op.europa.eu/en/publication-detail/-/publication/60f97fad-70b5-11ef-a8ba-01aa75ed71a1/language-en" TargetMode="External"/><Relationship Id="rId29" Type="http://schemas.openxmlformats.org/officeDocument/2006/relationships/hyperlink" Target="https://eic.ec.europa.eu/eic-fund/scaleup-europe-fund_en" TargetMode="External"/><Relationship Id="rId41" Type="http://schemas.openxmlformats.org/officeDocument/2006/relationships/hyperlink" Target="https://www.iea.org/data-and-statistics/charts/cyberattacks-per-week-per-energy-organisation-2020-2024" TargetMode="External"/><Relationship Id="rId1" Type="http://schemas.openxmlformats.org/officeDocument/2006/relationships/hyperlink" Target="https://commission.europa.eu/topics/competitiveness/draghi-report_en" TargetMode="External"/><Relationship Id="rId6" Type="http://schemas.openxmlformats.org/officeDocument/2006/relationships/hyperlink" Target="https://www.energy.gov/sites/default/files/2025-09/EXEC-2025-010630%20-%20250923_%20DOE%20AI%20Strategy%20VFinal.pdf" TargetMode="External"/><Relationship Id="rId11" Type="http://schemas.openxmlformats.org/officeDocument/2006/relationships/hyperlink" Target="https://www.forbes.com/sites/wesleyhill/2025/10/23/chinas-new-ai-strategy-explained/" TargetMode="External"/><Relationship Id="rId24" Type="http://schemas.openxmlformats.org/officeDocument/2006/relationships/hyperlink" Target="https://www.iea.org/reports/energy-and-ai" TargetMode="External"/><Relationship Id="rId32" Type="http://schemas.openxmlformats.org/officeDocument/2006/relationships/hyperlink" Target="https://eddie.energy/" TargetMode="External"/><Relationship Id="rId37" Type="http://schemas.openxmlformats.org/officeDocument/2006/relationships/hyperlink" Target="https://insieme.energy/index.html" TargetMode="External"/><Relationship Id="rId40" Type="http://schemas.openxmlformats.org/officeDocument/2006/relationships/hyperlink" Target="https://energy-guard.eu/" TargetMode="External"/><Relationship Id="rId45" Type="http://schemas.openxmlformats.org/officeDocument/2006/relationships/hyperlink" Target="https://www.irena.org/" TargetMode="External"/><Relationship Id="rId5" Type="http://schemas.openxmlformats.org/officeDocument/2006/relationships/hyperlink" Target="https://commission.europa.eu/topics/environment/water-resilience-strategy_mt" TargetMode="External"/><Relationship Id="rId15" Type="http://schemas.openxmlformats.org/officeDocument/2006/relationships/hyperlink" Target="https://www.tsodsoplatform.eu/capacitypedia" TargetMode="External"/><Relationship Id="rId23" Type="http://schemas.openxmlformats.org/officeDocument/2006/relationships/hyperlink" Target="https://www.iea.org/reports/energy-and-ai" TargetMode="External"/><Relationship Id="rId28" Type="http://schemas.openxmlformats.org/officeDocument/2006/relationships/hyperlink" Target="https://research-and-innovation.ec.europa.eu/strategy/strategy-research-and-innovation/our-digital-future/european-ai-science-strategy/raise-resource-ai-science-europe_en" TargetMode="External"/><Relationship Id="rId36" Type="http://schemas.openxmlformats.org/officeDocument/2006/relationships/hyperlink" Target="https://omega-x.eu/" TargetMode="External"/><Relationship Id="rId10" Type="http://schemas.openxmlformats.org/officeDocument/2006/relationships/hyperlink" Target="https://english.www.gov.cn/news/202509/08/content_WS68be8c3ec6d0868f4e8f566d.html" TargetMode="External"/><Relationship Id="rId19" Type="http://schemas.openxmlformats.org/officeDocument/2006/relationships/hyperlink" Target="https://evision.eurelectric.org/report-2025/" TargetMode="External"/><Relationship Id="rId31" Type="http://schemas.openxmlformats.org/officeDocument/2006/relationships/hyperlink" Target="https://op.europa.eu/en/publication-detail/-/publication/f56915a6-5582-11f1-b3e2-01aa75ed71a1" TargetMode="External"/><Relationship Id="rId44" Type="http://schemas.openxmlformats.org/officeDocument/2006/relationships/hyperlink" Target="https://www.iea.org/" TargetMode="External"/><Relationship Id="rId4" Type="http://schemas.openxmlformats.org/officeDocument/2006/relationships/hyperlink" Target="https://www.iea.org/reports/energy-and-ai" TargetMode="External"/><Relationship Id="rId9" Type="http://schemas.openxmlformats.org/officeDocument/2006/relationships/hyperlink" Target="https://english.www.gov.cn/news/202509/08/content_WS68be8c3ec6d0868f4e8f566d.html" TargetMode="External"/><Relationship Id="rId14" Type="http://schemas.openxmlformats.org/officeDocument/2006/relationships/hyperlink" Target="https://eur-lex.europa.eu/legal-content/MT/TXT/?uri=CELEX:52025DC0723" TargetMode="External"/><Relationship Id="rId22" Type="http://schemas.openxmlformats.org/officeDocument/2006/relationships/hyperlink" Target="https://www.currenteurope.eu/wp-content/uploads/2024/06/CL-CurrENT-BE-Prospects-for-Innovative-Grid-Technologies-final-report-20240617-2.pdf" TargetMode="External"/><Relationship Id="rId27" Type="http://schemas.openxmlformats.org/officeDocument/2006/relationships/hyperlink" Target="https://research-and-innovation.ec.europa.eu/strategy/strategy-research-and-innovation/our-digital-future/european-ai-science-strategy/raise-resource-ai-science-europe_en" TargetMode="External"/><Relationship Id="rId30" Type="http://schemas.openxmlformats.org/officeDocument/2006/relationships/hyperlink" Target="https://circabc.europa.eu/ui/group/8f5f9424-a7ef-4dbf-b914-1af1d12ff5d2/library/0ab33a07-d991-4525-b7d0-c01a692c32da/details?download=true" TargetMode="External"/><Relationship Id="rId35" Type="http://schemas.openxmlformats.org/officeDocument/2006/relationships/hyperlink" Target="https://energydataspaces.eu/" TargetMode="External"/><Relationship Id="rId43" Type="http://schemas.openxmlformats.org/officeDocument/2006/relationships/hyperlink" Target="https://digital-strategy.ec.europa.eu/mt/policies/international-digital-strate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379a47-c225-4eaf-910b-2695067bb810">
      <Terms xmlns="http://schemas.microsoft.com/office/infopath/2007/PartnerControls"/>
    </lcf76f155ced4ddcb4097134ff3c332f>
    <TaxCatchAll xmlns="3b8e4368-5d4d-4aca-a4b5-6e41735107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86F3615F1041ACCB88DC106E1CEA" ma:contentTypeVersion="18" ma:contentTypeDescription="Create a new document." ma:contentTypeScope="" ma:versionID="0fb59bfc56e05ed33762e7c798104451">
  <xsd:schema xmlns:xsd="http://www.w3.org/2001/XMLSchema" xmlns:xs="http://www.w3.org/2001/XMLSchema" xmlns:p="http://schemas.microsoft.com/office/2006/metadata/properties" xmlns:ns2="eb379a47-c225-4eaf-910b-2695067bb810" xmlns:ns3="3b8e4368-5d4d-4aca-a4b5-6e41735107fd" targetNamespace="http://schemas.microsoft.com/office/2006/metadata/properties" ma:root="true" ma:fieldsID="ecbca5986e86926068b68a48bea5e76a" ns2:_="" ns3:_="">
    <xsd:import namespace="eb379a47-c225-4eaf-910b-2695067bb810"/>
    <xsd:import namespace="3b8e4368-5d4d-4aca-a4b5-6e4173510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79a47-c225-4eaf-910b-2695067bb8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e4368-5d4d-4aca-a4b5-6e4173510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6314b74-35a9-4ee3-b30f-b33229ad4bf5}" ma:internalName="TaxCatchAll" ma:showField="CatchAllData" ma:web="3b8e4368-5d4d-4aca-a4b5-6e4173510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5BC9B-E6C2-48AE-8084-A089511DD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4D2AC8-8CF8-4D82-9F5E-7FE5D0339C21}">
  <ds:schemaRefs>
    <ds:schemaRef ds:uri="http://schemas.microsoft.com/office/2006/metadata/properties"/>
    <ds:schemaRef ds:uri="http://schemas.microsoft.com/office/infopath/2007/PartnerControls"/>
    <ds:schemaRef ds:uri="eb379a47-c225-4eaf-910b-2695067bb810"/>
    <ds:schemaRef ds:uri="3b8e4368-5d4d-4aca-a4b5-6e41735107fd"/>
  </ds:schemaRefs>
</ds:datastoreItem>
</file>

<file path=customXml/itemProps3.xml><?xml version="1.0" encoding="utf-8"?>
<ds:datastoreItem xmlns:ds="http://schemas.openxmlformats.org/officeDocument/2006/customXml" ds:itemID="{687570E9-6E36-4C23-BD86-862E19583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79a47-c225-4eaf-910b-2695067bb810"/>
    <ds:schemaRef ds:uri="3b8e4368-5d4d-4aca-a4b5-6e4173510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6F7D1A-5312-4B55-9E8A-C77DACB6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6621</Words>
  <Characters>37745</Characters>
  <Application>Microsoft Office Word</Application>
  <DocSecurity>0</DocSecurity>
  <Lines>314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44278</CharactersWithSpaces>
  <SharedDoc>false</SharedDoc>
  <HLinks>
    <vt:vector size="246" baseType="variant">
      <vt:variant>
        <vt:i4>2031694</vt:i4>
      </vt:variant>
      <vt:variant>
        <vt:i4>120</vt:i4>
      </vt:variant>
      <vt:variant>
        <vt:i4>0</vt:i4>
      </vt:variant>
      <vt:variant>
        <vt:i4>5</vt:i4>
      </vt:variant>
      <vt:variant>
        <vt:lpwstr>https://www.acer.europa.eu/remit/about-remit</vt:lpwstr>
      </vt:variant>
      <vt:variant>
        <vt:lpwstr/>
      </vt:variant>
      <vt:variant>
        <vt:i4>1179732</vt:i4>
      </vt:variant>
      <vt:variant>
        <vt:i4>117</vt:i4>
      </vt:variant>
      <vt:variant>
        <vt:i4>0</vt:i4>
      </vt:variant>
      <vt:variant>
        <vt:i4>5</vt:i4>
      </vt:variant>
      <vt:variant>
        <vt:lpwstr>https://www.oecd.org/en.html</vt:lpwstr>
      </vt:variant>
      <vt:variant>
        <vt:lpwstr/>
      </vt:variant>
      <vt:variant>
        <vt:i4>2555941</vt:i4>
      </vt:variant>
      <vt:variant>
        <vt:i4>114</vt:i4>
      </vt:variant>
      <vt:variant>
        <vt:i4>0</vt:i4>
      </vt:variant>
      <vt:variant>
        <vt:i4>5</vt:i4>
      </vt:variant>
      <vt:variant>
        <vt:lpwstr>https://www.irena.org/</vt:lpwstr>
      </vt:variant>
      <vt:variant>
        <vt:lpwstr/>
      </vt:variant>
      <vt:variant>
        <vt:i4>6160448</vt:i4>
      </vt:variant>
      <vt:variant>
        <vt:i4>111</vt:i4>
      </vt:variant>
      <vt:variant>
        <vt:i4>0</vt:i4>
      </vt:variant>
      <vt:variant>
        <vt:i4>5</vt:i4>
      </vt:variant>
      <vt:variant>
        <vt:lpwstr>https://www.iea.org/</vt:lpwstr>
      </vt:variant>
      <vt:variant>
        <vt:lpwstr/>
      </vt:variant>
      <vt:variant>
        <vt:i4>131074</vt:i4>
      </vt:variant>
      <vt:variant>
        <vt:i4>108</vt:i4>
      </vt:variant>
      <vt:variant>
        <vt:i4>0</vt:i4>
      </vt:variant>
      <vt:variant>
        <vt:i4>5</vt:i4>
      </vt:variant>
      <vt:variant>
        <vt:lpwstr>https://digital-strategy.ec.europa.eu/en/policies/international-digital-strategy</vt:lpwstr>
      </vt:variant>
      <vt:variant>
        <vt:lpwstr/>
      </vt:variant>
      <vt:variant>
        <vt:i4>8060935</vt:i4>
      </vt:variant>
      <vt:variant>
        <vt:i4>105</vt:i4>
      </vt:variant>
      <vt:variant>
        <vt:i4>0</vt:i4>
      </vt:variant>
      <vt:variant>
        <vt:i4>5</vt:i4>
      </vt:variant>
      <vt:variant>
        <vt:lpwstr>https://research-and-innovation.ec.europa.eu/strategy/support-policy-making/scientific-support-eu-policies/european-group-ethics_en</vt:lpwstr>
      </vt:variant>
      <vt:variant>
        <vt:lpwstr/>
      </vt:variant>
      <vt:variant>
        <vt:i4>6946852</vt:i4>
      </vt:variant>
      <vt:variant>
        <vt:i4>102</vt:i4>
      </vt:variant>
      <vt:variant>
        <vt:i4>0</vt:i4>
      </vt:variant>
      <vt:variant>
        <vt:i4>5</vt:i4>
      </vt:variant>
      <vt:variant>
        <vt:lpwstr>https://www.iea.org/data-and-statistics/charts/cyberattacks-per-week-per-energy-organisation-2020-2024</vt:lpwstr>
      </vt:variant>
      <vt:variant>
        <vt:lpwstr/>
      </vt:variant>
      <vt:variant>
        <vt:i4>6029398</vt:i4>
      </vt:variant>
      <vt:variant>
        <vt:i4>99</vt:i4>
      </vt:variant>
      <vt:variant>
        <vt:i4>0</vt:i4>
      </vt:variant>
      <vt:variant>
        <vt:i4>5</vt:i4>
      </vt:variant>
      <vt:variant>
        <vt:lpwstr>https://energy-guard.eu/</vt:lpwstr>
      </vt:variant>
      <vt:variant>
        <vt:lpwstr/>
      </vt:variant>
      <vt:variant>
        <vt:i4>4390942</vt:i4>
      </vt:variant>
      <vt:variant>
        <vt:i4>96</vt:i4>
      </vt:variant>
      <vt:variant>
        <vt:i4>0</vt:i4>
      </vt:variant>
      <vt:variant>
        <vt:i4>5</vt:i4>
      </vt:variant>
      <vt:variant>
        <vt:lpwstr>https://ai-effect.eu/</vt:lpwstr>
      </vt:variant>
      <vt:variant>
        <vt:lpwstr/>
      </vt:variant>
      <vt:variant>
        <vt:i4>3342391</vt:i4>
      </vt:variant>
      <vt:variant>
        <vt:i4>93</vt:i4>
      </vt:variant>
      <vt:variant>
        <vt:i4>0</vt:i4>
      </vt:variant>
      <vt:variant>
        <vt:i4>5</vt:i4>
      </vt:variant>
      <vt:variant>
        <vt:lpwstr>https://enertef.eu/</vt:lpwstr>
      </vt:variant>
      <vt:variant>
        <vt:lpwstr/>
      </vt:variant>
      <vt:variant>
        <vt:i4>4194371</vt:i4>
      </vt:variant>
      <vt:variant>
        <vt:i4>90</vt:i4>
      </vt:variant>
      <vt:variant>
        <vt:i4>0</vt:i4>
      </vt:variant>
      <vt:variant>
        <vt:i4>5</vt:i4>
      </vt:variant>
      <vt:variant>
        <vt:lpwstr>https://insieme.energy/index.html</vt:lpwstr>
      </vt:variant>
      <vt:variant>
        <vt:lpwstr/>
      </vt:variant>
      <vt:variant>
        <vt:i4>7143478</vt:i4>
      </vt:variant>
      <vt:variant>
        <vt:i4>87</vt:i4>
      </vt:variant>
      <vt:variant>
        <vt:i4>0</vt:i4>
      </vt:variant>
      <vt:variant>
        <vt:i4>5</vt:i4>
      </vt:variant>
      <vt:variant>
        <vt:lpwstr>https://omega-x.eu/</vt:lpwstr>
      </vt:variant>
      <vt:variant>
        <vt:lpwstr/>
      </vt:variant>
      <vt:variant>
        <vt:i4>6160411</vt:i4>
      </vt:variant>
      <vt:variant>
        <vt:i4>84</vt:i4>
      </vt:variant>
      <vt:variant>
        <vt:i4>0</vt:i4>
      </vt:variant>
      <vt:variant>
        <vt:i4>5</vt:i4>
      </vt:variant>
      <vt:variant>
        <vt:lpwstr>https://energydataspaces.eu/</vt:lpwstr>
      </vt:variant>
      <vt:variant>
        <vt:lpwstr/>
      </vt:variant>
      <vt:variant>
        <vt:i4>4849749</vt:i4>
      </vt:variant>
      <vt:variant>
        <vt:i4>81</vt:i4>
      </vt:variant>
      <vt:variant>
        <vt:i4>0</vt:i4>
      </vt:variant>
      <vt:variant>
        <vt:i4>5</vt:i4>
      </vt:variant>
      <vt:variant>
        <vt:lpwstr>https://datacellarproject.eu/</vt:lpwstr>
      </vt:variant>
      <vt:variant>
        <vt:lpwstr/>
      </vt:variant>
      <vt:variant>
        <vt:i4>4980818</vt:i4>
      </vt:variant>
      <vt:variant>
        <vt:i4>78</vt:i4>
      </vt:variant>
      <vt:variant>
        <vt:i4>0</vt:i4>
      </vt:variant>
      <vt:variant>
        <vt:i4>5</vt:i4>
      </vt:variant>
      <vt:variant>
        <vt:lpwstr>https://enershare.eu/</vt:lpwstr>
      </vt:variant>
      <vt:variant>
        <vt:lpwstr/>
      </vt:variant>
      <vt:variant>
        <vt:i4>5701699</vt:i4>
      </vt:variant>
      <vt:variant>
        <vt:i4>75</vt:i4>
      </vt:variant>
      <vt:variant>
        <vt:i4>0</vt:i4>
      </vt:variant>
      <vt:variant>
        <vt:i4>5</vt:i4>
      </vt:variant>
      <vt:variant>
        <vt:lpwstr>https://eddie.energy/</vt:lpwstr>
      </vt:variant>
      <vt:variant>
        <vt:lpwstr/>
      </vt:variant>
      <vt:variant>
        <vt:i4>458817</vt:i4>
      </vt:variant>
      <vt:variant>
        <vt:i4>72</vt:i4>
      </vt:variant>
      <vt:variant>
        <vt:i4>0</vt:i4>
      </vt:variant>
      <vt:variant>
        <vt:i4>5</vt:i4>
      </vt:variant>
      <vt:variant>
        <vt:lpwstr>https://op.europa.eu/en/publication-detail/-/publication/f56915a6-5582-11f1-b3e2-01aa75ed71a1</vt:lpwstr>
      </vt:variant>
      <vt:variant>
        <vt:lpwstr/>
      </vt:variant>
      <vt:variant>
        <vt:i4>2621556</vt:i4>
      </vt:variant>
      <vt:variant>
        <vt:i4>69</vt:i4>
      </vt:variant>
      <vt:variant>
        <vt:i4>0</vt:i4>
      </vt:variant>
      <vt:variant>
        <vt:i4>5</vt:i4>
      </vt:variant>
      <vt:variant>
        <vt:lpwstr>https://circabc.europa.eu/ui/group/8f5f9424-a7ef-4dbf-b914-1af1d12ff5d2/library/0ab33a07-d991-4525-b7d0-c01a692c32da/details?download=true</vt:lpwstr>
      </vt:variant>
      <vt:variant>
        <vt:lpwstr/>
      </vt:variant>
      <vt:variant>
        <vt:i4>3735632</vt:i4>
      </vt:variant>
      <vt:variant>
        <vt:i4>66</vt:i4>
      </vt:variant>
      <vt:variant>
        <vt:i4>0</vt:i4>
      </vt:variant>
      <vt:variant>
        <vt:i4>5</vt:i4>
      </vt:variant>
      <vt:variant>
        <vt:lpwstr>https://eic.ec.europa.eu/eic-fund/scaleup-europe-fund_en</vt:lpwstr>
      </vt:variant>
      <vt:variant>
        <vt:lpwstr/>
      </vt:variant>
      <vt:variant>
        <vt:i4>1310847</vt:i4>
      </vt:variant>
      <vt:variant>
        <vt:i4>63</vt:i4>
      </vt:variant>
      <vt:variant>
        <vt:i4>0</vt:i4>
      </vt:variant>
      <vt:variant>
        <vt:i4>5</vt:i4>
      </vt:variant>
      <vt:variant>
        <vt:lpwstr>https://research-and-innovation.ec.europa.eu/strategy/strategy-research-and-innovation/our-digital-future/european-ai-science-strategy/raise-resource-ai-science-europe_en</vt:lpwstr>
      </vt:variant>
      <vt:variant>
        <vt:lpwstr/>
      </vt:variant>
      <vt:variant>
        <vt:i4>6619246</vt:i4>
      </vt:variant>
      <vt:variant>
        <vt:i4>60</vt:i4>
      </vt:variant>
      <vt:variant>
        <vt:i4>0</vt:i4>
      </vt:variant>
      <vt:variant>
        <vt:i4>5</vt:i4>
      </vt:variant>
      <vt:variant>
        <vt:lpwstr>https://www.iea.org/reports/key-questions-on-energy-and-ai/</vt:lpwstr>
      </vt:variant>
      <vt:variant>
        <vt:lpwstr/>
      </vt:variant>
      <vt:variant>
        <vt:i4>4784250</vt:i4>
      </vt:variant>
      <vt:variant>
        <vt:i4>57</vt:i4>
      </vt:variant>
      <vt:variant>
        <vt:i4>0</vt:i4>
      </vt:variant>
      <vt:variant>
        <vt:i4>5</vt:i4>
      </vt:variant>
      <vt:variant>
        <vt:lpwstr>https://energy.ec.europa.eu/topics/energy-efficiency/energy-performance-buildings/eu-building-stock-observatory_en</vt:lpwstr>
      </vt:variant>
      <vt:variant>
        <vt:lpwstr/>
      </vt:variant>
      <vt:variant>
        <vt:i4>917578</vt:i4>
      </vt:variant>
      <vt:variant>
        <vt:i4>54</vt:i4>
      </vt:variant>
      <vt:variant>
        <vt:i4>0</vt:i4>
      </vt:variant>
      <vt:variant>
        <vt:i4>5</vt:i4>
      </vt:variant>
      <vt:variant>
        <vt:lpwstr>https://www.iea.org/reports/energy-and-ai</vt:lpwstr>
      </vt:variant>
      <vt:variant>
        <vt:lpwstr/>
      </vt:variant>
      <vt:variant>
        <vt:i4>917578</vt:i4>
      </vt:variant>
      <vt:variant>
        <vt:i4>51</vt:i4>
      </vt:variant>
      <vt:variant>
        <vt:i4>0</vt:i4>
      </vt:variant>
      <vt:variant>
        <vt:i4>5</vt:i4>
      </vt:variant>
      <vt:variant>
        <vt:lpwstr>https://www.iea.org/reports/energy-and-ai</vt:lpwstr>
      </vt:variant>
      <vt:variant>
        <vt:lpwstr/>
      </vt:variant>
      <vt:variant>
        <vt:i4>5111872</vt:i4>
      </vt:variant>
      <vt:variant>
        <vt:i4>48</vt:i4>
      </vt:variant>
      <vt:variant>
        <vt:i4>0</vt:i4>
      </vt:variant>
      <vt:variant>
        <vt:i4>5</vt:i4>
      </vt:variant>
      <vt:variant>
        <vt:lpwstr>https://www.currenteurope.eu/wp-content/uploads/2024/06/CL-CurrENT-BE-Prospects-for-Innovative-Grid-Technologies-final-report-20240617-2.pdf</vt:lpwstr>
      </vt:variant>
      <vt:variant>
        <vt:lpwstr/>
      </vt:variant>
      <vt:variant>
        <vt:i4>3866659</vt:i4>
      </vt:variant>
      <vt:variant>
        <vt:i4>45</vt:i4>
      </vt:variant>
      <vt:variant>
        <vt:i4>0</vt:i4>
      </vt:variant>
      <vt:variant>
        <vt:i4>5</vt:i4>
      </vt:variant>
      <vt:variant>
        <vt:lpwstr>https://data.europa.eu/doi/10.2833/8232521</vt:lpwstr>
      </vt:variant>
      <vt:variant>
        <vt:lpwstr/>
      </vt:variant>
      <vt:variant>
        <vt:i4>1048642</vt:i4>
      </vt:variant>
      <vt:variant>
        <vt:i4>42</vt:i4>
      </vt:variant>
      <vt:variant>
        <vt:i4>0</vt:i4>
      </vt:variant>
      <vt:variant>
        <vt:i4>5</vt:i4>
      </vt:variant>
      <vt:variant>
        <vt:lpwstr>https://op.europa.eu/en/publication-detail/-/publication/60f97fad-70b5-11ef-a8ba-01aa75ed71a1/language-en</vt:lpwstr>
      </vt:variant>
      <vt:variant>
        <vt:lpwstr/>
      </vt:variant>
      <vt:variant>
        <vt:i4>2031634</vt:i4>
      </vt:variant>
      <vt:variant>
        <vt:i4>39</vt:i4>
      </vt:variant>
      <vt:variant>
        <vt:i4>0</vt:i4>
      </vt:variant>
      <vt:variant>
        <vt:i4>5</vt:i4>
      </vt:variant>
      <vt:variant>
        <vt:lpwstr>https://evision.eurelectric.org/report-2025/</vt:lpwstr>
      </vt:variant>
      <vt:variant>
        <vt:lpwstr/>
      </vt:variant>
      <vt:variant>
        <vt:i4>6094939</vt:i4>
      </vt:variant>
      <vt:variant>
        <vt:i4>36</vt:i4>
      </vt:variant>
      <vt:variant>
        <vt:i4>0</vt:i4>
      </vt:variant>
      <vt:variant>
        <vt:i4>5</vt:i4>
      </vt:variant>
      <vt:variant>
        <vt:lpwstr>https://scale-horizon.eu/utrecht-becomes-europes-first-city-with-a-v2g-electric-car%E2%80%91sharing-service/</vt:lpwstr>
      </vt:variant>
      <vt:variant>
        <vt:lpwstr/>
      </vt:variant>
      <vt:variant>
        <vt:i4>8126566</vt:i4>
      </vt:variant>
      <vt:variant>
        <vt:i4>33</vt:i4>
      </vt:variant>
      <vt:variant>
        <vt:i4>0</vt:i4>
      </vt:variant>
      <vt:variant>
        <vt:i4>5</vt:i4>
      </vt:variant>
      <vt:variant>
        <vt:lpwstr>https://www.tsodsoplatform.eu/capacitypedia</vt:lpwstr>
      </vt:variant>
      <vt:variant>
        <vt:lpwstr/>
      </vt:variant>
      <vt:variant>
        <vt:i4>131094</vt:i4>
      </vt:variant>
      <vt:variant>
        <vt:i4>30</vt:i4>
      </vt:variant>
      <vt:variant>
        <vt:i4>0</vt:i4>
      </vt:variant>
      <vt:variant>
        <vt:i4>5</vt:i4>
      </vt:variant>
      <vt:variant>
        <vt:lpwstr>https://eur-lex.europa.eu/legal-content/EN/TXT/?uri=CELEX:52025DC0723</vt:lpwstr>
      </vt:variant>
      <vt:variant>
        <vt:lpwstr/>
      </vt:variant>
      <vt:variant>
        <vt:i4>393232</vt:i4>
      </vt:variant>
      <vt:variant>
        <vt:i4>27</vt:i4>
      </vt:variant>
      <vt:variant>
        <vt:i4>0</vt:i4>
      </vt:variant>
      <vt:variant>
        <vt:i4>5</vt:i4>
      </vt:variant>
      <vt:variant>
        <vt:lpwstr>https://eur-lex.europa.eu/legal-content/EN/TXT/?uri=CELEX:52025DC0165</vt:lpwstr>
      </vt:variant>
      <vt:variant>
        <vt:lpwstr/>
      </vt:variant>
      <vt:variant>
        <vt:i4>4259932</vt:i4>
      </vt:variant>
      <vt:variant>
        <vt:i4>24</vt:i4>
      </vt:variant>
      <vt:variant>
        <vt:i4>0</vt:i4>
      </vt:variant>
      <vt:variant>
        <vt:i4>5</vt:i4>
      </vt:variant>
      <vt:variant>
        <vt:lpwstr>https://www.forbes.com/sites/wesleyhill/2025/10/23/chinas-new-ai-strategy-explained/</vt:lpwstr>
      </vt:variant>
      <vt:variant>
        <vt:lpwstr/>
      </vt:variant>
      <vt:variant>
        <vt:i4>2949193</vt:i4>
      </vt:variant>
      <vt:variant>
        <vt:i4>21</vt:i4>
      </vt:variant>
      <vt:variant>
        <vt:i4>0</vt:i4>
      </vt:variant>
      <vt:variant>
        <vt:i4>5</vt:i4>
      </vt:variant>
      <vt:variant>
        <vt:lpwstr>https://english.www.gov.cn/news/202509/08/content_WS68be8c3ec6d0868f4e8f566d.html</vt:lpwstr>
      </vt:variant>
      <vt:variant>
        <vt:lpwstr/>
      </vt:variant>
      <vt:variant>
        <vt:i4>1835083</vt:i4>
      </vt:variant>
      <vt:variant>
        <vt:i4>18</vt:i4>
      </vt:variant>
      <vt:variant>
        <vt:i4>0</vt:i4>
      </vt:variant>
      <vt:variant>
        <vt:i4>5</vt:i4>
      </vt:variant>
      <vt:variant>
        <vt:lpwstr>https://www.whitehouse.gov/presidential-actions/2025/11/launching-the-genesis-mission</vt:lpwstr>
      </vt:variant>
      <vt:variant>
        <vt:lpwstr/>
      </vt:variant>
      <vt:variant>
        <vt:i4>4456490</vt:i4>
      </vt:variant>
      <vt:variant>
        <vt:i4>15</vt:i4>
      </vt:variant>
      <vt:variant>
        <vt:i4>0</vt:i4>
      </vt:variant>
      <vt:variant>
        <vt:i4>5</vt:i4>
      </vt:variant>
      <vt:variant>
        <vt:lpwstr>https://www.energy.gov/sites/default/files/2025-09/EXEC-2025-010630 - 250923_ DOE AI Strategy VFinal.pdf</vt:lpwstr>
      </vt:variant>
      <vt:variant>
        <vt:lpwstr/>
      </vt:variant>
      <vt:variant>
        <vt:i4>3342356</vt:i4>
      </vt:variant>
      <vt:variant>
        <vt:i4>12</vt:i4>
      </vt:variant>
      <vt:variant>
        <vt:i4>0</vt:i4>
      </vt:variant>
      <vt:variant>
        <vt:i4>5</vt:i4>
      </vt:variant>
      <vt:variant>
        <vt:lpwstr>https://commission.europa.eu/topics/environment/water-resilience-strategy_en</vt:lpwstr>
      </vt:variant>
      <vt:variant>
        <vt:lpwstr/>
      </vt:variant>
      <vt:variant>
        <vt:i4>917578</vt:i4>
      </vt:variant>
      <vt:variant>
        <vt:i4>9</vt:i4>
      </vt:variant>
      <vt:variant>
        <vt:i4>0</vt:i4>
      </vt:variant>
      <vt:variant>
        <vt:i4>5</vt:i4>
      </vt:variant>
      <vt:variant>
        <vt:lpwstr>https://www.iea.org/reports/energy-and-ai</vt:lpwstr>
      </vt:variant>
      <vt:variant>
        <vt:lpwstr/>
      </vt:variant>
      <vt:variant>
        <vt:i4>917578</vt:i4>
      </vt:variant>
      <vt:variant>
        <vt:i4>6</vt:i4>
      </vt:variant>
      <vt:variant>
        <vt:i4>0</vt:i4>
      </vt:variant>
      <vt:variant>
        <vt:i4>5</vt:i4>
      </vt:variant>
      <vt:variant>
        <vt:lpwstr>https://www.iea.org/reports/energy-and-ai</vt:lpwstr>
      </vt:variant>
      <vt:variant>
        <vt:lpwstr/>
      </vt:variant>
      <vt:variant>
        <vt:i4>524306</vt:i4>
      </vt:variant>
      <vt:variant>
        <vt:i4>3</vt:i4>
      </vt:variant>
      <vt:variant>
        <vt:i4>0</vt:i4>
      </vt:variant>
      <vt:variant>
        <vt:i4>5</vt:i4>
      </vt:variant>
      <vt:variant>
        <vt:lpwstr>https://www.dnv.com/publications/demand-side-flexibility-quantification-of-benefits-in-the-eu-232342/</vt:lpwstr>
      </vt:variant>
      <vt:variant>
        <vt:lpwstr/>
      </vt:variant>
      <vt:variant>
        <vt:i4>7667730</vt:i4>
      </vt:variant>
      <vt:variant>
        <vt:i4>0</vt:i4>
      </vt:variant>
      <vt:variant>
        <vt:i4>0</vt:i4>
      </vt:variant>
      <vt:variant>
        <vt:i4>5</vt:i4>
      </vt:variant>
      <vt:variant>
        <vt:lpwstr>https://commission.europa.eu/topics/competitiveness/draghi-report_en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2026-06-01T19:45:00Z</dcterms:created>
  <dcterms:modified xsi:type="dcterms:W3CDTF">2026-06-08T13:47:00Z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2026-05-31T18:48:17Z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7918ad8c-c06a-44d7-aa4c-cebd16f41d73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  <property fmtid="{D5CDD505-2E9C-101B-9397-08002B2CF9AE}" pid="10" name="Part">
    <vt:lpwstr>1</vt:lpwstr>
  </property>
  <property fmtid="{D5CDD505-2E9C-101B-9397-08002B2CF9AE}" pid="11" name="Last edited using">
    <vt:lpwstr>LW 9.2, Build 20250828</vt:lpwstr>
  </property>
  <property fmtid="{D5CDD505-2E9C-101B-9397-08002B2CF9AE}" pid="12" name="EC_TX_All_World_Countries">
    <vt:lpwstr/>
  </property>
  <property fmtid="{D5CDD505-2E9C-101B-9397-08002B2CF9AE}" pid="13" name="MediaServiceImageTags">
    <vt:lpwstr/>
  </property>
  <property fmtid="{D5CDD505-2E9C-101B-9397-08002B2CF9AE}" pid="14" name="ContentTypeId">
    <vt:lpwstr>0x010100E85286F3615F1041ACCB88DC106E1CEA</vt:lpwstr>
  </property>
  <property fmtid="{D5CDD505-2E9C-101B-9397-08002B2CF9AE}" pid="15" name="EC_TX_Corporate Body">
    <vt:lpwstr/>
  </property>
  <property fmtid="{D5CDD505-2E9C-101B-9397-08002B2CF9AE}" pid="16" name="EC_TX_Resource_Type">
    <vt:lpwstr/>
  </property>
  <property fmtid="{D5CDD505-2E9C-101B-9397-08002B2CF9AE}" pid="17" name="Created using">
    <vt:lpwstr>LW 9.2, Build 20250828</vt:lpwstr>
  </property>
  <property fmtid="{D5CDD505-2E9C-101B-9397-08002B2CF9AE}" pid="18" name="EC_TX_Policy_Area">
    <vt:lpwstr>15;#energy policy|b1acf5a0-9113-979c-71fe-ed38560ceccf</vt:lpwstr>
  </property>
  <property fmtid="{D5CDD505-2E9C-101B-9397-08002B2CF9AE}" pid="19" name="EC_TX_EU_Member_State">
    <vt:lpwstr/>
  </property>
  <property fmtid="{D5CDD505-2E9C-101B-9397-08002B2CF9AE}" pid="20" name="Total parts">
    <vt:lpwstr>1</vt:lpwstr>
  </property>
  <property fmtid="{D5CDD505-2E9C-101B-9397-08002B2CF9AE}" pid="21" name="DocStatus">
    <vt:lpwstr>Green</vt:lpwstr>
  </property>
  <property fmtid="{D5CDD505-2E9C-101B-9397-08002B2CF9AE}" pid="22" name="Level of sensitivity">
    <vt:lpwstr>Standard treatment</vt:lpwstr>
  </property>
  <property fmtid="{D5CDD505-2E9C-101B-9397-08002B2CF9AE}" pid="23" name="CPTemplateID">
    <vt:lpwstr>CP-014</vt:lpwstr>
  </property>
  <property fmtid="{D5CDD505-2E9C-101B-9397-08002B2CF9AE}" pid="24" name="EC_TX_Strategic_Priority">
    <vt:lpwstr/>
  </property>
  <property fmtid="{D5CDD505-2E9C-101B-9397-08002B2CF9AE}" pid="25" name="EC_TX_EU_Political_Leader">
    <vt:lpwstr/>
  </property>
</Properties>
</file>