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405AC" w14:textId="363C5E59" w:rsidR="00C3302E" w:rsidRPr="00D46A8F" w:rsidRDefault="00622DF4" w:rsidP="00622DF4">
      <w:pPr>
        <w:pStyle w:val="Pagedecouverture"/>
        <w:rPr>
          <w:noProof/>
        </w:rPr>
      </w:pPr>
      <w:r>
        <w:rPr>
          <w:noProof/>
        </w:rPr>
        <w:pict w14:anchorId="617B53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1B6A681B-18FF-435F-AEF9-94D6D311EDCF" style="width:455.25pt;height:318pt">
            <v:imagedata r:id="rId8" o:title=""/>
          </v:shape>
        </w:pict>
      </w:r>
    </w:p>
    <w:p w14:paraId="49CA75E5" w14:textId="77777777" w:rsidR="00C3302E" w:rsidRPr="00D46A8F" w:rsidRDefault="00C3302E">
      <w:pPr>
        <w:rPr>
          <w:noProof/>
        </w:rPr>
        <w:sectPr w:rsidR="00C3302E" w:rsidRPr="00D46A8F" w:rsidSect="00622DF4">
          <w:footerReference w:type="even" r:id="rId9"/>
          <w:footerReference w:type="default" r:id="rId10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7719A6EF" w14:textId="77777777" w:rsidR="00C3302E" w:rsidRPr="00D46A8F" w:rsidRDefault="00D46A8F" w:rsidP="00D46A8F">
      <w:pPr>
        <w:pStyle w:val="Statut"/>
        <w:rPr>
          <w:noProof/>
        </w:rPr>
      </w:pPr>
      <w:bookmarkStart w:id="0" w:name="_GoBack"/>
      <w:bookmarkEnd w:id="0"/>
      <w:r w:rsidRPr="00D46A8F">
        <w:rPr>
          <w:noProof/>
        </w:rPr>
        <w:lastRenderedPageBreak/>
        <w:t>Rakkomandazzjoni għal</w:t>
      </w:r>
    </w:p>
    <w:p w14:paraId="2E260960" w14:textId="77777777" w:rsidR="00C3302E" w:rsidRPr="00D46A8F" w:rsidRDefault="00D46A8F" w:rsidP="00D46A8F">
      <w:pPr>
        <w:pStyle w:val="Typedudocument"/>
        <w:rPr>
          <w:noProof/>
        </w:rPr>
      </w:pPr>
      <w:r w:rsidRPr="00D46A8F">
        <w:rPr>
          <w:noProof/>
        </w:rPr>
        <w:t>RAKKOMANDAZZJONI TAL-KUNSILL</w:t>
      </w:r>
    </w:p>
    <w:p w14:paraId="044266BE" w14:textId="77777777" w:rsidR="00C3302E" w:rsidRPr="00D46A8F" w:rsidRDefault="00D46A8F" w:rsidP="00D46A8F">
      <w:pPr>
        <w:pStyle w:val="Titreobjet"/>
        <w:rPr>
          <w:noProof/>
        </w:rPr>
      </w:pPr>
      <w:r w:rsidRPr="00D46A8F">
        <w:rPr>
          <w:noProof/>
        </w:rPr>
        <w:t>dwar il-politiki ekonomiċi, soċjali, tal-impjiegi, strutturali u baġitarji tal-Belġju</w:t>
      </w:r>
    </w:p>
    <w:p w14:paraId="026C49B7" w14:textId="77777777" w:rsidR="00C3302E" w:rsidRPr="00D46A8F" w:rsidRDefault="00657240">
      <w:pPr>
        <w:pStyle w:val="Institutionquiagit"/>
        <w:rPr>
          <w:noProof/>
        </w:rPr>
      </w:pPr>
      <w:r w:rsidRPr="00D46A8F">
        <w:rPr>
          <w:noProof/>
        </w:rPr>
        <w:t>IL-KUNSILL TAL-UNJONI EWROPEA,</w:t>
      </w:r>
    </w:p>
    <w:p w14:paraId="0F5497EC" w14:textId="77777777" w:rsidR="00C3302E" w:rsidRPr="00D46A8F" w:rsidRDefault="00657240">
      <w:pPr>
        <w:rPr>
          <w:rFonts w:eastAsia="Times New Roman"/>
          <w:noProof/>
          <w:color w:val="000000" w:themeColor="text1"/>
          <w:szCs w:val="24"/>
        </w:rPr>
      </w:pPr>
      <w:r w:rsidRPr="00D46A8F">
        <w:rPr>
          <w:noProof/>
          <w:color w:val="000000" w:themeColor="text1"/>
        </w:rPr>
        <w:t>Wara li kkunsidra t-Trattat dwar il-Funzjonament tal-Unjoni Ewropea, u b'mod partikolari l-Artikoli 121(2) u 148(4) tiegħu,</w:t>
      </w:r>
    </w:p>
    <w:p w14:paraId="3B54F32E" w14:textId="77777777" w:rsidR="00C3302E" w:rsidRPr="00D46A8F" w:rsidRDefault="00657240">
      <w:pPr>
        <w:rPr>
          <w:rFonts w:eastAsia="Times New Roman"/>
          <w:noProof/>
          <w:color w:val="000000" w:themeColor="text1"/>
          <w:szCs w:val="24"/>
        </w:rPr>
      </w:pPr>
      <w:r w:rsidRPr="00D46A8F">
        <w:rPr>
          <w:noProof/>
        </w:rPr>
        <w:t>Wara li kkunsidra r-Regolament (UE) 2024/1263 tal-Parlament Ewropew u tal-Kunsill tad-29 ta’ April 2024 dwar il-koordinazzjoni effettiva tal-politiki ekonomiċi u dwar is-sorveljanza baġitarja multilaterali u li jħassar ir-Regolament tal-Kunsill (KE) Nru 1466/97(</w:t>
      </w:r>
      <w:r w:rsidRPr="00D46A8F">
        <w:rPr>
          <w:rStyle w:val="FootnoteReference"/>
          <w:noProof/>
          <w:szCs w:val="24"/>
        </w:rPr>
        <w:footnoteReference w:id="2"/>
      </w:r>
      <w:r w:rsidRPr="00D46A8F">
        <w:rPr>
          <w:noProof/>
        </w:rPr>
        <w:t>), u b’mod partikolari l-Artikolu 3(3) tiegħu,</w:t>
      </w:r>
    </w:p>
    <w:p w14:paraId="45021044" w14:textId="77777777" w:rsidR="00C3302E" w:rsidRPr="00D46A8F" w:rsidRDefault="00657240">
      <w:pPr>
        <w:rPr>
          <w:rFonts w:eastAsia="Times New Roman"/>
          <w:noProof/>
          <w:color w:val="000000" w:themeColor="text1"/>
        </w:rPr>
      </w:pPr>
      <w:r w:rsidRPr="00D46A8F">
        <w:rPr>
          <w:noProof/>
          <w:color w:val="000000" w:themeColor="text1"/>
        </w:rPr>
        <w:t>Wara li kkunsidra r-Regolament (UE) Nru 1176/2011 tal-Parlament Ewropew u tal-Kunsill tas-16 ta' Novembru 2011 dwar il-prevenzjoni u l-korrezzjoni tal-iżbilanċi makroekonomiċi(</w:t>
      </w:r>
      <w:r w:rsidRPr="00D46A8F">
        <w:rPr>
          <w:rStyle w:val="FootnoteReference"/>
          <w:rFonts w:eastAsia="Times New Roman"/>
          <w:noProof/>
          <w:color w:val="000000" w:themeColor="text1"/>
        </w:rPr>
        <w:footnoteReference w:id="3"/>
      </w:r>
      <w:r w:rsidRPr="00D46A8F">
        <w:rPr>
          <w:noProof/>
          <w:color w:val="000000" w:themeColor="text1"/>
        </w:rPr>
        <w:t>), u b'mod partikolari l-Artikolu 6(1) tiegħu,</w:t>
      </w:r>
    </w:p>
    <w:p w14:paraId="7B36D166" w14:textId="77777777" w:rsidR="00C3302E" w:rsidRPr="00D46A8F" w:rsidRDefault="00657240">
      <w:pPr>
        <w:rPr>
          <w:rFonts w:eastAsia="Times New Roman"/>
          <w:noProof/>
          <w:color w:val="000000" w:themeColor="text1"/>
          <w:szCs w:val="24"/>
        </w:rPr>
      </w:pPr>
      <w:r w:rsidRPr="00D46A8F">
        <w:rPr>
          <w:noProof/>
          <w:color w:val="000000" w:themeColor="text1"/>
        </w:rPr>
        <w:t>Wara li kkunsidra r-rakkomandazzjoni tal-Kummissjoni Ewropea,</w:t>
      </w:r>
    </w:p>
    <w:p w14:paraId="010C27F3" w14:textId="77777777" w:rsidR="00C3302E" w:rsidRPr="00D46A8F" w:rsidRDefault="00657240">
      <w:pPr>
        <w:rPr>
          <w:rFonts w:eastAsia="Times New Roman"/>
          <w:noProof/>
          <w:color w:val="000000" w:themeColor="text1"/>
          <w:szCs w:val="24"/>
        </w:rPr>
      </w:pPr>
      <w:r w:rsidRPr="00D46A8F">
        <w:rPr>
          <w:noProof/>
          <w:color w:val="000000" w:themeColor="text1"/>
        </w:rPr>
        <w:t>Wara li kkunsidra r-riżoluzzjonijiet tal-Parlament Ewropew,</w:t>
      </w:r>
    </w:p>
    <w:p w14:paraId="4A654C59" w14:textId="77777777" w:rsidR="00C3302E" w:rsidRPr="00D46A8F" w:rsidRDefault="00657240">
      <w:pPr>
        <w:rPr>
          <w:rFonts w:eastAsia="Times New Roman"/>
          <w:noProof/>
          <w:color w:val="000000" w:themeColor="text1"/>
          <w:szCs w:val="24"/>
        </w:rPr>
      </w:pPr>
      <w:r w:rsidRPr="00D46A8F">
        <w:rPr>
          <w:noProof/>
          <w:color w:val="000000" w:themeColor="text1"/>
        </w:rPr>
        <w:t>Wara li kkunsidra l-konklużjonijiet tal-Kunsill Ewropew,</w:t>
      </w:r>
    </w:p>
    <w:p w14:paraId="2B2EDF95" w14:textId="77777777" w:rsidR="00C3302E" w:rsidRPr="00D46A8F" w:rsidRDefault="00657240">
      <w:pPr>
        <w:rPr>
          <w:rFonts w:eastAsia="Times New Roman"/>
          <w:noProof/>
          <w:color w:val="000000" w:themeColor="text1"/>
          <w:szCs w:val="24"/>
        </w:rPr>
      </w:pPr>
      <w:r w:rsidRPr="00D46A8F">
        <w:rPr>
          <w:noProof/>
          <w:color w:val="000000" w:themeColor="text1"/>
        </w:rPr>
        <w:t>Wara li kkunsidra l-opinjoni tal-Kumitat tal-Impjiegi,</w:t>
      </w:r>
    </w:p>
    <w:p w14:paraId="40440FA0" w14:textId="77777777" w:rsidR="00C3302E" w:rsidRPr="00D46A8F" w:rsidRDefault="00657240">
      <w:pPr>
        <w:rPr>
          <w:rFonts w:eastAsia="Times New Roman"/>
          <w:noProof/>
          <w:color w:val="000000" w:themeColor="text1"/>
          <w:szCs w:val="24"/>
        </w:rPr>
      </w:pPr>
      <w:r w:rsidRPr="00D46A8F">
        <w:rPr>
          <w:noProof/>
          <w:color w:val="000000" w:themeColor="text1"/>
        </w:rPr>
        <w:t>Wara li kkunsidra l-opinjoni tal-Kumitat Ekonomiku u Finanzjarju,</w:t>
      </w:r>
    </w:p>
    <w:p w14:paraId="0E184552" w14:textId="77777777" w:rsidR="00C3302E" w:rsidRPr="00D46A8F" w:rsidRDefault="00657240">
      <w:pPr>
        <w:rPr>
          <w:rFonts w:eastAsia="Times New Roman"/>
          <w:noProof/>
          <w:color w:val="000000" w:themeColor="text1"/>
          <w:szCs w:val="24"/>
        </w:rPr>
      </w:pPr>
      <w:r w:rsidRPr="00D46A8F">
        <w:rPr>
          <w:noProof/>
          <w:color w:val="000000" w:themeColor="text1"/>
        </w:rPr>
        <w:t>Wara li kkunsidra l-opinjoni tal-Kumitat tal-Protezzjoni Soċjali,</w:t>
      </w:r>
    </w:p>
    <w:p w14:paraId="5428063F" w14:textId="77777777" w:rsidR="00C3302E" w:rsidRPr="00D46A8F" w:rsidRDefault="00657240">
      <w:pPr>
        <w:rPr>
          <w:rFonts w:eastAsia="Times New Roman"/>
          <w:noProof/>
          <w:color w:val="000000" w:themeColor="text1"/>
          <w:szCs w:val="24"/>
        </w:rPr>
      </w:pPr>
      <w:r w:rsidRPr="00D46A8F">
        <w:rPr>
          <w:noProof/>
          <w:color w:val="000000" w:themeColor="text1"/>
        </w:rPr>
        <w:t>Wara li kkunsidra l-opinjoni tal-Kumitat tal-Politika Ekonomika,</w:t>
      </w:r>
    </w:p>
    <w:p w14:paraId="1E848637" w14:textId="77777777" w:rsidR="00C3302E" w:rsidRPr="00D46A8F" w:rsidRDefault="00657240">
      <w:pPr>
        <w:rPr>
          <w:rFonts w:eastAsia="Times New Roman"/>
          <w:noProof/>
          <w:color w:val="000000" w:themeColor="text1"/>
          <w:szCs w:val="24"/>
        </w:rPr>
      </w:pPr>
      <w:r w:rsidRPr="00D46A8F">
        <w:rPr>
          <w:noProof/>
          <w:color w:val="000000" w:themeColor="text1"/>
        </w:rPr>
        <w:t>Billi:</w:t>
      </w:r>
    </w:p>
    <w:p w14:paraId="5D1DB1F6" w14:textId="77777777" w:rsidR="00C3302E" w:rsidRPr="00D46A8F" w:rsidRDefault="00657240">
      <w:pPr>
        <w:pStyle w:val="ManualConsidrant"/>
        <w:rPr>
          <w:rFonts w:eastAsia="Calibri" w:cs="Arial"/>
          <w:noProof/>
          <w:szCs w:val="24"/>
        </w:rPr>
      </w:pPr>
      <w:r>
        <w:rPr>
          <w:noProof/>
        </w:rPr>
        <w:t>(1)</w:t>
      </w:r>
      <w:r>
        <w:rPr>
          <w:noProof/>
        </w:rPr>
        <w:tab/>
      </w:r>
      <w:r w:rsidRPr="00D46A8F">
        <w:rPr>
          <w:b/>
          <w:noProof/>
          <w:color w:val="000000" w:themeColor="text1"/>
        </w:rPr>
        <w:t xml:space="preserve"> </w:t>
      </w:r>
      <w:r w:rsidRPr="00D46A8F">
        <w:rPr>
          <w:noProof/>
        </w:rPr>
        <w:t>Ir-Regolament (UE) 2024/1263 jispeċifika l-objettivi tal-qafas ta’ governanza ekonomika, li għandu l-għan li jippromwovi finanzi pubbliċi sodi u sostenibbli, tkabbir sostenibbli u inklużiv u r-reżiljenza permezz ta’ riformi u investimenti, kif ukoll li jiġu evitati defiċits eċċessivi tal-gvern. Ir-Regolament jistipula li l-Kunsill u l-Kummissjoni jwettqu sorveljanza multilaterali fil-kuntest tas-Semestru Ewropew f’konformità mal-objettivi u r-rekwiżiti stipulati fit-Trattat dwar il-Funzjonament tal-Unjoni Ewropea (TFUE). Is-Semestru Ewropew jinkludi, b’mod partikolari, il-formulazzjoni u s-sorveljanza tal-implimentazzjoni tar-rakkomandazzjonijiet speċifiċi għall-pajjiż.</w:t>
      </w:r>
    </w:p>
    <w:p w14:paraId="57411D3B" w14:textId="77777777" w:rsidR="00C3302E" w:rsidRPr="00D46A8F" w:rsidRDefault="00657240">
      <w:pPr>
        <w:pStyle w:val="ManualConsidrant"/>
        <w:rPr>
          <w:rFonts w:eastAsia="Times New Roman"/>
          <w:noProof/>
          <w:color w:val="000000" w:themeColor="text1"/>
        </w:rPr>
      </w:pPr>
      <w:r>
        <w:rPr>
          <w:noProof/>
        </w:rPr>
        <w:t>(2)</w:t>
      </w:r>
      <w:r>
        <w:rPr>
          <w:noProof/>
        </w:rPr>
        <w:tab/>
      </w:r>
      <w:r w:rsidRPr="00D46A8F">
        <w:rPr>
          <w:noProof/>
          <w:color w:val="000000" w:themeColor="text1"/>
        </w:rPr>
        <w:t>Fis-16 ta’ Lulju 2025, il-Kummissjoni adottat il-proposta tagħha għal regolament jistabbilixxi l-Fond Ewropew għal koeżjoni ekonomika, soċjali u territorjali kif ukoll għall-agrikoltura u l-qasam rurali, għas-sajd u l-affarijiet marittimi, għall-prosperità u għas-sigurtà għall-perjodu 2028-2034 u li jemenda r-Regolament (UE) 2023/955 u r-Regolament (UE, Euratom) 2024/2509(</w:t>
      </w:r>
      <w:r w:rsidRPr="00D46A8F">
        <w:rPr>
          <w:rStyle w:val="FootnoteReference"/>
          <w:rFonts w:eastAsia="Times New Roman"/>
          <w:noProof/>
          <w:color w:val="000000" w:themeColor="text1"/>
        </w:rPr>
        <w:footnoteReference w:id="4"/>
      </w:r>
      <w:r w:rsidRPr="00D46A8F">
        <w:rPr>
          <w:noProof/>
          <w:color w:val="000000" w:themeColor="text1"/>
        </w:rPr>
        <w:t xml:space="preserve">). Il-proposta għandha l-għan li żżid l-effettività tal-finanzjament tal-Unjoni billi tnaqqas il-frammentazzjoni tal-arkitettura finanzjarja u li tappoġġa lill-Istati Membri fil-koordinazzjoni tal-politika ekonomika tagħhom f’konformità mal-Artikolu 175 tat-TFUE. </w:t>
      </w:r>
    </w:p>
    <w:p w14:paraId="780B4BBA" w14:textId="77777777" w:rsidR="00C3302E" w:rsidRPr="00D46A8F" w:rsidRDefault="00657240">
      <w:pPr>
        <w:pStyle w:val="ManualConsidrant"/>
        <w:rPr>
          <w:rFonts w:eastAsia="Times New Roman"/>
          <w:noProof/>
          <w:color w:val="000000" w:themeColor="text1"/>
        </w:rPr>
      </w:pPr>
      <w:r>
        <w:rPr>
          <w:noProof/>
        </w:rPr>
        <w:t>(3)</w:t>
      </w:r>
      <w:r>
        <w:rPr>
          <w:noProof/>
        </w:rPr>
        <w:tab/>
      </w:r>
      <w:r w:rsidRPr="00D46A8F">
        <w:rPr>
          <w:noProof/>
          <w:color w:val="000000" w:themeColor="text1"/>
        </w:rPr>
        <w:t>Fil-25 ta’ Novembru 2025, abbażi tar-Regolament (UE) Nru 1176/2011, il-Kummissjoni adottat ir-Rapport dwar il-Mekkaniżmu ta’ Twissija tal-2026, li fih hija ma identifikatx lill-Belġju bħala wieħed mill-Istati Membri li dwaru tkun meħtieġa analiżi fil-fond. Il-Kummissjoni adottat ukoll rakkomandazzjoni għal rakkomandazzjoni tal-Kunsill dwar il-politika ekonomika taż-żona tal-euro(</w:t>
      </w:r>
      <w:r w:rsidRPr="00D46A8F">
        <w:rPr>
          <w:rStyle w:val="FootnoteReference"/>
          <w:rFonts w:eastAsia="Times New Roman"/>
          <w:noProof/>
          <w:color w:val="000000" w:themeColor="text1"/>
        </w:rPr>
        <w:footnoteReference w:id="5"/>
      </w:r>
      <w:r w:rsidRPr="00D46A8F">
        <w:rPr>
          <w:noProof/>
          <w:color w:val="000000" w:themeColor="text1"/>
        </w:rPr>
        <w:t>), rakkomandazzjoni għal rakkomandazzjoni tal-Kunsill dwar il-kapital uman fl-Unjoni Ewropea, u proposta għar-Rapport Konġunt dwar l-Impjiegi 2026, li janalizza l-implimentazzjoni tal-Linji Gwida dwar l-Impjiegi u l-prinċipji tal-Pilastru Ewropew tad-Drittijiet Soċjali. Il-Kunsill adotta r-Rakkomandazzjoni dwar il-politika ekonomika taż-żona tal-euro(</w:t>
      </w:r>
      <w:r w:rsidRPr="00D46A8F">
        <w:rPr>
          <w:rStyle w:val="FootnoteReference"/>
          <w:rFonts w:eastAsia="Times New Roman"/>
          <w:noProof/>
          <w:color w:val="000000" w:themeColor="text1"/>
        </w:rPr>
        <w:footnoteReference w:id="6"/>
      </w:r>
      <w:r w:rsidRPr="00D46A8F">
        <w:rPr>
          <w:noProof/>
          <w:color w:val="000000" w:themeColor="text1"/>
        </w:rPr>
        <w:t xml:space="preserve">) fil-21 ta’ April 2026 u r-Rapport Konġunt dwar l-Impjiegi, u r-rakkomandazzjoni dwar il-kapital uman fid-9 ta’ Marzu 2026. </w:t>
      </w:r>
    </w:p>
    <w:p w14:paraId="646522F7" w14:textId="77777777" w:rsidR="00C3302E" w:rsidRPr="00D46A8F" w:rsidRDefault="00657240">
      <w:pPr>
        <w:pStyle w:val="ManualConsidrant"/>
        <w:rPr>
          <w:rFonts w:eastAsia="Times New Roman"/>
          <w:noProof/>
          <w:color w:val="000000" w:themeColor="text1"/>
        </w:rPr>
      </w:pPr>
      <w:r>
        <w:rPr>
          <w:noProof/>
        </w:rPr>
        <w:t>(4)</w:t>
      </w:r>
      <w:r>
        <w:rPr>
          <w:noProof/>
        </w:rPr>
        <w:tab/>
      </w:r>
      <w:r w:rsidRPr="00D46A8F">
        <w:rPr>
          <w:noProof/>
          <w:color w:val="000000" w:themeColor="text1"/>
        </w:rPr>
        <w:t xml:space="preserve">Fid-29 ta’ Jannar 2025, il-Kummissjoni ppubblikat il-Boxxla għall-Kompetittività, qafas strateġiku li għandu l-għan li jagħti spinta lill-kompetittività globali tal-Unjoni matul il-ħames snin li ġejjin. Dan jidentifika t-tliet imperattivi trasformattivi tal-innovazzjoni, id-dekarbonizzazzjoni u l-kompetittività, u s-sigurtà bħala pilastri kritiċi għat-tkabbir ekonomiku sostenibbli. </w:t>
      </w:r>
      <w:bookmarkStart w:id="3" w:name="_Hlk228356336"/>
      <w:bookmarkStart w:id="4" w:name="_Hlk228356561"/>
      <w:r w:rsidRPr="00D46A8F">
        <w:rPr>
          <w:noProof/>
        </w:rPr>
        <w:t>Is-Semestru Ewropew huwa allinjat mal-Boxxla għall-Kompetittività, li jiżgura li l-politiki ekonomiċi tal-Istati Membri tal-UE</w:t>
      </w:r>
      <w:bookmarkEnd w:id="3"/>
      <w:r w:rsidRPr="00D46A8F">
        <w:rPr>
          <w:noProof/>
        </w:rPr>
        <w:t xml:space="preserve"> jkunu konsistenti mal-objettivi strateġiċi tal-Kummissjoni, u li fil-governanza ekonomika jinħoloq approċċ unifikat li jrawwem it-tkabbir sostenibbli, l-innovazzjoni u r-reżiljenza madwar l-Unjoni.</w:t>
      </w:r>
    </w:p>
    <w:bookmarkEnd w:id="4"/>
    <w:p w14:paraId="16FB5C70" w14:textId="77777777" w:rsidR="00C3302E" w:rsidRPr="00D46A8F" w:rsidRDefault="00657240">
      <w:pPr>
        <w:pStyle w:val="ManualConsidrant"/>
        <w:rPr>
          <w:rFonts w:eastAsia="Times New Roman"/>
          <w:noProof/>
          <w:color w:val="000000" w:themeColor="text1"/>
        </w:rPr>
      </w:pPr>
      <w:r>
        <w:rPr>
          <w:noProof/>
        </w:rPr>
        <w:t>(5)</w:t>
      </w:r>
      <w:r>
        <w:rPr>
          <w:noProof/>
        </w:rPr>
        <w:tab/>
      </w:r>
      <w:r w:rsidRPr="00D46A8F">
        <w:rPr>
          <w:noProof/>
          <w:color w:val="000000" w:themeColor="text1"/>
        </w:rPr>
        <w:t>Fl-2026, is-Semestru Ewropew għall-koordinazzjoni tal-politika ekonomika qed ikompli jiżviluppa biswit l-istadju finali tal-implimentazzjoni tal-Faċilità għall-Irkupru u r-Reżiljenza (RRF)(</w:t>
      </w:r>
      <w:r w:rsidRPr="00D46A8F">
        <w:rPr>
          <w:rStyle w:val="FootnoteReference"/>
          <w:rFonts w:eastAsia="Times New Roman"/>
          <w:noProof/>
          <w:color w:val="000000" w:themeColor="text1"/>
        </w:rPr>
        <w:footnoteReference w:id="7"/>
      </w:r>
      <w:r w:rsidRPr="00D46A8F">
        <w:rPr>
          <w:noProof/>
          <w:color w:val="000000" w:themeColor="text1"/>
        </w:rPr>
        <w:t>). Il-pjanijiet għall-irkupru u r-reżiljenza (RRPs), flimkien mal-finanzjament tal-politika ta’ koeżjoni, kienu essenzjali għat-twettiq tal-prijoritajiet ta’ politika taħt is-Semestru Ewropew, peress li l-pjanijiet kienu meħtieġa biex jiġu indirizzati b’mod effettiv l-isfidi kollha jew subsett sinifikanti minnhom identifikati fir-rakkomandazzjonijiet speċifiċi għall-pajjiż rilevanti maħruġa f’ċikli reċenti, u l-programmi ffinanzjati mill-politika ta’ koeżjoni Ewropea kienu meħtieġa jqisu r-rakkomandazzjonijiet speċifiċi għall-pajjiż. Hekk kif l-RRF toqrob lejn tmiem il-ħajja tagħha, jibqa’ essenzjali li jinżammu r-riformi u l-investimenti appoġġati u implimentati taħt l-RRF, b’mod partikolari dawk li jikkontribwixxu għall-indirizzar tal-isfidi identifikati fir-rakkomandazzjonijiet speċifiċi għall-pajjiż.</w:t>
      </w:r>
    </w:p>
    <w:p w14:paraId="4415EE15" w14:textId="77777777" w:rsidR="00C3302E" w:rsidRPr="00D46A8F" w:rsidRDefault="00657240">
      <w:pPr>
        <w:pStyle w:val="ManualConsidrant"/>
        <w:rPr>
          <w:rFonts w:eastAsia="Times New Roman"/>
          <w:noProof/>
          <w:color w:val="000000" w:themeColor="text1"/>
        </w:rPr>
      </w:pPr>
      <w:r>
        <w:rPr>
          <w:noProof/>
        </w:rPr>
        <w:t>(6)</w:t>
      </w:r>
      <w:r>
        <w:rPr>
          <w:noProof/>
        </w:rPr>
        <w:tab/>
      </w:r>
      <w:r w:rsidRPr="00D46A8F">
        <w:rPr>
          <w:noProof/>
          <w:color w:val="000000" w:themeColor="text1"/>
        </w:rPr>
        <w:t>Fit-3 ta’ Ġunju 2026, il-Kummissjoni ppubblikat ir-rapport tal-pajjiż tal-2026 għall-Belġju. F’dan ġie vvalutat il-progress tal-Belġju fl-indirizzar tar-rakkomandazzjonijiet speċifiċi għall-pajjiż rilevanti u vvaluta l-implimentazzjoni tal-RRP tal-Belġju. Abbażi ta’ din l-analiżi, ir-rapport tal-pajjiż identifika l-aktar sfidi urġenti li l-Belġju qed jiffaċċa. Huwa vvaluta wkoll il-progress tal-Belġju fl-implimentazzjoni tal-Pilastru Ewropew tad-Drittijiet Soċjali u fil-kisba tal-miri ewlenin tal-UE għall-impjiegi, il-ħiliet u t-tnaqqis tal-faqar, kif ukoll il-progress fil-kisba tal-Għanijiet ta' Żvilupp Sostenibbli tan-Nazzjonijiet Uniti.</w:t>
      </w:r>
    </w:p>
    <w:p w14:paraId="185B7AB7" w14:textId="77777777" w:rsidR="00C3302E" w:rsidRPr="00D46A8F" w:rsidRDefault="00657240">
      <w:pPr>
        <w:pStyle w:val="ManualConsidrant"/>
        <w:rPr>
          <w:noProof/>
        </w:rPr>
      </w:pPr>
      <w:r>
        <w:rPr>
          <w:noProof/>
        </w:rPr>
        <w:t>(7)</w:t>
      </w:r>
      <w:r>
        <w:rPr>
          <w:noProof/>
        </w:rPr>
        <w:tab/>
      </w:r>
      <w:r w:rsidRPr="00D46A8F">
        <w:rPr>
          <w:noProof/>
        </w:rPr>
        <w:t>Fl-20 ta’ Ġunju 2025, il-Kunsill, fuq il-valutazzjoni u r-rakkomandazzjoni tal-Kummissjoni, adotta Rakkomandazzjoni li tappoġġa l-pjan fiskali-strutturali nazzjonali fuq terminu medju tal-Belġju(</w:t>
      </w:r>
      <w:r w:rsidRPr="00D46A8F">
        <w:rPr>
          <w:rStyle w:val="FootnoteReference"/>
          <w:noProof/>
        </w:rPr>
        <w:footnoteReference w:id="8"/>
      </w:r>
      <w:r w:rsidRPr="00D46A8F">
        <w:rPr>
          <w:noProof/>
        </w:rPr>
        <w:t>). Il-pjan jkopri l-perjodu mill-2025 sal-2029 u jippreżenta aġġustament fiskali mifrux fuq 7 snin. Il-Kunsill irrakkomanda r-rati massimi li ġejjin ta’ tkabbir tan-nefqa netta: 3,6 % fl-2025, 2,5 % fl-2026, 2,5 % fl-2027, 2,1 % fl-2028 u 2,1 % fl-2029, li jikkorrispondu għar-rati ta’ tkabbir kumulattivi massimi kkalkulati b’referenza għas-sena bażi tal-2024 ta’ 3,6 % fl-2025, 6,1 % fl-2026, 8,8 % fl-2027, 11,1 % fl-2028 u 13,4 % fl-2029. Għas-snin 2025-2029, dawn ir-rati massimi ta’ tkabbir tan-nefqa netta jikkoinċidu mal-perkors korrettiv, kif rakkomandat mill-Kunsill skont l-Artikolu 126(7) tat-TFUE fl-20 ta’ Ġunju 2025, bil-għan li tintemm is-sitwazzjoni ta’ defiċit eċċessiv (</w:t>
      </w:r>
      <w:r w:rsidRPr="00D46A8F">
        <w:rPr>
          <w:rStyle w:val="FootnoteReference"/>
          <w:noProof/>
        </w:rPr>
        <w:footnoteReference w:id="9"/>
      </w:r>
      <w:r w:rsidRPr="00D46A8F">
        <w:rPr>
          <w:noProof/>
        </w:rPr>
        <w:t>). Abbażi tal-valutazzjoni tal-Kummissjoni dwar azzjoni effettiva tat-3 ta’ Ġunju 2026 (</w:t>
      </w:r>
      <w:r w:rsidRPr="00D46A8F">
        <w:rPr>
          <w:rStyle w:val="FootnoteReference"/>
          <w:noProof/>
        </w:rPr>
        <w:footnoteReference w:id="10"/>
      </w:r>
      <w:r w:rsidRPr="00D46A8F">
        <w:rPr>
          <w:noProof/>
        </w:rPr>
        <w:t>), il-proċedura ta’ defiċit eċċessiv għall-Belġju qed tinżamm sospiża.</w:t>
      </w:r>
    </w:p>
    <w:p w14:paraId="087F8537" w14:textId="77777777" w:rsidR="00C3302E" w:rsidRPr="00D46A8F" w:rsidRDefault="00657240">
      <w:pPr>
        <w:pStyle w:val="ManualConsidrant"/>
        <w:rPr>
          <w:noProof/>
        </w:rPr>
      </w:pPr>
      <w:r>
        <w:rPr>
          <w:noProof/>
        </w:rPr>
        <w:t>(8)</w:t>
      </w:r>
      <w:r>
        <w:rPr>
          <w:noProof/>
        </w:rPr>
        <w:tab/>
      </w:r>
      <w:r w:rsidRPr="00D46A8F">
        <w:rPr>
          <w:noProof/>
        </w:rPr>
        <w:t>Il-gwerra ta’ aggressjoni tar-Russja kontra l-Ukrajna u r-riperkussjonijiet tagħha jikkostitwixxu sfida eżistenzjali għall-Unjoni Ewropea. Il-Kummissjoni stiednet lill-Istati Membri biex jitolbu li tiġi attivata l-klawżola liberatorja nazzjonali tal-Patt ta’ Stabbiltà u Tkabbir b’mod ikkoordinat biex jiġu appoġġati l-isforzi tal-UE biex tinkiseb żieda rapida u sinifikanti fin-nefqa fid-difiża(</w:t>
      </w:r>
      <w:r w:rsidRPr="00D46A8F">
        <w:rPr>
          <w:rStyle w:val="FootnoteReference"/>
          <w:noProof/>
        </w:rPr>
        <w:footnoteReference w:id="11"/>
      </w:r>
      <w:r w:rsidRPr="00D46A8F">
        <w:rPr>
          <w:noProof/>
        </w:rPr>
        <w:t>) u din il-proposta ntlaqgħet mill-Kunsill Ewropew fis-6 ta’ Marzu 2025. Wara t-talba tal-Belġju, fit-8 ta’ Lulju 2025 il-Kunsill, fuq rakkomandazzjoni mill-Kummissjoni, adotta Rakkomandazzjoni li tippermetti lill-Belġju jiddevja mir-rati massimi ta' tkabbir rakkomandati tan-nefqa netta (</w:t>
      </w:r>
      <w:r w:rsidRPr="00D46A8F">
        <w:rPr>
          <w:rStyle w:val="FootnoteReference"/>
          <w:noProof/>
        </w:rPr>
        <w:footnoteReference w:id="12"/>
      </w:r>
      <w:r w:rsidRPr="00D46A8F">
        <w:rPr>
          <w:noProof/>
        </w:rPr>
        <w:t xml:space="preserve">). Il-perjodu meta tiġi attivata l-klawżola liberatorja nazzjonali (2025–2028) jippermetti lill-Belġju jipprijoritizza mill-ġdid in-nefqa tal-gvern jew iżid id-dħul tal-gvern sabiex in-nefqa għad-difiża li tkun ogħla b’mod dejjiemi ma tipperikolax is-sostenibbiltà fiskali fuq terminu medju. </w:t>
      </w:r>
    </w:p>
    <w:p w14:paraId="1F265471" w14:textId="77777777" w:rsidR="00C3302E" w:rsidRPr="00D46A8F" w:rsidRDefault="00657240">
      <w:pPr>
        <w:pStyle w:val="ManualConsidrant"/>
        <w:rPr>
          <w:noProof/>
          <w:color w:val="000000"/>
        </w:rPr>
      </w:pPr>
      <w:r>
        <w:rPr>
          <w:noProof/>
        </w:rPr>
        <w:t>(9)</w:t>
      </w:r>
      <w:r>
        <w:rPr>
          <w:noProof/>
        </w:rPr>
        <w:tab/>
      </w:r>
      <w:r w:rsidRPr="00D46A8F">
        <w:rPr>
          <w:noProof/>
        </w:rPr>
        <w:t>Fit-30 ta’ April 2026, il-Belġju ppreżenta r-Rapport ta’ Progress Annwali tal-2026 tiegħu (</w:t>
      </w:r>
      <w:r w:rsidRPr="00D46A8F">
        <w:rPr>
          <w:rStyle w:val="FootnoteReference"/>
          <w:rFonts w:eastAsia="Calibri"/>
          <w:noProof/>
          <w:szCs w:val="24"/>
        </w:rPr>
        <w:footnoteReference w:id="13"/>
      </w:r>
      <w:r w:rsidRPr="00D46A8F">
        <w:rPr>
          <w:noProof/>
        </w:rPr>
        <w:t xml:space="preserve">), dwar l-aderenza mar-rati massimi ta’ tkabbir rakkomandati tan-nefqa netta, l-implimentazzjoni tas-sett ta’ riformi u investimenti li jirfdu l-estensjoni tal-perjodu ta’ aġġustament u l-implimentazzjoni ta’ riformi u investimenti li jirrispondu għall-isfidi ewlenin identifikati fir-rakkomandazzjonijiet speċifiċi għall-pajjiż tas-Semestru Ewropew. </w:t>
      </w:r>
      <w:bookmarkStart w:id="7" w:name="_Hlk228960359"/>
      <w:r w:rsidRPr="00D46A8F">
        <w:rPr>
          <w:noProof/>
        </w:rPr>
        <w:t>Ir-Rapport ta’ Progress Annwali jirrifletti wkoll ir-rappurtar biannwali tal-Belġju dwar il-progress li sar fl-implimentazzjoni tal-pjan għall-irkupru u r-reżiljenza tiegħu f’konformità mal-Artikolu 27 tar-Regolament (UE) 2021/241</w:t>
      </w:r>
      <w:bookmarkEnd w:id="7"/>
      <w:r w:rsidRPr="00D46A8F">
        <w:rPr>
          <w:noProof/>
        </w:rPr>
        <w:t>.</w:t>
      </w:r>
      <w:r w:rsidRPr="00D46A8F">
        <w:rPr>
          <w:noProof/>
          <w:color w:val="000000" w:themeColor="text1"/>
        </w:rPr>
        <w:t xml:space="preserve"> Ir-rapport dwar l-azzjoni meħuda skont il-proċedura ta’ defiċit eċċessiv huwa integrat fir-Rapport ta’ Progress Annwali. </w:t>
      </w:r>
    </w:p>
    <w:p w14:paraId="1C823524" w14:textId="77777777" w:rsidR="00C3302E" w:rsidRPr="00D46A8F" w:rsidRDefault="00657240">
      <w:pPr>
        <w:pStyle w:val="ManualConsidrant"/>
        <w:rPr>
          <w:rFonts w:eastAsia="Calibri"/>
          <w:noProof/>
        </w:rPr>
      </w:pPr>
      <w:r>
        <w:rPr>
          <w:noProof/>
        </w:rPr>
        <w:t>(10)</w:t>
      </w:r>
      <w:r>
        <w:rPr>
          <w:noProof/>
        </w:rPr>
        <w:tab/>
      </w:r>
      <w:r w:rsidRPr="00D46A8F">
        <w:rPr>
          <w:noProof/>
        </w:rPr>
        <w:t xml:space="preserve">It-tkabbir tal-PDG reali fl-2025 kien ta’ 1,0 % u l-inflazzjoni tal-HICP kienet ta’ 3,0 %. It-Tbassir tar-Rebbiegħa 2026 tal-Kummissjoni jipprojetta li l-PDG reali jikber b’0,7 % fl-2026 u 0,9 % fl-2027, u l-inflazzjoni tal-HICP se tkun ta’ 3,4 % fl-2026 u 2,6 % fl-2027. </w:t>
      </w:r>
    </w:p>
    <w:p w14:paraId="4A3D617F" w14:textId="77777777" w:rsidR="00C3302E" w:rsidRPr="00D46A8F" w:rsidRDefault="00657240">
      <w:pPr>
        <w:pStyle w:val="ManualConsidrant"/>
        <w:rPr>
          <w:noProof/>
        </w:rPr>
      </w:pPr>
      <w:r>
        <w:rPr>
          <w:noProof/>
        </w:rPr>
        <w:t>(11)</w:t>
      </w:r>
      <w:r>
        <w:rPr>
          <w:noProof/>
        </w:rPr>
        <w:tab/>
      </w:r>
      <w:r w:rsidRPr="00D46A8F">
        <w:rPr>
          <w:noProof/>
        </w:rPr>
        <w:t>Abbażi tad-data pprovduta mill-Eurostat(</w:t>
      </w:r>
      <w:r w:rsidRPr="00D46A8F">
        <w:rPr>
          <w:rStyle w:val="FootnoteReference"/>
          <w:noProof/>
        </w:rPr>
        <w:footnoteReference w:id="14"/>
      </w:r>
      <w:r w:rsidRPr="00D46A8F">
        <w:rPr>
          <w:noProof/>
        </w:rPr>
        <w:t>), id-defiċit tal-gvern ġenerali tal-Belġju żdied minn 4,4 % tal-PDG fl-2024 għal 5,2 % tal-PDG fl-2025. Iż-żieda fid-defiċit fl-2025 tirrifletti prinċipalment dħul aktar baxx mit-taxxa diretta, speċjalment mill-korporazzjonijiet, u nefqa ogħla fid-difiża. Abbażi ta’ miżuri ta’ politika magħrufa sad-data tal-għeluq tat-tbassir, it-Tbassir tar-Rebbiegħa 2026 tal-Kummissjoni jipprojetta defiċit ta’ 5,2 % tal-PDG fl-2026 u ta’ 5,4 % tal-PDG fl-2027.</w:t>
      </w:r>
      <w:r w:rsidRPr="00D46A8F">
        <w:rPr>
          <w:noProof/>
          <w:color w:val="000000" w:themeColor="text1"/>
        </w:rPr>
        <w:t xml:space="preserve"> </w:t>
      </w:r>
      <w:r w:rsidRPr="00D46A8F">
        <w:rPr>
          <w:noProof/>
        </w:rPr>
        <w:t>Minkejja l-miżuri ta’ konsolidazzjoni biex jitrażżan l-infiq kurrenti u tkabbir kumulattiv fin-nefqa netta taħt il-massimu rakkomandat, id-defiċit fl-2026 huwa mistenni biss li jistabbilizza minħabba tkabbir ekonomiku dgħajjef u żieda fil-pagamenti tal-imgħax. Iż-żieda tad-defiċit fl-2027 tirrifletti prinċipalment nefqa ogħla fuq id-difiża u l-pagamenti tal-imgħax.</w:t>
      </w:r>
    </w:p>
    <w:p w14:paraId="2FD2208D" w14:textId="77777777" w:rsidR="00C3302E" w:rsidRPr="00D46A8F" w:rsidRDefault="00657240">
      <w:pPr>
        <w:pStyle w:val="ManualConsidrant"/>
        <w:rPr>
          <w:noProof/>
        </w:rPr>
      </w:pPr>
      <w:r>
        <w:rPr>
          <w:noProof/>
        </w:rPr>
        <w:t>(12)</w:t>
      </w:r>
      <w:r>
        <w:rPr>
          <w:noProof/>
        </w:rPr>
        <w:tab/>
      </w:r>
      <w:r w:rsidRPr="00D46A8F">
        <w:rPr>
          <w:noProof/>
        </w:rPr>
        <w:t>Abbażi tal-istimi tal-Kummissjoni, il-pożizzjoni fiskali(</w:t>
      </w:r>
      <w:r w:rsidRPr="00D46A8F">
        <w:rPr>
          <w:rStyle w:val="FootnoteReference"/>
          <w:noProof/>
        </w:rPr>
        <w:footnoteReference w:id="15"/>
      </w:r>
      <w:r w:rsidRPr="00D46A8F">
        <w:rPr>
          <w:noProof/>
        </w:rPr>
        <w:t>), li tinkludi kemm in-nefqa ffinanzjata fil-livell nazzjonali kif ukoll f’dak tal-UE, kienet restrittiva, b’0,3 % tal-PDG, fl-2025. Huwa pprojettat li jkun restrittiv kemm fl-2026 kif ukoll fl-2027, b’ 0,8 % u 0,6 % tal-PDG, rispettivament.</w:t>
      </w:r>
    </w:p>
    <w:p w14:paraId="2B378BC7" w14:textId="77777777" w:rsidR="00C3302E" w:rsidRPr="00D46A8F" w:rsidRDefault="00657240">
      <w:pPr>
        <w:pStyle w:val="ManualConsidrant"/>
        <w:rPr>
          <w:rFonts w:eastAsia="Times New Roman"/>
          <w:noProof/>
          <w:color w:val="000000"/>
        </w:rPr>
      </w:pPr>
      <w:r>
        <w:rPr>
          <w:noProof/>
        </w:rPr>
        <w:t>(13)</w:t>
      </w:r>
      <w:r>
        <w:rPr>
          <w:noProof/>
        </w:rPr>
        <w:tab/>
      </w:r>
      <w:r w:rsidRPr="00D46A8F">
        <w:rPr>
          <w:noProof/>
        </w:rPr>
        <w:t>Fuq il-bażi tad-data pprovduta mill-Eurostat (</w:t>
      </w:r>
      <w:r w:rsidRPr="00D46A8F">
        <w:rPr>
          <w:rStyle w:val="FootnoteReference"/>
          <w:noProof/>
        </w:rPr>
        <w:footnoteReference w:id="16"/>
      </w:r>
      <w:r w:rsidRPr="00D46A8F">
        <w:rPr>
          <w:noProof/>
        </w:rPr>
        <w:t>), id-dejn tal-gvern estiż tal-Belġju żdied minn 103,9 % tal-PDG fi tmiem l-2024 għal 107,9 % tal-PDG fi tmiem l-2025. Iż-żieda fil-proporzjon tad-dejn fl-2025 tirrifletti prinċipalment id-defiċit primarju għoli (+ 2.9 pps.), effett valanga favorevoli (</w:t>
      </w:r>
      <w:r w:rsidRPr="00D46A8F">
        <w:rPr>
          <w:noProof/>
        </w:rPr>
        <w:noBreakHyphen/>
        <w:t>1.3 pp.) u aġġustament bejn l-istokk u l-flussi li jżid id-dejn (+ 2.3 pps.). Abbażi ta’ miżuri ta’ politika magħrufa fid-data limitu tat-tbassir, it-Tbassir tar-Rebbiegħa 2026 tal-Kummissjoni jipprojetta li l-proporzjon tad-dejn għall-PDG jiżdied għal 110,5 % sa tmiem l-2026 u jkompli jiżdied għal 112,8 % sa tmiem l-2027. Iż-żieda fil-proporzjon tad-dejn fl-2026 u l-2027 tirrifletti prinċipalment id-defiċits primarji għoljin, filwaqt li l-effett valanga favorevoli u l-aġġustamenti bejn il-fondi u l-flussi li jżidu d-dejn jikkumpensaw lil xulxin.</w:t>
      </w:r>
    </w:p>
    <w:p w14:paraId="0CFA20DF" w14:textId="77777777" w:rsidR="00C3302E" w:rsidRPr="00D46A8F" w:rsidRDefault="00657240">
      <w:pPr>
        <w:pStyle w:val="ManualConsidrant"/>
        <w:rPr>
          <w:rFonts w:eastAsia="Times New Roman"/>
          <w:noProof/>
          <w:color w:val="000000"/>
        </w:rPr>
      </w:pPr>
      <w:r>
        <w:rPr>
          <w:noProof/>
        </w:rPr>
        <w:t>(14)</w:t>
      </w:r>
      <w:r>
        <w:rPr>
          <w:noProof/>
        </w:rPr>
        <w:tab/>
      </w:r>
      <w:r w:rsidRPr="00D46A8F">
        <w:rPr>
          <w:noProof/>
        </w:rPr>
        <w:t>Abbażi tad-data tal-Eurostat (</w:t>
      </w:r>
      <w:r w:rsidRPr="00D46A8F">
        <w:rPr>
          <w:rStyle w:val="FootnoteReference"/>
          <w:noProof/>
          <w:szCs w:val="24"/>
          <w:lang w:eastAsia="ja-JP"/>
        </w:rPr>
        <w:footnoteReference w:id="17"/>
      </w:r>
      <w:r w:rsidRPr="00D46A8F">
        <w:rPr>
          <w:noProof/>
        </w:rPr>
        <w:t>), in-nefqa totali għad-difiża tal-gvern estiż fil-Belġju ammontat għal 1,4 % tal-PDG fl-2025, li tikkorrispondi għal żieda ta’ 0,5 punti perċentwali tal-PDG meta mqabbla mas-sena ta’ referenza 2021. Skont it-Tbassir tar-Rebbiegħa 2026 tal-Kummissjoni, huwa pprojettat għal 1,6 % tal-PDG fl-2026, li jikkorrispondi għal żieda ta’ 0,7 punti perċentwali tal-PDG meta mqabbel mal-2021.</w:t>
      </w:r>
    </w:p>
    <w:p w14:paraId="72CBBABD" w14:textId="77777777" w:rsidR="00C3302E" w:rsidRPr="00D46A8F" w:rsidRDefault="00657240">
      <w:pPr>
        <w:pStyle w:val="ManualConsidrant"/>
        <w:rPr>
          <w:rFonts w:eastAsia="Times New Roman"/>
          <w:noProof/>
          <w:color w:val="000000"/>
        </w:rPr>
      </w:pPr>
      <w:r>
        <w:rPr>
          <w:noProof/>
        </w:rPr>
        <w:t>(15)</w:t>
      </w:r>
      <w:r>
        <w:rPr>
          <w:noProof/>
        </w:rPr>
        <w:tab/>
      </w:r>
      <w:bookmarkStart w:id="8" w:name="_Hlk227744188"/>
      <w:r w:rsidRPr="00D46A8F">
        <w:rPr>
          <w:noProof/>
        </w:rPr>
        <w:t>L-Unjoni tkompli tiffaċċja riskji ta’ interruzzjonijiet fil-provvista tal-enerġija u volatilità għolja tal-prezzijiet, aggravati minn tensjonijiet ġeopolitiċi li jaffettwaw is-swieq globali taż-żejt u tal-gass. L-esperjenza mill-kriżi tal-enerġija tal-2022–2023 uriet li miżuri wiesgħa u mhux immirati jinvolvu kostijiet fiskali kbar u huma soċjalment u ekonomikament ineffiċjenti. Minn mindu faqqgħet il-gwerra fil-Lvant Nofsani fi Frar 2026, il-Belġju adotta miżuri ta’ politika fiskali biex itaffi l-impatt tal-prezzijiet għoljin tal-enerġija fuq l-unitajiet domestiċi(</w:t>
      </w:r>
      <w:r w:rsidRPr="00D46A8F">
        <w:rPr>
          <w:rStyle w:val="FootnoteReference"/>
          <w:rFonts w:eastAsia="Calibri" w:cs="Arial"/>
          <w:noProof/>
          <w:szCs w:val="24"/>
          <w:lang w:eastAsia="ja-JP"/>
        </w:rPr>
        <w:footnoteReference w:id="18"/>
      </w:r>
      <w:r w:rsidRPr="00D46A8F">
        <w:rPr>
          <w:noProof/>
        </w:rPr>
        <w:t>). Dawn jinkludu miżuri mhux immirati biex jikkumpensaw għal kostijiet ogħla tal-fjuwil permezz ta’ kreditu tat-taxxa għad-ditti li jżidu l-allowance tal-kilometraġġ tagħhom għall-impjegati u trasferiment soċjali mmirat biex jikkumpensaw għal kostijiet ogħla tat-tisħin tal-unitajiet domestiċi vulnerabbli. Dawn il-miżuri huma mistennija li jintemmu fl-1 ta’ Lulju 2026. Skont it-tbassir tar-Rebbiegħa 2026 tal-Kummissjoni, il-kost fiskali ta’ dawn il-miżuri huwa pprojettat li jammonta għal inqas minn 0,1 % tal-PDG fl-2026, anke jekk dawn il-miżuri kellhom jiġu estiżi sa tmiem is-sena.</w:t>
      </w:r>
      <w:bookmarkEnd w:id="8"/>
    </w:p>
    <w:p w14:paraId="0CC7D98D" w14:textId="77777777" w:rsidR="00C3302E" w:rsidRPr="00D46A8F" w:rsidRDefault="00657240">
      <w:pPr>
        <w:pStyle w:val="ManualConsidrant"/>
        <w:rPr>
          <w:noProof/>
        </w:rPr>
      </w:pPr>
      <w:r>
        <w:rPr>
          <w:noProof/>
        </w:rPr>
        <w:t>(16)</w:t>
      </w:r>
      <w:r>
        <w:rPr>
          <w:noProof/>
        </w:rPr>
        <w:tab/>
      </w:r>
      <w:r w:rsidRPr="00D46A8F">
        <w:rPr>
          <w:noProof/>
        </w:rPr>
        <w:t>Abbażi tal-kalkoli tal-Kummissjoni, in-nefqa netta fil-Belġju kibret b’ 3,7 % fl-2025. It-tkabbir fin-nefqa netta fl-2025 huwa ogħla mir-rata massima ta’ tkabbir rakkomandata, li tikkorrispondi għal devjazzjoni ta’ 0,1 % tal-PDG f’termini annwali. Madankollu, id-devjazzjoni hija fil-limiti tal-flessibbiltà tal-klawżola liberatorja nazzjonali filwaqt li jitqies iż-żieda fl-infiq għad-difiża.</w:t>
      </w:r>
    </w:p>
    <w:p w14:paraId="69F1B77C" w14:textId="77777777" w:rsidR="00C3302E" w:rsidRPr="00D46A8F" w:rsidRDefault="00657240">
      <w:pPr>
        <w:pStyle w:val="ManualConsidrant"/>
        <w:rPr>
          <w:noProof/>
        </w:rPr>
      </w:pPr>
      <w:r>
        <w:rPr>
          <w:noProof/>
        </w:rPr>
        <w:t>(17)</w:t>
      </w:r>
      <w:r>
        <w:rPr>
          <w:noProof/>
        </w:rPr>
        <w:tab/>
      </w:r>
      <w:r w:rsidRPr="00D46A8F">
        <w:rPr>
          <w:noProof/>
        </w:rPr>
        <w:t xml:space="preserve">Abbażi tal-kalkoli tal-Kummissjoni, in-nefqa netta fil-Belġju hija pprojettata li tikber b’2,0 % fl-2026 u b’5,8 % b’mod kumulattiv fl-2025 u fl-2026. It-tkabbir ipprojettat fin-nefqa netta fl-2026 huwa taħt ir-rata massima ta’ tkabbir rakkomandata. Meta jitqiesu l-2025 u l-2026 flimkien, ir-rata ta’ tkabbir kumulattiv tan-nefqa netta pprojettata tkun ukoll taħt ir-rata massima ta’ tkabbir rakkomandata. </w:t>
      </w:r>
    </w:p>
    <w:p w14:paraId="7918F1E6" w14:textId="77777777" w:rsidR="00C3302E" w:rsidRPr="00D46A8F" w:rsidRDefault="00657240">
      <w:pPr>
        <w:pStyle w:val="ManualConsidrant"/>
        <w:rPr>
          <w:rFonts w:eastAsia="Times New Roman"/>
          <w:noProof/>
          <w:color w:val="000000"/>
        </w:rPr>
      </w:pPr>
      <w:r>
        <w:rPr>
          <w:noProof/>
        </w:rPr>
        <w:t>(18)</w:t>
      </w:r>
      <w:r>
        <w:rPr>
          <w:noProof/>
        </w:rPr>
        <w:tab/>
      </w:r>
      <w:bookmarkStart w:id="9" w:name="_Hlk225254431"/>
      <w:bookmarkStart w:id="10" w:name="_Hlk227744324"/>
      <w:r w:rsidRPr="00D46A8F">
        <w:rPr>
          <w:noProof/>
        </w:rPr>
        <w:t>Ir-Rakkomandazzjoni li tapprova l-pjan ta’ terminu medju tal-Belġju tispeċifika s-sett ta’ riformi u investimenti li jirfdu l-estensjoni tal-perjodu ta’ aġġustament, flimkien ma’ skeda ta’ żmien għall-implimentazzjoni tagħhom. Filwaqt li tqis l-informazzjoni pprovduta mill-Belġju fir-Rapport ta’ Progress Annwali tiegħu, il-Kummissjoni ssib li l-implimentazzjoni tal-passi ewlenin ta’ dawn ir-riformi u l-investimenti li kienu dovuti sat-30 ta’ April 2026 tidher li tinsab ġeneralment fit-triq it-tajba. Madankollu, xi riformi jesperjenzaw dewmien fl-implimentazzjoni. Jiġifieri, l-adozzjoni tar-riforma tal-pensjonijiet mill-Parlament, li kellha ssir fi Q4–2025, issa hija mistennija fl-2026. Ir-riformi tat-taxxa, dovuti fi Q1–2026, ġew implimentati parzjalment</w:t>
      </w:r>
      <w:bookmarkEnd w:id="9"/>
      <w:bookmarkEnd w:id="10"/>
      <w:r w:rsidRPr="00D46A8F">
        <w:rPr>
          <w:noProof/>
        </w:rPr>
        <w:t xml:space="preserve"> u l-partijiet li jifdal huma mistennija li jiġu ffinalizzati sa Lulju 2026. Iż-żewġ riformi biex tittejjeb il-koordinazzjoni baġitarja bejn il-livelli differenti tal-gvern, mistennija fi Q4–2025, ġew miftiehma fil-biċċa l-kbira fil-livell tal-gvern u issa jeħtieġ li jiġu leġiżlati, li huwa mistenni li jitlesta sa tmiem l-2026. Il-Kummissjoni tqis li, b’mod ġenerali, il-Belġju kkonforma mal-impenji tiegħu b’mod sodisfaċenti (</w:t>
      </w:r>
      <w:r w:rsidRPr="00D46A8F">
        <w:rPr>
          <w:rStyle w:val="FootnoteReference"/>
          <w:noProof/>
        </w:rPr>
        <w:footnoteReference w:id="19"/>
      </w:r>
      <w:r w:rsidRPr="00D46A8F">
        <w:rPr>
          <w:noProof/>
        </w:rPr>
        <w:t>).</w:t>
      </w:r>
    </w:p>
    <w:p w14:paraId="4D050D4C" w14:textId="77777777" w:rsidR="00C3302E" w:rsidRPr="00D46A8F" w:rsidRDefault="00657240">
      <w:pPr>
        <w:pStyle w:val="ManualConsidrant"/>
        <w:rPr>
          <w:rFonts w:eastAsia="Times New Roman"/>
          <w:noProof/>
          <w:color w:val="000000" w:themeColor="text1"/>
        </w:rPr>
      </w:pPr>
      <w:r>
        <w:rPr>
          <w:noProof/>
        </w:rPr>
        <w:t>(19)</w:t>
      </w:r>
      <w:r>
        <w:rPr>
          <w:noProof/>
        </w:rPr>
        <w:tab/>
      </w:r>
      <w:bookmarkStart w:id="11" w:name="_Hlk228355019"/>
      <w:r w:rsidRPr="00D46A8F">
        <w:rPr>
          <w:noProof/>
        </w:rPr>
        <w:t>Il-Belġju qed jiffaċċja riskji għoljin għas-sostenibbiltà fiskali fuq terminu medju u fit-tul. Hija meħtieġa strateġija fiskali komprensiva biex id-dejn pubbliku jinġieb fit-triq tan-niżla, filwaqt li jsiru riformi biex jissaħħaħ it-tkabbir potenzjali. L-infiq pubbliku fil-Belġju kien ta’ 54,2 % tal-PDG fl-2025, fost l-ogħla fl-UE. In-nefqa pubblika persistentement għolja fil-Belġju, li teħtieġ piż tat-taxxa ġenerali għoli, hija ta’ piż fuq l-effiċjenza ekonomika. L-azzjoni politika hija frammentata fid-diversi livelli tal-gvern (muniċipalitajiet, provinċji, reġjuni u komunitajiet, livell federali) fil-Belġju. Il-koeżistenza tagħhom tinvolvi distribuzzjoni kumplessa tal-kompetenzi u riskju ta’ duplikazzjoni, li jwasslu għal spejjeż amministrattivi żejda, mingħajr ma neċessarjament itejbu l-kwalità tas-servizzi pubbliċi pprovduti. Nuqqas ta’ koordinazzjoni interfederali effettiva jikkomplika t-twettiq ta’ ċerti politiki u riformi, iwassal għal ineffiċjenzi fil-ġestjoni tal-investiment pubbliku u għal livell ta’ investiment pubbliku ġeneralment aktar baxx milli f’pajjiżi oħra tal-UE. B’riżultat ta’ dan, il-finanzi pubbliċi sostenibbli fil-Belġju jappellaw għal azzjoni deċiżiva dwar l-infiq pubbliku, f’termini tal-livell, il-kompożizzjoni u l-effiċjenza ġenerali tiegħu. Filwaqt li l-introduzzjoni ta’ rieżamijiet tal-infiq fil-livell tal-entitajiet federali u federati (reġjuni u komunitajiet) hija l-ewwel pass biex tittejjeb il-kwalità tal-infiq pubbliku, hija meħtieġa aktar azzjoni biex ir-riżorsi pubbliċi jiġu diretti lejn politiki aktar favorevoli għat-tkabbir. Is-simplifikazzjoni tal-istrutturi tal-gvern, il-kjarifika tal-kompetenzi u t-tisħiħ tal-koordinazzjoni interfederali jistgħu jikkontribwixxu għal effiċjenza ekonomika akbar, filwaqt li jipprovdu spazju fiskali.</w:t>
      </w:r>
      <w:bookmarkEnd w:id="11"/>
    </w:p>
    <w:p w14:paraId="55DC097B" w14:textId="77777777" w:rsidR="00C3302E" w:rsidRPr="00D46A8F" w:rsidRDefault="00657240">
      <w:pPr>
        <w:pStyle w:val="ManualConsidrant"/>
        <w:rPr>
          <w:rFonts w:eastAsia="Times New Roman"/>
          <w:noProof/>
          <w:color w:val="000000" w:themeColor="text1"/>
        </w:rPr>
      </w:pPr>
      <w:r>
        <w:rPr>
          <w:noProof/>
        </w:rPr>
        <w:t>(20)</w:t>
      </w:r>
      <w:r>
        <w:rPr>
          <w:noProof/>
        </w:rPr>
        <w:tab/>
      </w:r>
      <w:r w:rsidRPr="00D46A8F">
        <w:rPr>
          <w:noProof/>
        </w:rPr>
        <w:t>Skont ir-Rapport dwar it-Tixjiħ tal-2024 tal-Kummissjoni (</w:t>
      </w:r>
      <w:r w:rsidRPr="00D46A8F">
        <w:rPr>
          <w:rStyle w:val="FootnoteReference"/>
          <w:noProof/>
        </w:rPr>
        <w:footnoteReference w:id="20"/>
      </w:r>
      <w:r w:rsidRPr="00D46A8F">
        <w:rPr>
          <w:noProof/>
        </w:rPr>
        <w:t xml:space="preserve">), il-pensjonijiet u n-nefqa fuq il-kura fit-tul huma l-ixprunaturi ewlenin ta’ żieda mbassra fl-infiq relatat mat-tixjiħ ta’ madwar 5 pp tal-PDG sal-2070, sostanzjalment ogħla mill-medja tal-UE ta’ 1,4 pp. Ir-riforma tal-pensjonijiet li għaddejja bħalissa hija mistennija li tnaqqas iż-żieda mbassra fin-nefqa fuq il-pensjonijiet b’ 1,6 pp bejn l-2024 u l-2070. Madankollu, il-Belġju jibqa’ wieħed mill-pajjiżi bl-ogħla nfiq pubbliku fuq il-kura fit-tul fl-UE, li jammonta għal 2,3 % tal-PDG fl-2022 (medja tal-UE ta’ 1,7 %). Sal-2070, in-nefqa fuq il-kura fit-tul hija pprojettata li tiżdied b'1,7 punt perċentwali tal-PDG, meta mqabbla ma’ żieda medja tal-UE ta’ 0,8 punti perċentwali, li jikkontribwixxi għaż-żieda fir-riskji għas-sostenibbiltà fiskali fit-tul. Id-data disponibbli tissuġġerixxi li s-sehem ta’ individwi li huma indipendenti jew ftit dipendenti fuq il-kura u li jgħixu f’faċilitajiet ta’ kura residenzjali kien għoli fir-Reġjun ta’ Brussell u fil-Wallonia, għalkemm ilu jonqos matul l-aħħar għaxar snin. Ir-reġjuni qed jieħdu miżuri biex jagħmlu l-użu tal-ambjenti differenti tal-kura aktar kosteffiċjenti, għalkemm il-biċċa l-kbira tal-miżuri huma limitati fil-kamp ta’ applikazzjoni jew fi stadju bikri. Dan jissuġġerixxi lok biex tkompli tittejjeb il-kosteffiċjenza tal-kura, inkluż billi jissaħħu l-miżuri biex jiġi skoraġġut l-użu eċċessiv tal-kura residenzjali u jittejbu s-servizzi bbażati fil-komunità. </w:t>
      </w:r>
    </w:p>
    <w:p w14:paraId="75648A99" w14:textId="77777777" w:rsidR="00C3302E" w:rsidRPr="00D46A8F" w:rsidRDefault="00657240">
      <w:pPr>
        <w:pStyle w:val="ManualConsidrant"/>
        <w:rPr>
          <w:rFonts w:eastAsia="Times New Roman"/>
          <w:noProof/>
          <w:szCs w:val="24"/>
        </w:rPr>
      </w:pPr>
      <w:r>
        <w:rPr>
          <w:noProof/>
        </w:rPr>
        <w:t>(21)</w:t>
      </w:r>
      <w:r>
        <w:rPr>
          <w:noProof/>
        </w:rPr>
        <w:tab/>
      </w:r>
      <w:r w:rsidRPr="00D46A8F">
        <w:rPr>
          <w:noProof/>
          <w:color w:val="000000" w:themeColor="text1"/>
        </w:rPr>
        <w:t xml:space="preserve">L-involviment sistematiku, sinifikanti u f’waqtu tal-awtoritajiet lokali u reġjonali, is-sħab soċjali, is-soċjetà ċivili u partijiet ikkonċernati rilevanti oħra jibqa’ essenzjali sabiex tiġi żgurata sjieda wiesgħa għall-implimentazzjoni tal-istrumenti ta’ finanzjament tal-Unjoni, kif ukoll fil-kuntest tas-Semestru Ewropew.  </w:t>
      </w:r>
      <w:r w:rsidRPr="00D46A8F">
        <w:rPr>
          <w:noProof/>
        </w:rPr>
        <w:t xml:space="preserve"> </w:t>
      </w:r>
    </w:p>
    <w:p w14:paraId="2D260466" w14:textId="77777777" w:rsidR="00C3302E" w:rsidRPr="00D46A8F" w:rsidRDefault="00657240">
      <w:pPr>
        <w:pStyle w:val="ManualConsidrant"/>
        <w:rPr>
          <w:rFonts w:eastAsia="Times New Roman"/>
          <w:noProof/>
          <w:color w:val="000000" w:themeColor="text1"/>
        </w:rPr>
      </w:pPr>
      <w:r>
        <w:rPr>
          <w:noProof/>
        </w:rPr>
        <w:t>(22)</w:t>
      </w:r>
      <w:r>
        <w:rPr>
          <w:noProof/>
        </w:rPr>
        <w:tab/>
      </w:r>
      <w:r w:rsidRPr="00D46A8F">
        <w:rPr>
          <w:noProof/>
          <w:color w:val="000000" w:themeColor="text1"/>
        </w:rPr>
        <w:t>L-implimentazzjoni tal-programmi tal-politika ta’ koeżjoni, li jinkludu l-Fond Ewropew għall-Iżvilupp Reġjonali (FEŻR), il-Fond għal Tranżizzjoni Ġusta (JTF) u l-Fond Soċjali Ewropew Plus (FSE+), fil-Belġju, ilha tagħmel progress tajjeb speċjalment f’termini ta’ għażla ta’ proġetti. Madankollu, huwa importanti li jiżdiedu l-isforzi biex jiġi żgurat it-twettiq rapidu ta’ proġetti magħżula, b’mod partikolari biex jiġi aċċellerat l-infiq fil-livell tal-benefiċjarju, filwaqt li jiġi massimizzat l-impatt tagħhom fil-prattika. Il-Belġju diġà qiegħed jieħu azzjoni fil-qafas tal-programmi ta’ politika ta’ koeżjoni biex jagħti spinta lill-kompetittività u t-tkabbir. Fl-istess ħin, il-Belġju jeħtieġ li jaċċellera l-implimentazzjoni tal-JTF peress li r-riżorsi huma dovuti għall-iżborż sa tmiem l-2026. Huwa essenzjali li jiġi żgurat li l-investimenti l-ġodda identifikati mill-Belġju fir-rieżami ta’ nofs it-terminu tiegħu tal-fondi tal-politika ta’ koeżjoni, b’mod partikolari dawk marbuta mal-ħames prijoritajiet identifikati fir-Regolament dwar ir-Rieżami ta’ Nofs it-Terminu(</w:t>
      </w:r>
      <w:r w:rsidRPr="00D46A8F">
        <w:rPr>
          <w:rStyle w:val="FootnoteReference"/>
          <w:rFonts w:eastAsia="Times New Roman"/>
          <w:noProof/>
          <w:color w:val="000000" w:themeColor="text1"/>
        </w:rPr>
        <w:footnoteReference w:id="21"/>
      </w:r>
      <w:r w:rsidRPr="00D46A8F">
        <w:rPr>
          <w:noProof/>
          <w:color w:val="000000" w:themeColor="text1"/>
        </w:rPr>
        <w:t>), jintużaw malajr u b’mod effettiv.</w:t>
      </w:r>
    </w:p>
    <w:p w14:paraId="2683776D" w14:textId="77777777" w:rsidR="00C3302E" w:rsidRPr="00D46A8F" w:rsidRDefault="00657240">
      <w:pPr>
        <w:pStyle w:val="ManualConsidrant"/>
        <w:rPr>
          <w:rFonts w:eastAsia="Times New Roman"/>
          <w:noProof/>
          <w:color w:val="000000" w:themeColor="text1"/>
        </w:rPr>
      </w:pPr>
      <w:r>
        <w:rPr>
          <w:noProof/>
        </w:rPr>
        <w:t>(23)</w:t>
      </w:r>
      <w:r>
        <w:rPr>
          <w:noProof/>
        </w:rPr>
        <w:tab/>
      </w:r>
      <w:r w:rsidRPr="00D46A8F">
        <w:rPr>
          <w:noProof/>
        </w:rPr>
        <w:t>Il-Belġju qed jaffaċċja diversi sfidi li fadal relatati mal-innovazzjoni, l-ambjent tan-negozju, il-piż u l-kumplessità regolatorji u amministrattivi, ir-restrizzjonijiet regolatorji fis-settur tas-servizzi, id-dekarbonizzazzjoni tal-industrija u t-trasport, l-introduzzjoni ta’ sorsi ta’ enerġija rinnovabbli, is-sussidji għall-fjuwils fossili, il-kwalità tal-ilma u d-depożizzjoni eċċessiva tan-nitroġenu, in-nuqqas ta’ ħaddiema u l-ispariġġ fil-ħiliet, l-integrazzjoni ta’ gruppi żvantaġġati fis-suq tax-xogħol, is-sistema edukattiva u l-professjoni tat-tagħlim.</w:t>
      </w:r>
    </w:p>
    <w:p w14:paraId="1C89572F" w14:textId="77777777" w:rsidR="00C3302E" w:rsidRPr="00D46A8F" w:rsidRDefault="00657240">
      <w:pPr>
        <w:pStyle w:val="ManualConsidrant"/>
        <w:rPr>
          <w:rFonts w:eastAsia="Times New Roman"/>
          <w:noProof/>
          <w:color w:val="000000" w:themeColor="text1"/>
        </w:rPr>
      </w:pPr>
      <w:r>
        <w:rPr>
          <w:noProof/>
        </w:rPr>
        <w:t>(24)</w:t>
      </w:r>
      <w:r>
        <w:rPr>
          <w:noProof/>
        </w:rPr>
        <w:tab/>
      </w:r>
      <w:bookmarkStart w:id="12" w:name="_Hlk227747988"/>
      <w:r w:rsidRPr="00D46A8F">
        <w:rPr>
          <w:noProof/>
        </w:rPr>
        <w:t>Minkejja l-inizjattivi ta’ simplifikazzjoni meħuda mil-livelli kollha tal-gvern, piż regolatorju għoli u livell għoli ta’ kumplessità amministrattiva jkomplu jfixklu l-ambjent tan-negozju tal-Belġju. Barra minn hekk, użu aktar sistematiku tal-valutazzjonijiet tal-impatt u aċċess aħjar għad-data jtejbu l-kwalità tat-tfassil tal-politika. Il-piż amministrattiv fuq id-ditti huwa kbir, b’mod partikolari fir-rigward tar-regolamentazzjoni tal-impjiegi, is-sigurtà soċjali u l-kostijiet operazzjonali. Il-kumpaniji li jeħtieġ li jimmaniġġjaw diversi sistemi reġjonali jew li jeħtieġ li jiksbu permessi tan-negozju għall-iżvilupp tal-attività tagħhom jiffaċċjaw restrizzjonijiet sinifikanti. Il-permessi jiġu ttrattati mill-awtoritajiet federali, reġjonali u lokali, u dan jagħmel il-proċess kumpless, frammentat u għali. Dan huwa partikolarment il-każ għall-permessi tal-bini, li għandhom impatt negattiv fuq is-settur tal-kostruzzjoni u jwasslu għal nuqqas ta’ akkomodazzjoni u dewmien fi proġetti ta’ infrastruttura. In-nuqqas ta’ riżorsi u l-ineffiċjenza tas-sistema ġudizzjarja li jissarrfu f’xogħol b’lura kroniku u proċeduri bil-mod ikomplu wkoll jisfidaw is-settur tan-negozju. Barra minn hekk, ir-restrizzjonijiet f’xi professjonijiet regolati għadhom għoljin, u dan jista’ jfixkel l-attività kummerċjali transfruntiera jew joħloq ostakli għad-dħul għad-ditti. Regolamenti stretti jew ostakli oħra għad-dħul japplikaw ukoll għall-forniment transfruntier ta’ servizzi, bħas-settur tal-bejgħ bl-imnut u fis-settur tal-enerġija, li jistgħu jillimitaw il-kompetizzjoni.</w:t>
      </w:r>
    </w:p>
    <w:p w14:paraId="5BE25D98" w14:textId="77777777" w:rsidR="00C3302E" w:rsidRPr="00D46A8F" w:rsidRDefault="00657240">
      <w:pPr>
        <w:pStyle w:val="ManualConsidrant"/>
        <w:rPr>
          <w:rFonts w:eastAsia="Times New Roman"/>
          <w:noProof/>
          <w:color w:val="000000" w:themeColor="text1"/>
        </w:rPr>
      </w:pPr>
      <w:r>
        <w:rPr>
          <w:noProof/>
        </w:rPr>
        <w:t>(25)</w:t>
      </w:r>
      <w:r>
        <w:rPr>
          <w:noProof/>
        </w:rPr>
        <w:tab/>
      </w:r>
      <w:r w:rsidRPr="00D46A8F">
        <w:rPr>
          <w:noProof/>
        </w:rPr>
        <w:t>Il-Belġju għandu wieħed mill-aktar livelli baxxi ta’ dinamiżmu tan-negozju fl-UE (</w:t>
      </w:r>
      <w:r w:rsidRPr="00D46A8F">
        <w:rPr>
          <w:rStyle w:val="FootnoteReference"/>
          <w:noProof/>
        </w:rPr>
        <w:footnoteReference w:id="22"/>
      </w:r>
      <w:r w:rsidRPr="00D46A8F">
        <w:rPr>
          <w:noProof/>
        </w:rPr>
        <w:t>). Filwaqt li s-sehem ta’ ditti ġodda fil-Belġju huwa fuq l-istess livell mal-pajjiżi ġirien, is-sehem ta’ negozji b’rata għolja ta’ tkabbir (negozji li qed jespandu) huwa ferm taħt il-medja tal-UE (0,25 % vs 0,79 %). L-ostakli li jipprevjenu lin-negozji ġodda Belġjani milli jespandu jinkludu kostijiet lavorattivi għoljin u ħelsien mit-taxxa dipendenti fuq id-daqs (</w:t>
      </w:r>
      <w:r w:rsidRPr="00D46A8F">
        <w:rPr>
          <w:rStyle w:val="FootnoteReference"/>
          <w:noProof/>
        </w:rPr>
        <w:footnoteReference w:id="23"/>
      </w:r>
      <w:r w:rsidRPr="00D46A8F">
        <w:rPr>
          <w:noProof/>
        </w:rPr>
        <w:t>). Fost dawn, instab li s-sussidju tal-ewwel kiri ma kienx effettiv biex jagħti spinta lill-ħolqien tal-impjiegi sostenibbli u nstabu karatteristiċi speċjali tat-taxxa għall-intrapriżi żgħar u ta’ daqs medju (SMEs) (eż. rata mnaqqsa tat-taxxa korporattiva fuq l-introjtu) biex iħeġġu lill-imprendituri jinkorporaw u jikkonvertu l-introjtu mix-xogħol f’introjtu kapitali (“kumpaniji maniġerjali”). L-aċċess diffiċli għall-finanzjament matul il-fażi ta’ espansjoni jista’ jipprevjeni wkoll lin-negozji milli jikbru. Dan huwa partikolarment il-każ peress li s-swieq għall-kapital ta’ riskju u ta’ tkabbir mhumiex żviluppati b’mod wiesa’. L-armonizzazzjoni tar-regoli tat-taxxa għat-tipi kollha ta’ investiment (inkluż għall-investimenti fil-proprjetà immobbli, il-prodotti tal-pensjoni, il-kontijiet tat-tfaddil, il-kontijiet tat-titoli) tista’ tinċentiva l-investimenti fl-ekwità.</w:t>
      </w:r>
    </w:p>
    <w:p w14:paraId="162D80EA" w14:textId="77777777" w:rsidR="00C3302E" w:rsidRPr="00D46A8F" w:rsidRDefault="00657240">
      <w:pPr>
        <w:pStyle w:val="ManualConsidrant"/>
        <w:rPr>
          <w:rFonts w:eastAsia="Times New Roman"/>
          <w:noProof/>
          <w:color w:val="000000" w:themeColor="text1"/>
        </w:rPr>
      </w:pPr>
      <w:r>
        <w:rPr>
          <w:noProof/>
        </w:rPr>
        <w:t>(26)</w:t>
      </w:r>
      <w:r>
        <w:rPr>
          <w:noProof/>
        </w:rPr>
        <w:tab/>
      </w:r>
      <w:r w:rsidRPr="00D46A8F">
        <w:rPr>
          <w:noProof/>
        </w:rPr>
        <w:t>Għalkemm il-Belġju jikklassifika bħala wieħed mill-mexxejja tal-innovazzjoni tal-UE u għandu livell għoli ta’ intensità tar-R&amp;Ż (3,36 % tal-PDG fl-2024, fost l-ogħla fl-UE), l-attività Belġjana tar-R&amp;Ż hija kkonċentrata fi ftit industriji u kumpaniji kbar, b’diversi ostakli li jfixklu t-tixrid tal-innovazzjoni fl-ekonomija kollha. Barra minn hekk, fil-Wallonia, l-impatt tal-investiment fir-R&amp;Ż fuq l-impjiegi u l-ekonomija għadu limitat minħabba appoġġ frammentat għan-negozju u diversifikazzjoni ekonomika insuffiċjenti, għalkemm xi riformi li għaddejjin bħalissa jistgħu jreġġgħu lura x-xejra. Livelli għoljin ta’ ħelsien mit-taxxa għar-R&amp;Ż jonqsu milli jilħqu kumpaniji bl-ogħla potenzjal ta’ tkabbir. Prestazzjoni aktar b’saħħitha fl-innovazzjoni u tkabbir sostnut tal-produttività jkunu jeħtieġu żieda fit-tixrid tal-innovazzjoni fis-setturi u d-ditti. Studji (</w:t>
      </w:r>
      <w:r w:rsidRPr="00D46A8F">
        <w:rPr>
          <w:rStyle w:val="FootnoteReference"/>
          <w:noProof/>
        </w:rPr>
        <w:footnoteReference w:id="24"/>
      </w:r>
      <w:r w:rsidRPr="00D46A8F">
        <w:rPr>
          <w:noProof/>
        </w:rPr>
        <w:t>) juru li hemm lok għal titjib fl-effiċjenza u l-effettività tal-appoġġ pubbliku għar-riċerka u l-innovazzjoni, b’mod partikolari biex jiġu evitati l-effetti ta’ esklużjoni u biex ir-riżorsi jiġu allokati aħjar lin-negozji b’rata għolja ta’ tkabbir. Barra minn hekk, ir-rata baxxa ta’ mobbiltà tal-impjiegi fil-Belġju, li tista’ tkun dovuta għal fatturi bħal paga għolja ta’ anzjanità u trasparenza baxxa fil-pagi, tillimita wkoll il-firxa tal-innovazzjoni għall-bqija tal-ekonomija.</w:t>
      </w:r>
    </w:p>
    <w:bookmarkEnd w:id="12"/>
    <w:p w14:paraId="6AB74BAD" w14:textId="77777777" w:rsidR="00C3302E" w:rsidRPr="00D46A8F" w:rsidRDefault="00657240">
      <w:pPr>
        <w:pStyle w:val="ManualConsidrant"/>
        <w:rPr>
          <w:noProof/>
        </w:rPr>
      </w:pPr>
      <w:r>
        <w:rPr>
          <w:noProof/>
        </w:rPr>
        <w:t>(27)</w:t>
      </w:r>
      <w:r>
        <w:rPr>
          <w:noProof/>
        </w:rPr>
        <w:tab/>
      </w:r>
      <w:r w:rsidRPr="00D46A8F">
        <w:rPr>
          <w:noProof/>
        </w:rPr>
        <w:t>Filwaqt li l-provvista tal-elettriku b’livell baxx ta’ emissjonijiet tal-karbonju (nukleari u rinnovabbli) qed tkompli tiżdied, il-Belġju għadu dipendenti ħafna fuq l-importazzjonijiet tal-fjuwils fossili (67,1 % tat-taħlita tal-enerġija tal-Belġju). It-titjib fl-effiċjenza enerġetika ma kienx biżżejjed fl-2024 biex titkompla x-xejra  l isfel tal-konsum finali tal-enerġija tal-Belġju osservata mill-2019. Dan huwa prinċipalment dovut għaż-żieda fil-konsum tal-enerġija u fl-emissjonijiet tas-settur tat-trasport. Hija meħtieġa wkoll azzjoni ta’ politika aktar ambizzjuża għad-dekarbonizzazzjoni tal-istokk tal-bini, inkluża l-akkomodazzjoni soċjali, li jammonta għal 33 % tal-konsum nazzjonali tal-enerġija. Il-miżuri ta’ rinnovazzjoni wasslu għal tnaqqis fil-konsum tal-enerġija residenzjali, iżda mhux biżżejjed biex jintlaħqu l-miri ta’ rinnovazzjoni fit-tul.</w:t>
      </w:r>
    </w:p>
    <w:p w14:paraId="14DF0E4E" w14:textId="77777777" w:rsidR="00C3302E" w:rsidRPr="00D46A8F" w:rsidRDefault="00657240">
      <w:pPr>
        <w:pStyle w:val="ManualConsidrant"/>
        <w:rPr>
          <w:noProof/>
        </w:rPr>
      </w:pPr>
      <w:r>
        <w:rPr>
          <w:noProof/>
        </w:rPr>
        <w:t>(28)</w:t>
      </w:r>
      <w:r>
        <w:rPr>
          <w:noProof/>
        </w:rPr>
        <w:tab/>
      </w:r>
      <w:bookmarkStart w:id="13" w:name="_Hlk227748039"/>
      <w:r w:rsidRPr="00D46A8F">
        <w:rPr>
          <w:noProof/>
        </w:rPr>
        <w:t>Il-kostijiet għoljin tal-elettriku jfixklu d-dekarbonizzazzjoni ulterjuri tal-ekonomija u b’mod partikolari tas-settur tal-manifattura. Wara t-taxxi u l-imposti (</w:t>
      </w:r>
      <w:r w:rsidRPr="00D46A8F">
        <w:rPr>
          <w:rStyle w:val="FootnoteReference"/>
          <w:noProof/>
        </w:rPr>
        <w:footnoteReference w:id="25"/>
      </w:r>
      <w:r w:rsidRPr="00D46A8F">
        <w:rPr>
          <w:noProof/>
        </w:rPr>
        <w:t>), l-elettriku jiswa kważi erba’ darbiet aktar għal kull unità mill-gass għall-industriji, li huwa wieħed mill-ogħla proporzjonijiet fl-UE u jxekkel il-bidla mill-fjuwils fossili għall-elettriku. Filwaqt li l-gvern qed jippjana li jnaqqas id-dazji tas-sisa fuq l-elettriku, hija meħtieġa azzjoni politika effettiva biex l-industriji jiġu inċentivati jaqilbu għal enerġija aktar nadifa. Il-kuntratti għad-differenza għall-karbonju u l-akkwist pubbliku ekoloġiku jistgħu jikkontribwixxu għat-tneħħija tar-riskji tal-investiment u jinċentivaw aktar lill-industriji biex jiddekarbonizzaw. It-trawwim ta’ prattiki tal-ekonomija ċirkolari jista’ jgħin ukoll biex titnaqqas id-domanda għall-enerġija industrijali u d-dipendenza fuq l-importazzjonijiet ta’ materja prima kritika. Barra minn hekk, l-investiment fl-infrastruttura tal-enerġija u fit-teknoloġiji b’livell baxx ta’ emissjonijiet tal-karbonju jappoġġa d-dekarbonizzazzjoni tal-industriji intensivi fil-karbonju u li diffiċli jitrażżnu, b’mod partikolari fil-Wallonia u fil-Flanders, inkluż madwar il-port ta’ Antwerp, filwaqt li jippreserva l-kompetittività.</w:t>
      </w:r>
    </w:p>
    <w:bookmarkEnd w:id="13"/>
    <w:p w14:paraId="4C3493BD" w14:textId="77777777" w:rsidR="00C3302E" w:rsidRPr="00D46A8F" w:rsidRDefault="00657240">
      <w:pPr>
        <w:pStyle w:val="ManualConsidrant"/>
        <w:rPr>
          <w:noProof/>
        </w:rPr>
      </w:pPr>
      <w:r>
        <w:rPr>
          <w:noProof/>
        </w:rPr>
        <w:t>(29)</w:t>
      </w:r>
      <w:r>
        <w:rPr>
          <w:noProof/>
        </w:rPr>
        <w:tab/>
      </w:r>
      <w:r w:rsidRPr="00D46A8F">
        <w:rPr>
          <w:noProof/>
        </w:rPr>
        <w:t>L-introduzzjoni ta’ sorsi ta’ enerġija rinnovabbli fil-Belġju, għalkemm laħqet rekord ta’ 34,7 % tal-ġenerazzjoni tal-elettriku fl-2025, għadha miżmuma lura minn kapaċità insuffiċjenti tal-grilja, li saret l-isfida ewlenija fit-tranżizzjoni tal-enerġija tal-Belġju. Filwaqt li huma ppjanati diversi proġetti ta’ infrastruttura biex tissaħħaħ il-grilja tal-elettriku, il-progress fuq il-konnessjonijiet ewlenin miexi bil-mod, b’mod partikolari minħabba n-nuqqas ta’ teħid ta’ deċiżjonijiet fil-Wallonia u kwistjonijiet ta’ permessi. L-aċċellerazzjoni tal-aġġornament tal-infrastruttura tal-grilja u t-tħaffif tal-proċeduri tal-għoti tal-permessi jippromwovu l-użu ta’ sorsi ta’ enerġija rinnovabbli. Barra minn hekk, l-aġġustament tal-oqfsa legali biex tingħata spinta lill-investiment fil-ħżin tal-elettriku u r-rispons min-naħa tad-domanda, u l-iffaċilitar tal-kondiviżjoni tal-enerġija billi jiġi inċentivat l-użu ta’ miters intelliġenti fi Brussell u f’Wallonia, jistgħu jżidu l-flessibbiltà tal-konsum tal-enerġija u jinvolvu titjib fl-effiċjenza enerġetika.</w:t>
      </w:r>
    </w:p>
    <w:p w14:paraId="1814857E" w14:textId="77777777" w:rsidR="00C3302E" w:rsidRPr="00D46A8F" w:rsidRDefault="00657240">
      <w:pPr>
        <w:pStyle w:val="ManualConsidrant"/>
        <w:rPr>
          <w:noProof/>
        </w:rPr>
      </w:pPr>
      <w:r>
        <w:rPr>
          <w:noProof/>
        </w:rPr>
        <w:t>(30)</w:t>
      </w:r>
      <w:r>
        <w:rPr>
          <w:noProof/>
        </w:rPr>
        <w:tab/>
      </w:r>
      <w:r w:rsidRPr="00D46A8F">
        <w:rPr>
          <w:noProof/>
        </w:rPr>
        <w:t>Iż-żieda fil-konsum finali tal-enerġija tal-Belġju hija prinċipalment dovuta għaż-żieda fil-konsum tal-enerġija u fl-emissjonijiet tas-settur tat-trasport, b’mod partikolari tas-setturi tal-avjazzjoni internazzjonali, tat-trasport marittimu u tat-trasport tal-merkanzija bit-triq (</w:t>
      </w:r>
      <w:r w:rsidRPr="00D46A8F">
        <w:rPr>
          <w:rStyle w:val="FootnoteReference"/>
          <w:noProof/>
        </w:rPr>
        <w:footnoteReference w:id="26"/>
      </w:r>
      <w:r w:rsidRPr="00D46A8F">
        <w:rPr>
          <w:noProof/>
        </w:rPr>
        <w:t>). It-trasport ferrovjarju jibqa’ għażla li mhijiex attraenti biżżejjed, kemm għat-trasport tal-passiġġieri kif ukoll għat-trasport tal-merkanzija, u l-għadd ta’ karozzi tal-passiġġieri żdied b’mod kostanti u dan wassal għal kostijiet għoljin ta’ konġestjoni. Is-sehem tal-karozzi elettriċi tal-bejgħ totali tal-karozzi reċentement naqas, possibbilment minħabba n-nuqqas ta’ infrastruttura tal-iċċarġjar fil-Wallonia. Iż-żieda fit-titjib tal-effiċjenza enerġetika, l-appoġġ għall-elettrifikazzjoni u l-produzzjoni u l-użu ta’ fjuwils sostenibbli għas-setturi tal-avjazzjoni u dawk marittimi, jistgħu jaċċelleraw id-dekarbonizzazzjoni tas-settur tat-trasport. Barra minn hekk, tariffi tat-triq differenzjati għat-tipi kollha ta’ vetturi, aktar investiment fit-trasport pubbliku – lil hinn mill-investimenti inklużi fil-Pjan ta’ Rkupru u Reżiljenza tal-Belġju – u l-promozzjoni tal-car sharing u l-mobilità attiva jagħmlu t-trasport aktar sostenibbli.</w:t>
      </w:r>
    </w:p>
    <w:p w14:paraId="6651DF5B" w14:textId="77777777" w:rsidR="00C3302E" w:rsidRPr="00D46A8F" w:rsidRDefault="00657240">
      <w:pPr>
        <w:pStyle w:val="ManualConsidrant"/>
        <w:rPr>
          <w:noProof/>
        </w:rPr>
      </w:pPr>
      <w:r>
        <w:rPr>
          <w:noProof/>
        </w:rPr>
        <w:t>(31)</w:t>
      </w:r>
      <w:r>
        <w:rPr>
          <w:noProof/>
        </w:rPr>
        <w:tab/>
      </w:r>
      <w:r w:rsidRPr="00D46A8F">
        <w:rPr>
          <w:noProof/>
        </w:rPr>
        <w:t>L-awtoritajiet Belġjani (</w:t>
      </w:r>
      <w:r w:rsidRPr="00D46A8F">
        <w:rPr>
          <w:rStyle w:val="FootnoteReference"/>
          <w:noProof/>
        </w:rPr>
        <w:footnoteReference w:id="27"/>
      </w:r>
      <w:r w:rsidRPr="00D46A8F">
        <w:rPr>
          <w:noProof/>
        </w:rPr>
        <w:t>) stmaw li s-sussidji federali diretti għall-fjuwils fossili jammontaw għal 2,4 % tal-PDG fl-2022, li ħafna minnhom mingħajr pjan ta’ eliminazzjoni gradwali qabel l-2030. B’mod partikolari, is-sussidji għall-fjuwils fossili li la jindirizzaw il-faqar enerġetiku b’mod immirat u lanqas tħassib ġenwin dwar is-sigurtà tal-enerġija, ma jxekklu l-elettrifikazzjoni u mhumiex kruċjali għall-kompetittività industrijali jistgħu jitqiesu bħala prijorità ta’ eliminazzjoni gradwali. Sussidji fuq il-fjuwils fossili bħal dazji tas-sisa mnaqqsa fuq id-diżil professjonali, kards tal-fjuwil tal-kumpaniji u tnaqqis tal-VAT fuq il-gass huma ekonomikament ineffiċjenti u jipperpetwaw id-dipendenza fuq il-fjuwils fossili. Tnaqqis fid-dazji tas-sisa fuq iż-żejt għat-tisħin u l-gass inaqqas il-kost tagħhom meta mqabbel mal-elettriku, li jfixkel il-bidla għal sistemi ta’ tisħin aktar ekoloġiċi u jżomm lura r-rinnovazzjoni tal-enerġija tal-bini. Peress li l-Belġju jirriskja li jonqos milli jilħaq il-miri tiegħu ta’ rinnovazzjoni u effiċjenza enerġetika għall-2030, iż-żieda fl-investiment fir-rinnovazzjonijiet tal-enerġija u l-ikkomplementar tal-investiment b’riformi ta’ politika biex l-inċentivi jiġu ttrasferiti għar-rinnovazzjoni tal-enerġija u għal soluzzjonijiet ta’ tisħin b’livell baxx ta’ emissjonijiet tal-karbonju - filwaqt li tiġi ssalvagwardjata l-ekwità - jgħinu biex titħaffef it-tranżizzjoni tal-enerġija. Filwaqt li tħabbret bidla mid-dazji tas-sisa mill-elettriku għall-fjuwils fossili għall-unitajiet domestiċi, mhuwiex ċert jekk din il-bidla hijiex se tkun biżżejjed biex tbiddel il-prezzijiet relattivi tal-elettriku u tal-fjuwils fossili malajr biżżejjed biex jintlaħqu l-miri tal-2030.</w:t>
      </w:r>
    </w:p>
    <w:p w14:paraId="6DF282D1" w14:textId="77777777" w:rsidR="00C3302E" w:rsidRPr="00D46A8F" w:rsidRDefault="00657240">
      <w:pPr>
        <w:pStyle w:val="ManualConsidrant"/>
        <w:rPr>
          <w:noProof/>
        </w:rPr>
      </w:pPr>
      <w:r>
        <w:rPr>
          <w:noProof/>
        </w:rPr>
        <w:t>(32)</w:t>
      </w:r>
      <w:r>
        <w:rPr>
          <w:noProof/>
        </w:rPr>
        <w:tab/>
      </w:r>
      <w:r w:rsidRPr="00D46A8F">
        <w:rPr>
          <w:noProof/>
        </w:rPr>
        <w:t>Il-kwalità tal-ilma u d-degradazzjoni tan-natura huma sfidi, peress li l-biċċa l-kbira tal-korpi tal-ilma fil-Belġju huma affettwati minn sorsi ta’ tniġġis diffużi. L-agrikoltura intensiva, b’mod partikolari t-trobbija tal-bhejjem, tirrilaxxa volumi kbar ta’ sustanzi niġġiesa tal-arja, tal-ħamrija u tal-ilma. Filwaqt li ttieħdu miżuri fil-produzzjoni tal-elettriku, is-settur tal-metall u l-produzzjoni tal-kimiċi wkoll ikomplu jikkawżaw tniġġis. Livelli dejjem jonqsu ta’ bijodiversità jpoġġu f’riskju setturi ekonomiċi li huma dipendenti ħafna fuq is-servizzi tal-ekosistema. Is-soluzzjonijiet ibbażati fuq in-natura huma kruċjali għall-bini tar-reżiljenza għall-klima u għall-protezzjoni tal-ekonomija mill-impatti ta’ avvenimenti estremi tat-temp. Filwaqt li l-gvern Fjamming adotta s-seba’ programm ta’ azzjoni rivedut dwar in-nitrati, hija meħtieġa aktar azzjoni biex jitnaqqsu d-depożizzjonijiet eċċessivi tan-nitroġenu u biex il-biedja ssir aktar sostenibbli.</w:t>
      </w:r>
    </w:p>
    <w:p w14:paraId="0B918730" w14:textId="77777777" w:rsidR="00C3302E" w:rsidRPr="00D46A8F" w:rsidRDefault="00657240">
      <w:pPr>
        <w:pStyle w:val="ManualConsidrant"/>
        <w:rPr>
          <w:noProof/>
        </w:rPr>
      </w:pPr>
      <w:r>
        <w:rPr>
          <w:noProof/>
        </w:rPr>
        <w:t>(33)</w:t>
      </w:r>
      <w:r>
        <w:rPr>
          <w:noProof/>
        </w:rPr>
        <w:tab/>
      </w:r>
      <w:bookmarkStart w:id="14" w:name="_Hlk227664987"/>
      <w:r w:rsidRPr="00D46A8F">
        <w:rPr>
          <w:noProof/>
        </w:rPr>
        <w:t xml:space="preserve">Il-Belġju għandu rata baxxa ta’ impjieg (72,8 % kontra 76,1 % fl-UE bħala medja) u r-rati ta’ impjieg ivarjaw ħafna bejn ir-reġjuni. Il-parteċipazzjoni fis-suq tax-xogħol ta’ gruppi żvantaġġati, jiġifieri persuni bi sfond ta’ migrazzjoni, livell baxx ta’ edukazzjoni, persuni akbar fl-età u persuni b’diżabilità hija baxxa. Fl-2025, il-Belġju adotta riformi kbar fis-suq tax-xogħol, inkluż ir-restrizzjoni tad-durata tal-benefiċċji tal-qgħad għal sentejn. Madankollu, l-impatt tagħhom se jiddependi fuq l-effettività tal-politiki ta’ attivazzjoni tax-xogħol li jakkumpanjawhom. Barra minn hekk, hemm lok biex tittejjeb l-effettività tal-miżuri li jgħinu fl-integrazzjoni ta’ gruppi żvantaġġati fis-suq tax-xogħol u biex tittejjeb l-effiċjenza tas-servizzi pubbliċi tal-impjiegi. Dan għandu jgħin ukoll biex tiġi indirizzata r-rata għolja ta’ persuni f’unitajiet domestiċi b’intensità baxxa ħafna ta’ xogħol u biex jiġu indirizzati d-differenzi fl-eżiti tas-suq tax-xogħol bejn ir-reġjuni u l-gruppi. Fl-istess ħin, għalkemm naqset b’mod kostanti matul l-2025, ir-rata tal-postijiet tax-xogħol vakanti fil-Belġju għadha ferm ogħla mill-medja tal-UE (3,8 % meta mqabbla ma’ 2,1 % fl-2025). In-nuqqas ta’ ħaddiema u ħiliet għadu partikolarment għoli fis-settur tas-servizzi, kif ukoll fis-setturi professjonali, xjentifiċi u tekniċi, u f’setturi bħall-kura tas-saħħa, il-kostruzzjoni u l-ICT, li kollha huma importanti għall-kompetittività futura, inkluża t-tranżizzjoni ekoloġika u diġitali. It-titjib tal-ħiliet u t-taħriġ mill-ġdid jistgħu jnaqqsu l-ispariġġ fil-ħiliet, iżda l-parteċipazzjoni tal-adulti fl-edukazzjoni jew fit-taħriġ hija baxxa (34,9 % fl-2022; l-UE: 39,5 %), b’mod partikolari fi gruppi żvantaġġati. </w:t>
      </w:r>
    </w:p>
    <w:p w14:paraId="68FBE845" w14:textId="77777777" w:rsidR="00C3302E" w:rsidRPr="00D46A8F" w:rsidRDefault="00657240">
      <w:pPr>
        <w:pStyle w:val="ManualConsidrant"/>
        <w:rPr>
          <w:noProof/>
        </w:rPr>
      </w:pPr>
      <w:r>
        <w:rPr>
          <w:noProof/>
        </w:rPr>
        <w:t>(34)</w:t>
      </w:r>
      <w:r>
        <w:rPr>
          <w:noProof/>
        </w:rPr>
        <w:tab/>
      </w:r>
      <w:r w:rsidRPr="00D46A8F">
        <w:rPr>
          <w:noProof/>
        </w:rPr>
        <w:t xml:space="preserve">Fid-dawl tar-rwol kruċjali tal-kapital uman fit-tisħiħ tal-kompetittività u l-awtonomija strateġika tal-Unjoni, fl-2026 il-Kunsill irrakkomanda li l-Istati Membri jieħdu azzjoni biex jindirizzaw b’mod urġenti l-isfidi strutturali relatati mal-kapital uman fl-oqsma tal-ħiliet u l-edukazzjoni, li jfixklu l-kompetittività. Ir-rakkomandazzjonijiet speċifiċi għall-pajjiż tal-2026 indirizzati lill-Belġju jistgħu jikkontribwixxu għall-implimentazzjoni tar-Rakkomandazzjoni tal-Kunsill dwar il-kapital uman fl-Unjoni. </w:t>
      </w:r>
    </w:p>
    <w:p w14:paraId="230A82DF" w14:textId="77777777" w:rsidR="00C3302E" w:rsidRPr="00D46A8F" w:rsidRDefault="00657240">
      <w:pPr>
        <w:pStyle w:val="ManualConsidrant"/>
        <w:rPr>
          <w:rFonts w:eastAsia="Times New Roman"/>
          <w:noProof/>
          <w:color w:val="000000" w:themeColor="text1"/>
        </w:rPr>
      </w:pPr>
      <w:r>
        <w:rPr>
          <w:noProof/>
        </w:rPr>
        <w:t>(35)</w:t>
      </w:r>
      <w:r>
        <w:rPr>
          <w:noProof/>
        </w:rPr>
        <w:tab/>
      </w:r>
      <w:r w:rsidRPr="00D46A8F">
        <w:rPr>
          <w:noProof/>
        </w:rPr>
        <w:t xml:space="preserve">Il-prestazzjoni edukattiva tat-tfal u ż-żgħażagħ fil-ħiliet bażiċi (il-litteriżmu, il-matematika u x-xjenza) fit-tliet Komunitajiet (Fjamminga, Franċiża u Ġermaniża) qed tonqos fit-tul, kif muri mill-valutazzjonijiet internazzjonali. Filwaqt li l-Komunitajiet Fjammingi u Franċiżi qed jimplimentaw riformi tal-kurrikuli fuq skala kbira li jiffukaw fuq il-ħiliet bażiċi, għad hemm diskrepanzi edukattivi relatati mal-istatus soċjoekonomiku u tal-migrazzjoni u dawn huma aggravati minn streaming bikri f’perkorsi edukattivi differenti u ripetizzjoni tal-gradi. Iż-żieda fit-tagħlim ibbażat fuq ix-xogħol tista’ ttejjeb ir-rilevanza għas-suq tax-xogħol tal-edukazzjoni u t-taħriġ vokazzjonali (ETV) ta’ livell medju. Iż-żieda fir-reġistrazzjoni fl-oqsma tax-xjenza, it-teknoloġija, l-inġinerija u l-matematika (STEM) u t-teknoloġija tal-informazzjoni u l-komunikazzjoni (ICT) fil-livelli kollha, b’mod partikolari tal-istudenti nisa, tista’ tikkontribwixxi biex tintlaħaq id-domanda tas-suq tax-xogħol. Qed jiġu implimentati miżuri biex jiġi indirizzat in-nuqqas ta’ għalliema, iżda l-għalliema fil-Belġju għadhom qed jiffaċċjaw ostakli biex jinvolvu ruħhom f’apprendiment professjonali li jħalli impatt u jħossuhom sottovalutati mis-soċjetà. L-infiq pubbliku fuq l-edukazzjoni huwa fost l-ogħla fl-UE. Dan jista’ jkun relatat ma’ proporzjonijiet aktar baxxi bejn l-istudenti u l-għalliema fin-networks edukattivi f’kull Komunità u ħin ta’ tagħlim statutorju relattivament aktar baxx. </w:t>
      </w:r>
      <w:bookmarkStart w:id="15" w:name="_Hlk227671531"/>
      <w:r w:rsidRPr="00D46A8F">
        <w:rPr>
          <w:noProof/>
        </w:rPr>
        <w:t>It-tnaqqis tal-frammentazzjoni tas-sistema edukattiva jista’ jżid l-effiċjenza fl-infiq u jindirizza l-isfidi strutturali.</w:t>
      </w:r>
      <w:bookmarkEnd w:id="15"/>
    </w:p>
    <w:bookmarkEnd w:id="14"/>
    <w:p w14:paraId="654B7CC0" w14:textId="77777777" w:rsidR="00C3302E" w:rsidRPr="00D46A8F" w:rsidRDefault="00657240">
      <w:pPr>
        <w:pStyle w:val="ManualConsidrant"/>
        <w:rPr>
          <w:rFonts w:eastAsia="Times New Roman"/>
          <w:noProof/>
          <w:color w:val="000000" w:themeColor="text1"/>
        </w:rPr>
      </w:pPr>
      <w:r>
        <w:rPr>
          <w:noProof/>
        </w:rPr>
        <w:t>(36)</w:t>
      </w:r>
      <w:r>
        <w:rPr>
          <w:noProof/>
        </w:rPr>
        <w:tab/>
      </w:r>
      <w:r w:rsidRPr="00D46A8F">
        <w:rPr>
          <w:noProof/>
          <w:color w:val="000000" w:themeColor="text1"/>
        </w:rPr>
        <w:t>Fid-dawl tar-rabtiet mill-qrib bejn l-ekonomiji tal-Istati Membri taż-żona tal-euro u l-kontribut kollettiv tagħhom għall-funzjonament tal-unjoni ekonomika u monetarja, fl-2026, il-Kunsill irrakkomanda li l-Istati Membri taż-żona tal-euro jieħdu azzjoni, inkluż permezz tal-RRPs tagħhom, biex jimplimentaw ir-Rakkomandazzjoni tal-2026 dwar il-politika ekonomika taż-żona tal-euro. Għall-Belġju, ir-rakkomandazzjonijiet (1) jgħinu fl-implimentazzjoni tal-ewwel u t-tieni rakkomandazzjoni dwar iż-żona tal-euro, ir-rakkomandazzjoni (2) tgħin fl-implimentazzjoni tar-raba’ rakkomandazzjoni dwar iż-żona tal-euro, ir-rakkomandazzjoni (3) tgħin fl-implimentazzjoni tas-seba’ u d-disa’ rakkomandazzjonijiet dwar iż-żona tal-euro, ir-rakkomandazzjoni (4) tgħin fl-implimentazzjoni tas-seba’ rakkomandazzjoni dwar iż-żona tal-euro u r-rakkomandazzjoni (5) tgħin fl-implimentazzjoni tal-ħames rakkomandazzjoni dwar iż-żona tal-euro.</w:t>
      </w:r>
    </w:p>
    <w:p w14:paraId="1BFDC67E" w14:textId="77777777" w:rsidR="00C3302E" w:rsidRPr="00D46A8F" w:rsidRDefault="00657240">
      <w:pPr>
        <w:pStyle w:val="Formuledadoption"/>
        <w:rPr>
          <w:rFonts w:eastAsia="Times New Roman"/>
          <w:noProof/>
          <w:color w:val="000000" w:themeColor="text1"/>
          <w:szCs w:val="24"/>
        </w:rPr>
      </w:pPr>
      <w:bookmarkStart w:id="16" w:name="_Hlk228354482"/>
      <w:r w:rsidRPr="00D46A8F">
        <w:rPr>
          <w:noProof/>
        </w:rPr>
        <w:t>B’DAN JIRRAKKOMANDA li l-Belġju jieħu azzjoni fl-2026 u fl-2027 biex:</w:t>
      </w:r>
      <w:bookmarkEnd w:id="16"/>
      <w:r w:rsidRPr="00D46A8F">
        <w:rPr>
          <w:noProof/>
          <w:color w:val="000000" w:themeColor="text1"/>
        </w:rPr>
        <w:t xml:space="preserve"> </w:t>
      </w:r>
    </w:p>
    <w:p w14:paraId="71B48319" w14:textId="77777777" w:rsidR="00C3302E" w:rsidRPr="00D46A8F" w:rsidRDefault="00657240">
      <w:pPr>
        <w:pStyle w:val="ManualNumPar1"/>
        <w:rPr>
          <w:rFonts w:eastAsia="Times New Roman"/>
          <w:noProof/>
          <w:color w:val="000000" w:themeColor="text1"/>
        </w:rPr>
      </w:pPr>
      <w:r>
        <w:rPr>
          <w:noProof/>
        </w:rPr>
        <w:t>1.</w:t>
      </w:r>
      <w:r>
        <w:rPr>
          <w:noProof/>
        </w:rPr>
        <w:tab/>
      </w:r>
      <w:r w:rsidRPr="00D46A8F">
        <w:rPr>
          <w:noProof/>
        </w:rPr>
        <w:t xml:space="preserve">Ikompli jaderixxi mar-rati massimi ta’ tkabbir tan-nefqa netta rrakkomandati mill-Kunsill fl-20 ta' Ġunju 2025, bil-ħsieb li tintemm is-sitwazzjoni ta’ defiċit eċċessiv filwaqt li jsir użu mill-flessibbiltà skont il-klawżola liberatorja nazzjonali għal nefqa ogħla għad-difiża. Issaħħaħ l-infiq fid-difiża u l-prontezza tad-difiża filwaqt li tiżgura l-effiċjenza fl-infiq u gradwalment tadatta l-baġit biex issostni nfiq strutturalment ogħla fid-difiża. Jiżgura li kwalunkwe miżura meħuda biex jittaffa l-impatt taż-żieda fil-prezzijiet tal-enerġija tkun temporanja, immirata lejn il-protezzjoni tal-unitajiet domestiċi vulnerabbli jew lejn l-indirizzar tal-ħtiġijiet tad-ditti intensivi fl-enerġija, jippreserva l-inċentivi għall-iffrankar tal-enerġija filwaqt li jiżgura li l-kost fiskali tagħhom ikun kompatibbli mal-impenji skont il-qafas fiskali tal-UE. </w:t>
      </w:r>
      <w:bookmarkStart w:id="17" w:name="_Hlk228355177"/>
      <w:r w:rsidRPr="00D46A8F">
        <w:rPr>
          <w:noProof/>
        </w:rPr>
        <w:t xml:space="preserve">Jimplimenta s-sett ta’ riformi u investimenti li jirfdu l-perjodu ta’ aġġustament estiż kif irrakkomandat mill-Kunsill fl-20 ta' Ġunju 2025. Ittejjeb l-effiċjenza tal-infiq pubbliku, jissimplifika l-istrutturi tal-gvern u jsaħħaħ il-koordinazzjoni interfederali. </w:t>
      </w:r>
      <w:bookmarkStart w:id="18" w:name="_Hlk228354578"/>
      <w:bookmarkEnd w:id="17"/>
      <w:r w:rsidRPr="00D46A8F">
        <w:rPr>
          <w:noProof/>
        </w:rPr>
        <w:t>Jagħmel is-sistema tal-kura fit-tul aktar kosteffettiva.</w:t>
      </w:r>
    </w:p>
    <w:bookmarkEnd w:id="18"/>
    <w:p w14:paraId="3516402E" w14:textId="77777777" w:rsidR="00C3302E" w:rsidRPr="00D46A8F" w:rsidRDefault="00657240">
      <w:pPr>
        <w:pStyle w:val="ManualNumPar1"/>
        <w:rPr>
          <w:rFonts w:eastAsia="Times New Roman"/>
          <w:noProof/>
          <w:color w:val="000000" w:themeColor="text1"/>
        </w:rPr>
      </w:pPr>
      <w:r>
        <w:rPr>
          <w:noProof/>
        </w:rPr>
        <w:t>2.</w:t>
      </w:r>
      <w:r>
        <w:rPr>
          <w:noProof/>
        </w:rPr>
        <w:tab/>
      </w:r>
      <w:r w:rsidRPr="00D46A8F">
        <w:rPr>
          <w:noProof/>
        </w:rPr>
        <w:t>Jiżgura l-kontinwità tar-riformi u l-investimenti implimentati taħt il-Faċilità għall-Irkupru u r-Reżiljenza. Iżid l-isforzi biex jimplimenta l-programmi tal-politika ta’ koeżjoni filwaqt li jibni, fejn xieraq, fuq ir-riallokazzjoni għal prijoritajiet strateġiċi fir-rieżami ta’ nofs it-terminu u l-flessibbiltajiet ipprovduti fil-qafas tal-politika ta’ koeżjoni disponibbli.</w:t>
      </w:r>
    </w:p>
    <w:p w14:paraId="31A90658" w14:textId="77777777" w:rsidR="00C3302E" w:rsidRPr="00D46A8F" w:rsidRDefault="00657240">
      <w:pPr>
        <w:pStyle w:val="ManualNumPar1"/>
        <w:rPr>
          <w:rFonts w:eastAsia="Times New Roman"/>
          <w:noProof/>
          <w:color w:val="000000" w:themeColor="text1"/>
        </w:rPr>
      </w:pPr>
      <w:r>
        <w:rPr>
          <w:noProof/>
        </w:rPr>
        <w:t>3.</w:t>
      </w:r>
      <w:r>
        <w:rPr>
          <w:noProof/>
        </w:rPr>
        <w:tab/>
      </w:r>
      <w:r w:rsidRPr="00D46A8F">
        <w:rPr>
          <w:noProof/>
        </w:rPr>
        <w:t>Jissimplifika u jtejjeb ir-regolamentazzjoni, inaqqas il-piż amministrattiv, inkluż billi jissimplifika l-proċeduri għall-għoti ta’ permessi u billi jneħħi l-ostakli regolatorji fis-servizzi, biex itejjeb l-ambjent tan-negozju u d-dinamika tan-negozju, filwaqt li jindirizza d-disparitajiet reġjonali. Iżid id-diffużjoni tal-innovazzjoni billi l-appoġġ pubbliku tar-R&amp;Ż jiġi mmirat lejn kumpaniji bl-ogħla potenzjal ta’ tkabbir u jiffaċilita l-aċċess għall-finanzi għal negozji li qed jespandu.</w:t>
      </w:r>
    </w:p>
    <w:p w14:paraId="3C652B72" w14:textId="77777777" w:rsidR="00C3302E" w:rsidRPr="00D46A8F" w:rsidRDefault="00657240">
      <w:pPr>
        <w:pStyle w:val="ManualNumPar1"/>
        <w:rPr>
          <w:noProof/>
        </w:rPr>
      </w:pPr>
      <w:r>
        <w:rPr>
          <w:noProof/>
        </w:rPr>
        <w:t>4.</w:t>
      </w:r>
      <w:r>
        <w:rPr>
          <w:noProof/>
        </w:rPr>
        <w:tab/>
      </w:r>
      <w:r w:rsidRPr="00D46A8F">
        <w:rPr>
          <w:noProof/>
        </w:rPr>
        <w:t>Inaqqas id-dipendenza ġenerali fuq il-fjuwils fossili, inkluż billi jtejjeb l-effiċjenza enerġetika tal-bini u billi jagħti aktar inċentivi lill-industrija biex tiddekarbonizza. Jieħu miżuri biex iżid l-użu u l-provvista ta’ trasport sostenibbli u jindirizza l-konġestjoni fit-toroq. Jaċċellera l-aġġornament tal-infrastruttura tal-grilja u l-introduzzjoni tal-enerġiji rinnovabbli, billi jissimplifika aktar il-proċeduri għall-għoti ta’ permessi, filwaqt li jindirizza d-disparitajiet reġjonali, u jippromwovi l-flessibbiltà u l-ħżin min-naħa tad-domanda. Jelimina gradwalment is-sussidji għall-fjuwils fossili, b’mod partikolari fis-settur tat-trasport u tat-tisħin, inkluż billi jittrasferixxi d-dazji tas-sisa mill-elettriku għall-fjuwils fossili. Jieħu azzjoni ulterjuri dwar l-agrikoltura sostenibbli billi jtejjeb il-kwalità tal-ilma u billi jnaqqas id-depożizzjoni eċċessiva ta' nitroġenu.</w:t>
      </w:r>
    </w:p>
    <w:p w14:paraId="10408737" w14:textId="77777777" w:rsidR="00C3302E" w:rsidRPr="00D46A8F" w:rsidRDefault="00657240" w:rsidP="00F25DAB">
      <w:pPr>
        <w:pStyle w:val="ManualNumPar1"/>
        <w:keepNext/>
        <w:keepLines/>
        <w:rPr>
          <w:rFonts w:eastAsia="Times New Roman"/>
          <w:noProof/>
          <w:color w:val="000000" w:themeColor="text1"/>
        </w:rPr>
      </w:pPr>
      <w:r>
        <w:rPr>
          <w:noProof/>
        </w:rPr>
        <w:t>5.</w:t>
      </w:r>
      <w:r>
        <w:rPr>
          <w:noProof/>
        </w:rPr>
        <w:tab/>
      </w:r>
      <w:bookmarkStart w:id="19" w:name="_Hlk228354464"/>
      <w:r w:rsidRPr="00D46A8F">
        <w:rPr>
          <w:noProof/>
        </w:rPr>
        <w:t>Jindirizza n-nuqqas ta’ ħaddiema u l-ispariġġ fil-ħiliet. Issaħħaħ l-effettività u l-immirar ta’ politiki attivi tas-suq tax-xogħol biex jiġu integrati aktar gruppi żvantaġġati fis-suq tax-xogħol u biex jiġu indirizzati d-disparitajiet reġjonali. Itejjeb il-prestazzjoni u l-ekwità tas-sistemi tal-edukazzjoni u t-taħriġ u jtejjeb r-rilevanza tagħhom għas-suq tax-xogħol, b’mod partikolari fl-oqsma tal-ICT u STEM. Ikompli r-riformi biex tissaħħaħ il-professjoni tat-tagħlim billi jiġu żviluppati perkorsi tal-karriera aktar flessibbli u attraenti u taħriġ għall-għalliema.</w:t>
      </w:r>
    </w:p>
    <w:bookmarkEnd w:id="19"/>
    <w:p w14:paraId="168FF172" w14:textId="77777777" w:rsidR="00C3302E" w:rsidRPr="00D46A8F" w:rsidRDefault="00D46A8F" w:rsidP="00F25DAB">
      <w:pPr>
        <w:pStyle w:val="Fait"/>
        <w:rPr>
          <w:noProof/>
        </w:rPr>
      </w:pPr>
      <w:r>
        <w:rPr>
          <w:noProof/>
        </w:rPr>
        <w:t>Magħmul fi Brussell,</w:t>
      </w:r>
    </w:p>
    <w:p w14:paraId="2B2E5930" w14:textId="77777777" w:rsidR="00C3302E" w:rsidRPr="00D46A8F" w:rsidRDefault="00657240" w:rsidP="00F25DAB">
      <w:pPr>
        <w:pStyle w:val="Institutionquisigne"/>
        <w:rPr>
          <w:rFonts w:eastAsia="Times New Roman"/>
          <w:iCs/>
          <w:noProof/>
          <w:color w:val="000000" w:themeColor="text1"/>
          <w:szCs w:val="24"/>
        </w:rPr>
      </w:pPr>
      <w:r w:rsidRPr="00D46A8F">
        <w:rPr>
          <w:noProof/>
          <w:color w:val="000000" w:themeColor="text1"/>
        </w:rPr>
        <w:t>Għall-Kunsill</w:t>
      </w:r>
    </w:p>
    <w:p w14:paraId="2C2057D0" w14:textId="77777777" w:rsidR="00C3302E" w:rsidRPr="00D46A8F" w:rsidRDefault="00657240">
      <w:pPr>
        <w:pStyle w:val="Personnequisigne"/>
        <w:rPr>
          <w:rFonts w:eastAsia="Times New Roman"/>
          <w:iCs/>
          <w:noProof/>
          <w:color w:val="000000" w:themeColor="text1"/>
          <w:szCs w:val="24"/>
        </w:rPr>
      </w:pPr>
      <w:r w:rsidRPr="00D46A8F">
        <w:rPr>
          <w:noProof/>
          <w:color w:val="000000" w:themeColor="text1"/>
        </w:rPr>
        <w:t>Il-President</w:t>
      </w:r>
    </w:p>
    <w:sectPr w:rsidR="00C3302E" w:rsidRPr="00D46A8F" w:rsidSect="00622DF4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141B4D" w14:textId="77777777" w:rsidR="00452F51" w:rsidRDefault="00452F51">
      <w:pPr>
        <w:spacing w:before="0" w:after="0"/>
      </w:pPr>
      <w:r>
        <w:separator/>
      </w:r>
    </w:p>
  </w:endnote>
  <w:endnote w:type="continuationSeparator" w:id="0">
    <w:p w14:paraId="0507CC06" w14:textId="77777777" w:rsidR="00452F51" w:rsidRDefault="00452F51">
      <w:pPr>
        <w:spacing w:before="0" w:after="0"/>
      </w:pPr>
      <w:r>
        <w:continuationSeparator/>
      </w:r>
    </w:p>
  </w:endnote>
  <w:endnote w:type="continuationNotice" w:id="1">
    <w:p w14:paraId="5C512229" w14:textId="77777777" w:rsidR="00452F51" w:rsidRDefault="00452F51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BFC9D3" w14:textId="55D514B1" w:rsidR="00622DF4" w:rsidRPr="00622DF4" w:rsidRDefault="00622DF4" w:rsidP="00622DF4">
    <w:pPr>
      <w:pStyle w:val="Footer"/>
      <w:rPr>
        <w:rFonts w:ascii="Arial" w:hAnsi="Arial" w:cs="Arial"/>
        <w:b/>
        <w:sz w:val="48"/>
      </w:rPr>
    </w:pPr>
    <w:r w:rsidRPr="00622DF4">
      <w:rPr>
        <w:rFonts w:ascii="Arial" w:hAnsi="Arial" w:cs="Arial"/>
        <w:b/>
        <w:sz w:val="48"/>
      </w:rPr>
      <w:t>MT</w:t>
    </w:r>
    <w:r w:rsidRPr="00622DF4">
      <w:rPr>
        <w:rFonts w:ascii="Arial" w:hAnsi="Arial" w:cs="Arial"/>
        <w:b/>
        <w:sz w:val="48"/>
      </w:rPr>
      <w:tab/>
    </w:r>
    <w:r w:rsidRPr="00622DF4">
      <w:rPr>
        <w:rFonts w:ascii="Arial" w:hAnsi="Arial" w:cs="Arial"/>
        <w:b/>
        <w:sz w:val="48"/>
      </w:rPr>
      <w:tab/>
    </w:r>
    <w:r w:rsidRPr="00622DF4">
      <w:tab/>
    </w:r>
    <w:r w:rsidRPr="00622DF4">
      <w:rPr>
        <w:rFonts w:ascii="Arial" w:hAnsi="Arial" w:cs="Arial"/>
        <w:b/>
        <w:sz w:val="48"/>
      </w:rPr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E7CE4" w14:textId="040C566A" w:rsidR="00622DF4" w:rsidRPr="00622DF4" w:rsidRDefault="00622DF4" w:rsidP="00622DF4">
    <w:pPr>
      <w:pStyle w:val="Footer"/>
      <w:rPr>
        <w:rFonts w:ascii="Arial" w:hAnsi="Arial" w:cs="Arial"/>
        <w:b/>
        <w:sz w:val="48"/>
      </w:rPr>
    </w:pPr>
    <w:r w:rsidRPr="00622DF4">
      <w:rPr>
        <w:rFonts w:ascii="Arial" w:hAnsi="Arial" w:cs="Arial"/>
        <w:b/>
        <w:sz w:val="48"/>
      </w:rPr>
      <w:t>MT</w:t>
    </w:r>
    <w:r w:rsidRPr="00622DF4">
      <w:rPr>
        <w:rFonts w:ascii="Arial" w:hAnsi="Arial" w:cs="Arial"/>
        <w:b/>
        <w:sz w:val="48"/>
      </w:rPr>
      <w:tab/>
    </w:r>
    <w:r w:rsidRPr="00622DF4">
      <w:rPr>
        <w:rFonts w:ascii="Arial" w:hAnsi="Arial" w:cs="Arial"/>
        <w:b/>
        <w:sz w:val="48"/>
      </w:rPr>
      <w:tab/>
    </w:r>
    <w:r w:rsidRPr="00622DF4">
      <w:tab/>
    </w:r>
    <w:r w:rsidRPr="00622DF4"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BF4ECC" w14:textId="77777777" w:rsidR="00622DF4" w:rsidRDefault="00622DF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3FB3C" w14:textId="1DC366D1" w:rsidR="00622DF4" w:rsidRPr="00622DF4" w:rsidRDefault="00622DF4" w:rsidP="00622DF4">
    <w:pPr>
      <w:pStyle w:val="Footer"/>
      <w:rPr>
        <w:rFonts w:ascii="Arial" w:hAnsi="Arial" w:cs="Arial"/>
        <w:b/>
        <w:sz w:val="48"/>
      </w:rPr>
    </w:pPr>
    <w:r w:rsidRPr="00622DF4">
      <w:rPr>
        <w:rFonts w:ascii="Arial" w:hAnsi="Arial" w:cs="Arial"/>
        <w:b/>
        <w:sz w:val="48"/>
      </w:rPr>
      <w:t>MT</w:t>
    </w:r>
    <w:r w:rsidRPr="00622DF4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F25DAB">
      <w:rPr>
        <w:noProof/>
      </w:rPr>
      <w:t>13</w:t>
    </w:r>
    <w:r>
      <w:fldChar w:fldCharType="end"/>
    </w:r>
    <w:r>
      <w:tab/>
    </w:r>
    <w:r w:rsidRPr="00622DF4">
      <w:tab/>
    </w:r>
    <w:r w:rsidRPr="00622DF4">
      <w:rPr>
        <w:rFonts w:ascii="Arial" w:hAnsi="Arial" w:cs="Arial"/>
        <w:b/>
        <w:sz w:val="48"/>
      </w:rPr>
      <w:t>MT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5075C" w14:textId="77777777" w:rsidR="00622DF4" w:rsidRDefault="00622DF4" w:rsidP="00622D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34CBC6" w14:textId="77777777" w:rsidR="00452F51" w:rsidRDefault="00452F51">
      <w:pPr>
        <w:spacing w:before="0" w:after="0"/>
      </w:pPr>
      <w:r>
        <w:separator/>
      </w:r>
    </w:p>
  </w:footnote>
  <w:footnote w:type="continuationSeparator" w:id="0">
    <w:p w14:paraId="7A5BB54E" w14:textId="77777777" w:rsidR="00452F51" w:rsidRDefault="00452F51">
      <w:pPr>
        <w:spacing w:before="0" w:after="0"/>
      </w:pPr>
      <w:r>
        <w:continuationSeparator/>
      </w:r>
    </w:p>
  </w:footnote>
  <w:footnote w:type="continuationNotice" w:id="1">
    <w:p w14:paraId="6FF82026" w14:textId="77777777" w:rsidR="00452F51" w:rsidRDefault="00452F51">
      <w:pPr>
        <w:spacing w:before="0" w:after="0"/>
      </w:pPr>
    </w:p>
  </w:footnote>
  <w:footnote w:id="2">
    <w:p w14:paraId="59E63695" w14:textId="77777777" w:rsidR="00C3302E" w:rsidRDefault="00657240">
      <w:pPr>
        <w:pStyle w:val="FootnoteText"/>
      </w:pPr>
      <w:r>
        <w:rPr>
          <w:rStyle w:val="FootnoteReference"/>
        </w:rPr>
        <w:footnoteRef/>
      </w:r>
      <w:r>
        <w:tab/>
        <w:t xml:space="preserve">Ir-Regolament (UE) 2024/1263 tal-Parlament Ewropew u tal-Kunsill tad-29 ta’ April 2024 dwar il-koordinazzjoni effettiva tal-politiki ekonomiċi u dwar is-sorveljanza baġitarja multilaterali u li jħassar ir-Regolament tal-Kunsill (KE) Nru 1466/97 (ĠU L, 2024/1263, 30.4.2024, ELI: http://data.europa.eu/eli/reg/2024/1263/oj). </w:t>
      </w:r>
    </w:p>
  </w:footnote>
  <w:footnote w:id="3">
    <w:p w14:paraId="6FC8EAFC" w14:textId="77777777" w:rsidR="00C3302E" w:rsidRDefault="00657240">
      <w:pPr>
        <w:pStyle w:val="FootnoteText"/>
      </w:pPr>
      <w:r>
        <w:rPr>
          <w:rStyle w:val="FootnoteReference"/>
        </w:rPr>
        <w:footnoteRef/>
      </w:r>
      <w:r>
        <w:tab/>
        <w:t>Ir-Regolament (UE) 1176/2011 tal-Parlament Ewropew u tal-Kunsill tas-16 ta' Novembru 2011 dwar il-prevenzjoni u l-korrezzjoni ta' żbilanċi makroekonomiċi (ĠU L 306, 23.11.2011, ELI: </w:t>
      </w:r>
      <w:hyperlink r:id="rId1" w:tgtFrame="_blank" w:history="1">
        <w:r>
          <w:rPr>
            <w:rStyle w:val="Hyperlink"/>
          </w:rPr>
          <w:t>http://data.europa.eu/eli/reg/2011/1176/oj</w:t>
        </w:r>
      </w:hyperlink>
      <w:r>
        <w:t>) </w:t>
      </w:r>
    </w:p>
  </w:footnote>
  <w:footnote w:id="4">
    <w:p w14:paraId="09EBC53A" w14:textId="77777777" w:rsidR="00C3302E" w:rsidRDefault="00657240">
      <w:pPr>
        <w:pStyle w:val="FootnoteText"/>
      </w:pPr>
      <w:r>
        <w:rPr>
          <w:rStyle w:val="FootnoteReference"/>
        </w:rPr>
        <w:footnoteRef/>
      </w:r>
      <w:bookmarkStart w:id="1" w:name="_Hlk228794505"/>
      <w:r>
        <w:tab/>
        <w:t>Il-Proposta għal Regolament tal-Parlament Ewropew u tal-Kunsill li jistabbilixxi l-Fond Ewropew għal koeżjoni ekonomika, soċjali u territorjali kif ukoll għall-agrikoltura u l-qasam rurali, għas-sajd u l-affarijiet marittimi, għall-prosperità u għas-sigurtà għall-perjodu 2028-2034 u li jemenda r-Regolament (UE) 2023/955 u r-Regolament (UE, Euratom) 2024/2509 - COM(2025)565 final. Ir-Regolament propost bħalissa huwa s-suġġett ta’ negozjati mal-koleġiżlaturi. </w:t>
      </w:r>
      <w:bookmarkEnd w:id="1"/>
    </w:p>
  </w:footnote>
  <w:footnote w:id="5">
    <w:p w14:paraId="34FA0954" w14:textId="77777777" w:rsidR="00C3302E" w:rsidRDefault="00657240">
      <w:pPr>
        <w:pStyle w:val="FootnoteText"/>
      </w:pPr>
      <w:r>
        <w:rPr>
          <w:rStyle w:val="FootnoteReference"/>
        </w:rPr>
        <w:footnoteRef/>
      </w:r>
      <w:r>
        <w:tab/>
        <w:t xml:space="preserve">ĠU C, C/2026/2434, 28.4.2026, ELI: </w:t>
      </w:r>
      <w:hyperlink r:id="rId2" w:history="1">
        <w:r>
          <w:rPr>
            <w:rStyle w:val="Hyperlink"/>
          </w:rPr>
          <w:t>http://data.europa.eu/eli/C/2026/2434/oj</w:t>
        </w:r>
      </w:hyperlink>
      <w:r>
        <w:t xml:space="preserve">. </w:t>
      </w:r>
    </w:p>
  </w:footnote>
  <w:footnote w:id="6">
    <w:p w14:paraId="7744AB63" w14:textId="77777777" w:rsidR="00C3302E" w:rsidRDefault="00657240">
      <w:pPr>
        <w:pStyle w:val="FootnoteText"/>
      </w:pPr>
      <w:r>
        <w:rPr>
          <w:rStyle w:val="FootnoteReference"/>
        </w:rPr>
        <w:footnoteRef/>
      </w:r>
      <w:r>
        <w:tab/>
      </w:r>
      <w:bookmarkStart w:id="2" w:name="_Hlk228795256"/>
      <w:r>
        <w:t>ĠU C, C/2026/2434, 28.4.2026, ELI: </w:t>
      </w:r>
      <w:hyperlink r:id="rId3" w:history="1">
        <w:r>
          <w:rPr>
            <w:rStyle w:val="Hyperlink"/>
          </w:rPr>
          <w:t>http://data.europa.eu/eli/C/2026/2434/oj</w:t>
        </w:r>
      </w:hyperlink>
      <w:bookmarkEnd w:id="2"/>
      <w:r>
        <w:t>.</w:t>
      </w:r>
    </w:p>
  </w:footnote>
  <w:footnote w:id="7">
    <w:p w14:paraId="206FE6EF" w14:textId="77777777" w:rsidR="00C3302E" w:rsidRDefault="00657240">
      <w:pPr>
        <w:pStyle w:val="FootnoteText"/>
      </w:pPr>
      <w:r>
        <w:rPr>
          <w:rStyle w:val="FootnoteReference"/>
        </w:rPr>
        <w:footnoteRef/>
      </w:r>
      <w:r>
        <w:tab/>
      </w:r>
      <w:bookmarkStart w:id="5" w:name="_Hlk228796042"/>
      <w:r>
        <w:t xml:space="preserve">Ir-Regolament (UE) 2021/241 tal-Parlament Ewropew u tal-Kunsill tat-12 ta’ Frar 2021 li jistabbilixxi l-Faċilità għall-Irkupru u r-Reżiljenza (ĠU L 57, 18.2.2021, p. 17, ELI: </w:t>
      </w:r>
      <w:hyperlink r:id="rId4" w:history="1">
        <w:r>
          <w:rPr>
            <w:rStyle w:val="Hyperlink"/>
          </w:rPr>
          <w:t>http://data.europa.eu/eli/reg/2021/241/oj</w:t>
        </w:r>
      </w:hyperlink>
      <w:r>
        <w:t>).</w:t>
      </w:r>
      <w:bookmarkEnd w:id="5"/>
      <w:r>
        <w:t xml:space="preserve"> </w:t>
      </w:r>
    </w:p>
  </w:footnote>
  <w:footnote w:id="8">
    <w:p w14:paraId="7FFB1CF0" w14:textId="77777777" w:rsidR="00C3302E" w:rsidRDefault="00657240">
      <w:pPr>
        <w:pStyle w:val="FootnoteText"/>
      </w:pPr>
      <w:r>
        <w:rPr>
          <w:rStyle w:val="FootnoteReference"/>
        </w:rPr>
        <w:footnoteRef/>
      </w:r>
      <w:r>
        <w:tab/>
        <w:t xml:space="preserve">Ir-Rakkomandazzjoni tal-Kunsill tal-20 ta’ Ġunju 2025 li tapprova l-pjan fiskali-strutturali fuq terminu medju tal-Belġju, (ĠU C, C/2025/3698, 20.08.2025, </w:t>
      </w:r>
      <w:bookmarkStart w:id="6" w:name="_Hlk211333329"/>
      <w:r>
        <w:t>ELI: </w:t>
      </w:r>
      <w:hyperlink r:id="rId5" w:history="1">
        <w:r>
          <w:rPr>
            <w:rStyle w:val="Hyperlink"/>
          </w:rPr>
          <w:t>http://data.europa.eu/eli/C/2025/3698/oj</w:t>
        </w:r>
      </w:hyperlink>
      <w:r>
        <w:t>).</w:t>
      </w:r>
      <w:bookmarkEnd w:id="6"/>
    </w:p>
  </w:footnote>
  <w:footnote w:id="9">
    <w:p w14:paraId="5F921347" w14:textId="77777777" w:rsidR="00C3302E" w:rsidRDefault="00657240">
      <w:pPr>
        <w:pStyle w:val="FootnoteText"/>
      </w:pPr>
      <w:r>
        <w:rPr>
          <w:rStyle w:val="FootnoteReference"/>
        </w:rPr>
        <w:footnoteRef/>
      </w:r>
      <w:r>
        <w:tab/>
        <w:t xml:space="preserve">Ir-Rakkomandazzjoni tal-Kunsill bil-għan li tintemm is-sitwazzjoni ta’ defiċit eċċessiv fil-Belġju, adottata fl-20 ta’ Ġunju 2025. Id-dokumenti kollha relatati mal-proċedura ta’ defiċit eċċessiv tal-Belġju jinsabu hawn: </w:t>
      </w:r>
      <w:hyperlink r:id="rId6" w:history="1">
        <w:r>
          <w:rPr>
            <w:rStyle w:val="Hyperlink"/>
          </w:rPr>
          <w:t>https://economy-finance.ec.europa.eu/economic-governance-framework/stability-and-growth-pact/corrective-arm-excessive-deficit-procedure/excessive-deficit-procedures-overview/Belgium_en</w:t>
        </w:r>
      </w:hyperlink>
      <w:r>
        <w:t>.</w:t>
      </w:r>
    </w:p>
  </w:footnote>
  <w:footnote w:id="10">
    <w:p w14:paraId="01FA80CF" w14:textId="77777777" w:rsidR="00C3302E" w:rsidRDefault="00657240">
      <w:pPr>
        <w:pStyle w:val="FootnoteText"/>
      </w:pPr>
      <w:r>
        <w:rPr>
          <w:rStyle w:val="FootnoteReference"/>
        </w:rPr>
        <w:footnoteRef/>
      </w:r>
      <w:r>
        <w:tab/>
        <w:t xml:space="preserve">Il-Komunikazzjoni tal-Kummissjoni lill-Parlament Ewropew, lill-Kunsill, lill-Bank Ċentrali Ewropew, lill-Kumitat Ekonomiku u Soċjali Ewropew, lill-Kumitat tar-Reġjuni u lill-Bank Ewropew tal-Investiment, Is-Semestru Ewropew 2026 – Il-Pakkett tar-Rebbiegħa, COM(2026)200 final. </w:t>
      </w:r>
    </w:p>
  </w:footnote>
  <w:footnote w:id="11">
    <w:p w14:paraId="022C3BE7" w14:textId="77777777" w:rsidR="00C3302E" w:rsidRDefault="00657240">
      <w:pPr>
        <w:pStyle w:val="FootnoteText"/>
      </w:pPr>
      <w:r>
        <w:rPr>
          <w:rStyle w:val="FootnoteReference"/>
        </w:rPr>
        <w:footnoteRef/>
      </w:r>
      <w:r>
        <w:tab/>
        <w:t xml:space="preserve"> Il-Komunikazzjoni tal-Kummissjoni ‘‘Nakkomodaw żieda fin-nefqa fid-difiża fil-Patt ta’ Stabbiltà u Tkabbir’’, Brussell, 19.3.2025, C(2025) 2000 final.</w:t>
      </w:r>
    </w:p>
  </w:footnote>
  <w:footnote w:id="12">
    <w:p w14:paraId="7602B0F5" w14:textId="77777777" w:rsidR="00C3302E" w:rsidRDefault="00657240">
      <w:pPr>
        <w:pStyle w:val="FootnoteText"/>
      </w:pPr>
      <w:r>
        <w:rPr>
          <w:rStyle w:val="FootnoteReference"/>
        </w:rPr>
        <w:footnoteRef/>
      </w:r>
      <w:r>
        <w:tab/>
        <w:t xml:space="preserve"> Ir-Rakkomandazzjoni tal-Kunsill tat-8 ta’ Lulju 2025 li tippermetti lill-Belġju jiddevja mir-rati massimi ta’ tkabbir tan-nefqa netta kif stabbiliti mill-Kunsill skont ir-Regolament (UE) 2024/1263 (Attivazzjoni tal-klawżola liberatorja nazzjonali) (ĠU C, C/2025/3960, 20.8.2025, ELI: </w:t>
      </w:r>
      <w:hyperlink r:id="rId7" w:history="1">
        <w:r>
          <w:rPr>
            <w:rStyle w:val="Hyperlink"/>
          </w:rPr>
          <w:t>http://data.europa.eu/eli/C/2025/3960/oj</w:t>
        </w:r>
      </w:hyperlink>
      <w:r>
        <w:t>).</w:t>
      </w:r>
    </w:p>
  </w:footnote>
  <w:footnote w:id="13">
    <w:p w14:paraId="604BA600" w14:textId="77777777" w:rsidR="00C3302E" w:rsidRDefault="00657240">
      <w:pPr>
        <w:pStyle w:val="FootnoteText"/>
        <w:ind w:left="709" w:hanging="709"/>
      </w:pPr>
      <w:r>
        <w:rPr>
          <w:rStyle w:val="FootnoteReference"/>
        </w:rPr>
        <w:footnoteRef/>
      </w:r>
      <w:r>
        <w:tab/>
      </w:r>
      <w:r>
        <w:tab/>
        <w:t xml:space="preserve">Ir-Rapporti ta’ Progress Annwali tal-2026 huma disponibbli fuq: </w:t>
      </w:r>
      <w:hyperlink r:id="rId8" w:history="1">
        <w:r>
          <w:rPr>
            <w:rStyle w:val="Hyperlink"/>
          </w:rPr>
          <w:t>https://economy-finance.ec.europa.eu/economic-and-fiscal-governance/stability-and-growth-pact/preventive-arm/annual-progress-reports_mt</w:t>
        </w:r>
      </w:hyperlink>
      <w:r>
        <w:t xml:space="preserve"> </w:t>
      </w:r>
    </w:p>
  </w:footnote>
  <w:footnote w:id="14">
    <w:p w14:paraId="512C4210" w14:textId="77777777" w:rsidR="00C3302E" w:rsidRDefault="00657240">
      <w:pPr>
        <w:pStyle w:val="FootnoteText"/>
      </w:pPr>
      <w:r>
        <w:rPr>
          <w:rStyle w:val="FootnoteReference"/>
        </w:rPr>
        <w:footnoteRef/>
      </w:r>
      <w:r>
        <w:tab/>
        <w:t xml:space="preserve"> L-Indikaturi tal-euro tal-Eurostat tat-22 ta’ April 2026.</w:t>
      </w:r>
    </w:p>
  </w:footnote>
  <w:footnote w:id="15">
    <w:p w14:paraId="29EF4784" w14:textId="77777777" w:rsidR="00C3302E" w:rsidRDefault="00657240">
      <w:pPr>
        <w:pStyle w:val="FootnoteText"/>
      </w:pPr>
      <w:r>
        <w:rPr>
          <w:rStyle w:val="FootnoteReference"/>
        </w:rPr>
        <w:footnoteRef/>
      </w:r>
      <w:r>
        <w:tab/>
        <w:t xml:space="preserve"> Il-pożizzjoni fiskali hija definita bħala kejl tal-bidla annwali fil-pożizzjoni baġitarja sottostanti tal-gvern estiż. Din għandha l-għan li tivvaluta l-impuls ekonomiku li jirriżulta mill-politiki fiskali, kemm dawk li huma ffinanzjati fil-livell nazzjonali kif ukoll dawk li huma ffinanzjati mill-baġit tal-UE. Il-pożizzjoni fiskali titkejjel bħala d-differenza bejn (i) it-tkabbir potenzjali fuq terminu medju u (ii) il-bidla fin-nefqa primarja netta mill-miżuri tad-dħul diskrezzjonali u inkluża n-nefqa ffinanzjata minn appoġġ mhux ripagabbli (għotjiet) mill-Faċilità għall-Irkupru u r-Reżiljenza u minn fondi oħra tal-Unjoni.</w:t>
      </w:r>
    </w:p>
  </w:footnote>
  <w:footnote w:id="16">
    <w:p w14:paraId="5B97556A" w14:textId="77777777" w:rsidR="00C3302E" w:rsidRDefault="00657240">
      <w:pPr>
        <w:pStyle w:val="FootnoteText"/>
      </w:pPr>
      <w:r>
        <w:rPr>
          <w:rStyle w:val="FootnoteReference"/>
        </w:rPr>
        <w:footnoteRef/>
      </w:r>
      <w:r>
        <w:tab/>
        <w:t xml:space="preserve"> L-Indikaturi tal-euro tal-Eurostat tat-22 ta’ April 2026.</w:t>
      </w:r>
    </w:p>
  </w:footnote>
  <w:footnote w:id="17">
    <w:p w14:paraId="57B4A1C4" w14:textId="77777777" w:rsidR="00C3302E" w:rsidRDefault="00657240">
      <w:pPr>
        <w:pStyle w:val="FootnoteText"/>
      </w:pPr>
      <w:r>
        <w:rPr>
          <w:rStyle w:val="FootnoteReference"/>
        </w:rPr>
        <w:footnoteRef/>
      </w:r>
      <w:r>
        <w:tab/>
        <w:t xml:space="preserve"> Eurostat, nefqa tal-gvern skont il-klassifikazzjoni tal-funzjonijiet tal-gvern (COFOG).</w:t>
      </w:r>
    </w:p>
  </w:footnote>
  <w:footnote w:id="18">
    <w:p w14:paraId="47AEC960" w14:textId="77777777" w:rsidR="00C3302E" w:rsidRDefault="00657240">
      <w:pPr>
        <w:pStyle w:val="FootnoteText"/>
      </w:pPr>
      <w:r>
        <w:rPr>
          <w:rStyle w:val="FootnoteReference"/>
        </w:rPr>
        <w:footnoteRef/>
      </w:r>
      <w:r>
        <w:tab/>
        <w:t xml:space="preserve"> Dan jirrifletti s-sitwazzjoni fid-data limitu tat-Tbassir tar-Rebbiegħa 2026 tal-Kummissjoni (L-4 ta’ Mejju 2026).</w:t>
      </w:r>
    </w:p>
  </w:footnote>
  <w:footnote w:id="19">
    <w:p w14:paraId="1770344E" w14:textId="77777777" w:rsidR="00C3302E" w:rsidRDefault="00657240">
      <w:pPr>
        <w:pStyle w:val="FootnoteText"/>
      </w:pPr>
      <w:r>
        <w:rPr>
          <w:rStyle w:val="FootnoteReference"/>
        </w:rPr>
        <w:footnoteRef/>
      </w:r>
      <w:r>
        <w:tab/>
        <w:t xml:space="preserve"> Il-Komunikazzjoni tal-Kummissjoni lill-Parlament Ewropew, lill-Kunsill, lill-Bank Ċentrali Ewropew, lill-Kumitat Ekonomiku u Soċjali Ewropew, lill-Kumitat tar-Reġjuni u lill-Bank Ewropew tal-Investiment, Is-Semestru Ewropew 2026 – Il-Pakkett tar-Rebbiegħa, COM(2026)200 final.</w:t>
      </w:r>
    </w:p>
  </w:footnote>
  <w:footnote w:id="20">
    <w:p w14:paraId="4693524D" w14:textId="77777777" w:rsidR="00C3302E" w:rsidRDefault="00657240">
      <w:pPr>
        <w:pStyle w:val="FootnoteText"/>
      </w:pPr>
      <w:r>
        <w:rPr>
          <w:rStyle w:val="FootnoteReference"/>
        </w:rPr>
        <w:footnoteRef/>
      </w:r>
      <w:r>
        <w:tab/>
        <w:t xml:space="preserve"> Il-Kummissjoni Ewropea u l-Kumitat tal-Politika Ekonomika, Rapport dwar it-Tixjiħ 2024, disponibbli fuq: </w:t>
      </w:r>
      <w:hyperlink r:id="rId9" w:history="1">
        <w:r>
          <w:rPr>
            <w:rStyle w:val="Hyperlink"/>
          </w:rPr>
          <w:t>https://economy-finance.ec.europa.eu/publications/2024-ageing-report-economic-andbudgetary-projections-eu-member-states-2022-2070_en</w:t>
        </w:r>
      </w:hyperlink>
      <w:r>
        <w:t>.</w:t>
      </w:r>
    </w:p>
  </w:footnote>
  <w:footnote w:id="21">
    <w:p w14:paraId="1CC93622" w14:textId="77777777" w:rsidR="00C3302E" w:rsidRDefault="00657240">
      <w:pPr>
        <w:pStyle w:val="FootnoteText"/>
      </w:pPr>
      <w:r>
        <w:rPr>
          <w:rStyle w:val="FootnoteReference"/>
        </w:rPr>
        <w:footnoteRef/>
      </w:r>
      <w:r>
        <w:tab/>
        <w:t xml:space="preserve"> Ir-Regolament (UE) 2025/1914 tal-Parlament Ewropew u tal-Kunsill tat-18 ta’ Settembru 2025 li jemenda r-Regolamenti (UE) 2021/1058 u (UE) 2021/1056 fir-rigward ta’ miżuri speċifiċi sabiex jiġu indirizzati sfidi strateġiċi fil-kuntest tar-rieżami ta’ nofs it-terminu</w:t>
      </w:r>
    </w:p>
  </w:footnote>
  <w:footnote w:id="22">
    <w:p w14:paraId="6E2E67E0" w14:textId="77777777" w:rsidR="00C3302E" w:rsidRDefault="00657240">
      <w:pPr>
        <w:pStyle w:val="FootnoteText"/>
      </w:pPr>
      <w:r>
        <w:rPr>
          <w:rStyle w:val="FootnoteReference"/>
        </w:rPr>
        <w:footnoteRef/>
      </w:r>
      <w:r>
        <w:tab/>
        <w:t xml:space="preserve"> Il-Bank Nazzjonali tal-Belġju, Indikaturi tat-tabella ta’ valutazzjoni tal-kompetittività, rapport tal-2024.</w:t>
      </w:r>
    </w:p>
  </w:footnote>
  <w:footnote w:id="23">
    <w:p w14:paraId="0553FF0E" w14:textId="77777777" w:rsidR="00C3302E" w:rsidRDefault="00657240">
      <w:pPr>
        <w:pStyle w:val="FootnoteText"/>
      </w:pPr>
      <w:r>
        <w:rPr>
          <w:rStyle w:val="FootnoteReference"/>
        </w:rPr>
        <w:footnoteRef/>
      </w:r>
      <w:r>
        <w:tab/>
      </w:r>
      <w:hyperlink r:id="rId10" w:history="1">
        <w:r>
          <w:rPr>
            <w:rStyle w:val="Hyperlink"/>
          </w:rPr>
          <w:t>Bijnens, G. (2025) Tkebbis mill-ġdid tat-tkabbir:</w:t>
        </w:r>
      </w:hyperlink>
      <w:hyperlink r:id="rId11" w:history="1">
        <w:r>
          <w:rPr>
            <w:rStyle w:val="Hyperlink"/>
          </w:rPr>
          <w:t>xejriet u sfidi għad-dinamiżmu tan-negozju fil-Belġju.</w:t>
        </w:r>
      </w:hyperlink>
      <w:hyperlink r:id="rId12" w:history="1">
        <w:r>
          <w:rPr>
            <w:rStyle w:val="Hyperlink"/>
          </w:rPr>
          <w:t>Reviżjoni Ekonomika tal-NBB</w:t>
        </w:r>
      </w:hyperlink>
    </w:p>
  </w:footnote>
  <w:footnote w:id="24">
    <w:p w14:paraId="026C672C" w14:textId="77777777" w:rsidR="00C3302E" w:rsidRDefault="00657240">
      <w:pPr>
        <w:pStyle w:val="FootnoteText"/>
      </w:pPr>
      <w:r>
        <w:rPr>
          <w:rStyle w:val="FootnoteReference"/>
        </w:rPr>
        <w:footnoteRef/>
      </w:r>
      <w:r>
        <w:tab/>
        <w:t xml:space="preserve"> Inċentivi tat-Taxxa għar-R&amp;Ż tal-OECD (2021a): Il-Belġju, 2020 Schoonackers, R. (2020) Inċentivi tat-taxxa għar-R&amp;Ż: Huma effettivi? Analiżi Ekonomika tal-NBB u OECD (2024), Stħarriġ Ekonomiku tal-OECD: Il-Belġju 2024.</w:t>
      </w:r>
    </w:p>
  </w:footnote>
  <w:footnote w:id="25">
    <w:p w14:paraId="13BEC779" w14:textId="77777777" w:rsidR="00C3302E" w:rsidRDefault="00657240">
      <w:pPr>
        <w:pStyle w:val="FootnoteText"/>
      </w:pPr>
      <w:r>
        <w:rPr>
          <w:rStyle w:val="FootnoteReference"/>
        </w:rPr>
        <w:footnoteRef/>
      </w:r>
      <w:r>
        <w:tab/>
        <w:t xml:space="preserve"> It-taxxi u l-imposti jkopru t-taxxi fuq il-valur miżjud, id-dazji tas-sisa, il-kontribuzzjoni federali għall-enerġija, is-soprataxxa lil hinn mill-kosta, l-imposti marbuta mas-sigurtà tal-provvista u l-mekkaniżmi ta’ kapaċità, iċ-ċertifikati ekoloġiċi, l-imposti fuq is-CHP, l-imposti fuq l-obbligu ta’ servizz pubbliku, l-imposti fuq l-appoġġ għall-enerġija rinnovabbli, il-finanzjament tat-tariffi soċjali, il-kostijiet tal-oblitazzjoni tal-effiċjenza enerġetika.</w:t>
      </w:r>
    </w:p>
  </w:footnote>
  <w:footnote w:id="26">
    <w:p w14:paraId="18F72130" w14:textId="77777777" w:rsidR="00C3302E" w:rsidRDefault="00657240">
      <w:pPr>
        <w:pStyle w:val="FootnoteText"/>
      </w:pPr>
      <w:r>
        <w:rPr>
          <w:rStyle w:val="FootnoteReference"/>
        </w:rPr>
        <w:footnoteRef/>
      </w:r>
      <w:r>
        <w:tab/>
        <w:t xml:space="preserve"> Ċifri dwar it-trasport fl-UE: Ktejjeb tal-istatistika, 2024.</w:t>
      </w:r>
    </w:p>
  </w:footnote>
  <w:footnote w:id="27">
    <w:p w14:paraId="5BC0E9B4" w14:textId="77777777" w:rsidR="00C3302E" w:rsidRDefault="00657240">
      <w:pPr>
        <w:pStyle w:val="FootnoteText"/>
      </w:pPr>
      <w:r>
        <w:rPr>
          <w:rStyle w:val="FootnoteReference"/>
        </w:rPr>
        <w:footnoteRef/>
      </w:r>
      <w:r>
        <w:tab/>
        <w:t xml:space="preserve"> FPS Finance (2024), Inventarju tas-sussidji federali għall-fjuwils fossili.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C69B0" w14:textId="77777777" w:rsidR="00622DF4" w:rsidRDefault="00622D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C842C0" w14:textId="77777777" w:rsidR="00622DF4" w:rsidRDefault="00622D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CC544AD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130616B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294A66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265E2C6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5DCC83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85BE44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C6FC6AC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BA674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22"/>
    <w:lvlOverride w:ilvl="0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12"/>
  </w:num>
  <w:num w:numId="13">
    <w:abstractNumId w:val="21"/>
  </w:num>
  <w:num w:numId="14">
    <w:abstractNumId w:val="11"/>
  </w:num>
  <w:num w:numId="15">
    <w:abstractNumId w:val="13"/>
  </w:num>
  <w:num w:numId="16">
    <w:abstractNumId w:val="14"/>
  </w:num>
  <w:num w:numId="17">
    <w:abstractNumId w:val="9"/>
  </w:num>
  <w:num w:numId="18">
    <w:abstractNumId w:val="20"/>
  </w:num>
  <w:num w:numId="19">
    <w:abstractNumId w:val="8"/>
  </w:num>
  <w:num w:numId="20">
    <w:abstractNumId w:val="15"/>
  </w:num>
  <w:num w:numId="21">
    <w:abstractNumId w:val="17"/>
  </w:num>
  <w:num w:numId="22">
    <w:abstractNumId w:val="18"/>
  </w:num>
  <w:num w:numId="23">
    <w:abstractNumId w:val="10"/>
  </w:num>
  <w:num w:numId="24">
    <w:abstractNumId w:val="16"/>
  </w:num>
  <w:num w:numId="25">
    <w:abstractNumId w:val="22"/>
  </w:num>
  <w:num w:numId="26">
    <w:abstractNumId w:val="19"/>
  </w:num>
  <w:num w:numId="27">
    <w:abstractNumId w:val="12"/>
  </w:num>
  <w:num w:numId="28">
    <w:abstractNumId w:val="21"/>
  </w:num>
  <w:num w:numId="29">
    <w:abstractNumId w:val="11"/>
  </w:num>
  <w:num w:numId="30">
    <w:abstractNumId w:val="13"/>
  </w:num>
  <w:num w:numId="31">
    <w:abstractNumId w:val="14"/>
  </w:num>
  <w:num w:numId="32">
    <w:abstractNumId w:val="9"/>
  </w:num>
  <w:num w:numId="33">
    <w:abstractNumId w:val="20"/>
  </w:num>
  <w:num w:numId="34">
    <w:abstractNumId w:val="8"/>
  </w:num>
  <w:num w:numId="35">
    <w:abstractNumId w:val="15"/>
  </w:num>
  <w:num w:numId="36">
    <w:abstractNumId w:val="17"/>
  </w:num>
  <w:num w:numId="37">
    <w:abstractNumId w:val="18"/>
  </w:num>
  <w:num w:numId="38">
    <w:abstractNumId w:val="10"/>
  </w:num>
  <w:num w:numId="39">
    <w:abstractNumId w:val="16"/>
  </w:num>
  <w:num w:numId="40">
    <w:abstractNumId w:val="2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movePersonalInformation/>
  <w:removeDateAndTime/>
  <w:hideSpellingErrors/>
  <w:hideGrammaticalErrors/>
  <w:activeWritingStyle w:appName="MSWord" w:lang="pt-PT" w:vendorID="64" w:dllVersion="0" w:nlCheck="1" w:checkStyle="0"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fi-FI" w:vendorID="64" w:dllVersion="0" w:nlCheck="1" w:checkStyle="0"/>
  <w:activeWritingStyle w:appName="MSWord" w:lang="en-US" w:vendorID="64" w:dllVersion="0" w:nlCheck="1" w:checkStyle="0"/>
  <w:activeWritingStyle w:appName="MSWord" w:lang="pl-PL" w:vendorID="64" w:dllVersion="0" w:nlCheck="1" w:checkStyle="0"/>
  <w:attachedTemplate r:id="rId1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QCDateTime" w:val="2026-06-10 16:01:33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EPKit_DocumentHasBeenSaved" w:val="true"/>
    <w:docVar w:name="LW_CORRIGENDUM" w:val="&lt;UNUSED&gt;"/>
    <w:docVar w:name="LW_COVERPAGE_EXISTS" w:val="True"/>
    <w:docVar w:name="LW_COVERPAGE_GUID" w:val="1B6A681B-18FF-435F-AEF9-94D6D311EDCF"/>
    <w:docVar w:name="LW_COVERPAGE_TYPE" w:val="1"/>
    <w:docVar w:name="LW_CROSSREFERENCE" w:val="{SWD(2026) 200 final} - {SWD(2026) 201 final}"/>
    <w:docVar w:name="LW_DocType" w:val="COM"/>
    <w:docVar w:name="LW_EMISSION" w:val="3.6.2026"/>
    <w:docVar w:name="LW_EMISSION_ISODATE" w:val="2026-06-03"/>
    <w:docVar w:name="LW_EMISSION_LOCATION" w:val="BRX"/>
    <w:docVar w:name="LW_EMISSION_PREFIX" w:val="Brussell, "/>
    <w:docVar w:name="LW_EMISSION_SUFFIX" w:val=" "/>
    <w:docVar w:name="LW_ID_DOCMODEL" w:val="SG-002"/>
    <w:docVar w:name="LW_ID_DOCSIGNATURE" w:val="SG-002"/>
    <w:docVar w:name="LW_ID_DOCSTRUCTURE" w:val="COM/PL/ORG/NOEEA"/>
    <w:docVar w:name="LW_ID_DOCTYPE" w:val="SG-002"/>
    <w:docVar w:name="LW_ID_EXP.MOTIFS.NEW" w:val="EM_PL_"/>
    <w:docVar w:name="LW_ID_STATUT" w:val="SG-002"/>
    <w:docVar w:name="LW_LANGUE" w:val="MT"/>
    <w:docVar w:name="LW_LEVEL_OF_SENSITIVITY" w:val="Standard treatment"/>
    <w:docVar w:name="LW_NOM.INST" w:val="IL-KUMMISSJONI EWROPEA"/>
    <w:docVar w:name="LW_NOM.INST_JOINTDOC" w:val="&lt;EMPTY&gt;"/>
    <w:docVar w:name="LW_PART_NBR" w:val="1"/>
    <w:docVar w:name="LW_PART_NBR_TOTAL" w:val="1"/>
    <w:docVar w:name="LW_REF.II.NEW.CP" w:val="&lt;UNUSED&gt;"/>
    <w:docVar w:name="LW_REF.II.NEW.CP_NUMBER" w:val="&lt;UNUSED&gt;"/>
    <w:docVar w:name="LW_REF.II.NEW.CP_YEAR" w:val="2026"/>
    <w:docVar w:name="LW_REF.INST.NEW" w:val="COM"/>
    <w:docVar w:name="LW_REF.INST.NEW_ADOPTED" w:val="final"/>
    <w:docVar w:name="LW_REF.INST.NEW_TEXT" w:val="(2026) 201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TATUT.CP" w:val="Rakkomandazzjoni g\u295?al"/>
    <w:docVar w:name="LW_SUPERTITRE" w:val="&lt;UNUSED&gt;"/>
    <w:docVar w:name="LW_TITRE.OBJ.CP" w:val="dwar il-politiki ekonomi\u267?i, so\u267?jali, tal-impjiegi, strutturali u ba\u289?itarji tal-Bel\u289?ju"/>
    <w:docVar w:name="LW_TYPE.DOC.CP" w:val="RAKKOMANDAZZJONI TAL-KUNSILL"/>
    <w:docVar w:name="LwApiVersions" w:val="LW4CoDe 1.24.5.0; LW 9.2, Build 20251112"/>
  </w:docVars>
  <w:rsids>
    <w:rsidRoot w:val="00C3302E"/>
    <w:rsid w:val="000A1960"/>
    <w:rsid w:val="00102141"/>
    <w:rsid w:val="00267119"/>
    <w:rsid w:val="00273B23"/>
    <w:rsid w:val="00293770"/>
    <w:rsid w:val="002C7026"/>
    <w:rsid w:val="00452F51"/>
    <w:rsid w:val="004F3518"/>
    <w:rsid w:val="005B4FC3"/>
    <w:rsid w:val="006066B4"/>
    <w:rsid w:val="00622DF4"/>
    <w:rsid w:val="00657240"/>
    <w:rsid w:val="00853266"/>
    <w:rsid w:val="009F1472"/>
    <w:rsid w:val="00A61149"/>
    <w:rsid w:val="00B101BB"/>
    <w:rsid w:val="00BA59FC"/>
    <w:rsid w:val="00C3302E"/>
    <w:rsid w:val="00C628A9"/>
    <w:rsid w:val="00D46A8F"/>
    <w:rsid w:val="00DE63C2"/>
    <w:rsid w:val="00E9522D"/>
    <w:rsid w:val="00F25DAB"/>
    <w:rsid w:val="00F565E6"/>
    <w:rsid w:val="00F6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56C2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mt-MT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3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3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3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3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33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33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33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Number">
    <w:name w:val="List Number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 w:cs="Times New Roman"/>
      <w:sz w:val="20"/>
      <w:szCs w:val="20"/>
      <w:lang w:val="mt-MT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mt-M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spacing w:before="0" w:after="200" w:line="276" w:lineRule="auto"/>
      <w:ind w:left="720"/>
      <w:contextualSpacing/>
      <w:jc w:val="left"/>
    </w:pPr>
    <w:rPr>
      <w:rFonts w:asciiTheme="minorHAnsi" w:hAnsiTheme="minorHAnsi" w:cstheme="minorBidi"/>
      <w:sz w:val="22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</w:rPr>
  </w:style>
  <w:style w:type="character" w:customStyle="1" w:styleId="Mention">
    <w:name w:val="Mention"/>
    <w:basedOn w:val="DefaultParagraphFont"/>
    <w:uiPriority w:val="99"/>
    <w:unhideWhenUsed/>
    <w:rPr>
      <w:color w:val="2B579A"/>
      <w:shd w:val="clear" w:color="auto" w:fill="E1DFDD"/>
    </w:rPr>
  </w:style>
  <w:style w:type="character" w:customStyle="1" w:styleId="cf01">
    <w:name w:val="cf01"/>
    <w:basedOn w:val="DefaultParagraphFont"/>
    <w:rPr>
      <w:rFonts w:ascii="Segoe UI" w:hAnsi="Segoe UI" w:cs="Segoe UI" w:hint="defaul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  <w:jc w:val="left"/>
    </w:pPr>
    <w:rPr>
      <w:rFonts w:eastAsia="Times New Roman"/>
      <w:szCs w:val="24"/>
      <w:lang w:eastAsia="en-I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link w:val="FootnoteReference"/>
    <w:uiPriority w:val="99"/>
    <w:pPr>
      <w:spacing w:before="0" w:after="160" w:line="240" w:lineRule="exact"/>
    </w:pPr>
    <w:rPr>
      <w:rFonts w:asciiTheme="minorHAnsi" w:hAnsiTheme="minorHAnsi" w:cstheme="minorBidi"/>
      <w:sz w:val="22"/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622DF4"/>
    <w:rPr>
      <w:rFonts w:ascii="Times New Roman" w:hAnsi="Times New Roman" w:cs="Times New Roman"/>
      <w:sz w:val="24"/>
      <w:lang w:val="mt-MT"/>
    </w:rPr>
  </w:style>
  <w:style w:type="character" w:customStyle="1" w:styleId="FooterChar">
    <w:name w:val="Footer Char"/>
    <w:basedOn w:val="DefaultParagraphFont"/>
    <w:link w:val="Footer"/>
    <w:uiPriority w:val="99"/>
    <w:rsid w:val="00622DF4"/>
    <w:rPr>
      <w:rFonts w:ascii="Times New Roman" w:hAnsi="Times New Roman" w:cs="Times New Roman"/>
      <w:sz w:val="24"/>
      <w:lang w:val="mt-M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link w:val="FootnotesymbolCarZchn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622DF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622DF4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622DF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26"/>
      </w:numPr>
    </w:pPr>
  </w:style>
  <w:style w:type="paragraph" w:customStyle="1" w:styleId="Tiret1">
    <w:name w:val="Tiret 1"/>
    <w:basedOn w:val="Point1"/>
    <w:pPr>
      <w:numPr>
        <w:numId w:val="27"/>
      </w:numPr>
    </w:pPr>
  </w:style>
  <w:style w:type="paragraph" w:customStyle="1" w:styleId="Tiret2">
    <w:name w:val="Tiret 2"/>
    <w:basedOn w:val="Point2"/>
    <w:pPr>
      <w:numPr>
        <w:numId w:val="28"/>
      </w:numPr>
    </w:pPr>
  </w:style>
  <w:style w:type="paragraph" w:customStyle="1" w:styleId="Tiret3">
    <w:name w:val="Tiret 3"/>
    <w:basedOn w:val="Point3"/>
    <w:pPr>
      <w:numPr>
        <w:numId w:val="29"/>
      </w:numPr>
    </w:pPr>
  </w:style>
  <w:style w:type="paragraph" w:customStyle="1" w:styleId="Tiret4">
    <w:name w:val="Tiret 4"/>
    <w:basedOn w:val="Point4"/>
    <w:pPr>
      <w:numPr>
        <w:numId w:val="30"/>
      </w:numPr>
    </w:pPr>
  </w:style>
  <w:style w:type="paragraph" w:customStyle="1" w:styleId="Tiret5">
    <w:name w:val="Tiret 5"/>
    <w:basedOn w:val="Point5"/>
    <w:pPr>
      <w:numPr>
        <w:numId w:val="31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2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2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2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2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32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32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32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4"/>
      </w:numPr>
    </w:pPr>
  </w:style>
  <w:style w:type="paragraph" w:customStyle="1" w:styleId="Point1number">
    <w:name w:val="Point 1 (number)"/>
    <w:basedOn w:val="Normal"/>
    <w:pPr>
      <w:numPr>
        <w:ilvl w:val="2"/>
        <w:numId w:val="34"/>
      </w:numPr>
    </w:pPr>
  </w:style>
  <w:style w:type="paragraph" w:customStyle="1" w:styleId="Point2number">
    <w:name w:val="Point 2 (number)"/>
    <w:basedOn w:val="Normal"/>
    <w:pPr>
      <w:numPr>
        <w:ilvl w:val="4"/>
        <w:numId w:val="34"/>
      </w:numPr>
    </w:pPr>
  </w:style>
  <w:style w:type="paragraph" w:customStyle="1" w:styleId="Point3number">
    <w:name w:val="Point 3 (number)"/>
    <w:basedOn w:val="Normal"/>
    <w:pPr>
      <w:numPr>
        <w:ilvl w:val="6"/>
        <w:numId w:val="34"/>
      </w:numPr>
    </w:pPr>
  </w:style>
  <w:style w:type="paragraph" w:customStyle="1" w:styleId="Point0letter">
    <w:name w:val="Point 0 (letter)"/>
    <w:basedOn w:val="Normal"/>
    <w:pPr>
      <w:numPr>
        <w:ilvl w:val="1"/>
        <w:numId w:val="34"/>
      </w:numPr>
    </w:pPr>
  </w:style>
  <w:style w:type="paragraph" w:customStyle="1" w:styleId="Point1letter">
    <w:name w:val="Point 1 (letter)"/>
    <w:basedOn w:val="Normal"/>
    <w:pPr>
      <w:numPr>
        <w:ilvl w:val="3"/>
        <w:numId w:val="34"/>
      </w:numPr>
    </w:pPr>
  </w:style>
  <w:style w:type="paragraph" w:customStyle="1" w:styleId="Point2letter">
    <w:name w:val="Point 2 (letter)"/>
    <w:basedOn w:val="Normal"/>
    <w:pPr>
      <w:numPr>
        <w:ilvl w:val="5"/>
        <w:numId w:val="34"/>
      </w:numPr>
    </w:pPr>
  </w:style>
  <w:style w:type="paragraph" w:customStyle="1" w:styleId="Point3letter">
    <w:name w:val="Point 3 (letter)"/>
    <w:basedOn w:val="Normal"/>
    <w:pPr>
      <w:numPr>
        <w:ilvl w:val="7"/>
        <w:numId w:val="34"/>
      </w:numPr>
    </w:pPr>
  </w:style>
  <w:style w:type="paragraph" w:customStyle="1" w:styleId="Point4letter">
    <w:name w:val="Point 4 (letter)"/>
    <w:basedOn w:val="Normal"/>
    <w:pPr>
      <w:numPr>
        <w:ilvl w:val="8"/>
        <w:numId w:val="34"/>
      </w:numPr>
    </w:pPr>
  </w:style>
  <w:style w:type="paragraph" w:customStyle="1" w:styleId="Bullet0">
    <w:name w:val="Bullet 0"/>
    <w:basedOn w:val="Normal"/>
    <w:pPr>
      <w:numPr>
        <w:numId w:val="35"/>
      </w:numPr>
    </w:pPr>
  </w:style>
  <w:style w:type="paragraph" w:customStyle="1" w:styleId="Bullet1">
    <w:name w:val="Bullet 1"/>
    <w:basedOn w:val="Normal"/>
    <w:pPr>
      <w:numPr>
        <w:numId w:val="36"/>
      </w:numPr>
    </w:pPr>
  </w:style>
  <w:style w:type="paragraph" w:customStyle="1" w:styleId="Bullet2">
    <w:name w:val="Bullet 2"/>
    <w:basedOn w:val="Normal"/>
    <w:pPr>
      <w:numPr>
        <w:numId w:val="37"/>
      </w:numPr>
    </w:pPr>
  </w:style>
  <w:style w:type="paragraph" w:customStyle="1" w:styleId="Bullet3">
    <w:name w:val="Bullet 3"/>
    <w:basedOn w:val="Normal"/>
    <w:pPr>
      <w:numPr>
        <w:numId w:val="38"/>
      </w:numPr>
    </w:pPr>
  </w:style>
  <w:style w:type="paragraph" w:customStyle="1" w:styleId="Bullet4">
    <w:name w:val="Bullet 4"/>
    <w:basedOn w:val="Normal"/>
    <w:pPr>
      <w:numPr>
        <w:numId w:val="39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40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E664ED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664ED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664ED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664ED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622DF4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622DF4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622DF4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622DF4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7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77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1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2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5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conomy-finance.ec.europa.eu/economic-and-fiscal-governance/stability-and-growth-pact/preventive-arm/annual-progress-reports_mt" TargetMode="External"/><Relationship Id="rId3" Type="http://schemas.openxmlformats.org/officeDocument/2006/relationships/hyperlink" Target="http://data.europa.eu/eli/C/2026/2434/oj" TargetMode="External"/><Relationship Id="rId7" Type="http://schemas.openxmlformats.org/officeDocument/2006/relationships/hyperlink" Target="http://data.europa.eu/eli/C/2025/3960/oj" TargetMode="External"/><Relationship Id="rId12" Type="http://schemas.openxmlformats.org/officeDocument/2006/relationships/hyperlink" Target="https://www.nbb.be/en/media/23379" TargetMode="External"/><Relationship Id="rId2" Type="http://schemas.openxmlformats.org/officeDocument/2006/relationships/hyperlink" Target="http://data.europa.eu/eli/C/2026/2434/oj" TargetMode="External"/><Relationship Id="rId1" Type="http://schemas.openxmlformats.org/officeDocument/2006/relationships/hyperlink" Target="http://data.europa.eu/eli/reg/2011/1176/oj" TargetMode="External"/><Relationship Id="rId6" Type="http://schemas.openxmlformats.org/officeDocument/2006/relationships/hyperlink" Target="https://economy-finance.ec.europa.eu/economic-governance-framework/stability-and-growth-pact/corrective-arm-excessive-deficit-procedure/excessive-deficit-procedures-overview/Belgium_en" TargetMode="External"/><Relationship Id="rId11" Type="http://schemas.openxmlformats.org/officeDocument/2006/relationships/hyperlink" Target="https://www.nbb.be/en/media/23379" TargetMode="External"/><Relationship Id="rId5" Type="http://schemas.openxmlformats.org/officeDocument/2006/relationships/hyperlink" Target="http://data.europa.eu/eli/C/2025/3698/oj" TargetMode="External"/><Relationship Id="rId10" Type="http://schemas.openxmlformats.org/officeDocument/2006/relationships/hyperlink" Target="https://www.nbb.be/en/media/23379" TargetMode="External"/><Relationship Id="rId4" Type="http://schemas.openxmlformats.org/officeDocument/2006/relationships/hyperlink" Target="http://data.europa.eu/eli/reg/2021/241/oj" TargetMode="External"/><Relationship Id="rId9" Type="http://schemas.openxmlformats.org/officeDocument/2006/relationships/hyperlink" Target="https://economy-finance.ec.europa.eu/publications/2024-ageing-report-economic-andbudgetary-projections-eu-member-states-2022-2070_en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396FF-D851-4D9C-9E23-47417FD78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0</TotalTime>
  <Pages>13</Pages>
  <Words>5937</Words>
  <Characters>33844</Characters>
  <Application>Microsoft Office Word</Application>
  <DocSecurity>0</DocSecurity>
  <Lines>282</Lines>
  <Paragraphs>79</Paragraphs>
  <ScaleCrop>false</ScaleCrop>
  <Manager/>
  <Company/>
  <LinksUpToDate>false</LinksUpToDate>
  <CharactersWithSpaces>39702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2026-05-29T12:57:00Z</dcterms:created>
  <dcterms:modified xsi:type="dcterms:W3CDTF">2026-06-10T14:01:00Z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LW 9.2, Build 20250828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2026-05-29T12:57:17Z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68d9c476-01ca-40d3-8fb0-cded99cb1b66</vt:lpwstr>
  </property>
  <property fmtid="{D5CDD505-2E9C-101B-9397-08002B2CF9AE}" pid="9" name="MSIP_Label_6bd9ddd1-4d20-43f6-abfa-fc3c07406f94_ContentBits">
    <vt:lpwstr>0</vt:lpwstr>
  </property>
  <property fmtid="{D5CDD505-2E9C-101B-9397-08002B2CF9AE}" pid="10" name="MSIP_Label_6bd9ddd1-4d20-43f6-abfa-fc3c07406f94_Tag">
    <vt:lpwstr>10, 3, 0, 1</vt:lpwstr>
  </property>
  <property fmtid="{D5CDD505-2E9C-101B-9397-08002B2CF9AE}" pid="11" name="Category">
    <vt:lpwstr>COM/PL/ORG/NOEEA</vt:lpwstr>
  </property>
  <property fmtid="{D5CDD505-2E9C-101B-9397-08002B2CF9AE}" pid="12" name="Level of sensitivity">
    <vt:lpwstr>Standard treatment</vt:lpwstr>
  </property>
  <property fmtid="{D5CDD505-2E9C-101B-9397-08002B2CF9AE}" pid="13" name="Part">
    <vt:lpwstr>1</vt:lpwstr>
  </property>
  <property fmtid="{D5CDD505-2E9C-101B-9397-08002B2CF9AE}" pid="14" name="Total parts">
    <vt:lpwstr>1</vt:lpwstr>
  </property>
  <property fmtid="{D5CDD505-2E9C-101B-9397-08002B2CF9AE}" pid="15" name="LWTemplateID">
    <vt:lpwstr>SG-002</vt:lpwstr>
  </property>
  <property fmtid="{D5CDD505-2E9C-101B-9397-08002B2CF9AE}" pid="16" name="DQCStatus">
    <vt:lpwstr>Green (DQC version 03)</vt:lpwstr>
  </property>
</Properties>
</file>