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30" w:rsidRPr="007D5123" w:rsidRDefault="007C3780" w:rsidP="007C3780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5707EF3E-1127-4D1E-8A4B-21A9244D1108" style="width:455.25pt;height:454.5pt">
            <v:imagedata r:id="rId8" o:title=""/>
          </v:shape>
        </w:pict>
      </w:r>
    </w:p>
    <w:p w:rsidR="00112030" w:rsidRPr="007D5123" w:rsidRDefault="00112030" w:rsidP="00112030">
      <w:pPr>
        <w:rPr>
          <w:noProof/>
        </w:rPr>
        <w:sectPr w:rsidR="00112030" w:rsidRPr="007D5123" w:rsidSect="007C3780">
          <w:footerReference w:type="even" r:id="rId9"/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112030" w:rsidRPr="007D5123" w:rsidRDefault="00112030" w:rsidP="00BB6B30">
      <w:pPr>
        <w:pStyle w:val="Exposdesmotifstitre"/>
        <w:rPr>
          <w:noProof/>
        </w:rPr>
      </w:pPr>
      <w:bookmarkStart w:id="0" w:name="_GoBack"/>
      <w:bookmarkEnd w:id="0"/>
      <w:r w:rsidRPr="007D5123">
        <w:rPr>
          <w:noProof/>
        </w:rPr>
        <w:lastRenderedPageBreak/>
        <w:t>MEMORANDUM TA’ SPJEGAZZJONI</w:t>
      </w:r>
    </w:p>
    <w:p w:rsidR="00112030" w:rsidRPr="007D5123" w:rsidRDefault="00112030" w:rsidP="00BB7C00">
      <w:pPr>
        <w:pStyle w:val="Heading"/>
        <w:numPr>
          <w:ilvl w:val="0"/>
          <w:numId w:val="1"/>
        </w:numPr>
        <w:rPr>
          <w:noProof/>
        </w:rPr>
      </w:pPr>
      <w:r w:rsidRPr="007D5123">
        <w:rPr>
          <w:noProof/>
        </w:rPr>
        <w:t>Suġġett tal-proposta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>Din il-proposta tikkonċerna d-deċiżjoni li tistabbilixxi l-pożizzjoni li għandha tiġi adottata f’isem l-Unjoni fil-Kumitat Konġunt taż-ŻEE b’rabta mal-adozzjoni prevista tad-Deċiżjoni tal-Kumitat Konġunt dwar emenda tal-Anness IV (Enerġija) tal-Ftehim ŻEE</w:t>
      </w:r>
    </w:p>
    <w:p w:rsidR="00112030" w:rsidRPr="007D5123" w:rsidRDefault="00112030" w:rsidP="00BB7C00">
      <w:pPr>
        <w:pStyle w:val="Heading"/>
        <w:numPr>
          <w:ilvl w:val="0"/>
          <w:numId w:val="1"/>
        </w:numPr>
        <w:rPr>
          <w:noProof/>
        </w:rPr>
      </w:pPr>
      <w:r w:rsidRPr="007D5123">
        <w:rPr>
          <w:noProof/>
        </w:rPr>
        <w:t>Kuntest tal-proposta</w:t>
      </w:r>
    </w:p>
    <w:p w:rsidR="00112030" w:rsidRPr="007D5123" w:rsidRDefault="00D523B9" w:rsidP="00D523B9">
      <w:pPr>
        <w:pStyle w:val="ManualHeading2"/>
        <w:rPr>
          <w:noProof/>
        </w:rPr>
      </w:pPr>
      <w:r w:rsidRPr="00D523B9">
        <w:rPr>
          <w:noProof/>
        </w:rPr>
        <w:t>2.1.</w:t>
      </w:r>
      <w:r w:rsidRPr="00D523B9">
        <w:rPr>
          <w:noProof/>
        </w:rPr>
        <w:tab/>
      </w:r>
      <w:r w:rsidR="00112030" w:rsidRPr="007D5123">
        <w:rPr>
          <w:noProof/>
        </w:rPr>
        <w:t>Il-Ftehim dwar iż-ŻEE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>Il-Ftehim dwar iż-Żona Ekonomika Ewropea (</w:t>
      </w:r>
      <w:r w:rsidRPr="007D5123">
        <w:rPr>
          <w:i/>
          <w:iCs/>
          <w:noProof/>
        </w:rPr>
        <w:t>“il-Ftehim ŻEE’’</w:t>
      </w:r>
      <w:r w:rsidRPr="007D5123">
        <w:rPr>
          <w:noProof/>
        </w:rPr>
        <w:t xml:space="preserve">) jiggarantixxi drittijiet u obbligi ugwali fi ħdan is-Suq Intern għaċ-ċittadini u l-operaturi ekonomiċi fiż-ŻEE. Dan jipprevedi l-inklużjoni ta’ leġiżlazzjoni tal-UE li tkopri l-erba’ libertajiet fi 30 Stat taż-ŻEE li tinkludi l-Istati Membri tal-UE, in-Norveġja, l-Iżlanda u l-Liechtenstein. Barra minn hekk, il-Ftehim ŻEE jkopri l-kooperazzjoni f’oqsma importanti oħra bħar-riċerka u l-iżvilupp, l-edukazzjoni, il-politika soċjali, l-ambjent, il-protezzjoni tal-konsumatur, it-turiżmu u l-kultura, li kollettivament huma magħrufin bħala l-politiki </w:t>
      </w:r>
      <w:r w:rsidRPr="007D5123">
        <w:rPr>
          <w:i/>
          <w:iCs/>
          <w:noProof/>
        </w:rPr>
        <w:t>“ta’ appoġġ u orizzontali”</w:t>
      </w:r>
      <w:r w:rsidRPr="007D5123">
        <w:rPr>
          <w:noProof/>
        </w:rPr>
        <w:t>. Il-Ftehim ŻEE daħal fis-seħħ fl-1 ta’ Jannar 1994. L-Unjoni, flimkien mal-Istati Membri tagħha, hija parti għall-Ftehim ŻEE.</w:t>
      </w:r>
    </w:p>
    <w:p w:rsidR="00112030" w:rsidRPr="007D5123" w:rsidRDefault="00D523B9" w:rsidP="00D523B9">
      <w:pPr>
        <w:pStyle w:val="ManualHeading2"/>
        <w:rPr>
          <w:noProof/>
        </w:rPr>
      </w:pPr>
      <w:r w:rsidRPr="00D523B9">
        <w:rPr>
          <w:noProof/>
        </w:rPr>
        <w:t>2.2.</w:t>
      </w:r>
      <w:r w:rsidRPr="00D523B9">
        <w:rPr>
          <w:noProof/>
        </w:rPr>
        <w:tab/>
      </w:r>
      <w:r w:rsidR="00112030" w:rsidRPr="007D5123">
        <w:rPr>
          <w:noProof/>
        </w:rPr>
        <w:t>Il-Kumitat Kon</w:t>
      </w:r>
      <w:r w:rsidR="007D5123">
        <w:rPr>
          <w:noProof/>
        </w:rPr>
        <w:t>ġ</w:t>
      </w:r>
      <w:r w:rsidR="00112030" w:rsidRPr="007D5123">
        <w:rPr>
          <w:noProof/>
        </w:rPr>
        <w:t>unt taż-ŻEE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>Il-Kumitat Konġunt taż-ŻEE huwa responsabbli mill-ġestjoni tal-Ftehim dwar iż-ŻEE. Huwa forum għall-iskambju ta’ fehmiet b’rabta mal-funzjonament tal-Ftehim ŻEE. Id-deċiżjonijiet tiegħu jittieħdu b’kunsens u huma vinkolanti fuq il-Partijiet. Ir-responsabbiltà għall-koordinazzjoni ta’ kwistjonijiet taż-ŻEE min-naħa tal-UE hija tas-Segretarjat Ġenerali tal-Kummissjoni Ewropea. </w:t>
      </w:r>
    </w:p>
    <w:p w:rsidR="00112030" w:rsidRPr="007D5123" w:rsidRDefault="00D523B9" w:rsidP="00D523B9">
      <w:pPr>
        <w:pStyle w:val="ManualHeading2"/>
        <w:rPr>
          <w:noProof/>
        </w:rPr>
      </w:pPr>
      <w:r w:rsidRPr="00D523B9">
        <w:rPr>
          <w:noProof/>
        </w:rPr>
        <w:t>2.3.</w:t>
      </w:r>
      <w:r w:rsidRPr="00D523B9">
        <w:rPr>
          <w:noProof/>
        </w:rPr>
        <w:tab/>
      </w:r>
      <w:r w:rsidR="00112030" w:rsidRPr="007D5123">
        <w:rPr>
          <w:noProof/>
        </w:rPr>
        <w:t>L-att previst tal-Kumitat Konġunt taż-ŻEE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>Il-Kumitat Konġunt taż-ŻEE mistenni jadotta d-Deċiżjoni tal-Kumitat Konġunt taż-ŻEE (</w:t>
      </w:r>
      <w:r w:rsidRPr="007D5123">
        <w:rPr>
          <w:i/>
          <w:iCs/>
          <w:noProof/>
        </w:rPr>
        <w:t>“l-att previst”</w:t>
      </w:r>
      <w:r w:rsidRPr="007D5123">
        <w:rPr>
          <w:noProof/>
        </w:rPr>
        <w:t>) rigward l-emenda tal-Anness IV (Enerġija) tal-Ftehim ŻEE.</w:t>
      </w:r>
    </w:p>
    <w:p w:rsidR="007A5A35" w:rsidRPr="007D5123" w:rsidRDefault="00112030" w:rsidP="00112030">
      <w:pPr>
        <w:pStyle w:val="Body"/>
        <w:rPr>
          <w:rFonts w:eastAsia="Arial Unicode MS" w:cs="Arial Unicode MS"/>
          <w:noProof/>
        </w:rPr>
      </w:pPr>
      <w:r w:rsidRPr="007D5123">
        <w:rPr>
          <w:noProof/>
        </w:rPr>
        <w:t>L-għan tal-att previst huwa li jinkorpora r-Regolament Delegat tal-Kummissjoni (UE) 2022/759 fir-rigward ta’ metodoloġija għall-kalkolu tal-ammont ta’ enerġija rinnovabbli użata għat-tkessiħ u għat-tkessiħ distrettwali</w:t>
      </w:r>
      <w:r w:rsidR="007A5A35" w:rsidRPr="007D5123">
        <w:rPr>
          <w:rStyle w:val="FootnoteReference"/>
          <w:noProof/>
          <w:color w:val="auto"/>
        </w:rPr>
        <w:footnoteReference w:id="1"/>
      </w:r>
      <w:r w:rsidRPr="007D5123">
        <w:rPr>
          <w:noProof/>
        </w:rPr>
        <w:t xml:space="preserve"> u d-Direttiva (UE) 2018/2001 dwar il-promozzjoni tal-użu tal-enerġija minn sorsi rinnovabbli</w:t>
      </w:r>
      <w:r w:rsidR="007A5A35" w:rsidRPr="007D5123">
        <w:rPr>
          <w:rStyle w:val="FootnoteReference"/>
          <w:noProof/>
        </w:rPr>
        <w:footnoteReference w:id="2"/>
      </w:r>
      <w:r w:rsidRPr="007D5123">
        <w:rPr>
          <w:noProof/>
        </w:rPr>
        <w:t xml:space="preserve"> fil-Ftehim ŻEE.</w:t>
      </w:r>
    </w:p>
    <w:p w:rsidR="00AB72F8" w:rsidRPr="007D5123" w:rsidRDefault="00AB72F8" w:rsidP="00AB72F8">
      <w:pPr>
        <w:pStyle w:val="Body"/>
        <w:rPr>
          <w:rFonts w:eastAsia="Arial Unicode MS" w:cs="Arial Unicode MS"/>
          <w:noProof/>
        </w:rPr>
      </w:pPr>
      <w:r w:rsidRPr="007D5123">
        <w:rPr>
          <w:noProof/>
        </w:rPr>
        <w:t xml:space="preserve">L-att previst se jsir vinkolanti għall-partijiet f’konformità mal-Artikoli 103 u 104 tal-Ftehim ŻEE. </w:t>
      </w:r>
    </w:p>
    <w:p w:rsidR="00AB72F8" w:rsidRPr="007D5123" w:rsidRDefault="00AB72F8" w:rsidP="00112030">
      <w:pPr>
        <w:pStyle w:val="Body"/>
        <w:rPr>
          <w:noProof/>
        </w:rPr>
      </w:pPr>
    </w:p>
    <w:p w:rsidR="00112030" w:rsidRPr="007D5123" w:rsidRDefault="00112030" w:rsidP="00BB7C00">
      <w:pPr>
        <w:pStyle w:val="Heading"/>
        <w:numPr>
          <w:ilvl w:val="0"/>
          <w:numId w:val="1"/>
        </w:numPr>
        <w:rPr>
          <w:noProof/>
        </w:rPr>
      </w:pPr>
      <w:r w:rsidRPr="007D5123">
        <w:rPr>
          <w:noProof/>
        </w:rPr>
        <w:t>Il-pożizzjoni li għandha tittieħed f’isem l-Unjoni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>Il-Kummissjoni tippreżenta l-abbozz ta’ Deċiżjoni anness tal-Kumitat Konġunt taż-ŻEE għall-adozzjoni mill-Kunsill bħala l-pożizzjoni tal-Unjoni. Ladarba tiġi adottata, il-pożizzjoni jenħtieġ li tiġi ppreżentata fil-Kumitat Konġunt taż-ŻEE mal-ewwel opportunità possibbli.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>L-abbozz tad-Deċiżjoni tal-Kumitat Konġunt taż-ŻEE anness jinkludi adattamenti għall-Istati taż-ŻEE-EFTA kif deskritt fil-premessi u t-test tal-adattamenti fl-abbozz tad-Deċiżjoni tal-Kumitat Konġunt anness, li jmorru lil hinn minn dak li jista’ jitqies bħala sempliċi adattamenti tekniċi fis-sens tar-Regolament tal-Kunsill (KE) Nru 2894/94</w:t>
      </w:r>
      <w:r w:rsidR="00977C02" w:rsidRPr="007D5123">
        <w:rPr>
          <w:rStyle w:val="FootnoteReference"/>
          <w:rFonts w:eastAsia="Arial Unicode MS" w:cs="Arial Unicode MS"/>
          <w:noProof/>
        </w:rPr>
        <w:footnoteReference w:id="3"/>
      </w:r>
      <w:r w:rsidRPr="007D5123">
        <w:rPr>
          <w:noProof/>
        </w:rPr>
        <w:t>. Għaldaqstant, il-pożizzjoni tal-Unjoni għandha tiġi stabbilita mill-Kunsill.</w:t>
      </w:r>
    </w:p>
    <w:p w:rsidR="00112030" w:rsidRPr="007D5123" w:rsidRDefault="00112030" w:rsidP="00BB7C00">
      <w:pPr>
        <w:pStyle w:val="Heading"/>
        <w:numPr>
          <w:ilvl w:val="0"/>
          <w:numId w:val="1"/>
        </w:numPr>
        <w:rPr>
          <w:noProof/>
        </w:rPr>
      </w:pPr>
      <w:r w:rsidRPr="007D5123">
        <w:rPr>
          <w:noProof/>
        </w:rPr>
        <w:t>Bażi legali</w:t>
      </w:r>
    </w:p>
    <w:p w:rsidR="00112030" w:rsidRPr="007D5123" w:rsidRDefault="00D523B9" w:rsidP="00D523B9">
      <w:pPr>
        <w:pStyle w:val="ManualHeading2"/>
        <w:rPr>
          <w:noProof/>
        </w:rPr>
      </w:pPr>
      <w:r w:rsidRPr="00D523B9">
        <w:rPr>
          <w:noProof/>
        </w:rPr>
        <w:t>4.1.</w:t>
      </w:r>
      <w:r w:rsidRPr="00D523B9">
        <w:rPr>
          <w:noProof/>
        </w:rPr>
        <w:tab/>
      </w:r>
      <w:r w:rsidR="00112030" w:rsidRPr="007D5123">
        <w:rPr>
          <w:noProof/>
        </w:rPr>
        <w:t>Bażi legali proċedurali</w:t>
      </w:r>
    </w:p>
    <w:p w:rsidR="00112030" w:rsidRPr="007D5123" w:rsidRDefault="00D523B9" w:rsidP="00D523B9">
      <w:pPr>
        <w:pStyle w:val="ManualHeading3"/>
        <w:rPr>
          <w:noProof/>
        </w:rPr>
      </w:pPr>
      <w:r w:rsidRPr="00D523B9">
        <w:rPr>
          <w:noProof/>
        </w:rPr>
        <w:t>4.1.1.</w:t>
      </w:r>
      <w:r w:rsidRPr="00D523B9">
        <w:rPr>
          <w:noProof/>
        </w:rPr>
        <w:tab/>
      </w:r>
      <w:r w:rsidR="00112030" w:rsidRPr="007D5123">
        <w:rPr>
          <w:noProof/>
        </w:rPr>
        <w:t>Prinċipji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 xml:space="preserve">L-Artikolu 218(9) tat-Trattat dwar il-Funzjonament tal-Unjoni Ewropea (TFUE) jipprevedi deċiżjonijiet li jistabbilixxu </w:t>
      </w:r>
      <w:r w:rsidRPr="007D5123">
        <w:rPr>
          <w:i/>
          <w:iCs/>
          <w:noProof/>
        </w:rPr>
        <w:t>“l-pożizzjonijiet li għandhom jiġu adottati f’isem l-Unjoni f’sede stabbilita fi ftehim, meta dik is-sede tintalab tadotta atti li jkollhom effetti legali, sakemm dawn ma jkunux atti li jissupplimentaw jew jemendaw il-qafas istituzzjonali tal-ftehim.”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 xml:space="preserve">Il-kunċett ta’ </w:t>
      </w:r>
      <w:r w:rsidRPr="007D5123">
        <w:rPr>
          <w:i/>
          <w:iCs/>
          <w:noProof/>
        </w:rPr>
        <w:t>“atti li jkollhom effetti legali”</w:t>
      </w:r>
      <w:r w:rsidRPr="007D5123">
        <w:rPr>
          <w:noProof/>
        </w:rPr>
        <w:t xml:space="preserve"> jinkludi atti li għandhom effetti legali bis-saħħa tar-regoli tad-dritt internazzjonali li jirregolaw il-korp inkwistjoni. Dan jinkludi strumenti li ma għandhomx effett vinkolanti skont id-dritt internazzjonali, iżda li “</w:t>
      </w:r>
      <w:r w:rsidRPr="007D5123">
        <w:rPr>
          <w:i/>
          <w:noProof/>
        </w:rPr>
        <w:t>jistgħu jinfluwenzaw b’mod determinanti l-kontenut tal-leġiżlazzjoni adottata mil-leġiżlatura tal-Unjoni</w:t>
      </w:r>
      <w:r w:rsidRPr="007D5123">
        <w:rPr>
          <w:noProof/>
        </w:rPr>
        <w:t>”</w:t>
      </w:r>
      <w:r w:rsidRPr="007D5123">
        <w:rPr>
          <w:rStyle w:val="FootnoteReference"/>
          <w:noProof/>
        </w:rPr>
        <w:footnoteReference w:id="4"/>
      </w:r>
      <w:r w:rsidRPr="007D5123">
        <w:rPr>
          <w:noProof/>
        </w:rPr>
        <w:t>.</w:t>
      </w:r>
    </w:p>
    <w:p w:rsidR="00112030" w:rsidRPr="007D5123" w:rsidRDefault="00D523B9" w:rsidP="00D523B9">
      <w:pPr>
        <w:pStyle w:val="ManualHeading3"/>
        <w:rPr>
          <w:noProof/>
        </w:rPr>
      </w:pPr>
      <w:r w:rsidRPr="00D523B9">
        <w:rPr>
          <w:noProof/>
        </w:rPr>
        <w:t>4.1.2.</w:t>
      </w:r>
      <w:r w:rsidRPr="00D523B9">
        <w:rPr>
          <w:noProof/>
        </w:rPr>
        <w:tab/>
      </w:r>
      <w:r w:rsidR="00112030" w:rsidRPr="007D5123">
        <w:rPr>
          <w:noProof/>
        </w:rPr>
        <w:t>Applikazzjoni għall-każ preżenti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 xml:space="preserve">Il-Kumitat Konġunt taż-ŻEE huwa korp stabbilit minn ftehim, jiġifieri l-Ftehim ŻEE. L-att, li l-Kumitat Konġunt taż-ŻEE huwa mitlub jadotta, jikkostitwixxi att li jkollu effetti legali. L-att previst isir vinkolanti skont id-dritt internazzjonali f’konformità mal-Artikoli 103 u 104 tal-Ftehim ŻEE. 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>L-att previst la jissupplimenta u lanqas jemenda l-qafas istituzzjonali tal-Ftehim. Għaldaqstant, il-bażi legali proċedurali għad-deċiżjoni proposta hija l-Artikolu 218(9) TFUE flimkien mal-Artikolu 1(3) tar-Regolament tal-Kunsill (KE) Nru 2894/94.</w:t>
      </w:r>
    </w:p>
    <w:p w:rsidR="00112030" w:rsidRPr="007D5123" w:rsidRDefault="00D523B9" w:rsidP="00D523B9">
      <w:pPr>
        <w:pStyle w:val="ManualHeading2"/>
        <w:rPr>
          <w:noProof/>
        </w:rPr>
      </w:pPr>
      <w:r w:rsidRPr="00D523B9">
        <w:rPr>
          <w:noProof/>
        </w:rPr>
        <w:t>4.2.</w:t>
      </w:r>
      <w:r w:rsidRPr="00D523B9">
        <w:rPr>
          <w:noProof/>
        </w:rPr>
        <w:tab/>
      </w:r>
      <w:r w:rsidR="00112030" w:rsidRPr="007D5123">
        <w:rPr>
          <w:noProof/>
        </w:rPr>
        <w:t>Bażi legali sostantiva</w:t>
      </w:r>
    </w:p>
    <w:p w:rsidR="00112030" w:rsidRPr="007D5123" w:rsidRDefault="00D523B9" w:rsidP="00D523B9">
      <w:pPr>
        <w:pStyle w:val="ManualHeading3"/>
        <w:rPr>
          <w:noProof/>
        </w:rPr>
      </w:pPr>
      <w:r w:rsidRPr="00D523B9">
        <w:rPr>
          <w:noProof/>
        </w:rPr>
        <w:t>4.2.1.</w:t>
      </w:r>
      <w:r w:rsidRPr="00D523B9">
        <w:rPr>
          <w:noProof/>
        </w:rPr>
        <w:tab/>
      </w:r>
      <w:r w:rsidR="00112030" w:rsidRPr="007D5123">
        <w:rPr>
          <w:noProof/>
        </w:rPr>
        <w:t>Prinċipji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 xml:space="preserve">Il-bażi legali sostantiva għal deċiżjoni skont l-Artikolu 218(9) TFUE, flimkien mal-Artikolu 1(3) tar-Regolament tal-Kunsill (KE) Nru 2894/94, tiddependi primarjament fuq il-bażi legali sostantiva tal-att legali tal-UE li għandu jiġi inkorporat fil-Ftehim ŻEE. 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>Jekk l-att previst ikollu żewġ għanijiet jew żewġ komponenti u jekk wieħed minn dawk l-għanijiet jew komponenti jkun identifikabbli bħala dak ewlieni, filwaqt li l-ieħor ikun sempliċement inċidentali, id-deċiżjoni skont l-Artikolu 218(9) TFUE trid tissejjes fuq bażi legali sostantiva unika, jiġifieri dik meħtieġa mill-għan jew mill-komponent ewlieni jew predominanti.</w:t>
      </w:r>
    </w:p>
    <w:p w:rsidR="00112030" w:rsidRPr="007D5123" w:rsidRDefault="00D523B9" w:rsidP="00D523B9">
      <w:pPr>
        <w:pStyle w:val="ManualHeading3"/>
        <w:rPr>
          <w:noProof/>
        </w:rPr>
      </w:pPr>
      <w:r w:rsidRPr="00D523B9">
        <w:rPr>
          <w:noProof/>
        </w:rPr>
        <w:t>4.2.2.</w:t>
      </w:r>
      <w:r w:rsidRPr="00D523B9">
        <w:rPr>
          <w:noProof/>
        </w:rPr>
        <w:tab/>
      </w:r>
      <w:r w:rsidR="00112030" w:rsidRPr="007D5123">
        <w:rPr>
          <w:noProof/>
        </w:rPr>
        <w:t>Applikazzjoni għall-każ preżenti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>Peress li d-Deċiżjoni tal-Kumitat Konġunt tinkorpora r-Regolament Delegat tal-Kummissjoni (UE) 2022/759 u d-Direttiva (UE) 2018/2001 fil-Ftehim ŻEE, huwa xieraq li din id-deċiżjoni tal-Kunsill tiġi bbażata fuq l-istess bażi legali sostantiva tal-att li huwa inkorporat. Għaldaqstant, il-bażi legali sostantiva għad-deċiżjoni proposta hija l-Artikolu 194(2) TFUE.</w:t>
      </w:r>
    </w:p>
    <w:p w:rsidR="00112030" w:rsidRPr="007D5123" w:rsidRDefault="00D523B9" w:rsidP="00D523B9">
      <w:pPr>
        <w:pStyle w:val="ManualHeading2"/>
        <w:rPr>
          <w:noProof/>
        </w:rPr>
      </w:pPr>
      <w:r w:rsidRPr="00D523B9">
        <w:rPr>
          <w:noProof/>
        </w:rPr>
        <w:t>4.3.</w:t>
      </w:r>
      <w:r w:rsidRPr="00D523B9">
        <w:rPr>
          <w:noProof/>
        </w:rPr>
        <w:tab/>
      </w:r>
      <w:r w:rsidR="00112030" w:rsidRPr="007D5123">
        <w:rPr>
          <w:noProof/>
        </w:rPr>
        <w:t>Konklużjoni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>Il-bażi legali tad-deċiżjoni proposta għandha tkun l-Artikolu 194(2) TFUE, flimkien mal-Artikolu 218(9) TFUE u l-Artikolu 1(3) tar-Regolament tal-Kunsill (KE) Nru 2894/94.</w:t>
      </w:r>
    </w:p>
    <w:p w:rsidR="00112030" w:rsidRPr="007D5123" w:rsidRDefault="00112030" w:rsidP="00BB7C00">
      <w:pPr>
        <w:pStyle w:val="Heading"/>
        <w:numPr>
          <w:ilvl w:val="0"/>
          <w:numId w:val="1"/>
        </w:numPr>
        <w:rPr>
          <w:noProof/>
        </w:rPr>
      </w:pPr>
      <w:r w:rsidRPr="007D5123">
        <w:rPr>
          <w:noProof/>
        </w:rPr>
        <w:t>Pubblikazzjoni tal-att previst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>Billi l-att tal-Kumitat Konġunt taż-ŻEE se jemenda l-Anness IV (Enerġija) tal-Ftehim taż-ŻEE, huwa xieraq li wara l-adozzjoni tiegħu jiġi ppubblikat f’</w:t>
      </w:r>
      <w:r w:rsidRPr="007D5123">
        <w:rPr>
          <w:i/>
          <w:iCs/>
          <w:noProof/>
        </w:rPr>
        <w:t>Il-Ġurnal Uffiċjali tal-Unjoni Ewropea</w:t>
      </w:r>
      <w:r w:rsidRPr="007D5123">
        <w:rPr>
          <w:noProof/>
        </w:rPr>
        <w:t>.</w:t>
      </w:r>
    </w:p>
    <w:p w:rsidR="00112030" w:rsidRPr="007D5123" w:rsidRDefault="00112030" w:rsidP="00112030">
      <w:pPr>
        <w:pStyle w:val="ManualHeading1"/>
        <w:rPr>
          <w:i/>
          <w:iCs/>
          <w:noProof/>
        </w:rPr>
      </w:pPr>
    </w:p>
    <w:p w:rsidR="00112030" w:rsidRPr="007D5123" w:rsidRDefault="00112030" w:rsidP="00112030">
      <w:pPr>
        <w:pStyle w:val="BodyText2"/>
        <w:jc w:val="both"/>
        <w:rPr>
          <w:i w:val="0"/>
          <w:iCs w:val="0"/>
          <w:noProof/>
        </w:rPr>
      </w:pPr>
    </w:p>
    <w:p w:rsidR="00112030" w:rsidRPr="007D5123" w:rsidRDefault="00112030" w:rsidP="00112030">
      <w:pPr>
        <w:pStyle w:val="Body"/>
        <w:rPr>
          <w:noProof/>
        </w:rPr>
        <w:sectPr w:rsidR="00112030" w:rsidRPr="007D5123" w:rsidSect="007C3780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417" w:bottom="1134" w:left="1417" w:header="709" w:footer="709" w:gutter="0"/>
          <w:pgNumType w:start="1"/>
          <w:cols w:space="720"/>
          <w:docGrid w:linePitch="326"/>
        </w:sectPr>
      </w:pPr>
    </w:p>
    <w:p w:rsidR="00A140CF" w:rsidRDefault="00AA05FB">
      <w:pPr>
        <w:pStyle w:val="Rfrenceinterinstitutionnelle"/>
        <w:rPr>
          <w:noProof/>
        </w:rPr>
      </w:pPr>
      <w:r>
        <w:rPr>
          <w:noProof/>
        </w:rPr>
        <w:t>2025/0164 (NLE)</w:t>
      </w:r>
    </w:p>
    <w:p w:rsidR="00112030" w:rsidRPr="007D5123" w:rsidRDefault="007D5123" w:rsidP="007D5123">
      <w:pPr>
        <w:pStyle w:val="Statut"/>
        <w:rPr>
          <w:noProof/>
        </w:rPr>
      </w:pPr>
      <w:r>
        <w:rPr>
          <w:noProof/>
        </w:rPr>
        <w:t>Proposta għal</w:t>
      </w:r>
    </w:p>
    <w:p w:rsidR="00112030" w:rsidRPr="007D5123" w:rsidRDefault="007D5123" w:rsidP="007D5123">
      <w:pPr>
        <w:pStyle w:val="Typedudocument"/>
        <w:rPr>
          <w:noProof/>
        </w:rPr>
      </w:pPr>
      <w:r>
        <w:rPr>
          <w:noProof/>
        </w:rPr>
        <w:t>DEĊIŻJONI TAL-KUNSILL</w:t>
      </w:r>
    </w:p>
    <w:p w:rsidR="00112030" w:rsidRPr="007D5123" w:rsidRDefault="007D5123" w:rsidP="007D5123">
      <w:pPr>
        <w:pStyle w:val="Titreobjet"/>
        <w:rPr>
          <w:noProof/>
        </w:rPr>
      </w:pPr>
      <w:r w:rsidRPr="007D5123">
        <w:rPr>
          <w:noProof/>
        </w:rPr>
        <w:t>dwar il-pożizzjoni li għandha tiġi adottata, f’isem l-Unjoni Ewropea, fil-Kumitat Konġunt taż-ŻEE, dwar l-emenda tal-Anness IV (Enerġija) tal-Ftehim ŻEE</w:t>
      </w:r>
      <w:r w:rsidRPr="007D5123">
        <w:rPr>
          <w:noProof/>
        </w:rPr>
        <w:br/>
      </w:r>
      <w:r w:rsidRPr="007D5123">
        <w:rPr>
          <w:noProof/>
        </w:rPr>
        <w:br/>
        <w:t>(RED II)</w:t>
      </w:r>
      <w:r w:rsidRPr="007D5123">
        <w:rPr>
          <w:noProof/>
        </w:rPr>
        <w:br/>
      </w:r>
      <w:r w:rsidRPr="007D5123">
        <w:rPr>
          <w:noProof/>
        </w:rPr>
        <w:br/>
      </w:r>
    </w:p>
    <w:p w:rsidR="00112030" w:rsidRPr="007D5123" w:rsidRDefault="007D5123" w:rsidP="007D5123">
      <w:pPr>
        <w:pStyle w:val="IntrtEEE"/>
        <w:rPr>
          <w:noProof/>
        </w:rPr>
      </w:pPr>
      <w:r w:rsidRPr="007D5123">
        <w:rPr>
          <w:noProof/>
        </w:rPr>
        <w:t>(Test b’rilevanza għaż-ŻEE)</w:t>
      </w:r>
    </w:p>
    <w:p w:rsidR="00112030" w:rsidRPr="007D5123" w:rsidRDefault="00112030" w:rsidP="00112030">
      <w:pPr>
        <w:pStyle w:val="Institutionquiagit"/>
        <w:rPr>
          <w:noProof/>
        </w:rPr>
      </w:pPr>
      <w:r w:rsidRPr="007D5123">
        <w:rPr>
          <w:noProof/>
        </w:rPr>
        <w:t>IL-KUNSILL TAL-UNJONI EWROPEA,</w:t>
      </w:r>
    </w:p>
    <w:p w:rsidR="00112030" w:rsidRPr="007D5123" w:rsidRDefault="00112030" w:rsidP="00112030">
      <w:pPr>
        <w:rPr>
          <w:noProof/>
        </w:rPr>
      </w:pPr>
      <w:r w:rsidRPr="007D5123">
        <w:rPr>
          <w:noProof/>
        </w:rPr>
        <w:t>Wara li kkunsidra t-Trattat dwar il-Funzjonament tal-Unjoni Ewropea, u b’mod partikolari l-Artikolu 194(2), flimkien mal-Artikolu 218(9) tiegħu,</w:t>
      </w:r>
    </w:p>
    <w:p w:rsidR="00112030" w:rsidRPr="007D5123" w:rsidRDefault="00112030" w:rsidP="00112030">
      <w:pPr>
        <w:rPr>
          <w:noProof/>
        </w:rPr>
      </w:pPr>
      <w:r w:rsidRPr="007D5123">
        <w:rPr>
          <w:noProof/>
        </w:rPr>
        <w:t>Wara li kkunsidra r-Regolament tal-Kunsill (KE) Nru 2894/94 tat-28 ta’ Novembru 1994 dwar l-arranġamenti għall-implimentazzjoni tal-Ftehim dwar iż-Żona Ekonomika Ewropea</w:t>
      </w:r>
      <w:r w:rsidRPr="007D5123">
        <w:rPr>
          <w:rStyle w:val="FootnoteReference"/>
          <w:noProof/>
        </w:rPr>
        <w:footnoteReference w:id="5"/>
      </w:r>
      <w:r w:rsidRPr="007D5123">
        <w:rPr>
          <w:noProof/>
        </w:rPr>
        <w:t>, u b’mod partikolari l-Artikolu 1(3) tiegħu,</w:t>
      </w:r>
    </w:p>
    <w:p w:rsidR="00112030" w:rsidRPr="007D5123" w:rsidRDefault="00112030" w:rsidP="00112030">
      <w:pPr>
        <w:rPr>
          <w:noProof/>
        </w:rPr>
      </w:pPr>
      <w:r w:rsidRPr="007D5123">
        <w:rPr>
          <w:noProof/>
        </w:rPr>
        <w:t>Wara li kkunsidra l-proposta tal-Kummissjoni Ewropea,</w:t>
      </w:r>
    </w:p>
    <w:p w:rsidR="00112030" w:rsidRPr="007D5123" w:rsidRDefault="00112030" w:rsidP="00112030">
      <w:pPr>
        <w:rPr>
          <w:noProof/>
        </w:rPr>
      </w:pPr>
      <w:r w:rsidRPr="007D5123">
        <w:rPr>
          <w:noProof/>
        </w:rPr>
        <w:t>Billi:</w:t>
      </w:r>
    </w:p>
    <w:p w:rsidR="00112030" w:rsidRPr="007D5123" w:rsidRDefault="00D523B9" w:rsidP="00D523B9">
      <w:pPr>
        <w:pStyle w:val="ManualConsidrant"/>
        <w:rPr>
          <w:noProof/>
        </w:rPr>
      </w:pPr>
      <w:r w:rsidRPr="00D523B9">
        <w:rPr>
          <w:noProof/>
        </w:rPr>
        <w:t>(1)</w:t>
      </w:r>
      <w:r w:rsidRPr="00D523B9">
        <w:rPr>
          <w:noProof/>
        </w:rPr>
        <w:tab/>
      </w:r>
      <w:r w:rsidR="00112030" w:rsidRPr="007D5123">
        <w:rPr>
          <w:noProof/>
        </w:rPr>
        <w:t>il-Ftehim dwar iż-Żona Ekonomika Ewropea</w:t>
      </w:r>
      <w:r w:rsidR="00112030" w:rsidRPr="007D5123">
        <w:rPr>
          <w:rStyle w:val="FootnoteReference"/>
          <w:rFonts w:eastAsia="Times New Roman"/>
          <w:noProof/>
        </w:rPr>
        <w:footnoteReference w:id="6"/>
      </w:r>
      <w:r w:rsidR="00112030" w:rsidRPr="007D5123">
        <w:rPr>
          <w:noProof/>
        </w:rPr>
        <w:t xml:space="preserve"> (“il-Ftehim ŻEE”) daħal fis-seħħ fl-1 ta’ Jannar 1994.</w:t>
      </w:r>
    </w:p>
    <w:p w:rsidR="00112030" w:rsidRPr="007D5123" w:rsidRDefault="00D523B9" w:rsidP="00D523B9">
      <w:pPr>
        <w:pStyle w:val="ManualConsidrant"/>
        <w:rPr>
          <w:noProof/>
        </w:rPr>
      </w:pPr>
      <w:r w:rsidRPr="00D523B9">
        <w:rPr>
          <w:noProof/>
        </w:rPr>
        <w:t>(2)</w:t>
      </w:r>
      <w:r w:rsidRPr="00D523B9">
        <w:rPr>
          <w:noProof/>
        </w:rPr>
        <w:tab/>
      </w:r>
      <w:r w:rsidR="00112030" w:rsidRPr="007D5123">
        <w:rPr>
          <w:noProof/>
        </w:rPr>
        <w:t>Skont l-Artikolu 98 tal-Ftehim ŻEE, il-Kumitat Konġunt taż-ŻEE jista’ jiddeċiedi li jemenda, fost l-oħrajn, l-Anness IV (Enerġija) tal-Ftehim ŻEE.</w:t>
      </w:r>
    </w:p>
    <w:p w:rsidR="00112030" w:rsidRPr="007D5123" w:rsidRDefault="00D523B9" w:rsidP="00D523B9">
      <w:pPr>
        <w:pStyle w:val="ManualConsidrant"/>
        <w:rPr>
          <w:noProof/>
        </w:rPr>
      </w:pPr>
      <w:r w:rsidRPr="00D523B9">
        <w:rPr>
          <w:noProof/>
        </w:rPr>
        <w:t>(3)</w:t>
      </w:r>
      <w:r w:rsidRPr="00D523B9">
        <w:rPr>
          <w:noProof/>
        </w:rPr>
        <w:tab/>
      </w:r>
      <w:r w:rsidR="009C4A33" w:rsidRPr="007D5123">
        <w:rPr>
          <w:noProof/>
        </w:rPr>
        <w:t>Ir-Regolament Delegat tal-Kummissjoni (UE) 2022/759 fir-rigward ta’ metodoloġija għall-kalkolu tal-ammont ta’ enerġija rinnovabbli użata għat-tkessiħ u għat-tkessiħ distrettwali</w:t>
      </w:r>
      <w:r w:rsidR="009C4A33" w:rsidRPr="007D5123">
        <w:rPr>
          <w:rStyle w:val="FootnoteReference"/>
          <w:noProof/>
        </w:rPr>
        <w:footnoteReference w:id="7"/>
      </w:r>
      <w:r w:rsidR="009C4A33" w:rsidRPr="007D5123">
        <w:rPr>
          <w:noProof/>
        </w:rPr>
        <w:t xml:space="preserve"> u d-Direttiva (UE) 2018/2001 dwar il-promozzjoni tal-użu tal-enerġija minn sorsi rinnovabbli</w:t>
      </w:r>
      <w:r w:rsidR="009C4A33" w:rsidRPr="007D5123">
        <w:rPr>
          <w:rStyle w:val="FootnoteReference"/>
          <w:noProof/>
        </w:rPr>
        <w:footnoteReference w:id="8"/>
      </w:r>
      <w:r w:rsidR="009C4A33" w:rsidRPr="007D5123">
        <w:rPr>
          <w:noProof/>
        </w:rPr>
        <w:t xml:space="preserve"> jenħtieġ li jiġu inkorporati fil-Ftehim ŻEE.</w:t>
      </w:r>
    </w:p>
    <w:p w:rsidR="00741237" w:rsidRPr="007D5123" w:rsidRDefault="00D523B9" w:rsidP="00D523B9">
      <w:pPr>
        <w:pStyle w:val="ManualConsidrant"/>
        <w:rPr>
          <w:noProof/>
        </w:rPr>
      </w:pPr>
      <w:r w:rsidRPr="00D523B9">
        <w:rPr>
          <w:noProof/>
        </w:rPr>
        <w:t>(4)</w:t>
      </w:r>
      <w:r w:rsidRPr="00D523B9">
        <w:rPr>
          <w:noProof/>
        </w:rPr>
        <w:tab/>
      </w:r>
      <w:r w:rsidR="00741237" w:rsidRPr="007D5123">
        <w:rPr>
          <w:noProof/>
        </w:rPr>
        <w:t xml:space="preserve">Diversi dispożizzjonijiet tad-Direttiva (UE) 2018/2001 jeħtieġu adattamenti sostantivi li jirriflettu l-ispeċifiċitajiet tal-Ftehim ŻEE u tal-Istati tal-EFTA. </w:t>
      </w:r>
    </w:p>
    <w:p w:rsidR="00721141" w:rsidRPr="007D5123" w:rsidRDefault="00D523B9" w:rsidP="00D523B9">
      <w:pPr>
        <w:pStyle w:val="ManualConsidrant"/>
        <w:rPr>
          <w:noProof/>
        </w:rPr>
      </w:pPr>
      <w:r w:rsidRPr="00D523B9">
        <w:rPr>
          <w:noProof/>
        </w:rPr>
        <w:t>(5)</w:t>
      </w:r>
      <w:r w:rsidRPr="00D523B9">
        <w:rPr>
          <w:noProof/>
        </w:rPr>
        <w:tab/>
      </w:r>
      <w:r w:rsidR="00567D86" w:rsidRPr="007D5123">
        <w:rPr>
          <w:noProof/>
        </w:rPr>
        <w:t>Peress li l-mira vinkolanti tal-Unjoni dwar l-enerġija rinnovabbli ma tapplikax għall-Istati tal-EFTA, il-mira tal-Unjoni stabbilita fl-Artikolu 3(1) tad-Direttiva (UE) 2018/2001 jenħtieġ li ma tapplikax għall-Istati tal-EFTA. Għaldaqstant, dak l-Artikolu ġie adattat kif xieraq. Madankollu, l-Istati tal-EFTA jistabbilixxu b’mod volontarju l-miri indikattivi nazzjonali tagħhom għall-enerġija rinnovabbli, kif stabbilit fid-Dikjarazzjoni tal-Istati tal-EFTA mehmuża mad-Deċiżjoni tal-Kumitat Konġunt taż-ŻEE. Konsegwentement, jenħtieġ li l-Istati tal-EFTA la jkunu parti mill-pjattaforma tal-Unjoni għall-iżvilupp tal-enerġija rinnovabbli u lanqas jipparteċipaw fi trasferimenti ta’ statistika mal-Istati Membri. Għaldaqstant, jenħtieġ li l-Artikolu 8 tad-Direttiva (UE) 2018/2001 ma japplikax għall-Istati tal-EFTA.</w:t>
      </w:r>
    </w:p>
    <w:p w:rsidR="00B95228" w:rsidRPr="007D5123" w:rsidRDefault="00D523B9" w:rsidP="00D523B9">
      <w:pPr>
        <w:pStyle w:val="ManualConsidrant"/>
        <w:rPr>
          <w:noProof/>
        </w:rPr>
      </w:pPr>
      <w:r w:rsidRPr="00D523B9">
        <w:rPr>
          <w:noProof/>
        </w:rPr>
        <w:t>(6)</w:t>
      </w:r>
      <w:r w:rsidRPr="00D523B9">
        <w:rPr>
          <w:noProof/>
        </w:rPr>
        <w:tab/>
      </w:r>
      <w:r w:rsidR="00721141" w:rsidRPr="007D5123">
        <w:rPr>
          <w:noProof/>
        </w:rPr>
        <w:t>Minħabba l-pożizzjoni ġeografika remota tal-Iżlanda u l-isfidi relatati mal-kalkolu tal-konsum finali gross tal-enerġija fir-rigward tal-ammont ta’ enerġija kkunsmata fl-avjazzjoni, l-istess livell limitu bħal dak mogħti lil Ċipru u lil Malta fl-Artikolu 7 tad-Direttiva (UE) 2018/2001 jenħtieġ li japplika għall-Iżlanda.</w:t>
      </w:r>
    </w:p>
    <w:p w:rsidR="008D45CB" w:rsidRPr="007D5123" w:rsidRDefault="00D523B9" w:rsidP="00D523B9">
      <w:pPr>
        <w:pStyle w:val="ManualConsidrant"/>
        <w:rPr>
          <w:noProof/>
        </w:rPr>
      </w:pPr>
      <w:r w:rsidRPr="00D523B9">
        <w:rPr>
          <w:noProof/>
        </w:rPr>
        <w:t>(7)</w:t>
      </w:r>
      <w:r w:rsidRPr="00D523B9">
        <w:rPr>
          <w:noProof/>
        </w:rPr>
        <w:tab/>
      </w:r>
      <w:r w:rsidR="00721141" w:rsidRPr="007D5123">
        <w:rPr>
          <w:noProof/>
        </w:rPr>
        <w:t>Fir-rigward tal-proċeduri tal-għoti tal-permessi stabbiliti fl-Artikolu 16 tad-Direttiva (UE) 2018/2001, id-Deċiżjoni tal-Kumitat Konġunt tqis l-obbligi partikolari tan-Norveġja li tikkonsulta mal-poplu Sami, sabiex jiġi żgurat li l-perjodi ta’ żmien għall-proċess tal-għoti tal-permessi msemmija fl-Artikoli 16(4), 16(5) u 16(6) tad-Direttiva (UE) 2018/2001 jkunu jistgħu jiġu estiżi sa sena.</w:t>
      </w:r>
    </w:p>
    <w:p w:rsidR="0006302B" w:rsidRPr="007D5123" w:rsidRDefault="00D523B9" w:rsidP="00D523B9">
      <w:pPr>
        <w:pStyle w:val="ManualConsidrant"/>
        <w:rPr>
          <w:noProof/>
        </w:rPr>
      </w:pPr>
      <w:r w:rsidRPr="00D523B9">
        <w:rPr>
          <w:noProof/>
        </w:rPr>
        <w:t>(8)</w:t>
      </w:r>
      <w:r w:rsidRPr="00D523B9">
        <w:rPr>
          <w:noProof/>
        </w:rPr>
        <w:tab/>
      </w:r>
      <w:r w:rsidR="0006302B" w:rsidRPr="007D5123">
        <w:rPr>
          <w:noProof/>
        </w:rPr>
        <w:t>L-Istati tal-EFTA jenħtieġ li jsegwu l-politika tal-Unjoni fir-rigward tar-rikonoxximent reċiproku ta’ garanziji tal-oriġini ma’ pajjiżi terzi stabbilita fl-Artikolu 19(11) tad-Direttiva (UE) 2018/2001. Għaldaqstant, jenħtieġ li ma jirrikonoxxux il-garanziji tal-oriġini maħruġa minn pajjiż terz sakemm l-Unjoni ma tkunx ikkonkludiet ftehim ma’ dak il-pajjiż terz, u l-kriterji stabbiliti f’dak l-Artikolu ma jkunux ġew issodisfati. Għaldaqstant, l-Artikolu 19(11) tad-Direttiva (UE) 2018/2001 ġie adattat skont dan.</w:t>
      </w:r>
    </w:p>
    <w:p w:rsidR="00721141" w:rsidRPr="007D5123" w:rsidRDefault="00D523B9" w:rsidP="00D523B9">
      <w:pPr>
        <w:pStyle w:val="ManualConsidrant"/>
        <w:rPr>
          <w:noProof/>
        </w:rPr>
      </w:pPr>
      <w:r w:rsidRPr="00D523B9">
        <w:rPr>
          <w:noProof/>
        </w:rPr>
        <w:t>(9)</w:t>
      </w:r>
      <w:r w:rsidRPr="00D523B9">
        <w:rPr>
          <w:noProof/>
        </w:rPr>
        <w:tab/>
      </w:r>
      <w:r w:rsidR="00721141" w:rsidRPr="007D5123">
        <w:rPr>
          <w:noProof/>
        </w:rPr>
        <w:t>Peress li n-Norveġja u l-Iżlanda għandhom ishma ta’ elettriku rinnovabbli għoljin u n-Norveġja tuża dak l-elettriku b’mod predominanti għal skopijiet ta’ tisħin filwaqt li l-Iżlanda tkopri d-domanda tagħha għat-tisħin minn sorsi ġeotermali rinnovabbli jew minn elettriku rinnovabbli, huwa xieraq li jiġu adattati l-metodi ta’ kalkolu relatati mal-integrazzjoni tat-tisħin u t-tkessiħ stabbiliti fl-Artikolu 23 tad-Direttiva (UE) 2018/2001.</w:t>
      </w:r>
    </w:p>
    <w:p w:rsidR="0006302B" w:rsidRPr="007D5123" w:rsidRDefault="00D523B9" w:rsidP="00D523B9">
      <w:pPr>
        <w:pStyle w:val="ManualConsidrant"/>
        <w:rPr>
          <w:noProof/>
        </w:rPr>
      </w:pPr>
      <w:r w:rsidRPr="00D523B9">
        <w:rPr>
          <w:noProof/>
        </w:rPr>
        <w:t>(10)</w:t>
      </w:r>
      <w:r w:rsidRPr="00D523B9">
        <w:rPr>
          <w:noProof/>
        </w:rPr>
        <w:tab/>
      </w:r>
      <w:r w:rsidR="0006302B" w:rsidRPr="007D5123">
        <w:rPr>
          <w:noProof/>
        </w:rPr>
        <w:t xml:space="preserve"> Barra minn hekk, bħalissa ma huwiex possibbli li l-Liechtenstein japplika l-Artikoli 25 sa 31 tad-Direttiva (UE) 2018/2001 dwar l-enerġija rinnovabbli fis-settur tat-trasport u r-rekwiżiti ta’ sostenibbiltà għall-fjuwils rinnovabbli, peress li l-politika dwar il-fjuwils hija rregolata fl-unjoni reġjonali tal-Liechtenstein mal-Iżvizzera. Għaldaqstant, jenħtieġ li tingħata deroga temporanja lil-Liechtenstein, filwaqt li jitqies li f’dik l-unjoni reġjonali tapplika sistema ta’ żieda fil-bijofjuwils ibbażata fuq mekkaniżmu ta’ kumpens tas-CO2 b’mira ta’ 23 % applikabbli mill-2024. Id-deroga jenħtieġ li tapplika biss sakemm id-Direttiva (UE) 2018/2001 kif emendata bid-Direttiva (UE) 2023/2413 tkun ġiet inkorporata fil-Ftehim ŻEE.</w:t>
      </w:r>
    </w:p>
    <w:p w:rsidR="00112030" w:rsidRPr="007D5123" w:rsidRDefault="00D523B9" w:rsidP="00D523B9">
      <w:pPr>
        <w:pStyle w:val="ManualConsidrant"/>
        <w:rPr>
          <w:noProof/>
        </w:rPr>
      </w:pPr>
      <w:r w:rsidRPr="00D523B9">
        <w:rPr>
          <w:noProof/>
        </w:rPr>
        <w:t>(11)</w:t>
      </w:r>
      <w:r w:rsidRPr="00D523B9">
        <w:rPr>
          <w:noProof/>
        </w:rPr>
        <w:tab/>
      </w:r>
      <w:r w:rsidR="00112030" w:rsidRPr="007D5123">
        <w:rPr>
          <w:noProof/>
        </w:rPr>
        <w:t>Għaldaqstant, jenħtieġ li l-Anness IV (Enerġija) għall-Ftehim ŻEE jiġi emendat skont dan.</w:t>
      </w:r>
    </w:p>
    <w:p w:rsidR="00112030" w:rsidRPr="007D5123" w:rsidRDefault="00D523B9" w:rsidP="00D523B9">
      <w:pPr>
        <w:pStyle w:val="ManualConsidrant"/>
        <w:rPr>
          <w:noProof/>
        </w:rPr>
      </w:pPr>
      <w:r w:rsidRPr="00D523B9">
        <w:rPr>
          <w:noProof/>
        </w:rPr>
        <w:t>(12)</w:t>
      </w:r>
      <w:r w:rsidRPr="00D523B9">
        <w:rPr>
          <w:noProof/>
        </w:rPr>
        <w:tab/>
      </w:r>
      <w:r w:rsidR="00112030" w:rsidRPr="007D5123">
        <w:rPr>
          <w:noProof/>
        </w:rPr>
        <w:t>Għaldaqstant, jenħtieġ li l-pożizzjoni tal-Unjoni fil-Kumitat Konġunt taż-ŻEE tkun ibbażata fuq l-abbozz tad-Deċiżjoni mehmuża,</w:t>
      </w:r>
    </w:p>
    <w:p w:rsidR="00112030" w:rsidRPr="007D5123" w:rsidRDefault="00112030" w:rsidP="00112030">
      <w:pPr>
        <w:pStyle w:val="Formuledadoption"/>
        <w:rPr>
          <w:noProof/>
        </w:rPr>
      </w:pPr>
      <w:r w:rsidRPr="007D5123">
        <w:rPr>
          <w:noProof/>
        </w:rPr>
        <w:t xml:space="preserve">ADOTTA DIN ID-DEĊIŻJONI: </w:t>
      </w:r>
    </w:p>
    <w:p w:rsidR="00112030" w:rsidRPr="007D5123" w:rsidRDefault="00112030" w:rsidP="00112030">
      <w:pPr>
        <w:pStyle w:val="Titrearticle"/>
        <w:rPr>
          <w:noProof/>
        </w:rPr>
      </w:pPr>
      <w:r w:rsidRPr="007D5123">
        <w:rPr>
          <w:noProof/>
        </w:rPr>
        <w:t>Artikolu 1</w:t>
      </w:r>
    </w:p>
    <w:p w:rsidR="00112030" w:rsidRPr="007D5123" w:rsidRDefault="00112030" w:rsidP="00112030">
      <w:pPr>
        <w:pStyle w:val="Body"/>
        <w:rPr>
          <w:noProof/>
        </w:rPr>
      </w:pPr>
      <w:r w:rsidRPr="007D5123">
        <w:rPr>
          <w:noProof/>
        </w:rPr>
        <w:t>Il-pożizzjoni li għandha tiġi adottata, f’isem l-Unjoni, fil-Kumitat Konġunt taż-ŻEE dwar l-emenda proposta tal-Anness IV (Enerġija) għall-Ftehim ŻEE, għandha tkun ibbażata fuq l-abbozz ta’ Deċiżjoni tal-Kumitat Konġunt taż-ŻEE mehmuż ma’ din id-Deċiżjoni.</w:t>
      </w:r>
    </w:p>
    <w:p w:rsidR="00112030" w:rsidRPr="007D5123" w:rsidRDefault="00112030" w:rsidP="00B8068A">
      <w:pPr>
        <w:pStyle w:val="Titrearticle"/>
        <w:rPr>
          <w:noProof/>
        </w:rPr>
      </w:pPr>
      <w:r w:rsidRPr="007D5123">
        <w:rPr>
          <w:noProof/>
        </w:rPr>
        <w:t>Artikolu 2</w:t>
      </w:r>
    </w:p>
    <w:p w:rsidR="00112030" w:rsidRPr="007D5123" w:rsidRDefault="00112030" w:rsidP="00112030">
      <w:pPr>
        <w:pStyle w:val="Body"/>
        <w:keepLines/>
        <w:rPr>
          <w:noProof/>
        </w:rPr>
      </w:pPr>
      <w:r w:rsidRPr="007D5123">
        <w:rPr>
          <w:noProof/>
        </w:rPr>
        <w:t>Din id-Deċiżjoni għandha tidħol fis-seħħ fil-jum tal-adozzjoni tagħha.</w:t>
      </w:r>
    </w:p>
    <w:p w:rsidR="00112030" w:rsidRPr="007D5123" w:rsidRDefault="007D5123" w:rsidP="00B8068A">
      <w:pPr>
        <w:pStyle w:val="Fait"/>
        <w:rPr>
          <w:noProof/>
        </w:rPr>
      </w:pPr>
      <w:r>
        <w:rPr>
          <w:noProof/>
        </w:rPr>
        <w:t>Magħmul fi Brussell,</w:t>
      </w:r>
    </w:p>
    <w:p w:rsidR="00112030" w:rsidRPr="007D5123" w:rsidRDefault="00112030" w:rsidP="00B8068A">
      <w:pPr>
        <w:pStyle w:val="Institutionquisigne"/>
        <w:rPr>
          <w:noProof/>
        </w:rPr>
      </w:pPr>
      <w:r w:rsidRPr="007D5123">
        <w:rPr>
          <w:noProof/>
        </w:rPr>
        <w:tab/>
        <w:t>Għall-Kunsill</w:t>
      </w:r>
    </w:p>
    <w:p w:rsidR="00112030" w:rsidRPr="007D5123" w:rsidRDefault="00112030" w:rsidP="00112030">
      <w:pPr>
        <w:pStyle w:val="Personnequisigne"/>
        <w:rPr>
          <w:noProof/>
        </w:rPr>
      </w:pPr>
      <w:r w:rsidRPr="007D5123">
        <w:rPr>
          <w:noProof/>
        </w:rPr>
        <w:tab/>
        <w:t>Il-President</w:t>
      </w:r>
    </w:p>
    <w:sectPr w:rsidR="00112030" w:rsidRPr="007D5123" w:rsidSect="007C3780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07" w:rsidRDefault="00C80E07" w:rsidP="00112030">
      <w:pPr>
        <w:spacing w:before="0" w:after="0"/>
      </w:pPr>
      <w:r>
        <w:separator/>
      </w:r>
    </w:p>
  </w:endnote>
  <w:endnote w:type="continuationSeparator" w:id="0">
    <w:p w:rsidR="00C80E07" w:rsidRDefault="00C80E07" w:rsidP="001120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80" w:rsidRPr="007C3780" w:rsidRDefault="007C3780" w:rsidP="007C3780">
    <w:pPr>
      <w:pStyle w:val="Footer"/>
      <w:rPr>
        <w:rFonts w:ascii="Arial" w:hAnsi="Arial" w:cs="Arial"/>
        <w:b/>
        <w:sz w:val="48"/>
      </w:rPr>
    </w:pPr>
    <w:r w:rsidRPr="007C3780">
      <w:rPr>
        <w:rFonts w:ascii="Arial" w:hAnsi="Arial" w:cs="Arial"/>
        <w:b/>
        <w:sz w:val="48"/>
      </w:rPr>
      <w:t>MT</w:t>
    </w:r>
    <w:r w:rsidRPr="007C3780">
      <w:rPr>
        <w:rFonts w:ascii="Arial" w:hAnsi="Arial" w:cs="Arial"/>
        <w:b/>
        <w:sz w:val="48"/>
      </w:rPr>
      <w:tab/>
    </w:r>
    <w:r w:rsidRPr="007C3780">
      <w:rPr>
        <w:rFonts w:ascii="Arial" w:hAnsi="Arial" w:cs="Arial"/>
        <w:b/>
        <w:sz w:val="48"/>
      </w:rPr>
      <w:tab/>
    </w:r>
    <w:r w:rsidRPr="007C3780">
      <w:tab/>
    </w:r>
    <w:r w:rsidRPr="007C3780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80" w:rsidRPr="007C3780" w:rsidRDefault="007C3780" w:rsidP="007C3780">
    <w:pPr>
      <w:pStyle w:val="Footer"/>
      <w:rPr>
        <w:rFonts w:ascii="Arial" w:hAnsi="Arial" w:cs="Arial"/>
        <w:b/>
        <w:sz w:val="48"/>
      </w:rPr>
    </w:pPr>
    <w:r w:rsidRPr="007C3780">
      <w:rPr>
        <w:rFonts w:ascii="Arial" w:hAnsi="Arial" w:cs="Arial"/>
        <w:b/>
        <w:sz w:val="48"/>
      </w:rPr>
      <w:t>MT</w:t>
    </w:r>
    <w:r w:rsidRPr="007C3780">
      <w:rPr>
        <w:rFonts w:ascii="Arial" w:hAnsi="Arial" w:cs="Arial"/>
        <w:b/>
        <w:sz w:val="48"/>
      </w:rPr>
      <w:tab/>
    </w:r>
    <w:r w:rsidRPr="007C3780">
      <w:rPr>
        <w:rFonts w:ascii="Arial" w:hAnsi="Arial" w:cs="Arial"/>
        <w:b/>
        <w:sz w:val="48"/>
      </w:rPr>
      <w:tab/>
    </w:r>
    <w:r w:rsidRPr="007C3780">
      <w:tab/>
    </w:r>
    <w:r w:rsidRPr="007C3780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80" w:rsidRDefault="007C378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80" w:rsidRPr="007C3780" w:rsidRDefault="007C3780" w:rsidP="007C3780">
    <w:pPr>
      <w:pStyle w:val="Footer"/>
      <w:rPr>
        <w:rFonts w:ascii="Arial" w:hAnsi="Arial" w:cs="Arial"/>
        <w:b/>
        <w:sz w:val="48"/>
      </w:rPr>
    </w:pPr>
    <w:r w:rsidRPr="007C3780">
      <w:rPr>
        <w:rFonts w:ascii="Arial" w:hAnsi="Arial" w:cs="Arial"/>
        <w:b/>
        <w:sz w:val="48"/>
      </w:rPr>
      <w:t>MT</w:t>
    </w:r>
    <w:r w:rsidRPr="007C3780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B8068A">
      <w:rPr>
        <w:noProof/>
      </w:rPr>
      <w:t>6</w:t>
    </w:r>
    <w:r>
      <w:fldChar w:fldCharType="end"/>
    </w:r>
    <w:r>
      <w:tab/>
    </w:r>
    <w:r w:rsidRPr="007C3780">
      <w:tab/>
    </w:r>
    <w:r w:rsidRPr="007C3780"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80" w:rsidRDefault="007C3780" w:rsidP="007C3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07" w:rsidRDefault="00C80E07" w:rsidP="00112030">
      <w:pPr>
        <w:spacing w:before="0" w:after="0"/>
      </w:pPr>
      <w:r>
        <w:separator/>
      </w:r>
    </w:p>
  </w:footnote>
  <w:footnote w:type="continuationSeparator" w:id="0">
    <w:p w:rsidR="00C80E07" w:rsidRDefault="00C80E07" w:rsidP="00112030">
      <w:pPr>
        <w:spacing w:before="0" w:after="0"/>
      </w:pPr>
      <w:r>
        <w:continuationSeparator/>
      </w:r>
    </w:p>
  </w:footnote>
  <w:footnote w:id="1">
    <w:p w:rsidR="007A5A35" w:rsidRPr="007A5A35" w:rsidRDefault="007A5A35">
      <w:pPr>
        <w:pStyle w:val="FootnoteText"/>
      </w:pPr>
      <w:r>
        <w:rPr>
          <w:rStyle w:val="FootnoteReference"/>
        </w:rPr>
        <w:footnoteRef/>
      </w:r>
      <w:r>
        <w:tab/>
        <w:t>Ir-Regolament Delegat tal-Kummissjoni (UE) 2022/759 tal-14 ta’ Diċembru 2021 li jemenda l-Anness VII tad-Direttiva (UE) 2018/2001 tal-Parlament Ewropew u tal-Kunsill fir-rigward ta’ metodoloġija għall-kalkolu tal-ammont ta’ enerġija rinnovabbli użata għat-tkessiħ u għat-tkessiħ distrettwali, ĠU L 139, 18.5.2022, p. 1.</w:t>
      </w:r>
    </w:p>
  </w:footnote>
  <w:footnote w:id="2">
    <w:p w:rsidR="007A5A35" w:rsidRPr="007A5A35" w:rsidRDefault="007A5A35">
      <w:pPr>
        <w:pStyle w:val="FootnoteText"/>
      </w:pPr>
      <w:r>
        <w:rPr>
          <w:rStyle w:val="FootnoteReference"/>
        </w:rPr>
        <w:footnoteRef/>
      </w:r>
      <w:r>
        <w:tab/>
        <w:t xml:space="preserve">Id-Direttiva (UE) 2018/2001 tal-Parlament Ewropew u tal-Kunsill tal-11 ta’ Diċembru 2018 dwar il-promozzjoni tal-użu tal-enerġija minn sorsi rinnovabbli ĠU L 328, 21.12.2018, p. 82, kif korretta bil-ĠU L 311, 25.9.2020, p. 11 u ĠU L 41, 22.2.2022, p. 37. </w:t>
      </w:r>
    </w:p>
  </w:footnote>
  <w:footnote w:id="3">
    <w:p w:rsidR="00977C02" w:rsidRPr="00977C02" w:rsidRDefault="00977C02">
      <w:pPr>
        <w:pStyle w:val="FootnoteText"/>
      </w:pPr>
      <w:r>
        <w:rPr>
          <w:rStyle w:val="FootnoteReference"/>
        </w:rPr>
        <w:footnoteRef/>
      </w:r>
      <w:r>
        <w:tab/>
        <w:t>Ir-Regolament tal-Kunsill (KE) Nru 2894/94 tat-28 ta’ Novembru 1994 dwar l-arranġamenti għall-implimentazzjoni tal-Ftehim dwar iż-Żona Ekonomika Ewropea, ĠU L 305, 30.11.1994, p. 6.</w:t>
      </w:r>
    </w:p>
  </w:footnote>
  <w:footnote w:id="4">
    <w:p w:rsidR="00112030" w:rsidRPr="007D5123" w:rsidRDefault="00112030" w:rsidP="00112030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7D5123">
        <w:rPr>
          <w:lang w:val="fr-BE"/>
        </w:rPr>
        <w:tab/>
        <w:t xml:space="preserve">Is-sentenza tal-Qorti tal-Ġustizzja tas-7 ta’ Ottubru 2014, Il-Ġermanja vs Il-Kunsill, C-399/12, ECLI:EU:C:2014:2258, il-paragrafi 61 sa 64. </w:t>
      </w:r>
    </w:p>
  </w:footnote>
  <w:footnote w:id="5">
    <w:p w:rsidR="00112030" w:rsidRPr="007D5123" w:rsidRDefault="00112030" w:rsidP="00112030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7D5123">
        <w:rPr>
          <w:lang w:val="fr-BE"/>
        </w:rPr>
        <w:tab/>
        <w:t>ĠU L 305, 30.11.1994, p. 6.</w:t>
      </w:r>
    </w:p>
  </w:footnote>
  <w:footnote w:id="6">
    <w:p w:rsidR="00112030" w:rsidRPr="007D5123" w:rsidRDefault="00112030" w:rsidP="00112030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7D5123">
        <w:rPr>
          <w:lang w:val="fr-BE"/>
        </w:rPr>
        <w:tab/>
        <w:t>ĠU L 1, 3.1.1994, p. 3.</w:t>
      </w:r>
    </w:p>
  </w:footnote>
  <w:footnote w:id="7">
    <w:p w:rsidR="009C4A33" w:rsidRPr="007D5123" w:rsidRDefault="009C4A33" w:rsidP="009C4A33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7D5123">
        <w:rPr>
          <w:lang w:val="fr-BE"/>
        </w:rPr>
        <w:tab/>
        <w:t>Ir-Regolament Delegat tal-Kummissjoni (UE) 2022/759 tal-14 ta’ Diċembru 2021 li jemenda l-Anness VII tad-Direttiva (UE) 2018/2001 tal-Parlament Ewropew u tal-Kunsill fir-rigward ta’ metodoloġija għall-kalkolu tal-ammont ta’ enerġija rinnovabbli użata għat-tkessiħ u għat-tkessiħ distrettwali, (ĠU L 139, 18.5.2022, p. 1).</w:t>
      </w:r>
    </w:p>
  </w:footnote>
  <w:footnote w:id="8">
    <w:p w:rsidR="009C4A33" w:rsidRPr="007D5123" w:rsidRDefault="009C4A33" w:rsidP="009C4A33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7D5123">
        <w:rPr>
          <w:lang w:val="fr-BE"/>
        </w:rPr>
        <w:tab/>
        <w:t xml:space="preserve">Id-Direttiva (UE) 2018/2001 tal-Parlament Ewropew u tal-Kunsill tal-11 ta’ Diċembru 2018 dwar il-promozzjoni tal-użu tal-enerġija minn sorsi rinnovabbli ĠU L 328, 21.12.2018, p. 82, kif korretta bil-ĠU L 311, 25.9.2020, p. 11 u ĠU L 41, 22.2.2022, p. 37.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80" w:rsidRDefault="007C3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80" w:rsidRDefault="007C3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BD48F5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0BC1C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2B6C3D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C8528C7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FCF866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49277D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6C22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B2A3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21"/>
  </w:num>
  <w:num w:numId="14">
    <w:abstractNumId w:val="11"/>
  </w:num>
  <w:num w:numId="15">
    <w:abstractNumId w:val="13"/>
  </w:num>
  <w:num w:numId="16">
    <w:abstractNumId w:val="14"/>
  </w:num>
  <w:num w:numId="17">
    <w:abstractNumId w:val="9"/>
  </w:num>
  <w:num w:numId="18">
    <w:abstractNumId w:val="20"/>
  </w:num>
  <w:num w:numId="19">
    <w:abstractNumId w:val="8"/>
  </w:num>
  <w:num w:numId="20">
    <w:abstractNumId w:val="15"/>
  </w:num>
  <w:num w:numId="21">
    <w:abstractNumId w:val="17"/>
  </w:num>
  <w:num w:numId="22">
    <w:abstractNumId w:val="18"/>
  </w:num>
  <w:num w:numId="23">
    <w:abstractNumId w:val="10"/>
  </w:num>
  <w:num w:numId="24">
    <w:abstractNumId w:val="16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it-IT" w:vendorID="64" w:dllVersion="0" w:nlCheck="1" w:checkStyle="0"/>
  <w:activeWritingStyle w:appName="MSWord" w:lang="fr-BE" w:vendorID="64" w:dllVersion="0" w:nlCheck="1" w:checkStyle="0"/>
  <w:attachedTemplate r:id="rId1"/>
  <w:revisionView w:markup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25-06-10 07:51:01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5707EF3E-1127-4D1E-8A4B-21A9244D1108"/>
    <w:docVar w:name="LW_COVERPAGE_TYPE" w:val="1"/>
    <w:docVar w:name="LW_CROSSREFERENCE" w:val="&lt;UNUSED&gt;"/>
    <w:docVar w:name="LW_DocType" w:val="COM"/>
    <w:docVar w:name="LW_EMISSION" w:val="13.6.2025"/>
    <w:docVar w:name="LW_EMISSION_ISODATE" w:val="2025-06-13"/>
    <w:docVar w:name="LW_EMISSION_LOCATION" w:val="BRX"/>
    <w:docVar w:name="LW_EMISSION_PREFIX" w:val="Brussell, "/>
    <w:docVar w:name="LW_EMISSION_SUFFIX" w:val=" "/>
    <w:docVar w:name="LW_ID_DOCMODEL" w:val="SJ-043"/>
    <w:docVar w:name="LW_ID_DOCSIGNATURE" w:val="SJ-019"/>
    <w:docVar w:name="LW_ID_DOCSTRUCTURE" w:val="COM/PL/ORG"/>
    <w:docVar w:name="LW_ID_DOCTYPE" w:val="SJ-043"/>
    <w:docVar w:name="LW_ID_EXP.MOTIFS.NEW" w:val="EM_PL2_"/>
    <w:docVar w:name="LW_ID_STATUT" w:val="SJ-019"/>
    <w:docVar w:name="LW_INTERETEEE.CP" w:val="(Test b\u8217?rilevanza g\u295?a\u380?-\u379?EE)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164"/>
    <w:docVar w:name="LW_REF.II.NEW.CP_YEAR" w:val="2025"/>
    <w:docVar w:name="LW_REF.INST.NEW" w:val="COM"/>
    <w:docVar w:name="LW_REF.INST.NEW_ADOPTED" w:val="final"/>
    <w:docVar w:name="LW_REF.INST.NEW_TEXT" w:val="(2025) 312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g\u295?al"/>
    <w:docVar w:name="LW_SUPERTITRE" w:val="&lt;UNUSED&gt;"/>
    <w:docVar w:name="LW_TITRE.OBJ.CP" w:val="dwar il-po\u380?izzjoni li g\u295?andha ti\u289?i adottata, f\u8217?isem l-Unjoni Ewropea, fil-Kumitat Kon\u289?unt ta\u380?-\u379?EE, dwar l-emenda tal-Anness IV (Ener\u289?ija) tal-Ftehim \u379?EE_x000b__x000b_(RED II)_x000b__x000b_"/>
    <w:docVar w:name="LW_TYPE.DOC.CP" w:val="DE\u266?I\u379?JONI TAL-KUNSILL"/>
    <w:docVar w:name="LwApiVersions" w:val="LW4CoDe 1.24.5.0; LW 9.0, Build 20240221"/>
  </w:docVars>
  <w:rsids>
    <w:rsidRoot w:val="00112030"/>
    <w:rsid w:val="000275DD"/>
    <w:rsid w:val="0003456D"/>
    <w:rsid w:val="00042C22"/>
    <w:rsid w:val="00050D4D"/>
    <w:rsid w:val="00052822"/>
    <w:rsid w:val="0006302B"/>
    <w:rsid w:val="00090B2C"/>
    <w:rsid w:val="000B7A7D"/>
    <w:rsid w:val="00106214"/>
    <w:rsid w:val="00112030"/>
    <w:rsid w:val="00132C7D"/>
    <w:rsid w:val="00132FCE"/>
    <w:rsid w:val="0014159F"/>
    <w:rsid w:val="00142FAC"/>
    <w:rsid w:val="00151199"/>
    <w:rsid w:val="00152894"/>
    <w:rsid w:val="00160597"/>
    <w:rsid w:val="00190744"/>
    <w:rsid w:val="0019548E"/>
    <w:rsid w:val="001A74BA"/>
    <w:rsid w:val="001C492A"/>
    <w:rsid w:val="00260C17"/>
    <w:rsid w:val="002A3F52"/>
    <w:rsid w:val="002B78BD"/>
    <w:rsid w:val="00326DE4"/>
    <w:rsid w:val="00345BB7"/>
    <w:rsid w:val="00372731"/>
    <w:rsid w:val="00396ACD"/>
    <w:rsid w:val="003A7930"/>
    <w:rsid w:val="003C1FA8"/>
    <w:rsid w:val="003E1600"/>
    <w:rsid w:val="00421CA4"/>
    <w:rsid w:val="00437AA5"/>
    <w:rsid w:val="00486846"/>
    <w:rsid w:val="00492396"/>
    <w:rsid w:val="004C5489"/>
    <w:rsid w:val="004E19F9"/>
    <w:rsid w:val="00513350"/>
    <w:rsid w:val="00517205"/>
    <w:rsid w:val="00542487"/>
    <w:rsid w:val="00556719"/>
    <w:rsid w:val="00567D86"/>
    <w:rsid w:val="00582810"/>
    <w:rsid w:val="00591C57"/>
    <w:rsid w:val="00595540"/>
    <w:rsid w:val="005B5FA6"/>
    <w:rsid w:val="005D141C"/>
    <w:rsid w:val="005F0CB3"/>
    <w:rsid w:val="006654AB"/>
    <w:rsid w:val="006F01B4"/>
    <w:rsid w:val="006F7EFE"/>
    <w:rsid w:val="0070711A"/>
    <w:rsid w:val="00720302"/>
    <w:rsid w:val="00721141"/>
    <w:rsid w:val="007339F2"/>
    <w:rsid w:val="00741237"/>
    <w:rsid w:val="00745EAD"/>
    <w:rsid w:val="00751D95"/>
    <w:rsid w:val="0079095A"/>
    <w:rsid w:val="00790E4E"/>
    <w:rsid w:val="00796038"/>
    <w:rsid w:val="007A5A35"/>
    <w:rsid w:val="007A689C"/>
    <w:rsid w:val="007C3780"/>
    <w:rsid w:val="007C7F02"/>
    <w:rsid w:val="007D0861"/>
    <w:rsid w:val="007D4E90"/>
    <w:rsid w:val="007D5123"/>
    <w:rsid w:val="007E010B"/>
    <w:rsid w:val="00802FC2"/>
    <w:rsid w:val="0082342A"/>
    <w:rsid w:val="008646C0"/>
    <w:rsid w:val="00865610"/>
    <w:rsid w:val="0088660C"/>
    <w:rsid w:val="008D45CB"/>
    <w:rsid w:val="008E0BD0"/>
    <w:rsid w:val="008E2694"/>
    <w:rsid w:val="008F1907"/>
    <w:rsid w:val="008F43AB"/>
    <w:rsid w:val="00906DC3"/>
    <w:rsid w:val="009134FD"/>
    <w:rsid w:val="00940731"/>
    <w:rsid w:val="00963E79"/>
    <w:rsid w:val="00977C02"/>
    <w:rsid w:val="009957C5"/>
    <w:rsid w:val="009B0959"/>
    <w:rsid w:val="009C38A8"/>
    <w:rsid w:val="009C4A33"/>
    <w:rsid w:val="00A03D78"/>
    <w:rsid w:val="00A140CF"/>
    <w:rsid w:val="00A21702"/>
    <w:rsid w:val="00A32D68"/>
    <w:rsid w:val="00A565C7"/>
    <w:rsid w:val="00A56FEB"/>
    <w:rsid w:val="00AB72F8"/>
    <w:rsid w:val="00B7765C"/>
    <w:rsid w:val="00B8068A"/>
    <w:rsid w:val="00B95228"/>
    <w:rsid w:val="00BA5628"/>
    <w:rsid w:val="00BB7C00"/>
    <w:rsid w:val="00C23CF4"/>
    <w:rsid w:val="00C3731F"/>
    <w:rsid w:val="00C50FA8"/>
    <w:rsid w:val="00C51F04"/>
    <w:rsid w:val="00C5682D"/>
    <w:rsid w:val="00C644C5"/>
    <w:rsid w:val="00C80E07"/>
    <w:rsid w:val="00C90852"/>
    <w:rsid w:val="00CE225D"/>
    <w:rsid w:val="00D523B9"/>
    <w:rsid w:val="00D83F23"/>
    <w:rsid w:val="00D96B28"/>
    <w:rsid w:val="00DA05DE"/>
    <w:rsid w:val="00DA4F00"/>
    <w:rsid w:val="00DB4B20"/>
    <w:rsid w:val="00E07235"/>
    <w:rsid w:val="00E33C9F"/>
    <w:rsid w:val="00E51D95"/>
    <w:rsid w:val="00E944A8"/>
    <w:rsid w:val="00E96AAD"/>
    <w:rsid w:val="00E979AB"/>
    <w:rsid w:val="00EB1A04"/>
    <w:rsid w:val="00EC39BC"/>
    <w:rsid w:val="00EE140B"/>
    <w:rsid w:val="00EE4DEB"/>
    <w:rsid w:val="00F00EF2"/>
    <w:rsid w:val="00F0296F"/>
    <w:rsid w:val="00F044F0"/>
    <w:rsid w:val="00F06362"/>
    <w:rsid w:val="00F361C3"/>
    <w:rsid w:val="00F47896"/>
    <w:rsid w:val="00F7391F"/>
    <w:rsid w:val="00F947E3"/>
    <w:rsid w:val="00FC2396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C3EBD551-65C4-406D-A249-2F37AC1A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8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8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8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12030"/>
    <w:pPr>
      <w:autoSpaceDE w:val="0"/>
      <w:autoSpaceDN w:val="0"/>
      <w:adjustRightInd w:val="0"/>
      <w:spacing w:before="0" w:after="0"/>
      <w:jc w:val="center"/>
    </w:pPr>
    <w:rPr>
      <w:rFonts w:eastAsia="Times New Roman"/>
      <w:i/>
      <w:iCs/>
      <w:szCs w:val="19"/>
    </w:rPr>
  </w:style>
  <w:style w:type="character" w:customStyle="1" w:styleId="BodyText2Char">
    <w:name w:val="Body Text 2 Char"/>
    <w:basedOn w:val="DefaultParagraphFont"/>
    <w:link w:val="BodyText2"/>
    <w:rsid w:val="00112030"/>
    <w:rPr>
      <w:rFonts w:ascii="Times New Roman" w:eastAsia="Times New Roman" w:hAnsi="Times New Roman" w:cs="Times New Roman"/>
      <w:i/>
      <w:iCs/>
      <w:sz w:val="24"/>
      <w:szCs w:val="19"/>
    </w:rPr>
  </w:style>
  <w:style w:type="paragraph" w:customStyle="1" w:styleId="Body">
    <w:name w:val="Body"/>
    <w:rsid w:val="00112030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Heading">
    <w:name w:val="Heading"/>
    <w:rsid w:val="00112030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850"/>
      </w:tabs>
      <w:spacing w:before="360" w:after="120" w:line="240" w:lineRule="auto"/>
      <w:jc w:val="both"/>
      <w:outlineLvl w:val="0"/>
    </w:pPr>
    <w:rPr>
      <w:rFonts w:ascii="Times New Roman" w:eastAsia="Arial Unicode MS" w:hAnsi="Times New Roman" w:cs="Arial Unicode MS"/>
      <w:b/>
      <w:bCs/>
      <w:smallCaps/>
      <w:color w:val="000000"/>
      <w:sz w:val="24"/>
      <w:szCs w:val="24"/>
      <w:u w:color="000000"/>
      <w:bdr w:val="ni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711A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70711A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70711A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0711A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0711A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0711A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70711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0711A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0711A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0711A"/>
    <w:pPr>
      <w:numPr>
        <w:numId w:val="10"/>
      </w:numPr>
      <w:contextualSpacing/>
    </w:pPr>
  </w:style>
  <w:style w:type="paragraph" w:customStyle="1" w:styleId="Normal1">
    <w:name w:val="Normal1"/>
    <w:basedOn w:val="Normal"/>
    <w:rsid w:val="00AB72F8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7C02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7C02"/>
    <w:rPr>
      <w:rFonts w:ascii="Times New Roman" w:hAnsi="Times New Roman" w:cs="Times New Roman"/>
      <w:sz w:val="20"/>
      <w:szCs w:val="20"/>
      <w:lang w:val="mt-MT"/>
    </w:rPr>
  </w:style>
  <w:style w:type="character" w:styleId="EndnoteReference">
    <w:name w:val="endnote reference"/>
    <w:basedOn w:val="DefaultParagraphFont"/>
    <w:uiPriority w:val="99"/>
    <w:semiHidden/>
    <w:unhideWhenUsed/>
    <w:rsid w:val="00977C0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345B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5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mt-MT"/>
    </w:rPr>
  </w:style>
  <w:style w:type="paragraph" w:styleId="Revision">
    <w:name w:val="Revision"/>
    <w:hidden/>
    <w:uiPriority w:val="99"/>
    <w:semiHidden/>
    <w:rsid w:val="00741237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302"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ListParagraph">
    <w:name w:val="List Paragraph"/>
    <w:basedOn w:val="Normal"/>
    <w:uiPriority w:val="34"/>
    <w:qFormat/>
    <w:rsid w:val="008D45CB"/>
    <w:pPr>
      <w:spacing w:before="0" w:after="200" w:line="276" w:lineRule="auto"/>
      <w:ind w:left="720"/>
      <w:contextualSpacing/>
      <w:jc w:val="left"/>
    </w:pPr>
    <w:rPr>
      <w:rFonts w:cstheme="minorBidi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3780"/>
    <w:rPr>
      <w:rFonts w:ascii="Times New Roman" w:hAnsi="Times New Roman" w:cs="Times New Roman"/>
      <w:sz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7C3780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7C37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7C3780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7C37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Tiret5">
    <w:name w:val="Tiret 5"/>
    <w:basedOn w:val="Point5"/>
    <w:pPr>
      <w:numPr>
        <w:numId w:val="1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7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7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7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9"/>
      </w:numPr>
    </w:pPr>
  </w:style>
  <w:style w:type="paragraph" w:customStyle="1" w:styleId="Point1number">
    <w:name w:val="Point 1 (number)"/>
    <w:basedOn w:val="Normal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pPr>
      <w:numPr>
        <w:ilvl w:val="8"/>
        <w:numId w:val="19"/>
      </w:numPr>
    </w:pPr>
  </w:style>
  <w:style w:type="paragraph" w:customStyle="1" w:styleId="Bullet0">
    <w:name w:val="Bullet 0"/>
    <w:basedOn w:val="Normal"/>
    <w:pPr>
      <w:numPr>
        <w:numId w:val="20"/>
      </w:numPr>
    </w:pPr>
  </w:style>
  <w:style w:type="paragraph" w:customStyle="1" w:styleId="Bullet1">
    <w:name w:val="Bullet 1"/>
    <w:basedOn w:val="Normal"/>
    <w:pPr>
      <w:numPr>
        <w:numId w:val="21"/>
      </w:numPr>
    </w:pPr>
  </w:style>
  <w:style w:type="paragraph" w:customStyle="1" w:styleId="Bullet2">
    <w:name w:val="Bullet 2"/>
    <w:basedOn w:val="Normal"/>
    <w:pPr>
      <w:numPr>
        <w:numId w:val="22"/>
      </w:numPr>
    </w:pPr>
  </w:style>
  <w:style w:type="paragraph" w:customStyle="1" w:styleId="Bullet3">
    <w:name w:val="Bullet 3"/>
    <w:basedOn w:val="Normal"/>
    <w:pPr>
      <w:numPr>
        <w:numId w:val="23"/>
      </w:numPr>
    </w:pPr>
  </w:style>
  <w:style w:type="paragraph" w:customStyle="1" w:styleId="Bullet4">
    <w:name w:val="Bullet 4"/>
    <w:basedOn w:val="Normal"/>
    <w:pPr>
      <w:numPr>
        <w:numId w:val="2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C3780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7C3780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C378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7C3780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6E61B-8F52-41BB-8C49-BAB78973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8</TotalTime>
  <Pages>7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dcterms:created xsi:type="dcterms:W3CDTF">2025-05-19T14:55:00Z</dcterms:created>
  <dcterms:modified xsi:type="dcterms:W3CDTF">2025-06-10T05:51:00Z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9.1, Build 20240808</vt:lpwstr>
  </property>
  <property fmtid="{D5CDD505-2E9C-101B-9397-08002B2CF9AE}" pid="5" name="Created using">
    <vt:lpwstr>LW 8.0.1, Build 20220429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SJ-043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2023-10-09T09:52:35Z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fc2499a2-6a14-4aea-b31d-3409488f6bb8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DQCStatus">
    <vt:lpwstr>Green (DQC version 03)</vt:lpwstr>
  </property>
</Properties>
</file>