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documenttasks/documenttasks1.xml" ContentType="application/vnd.ms-office.documenttask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046" w:rsidRPr="00FA17F7" w:rsidRDefault="000E521F" w:rsidP="000E521F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0787F88-5D15-478A-97FD-E4980CFB413F" style="width:455.25pt;height:425.25pt">
            <v:imagedata r:id="rId11" o:title=""/>
          </v:shape>
        </w:pict>
      </w:r>
    </w:p>
    <w:p w:rsidR="00CA0046" w:rsidRPr="00FA17F7" w:rsidRDefault="00CA0046" w:rsidP="00CA0046">
      <w:pPr>
        <w:rPr>
          <w:noProof/>
        </w:rPr>
        <w:sectPr w:rsidR="00CA0046" w:rsidRPr="00FA17F7" w:rsidSect="000E521F">
          <w:footerReference w:type="even" r:id="rId12"/>
          <w:footerReference w:type="defaul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CA0046" w:rsidRPr="00FA17F7" w:rsidRDefault="00CA0046" w:rsidP="009B37BC">
      <w:pPr>
        <w:pStyle w:val="Exposdesmotifstitre"/>
        <w:rPr>
          <w:noProof/>
        </w:rPr>
      </w:pPr>
      <w:bookmarkStart w:id="0" w:name="_GoBack"/>
      <w:bookmarkEnd w:id="0"/>
      <w:r w:rsidRPr="00FA17F7">
        <w:rPr>
          <w:noProof/>
        </w:rPr>
        <w:lastRenderedPageBreak/>
        <w:t>MEMORANDUM TA’ SPJEGAZZJONI</w:t>
      </w:r>
    </w:p>
    <w:p w:rsidR="00CA0046" w:rsidRPr="00FA17F7" w:rsidRDefault="008429B6" w:rsidP="008429B6">
      <w:pPr>
        <w:pStyle w:val="ManualHeading1"/>
        <w:rPr>
          <w:rFonts w:eastAsia="Arial Unicode MS"/>
          <w:noProof/>
        </w:rPr>
      </w:pPr>
      <w:r w:rsidRPr="008429B6">
        <w:rPr>
          <w:noProof/>
        </w:rPr>
        <w:t>1.</w:t>
      </w:r>
      <w:r w:rsidRPr="008429B6">
        <w:rPr>
          <w:noProof/>
        </w:rPr>
        <w:tab/>
      </w:r>
      <w:r w:rsidR="00CA0046" w:rsidRPr="00FA17F7">
        <w:rPr>
          <w:noProof/>
        </w:rPr>
        <w:t>Suġġett tal-proposta</w:t>
      </w:r>
    </w:p>
    <w:p w:rsidR="00CA0046" w:rsidRPr="00FA17F7" w:rsidRDefault="00B9721A" w:rsidP="009B37BC">
      <w:pPr>
        <w:rPr>
          <w:rFonts w:eastAsia="Arial Unicode MS"/>
          <w:noProof/>
        </w:rPr>
      </w:pPr>
      <w:r w:rsidRPr="00FA17F7">
        <w:rPr>
          <w:noProof/>
        </w:rPr>
        <w:t>Din il-proposta tikkonċerna d-deċiżjoni li tistabbilixxi l-pożizzjoni li għandha tittieħed f’isem l-Unjoni fit-18-il laqgħa tal-Kumitat tal-Partijiet (“CoP”, Committee of the Parties) tal-Konvenzjoni tal-Kunsill tal-Ewropa dwar il-Prevenzjoni u l-Ġlieda Kontra l-Vjolenza fuq in-Nisa u l-Vjolenza Domestika (“il-Konvenzjoni ta’ Istanbul” jew “il-Konvenzjoni”) fil-5-6 ta’ Ġunju 2025, rigward l-adozzjoni prevista ta’ tmien abbozzi ta’ rakkomandazzjonijiet u żewġ abbozzi ta’ konklużjonijiet indirizzati lil 10 Partijiet dwar l-implimentazzjoni tagħhom tal-Konvenzjoni.</w:t>
      </w:r>
    </w:p>
    <w:p w:rsidR="00CA0046" w:rsidRPr="00FA17F7" w:rsidRDefault="008429B6" w:rsidP="008429B6">
      <w:pPr>
        <w:pStyle w:val="ManualHeading1"/>
        <w:rPr>
          <w:noProof/>
        </w:rPr>
      </w:pPr>
      <w:r w:rsidRPr="008429B6">
        <w:rPr>
          <w:noProof/>
        </w:rPr>
        <w:t>2.</w:t>
      </w:r>
      <w:r w:rsidRPr="008429B6">
        <w:rPr>
          <w:noProof/>
        </w:rPr>
        <w:tab/>
      </w:r>
      <w:r w:rsidR="00CA0046" w:rsidRPr="00FA17F7">
        <w:rPr>
          <w:noProof/>
        </w:rPr>
        <w:t>Kuntest tal-proposta</w:t>
      </w:r>
    </w:p>
    <w:p w:rsidR="00CA0046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2.1.</w:t>
      </w:r>
      <w:r w:rsidRPr="008429B6">
        <w:rPr>
          <w:noProof/>
        </w:rPr>
        <w:tab/>
      </w:r>
      <w:r w:rsidR="00CA0046" w:rsidRPr="00FA17F7">
        <w:rPr>
          <w:noProof/>
        </w:rPr>
        <w:t>Il-Konvenzjoni ta’ Istanbul</w:t>
      </w:r>
    </w:p>
    <w:p w:rsidR="00B9721A" w:rsidRPr="00FA17F7" w:rsidRDefault="00CA0046" w:rsidP="00B9721A">
      <w:pPr>
        <w:rPr>
          <w:rFonts w:eastAsia="Arial Unicode MS"/>
          <w:noProof/>
        </w:rPr>
      </w:pPr>
      <w:r w:rsidRPr="00FA17F7">
        <w:rPr>
          <w:noProof/>
        </w:rPr>
        <w:t>Il-Konvenzjoni ta’ Istanbul tistabbilixxi sett komprensiv u armonizzat ta’ regoli għall-prevenzjoni u l-ġlieda kontra l-vjolenza fuq in-nisa u l-vjolenza domestika fl-Ewropa u lil hinn minnha. Il-Konvenzjoni daħlet fis-seħħ fl-1 ta’ Awwissu 2014.</w:t>
      </w:r>
    </w:p>
    <w:p w:rsidR="00B9721A" w:rsidRPr="00FA17F7" w:rsidRDefault="00B9721A" w:rsidP="0038302B">
      <w:pPr>
        <w:rPr>
          <w:b/>
          <w:bCs/>
          <w:noProof/>
        </w:rPr>
      </w:pPr>
      <w:r w:rsidRPr="00FA17F7">
        <w:rPr>
          <w:noProof/>
        </w:rPr>
        <w:t>L-UE ffirmat il-Konvenzjoni f’Ġunju 2017, u ffinalizzat il-proċedura tal-adeżjoni bid-depożitu ta’ żewġ strumenti ta’ approvazzjoni fit-28 ta’ Ġunju 2023, li skattaw id-dħul fis-seħħ tal-Konvenzjoni għall-UE fl-1 ta’ Ottubru 2023. L-UE ssieħbet mal-Konvenzjoni fir-rigward ta’ kwistjonijiet li jaqgħu fil-kompetenza esklużiva tagħha, jiġifieri fir-rigward ta’ kwistjonijiet relatati mal-istituzzjonijiet u l-amministrazzjoni pubblika tal-Unjoni</w:t>
      </w:r>
      <w:r w:rsidRPr="00FA17F7">
        <w:rPr>
          <w:rStyle w:val="FootnoteReference"/>
          <w:rFonts w:eastAsia="Arial Unicode MS"/>
          <w:noProof/>
        </w:rPr>
        <w:footnoteReference w:id="2"/>
      </w:r>
      <w:r w:rsidRPr="00FA17F7">
        <w:rPr>
          <w:noProof/>
        </w:rPr>
        <w:t xml:space="preserve"> u fir-rigward ta’ kwistjonijiet ta’ kooperazzjoni ġudizzjarja f’materji kriminali, l-ażil u n-non-refoulement</w:t>
      </w:r>
      <w:r w:rsidRPr="00FA17F7">
        <w:rPr>
          <w:rStyle w:val="FootnoteReference"/>
          <w:rFonts w:eastAsia="Arial Unicode MS"/>
          <w:noProof/>
        </w:rPr>
        <w:footnoteReference w:id="3"/>
      </w:r>
      <w:r w:rsidRPr="00FA17F7">
        <w:rPr>
          <w:noProof/>
        </w:rPr>
        <w:t>. L-Istati Membri kollha tal-UE ffirmaw il-Konvenzjoni u 22 minnhom irratifikawha</w:t>
      </w:r>
      <w:r w:rsidRPr="00FA17F7">
        <w:rPr>
          <w:rStyle w:val="FootnoteReference"/>
          <w:rFonts w:eastAsia="Arial Unicode MS"/>
          <w:noProof/>
        </w:rPr>
        <w:footnoteReference w:id="4"/>
      </w:r>
      <w:r w:rsidRPr="00FA17F7">
        <w:rPr>
          <w:noProof/>
        </w:rPr>
        <w:t>.</w:t>
      </w:r>
    </w:p>
    <w:p w:rsidR="00CA0046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2.2.</w:t>
      </w:r>
      <w:r w:rsidRPr="008429B6">
        <w:rPr>
          <w:noProof/>
        </w:rPr>
        <w:tab/>
      </w:r>
      <w:r w:rsidR="00CA0046" w:rsidRPr="00FA17F7">
        <w:rPr>
          <w:noProof/>
        </w:rPr>
        <w:t>Il-Kumitat tal-Partijiet</w:t>
      </w:r>
    </w:p>
    <w:p w:rsidR="00CA0046" w:rsidRPr="00FA17F7" w:rsidRDefault="00CA0046" w:rsidP="009B37BC">
      <w:pPr>
        <w:rPr>
          <w:rFonts w:eastAsia="Arial Unicode MS"/>
          <w:noProof/>
        </w:rPr>
      </w:pPr>
      <w:r w:rsidRPr="00FA17F7">
        <w:rPr>
          <w:noProof/>
        </w:rPr>
        <w:t>Is-CoP</w:t>
      </w:r>
      <w:r w:rsidR="00B9721A" w:rsidRPr="00FA17F7">
        <w:rPr>
          <w:rStyle w:val="FootnoteReference"/>
          <w:rFonts w:eastAsia="Arial Unicode MS"/>
          <w:noProof/>
        </w:rPr>
        <w:footnoteReference w:id="5"/>
      </w:r>
      <w:r w:rsidRPr="00FA17F7">
        <w:rPr>
          <w:noProof/>
        </w:rPr>
        <w:t xml:space="preserve"> huwa magħmul mir-rappreżentanti tal-Partijiet għall-Konvenzjoni. </w:t>
      </w:r>
      <w:bookmarkStart w:id="3" w:name="_Hlk165392736"/>
      <w:r w:rsidRPr="00FA17F7">
        <w:rPr>
          <w:noProof/>
        </w:rPr>
        <w:t>Il-partijiet iridu jagħmlu ħilithom biex, bħala r-rappreżentanti tagħhom,</w:t>
      </w:r>
      <w:bookmarkEnd w:id="3"/>
      <w:r w:rsidRPr="00FA17F7">
        <w:rPr>
          <w:noProof/>
        </w:rPr>
        <w:t xml:space="preserve"> jinnominaw l-aħjar esperti fil-qasam tal-prevenzjoni u l-ġlieda kontra l-vjolenza fuq in-nisa u l-vjolenza domestika</w:t>
      </w:r>
      <w:r w:rsidR="00B9721A" w:rsidRPr="00FA17F7">
        <w:rPr>
          <w:rStyle w:val="FootnoteReference"/>
          <w:rFonts w:eastAsia="Arial Unicode MS"/>
          <w:noProof/>
        </w:rPr>
        <w:footnoteReference w:id="6"/>
      </w:r>
      <w:r w:rsidRPr="00FA17F7">
        <w:rPr>
          <w:noProof/>
        </w:rPr>
        <w:t>. Il-kompiti fdati lis-CoP huma elenkati fir-Regola 1 tar-Regoli ta’ Proċedura tiegħu</w:t>
      </w:r>
      <w:r w:rsidR="00B9721A" w:rsidRPr="00FA17F7">
        <w:rPr>
          <w:rStyle w:val="FootnoteReference"/>
          <w:rFonts w:eastAsia="Arial Unicode MS"/>
          <w:noProof/>
        </w:rPr>
        <w:footnoteReference w:id="7"/>
      </w:r>
      <w:r w:rsidRPr="00FA17F7">
        <w:rPr>
          <w:noProof/>
        </w:rPr>
        <w:t>. Fl-1 ta’ Ottubru 2023 l-UE saret Parti għall-Konvenzjoni ta’ Istanbul u, bħala tali, membru tas-CoP (l-Artikolu 67(1) tal-Konvenzjoni).</w:t>
      </w:r>
    </w:p>
    <w:p w:rsidR="00B9721A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2.3.</w:t>
      </w:r>
      <w:r w:rsidRPr="008429B6">
        <w:rPr>
          <w:noProof/>
        </w:rPr>
        <w:tab/>
      </w:r>
      <w:r w:rsidR="00B9721A" w:rsidRPr="00FA17F7">
        <w:rPr>
          <w:noProof/>
        </w:rPr>
        <w:t>Il-mekkaniżmu ta’ monitoraġġ tal-Konvenzjoni ta’ Istanbul</w:t>
      </w:r>
    </w:p>
    <w:p w:rsidR="00425494" w:rsidRPr="00FA17F7" w:rsidRDefault="00425494" w:rsidP="00425494">
      <w:pPr>
        <w:rPr>
          <w:noProof/>
        </w:rPr>
      </w:pPr>
      <w:r w:rsidRPr="00FA17F7">
        <w:rPr>
          <w:noProof/>
        </w:rPr>
        <w:t>Il-Konvenzjoni ta’ Istanbul tistabbilixxi mekkaniżmu ta’ monitoraġġ li jiżgura li l-Partijiet jagħmlu implimentazzjoni effettiva</w:t>
      </w:r>
      <w:r w:rsidRPr="00FA17F7">
        <w:rPr>
          <w:rStyle w:val="FootnoteReference"/>
          <w:noProof/>
        </w:rPr>
        <w:footnoteReference w:id="8"/>
      </w:r>
      <w:r w:rsidRPr="00FA17F7">
        <w:rPr>
          <w:noProof/>
        </w:rPr>
        <w:t>. L-għan huwa li ssir valutazzjoni dwar kif il-Konvenzjoni titħaddem fil-prattika u li tingħata gwida lill-Partijiet. Il-mekkaniżmu ta’ monitoraġġ jikkonsisti minn żewġ korpi distinti, iżda li jinteraġixxu bejniethom: korp ta’ esperti indipendenti (il-Grupp ta’ Esperti dwar l-Azzjoni kontra l-Vjolenza fuq in-Nisa u l-Vjolenza Domestika “GREVIO”); u s-CoP.</w:t>
      </w:r>
    </w:p>
    <w:p w:rsidR="00253AFB" w:rsidRPr="00FA17F7" w:rsidRDefault="00425494" w:rsidP="002348E5">
      <w:pPr>
        <w:rPr>
          <w:noProof/>
        </w:rPr>
      </w:pPr>
      <w:r w:rsidRPr="00FA17F7">
        <w:rPr>
          <w:noProof/>
        </w:rPr>
        <w:t>GREVIO huwa grupp indipendenti ta’ esperti bil-kompitu li jimmonitorja l-implimentazzjoni tal-Konvenzjoni ta’ Istanbul fuq bażi ta’ pajjiż b’pajjiż, f’konformità mal-Artikolu 66(1) tal-Konvenzjoni. Il-proċedura ta’ monitoraġġ hija stabbilita fl-Artikolu 68 tal-Konvenzjoni. F’konformità mal-Artikolu 68(1) tal-Konvenzjoni, il-Partijiet il-ġodda huma meħtieġa jippreżentaw rapport, ibbażat fuq kwestjonarju mħejji mill-GREVIO, li jagħti dettalji dwar il-miżuri leġiżlattivi u miżuri oħra li jdaħħlu fis-seħħ il-Konvenzjoni. GREVIO jħejji rapport dwar il-miżuri li jittieħdu mill-Parti kkonċernata biex timplimenta l-Konvenzjoni u jagħti suġġerimenti u proposti dwar kif il-Parti tkun tista’ tindirizza l-problemi li jkunu ġew identifikati</w:t>
      </w:r>
      <w:r w:rsidR="007B19AA" w:rsidRPr="00FA17F7">
        <w:rPr>
          <w:rStyle w:val="FootnoteReference"/>
          <w:rFonts w:eastAsia="Arial Unicode MS"/>
          <w:noProof/>
        </w:rPr>
        <w:footnoteReference w:id="9"/>
      </w:r>
      <w:r w:rsidRPr="00FA17F7">
        <w:rPr>
          <w:noProof/>
        </w:rPr>
        <w:t>.</w:t>
      </w:r>
    </w:p>
    <w:p w:rsidR="00425494" w:rsidRPr="00FA17F7" w:rsidRDefault="00933FA8" w:rsidP="00425494">
      <w:pPr>
        <w:pStyle w:val="Text1"/>
        <w:ind w:left="0"/>
        <w:rPr>
          <w:noProof/>
        </w:rPr>
      </w:pPr>
      <w:r w:rsidRPr="00FA17F7">
        <w:rPr>
          <w:noProof/>
        </w:rPr>
        <w:t xml:space="preserve">Abbażi tar-rapporti ta’ GREVIO, is-CoP, f’konformità mal-Artikolu 68(12) tal-Konvenzjoni, jista’ jadotta rakkomandazzjonijiet indirizzati lill-Parti kkonċernata dwar l-implimentazzjoni tal-Konvenzjoni u jiffissa data sa meta Parti tippreżenta tweġiba dwar l-implimentazzjoni tagħhom. Abbażi ta’ din id-dispożizzjoni, is-CoP qed jadotta rakkomandazzjonijiet lill-Partijiet li jiddifferenzjaw bejn azzjonijiet li jenħtieġ li jittieħdu malajr kemm jista’ jkun, b’rekwiżit li jirrapportaw fi żmien perjodu ta’ tliet snin, u azzjonijiet li, filwaqt li huma importanti, ma jkollhomx l-istess livell ta’ immedjatezza. Wara li jintemm il-perjodu ta’ tliet snin, il-Parti trid tirrapporta lis-CoP dwar il-progress li jkun sar fl-implimentazzjoni tar-rakkomandazzjonijiet li jkunu ġew indirizzati lilha.  Abbażi ta’ din l-informazzjoni, u kwalunkwe informazzjoni addizzjonali li jikseb, </w:t>
      </w:r>
      <w:bookmarkStart w:id="4" w:name="_Hlk197613385"/>
      <w:r w:rsidRPr="00FA17F7">
        <w:rPr>
          <w:noProof/>
        </w:rPr>
        <w:t>is-Segretarjat tal-Kumitat</w:t>
      </w:r>
      <w:r w:rsidR="004B2364" w:rsidRPr="00FA17F7">
        <w:rPr>
          <w:rStyle w:val="FootnoteReference"/>
          <w:rFonts w:eastAsia="Arial Unicode MS"/>
          <w:noProof/>
        </w:rPr>
        <w:footnoteReference w:id="10"/>
      </w:r>
      <w:r w:rsidRPr="00FA17F7">
        <w:rPr>
          <w:noProof/>
        </w:rPr>
        <w:t xml:space="preserve"> iħejji l</w:t>
      </w:r>
      <w:bookmarkEnd w:id="4"/>
      <w:r w:rsidRPr="00FA17F7">
        <w:rPr>
          <w:noProof/>
        </w:rPr>
        <w:t>-konklużjonijiet dwar l-implimentazzjoni tar-rakkomandazzjonijiet fir-rigward ta’ kull Parti taħt rieżami u dawn jiġu adottati mis-CoP.</w:t>
      </w:r>
    </w:p>
    <w:p w:rsidR="00117AC8" w:rsidRPr="00FA17F7" w:rsidRDefault="00425494" w:rsidP="00425494">
      <w:pPr>
        <w:pStyle w:val="Text1"/>
        <w:ind w:left="0"/>
        <w:rPr>
          <w:noProof/>
        </w:rPr>
      </w:pPr>
      <w:r w:rsidRPr="00FA17F7">
        <w:rPr>
          <w:noProof/>
        </w:rPr>
        <w:t>Peress li l-proċedura ta’ evalwazzjoni tal-linja bażi tlestiet għal kważi l-Partijiet kollha, lejn l-aħħar tal-2022 GREVIO ddeċieda li jgħaddi għall-fażi li jmiss tal-evalwazzjoni tiegħu. Skont l-Artikolu 68(3) tal-Konvenzjoni, il-proċeduri ta’ evalwazzjoni ta’ GREVIO wara l-evalwazzjoni tal-linja bażi għandhom jinqasmu f’ċikli (“ċikli ta’ evalwazzjoni tematika”). L-ewwel ċiklu ta’ evalwazzjoni tematika huwa intitolat “Building Trust by Delivering Support, Protection and Justice” (“Nibnu l-Fiduċja bl-għoti ta’ Appoġġ, Protezzjoni u Ġustizzja”) li jopera mill-2023 sal-2031. Filwaqt li l-evalwazzjoni tal-linja bażi kopriet madwar 60 artikolu tal-Konvenzjoni ta’ Istanbul, il-proċedura ta’ evalwazzjoni tematika l-ġdida tindirizza 20 artikolu, jiġifieri l-Artikoli 3, 7, 8, 11, 12, 14, 15, 16, 18, 20, 22, 25, 31, 48, 49, 50, 51, 52, 53 u 56. Dawn l-artikoli jistabbilixxu standards għall-aġenziji tal-infurzar tal-liġi, l-atturi tal-ġustizzja kriminali, il-forniment ta’ servizzi ta’ appoġġ ġenerali u speċjalizzati għall-vittmi, u approċċ ġenerali ffukat fuq il-vittmi. L-għan huwa li ssir valutazzjoni aktar fil-fond ta’ dawn l-oqsma, b’enfasi fuq il-progress li jsir taħt kull artikolu. Fl-aħħar laqgħa tiegħu f’Diċembru 2024, is-CoP adotta Deċiżjoni dwar ir-rakkomandazzjonijiet li għandhom jiġu adottati mill-Kumitat tal-Partijiet fid-dawl tar-rapporti tal-GREVIO adottati bħala parti mill-ewwel ċiklu ta’ evalwazzjoni tematika tiegħu [IC-CP (2024) 10 rev].</w:t>
      </w:r>
    </w:p>
    <w:p w:rsidR="00425494" w:rsidRPr="00FA17F7" w:rsidRDefault="00425494" w:rsidP="00425494">
      <w:pPr>
        <w:pStyle w:val="Text1"/>
        <w:ind w:left="0"/>
        <w:rPr>
          <w:rFonts w:eastAsia="Arial Unicode MS"/>
          <w:noProof/>
        </w:rPr>
      </w:pPr>
      <w:r w:rsidRPr="00FA17F7">
        <w:rPr>
          <w:noProof/>
        </w:rPr>
        <w:t>Sal-lum, il-prattika tas-COP kienet li jadotta rakkomandazzjonijiet u konklużjonijiet ibbażati fuq kunsens fil-laqgħat tagħha li jsiru fuq talba</w:t>
      </w:r>
      <w:r w:rsidR="006F40B7" w:rsidRPr="00FA17F7">
        <w:rPr>
          <w:rStyle w:val="FootnoteReference"/>
          <w:rFonts w:eastAsia="Arial Unicode MS"/>
          <w:noProof/>
        </w:rPr>
        <w:footnoteReference w:id="11"/>
      </w:r>
      <w:r w:rsidRPr="00FA17F7">
        <w:rPr>
          <w:noProof/>
        </w:rPr>
        <w:t>, ta’ terz tal-Partijiet, il-President tal-Kumitat tal-Partijiet jew is-Segretarju Ġenerali, normalment darbtejn fis-sena.</w:t>
      </w:r>
    </w:p>
    <w:p w:rsidR="00425494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2.4.</w:t>
      </w:r>
      <w:r w:rsidRPr="008429B6">
        <w:rPr>
          <w:noProof/>
        </w:rPr>
        <w:tab/>
      </w:r>
      <w:r w:rsidR="00425494" w:rsidRPr="00FA17F7">
        <w:rPr>
          <w:noProof/>
        </w:rPr>
        <w:t>L-atti previsti tal-Kumitat tal-Partijiet</w:t>
      </w:r>
    </w:p>
    <w:p w:rsidR="00425494" w:rsidRPr="00FA17F7" w:rsidRDefault="00425494" w:rsidP="00425494">
      <w:pPr>
        <w:rPr>
          <w:rFonts w:eastAsia="Arial Unicode MS"/>
          <w:noProof/>
        </w:rPr>
      </w:pPr>
      <w:r w:rsidRPr="00FA17F7">
        <w:rPr>
          <w:noProof/>
        </w:rPr>
        <w:t>Fil-5-6 ta’ Ġunju 2025, matul it-18-il laqgħa tiegħu, huwa previst li s-CoP jipproċedi bl-adozzjoni tat-tmien abbozzi ta’ rakkomandazzjonijiet li ġejjin abbażi tal-ewwel ċiklu ta’ evalwazzjoni tematika, u żewġ konklużjonijiet (“l-atti previsti” jew “l-abbozzi tar-rakkomandazzjonijiet u tal-konklużjonijiet”):</w:t>
      </w:r>
    </w:p>
    <w:p w:rsidR="717160C6" w:rsidRPr="00FA17F7" w:rsidRDefault="4D29FC84" w:rsidP="00913B2C">
      <w:pPr>
        <w:pStyle w:val="Tiret1"/>
        <w:numPr>
          <w:ilvl w:val="0"/>
          <w:numId w:val="6"/>
        </w:numPr>
        <w:rPr>
          <w:noProof/>
        </w:rPr>
      </w:pPr>
      <w:r w:rsidRPr="00FA17F7">
        <w:rPr>
          <w:noProof/>
        </w:rPr>
        <w:t>ir-Rakkomandazzjonijiet lill-Albanija biex issaħħaħ il-fiduċja billi tagħti appoġġ, protezzjoni u ġustizzja abbażi tal-Konvenzjoni ta’ Istanbul [IC-CP (2025) 2-prov];</w:t>
      </w:r>
    </w:p>
    <w:p w:rsidR="2C837FC0" w:rsidRPr="00FA17F7" w:rsidRDefault="4CEFA8AA" w:rsidP="2C837FC0">
      <w:pPr>
        <w:pStyle w:val="Tiret1"/>
        <w:rPr>
          <w:noProof/>
        </w:rPr>
      </w:pPr>
      <w:r w:rsidRPr="00FA17F7">
        <w:rPr>
          <w:noProof/>
        </w:rPr>
        <w:t>ir-Rakkomandazzjonijiet lill-Awstrija biex issaħħaħ il-fiduċja billi tagħti appoġġ, protezzjoni u ġustizzja abbażi tal-Konvenzjoni ta’ Istanbul [IC-CP (2025) 3-prov]</w:t>
      </w:r>
    </w:p>
    <w:p w:rsidR="0BD53A73" w:rsidRPr="00FA17F7" w:rsidRDefault="1DBEA599" w:rsidP="29BDAA74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lid-Danimarka biex issaħħaħ il-fiduċja billi tagħti appoġġ, protezzjoni u ġustizzja abbażi tal-Konvenzjoni ta’ Istanbul [IC-CP (2025) 4-prov]</w:t>
      </w:r>
    </w:p>
    <w:p w:rsidR="0BD53A73" w:rsidRPr="00FA17F7" w:rsidRDefault="3518076A" w:rsidP="4E5A937D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lill-Finlandja biex issaħħaħ il-fiduċja billi tagħti appoġġ, protezzjoni u ġustizzja abbażi tal-Konvenzjoni ta’ Istanbul [IC-CP (2025) 5-prov]</w:t>
      </w:r>
    </w:p>
    <w:p w:rsidR="0532E620" w:rsidRPr="00FA17F7" w:rsidRDefault="65A0410C" w:rsidP="0532E620">
      <w:pPr>
        <w:pStyle w:val="Tiret1"/>
        <w:rPr>
          <w:noProof/>
        </w:rPr>
      </w:pPr>
      <w:r w:rsidRPr="00FA17F7">
        <w:rPr>
          <w:noProof/>
        </w:rPr>
        <w:t>ir-Rakkomandazzjonijiet lil Monaco biex issaħħaħ il-fiduċja billi jagħti appoġġ, protezzjoni u ġustizzja abbażi tal-Konvenzjoni ta’ Istanbul [IC-CP (2025) 6-prov]</w:t>
      </w:r>
    </w:p>
    <w:p w:rsidR="5BF74387" w:rsidRPr="00FA17F7" w:rsidRDefault="131BB49C" w:rsidP="5BF74387">
      <w:pPr>
        <w:pStyle w:val="Tiret1"/>
        <w:rPr>
          <w:noProof/>
        </w:rPr>
      </w:pPr>
      <w:r w:rsidRPr="00FA17F7">
        <w:rPr>
          <w:noProof/>
        </w:rPr>
        <w:t>ir-Rakkomandazzjonijiet lill-Montenegro biex isaħħaħ il-fiduċja billi jagħti appoġġ, protezzjoni u ġustizzja abbażi tal-Konvenzjoni ta’ Istanbul [IC-CP (2025) 7-prov]</w:t>
      </w:r>
    </w:p>
    <w:p w:rsidR="5BF74387" w:rsidRPr="00FA17F7" w:rsidRDefault="15D2B4B1" w:rsidP="5BF74387">
      <w:pPr>
        <w:pStyle w:val="Tiret1"/>
        <w:rPr>
          <w:noProof/>
        </w:rPr>
      </w:pPr>
      <w:r w:rsidRPr="00FA17F7">
        <w:rPr>
          <w:noProof/>
        </w:rPr>
        <w:t>ir-Rakkomandazzjonijiet lil Spanja biex issaħħaħ il-fiduċja billi tagħti appoġġ, protezzjoni u ġustizzja abbażi tal-Konvenzjoni ta’ Istanbul [IC-CP (2025) 8-prov]</w:t>
      </w:r>
    </w:p>
    <w:p w:rsidR="5BF74387" w:rsidRPr="00FA17F7" w:rsidRDefault="543B02FE" w:rsidP="5BF74387">
      <w:pPr>
        <w:pStyle w:val="Tiret1"/>
        <w:rPr>
          <w:noProof/>
        </w:rPr>
      </w:pPr>
      <w:r w:rsidRPr="00FA17F7">
        <w:rPr>
          <w:noProof/>
        </w:rPr>
        <w:t>ir-Rakkomandazzjonijiet lill-Iżvezja biex issaħħaħ il-fiduċja billi tagħti appoġġ, protezzjoni u ġustizzja abbażi tal-Konvenzjoni ta’ Istanbul [IC-CP (2025) 9-prov]</w:t>
      </w:r>
    </w:p>
    <w:p w:rsidR="00425494" w:rsidRPr="00FA17F7" w:rsidRDefault="00425494" w:rsidP="00425494">
      <w:pPr>
        <w:pStyle w:val="Tiret1"/>
        <w:rPr>
          <w:noProof/>
        </w:rPr>
      </w:pPr>
      <w:r w:rsidRPr="00FA17F7">
        <w:rPr>
          <w:noProof/>
        </w:rPr>
        <w:t>il-Konklużjonijiet dwar l-implimentazzjoni tar-rakkomandazzjonijiet fir-rigward ta’ San Marino adottati mill-Kumitat tal-Partijiet [IC-CP(2025)10-prov];</w:t>
      </w:r>
    </w:p>
    <w:p w:rsidR="00425494" w:rsidRPr="00FA17F7" w:rsidRDefault="2BFF0E29" w:rsidP="00425494">
      <w:pPr>
        <w:pStyle w:val="Tiret1"/>
        <w:rPr>
          <w:noProof/>
        </w:rPr>
      </w:pPr>
      <w:r w:rsidRPr="00FA17F7">
        <w:rPr>
          <w:noProof/>
        </w:rPr>
        <w:t>il-Konklużjonijiet dwar l-implimentazzjoni tar-rakkomandazzjonijiet fir-rigward tas-Slovenja adottati mill-Kumitat tal-Partijiet [IC-CP(2025)11-prov].</w:t>
      </w:r>
    </w:p>
    <w:p w:rsidR="00CA0046" w:rsidRPr="00FA17F7" w:rsidRDefault="008429B6" w:rsidP="008429B6">
      <w:pPr>
        <w:pStyle w:val="ManualHeading1"/>
        <w:rPr>
          <w:rFonts w:eastAsia="Arial Unicode MS"/>
          <w:noProof/>
        </w:rPr>
      </w:pPr>
      <w:r w:rsidRPr="008429B6">
        <w:rPr>
          <w:noProof/>
        </w:rPr>
        <w:t>3.</w:t>
      </w:r>
      <w:r w:rsidRPr="008429B6">
        <w:rPr>
          <w:noProof/>
        </w:rPr>
        <w:tab/>
      </w:r>
      <w:r w:rsidR="00CA0046" w:rsidRPr="00FA17F7">
        <w:rPr>
          <w:noProof/>
        </w:rPr>
        <w:t>Il-pożizzjoni li għandha tittieħed f’isem l-Unjoni</w:t>
      </w:r>
    </w:p>
    <w:p w:rsidR="00425494" w:rsidRPr="00FA17F7" w:rsidRDefault="00425494" w:rsidP="00833597">
      <w:pPr>
        <w:rPr>
          <w:noProof/>
        </w:rPr>
      </w:pPr>
      <w:bookmarkStart w:id="5" w:name="_Hlk166496389"/>
      <w:r w:rsidRPr="00FA17F7">
        <w:rPr>
          <w:noProof/>
        </w:rPr>
        <w:t xml:space="preserve">L-atti previsti huma indirizzati lil 10 Partijiet u jinkludu tmien rakkomandazzjonijiet (ibbażati fuq l-ewwel proċedura ta’ evalwazzjoni tematika) dwar miżuri li għandhom jittieħdu biex tiġi implimentata l-Konvenzjoni ta’ Istanbul kif ukoll konklużjonijiet dwar l-implimentazzjoni ta’ rakkomandazzjonijiet preċedenti mill-Partijiet. Jikkonċernaw </w:t>
      </w:r>
      <w:bookmarkStart w:id="6" w:name="_Hlk166500340"/>
      <w:r w:rsidRPr="00FA17F7">
        <w:rPr>
          <w:noProof/>
        </w:rPr>
        <w:t>l-implimentazzjoni ta’ dispożizzjonijiet tal-Konvenzjoni li</w:t>
      </w:r>
      <w:bookmarkEnd w:id="6"/>
      <w:r w:rsidR="00FA17F7">
        <w:rPr>
          <w:noProof/>
        </w:rPr>
        <w:t xml:space="preserve"> </w:t>
      </w:r>
      <w:r w:rsidRPr="00FA17F7">
        <w:rPr>
          <w:noProof/>
        </w:rPr>
        <w:t>huma relatati mal-kooperazzjoni ġudizzjarja f’materji kriminali, bħal kwistjonijiet relatati mal-protezzjoni u l-appoġġ għall-vittmi tal-vjolenza fuq in-nisa u l-vjolenza domestika, u – fir-rigward tal-konklużjonijiet indirizzati lil Parti minnhom – anki l-implimentazzjoni tad-dispożizzjonijiet relatati mal-ażil u n-non-refoulement. Dawn il-materji huma koperti mill-acquis tal-Unjoni, b’mod partikolari d-Direttiva dwar il-ġlieda kontra l-vjolenza kontra n-nisa u l-vjolenza domestika</w:t>
      </w:r>
      <w:r w:rsidRPr="00FA17F7">
        <w:rPr>
          <w:rStyle w:val="FootnoteReference"/>
          <w:rFonts w:eastAsia="Arial Unicode MS"/>
          <w:noProof/>
        </w:rPr>
        <w:footnoteReference w:id="12"/>
      </w:r>
      <w:r w:rsidRPr="00FA17F7">
        <w:rPr>
          <w:noProof/>
        </w:rPr>
        <w:t>, id-Direttiva dwar id-Drittijiet tal-Vittmi</w:t>
      </w:r>
      <w:r w:rsidRPr="00FA17F7">
        <w:rPr>
          <w:rStyle w:val="FootnoteReference"/>
          <w:rFonts w:eastAsia="Arial Unicode MS"/>
          <w:noProof/>
        </w:rPr>
        <w:footnoteReference w:id="13"/>
      </w:r>
      <w:r w:rsidRPr="00FA17F7">
        <w:rPr>
          <w:noProof/>
        </w:rPr>
        <w:t>, ir-Regolament dwar il-Proċeduri tal-Ażil</w:t>
      </w:r>
      <w:r w:rsidRPr="00FA17F7">
        <w:rPr>
          <w:rStyle w:val="FootnoteReference"/>
          <w:rFonts w:eastAsia="Arial Unicode MS"/>
          <w:noProof/>
        </w:rPr>
        <w:footnoteReference w:id="14"/>
      </w:r>
      <w:r w:rsidRPr="00FA17F7">
        <w:rPr>
          <w:noProof/>
        </w:rPr>
        <w:t xml:space="preserve">, </w:t>
      </w:r>
      <w:r w:rsidRPr="00FA17F7">
        <w:rPr>
          <w:rStyle w:val="FootnoteReference"/>
          <w:rFonts w:eastAsia="Arial Unicode MS"/>
          <w:noProof/>
        </w:rPr>
        <w:footnoteReference w:id="15"/>
      </w:r>
      <w:r w:rsidRPr="00FA17F7">
        <w:rPr>
          <w:noProof/>
        </w:rPr>
        <w:t>￼u d-Direttiva dwar ir-Riunifikazzjoni tal-Familja</w:t>
      </w:r>
      <w:r w:rsidR="006F40B7" w:rsidRPr="00FA17F7">
        <w:rPr>
          <w:rStyle w:val="FootnoteReference"/>
          <w:rFonts w:eastAsia="Arial Unicode MS"/>
          <w:noProof/>
        </w:rPr>
        <w:footnoteReference w:id="16"/>
      </w:r>
      <w:r w:rsidRPr="00FA17F7">
        <w:rPr>
          <w:noProof/>
        </w:rPr>
        <w:t xml:space="preserve">. Dawn jaqgħu fil-kompetenza </w:t>
      </w:r>
      <w:r w:rsidR="00FA17F7" w:rsidRPr="00FA17F7">
        <w:rPr>
          <w:noProof/>
        </w:rPr>
        <w:t>esklużiva</w:t>
      </w:r>
      <w:r w:rsidRPr="00FA17F7">
        <w:rPr>
          <w:noProof/>
        </w:rPr>
        <w:t xml:space="preserve"> tal-UE sa fejn id-dispożizzjonijiet rilevanti tal-Konvenzjoni jistgħu jaffettwaw lil regoli komuni jew jibdlu l-kamp ta’ applikazzjoni tagħhom skont it-tifsira tal-Artikolu 3(2) tat-Trattat dwar il-Funzjonament tal-Unjoni Ewropea (TFUE). Peress li l-atti previsti jistgħu jinfluwenzaw b’mod deċiżiv il-kontenut tad-dritt tal-Unjoni fis-sens li jistgħu jaffettwaw l-interpretazzjoni tad-dispożizzjonijiet rilevanti tal-Konvenzjoni fil-futur, huwa xieraq li tiġi stabbilita l-pożizzjoni li għandha tittieħed f’isem l-Unjoni fil-CoP fir-rigward ta’ kwistjonijiet relatati mal-kooperazzjoni ġudizzjarja f’materji kriminali, l-ażil u n-non-refoulement.</w:t>
      </w:r>
      <w:bookmarkEnd w:id="5"/>
    </w:p>
    <w:p w:rsidR="00425494" w:rsidRPr="00FA17F7" w:rsidRDefault="00425494" w:rsidP="00425494">
      <w:pPr>
        <w:rPr>
          <w:noProof/>
        </w:rPr>
      </w:pPr>
      <w:r w:rsidRPr="00FA17F7">
        <w:rPr>
          <w:noProof/>
        </w:rPr>
        <w:t>L-abbozzi tar-rakkomandazzjonijiet u tal-konklużjonijiet dwar kwistjonijiet li jaqgħu fil-kompetenza tal-Unjoni huma konformi mal-objettivi u l-politiki tal-Unjoni fl-oqsma tal-kooperazzjoni ġudizzjarja f’materji kriminali, l-ażil u n-non-refoulement u ma jqajmu l-ebda tħassib fir-rigward tad-dritt tal-Unjoni. Għalhekk huwa propost li l-Unjoni ma toġġezzjonax għall-adozzjoni tal-abbozzi tar-rakkomandazzjonijiet u tal-konklużjonijiet fit-18-il laqgħa tas-CoP.</w:t>
      </w:r>
    </w:p>
    <w:p w:rsidR="00CA0046" w:rsidRPr="00FA17F7" w:rsidRDefault="008429B6" w:rsidP="008429B6">
      <w:pPr>
        <w:pStyle w:val="ManualHeading1"/>
        <w:rPr>
          <w:noProof/>
        </w:rPr>
      </w:pPr>
      <w:r w:rsidRPr="008429B6">
        <w:rPr>
          <w:noProof/>
        </w:rPr>
        <w:t>4.</w:t>
      </w:r>
      <w:r w:rsidRPr="008429B6">
        <w:rPr>
          <w:noProof/>
        </w:rPr>
        <w:tab/>
      </w:r>
      <w:r w:rsidR="00CA0046" w:rsidRPr="00FA17F7">
        <w:rPr>
          <w:noProof/>
        </w:rPr>
        <w:t>Bażi legali</w:t>
      </w:r>
    </w:p>
    <w:p w:rsidR="00CA0046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4.1.</w:t>
      </w:r>
      <w:r w:rsidRPr="008429B6">
        <w:rPr>
          <w:noProof/>
        </w:rPr>
        <w:tab/>
      </w:r>
      <w:r w:rsidR="00CA0046" w:rsidRPr="00FA17F7">
        <w:rPr>
          <w:noProof/>
        </w:rPr>
        <w:t>Bażi legali proċedurali</w:t>
      </w:r>
    </w:p>
    <w:p w:rsidR="00CA0046" w:rsidRPr="00FA17F7" w:rsidRDefault="008429B6" w:rsidP="008429B6">
      <w:pPr>
        <w:pStyle w:val="ManualHeading3"/>
        <w:rPr>
          <w:noProof/>
        </w:rPr>
      </w:pPr>
      <w:r w:rsidRPr="008429B6">
        <w:rPr>
          <w:noProof/>
        </w:rPr>
        <w:t>4.1.1.</w:t>
      </w:r>
      <w:r w:rsidRPr="008429B6">
        <w:rPr>
          <w:noProof/>
        </w:rPr>
        <w:tab/>
      </w:r>
      <w:r w:rsidR="00CA0046" w:rsidRPr="00FA17F7">
        <w:rPr>
          <w:noProof/>
        </w:rPr>
        <w:t>Prinċipji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L-Artikolu 218(9) tat-Trattat dwar il-Funzjonament tal-Unjoni Ewropea (TFUE) jipprevedi deċiżjonijiet li jistabbilixxu “l-pożizzjonijiet li għandhom jiġu adottati f'isem l-Unjoni f’sede stabbilita fi ftehim, meta dik is-sede tintalab tadotta atti li jkollhom effetti legali, sakemm dawn ma jkunux atti li jissupplimentaw jew jemendaw il-qafas istituzzjonali tal-ftehim.”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Il-kunċett ta’ “atti li jkollhom effetti legali” jinkludi l-atti li jkollhom effetti legali skont ir-regoli tad-dritt internazzjonali li jirregola l-korp inkwistjoni. Dan jinkludi wkoll l-istrumenti li ma għandhomx effett vinkolanti skont id-dritt internazzjonali, iżda li “jistgħu jinfluwenzaw b’mod determinanti l-kontenut tal-leġiżlazzjoni adottata mil-leġiżlatura tal-Unjoni”</w:t>
      </w:r>
      <w:r w:rsidRPr="00FA17F7">
        <w:rPr>
          <w:rStyle w:val="FootnoteReference"/>
          <w:noProof/>
        </w:rPr>
        <w:footnoteReference w:id="17"/>
      </w:r>
      <w:r w:rsidRPr="00FA17F7">
        <w:rPr>
          <w:noProof/>
        </w:rPr>
        <w:t>.</w:t>
      </w:r>
    </w:p>
    <w:p w:rsidR="00CA0046" w:rsidRPr="00FA17F7" w:rsidRDefault="008429B6" w:rsidP="008429B6">
      <w:pPr>
        <w:pStyle w:val="ManualHeading3"/>
        <w:rPr>
          <w:noProof/>
        </w:rPr>
      </w:pPr>
      <w:r w:rsidRPr="008429B6">
        <w:rPr>
          <w:noProof/>
        </w:rPr>
        <w:t>4.1.2.</w:t>
      </w:r>
      <w:r w:rsidRPr="008429B6">
        <w:rPr>
          <w:noProof/>
        </w:rPr>
        <w:tab/>
      </w:r>
      <w:r w:rsidR="00CA0046" w:rsidRPr="00FA17F7">
        <w:rPr>
          <w:noProof/>
        </w:rPr>
        <w:t>Applikazzjoni għall-każ preżenti</w:t>
      </w:r>
    </w:p>
    <w:p w:rsidR="004910EE" w:rsidRPr="00FA17F7" w:rsidRDefault="004910EE" w:rsidP="004910EE">
      <w:pPr>
        <w:rPr>
          <w:noProof/>
        </w:rPr>
      </w:pPr>
      <w:r w:rsidRPr="00FA17F7">
        <w:rPr>
          <w:noProof/>
        </w:rPr>
        <w:t>Is-CoP huwa korp stabbilit mill-Konvenzjoni ta’ Istanbul. L-atti previst, li s-COP huwa mitlub jadotta, jikkostitwixxu atti b’effetti legali. L-atti previsti jistgħu jinfluwenzaw b’mod deċiżiv il-kontenut tad-dritt tal-Unjoni, minħabba li jistgħu jaffettwaw l-interpretazzjoni tad-dispożizzjonijiet rilevanti tal-Konvenzjoni ta’ Istanbul fil-futur. Għalhekk, il-bażi legali proċedurali għad-deċiżjoni proposta hija l-Artikolu 218(9) TFUE.</w:t>
      </w:r>
    </w:p>
    <w:p w:rsidR="00CA0046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4.2.</w:t>
      </w:r>
      <w:r w:rsidRPr="008429B6">
        <w:rPr>
          <w:noProof/>
        </w:rPr>
        <w:tab/>
      </w:r>
      <w:r w:rsidR="00CA0046" w:rsidRPr="00FA17F7">
        <w:rPr>
          <w:noProof/>
        </w:rPr>
        <w:t>Bażi legali sostantiva</w:t>
      </w:r>
    </w:p>
    <w:p w:rsidR="00CA0046" w:rsidRPr="00FA17F7" w:rsidRDefault="008429B6" w:rsidP="008429B6">
      <w:pPr>
        <w:pStyle w:val="ManualHeading3"/>
        <w:rPr>
          <w:noProof/>
        </w:rPr>
      </w:pPr>
      <w:r w:rsidRPr="008429B6">
        <w:rPr>
          <w:noProof/>
        </w:rPr>
        <w:t>4.2.1.</w:t>
      </w:r>
      <w:r w:rsidRPr="008429B6">
        <w:rPr>
          <w:noProof/>
        </w:rPr>
        <w:tab/>
      </w:r>
      <w:r w:rsidR="00CA0046" w:rsidRPr="00FA17F7">
        <w:rPr>
          <w:noProof/>
        </w:rPr>
        <w:t>Prinċipji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Il-bażi legali sostantiva biex tittieħed deċiżjoni skont l-Artikolu 218(9) TFUE tiddependi primarjament mill-objettiv u l-kontenut tal-att previst li dwaru tittieħed pożizzjoni f’isem l-Unjoni. Jekk l-att previst ikollu żewġ għanijiet jew żewġ komponenti, u jekk wieħed minn dawk l-għanijiet jew il-komponenti jkun jista’ jiġi identifikat bħala dak ewlieni, filwaqt li l-ieħor ikun sempliċiment inċidentali, id-deċiżjoni skont l-Artikolu 218(9) TFUE trid tissejjes fuq bażi legali sostantiva unika, jiġifieri dik meħtieġa mill-għan jew mill-komponent ewlieni jew predominanti.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Fir-rigward ta’ att previst li jsegwi b’mod simultanju għadd ta’ objettivi, jew li għandu diversi komponenti, li huma marbuta b’mod inseparabbli mingħajr ma wieħed ikun inċidentali għall-ieħor, il-bażi legali sostantiva ta’ deċiżjoni skont l-Artikolu 218(9) TFUE jkollha tinkludi, eċċezzjonalment, id-diversi bażijiet legali korrispondenti.</w:t>
      </w:r>
    </w:p>
    <w:p w:rsidR="00CA0046" w:rsidRPr="00FA17F7" w:rsidRDefault="008429B6" w:rsidP="008429B6">
      <w:pPr>
        <w:pStyle w:val="ManualHeading3"/>
        <w:rPr>
          <w:noProof/>
        </w:rPr>
      </w:pPr>
      <w:r w:rsidRPr="008429B6">
        <w:rPr>
          <w:noProof/>
        </w:rPr>
        <w:t>4.2.2.</w:t>
      </w:r>
      <w:r w:rsidRPr="008429B6">
        <w:rPr>
          <w:noProof/>
        </w:rPr>
        <w:tab/>
      </w:r>
      <w:r w:rsidR="00CA0046" w:rsidRPr="00FA17F7">
        <w:rPr>
          <w:noProof/>
        </w:rPr>
        <w:t>Applikazzjoni għall-każ preżenti</w:t>
      </w:r>
    </w:p>
    <w:p w:rsidR="004910EE" w:rsidRPr="00FA17F7" w:rsidRDefault="004910EE" w:rsidP="004910EE">
      <w:pPr>
        <w:rPr>
          <w:noProof/>
        </w:rPr>
      </w:pPr>
      <w:r w:rsidRPr="00FA17F7">
        <w:rPr>
          <w:noProof/>
        </w:rPr>
        <w:t>Fir-rigward tal-bażi legali sostantiva, l-UE aderiet mal-Konvenzjoni ta’ Istanbul fir-rigward ta’ kwistjonijiet li jaqgħu fil-kompetenza esklużiva tagħha, jiġifieri fir-rigward ta’ materji relatati mal-istituzzjonijiet u l-amministrazzjoni pubblika tal-Unjoni</w:t>
      </w:r>
      <w:r w:rsidRPr="00FA17F7">
        <w:rPr>
          <w:rStyle w:val="FootnoteReference"/>
          <w:rFonts w:eastAsia="Arial Unicode MS"/>
          <w:noProof/>
        </w:rPr>
        <w:footnoteReference w:id="18"/>
      </w:r>
      <w:r w:rsidRPr="00FA17F7">
        <w:rPr>
          <w:noProof/>
        </w:rPr>
        <w:t xml:space="preserve"> u fir-rigward ta’ materji relatati mal-kooperazzjoni ġudizzjarja f’materji kriminali, l-ażil u n-non-refoulement</w:t>
      </w:r>
      <w:r w:rsidRPr="00FA17F7">
        <w:rPr>
          <w:rStyle w:val="FootnoteReference"/>
          <w:rFonts w:eastAsia="Arial Unicode MS"/>
          <w:noProof/>
        </w:rPr>
        <w:footnoteReference w:id="19"/>
      </w:r>
      <w:r w:rsidRPr="00FA17F7">
        <w:rPr>
          <w:noProof/>
        </w:rPr>
        <w:t>. L-adeżjoni tal-UE mal-Konvenzjoni ta’ Istanbul seħħet permezz ta’ żewġ deċiżjonijiet distinti tal-Kunsill biex jittieħed kont tal-pożizzjoni speċjali tad-Danimarka u tal-Irlanda fir-rigward tat-Titolu V TFUE. Konsegwentement, anki d-deċiżjoni li tistabbilixxi l-pożizzjoni li għandha tittieħed f’isem l-Unjoni fis-CoP trid tinqasam f’żewġ deċiżjonijiet, meta r-rakkomandazzjonijiet jew il-konklużjonijiet rilevanti jikkonċernaw iż-żewġ kwistjonijiet.</w:t>
      </w:r>
    </w:p>
    <w:p w:rsidR="004910EE" w:rsidRPr="00FA17F7" w:rsidRDefault="004910EE" w:rsidP="004910EE">
      <w:pPr>
        <w:rPr>
          <w:noProof/>
        </w:rPr>
      </w:pPr>
      <w:r w:rsidRPr="00FA17F7">
        <w:rPr>
          <w:noProof/>
        </w:rPr>
        <w:t>L-atti previsti jittrattaw objettivi u għandhom komponenti fil-qasam tal-kooperazzjoni ġudizzjarja f’materji kriminali (l-Artikolu 82(2) u l-Artikolu 84 TFUE) u l-ażil u n-non-refoulement (l-Artikoli 78(2) TFUE). Dawn huma marbutin b’mod inseparabbli mingħajr ma wieħed ikun inċidentali għall-ieħor. Għalhekk, il-bażi legali sostantiva tad-deċiżjoni proposta tinkludi d-dispożizzjonijiet li ġejjin: l-Artikolu 78(2), l-Artikolu 82(2) u l-Artikolu 84 TFUE.</w:t>
      </w:r>
    </w:p>
    <w:p w:rsidR="00CA0046" w:rsidRPr="00FA17F7" w:rsidRDefault="008429B6" w:rsidP="008429B6">
      <w:pPr>
        <w:pStyle w:val="ManualHeading2"/>
        <w:rPr>
          <w:noProof/>
        </w:rPr>
      </w:pPr>
      <w:r w:rsidRPr="008429B6">
        <w:rPr>
          <w:noProof/>
        </w:rPr>
        <w:t>4.3.</w:t>
      </w:r>
      <w:r w:rsidRPr="008429B6">
        <w:rPr>
          <w:noProof/>
        </w:rPr>
        <w:tab/>
      </w:r>
      <w:r w:rsidR="00CA0046" w:rsidRPr="00FA17F7">
        <w:rPr>
          <w:noProof/>
        </w:rPr>
        <w:t>Konklużjoni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Il-bażi legali tad-deċiżjoni proposta jenħtieġ li tkun l-Artikolu 78(2), l-Artikolu 82(2) u l-Artikolu 84, flimkien mal-Artikolu 218(9) TFUE.</w:t>
      </w:r>
    </w:p>
    <w:p w:rsidR="00CA0046" w:rsidRPr="00FA17F7" w:rsidRDefault="00CA0046" w:rsidP="009B37BC">
      <w:pPr>
        <w:rPr>
          <w:noProof/>
        </w:rPr>
        <w:sectPr w:rsidR="00CA0046" w:rsidRPr="00FA17F7" w:rsidSect="000E521F">
          <w:headerReference w:type="even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7E7AEA" w:rsidRDefault="00DE2C42">
      <w:pPr>
        <w:pStyle w:val="Rfrenceinterinstitutionnelle"/>
        <w:rPr>
          <w:noProof/>
        </w:rPr>
      </w:pPr>
      <w:r>
        <w:rPr>
          <w:noProof/>
        </w:rPr>
        <w:t>2025/0118 (NLE)</w:t>
      </w:r>
    </w:p>
    <w:p w:rsidR="00CA0046" w:rsidRPr="00FA17F7" w:rsidRDefault="00FA17F7" w:rsidP="00FA17F7">
      <w:pPr>
        <w:pStyle w:val="Statut"/>
        <w:rPr>
          <w:noProof/>
        </w:rPr>
      </w:pPr>
      <w:r w:rsidRPr="00FA17F7">
        <w:rPr>
          <w:noProof/>
        </w:rPr>
        <w:t>Proposta għal</w:t>
      </w:r>
    </w:p>
    <w:p w:rsidR="00CA0046" w:rsidRPr="00FA17F7" w:rsidRDefault="00FA17F7" w:rsidP="00FA17F7">
      <w:pPr>
        <w:pStyle w:val="Typedudocument"/>
        <w:rPr>
          <w:noProof/>
        </w:rPr>
      </w:pPr>
      <w:r w:rsidRPr="00FA17F7">
        <w:rPr>
          <w:noProof/>
        </w:rPr>
        <w:t>DEĊIŻJONI TAL-KUNSILL</w:t>
      </w:r>
    </w:p>
    <w:p w:rsidR="00CA0046" w:rsidRPr="00FA17F7" w:rsidRDefault="00FA17F7" w:rsidP="00FA17F7">
      <w:pPr>
        <w:pStyle w:val="Titreobjet"/>
        <w:rPr>
          <w:noProof/>
        </w:rPr>
      </w:pPr>
      <w:r w:rsidRPr="00FA17F7">
        <w:rPr>
          <w:noProof/>
        </w:rPr>
        <w:t>dwar il-pożizzjoni li għandha tittieħed f’isem l-Unjoni Ewropea fit-18-il laqgħa tal-Kumitat tal-Partijiet tal-Konvenzjoni tal-Kunsill tal-Ewropa dwar il-prevenzjoni u l-ġlieda kontra l-vjolenza fuq in-nisa u l-vjolenza domestika b’rabta mal-adozzjoni ta’ rakkomandazzjonijiet u konklużjonijiet indirizzati lil 10 Stati Partijiet dwar l-implimentazzjoni tagħhom tal-Konvenzjoni, fir-rigward ta’ kwistjonijiet relatati mal-kooperazzjoni ġudizzjarja f’materji kriminali, l-ażil u n-non-refoulment</w:t>
      </w:r>
      <w:r w:rsidRPr="00FA17F7">
        <w:rPr>
          <w:noProof/>
        </w:rPr>
        <w:br/>
      </w:r>
    </w:p>
    <w:p w:rsidR="00CA0046" w:rsidRPr="00FA17F7" w:rsidRDefault="00CA0046" w:rsidP="009B37BC">
      <w:pPr>
        <w:pStyle w:val="Institutionquiagit"/>
        <w:rPr>
          <w:noProof/>
        </w:rPr>
      </w:pPr>
      <w:r w:rsidRPr="00FA17F7">
        <w:rPr>
          <w:noProof/>
        </w:rPr>
        <w:t>IL-KUNSILL TAL-UNJONI EWROPEA,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Wara li kkunsidra t-Trattat dwar il-Funzjonament tal-Unjoni Ewropea, u b’mod partikolari l-Artikolu 78(2), l-Artikolu 82(2) u l-Artikolu 84, flimkien mal-Artikolu 218(9) tiegħu,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Wara li kkunsidra l-proposta tal-Kummissjoni Ewropea,</w:t>
      </w:r>
    </w:p>
    <w:p w:rsidR="00CA0046" w:rsidRPr="00FA17F7" w:rsidRDefault="00CA0046" w:rsidP="009B37BC">
      <w:pPr>
        <w:rPr>
          <w:noProof/>
        </w:rPr>
      </w:pPr>
      <w:r w:rsidRPr="00FA17F7">
        <w:rPr>
          <w:noProof/>
        </w:rPr>
        <w:t>Billi:</w:t>
      </w:r>
    </w:p>
    <w:p w:rsidR="004910EE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(1)</w:t>
      </w:r>
      <w:r w:rsidRPr="008429B6">
        <w:rPr>
          <w:noProof/>
        </w:rPr>
        <w:tab/>
      </w:r>
      <w:r w:rsidR="004910EE" w:rsidRPr="00FA17F7">
        <w:rPr>
          <w:noProof/>
        </w:rPr>
        <w:t>Il-</w:t>
      </w:r>
      <w:bookmarkStart w:id="7" w:name="_Hlk155975914"/>
      <w:r w:rsidR="004910EE" w:rsidRPr="00FA17F7">
        <w:rPr>
          <w:noProof/>
        </w:rPr>
        <w:t xml:space="preserve">Konvenzjoni tal-Kunsill tal-Ewropa dwar il-prevenzjoni u l-ġlieda kontra l-vjolenza fuq in-nisa u l-vjolenza domestika </w:t>
      </w:r>
      <w:bookmarkEnd w:id="7"/>
      <w:r w:rsidR="004910EE" w:rsidRPr="00FA17F7">
        <w:rPr>
          <w:noProof/>
        </w:rPr>
        <w:t>(“il-Konvenzjoni”) ġiet konkluża mill-Unjoni bid-Deċiżjoni tal-Kunsill (UE) 2023/1075</w:t>
      </w:r>
      <w:r w:rsidR="004910EE" w:rsidRPr="00FA17F7">
        <w:rPr>
          <w:rStyle w:val="FootnoteReference"/>
          <w:noProof/>
        </w:rPr>
        <w:footnoteReference w:id="20"/>
      </w:r>
      <w:r w:rsidR="004910EE" w:rsidRPr="00FA17F7">
        <w:rPr>
          <w:noProof/>
        </w:rPr>
        <w:t>, fir-rigward tal-istituzzjonijiet u l-amministrazzjoni pubblika tal-Unjoni, u bid-Deċiżjoni tal-Kunsill (UE) 2023/1076</w:t>
      </w:r>
      <w:r w:rsidR="004910EE" w:rsidRPr="00FA17F7">
        <w:rPr>
          <w:rStyle w:val="FootnoteReference"/>
          <w:noProof/>
        </w:rPr>
        <w:footnoteReference w:id="21"/>
      </w:r>
      <w:r w:rsidR="004910EE" w:rsidRPr="00FA17F7">
        <w:rPr>
          <w:noProof/>
        </w:rPr>
        <w:t>, fir-rigward ta’ kwistjonijiet relatati mal-kooperazzjoni ġudizzjarja f’materji kriminali, l-ażil u n-non-refoulement, sa fejn dawn jaqgħu fil-kompetenza esklużiva tal-Unjoni, u daħlet fis-seħħ għall-Unjoni fl-1 ta’ Ottubru 2023.</w:t>
      </w:r>
    </w:p>
    <w:p w:rsidR="00CA0046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(2)</w:t>
      </w:r>
      <w:r w:rsidRPr="008429B6">
        <w:rPr>
          <w:noProof/>
        </w:rPr>
        <w:tab/>
      </w:r>
      <w:r w:rsidR="002F2595" w:rsidRPr="00FA17F7">
        <w:rPr>
          <w:noProof/>
        </w:rPr>
        <w:t>Skont l-Artikolu 66(1) tal-Konvenzjoni, il-Grupp ta’ Esperti dwar l-azzjoni kontra l-vjolenza fuq in-nisa u l-vjolenza domestika (“GREVIO”, Group of experts on action against violence against women and domestic violence) għandu jimmonitorja l-implimentazzjoni tal-Konvenzjoni mill-Partijiet. F’konformità mal-Artikolu 68(11) tal-Konvenzjoni, GREVIO għandu jadotta r-rapport u l-konklużjonijiet tiegħu dwar il-miżuri li ttieħdu mill-Parti kkonċernata biex timplimenta d-dispożizzjonijiet tal-Konvenzjoni.</w:t>
      </w:r>
    </w:p>
    <w:p w:rsidR="004910EE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(3)</w:t>
      </w:r>
      <w:r w:rsidRPr="008429B6">
        <w:rPr>
          <w:noProof/>
        </w:rPr>
        <w:tab/>
      </w:r>
      <w:r w:rsidR="004910EE" w:rsidRPr="00FA17F7">
        <w:rPr>
          <w:noProof/>
        </w:rPr>
        <w:t xml:space="preserve">Il-Kumitat tal-Partijiet tal-Konvenzjoni jista’ jadotta rakkomandazzjonijiet indirizzati lill-Parti kkonċernata, f’konformità mal-Artikolu 68(12) tal-Konvenzjoni. Ir-rakkomandazzjonijiet huma msejsa fuq ir-rapport ta’ GREVIO u jagħmlu distinzjoni bejn dawk il-miżuri li, fil-fehma tal-Kumitat tal-Partijiet, il-Parti jenħtieġ li teħodhom mill-aktar fis possibbli, b’rekwiżit li tirrapportalu dwar il-passi li ttieħdu f’dak ir-rigward fi żmien tliet snin, u dawk il-miżuri li, filwaqt li huwa importanti, ma għandhomx l-istess livell ta’ immedjatezza. </w:t>
      </w:r>
      <w:bookmarkStart w:id="8" w:name="_Hlk155262451"/>
      <w:r w:rsidR="004910EE" w:rsidRPr="00FA17F7">
        <w:rPr>
          <w:noProof/>
        </w:rPr>
        <w:t>Fi tmiem il-perjodu ta’ tliet snin, il-Parti trid tirrapporta lill-Kumitat tal-Partijiet dwar il-miżuri li ttieħdu fl-10 oqsma speċifiċi tal-Konvenzjoni. Abbażi ta’ dik l-informazzjoni, u kwalunkwe informazzjoni addizzjonali li jikseb, il-Kumitat tal-Partijiet jadotta konklużjonijiet dwar l-implimentazzjoni tar-rakkomandazzjonijiet imħejjija mis-Segretarjat</w:t>
      </w:r>
      <w:bookmarkEnd w:id="8"/>
      <w:r w:rsidR="004910EE" w:rsidRPr="00FA17F7">
        <w:rPr>
          <w:noProof/>
        </w:rPr>
        <w:t xml:space="preserve"> tal-Kumitat.</w:t>
      </w:r>
    </w:p>
    <w:p w:rsidR="002F2595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(4)</w:t>
      </w:r>
      <w:r w:rsidRPr="008429B6">
        <w:rPr>
          <w:noProof/>
        </w:rPr>
        <w:tab/>
      </w:r>
      <w:r w:rsidR="002F2595" w:rsidRPr="00FA17F7">
        <w:rPr>
          <w:noProof/>
        </w:rPr>
        <w:t>Skont l-Artikolu 68(3) tal-Konvenzjoni, il-proċeduri ta’ evalwazzjoni wara l-evalwazzjoni tal-linja bażi inizjali ta’ GREVIO għandhom jinqasmu f’ċikli (“ċikli ta’ evalwazzjoni tematika”). L-ewwel ċiklu ta’ evalwazzjoni tematika huwa intitolat “Building Trust by Delivering Support, Protection and Justice” (“Nibnu l-Fiduċja permezz tal-Appoġġ, il-Protezzjoni u l-Ġustizzja”) u jindirizza 20 artikolu speċifiku tal-Konvenzjoni, jiġifieri l-Artikoli 3, 7, 8, 11, 12, 14, 15, 16, 18, 20, 22, 25, 31, 48, 49, 50, 51, 52, 53 u 56. Fl-aħħar laqgħa tagħha tas-17 ta’ Diċembru 2024, il-Kumitat tal-Partijiet adotta Deċiżjoni dwar ir-rakkomandazzjonijiet li għandhom jiġu adottati mill-Kumitat tal-Partijiet fid-dawl tar-rapporti ta’ GREVIO li ġew adottati bħala parti mill-ewwel ċiklu ta’ evalwazzjoni tematika tiegħu [IC-CP (2024) 10 rev].</w:t>
      </w:r>
    </w:p>
    <w:p w:rsidR="004910EE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(5)</w:t>
      </w:r>
      <w:r w:rsidRPr="008429B6">
        <w:rPr>
          <w:noProof/>
        </w:rPr>
        <w:tab/>
      </w:r>
      <w:r w:rsidR="004910EE" w:rsidRPr="00FA17F7">
        <w:rPr>
          <w:noProof/>
        </w:rPr>
        <w:t>Matul it-18-il laqgħa tiegħu tal-5-6 ta’ Ġunju 2025, il-Kumitat tal-Partijiet huwa mistenni jadotta tmien abbozzi ta’ rakkomandazzjonijiet ibbażati fuq l-ewwel ċiklu ta’ evalwazzjoni tematika bl-isem “Building Trust by Delivering Support, Protection and Justice” (“Nibnu l-Fiduċja permezz tal-Appoġġ, il-Protezzjoni u l-Ġustizzja”) u żewġ abbozzi ta’ konklużjonijiet dwar l-implimentazzjoni tal-Konvenzjoni minn 10 Partijiet (l-“abbozz tar-rakkomandazzjonijiet u tal-konklużjonijiet”):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lill-Albanija biex issaħħaħ il-fiduċja billi tagħti appoġġ, protezzjoni u ġustizzja abbażi tal-Konvenzjoni ta’ Istanbul [IC-CP (2025) 2-prov];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lill-Awstrija biex issaħħaħ il-fiduċja billi tagħti appoġġ, protezzjoni u ġustizzja abbażi tal-Konvenzjoni ta’ Istanbul [IC-CP (2025) 3-prov];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lid-Danimarka biex issaħħaħ il-fiduċja billi tagħti appoġġ, protezzjoni u ġustizzja abbażi tal-Konvenzjoni ta’ Istanbul [IC-CP (2025) 4-prov];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lill-Finlandja biex issaħħaħ il-fiduċja billi tagħti appoġġ, protezzjoni u ġustizzja abbażi tal-Konvenzjoni ta’ Istanbul [IC-CP (2025) 5-prov];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 Monaco biex isaħħaħ il-fiduċja billi jagħti appoġġ, protezzjoni u ġustizzja abbażi tal-Konvenzjoni ta’ Istanbul [IC-CP (2025) 6-prov];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lill-Montenegro biex isaħħaħ il-fiduċja billi jagħti appoġġ, protezzjoni u ġustizzja abbażi tal-Konvenzjoni ta’ Istanbul [IC-CP (2025) 7-prov];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 Spanja biex issaħħaħ il-fiduċja billi tagħti appoġġ, protezzjoni u ġustizzja abbażi tal-Konvenzjoni ta’ Istanbul [IC-CP (2025) 8-prov];</w:t>
      </w:r>
    </w:p>
    <w:p w:rsidR="0D046CA2" w:rsidRPr="00FA17F7" w:rsidRDefault="6EC931DC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ir-Rakkomandazzjonijiet lill-Iżvezja biex issaħħaħ il-fiduċja billi tagħti appoġġ, protezzjoni u ġustizzja abbażi tal-Konvenzjoni ta’ Istanbul [IC-CP (2025) 9-prov];</w:t>
      </w:r>
    </w:p>
    <w:p w:rsidR="0D046CA2" w:rsidRPr="00FA17F7" w:rsidRDefault="0D046CA2" w:rsidP="3C8E0E83">
      <w:pPr>
        <w:pStyle w:val="Tiret1"/>
        <w:rPr>
          <w:rFonts w:eastAsia="Calibri"/>
          <w:noProof/>
        </w:rPr>
      </w:pPr>
      <w:r w:rsidRPr="00FA17F7">
        <w:rPr>
          <w:noProof/>
        </w:rPr>
        <w:t>il-Konklużjonijiet dwar l-implimentazzjoni tar-rakkomandazzjonijiet fir-rigward ta’ San Marino adottati mill-Kumitat tal-Partijiet [IC-CP(2025)10-prov]; kif ukoll</w:t>
      </w:r>
    </w:p>
    <w:p w:rsidR="004910EE" w:rsidRPr="00FA17F7" w:rsidRDefault="0D046CA2" w:rsidP="0038302B">
      <w:pPr>
        <w:pStyle w:val="Tiret1"/>
        <w:rPr>
          <w:rFonts w:eastAsia="Calibri"/>
          <w:noProof/>
          <w:color w:val="000000"/>
        </w:rPr>
      </w:pPr>
      <w:r w:rsidRPr="00FA17F7">
        <w:rPr>
          <w:noProof/>
        </w:rPr>
        <w:t>il-Konklużjonijiet dwar l-implimentazzjoni tar-rakkomandazzjonijiet fir-rigward tas-Slovenja adottati mill-Kumitat tal-Partijiet [IC-CP(2025)11-prov].</w:t>
      </w:r>
    </w:p>
    <w:p w:rsidR="001358A1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(6)</w:t>
      </w:r>
      <w:r w:rsidRPr="008429B6">
        <w:rPr>
          <w:noProof/>
        </w:rPr>
        <w:tab/>
      </w:r>
      <w:r w:rsidR="004910EE" w:rsidRPr="00FA17F7">
        <w:rPr>
          <w:noProof/>
        </w:rPr>
        <w:t>L-abbozzi tar-rakkomandazzjonijiet u tal-konklużjonijiet jikkonċernaw l-implimentazzjoni tad-dispożizzjonijiet tal-Konvenzjoni li huma relatati mal-kooperazzjoni ġudizzjarja f’materji kriminali, bħal kwistjonijiet relatati mal-protezzjoni u l-appoġġ għall-vittmi tal-vjolenza fuq in-nisa u l-vjolenza domestika. Il-konklużjonijiet jikkonċernaw ukoll l-implimentazzjoni tad-dispożizzjonijiet tal-Konvenzjoni li huma relatati mal-ażil u man-non-refoulement. Dawn il-kwistjonijiet huma koperti mill-acquis tal-Unjoni, b’mod partikolari d-Direttiva 2024/1385 tal-Parlament Ewropew u tal-Kunsill</w:t>
      </w:r>
      <w:r w:rsidR="004910EE" w:rsidRPr="00FA17F7">
        <w:rPr>
          <w:rStyle w:val="FootnoteReference"/>
          <w:noProof/>
        </w:rPr>
        <w:footnoteReference w:id="22"/>
      </w:r>
      <w:r w:rsidR="004910EE" w:rsidRPr="00FA17F7">
        <w:rPr>
          <w:noProof/>
        </w:rPr>
        <w:t>, id-Direttiva 2012/29/UE tal-Parlament Ewropew u tal-Kunsill</w:t>
      </w:r>
      <w:r w:rsidR="004910EE" w:rsidRPr="00FA17F7">
        <w:rPr>
          <w:rStyle w:val="FootnoteReference"/>
          <w:noProof/>
        </w:rPr>
        <w:footnoteReference w:id="23"/>
      </w:r>
      <w:r w:rsidR="004910EE" w:rsidRPr="00FA17F7">
        <w:rPr>
          <w:noProof/>
        </w:rPr>
        <w:t xml:space="preserve">, </w:t>
      </w:r>
      <w:bookmarkStart w:id="10" w:name="_Hlk166517647"/>
      <w:r w:rsidR="004910EE" w:rsidRPr="00FA17F7">
        <w:rPr>
          <w:noProof/>
        </w:rPr>
        <w:t xml:space="preserve"> ir-Regolament (UE) 2024/1348 tal-Parlament Ewropew u tal-Kunsill,</w:t>
      </w:r>
      <w:r w:rsidR="004910EE" w:rsidRPr="00FA17F7">
        <w:rPr>
          <w:rStyle w:val="FootnoteReference"/>
          <w:noProof/>
        </w:rPr>
        <w:footnoteReference w:id="24"/>
      </w:r>
      <w:r w:rsidR="004910EE" w:rsidRPr="00FA17F7">
        <w:rPr>
          <w:noProof/>
        </w:rPr>
        <w:t xml:space="preserve"> </w:t>
      </w:r>
      <w:bookmarkEnd w:id="10"/>
      <w:r w:rsidR="004910EE" w:rsidRPr="00FA17F7">
        <w:rPr>
          <w:noProof/>
        </w:rPr>
        <w:t>, id-Direttiva 2024/1346 tal-Parlament Ewropew u tal-Kunsill</w:t>
      </w:r>
      <w:r w:rsidR="004910EE" w:rsidRPr="00FA17F7">
        <w:rPr>
          <w:rStyle w:val="FootnoteReference"/>
          <w:noProof/>
        </w:rPr>
        <w:footnoteReference w:id="25"/>
      </w:r>
      <w:r w:rsidR="004910EE" w:rsidRPr="00FA17F7">
        <w:rPr>
          <w:noProof/>
        </w:rPr>
        <w:t xml:space="preserve"> u d-Direttiva tal-Kunsill 2003/86/KE</w:t>
      </w:r>
      <w:r w:rsidR="0038302B" w:rsidRPr="00FA17F7">
        <w:rPr>
          <w:rStyle w:val="FootnoteReference"/>
          <w:noProof/>
        </w:rPr>
        <w:footnoteReference w:id="26"/>
      </w:r>
      <w:r w:rsidR="004910EE" w:rsidRPr="00FA17F7">
        <w:rPr>
          <w:noProof/>
        </w:rPr>
        <w:t xml:space="preserve">. L-abbozzi tar-rakkomandazzjonijiet u tal-konklużjonijiet se jkollhom effetti legali. Għalhekk huwa xieraq li tiġi stabbilita l-pożizzjoni li għandha tittieħed f’isem l-Unjoni fil-Kumitat tal-Partijiet fir-rigward ta’ kwistjonijiet relatati mal-kooperazzjoni ġudizzjarja f’materji kriminali, l-ażil u n-non-refoulement. </w:t>
      </w:r>
    </w:p>
    <w:p w:rsidR="00AC3C31" w:rsidRPr="00FA17F7" w:rsidRDefault="008429B6" w:rsidP="008429B6">
      <w:pPr>
        <w:pStyle w:val="ManualConsidrant"/>
        <w:rPr>
          <w:noProof/>
        </w:rPr>
      </w:pPr>
      <w:bookmarkStart w:id="11" w:name="_Hlk197533465"/>
      <w:r w:rsidRPr="008429B6">
        <w:rPr>
          <w:noProof/>
        </w:rPr>
        <w:t>(7)</w:t>
      </w:r>
      <w:r w:rsidRPr="008429B6">
        <w:rPr>
          <w:noProof/>
        </w:rPr>
        <w:tab/>
      </w:r>
      <w:r w:rsidR="00912121" w:rsidRPr="00FA17F7">
        <w:rPr>
          <w:noProof/>
        </w:rPr>
        <w:t xml:space="preserve">Jenħtieġ li wieħed jinnota li r-rakkomandazzjonijiet relatati ma’ ċerti artikoli tal-Konvenzjoni mhumiex koperti għalkollox mill-kompetenza tal-Unjoni. B’hekk, fir-rigward tar-rakkomandazzjonijiet dwar l-Artikoli 49 u 50, jenħtieġ li din id-deċiżjoni tkun mingħajr preġudizzju għall-kompetenza tal-Istati Membri fl-organizzazzjoni u l-amministrazzjoni interni tas-sistemi ġudizzjarji tagħhom; fir-rigward tar-rakkomandazzjonijiet dwar l-Artikoli 11 u 20, jenħtieġ li din id-deċiżjoni tkun mingħajr preġudizzju għall-kompetenza tal-Istati Membri fl-organizzazzjoni u l-għoti ta’ servizzi tal-kura tas-saħħa u kura medika; fir-rigward tar-rakkomandazzjonijiet dwar l-Artikolu 14, jenħtieġ li din id-deċiżjoni tkun mingħajr preġudizzju għall-kompetenza tal-Istati Membri fil-kontenut tat-tagħlim u l-organizzazzjoni tas-sistemi edukattivi, fir-rigward tar-rakkomandazzjonijiet dwar l-Artikolu 31, jenħtieġ li din id-deċiżjoni tkun mingħajr preġudizzju għall-kompetenza tal-Istati Membri fil-qasam tal-liġi tal-familja. </w:t>
      </w:r>
      <w:bookmarkEnd w:id="11"/>
    </w:p>
    <w:p w:rsidR="00E03EDF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(8)</w:t>
      </w:r>
      <w:r w:rsidRPr="008429B6">
        <w:rPr>
          <w:noProof/>
        </w:rPr>
        <w:tab/>
      </w:r>
      <w:r w:rsidR="001322CC" w:rsidRPr="00FA17F7">
        <w:rPr>
          <w:noProof/>
        </w:rPr>
        <w:t>Fir-rigward tal-Albanija, l-abbozz ta’ rakkomandazzjoni dwar l-implimentazzjoni tagħha tal-Konvenzjoni jinkludi l-ħtieġa li tiżgura li l-politiki u l-miżuri rilevanti għall-prevenzjoni u l-ġlieda kontra l-forom kollha ta’ vjolenza kontra n-nisa jingħataw finanzjament biżżejjed u sostenibbli, inkluż permezz ta’ proċeduri trasparenti biex jiġi aċċertat il-finanzjament tal-organizzazzjonijiet tad-drittijiet tan-nisa (l-Artikolu 8 tal-Konvenzjoni); tippromwovi kampanji jew programmi ta’ sensibilizzazzjoni u tivvaluta regolarment l-impatt tagħhom (l-Artikolu 12 tal-Konvenzjoni); tiżgura taħriġ għall-professjonisti rilevanti u ssegwi l-eżiti ta’ tali taħriġ (l-Artikolu 15 tal-Konvenzjoni);  tkabbar il-programmi eżistenti għal awturi ta’ reati u tintroduċi programmi mmirati speċifikament lejn l-awturi ta’ vjolenza sesswali (l-Artikolu 16 tal-Konvenzjoni); tiżgura li l-vittmi tal-vjolenza jkollhom aċċess għal servizzi tal-kura tas-saħħa komprensivi (l-Artikolu 20 tal-Konvenzjoni) li żżid il-finanzjament u l-għadd ta’ servizzi disponibbli għall-vittmi nisa, speċjalment għan-nisa bi bżonnijiet speċjali (l-Artikolu 20 tal-Konvenzjoni);  tiżgura li jkun hemm biżżejjed servizzi ta’ appoġġ speċjalizzat għan-nisa vittmi kollha u għat-tfal tagħhom, irrispettivament mir-rieda tagħhom li jirrapportaw il-vjolenza, u li tiżgura li l-helplines nazzjonali jingħataw finanzjament (l-Artikolu 22 tal-Konvenzjoni);  tiżgura li l-vittmi tal-vjolenza sesswali jkollhom aċċess għal perizja forsenika, mhux bil-kundizzjoni tar-rieda tagħhom li jirrapportaw ir-reat, u li l-evidenza forensika tinħażen kif xieraq (l-Artikolu 25 tal-Konvenzjoni); tieħu miżuri biex tabolixxi l-konċiljazzjoni obbligatorja fil-każijiet kriminali kollha li jikkonċernaw il-vjolenza kontra n-nisa; ittejjeb il-kapaċità, l-għarfien u r-rispons tal-uffiċjali tal-infurzar tal-liġi sabiex jiksbu rispons f’waqtu u sensittiv għall-vittmi u tieħu miżuri biex ittejjeb ir-rapportar mill-vittmi nisa (l-Artikoli 49 u 50 tal-Konvenzjoni); tiżgura li l-proċeduri ta’ valutazzjoni tar-riskju jiġu applikati f’każijiet li jikkonċernaw il-forom kollha ta’ vjolenza koperti mill-Konvenzjoni u f’koordinazzjoni mal-aġenziji rilevanti kollha (l-Artikolu 51 tal-Konvenzjoni); tuża aħjar l-ordnijiet ta’ inibizzjoni ta’ emerġenza u timmonitorja u tinf</w:t>
      </w:r>
      <w:r w:rsidR="00FA17F7">
        <w:rPr>
          <w:noProof/>
        </w:rPr>
        <w:t>o</w:t>
      </w:r>
      <w:r w:rsidR="001322CC" w:rsidRPr="00FA17F7">
        <w:rPr>
          <w:noProof/>
        </w:rPr>
        <w:t>rza tali ordnijiet (l-Artikolu 52 tal-Konvenzjoni);  tiżgura li l-ordnijiet ta’ protezzjoni jkunu disponibbli u aċċessibbli għall-vittmi kollha, u tinforza u timmonitorja tali ordnijiet, inkluż permezz ta’ sanzjonijiet għal ksur (l-Artikolu 53 tal-Konvenzjoni); u tevalwa l-implimentazzjoni tal-miżuri ta’ protezzjoni u tiżgura li dawn ikunu konformi mal-Konvenzjoni (l-Artikolu 56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lill-Albanija.</w:t>
      </w:r>
    </w:p>
    <w:p w:rsidR="005A44DE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(9)</w:t>
      </w:r>
      <w:r w:rsidRPr="008429B6">
        <w:rPr>
          <w:noProof/>
        </w:rPr>
        <w:tab/>
      </w:r>
      <w:r w:rsidR="005A44DE" w:rsidRPr="00FA17F7">
        <w:rPr>
          <w:noProof/>
        </w:rPr>
        <w:t>Fir-rigward tal-Awstrija, l-abbozz ta’ rakkomandazzjoni dwar l-implimentazzjoni tagħha tal-Konvenzjoni jinkludi l-ħtieġa li tadotta u tallinja d-definizzjoni ta’ “vjolenza domestika” (l-Artikolu 3 tal-Konvenzjoni); tiżviluppa pjan ta’ azzjoni komprensiv/dokument ta’ politika strateġika fit-tul dwar il-forom kollha ta’ vjolenza koperti mill-Konvenzjoni (l-Artikolu 7 tal-Konvenzjoni);  tadatta l-kategoriji tad-data għall-użu mis-settur tal-ġustizzja u tiġbor data dwar l-għadd ta’ nisa u bniet li jikkuntattjaw lis-servizzi soċjali (l-Artikolu 11 tal-Konvenzjoni);  iżżid l-isforzi biex teqred il-preġudizzju u l-</w:t>
      </w:r>
      <w:r w:rsidR="00FA17F7" w:rsidRPr="00FA17F7">
        <w:rPr>
          <w:noProof/>
        </w:rPr>
        <w:t>isterjotipi</w:t>
      </w:r>
      <w:r w:rsidR="005A44DE" w:rsidRPr="00FA17F7">
        <w:rPr>
          <w:noProof/>
        </w:rPr>
        <w:t xml:space="preserve"> marbuta mal-ġeneru fis-soċjetà Awstrijaka permezz ta’ miżuri ta’ prevenzjoni, inklużi kampanji jew programmi ta’ sensibilizzazzjoni, biex tinforma lill-vittmi dwar id-disponibbiltà ta’ servizzi ta’ appoġġ u tevalwa l-impatt tagħhom (l-Artikolu 12 tal-Konvenzjoni);  tiżgura li l-professjonisti rilevanti jingħataw taħriġ xieraq (l-Artikolu 15 tal-Konvenzjoni);  tiżgura li l-vittmi jkollhom aċċess għal servizzi ta’ appoġġ inkluż l-akkomodazzjoni u l-ħruġ ta’ rapporti forensiċi li jiddokumentaw il-korrimenti; tiżgura li jkun hemm ammont biżżejjed ta’ postijiet ta’ kenn madwar il-pajjiż (l-Artikolu 22 tal-Konvenzjoni);  tistabbilixxi ċentri ta’ riferiment għall-vjolenza sesswali madwar il-pajjiż u tiżgura li l-vittmi ta’ vjolenza sesswali jingħataw appoġġ effettiv (l-Artikolu 25 tal-Konvenzjoni);  issaħħaħ il-kondiviżjoni tal-informazzjoni bejn l-awtoritajiet kompetenti rilevanti f’każijiet li jikkonċernaw il-kustodja tat-tfal u d-drittijiet għall-aċċess (l-Artikolu 31 tal-Konvenzjoni); u tiżgura l-użu ta’ ordnijiet ta’ protezzjoni u tevita lakuni bejn ordnijiet ta’ inibizzjoni u ordnijiet ta’ protezzjoni (l-Artikolu 53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lill-Awstrija.</w:t>
      </w:r>
    </w:p>
    <w:p w:rsidR="005A44DE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(10)</w:t>
      </w:r>
      <w:r w:rsidRPr="008429B6">
        <w:rPr>
          <w:noProof/>
        </w:rPr>
        <w:tab/>
      </w:r>
      <w:r w:rsidR="005A44DE" w:rsidRPr="00FA17F7">
        <w:rPr>
          <w:noProof/>
        </w:rPr>
        <w:t>Fir-rigward tad-Danimarka, l-abbozz ta’ rakkomandazzjoni dwar l-implimentazzjoni tagħha tal-Konvenzjoni jinkludi l-ħtieġa li d-definizzjonijiet rilevanti tal-forom kollha ta’ vjolenza kontra n-nisa jallinjaw mal-Konvenzjoni (l-Artikolu 3 tal-Konvenzjoni);  tiżviluppa strateġija nazzjonali fit-tul f’konformità mal-Konvenzjoni (l-Artikolu 7 tal-Konvenzjoni);  tiżgura allokazzjoni xierqa ta’ fondi, inklużi riżorsi għal postijiet ta’ rifuġju għall-vjolenza domestika (l-Artikolu 8 tal-Konvenzjoni);  tiżgura li d-data li tinġabar tkun diżaggregata u li l-kunfidenzjalità tkun garantita (l-Artikolu 11 tal-Konvenzjoni);  tipprijoritizza approċċ sensittiv għall-ġeneru f’inizjattivi preventivi (l-Artikolu 12 tal-Konvenzjoni); tiżgura l-għoti ta’ taħriġ sistematiku inizjali u fis-servizz lill-professjonisti rilevanti (l-Artikolu 15 tal-Konvenzjoni);  tistabbilixxi strutturi istituzzjonalizzati għall-kooperazzjoni biex tiżgura l-kooperazzjoni effettiva bejn diversi aġenziji (l-Artikolu 18 tal-Konvenzjoni);  tiżgura aċċess għal konsulenza psikoloġika, standards ta’ kwalità, aċċessibbiltà u sostenibbiltà finanzjarja għal postijiet ta’ rifuġju, u tiżgura li l-vittmi ta’ vjolenza sesswali jingħataw l-appoġġ meħtieġ (l-Artikoli 22 u 25 tal-Konvenzjoni);  tqajjem kuxjenza fost l-atturi tal-ġustizzja kriminali dwar leġiżlazzjoni kriminali ġdida (l-Artikoli 49 u 50 tal-Konvenzjoni);  tiżgura li l-valutazzjoni tar-riskju titwettaq f’koordinazzjoni mal-atturi rilevanti (l-Artikolu 51 tal-Konvenzjoni);  iżżid l-użu ta’ ordnijiet ta’ inibizzjoni ta’ emerġenza u ordnijiet ta’ protezzjoni biex timmonitorja l-klassifikazzjonijiet ta’ konformità u tiżgura sanzjonijiet f’każ ta’ ksur (l-Artikoli 52 u 53 tal-Konvenzjoni); u tiżgura l-implimentazzjoni xierqa tal-miżuri ta’ protezzjoni tal-vittmi f’investigazzjonijiet u proċedimenti ġudizzjarji (l-Artikolu 56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lid-Danimarka.</w:t>
      </w:r>
    </w:p>
    <w:p w:rsidR="007A788B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(11)</w:t>
      </w:r>
      <w:r w:rsidRPr="008429B6">
        <w:rPr>
          <w:noProof/>
        </w:rPr>
        <w:tab/>
      </w:r>
      <w:r w:rsidR="007A788B" w:rsidRPr="00FA17F7">
        <w:rPr>
          <w:noProof/>
        </w:rPr>
        <w:t>Fir-rigward tal-Finlandja, l-abbozz ta’ rakkomandazzjoni dwar l-implimentazzjoni tal-Konvenzjoni tinkludi l-ħtieġa li tiżviluppa strateġija nazzjonali fit-tul biex tiżgura approċċ komprensiv u koordinat (l-Artikolu 7 tal-Konvenzjoni);  tiżgura biżżejjed finanzjament pubbliku u mekkaniżmi ta’ finanzjament sostenibbli għall-organizzazzjonijiet mhux governattivi li jagħtu appoġġ speċjalizzat lill-vittmi (l-Artikolu 8 tal-Konvenzjoni); toħloq kategoriji standardizzati tad-data u tarmonizza s-sistemi tal-ġbir tad-data (l-Artikolu 11 tal-Konvenzjoni); tagħmel b’mod regolari kampanji ta’ sensibilizzazzjoni (l-Artikolu 12 tal-Konvenzjoni); tiżgura li l-professjonisti rilevanti jingħataw taħriġ sistematiku (l-Artikolu 15 tal-Konvenzjoni);  tistabbilixxi programmi ta’ awturi ta’ vjolenza domestika (l-Artikolu 16 tal-Konvenzjoni);  toħloq strutturi ta’ koordinazzjoni istituzzjonalizzati bejn diversi aġenziji fost l-atturi rilevanti (l-Artikolu 18 tal-Konvenzjoni);  tistabbilixxi servizzi ta’ appoġġ biex jiffaċilitaw l-irkupru u l-indipendenza tal-vittmi (l-Artikolu 20 tal-Konvenzjoni);  iżżid kemm l-għadd ta’ postijiet ta’ rifuġju kif ukoll l-aċċess għalihom (l-Artikolu 22 tal-Konvenzjoni);  tiżgura d-distribuzzjoni ġeografika taċ-ċentri għall-vittmi ta’ stupru biex tiżgura li l-vittmi kollha ta’ vjolenza sesswali jingħataw appoġġ (l-Artikolu 25 tal-Konvenzjoni);  tiżgura li l-medjazzjoni ma jkollhiex impatt negattiv fuq l-investigazzjonijiet kriminali u lanqas ma tfixkel l-aċċess tal-vittmi għall-ġustizzja (l-Artikolu 48 tal-Konvenzjoni); tiżgura li s-servizzi tal-infurzar tal-liġi jingħataw taħriġ rilevanti biex jirrispondu għal każijiet ta’ vjolenza kontra n-nisa b’mod f’waqtu u jinvestigawhom b’mod adegwat (l-Artikoli 49 u 50 tal-Konvenzjoni);  tieħu miżuri biex tistabbilixxi mekkaniżmu standardizzat ta’ valutazzjoni tar-riskju applikat b’mod sistematiku (l-Artikolu 51 tal-Konvenzjoni) u biex iżżid l-użu ta’ ordnijiet ta’ inibizzjoni ta’ emerġenza u ordnijiet ta’ protezzjoni u ssaħħaħ il-monitoraġġ ta’ tali ordnijiet (l-Artikoli 52 u 53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lill-Finlandja.</w:t>
      </w:r>
    </w:p>
    <w:p w:rsidR="00D02367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(12)</w:t>
      </w:r>
      <w:r w:rsidRPr="008429B6">
        <w:rPr>
          <w:noProof/>
        </w:rPr>
        <w:tab/>
      </w:r>
      <w:r w:rsidR="00FA024F" w:rsidRPr="00FA17F7">
        <w:rPr>
          <w:noProof/>
        </w:rPr>
        <w:t>Fir-rigward ta’ Monaco, l-abbozz ta’ rakkomandazzjoni dwar l-implimentazzjoni tal-Konvenzjoni jinkludi l-ħtieġa li jadotta definizzjoni tal-vjolenza kontra n-nisa li tallinja mal-Konvenzjoni (l-Artikolu 3 tal-Konvenzjoni);  jiżviluppa strateġija globali fit-tul biex jikseb approċċ ta’ politika komprensiv u koordinat (l-Artikolu 7 tal-Konvenzjoni);  ikompli jiżviluppa l-ġbir ta’ data dwar il-forom kollha ta’ vjolenza kontra n-nisa koperti mill-Konvenzjoni (l-Artikolu 11 tal-Konvenzjoni);  jestendi l-miżuri għall-prevenzjoni tal-vjolenza domestika biex jinkludu forom oħra ta’ vjolenza koperti mill-Konvenzjoni ta’ Istanbul (l-Artikolu 12 tal-Konvenzjoni): isegwi miżuri biex titqajjem kuxjenza dwar il-vjolenza kontra n-nisa fl-iskejjel (l-Artikolu 14 tal-Konvenzjoni;  jistabbilixxi programmi ta’ awturi ta’ vjolenza (l-Artikolu 16 tal-Konvenzjoni);  jistabbilixxi helpline nazzjonali għan-nisa vittmi ta’ vjolenza u jkompli jiżviluppa servizzi speċjalizzati għall-vittmi ta’ vjolenza koperti mill-Konvenzjoni (l-Artikolu 22 tal-Konvenzjoni);  jistabbilixxi ċentru ta’ riferiment għall-vittmi ta’ stupru u vjolenza sesswali (l-Artikolu 25 tal-Konvenzjoni);  jiżgura li l-professjonisti involuti fi proċedimenti kriminali jkollhom biżżejjed għarfien espert u jirċievu taħriġ sensittiv għall-ġeneru (l-Artikoli 49 u 50 tal-Konvenzjoni);  jistandardizza l-prattika ta’ valutazzjoni tar-riskju kkoordinata għas-servizzi rilevanti dwar il-forom kollha ta’ vjolenza koperti mill-Konvenzjoni (l-Artikolu 51 tal-Konvenzjoni); u jiżgura li d-drittijiet tal-vittmi jiġu mħarsa f’investigazzjonijiet u proċedimenti ġudizzjarji (l-Artikolu 56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 Monaco.</w:t>
      </w:r>
    </w:p>
    <w:p w:rsidR="00FF4C1C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(13)</w:t>
      </w:r>
      <w:r w:rsidRPr="008429B6">
        <w:rPr>
          <w:noProof/>
        </w:rPr>
        <w:tab/>
      </w:r>
      <w:r w:rsidR="00FF4C1C" w:rsidRPr="00FA17F7">
        <w:rPr>
          <w:noProof/>
        </w:rPr>
        <w:t xml:space="preserve">Fir-rigward tal-Montenegro, l-abbozz ta’ rakkomandazzjoni dwar l-implimentazzjoni tiegħu tal-Konvenzjoni jinkludi l-ħtieġa li jiżgura riżorsi umani u finanzjarji xierqa għall-politiki, il-miżuri u l-leġiżlazzjoni mmirati lejn il-prevenzjoni u l-ġlieda kontra l-vjolenza fuq in-nisa, u li jiġi żgurat finanzjament sostenibbli għall-organizzazzjonijiet mhux governattivi (l-Artikolu 8 tal-Konvenzjoni);  jiżgura l-ġbir u d-diżaggregazzjoni tad-data mill-partijiet ikkonċernati rilevanti kollha u jarmonizza l-ġbir ta’ data (l-Artikolu 11 tal-Konvenzjoni); (iżid l-isforzi għall-implimentazzjoni ta’ miżuri preventivi regolari, iwettaq kampanji ta’ sensibilizzazzjoni u jenfasizza r-riskju akbar ta’ vjolenza li jiffaċċjaw il-vittmi ta’ diskriminazzjoni intersezzjonali (l-Artikolu 12 tal-Konvenzjoni);  jiżgura li jsir taħriġ inizjali u fis-servizz dwar il-vjolenza kontra n-nisa għall-professjonisti rilevanti kollha (l-Artikolu 15 tal-Konvenzjoni);  jistabbilixxi u jespandi programmi ta’ awturi tal-vjolenza domestika u awturi tal-vjolenza sesswali (l-Artikolu 16 tal-Konvenzjoni); jiżgura li l-fornituri tal-kura tas-saħħa jagħtu prijorità lin-nisa vittmi tal-vjolenza kontra n-nisa u l-vjolenza domestika u jirrispetta l-privatezza tagħhom (l-Artikolu 20 tal-Konvenzjoni);  jagħti spinta lill-kooperazzjoni bejn diversi aġenziji (l-Artikolu 18 tal-Konvenzjoni);  iżid id-disponibbiltà ta’ servizzi ta’ appoġġ speċjalizzat għall-vittmi (l-Artikolu 22 tal-Konvenzjoni);  jistabbilixxi ċentru għall-vittmi ta’ stupru madwar il-pajjiż (l-Artikolu 25 tal-Konvenzjoni);  jiżgura l-kondiviżjoni tal-informazzjoni dwar il-vjolenza kontra n-nisa bejn il-qrati rilevanti fi proċedimenti ċivili (l-Artikolu 31 tal-Konvenzjoni); jinvestiga u jagħmel prosekuzzjoni ta’ atti ta’ vjolenza kontra n-nisa u l-vjolenza domestika b’mod effettiv u f’waqtu, inkluż billi jiżgura li l-professjonisti rilevanti jkollhom l-għarfien espert meħtieġ (l-Artikoli 49 u 50 tal-Konvenzjoni);  jiżgura li l-valutazzjonijiet tar-riskju jitwettqu b’mod sistematiku f’każijiet ta’ vjolenza domestika f’kollaborazzjoni mal-awtoritajiet kompetenti rilevanti (l-Artikolu 51 tal-Konvenzjoni);  jiżgura d-disponibbiltà ta’ ordnijiet ta’ inibizzjoni ta’ emerġenza għall-vittmi kollha tal-vjolenza kontra n-nisa, inklużi t-tfal (l-Artikolu 52 tal-Konvenzjoni); jiżgura li l-ordnijiet ta’ protezzjoni jiġu mmonitorjati b’mod effettiv u li jiġi </w:t>
      </w:r>
      <w:r w:rsidR="00FA17F7" w:rsidRPr="00FA17F7">
        <w:rPr>
          <w:noProof/>
        </w:rPr>
        <w:t>sanzjonat</w:t>
      </w:r>
      <w:r w:rsidR="00FF4C1C" w:rsidRPr="00FA17F7">
        <w:rPr>
          <w:noProof/>
        </w:rPr>
        <w:t xml:space="preserve"> l-ksur (l-Artikolu 53 tal-Konvenzjoni); u jiżgura li l-miżuri ta’ protezzjoni jintużaw b’mod effettiv u jdaħħal miżuri ta’ protezzjoni addizzjonali konformi mal-Konvenzjoni (l-Artikolu 56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lill-Montenegro.</w:t>
      </w:r>
    </w:p>
    <w:p w:rsidR="006C1532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(14)</w:t>
      </w:r>
      <w:r w:rsidRPr="008429B6">
        <w:rPr>
          <w:noProof/>
        </w:rPr>
        <w:tab/>
      </w:r>
      <w:r w:rsidR="00AE0921" w:rsidRPr="00FA17F7">
        <w:rPr>
          <w:noProof/>
        </w:rPr>
        <w:t>Fir-rigward ta’ Spanja, l-abbozz ta’ rakkomandazzjoni dwar l-implimentazzjoni tagħha tal-Konvenzjoni jinkludi l-ħtieġa li tiżgura l-implimentazzjoni tal-politiki eżistenti għall-prevenzjoni u l-ġlieda kontra l-vjolenza fuq in-nisa u l-vjolenza domestika, u li tinvolvi lill-organizzazzjonijiet mhux governattivi fit-tfassil tal-politika u fl-evalwazzjoni tal-politiki u tal-miżuri (l-Artikolu 7 tal-Konvenzjoni); tiżgura li d-data li tinġabar tkun diżaggregata u li tarmonizza l-ġbir ta’ data (l-Artikolu 11 tal-Konvenzjoni);  tgħallem lit-tfal dwar ir-rwol ċentrali tal-kunsens fir-relazzjonijiet sesswali (l-Artikolu 14 tal-Konvenzjoni);  iżżid it-taħriġ tal-professjonisti rilevanti kollha (l-Artikolu 15 tal-Konvenzjoni);  ittejjeb il-konformità tal-programmi ta’ awturi ta’ reati mal-Konvenzjoni (l-Artikolu 16 tal-Konvenzjoni);  tistabbilixxi mekkaniżmi ta’ kooperazzjoni bejn diversi aġenziji mal-atturi rilevanti kollha dwar il-forom kollha ta’ vjolenza koperti mill-Konvenzjoni u tistabbilixxi servizzi ta’ punt uniku ta’ servizz fejn xieraq (l-Artikolu 18 tal-Konvenzjoni);  tiżgura li l-vittmi kollha ta’ vjolenza sesswali jkollhom aċċess għal servizzi ta’ appoġġ (l-Artikolu 25 tal-Konvenzjoni); issaħħaħ il-kondiviżjoni tal-informazzjoni bejn il-qrati ċivili u l-qrati kriminali u tagħti spinta lill-miżuri biex tiżgura li l-faċilitajiet ta’ żjarat sorveljati jkollhom biżżejjed riżorsi (l-Artikolu 31 tal-Konvenzjoni);  tindirizza fatturi li jipprevjenu lill-vittmi milli jirrapportaw u li jwasslu għal vittimizzazzjoni sekondarja (l-Artikoli 49 u 50 tal-Konvenzjoni); u tiżgura li l-awtoritajiet kompetenti jkollhom aċċess għal ordnijiet ta’ inibizzjoni ta’ emerġenza f’konformità mal-Konvenzjoni (l-Artikolu 52 tal-Konvenzjoni); u tieħu miżuri biex tindirizza b’mod xieraq il-ksur tal-ordnijiet ta’ protezzjoni (l-Artikolu 53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 Spanja.</w:t>
      </w:r>
    </w:p>
    <w:p w:rsidR="000B0E40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(15)</w:t>
      </w:r>
      <w:r w:rsidRPr="008429B6">
        <w:rPr>
          <w:noProof/>
        </w:rPr>
        <w:tab/>
      </w:r>
      <w:r w:rsidR="00B25B6D" w:rsidRPr="00FA17F7">
        <w:rPr>
          <w:noProof/>
        </w:rPr>
        <w:t>Fir-rigward tal-Iżvezja, l-abbozz ta’ rakkomandazzjoni dwar l-implimentazzjoni tagħha tal-Konvenzjoni jirrikjedi li l-politiki dwar il-vjolenza kontra n-nisa jqisu l-ħtiġijiet tal-vittmi esposti għal diskriminazzjoni intersezzjonali, jevalwaw l-istrateġiji biex jaċċessaw l-impatt tagħhom u jiżguraw li l-politiki japplikaw fehim ibbażat fuq il-ġeneru tal-vjolenza kontra n-nisa (l-Artikoli 3 u 7 tal-Konvenzjoni);  jiżguraw livelli ta’ finanzjament sostenibbli tal-organizzazzjonijiet tad-drittijiet tan-nisa li jmexxu servizzi ta’ appoġġ speċjalizzat (l-Artikolu 8 tal-Konvenzjoni);  jarmonizzaw il-ġbir ta’ data u jiżguraw li d-data tiġi diżaggregata (l-Artikolu 11 tal-Konvenzjoni);  jiżguraw miżuri ta’ prevenzjoni usa’ għall-forom kollha ta’ vjolenza kontra n-nisa (l-Artikolu 12 tal-Konvenzjoni);  jintroduċu taħriġ sistematiku dwar il-forom kollha ta’ vjolenza koperti mill-Konvenzjoni għall-professjonisti rilevanti, u evalwazzjoni ta’ dak it-taħriġ (l-Artikolu 15 tal-Konvenzjoni);  jiżviluppaw standards minimi għal programmi ta’ awturi ta’ reat f’konformità mal-Konvenzjoni u jiżguraw evalwazzjoni (l-Artikolu 16 tal-Konvenzjoni);  jadottaw mekkaniżmi ta’ koordinazzjoni u kooperazzjoni fost l-aġenziji rilevanti u fejn possibbli fl-istess bini (l-Artikolu 18 tal-Konvenzjoni);  jiżguraw li s-servizzi soċjali jagħtu appoġġ u assistenza suffiċjenti lill-vittmi kollha, inkluż appoġġ dwar kwistjonijiet prattiċi (l-Artikolu 20 tal-Konvenzjoni);  iżidu id-disponibbiltà u l-aċċess għal postijiet ta’ rifuġju għall-vittmi kollha u għat-tfal tagħhom (l-Artikolu 22 tal-Konvenzjoni);  jiżguraw għadd suffiċjenti ta’ ċentri ta’ kriżi ta’ stupru u/jew ta’ vjolenza sesswali fil-pajjiż kollu (l-Artikolu 25 tal-Konvenzjoni);  jipprovdu bini sikur fejn jistgħu jsiru żjarat sorveljati ma’ professjonisti mħarrġa (l-Artikolu 31 tal-Konvenzjoni);  isaħħu l-kapaċità tal-pulizija li twieġeb u jinvestigaw il-forom kollha ta’ vjolenza kontra n-nisa, inklużi l-manifestazzjonijiet diġitali tagħha, u jieħdu miżuri li jħeġġu r-rapportar min-nisa f’riskju ta’ diskriminazzjoni intersezzjonali (l-Artikoli 49 u 50 tal-Konvenzjoni);  jiżguraw li l-valutazzjonijiet tar-riskju jitwettqu b’mod sistematiku għall-vittmi u t-tfal tagħhom b’manjiera koordinata (l-Artikolu 51 tal-Konvenzjoni); u jieħdu miżuri biex jiżguraw li l-ordnijiet ta’ inibizzjoni ta’ emerġenza, l-ordnijiet ta’ trażżin u ta’ protezzjoni (“ordnijiet ta’ nuqqas ta’ kuntatt għad-dar konġunta”) jinħarġu malajr b’effett immedjat, inkluż għat-tfal, jiġu mmonitorjati b’mod effettiv u akkumpanjati minn sanzjonijiet xierqa (l-Artikolu 52 53 tal-Konvenzjoni). Peress li r-rakkomandazzjonijiet dwar dawn il-kwistjonijiet huma konformi mal-politiki u l-objettivi fil-qasam tal-kooperazzjoni ġudizzjarja f’materji kriminali u ma jqajmu ebda tħassib fir-rigward tad-dritt tal-Unjoni, jenħtieġ li l-pożizzjoni tal-Unjoni tkun li ma toġġezzjonax għall-adozzjoni tar-rakkomandazzjoni indirizzata lill-Iżvezja.</w:t>
      </w:r>
    </w:p>
    <w:p w:rsidR="5396E572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(16)</w:t>
      </w:r>
      <w:r w:rsidRPr="008429B6">
        <w:rPr>
          <w:noProof/>
        </w:rPr>
        <w:tab/>
      </w:r>
      <w:r w:rsidR="5396E572" w:rsidRPr="00FA17F7">
        <w:rPr>
          <w:noProof/>
        </w:rPr>
        <w:t>Fir-rigward ta’ San Marino, l-abbozz ta’ konklużjonijiet dwar l-implimentazzjoni tiegħu tal-Konvenzjoni jinkludi l-ħtieġa li jappoġġa l-organizzazzjonijiet tas-soċjetà ċivili billi jiżgura finanzjament sostenibbli biex jistabbilixxi mekkaniżmi ta’ kooperazzjoni, u jiżgura li l-korp nazzjonali ta’ koordinazzjoni jikkoordina mal-organizzazzjonijiet tas-soċjetà ċivili (l-Artikolu 9 u l-Artikolu 10 tal-Konvenzjoni);  itejjeb il-ġbir ta’ data diżaggregata abbażi ta’ sistema komuni ta’ ġbir ta’ data biex iwettaq b’mod regolari stħarriġ dwar il-vittimizzazzjoni u jippromwovi attivitajiet ta’ riċerka (l-Artikolu 11 tal-Konvenzjoni); u jikkonforma mar-rekwiżiti tal-Artikolu 59 tal-Konvenzjoni dwar l-istatus ta’ residenza tal-vittmi tal-vjolenza kontra n-nisa (l-Artikolu 59 tal-Konvenzjoni). Peress li l-konklużjonijiet dwar dawn il-kwistjonijiet huma konformi mal-politiki u l-objettivi tal-Unjoni fil-qasam tal-kooperazzjoni ġudizzjarja f’materji kriminali, l-ażil u n-non-refoulment, u ma jqajmu l-ebda tħassib fir-rigward tad-dritt tal-Unjoni, jenħtieġ li l-pożizzjoni tal-Unjoni tkun li ma toġġezzjonax għall-adozzjoni tal-konklużjoni indirizzata lil San Marino.</w:t>
      </w:r>
    </w:p>
    <w:p w:rsidR="20B14CB5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(17)</w:t>
      </w:r>
      <w:r w:rsidRPr="008429B6">
        <w:rPr>
          <w:noProof/>
        </w:rPr>
        <w:tab/>
      </w:r>
      <w:r w:rsidR="07385B0D" w:rsidRPr="00FA17F7">
        <w:rPr>
          <w:noProof/>
        </w:rPr>
        <w:t>Fir-rigward tas-Slovenja, l-abbozz ta’ konklużjonijiet dwar l-implimentazzjoni tagħha tal-Konvenzjoni jinkludi l-ħtieġa li tassenja r-rwol tal-korp ta’ koordinazzjoni lil entitajiet istituzzjonalizzati bis-sħiħ u tiżgura r-riżorsi umani u finanzjarji meħtieġa (l-Artikolu 10 tal-Konvenzjoni);  tiżgura l-ġbir komprensiv ta’ data dwar il-forom kollha ta’ vjolenza skont il-Konvenzjoni (l-Artikolu 11 tal-Konvenzjoni);  issaħħaħ l-iskambju ta’ informazzjoni bejn il-qrati ċivili u kriminali (l-Artikolu 31 tal-Konvenzjoni);  tiżgura rispons xieraq u f’waqtu mill-aġenziji tal-infurzar tal-liġi għall-vjolenza kontra n-nisa (l-Artikoli 49 u 50); u tikkonforma mal-Konvenzjoni dwar kwistjonijiet li jirrigwardaw il-prosekuzzjoni ex officio tal-istupru fiż-żwieġ (l-Artikolu 55 tal-Konvenzjoni). Peress li l-konklużjonijiet dwar dawn il-kwistjonijiet huma konformi mal-politiki u l-objettivi fl-oqsma tal-kooperazzjoni ġudizzjarja f’materji kriminali u ma jqajmu ebda tħassib fir-rigward tad-dritt tal-Unjoni, jenħtieġ li l-pożizzjoni tal-Unjoni tkun li ma toġġezzjonax għall-adozzjoni tal-konklużjoni indirizzata lis-Slovenja.</w:t>
      </w:r>
    </w:p>
    <w:p w:rsidR="008B3E75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(18)</w:t>
      </w:r>
      <w:r w:rsidRPr="008429B6">
        <w:rPr>
          <w:noProof/>
        </w:rPr>
        <w:tab/>
      </w:r>
      <w:r w:rsidR="008B3E75" w:rsidRPr="00FA17F7">
        <w:rPr>
          <w:noProof/>
        </w:rPr>
        <w:t>L-Irlanda mhijiex marbuta bid-Deċiżjoni tal-Kunsill (UE) 2023/1076 u għalhekk mhijiex tieħu sehem fl-adozzjoni ta’ din id-Deċiżjoni.</w:t>
      </w:r>
    </w:p>
    <w:p w:rsidR="00CA0046" w:rsidRPr="00FA17F7" w:rsidRDefault="008429B6" w:rsidP="008429B6">
      <w:pPr>
        <w:pStyle w:val="ManualConsidrant"/>
        <w:rPr>
          <w:noProof/>
        </w:rPr>
      </w:pPr>
      <w:r w:rsidRPr="008429B6">
        <w:rPr>
          <w:noProof/>
        </w:rPr>
        <w:t>(19)</w:t>
      </w:r>
      <w:r w:rsidRPr="008429B6">
        <w:rPr>
          <w:noProof/>
        </w:rPr>
        <w:tab/>
      </w:r>
      <w:r w:rsidR="008B3E75" w:rsidRPr="00FA17F7">
        <w:rPr>
          <w:noProof/>
        </w:rPr>
        <w:t>F’konformità mal-Artikoli 1 u 2 tal-Protokoll Nru 22 dwar il-pożizzjoni tad-Danimarka, anness mat-Trattat dwar l-Unjoni Ewropea u mat-Trattat dwar il-Funzjonament tal-Unjoni Ewropea, id-Danimarka mhijiex qed tieħu sehem fl-adozzjoni ta’ din id-Deċiżjoni u mhijiex marbuta biha jew soġġetta għall-applikazzjoni tagħha,</w:t>
      </w:r>
    </w:p>
    <w:p w:rsidR="00CA0046" w:rsidRPr="00FA17F7" w:rsidRDefault="00CA0046" w:rsidP="009B37BC">
      <w:pPr>
        <w:pStyle w:val="Formuledadoption"/>
        <w:rPr>
          <w:noProof/>
        </w:rPr>
      </w:pPr>
      <w:r w:rsidRPr="00FA17F7">
        <w:rPr>
          <w:noProof/>
        </w:rPr>
        <w:t>ADOTTA DIN ID-DEĊIŻJONI:</w:t>
      </w:r>
    </w:p>
    <w:p w:rsidR="00CA0046" w:rsidRPr="00FA17F7" w:rsidRDefault="00CA0046" w:rsidP="009B37BC">
      <w:pPr>
        <w:pStyle w:val="Titrearticle"/>
        <w:rPr>
          <w:noProof/>
        </w:rPr>
      </w:pPr>
      <w:r w:rsidRPr="00FA17F7">
        <w:rPr>
          <w:noProof/>
        </w:rPr>
        <w:t>Artikolu 1</w:t>
      </w:r>
    </w:p>
    <w:p w:rsidR="008B3E75" w:rsidRPr="00FA17F7" w:rsidRDefault="008B3E75" w:rsidP="008B3E75">
      <w:pPr>
        <w:rPr>
          <w:noProof/>
        </w:rPr>
      </w:pPr>
      <w:r w:rsidRPr="00FA17F7">
        <w:rPr>
          <w:noProof/>
        </w:rPr>
        <w:t>Il-pożizzjoni li għandha tittieħed f’isem l-Unjoni fit-18-il laqgħa tal-Kumitat tal-Partijiet, stabbilit skont l-Artikolu 67 tal-Konvenzjoni, għandha tkun li ma toġġezzjonax għall-adozzjoni tal-atti li ġejjin: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(1)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lill-Albanija biex issaħħaħ il-fiduċja billi tagħti appoġġ, protezzjoni u ġustizzja abbażi tal-Konvenzjoni ta’ Istanbul [IC-CP (2025) 2-prov];</w:t>
      </w:r>
    </w:p>
    <w:p w:rsidR="6BFA5043" w:rsidRPr="00FA17F7" w:rsidRDefault="008429B6" w:rsidP="008429B6">
      <w:pPr>
        <w:pStyle w:val="Point1"/>
        <w:rPr>
          <w:rFonts w:eastAsia="Calibri"/>
          <w:noProof/>
        </w:rPr>
      </w:pPr>
      <w:r w:rsidRPr="008429B6">
        <w:rPr>
          <w:noProof/>
        </w:rPr>
        <w:t>(2)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lill-Awstrija biex issaħħaħ il-fiduċja billi tagħti appoġġ, protezzjoni u ġustizzja abbażi tal-Konvenzjoni ta’ Istanbul [IC-CP (2025) 3-prov];</w:t>
      </w:r>
    </w:p>
    <w:p w:rsidR="6BFA5043" w:rsidRPr="00FA17F7" w:rsidRDefault="008429B6" w:rsidP="008429B6">
      <w:pPr>
        <w:pStyle w:val="Point1"/>
        <w:rPr>
          <w:rFonts w:eastAsia="Calibri"/>
          <w:noProof/>
        </w:rPr>
      </w:pPr>
      <w:r w:rsidRPr="008429B6">
        <w:rPr>
          <w:noProof/>
        </w:rPr>
        <w:t>(3)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lid-Danimarka biex issaħħaħ il-fiduċja billi tagħti appoġġ, protezzjoni u ġustizzja abbażi tal-Konvenzjoni ta’ Istanbul [IC-CP (2025) 4-prov];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(4)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lill-Finlandja biex issaħħaħ il-fiduċja billi tagħti appoġġ, protezzjoni u ġustizzja abbażi tal-Konvenzjoni ta’ Istanbul [IC-CP (2025) 5-prov];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(5)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 Monaco biex isaħħaħ il-fiduċja billi jagħti appoġġ, protezzjoni u ġustizzja abbażi tal-Konvenzjoni ta’ Istanbul [IC-CP (2025) 6-prov];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(6)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lill-Montenegro biex isaħħaħ il-fiduċja billi jagħti appoġġ, protezzjoni u ġustizzja abbażi tal-Konvenzjoni ta’ Istanbul [IC-CP (2025) 7-prov];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(7)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 Spanja biex issaħħaħ il-fiduċja billi tagħti appoġġ, protezzjoni u ġustizzja abbażi tal-Konvenzjoni ta’ Istanbul [IC-CP (2025) 8-prov];</w:t>
      </w:r>
    </w:p>
    <w:p w:rsidR="6BFA5043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(8)</w:t>
      </w:r>
      <w:r w:rsidRPr="008429B6">
        <w:rPr>
          <w:noProof/>
        </w:rPr>
        <w:tab/>
      </w:r>
      <w:r w:rsidR="6BFA5043" w:rsidRPr="00FA17F7">
        <w:rPr>
          <w:noProof/>
        </w:rPr>
        <w:t>ir-Rakkomandazzjonijiet lill-Iżvezja biex issaħħaħ il-fiduċja billi tagħti appoġġ, protezzjoni u ġustizzja abbażi tal-Konvenzjoni ta’ Istanbul [IC-CP (2025) 9-prov];</w:t>
      </w:r>
    </w:p>
    <w:p w:rsidR="493C003A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(9)</w:t>
      </w:r>
      <w:r w:rsidRPr="008429B6">
        <w:rPr>
          <w:noProof/>
        </w:rPr>
        <w:tab/>
      </w:r>
      <w:r w:rsidR="493C003A" w:rsidRPr="00FA17F7">
        <w:rPr>
          <w:noProof/>
        </w:rPr>
        <w:t>il-Konklużjonijiet dwar l-implimentazzjoni tar-rakkomandazzjonijiet fir-rigward ta’ San Marino adottati mill-Kumitat tal-Partijiet [IC-CP(2025)10-prov]; kif ukoll</w:t>
      </w:r>
    </w:p>
    <w:p w:rsidR="493C003A" w:rsidRPr="00FA17F7" w:rsidRDefault="008429B6" w:rsidP="008429B6">
      <w:pPr>
        <w:pStyle w:val="Point1"/>
        <w:rPr>
          <w:noProof/>
        </w:rPr>
      </w:pPr>
      <w:r w:rsidRPr="008429B6">
        <w:rPr>
          <w:noProof/>
        </w:rPr>
        <w:t>(10)</w:t>
      </w:r>
      <w:r w:rsidRPr="008429B6">
        <w:rPr>
          <w:noProof/>
        </w:rPr>
        <w:tab/>
      </w:r>
      <w:r w:rsidR="493C003A" w:rsidRPr="00FA17F7">
        <w:rPr>
          <w:noProof/>
        </w:rPr>
        <w:t>il-Konklużjonijiet dwar l-implimentazzjoni tar-rakkomandazzjonijiet fir-rigward tas-Slovenja adottati mill-Kumitat tal-Partijiet [IC-CP(2025)11-prov].</w:t>
      </w:r>
    </w:p>
    <w:p w:rsidR="3154F711" w:rsidRPr="00FA17F7" w:rsidRDefault="3154F711" w:rsidP="3C8E0E83">
      <w:pPr>
        <w:pStyle w:val="ListParagraph"/>
        <w:ind w:left="1080"/>
        <w:rPr>
          <w:noProof/>
        </w:rPr>
      </w:pPr>
    </w:p>
    <w:p w:rsidR="00CA0046" w:rsidRPr="00FA17F7" w:rsidRDefault="00CA0046" w:rsidP="00235B30">
      <w:pPr>
        <w:pStyle w:val="Titrearticle"/>
        <w:rPr>
          <w:noProof/>
        </w:rPr>
      </w:pPr>
      <w:r w:rsidRPr="00FA17F7">
        <w:rPr>
          <w:noProof/>
        </w:rPr>
        <w:t>Artikolu 2</w:t>
      </w:r>
    </w:p>
    <w:p w:rsidR="008B3E75" w:rsidRPr="00FA17F7" w:rsidRDefault="008B3E75" w:rsidP="008B3E75">
      <w:pPr>
        <w:rPr>
          <w:noProof/>
        </w:rPr>
      </w:pPr>
      <w:bookmarkStart w:id="12" w:name="_Hlk167359088"/>
      <w:r w:rsidRPr="00FA17F7">
        <w:rPr>
          <w:noProof/>
        </w:rPr>
        <w:t>Din id-Deċiżjoni għandha tidħol fis-seħħ fid-data tal-adozzjoni tagħha</w:t>
      </w:r>
      <w:bookmarkEnd w:id="12"/>
      <w:r w:rsidRPr="00FA17F7">
        <w:rPr>
          <w:noProof/>
        </w:rPr>
        <w:t>.</w:t>
      </w:r>
    </w:p>
    <w:p w:rsidR="00CA0046" w:rsidRPr="00FA17F7" w:rsidRDefault="00FA17F7" w:rsidP="00235B30">
      <w:pPr>
        <w:pStyle w:val="Fait"/>
        <w:rPr>
          <w:noProof/>
        </w:rPr>
      </w:pPr>
      <w:r>
        <w:rPr>
          <w:noProof/>
        </w:rPr>
        <w:t>Magħmul fi Brussell,</w:t>
      </w:r>
    </w:p>
    <w:p w:rsidR="00CA0046" w:rsidRPr="00FA17F7" w:rsidRDefault="00CA0046" w:rsidP="00235B30">
      <w:pPr>
        <w:pStyle w:val="Institutionquisigne"/>
        <w:rPr>
          <w:noProof/>
        </w:rPr>
      </w:pPr>
      <w:r w:rsidRPr="00FA17F7">
        <w:rPr>
          <w:noProof/>
        </w:rPr>
        <w:tab/>
        <w:t>Għall-Kunsill</w:t>
      </w:r>
    </w:p>
    <w:p w:rsidR="00CA0046" w:rsidRPr="00FA17F7" w:rsidRDefault="00CA0046" w:rsidP="00CA0046">
      <w:pPr>
        <w:pStyle w:val="Personnequisigne"/>
        <w:rPr>
          <w:noProof/>
        </w:rPr>
      </w:pPr>
      <w:r w:rsidRPr="00FA17F7">
        <w:rPr>
          <w:noProof/>
        </w:rPr>
        <w:tab/>
      </w:r>
      <w:r w:rsidRPr="00FA17F7">
        <w:rPr>
          <w:iCs/>
          <w:noProof/>
        </w:rPr>
        <w:t>I</w:t>
      </w:r>
      <w:r w:rsidRPr="00FA17F7">
        <w:rPr>
          <w:noProof/>
        </w:rPr>
        <w:t>l-President</w:t>
      </w:r>
    </w:p>
    <w:sectPr w:rsidR="00CA0046" w:rsidRPr="00FA17F7" w:rsidSect="000E521F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84F" w:rsidRPr="00BB4B61" w:rsidRDefault="0058084F" w:rsidP="00CA0046">
      <w:pPr>
        <w:spacing w:before="0" w:after="0"/>
      </w:pPr>
      <w:r w:rsidRPr="00BB4B61">
        <w:separator/>
      </w:r>
    </w:p>
  </w:endnote>
  <w:endnote w:type="continuationSeparator" w:id="0">
    <w:p w:rsidR="0058084F" w:rsidRPr="00BB4B61" w:rsidRDefault="0058084F" w:rsidP="00CA0046">
      <w:pPr>
        <w:spacing w:before="0" w:after="0"/>
      </w:pPr>
      <w:r w:rsidRPr="00BB4B61">
        <w:continuationSeparator/>
      </w:r>
    </w:p>
  </w:endnote>
  <w:endnote w:type="continuationNotice" w:id="1">
    <w:p w:rsidR="0058084F" w:rsidRPr="00BB4B61" w:rsidRDefault="0058084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Pr="000E521F" w:rsidRDefault="000E521F" w:rsidP="000E521F">
    <w:pPr>
      <w:pStyle w:val="Footer"/>
      <w:rPr>
        <w:rFonts w:ascii="Arial" w:hAnsi="Arial" w:cs="Arial"/>
        <w:b/>
        <w:sz w:val="48"/>
      </w:rPr>
    </w:pPr>
    <w:r w:rsidRPr="000E521F">
      <w:rPr>
        <w:rFonts w:ascii="Arial" w:hAnsi="Arial" w:cs="Arial"/>
        <w:b/>
        <w:sz w:val="48"/>
      </w:rPr>
      <w:t>MT</w:t>
    </w:r>
    <w:r w:rsidRPr="000E521F">
      <w:rPr>
        <w:rFonts w:ascii="Arial" w:hAnsi="Arial" w:cs="Arial"/>
        <w:b/>
        <w:sz w:val="48"/>
      </w:rPr>
      <w:tab/>
    </w:r>
    <w:r w:rsidRPr="000E521F">
      <w:rPr>
        <w:rFonts w:ascii="Arial" w:hAnsi="Arial" w:cs="Arial"/>
        <w:b/>
        <w:sz w:val="48"/>
      </w:rPr>
      <w:tab/>
    </w:r>
    <w:r w:rsidRPr="000E521F">
      <w:tab/>
    </w:r>
    <w:r w:rsidRPr="000E521F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Pr="000E521F" w:rsidRDefault="000E521F" w:rsidP="000E521F">
    <w:pPr>
      <w:pStyle w:val="Footer"/>
      <w:rPr>
        <w:rFonts w:ascii="Arial" w:hAnsi="Arial" w:cs="Arial"/>
        <w:b/>
        <w:sz w:val="48"/>
      </w:rPr>
    </w:pPr>
    <w:r w:rsidRPr="000E521F">
      <w:rPr>
        <w:rFonts w:ascii="Arial" w:hAnsi="Arial" w:cs="Arial"/>
        <w:b/>
        <w:sz w:val="48"/>
      </w:rPr>
      <w:t>MT</w:t>
    </w:r>
    <w:r w:rsidRPr="000E521F">
      <w:rPr>
        <w:rFonts w:ascii="Arial" w:hAnsi="Arial" w:cs="Arial"/>
        <w:b/>
        <w:sz w:val="48"/>
      </w:rPr>
      <w:tab/>
    </w:r>
    <w:r w:rsidRPr="000E521F">
      <w:rPr>
        <w:rFonts w:ascii="Arial" w:hAnsi="Arial" w:cs="Arial"/>
        <w:b/>
        <w:sz w:val="48"/>
      </w:rPr>
      <w:tab/>
    </w:r>
    <w:r w:rsidRPr="000E521F">
      <w:tab/>
    </w:r>
    <w:r w:rsidRPr="000E521F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Default="000E521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Pr="000E521F" w:rsidRDefault="000E521F" w:rsidP="000E521F">
    <w:pPr>
      <w:pStyle w:val="Footer"/>
      <w:rPr>
        <w:rFonts w:ascii="Arial" w:hAnsi="Arial" w:cs="Arial"/>
        <w:b/>
        <w:sz w:val="48"/>
      </w:rPr>
    </w:pPr>
    <w:r w:rsidRPr="000E521F">
      <w:rPr>
        <w:rFonts w:ascii="Arial" w:hAnsi="Arial" w:cs="Arial"/>
        <w:b/>
        <w:sz w:val="48"/>
      </w:rPr>
      <w:t>MT</w:t>
    </w:r>
    <w:r w:rsidRPr="000E521F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235B30">
      <w:rPr>
        <w:noProof/>
      </w:rPr>
      <w:t>16</w:t>
    </w:r>
    <w:r>
      <w:fldChar w:fldCharType="end"/>
    </w:r>
    <w:r>
      <w:tab/>
    </w:r>
    <w:r w:rsidRPr="000E521F">
      <w:tab/>
    </w:r>
    <w:r w:rsidRPr="000E521F"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Default="000E521F" w:rsidP="000E5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84F" w:rsidRPr="00BB4B61" w:rsidRDefault="0058084F" w:rsidP="00CA0046">
      <w:pPr>
        <w:spacing w:before="0" w:after="0"/>
      </w:pPr>
      <w:r w:rsidRPr="00BB4B61">
        <w:separator/>
      </w:r>
    </w:p>
  </w:footnote>
  <w:footnote w:type="continuationSeparator" w:id="0">
    <w:p w:rsidR="0058084F" w:rsidRPr="00BB4B61" w:rsidRDefault="0058084F" w:rsidP="00CA0046">
      <w:pPr>
        <w:spacing w:before="0" w:after="0"/>
      </w:pPr>
      <w:r w:rsidRPr="00BB4B61">
        <w:continuationSeparator/>
      </w:r>
    </w:p>
  </w:footnote>
  <w:footnote w:type="continuationNotice" w:id="1">
    <w:p w:rsidR="0058084F" w:rsidRPr="00BB4B61" w:rsidRDefault="0058084F">
      <w:pPr>
        <w:spacing w:before="0" w:after="0"/>
      </w:pPr>
    </w:p>
  </w:footnote>
  <w:footnote w:id="2">
    <w:p w:rsidR="00B9721A" w:rsidRPr="00BB4B61" w:rsidRDefault="00B9721A" w:rsidP="00B9721A">
      <w:pPr>
        <w:pStyle w:val="FootnoteText"/>
      </w:pPr>
      <w:r>
        <w:rPr>
          <w:rStyle w:val="FootnoteReference"/>
        </w:rPr>
        <w:footnoteRef/>
      </w:r>
      <w:r>
        <w:tab/>
        <w:t xml:space="preserve">Id-Deċiżjoni tal-Kunsill (UE) 2023/1075 tal-1 ta’ Ġunju 2023 dwar il-konklużjoni, f’isem l-Unjoni Ewropea, tal-Konvenzjoni tal-Kunsill tal-Ewropa dwar il-prevenzjoni u l-ġlieda kontra l-vjolenza fuq in-nisa u l-vjolenza domestika fir-rigward tal-istituzzjonijiet u l-amministrazzjoni pubblika tal-Unjoni, ĠU L 143 I, 2.6.2023, p. 1, </w:t>
      </w:r>
      <w:bookmarkStart w:id="1" w:name="_Hlk166497907"/>
      <w:r>
        <w:t xml:space="preserve">ELI: </w:t>
      </w:r>
      <w:hyperlink r:id="rId1" w:history="1">
        <w:r>
          <w:rPr>
            <w:rStyle w:val="Hyperlink"/>
          </w:rPr>
          <w:t>http://data.europa.eu/eli/dec/2023/1075/oj</w:t>
        </w:r>
      </w:hyperlink>
      <w:r>
        <w:t>.</w:t>
      </w:r>
    </w:p>
    <w:bookmarkEnd w:id="1"/>
  </w:footnote>
  <w:footnote w:id="3">
    <w:p w:rsidR="00B9721A" w:rsidRPr="00BB4B61" w:rsidRDefault="00B9721A" w:rsidP="00B9721A">
      <w:pPr>
        <w:pStyle w:val="FootnoteText"/>
      </w:pPr>
      <w:r>
        <w:rPr>
          <w:rStyle w:val="FootnoteReference"/>
        </w:rPr>
        <w:footnoteRef/>
      </w:r>
      <w:r>
        <w:tab/>
        <w:t xml:space="preserve">Id-Deċiżjoni tal-Kunsill (UE) 2023/1076 tal-1 ta’ Ġunju 2023 dwar il-konklużjoni, f’isem l-Unjoni Ewropea, tal-Konvenzjoni tal-Kunsill tal-Ewropa dwar il-prevenzjoni u l-ġlieda kontra l-vjolenza fuq in-nisa u l-vjolenza domestika fir-rigward ta’ materji relatati mal-kooperazzjoni ġudizzjarja f’materji kriminali, l-ażil u n-non-refoulement, ĠU L 143 I, 2.6.2023, p. 4, </w:t>
      </w:r>
      <w:bookmarkStart w:id="2" w:name="_Hlk166497990"/>
      <w:r>
        <w:t xml:space="preserve">ELI: </w:t>
      </w:r>
      <w:hyperlink r:id="rId2" w:history="1">
        <w:r>
          <w:rPr>
            <w:rStyle w:val="Hyperlink"/>
          </w:rPr>
          <w:t>http://data.europa.eu/eli/dec/2023/1076/oj</w:t>
        </w:r>
      </w:hyperlink>
      <w:r>
        <w:t>)</w:t>
      </w:r>
      <w:bookmarkEnd w:id="2"/>
      <w:r>
        <w:t>.</w:t>
      </w:r>
    </w:p>
  </w:footnote>
  <w:footnote w:id="4">
    <w:p w:rsidR="00B9721A" w:rsidRPr="00BB4B61" w:rsidRDefault="00B9721A" w:rsidP="00B9721A">
      <w:pPr>
        <w:pStyle w:val="FootnoteText"/>
      </w:pPr>
      <w:r>
        <w:rPr>
          <w:rStyle w:val="FootnoteReference"/>
        </w:rPr>
        <w:footnoteRef/>
      </w:r>
      <w:r>
        <w:tab/>
        <w:t>Status tar-ratifiki fl-24.4.2025: AT (2013); BE (2016); CY (2017); DE (2017); DK (2014); IE (2019); EL (2018); ES (2014); EE (2017) FI (2015); FR (2014); HR (2018); IT (2013); LU (2018); MT (2014); NL (2015); PL (2015); PT (2013); RO (2016); SI (2015); SV (2014), LV (2023).</w:t>
      </w:r>
    </w:p>
  </w:footnote>
  <w:footnote w:id="5">
    <w:p w:rsidR="00B9721A" w:rsidRPr="00BB4B61" w:rsidRDefault="00B9721A" w:rsidP="00B9721A">
      <w:pPr>
        <w:pStyle w:val="FootnoteText"/>
      </w:pPr>
      <w:r>
        <w:rPr>
          <w:rStyle w:val="FootnoteReference"/>
        </w:rPr>
        <w:footnoteRef/>
      </w:r>
      <w:r>
        <w:tab/>
      </w:r>
      <w:hyperlink r:id="rId3" w:history="1">
        <w:r>
          <w:rPr>
            <w:rStyle w:val="Hyperlink"/>
          </w:rPr>
          <w:t>Committee of the Parties - Istanbul Convention Action against violence against women and domestic violence (Il-Kumitat tal-Partijiet - Il-Konvenzjoni ta’ Istanbul Azzjoni kontra l-vjolenza fuq in-nisa u l-vjolenza domestika) (coe.int)</w:t>
        </w:r>
      </w:hyperlink>
    </w:p>
  </w:footnote>
  <w:footnote w:id="6">
    <w:p w:rsidR="00B9721A" w:rsidRPr="00FA17F7" w:rsidRDefault="00B9721A" w:rsidP="00B9721A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Ir-Regola 2.1.b tar-Regoli ta’ Proċedura tal-Kumitat tal-Partijiet.</w:t>
      </w:r>
    </w:p>
  </w:footnote>
  <w:footnote w:id="7">
    <w:p w:rsidR="00B9721A" w:rsidRPr="00BB4B61" w:rsidRDefault="00B9721A" w:rsidP="00B9721A">
      <w:pPr>
        <w:pStyle w:val="FootnoteText"/>
      </w:pPr>
      <w:r>
        <w:rPr>
          <w:rStyle w:val="FootnoteReference"/>
        </w:rPr>
        <w:footnoteRef/>
      </w:r>
      <w:r>
        <w:tab/>
        <w:t>Id-dokument IC-CP(2015)2, adottat fl-4 ta’ Mejju 2015.</w:t>
      </w:r>
    </w:p>
  </w:footnote>
  <w:footnote w:id="8">
    <w:p w:rsidR="00425494" w:rsidRPr="00FA17F7" w:rsidRDefault="00425494" w:rsidP="0042549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L-Artikolu 1(2) tal-Konvenzjoni ta’ Istanbul.</w:t>
      </w:r>
    </w:p>
  </w:footnote>
  <w:footnote w:id="9">
    <w:p w:rsidR="007B19AA" w:rsidRPr="00FA17F7" w:rsidRDefault="007B19AA" w:rsidP="007B19AA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L-Artikolu 68(10) tal-Konvenzjoni ta’ Istanbul.</w:t>
      </w:r>
    </w:p>
  </w:footnote>
  <w:footnote w:id="10">
    <w:p w:rsidR="004B2364" w:rsidRPr="00FA17F7" w:rsidRDefault="004B2364" w:rsidP="004B236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Il-proċedura applikabbli għas-superviżjoni tal-implimentazzjoni u r-rapportar hija definita fil-“Framework for supervising the implementation of the recommendations addressed to State Parties” (“il-Qafas għas-sorveljanza tal-implimentazzjoni tar-rakkomandazzjonijiet indirizzati lill-Istati Membri”), adottat mis-CoP fit-13 ta’ April 2021, IC-CP/Inf(2021)2.</w:t>
      </w:r>
    </w:p>
  </w:footnote>
  <w:footnote w:id="11">
    <w:p w:rsidR="006F40B7" w:rsidRPr="00FA17F7" w:rsidRDefault="006F40B7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L-Artikolu 67(2) tal-Konvenzjoni.</w:t>
      </w:r>
    </w:p>
  </w:footnote>
  <w:footnote w:id="12">
    <w:p w:rsidR="00425494" w:rsidRPr="00FA17F7" w:rsidRDefault="00425494" w:rsidP="0042549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Id-Direttiva 2024/1385 tal-Parlament Ewropew u tal-Kunsill tal-14 ta’ Mejju 2024 dwar il-ġlieda kontra l-vjolenza kontra n-nisa u l-vjolenza domestika (</w:t>
      </w:r>
      <w:r w:rsidRPr="00FA17F7">
        <w:rPr>
          <w:i/>
          <w:iCs/>
          <w:lang w:val="fr-BE"/>
        </w:rPr>
        <w:t>ĠU L, 2024/1385,ELI:</w:t>
      </w:r>
      <w:r w:rsidRPr="00FA17F7">
        <w:rPr>
          <w:i/>
          <w:lang w:val="fr-BE"/>
        </w:rPr>
        <w:t> </w:t>
      </w:r>
      <w:hyperlink r:id="rId4" w:tgtFrame="_blank" w:tooltip="Jagħti aċċess għal dan id-dokument permezz tal-URI tal-ELI tiegħu." w:history="1">
        <w:r w:rsidRPr="00FA17F7">
          <w:rPr>
            <w:rStyle w:val="Hyperlink"/>
            <w:i/>
            <w:lang w:val="fr-BE"/>
          </w:rPr>
          <w:t>http://data.europa.eu/eli/dir/2024/1385/o</w:t>
        </w:r>
      </w:hyperlink>
      <w:r w:rsidRPr="00FA17F7">
        <w:rPr>
          <w:lang w:val="fr-BE"/>
        </w:rPr>
        <w:t>).</w:t>
      </w:r>
    </w:p>
  </w:footnote>
  <w:footnote w:id="13">
    <w:p w:rsidR="00425494" w:rsidRPr="00FA17F7" w:rsidRDefault="00425494" w:rsidP="0042549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 xml:space="preserve">Id-Direttiva 2012/29/UE tal-Parlament Ewropew u tal-Kunsill tal-25 ta’ Ottubru 2012 li tistabbilixxi standards minimi fir-rigward tad-drittijiet, l-appoġġ u l-protezzjoni tal-vittmi tal-kriminalità, u li tissostitwixxi d-Deċiżjoni Qafas tal-Kunsill 2001/220/ĠAI (ĠU L 315, ELI: </w:t>
      </w:r>
      <w:hyperlink r:id="rId5" w:history="1">
        <w:r w:rsidRPr="00FA17F7">
          <w:rPr>
            <w:rStyle w:val="Hyperlink"/>
            <w:lang w:val="fr-BE"/>
          </w:rPr>
          <w:t>http://data.europa.eu/eli/dir/2012/29/oj</w:t>
        </w:r>
      </w:hyperlink>
      <w:r w:rsidRPr="00FA17F7">
        <w:rPr>
          <w:lang w:val="fr-BE"/>
        </w:rPr>
        <w:t>).</w:t>
      </w:r>
    </w:p>
  </w:footnote>
  <w:footnote w:id="14">
    <w:p w:rsidR="00425494" w:rsidRPr="00FA17F7" w:rsidRDefault="00425494" w:rsidP="0042549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Ir-Regolament 2024/1348 tal-Parlament Ewropew u tal-Kunsill li jistabbilixxi proċedura komuni għall-protezzjoni internazzjonali fl-Unjoni u li jħassar id-Direttiva 2013/32/UE (ĠU L, 2024/1348, ELI:</w:t>
      </w:r>
      <w:r w:rsidRPr="00FA17F7">
        <w:rPr>
          <w:i/>
          <w:lang w:val="fr-BE"/>
        </w:rPr>
        <w:t> </w:t>
      </w:r>
      <w:hyperlink r:id="rId6" w:tgtFrame="_blank" w:tooltip="Jagħti aċċess għal dan id-dokument permezz tal-URI tal-ELI tiegħu." w:history="1">
        <w:r w:rsidRPr="00FA17F7">
          <w:rPr>
            <w:rStyle w:val="Hyperlink"/>
            <w:i/>
            <w:lang w:val="fr-BE"/>
          </w:rPr>
          <w:t>http://data.europa.eu/eli/reg/2024/1348/oj</w:t>
        </w:r>
      </w:hyperlink>
      <w:r w:rsidRPr="00FA17F7">
        <w:rPr>
          <w:lang w:val="fr-BE"/>
        </w:rPr>
        <w:t>).</w:t>
      </w:r>
    </w:p>
  </w:footnote>
  <w:footnote w:id="15">
    <w:p w:rsidR="00425494" w:rsidRPr="00FA17F7" w:rsidRDefault="00425494" w:rsidP="00425494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Id-Direttiva 2024/1346 UE tal-Parlament Ewropew u tal-Kunsill tal-14 ta’ Mejju 2024 li tistabbilixxi l-istandards dwar l-akkoljenza ta’ applikanti għall-protezzjoni internazzjonali (ĠU L, 2024/1346, ELI: http://data.europa.eu/eli/dir/2024/1346/OJ).</w:t>
      </w:r>
    </w:p>
  </w:footnote>
  <w:footnote w:id="16">
    <w:p w:rsidR="006F40B7" w:rsidRPr="006F40B7" w:rsidRDefault="006F40B7">
      <w:pPr>
        <w:pStyle w:val="FootnoteText"/>
      </w:pPr>
      <w:r>
        <w:rPr>
          <w:rStyle w:val="FootnoteReference"/>
        </w:rPr>
        <w:footnoteRef/>
      </w:r>
      <w:r>
        <w:tab/>
        <w:t xml:space="preserve">Id-Direttiva tal-Kunsill 2003/86/ tat-22 ta’ Settembru 2003 dwar id-dritt għal riunifikazzjoni tal-familja (ĠU L 251, ELI: </w:t>
      </w:r>
      <w:hyperlink r:id="rId7" w:history="1">
        <w:r>
          <w:rPr>
            <w:rStyle w:val="Hyperlink"/>
          </w:rPr>
          <w:t>http://data.europa.eu/eli/dir/2003/86/oj</w:t>
        </w:r>
      </w:hyperlink>
      <w:r>
        <w:t>)</w:t>
      </w:r>
    </w:p>
  </w:footnote>
  <w:footnote w:id="17">
    <w:p w:rsidR="00CA0046" w:rsidRPr="00FA17F7" w:rsidRDefault="00CA0046" w:rsidP="009B37BC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Is-sentenza tal-Qorti tal-Ġustizzja tas-7 ta’ Ottubru 2014, Il-Ġermanja vs Il-Kunsill, C-399/12, ECLI:EU:C:2014:2258, il-punti 61 sa 64.</w:t>
      </w:r>
    </w:p>
  </w:footnote>
  <w:footnote w:id="18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Id-Deċiżjoni tal-Kunsill (UE) 2023/1075 tal-1 ta’ Ġunju 2023 dwar il-konklużjoni, f’isem l-Unjoni Ewropea, tal-Konvenzjoni tal-Kunsill tal-Ewropa dwar il-prevenzjoni u l-ġlieda kontra l-vjolenza fuq in-nisa u l-vjolenza domestika fir-rigward tal-istituzzjonijiet u l-amministrazzjoni pubblika tal-Unjoni, (ĠU L 143 I, 2.6.2023, p. 1, ELI: http://data.europa.eu/eli/dec/2023/1075/OJ).</w:t>
      </w:r>
    </w:p>
  </w:footnote>
  <w:footnote w:id="19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Id-Deċiżjoni tal-Kunsill (UE) 2023/1076 tal-1 ta’ Ġunju 2023 dwar il-konklużjoni, f’isem l-Unjoni Ewropea, tal-Konvenzjoni tal-Kunsill tal-Ewropa dwar il-prevenzjoni u l-ġlieda kontra l-vjolenza fuq in-nisa u l-vjolenza domestika fir-rigward ta’ materji relatati mal-kooperazzjoni ġudizzjarja f’materji kriminali, l-ażil u n-non-refoulement, (ĠU L 143 I, 2.6.2023, p. 4, ELI: http://data.europa.eu/eli/dec/2023/1076/OJ).</w:t>
      </w:r>
    </w:p>
  </w:footnote>
  <w:footnote w:id="20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 xml:space="preserve">Id-Deċiżjoni tal-Kunsill (UE) 2023/1075 tal-1 ta’ Ġunju 2023 dwar il-konklużjoni, f’isem l-Unjoni Ewropea, tal-Konvenzjoni tal-Kunsill tal-Ewropa dwar il-prevenzjoni u l-ġlieda kontra l-vjolenza fuq in-nisa u l-vjolenza domestika fir-rigward tal-istituzzjonijiet u l-amministrazzjoni pubblika tal-Unjoni, (ĠU L 143 I, 2.6.2023, p. 1) </w:t>
      </w:r>
      <w:hyperlink r:id="rId8" w:history="1">
        <w:r w:rsidRPr="00FA17F7">
          <w:rPr>
            <w:rStyle w:val="Hyperlink"/>
            <w:lang w:val="fr-BE"/>
          </w:rPr>
          <w:t>Deċiżjoni - 2023/1075 - MT - EUR-Lex</w:t>
        </w:r>
      </w:hyperlink>
      <w:r w:rsidRPr="00FA17F7">
        <w:rPr>
          <w:lang w:val="fr-BE"/>
        </w:rPr>
        <w:t>.</w:t>
      </w:r>
    </w:p>
  </w:footnote>
  <w:footnote w:id="21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Id-Deċiżjoni tal-Kunsill (UE) 2023/1076 tal-1 ta’ Ġunju 2023 dwar il-konklużjoni, f’isem l-Unjoni Ewropea, tal-Konvenzjoni tal-Kunsill tal-Ewropa dwar il-prevenzjoni u l-ġlieda kontra l-vjolenza fuq in-nisa u l-vjolenza domestika fir-rigward ta’ materji relatati mal-kooperazzjoni ġudizzjarja f’materji kriminali, l-ażil u n-non-refoulement (ĠU L 143 I, 2.6.2023, p. 4</w:t>
      </w:r>
      <w:r w:rsidRPr="00FA17F7">
        <w:rPr>
          <w:rStyle w:val="Hyperlink"/>
          <w:color w:val="000000" w:themeColor="text1"/>
          <w:lang w:val="fr-BE"/>
        </w:rPr>
        <w:t xml:space="preserve">), </w:t>
      </w:r>
      <w:hyperlink r:id="rId9" w:history="1">
        <w:r w:rsidRPr="00FA17F7">
          <w:rPr>
            <w:rStyle w:val="Hyperlink"/>
            <w:lang w:val="fr-BE"/>
          </w:rPr>
          <w:t>id-Deċiżjoni - 2023/1076 - MT - EUR-Lex</w:t>
        </w:r>
      </w:hyperlink>
      <w:r w:rsidRPr="00FA17F7">
        <w:rPr>
          <w:lang w:val="fr-BE"/>
        </w:rPr>
        <w:t>.</w:t>
      </w:r>
    </w:p>
  </w:footnote>
  <w:footnote w:id="22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</w:r>
      <w:bookmarkStart w:id="9" w:name="_Hlk166517794"/>
      <w:r w:rsidRPr="00FA17F7">
        <w:rPr>
          <w:lang w:val="fr-BE"/>
        </w:rPr>
        <w:t>Id-Direttiva (UE) 2024/1385 tal-Parlament Ewropew u tal-Kunsill tal-14 ta’ Mejju 2024 dwar il-ġlieda kontra l-vjolenza kontra n-nisa u l-vjolenza domestika (ĠU L, 2024/1385, 24.5.2024, ELI: </w:t>
      </w:r>
      <w:hyperlink r:id="rId10" w:tgtFrame="_blank" w:tooltip="Jagħti aċċess għal dan id-dokument permezz tal-URI tal-ELI tiegħu." w:history="1">
        <w:r w:rsidRPr="00FA17F7">
          <w:rPr>
            <w:rStyle w:val="Hyperlink"/>
            <w:lang w:val="fr-BE"/>
          </w:rPr>
          <w:t>http://data.europa.eu/eli/dir/2024/1385/o</w:t>
        </w:r>
      </w:hyperlink>
      <w:r w:rsidRPr="00FA17F7">
        <w:rPr>
          <w:rStyle w:val="Hyperlink"/>
          <w:lang w:val="fr-BE"/>
        </w:rPr>
        <w:t>j)</w:t>
      </w:r>
      <w:r w:rsidRPr="00FA17F7">
        <w:rPr>
          <w:lang w:val="fr-BE"/>
        </w:rPr>
        <w:t>.</w:t>
      </w:r>
      <w:bookmarkEnd w:id="9"/>
    </w:p>
  </w:footnote>
  <w:footnote w:id="23">
    <w:p w:rsidR="004910EE" w:rsidRPr="00FA17F7" w:rsidRDefault="004910EE" w:rsidP="004910EE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Id-Direttiva 2012/29/UE tal-Parlament Ewropew u tal-Kunsill tal-25 ta’ Ottubru 2012 li tistabbilixxi standards minimi fir-rigward tad-drittijiet, l-appoġġ u l-protezzjoni tal-vittmi tal-kriminalità, u li tissostitwixxi d-Deċiżjoni Qafas tal-Kunsill 2001/220/ĠAI (ĠU L 315, 14.11.2012, p. 57–73, http://data.europa.eu/eli/dir/2012/29/oj).</w:t>
      </w:r>
    </w:p>
  </w:footnote>
  <w:footnote w:id="24">
    <w:p w:rsidR="004910EE" w:rsidRPr="00FA17F7" w:rsidRDefault="004910EE" w:rsidP="002861A5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Ir-Regolament 2024/1348 tal-Parlament Ewropew u tal-Kunsill li jistabbilixxi proċedura komuni għall-protezzjoni internazzjonali fl-Unjoni u li jħassar id-Direttiva 2013/32/UE (ĠU L, 2024/1348, ELI: </w:t>
      </w:r>
      <w:hyperlink r:id="rId11" w:tgtFrame="_blank" w:tooltip="Jagħti aċċess għal dan id-dokument permezz tal-URI tal-ELI tiegħu." w:history="1">
        <w:r w:rsidRPr="00FA17F7">
          <w:rPr>
            <w:rStyle w:val="Hyperlink"/>
            <w:lang w:val="fr-BE"/>
          </w:rPr>
          <w:t>http://data.europa.eu/eli/reg/2024/1348/oj</w:t>
        </w:r>
      </w:hyperlink>
      <w:r w:rsidRPr="00FA17F7">
        <w:rPr>
          <w:lang w:val="fr-BE"/>
        </w:rPr>
        <w:t>).</w:t>
      </w:r>
    </w:p>
  </w:footnote>
  <w:footnote w:id="25">
    <w:p w:rsidR="004910EE" w:rsidRPr="00FA17F7" w:rsidRDefault="004910EE" w:rsidP="00E30690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FA17F7">
        <w:rPr>
          <w:lang w:val="fr-BE"/>
        </w:rPr>
        <w:tab/>
        <w:t>Id-Direttiva 2024/1346 UE tal-Parlament Ewropew u tal-Kunsill tal-14 ta’ Mejju 2024 li tistabbilixxi l-istandards dwar l-akkoljenza ta’ applikanti għall-protezzjoni internazzjonali (ĠU L, 2024/1346, ELI: http://data.europa.eu/eli/dir/2024/1346/oj).</w:t>
      </w:r>
    </w:p>
  </w:footnote>
  <w:footnote w:id="26">
    <w:p w:rsidR="0038302B" w:rsidRPr="00D87E08" w:rsidRDefault="0038302B">
      <w:pPr>
        <w:pStyle w:val="FootnoteText"/>
      </w:pPr>
      <w:r>
        <w:rPr>
          <w:rStyle w:val="FootnoteReference"/>
        </w:rPr>
        <w:footnoteRef/>
      </w:r>
      <w:r>
        <w:tab/>
        <w:t xml:space="preserve">Id-Direttiva tal-Kunsill 2003/86/KE tat-22 ta’ Settembru 2003 dwar id-dritt għal riunifikazzjoni tal-familja (ĠU L 251, 3.10.2003, p. 12 ELI: </w:t>
      </w:r>
      <w:hyperlink r:id="rId12" w:history="1">
        <w:r>
          <w:rPr>
            <w:rStyle w:val="Hyperlink"/>
          </w:rPr>
          <w:t>http://data.europa.eu/eli/dir/2003/86/oj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Default="000E5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21F" w:rsidRDefault="000E5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A1B2C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3B864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F44A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15386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</w:num>
  <w:num w:numId="7">
    <w:abstractNumId w:val="18"/>
    <w:lvlOverride w:ilvl="0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8"/>
  </w:num>
  <w:num w:numId="11">
    <w:abstractNumId w:val="17"/>
  </w:num>
  <w:num w:numId="12">
    <w:abstractNumId w:val="7"/>
  </w:num>
  <w:num w:numId="13">
    <w:abstractNumId w:val="9"/>
  </w:num>
  <w:num w:numId="14">
    <w:abstractNumId w:val="10"/>
  </w:num>
  <w:num w:numId="15">
    <w:abstractNumId w:val="5"/>
  </w:num>
  <w:num w:numId="16">
    <w:abstractNumId w:val="16"/>
  </w:num>
  <w:num w:numId="17">
    <w:abstractNumId w:val="4"/>
  </w:num>
  <w:num w:numId="18">
    <w:abstractNumId w:val="11"/>
  </w:num>
  <w:num w:numId="19">
    <w:abstractNumId w:val="13"/>
  </w:num>
  <w:num w:numId="20">
    <w:abstractNumId w:val="14"/>
  </w:num>
  <w:num w:numId="21">
    <w:abstractNumId w:val="6"/>
  </w:num>
  <w:num w:numId="22">
    <w:abstractNumId w:val="12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5-05-23 08:36:55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40787F88-5D15-478A-97FD-E4980CFB413F"/>
    <w:docVar w:name="LW_COVERPAGE_TYPE" w:val="1"/>
    <w:docVar w:name="LW_CreatedUtc" w:val="2025-04-16T14:07:37.9010800Z"/>
    <w:docVar w:name="LW_CROSSREFERENCE" w:val="&lt;UNUSED&gt;"/>
    <w:docVar w:name="LW_DocType" w:val="COM"/>
    <w:docVar w:name="LW_EMISSION" w:val="13.5.2025"/>
    <w:docVar w:name="LW_EMISSION_ISODATE" w:val="2025-05-13"/>
    <w:docVar w:name="LW_EMISSION_LOCATION" w:val="BRX"/>
    <w:docVar w:name="LW_EMISSION_PREFIX" w:val="Brussell, "/>
    <w:docVar w:name="LW_EMISSION_SUFFIX" w:val=" "/>
    <w:docVar w:name="LW_ID_DOCMODEL" w:val="SJ-043"/>
    <w:docVar w:name="LW_ID_DOCSIGNATURE" w:val="SJ-019"/>
    <w:docVar w:name="LW_ID_DOCSTRUCTURE" w:val="COM/PL/ORG"/>
    <w:docVar w:name="LW_ID_DOCTYPE" w:val="SJ-043"/>
    <w:docVar w:name="LW_ID_STATUT" w:val="SJ-019"/>
    <w:docVar w:name="LW_INSERT_EXP.MOTIFS.NEW" w:val="1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118"/>
    <w:docVar w:name="LW_REF.II.NEW.CP_YEAR" w:val="2025"/>
    <w:docVar w:name="LW_REF.INST.NEW" w:val="COM"/>
    <w:docVar w:name="LW_REF.INST.NEW_ADOPTED" w:val="final"/>
    <w:docVar w:name="LW_REF.INST.NEW_TEXT" w:val="(2025) 24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dwar il-po\u380?izzjoni li g\u295?andha tittie\u295?ed f\u8217?isem l-Unjoni Ewropea fit-18-il laqg\u295?a tal-Kumitat tal-Partijiet tal-Konvenzjoni tal-Kunsill tal-Ewropa dwar il-prevenzjoni u l-\u289?lieda kontra l-vjolenza fuq in-nisa u l-vjolenza domestika b\u8217?rabta mal-adozzjoni ta\u8217? rakkomandazzjonijiet u konklu\u380?jonijiet indirizzati lil 10 Stati Partijiet dwar l-implimentazzjoni tag\u295?hom tal-Konvenzjoni, fir-rigward ta\u8217? kwistjonijiet relatati mal-kooperazzjoni \u289?udizzjarja f\u8217?materji kriminali, l-a\u380?il u n-non-refoulment_x000b_"/>
    <w:docVar w:name="LW_TYPE.DOC.CP" w:val="DE\u266?I\u379?JONI TAL-KUNSILL"/>
    <w:docVar w:name="LwApiVersions" w:val="LW4CoDe 1.24.5.0; LW 9.0, Build 20240221"/>
    <w:docVar w:name="Stamp" w:val="\\net1.cec.eu.int\offline\06\bouroya\Desktop\Draft 218.9 dec. jud.coop.clean.docx"/>
  </w:docVars>
  <w:rsids>
    <w:rsidRoot w:val="00CA0046"/>
    <w:rsid w:val="00000997"/>
    <w:rsid w:val="00000AD3"/>
    <w:rsid w:val="00000B95"/>
    <w:rsid w:val="0000141C"/>
    <w:rsid w:val="00001660"/>
    <w:rsid w:val="00001D40"/>
    <w:rsid w:val="000023E4"/>
    <w:rsid w:val="00002B6D"/>
    <w:rsid w:val="00003680"/>
    <w:rsid w:val="00004534"/>
    <w:rsid w:val="0000453B"/>
    <w:rsid w:val="000047AE"/>
    <w:rsid w:val="00004A25"/>
    <w:rsid w:val="00005A19"/>
    <w:rsid w:val="000062F1"/>
    <w:rsid w:val="00007EA7"/>
    <w:rsid w:val="000119EB"/>
    <w:rsid w:val="000122F4"/>
    <w:rsid w:val="00012B0F"/>
    <w:rsid w:val="00013561"/>
    <w:rsid w:val="000135DC"/>
    <w:rsid w:val="00013F0C"/>
    <w:rsid w:val="000141E4"/>
    <w:rsid w:val="00015C74"/>
    <w:rsid w:val="000161AF"/>
    <w:rsid w:val="00020ECD"/>
    <w:rsid w:val="0002155C"/>
    <w:rsid w:val="00021A8A"/>
    <w:rsid w:val="000221AC"/>
    <w:rsid w:val="00022877"/>
    <w:rsid w:val="0002289D"/>
    <w:rsid w:val="00022F7F"/>
    <w:rsid w:val="00023EBB"/>
    <w:rsid w:val="000245A7"/>
    <w:rsid w:val="00024894"/>
    <w:rsid w:val="00025163"/>
    <w:rsid w:val="00026239"/>
    <w:rsid w:val="00027C37"/>
    <w:rsid w:val="00031810"/>
    <w:rsid w:val="000321EC"/>
    <w:rsid w:val="0003776C"/>
    <w:rsid w:val="00040F28"/>
    <w:rsid w:val="000425A0"/>
    <w:rsid w:val="0004297A"/>
    <w:rsid w:val="00042E50"/>
    <w:rsid w:val="0004431F"/>
    <w:rsid w:val="00044A90"/>
    <w:rsid w:val="00044CC8"/>
    <w:rsid w:val="000453E0"/>
    <w:rsid w:val="0004581C"/>
    <w:rsid w:val="00045FB9"/>
    <w:rsid w:val="000467C4"/>
    <w:rsid w:val="00047318"/>
    <w:rsid w:val="00050F66"/>
    <w:rsid w:val="00053505"/>
    <w:rsid w:val="00053B7B"/>
    <w:rsid w:val="00053D46"/>
    <w:rsid w:val="000540E2"/>
    <w:rsid w:val="0005456B"/>
    <w:rsid w:val="00054958"/>
    <w:rsid w:val="00054E3B"/>
    <w:rsid w:val="00055874"/>
    <w:rsid w:val="00056009"/>
    <w:rsid w:val="00056FA1"/>
    <w:rsid w:val="000575F8"/>
    <w:rsid w:val="00057603"/>
    <w:rsid w:val="000601B2"/>
    <w:rsid w:val="00061433"/>
    <w:rsid w:val="00061896"/>
    <w:rsid w:val="0006219F"/>
    <w:rsid w:val="00062547"/>
    <w:rsid w:val="00062D3C"/>
    <w:rsid w:val="00064C1A"/>
    <w:rsid w:val="000656BD"/>
    <w:rsid w:val="000661E3"/>
    <w:rsid w:val="000673DC"/>
    <w:rsid w:val="00067AF7"/>
    <w:rsid w:val="0007030F"/>
    <w:rsid w:val="00071B28"/>
    <w:rsid w:val="00071CEB"/>
    <w:rsid w:val="000728BB"/>
    <w:rsid w:val="00072956"/>
    <w:rsid w:val="00072A12"/>
    <w:rsid w:val="000735F2"/>
    <w:rsid w:val="00073E8A"/>
    <w:rsid w:val="0007418A"/>
    <w:rsid w:val="000756CD"/>
    <w:rsid w:val="00075966"/>
    <w:rsid w:val="00076107"/>
    <w:rsid w:val="000763E3"/>
    <w:rsid w:val="00077C29"/>
    <w:rsid w:val="0008042F"/>
    <w:rsid w:val="000818A8"/>
    <w:rsid w:val="00082627"/>
    <w:rsid w:val="00082BEB"/>
    <w:rsid w:val="00082F02"/>
    <w:rsid w:val="000835A1"/>
    <w:rsid w:val="0008791D"/>
    <w:rsid w:val="00087E20"/>
    <w:rsid w:val="0009010A"/>
    <w:rsid w:val="00090C20"/>
    <w:rsid w:val="00091418"/>
    <w:rsid w:val="00092822"/>
    <w:rsid w:val="00092BFB"/>
    <w:rsid w:val="0009363F"/>
    <w:rsid w:val="000939BC"/>
    <w:rsid w:val="00093D87"/>
    <w:rsid w:val="0009517C"/>
    <w:rsid w:val="000967E7"/>
    <w:rsid w:val="00096F15"/>
    <w:rsid w:val="0009733B"/>
    <w:rsid w:val="0009738B"/>
    <w:rsid w:val="0009794A"/>
    <w:rsid w:val="000A02D9"/>
    <w:rsid w:val="000A0566"/>
    <w:rsid w:val="000A0AF3"/>
    <w:rsid w:val="000A0FFC"/>
    <w:rsid w:val="000A17B4"/>
    <w:rsid w:val="000A18A2"/>
    <w:rsid w:val="000A2965"/>
    <w:rsid w:val="000A29ED"/>
    <w:rsid w:val="000A2CD3"/>
    <w:rsid w:val="000A2CDD"/>
    <w:rsid w:val="000A2E77"/>
    <w:rsid w:val="000A3AF6"/>
    <w:rsid w:val="000A45DF"/>
    <w:rsid w:val="000A5822"/>
    <w:rsid w:val="000A587E"/>
    <w:rsid w:val="000A69C6"/>
    <w:rsid w:val="000A6C60"/>
    <w:rsid w:val="000A72EE"/>
    <w:rsid w:val="000B0168"/>
    <w:rsid w:val="000B0E40"/>
    <w:rsid w:val="000B0F0C"/>
    <w:rsid w:val="000B1E1C"/>
    <w:rsid w:val="000B1F97"/>
    <w:rsid w:val="000B2A65"/>
    <w:rsid w:val="000B3956"/>
    <w:rsid w:val="000B47FA"/>
    <w:rsid w:val="000B526B"/>
    <w:rsid w:val="000B5361"/>
    <w:rsid w:val="000C2DCF"/>
    <w:rsid w:val="000C2FB2"/>
    <w:rsid w:val="000C31B0"/>
    <w:rsid w:val="000C500B"/>
    <w:rsid w:val="000C5A31"/>
    <w:rsid w:val="000C61FA"/>
    <w:rsid w:val="000C61FB"/>
    <w:rsid w:val="000C7AE1"/>
    <w:rsid w:val="000D023F"/>
    <w:rsid w:val="000D1DD2"/>
    <w:rsid w:val="000D1F34"/>
    <w:rsid w:val="000D2219"/>
    <w:rsid w:val="000D4271"/>
    <w:rsid w:val="000D6444"/>
    <w:rsid w:val="000D649D"/>
    <w:rsid w:val="000D6B1C"/>
    <w:rsid w:val="000D7106"/>
    <w:rsid w:val="000D72C0"/>
    <w:rsid w:val="000E0AD6"/>
    <w:rsid w:val="000E0C51"/>
    <w:rsid w:val="000E0F6D"/>
    <w:rsid w:val="000E26D7"/>
    <w:rsid w:val="000E2FB0"/>
    <w:rsid w:val="000E3D09"/>
    <w:rsid w:val="000E4371"/>
    <w:rsid w:val="000E4522"/>
    <w:rsid w:val="000E4ED2"/>
    <w:rsid w:val="000E521F"/>
    <w:rsid w:val="000E5631"/>
    <w:rsid w:val="000E6133"/>
    <w:rsid w:val="000E77BB"/>
    <w:rsid w:val="000E7DAB"/>
    <w:rsid w:val="000F0FFD"/>
    <w:rsid w:val="000F2324"/>
    <w:rsid w:val="000F2688"/>
    <w:rsid w:val="000F2A5F"/>
    <w:rsid w:val="000F324B"/>
    <w:rsid w:val="000F3D4C"/>
    <w:rsid w:val="000F4523"/>
    <w:rsid w:val="000F50D8"/>
    <w:rsid w:val="000F5B74"/>
    <w:rsid w:val="000F768D"/>
    <w:rsid w:val="000F7B22"/>
    <w:rsid w:val="00102E7D"/>
    <w:rsid w:val="001038DB"/>
    <w:rsid w:val="001039B9"/>
    <w:rsid w:val="00103AA8"/>
    <w:rsid w:val="0010494D"/>
    <w:rsid w:val="00105B57"/>
    <w:rsid w:val="00105B9C"/>
    <w:rsid w:val="001065F5"/>
    <w:rsid w:val="00107B04"/>
    <w:rsid w:val="00111401"/>
    <w:rsid w:val="00111950"/>
    <w:rsid w:val="00112217"/>
    <w:rsid w:val="0011267F"/>
    <w:rsid w:val="0011282C"/>
    <w:rsid w:val="001157BA"/>
    <w:rsid w:val="00117AC8"/>
    <w:rsid w:val="00117C98"/>
    <w:rsid w:val="0012187B"/>
    <w:rsid w:val="00122158"/>
    <w:rsid w:val="0012275B"/>
    <w:rsid w:val="0012293C"/>
    <w:rsid w:val="00122952"/>
    <w:rsid w:val="001235D8"/>
    <w:rsid w:val="001238EF"/>
    <w:rsid w:val="00123AB9"/>
    <w:rsid w:val="00125AED"/>
    <w:rsid w:val="00126120"/>
    <w:rsid w:val="00126215"/>
    <w:rsid w:val="00126EB1"/>
    <w:rsid w:val="00127395"/>
    <w:rsid w:val="001303A8"/>
    <w:rsid w:val="00131554"/>
    <w:rsid w:val="00131F0E"/>
    <w:rsid w:val="001321DD"/>
    <w:rsid w:val="001322CC"/>
    <w:rsid w:val="00132C40"/>
    <w:rsid w:val="001343D6"/>
    <w:rsid w:val="001352C4"/>
    <w:rsid w:val="001358A1"/>
    <w:rsid w:val="00137C30"/>
    <w:rsid w:val="00140957"/>
    <w:rsid w:val="00143C75"/>
    <w:rsid w:val="00143E44"/>
    <w:rsid w:val="00144125"/>
    <w:rsid w:val="00144654"/>
    <w:rsid w:val="00146761"/>
    <w:rsid w:val="00146D74"/>
    <w:rsid w:val="001475FD"/>
    <w:rsid w:val="0015243C"/>
    <w:rsid w:val="00153114"/>
    <w:rsid w:val="00153396"/>
    <w:rsid w:val="00153865"/>
    <w:rsid w:val="00153CB3"/>
    <w:rsid w:val="0015432D"/>
    <w:rsid w:val="001544EE"/>
    <w:rsid w:val="0015602D"/>
    <w:rsid w:val="001563EE"/>
    <w:rsid w:val="00156741"/>
    <w:rsid w:val="001621CF"/>
    <w:rsid w:val="00162714"/>
    <w:rsid w:val="00162F83"/>
    <w:rsid w:val="0016318C"/>
    <w:rsid w:val="00163AB0"/>
    <w:rsid w:val="00165971"/>
    <w:rsid w:val="00165EEB"/>
    <w:rsid w:val="001662E0"/>
    <w:rsid w:val="00166C63"/>
    <w:rsid w:val="00166D6D"/>
    <w:rsid w:val="00167522"/>
    <w:rsid w:val="0017082E"/>
    <w:rsid w:val="0017088C"/>
    <w:rsid w:val="001710D5"/>
    <w:rsid w:val="00171241"/>
    <w:rsid w:val="00171619"/>
    <w:rsid w:val="00171905"/>
    <w:rsid w:val="00171B6F"/>
    <w:rsid w:val="00172747"/>
    <w:rsid w:val="0017347F"/>
    <w:rsid w:val="001751C9"/>
    <w:rsid w:val="00175549"/>
    <w:rsid w:val="00175949"/>
    <w:rsid w:val="00175E38"/>
    <w:rsid w:val="00177775"/>
    <w:rsid w:val="00177E1B"/>
    <w:rsid w:val="00181C5E"/>
    <w:rsid w:val="001820AD"/>
    <w:rsid w:val="00182217"/>
    <w:rsid w:val="0018279B"/>
    <w:rsid w:val="00183193"/>
    <w:rsid w:val="00183536"/>
    <w:rsid w:val="00183D17"/>
    <w:rsid w:val="00183EA8"/>
    <w:rsid w:val="00186635"/>
    <w:rsid w:val="00186EBE"/>
    <w:rsid w:val="00187522"/>
    <w:rsid w:val="001879B2"/>
    <w:rsid w:val="00190D9D"/>
    <w:rsid w:val="001919AC"/>
    <w:rsid w:val="00192044"/>
    <w:rsid w:val="00192A1F"/>
    <w:rsid w:val="00193048"/>
    <w:rsid w:val="00193183"/>
    <w:rsid w:val="001937B0"/>
    <w:rsid w:val="00194929"/>
    <w:rsid w:val="001951E8"/>
    <w:rsid w:val="001961FF"/>
    <w:rsid w:val="00196234"/>
    <w:rsid w:val="00196D9F"/>
    <w:rsid w:val="00197613"/>
    <w:rsid w:val="00197C36"/>
    <w:rsid w:val="001A0E90"/>
    <w:rsid w:val="001A12CE"/>
    <w:rsid w:val="001A160E"/>
    <w:rsid w:val="001A253B"/>
    <w:rsid w:val="001A35B6"/>
    <w:rsid w:val="001A4F4C"/>
    <w:rsid w:val="001A5039"/>
    <w:rsid w:val="001A7170"/>
    <w:rsid w:val="001A7B26"/>
    <w:rsid w:val="001B06B6"/>
    <w:rsid w:val="001B0967"/>
    <w:rsid w:val="001B1E69"/>
    <w:rsid w:val="001B23EA"/>
    <w:rsid w:val="001B2533"/>
    <w:rsid w:val="001B2B90"/>
    <w:rsid w:val="001B3748"/>
    <w:rsid w:val="001B4A53"/>
    <w:rsid w:val="001B4C7D"/>
    <w:rsid w:val="001B61A9"/>
    <w:rsid w:val="001B6E50"/>
    <w:rsid w:val="001B742A"/>
    <w:rsid w:val="001B773B"/>
    <w:rsid w:val="001C06B3"/>
    <w:rsid w:val="001C0E2F"/>
    <w:rsid w:val="001C1887"/>
    <w:rsid w:val="001C271E"/>
    <w:rsid w:val="001C3BEC"/>
    <w:rsid w:val="001C4665"/>
    <w:rsid w:val="001C486A"/>
    <w:rsid w:val="001C575C"/>
    <w:rsid w:val="001C6B1C"/>
    <w:rsid w:val="001C7377"/>
    <w:rsid w:val="001D0543"/>
    <w:rsid w:val="001D27CD"/>
    <w:rsid w:val="001D2967"/>
    <w:rsid w:val="001D2AC4"/>
    <w:rsid w:val="001D3B86"/>
    <w:rsid w:val="001D4DD2"/>
    <w:rsid w:val="001D5DB2"/>
    <w:rsid w:val="001D770E"/>
    <w:rsid w:val="001D7C95"/>
    <w:rsid w:val="001E0617"/>
    <w:rsid w:val="001E0EC6"/>
    <w:rsid w:val="001E17CA"/>
    <w:rsid w:val="001E182C"/>
    <w:rsid w:val="001E1DD5"/>
    <w:rsid w:val="001E1ED2"/>
    <w:rsid w:val="001E291F"/>
    <w:rsid w:val="001E308F"/>
    <w:rsid w:val="001E310A"/>
    <w:rsid w:val="001E336B"/>
    <w:rsid w:val="001E3526"/>
    <w:rsid w:val="001E35AF"/>
    <w:rsid w:val="001E512B"/>
    <w:rsid w:val="001E5558"/>
    <w:rsid w:val="001E76C0"/>
    <w:rsid w:val="001F0787"/>
    <w:rsid w:val="001F1814"/>
    <w:rsid w:val="001F1AAE"/>
    <w:rsid w:val="001F1EAA"/>
    <w:rsid w:val="001F345A"/>
    <w:rsid w:val="001F48AF"/>
    <w:rsid w:val="001F4B78"/>
    <w:rsid w:val="001F6FCF"/>
    <w:rsid w:val="001F7258"/>
    <w:rsid w:val="001F76DC"/>
    <w:rsid w:val="00200767"/>
    <w:rsid w:val="00201B76"/>
    <w:rsid w:val="00201FF9"/>
    <w:rsid w:val="00202409"/>
    <w:rsid w:val="0020364D"/>
    <w:rsid w:val="00203C52"/>
    <w:rsid w:val="00204006"/>
    <w:rsid w:val="00204256"/>
    <w:rsid w:val="002044B3"/>
    <w:rsid w:val="0020575F"/>
    <w:rsid w:val="00205A40"/>
    <w:rsid w:val="00205BBB"/>
    <w:rsid w:val="00210D83"/>
    <w:rsid w:val="00211018"/>
    <w:rsid w:val="00211097"/>
    <w:rsid w:val="00212078"/>
    <w:rsid w:val="0021210E"/>
    <w:rsid w:val="00212115"/>
    <w:rsid w:val="002127C5"/>
    <w:rsid w:val="002135B9"/>
    <w:rsid w:val="0021396A"/>
    <w:rsid w:val="0021440A"/>
    <w:rsid w:val="002160F2"/>
    <w:rsid w:val="0021732F"/>
    <w:rsid w:val="00220499"/>
    <w:rsid w:val="00222526"/>
    <w:rsid w:val="00222A16"/>
    <w:rsid w:val="00224268"/>
    <w:rsid w:val="002245AA"/>
    <w:rsid w:val="0022551C"/>
    <w:rsid w:val="0022743B"/>
    <w:rsid w:val="00227E8C"/>
    <w:rsid w:val="002303E8"/>
    <w:rsid w:val="0023051D"/>
    <w:rsid w:val="00231128"/>
    <w:rsid w:val="00231C01"/>
    <w:rsid w:val="00231D1C"/>
    <w:rsid w:val="00231FD5"/>
    <w:rsid w:val="0023251E"/>
    <w:rsid w:val="00233DC7"/>
    <w:rsid w:val="002340A1"/>
    <w:rsid w:val="002348E5"/>
    <w:rsid w:val="00234BFA"/>
    <w:rsid w:val="00235173"/>
    <w:rsid w:val="00235B30"/>
    <w:rsid w:val="00236E21"/>
    <w:rsid w:val="002379B8"/>
    <w:rsid w:val="00237B3C"/>
    <w:rsid w:val="0024056F"/>
    <w:rsid w:val="0024201C"/>
    <w:rsid w:val="00242835"/>
    <w:rsid w:val="00242AD3"/>
    <w:rsid w:val="00242F46"/>
    <w:rsid w:val="002431EB"/>
    <w:rsid w:val="00243809"/>
    <w:rsid w:val="00243A23"/>
    <w:rsid w:val="00244EC3"/>
    <w:rsid w:val="00245CFF"/>
    <w:rsid w:val="0024707E"/>
    <w:rsid w:val="002474D7"/>
    <w:rsid w:val="00247779"/>
    <w:rsid w:val="00247886"/>
    <w:rsid w:val="00247C50"/>
    <w:rsid w:val="0025101A"/>
    <w:rsid w:val="00251433"/>
    <w:rsid w:val="00251A91"/>
    <w:rsid w:val="00251E35"/>
    <w:rsid w:val="0025228F"/>
    <w:rsid w:val="0025346A"/>
    <w:rsid w:val="00253737"/>
    <w:rsid w:val="00253AFB"/>
    <w:rsid w:val="00253E6F"/>
    <w:rsid w:val="00254DAB"/>
    <w:rsid w:val="00256B61"/>
    <w:rsid w:val="00256E03"/>
    <w:rsid w:val="0026015C"/>
    <w:rsid w:val="00260270"/>
    <w:rsid w:val="00261799"/>
    <w:rsid w:val="002627B7"/>
    <w:rsid w:val="00263925"/>
    <w:rsid w:val="0026445A"/>
    <w:rsid w:val="00264CE7"/>
    <w:rsid w:val="0026513B"/>
    <w:rsid w:val="00265D41"/>
    <w:rsid w:val="002664A7"/>
    <w:rsid w:val="00266C71"/>
    <w:rsid w:val="00266F98"/>
    <w:rsid w:val="00267139"/>
    <w:rsid w:val="002705B5"/>
    <w:rsid w:val="002708CA"/>
    <w:rsid w:val="00271030"/>
    <w:rsid w:val="002715AA"/>
    <w:rsid w:val="00272E7F"/>
    <w:rsid w:val="00273C20"/>
    <w:rsid w:val="00273C4E"/>
    <w:rsid w:val="00274095"/>
    <w:rsid w:val="002742CA"/>
    <w:rsid w:val="00274A97"/>
    <w:rsid w:val="0027539C"/>
    <w:rsid w:val="00275B41"/>
    <w:rsid w:val="0028202D"/>
    <w:rsid w:val="00282ACB"/>
    <w:rsid w:val="00284A60"/>
    <w:rsid w:val="00285009"/>
    <w:rsid w:val="0028579B"/>
    <w:rsid w:val="00285BEE"/>
    <w:rsid w:val="002861A5"/>
    <w:rsid w:val="002861C1"/>
    <w:rsid w:val="00286360"/>
    <w:rsid w:val="002878AA"/>
    <w:rsid w:val="0029053B"/>
    <w:rsid w:val="00292E47"/>
    <w:rsid w:val="002937AE"/>
    <w:rsid w:val="00293D07"/>
    <w:rsid w:val="002944B5"/>
    <w:rsid w:val="00294A88"/>
    <w:rsid w:val="00294B1C"/>
    <w:rsid w:val="0029509E"/>
    <w:rsid w:val="0029533F"/>
    <w:rsid w:val="00296319"/>
    <w:rsid w:val="002A1DD8"/>
    <w:rsid w:val="002A20E7"/>
    <w:rsid w:val="002A277A"/>
    <w:rsid w:val="002A2FD1"/>
    <w:rsid w:val="002A71B6"/>
    <w:rsid w:val="002A7214"/>
    <w:rsid w:val="002A7ABE"/>
    <w:rsid w:val="002B0213"/>
    <w:rsid w:val="002B0AB9"/>
    <w:rsid w:val="002B0DDB"/>
    <w:rsid w:val="002B126E"/>
    <w:rsid w:val="002B30AF"/>
    <w:rsid w:val="002B37DC"/>
    <w:rsid w:val="002B484C"/>
    <w:rsid w:val="002B52B8"/>
    <w:rsid w:val="002B6009"/>
    <w:rsid w:val="002B641D"/>
    <w:rsid w:val="002B6E03"/>
    <w:rsid w:val="002C0E0A"/>
    <w:rsid w:val="002C15FF"/>
    <w:rsid w:val="002C563D"/>
    <w:rsid w:val="002C5710"/>
    <w:rsid w:val="002C5920"/>
    <w:rsid w:val="002C5B55"/>
    <w:rsid w:val="002C6012"/>
    <w:rsid w:val="002C69D2"/>
    <w:rsid w:val="002C6C1F"/>
    <w:rsid w:val="002C777A"/>
    <w:rsid w:val="002C7971"/>
    <w:rsid w:val="002D032E"/>
    <w:rsid w:val="002D088B"/>
    <w:rsid w:val="002D0F63"/>
    <w:rsid w:val="002D1F34"/>
    <w:rsid w:val="002D1FAB"/>
    <w:rsid w:val="002D2440"/>
    <w:rsid w:val="002D2BE3"/>
    <w:rsid w:val="002D30E6"/>
    <w:rsid w:val="002D4253"/>
    <w:rsid w:val="002D4481"/>
    <w:rsid w:val="002D4ECA"/>
    <w:rsid w:val="002D56A6"/>
    <w:rsid w:val="002D5B75"/>
    <w:rsid w:val="002D77EC"/>
    <w:rsid w:val="002D79BD"/>
    <w:rsid w:val="002D7F4C"/>
    <w:rsid w:val="002E1011"/>
    <w:rsid w:val="002E13B3"/>
    <w:rsid w:val="002E18A9"/>
    <w:rsid w:val="002E29B1"/>
    <w:rsid w:val="002E340E"/>
    <w:rsid w:val="002E3DF4"/>
    <w:rsid w:val="002E4EB6"/>
    <w:rsid w:val="002E4EBA"/>
    <w:rsid w:val="002E5D0F"/>
    <w:rsid w:val="002E5D43"/>
    <w:rsid w:val="002F0081"/>
    <w:rsid w:val="002F0819"/>
    <w:rsid w:val="002F08F5"/>
    <w:rsid w:val="002F0E9D"/>
    <w:rsid w:val="002F1AF4"/>
    <w:rsid w:val="002F255C"/>
    <w:rsid w:val="002F2595"/>
    <w:rsid w:val="002F46C6"/>
    <w:rsid w:val="002F551A"/>
    <w:rsid w:val="002F58A0"/>
    <w:rsid w:val="002F67FC"/>
    <w:rsid w:val="00300C79"/>
    <w:rsid w:val="00301E52"/>
    <w:rsid w:val="00303A91"/>
    <w:rsid w:val="00303DAC"/>
    <w:rsid w:val="0030412C"/>
    <w:rsid w:val="0030521D"/>
    <w:rsid w:val="0030590F"/>
    <w:rsid w:val="003062C2"/>
    <w:rsid w:val="00306516"/>
    <w:rsid w:val="00306706"/>
    <w:rsid w:val="003069EB"/>
    <w:rsid w:val="00306B10"/>
    <w:rsid w:val="00313B89"/>
    <w:rsid w:val="00315952"/>
    <w:rsid w:val="0031720F"/>
    <w:rsid w:val="00320F08"/>
    <w:rsid w:val="00321544"/>
    <w:rsid w:val="0032215A"/>
    <w:rsid w:val="0032238E"/>
    <w:rsid w:val="00322487"/>
    <w:rsid w:val="00323D94"/>
    <w:rsid w:val="003241C9"/>
    <w:rsid w:val="00324852"/>
    <w:rsid w:val="003259BA"/>
    <w:rsid w:val="00326976"/>
    <w:rsid w:val="003269FE"/>
    <w:rsid w:val="00327176"/>
    <w:rsid w:val="00327BA4"/>
    <w:rsid w:val="0033115F"/>
    <w:rsid w:val="0033129E"/>
    <w:rsid w:val="0033344A"/>
    <w:rsid w:val="00333BD8"/>
    <w:rsid w:val="0033518F"/>
    <w:rsid w:val="003358A2"/>
    <w:rsid w:val="00335A55"/>
    <w:rsid w:val="00336E00"/>
    <w:rsid w:val="003379B7"/>
    <w:rsid w:val="0034120C"/>
    <w:rsid w:val="00341C72"/>
    <w:rsid w:val="00342D87"/>
    <w:rsid w:val="00343551"/>
    <w:rsid w:val="00344605"/>
    <w:rsid w:val="00344B49"/>
    <w:rsid w:val="003459F4"/>
    <w:rsid w:val="003466D0"/>
    <w:rsid w:val="00347BB4"/>
    <w:rsid w:val="00350ACA"/>
    <w:rsid w:val="003551DD"/>
    <w:rsid w:val="00355389"/>
    <w:rsid w:val="003556BB"/>
    <w:rsid w:val="003558DF"/>
    <w:rsid w:val="00355D55"/>
    <w:rsid w:val="00360454"/>
    <w:rsid w:val="00361F15"/>
    <w:rsid w:val="003620CA"/>
    <w:rsid w:val="00362223"/>
    <w:rsid w:val="003623E2"/>
    <w:rsid w:val="00364684"/>
    <w:rsid w:val="00365623"/>
    <w:rsid w:val="00365EA4"/>
    <w:rsid w:val="00366A8C"/>
    <w:rsid w:val="003701DC"/>
    <w:rsid w:val="00370750"/>
    <w:rsid w:val="0037233C"/>
    <w:rsid w:val="00372E54"/>
    <w:rsid w:val="00372EB5"/>
    <w:rsid w:val="00374CF6"/>
    <w:rsid w:val="00374F25"/>
    <w:rsid w:val="00375A53"/>
    <w:rsid w:val="00375A8E"/>
    <w:rsid w:val="00375B0D"/>
    <w:rsid w:val="00377F82"/>
    <w:rsid w:val="00377FAA"/>
    <w:rsid w:val="003801F5"/>
    <w:rsid w:val="0038302B"/>
    <w:rsid w:val="0038336C"/>
    <w:rsid w:val="003848EA"/>
    <w:rsid w:val="00384BBF"/>
    <w:rsid w:val="00385CE5"/>
    <w:rsid w:val="0038625D"/>
    <w:rsid w:val="003867D1"/>
    <w:rsid w:val="00387190"/>
    <w:rsid w:val="00387F04"/>
    <w:rsid w:val="00387FBB"/>
    <w:rsid w:val="00390822"/>
    <w:rsid w:val="003915ED"/>
    <w:rsid w:val="00391989"/>
    <w:rsid w:val="00391AB4"/>
    <w:rsid w:val="0039452A"/>
    <w:rsid w:val="00395494"/>
    <w:rsid w:val="003974DF"/>
    <w:rsid w:val="00397896"/>
    <w:rsid w:val="003A0197"/>
    <w:rsid w:val="003A0805"/>
    <w:rsid w:val="003A1B99"/>
    <w:rsid w:val="003A1E9A"/>
    <w:rsid w:val="003A1EDC"/>
    <w:rsid w:val="003A2172"/>
    <w:rsid w:val="003A291E"/>
    <w:rsid w:val="003A2AA7"/>
    <w:rsid w:val="003A2B17"/>
    <w:rsid w:val="003A3CE5"/>
    <w:rsid w:val="003A49DF"/>
    <w:rsid w:val="003A5925"/>
    <w:rsid w:val="003A5C99"/>
    <w:rsid w:val="003A600F"/>
    <w:rsid w:val="003A6C01"/>
    <w:rsid w:val="003A725C"/>
    <w:rsid w:val="003A771E"/>
    <w:rsid w:val="003A7FF6"/>
    <w:rsid w:val="003B06DF"/>
    <w:rsid w:val="003B0C3D"/>
    <w:rsid w:val="003B15A0"/>
    <w:rsid w:val="003B1BA8"/>
    <w:rsid w:val="003B2A36"/>
    <w:rsid w:val="003B2D49"/>
    <w:rsid w:val="003B3BB2"/>
    <w:rsid w:val="003B3FE8"/>
    <w:rsid w:val="003B545A"/>
    <w:rsid w:val="003C1082"/>
    <w:rsid w:val="003C1758"/>
    <w:rsid w:val="003C18E9"/>
    <w:rsid w:val="003C19BC"/>
    <w:rsid w:val="003C1A64"/>
    <w:rsid w:val="003C2368"/>
    <w:rsid w:val="003C3964"/>
    <w:rsid w:val="003C4861"/>
    <w:rsid w:val="003C6E62"/>
    <w:rsid w:val="003C7578"/>
    <w:rsid w:val="003C7B7E"/>
    <w:rsid w:val="003C7E22"/>
    <w:rsid w:val="003D04F1"/>
    <w:rsid w:val="003D0507"/>
    <w:rsid w:val="003D0DD5"/>
    <w:rsid w:val="003D3782"/>
    <w:rsid w:val="003D400E"/>
    <w:rsid w:val="003D525E"/>
    <w:rsid w:val="003D6859"/>
    <w:rsid w:val="003D7E3C"/>
    <w:rsid w:val="003E0177"/>
    <w:rsid w:val="003E03B4"/>
    <w:rsid w:val="003E1443"/>
    <w:rsid w:val="003E18AA"/>
    <w:rsid w:val="003E2174"/>
    <w:rsid w:val="003E227B"/>
    <w:rsid w:val="003E2C11"/>
    <w:rsid w:val="003E3EA7"/>
    <w:rsid w:val="003E591B"/>
    <w:rsid w:val="003F0179"/>
    <w:rsid w:val="003F3338"/>
    <w:rsid w:val="003F4F83"/>
    <w:rsid w:val="003F5D64"/>
    <w:rsid w:val="003F7686"/>
    <w:rsid w:val="0040209B"/>
    <w:rsid w:val="00403C69"/>
    <w:rsid w:val="0040427E"/>
    <w:rsid w:val="0040456E"/>
    <w:rsid w:val="004045AD"/>
    <w:rsid w:val="00406AC1"/>
    <w:rsid w:val="00406EA4"/>
    <w:rsid w:val="00407553"/>
    <w:rsid w:val="004075BE"/>
    <w:rsid w:val="00411311"/>
    <w:rsid w:val="00411400"/>
    <w:rsid w:val="0041150A"/>
    <w:rsid w:val="00411CDE"/>
    <w:rsid w:val="0041299B"/>
    <w:rsid w:val="00413A75"/>
    <w:rsid w:val="004144E4"/>
    <w:rsid w:val="00414971"/>
    <w:rsid w:val="004156B4"/>
    <w:rsid w:val="00416D43"/>
    <w:rsid w:val="00416F50"/>
    <w:rsid w:val="004172AC"/>
    <w:rsid w:val="00417C2B"/>
    <w:rsid w:val="00420304"/>
    <w:rsid w:val="00420C76"/>
    <w:rsid w:val="00421952"/>
    <w:rsid w:val="00422C59"/>
    <w:rsid w:val="004231AB"/>
    <w:rsid w:val="00424445"/>
    <w:rsid w:val="004244AF"/>
    <w:rsid w:val="004249D7"/>
    <w:rsid w:val="00424CC8"/>
    <w:rsid w:val="00424DD4"/>
    <w:rsid w:val="004253DB"/>
    <w:rsid w:val="00425494"/>
    <w:rsid w:val="0042648E"/>
    <w:rsid w:val="004274C6"/>
    <w:rsid w:val="00427E68"/>
    <w:rsid w:val="0043016E"/>
    <w:rsid w:val="00430DE3"/>
    <w:rsid w:val="00431CBF"/>
    <w:rsid w:val="00432B63"/>
    <w:rsid w:val="00432BB9"/>
    <w:rsid w:val="00434494"/>
    <w:rsid w:val="00434A16"/>
    <w:rsid w:val="00434C8C"/>
    <w:rsid w:val="00435D99"/>
    <w:rsid w:val="00436A07"/>
    <w:rsid w:val="00437649"/>
    <w:rsid w:val="00437DBC"/>
    <w:rsid w:val="00437FC2"/>
    <w:rsid w:val="00440B22"/>
    <w:rsid w:val="00441355"/>
    <w:rsid w:val="004427C3"/>
    <w:rsid w:val="00442B45"/>
    <w:rsid w:val="00443502"/>
    <w:rsid w:val="004436CF"/>
    <w:rsid w:val="00443F85"/>
    <w:rsid w:val="004457CF"/>
    <w:rsid w:val="00445E14"/>
    <w:rsid w:val="00446382"/>
    <w:rsid w:val="00447CE7"/>
    <w:rsid w:val="00450654"/>
    <w:rsid w:val="0045200D"/>
    <w:rsid w:val="00452AB9"/>
    <w:rsid w:val="004537F9"/>
    <w:rsid w:val="00454668"/>
    <w:rsid w:val="00454B8F"/>
    <w:rsid w:val="00455121"/>
    <w:rsid w:val="0045521A"/>
    <w:rsid w:val="00455749"/>
    <w:rsid w:val="00455DE4"/>
    <w:rsid w:val="00456781"/>
    <w:rsid w:val="00457B3F"/>
    <w:rsid w:val="0046024F"/>
    <w:rsid w:val="0046331D"/>
    <w:rsid w:val="00466785"/>
    <w:rsid w:val="00470547"/>
    <w:rsid w:val="00471607"/>
    <w:rsid w:val="004729FE"/>
    <w:rsid w:val="00472DF9"/>
    <w:rsid w:val="00472F12"/>
    <w:rsid w:val="00475032"/>
    <w:rsid w:val="00476820"/>
    <w:rsid w:val="00480CBC"/>
    <w:rsid w:val="00481463"/>
    <w:rsid w:val="00481A1E"/>
    <w:rsid w:val="004858FB"/>
    <w:rsid w:val="00485CBF"/>
    <w:rsid w:val="00490A3F"/>
    <w:rsid w:val="00490F2E"/>
    <w:rsid w:val="004910EE"/>
    <w:rsid w:val="00491867"/>
    <w:rsid w:val="00491E5B"/>
    <w:rsid w:val="00492CC6"/>
    <w:rsid w:val="00492DBE"/>
    <w:rsid w:val="00493425"/>
    <w:rsid w:val="004936D2"/>
    <w:rsid w:val="004958AF"/>
    <w:rsid w:val="00497CD3"/>
    <w:rsid w:val="004A2CC3"/>
    <w:rsid w:val="004A304B"/>
    <w:rsid w:val="004A4248"/>
    <w:rsid w:val="004A4F3D"/>
    <w:rsid w:val="004A7860"/>
    <w:rsid w:val="004A7C07"/>
    <w:rsid w:val="004B06AF"/>
    <w:rsid w:val="004B0E20"/>
    <w:rsid w:val="004B1747"/>
    <w:rsid w:val="004B18F7"/>
    <w:rsid w:val="004B2364"/>
    <w:rsid w:val="004B3A34"/>
    <w:rsid w:val="004B4B5E"/>
    <w:rsid w:val="004B524B"/>
    <w:rsid w:val="004B5862"/>
    <w:rsid w:val="004B59D3"/>
    <w:rsid w:val="004C0879"/>
    <w:rsid w:val="004C0D2D"/>
    <w:rsid w:val="004C2AE4"/>
    <w:rsid w:val="004C327E"/>
    <w:rsid w:val="004C5051"/>
    <w:rsid w:val="004C5627"/>
    <w:rsid w:val="004C66B7"/>
    <w:rsid w:val="004C71C3"/>
    <w:rsid w:val="004D070C"/>
    <w:rsid w:val="004D11D1"/>
    <w:rsid w:val="004D1283"/>
    <w:rsid w:val="004D236F"/>
    <w:rsid w:val="004D2428"/>
    <w:rsid w:val="004D2791"/>
    <w:rsid w:val="004D3CB0"/>
    <w:rsid w:val="004D49CF"/>
    <w:rsid w:val="004D63C3"/>
    <w:rsid w:val="004D771C"/>
    <w:rsid w:val="004D7AEB"/>
    <w:rsid w:val="004E07AB"/>
    <w:rsid w:val="004E0C6A"/>
    <w:rsid w:val="004E1254"/>
    <w:rsid w:val="004E1B17"/>
    <w:rsid w:val="004E3619"/>
    <w:rsid w:val="004E43FB"/>
    <w:rsid w:val="004E5B38"/>
    <w:rsid w:val="004E6E3F"/>
    <w:rsid w:val="004E776D"/>
    <w:rsid w:val="004E7F10"/>
    <w:rsid w:val="004E7F94"/>
    <w:rsid w:val="004F02AD"/>
    <w:rsid w:val="004F2010"/>
    <w:rsid w:val="004F2781"/>
    <w:rsid w:val="004F280F"/>
    <w:rsid w:val="004F4CFF"/>
    <w:rsid w:val="004F6A9A"/>
    <w:rsid w:val="004F6E1B"/>
    <w:rsid w:val="005016D6"/>
    <w:rsid w:val="00505ADF"/>
    <w:rsid w:val="00505EDA"/>
    <w:rsid w:val="0050619B"/>
    <w:rsid w:val="0050655A"/>
    <w:rsid w:val="00506BD9"/>
    <w:rsid w:val="005076D4"/>
    <w:rsid w:val="00507FC0"/>
    <w:rsid w:val="00510215"/>
    <w:rsid w:val="00510246"/>
    <w:rsid w:val="00510F37"/>
    <w:rsid w:val="00511153"/>
    <w:rsid w:val="0051241D"/>
    <w:rsid w:val="005126DA"/>
    <w:rsid w:val="005136E3"/>
    <w:rsid w:val="00514531"/>
    <w:rsid w:val="005145C2"/>
    <w:rsid w:val="005147C0"/>
    <w:rsid w:val="00514CA7"/>
    <w:rsid w:val="00515EDD"/>
    <w:rsid w:val="0051601E"/>
    <w:rsid w:val="00516182"/>
    <w:rsid w:val="00517F6E"/>
    <w:rsid w:val="0052056A"/>
    <w:rsid w:val="0052149E"/>
    <w:rsid w:val="005217B0"/>
    <w:rsid w:val="005222F4"/>
    <w:rsid w:val="005228FC"/>
    <w:rsid w:val="00522DF3"/>
    <w:rsid w:val="00523C15"/>
    <w:rsid w:val="00523C99"/>
    <w:rsid w:val="00524387"/>
    <w:rsid w:val="00524588"/>
    <w:rsid w:val="00525B5F"/>
    <w:rsid w:val="005260C1"/>
    <w:rsid w:val="00527241"/>
    <w:rsid w:val="00527359"/>
    <w:rsid w:val="00530667"/>
    <w:rsid w:val="005310AF"/>
    <w:rsid w:val="00532406"/>
    <w:rsid w:val="00532E1C"/>
    <w:rsid w:val="00533002"/>
    <w:rsid w:val="00533691"/>
    <w:rsid w:val="00533713"/>
    <w:rsid w:val="00533A46"/>
    <w:rsid w:val="005346A2"/>
    <w:rsid w:val="00535294"/>
    <w:rsid w:val="00535BC1"/>
    <w:rsid w:val="00535E5F"/>
    <w:rsid w:val="00537203"/>
    <w:rsid w:val="005373DD"/>
    <w:rsid w:val="00538BE4"/>
    <w:rsid w:val="005429C3"/>
    <w:rsid w:val="00542E21"/>
    <w:rsid w:val="00543558"/>
    <w:rsid w:val="005446B3"/>
    <w:rsid w:val="00545B02"/>
    <w:rsid w:val="005500CD"/>
    <w:rsid w:val="00550607"/>
    <w:rsid w:val="00550D22"/>
    <w:rsid w:val="0055143E"/>
    <w:rsid w:val="00551B02"/>
    <w:rsid w:val="00551B22"/>
    <w:rsid w:val="00551CB5"/>
    <w:rsid w:val="00552AFC"/>
    <w:rsid w:val="00552EBA"/>
    <w:rsid w:val="0055451D"/>
    <w:rsid w:val="00554B1F"/>
    <w:rsid w:val="00556148"/>
    <w:rsid w:val="005566E0"/>
    <w:rsid w:val="005572E4"/>
    <w:rsid w:val="00557860"/>
    <w:rsid w:val="00557D18"/>
    <w:rsid w:val="0056209E"/>
    <w:rsid w:val="005651CE"/>
    <w:rsid w:val="005657F6"/>
    <w:rsid w:val="00565E6E"/>
    <w:rsid w:val="0056620B"/>
    <w:rsid w:val="00566288"/>
    <w:rsid w:val="0057152C"/>
    <w:rsid w:val="005715DE"/>
    <w:rsid w:val="005723DA"/>
    <w:rsid w:val="00572401"/>
    <w:rsid w:val="005735E3"/>
    <w:rsid w:val="005747AE"/>
    <w:rsid w:val="0057501B"/>
    <w:rsid w:val="00575A4C"/>
    <w:rsid w:val="00575B2E"/>
    <w:rsid w:val="00577479"/>
    <w:rsid w:val="00577699"/>
    <w:rsid w:val="0058084F"/>
    <w:rsid w:val="00581211"/>
    <w:rsid w:val="00581BEC"/>
    <w:rsid w:val="00583221"/>
    <w:rsid w:val="0058404E"/>
    <w:rsid w:val="00584619"/>
    <w:rsid w:val="00584A46"/>
    <w:rsid w:val="0058521C"/>
    <w:rsid w:val="00586C2D"/>
    <w:rsid w:val="00590B20"/>
    <w:rsid w:val="005914A7"/>
    <w:rsid w:val="00592344"/>
    <w:rsid w:val="005924A3"/>
    <w:rsid w:val="005934CA"/>
    <w:rsid w:val="00594003"/>
    <w:rsid w:val="00595483"/>
    <w:rsid w:val="00597756"/>
    <w:rsid w:val="00597D6A"/>
    <w:rsid w:val="005A03AF"/>
    <w:rsid w:val="005A2841"/>
    <w:rsid w:val="005A29C9"/>
    <w:rsid w:val="005A44DE"/>
    <w:rsid w:val="005A49FD"/>
    <w:rsid w:val="005A5511"/>
    <w:rsid w:val="005A5BCC"/>
    <w:rsid w:val="005A67BF"/>
    <w:rsid w:val="005A6BC0"/>
    <w:rsid w:val="005A758D"/>
    <w:rsid w:val="005A7638"/>
    <w:rsid w:val="005A7BED"/>
    <w:rsid w:val="005A7DBC"/>
    <w:rsid w:val="005B1071"/>
    <w:rsid w:val="005B1CFD"/>
    <w:rsid w:val="005B1EB6"/>
    <w:rsid w:val="005B25F8"/>
    <w:rsid w:val="005B2648"/>
    <w:rsid w:val="005B2EBC"/>
    <w:rsid w:val="005B2EF3"/>
    <w:rsid w:val="005B388D"/>
    <w:rsid w:val="005B514C"/>
    <w:rsid w:val="005B6595"/>
    <w:rsid w:val="005B6AF1"/>
    <w:rsid w:val="005B7014"/>
    <w:rsid w:val="005B70A2"/>
    <w:rsid w:val="005B7461"/>
    <w:rsid w:val="005C00FE"/>
    <w:rsid w:val="005C1342"/>
    <w:rsid w:val="005C197A"/>
    <w:rsid w:val="005C34C0"/>
    <w:rsid w:val="005C4E39"/>
    <w:rsid w:val="005C4F87"/>
    <w:rsid w:val="005C61C5"/>
    <w:rsid w:val="005C6708"/>
    <w:rsid w:val="005C7E06"/>
    <w:rsid w:val="005D0128"/>
    <w:rsid w:val="005D0505"/>
    <w:rsid w:val="005D1192"/>
    <w:rsid w:val="005D3B40"/>
    <w:rsid w:val="005D455A"/>
    <w:rsid w:val="005D4914"/>
    <w:rsid w:val="005D4BEC"/>
    <w:rsid w:val="005D79CE"/>
    <w:rsid w:val="005D7E28"/>
    <w:rsid w:val="005E007E"/>
    <w:rsid w:val="005E02B3"/>
    <w:rsid w:val="005E0B7E"/>
    <w:rsid w:val="005E1E69"/>
    <w:rsid w:val="005E2342"/>
    <w:rsid w:val="005E2C81"/>
    <w:rsid w:val="005E45FA"/>
    <w:rsid w:val="005E48E3"/>
    <w:rsid w:val="005E4EB0"/>
    <w:rsid w:val="005E731D"/>
    <w:rsid w:val="005F0DCA"/>
    <w:rsid w:val="005F0ECB"/>
    <w:rsid w:val="005F160D"/>
    <w:rsid w:val="005F21CF"/>
    <w:rsid w:val="005F22DB"/>
    <w:rsid w:val="005F234F"/>
    <w:rsid w:val="005F2C35"/>
    <w:rsid w:val="005F2FD1"/>
    <w:rsid w:val="005F304A"/>
    <w:rsid w:val="005F59F5"/>
    <w:rsid w:val="005F5DB1"/>
    <w:rsid w:val="005F67D0"/>
    <w:rsid w:val="006001FB"/>
    <w:rsid w:val="00600DC0"/>
    <w:rsid w:val="006017BD"/>
    <w:rsid w:val="00602F9E"/>
    <w:rsid w:val="00604818"/>
    <w:rsid w:val="006074E1"/>
    <w:rsid w:val="006111B8"/>
    <w:rsid w:val="006112A7"/>
    <w:rsid w:val="00611C80"/>
    <w:rsid w:val="00612DAD"/>
    <w:rsid w:val="00613792"/>
    <w:rsid w:val="006143ED"/>
    <w:rsid w:val="00615446"/>
    <w:rsid w:val="006159FB"/>
    <w:rsid w:val="00615BD3"/>
    <w:rsid w:val="00616210"/>
    <w:rsid w:val="0061754F"/>
    <w:rsid w:val="006175AE"/>
    <w:rsid w:val="00620B3E"/>
    <w:rsid w:val="006215B9"/>
    <w:rsid w:val="00621C08"/>
    <w:rsid w:val="00621DCC"/>
    <w:rsid w:val="0062308E"/>
    <w:rsid w:val="0062367F"/>
    <w:rsid w:val="006244DC"/>
    <w:rsid w:val="006246A4"/>
    <w:rsid w:val="006251E4"/>
    <w:rsid w:val="0062612B"/>
    <w:rsid w:val="00626E93"/>
    <w:rsid w:val="00627D19"/>
    <w:rsid w:val="006316BC"/>
    <w:rsid w:val="00631A78"/>
    <w:rsid w:val="0063265C"/>
    <w:rsid w:val="00632DF1"/>
    <w:rsid w:val="00633D15"/>
    <w:rsid w:val="00633D84"/>
    <w:rsid w:val="006341AD"/>
    <w:rsid w:val="006341B4"/>
    <w:rsid w:val="0063449D"/>
    <w:rsid w:val="006355B6"/>
    <w:rsid w:val="006355EF"/>
    <w:rsid w:val="00635ED7"/>
    <w:rsid w:val="006375F8"/>
    <w:rsid w:val="0063790D"/>
    <w:rsid w:val="00640061"/>
    <w:rsid w:val="006404FE"/>
    <w:rsid w:val="00641836"/>
    <w:rsid w:val="006419EE"/>
    <w:rsid w:val="00642B90"/>
    <w:rsid w:val="006439D5"/>
    <w:rsid w:val="00644104"/>
    <w:rsid w:val="0064486C"/>
    <w:rsid w:val="00644D3F"/>
    <w:rsid w:val="006466E4"/>
    <w:rsid w:val="00646D3F"/>
    <w:rsid w:val="0065276B"/>
    <w:rsid w:val="00653A23"/>
    <w:rsid w:val="006572BB"/>
    <w:rsid w:val="00657720"/>
    <w:rsid w:val="00660966"/>
    <w:rsid w:val="0066142F"/>
    <w:rsid w:val="00662B75"/>
    <w:rsid w:val="00663942"/>
    <w:rsid w:val="006647D7"/>
    <w:rsid w:val="00665B4B"/>
    <w:rsid w:val="00670DF0"/>
    <w:rsid w:val="00670EC2"/>
    <w:rsid w:val="00672446"/>
    <w:rsid w:val="0067296B"/>
    <w:rsid w:val="00672E9F"/>
    <w:rsid w:val="00673EF2"/>
    <w:rsid w:val="00674036"/>
    <w:rsid w:val="00675D67"/>
    <w:rsid w:val="00677269"/>
    <w:rsid w:val="0068162B"/>
    <w:rsid w:val="006822E5"/>
    <w:rsid w:val="006827C7"/>
    <w:rsid w:val="00682AC1"/>
    <w:rsid w:val="00683686"/>
    <w:rsid w:val="00684CB1"/>
    <w:rsid w:val="00686578"/>
    <w:rsid w:val="00687E83"/>
    <w:rsid w:val="00690BCD"/>
    <w:rsid w:val="00690D4D"/>
    <w:rsid w:val="00691376"/>
    <w:rsid w:val="006914FC"/>
    <w:rsid w:val="00696C7E"/>
    <w:rsid w:val="0069758F"/>
    <w:rsid w:val="00697D93"/>
    <w:rsid w:val="00697FA3"/>
    <w:rsid w:val="006A0B03"/>
    <w:rsid w:val="006A11AE"/>
    <w:rsid w:val="006A12DD"/>
    <w:rsid w:val="006A1397"/>
    <w:rsid w:val="006A21CB"/>
    <w:rsid w:val="006A2219"/>
    <w:rsid w:val="006A30B5"/>
    <w:rsid w:val="006A4AA8"/>
    <w:rsid w:val="006A4FA1"/>
    <w:rsid w:val="006A7269"/>
    <w:rsid w:val="006B080F"/>
    <w:rsid w:val="006B2715"/>
    <w:rsid w:val="006B3400"/>
    <w:rsid w:val="006B35DE"/>
    <w:rsid w:val="006B4131"/>
    <w:rsid w:val="006B6969"/>
    <w:rsid w:val="006B6B35"/>
    <w:rsid w:val="006B6C86"/>
    <w:rsid w:val="006B6E6D"/>
    <w:rsid w:val="006C14A3"/>
    <w:rsid w:val="006C1532"/>
    <w:rsid w:val="006C1552"/>
    <w:rsid w:val="006C32E3"/>
    <w:rsid w:val="006C4534"/>
    <w:rsid w:val="006C7D90"/>
    <w:rsid w:val="006D3477"/>
    <w:rsid w:val="006D368B"/>
    <w:rsid w:val="006D5CCD"/>
    <w:rsid w:val="006E0825"/>
    <w:rsid w:val="006E1D88"/>
    <w:rsid w:val="006E2A58"/>
    <w:rsid w:val="006E2B85"/>
    <w:rsid w:val="006E33AD"/>
    <w:rsid w:val="006E41E3"/>
    <w:rsid w:val="006E50C3"/>
    <w:rsid w:val="006E6E12"/>
    <w:rsid w:val="006E6F4C"/>
    <w:rsid w:val="006E796C"/>
    <w:rsid w:val="006F0692"/>
    <w:rsid w:val="006F24EE"/>
    <w:rsid w:val="006F2DAF"/>
    <w:rsid w:val="006F2E22"/>
    <w:rsid w:val="006F2FF2"/>
    <w:rsid w:val="006F3CDB"/>
    <w:rsid w:val="006F40B7"/>
    <w:rsid w:val="006F49D1"/>
    <w:rsid w:val="006F578C"/>
    <w:rsid w:val="006F626F"/>
    <w:rsid w:val="006F6D1B"/>
    <w:rsid w:val="006F7066"/>
    <w:rsid w:val="007015D7"/>
    <w:rsid w:val="00701AF8"/>
    <w:rsid w:val="00701D9E"/>
    <w:rsid w:val="00702110"/>
    <w:rsid w:val="0070268F"/>
    <w:rsid w:val="00704267"/>
    <w:rsid w:val="0070494F"/>
    <w:rsid w:val="00705E6D"/>
    <w:rsid w:val="00705FA8"/>
    <w:rsid w:val="00706875"/>
    <w:rsid w:val="007073BE"/>
    <w:rsid w:val="00707DF1"/>
    <w:rsid w:val="00710E68"/>
    <w:rsid w:val="00711D20"/>
    <w:rsid w:val="007126CA"/>
    <w:rsid w:val="00713899"/>
    <w:rsid w:val="00713D32"/>
    <w:rsid w:val="007147C2"/>
    <w:rsid w:val="007148DE"/>
    <w:rsid w:val="00714E8B"/>
    <w:rsid w:val="00715505"/>
    <w:rsid w:val="0071588B"/>
    <w:rsid w:val="00716D00"/>
    <w:rsid w:val="00717C7F"/>
    <w:rsid w:val="007218B9"/>
    <w:rsid w:val="00722DA5"/>
    <w:rsid w:val="00723B88"/>
    <w:rsid w:val="0072415A"/>
    <w:rsid w:val="007251C2"/>
    <w:rsid w:val="00726590"/>
    <w:rsid w:val="00727920"/>
    <w:rsid w:val="007279CC"/>
    <w:rsid w:val="00730A9B"/>
    <w:rsid w:val="0073289A"/>
    <w:rsid w:val="00732998"/>
    <w:rsid w:val="00733D75"/>
    <w:rsid w:val="00735E36"/>
    <w:rsid w:val="0073652F"/>
    <w:rsid w:val="00736837"/>
    <w:rsid w:val="0073684E"/>
    <w:rsid w:val="00736AE7"/>
    <w:rsid w:val="00736F90"/>
    <w:rsid w:val="00740591"/>
    <w:rsid w:val="00741424"/>
    <w:rsid w:val="007420A9"/>
    <w:rsid w:val="0074230C"/>
    <w:rsid w:val="007425DA"/>
    <w:rsid w:val="00742877"/>
    <w:rsid w:val="00742B2D"/>
    <w:rsid w:val="0074398A"/>
    <w:rsid w:val="007439E3"/>
    <w:rsid w:val="00744B4D"/>
    <w:rsid w:val="00744DF5"/>
    <w:rsid w:val="00745C1D"/>
    <w:rsid w:val="00746AEF"/>
    <w:rsid w:val="007471AF"/>
    <w:rsid w:val="007471F3"/>
    <w:rsid w:val="007505CC"/>
    <w:rsid w:val="00750A3F"/>
    <w:rsid w:val="00751084"/>
    <w:rsid w:val="00751DE5"/>
    <w:rsid w:val="00752E06"/>
    <w:rsid w:val="007535C3"/>
    <w:rsid w:val="00753B08"/>
    <w:rsid w:val="00753FB7"/>
    <w:rsid w:val="007541E6"/>
    <w:rsid w:val="00754244"/>
    <w:rsid w:val="00754C59"/>
    <w:rsid w:val="00755EBC"/>
    <w:rsid w:val="00756409"/>
    <w:rsid w:val="00756828"/>
    <w:rsid w:val="007574AE"/>
    <w:rsid w:val="00757989"/>
    <w:rsid w:val="00760066"/>
    <w:rsid w:val="00760249"/>
    <w:rsid w:val="00760406"/>
    <w:rsid w:val="00760A78"/>
    <w:rsid w:val="00762CD2"/>
    <w:rsid w:val="007639A7"/>
    <w:rsid w:val="00764F21"/>
    <w:rsid w:val="00765022"/>
    <w:rsid w:val="007658F6"/>
    <w:rsid w:val="0076596F"/>
    <w:rsid w:val="0076644D"/>
    <w:rsid w:val="00766C68"/>
    <w:rsid w:val="00766C86"/>
    <w:rsid w:val="00767894"/>
    <w:rsid w:val="007702AF"/>
    <w:rsid w:val="00773331"/>
    <w:rsid w:val="00773409"/>
    <w:rsid w:val="00773568"/>
    <w:rsid w:val="00773F6E"/>
    <w:rsid w:val="00774B63"/>
    <w:rsid w:val="00776E36"/>
    <w:rsid w:val="00777069"/>
    <w:rsid w:val="00777EB9"/>
    <w:rsid w:val="0078173F"/>
    <w:rsid w:val="00781860"/>
    <w:rsid w:val="007818E9"/>
    <w:rsid w:val="00781FBA"/>
    <w:rsid w:val="00783331"/>
    <w:rsid w:val="00785283"/>
    <w:rsid w:val="007852FF"/>
    <w:rsid w:val="00785891"/>
    <w:rsid w:val="0078606A"/>
    <w:rsid w:val="00786574"/>
    <w:rsid w:val="00786E70"/>
    <w:rsid w:val="00787373"/>
    <w:rsid w:val="0078786A"/>
    <w:rsid w:val="00787C52"/>
    <w:rsid w:val="00790BC1"/>
    <w:rsid w:val="007925D0"/>
    <w:rsid w:val="007931F9"/>
    <w:rsid w:val="007932EF"/>
    <w:rsid w:val="0079336E"/>
    <w:rsid w:val="007934E5"/>
    <w:rsid w:val="007949E6"/>
    <w:rsid w:val="00795B2C"/>
    <w:rsid w:val="00795D1D"/>
    <w:rsid w:val="00795D9C"/>
    <w:rsid w:val="0079764D"/>
    <w:rsid w:val="00797AA2"/>
    <w:rsid w:val="00797F1B"/>
    <w:rsid w:val="007A00B8"/>
    <w:rsid w:val="007A0501"/>
    <w:rsid w:val="007A0524"/>
    <w:rsid w:val="007A0756"/>
    <w:rsid w:val="007A0C8F"/>
    <w:rsid w:val="007A228D"/>
    <w:rsid w:val="007A3266"/>
    <w:rsid w:val="007A386A"/>
    <w:rsid w:val="007A4526"/>
    <w:rsid w:val="007A57A3"/>
    <w:rsid w:val="007A6457"/>
    <w:rsid w:val="007A75D8"/>
    <w:rsid w:val="007A788B"/>
    <w:rsid w:val="007B0362"/>
    <w:rsid w:val="007B069C"/>
    <w:rsid w:val="007B14B6"/>
    <w:rsid w:val="007B16B2"/>
    <w:rsid w:val="007B19AA"/>
    <w:rsid w:val="007B3491"/>
    <w:rsid w:val="007B38E1"/>
    <w:rsid w:val="007B64F1"/>
    <w:rsid w:val="007B67DB"/>
    <w:rsid w:val="007B71EC"/>
    <w:rsid w:val="007B7495"/>
    <w:rsid w:val="007B7A58"/>
    <w:rsid w:val="007C09F7"/>
    <w:rsid w:val="007C1CD0"/>
    <w:rsid w:val="007C2702"/>
    <w:rsid w:val="007C2B7B"/>
    <w:rsid w:val="007C2BAB"/>
    <w:rsid w:val="007C3ACA"/>
    <w:rsid w:val="007C48E8"/>
    <w:rsid w:val="007C55AA"/>
    <w:rsid w:val="007C62A6"/>
    <w:rsid w:val="007C65A5"/>
    <w:rsid w:val="007C6718"/>
    <w:rsid w:val="007C672D"/>
    <w:rsid w:val="007D0F49"/>
    <w:rsid w:val="007D2EB5"/>
    <w:rsid w:val="007D3F9F"/>
    <w:rsid w:val="007D4537"/>
    <w:rsid w:val="007D59F1"/>
    <w:rsid w:val="007D5F18"/>
    <w:rsid w:val="007D6547"/>
    <w:rsid w:val="007D66E6"/>
    <w:rsid w:val="007E0515"/>
    <w:rsid w:val="007E05B0"/>
    <w:rsid w:val="007E1311"/>
    <w:rsid w:val="007E36C8"/>
    <w:rsid w:val="007E4008"/>
    <w:rsid w:val="007E481C"/>
    <w:rsid w:val="007E664D"/>
    <w:rsid w:val="007E6E8D"/>
    <w:rsid w:val="007E70B5"/>
    <w:rsid w:val="007E714E"/>
    <w:rsid w:val="007E7AEA"/>
    <w:rsid w:val="007F1879"/>
    <w:rsid w:val="007F20F9"/>
    <w:rsid w:val="007F35F1"/>
    <w:rsid w:val="007F3763"/>
    <w:rsid w:val="007F40F2"/>
    <w:rsid w:val="007F4C19"/>
    <w:rsid w:val="007F5B91"/>
    <w:rsid w:val="007F6052"/>
    <w:rsid w:val="007F6CEC"/>
    <w:rsid w:val="007F759D"/>
    <w:rsid w:val="007F77FC"/>
    <w:rsid w:val="0080018E"/>
    <w:rsid w:val="0080131A"/>
    <w:rsid w:val="00803254"/>
    <w:rsid w:val="0080378C"/>
    <w:rsid w:val="008046D7"/>
    <w:rsid w:val="008049AE"/>
    <w:rsid w:val="00804C60"/>
    <w:rsid w:val="00805351"/>
    <w:rsid w:val="008054E0"/>
    <w:rsid w:val="00805E95"/>
    <w:rsid w:val="00806462"/>
    <w:rsid w:val="00807666"/>
    <w:rsid w:val="00810A27"/>
    <w:rsid w:val="00810B32"/>
    <w:rsid w:val="00810CC9"/>
    <w:rsid w:val="00811977"/>
    <w:rsid w:val="00811C31"/>
    <w:rsid w:val="00812199"/>
    <w:rsid w:val="00812483"/>
    <w:rsid w:val="0081255C"/>
    <w:rsid w:val="00812ACE"/>
    <w:rsid w:val="008131CA"/>
    <w:rsid w:val="00813759"/>
    <w:rsid w:val="00815143"/>
    <w:rsid w:val="00817315"/>
    <w:rsid w:val="00820201"/>
    <w:rsid w:val="00820EC1"/>
    <w:rsid w:val="0082325D"/>
    <w:rsid w:val="00823BDA"/>
    <w:rsid w:val="00824380"/>
    <w:rsid w:val="00824414"/>
    <w:rsid w:val="0082441B"/>
    <w:rsid w:val="0082530F"/>
    <w:rsid w:val="00826D0F"/>
    <w:rsid w:val="0083046E"/>
    <w:rsid w:val="0083060D"/>
    <w:rsid w:val="0083316B"/>
    <w:rsid w:val="00833597"/>
    <w:rsid w:val="00834057"/>
    <w:rsid w:val="00834693"/>
    <w:rsid w:val="0083473E"/>
    <w:rsid w:val="00834F33"/>
    <w:rsid w:val="0083549E"/>
    <w:rsid w:val="00835C1C"/>
    <w:rsid w:val="0083639B"/>
    <w:rsid w:val="008369F6"/>
    <w:rsid w:val="00837FAA"/>
    <w:rsid w:val="00840023"/>
    <w:rsid w:val="008403AA"/>
    <w:rsid w:val="00840603"/>
    <w:rsid w:val="0084126E"/>
    <w:rsid w:val="00841A38"/>
    <w:rsid w:val="00841E94"/>
    <w:rsid w:val="008427EE"/>
    <w:rsid w:val="008429B6"/>
    <w:rsid w:val="00843D21"/>
    <w:rsid w:val="008441A0"/>
    <w:rsid w:val="008447FA"/>
    <w:rsid w:val="00847C85"/>
    <w:rsid w:val="008535F6"/>
    <w:rsid w:val="00854916"/>
    <w:rsid w:val="00854C02"/>
    <w:rsid w:val="008551D0"/>
    <w:rsid w:val="00855C9A"/>
    <w:rsid w:val="008560A1"/>
    <w:rsid w:val="00857268"/>
    <w:rsid w:val="008576B6"/>
    <w:rsid w:val="00860170"/>
    <w:rsid w:val="00860264"/>
    <w:rsid w:val="00860415"/>
    <w:rsid w:val="0086060E"/>
    <w:rsid w:val="00860A7E"/>
    <w:rsid w:val="00863636"/>
    <w:rsid w:val="008636AB"/>
    <w:rsid w:val="00867B92"/>
    <w:rsid w:val="0087011A"/>
    <w:rsid w:val="00870C0B"/>
    <w:rsid w:val="00870FF7"/>
    <w:rsid w:val="00871122"/>
    <w:rsid w:val="008713AF"/>
    <w:rsid w:val="00872C80"/>
    <w:rsid w:val="0087361A"/>
    <w:rsid w:val="008740C3"/>
    <w:rsid w:val="0087424D"/>
    <w:rsid w:val="008746D6"/>
    <w:rsid w:val="00874D22"/>
    <w:rsid w:val="00876DC5"/>
    <w:rsid w:val="00877D65"/>
    <w:rsid w:val="00880DC9"/>
    <w:rsid w:val="008816C7"/>
    <w:rsid w:val="00882152"/>
    <w:rsid w:val="008823E2"/>
    <w:rsid w:val="00882A77"/>
    <w:rsid w:val="00883906"/>
    <w:rsid w:val="00883CFB"/>
    <w:rsid w:val="00883DD8"/>
    <w:rsid w:val="0088562B"/>
    <w:rsid w:val="00886338"/>
    <w:rsid w:val="00886525"/>
    <w:rsid w:val="008866D4"/>
    <w:rsid w:val="00887666"/>
    <w:rsid w:val="00887EDF"/>
    <w:rsid w:val="00887F4F"/>
    <w:rsid w:val="00890167"/>
    <w:rsid w:val="00892568"/>
    <w:rsid w:val="0089269C"/>
    <w:rsid w:val="008944D8"/>
    <w:rsid w:val="00894D83"/>
    <w:rsid w:val="00895F3D"/>
    <w:rsid w:val="00896052"/>
    <w:rsid w:val="008966DD"/>
    <w:rsid w:val="00897E71"/>
    <w:rsid w:val="008A2172"/>
    <w:rsid w:val="008A27D8"/>
    <w:rsid w:val="008A2914"/>
    <w:rsid w:val="008A291F"/>
    <w:rsid w:val="008A3450"/>
    <w:rsid w:val="008A40BA"/>
    <w:rsid w:val="008A512A"/>
    <w:rsid w:val="008B15DE"/>
    <w:rsid w:val="008B193E"/>
    <w:rsid w:val="008B1AD8"/>
    <w:rsid w:val="008B328C"/>
    <w:rsid w:val="008B3AFF"/>
    <w:rsid w:val="008B3E75"/>
    <w:rsid w:val="008B5830"/>
    <w:rsid w:val="008B6071"/>
    <w:rsid w:val="008B60FA"/>
    <w:rsid w:val="008B655B"/>
    <w:rsid w:val="008C06AC"/>
    <w:rsid w:val="008C12B4"/>
    <w:rsid w:val="008C17D5"/>
    <w:rsid w:val="008C1EB0"/>
    <w:rsid w:val="008C2746"/>
    <w:rsid w:val="008C2938"/>
    <w:rsid w:val="008C384A"/>
    <w:rsid w:val="008C3D42"/>
    <w:rsid w:val="008C43BF"/>
    <w:rsid w:val="008C4700"/>
    <w:rsid w:val="008C4970"/>
    <w:rsid w:val="008C4F70"/>
    <w:rsid w:val="008C611C"/>
    <w:rsid w:val="008C65C6"/>
    <w:rsid w:val="008D08BB"/>
    <w:rsid w:val="008D14B5"/>
    <w:rsid w:val="008D228D"/>
    <w:rsid w:val="008D260F"/>
    <w:rsid w:val="008D4F70"/>
    <w:rsid w:val="008D79C4"/>
    <w:rsid w:val="008E006F"/>
    <w:rsid w:val="008E007D"/>
    <w:rsid w:val="008E00E7"/>
    <w:rsid w:val="008E0760"/>
    <w:rsid w:val="008E1CE2"/>
    <w:rsid w:val="008E24C5"/>
    <w:rsid w:val="008E4720"/>
    <w:rsid w:val="008E4D8E"/>
    <w:rsid w:val="008E720D"/>
    <w:rsid w:val="008E7715"/>
    <w:rsid w:val="008E783D"/>
    <w:rsid w:val="008E7DC7"/>
    <w:rsid w:val="008F18E3"/>
    <w:rsid w:val="008F2421"/>
    <w:rsid w:val="008F2F96"/>
    <w:rsid w:val="008F310A"/>
    <w:rsid w:val="008F5D54"/>
    <w:rsid w:val="008F5E34"/>
    <w:rsid w:val="008F66BE"/>
    <w:rsid w:val="008F6FFD"/>
    <w:rsid w:val="008F7CFC"/>
    <w:rsid w:val="00901C94"/>
    <w:rsid w:val="00901ED9"/>
    <w:rsid w:val="009039FC"/>
    <w:rsid w:val="00903FAB"/>
    <w:rsid w:val="009042C2"/>
    <w:rsid w:val="00904A36"/>
    <w:rsid w:val="00904C73"/>
    <w:rsid w:val="00905280"/>
    <w:rsid w:val="00905733"/>
    <w:rsid w:val="009061DD"/>
    <w:rsid w:val="00907A16"/>
    <w:rsid w:val="00907B14"/>
    <w:rsid w:val="00907D0B"/>
    <w:rsid w:val="00910EB3"/>
    <w:rsid w:val="00912121"/>
    <w:rsid w:val="00912532"/>
    <w:rsid w:val="00912746"/>
    <w:rsid w:val="009129DE"/>
    <w:rsid w:val="00913223"/>
    <w:rsid w:val="0091365C"/>
    <w:rsid w:val="00913AAC"/>
    <w:rsid w:val="00913B2C"/>
    <w:rsid w:val="00913C2A"/>
    <w:rsid w:val="00913C31"/>
    <w:rsid w:val="00915660"/>
    <w:rsid w:val="00915A1E"/>
    <w:rsid w:val="00915EF5"/>
    <w:rsid w:val="0091617D"/>
    <w:rsid w:val="009161B7"/>
    <w:rsid w:val="009161FE"/>
    <w:rsid w:val="009169E2"/>
    <w:rsid w:val="009169FF"/>
    <w:rsid w:val="00917116"/>
    <w:rsid w:val="00920337"/>
    <w:rsid w:val="00920E3F"/>
    <w:rsid w:val="00921935"/>
    <w:rsid w:val="00922435"/>
    <w:rsid w:val="00922439"/>
    <w:rsid w:val="00923E62"/>
    <w:rsid w:val="00923FF4"/>
    <w:rsid w:val="0092439D"/>
    <w:rsid w:val="00924533"/>
    <w:rsid w:val="00925503"/>
    <w:rsid w:val="009258F9"/>
    <w:rsid w:val="00926192"/>
    <w:rsid w:val="009261B2"/>
    <w:rsid w:val="0092633E"/>
    <w:rsid w:val="0093028F"/>
    <w:rsid w:val="00930D8B"/>
    <w:rsid w:val="00931011"/>
    <w:rsid w:val="00932528"/>
    <w:rsid w:val="009328E7"/>
    <w:rsid w:val="00932EE8"/>
    <w:rsid w:val="00933056"/>
    <w:rsid w:val="00933FA8"/>
    <w:rsid w:val="0093406E"/>
    <w:rsid w:val="009340D7"/>
    <w:rsid w:val="00934B69"/>
    <w:rsid w:val="009366BE"/>
    <w:rsid w:val="0093755E"/>
    <w:rsid w:val="0093777A"/>
    <w:rsid w:val="0093794F"/>
    <w:rsid w:val="00937C0D"/>
    <w:rsid w:val="00937FDD"/>
    <w:rsid w:val="0094154E"/>
    <w:rsid w:val="009415C3"/>
    <w:rsid w:val="00942047"/>
    <w:rsid w:val="0094298B"/>
    <w:rsid w:val="00943C11"/>
    <w:rsid w:val="00944CD3"/>
    <w:rsid w:val="00945C10"/>
    <w:rsid w:val="00946AAC"/>
    <w:rsid w:val="00946BBF"/>
    <w:rsid w:val="00947235"/>
    <w:rsid w:val="00947254"/>
    <w:rsid w:val="00947B71"/>
    <w:rsid w:val="00951725"/>
    <w:rsid w:val="009528F6"/>
    <w:rsid w:val="0095302A"/>
    <w:rsid w:val="00953AB4"/>
    <w:rsid w:val="00955299"/>
    <w:rsid w:val="00955434"/>
    <w:rsid w:val="0095566C"/>
    <w:rsid w:val="009558EF"/>
    <w:rsid w:val="0095691C"/>
    <w:rsid w:val="00957C5A"/>
    <w:rsid w:val="00957DB8"/>
    <w:rsid w:val="00957EA1"/>
    <w:rsid w:val="00960296"/>
    <w:rsid w:val="009614A2"/>
    <w:rsid w:val="00962A5B"/>
    <w:rsid w:val="009631B2"/>
    <w:rsid w:val="0096327D"/>
    <w:rsid w:val="00963AB2"/>
    <w:rsid w:val="00963C3C"/>
    <w:rsid w:val="00963D8A"/>
    <w:rsid w:val="00963E42"/>
    <w:rsid w:val="00964683"/>
    <w:rsid w:val="009658F7"/>
    <w:rsid w:val="00966220"/>
    <w:rsid w:val="00966C8D"/>
    <w:rsid w:val="00966EAE"/>
    <w:rsid w:val="00970390"/>
    <w:rsid w:val="009717B7"/>
    <w:rsid w:val="0097187D"/>
    <w:rsid w:val="00972733"/>
    <w:rsid w:val="00972A22"/>
    <w:rsid w:val="00973762"/>
    <w:rsid w:val="009738B2"/>
    <w:rsid w:val="00974B3A"/>
    <w:rsid w:val="00974F0E"/>
    <w:rsid w:val="00976183"/>
    <w:rsid w:val="0097694B"/>
    <w:rsid w:val="00976E0A"/>
    <w:rsid w:val="0097700C"/>
    <w:rsid w:val="0098006E"/>
    <w:rsid w:val="00980811"/>
    <w:rsid w:val="0098172B"/>
    <w:rsid w:val="00982048"/>
    <w:rsid w:val="00982B55"/>
    <w:rsid w:val="00983750"/>
    <w:rsid w:val="00983A26"/>
    <w:rsid w:val="009842CB"/>
    <w:rsid w:val="00985661"/>
    <w:rsid w:val="009862E8"/>
    <w:rsid w:val="00991139"/>
    <w:rsid w:val="00992E7F"/>
    <w:rsid w:val="00994B73"/>
    <w:rsid w:val="0099552A"/>
    <w:rsid w:val="0099768F"/>
    <w:rsid w:val="009976D1"/>
    <w:rsid w:val="009A0036"/>
    <w:rsid w:val="009A13AA"/>
    <w:rsid w:val="009A1BDB"/>
    <w:rsid w:val="009A1C2D"/>
    <w:rsid w:val="009A257C"/>
    <w:rsid w:val="009A2709"/>
    <w:rsid w:val="009A282C"/>
    <w:rsid w:val="009A2F72"/>
    <w:rsid w:val="009A3FCD"/>
    <w:rsid w:val="009A426F"/>
    <w:rsid w:val="009A4628"/>
    <w:rsid w:val="009A4E99"/>
    <w:rsid w:val="009A5083"/>
    <w:rsid w:val="009A60F4"/>
    <w:rsid w:val="009A624D"/>
    <w:rsid w:val="009A72E8"/>
    <w:rsid w:val="009A770A"/>
    <w:rsid w:val="009B0652"/>
    <w:rsid w:val="009B06B2"/>
    <w:rsid w:val="009B26B0"/>
    <w:rsid w:val="009B29F4"/>
    <w:rsid w:val="009B37BC"/>
    <w:rsid w:val="009B3E5C"/>
    <w:rsid w:val="009B4C69"/>
    <w:rsid w:val="009B531F"/>
    <w:rsid w:val="009B6256"/>
    <w:rsid w:val="009B630E"/>
    <w:rsid w:val="009B65D1"/>
    <w:rsid w:val="009B73C7"/>
    <w:rsid w:val="009C0E2A"/>
    <w:rsid w:val="009C16ED"/>
    <w:rsid w:val="009C170F"/>
    <w:rsid w:val="009C1819"/>
    <w:rsid w:val="009C1A71"/>
    <w:rsid w:val="009C2636"/>
    <w:rsid w:val="009C4114"/>
    <w:rsid w:val="009C508F"/>
    <w:rsid w:val="009C5D58"/>
    <w:rsid w:val="009C759C"/>
    <w:rsid w:val="009C7D8D"/>
    <w:rsid w:val="009D026E"/>
    <w:rsid w:val="009D02FD"/>
    <w:rsid w:val="009D0531"/>
    <w:rsid w:val="009D1E0A"/>
    <w:rsid w:val="009D22D2"/>
    <w:rsid w:val="009D24D6"/>
    <w:rsid w:val="009D2888"/>
    <w:rsid w:val="009D2BB1"/>
    <w:rsid w:val="009D462E"/>
    <w:rsid w:val="009D4BE4"/>
    <w:rsid w:val="009D5FDB"/>
    <w:rsid w:val="009D6D92"/>
    <w:rsid w:val="009D719E"/>
    <w:rsid w:val="009E088B"/>
    <w:rsid w:val="009E19F5"/>
    <w:rsid w:val="009E280E"/>
    <w:rsid w:val="009E2BC1"/>
    <w:rsid w:val="009E2D53"/>
    <w:rsid w:val="009E34FD"/>
    <w:rsid w:val="009E3FEF"/>
    <w:rsid w:val="009E4C09"/>
    <w:rsid w:val="009E567C"/>
    <w:rsid w:val="009E6EAA"/>
    <w:rsid w:val="009F0A41"/>
    <w:rsid w:val="009F2A59"/>
    <w:rsid w:val="009F3826"/>
    <w:rsid w:val="009F56DC"/>
    <w:rsid w:val="009F707B"/>
    <w:rsid w:val="00A012AB"/>
    <w:rsid w:val="00A01657"/>
    <w:rsid w:val="00A01C00"/>
    <w:rsid w:val="00A02510"/>
    <w:rsid w:val="00A030FF"/>
    <w:rsid w:val="00A034A4"/>
    <w:rsid w:val="00A03989"/>
    <w:rsid w:val="00A05C14"/>
    <w:rsid w:val="00A05ED4"/>
    <w:rsid w:val="00A10473"/>
    <w:rsid w:val="00A1131D"/>
    <w:rsid w:val="00A121E9"/>
    <w:rsid w:val="00A12410"/>
    <w:rsid w:val="00A12412"/>
    <w:rsid w:val="00A12F56"/>
    <w:rsid w:val="00A13452"/>
    <w:rsid w:val="00A13849"/>
    <w:rsid w:val="00A13C33"/>
    <w:rsid w:val="00A149C5"/>
    <w:rsid w:val="00A14E2B"/>
    <w:rsid w:val="00A15B04"/>
    <w:rsid w:val="00A16390"/>
    <w:rsid w:val="00A168E8"/>
    <w:rsid w:val="00A17E85"/>
    <w:rsid w:val="00A20104"/>
    <w:rsid w:val="00A2060E"/>
    <w:rsid w:val="00A2068F"/>
    <w:rsid w:val="00A20BFA"/>
    <w:rsid w:val="00A2178F"/>
    <w:rsid w:val="00A21EF4"/>
    <w:rsid w:val="00A2202B"/>
    <w:rsid w:val="00A2219E"/>
    <w:rsid w:val="00A22AD4"/>
    <w:rsid w:val="00A22F34"/>
    <w:rsid w:val="00A23276"/>
    <w:rsid w:val="00A237C6"/>
    <w:rsid w:val="00A238CF"/>
    <w:rsid w:val="00A24CC3"/>
    <w:rsid w:val="00A24DED"/>
    <w:rsid w:val="00A25298"/>
    <w:rsid w:val="00A25608"/>
    <w:rsid w:val="00A269B3"/>
    <w:rsid w:val="00A27807"/>
    <w:rsid w:val="00A2781C"/>
    <w:rsid w:val="00A308C5"/>
    <w:rsid w:val="00A30909"/>
    <w:rsid w:val="00A32E64"/>
    <w:rsid w:val="00A3376A"/>
    <w:rsid w:val="00A33A5B"/>
    <w:rsid w:val="00A34E02"/>
    <w:rsid w:val="00A35B12"/>
    <w:rsid w:val="00A364DC"/>
    <w:rsid w:val="00A37836"/>
    <w:rsid w:val="00A37EA7"/>
    <w:rsid w:val="00A4126D"/>
    <w:rsid w:val="00A41289"/>
    <w:rsid w:val="00A42034"/>
    <w:rsid w:val="00A4276A"/>
    <w:rsid w:val="00A4426B"/>
    <w:rsid w:val="00A44A92"/>
    <w:rsid w:val="00A47200"/>
    <w:rsid w:val="00A47E14"/>
    <w:rsid w:val="00A47FB3"/>
    <w:rsid w:val="00A50237"/>
    <w:rsid w:val="00A504EE"/>
    <w:rsid w:val="00A50547"/>
    <w:rsid w:val="00A5206D"/>
    <w:rsid w:val="00A52389"/>
    <w:rsid w:val="00A52FFF"/>
    <w:rsid w:val="00A535D8"/>
    <w:rsid w:val="00A53830"/>
    <w:rsid w:val="00A54239"/>
    <w:rsid w:val="00A543CB"/>
    <w:rsid w:val="00A54B69"/>
    <w:rsid w:val="00A555B2"/>
    <w:rsid w:val="00A559BF"/>
    <w:rsid w:val="00A5620F"/>
    <w:rsid w:val="00A56316"/>
    <w:rsid w:val="00A56E29"/>
    <w:rsid w:val="00A57991"/>
    <w:rsid w:val="00A579A2"/>
    <w:rsid w:val="00A606EC"/>
    <w:rsid w:val="00A61580"/>
    <w:rsid w:val="00A642F7"/>
    <w:rsid w:val="00A646F4"/>
    <w:rsid w:val="00A647D7"/>
    <w:rsid w:val="00A6591B"/>
    <w:rsid w:val="00A66366"/>
    <w:rsid w:val="00A666E8"/>
    <w:rsid w:val="00A66938"/>
    <w:rsid w:val="00A706FC"/>
    <w:rsid w:val="00A70FA8"/>
    <w:rsid w:val="00A71AE0"/>
    <w:rsid w:val="00A72076"/>
    <w:rsid w:val="00A72729"/>
    <w:rsid w:val="00A727BC"/>
    <w:rsid w:val="00A72BA4"/>
    <w:rsid w:val="00A73257"/>
    <w:rsid w:val="00A73AB9"/>
    <w:rsid w:val="00A742E1"/>
    <w:rsid w:val="00A74AC6"/>
    <w:rsid w:val="00A7537D"/>
    <w:rsid w:val="00A75F58"/>
    <w:rsid w:val="00A8069D"/>
    <w:rsid w:val="00A806F1"/>
    <w:rsid w:val="00A8161D"/>
    <w:rsid w:val="00A81D42"/>
    <w:rsid w:val="00A842DB"/>
    <w:rsid w:val="00A843F5"/>
    <w:rsid w:val="00A86048"/>
    <w:rsid w:val="00A86908"/>
    <w:rsid w:val="00A86D5F"/>
    <w:rsid w:val="00A9086D"/>
    <w:rsid w:val="00A90F1F"/>
    <w:rsid w:val="00A91032"/>
    <w:rsid w:val="00A914F2"/>
    <w:rsid w:val="00A9245C"/>
    <w:rsid w:val="00A932E0"/>
    <w:rsid w:val="00A93DBF"/>
    <w:rsid w:val="00A94068"/>
    <w:rsid w:val="00A95159"/>
    <w:rsid w:val="00A95283"/>
    <w:rsid w:val="00A96708"/>
    <w:rsid w:val="00A96F81"/>
    <w:rsid w:val="00A97A79"/>
    <w:rsid w:val="00A97AA1"/>
    <w:rsid w:val="00AA11B1"/>
    <w:rsid w:val="00AA304C"/>
    <w:rsid w:val="00AA3101"/>
    <w:rsid w:val="00AA3601"/>
    <w:rsid w:val="00AA573A"/>
    <w:rsid w:val="00AA5AA5"/>
    <w:rsid w:val="00AA5DF4"/>
    <w:rsid w:val="00AA6320"/>
    <w:rsid w:val="00AA693E"/>
    <w:rsid w:val="00AA6ECF"/>
    <w:rsid w:val="00AA73B9"/>
    <w:rsid w:val="00AA7C6C"/>
    <w:rsid w:val="00AB00BA"/>
    <w:rsid w:val="00AB0853"/>
    <w:rsid w:val="00AB1D4B"/>
    <w:rsid w:val="00AB2E8B"/>
    <w:rsid w:val="00AB38AA"/>
    <w:rsid w:val="00AB3B5F"/>
    <w:rsid w:val="00AB4623"/>
    <w:rsid w:val="00AB4655"/>
    <w:rsid w:val="00AB4FE8"/>
    <w:rsid w:val="00AB5536"/>
    <w:rsid w:val="00AB7275"/>
    <w:rsid w:val="00AC090B"/>
    <w:rsid w:val="00AC0C05"/>
    <w:rsid w:val="00AC1737"/>
    <w:rsid w:val="00AC2CC8"/>
    <w:rsid w:val="00AC3B6C"/>
    <w:rsid w:val="00AC3C31"/>
    <w:rsid w:val="00AC4087"/>
    <w:rsid w:val="00AC42D3"/>
    <w:rsid w:val="00AC58BB"/>
    <w:rsid w:val="00AC63C5"/>
    <w:rsid w:val="00AC6FD9"/>
    <w:rsid w:val="00AD286F"/>
    <w:rsid w:val="00AD295B"/>
    <w:rsid w:val="00AD2F7A"/>
    <w:rsid w:val="00AD4B48"/>
    <w:rsid w:val="00AD4BB2"/>
    <w:rsid w:val="00AD4FE4"/>
    <w:rsid w:val="00AD520D"/>
    <w:rsid w:val="00AD5FBF"/>
    <w:rsid w:val="00AD631A"/>
    <w:rsid w:val="00AD6464"/>
    <w:rsid w:val="00AD6D9A"/>
    <w:rsid w:val="00AD70BE"/>
    <w:rsid w:val="00AE0921"/>
    <w:rsid w:val="00AE0D95"/>
    <w:rsid w:val="00AE31A3"/>
    <w:rsid w:val="00AE370A"/>
    <w:rsid w:val="00AE386F"/>
    <w:rsid w:val="00AE43FA"/>
    <w:rsid w:val="00AE49FD"/>
    <w:rsid w:val="00AE50D7"/>
    <w:rsid w:val="00AE53EB"/>
    <w:rsid w:val="00AE5944"/>
    <w:rsid w:val="00AF1EFA"/>
    <w:rsid w:val="00AF1F86"/>
    <w:rsid w:val="00AF1F88"/>
    <w:rsid w:val="00AF3376"/>
    <w:rsid w:val="00AF4188"/>
    <w:rsid w:val="00AF480D"/>
    <w:rsid w:val="00AF4D8F"/>
    <w:rsid w:val="00AF545D"/>
    <w:rsid w:val="00AF78BD"/>
    <w:rsid w:val="00AF7CA0"/>
    <w:rsid w:val="00B0137D"/>
    <w:rsid w:val="00B01590"/>
    <w:rsid w:val="00B036E0"/>
    <w:rsid w:val="00B04108"/>
    <w:rsid w:val="00B0431C"/>
    <w:rsid w:val="00B05009"/>
    <w:rsid w:val="00B05258"/>
    <w:rsid w:val="00B0574D"/>
    <w:rsid w:val="00B05CEC"/>
    <w:rsid w:val="00B07259"/>
    <w:rsid w:val="00B07582"/>
    <w:rsid w:val="00B10D6B"/>
    <w:rsid w:val="00B13D26"/>
    <w:rsid w:val="00B1485B"/>
    <w:rsid w:val="00B14BA8"/>
    <w:rsid w:val="00B153B3"/>
    <w:rsid w:val="00B15B3F"/>
    <w:rsid w:val="00B178F2"/>
    <w:rsid w:val="00B21220"/>
    <w:rsid w:val="00B24D30"/>
    <w:rsid w:val="00B25B6D"/>
    <w:rsid w:val="00B2777B"/>
    <w:rsid w:val="00B304F7"/>
    <w:rsid w:val="00B30689"/>
    <w:rsid w:val="00B31819"/>
    <w:rsid w:val="00B32298"/>
    <w:rsid w:val="00B3234D"/>
    <w:rsid w:val="00B328F3"/>
    <w:rsid w:val="00B32AB5"/>
    <w:rsid w:val="00B3371A"/>
    <w:rsid w:val="00B34174"/>
    <w:rsid w:val="00B348E3"/>
    <w:rsid w:val="00B350C1"/>
    <w:rsid w:val="00B37890"/>
    <w:rsid w:val="00B37CA5"/>
    <w:rsid w:val="00B40A43"/>
    <w:rsid w:val="00B41C06"/>
    <w:rsid w:val="00B428B4"/>
    <w:rsid w:val="00B433C8"/>
    <w:rsid w:val="00B43437"/>
    <w:rsid w:val="00B4350E"/>
    <w:rsid w:val="00B45F2E"/>
    <w:rsid w:val="00B47C5B"/>
    <w:rsid w:val="00B51E28"/>
    <w:rsid w:val="00B53C0D"/>
    <w:rsid w:val="00B54115"/>
    <w:rsid w:val="00B54309"/>
    <w:rsid w:val="00B54414"/>
    <w:rsid w:val="00B56EA1"/>
    <w:rsid w:val="00B5797D"/>
    <w:rsid w:val="00B57C54"/>
    <w:rsid w:val="00B60919"/>
    <w:rsid w:val="00B61BB7"/>
    <w:rsid w:val="00B61E38"/>
    <w:rsid w:val="00B62318"/>
    <w:rsid w:val="00B62EAD"/>
    <w:rsid w:val="00B63957"/>
    <w:rsid w:val="00B6446D"/>
    <w:rsid w:val="00B64615"/>
    <w:rsid w:val="00B65C28"/>
    <w:rsid w:val="00B65EC2"/>
    <w:rsid w:val="00B67721"/>
    <w:rsid w:val="00B71B65"/>
    <w:rsid w:val="00B73114"/>
    <w:rsid w:val="00B73839"/>
    <w:rsid w:val="00B73FE4"/>
    <w:rsid w:val="00B74F71"/>
    <w:rsid w:val="00B7504A"/>
    <w:rsid w:val="00B75329"/>
    <w:rsid w:val="00B768E2"/>
    <w:rsid w:val="00B76E87"/>
    <w:rsid w:val="00B80569"/>
    <w:rsid w:val="00B8092C"/>
    <w:rsid w:val="00B80E6F"/>
    <w:rsid w:val="00B80FB2"/>
    <w:rsid w:val="00B818C3"/>
    <w:rsid w:val="00B81B6D"/>
    <w:rsid w:val="00B82416"/>
    <w:rsid w:val="00B8270C"/>
    <w:rsid w:val="00B82916"/>
    <w:rsid w:val="00B82B51"/>
    <w:rsid w:val="00B82DE8"/>
    <w:rsid w:val="00B8353E"/>
    <w:rsid w:val="00B8358C"/>
    <w:rsid w:val="00B837D6"/>
    <w:rsid w:val="00B83C9C"/>
    <w:rsid w:val="00B849EB"/>
    <w:rsid w:val="00B85580"/>
    <w:rsid w:val="00B85886"/>
    <w:rsid w:val="00B85D82"/>
    <w:rsid w:val="00B86F53"/>
    <w:rsid w:val="00B902D4"/>
    <w:rsid w:val="00B903C2"/>
    <w:rsid w:val="00B90B64"/>
    <w:rsid w:val="00B90E92"/>
    <w:rsid w:val="00B91024"/>
    <w:rsid w:val="00B915B1"/>
    <w:rsid w:val="00B91DE3"/>
    <w:rsid w:val="00B91EE2"/>
    <w:rsid w:val="00B927A0"/>
    <w:rsid w:val="00B92F0E"/>
    <w:rsid w:val="00B9504A"/>
    <w:rsid w:val="00B9721A"/>
    <w:rsid w:val="00B978B0"/>
    <w:rsid w:val="00BA124E"/>
    <w:rsid w:val="00BA1DAE"/>
    <w:rsid w:val="00BA1E0E"/>
    <w:rsid w:val="00BA2CD1"/>
    <w:rsid w:val="00BA4503"/>
    <w:rsid w:val="00BA5432"/>
    <w:rsid w:val="00BB0321"/>
    <w:rsid w:val="00BB0552"/>
    <w:rsid w:val="00BB170A"/>
    <w:rsid w:val="00BB2718"/>
    <w:rsid w:val="00BB34ED"/>
    <w:rsid w:val="00BB4079"/>
    <w:rsid w:val="00BB4B61"/>
    <w:rsid w:val="00BB5849"/>
    <w:rsid w:val="00BB5EE8"/>
    <w:rsid w:val="00BB6008"/>
    <w:rsid w:val="00BB6D35"/>
    <w:rsid w:val="00BC1258"/>
    <w:rsid w:val="00BC1956"/>
    <w:rsid w:val="00BC1EC0"/>
    <w:rsid w:val="00BC410B"/>
    <w:rsid w:val="00BC413B"/>
    <w:rsid w:val="00BC44F7"/>
    <w:rsid w:val="00BC5554"/>
    <w:rsid w:val="00BC5709"/>
    <w:rsid w:val="00BC59A1"/>
    <w:rsid w:val="00BC5CE6"/>
    <w:rsid w:val="00BC646E"/>
    <w:rsid w:val="00BC7249"/>
    <w:rsid w:val="00BC7299"/>
    <w:rsid w:val="00BC7B2C"/>
    <w:rsid w:val="00BC7BFA"/>
    <w:rsid w:val="00BD1171"/>
    <w:rsid w:val="00BD312F"/>
    <w:rsid w:val="00BD37EA"/>
    <w:rsid w:val="00BD561C"/>
    <w:rsid w:val="00BD6943"/>
    <w:rsid w:val="00BD6C21"/>
    <w:rsid w:val="00BD7480"/>
    <w:rsid w:val="00BD7615"/>
    <w:rsid w:val="00BE00CB"/>
    <w:rsid w:val="00BE024C"/>
    <w:rsid w:val="00BE25F3"/>
    <w:rsid w:val="00BE3DE1"/>
    <w:rsid w:val="00BE40D9"/>
    <w:rsid w:val="00BE45D6"/>
    <w:rsid w:val="00BE46B5"/>
    <w:rsid w:val="00BE62C6"/>
    <w:rsid w:val="00BE6403"/>
    <w:rsid w:val="00BE69D8"/>
    <w:rsid w:val="00BE70D9"/>
    <w:rsid w:val="00BF0406"/>
    <w:rsid w:val="00BF06C0"/>
    <w:rsid w:val="00BF0A80"/>
    <w:rsid w:val="00BF12B8"/>
    <w:rsid w:val="00BF25FF"/>
    <w:rsid w:val="00BF2D20"/>
    <w:rsid w:val="00BF3CF9"/>
    <w:rsid w:val="00BF44A7"/>
    <w:rsid w:val="00BF4D60"/>
    <w:rsid w:val="00BF5ADE"/>
    <w:rsid w:val="00BF61C8"/>
    <w:rsid w:val="00BF77D2"/>
    <w:rsid w:val="00C00647"/>
    <w:rsid w:val="00C01297"/>
    <w:rsid w:val="00C019C2"/>
    <w:rsid w:val="00C02727"/>
    <w:rsid w:val="00C03A26"/>
    <w:rsid w:val="00C04B80"/>
    <w:rsid w:val="00C05400"/>
    <w:rsid w:val="00C05628"/>
    <w:rsid w:val="00C05EC5"/>
    <w:rsid w:val="00C05F04"/>
    <w:rsid w:val="00C06652"/>
    <w:rsid w:val="00C0679B"/>
    <w:rsid w:val="00C0734F"/>
    <w:rsid w:val="00C10615"/>
    <w:rsid w:val="00C1218F"/>
    <w:rsid w:val="00C12301"/>
    <w:rsid w:val="00C130F9"/>
    <w:rsid w:val="00C13516"/>
    <w:rsid w:val="00C13693"/>
    <w:rsid w:val="00C136DB"/>
    <w:rsid w:val="00C138A6"/>
    <w:rsid w:val="00C140DA"/>
    <w:rsid w:val="00C141CB"/>
    <w:rsid w:val="00C15293"/>
    <w:rsid w:val="00C162AC"/>
    <w:rsid w:val="00C16D24"/>
    <w:rsid w:val="00C21790"/>
    <w:rsid w:val="00C21C52"/>
    <w:rsid w:val="00C225CD"/>
    <w:rsid w:val="00C2493D"/>
    <w:rsid w:val="00C24A5C"/>
    <w:rsid w:val="00C24D58"/>
    <w:rsid w:val="00C24F2B"/>
    <w:rsid w:val="00C25041"/>
    <w:rsid w:val="00C2647D"/>
    <w:rsid w:val="00C26F58"/>
    <w:rsid w:val="00C273EF"/>
    <w:rsid w:val="00C278E0"/>
    <w:rsid w:val="00C300F3"/>
    <w:rsid w:val="00C30525"/>
    <w:rsid w:val="00C30A0C"/>
    <w:rsid w:val="00C331A8"/>
    <w:rsid w:val="00C33B1C"/>
    <w:rsid w:val="00C33FDB"/>
    <w:rsid w:val="00C3474D"/>
    <w:rsid w:val="00C3522C"/>
    <w:rsid w:val="00C37EA6"/>
    <w:rsid w:val="00C41468"/>
    <w:rsid w:val="00C43267"/>
    <w:rsid w:val="00C443BD"/>
    <w:rsid w:val="00C44548"/>
    <w:rsid w:val="00C44A22"/>
    <w:rsid w:val="00C45380"/>
    <w:rsid w:val="00C45B1E"/>
    <w:rsid w:val="00C462DF"/>
    <w:rsid w:val="00C46DF0"/>
    <w:rsid w:val="00C4763A"/>
    <w:rsid w:val="00C50F67"/>
    <w:rsid w:val="00C51C02"/>
    <w:rsid w:val="00C524F1"/>
    <w:rsid w:val="00C5320D"/>
    <w:rsid w:val="00C53313"/>
    <w:rsid w:val="00C538E7"/>
    <w:rsid w:val="00C544BA"/>
    <w:rsid w:val="00C55679"/>
    <w:rsid w:val="00C560B5"/>
    <w:rsid w:val="00C5632C"/>
    <w:rsid w:val="00C56432"/>
    <w:rsid w:val="00C638A0"/>
    <w:rsid w:val="00C63F83"/>
    <w:rsid w:val="00C6400F"/>
    <w:rsid w:val="00C64C91"/>
    <w:rsid w:val="00C661A1"/>
    <w:rsid w:val="00C67AFE"/>
    <w:rsid w:val="00C70347"/>
    <w:rsid w:val="00C70477"/>
    <w:rsid w:val="00C72EB1"/>
    <w:rsid w:val="00C7393F"/>
    <w:rsid w:val="00C775F7"/>
    <w:rsid w:val="00C813D7"/>
    <w:rsid w:val="00C81787"/>
    <w:rsid w:val="00C81DE8"/>
    <w:rsid w:val="00C820B1"/>
    <w:rsid w:val="00C82C8F"/>
    <w:rsid w:val="00C83670"/>
    <w:rsid w:val="00C838B3"/>
    <w:rsid w:val="00C846B7"/>
    <w:rsid w:val="00C8477B"/>
    <w:rsid w:val="00C8492B"/>
    <w:rsid w:val="00C86D6D"/>
    <w:rsid w:val="00C86FBC"/>
    <w:rsid w:val="00C900E9"/>
    <w:rsid w:val="00C915B1"/>
    <w:rsid w:val="00C91842"/>
    <w:rsid w:val="00C9245E"/>
    <w:rsid w:val="00C925F7"/>
    <w:rsid w:val="00C926F1"/>
    <w:rsid w:val="00C92DD2"/>
    <w:rsid w:val="00C93079"/>
    <w:rsid w:val="00C936E6"/>
    <w:rsid w:val="00C94B5F"/>
    <w:rsid w:val="00C96773"/>
    <w:rsid w:val="00C975E4"/>
    <w:rsid w:val="00CA0046"/>
    <w:rsid w:val="00CA06E0"/>
    <w:rsid w:val="00CA0F81"/>
    <w:rsid w:val="00CA1265"/>
    <w:rsid w:val="00CA15E8"/>
    <w:rsid w:val="00CA2334"/>
    <w:rsid w:val="00CA3376"/>
    <w:rsid w:val="00CA35A5"/>
    <w:rsid w:val="00CA4181"/>
    <w:rsid w:val="00CA65F2"/>
    <w:rsid w:val="00CA718B"/>
    <w:rsid w:val="00CA737E"/>
    <w:rsid w:val="00CA7879"/>
    <w:rsid w:val="00CB02CE"/>
    <w:rsid w:val="00CB11AD"/>
    <w:rsid w:val="00CB25A7"/>
    <w:rsid w:val="00CB4F8E"/>
    <w:rsid w:val="00CB61A1"/>
    <w:rsid w:val="00CB6355"/>
    <w:rsid w:val="00CB716F"/>
    <w:rsid w:val="00CB74C6"/>
    <w:rsid w:val="00CB796A"/>
    <w:rsid w:val="00CC12AA"/>
    <w:rsid w:val="00CC1BD0"/>
    <w:rsid w:val="00CC36D2"/>
    <w:rsid w:val="00CC444B"/>
    <w:rsid w:val="00CC6079"/>
    <w:rsid w:val="00CC6604"/>
    <w:rsid w:val="00CC6C12"/>
    <w:rsid w:val="00CC6CC4"/>
    <w:rsid w:val="00CC7C77"/>
    <w:rsid w:val="00CD1809"/>
    <w:rsid w:val="00CD1E43"/>
    <w:rsid w:val="00CD23D6"/>
    <w:rsid w:val="00CD2918"/>
    <w:rsid w:val="00CD3AB0"/>
    <w:rsid w:val="00CD3D04"/>
    <w:rsid w:val="00CD44EC"/>
    <w:rsid w:val="00CD609A"/>
    <w:rsid w:val="00CD664E"/>
    <w:rsid w:val="00CE14CD"/>
    <w:rsid w:val="00CE1EB3"/>
    <w:rsid w:val="00CE2F49"/>
    <w:rsid w:val="00CE3CC4"/>
    <w:rsid w:val="00CE43AC"/>
    <w:rsid w:val="00CE4E13"/>
    <w:rsid w:val="00CE5BF3"/>
    <w:rsid w:val="00CE5E20"/>
    <w:rsid w:val="00CE6CF1"/>
    <w:rsid w:val="00CF0D33"/>
    <w:rsid w:val="00CF1AC2"/>
    <w:rsid w:val="00CF1C75"/>
    <w:rsid w:val="00CF1D45"/>
    <w:rsid w:val="00CF2353"/>
    <w:rsid w:val="00CF249C"/>
    <w:rsid w:val="00CF2EB8"/>
    <w:rsid w:val="00CF3782"/>
    <w:rsid w:val="00CF3FD9"/>
    <w:rsid w:val="00CF40F5"/>
    <w:rsid w:val="00CF4827"/>
    <w:rsid w:val="00CF54A9"/>
    <w:rsid w:val="00CF5D1A"/>
    <w:rsid w:val="00CF60EA"/>
    <w:rsid w:val="00CF614E"/>
    <w:rsid w:val="00CF63B8"/>
    <w:rsid w:val="00CF64E5"/>
    <w:rsid w:val="00CF7368"/>
    <w:rsid w:val="00CF77E9"/>
    <w:rsid w:val="00D00E79"/>
    <w:rsid w:val="00D01B35"/>
    <w:rsid w:val="00D0223E"/>
    <w:rsid w:val="00D02367"/>
    <w:rsid w:val="00D025F5"/>
    <w:rsid w:val="00D04370"/>
    <w:rsid w:val="00D043CD"/>
    <w:rsid w:val="00D045E3"/>
    <w:rsid w:val="00D04979"/>
    <w:rsid w:val="00D06693"/>
    <w:rsid w:val="00D07419"/>
    <w:rsid w:val="00D10CAF"/>
    <w:rsid w:val="00D1384A"/>
    <w:rsid w:val="00D143BC"/>
    <w:rsid w:val="00D14B14"/>
    <w:rsid w:val="00D14D3B"/>
    <w:rsid w:val="00D1540D"/>
    <w:rsid w:val="00D17B30"/>
    <w:rsid w:val="00D20381"/>
    <w:rsid w:val="00D2320C"/>
    <w:rsid w:val="00D24414"/>
    <w:rsid w:val="00D24F75"/>
    <w:rsid w:val="00D25A13"/>
    <w:rsid w:val="00D271BA"/>
    <w:rsid w:val="00D2771F"/>
    <w:rsid w:val="00D30BCB"/>
    <w:rsid w:val="00D31AC6"/>
    <w:rsid w:val="00D31B2C"/>
    <w:rsid w:val="00D33E11"/>
    <w:rsid w:val="00D343C8"/>
    <w:rsid w:val="00D34B69"/>
    <w:rsid w:val="00D34CBB"/>
    <w:rsid w:val="00D36C7B"/>
    <w:rsid w:val="00D36DD9"/>
    <w:rsid w:val="00D40F4D"/>
    <w:rsid w:val="00D413EB"/>
    <w:rsid w:val="00D417F0"/>
    <w:rsid w:val="00D41896"/>
    <w:rsid w:val="00D42A7D"/>
    <w:rsid w:val="00D42E44"/>
    <w:rsid w:val="00D4400F"/>
    <w:rsid w:val="00D44837"/>
    <w:rsid w:val="00D44E01"/>
    <w:rsid w:val="00D46E24"/>
    <w:rsid w:val="00D506A2"/>
    <w:rsid w:val="00D50C31"/>
    <w:rsid w:val="00D51268"/>
    <w:rsid w:val="00D513D6"/>
    <w:rsid w:val="00D51CC1"/>
    <w:rsid w:val="00D535E0"/>
    <w:rsid w:val="00D5361A"/>
    <w:rsid w:val="00D53F2E"/>
    <w:rsid w:val="00D5544E"/>
    <w:rsid w:val="00D55A4A"/>
    <w:rsid w:val="00D55E47"/>
    <w:rsid w:val="00D55E50"/>
    <w:rsid w:val="00D5621A"/>
    <w:rsid w:val="00D57C0A"/>
    <w:rsid w:val="00D60E40"/>
    <w:rsid w:val="00D61A96"/>
    <w:rsid w:val="00D6222F"/>
    <w:rsid w:val="00D6250C"/>
    <w:rsid w:val="00D640B1"/>
    <w:rsid w:val="00D6464D"/>
    <w:rsid w:val="00D66D0A"/>
    <w:rsid w:val="00D706A0"/>
    <w:rsid w:val="00D71A51"/>
    <w:rsid w:val="00D7206C"/>
    <w:rsid w:val="00D722F6"/>
    <w:rsid w:val="00D73E7D"/>
    <w:rsid w:val="00D745DC"/>
    <w:rsid w:val="00D747F4"/>
    <w:rsid w:val="00D74BA7"/>
    <w:rsid w:val="00D74F31"/>
    <w:rsid w:val="00D75124"/>
    <w:rsid w:val="00D753C5"/>
    <w:rsid w:val="00D755DA"/>
    <w:rsid w:val="00D76872"/>
    <w:rsid w:val="00D8078C"/>
    <w:rsid w:val="00D80AA1"/>
    <w:rsid w:val="00D813C1"/>
    <w:rsid w:val="00D819C5"/>
    <w:rsid w:val="00D81F24"/>
    <w:rsid w:val="00D82935"/>
    <w:rsid w:val="00D82A7A"/>
    <w:rsid w:val="00D83281"/>
    <w:rsid w:val="00D83641"/>
    <w:rsid w:val="00D83C2D"/>
    <w:rsid w:val="00D87176"/>
    <w:rsid w:val="00D87E08"/>
    <w:rsid w:val="00D91AF3"/>
    <w:rsid w:val="00D921DC"/>
    <w:rsid w:val="00D9313D"/>
    <w:rsid w:val="00D95535"/>
    <w:rsid w:val="00D95613"/>
    <w:rsid w:val="00D95FA9"/>
    <w:rsid w:val="00D96A24"/>
    <w:rsid w:val="00D96ED1"/>
    <w:rsid w:val="00D9736B"/>
    <w:rsid w:val="00D97C99"/>
    <w:rsid w:val="00DA0F6B"/>
    <w:rsid w:val="00DA1B59"/>
    <w:rsid w:val="00DA1D8B"/>
    <w:rsid w:val="00DA2009"/>
    <w:rsid w:val="00DA2871"/>
    <w:rsid w:val="00DA3467"/>
    <w:rsid w:val="00DA46AD"/>
    <w:rsid w:val="00DA4E59"/>
    <w:rsid w:val="00DA4F66"/>
    <w:rsid w:val="00DA5088"/>
    <w:rsid w:val="00DA60D0"/>
    <w:rsid w:val="00DA62FD"/>
    <w:rsid w:val="00DA6C86"/>
    <w:rsid w:val="00DA77AB"/>
    <w:rsid w:val="00DB3A24"/>
    <w:rsid w:val="00DB5059"/>
    <w:rsid w:val="00DB5958"/>
    <w:rsid w:val="00DB61BD"/>
    <w:rsid w:val="00DB63E1"/>
    <w:rsid w:val="00DB7189"/>
    <w:rsid w:val="00DB742E"/>
    <w:rsid w:val="00DB7AE9"/>
    <w:rsid w:val="00DC06A0"/>
    <w:rsid w:val="00DC0C9F"/>
    <w:rsid w:val="00DC104D"/>
    <w:rsid w:val="00DC20AB"/>
    <w:rsid w:val="00DC2CF4"/>
    <w:rsid w:val="00DC3D97"/>
    <w:rsid w:val="00DC41A0"/>
    <w:rsid w:val="00DC4383"/>
    <w:rsid w:val="00DC43EB"/>
    <w:rsid w:val="00DC566A"/>
    <w:rsid w:val="00DC6132"/>
    <w:rsid w:val="00DD0B63"/>
    <w:rsid w:val="00DD3781"/>
    <w:rsid w:val="00DD407F"/>
    <w:rsid w:val="00DD4741"/>
    <w:rsid w:val="00DD5B8C"/>
    <w:rsid w:val="00DD7121"/>
    <w:rsid w:val="00DD764C"/>
    <w:rsid w:val="00DD7849"/>
    <w:rsid w:val="00DE06D6"/>
    <w:rsid w:val="00DE1709"/>
    <w:rsid w:val="00DE369D"/>
    <w:rsid w:val="00DE52E0"/>
    <w:rsid w:val="00DE642F"/>
    <w:rsid w:val="00DE695C"/>
    <w:rsid w:val="00DE788B"/>
    <w:rsid w:val="00DE7EE3"/>
    <w:rsid w:val="00DF00D4"/>
    <w:rsid w:val="00DF05A7"/>
    <w:rsid w:val="00DF1567"/>
    <w:rsid w:val="00DF1832"/>
    <w:rsid w:val="00DF1D4D"/>
    <w:rsid w:val="00DF2494"/>
    <w:rsid w:val="00DF32E8"/>
    <w:rsid w:val="00DF33FE"/>
    <w:rsid w:val="00DF4DBC"/>
    <w:rsid w:val="00DF50BC"/>
    <w:rsid w:val="00DF53D6"/>
    <w:rsid w:val="00DF65A2"/>
    <w:rsid w:val="00DF7057"/>
    <w:rsid w:val="00DF7446"/>
    <w:rsid w:val="00DF78DE"/>
    <w:rsid w:val="00E000FA"/>
    <w:rsid w:val="00E0044F"/>
    <w:rsid w:val="00E00F08"/>
    <w:rsid w:val="00E01248"/>
    <w:rsid w:val="00E01C21"/>
    <w:rsid w:val="00E02223"/>
    <w:rsid w:val="00E02537"/>
    <w:rsid w:val="00E035AE"/>
    <w:rsid w:val="00E03EDF"/>
    <w:rsid w:val="00E046D0"/>
    <w:rsid w:val="00E04AF5"/>
    <w:rsid w:val="00E052EA"/>
    <w:rsid w:val="00E05319"/>
    <w:rsid w:val="00E054A4"/>
    <w:rsid w:val="00E05716"/>
    <w:rsid w:val="00E067F3"/>
    <w:rsid w:val="00E0702F"/>
    <w:rsid w:val="00E111FE"/>
    <w:rsid w:val="00E11B6C"/>
    <w:rsid w:val="00E11C1C"/>
    <w:rsid w:val="00E15162"/>
    <w:rsid w:val="00E15EA7"/>
    <w:rsid w:val="00E15EBB"/>
    <w:rsid w:val="00E15F01"/>
    <w:rsid w:val="00E162A6"/>
    <w:rsid w:val="00E16960"/>
    <w:rsid w:val="00E16C5A"/>
    <w:rsid w:val="00E16EF8"/>
    <w:rsid w:val="00E17D8D"/>
    <w:rsid w:val="00E17FD5"/>
    <w:rsid w:val="00E2224A"/>
    <w:rsid w:val="00E23493"/>
    <w:rsid w:val="00E2648E"/>
    <w:rsid w:val="00E2692A"/>
    <w:rsid w:val="00E27ECA"/>
    <w:rsid w:val="00E30244"/>
    <w:rsid w:val="00E30690"/>
    <w:rsid w:val="00E328E5"/>
    <w:rsid w:val="00E33852"/>
    <w:rsid w:val="00E33AB5"/>
    <w:rsid w:val="00E33F38"/>
    <w:rsid w:val="00E37BE8"/>
    <w:rsid w:val="00E37BFC"/>
    <w:rsid w:val="00E37C3F"/>
    <w:rsid w:val="00E44331"/>
    <w:rsid w:val="00E443AF"/>
    <w:rsid w:val="00E4697B"/>
    <w:rsid w:val="00E472BA"/>
    <w:rsid w:val="00E50DF4"/>
    <w:rsid w:val="00E5218D"/>
    <w:rsid w:val="00E5372F"/>
    <w:rsid w:val="00E546F9"/>
    <w:rsid w:val="00E553E5"/>
    <w:rsid w:val="00E55B3D"/>
    <w:rsid w:val="00E563D5"/>
    <w:rsid w:val="00E56587"/>
    <w:rsid w:val="00E57626"/>
    <w:rsid w:val="00E57BA9"/>
    <w:rsid w:val="00E621EE"/>
    <w:rsid w:val="00E6237E"/>
    <w:rsid w:val="00E63F39"/>
    <w:rsid w:val="00E645E9"/>
    <w:rsid w:val="00E64E7C"/>
    <w:rsid w:val="00E65056"/>
    <w:rsid w:val="00E66AC6"/>
    <w:rsid w:val="00E6732F"/>
    <w:rsid w:val="00E67B6C"/>
    <w:rsid w:val="00E72399"/>
    <w:rsid w:val="00E7318B"/>
    <w:rsid w:val="00E744DF"/>
    <w:rsid w:val="00E75296"/>
    <w:rsid w:val="00E75E95"/>
    <w:rsid w:val="00E76264"/>
    <w:rsid w:val="00E77777"/>
    <w:rsid w:val="00E77935"/>
    <w:rsid w:val="00E77AA6"/>
    <w:rsid w:val="00E77AF5"/>
    <w:rsid w:val="00E77C16"/>
    <w:rsid w:val="00E80341"/>
    <w:rsid w:val="00E80B4A"/>
    <w:rsid w:val="00E81C38"/>
    <w:rsid w:val="00E81D58"/>
    <w:rsid w:val="00E82233"/>
    <w:rsid w:val="00E823B6"/>
    <w:rsid w:val="00E83FEE"/>
    <w:rsid w:val="00E862F4"/>
    <w:rsid w:val="00E86BBD"/>
    <w:rsid w:val="00E86EB0"/>
    <w:rsid w:val="00E86F83"/>
    <w:rsid w:val="00E87F33"/>
    <w:rsid w:val="00E90B2B"/>
    <w:rsid w:val="00E90D98"/>
    <w:rsid w:val="00E91FBE"/>
    <w:rsid w:val="00E92F29"/>
    <w:rsid w:val="00E9509C"/>
    <w:rsid w:val="00E95698"/>
    <w:rsid w:val="00E95BD2"/>
    <w:rsid w:val="00E95F4F"/>
    <w:rsid w:val="00E95F9A"/>
    <w:rsid w:val="00E96978"/>
    <w:rsid w:val="00E96B61"/>
    <w:rsid w:val="00E971B2"/>
    <w:rsid w:val="00E97ADA"/>
    <w:rsid w:val="00EA0200"/>
    <w:rsid w:val="00EA059E"/>
    <w:rsid w:val="00EA45CF"/>
    <w:rsid w:val="00EA5F6C"/>
    <w:rsid w:val="00EA6124"/>
    <w:rsid w:val="00EA6E47"/>
    <w:rsid w:val="00EA6E79"/>
    <w:rsid w:val="00EA7B4C"/>
    <w:rsid w:val="00EA7BDA"/>
    <w:rsid w:val="00EB070D"/>
    <w:rsid w:val="00EB1D5F"/>
    <w:rsid w:val="00EB3187"/>
    <w:rsid w:val="00EB3D0E"/>
    <w:rsid w:val="00EB4C47"/>
    <w:rsid w:val="00EB516D"/>
    <w:rsid w:val="00EB60F3"/>
    <w:rsid w:val="00EB6195"/>
    <w:rsid w:val="00EB6375"/>
    <w:rsid w:val="00EB638E"/>
    <w:rsid w:val="00EB7A64"/>
    <w:rsid w:val="00EB7EFD"/>
    <w:rsid w:val="00EB7F47"/>
    <w:rsid w:val="00EC127B"/>
    <w:rsid w:val="00EC14EA"/>
    <w:rsid w:val="00EC1679"/>
    <w:rsid w:val="00EC18DD"/>
    <w:rsid w:val="00EC23BB"/>
    <w:rsid w:val="00EC2AC2"/>
    <w:rsid w:val="00EC2F13"/>
    <w:rsid w:val="00EC33AE"/>
    <w:rsid w:val="00EC3C8E"/>
    <w:rsid w:val="00EC4DDC"/>
    <w:rsid w:val="00EC553E"/>
    <w:rsid w:val="00EC5835"/>
    <w:rsid w:val="00EC5AFF"/>
    <w:rsid w:val="00EC5CA7"/>
    <w:rsid w:val="00EC6579"/>
    <w:rsid w:val="00EC6882"/>
    <w:rsid w:val="00EC7AF3"/>
    <w:rsid w:val="00EC7BB1"/>
    <w:rsid w:val="00ED039A"/>
    <w:rsid w:val="00ED12B1"/>
    <w:rsid w:val="00ED1432"/>
    <w:rsid w:val="00ED1721"/>
    <w:rsid w:val="00ED1FC9"/>
    <w:rsid w:val="00ED223F"/>
    <w:rsid w:val="00ED2702"/>
    <w:rsid w:val="00ED2D44"/>
    <w:rsid w:val="00ED40E4"/>
    <w:rsid w:val="00ED5993"/>
    <w:rsid w:val="00ED5A3E"/>
    <w:rsid w:val="00ED60F4"/>
    <w:rsid w:val="00ED78FF"/>
    <w:rsid w:val="00EE0AE3"/>
    <w:rsid w:val="00EE0C1D"/>
    <w:rsid w:val="00EE2F5E"/>
    <w:rsid w:val="00EE3A8F"/>
    <w:rsid w:val="00EE44F7"/>
    <w:rsid w:val="00EE7C0C"/>
    <w:rsid w:val="00EF4BAA"/>
    <w:rsid w:val="00EF4BCA"/>
    <w:rsid w:val="00EF579C"/>
    <w:rsid w:val="00EF6459"/>
    <w:rsid w:val="00EF79A7"/>
    <w:rsid w:val="00EF7A47"/>
    <w:rsid w:val="00F0057A"/>
    <w:rsid w:val="00F020B8"/>
    <w:rsid w:val="00F024B4"/>
    <w:rsid w:val="00F02A92"/>
    <w:rsid w:val="00F059C1"/>
    <w:rsid w:val="00F0614D"/>
    <w:rsid w:val="00F061AA"/>
    <w:rsid w:val="00F06C4D"/>
    <w:rsid w:val="00F0735E"/>
    <w:rsid w:val="00F07DA3"/>
    <w:rsid w:val="00F114DC"/>
    <w:rsid w:val="00F14236"/>
    <w:rsid w:val="00F14B8A"/>
    <w:rsid w:val="00F151FC"/>
    <w:rsid w:val="00F17093"/>
    <w:rsid w:val="00F207B2"/>
    <w:rsid w:val="00F22BCB"/>
    <w:rsid w:val="00F23A1C"/>
    <w:rsid w:val="00F24A65"/>
    <w:rsid w:val="00F24AD0"/>
    <w:rsid w:val="00F25492"/>
    <w:rsid w:val="00F27229"/>
    <w:rsid w:val="00F277C4"/>
    <w:rsid w:val="00F27EFF"/>
    <w:rsid w:val="00F3146E"/>
    <w:rsid w:val="00F31AA1"/>
    <w:rsid w:val="00F31DFC"/>
    <w:rsid w:val="00F3223A"/>
    <w:rsid w:val="00F32783"/>
    <w:rsid w:val="00F32C32"/>
    <w:rsid w:val="00F32F3C"/>
    <w:rsid w:val="00F334D5"/>
    <w:rsid w:val="00F33CB5"/>
    <w:rsid w:val="00F35A60"/>
    <w:rsid w:val="00F37863"/>
    <w:rsid w:val="00F4079A"/>
    <w:rsid w:val="00F409E2"/>
    <w:rsid w:val="00F41C5C"/>
    <w:rsid w:val="00F41E64"/>
    <w:rsid w:val="00F41FF1"/>
    <w:rsid w:val="00F42CFA"/>
    <w:rsid w:val="00F431B3"/>
    <w:rsid w:val="00F45296"/>
    <w:rsid w:val="00F45B94"/>
    <w:rsid w:val="00F462E1"/>
    <w:rsid w:val="00F472A1"/>
    <w:rsid w:val="00F473AA"/>
    <w:rsid w:val="00F47A6A"/>
    <w:rsid w:val="00F5090E"/>
    <w:rsid w:val="00F5156D"/>
    <w:rsid w:val="00F517C3"/>
    <w:rsid w:val="00F525E0"/>
    <w:rsid w:val="00F53FF2"/>
    <w:rsid w:val="00F54995"/>
    <w:rsid w:val="00F54ED6"/>
    <w:rsid w:val="00F552DB"/>
    <w:rsid w:val="00F55524"/>
    <w:rsid w:val="00F57217"/>
    <w:rsid w:val="00F60DC9"/>
    <w:rsid w:val="00F610E7"/>
    <w:rsid w:val="00F6133E"/>
    <w:rsid w:val="00F61412"/>
    <w:rsid w:val="00F63FA7"/>
    <w:rsid w:val="00F64229"/>
    <w:rsid w:val="00F6490A"/>
    <w:rsid w:val="00F64D8E"/>
    <w:rsid w:val="00F66008"/>
    <w:rsid w:val="00F66E20"/>
    <w:rsid w:val="00F6714D"/>
    <w:rsid w:val="00F727CE"/>
    <w:rsid w:val="00F72BD4"/>
    <w:rsid w:val="00F735B8"/>
    <w:rsid w:val="00F7461F"/>
    <w:rsid w:val="00F75736"/>
    <w:rsid w:val="00F75F0A"/>
    <w:rsid w:val="00F766B2"/>
    <w:rsid w:val="00F76AD7"/>
    <w:rsid w:val="00F80559"/>
    <w:rsid w:val="00F82AAD"/>
    <w:rsid w:val="00F83F67"/>
    <w:rsid w:val="00F85DA1"/>
    <w:rsid w:val="00F868AF"/>
    <w:rsid w:val="00F86DEF"/>
    <w:rsid w:val="00F86E2C"/>
    <w:rsid w:val="00F877C8"/>
    <w:rsid w:val="00F905CE"/>
    <w:rsid w:val="00F917C5"/>
    <w:rsid w:val="00F92F49"/>
    <w:rsid w:val="00F93759"/>
    <w:rsid w:val="00F93C70"/>
    <w:rsid w:val="00F9408A"/>
    <w:rsid w:val="00F94121"/>
    <w:rsid w:val="00F94B95"/>
    <w:rsid w:val="00F94EBE"/>
    <w:rsid w:val="00F958E9"/>
    <w:rsid w:val="00F9612C"/>
    <w:rsid w:val="00F96675"/>
    <w:rsid w:val="00FA0026"/>
    <w:rsid w:val="00FA024F"/>
    <w:rsid w:val="00FA0F61"/>
    <w:rsid w:val="00FA17F7"/>
    <w:rsid w:val="00FA26E5"/>
    <w:rsid w:val="00FA2DF3"/>
    <w:rsid w:val="00FA4557"/>
    <w:rsid w:val="00FA4C5C"/>
    <w:rsid w:val="00FA5645"/>
    <w:rsid w:val="00FA6477"/>
    <w:rsid w:val="00FA6F99"/>
    <w:rsid w:val="00FA7873"/>
    <w:rsid w:val="00FB0D40"/>
    <w:rsid w:val="00FB30FE"/>
    <w:rsid w:val="00FB35AF"/>
    <w:rsid w:val="00FB36FC"/>
    <w:rsid w:val="00FB4018"/>
    <w:rsid w:val="00FB4C13"/>
    <w:rsid w:val="00FB52CA"/>
    <w:rsid w:val="00FB5EEC"/>
    <w:rsid w:val="00FB70D3"/>
    <w:rsid w:val="00FB7898"/>
    <w:rsid w:val="00FC1148"/>
    <w:rsid w:val="00FC1A01"/>
    <w:rsid w:val="00FC1D8D"/>
    <w:rsid w:val="00FC1EA4"/>
    <w:rsid w:val="00FC21B3"/>
    <w:rsid w:val="00FC35D8"/>
    <w:rsid w:val="00FC3761"/>
    <w:rsid w:val="00FC38F8"/>
    <w:rsid w:val="00FC4492"/>
    <w:rsid w:val="00FC4E2A"/>
    <w:rsid w:val="00FC508B"/>
    <w:rsid w:val="00FC50BC"/>
    <w:rsid w:val="00FC5998"/>
    <w:rsid w:val="00FC7561"/>
    <w:rsid w:val="00FC7765"/>
    <w:rsid w:val="00FD057D"/>
    <w:rsid w:val="00FD08F9"/>
    <w:rsid w:val="00FD1AD7"/>
    <w:rsid w:val="00FD1CDD"/>
    <w:rsid w:val="00FD3289"/>
    <w:rsid w:val="00FD3B45"/>
    <w:rsid w:val="00FD5D1B"/>
    <w:rsid w:val="00FD6247"/>
    <w:rsid w:val="00FD6D67"/>
    <w:rsid w:val="00FD70A4"/>
    <w:rsid w:val="00FE0816"/>
    <w:rsid w:val="00FE0F21"/>
    <w:rsid w:val="00FE1463"/>
    <w:rsid w:val="00FE219A"/>
    <w:rsid w:val="00FE2D58"/>
    <w:rsid w:val="00FE2ECE"/>
    <w:rsid w:val="00FE3026"/>
    <w:rsid w:val="00FE31E0"/>
    <w:rsid w:val="00FE3EA6"/>
    <w:rsid w:val="00FE4396"/>
    <w:rsid w:val="00FE4AFB"/>
    <w:rsid w:val="00FE4C8C"/>
    <w:rsid w:val="00FE4E71"/>
    <w:rsid w:val="00FE50C0"/>
    <w:rsid w:val="00FE5C6B"/>
    <w:rsid w:val="00FE6F20"/>
    <w:rsid w:val="00FE7BCB"/>
    <w:rsid w:val="00FF17B7"/>
    <w:rsid w:val="00FF1CB4"/>
    <w:rsid w:val="00FF29B2"/>
    <w:rsid w:val="00FF36C8"/>
    <w:rsid w:val="00FF4C1C"/>
    <w:rsid w:val="00FF5A3F"/>
    <w:rsid w:val="00FF6652"/>
    <w:rsid w:val="00FF7E46"/>
    <w:rsid w:val="0122A9DC"/>
    <w:rsid w:val="01C66662"/>
    <w:rsid w:val="01CE9C72"/>
    <w:rsid w:val="02129DD0"/>
    <w:rsid w:val="02A2E507"/>
    <w:rsid w:val="02DEEACF"/>
    <w:rsid w:val="03340122"/>
    <w:rsid w:val="0361E987"/>
    <w:rsid w:val="03B82D74"/>
    <w:rsid w:val="0443158E"/>
    <w:rsid w:val="04698617"/>
    <w:rsid w:val="04C617EC"/>
    <w:rsid w:val="04DF3F45"/>
    <w:rsid w:val="052BFE08"/>
    <w:rsid w:val="0532E620"/>
    <w:rsid w:val="0558BE32"/>
    <w:rsid w:val="066F9112"/>
    <w:rsid w:val="0721D8C7"/>
    <w:rsid w:val="07385B0D"/>
    <w:rsid w:val="07C0BB2B"/>
    <w:rsid w:val="07EB0BB1"/>
    <w:rsid w:val="08166BA9"/>
    <w:rsid w:val="083E2DDF"/>
    <w:rsid w:val="08404DCF"/>
    <w:rsid w:val="089DE7CB"/>
    <w:rsid w:val="08D1D774"/>
    <w:rsid w:val="08D20BFC"/>
    <w:rsid w:val="091A355C"/>
    <w:rsid w:val="093D0EE4"/>
    <w:rsid w:val="0998AF6B"/>
    <w:rsid w:val="09C66E5F"/>
    <w:rsid w:val="09CDC870"/>
    <w:rsid w:val="0AA38AB7"/>
    <w:rsid w:val="0AD4D343"/>
    <w:rsid w:val="0ADF53B9"/>
    <w:rsid w:val="0B1C7EED"/>
    <w:rsid w:val="0B3FED32"/>
    <w:rsid w:val="0BC50998"/>
    <w:rsid w:val="0BD53A73"/>
    <w:rsid w:val="0BEB001E"/>
    <w:rsid w:val="0C97F905"/>
    <w:rsid w:val="0D046CA2"/>
    <w:rsid w:val="0D2707BF"/>
    <w:rsid w:val="0D3E848E"/>
    <w:rsid w:val="0D7991C8"/>
    <w:rsid w:val="0D847D6D"/>
    <w:rsid w:val="0E5992B3"/>
    <w:rsid w:val="0E944201"/>
    <w:rsid w:val="0EBFE358"/>
    <w:rsid w:val="0EEB4B5D"/>
    <w:rsid w:val="0F5E825A"/>
    <w:rsid w:val="0F912125"/>
    <w:rsid w:val="0FD2616D"/>
    <w:rsid w:val="0FD54690"/>
    <w:rsid w:val="0FD92298"/>
    <w:rsid w:val="10E630F5"/>
    <w:rsid w:val="10F3CFF3"/>
    <w:rsid w:val="10FBC128"/>
    <w:rsid w:val="110A03D5"/>
    <w:rsid w:val="110C1551"/>
    <w:rsid w:val="115DC986"/>
    <w:rsid w:val="1161C5B0"/>
    <w:rsid w:val="1217B992"/>
    <w:rsid w:val="12633DB4"/>
    <w:rsid w:val="12C9DE99"/>
    <w:rsid w:val="130B24B2"/>
    <w:rsid w:val="131BB49C"/>
    <w:rsid w:val="13A3EFA4"/>
    <w:rsid w:val="13FE8298"/>
    <w:rsid w:val="147BDA52"/>
    <w:rsid w:val="14F5A1DB"/>
    <w:rsid w:val="15CA48CC"/>
    <w:rsid w:val="15D2B4B1"/>
    <w:rsid w:val="15EE58A3"/>
    <w:rsid w:val="163D2C2F"/>
    <w:rsid w:val="16A3DBAE"/>
    <w:rsid w:val="179523C3"/>
    <w:rsid w:val="179723AD"/>
    <w:rsid w:val="17ABB847"/>
    <w:rsid w:val="17D957F8"/>
    <w:rsid w:val="18183C05"/>
    <w:rsid w:val="1832F7F8"/>
    <w:rsid w:val="186A187D"/>
    <w:rsid w:val="18BBC0D2"/>
    <w:rsid w:val="1923B0D3"/>
    <w:rsid w:val="19707D7F"/>
    <w:rsid w:val="19747647"/>
    <w:rsid w:val="197F918C"/>
    <w:rsid w:val="1A5CAC9E"/>
    <w:rsid w:val="1A981E65"/>
    <w:rsid w:val="1B0FDC24"/>
    <w:rsid w:val="1B5CB4BC"/>
    <w:rsid w:val="1B631E5D"/>
    <w:rsid w:val="1B84EA26"/>
    <w:rsid w:val="1B9F8121"/>
    <w:rsid w:val="1C5EE05C"/>
    <w:rsid w:val="1C8E8876"/>
    <w:rsid w:val="1C8FE500"/>
    <w:rsid w:val="1CB2350B"/>
    <w:rsid w:val="1D222234"/>
    <w:rsid w:val="1DAF00DF"/>
    <w:rsid w:val="1DBEA599"/>
    <w:rsid w:val="1DC118CF"/>
    <w:rsid w:val="1DF593E2"/>
    <w:rsid w:val="1DF94A40"/>
    <w:rsid w:val="1E245EAC"/>
    <w:rsid w:val="1E5742BB"/>
    <w:rsid w:val="1EA0D121"/>
    <w:rsid w:val="1EE4E5C1"/>
    <w:rsid w:val="1F43AAA9"/>
    <w:rsid w:val="1FDAD8F8"/>
    <w:rsid w:val="205A62C1"/>
    <w:rsid w:val="207FC294"/>
    <w:rsid w:val="20A859A1"/>
    <w:rsid w:val="20B14CB5"/>
    <w:rsid w:val="213C10DB"/>
    <w:rsid w:val="215DA0F9"/>
    <w:rsid w:val="2169F394"/>
    <w:rsid w:val="21F65521"/>
    <w:rsid w:val="22459F9E"/>
    <w:rsid w:val="224BEA94"/>
    <w:rsid w:val="2262BD98"/>
    <w:rsid w:val="227CEA68"/>
    <w:rsid w:val="238AF00A"/>
    <w:rsid w:val="238CDA2F"/>
    <w:rsid w:val="23D837AF"/>
    <w:rsid w:val="23DA891A"/>
    <w:rsid w:val="23DD27C6"/>
    <w:rsid w:val="23EBC9B4"/>
    <w:rsid w:val="2414F336"/>
    <w:rsid w:val="2421FE67"/>
    <w:rsid w:val="24541749"/>
    <w:rsid w:val="24A69220"/>
    <w:rsid w:val="25693A3B"/>
    <w:rsid w:val="25901C65"/>
    <w:rsid w:val="25A53DCF"/>
    <w:rsid w:val="268F7D99"/>
    <w:rsid w:val="270CA0F1"/>
    <w:rsid w:val="2716CD0B"/>
    <w:rsid w:val="272853A8"/>
    <w:rsid w:val="273F55A4"/>
    <w:rsid w:val="275DBF24"/>
    <w:rsid w:val="27C5E78E"/>
    <w:rsid w:val="27F16C49"/>
    <w:rsid w:val="27F85D8C"/>
    <w:rsid w:val="281F63DA"/>
    <w:rsid w:val="2889CAF2"/>
    <w:rsid w:val="2890A283"/>
    <w:rsid w:val="28A01006"/>
    <w:rsid w:val="28BB42FD"/>
    <w:rsid w:val="28FD2B74"/>
    <w:rsid w:val="2995E207"/>
    <w:rsid w:val="29BDAA74"/>
    <w:rsid w:val="29CF4FE3"/>
    <w:rsid w:val="29F318DC"/>
    <w:rsid w:val="2A24EBAC"/>
    <w:rsid w:val="2A2E0AEE"/>
    <w:rsid w:val="2A7740AA"/>
    <w:rsid w:val="2AB540F3"/>
    <w:rsid w:val="2AE71820"/>
    <w:rsid w:val="2B7279B0"/>
    <w:rsid w:val="2B949EBA"/>
    <w:rsid w:val="2BFF0E29"/>
    <w:rsid w:val="2C279CD9"/>
    <w:rsid w:val="2C5C5ACC"/>
    <w:rsid w:val="2C837FC0"/>
    <w:rsid w:val="2D674E9F"/>
    <w:rsid w:val="2D8EF5FB"/>
    <w:rsid w:val="2DEECD1B"/>
    <w:rsid w:val="2E4A0BA2"/>
    <w:rsid w:val="2E4B487A"/>
    <w:rsid w:val="2E5316CC"/>
    <w:rsid w:val="2E7F666C"/>
    <w:rsid w:val="2EFD2473"/>
    <w:rsid w:val="2F0B6D93"/>
    <w:rsid w:val="2F82E664"/>
    <w:rsid w:val="2F9E0BAE"/>
    <w:rsid w:val="2F9F46D8"/>
    <w:rsid w:val="2FDD963E"/>
    <w:rsid w:val="2FEBF1A6"/>
    <w:rsid w:val="3016432A"/>
    <w:rsid w:val="3050C0FE"/>
    <w:rsid w:val="30A2B7B9"/>
    <w:rsid w:val="30AC69A7"/>
    <w:rsid w:val="3154F711"/>
    <w:rsid w:val="31732782"/>
    <w:rsid w:val="31CB7003"/>
    <w:rsid w:val="32162F7C"/>
    <w:rsid w:val="322EE4F3"/>
    <w:rsid w:val="32AD3EED"/>
    <w:rsid w:val="32D59165"/>
    <w:rsid w:val="33179E48"/>
    <w:rsid w:val="33D3F99A"/>
    <w:rsid w:val="340AF6A8"/>
    <w:rsid w:val="343450B2"/>
    <w:rsid w:val="34832A85"/>
    <w:rsid w:val="34DB3991"/>
    <w:rsid w:val="34E21A53"/>
    <w:rsid w:val="34E853AC"/>
    <w:rsid w:val="350B423B"/>
    <w:rsid w:val="3518076A"/>
    <w:rsid w:val="3531DBC8"/>
    <w:rsid w:val="3598B426"/>
    <w:rsid w:val="35CAF3EE"/>
    <w:rsid w:val="362ED1B8"/>
    <w:rsid w:val="363F5BEB"/>
    <w:rsid w:val="3712DE55"/>
    <w:rsid w:val="373E7136"/>
    <w:rsid w:val="3755C847"/>
    <w:rsid w:val="377D06C1"/>
    <w:rsid w:val="37C6E2EB"/>
    <w:rsid w:val="3823906F"/>
    <w:rsid w:val="383F1DDA"/>
    <w:rsid w:val="38AFB1E7"/>
    <w:rsid w:val="38C5E382"/>
    <w:rsid w:val="38E83FCD"/>
    <w:rsid w:val="395A0219"/>
    <w:rsid w:val="39CD72D8"/>
    <w:rsid w:val="39DDBFFE"/>
    <w:rsid w:val="3A6BAEF8"/>
    <w:rsid w:val="3A8E3FE9"/>
    <w:rsid w:val="3AA47286"/>
    <w:rsid w:val="3B11BD70"/>
    <w:rsid w:val="3B36B9A2"/>
    <w:rsid w:val="3B8B7EFF"/>
    <w:rsid w:val="3BB0FC24"/>
    <w:rsid w:val="3BDD82D0"/>
    <w:rsid w:val="3C6138E7"/>
    <w:rsid w:val="3C7EEF07"/>
    <w:rsid w:val="3C806FDE"/>
    <w:rsid w:val="3C8E0E83"/>
    <w:rsid w:val="3C99E574"/>
    <w:rsid w:val="3C9BABA3"/>
    <w:rsid w:val="3CAAC534"/>
    <w:rsid w:val="3CE3FC83"/>
    <w:rsid w:val="3D05D615"/>
    <w:rsid w:val="3D228293"/>
    <w:rsid w:val="3D250B07"/>
    <w:rsid w:val="3D305199"/>
    <w:rsid w:val="3DA66E5A"/>
    <w:rsid w:val="3DD95441"/>
    <w:rsid w:val="3DE9EA8D"/>
    <w:rsid w:val="3E0C6226"/>
    <w:rsid w:val="3E1F8444"/>
    <w:rsid w:val="3E2F5730"/>
    <w:rsid w:val="3E5EDE8E"/>
    <w:rsid w:val="3E8479E5"/>
    <w:rsid w:val="3EAD04BD"/>
    <w:rsid w:val="3EB6D1FC"/>
    <w:rsid w:val="3F10202B"/>
    <w:rsid w:val="3F3AC93B"/>
    <w:rsid w:val="3F3C505C"/>
    <w:rsid w:val="3F5D6E65"/>
    <w:rsid w:val="3F654D60"/>
    <w:rsid w:val="3F8E17A8"/>
    <w:rsid w:val="3FB7C619"/>
    <w:rsid w:val="3FC85C3C"/>
    <w:rsid w:val="402A28A2"/>
    <w:rsid w:val="40903556"/>
    <w:rsid w:val="40B0CA5A"/>
    <w:rsid w:val="40B5E45E"/>
    <w:rsid w:val="40C5086F"/>
    <w:rsid w:val="414F1016"/>
    <w:rsid w:val="417ACC73"/>
    <w:rsid w:val="41A77591"/>
    <w:rsid w:val="41B8F4F4"/>
    <w:rsid w:val="41D20EBE"/>
    <w:rsid w:val="41FB7A63"/>
    <w:rsid w:val="423CEE14"/>
    <w:rsid w:val="43044235"/>
    <w:rsid w:val="43E12D9D"/>
    <w:rsid w:val="4469BD44"/>
    <w:rsid w:val="44E98E55"/>
    <w:rsid w:val="45A17421"/>
    <w:rsid w:val="4602D0CA"/>
    <w:rsid w:val="461CF656"/>
    <w:rsid w:val="46636F10"/>
    <w:rsid w:val="4666523D"/>
    <w:rsid w:val="46E1B731"/>
    <w:rsid w:val="46E83787"/>
    <w:rsid w:val="46F9495A"/>
    <w:rsid w:val="47019A3D"/>
    <w:rsid w:val="470C8771"/>
    <w:rsid w:val="472E6D07"/>
    <w:rsid w:val="4784EC0B"/>
    <w:rsid w:val="47D63829"/>
    <w:rsid w:val="48945479"/>
    <w:rsid w:val="49134DFC"/>
    <w:rsid w:val="493C003A"/>
    <w:rsid w:val="493C98C1"/>
    <w:rsid w:val="496B1DD4"/>
    <w:rsid w:val="4A3E3214"/>
    <w:rsid w:val="4AB6CD2F"/>
    <w:rsid w:val="4ACB8248"/>
    <w:rsid w:val="4AF86D63"/>
    <w:rsid w:val="4B9B9EB1"/>
    <w:rsid w:val="4B9F2E87"/>
    <w:rsid w:val="4BA1B463"/>
    <w:rsid w:val="4BC3A91C"/>
    <w:rsid w:val="4C51E62B"/>
    <w:rsid w:val="4CEFA8AA"/>
    <w:rsid w:val="4D29FC84"/>
    <w:rsid w:val="4D3405FF"/>
    <w:rsid w:val="4DA0C24B"/>
    <w:rsid w:val="4DA3BDD4"/>
    <w:rsid w:val="4DD0780F"/>
    <w:rsid w:val="4DE9B33E"/>
    <w:rsid w:val="4DF19E2C"/>
    <w:rsid w:val="4E5A937D"/>
    <w:rsid w:val="4EE6208D"/>
    <w:rsid w:val="4F689CC9"/>
    <w:rsid w:val="4F895387"/>
    <w:rsid w:val="4FC9F2E3"/>
    <w:rsid w:val="4FE2FCEC"/>
    <w:rsid w:val="50102F2F"/>
    <w:rsid w:val="506E681C"/>
    <w:rsid w:val="506FD6C6"/>
    <w:rsid w:val="5076831F"/>
    <w:rsid w:val="50F9A511"/>
    <w:rsid w:val="5118CD10"/>
    <w:rsid w:val="5155003E"/>
    <w:rsid w:val="5190AF66"/>
    <w:rsid w:val="52138165"/>
    <w:rsid w:val="527671C6"/>
    <w:rsid w:val="52855D78"/>
    <w:rsid w:val="528FF45C"/>
    <w:rsid w:val="52EC6F2F"/>
    <w:rsid w:val="5305CE1D"/>
    <w:rsid w:val="531534E6"/>
    <w:rsid w:val="534F2AD0"/>
    <w:rsid w:val="5386308A"/>
    <w:rsid w:val="5396E572"/>
    <w:rsid w:val="53B12261"/>
    <w:rsid w:val="53C18112"/>
    <w:rsid w:val="53F7C98D"/>
    <w:rsid w:val="5439CD05"/>
    <w:rsid w:val="543B02FE"/>
    <w:rsid w:val="54578A29"/>
    <w:rsid w:val="54A6AA0A"/>
    <w:rsid w:val="54D27E75"/>
    <w:rsid w:val="552067EC"/>
    <w:rsid w:val="55926E4C"/>
    <w:rsid w:val="55EAB6A5"/>
    <w:rsid w:val="561107B2"/>
    <w:rsid w:val="56625095"/>
    <w:rsid w:val="566B8B57"/>
    <w:rsid w:val="56C1130D"/>
    <w:rsid w:val="57074D6C"/>
    <w:rsid w:val="576CF0EB"/>
    <w:rsid w:val="57915303"/>
    <w:rsid w:val="57C8199E"/>
    <w:rsid w:val="593CD065"/>
    <w:rsid w:val="599B65F4"/>
    <w:rsid w:val="59C5E62B"/>
    <w:rsid w:val="5A068F46"/>
    <w:rsid w:val="5A86C7A9"/>
    <w:rsid w:val="5AC17DA0"/>
    <w:rsid w:val="5B0D6213"/>
    <w:rsid w:val="5B498F3B"/>
    <w:rsid w:val="5BB50EFF"/>
    <w:rsid w:val="5BB8CCC6"/>
    <w:rsid w:val="5BF74387"/>
    <w:rsid w:val="5BF81A5C"/>
    <w:rsid w:val="5C0186C3"/>
    <w:rsid w:val="5C62BDCE"/>
    <w:rsid w:val="5C648FC2"/>
    <w:rsid w:val="5C6D1BD1"/>
    <w:rsid w:val="5C88EA35"/>
    <w:rsid w:val="5C90C0B0"/>
    <w:rsid w:val="5CBA0071"/>
    <w:rsid w:val="5CBD3C87"/>
    <w:rsid w:val="5D6B0E5A"/>
    <w:rsid w:val="5DA1EFA3"/>
    <w:rsid w:val="5EB5F8A5"/>
    <w:rsid w:val="5ECA22DE"/>
    <w:rsid w:val="5F067618"/>
    <w:rsid w:val="5F1BCFB7"/>
    <w:rsid w:val="5F2CBCB5"/>
    <w:rsid w:val="5FA05155"/>
    <w:rsid w:val="5FECEF6C"/>
    <w:rsid w:val="60BAA220"/>
    <w:rsid w:val="61159ED1"/>
    <w:rsid w:val="611E4ACF"/>
    <w:rsid w:val="61246B81"/>
    <w:rsid w:val="61406AA4"/>
    <w:rsid w:val="61DA9C11"/>
    <w:rsid w:val="61DF6971"/>
    <w:rsid w:val="6216D6BA"/>
    <w:rsid w:val="622CEB2C"/>
    <w:rsid w:val="630385C1"/>
    <w:rsid w:val="630F50C5"/>
    <w:rsid w:val="636C722B"/>
    <w:rsid w:val="63908307"/>
    <w:rsid w:val="63A20AE7"/>
    <w:rsid w:val="63F6837B"/>
    <w:rsid w:val="646B90DE"/>
    <w:rsid w:val="64872C0D"/>
    <w:rsid w:val="648982E6"/>
    <w:rsid w:val="6489B1C3"/>
    <w:rsid w:val="64DEF8E9"/>
    <w:rsid w:val="65157B8E"/>
    <w:rsid w:val="65231B79"/>
    <w:rsid w:val="659C30CB"/>
    <w:rsid w:val="65A0410C"/>
    <w:rsid w:val="65F58BA5"/>
    <w:rsid w:val="663FEF3D"/>
    <w:rsid w:val="665C3550"/>
    <w:rsid w:val="67829F56"/>
    <w:rsid w:val="678B457E"/>
    <w:rsid w:val="6798D694"/>
    <w:rsid w:val="67B75450"/>
    <w:rsid w:val="681127F9"/>
    <w:rsid w:val="6824ECB3"/>
    <w:rsid w:val="684CB92A"/>
    <w:rsid w:val="687BE08D"/>
    <w:rsid w:val="687D3B05"/>
    <w:rsid w:val="68D7760B"/>
    <w:rsid w:val="68E486BE"/>
    <w:rsid w:val="693F45CD"/>
    <w:rsid w:val="6968A502"/>
    <w:rsid w:val="6A2704AD"/>
    <w:rsid w:val="6A60F0B1"/>
    <w:rsid w:val="6ABCCFBB"/>
    <w:rsid w:val="6B4E3F3B"/>
    <w:rsid w:val="6B7C0972"/>
    <w:rsid w:val="6BFA5043"/>
    <w:rsid w:val="6C1983CD"/>
    <w:rsid w:val="6C6F9A91"/>
    <w:rsid w:val="6CB89F0C"/>
    <w:rsid w:val="6CCD9E30"/>
    <w:rsid w:val="6CD91A31"/>
    <w:rsid w:val="6CF6B28F"/>
    <w:rsid w:val="6D4CEF02"/>
    <w:rsid w:val="6D4DAD69"/>
    <w:rsid w:val="6D844DF0"/>
    <w:rsid w:val="6DAF7EA2"/>
    <w:rsid w:val="6DEDE434"/>
    <w:rsid w:val="6E141AEC"/>
    <w:rsid w:val="6E487759"/>
    <w:rsid w:val="6E6403E8"/>
    <w:rsid w:val="6EC931DC"/>
    <w:rsid w:val="6F081BB0"/>
    <w:rsid w:val="6F424023"/>
    <w:rsid w:val="6F7AA33C"/>
    <w:rsid w:val="6FB60F94"/>
    <w:rsid w:val="707B5B01"/>
    <w:rsid w:val="70989DDC"/>
    <w:rsid w:val="70C0F718"/>
    <w:rsid w:val="7115A8B3"/>
    <w:rsid w:val="712A23D4"/>
    <w:rsid w:val="7148ACBF"/>
    <w:rsid w:val="717160C6"/>
    <w:rsid w:val="717D3B26"/>
    <w:rsid w:val="7180885C"/>
    <w:rsid w:val="718B6DEE"/>
    <w:rsid w:val="71DEFFD9"/>
    <w:rsid w:val="71F0B98B"/>
    <w:rsid w:val="72279903"/>
    <w:rsid w:val="722CFC61"/>
    <w:rsid w:val="7298D463"/>
    <w:rsid w:val="72B9D621"/>
    <w:rsid w:val="72BA7A1D"/>
    <w:rsid w:val="735E8211"/>
    <w:rsid w:val="7363CFB0"/>
    <w:rsid w:val="736FD2EC"/>
    <w:rsid w:val="73C3A5C0"/>
    <w:rsid w:val="7426AC7A"/>
    <w:rsid w:val="7451997A"/>
    <w:rsid w:val="7457EEEE"/>
    <w:rsid w:val="74AF6367"/>
    <w:rsid w:val="74F7CF8B"/>
    <w:rsid w:val="76310950"/>
    <w:rsid w:val="7673AED6"/>
    <w:rsid w:val="7678D3AE"/>
    <w:rsid w:val="767CFDA7"/>
    <w:rsid w:val="76C7225B"/>
    <w:rsid w:val="76E0CCBF"/>
    <w:rsid w:val="7767B854"/>
    <w:rsid w:val="77995124"/>
    <w:rsid w:val="7862A001"/>
    <w:rsid w:val="78B7902D"/>
    <w:rsid w:val="78EC6BC4"/>
    <w:rsid w:val="7910360D"/>
    <w:rsid w:val="79618B3A"/>
    <w:rsid w:val="796CB526"/>
    <w:rsid w:val="79ECFA61"/>
    <w:rsid w:val="7A13D2D6"/>
    <w:rsid w:val="7A83DE3B"/>
    <w:rsid w:val="7AB15B72"/>
    <w:rsid w:val="7AB958C3"/>
    <w:rsid w:val="7ACF85F5"/>
    <w:rsid w:val="7AD36153"/>
    <w:rsid w:val="7ADAE58E"/>
    <w:rsid w:val="7AF37471"/>
    <w:rsid w:val="7B0F6256"/>
    <w:rsid w:val="7B2478F4"/>
    <w:rsid w:val="7B54B441"/>
    <w:rsid w:val="7B69996C"/>
    <w:rsid w:val="7B765619"/>
    <w:rsid w:val="7BA89766"/>
    <w:rsid w:val="7C7D90AF"/>
    <w:rsid w:val="7CABAD44"/>
    <w:rsid w:val="7E550680"/>
    <w:rsid w:val="7E5F7922"/>
    <w:rsid w:val="7F37E08C"/>
    <w:rsid w:val="7F6BA449"/>
    <w:rsid w:val="7F92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26080958-C991-48B2-BB6E-99AC928B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B9721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9721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9721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9721A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B97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10E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5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A40"/>
    <w:pPr>
      <w:spacing w:before="0" w:after="160"/>
      <w:jc w:val="left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A40"/>
    <w:rPr>
      <w:rFonts w:eastAsiaTheme="minorEastAsia"/>
      <w:sz w:val="20"/>
      <w:szCs w:val="20"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531F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D6D"/>
    <w:pPr>
      <w:spacing w:before="120" w:after="120"/>
      <w:jc w:val="both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D6D"/>
    <w:rPr>
      <w:rFonts w:ascii="Times New Roman" w:eastAsiaTheme="minorEastAsia" w:hAnsi="Times New Roman" w:cs="Times New Roman"/>
      <w:b/>
      <w:bCs/>
      <w:sz w:val="20"/>
      <w:szCs w:val="20"/>
      <w:lang w:val="mt-MT" w:eastAsia="ja-JP"/>
    </w:rPr>
  </w:style>
  <w:style w:type="character" w:customStyle="1" w:styleId="Mention">
    <w:name w:val="Mention"/>
    <w:basedOn w:val="DefaultParagraphFont"/>
    <w:uiPriority w:val="99"/>
    <w:unhideWhenUsed/>
    <w:rsid w:val="00C86D6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9738B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2B85"/>
    <w:rPr>
      <w:color w:val="800080" w:themeColor="followedHyperlink"/>
      <w:u w:val="single"/>
    </w:rPr>
  </w:style>
  <w:style w:type="paragraph" w:customStyle="1" w:styleId="No">
    <w:name w:val="No"/>
    <w:basedOn w:val="Heading2"/>
    <w:rsid w:val="0038302B"/>
    <w:pPr>
      <w:numPr>
        <w:numId w:val="0"/>
      </w:numPr>
    </w:pPr>
    <w:rPr>
      <w:rFonts w:eastAsia="Arial Unicode MS"/>
      <w:b w:val="0"/>
      <w:bCs w:val="0"/>
    </w:rPr>
  </w:style>
  <w:style w:type="character" w:customStyle="1" w:styleId="HeaderChar">
    <w:name w:val="Header Char"/>
    <w:basedOn w:val="DefaultParagraphFont"/>
    <w:link w:val="Header"/>
    <w:uiPriority w:val="99"/>
    <w:rsid w:val="000E521F"/>
    <w:rPr>
      <w:rFonts w:ascii="Times New Roman" w:hAnsi="Times New Roman" w:cs="Times New Roman"/>
      <w:sz w:val="24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0E521F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mt-MT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mt-MT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mt-MT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0E52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0E521F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0E52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0E521F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0E521F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0E521F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0E521F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'1.0' encoding='UTF-8' standalone='yes'?>
<Relationships xmlns="http://schemas.openxmlformats.org/package/2006/relationships"><Relationship Id="rId8" Type="http://schemas.openxmlformats.org/officeDocument/2006/relationships/hyperlink" Target="https://eur-lex.europa.eu/legal-content/EN/TXT/?uri=CELEX:32023D1075" TargetMode="External"/><Relationship Id="rId3" Type="http://schemas.openxmlformats.org/officeDocument/2006/relationships/hyperlink" Target="https://www.coe.int/en/web/istanbul-convention/committee-of-the-parties" TargetMode="External"/><Relationship Id="rId7" Type="http://schemas.openxmlformats.org/officeDocument/2006/relationships/hyperlink" Target="http://data.europa.eu/eli/dir/2003/86/oj" TargetMode="External"/><Relationship Id="rId12" Type="http://schemas.openxmlformats.org/officeDocument/2006/relationships/hyperlink" Target="http://data.europa.eu/eli/dir/2003/86/oj" TargetMode="External"/><Relationship Id="rId2" Type="http://schemas.openxmlformats.org/officeDocument/2006/relationships/hyperlink" Target="http://data.europa.eu/eli/dec/2023/1076/oj" TargetMode="External"/><Relationship Id="rId1" Type="http://schemas.openxmlformats.org/officeDocument/2006/relationships/hyperlink" Target="http://data.europa.eu/eli/dec/2023/1075/oj" TargetMode="External"/><Relationship Id="rId6" Type="http://schemas.openxmlformats.org/officeDocument/2006/relationships/hyperlink" Target="http://data.europa.eu/eli/reg/2024/1348/oj" TargetMode="External"/><Relationship Id="rId11" Type="http://schemas.openxmlformats.org/officeDocument/2006/relationships/hyperlink" Target="http://data.europa.eu/eli/reg/2024/1348/oj" TargetMode="External"/><Relationship Id="rId5" Type="http://schemas.openxmlformats.org/officeDocument/2006/relationships/hyperlink" Target="http://data.europa.eu/eli/dir/2012/29/oj" TargetMode="External"/><Relationship Id="rId10" Type="http://schemas.openxmlformats.org/officeDocument/2006/relationships/hyperlink" Target="http://data.europa.eu/eli/dir/2024/138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s://eur-lex.europa.eu/eli/dec/2023/1076/oj/eng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8F81BC71-8523-40F3-8816-8AD16330B3F8}">
    <t:Anchor>
      <t:Comment id="1512105073"/>
    </t:Anchor>
    <t:History>
      <t:Event id="{9CF6CBA2-80FD-417B-9BDA-E960AA4970FC}" time="2025-04-29T07:19:38.257Z">
        <t:Attribution userId="S::Lisa.COLLSTE@ec.europa.eu::45fa20fe-2182-4547-accb-c2d1c9456219" userProvider="AD" userName="COLLSTE Lisa (JUST)"/>
        <t:Anchor>
          <t:Comment id="1512105073"/>
        </t:Anchor>
        <t:Create/>
      </t:Event>
      <t:Event id="{D4A9E3E4-674B-4E54-AC00-3A24D1B1F13F}" time="2025-04-29T07:19:38.257Z">
        <t:Attribution userId="S::Lisa.COLLSTE@ec.europa.eu::45fa20fe-2182-4547-accb-c2d1c9456219" userProvider="AD" userName="COLLSTE Lisa (JUST)"/>
        <t:Anchor>
          <t:Comment id="1512105073"/>
        </t:Anchor>
        <t:Assign userId="S::Maria.POPOVA@ec.europa.eu::1c72ee4f-3675-4581-8b7b-f010e1d4f7c7" userProvider="AD" userName="POPOVA Maria (JUST)"/>
      </t:Event>
      <t:Event id="{AC34CD76-7A86-4185-8A5A-182230C4E8FC}" time="2025-04-29T07:19:38.257Z">
        <t:Attribution userId="S::Lisa.COLLSTE@ec.europa.eu::45fa20fe-2182-4547-accb-c2d1c9456219" userProvider="AD" userName="COLLSTE Lisa (JUST)"/>
        <t:Anchor>
          <t:Comment id="1512105073"/>
        </t:Anchor>
        <t:SetTitle title="@POPOVA Maria (JUST) thanks for adding! However, I think we should add the correct titles of the documents eg Recommendations on improving trust….Thanks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086966748074091B44B156AB49619" ma:contentTypeVersion="6" ma:contentTypeDescription="Create a new document." ma:contentTypeScope="" ma:versionID="f7eb253a49f7cfb41297ba04752bae19">
  <xsd:schema xmlns:xsd="http://www.w3.org/2001/XMLSchema" xmlns:xs="http://www.w3.org/2001/XMLSchema" xmlns:p="http://schemas.microsoft.com/office/2006/metadata/properties" xmlns:ns2="d6a9b4c6-0c29-47a2-af34-ec9724382a1c" xmlns:ns3="f4020994-e754-48c1-817e-f760c4acc320" targetNamespace="http://schemas.microsoft.com/office/2006/metadata/properties" ma:root="true" ma:fieldsID="ad1a6bb99c5e51f8789e849a49664226" ns2:_="" ns3:_="">
    <xsd:import namespace="d6a9b4c6-0c29-47a2-af34-ec9724382a1c"/>
    <xsd:import namespace="f4020994-e754-48c1-817e-f760c4acc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9b4c6-0c29-47a2-af34-ec9724382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20994-e754-48c1-817e-f760c4acc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53C8A-6D3F-4F2E-ABA8-C2706F75A5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2F42B-8E60-4286-A101-7990FD362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a9b4c6-0c29-47a2-af34-ec9724382a1c"/>
    <ds:schemaRef ds:uri="f4020994-e754-48c1-817e-f760c4acc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383028-AC7D-4463-AE1E-57CEEB4C50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DF623E-537F-47E5-98F4-3D67F6E3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15</TotalTime>
  <Pages>13</Pages>
  <Words>6999</Words>
  <Characters>39896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46802</CharactersWithSpaces>
  <SharedDoc>false</SharedDoc>
  <HLinks>
    <vt:vector size="78" baseType="variant">
      <vt:variant>
        <vt:i4>6226011</vt:i4>
      </vt:variant>
      <vt:variant>
        <vt:i4>33</vt:i4>
      </vt:variant>
      <vt:variant>
        <vt:i4>0</vt:i4>
      </vt:variant>
      <vt:variant>
        <vt:i4>5</vt:i4>
      </vt:variant>
      <vt:variant>
        <vt:lpwstr>http://data.europa.eu/eli/dir/2003/86/oj</vt:lpwstr>
      </vt:variant>
      <vt:variant>
        <vt:lpwstr/>
      </vt:variant>
      <vt:variant>
        <vt:i4>6881383</vt:i4>
      </vt:variant>
      <vt:variant>
        <vt:i4>30</vt:i4>
      </vt:variant>
      <vt:variant>
        <vt:i4>0</vt:i4>
      </vt:variant>
      <vt:variant>
        <vt:i4>5</vt:i4>
      </vt:variant>
      <vt:variant>
        <vt:lpwstr>http://data.europa.eu/eli/reg/2024/1348/oj</vt:lpwstr>
      </vt:variant>
      <vt:variant>
        <vt:lpwstr/>
      </vt:variant>
      <vt:variant>
        <vt:i4>6881385</vt:i4>
      </vt:variant>
      <vt:variant>
        <vt:i4>27</vt:i4>
      </vt:variant>
      <vt:variant>
        <vt:i4>0</vt:i4>
      </vt:variant>
      <vt:variant>
        <vt:i4>5</vt:i4>
      </vt:variant>
      <vt:variant>
        <vt:lpwstr>http://data.europa.eu/eli/dir/2024/1385/oj</vt:lpwstr>
      </vt:variant>
      <vt:variant>
        <vt:lpwstr/>
      </vt:variant>
      <vt:variant>
        <vt:i4>7864435</vt:i4>
      </vt:variant>
      <vt:variant>
        <vt:i4>24</vt:i4>
      </vt:variant>
      <vt:variant>
        <vt:i4>0</vt:i4>
      </vt:variant>
      <vt:variant>
        <vt:i4>5</vt:i4>
      </vt:variant>
      <vt:variant>
        <vt:lpwstr>https://eur-lex.europa.eu/eli/dec/2023/1076/oj/eng</vt:lpwstr>
      </vt:variant>
      <vt:variant>
        <vt:lpwstr/>
      </vt:variant>
      <vt:variant>
        <vt:i4>327748</vt:i4>
      </vt:variant>
      <vt:variant>
        <vt:i4>21</vt:i4>
      </vt:variant>
      <vt:variant>
        <vt:i4>0</vt:i4>
      </vt:variant>
      <vt:variant>
        <vt:i4>5</vt:i4>
      </vt:variant>
      <vt:variant>
        <vt:lpwstr>https://eur-lex.europa.eu/legal-content/EN/TXT/?uri=CELEX:32023D1075</vt:lpwstr>
      </vt:variant>
      <vt:variant>
        <vt:lpwstr/>
      </vt:variant>
      <vt:variant>
        <vt:i4>6226011</vt:i4>
      </vt:variant>
      <vt:variant>
        <vt:i4>18</vt:i4>
      </vt:variant>
      <vt:variant>
        <vt:i4>0</vt:i4>
      </vt:variant>
      <vt:variant>
        <vt:i4>5</vt:i4>
      </vt:variant>
      <vt:variant>
        <vt:lpwstr>http://data.europa.eu/eli/dir/2003/86/oj</vt:lpwstr>
      </vt:variant>
      <vt:variant>
        <vt:lpwstr/>
      </vt:variant>
      <vt:variant>
        <vt:i4>6881383</vt:i4>
      </vt:variant>
      <vt:variant>
        <vt:i4>15</vt:i4>
      </vt:variant>
      <vt:variant>
        <vt:i4>0</vt:i4>
      </vt:variant>
      <vt:variant>
        <vt:i4>5</vt:i4>
      </vt:variant>
      <vt:variant>
        <vt:lpwstr>http://data.europa.eu/eli/reg/2024/1348/oj</vt:lpwstr>
      </vt:variant>
      <vt:variant>
        <vt:lpwstr/>
      </vt:variant>
      <vt:variant>
        <vt:i4>5505109</vt:i4>
      </vt:variant>
      <vt:variant>
        <vt:i4>12</vt:i4>
      </vt:variant>
      <vt:variant>
        <vt:i4>0</vt:i4>
      </vt:variant>
      <vt:variant>
        <vt:i4>5</vt:i4>
      </vt:variant>
      <vt:variant>
        <vt:lpwstr>http://data.europa.eu/eli/dir/2012/29/oj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http://data.europa.eu/eli/dir/2024/1385/oj</vt:lpwstr>
      </vt:variant>
      <vt:variant>
        <vt:lpwstr/>
      </vt:variant>
      <vt:variant>
        <vt:i4>6881337</vt:i4>
      </vt:variant>
      <vt:variant>
        <vt:i4>6</vt:i4>
      </vt:variant>
      <vt:variant>
        <vt:i4>0</vt:i4>
      </vt:variant>
      <vt:variant>
        <vt:i4>5</vt:i4>
      </vt:variant>
      <vt:variant>
        <vt:lpwstr>https://www.coe.int/en/web/istanbul-convention/committee-of-the-parties</vt:lpwstr>
      </vt:variant>
      <vt:variant>
        <vt:lpwstr/>
      </vt:variant>
      <vt:variant>
        <vt:i4>7143544</vt:i4>
      </vt:variant>
      <vt:variant>
        <vt:i4>3</vt:i4>
      </vt:variant>
      <vt:variant>
        <vt:i4>0</vt:i4>
      </vt:variant>
      <vt:variant>
        <vt:i4>5</vt:i4>
      </vt:variant>
      <vt:variant>
        <vt:lpwstr>http://data.europa.eu/eli/dec/2023/1076/oj</vt:lpwstr>
      </vt:variant>
      <vt:variant>
        <vt:lpwstr/>
      </vt:variant>
      <vt:variant>
        <vt:i4>7143547</vt:i4>
      </vt:variant>
      <vt:variant>
        <vt:i4>0</vt:i4>
      </vt:variant>
      <vt:variant>
        <vt:i4>0</vt:i4>
      </vt:variant>
      <vt:variant>
        <vt:i4>5</vt:i4>
      </vt:variant>
      <vt:variant>
        <vt:lpwstr>http://data.europa.eu/eli/dec/2023/1075/oj</vt:lpwstr>
      </vt:variant>
      <vt:variant>
        <vt:lpwstr/>
      </vt:variant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https://myintracomm.ec.europa.eu/sg/Documents/commission_style_guide.pdf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34</cp:revision>
  <dcterms:created xsi:type="dcterms:W3CDTF">2025-05-08T15:16:00Z</dcterms:created>
  <dcterms:modified xsi:type="dcterms:W3CDTF">2025-05-23T06:36:00Z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8.0.25.0</vt:lpwstr>
  </property>
  <property fmtid="{D5CDD505-2E9C-101B-9397-08002B2CF9AE}" pid="4" name="Last edited using">
    <vt:lpwstr>LW 9.1, Build 20240808</vt:lpwstr>
  </property>
  <property fmtid="{D5CDD505-2E9C-101B-9397-08002B2CF9AE}" pid="5" name="Created using">
    <vt:lpwstr>LW 9.1, Build 20240808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SJ-043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2025-04-16T14:50:23Z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269de435-25e6-40d4-b6d8-14c234a02c5a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ContentTypeId">
    <vt:lpwstr>0x010100C81086966748074091B44B156AB49619</vt:lpwstr>
  </property>
  <property fmtid="{D5CDD505-2E9C-101B-9397-08002B2CF9AE}" pid="18" name="DQCStatus">
    <vt:lpwstr>Green (DQC version 03)</vt:lpwstr>
  </property>
</Properties>
</file>