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A3EA" w14:textId="69653BA4" w:rsidR="002B26AA" w:rsidRPr="00BE4DE0" w:rsidRDefault="00D001BA" w:rsidP="00D001BA">
      <w:pPr>
        <w:pStyle w:val="Pagedecouverture"/>
        <w:rPr>
          <w:noProof/>
        </w:rPr>
      </w:pPr>
      <w:r>
        <w:rPr>
          <w:noProof/>
        </w:rPr>
        <w:pict w14:anchorId="4C617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D170FC32-D8C9-4B5C-99AE-307A46551204" style="width:455.25pt;height:341.25pt">
            <v:imagedata r:id="rId8" o:title=""/>
          </v:shape>
        </w:pict>
      </w:r>
    </w:p>
    <w:p w14:paraId="44E62EEE" w14:textId="77777777" w:rsidR="00923B41" w:rsidRPr="00BE4DE0" w:rsidRDefault="00923B41">
      <w:pPr>
        <w:spacing w:before="0" w:after="200" w:line="276" w:lineRule="auto"/>
        <w:jc w:val="left"/>
        <w:rPr>
          <w:b/>
          <w:noProof/>
          <w:u w:val="single"/>
        </w:rPr>
        <w:sectPr w:rsidR="00923B41" w:rsidRPr="00BE4DE0" w:rsidSect="00D001BA">
          <w:footerReference w:type="even" r:id="rId9"/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E9382A5" w14:textId="77777777" w:rsidR="002B26AA" w:rsidRPr="00BE4DE0" w:rsidRDefault="002B26AA" w:rsidP="00BB6B30">
      <w:pPr>
        <w:pStyle w:val="Exposdesmotifstitre"/>
        <w:rPr>
          <w:noProof/>
        </w:rPr>
      </w:pPr>
      <w:bookmarkStart w:id="0" w:name="_GoBack"/>
      <w:bookmarkEnd w:id="0"/>
      <w:r w:rsidRPr="00BE4DE0">
        <w:rPr>
          <w:noProof/>
        </w:rPr>
        <w:lastRenderedPageBreak/>
        <w:t>MEMORANDUM TA’ SPJEGAZZJONI</w:t>
      </w:r>
    </w:p>
    <w:p w14:paraId="7C07EEE5" w14:textId="77777777" w:rsidR="002B26AA" w:rsidRPr="00BE4DE0" w:rsidRDefault="002B26AA" w:rsidP="00FD40BA">
      <w:pPr>
        <w:rPr>
          <w:noProof/>
        </w:rPr>
      </w:pPr>
    </w:p>
    <w:p w14:paraId="5764CA3D" w14:textId="77777777" w:rsidR="00E811BB" w:rsidRPr="00BE4DE0" w:rsidRDefault="00E811BB" w:rsidP="00E811BB">
      <w:pPr>
        <w:ind w:right="85"/>
        <w:rPr>
          <w:noProof/>
        </w:rPr>
      </w:pPr>
      <w:bookmarkStart w:id="1" w:name="_Hlk198218552"/>
      <w:r w:rsidRPr="00BE4DE0">
        <w:rPr>
          <w:noProof/>
        </w:rPr>
        <w:t>It-Trattat dwar il-Funzjonament tal-Unjoni Ewropea jirrikjedi li l-Istati Membri jqisu l-politiki ekonomiċi tagħhom u l-promozzjoni tal-impjiegi bħala kwistjoni ta’ interess komuni u li jikkoordinaw l-azzjoni tagħhom fi ħdan il-Kunsill. Il-Kunsill meħtieġ jadotta linji gwida dwar l-impjiegi (l-Artikolu 148) li jridu jkunu konsistenti mal-linji gwida ġenerali għall-politiki ekonomiċi (l-Artikolu 121).</w:t>
      </w:r>
    </w:p>
    <w:p w14:paraId="50AF7A86" w14:textId="652CBA7B" w:rsidR="00E811BB" w:rsidRPr="00BE4DE0" w:rsidRDefault="00E811BB" w:rsidP="00E811BB">
      <w:pPr>
        <w:ind w:left="-5" w:right="85"/>
        <w:rPr>
          <w:noProof/>
        </w:rPr>
      </w:pPr>
      <w:r w:rsidRPr="00BE4DE0">
        <w:rPr>
          <w:noProof/>
        </w:rPr>
        <w:t>Filwaqt li l-linji gwida ġenerali għall-politiki ekonomiċi huma validi fuq bażi kontinwa, il-linji gwida dwar l-impjiegi jridu jitfasslu kull sena. Iż-żewġ settijiet ta’ linji gwida ġew adottati flimkien (“pakkett integrat”) fl-2010 u rifdu l-istrateġija Ewropa 2020. Fl-2015 ġew adottati l-linji gwida integrati riveduti. Għal-linji gwida dwar l-impjiegi, mill-2018 ġiet żviluppata prattika li talterna bejn aġġornament sħiħ (li jkopri kemm il-premessi kif ukoll il-linji gwida proprji) kull sentejn, u “tiġdid” (aġġornament tal-premessi filwaqt li l-linji gwida proprji jibqgħu kif inhuma) fis-sena intermedja. Wara tiġdid li sar fl-2023, meta l-premessi ġew aġġustati biex jirriflettu l-miri ġodda ewlenin tal-UE u dawk nazzjonali dwar l-impjiegi, il-ħiliet u t-tnaqqis tal-faqar u inizjattivi riċenti, fl-2024 sar aġġornament sħiħ. L-aġġornament kien jinvolvi ż-żieda ta’ referenzi għall-miri nazzjonali tal-2030 (apparti l-miri ewlenin tal-UE), enfasi akbar fuq l-impatt tal-iżviluppi teknoloġiċi u l-intelliġenza artifiċjali (IA), enfasi akbar fuq in-nuqqas ta’ ħaddiema u ħiliet, u attenzjoni akbar fuq il-migrazzjoni legali minn pajjiżi terzi, apparti l-isfruttar tat-talent fl-UE. Bħal fis-snin preċedenti, it-test tal-2024 irrifletta wkoll inizjattivi ta’ politika riċenti ta’ rilevanza partikolari, bħax-xogħol fuq il-pjattaformi, l-ekonomija soċjali u l-akkomodazzjoni affordabbli. Din is-sena, il-premessi qed jiġu aġġornati biex ikunu jinkludu aktar elementi relatati ma’ (i) bidliet fil-kuntest ġeopolitiku (inklużi tensjonijiet fil-politika kummerċjali); (ii) l-inizjattiva tal-Unjoni tal-Ħiliet; (iii) il-kompetittività fid-dawl tal-Boxxla għall-Kompetittività; u (iv) konverġenza soċjali ’l fuq wara t-tieni sena ta’ implimentazzjoni tal-Qafas ta’ Konverġenza Soċjali, li issa huwa inkorporat bis-sħiħ fil-qafas ta’ governanza ekonomika tal-UE.</w:t>
      </w:r>
    </w:p>
    <w:p w14:paraId="76FC43E3" w14:textId="77777777" w:rsidR="005416F9" w:rsidRPr="00BE4DE0" w:rsidRDefault="005416F9" w:rsidP="005416F9">
      <w:pPr>
        <w:spacing w:after="0"/>
        <w:ind w:left="-5" w:right="85"/>
        <w:rPr>
          <w:noProof/>
        </w:rPr>
      </w:pPr>
      <w:r w:rsidRPr="00BE4DE0">
        <w:rPr>
          <w:noProof/>
        </w:rPr>
        <w:t xml:space="preserve">Flimkien mal-linji gwida ġenerali għall-politiki ekonomiċi, il-linji gwida dwar l-impjiegi qegħdin jiġu ppreżentati bħala Deċiżjoni tal-Kunsill dwar il-linji gwida għall-politiki dwar l-impjiegi tal-Istati Membri (il-Parti II tal-Linji Gwida Integrati) u jipprovdu l-bażi għar-rakkomandazzjonijiet speċifiċi għall-pajjiżi fl-oqsma rispettivi. </w:t>
      </w:r>
    </w:p>
    <w:bookmarkEnd w:id="1"/>
    <w:p w14:paraId="46C55A2B" w14:textId="77777777" w:rsidR="005416F9" w:rsidRPr="00BE4DE0" w:rsidRDefault="005416F9" w:rsidP="005416F9">
      <w:pPr>
        <w:spacing w:after="96" w:line="259" w:lineRule="auto"/>
        <w:jc w:val="left"/>
        <w:rPr>
          <w:noProof/>
        </w:rPr>
      </w:pPr>
      <w:r w:rsidRPr="00BE4DE0">
        <w:rPr>
          <w:noProof/>
        </w:rPr>
        <w:t xml:space="preserve"> </w:t>
      </w:r>
    </w:p>
    <w:p w14:paraId="1C210375" w14:textId="77777777" w:rsidR="005416F9" w:rsidRPr="00BE4DE0" w:rsidRDefault="005416F9" w:rsidP="005416F9">
      <w:pPr>
        <w:ind w:left="-5" w:right="85"/>
        <w:rPr>
          <w:noProof/>
        </w:rPr>
      </w:pPr>
      <w:r w:rsidRPr="00BE4DE0">
        <w:rPr>
          <w:noProof/>
        </w:rPr>
        <w:t xml:space="preserve">Il-“Linji Gwida dwar l-Impjiegi” riveduti huma dawn li ġejjin: </w:t>
      </w:r>
    </w:p>
    <w:p w14:paraId="398E5F32" w14:textId="77777777" w:rsidR="005416F9" w:rsidRPr="00BE4DE0" w:rsidRDefault="005416F9" w:rsidP="005416F9">
      <w:pPr>
        <w:ind w:left="-5" w:right="85"/>
        <w:rPr>
          <w:noProof/>
        </w:rPr>
      </w:pPr>
      <w:r w:rsidRPr="00BE4DE0">
        <w:rPr>
          <w:noProof/>
        </w:rPr>
        <w:t xml:space="preserve">Linja Gwida 5: Nagħtu spinta lid-domanda għax-xogħol </w:t>
      </w:r>
    </w:p>
    <w:p w14:paraId="25E6C3C7" w14:textId="77777777" w:rsidR="005416F9" w:rsidRPr="00BE4DE0" w:rsidRDefault="005416F9" w:rsidP="005416F9">
      <w:pPr>
        <w:ind w:left="-5" w:right="85"/>
        <w:rPr>
          <w:noProof/>
        </w:rPr>
      </w:pPr>
      <w:r w:rsidRPr="00BE4DE0">
        <w:rPr>
          <w:noProof/>
        </w:rPr>
        <w:t xml:space="preserve">Linja Gwida 6: Insaħħu l-provvista tal-ħaddiema u ntejbu l-aċċess għall-impjiegi, l-akkwiżizzjoni tal-ħiliet tul il-ħajja u l-kompetenzi </w:t>
      </w:r>
      <w:r w:rsidRPr="00BE4DE0">
        <w:rPr>
          <w:i/>
          <w:noProof/>
        </w:rPr>
        <w:t xml:space="preserve"> </w:t>
      </w:r>
    </w:p>
    <w:p w14:paraId="20F16F21" w14:textId="77777777" w:rsidR="005416F9" w:rsidRPr="00BE4DE0" w:rsidRDefault="005416F9" w:rsidP="005416F9">
      <w:pPr>
        <w:ind w:left="-5" w:right="85"/>
        <w:rPr>
          <w:noProof/>
        </w:rPr>
      </w:pPr>
      <w:r w:rsidRPr="00BE4DE0">
        <w:rPr>
          <w:noProof/>
        </w:rPr>
        <w:t xml:space="preserve">Linja Gwida 7: Insaħħu l-funzjonament tas-swieq tax-xogħol u l-effettività tad-djalogu soċjali </w:t>
      </w:r>
    </w:p>
    <w:p w14:paraId="6941038D" w14:textId="77777777" w:rsidR="005416F9" w:rsidRPr="00BE4DE0" w:rsidRDefault="005416F9" w:rsidP="005416F9">
      <w:pPr>
        <w:ind w:left="-5" w:right="85"/>
        <w:rPr>
          <w:noProof/>
        </w:rPr>
      </w:pPr>
      <w:r w:rsidRPr="00BE4DE0">
        <w:rPr>
          <w:noProof/>
        </w:rPr>
        <w:t xml:space="preserve">Linja Gwida 8: Nippromwovu l-opportunitajiet indaqs għal kulħadd, inrawmu l-inklużjoni soċjali u niġġieldu l-faqar </w:t>
      </w:r>
    </w:p>
    <w:p w14:paraId="7E322BC2" w14:textId="77777777" w:rsidR="005416F9" w:rsidRPr="00BE4DE0" w:rsidRDefault="005416F9" w:rsidP="00FD40BA">
      <w:pPr>
        <w:rPr>
          <w:noProof/>
        </w:rPr>
        <w:sectPr w:rsidR="005416F9" w:rsidRPr="00BE4DE0" w:rsidSect="00D001B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08"/>
          <w:docGrid w:linePitch="360"/>
        </w:sectPr>
      </w:pPr>
    </w:p>
    <w:p w14:paraId="682973FC" w14:textId="2CFC2DB9" w:rsidR="00EC28D4" w:rsidRPr="00BE4DE0" w:rsidRDefault="00BE4DE0" w:rsidP="00BE4DE0">
      <w:pPr>
        <w:pStyle w:val="Rfrenceinterinstitutionnelle"/>
        <w:rPr>
          <w:noProof/>
        </w:rPr>
      </w:pPr>
      <w:r>
        <w:rPr>
          <w:noProof/>
        </w:rPr>
        <w:t>2025/0154 (NLE)</w:t>
      </w:r>
    </w:p>
    <w:p w14:paraId="65C5B520" w14:textId="0D838051" w:rsidR="002B26AA" w:rsidRPr="00BE4DE0" w:rsidRDefault="00BE4DE0" w:rsidP="00BE4DE0">
      <w:pPr>
        <w:pStyle w:val="Statut"/>
        <w:rPr>
          <w:noProof/>
        </w:rPr>
      </w:pPr>
      <w:r w:rsidRPr="00BE4DE0">
        <w:rPr>
          <w:noProof/>
        </w:rPr>
        <w:t>Proposta għal</w:t>
      </w:r>
    </w:p>
    <w:p w14:paraId="6CC26C02" w14:textId="537C7BD1" w:rsidR="002B26AA" w:rsidRPr="00BE4DE0" w:rsidRDefault="00BE4DE0" w:rsidP="00BE4DE0">
      <w:pPr>
        <w:pStyle w:val="Typedudocument"/>
        <w:rPr>
          <w:noProof/>
        </w:rPr>
      </w:pPr>
      <w:r w:rsidRPr="00BE4DE0">
        <w:rPr>
          <w:noProof/>
        </w:rPr>
        <w:t>DEĊIŻJONI TAL-KUNSILL</w:t>
      </w:r>
    </w:p>
    <w:p w14:paraId="79B66B54" w14:textId="4003EFCF" w:rsidR="002B26AA" w:rsidRPr="00BE4DE0" w:rsidRDefault="00BE4DE0" w:rsidP="00BE4DE0">
      <w:pPr>
        <w:pStyle w:val="Titreobjet"/>
        <w:rPr>
          <w:noProof/>
        </w:rPr>
      </w:pPr>
      <w:r w:rsidRPr="00BE4DE0">
        <w:rPr>
          <w:noProof/>
        </w:rPr>
        <w:t>dwar linji gwida għall-politiki dwar l-impjiegi tal-Istati Membri</w:t>
      </w:r>
    </w:p>
    <w:p w14:paraId="66407737" w14:textId="77777777" w:rsidR="002B26AA" w:rsidRPr="00BE4DE0" w:rsidRDefault="002B26AA" w:rsidP="00197315">
      <w:pPr>
        <w:pStyle w:val="Institutionquiagit"/>
        <w:rPr>
          <w:noProof/>
        </w:rPr>
      </w:pPr>
      <w:r w:rsidRPr="00BE4DE0">
        <w:rPr>
          <w:noProof/>
        </w:rPr>
        <w:t>IL-KUNSILL TAL-UNJONI EWROPEA,</w:t>
      </w:r>
    </w:p>
    <w:p w14:paraId="522A6301" w14:textId="77777777" w:rsidR="002B26AA" w:rsidRPr="00BE4DE0" w:rsidRDefault="002B26AA" w:rsidP="00197315">
      <w:pPr>
        <w:rPr>
          <w:noProof/>
        </w:rPr>
      </w:pPr>
      <w:r w:rsidRPr="00BE4DE0">
        <w:rPr>
          <w:noProof/>
        </w:rPr>
        <w:t>Wara li kkunsidra t-Trattat dwar il-Funzjonament tal-Unjoni Ewropea, u b’mod partikolari l-Artikolu 148(2) tiegħu,</w:t>
      </w:r>
    </w:p>
    <w:p w14:paraId="3F24F807" w14:textId="77777777" w:rsidR="002B26AA" w:rsidRPr="00BE4DE0" w:rsidRDefault="002B26AA" w:rsidP="00197315">
      <w:pPr>
        <w:rPr>
          <w:noProof/>
        </w:rPr>
      </w:pPr>
      <w:r w:rsidRPr="00BE4DE0">
        <w:rPr>
          <w:noProof/>
        </w:rPr>
        <w:t>Wara li kkunsidra l-proposta tal-Kummissjoni Ewropea,</w:t>
      </w:r>
    </w:p>
    <w:p w14:paraId="084BF625" w14:textId="77777777" w:rsidR="00AF77B2" w:rsidRPr="00BE4DE0" w:rsidRDefault="00AF77B2" w:rsidP="00AF77B2">
      <w:pPr>
        <w:rPr>
          <w:noProof/>
        </w:rPr>
      </w:pPr>
      <w:r w:rsidRPr="00BE4DE0">
        <w:rPr>
          <w:noProof/>
        </w:rPr>
        <w:t>Wara li kkunsidra l-opinjoni tal-Parlament Ewropew (</w:t>
      </w:r>
      <w:r w:rsidRPr="00BE4DE0">
        <w:rPr>
          <w:rStyle w:val="FootnoteReference"/>
          <w:noProof/>
        </w:rPr>
        <w:footnoteReference w:id="2"/>
      </w:r>
      <w:r w:rsidRPr="00BE4DE0">
        <w:rPr>
          <w:noProof/>
        </w:rPr>
        <w:t>),</w:t>
      </w:r>
    </w:p>
    <w:p w14:paraId="652E957F" w14:textId="77777777" w:rsidR="00AF77B2" w:rsidRPr="00BE4DE0" w:rsidRDefault="00AF77B2" w:rsidP="00AF77B2">
      <w:pPr>
        <w:rPr>
          <w:noProof/>
        </w:rPr>
      </w:pPr>
      <w:r w:rsidRPr="00BE4DE0">
        <w:rPr>
          <w:noProof/>
        </w:rPr>
        <w:t>Wara li kkunsidra l-opinjoni tal-Kumitat Ekonomiku u Soċjali Ewropew (</w:t>
      </w:r>
      <w:r w:rsidRPr="00BE4DE0">
        <w:rPr>
          <w:rStyle w:val="FootnoteReference"/>
          <w:noProof/>
        </w:rPr>
        <w:footnoteReference w:id="3"/>
      </w:r>
      <w:r w:rsidRPr="00BE4DE0">
        <w:rPr>
          <w:noProof/>
        </w:rPr>
        <w:t>),</w:t>
      </w:r>
    </w:p>
    <w:p w14:paraId="472A21D9" w14:textId="77777777" w:rsidR="00AF77B2" w:rsidRPr="00BE4DE0" w:rsidRDefault="00AF77B2" w:rsidP="00AF77B2">
      <w:pPr>
        <w:rPr>
          <w:noProof/>
        </w:rPr>
      </w:pPr>
      <w:r w:rsidRPr="00BE4DE0">
        <w:rPr>
          <w:noProof/>
        </w:rPr>
        <w:t>Wara li kkonsulta lill-Kumitat tar-Reġjuni,</w:t>
      </w:r>
    </w:p>
    <w:p w14:paraId="36614D36" w14:textId="77777777" w:rsidR="00AF77B2" w:rsidRPr="00BE4DE0" w:rsidRDefault="00AF77B2" w:rsidP="00AF77B2">
      <w:pPr>
        <w:rPr>
          <w:noProof/>
        </w:rPr>
      </w:pPr>
      <w:r w:rsidRPr="00BE4DE0">
        <w:rPr>
          <w:noProof/>
        </w:rPr>
        <w:t>Wara li kkunsidra l-opinjoni tal-Kumitat tal-Impjiegi (</w:t>
      </w:r>
      <w:r w:rsidRPr="00BE4DE0">
        <w:rPr>
          <w:rStyle w:val="FootnoteReference"/>
          <w:noProof/>
        </w:rPr>
        <w:footnoteReference w:id="4"/>
      </w:r>
      <w:r w:rsidRPr="00BE4DE0">
        <w:rPr>
          <w:noProof/>
        </w:rPr>
        <w:t>),</w:t>
      </w:r>
    </w:p>
    <w:p w14:paraId="4DDBE01E" w14:textId="77777777" w:rsidR="002B26AA" w:rsidRPr="00BE4DE0" w:rsidRDefault="002B26AA" w:rsidP="00197315">
      <w:pPr>
        <w:rPr>
          <w:noProof/>
        </w:rPr>
      </w:pPr>
      <w:r w:rsidRPr="00BE4DE0">
        <w:rPr>
          <w:noProof/>
        </w:rPr>
        <w:t>Billi:</w:t>
      </w:r>
    </w:p>
    <w:p w14:paraId="0731AE07" w14:textId="77777777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(1)</w:t>
      </w:r>
      <w:r w:rsidRPr="00BE4DE0">
        <w:rPr>
          <w:noProof/>
        </w:rPr>
        <w:tab/>
        <w:t xml:space="preserve">L-Istati Membri u l-Unjoni jridu jaħdmu biex jiżviluppaw strateġija kkoordinata għall-impjiegi u b’mod partikolari għall-promozzjoni ta’ forza tax-xogħol b’ħiliet, imħarrġa u adattabbli, kif ukoll swieq tax-xogħol li huma inklużivi, reżiljenti, orjentati lejn il-futur u li jwieġbu għat-tibdil ekonomiku, bil-għan li jintlaħqu l-objettivi ta’ livell massimu ta’ impjiegi u progress soċjali, tkabbir ekonomiku bbilanċjat, livell għoli ta’ protezzjoni u titjib tal-kwalità tal-ambjent kif stabbilit fl-Artikolu 3 tat-Trattat dwar l-Unjoni Ewropea (TUE). L-Istati Membri jridu iqisu l-promozzjoni tal-impjiegi bħala kwistjoni ta’ interess komuni u jikkoordinaw l-azzjoni tagħhom f’dak ir-rigward fi ħdan il-Kunsill. </w:t>
      </w:r>
    </w:p>
    <w:p w14:paraId="17EDEED4" w14:textId="77777777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(2)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L-Unjoni trid tiġġieled kontra l-esklużjoni soċjali u d-diskriminazzjoni, u tippromwovi l-ġustizzja u l-protezzjoni soċjali, l-ugwaljanza bejn in-nisa u l-irġiel, is-solidarjetà bejn il-ġenerazzjonijiet u l-protezzjoni tad-drittijiet tat-tfal kif stabbilit fl-Artikolu 3 tat-TUE. Meta tkun qed tiddefinixxi u timplimenta l-politiki u l-attivitajiet tagħha, l-Unjoni trid tqis ir-rekwiżiti relatati mal-promozzjoni ta’ livell għoli ta’ impjieg, il-garanzija ta’ protezzjoni soċjali adegwata, il-ġlieda kontra l-esklużjoni soċjali, u livell għoli ta’ edukazzjoni, taħriġ u l-ħarsien tas-saħħa tal-bniedem kif stabbilit fl-Artikolu 9 tat-Trattat dwar il-Funzjonament tal-Unjoni Ewropea (TFUE).</w:t>
      </w:r>
    </w:p>
    <w:p w14:paraId="1DEFFBE8" w14:textId="77777777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(3)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F’konformità mat-TFUE, l-Unjoni żviluppat u implimentat strumenti ta’ koordinazzjoni tal-politika għall-politiki ekonomiċi u tal-impjiegi. Bħala parti minn dawk l-istrumenti, il-linji gwida għall-politiki dwar l-impjiegi tal-Istati Membri (“il-Linji Gwida dwar l-Impjiegi”) stabbiliti fl-Anness tad-Deċiżjoni tal-Kunsill (UE) 2024/3134 (</w:t>
      </w:r>
      <w:r w:rsidRPr="00BE4DE0">
        <w:rPr>
          <w:rStyle w:val="FootnoteReference"/>
          <w:rFonts w:asciiTheme="majorBidi" w:hAnsiTheme="majorBidi" w:cstheme="majorBidi"/>
          <w:noProof/>
          <w:szCs w:val="24"/>
        </w:rPr>
        <w:footnoteReference w:id="5"/>
      </w:r>
      <w:r w:rsidRPr="00BE4DE0">
        <w:rPr>
          <w:rFonts w:asciiTheme="majorBidi" w:hAnsiTheme="majorBidi"/>
          <w:noProof/>
        </w:rPr>
        <w:t>), flimkien mal-linji gwida ġenerali għall-politiki ekonomiċi tal-Istati Membri u tal-Unjoni stabbiliti fir-Rakkomandazzjoni tal-Kunsill (UE) 2015/1184 (</w:t>
      </w:r>
      <w:r w:rsidRPr="00BE4DE0">
        <w:rPr>
          <w:rStyle w:val="FootnoteReference"/>
          <w:noProof/>
        </w:rPr>
        <w:footnoteReference w:id="6"/>
      </w:r>
      <w:r w:rsidRPr="00BE4DE0">
        <w:rPr>
          <w:rFonts w:asciiTheme="majorBidi" w:hAnsiTheme="majorBidi"/>
          <w:noProof/>
        </w:rPr>
        <w:t>), jiffurmaw il-Linji Gwida Integrati. Il-Linji Gwida dwar l-Impjiegi jridu jiggwidaw l-implimentazzjoni tal-politika fl-Istati Membri u fl-Unjoni, filwaqt li jirriflettu</w:t>
      </w:r>
      <w:r w:rsidRPr="00BE4DE0">
        <w:rPr>
          <w:noProof/>
        </w:rPr>
        <w:t xml:space="preserve"> l-interdipendenza</w:t>
      </w:r>
      <w:r w:rsidRPr="00BE4DE0">
        <w:rPr>
          <w:rFonts w:asciiTheme="majorBidi" w:hAnsiTheme="majorBidi"/>
          <w:noProof/>
        </w:rPr>
        <w:t xml:space="preserve"> bejn l-Istati Membri</w:t>
      </w:r>
      <w:r w:rsidRPr="00BE4DE0">
        <w:rPr>
          <w:noProof/>
        </w:rPr>
        <w:t>.</w:t>
      </w:r>
      <w:r w:rsidRPr="00BE4DE0">
        <w:rPr>
          <w:rFonts w:asciiTheme="majorBidi" w:hAnsiTheme="majorBidi"/>
          <w:noProof/>
        </w:rPr>
        <w:t xml:space="preserve"> Is-sett li jirriżulta ta’ politiki u riformi kkoordinati tal-Unjoni u nazzjonali jikkostitwixxi taħlita kumplessiva xierqa u sostenibbli tal-politika ekonomika, tal-impjiegi u dik soċjali, li jenħtieġ li tikseb effetti konsegwenzjali pożittivi għas-swieq tax-xogħol u għas-soċjetà inġenerali, issaħħaħ ir-reżiljenza ekonomika u soċjali, u tirrispondi b’mod effettiv għall-isfidi fuq terminu medju u itwal, inkluża l-ħtieġa li tissaħħaħ il-kompetittività, l-inċertezza dwar il-politiki tal-kummerċ globali, kif ukoll l-effetti relatati mal-gwerra ta’ aggressjoni tar-Russja kontra l-Ukrajna u l-kuntest ġeopolitiku usa’.</w:t>
      </w:r>
    </w:p>
    <w:p w14:paraId="1A9FB24C" w14:textId="17716DA0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</w:rPr>
      </w:pPr>
      <w:r w:rsidRPr="00BE4DE0">
        <w:rPr>
          <w:noProof/>
        </w:rPr>
        <w:t>(4)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Sabiex jissaħħu l-progress ekonomiku u soċjali u l-konverġenza ’l fuq, jiġu appoġġati t-tranżizzjoni ekoloġika u dik diġitali, jissaħħu l-bażi industrijali tal-Unjoni, il-produttività u l-kompetittività, jiġu indirizzati l-isfidi demografiċi, u jinkisbu swieq tax-xogħol inklużivi u reżiljenti fl-Unjoni, l-Istati Membri jenħtieġ li jindirizzaw in-nuqqas ta’ ħaddiema u ta’ ħiliet u jippromwovu impjiegi ta’ kwalità kif ukoll edukazzjoni u taħriġ ta’ kwalità u inklużivi għal kulħadd, skont l-Unjoni tal-ħiliet (</w:t>
      </w:r>
      <w:r w:rsidRPr="00BE4DE0">
        <w:rPr>
          <w:rStyle w:val="FootnoteReference"/>
          <w:rFonts w:asciiTheme="majorBidi" w:hAnsiTheme="majorBidi" w:cstheme="majorBidi"/>
          <w:noProof/>
        </w:rPr>
        <w:footnoteReference w:id="7"/>
      </w:r>
      <w:r w:rsidRPr="00BE4DE0">
        <w:rPr>
          <w:rFonts w:asciiTheme="majorBidi" w:hAnsiTheme="majorBidi"/>
          <w:noProof/>
        </w:rPr>
        <w:t>), b’enfasi</w:t>
      </w:r>
      <w:r w:rsidRPr="00BE4DE0">
        <w:rPr>
          <w:noProof/>
        </w:rPr>
        <w:t xml:space="preserve"> partikolari</w:t>
      </w:r>
      <w:r w:rsidRPr="00BE4DE0">
        <w:rPr>
          <w:rFonts w:asciiTheme="majorBidi" w:hAnsiTheme="majorBidi"/>
          <w:noProof/>
        </w:rPr>
        <w:t xml:space="preserve"> fuq it-titjib tal-ħiliet bażiċi, abbażi tal-Pjan ta’ Azzjoni dwar il-Ħiliet Bażiċi, kif ukoll tal-ħiliet rilevanti għas-suq tax-xogħol, inkluż il-ħiliet diġitali u ekoloġiċi, speċjalment fost l-istudenti u l-adulti żvantaġġati. L-Istati Membri jenħtieġ li jagħtu spinta wkoll lill-edukazzjoni u t-taħriġ fix-xjenza, it-teknoloġija, l-inġinerija u l-matematika (STEM, Science, Technology, Engineering and Mathematics), skont il-Pjan Strateġiku għall-Edukazzjoni STEM, isaħħu l-edukazzjoni u t-taħriġ vokazzjonali orjentati lejn il-futur, u t-titjib tal-ħiliet u t-taħriġ mill-ġdid tul il-ħajja, u jistinkaw biex joħolqu sistemi edukattivi inklużivi, kif ukoll jiżguraw politiki attivi effettivi tas-suq tax-xogħol u kundizzjonijiet tax-xogħol u opportunitajiet ta’ karriera aħjar, filwaqt li jirrispettaw ir-rwol u l-awtonomija tas-sħab soċjali. Kif iddikjarat fir-Rakkomandazzjoni dwar l-apprendiment għat-tranżizzjoni ekoloġika u l-iżvilupp sostenibbli, l-integrazzjoni tad-dimensjoni tal-edukazzjoni u tat-taħriġ b’mod sistematiku f’politiki oħrajn relatati mat-tranżizzjoni ekoloġika f’perspettiva tul il-ħajja tista’ tappoġġa l-implimentazzjoni ta’ dawk il-politiki. It-tisħiħ ta’ dawn l-elementi huwa ta’ rilevanza partikolari għar-reġjuni inqas żviluppati, remoti u ultraperiferiċi tal-Unjoni, fejn hemm l-akbar ħtiġijiet. In-nuqqasijiet jistgħu jiġu indirizzati aktar billi tittejjeb il-mobbiltà intra-UE ġusta għall-ħaddiema u għall-istudenti u billi jiġi attirat u miżmum it-talent minn barra l-Unjoni. Barra minn hekk, ir-rabtiet bejn is-sistemi tal-edukazzjoni u tat-taħriġ u s-suq tax-xogħol jenħtieġ li jissaħħu, u l-ħiliet, l-għarfien u l-kompetenzi miksuba permezz tal-apprendiment mhux formali u dak informali jenħtieġ li jiġu validati u rikonoxxuti.</w:t>
      </w:r>
    </w:p>
    <w:p w14:paraId="7B87DE3B" w14:textId="46466A76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(5)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Il-Linji Gwida dwar l-Impjiegi huma konsistenti mal-qafas il-ġdid ta’ governanza ekonomika tal-Unjoni, li daħal fis-seħħ fit-30 ta’ April 2024 (</w:t>
      </w:r>
      <w:r w:rsidRPr="00BE4DE0">
        <w:rPr>
          <w:rStyle w:val="FootnoteReference"/>
          <w:noProof/>
        </w:rPr>
        <w:footnoteReference w:id="8"/>
      </w:r>
      <w:r w:rsidRPr="00BE4DE0">
        <w:rPr>
          <w:rFonts w:asciiTheme="majorBidi" w:hAnsiTheme="majorBidi"/>
          <w:noProof/>
        </w:rPr>
        <w:t>), u mal-leġiżlazzjoni eżistenti tal-Unjoni u ma’ diversi inizjattivi tal-Unjoni, inklużi r-Rakkomandazzjonijiet tal-Kunsill tal-14 ta’ Ġunju 2021 (</w:t>
      </w:r>
      <w:r w:rsidRPr="00BE4DE0">
        <w:rPr>
          <w:rStyle w:val="FootnoteReference"/>
          <w:noProof/>
        </w:rPr>
        <w:footnoteReference w:id="9"/>
      </w:r>
      <w:r w:rsidRPr="00BE4DE0">
        <w:rPr>
          <w:rFonts w:asciiTheme="majorBidi" w:hAnsiTheme="majorBidi"/>
          <w:noProof/>
        </w:rPr>
        <w:t>), tad-29 ta’ Novembru 2021 (</w:t>
      </w:r>
      <w:r w:rsidRPr="00BE4DE0">
        <w:rPr>
          <w:rStyle w:val="FootnoteReference"/>
          <w:noProof/>
        </w:rPr>
        <w:footnoteReference w:id="10"/>
      </w:r>
      <w:r w:rsidRPr="00BE4DE0">
        <w:rPr>
          <w:rFonts w:asciiTheme="majorBidi" w:hAnsiTheme="majorBidi"/>
          <w:noProof/>
        </w:rPr>
        <w:t>), tal-5 ta’ April 2022 (</w:t>
      </w:r>
      <w:r w:rsidRPr="00BE4DE0">
        <w:rPr>
          <w:rStyle w:val="FootnoteReference"/>
          <w:noProof/>
        </w:rPr>
        <w:footnoteReference w:id="11"/>
      </w:r>
      <w:r w:rsidRPr="00BE4DE0">
        <w:rPr>
          <w:rFonts w:asciiTheme="majorBidi" w:hAnsiTheme="majorBidi"/>
          <w:noProof/>
        </w:rPr>
        <w:t>), tas-16 ta’ Ġunju 2022 (</w:t>
      </w:r>
      <w:r w:rsidRPr="00BE4DE0">
        <w:rPr>
          <w:rStyle w:val="FootnoteReference"/>
          <w:noProof/>
        </w:rPr>
        <w:footnoteReference w:id="12"/>
      </w:r>
      <w:r w:rsidRPr="00BE4DE0">
        <w:rPr>
          <w:rFonts w:asciiTheme="majorBidi" w:hAnsiTheme="majorBidi"/>
          <w:noProof/>
        </w:rPr>
        <w:t>), tat-28 ta’ Novembru 2022 (</w:t>
      </w:r>
      <w:r w:rsidRPr="00BE4DE0">
        <w:rPr>
          <w:rStyle w:val="FootnoteReference"/>
          <w:noProof/>
        </w:rPr>
        <w:footnoteReference w:id="13"/>
      </w:r>
      <w:r w:rsidRPr="00BE4DE0">
        <w:rPr>
          <w:rFonts w:asciiTheme="majorBidi" w:hAnsiTheme="majorBidi"/>
          <w:noProof/>
        </w:rPr>
        <w:t>), tat-8 ta’ Diċembru 2022 (</w:t>
      </w:r>
      <w:r w:rsidRPr="00BE4DE0">
        <w:rPr>
          <w:rStyle w:val="FootnoteReference"/>
          <w:noProof/>
        </w:rPr>
        <w:footnoteReference w:id="14"/>
      </w:r>
      <w:r w:rsidRPr="00BE4DE0">
        <w:rPr>
          <w:rFonts w:asciiTheme="majorBidi" w:hAnsiTheme="majorBidi"/>
          <w:noProof/>
        </w:rPr>
        <w:t xml:space="preserve">), </w:t>
      </w:r>
      <w:r w:rsidRPr="00BE4DE0">
        <w:rPr>
          <w:noProof/>
        </w:rPr>
        <w:t>tat-30 ta’Jannar 2023 (</w:t>
      </w:r>
      <w:r w:rsidRPr="00BE4DE0">
        <w:rPr>
          <w:rStyle w:val="FootnoteReference"/>
          <w:noProof/>
        </w:rPr>
        <w:footnoteReference w:id="15"/>
      </w:r>
      <w:r w:rsidRPr="00BE4DE0">
        <w:rPr>
          <w:noProof/>
        </w:rPr>
        <w:t>), tat-12 ta’ Ġunju 2023 (</w:t>
      </w:r>
      <w:r w:rsidRPr="00BE4DE0">
        <w:rPr>
          <w:rStyle w:val="FootnoteReference"/>
          <w:noProof/>
        </w:rPr>
        <w:footnoteReference w:id="16"/>
      </w:r>
      <w:r w:rsidRPr="00BE4DE0">
        <w:rPr>
          <w:noProof/>
        </w:rPr>
        <w:t>) u tas-27 ta’ Novembru 2023 (</w:t>
      </w:r>
      <w:r w:rsidRPr="00BE4DE0">
        <w:rPr>
          <w:rStyle w:val="FootnoteReference"/>
          <w:noProof/>
        </w:rPr>
        <w:footnoteReference w:id="17"/>
      </w:r>
      <w:r w:rsidRPr="00BE4DE0">
        <w:rPr>
          <w:noProof/>
        </w:rPr>
        <w:t>), ir-Rakkomandazzjoni tal-Kummissjoni (UE) 2021/402 (</w:t>
      </w:r>
      <w:r w:rsidRPr="00BE4DE0">
        <w:rPr>
          <w:rStyle w:val="FootnoteReference"/>
          <w:noProof/>
        </w:rPr>
        <w:footnoteReference w:id="18"/>
      </w:r>
      <w:r w:rsidRPr="00BE4DE0">
        <w:rPr>
          <w:noProof/>
        </w:rPr>
        <w:t>), ir-Riżoluzzjoni tal-Kunsill tas-26 ta’ Frar 2021 (</w:t>
      </w:r>
      <w:r w:rsidRPr="00BE4DE0">
        <w:rPr>
          <w:rStyle w:val="FootnoteReference"/>
          <w:noProof/>
        </w:rPr>
        <w:footnoteReference w:id="19"/>
      </w:r>
      <w:r w:rsidRPr="00BE4DE0">
        <w:rPr>
          <w:noProof/>
        </w:rPr>
        <w:t>), il-Komunikazzjonijiet tal-Kummissjoni tad-9 ta’ Diċembru 2021 bit-titolu “Bini ta’ ekonomija għas-servizz tan-nies: pjan ta’ azzjoni għall-ekonomija soċjali”, tat-30 ta’ Settembru 2020 bit-titolu “Pjan ta’ Azzjoni dwar l-Edukazzjoni Diġitali 2021–2027”, tat-3 ta’ Marzu 2021 bit-titolu “Unjoni ta’ Ugwaljanza: Strateġija dwar id-Drittijiet tal-Persuni b’Diżabilità 2021–2030”, tas-7 ta ’ Settembru 2022 dwar Strateġija Ewropea għall-Kura, tal-1 ta’ Frar 2023 bit-titolu “Pjan Industrijali tal-Patt Ekoloġiku għal Żmien l-Emissjonijiet Żero Netti”, tal-25 ta’ Jannar 2023 dwar it-tisħiħ tad-djalogu soċjali fl-Unjoni Ewropea, tal-11 ta’ Ottubru 2023 bit-titolu “It-tibdil demografiku fl-Ewropa: sett ta’ għodod għall-azzjoni”, tat-28 ta’ Settembru 2022 bit-titolu “Valutazzjoni aħjar tal-impatt distributtiv tal-politiki tal-Istati Membri”, tal-20 ta’ Marzu 2024 bit-titolu “Nuqqas ta’ ħaddiema u ta’ ħiliet fl-UE pjan ta’ azzjoni”, u tal-5 ta’ Marzu 2025 dwar l-Unjoni tal-Ħiliet, id-Deċiżjonijiet (UE) 2021/2316 (</w:t>
      </w:r>
      <w:r w:rsidRPr="00BE4DE0">
        <w:rPr>
          <w:rStyle w:val="FootnoteReference"/>
          <w:noProof/>
        </w:rPr>
        <w:footnoteReference w:id="20"/>
      </w:r>
      <w:r w:rsidRPr="00BE4DE0">
        <w:rPr>
          <w:noProof/>
        </w:rPr>
        <w:t>) u (UE) 2023/936 (</w:t>
      </w:r>
      <w:r w:rsidRPr="00BE4DE0">
        <w:rPr>
          <w:rStyle w:val="FootnoteReference"/>
          <w:noProof/>
        </w:rPr>
        <w:footnoteReference w:id="21"/>
      </w:r>
      <w:r w:rsidRPr="00BE4DE0">
        <w:rPr>
          <w:noProof/>
        </w:rPr>
        <w:t>) tal-Parlament Ewropew u tal-Kunsill, u d-Direttivi (UE) 2022/</w:t>
      </w:r>
      <w:r w:rsidRPr="00BE4DE0">
        <w:rPr>
          <w:rFonts w:asciiTheme="majorBidi" w:hAnsiTheme="majorBidi"/>
          <w:noProof/>
        </w:rPr>
        <w:t>2041 (</w:t>
      </w:r>
      <w:r w:rsidRPr="00BE4DE0">
        <w:rPr>
          <w:rStyle w:val="FootnoteReference"/>
          <w:noProof/>
        </w:rPr>
        <w:footnoteReference w:id="22"/>
      </w:r>
      <w:r w:rsidRPr="00BE4DE0">
        <w:rPr>
          <w:rFonts w:asciiTheme="majorBidi" w:hAnsiTheme="majorBidi"/>
          <w:noProof/>
        </w:rPr>
        <w:t>)</w:t>
      </w:r>
      <w:r w:rsidRPr="00BE4DE0">
        <w:rPr>
          <w:noProof/>
        </w:rPr>
        <w:t>, (UE) 2022/2381 (</w:t>
      </w:r>
      <w:r w:rsidRPr="00BE4DE0">
        <w:rPr>
          <w:rStyle w:val="FootnoteReference"/>
          <w:noProof/>
        </w:rPr>
        <w:footnoteReference w:id="23"/>
      </w:r>
      <w:r w:rsidRPr="00BE4DE0">
        <w:rPr>
          <w:noProof/>
        </w:rPr>
        <w:t>), (UE) 2023/970 (</w:t>
      </w:r>
      <w:r w:rsidRPr="00BE4DE0">
        <w:rPr>
          <w:rStyle w:val="FootnoteReference"/>
          <w:noProof/>
        </w:rPr>
        <w:footnoteReference w:id="24"/>
      </w:r>
      <w:r w:rsidRPr="00BE4DE0">
        <w:rPr>
          <w:noProof/>
        </w:rPr>
        <w:t>) u (UE) 2024/2831 (</w:t>
      </w:r>
      <w:r w:rsidRPr="00BE4DE0">
        <w:rPr>
          <w:rStyle w:val="FootnoteReference"/>
          <w:noProof/>
        </w:rPr>
        <w:footnoteReference w:id="25"/>
      </w:r>
      <w:r w:rsidRPr="00BE4DE0">
        <w:rPr>
          <w:noProof/>
        </w:rPr>
        <w:t>) tal-Parlament Ewropew u tal-Kunsill.</w:t>
      </w:r>
    </w:p>
    <w:p w14:paraId="2665685C" w14:textId="77777777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(6)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Is-Semestru Ewropew jiġbor flimkien diversi strumenti f’qafas ġenerali għall-koordinazzjoni u s-sorveljanza multilaterali integrati tal-politiki ekonomiċi u tal-impjiegi fi ħdan l-Unjoni. Is-Semestru huwa allinjat mal-Boxxla għall-Kompetittività li tipprovdi qafas biex tingħata spinta lill-kompetittività billi jitnaqqas id-distakk fl-innovazzjoni, tiġi dekarbonizzata l-ekonomija tagħna, jitnaqqsu d-dipendenzi eċċessivi u tiżdied is-sigurtà, u tistabbilixxi</w:t>
      </w:r>
      <w:r w:rsidRPr="00BE4DE0">
        <w:rPr>
          <w:noProof/>
        </w:rPr>
        <w:t xml:space="preserve"> faċilitaturi orizzontali li jinkludu l-ħiliet, l-impjiegi ta’ kwalità u l-ġustizzja soċjali.</w:t>
      </w:r>
      <w:r w:rsidRPr="00BE4DE0">
        <w:rPr>
          <w:rFonts w:asciiTheme="majorBidi" w:hAnsiTheme="majorBidi"/>
          <w:noProof/>
        </w:rPr>
        <w:t xml:space="preserve"> Is-Semestru jintegra l-prinċipji tal-Pilastru Ewropew tad-Drittijiet Soċjali, ipproklamat mill-Parlament Ewropew, mill-Kunsill u mill-Kummissjoni f’Novembru 2017 (</w:t>
      </w:r>
      <w:r w:rsidRPr="00BE4DE0">
        <w:rPr>
          <w:rStyle w:val="FootnoteReference"/>
          <w:noProof/>
        </w:rPr>
        <w:footnoteReference w:id="26"/>
      </w:r>
      <w:r w:rsidRPr="00BE4DE0">
        <w:rPr>
          <w:rFonts w:asciiTheme="majorBidi" w:hAnsiTheme="majorBidi"/>
          <w:noProof/>
        </w:rPr>
        <w:t>) (il-“Pilastru Ewropew tad-Drittijiet Soċjali”), u l-għodda ta’ monitoraġġ tiegħu, it-tabella ta’ valutazzjoni soċjali, u jippermetti wkoll li ssir analiżi tar-riskji u tal-isfidi għall-konverġenza soċjali ’l fuq fl-Unjoni, u jipprevedi involviment qawwi mas-sħab soċjali, mas-soċjetà ċivili u ma’ partijiet ikkonċernati oħrajn. Is-Semestru Ewropew jappoġġa wkoll it-twettiq tal-Għanijiet ta’ Żvilupp Sostenibbli stabbiliti min-Nazzjonijiet Uniti. Il-politiki ekonomiċi u dwar l-impjiegi tal-Unjoni u tal-Istati Membri jenħtieġ li jimxu id f’id mat-tranżizzjoni ġusta tal-Unjoni lejn ekonomija newtrali għall-klima, ambjentalment sostenibbli u diġitali, itejbu l-kompetittività u l-produttività, jiżguraw kundizzjonijiet tax-xogħol adegwati, irawmu l-innovazzjoni, jippromwovu d-demokrazija fuq il-post tax-xogħol, id-djalogu soċjali, il-ġustizzja soċjali, l-opportunitajiet indaqs u l-konverġenza soċjoekonomika’l fuq, jindirizzaw l-inugwaljanzi u d-disparitajiet reġjonali, u jiġġieldu l-faqar u l-esklużjoni soċjali.</w:t>
      </w:r>
    </w:p>
    <w:p w14:paraId="1B614CB1" w14:textId="77777777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(7)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It-tibdil fil-klima u sfidi oħrajn relatati mal-ambjent, il-ħtieġa li tiġi żgurata tranżizzjoni ekoloġika ġusta, l-indipendenza enerġetika u t-tisħiħ fil-kompetittività tal-industriji b’emissjonijiet żero netti, is-sovranità teknoloġika, u l-ħtieġa li jiżdied l-infiq fid-difiża u tiġi żgurata l-awtonomija strateġika miftuħa tal-Ewropa, kif ukoll il-bidliet demografiċi u l-iżvilupp tad-diġitalizzazzjoni, inklużi l-intelliġenza artifiċjali, il-ġestjoni algoritmika, l-ekonomija tal-</w:t>
      </w:r>
      <w:r w:rsidRPr="00BE4DE0">
        <w:rPr>
          <w:noProof/>
        </w:rPr>
        <w:t>pjattaformi</w:t>
      </w:r>
      <w:r w:rsidRPr="00BE4DE0">
        <w:rPr>
          <w:rFonts w:asciiTheme="majorBidi" w:hAnsiTheme="majorBidi"/>
          <w:noProof/>
        </w:rPr>
        <w:t xml:space="preserve"> u t-telexogħol qed jittrasformaw bil-kbir l-ekonomiji u s-soċjetajiet fl-Unjoni. L-Unjoni u l-Istati Membri tagħha jridu jaħdmu flimkien biex jindirizzaw b’mod effettiv u proattiv dawn l-iżviluppi strutturali u jadattaw is-sistemi eżistenti kif meħtieġ, filwaqt li jirrikonoxxu l-interdipendenza mill-qrib tal-ekonomiji u s-swieq tax-xogħol tal-Istati Membri u l-politiki relatati. Dan jirrikjedi azzjoni ta’ politika kkoordinata, ambizzjuża u effettiva kemm fil-livelli tal-Unjoni kif ukoll fil-livell nazzjonali filwaqt li jiġi rikonoxxut ir-rwol tas-sħab soċjali, f’konformità mat-TFUE u mad-dispożizzjonijiet tal-Unjoni dwar il-governanza ekonomika, filwaqt li jitqies il-Pilastru Ewropew tad-Drittijiet Soċjali. Azzjoni politika bħal din jenħtieġ li tkun tinkludi spinta fl-investiment sostenibbli fir-reġjuni kollha tal-Unjoni, impenn imġedded għal riformi u investimenti b’sekwenza xierqa li jtejbu t-tkabbir ekonomiku sostenibbli u inklużiv, il-ħiliet, il-promozzjoni ta’ impjiegi ta’ kwalità, il-produttività, il-kompetittività, u kundizzjonijiet tax-xogħol ġusti, il-koeżjoni soċjali u territorjali, il-konverġenza soċjoekonomika ’l fuq, ir-reżiljenza u l-eżerċitar tar-responsabbiltà fiskali.</w:t>
      </w:r>
      <w:r w:rsidRPr="00BE4DE0">
        <w:rPr>
          <w:noProof/>
        </w:rPr>
        <w:t xml:space="preserve"> </w:t>
      </w:r>
      <w:r w:rsidRPr="00BE4DE0">
        <w:rPr>
          <w:rFonts w:asciiTheme="majorBidi" w:hAnsiTheme="majorBidi"/>
          <w:noProof/>
        </w:rPr>
        <w:t>Jenħtieġ li jingħata appoġġ mill-programmi ta’ finanzjament eżistenti tal-Unjoni, u b’mod partikolari mill-Faċilità għall-Irkupru u r-Reżiljenza stabbilita bir-Regolament (UE) 2021/241 tal-Parlament Ewropew u tal-Kunsill (</w:t>
      </w:r>
      <w:r w:rsidRPr="00BE4DE0">
        <w:rPr>
          <w:rStyle w:val="FootnoteReference"/>
          <w:noProof/>
        </w:rPr>
        <w:footnoteReference w:id="27"/>
      </w:r>
      <w:r w:rsidRPr="00BE4DE0">
        <w:rPr>
          <w:rFonts w:asciiTheme="majorBidi" w:hAnsiTheme="majorBidi"/>
          <w:noProof/>
        </w:rPr>
        <w:t>) u mill-fondi tal-politika ta’ koeżjoni, inkluż il-Fond Soċjali Ewropew Plus stabbilit bir-Regolament (UE) 2021/1057 tal-Parlament Ewropew u tal-Kunsill (</w:t>
      </w:r>
      <w:r w:rsidRPr="00BE4DE0">
        <w:rPr>
          <w:rStyle w:val="FootnoteReference"/>
          <w:noProof/>
        </w:rPr>
        <w:footnoteReference w:id="28"/>
      </w:r>
      <w:r w:rsidRPr="00BE4DE0">
        <w:rPr>
          <w:rFonts w:asciiTheme="majorBidi" w:hAnsiTheme="majorBidi"/>
          <w:noProof/>
        </w:rPr>
        <w:t>) u l-Fond Ewropew għall-Iżvilupp Reġjonali rregolat mir-Regolament (UE) 2021/1058 tal-Parlament Ewropew u tal-Kunsill (</w:t>
      </w:r>
      <w:r w:rsidRPr="00BE4DE0">
        <w:rPr>
          <w:rStyle w:val="FootnoteReference"/>
          <w:noProof/>
        </w:rPr>
        <w:footnoteReference w:id="29"/>
      </w:r>
      <w:r w:rsidRPr="00BE4DE0">
        <w:rPr>
          <w:rFonts w:asciiTheme="majorBidi" w:hAnsiTheme="majorBidi"/>
          <w:noProof/>
        </w:rPr>
        <w:t>), kif ukoll il-Fond Soċjali għall-Klima stabbilit bir-Regolament (UE) 2023/955 tal-Parlament Ewropew u tal-Kunsill (</w:t>
      </w:r>
      <w:r w:rsidRPr="00BE4DE0">
        <w:rPr>
          <w:rStyle w:val="FootnoteReference"/>
          <w:rFonts w:asciiTheme="majorBidi" w:hAnsiTheme="majorBidi" w:cstheme="majorBidi"/>
          <w:noProof/>
        </w:rPr>
        <w:footnoteReference w:id="30"/>
      </w:r>
      <w:r w:rsidRPr="00BE4DE0">
        <w:rPr>
          <w:rFonts w:asciiTheme="majorBidi" w:hAnsiTheme="majorBidi"/>
          <w:noProof/>
        </w:rPr>
        <w:t>) u l-Fond għal Tranżizzjoni Ġusta stabbilit bir-Regolament (UE) 2021/1056 tal-Parlament Ewropew u tal-Kunsill (</w:t>
      </w:r>
      <w:r w:rsidRPr="00BE4DE0">
        <w:rPr>
          <w:rStyle w:val="FootnoteReference"/>
          <w:noProof/>
        </w:rPr>
        <w:footnoteReference w:id="31"/>
      </w:r>
      <w:r w:rsidRPr="00BE4DE0">
        <w:rPr>
          <w:rFonts w:asciiTheme="majorBidi" w:hAnsiTheme="majorBidi"/>
          <w:noProof/>
        </w:rPr>
        <w:t>). Jenħtieġ li l-azzjoni ta’ politika tikkombina miżuri min-naħa tal-provvista u min-naħa tad-domanda, filwaqt li tqis l-impatti ekonomiċi, ambjentali, tal-impjiegi u soċjali ta’ dawn il-miżuri.</w:t>
      </w:r>
    </w:p>
    <w:p w14:paraId="7EC7EFC6" w14:textId="77777777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</w:rPr>
      </w:pPr>
      <w:r w:rsidRPr="00BE4DE0">
        <w:rPr>
          <w:noProof/>
        </w:rPr>
        <w:t>(8)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 xml:space="preserve">Il-Pilastru Ewropew tad-Drittijiet Soċjali jistabbilixxi 20 prinċipju u dritt biex jappoġġaw swieq tax-xogħol u sistemi ta’ protezzjoni soċjali ġusti u li jiffunzjonaw tajjeb, strutturati madwar tliet kategoriji: opportunitajiet u aċċess indaqs għas-suq tax-xogħol, kundizzjonijiet tax-xogħol ġusti u protezzjoni u inklużjoni soċjali. Dawk il-prinċipji u d-drittijiet jagħtu direzzjoni strateġika lill-Unjoni, filwaqt li jiżguraw li t-tranżizzjonijiet lejn in-newtralità klimatika, is-sostenibbiltà ambjentali u d-diġitalizzazzjoni, u l-impatt tat-tibdil demografiku jkunu soċjalment ekwi u ġusti u jippreservaw il-koeżjoni territorjali. Il-Pilastru Ewropew tad-Drittijiet Soċjali, flimkien mat-tabella ta’ valutazzjoni soċjali li takkumpanjah, jikkostitwixxi gwida biex jimmonitorja l-impjiegi, il-ħiliet u l-prestazzjoni soċjali tal-Istati Membri, inkluża l-konverġenza soċjali ’l fuq fl-Unjoni, fi ħdan is-Semestru Ewropew, jixpruna r-riformi u l-investimenti fil-livelli nazzjonali, reġjonali u lokali u jirrikonċilja d-dimensjoni “soċjali” u “tas-suq” fl-ekonomija moderna tal-lum il-ġurnata, inkluż permezz tal-promozzjoni tal-ekonomija soċjali. </w:t>
      </w:r>
      <w:r w:rsidRPr="00BE4DE0">
        <w:rPr>
          <w:noProof/>
        </w:rPr>
        <w:t xml:space="preserve">Fl-4 ta’ Marzu 2021, il-Kummissjoni ressqet </w:t>
      </w:r>
      <w:bookmarkStart w:id="4" w:name="_Hlk131524086"/>
      <w:r w:rsidRPr="00BE4DE0">
        <w:rPr>
          <w:noProof/>
        </w:rPr>
        <w:t>Pjan ta’ Azzjoni għall-implimentazzjoni tal-Pilastru Ewropew tad-Drittijiet Soċjali (il-“Pjan ta’ Azzjoni”), inklużi miri ewlenin ambizzjużi iżda realistiċi tal-Unjoni għall-2030 dwar l-impjiegi (li mill-inqas 78 % tal-popolazzjoni ta’ bejn l-20 u l-64 sena jenħtieġ li jkunu impjegati), il-ħiliet (li mill-inqas 60 % tal-adulti kollha jenħtieġ li jipparteċipaw f’taħriġ kull sena) u t-tnaqqis tal-faqar (jenħtieġ li jkun hemm mill-inqas 15-il miljun persuna inqas f’riskju ta’ faqar jew esklużjoni soċjali, fosthom 5 miljun tifel u tifla) (il-“miri ewlenin tal-Unjoni għall-2030”) u sottomiri komplementari</w:t>
      </w:r>
      <w:bookmarkEnd w:id="4"/>
      <w:r w:rsidRPr="00BE4DE0">
        <w:rPr>
          <w:noProof/>
        </w:rPr>
        <w:t>, kif ukoll tabella ta’ valutazzjoni soċjali riveduta.</w:t>
      </w:r>
      <w:r w:rsidRPr="00BE4DE0">
        <w:rPr>
          <w:rFonts w:asciiTheme="majorBidi" w:hAnsiTheme="majorBidi"/>
          <w:noProof/>
        </w:rPr>
        <w:t xml:space="preserve"> </w:t>
      </w:r>
    </w:p>
    <w:p w14:paraId="57467816" w14:textId="77777777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</w:rPr>
      </w:pPr>
      <w:r w:rsidRPr="00BE4DE0">
        <w:rPr>
          <w:noProof/>
        </w:rPr>
        <w:t>(9)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 xml:space="preserve">Kif rikonoxxut mill-Kapijiet ta’ Stat jew ta’ Gvern fis-Summit Soċjali ta’ Porto tat-8 ta’ Mejju 2021, l-implimentazzjoni tal-Pilastru Ewropew tad-Drittijiet Soċjali se ssaħħaħ l-isforz tal-Unjoni għal tranżizzjoni diġitali, ekoloġika u ġusta u se tikkontribwixxi għall-kisba ta’ konverġenza soċjali u ekonomika ’l fuq u l-indirizzar tal-isfidi demografiċi. Il-Kapijiet ta’ Stat jew ta’ Gvern enfasizzaw li d-dimensjoni soċjali, id-djalogu soċjali u l-involviment attiv tas-sħab soċjali huma fil-qalba ta’ ekonomija soċjali tas-suq kompetittiva ħafna, u laqgħu b’sodisfazzjon il-miri ewlenin il-ġodda tal-Unjoni. Affermaw id-determinazzjoni tagħhom, kif stabbilit mill-Aġenda Strateġika tal-Kunsill Ewropew 2019–2024, li jkomplu japprofondixxu l-implimentazzjoni tal-Pilastru Ewropew tad-Drittijiet Soċjali fil-livelli tal-Unjoni u nazzjonali, b’kunsiderazzjoni xierqa għall-kompetenzi rispettivi u l-prinċipji tas-sussidjarjetà u tal-proporzjonalità. Fl-aħħar, enfasizzaw l-importanza li jiġi segwit mill-qrib, anke fl-ogħla livell, il-progress miksub lejn l-implimentazzjoni tal-Pilastru Ewropew tad-Drittijiet Soċjali u l-miri ewlenin tal-Unjoni għall-2030. </w:t>
      </w:r>
    </w:p>
    <w:p w14:paraId="4579D941" w14:textId="1287638F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</w:rPr>
      </w:pPr>
      <w:r w:rsidRPr="00BE4DE0">
        <w:rPr>
          <w:noProof/>
        </w:rPr>
        <w:t>(10)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 xml:space="preserve">Il-miri ewlenin tal-Unjoni għall-2030 intlaqgħu b’sodisfazzjon mill-Kapijiet ta’ Stat jew ta’ Gvern fis-Summit Soċjali ta’ Porto u mill-Kunsill Ewropew ta’ Ġunju 2021. </w:t>
      </w:r>
      <w:r w:rsidRPr="00BE4DE0">
        <w:rPr>
          <w:noProof/>
        </w:rPr>
        <w:t>Dawn jgħinu, flimkien mat-tabella ta’ valutazzjoni soċjali, fil-monitoraġġ tal-progress lejn l-implimentazzjoni tal-prinċipji tal-Pilastru Ewropew tad-Drittijiet Soċjali bħala parti mill-qafas tal-koordinazzjoni tal-politika fis-Semestru Ewropew.</w:t>
      </w:r>
      <w:r w:rsidRPr="00BE4DE0">
        <w:rPr>
          <w:rFonts w:asciiTheme="majorBidi" w:hAnsiTheme="majorBidi"/>
          <w:noProof/>
        </w:rPr>
        <w:t xml:space="preserve"> Barra minn hekk, is-Summit Soċjali ta’ Porto appella wkoll lill-Istati Membri biex jistabbilixxu miri nazzjonali ambizzjużi li, meta titqies kif xieraq il-pożizzjoni inizjali ta’ kull pajjiż, jenħtieġ li jikkostitwixxu kontribut adegwat għall-ilħuq tal-miri ewlenin tal-Unjoni għall-2030. L-implimentazzjoni tal-Pilastru Ewropew tad-Drittijiet Soċjali u l-progress fir-rigward tal-miri ewlenin tal-Unjoni u dawk nazzjonali għall-2030 hija mmonitorjata fir-Rapport Konġunt dwar l-Impjiegi adottat mill-Kunsill f’Marzu 2025 (ir-“Rapport Konġunt dwar l-Impjiegi tal-2025”), u hija integrata fl-għodod ta’ monitoraġġ għas-Semestru Ewropew. Mill-edizzjoni tal-2024 tiegħu ’l hawn, ir-Rapport Konġunt dwar l-Impjiegi fih “analiżi tal-ewwel stadju tal-pajjiż” dwar ir-riskji potenzjali għal konverġenza soċjali ’l fuq skont il-Qafas ta’ Konverġenza Soċjali li jidentifika l-Istati Membri li jesperjenzaw riskji potenzjali li għandhom jiġu eżaminati f’“analiżi tat-tieni stadju” aktar profonda. Fir-Rapport Konġunt dwar l-Impjiegi tal-2025, għall-ewwel ġew identifikati 10 Stati Membri, u l-konklużjoni tal-analiżi aktar profonda wriet li l-isfidi kumplessivi ġew ikkonfermati għal 3 minnhom</w:t>
      </w:r>
      <w:bookmarkStart w:id="5" w:name="_Hlk166756911"/>
      <w:r w:rsidRPr="00BE4DE0">
        <w:rPr>
          <w:rFonts w:asciiTheme="majorBidi" w:hAnsiTheme="majorBidi"/>
          <w:noProof/>
        </w:rPr>
        <w:t>.</w:t>
      </w:r>
    </w:p>
    <w:bookmarkEnd w:id="5"/>
    <w:p w14:paraId="6E9076B7" w14:textId="77777777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  <w:szCs w:val="24"/>
        </w:rPr>
      </w:pPr>
      <w:r w:rsidRPr="00BE4DE0">
        <w:rPr>
          <w:noProof/>
        </w:rPr>
        <w:t>(11)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Wara l-invażjoni tal-Ukrajna mir-Russja, fil-konklużjonijiet tiegħu tal-24 ta’ Frar 2022, il-Kunsill Ewropew ikkundanna l-azzjonijiet tar-Russja, li qed jippruvaw jimminaw is-sigurtà u l-istabbiltà Ewropea u dinjija, u esprima solidarjetà mal-poplu Ukren, filwaqt li ssottolinja l-ksur, min-naħa tar-Russja, tad-dritt internazzjonali u tal-prinċipji tal-Karta tan-Nazzjonijiet Uniti. Fil-kuntest attwali, il-protezzjoni temporanja, kif mogħtija bid-Deċiżjoni ta’ Implimentazzjoni tal-Kunsill (UE) 2022/382 (</w:t>
      </w:r>
      <w:r w:rsidRPr="00BE4DE0">
        <w:rPr>
          <w:rStyle w:val="FootnoteReference"/>
          <w:rFonts w:asciiTheme="majorBidi" w:hAnsiTheme="majorBidi" w:cstheme="majorBidi"/>
          <w:noProof/>
        </w:rPr>
        <w:footnoteReference w:id="32"/>
      </w:r>
      <w:r w:rsidRPr="00BE4DE0">
        <w:rPr>
          <w:rFonts w:asciiTheme="majorBidi" w:hAnsiTheme="majorBidi"/>
          <w:noProof/>
        </w:rPr>
        <w:t>) u estiża bid-deċiżjoni ta’ Implimentazzjoni tal-Kunsill (UE) 2024/1836 (</w:t>
      </w:r>
      <w:r w:rsidRPr="00BE4DE0">
        <w:rPr>
          <w:rStyle w:val="FootnoteReference"/>
          <w:noProof/>
        </w:rPr>
        <w:footnoteReference w:id="33"/>
      </w:r>
      <w:r w:rsidRPr="00BE4DE0">
        <w:rPr>
          <w:rFonts w:asciiTheme="majorBidi" w:hAnsiTheme="majorBidi"/>
          <w:noProof/>
        </w:rPr>
        <w:t>), toffri assistenza fl-Unjoni lill-persuni spostati mill-Ukrajna u tippermettilhom igawdu minn drittijiet minimi madwar l-Unjoni kollha li joffru livell adegwat ta’ protezzjoni. Billi jipparteċipaw fis-swieq tax-xogħol tal-Unjoni, il-persuni spostati mill-Ukrajna jistgħu jkomplu jikkontribwixxu għat-tisħiħ tal-ekonomija tal-Unjoni u għall-appoġġ ipprovdut lil pajjiżhom u lin-nies ta’ pajjiżhom. Fil-futur, l-esperjenza u l-ħiliet miksuba jistgħu jikkontribwixxu għall-bini mill-ġdid tal-Ukrajna. Għat-tfal u l-adolexxenti mhux akkumpanjati, il-protezzjoni temporanja tagħti d-dritt għall-kustodja legali u għall-aċċess għall-edukazzjoni u l-kura tat-tfal. Jenħtieġ li l-Istati Membri jkomplu jinvolvu lis-sħab soċjali fit-tfassil, fl-implimentazzjoni u fl-evalwazzjoni tal-miżuri ta’ politika li l-għan tagħhom huwa li jindirizzaw l-isfidi marbuta mal-impjiegi u mal-ħiliet, inkluż ir-rikonoxximent tal-kwalifiki tal-persuni spostati mill-Ukrajna. Is-sħab soċjali għandhom rwol ewlieni fil-mitigazzjoni tal-impatt ta’ dik il-gwerra f’termini ta’ preservazzjoni tal-impjiegi u tal-produzzjoni.</w:t>
      </w:r>
    </w:p>
    <w:p w14:paraId="37273E18" w14:textId="50E924B5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</w:rPr>
      </w:pPr>
      <w:r w:rsidRPr="00BE4DE0">
        <w:rPr>
          <w:noProof/>
        </w:rPr>
        <w:t>(12)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Ir-riformi fis-suq tax-xogħol, inklużi l-mekkaniżmi nazzjonali għall-iffissar tal-pagi, jenħtieġ li josservaw il-prattiki nazzjonali tad-djalogu soċjali u n-negozjar kollettiv, kif ukoll l-awtonomija tas-sħab soċjali, bil-għan li jiġu pprovduti pagi ġusti li jippermettu standard tal-għajxien deċenti, anke meta dak li jkun joħroġ bil-pensjoni, tkabbir sostenibbli u konverġenza soċjoekonomika ’l fuq. Riformi bħal dawn jenħtieġ li jippermettu kunsiderazzjoni wiesgħa tal-fatturi soċjoekonomiċi, inkluż it-titjib fis-sostenibbiltà, fil-kompetittività u fl-innovazzjoni, il-</w:t>
      </w:r>
      <w:r w:rsidRPr="00BE4DE0">
        <w:rPr>
          <w:noProof/>
        </w:rPr>
        <w:t>promozzjoni</w:t>
      </w:r>
      <w:r w:rsidRPr="00BE4DE0">
        <w:rPr>
          <w:rFonts w:asciiTheme="majorBidi" w:hAnsiTheme="majorBidi"/>
          <w:noProof/>
        </w:rPr>
        <w:t xml:space="preserve"> ta’ impjiegi ta’ kwalità, kundizzjonijiet tax-xogħol ġusti, id-demokrazija fuq il-post tax-xogħol, l-ugwaljanza bejn il-ġeneri, il-prevenzjoni u t-tnaqqis tal-faqar fost dawk li jaħdmu, edukazzjoni, taħriġ u ħiliet ta’ kwalità, is-saħħa pubblika, il-protezzjoni u l-inklużjoni soċjali, il-bidla demografika u l-promozzjoni ta’ pensjonijiet supplimentari, kif ukoll introjti reali. L-importanza tad-djalogu soċjali biex jiġu indirizzati l-isfidi fid-dinja tax-xogħol, inkluż in-nuqqas ta’ ħaddiema u ta’ ħiliet, ġiet affermata mill-ġdid fis-Summit ta’ Val Duchesse tal-2024 </w:t>
      </w:r>
      <w:r w:rsidRPr="00BE4DE0">
        <w:rPr>
          <w:noProof/>
        </w:rPr>
        <w:t>u fil-Patt għad-djalogu Soċjali Ewropew iffirmat f’Marzu 2025</w:t>
      </w:r>
      <w:r w:rsidRPr="00BE4DE0">
        <w:rPr>
          <w:rFonts w:asciiTheme="majorBidi" w:hAnsiTheme="majorBidi"/>
          <w:noProof/>
        </w:rPr>
        <w:t>.</w:t>
      </w:r>
    </w:p>
    <w:p w14:paraId="7786030B" w14:textId="77777777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(13)</w:t>
      </w:r>
      <w:r w:rsidRPr="00BE4DE0">
        <w:rPr>
          <w:noProof/>
        </w:rPr>
        <w:tab/>
        <w:t>Il-Faċilità għall-Irkupru u r-Reżiljenza u fondi oħra tal-Unjoni qed jappoġġaw lill-Istati Membri fl-implimentazzjoni ta’ riformi u ta’ investimenti skont il-prijoritajiet tal-Unjoni, u b’hekk l-ekonomiji u s-soċjetajiet fl-Unjoni jsiru aktar sostenibbli u reżiljenti u jkunu ppreparati aħjar għat-tranżizzjoni ekoloġika u dik diġitali. Il-gwerra ta’ aggressjoni tar-Russja kontra l-Ukrajna kompliet taggrava l-isfidi soċjoekonomiċi li kienu diġà jeżistu, inkluż il-faqar enerġetiku permezz ta’ prezzijiet ogħla tal-enerġija, filwaqt li l-inċertezzi fil-kummerċ globali u b’mod aktar wiesa’ mill-kuntest ġeopolitiku, jipperikolaw it-tkabbir. L-Istati Membri u l-Unjoni jenħtieġ li jkomplu jiżguraw li l-impatti soċjali, tal-impjieg u ekonomiċi jittaffew u li t-tranżizzjonijiet ikunu soċjalment ekwi u ġusti, anke fid-dawl tal-fatt li żieda fl-awtonomija strateġika miftuħa u tranżizzjoni ekoloġika aċċellerata se jgħinu biex titnaqqas id-dipendenza fuq l-importazzjonijiet tal-enerġija u ta’ prodotti u teknoloġiji strateġiċi oħrajn. It-tisħiħ tar-reżiljenza u l-insegwiment ta’ soċjetà inklużiva li fiha n-nies huma protetti u mogħtija s-setgħa biex jantiċipaw u jiġġestixxu l-bidla, u li fiha jistgħu jipparteċipaw b’mod attiv fis-soċjetà u fl-ekonomija, huma essenzjali.</w:t>
      </w:r>
    </w:p>
    <w:p w14:paraId="6B2FC583" w14:textId="7851BA0E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</w:rPr>
      </w:pPr>
      <w:r w:rsidRPr="00BE4DE0">
        <w:rPr>
          <w:noProof/>
        </w:rPr>
        <w:t>(14)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Jeħtieġ sett koerenti ta’ politiki attivi tas-suq tax-xogħol, li jikkonsisti minn inċentivi temporanji u mmirati għar-reklutaġġ u t-tranżizzjoni, politiki dwar il-ħiliet, inkluż l-apprendiment immirat għat-tranżizzjoni ekoloġika u l-iżvilupp sostenibbli, arranġamenti flessibbli għall-irtirar, u servizzi mmirati, effettivi u adattabbli għall-impjiegi, biex jiġu appoġġati t-tranżizzjonijiet fis-suq tax-xogħol u jsir użu sħiħ mill-potenzjal mhux sfruttat tas-suq tax-xogħol, bi qbil ukoll mal-approċċ ta’</w:t>
      </w:r>
      <w:r w:rsidRPr="00BE4DE0">
        <w:rPr>
          <w:noProof/>
        </w:rPr>
        <w:t xml:space="preserve"> </w:t>
      </w:r>
      <w:r w:rsidRPr="00BE4DE0">
        <w:rPr>
          <w:rFonts w:asciiTheme="majorBidi" w:hAnsiTheme="majorBidi"/>
          <w:noProof/>
        </w:rPr>
        <w:t>inklużjoni attiva u fid-dawl tat-trasformazzjonijiet ekoloġiċi u diġitali, kif ġie enfasizzat, fost l-oħrajn, fid-Dikjarazzjoni ta’ La Hulpe tal-2024 dwar il-Futur tal-Pilastru Ewropew tad-Drittijiet Soċjali (</w:t>
      </w:r>
      <w:r w:rsidRPr="00BE4DE0">
        <w:rPr>
          <w:rStyle w:val="FootnoteReference"/>
          <w:rFonts w:asciiTheme="majorBidi" w:hAnsiTheme="majorBidi" w:cstheme="majorBidi"/>
          <w:noProof/>
        </w:rPr>
        <w:footnoteReference w:id="34"/>
      </w:r>
      <w:r w:rsidRPr="00BE4DE0">
        <w:rPr>
          <w:rFonts w:asciiTheme="majorBidi" w:hAnsiTheme="majorBidi"/>
          <w:noProof/>
        </w:rPr>
        <w:t>). Jenħtieġ li jiġu żgurati kundizzjonijiet tax-xogħol deċenti u s-saħħa u s-sikurezza okkupazzjonali, li jinkludu kemm is-saħħa fiżika kif ukoll dik mentali tal-ħaddiema.</w:t>
      </w:r>
    </w:p>
    <w:p w14:paraId="22B930FF" w14:textId="77777777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  <w:szCs w:val="24"/>
        </w:rPr>
      </w:pPr>
      <w:r w:rsidRPr="00BE4DE0">
        <w:rPr>
          <w:noProof/>
        </w:rPr>
        <w:t>(15)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Jenħtieġ li tiġi indirizzata d-diskriminazzjoni fil-forom kollha tagħha, tiġi żgurata l-ugwaljanza bejn il-ġeneri u jiġi appoġġat l-impjieg ta’ gruppi li huma sottorappreżentati fis-suq tax-xogħol. Jenħtieġ li jiġu żgurati aċċess u opportunitajiet ugwali għal kulħadd, u l-faqar u l-esklużjoni soċjali, b’mod partikolari tat-tfal, tal-persuni b’diżabbiltà u tal-persuni Rom, jenħtieġ li jitnaqqsu, b’mod partikolari billi jiġi żgurat funzjonament effettiv tas-swieq tax-xogħol u sistemi ta’ protezzjoni soċjali adegwati u inklużivi, kif stabbilit fir-Rakkomandazzjoni tal-Kunsill tat-8 ta’ Novembru 2019 (</w:t>
      </w:r>
      <w:r w:rsidRPr="00BE4DE0">
        <w:rPr>
          <w:rStyle w:val="FootnoteReference"/>
          <w:rFonts w:asciiTheme="majorBidi" w:hAnsiTheme="majorBidi" w:cstheme="majorBidi"/>
          <w:noProof/>
        </w:rPr>
        <w:footnoteReference w:id="35"/>
      </w:r>
      <w:r w:rsidRPr="00BE4DE0">
        <w:rPr>
          <w:rFonts w:asciiTheme="majorBidi" w:hAnsiTheme="majorBidi"/>
          <w:noProof/>
        </w:rPr>
        <w:t>) u tat-30 ta’ Jannar 2023 (</w:t>
      </w:r>
      <w:r w:rsidRPr="00BE4DE0">
        <w:rPr>
          <w:rStyle w:val="FootnoteReference"/>
          <w:noProof/>
        </w:rPr>
        <w:footnoteReference w:id="36"/>
      </w:r>
      <w:r w:rsidRPr="00BE4DE0">
        <w:rPr>
          <w:rFonts w:asciiTheme="majorBidi" w:hAnsiTheme="majorBidi"/>
          <w:noProof/>
        </w:rPr>
        <w:t>). Barra minn hekk, jenħtieġ li jitneħħew</w:t>
      </w:r>
      <w:r w:rsidRPr="00BE4DE0">
        <w:rPr>
          <w:noProof/>
        </w:rPr>
        <w:t xml:space="preserve"> l-ostakli</w:t>
      </w:r>
      <w:r w:rsidRPr="00BE4DE0">
        <w:rPr>
          <w:rFonts w:asciiTheme="majorBidi" w:hAnsiTheme="majorBidi"/>
          <w:noProof/>
        </w:rPr>
        <w:t xml:space="preserve"> għall-edukazzjoni u t-taħriġ ta’ kwalità għolja inklużivi u orjentati lejn il-futur, għall-apprendiment tul il-ħajja u għall-parteċipazzjoni fis-suq tax-xogħol. L-Istati Membri jenħtieġ li jinvestu f’edukazzjoni u kura bikrija tat-tfal, skont il-Garanzija Ewropea għat-Tfal u r-Rakkomandazzjoni dwar il-“miri ta’ Barċellona għall-2030”, biex l-edukazzjoni u t-taħriġ vokazzjonali jsiru aktar attraenti u inklużivi, skont ir-Rakkomandazzjoni tal-Kunsill tal-24 ta’ Novembru 2020 (</w:t>
      </w:r>
      <w:r w:rsidR="00755378" w:rsidRPr="00BE4DE0">
        <w:rPr>
          <w:rStyle w:val="FootnoteReference"/>
          <w:noProof/>
        </w:rPr>
        <w:footnoteReference w:id="37"/>
      </w:r>
      <w:r w:rsidRPr="00BE4DE0">
        <w:rPr>
          <w:rFonts w:asciiTheme="majorBidi" w:hAnsiTheme="majorBidi"/>
          <w:noProof/>
        </w:rPr>
        <w:t xml:space="preserve">), u fil-ħiliet diġitali u ekoloġiċi, skont il-Pjan ta’ Azzjoni għall-Edukazzjoni Diġitali u r-Rakkomandazzjonijiet dwar l-apprendiment favur it-tranżizzjoni ekoloġika u l-iżvilupp sostenibbli u dwar il-Perkorsi għas-Suċċess fl-Iskola. L-aċċess għal akkomodazzjoni affordabbli u adegwata, inkluż permezz ta’ akkomodazzjoni soċjali, huwa kundizzjoni meħtieġa biex jiġu żgurati opportunitajiet indaqs. Il-problema tal-persuni mingħajr dar jenħtieġ li tiġi indirizzata, speċifikament permezz ta’ miżuri ta’ prevenzjoni u tal-promozzjoni tal-aċċess għal akkomodazzjoni permanenti, u tal-għoti ta’ servizzi ta’ appoġġ abilitanti. </w:t>
      </w:r>
      <w:r w:rsidRPr="00BE4DE0">
        <w:rPr>
          <w:noProof/>
        </w:rPr>
        <w:t>Huwa partikolarment rilevanti l-aċċess f’waqtu u ugwali għal kura fit-tul affordabbli u ta’ kwalità għolja, skont ir-Rakkomandazzjoni tal-Kunsill tat-8 ta’ Diċembru 2022 (</w:t>
      </w:r>
      <w:r w:rsidRPr="00BE4DE0">
        <w:rPr>
          <w:rStyle w:val="FootnoteReference"/>
          <w:rFonts w:asciiTheme="majorBidi" w:hAnsiTheme="majorBidi" w:cstheme="majorBidi"/>
          <w:noProof/>
        </w:rPr>
        <w:footnoteReference w:id="38"/>
      </w:r>
      <w:r w:rsidRPr="00BE4DE0">
        <w:rPr>
          <w:noProof/>
        </w:rPr>
        <w:t>), u għal servizzi tal-kura tas-saħħa, inklużi l-prevenzjoni u l-promozzjoni tal-kura tas-saħħa, fid-dawl tar-riskji potenzjali għas-saħħa fil-futur u f’kuntest ta’ soċjetajiet li qegħdin jixjieħu. Il-potenzjal tal-persuni b’diżabilità li jikkontribwixxu għat-tkabbir ekonomiku u għall-iżvilupp soċjali jenħtieġ li jkompli jiġi realizzat, skont l-Istrateġija dwar id-Drittijiet tal-Persuni b’Diżabilità, li stiednet lill-Istati Membri jistabbilixxu miri għall-impjiegi u l-apprendiment għall-adulti għall-persuni b’diżabilità. Il-Qafas Strateġiku tal-UE għar-Rom (</w:t>
      </w:r>
      <w:r w:rsidRPr="00BE4DE0">
        <w:rPr>
          <w:rStyle w:val="FootnoteReference"/>
          <w:noProof/>
        </w:rPr>
        <w:footnoteReference w:id="39"/>
      </w:r>
      <w:r w:rsidRPr="00BE4DE0">
        <w:rPr>
          <w:noProof/>
        </w:rPr>
        <w:t>) jenfasizza l-kapaċità fi ħdan il-komunitajiet Rom emarġinati li jtaffi n-nuqqas ta’ ħaddiema u ta’ ħiliet u għandu l-għan li jnaqqas id-differenza fl-impjiegi bejn ir-Rom u l-popolazzjoni ġenerali mill-inqas bin-nofs. It-teknoloġiji l-ġodda u l-postijiet tax-xogħol li qed jevolvu madwar l-Unjoni kollha jippermettu li jkun hemm arranġamenti tax-xogħol aktar flessibbli kif ukoll titjib fil-produttività u fil-bilanċ bejn ix-xogħol u l-ħajja privata, filwaqt li jikkontribwixxu għall-impenji ekoloġiċi tal-Unjoni. Dawk l-iżviluppi jġibu wkoll sfidi ġodda għas-swieq tax-xogħol, li jaffettwaw il-kundizzjonijiet tax-xogħol, is-saħħa u s-sikurezza fuq il-post tax-xogħol u l-aċċess effettiv għall-protezzjoni soċjali adegwata għall-ħaddiema u għall-persuni li jaħdmu għal rashom. L-Istati Membri, f’kollaborazzjoni mas-sħab soċjali, jenħtieġ li jiżguraw li l-forom ġodda ta’ organizzazzjoni tax-xogħol jissarrfu f’impjiegi ta’ kwalità u f’postijiet tax-xogħol u kundizzjonijiet tax-xogħol sani u siguri, kif ukoll f’bilanċ bejn ix-xogħol u l-ħajja privata, f’tixjiħ attiv u san filwaqt li jżommu d-drittijiet soċjali u tax-xogħol stabbiliti u jsaħħu l-mudell soċjali tal-Unjoni.</w:t>
      </w:r>
    </w:p>
    <w:p w14:paraId="35996A99" w14:textId="77777777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</w:rPr>
      </w:pPr>
      <w:r w:rsidRPr="00BE4DE0">
        <w:rPr>
          <w:noProof/>
        </w:rPr>
        <w:t>(16)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Il-Linji Gwida Integrati jenħtieġ li jservu ta’ bażi għar-rakkomandazzjonijiet speċifiċi għall-pajjiżi li l-Kunsill jindirizza lill-Istati Membri. L-Istati Membri jenħtieġ li jagħmlu użu sħiħ mill-Fond Soċjali Ewropew Plus, mill-Fond Ewropew għall-Iżvilupp Reġjonali, mill-Faċilità għall-Irkupru u r-Reżiljenza, u minn fondi oħrajn tal-Unjoni, fosthom il-Fond Soċjali għall-Klima, il-Fond għal Tranżizzjoni Ġusta u InvestEU stabbilit bir-Regolament (UE) 2021/523 tal-Parlament Ewropew u tal-Kunsill (</w:t>
      </w:r>
      <w:r w:rsidRPr="00BE4DE0">
        <w:rPr>
          <w:rStyle w:val="FootnoteReference"/>
          <w:noProof/>
        </w:rPr>
        <w:footnoteReference w:id="40"/>
      </w:r>
      <w:r w:rsidRPr="00BE4DE0">
        <w:rPr>
          <w:rFonts w:asciiTheme="majorBidi" w:hAnsiTheme="majorBidi"/>
          <w:noProof/>
        </w:rPr>
        <w:t xml:space="preserve">), kif ukoll l-Istrument ta’ Appoġġ Tekniku biex irawmu impjiegi ta’ kwalità u investimenti soċjali, biex jiġġieldu l-faqar u l-esklużjoni soċjali, biex jiġġieldu d-diskriminazzjoni, biex jiżguraw l-aċċessibbiltà u l-inklużjoni, u biex jippromwovu opportunitajiet ta’ tiġdid u ta’ titjib tal-ħiliet għall-forza tax-xogħol, apprendiment tul il-ħajja u edukazzjoni u taħriġ ta’ kwalità għolja għal kulħadd, inkluż il-litteriżmu u l-ħiliet diġitali sabiex iċ-ċittadini jingħataw is-setgħa bl-għarfien u bil-kwalifiki meħtieġa għal ekonomija diġitali, ekoloġika u kompetittiva. </w:t>
      </w:r>
      <w:bookmarkStart w:id="6" w:name="_Hlk198291624"/>
      <w:r w:rsidRPr="00BE4DE0">
        <w:rPr>
          <w:rFonts w:asciiTheme="majorBidi" w:hAnsiTheme="majorBidi"/>
          <w:noProof/>
        </w:rPr>
        <w:t xml:space="preserve">L-emendi introdotti bir-Regolament (UE) 2024/795 li jistabbilixxi Pjattaforma tat-Teknoloġiji Strateġiċi għall-Ewropa (STEP, Strategic Technologies for Europe Platform) u l-Komunikazzjoni riċenti tal-Kummissjoni dwar il-Politika ta’ Koeżjoni mmodernizzata: Ir-rieżami ta’ nofs it-terminu għandu l-għan li jallinja l-appoġġ ipprovdut ma’ prijoritajiet strateġiċi ġodda, inkluż li jindirizza n-nuqqas ta’ ħiliet f’ċerti setturi, bħall-iżvilupp u l-manifattura ta’ teknoloġiji kritiċi, l-industrija tad-difiża u s-setturi affettwati mid-dekarbonizzazzjoni u t-tranżizzjoni ekoloġika u dik diġitali. </w:t>
      </w:r>
      <w:bookmarkEnd w:id="6"/>
      <w:r w:rsidRPr="00BE4DE0">
        <w:rPr>
          <w:rFonts w:asciiTheme="majorBidi" w:hAnsiTheme="majorBidi"/>
          <w:noProof/>
        </w:rPr>
        <w:t>L-Istati Membri jenħtieġ li jagħmlu wkoll użu sħiħ mill-Fond Ewropew ta’ Aġġustament għall-Globalizzazzjoni għall-Ħaddiema Ssensjati stabbilit bir-Regolament (UE) 2021/691 tal-Parlament Ewropew u tal-Kunsill (</w:t>
      </w:r>
      <w:r w:rsidRPr="00BE4DE0">
        <w:rPr>
          <w:rStyle w:val="FootnoteReference"/>
          <w:noProof/>
        </w:rPr>
        <w:footnoteReference w:id="41"/>
      </w:r>
      <w:r w:rsidRPr="00BE4DE0">
        <w:rPr>
          <w:rFonts w:asciiTheme="majorBidi" w:hAnsiTheme="majorBidi"/>
          <w:noProof/>
        </w:rPr>
        <w:t xml:space="preserve">) biex jappoġġaw lill-ħaddiema li jkunu ngħataw is-sensja b’riżultat ta’ avvenimenti maġġuri ta’ ristrutturar, bħat-trasformazzjonijiet soċjoekonomiċi li huma r-riżultat ta’ xejriet globali u bidliet teknoloġiċi u ambjentali. Filwaqt li l-Linji Gwida </w:t>
      </w:r>
      <w:bookmarkStart w:id="7" w:name="_Hlk181888606"/>
      <w:r w:rsidRPr="00BE4DE0">
        <w:rPr>
          <w:noProof/>
        </w:rPr>
        <w:t>Integrati</w:t>
      </w:r>
      <w:bookmarkEnd w:id="7"/>
      <w:r w:rsidRPr="00BE4DE0">
        <w:rPr>
          <w:rFonts w:asciiTheme="majorBidi" w:hAnsiTheme="majorBidi"/>
          <w:noProof/>
        </w:rPr>
        <w:t xml:space="preserve"> huma indirizzati lill-Istati Membri u lill-Unjoni, dawn jenħtieġ li jiġu implimentati fi sħubija mal-awtoritajiet nazzjonali, reġjonali u lokali kollha, bl-involviment mill-qrib tal-parlamenti, kif ukoll tas-sħab soċjali u r-rappreżentanti tas-soċjetà ċivili.</w:t>
      </w:r>
    </w:p>
    <w:p w14:paraId="599B3FC1" w14:textId="77777777" w:rsidR="000A7726" w:rsidRPr="00BE4DE0" w:rsidRDefault="000A7726" w:rsidP="000A7726">
      <w:pPr>
        <w:pStyle w:val="ManualConsidrant"/>
        <w:rPr>
          <w:rFonts w:asciiTheme="majorBidi" w:hAnsiTheme="majorBidi" w:cstheme="majorBidi"/>
          <w:noProof/>
          <w:szCs w:val="24"/>
        </w:rPr>
      </w:pPr>
      <w:r w:rsidRPr="00BE4DE0">
        <w:rPr>
          <w:noProof/>
        </w:rPr>
        <w:t>(17)</w:t>
      </w:r>
      <w:r w:rsidRPr="00BE4DE0">
        <w:rPr>
          <w:noProof/>
        </w:rPr>
        <w:tab/>
      </w:r>
      <w:r w:rsidRPr="00BE4DE0">
        <w:rPr>
          <w:rFonts w:asciiTheme="majorBidi" w:hAnsiTheme="majorBidi"/>
          <w:noProof/>
        </w:rPr>
        <w:t>Il-Kumitat tal-Impjiegi u l-Kumitat tal-Protezzjoni Soċjali jenħtieġ li jimmonitorjaw kif jiġu implimentati l-politiki rilevanti fid-dawl tal-Linji Gwida dwar l-Impjiegi, bi qbil mal-mandati rispettivi skont it-TFUE. Dawk il-kumitati u l-korpi preparatorji tal-Kunsill involuti fil-koordinazzjoni ta’ politiki ekonomiċi u soċjali jenħtieġ li jaħdmu flimkien mill-qrib. Id-djalogu ta’ politika bejn il-Parlament Ewropew, il-Kunsill u l-Kummissjoni jenħtieġ li jibqa’ għaddej, b’mod partikolari fir-rigward tal-Linji Gwida dwar l-Impjiegi.</w:t>
      </w:r>
    </w:p>
    <w:p w14:paraId="33E9B697" w14:textId="77777777" w:rsidR="000A7726" w:rsidRPr="00BE4DE0" w:rsidRDefault="000A7726" w:rsidP="000A7726">
      <w:pPr>
        <w:pStyle w:val="ManualConsidrant"/>
        <w:rPr>
          <w:noProof/>
        </w:rPr>
      </w:pPr>
      <w:r w:rsidRPr="00BE4DE0">
        <w:rPr>
          <w:noProof/>
        </w:rPr>
        <w:t>(18)</w:t>
      </w:r>
      <w:r w:rsidRPr="00BE4DE0">
        <w:rPr>
          <w:noProof/>
        </w:rPr>
        <w:tab/>
        <w:t>Il-Kumitat tal-Protezzjoni Soċjali ġie kkonsultat,</w:t>
      </w:r>
    </w:p>
    <w:p w14:paraId="5221A08D" w14:textId="77777777" w:rsidR="002B26AA" w:rsidRPr="00BE4DE0" w:rsidRDefault="002B26AA" w:rsidP="000B3C18">
      <w:pPr>
        <w:pStyle w:val="Formuledadoption"/>
        <w:rPr>
          <w:noProof/>
        </w:rPr>
      </w:pPr>
      <w:r w:rsidRPr="00BE4DE0">
        <w:rPr>
          <w:noProof/>
        </w:rPr>
        <w:t xml:space="preserve">ADOTTA DIN ID-DEĊIŻJONI: </w:t>
      </w:r>
    </w:p>
    <w:p w14:paraId="6F192D44" w14:textId="77777777" w:rsidR="002B26AA" w:rsidRPr="00BE4DE0" w:rsidRDefault="002B26AA" w:rsidP="000B3C18">
      <w:pPr>
        <w:pStyle w:val="Titrearticle"/>
        <w:rPr>
          <w:noProof/>
        </w:rPr>
      </w:pPr>
      <w:r w:rsidRPr="00BE4DE0">
        <w:rPr>
          <w:noProof/>
        </w:rPr>
        <w:t>Artikolu 1</w:t>
      </w:r>
    </w:p>
    <w:p w14:paraId="33EA870F" w14:textId="77777777" w:rsidR="000A7726" w:rsidRPr="00BE4DE0" w:rsidRDefault="000A7726" w:rsidP="000A7726">
      <w:pPr>
        <w:rPr>
          <w:noProof/>
        </w:rPr>
      </w:pPr>
      <w:r w:rsidRPr="00BE4DE0">
        <w:rPr>
          <w:noProof/>
        </w:rPr>
        <w:t xml:space="preserve">Il-Linji Gwida għall-politiki dwar l-impjiegi tal-Istati Membri, kif stabbiliti fl-Anness tad-Deċiżjoni (UE) 2024/3134, qegħdin jinżammu għall-2025 u għandhom jitqiesu mill-Istati Membri fil-politiki dwar l-impjiegi u fil-programmi tar-riformi tagħhom. </w:t>
      </w:r>
    </w:p>
    <w:p w14:paraId="474C1FF1" w14:textId="77777777" w:rsidR="002B26AA" w:rsidRPr="00BE4DE0" w:rsidRDefault="002B26AA" w:rsidP="005F3D72">
      <w:pPr>
        <w:pStyle w:val="Titrearticle"/>
        <w:rPr>
          <w:noProof/>
        </w:rPr>
      </w:pPr>
      <w:r w:rsidRPr="00BE4DE0">
        <w:rPr>
          <w:noProof/>
        </w:rPr>
        <w:t xml:space="preserve">Artikolu </w:t>
      </w:r>
      <w:bookmarkStart w:id="8" w:name="_Hlk126129799"/>
      <w:r w:rsidRPr="00BE4DE0">
        <w:rPr>
          <w:noProof/>
        </w:rPr>
        <w:t>2</w:t>
      </w:r>
      <w:bookmarkEnd w:id="8"/>
    </w:p>
    <w:p w14:paraId="4E72440E" w14:textId="77777777" w:rsidR="002B26AA" w:rsidRPr="00BE4DE0" w:rsidRDefault="002B26AA" w:rsidP="000B3C18">
      <w:pPr>
        <w:keepLines/>
        <w:rPr>
          <w:noProof/>
        </w:rPr>
      </w:pPr>
      <w:r w:rsidRPr="00BE4DE0">
        <w:rPr>
          <w:noProof/>
        </w:rPr>
        <w:t>Din id-Deċiżjoni hija indirizzata lill-Istati Membri.</w:t>
      </w:r>
    </w:p>
    <w:p w14:paraId="10A9AF52" w14:textId="2E176410" w:rsidR="000A7726" w:rsidRPr="00BE4DE0" w:rsidRDefault="00BE4DE0" w:rsidP="005F3D72">
      <w:pPr>
        <w:pStyle w:val="Fait"/>
        <w:rPr>
          <w:noProof/>
        </w:rPr>
      </w:pPr>
      <w:r>
        <w:rPr>
          <w:noProof/>
        </w:rPr>
        <w:t>Magħmul fi Brussell,</w:t>
      </w:r>
    </w:p>
    <w:p w14:paraId="15E6E9B7" w14:textId="77777777" w:rsidR="002B26AA" w:rsidRPr="00BE4DE0" w:rsidRDefault="002B26AA" w:rsidP="005F3D72">
      <w:pPr>
        <w:pStyle w:val="Institutionquisigne"/>
        <w:rPr>
          <w:noProof/>
        </w:rPr>
      </w:pPr>
      <w:r w:rsidRPr="00BE4DE0">
        <w:rPr>
          <w:noProof/>
        </w:rPr>
        <w:tab/>
        <w:t>Għall-Kunsill</w:t>
      </w:r>
    </w:p>
    <w:p w14:paraId="56A0BCF0" w14:textId="77777777" w:rsidR="002B26AA" w:rsidRPr="00BE4DE0" w:rsidRDefault="002B26AA" w:rsidP="00045F71">
      <w:pPr>
        <w:pStyle w:val="Personnequisigne"/>
        <w:rPr>
          <w:noProof/>
          <w:color w:val="008000"/>
        </w:rPr>
      </w:pPr>
      <w:r w:rsidRPr="00BE4DE0">
        <w:rPr>
          <w:noProof/>
        </w:rPr>
        <w:tab/>
        <w:t>Il-President</w:t>
      </w:r>
    </w:p>
    <w:sectPr w:rsidR="002B26AA" w:rsidRPr="00BE4DE0" w:rsidSect="00D001BA">
      <w:pgSz w:w="11907" w:h="16840" w:code="9"/>
      <w:pgMar w:top="1134" w:right="1418" w:bottom="1134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26530" w14:textId="77777777" w:rsidR="00066507" w:rsidRDefault="00066507" w:rsidP="002B26AA">
      <w:pPr>
        <w:spacing w:before="0" w:after="0"/>
      </w:pPr>
      <w:r>
        <w:separator/>
      </w:r>
    </w:p>
  </w:endnote>
  <w:endnote w:type="continuationSeparator" w:id="0">
    <w:p w14:paraId="3F241DCC" w14:textId="77777777" w:rsidR="00066507" w:rsidRDefault="00066507" w:rsidP="002B26AA">
      <w:pPr>
        <w:spacing w:before="0" w:after="0"/>
      </w:pPr>
      <w:r>
        <w:continuationSeparator/>
      </w:r>
    </w:p>
  </w:endnote>
  <w:endnote w:type="continuationNotice" w:id="1">
    <w:p w14:paraId="4CD351FB" w14:textId="77777777" w:rsidR="00066507" w:rsidRDefault="0006650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08CF2" w14:textId="75AB1D89" w:rsidR="00D001BA" w:rsidRPr="00D001BA" w:rsidRDefault="00D001BA" w:rsidP="00D001BA">
    <w:pPr>
      <w:pStyle w:val="Footer"/>
      <w:rPr>
        <w:rFonts w:ascii="Arial" w:hAnsi="Arial" w:cs="Arial"/>
        <w:b/>
        <w:sz w:val="48"/>
      </w:rPr>
    </w:pPr>
    <w:r w:rsidRPr="00D001BA">
      <w:rPr>
        <w:rFonts w:ascii="Arial" w:hAnsi="Arial" w:cs="Arial"/>
        <w:b/>
        <w:sz w:val="48"/>
      </w:rPr>
      <w:t>MT</w:t>
    </w:r>
    <w:r w:rsidRPr="00D001BA">
      <w:rPr>
        <w:rFonts w:ascii="Arial" w:hAnsi="Arial" w:cs="Arial"/>
        <w:b/>
        <w:sz w:val="48"/>
      </w:rPr>
      <w:tab/>
    </w:r>
    <w:r w:rsidRPr="00D001BA">
      <w:rPr>
        <w:rFonts w:ascii="Arial" w:hAnsi="Arial" w:cs="Arial"/>
        <w:b/>
        <w:sz w:val="48"/>
      </w:rPr>
      <w:tab/>
    </w:r>
    <w:r w:rsidRPr="00D001BA">
      <w:tab/>
    </w:r>
    <w:r w:rsidRPr="00D001BA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243E" w14:textId="0607DA3E" w:rsidR="00D001BA" w:rsidRPr="00D001BA" w:rsidRDefault="00D001BA" w:rsidP="00D001BA">
    <w:pPr>
      <w:pStyle w:val="Footer"/>
      <w:rPr>
        <w:rFonts w:ascii="Arial" w:hAnsi="Arial" w:cs="Arial"/>
        <w:b/>
        <w:sz w:val="48"/>
      </w:rPr>
    </w:pPr>
    <w:r w:rsidRPr="00D001BA">
      <w:rPr>
        <w:rFonts w:ascii="Arial" w:hAnsi="Arial" w:cs="Arial"/>
        <w:b/>
        <w:sz w:val="48"/>
      </w:rPr>
      <w:t>MT</w:t>
    </w:r>
    <w:r w:rsidRPr="00D001BA">
      <w:rPr>
        <w:rFonts w:ascii="Arial" w:hAnsi="Arial" w:cs="Arial"/>
        <w:b/>
        <w:sz w:val="48"/>
      </w:rPr>
      <w:tab/>
    </w:r>
    <w:r w:rsidRPr="00D001BA">
      <w:rPr>
        <w:rFonts w:ascii="Arial" w:hAnsi="Arial" w:cs="Arial"/>
        <w:b/>
        <w:sz w:val="48"/>
      </w:rPr>
      <w:tab/>
    </w:r>
    <w:r w:rsidRPr="00D001BA">
      <w:tab/>
    </w:r>
    <w:r w:rsidRPr="00D001BA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33979" w14:textId="77777777" w:rsidR="00D001BA" w:rsidRDefault="00D001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1498" w14:textId="6F45094A" w:rsidR="00D001BA" w:rsidRPr="00D001BA" w:rsidRDefault="00D001BA" w:rsidP="00D001BA">
    <w:pPr>
      <w:pStyle w:val="Footer"/>
      <w:rPr>
        <w:rFonts w:ascii="Arial" w:hAnsi="Arial" w:cs="Arial"/>
        <w:b/>
        <w:sz w:val="48"/>
      </w:rPr>
    </w:pPr>
    <w:r w:rsidRPr="00D001BA">
      <w:rPr>
        <w:rFonts w:ascii="Arial" w:hAnsi="Arial" w:cs="Arial"/>
        <w:b/>
        <w:sz w:val="48"/>
      </w:rPr>
      <w:t>MT</w:t>
    </w:r>
    <w:r w:rsidRPr="00D001BA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5F3D72">
      <w:rPr>
        <w:noProof/>
      </w:rPr>
      <w:t>10</w:t>
    </w:r>
    <w:r>
      <w:fldChar w:fldCharType="end"/>
    </w:r>
    <w:r>
      <w:tab/>
    </w:r>
    <w:r w:rsidRPr="00D001BA">
      <w:tab/>
    </w:r>
    <w:r w:rsidRPr="00D001BA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104C" w14:textId="77777777" w:rsidR="00D001BA" w:rsidRDefault="00D001BA" w:rsidP="00D00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AA920" w14:textId="77777777" w:rsidR="00066507" w:rsidRDefault="00066507" w:rsidP="002B26AA">
      <w:pPr>
        <w:spacing w:before="0" w:after="0"/>
      </w:pPr>
      <w:r>
        <w:separator/>
      </w:r>
    </w:p>
  </w:footnote>
  <w:footnote w:type="continuationSeparator" w:id="0">
    <w:p w14:paraId="0DDFCFD2" w14:textId="77777777" w:rsidR="00066507" w:rsidRDefault="00066507" w:rsidP="002B26AA">
      <w:pPr>
        <w:spacing w:before="0" w:after="0"/>
      </w:pPr>
      <w:r>
        <w:continuationSeparator/>
      </w:r>
    </w:p>
  </w:footnote>
  <w:footnote w:type="continuationNotice" w:id="1">
    <w:p w14:paraId="185B4B71" w14:textId="77777777" w:rsidR="00066507" w:rsidRDefault="00066507">
      <w:pPr>
        <w:spacing w:before="0" w:after="0"/>
      </w:pPr>
    </w:p>
  </w:footnote>
  <w:footnote w:id="2">
    <w:p w14:paraId="121821C9" w14:textId="77777777" w:rsidR="00AF77B2" w:rsidRPr="002855FB" w:rsidRDefault="00AF77B2" w:rsidP="00AF77B2">
      <w:pPr>
        <w:pStyle w:val="FootnoteText"/>
      </w:pPr>
      <w:r>
        <w:rPr>
          <w:rStyle w:val="FootnoteReference"/>
        </w:rPr>
        <w:footnoteRef/>
      </w:r>
      <w:r>
        <w:tab/>
        <w:t>Opinjoni ta’ (id-data għadha trid tiġi ddeterminata) 2025 (għadha ma ġietx ippubblikata f’Il-Ġurnal Uffiċjali).</w:t>
      </w:r>
    </w:p>
  </w:footnote>
  <w:footnote w:id="3">
    <w:p w14:paraId="42D4D856" w14:textId="77777777" w:rsidR="00AF77B2" w:rsidRPr="002855FB" w:rsidRDefault="00AF77B2" w:rsidP="00AF77B2">
      <w:pPr>
        <w:pStyle w:val="FootnoteText"/>
      </w:pPr>
      <w:r>
        <w:rPr>
          <w:rStyle w:val="FootnoteReference"/>
        </w:rPr>
        <w:footnoteRef/>
      </w:r>
      <w:r>
        <w:tab/>
        <w:t>Opinjoni ta’ (id-data għadha trid tiġi ddeterminata) 2025 (għadha ma ġietx ippubblikata f’Il-Ġurnal Uffiċjali).</w:t>
      </w:r>
    </w:p>
  </w:footnote>
  <w:footnote w:id="4">
    <w:p w14:paraId="7A7C3D8B" w14:textId="77777777" w:rsidR="00AF77B2" w:rsidRPr="002855FB" w:rsidRDefault="00AF77B2" w:rsidP="00AF77B2">
      <w:pPr>
        <w:pStyle w:val="FootnoteText"/>
      </w:pPr>
      <w:r>
        <w:rPr>
          <w:rStyle w:val="FootnoteReference"/>
        </w:rPr>
        <w:footnoteRef/>
      </w:r>
      <w:r>
        <w:tab/>
        <w:t>Opinjoni ta’ (id-data għadha trid tiġi ddeterminata) 2025 (għadha ma ġietx ippubblikata f’Il-Ġurnal Uffiċjali).</w:t>
      </w:r>
    </w:p>
  </w:footnote>
  <w:footnote w:id="5">
    <w:p w14:paraId="0B5209B1" w14:textId="77777777" w:rsidR="000A7726" w:rsidRPr="00E77331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  <w:t>Id-Deċiżjoni tal-Kunsill (UE) 2024/3134 tat-2 ta’ Diċembru 2024 dwar linji gwida għall-politiki dwar l-impjiegi tal-Istati Membri (ĠU L, 2024/3134, 13.12.2024).</w:t>
      </w:r>
    </w:p>
  </w:footnote>
  <w:footnote w:id="6">
    <w:p w14:paraId="654A7914" w14:textId="77777777" w:rsidR="000A7726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(UE) 2015/1184 tal-14 ta’ Lulju 2015 dwar linji gwida ġenerali għall-politiki ekonomiċi tal-Istati Membri u tal-Unjoni Ewropea (ĠU L 192, 18.7.2015, p. 27).</w:t>
      </w:r>
    </w:p>
  </w:footnote>
  <w:footnote w:id="7">
    <w:p w14:paraId="7513F3CA" w14:textId="77777777" w:rsidR="000A7726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  <w:t>Il-Komunikazzjoni tal-Kummissjoni tal-5 ta’ Marzu 2025, bit-titolu “L-Unjoni tal-Ħiliet” (COM(2025) 90 final).</w:t>
      </w:r>
    </w:p>
  </w:footnote>
  <w:footnote w:id="8">
    <w:p w14:paraId="197C926F" w14:textId="77777777" w:rsidR="000A7726" w:rsidRPr="00C114E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Ir-Regolament (UE) 2024/1263 tal-Parlament Ewropew u tal-Kunsill tad-29 ta’ April 2024 dwar il-koordinazzjoni effettiva tal-politiki ekonomiċi u dwar is-sorveljanza baġitarja multilaterali u li jħassar ir-Regolament tal-Kunsill (KE) Nru 1466/97 (ĠU L, 2024/1263, 30.4.2024, ELI: http://data.europa.eu/eli/reg/2024/1263/oj</w:t>
      </w:r>
      <w:r>
        <w:t>).</w:t>
      </w:r>
    </w:p>
  </w:footnote>
  <w:footnote w:id="9">
    <w:p w14:paraId="5B0A5E26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(UE) 2021/1004 tal-14 ta’ Ġunju 2021 li tistabbilixxi Garanzija Ewropea għat-Tfal (ĠU L 223, 22.6.2021, p. 14).</w:t>
      </w:r>
    </w:p>
  </w:footnote>
  <w:footnote w:id="10">
    <w:p w14:paraId="37CACFFE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tad-29 ta’ Novembru 2021 dwar approċċi ta’ tagħlim imħallat għal edukazzjoni primarja u sekondarja ta’ kwalità għolja u inklużiva (ĠU C 504, 14.12.2021, p. 21).</w:t>
      </w:r>
    </w:p>
  </w:footnote>
  <w:footnote w:id="11">
    <w:p w14:paraId="7A9A043C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tal-5 ta’ April 2022 dwar il-bini ta’ konnessjonijiet għal kooperazzjoni effettiva Ewropea fl-edukazzjoni għolja (ĠU C 160, 13.4.2022, p.1).</w:t>
      </w:r>
    </w:p>
  </w:footnote>
  <w:footnote w:id="12">
    <w:p w14:paraId="01A15E26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tas-16 ta’ Ġunju 2022 dwar l-apprendiment favur it-tranżizzjoni ekoloġika u l-iżvilupp sostenibbli (ĠU C 243, 27.6.2022, p. 1), ir-Rakkomandazzjoni tal-Kunsill tas-16 ta’ Ġunju 2022 dwar approċċ Ewropew għall-mikrokredenzjali għall-apprendiment tul il-ħajja u għall-impjegabbiltà (ĠU C 243, 27.6.2022, p. 10), ir-Rakkomandazzjoni tal-Kunsill tas-16 ta’ Ġunju 2022 dwar kontijiet individwali tal-apprendiment (ĠU C 243, 27.6.2022, p. 26), u r-Rakkomandazzjoni tal-Kunsill tas-16 ta’ Ġunju 2022 dwar l-iżgurar ta’ tranżizzjoni ġusta lejn in-newtralità klimatika (ĠU C 243, 27.6.2022, p. 35).</w:t>
      </w:r>
    </w:p>
  </w:footnote>
  <w:footnote w:id="13">
    <w:p w14:paraId="26A57E18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tat-28 ta’ Novembru 2022 dwar il-Perkorsi għas-Suċċess fl-Iskola u li tissostitwixxi r-Rakkomandazzjoni tal-Kunsill tat-28 ta’ Ġunju 2011 dwar linji politiċi sabiex jitnaqqas it-tluq bikri mill-iskejjel (ĠU C 469, 9.12.2022, p. 1).</w:t>
      </w:r>
    </w:p>
  </w:footnote>
  <w:footnote w:id="14">
    <w:p w14:paraId="35E33197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tat-8 ta’ Diċembru 2022 dwar l-aċċess għall-kura fit-tul affordabbli u ta’ kwalità għolja (ĠU C 476, 15.12.2022, p. 1) u r-Rakkomandazzjoni tal-Kunsill tat-8 ta’ Diċembru 2022 dwar l-edukazzjoni u l-kura bikrija tat-tfal: il-miri ta’ Barċellona għall-2030 (ĠU C 484, 20.12.2022, p. 1).</w:t>
      </w:r>
    </w:p>
  </w:footnote>
  <w:footnote w:id="15">
    <w:p w14:paraId="67F24F26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tat-30 ta’ Jannar 2023 dwar introjtu minimu adegwat li jiżgura inklużjoni attiva (ĠU C 41, 3.2.2023, p.1).</w:t>
      </w:r>
    </w:p>
  </w:footnote>
  <w:footnote w:id="16">
    <w:p w14:paraId="55D34C81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tat-12 ta’ Ġunju 2023 dwar it-tisħiħ tad-djalogu soċjali fl-Unjoni Ewropea (ĠU C, C/2023/1389, 6.12.2023, ELI: http://data.europa.eu/eli/C/2023/1389/oj).</w:t>
      </w:r>
    </w:p>
  </w:footnote>
  <w:footnote w:id="17">
    <w:p w14:paraId="262AD9B1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tas-27 ta’ Novembru 2023 dwar l-iżvilupp ta’ kundizzjonijiet ta’ qafas tal-ekonomija soċjali (ĠU C, C/2023/1344, 29.11.2023, ELI: http://data.europa.eu/eli/C/2023/1344/oj).</w:t>
      </w:r>
    </w:p>
  </w:footnote>
  <w:footnote w:id="18">
    <w:p w14:paraId="54EE1332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</w:r>
      <w:r>
        <w:rPr>
          <w:rFonts w:asciiTheme="majorBidi" w:hAnsiTheme="majorBidi"/>
          <w:shd w:val="clear" w:color="auto" w:fill="FFFFFF"/>
        </w:rPr>
        <w:t>Ir-Rakkomandazzjoni tal-Kummissjoni (UE) 2021/402 tal-4 ta’ Marzu 2021</w:t>
      </w:r>
      <w:bookmarkStart w:id="2" w:name="_Hlk133309453"/>
      <w:bookmarkEnd w:id="2"/>
      <w:r>
        <w:rPr>
          <w:rFonts w:asciiTheme="majorBidi" w:hAnsiTheme="majorBidi"/>
        </w:rPr>
        <w:t xml:space="preserve"> </w:t>
      </w:r>
      <w:r>
        <w:rPr>
          <w:rFonts w:asciiTheme="majorBidi" w:hAnsiTheme="majorBidi"/>
          <w:shd w:val="clear" w:color="auto" w:fill="FFFFFF"/>
        </w:rPr>
        <w:t>dwar appoġġ attiv effettiv għall-impjiegi wara l-kriżi tal-COVID-19 (EASE</w:t>
      </w:r>
      <w:r>
        <w:rPr>
          <w:rFonts w:asciiTheme="majorBidi" w:hAnsiTheme="majorBidi"/>
        </w:rPr>
        <w:t>) (ĠU L 80, 8.3.2021, p. 1).</w:t>
      </w:r>
    </w:p>
  </w:footnote>
  <w:footnote w:id="19">
    <w:p w14:paraId="4C635256" w14:textId="77777777" w:rsidR="000A7726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</w:r>
      <w:r>
        <w:rPr>
          <w:rFonts w:asciiTheme="majorBidi" w:hAnsiTheme="majorBidi"/>
          <w:shd w:val="clear" w:color="auto" w:fill="FFFFFF"/>
        </w:rPr>
        <w:t>Ir-Riżoluzzjoni tal-Kunsill dwar qafas strateġiku għall-kooperazzjoni Ewropea fl-edukazzjoni u t-taħriġ lejn iż-Żona Ewropea tal-Edukazzjoni u lil hinn (2021–2030), (ĠU C 66, 26.2.2021, p. 1).</w:t>
      </w:r>
    </w:p>
  </w:footnote>
  <w:footnote w:id="20">
    <w:p w14:paraId="195A79AC" w14:textId="77777777" w:rsidR="000A7726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Id-Deċiżjoni (UE) 2021/2316 tal-Parlament Ewropew u tal-Kunsill tat-22 ta’ Diċembru 2021 dwar Sena Ewropea taż-Żgħażagħ (2022) (ĠU L 462, 28.12.2021, p. 1).</w:t>
      </w:r>
    </w:p>
  </w:footnote>
  <w:footnote w:id="21">
    <w:p w14:paraId="3EFA7973" w14:textId="77777777" w:rsidR="000A7726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Id-Deċiżjoni (UE) 2023/936 tal-Parlament Ewropew u tal-Kunsill tal-10 ta’ Mejju 2023 dwar Sena Ewropea tal-Ħiliet (ĠU L 125, 11.5.2023, p. 1).</w:t>
      </w:r>
    </w:p>
  </w:footnote>
  <w:footnote w:id="22">
    <w:p w14:paraId="2A1212EF" w14:textId="77777777" w:rsidR="000A7726" w:rsidRPr="005730B3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 xml:space="preserve">Id-Direttiva (UE) 2022/2041 tal-Parlament Ewropew u tal-Kunsill tad-19 ta’ Ottubru 2022 dwar pagi minimi adegwati fl-Unjoni Ewropea </w:t>
      </w:r>
      <w:r>
        <w:rPr>
          <w:rFonts w:asciiTheme="majorBidi" w:hAnsiTheme="majorBidi"/>
          <w:i/>
          <w:shd w:val="clear" w:color="auto" w:fill="FFFFFF"/>
        </w:rPr>
        <w:t xml:space="preserve"> </w:t>
      </w:r>
      <w:r>
        <w:rPr>
          <w:rFonts w:asciiTheme="majorBidi" w:hAnsiTheme="majorBidi"/>
          <w:shd w:val="clear" w:color="auto" w:fill="FFFFFF"/>
        </w:rPr>
        <w:t>(ĠU L 275, 25.10.2022, p. 33).</w:t>
      </w:r>
    </w:p>
  </w:footnote>
  <w:footnote w:id="23">
    <w:p w14:paraId="126D32B8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Id-Direttiva tal-Parlament Ewropew u tal-Kunsill (UE) 2022/2381 tat-23 ta’ Novembru 2022 dwar it-titjib tal-bilanċ bejn il-ġeneri fost diretturi ta’ kumpanniji elenkati u miżuri relatati (ĠU L 315, 7.12.2022, p. 44).</w:t>
      </w:r>
    </w:p>
  </w:footnote>
  <w:footnote w:id="24">
    <w:p w14:paraId="023F72CC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Id-Direttiva (UE) 2023/970 tal-Parlament Ewropew u tal-Kunsill tal-10 ta’ Mejju 2023 li ssaħħaħ l-applikazzjoni tal-prinċipju ta’ paga ugwali għal xogħol ugwali jew xogħol ta’ valur ugwali bejn l-irġiel u n-nisa permezz ta’ trasparenza fil-pagi u mekkaniżmi ta’ infurzar (ĠU L 132, 17.5.2023, p. 21).</w:t>
      </w:r>
    </w:p>
  </w:footnote>
  <w:footnote w:id="25">
    <w:p w14:paraId="5723A731" w14:textId="77777777" w:rsidR="000A7726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Id-Direttiva (UE) 2024/2831 tal-Parlament Ewropew u tal-Kunsill tat-23 ta’ Ottubru 2024 dwar it-titjib tal-kundizzjonijiet tax-xogħol fix-xogħol fuq il-pjattaformi (ĠU L, 2024/2831, 11.11.2024, ELI: http://data.europa.eu/eli/dir/2024/2831/oj).</w:t>
      </w:r>
    </w:p>
  </w:footnote>
  <w:footnote w:id="26">
    <w:p w14:paraId="0DD1EDA7" w14:textId="77777777" w:rsidR="000A7726" w:rsidRDefault="000A7726" w:rsidP="000A7726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ab/>
        <w:t>Il-Proklamazzjoni Interistituzzjonali dwar il-Pilastru Ewropew tad-Drittijiet Soċjali (ĠU C 428, 13.12.2017, p. 10).</w:t>
      </w:r>
    </w:p>
  </w:footnote>
  <w:footnote w:id="27">
    <w:p w14:paraId="4996EAE5" w14:textId="77777777" w:rsidR="000A7726" w:rsidRDefault="000A7726" w:rsidP="000A7726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ab/>
      </w:r>
      <w:bookmarkStart w:id="3" w:name="_Hlk196727348"/>
      <w:r>
        <w:rPr>
          <w:rFonts w:asciiTheme="majorBidi" w:hAnsiTheme="majorBidi"/>
        </w:rPr>
        <w:t>Ir-Regolament (UE) 2021/241 tal-Parlament Ewropew u tal-Kunsill tat-12 ta’ Frar 2021 li jistabbilixxi l-Faċilità għall-Irkupru u r-Reżiljenza (ĠU L 57, 18.2.2021, p. 17).</w:t>
      </w:r>
    </w:p>
    <w:bookmarkEnd w:id="3"/>
  </w:footnote>
  <w:footnote w:id="28">
    <w:p w14:paraId="3DBE3B1E" w14:textId="77777777" w:rsidR="000A7726" w:rsidRDefault="000A7726" w:rsidP="000A7726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ab/>
      </w:r>
      <w:r>
        <w:rPr>
          <w:rFonts w:asciiTheme="majorBidi" w:hAnsiTheme="majorBidi"/>
          <w:shd w:val="clear" w:color="auto" w:fill="FFFFFF"/>
        </w:rPr>
        <w:t>Ir-Regolament (UE) 2021/1057 tal-Parlament Ewropew u tal-Kunsill tal-24 ta’ Ġunju 2021 li jistabbilixxi l-Fond Soċjali Ewropew Plus (FSE+) u li jħassar ir-Regolament (UE) Nru 1296/2013 (ĠU L 231, 30.6.2021, p. 21).</w:t>
      </w:r>
    </w:p>
  </w:footnote>
  <w:footnote w:id="29">
    <w:p w14:paraId="45EEC544" w14:textId="77777777" w:rsidR="000A7726" w:rsidRDefault="000A7726" w:rsidP="000A7726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ab/>
        <w:t>Ir-Regolament (UE) 2021/1058 tal-Parlament Ewropew u tal-Kunsill tal-24 ta’ Ġunju 2021 dwar il-Fond Ewropew għall-Iżvilupp Reġjonali u l-Fond ta’ Koeżjoni (ĠU L 231, 30.6.2021, p. 60).</w:t>
      </w:r>
    </w:p>
  </w:footnote>
  <w:footnote w:id="30">
    <w:p w14:paraId="74129399" w14:textId="77777777" w:rsidR="000A7726" w:rsidRPr="003C5A2E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  <w:t>Ir-Regolament (UE) 2023/955 tal-Parlament Ewropew u tal-Kunsill tal-10 ta’ Mejju 2023 li jistabbilixxi Fond Soċjali għall-Klima u li jemenda r-Regolament (UE) 2021/1060 (ĠU L 130, 16.5.2023, p. 1-51).</w:t>
      </w:r>
    </w:p>
  </w:footnote>
  <w:footnote w:id="31">
    <w:p w14:paraId="07B542E1" w14:textId="77777777" w:rsidR="000A7726" w:rsidRDefault="000A7726" w:rsidP="000A7726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ab/>
      </w:r>
      <w:r>
        <w:rPr>
          <w:rFonts w:asciiTheme="majorBidi" w:hAnsiTheme="majorBidi"/>
          <w:shd w:val="clear" w:color="auto" w:fill="FFFFFF"/>
        </w:rPr>
        <w:t xml:space="preserve">Ir-Regolament (UE) 2021/1056 </w:t>
      </w:r>
      <w:r>
        <w:rPr>
          <w:rFonts w:asciiTheme="majorBidi" w:hAnsiTheme="majorBidi"/>
        </w:rPr>
        <w:t xml:space="preserve"> tal-Parlament Ewropew u tal-Kunsill tal-24 ta’ Ġunju 2021 li jistabbilixxi l-Fond għal Tranżizzjoni Ġusta (ĠU L 231, 30.6.2021, p. 1).</w:t>
      </w:r>
    </w:p>
  </w:footnote>
  <w:footnote w:id="32">
    <w:p w14:paraId="4FD3739A" w14:textId="77777777" w:rsidR="000A7726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Fonts w:asciiTheme="majorBidi" w:hAnsiTheme="majorBidi"/>
        </w:rPr>
        <w:t>Id-Deċiżjoni ta’ Implimentazzjoni tal-Kunsill (UE) 2022/382 tal-4 ta’ Marzu 2022 li tistabbilixxi l-eżistenza ta’ influss bil-massa ta’ persuni spostati mill-Ukrajna skont it-tifsira tal-Artikolu 5 tad-Direttiva 2001/55/KE, u li għandha l-effett li tintroduċi protezzjoni temporanja (ĠU L 71, 4.3.2022, p. 1).</w:t>
      </w:r>
    </w:p>
  </w:footnote>
  <w:footnote w:id="33">
    <w:p w14:paraId="7E06A7D1" w14:textId="77777777" w:rsidR="000A7726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Id-Deċiżjoni ta’ Implimentazzjoni tal-Kunsill (UE) 2024/1836</w:t>
      </w:r>
      <w:r>
        <w:rPr>
          <w:rFonts w:asciiTheme="majorBidi" w:hAnsiTheme="majorBidi"/>
          <w:b/>
        </w:rPr>
        <w:t xml:space="preserve"> </w:t>
      </w:r>
      <w:r>
        <w:rPr>
          <w:rFonts w:asciiTheme="majorBidi" w:hAnsiTheme="majorBidi"/>
        </w:rPr>
        <w:t>tal-25 ta’ Ġunju 2024 li testendi l-protezzjoni temporanja kif introdotta bid-Deċiżjoni ta’ Implimentazzjoni (UE) 2022/382</w:t>
      </w:r>
      <w:r>
        <w:rPr>
          <w:color w:val="333333"/>
          <w:sz w:val="21"/>
          <w:shd w:val="clear" w:color="auto" w:fill="FFFFFF"/>
        </w:rPr>
        <w:t xml:space="preserve"> (</w:t>
      </w:r>
      <w:r>
        <w:rPr>
          <w:rFonts w:asciiTheme="majorBidi" w:hAnsiTheme="majorBidi"/>
        </w:rPr>
        <w:t>ĠU L, 2024/1836, 3.7.2024, ELI: http://data.europa.eu/eli/dec_impl/20234/1836/oj).</w:t>
      </w:r>
    </w:p>
  </w:footnote>
  <w:footnote w:id="34">
    <w:p w14:paraId="60610B10" w14:textId="77777777" w:rsidR="000A7726" w:rsidRPr="00487628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  <w:t>Iffirmata mir-Renju tal-Belġju f’isem 25 Stat Membru.</w:t>
      </w:r>
    </w:p>
  </w:footnote>
  <w:footnote w:id="35">
    <w:p w14:paraId="05F254AF" w14:textId="77777777" w:rsidR="000A7726" w:rsidRPr="00366F6E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  <w:t>Ir-Rakkomandazzjoni tal-Kunsill tat-8 ta’ Novembru 2019 dwar l-aċċess għall-protezzjoni soċjali għall-ħaddiema u għall-persuni li jaħdmu għal rashom</w:t>
      </w:r>
      <w:r>
        <w:rPr>
          <w:color w:val="333333"/>
          <w:sz w:val="21"/>
          <w:shd w:val="clear" w:color="auto" w:fill="FFFFFF"/>
        </w:rPr>
        <w:t xml:space="preserve"> (</w:t>
      </w:r>
      <w:r>
        <w:t>ĠU C 387, 15.11.2019, p. 1).</w:t>
      </w:r>
    </w:p>
  </w:footnote>
  <w:footnote w:id="36">
    <w:p w14:paraId="3CA77852" w14:textId="77777777" w:rsidR="000A7726" w:rsidRPr="00366F6E" w:rsidRDefault="000A7726" w:rsidP="000A7726">
      <w:pPr>
        <w:pStyle w:val="FootnoteText"/>
        <w:rPr>
          <w:rFonts w:asciiTheme="majorBidi" w:hAnsiTheme="majorBidi" w:cstheme="majorBidi"/>
          <w:szCs w:val="24"/>
        </w:rPr>
      </w:pPr>
      <w:r>
        <w:rPr>
          <w:rStyle w:val="FootnoteReference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/>
        </w:rPr>
        <w:tab/>
        <w:t>Ir-Rakkomandazzjoni tal-Kunsill tat-30 ta’ Jannar 2023 dwar introjtu minimu adegwat li jiżgura inklużjoni attiva (ĠU C 41, 3.2.2023, p.1).</w:t>
      </w:r>
    </w:p>
  </w:footnote>
  <w:footnote w:id="37">
    <w:p w14:paraId="7FBFA4D9" w14:textId="77777777" w:rsidR="00755378" w:rsidRPr="00B726BD" w:rsidRDefault="00755378" w:rsidP="00755378">
      <w:pPr>
        <w:pStyle w:val="FootnoteText"/>
      </w:pPr>
      <w:r>
        <w:rPr>
          <w:rStyle w:val="FootnoteReference"/>
        </w:rPr>
        <w:footnoteRef/>
      </w:r>
      <w:r>
        <w:tab/>
        <w:t>Ir-Rakkomandazzjoni tal-Kunsill tal-24 ta’ Novembru 2020 dwar l-edukazzjoni u t-taħriġ vokazzjonali (VET) għall-kompetittività sostenibbli, il-ġustizzja soċjali u r-reżiljenza (ĠU C 417, 2.12.2020, p. 1).</w:t>
      </w:r>
    </w:p>
  </w:footnote>
  <w:footnote w:id="38">
    <w:p w14:paraId="76240879" w14:textId="77777777" w:rsidR="000A7726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  <w:t>Ir-Rakkomandazzjoni tal-Kunsill tat-8 ta’ Diċembru 2022 dwar l-aċċess għall-kura fit-tul affordabbli u ta’ kwalità għolja</w:t>
      </w:r>
      <w:r>
        <w:rPr>
          <w:color w:val="333333"/>
          <w:sz w:val="21"/>
          <w:shd w:val="clear" w:color="auto" w:fill="FFFFFF"/>
        </w:rPr>
        <w:t xml:space="preserve"> (</w:t>
      </w:r>
      <w:r>
        <w:t>ĠU C 476, 15.12.2022, p. 1).</w:t>
      </w:r>
    </w:p>
  </w:footnote>
  <w:footnote w:id="39">
    <w:p w14:paraId="5F65FCAC" w14:textId="77777777" w:rsidR="000A7726" w:rsidRPr="00D976A7" w:rsidRDefault="000A7726" w:rsidP="000A7726">
      <w:pPr>
        <w:pStyle w:val="FootnoteText"/>
      </w:pPr>
      <w:r>
        <w:rPr>
          <w:rStyle w:val="FootnoteReference"/>
        </w:rPr>
        <w:footnoteRef/>
      </w:r>
      <w:r>
        <w:tab/>
        <w:t>Il-Komunikazzjoni tal-Kummissjoni tas-7 ta’ Ottubru 2020, bit-titolu “Unjoni tal-Ugwaljanza: Qafas Strateġiku tal-UE għar-Rom għall-ugwaljanza, għall-inklużjoni u għall-parteċipazzjoni” (COM(2020) 620 final), u r-Rakkomandazzjoni tal-Kunsill tat-12 ta’ Marzu 2021 dwar l-ugwaljanza, l-inklużjoni u l-parteċipazzjoni tar-Rom (ĠU C 93, 19.3.2021, p. 1).</w:t>
      </w:r>
    </w:p>
  </w:footnote>
  <w:footnote w:id="40">
    <w:p w14:paraId="669B2FEB" w14:textId="77777777" w:rsidR="000A7726" w:rsidRDefault="000A7726" w:rsidP="000A7726">
      <w:pPr>
        <w:pStyle w:val="FootnoteText"/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ab/>
      </w:r>
      <w:r>
        <w:rPr>
          <w:rFonts w:asciiTheme="majorBidi" w:hAnsiTheme="majorBidi"/>
          <w:shd w:val="clear" w:color="auto" w:fill="FFFFFF"/>
        </w:rPr>
        <w:t>Ir-Regolament (UE) 2021/523 tal-Parlament Ewropew u tal-Kunsill tal-24 ta’ Marzu 2021</w:t>
      </w:r>
      <w:r>
        <w:rPr>
          <w:rFonts w:asciiTheme="majorBidi" w:hAnsiTheme="majorBidi"/>
        </w:rPr>
        <w:t xml:space="preserve"> li jistabbilixxi l-Programm InvestEU u li jemenda r-Regolament (UE) 2015/1017 (ĠU L 107, 26.3.2021, p. 30).</w:t>
      </w:r>
    </w:p>
  </w:footnote>
  <w:footnote w:id="41">
    <w:p w14:paraId="6A8A379D" w14:textId="77777777" w:rsidR="000A7726" w:rsidRDefault="000A7726" w:rsidP="000A7726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/>
        </w:rPr>
        <w:tab/>
      </w:r>
      <w:r>
        <w:rPr>
          <w:rFonts w:asciiTheme="majorBidi" w:hAnsiTheme="majorBidi"/>
          <w:shd w:val="clear" w:color="auto" w:fill="FFFFFF"/>
        </w:rPr>
        <w:t xml:space="preserve">Ir-Regolament (UE) 2021/691 tal-Parlament Ewropew u tal-Kunsill tat-28 ta’ April 2021 dwar il-Fond Ewropew ta’ Aġġustament għall-Globalizzazzjoni </w:t>
      </w:r>
      <w:r>
        <w:rPr>
          <w:rFonts w:asciiTheme="majorBidi" w:hAnsiTheme="majorBidi"/>
        </w:rPr>
        <w:t>għall-Ħaddiema Ssensjati (FEG) u li jħassar ir-Regolament (UE) Nru 1309/2013 (ĠU L 153, 3.5.2021, p. 48).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A4352" w14:textId="77777777" w:rsidR="00D001BA" w:rsidRDefault="00D00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4762" w14:textId="77777777" w:rsidR="00D001BA" w:rsidRDefault="00D00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 w15:restartNumberingAfterBreak="0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9" w15:restartNumberingAfterBreak="0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7" w15:restartNumberingAfterBreak="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71F06166"/>
    <w:multiLevelType w:val="multilevel"/>
    <w:tmpl w:val="C08066D2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 w15:restartNumberingAfterBreak="0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7"/>
  </w:num>
  <w:num w:numId="5">
    <w:abstractNumId w:val="16"/>
  </w:num>
  <w:num w:numId="6">
    <w:abstractNumId w:val="27"/>
  </w:num>
  <w:num w:numId="7">
    <w:abstractNumId w:val="24"/>
  </w:num>
  <w:num w:numId="8">
    <w:abstractNumId w:val="28"/>
  </w:num>
  <w:num w:numId="9">
    <w:abstractNumId w:val="29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9"/>
  </w:num>
  <w:num w:numId="15">
    <w:abstractNumId w:val="18"/>
  </w:num>
  <w:num w:numId="16">
    <w:abstractNumId w:val="7"/>
  </w:num>
  <w:num w:numId="17">
    <w:abstractNumId w:val="23"/>
  </w:num>
  <w:num w:numId="18">
    <w:abstractNumId w:val="12"/>
  </w:num>
  <w:num w:numId="19">
    <w:abstractNumId w:val="26"/>
  </w:num>
  <w:num w:numId="20">
    <w:abstractNumId w:val="6"/>
  </w:num>
  <w:num w:numId="21">
    <w:abstractNumId w:val="13"/>
  </w:num>
  <w:num w:numId="22">
    <w:abstractNumId w:val="14"/>
  </w:num>
  <w:num w:numId="23">
    <w:abstractNumId w:val="4"/>
  </w:num>
  <w:num w:numId="24">
    <w:abstractNumId w:val="25"/>
  </w:num>
  <w:num w:numId="25">
    <w:abstractNumId w:val="3"/>
  </w:num>
  <w:num w:numId="26">
    <w:abstractNumId w:val="15"/>
  </w:num>
  <w:num w:numId="27">
    <w:abstractNumId w:val="21"/>
  </w:num>
  <w:num w:numId="28">
    <w:abstractNumId w:val="22"/>
  </w:num>
  <w:num w:numId="29">
    <w:abstractNumId w:val="5"/>
  </w:num>
  <w:num w:numId="30">
    <w:abstractNumId w:val="19"/>
  </w:num>
  <w:num w:numId="31">
    <w:abstractNumId w:val="30"/>
  </w:num>
  <w:num w:numId="32">
    <w:abstractNumId w:val="23"/>
  </w:num>
  <w:num w:numId="33">
    <w:abstractNumId w:val="12"/>
  </w:num>
  <w:num w:numId="34">
    <w:abstractNumId w:val="26"/>
  </w:num>
  <w:num w:numId="35">
    <w:abstractNumId w:val="6"/>
  </w:num>
  <w:num w:numId="36">
    <w:abstractNumId w:val="13"/>
  </w:num>
  <w:num w:numId="37">
    <w:abstractNumId w:val="14"/>
  </w:num>
  <w:num w:numId="38">
    <w:abstractNumId w:val="4"/>
  </w:num>
  <w:num w:numId="39">
    <w:abstractNumId w:val="25"/>
  </w:num>
  <w:num w:numId="40">
    <w:abstractNumId w:val="3"/>
  </w:num>
  <w:num w:numId="41">
    <w:abstractNumId w:val="15"/>
  </w:num>
  <w:num w:numId="42">
    <w:abstractNumId w:val="21"/>
  </w:num>
  <w:num w:numId="43">
    <w:abstractNumId w:val="22"/>
  </w:num>
  <w:num w:numId="44">
    <w:abstractNumId w:val="5"/>
  </w:num>
  <w:num w:numId="45">
    <w:abstractNumId w:val="19"/>
  </w:num>
  <w:num w:numId="46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06-19 11:53:3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EPKit_DocumentHasBeenSaved" w:val="true"/>
    <w:docVar w:name="LW_CORRIGENDUM" w:val="&lt;UNUSED&gt;"/>
    <w:docVar w:name="LW_COVERPAGE_EXISTS" w:val="True"/>
    <w:docVar w:name="LW_COVERPAGE_GUID" w:val="D170FC32-D8C9-4B5C-99AE-307A46551204"/>
    <w:docVar w:name="LW_COVERPAGE_TYPE" w:val="1"/>
    <w:docVar w:name="LW_CreatedUtc" w:val="2025-05-16T17:03:24.4511158Z"/>
    <w:docVar w:name="LW_CROSSREFERENCE" w:val="&lt;UNUSED&gt;"/>
    <w:docVar w:name="LW_DocType" w:val="COM"/>
    <w:docVar w:name="LW_EMISSION" w:val="4.6.2025"/>
    <w:docVar w:name="LW_EMISSION_ISODATE" w:val="2025-06-04"/>
    <w:docVar w:name="LW_EMISSION_LOCATION" w:val="BRX"/>
    <w:docVar w:name="LW_EMISSION_PREFIX" w:val="Brussell, 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STATUT" w:val="SJ-019"/>
    <w:docVar w:name="LW_INSERT_EXP.MOTIFS.NEW" w:val="1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54"/>
    <w:docVar w:name="LW_REF.II.NEW.CP_YEAR" w:val="2025"/>
    <w:docVar w:name="LW_REF.INST.NEW" w:val="COM"/>
    <w:docVar w:name="LW_REF.INST.NEW_ADOPTED" w:val="final"/>
    <w:docVar w:name="LW_REF.INST.NEW_TEXT" w:val="(2025) 23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dwar linji gwida g\u295?all-politiki dwar l-impjiegi tal-Istati Membri"/>
    <w:docVar w:name="LW_TYPE.DOC.CP" w:val="DE\u266?I\u379?JONI TAL-KUNSILL"/>
    <w:docVar w:name="LwApiVersions" w:val="LW4CoDe 1.24.5.0; LW 9.0, Build 20240221"/>
  </w:docVars>
  <w:rsids>
    <w:rsidRoot w:val="002B26AA"/>
    <w:rsid w:val="00001DDE"/>
    <w:rsid w:val="000031DE"/>
    <w:rsid w:val="000035EF"/>
    <w:rsid w:val="000038B2"/>
    <w:rsid w:val="0000520F"/>
    <w:rsid w:val="0000601F"/>
    <w:rsid w:val="00010588"/>
    <w:rsid w:val="00010AFA"/>
    <w:rsid w:val="000122EA"/>
    <w:rsid w:val="0001247D"/>
    <w:rsid w:val="00012CBB"/>
    <w:rsid w:val="00012EE9"/>
    <w:rsid w:val="00014E6E"/>
    <w:rsid w:val="00015815"/>
    <w:rsid w:val="0001751A"/>
    <w:rsid w:val="00020721"/>
    <w:rsid w:val="00021737"/>
    <w:rsid w:val="000225F2"/>
    <w:rsid w:val="00023AF6"/>
    <w:rsid w:val="00023FCF"/>
    <w:rsid w:val="0002425E"/>
    <w:rsid w:val="00024C4F"/>
    <w:rsid w:val="000250B4"/>
    <w:rsid w:val="00027282"/>
    <w:rsid w:val="00030F13"/>
    <w:rsid w:val="00031699"/>
    <w:rsid w:val="00031847"/>
    <w:rsid w:val="00032858"/>
    <w:rsid w:val="000353DB"/>
    <w:rsid w:val="000354C9"/>
    <w:rsid w:val="00037C40"/>
    <w:rsid w:val="00040556"/>
    <w:rsid w:val="0004109C"/>
    <w:rsid w:val="000412B6"/>
    <w:rsid w:val="0004138E"/>
    <w:rsid w:val="0004286C"/>
    <w:rsid w:val="00045377"/>
    <w:rsid w:val="00045F71"/>
    <w:rsid w:val="000460C9"/>
    <w:rsid w:val="00046382"/>
    <w:rsid w:val="000465FA"/>
    <w:rsid w:val="00046BE4"/>
    <w:rsid w:val="00050E95"/>
    <w:rsid w:val="0005218D"/>
    <w:rsid w:val="000538D9"/>
    <w:rsid w:val="0005396E"/>
    <w:rsid w:val="00054785"/>
    <w:rsid w:val="00055971"/>
    <w:rsid w:val="0005696F"/>
    <w:rsid w:val="000569DD"/>
    <w:rsid w:val="00057107"/>
    <w:rsid w:val="00057814"/>
    <w:rsid w:val="0005790F"/>
    <w:rsid w:val="00057E07"/>
    <w:rsid w:val="00061857"/>
    <w:rsid w:val="00064D95"/>
    <w:rsid w:val="00066507"/>
    <w:rsid w:val="00067399"/>
    <w:rsid w:val="00070CC2"/>
    <w:rsid w:val="00072C06"/>
    <w:rsid w:val="00072E4D"/>
    <w:rsid w:val="0007379B"/>
    <w:rsid w:val="00073A95"/>
    <w:rsid w:val="00075CE7"/>
    <w:rsid w:val="000774B7"/>
    <w:rsid w:val="000774E3"/>
    <w:rsid w:val="00081446"/>
    <w:rsid w:val="00083560"/>
    <w:rsid w:val="00084F11"/>
    <w:rsid w:val="00085C38"/>
    <w:rsid w:val="00085D78"/>
    <w:rsid w:val="0008601E"/>
    <w:rsid w:val="0009249E"/>
    <w:rsid w:val="00095B8E"/>
    <w:rsid w:val="0009689A"/>
    <w:rsid w:val="00097B04"/>
    <w:rsid w:val="000A0E6C"/>
    <w:rsid w:val="000A2E8A"/>
    <w:rsid w:val="000A3588"/>
    <w:rsid w:val="000A3919"/>
    <w:rsid w:val="000A4884"/>
    <w:rsid w:val="000A544F"/>
    <w:rsid w:val="000A5A83"/>
    <w:rsid w:val="000A5F16"/>
    <w:rsid w:val="000A60BC"/>
    <w:rsid w:val="000A64D0"/>
    <w:rsid w:val="000A714A"/>
    <w:rsid w:val="000A7679"/>
    <w:rsid w:val="000A7726"/>
    <w:rsid w:val="000A7D46"/>
    <w:rsid w:val="000B05D8"/>
    <w:rsid w:val="000B2740"/>
    <w:rsid w:val="000B308F"/>
    <w:rsid w:val="000B3C18"/>
    <w:rsid w:val="000B4248"/>
    <w:rsid w:val="000B575D"/>
    <w:rsid w:val="000B7250"/>
    <w:rsid w:val="000B7B57"/>
    <w:rsid w:val="000C0C96"/>
    <w:rsid w:val="000C19D1"/>
    <w:rsid w:val="000C4A15"/>
    <w:rsid w:val="000C5D0C"/>
    <w:rsid w:val="000C6237"/>
    <w:rsid w:val="000C6B6A"/>
    <w:rsid w:val="000C7FA0"/>
    <w:rsid w:val="000D1A75"/>
    <w:rsid w:val="000D1B2B"/>
    <w:rsid w:val="000D3839"/>
    <w:rsid w:val="000E00E5"/>
    <w:rsid w:val="000E096B"/>
    <w:rsid w:val="000E0FE0"/>
    <w:rsid w:val="000E110F"/>
    <w:rsid w:val="000E5721"/>
    <w:rsid w:val="000E590A"/>
    <w:rsid w:val="000E789B"/>
    <w:rsid w:val="000F068B"/>
    <w:rsid w:val="000F1466"/>
    <w:rsid w:val="000F27B8"/>
    <w:rsid w:val="000F27DE"/>
    <w:rsid w:val="000F44A2"/>
    <w:rsid w:val="000F4945"/>
    <w:rsid w:val="000F61FC"/>
    <w:rsid w:val="000F690E"/>
    <w:rsid w:val="000F6EFC"/>
    <w:rsid w:val="000F7A7F"/>
    <w:rsid w:val="000F7FB8"/>
    <w:rsid w:val="001003CF"/>
    <w:rsid w:val="001006AC"/>
    <w:rsid w:val="00103421"/>
    <w:rsid w:val="00103500"/>
    <w:rsid w:val="00104608"/>
    <w:rsid w:val="0010531F"/>
    <w:rsid w:val="00106514"/>
    <w:rsid w:val="001065F5"/>
    <w:rsid w:val="00110964"/>
    <w:rsid w:val="00111A30"/>
    <w:rsid w:val="00112BE1"/>
    <w:rsid w:val="00115139"/>
    <w:rsid w:val="00115C73"/>
    <w:rsid w:val="00116B7C"/>
    <w:rsid w:val="0011771D"/>
    <w:rsid w:val="00120DA9"/>
    <w:rsid w:val="00121ACE"/>
    <w:rsid w:val="00121B35"/>
    <w:rsid w:val="00122E6A"/>
    <w:rsid w:val="00123021"/>
    <w:rsid w:val="001238EF"/>
    <w:rsid w:val="00123EBE"/>
    <w:rsid w:val="001241C7"/>
    <w:rsid w:val="001259EE"/>
    <w:rsid w:val="0013203E"/>
    <w:rsid w:val="00133F4E"/>
    <w:rsid w:val="001341F9"/>
    <w:rsid w:val="00134621"/>
    <w:rsid w:val="00135780"/>
    <w:rsid w:val="001378A2"/>
    <w:rsid w:val="001405C7"/>
    <w:rsid w:val="00141915"/>
    <w:rsid w:val="0014302C"/>
    <w:rsid w:val="00145EE6"/>
    <w:rsid w:val="001476B3"/>
    <w:rsid w:val="00147CBB"/>
    <w:rsid w:val="00147F77"/>
    <w:rsid w:val="00147FF0"/>
    <w:rsid w:val="001503CA"/>
    <w:rsid w:val="001510BB"/>
    <w:rsid w:val="0015262F"/>
    <w:rsid w:val="00152B6F"/>
    <w:rsid w:val="00152DAE"/>
    <w:rsid w:val="0015374E"/>
    <w:rsid w:val="00154020"/>
    <w:rsid w:val="001541FB"/>
    <w:rsid w:val="00154593"/>
    <w:rsid w:val="0015526B"/>
    <w:rsid w:val="001556C4"/>
    <w:rsid w:val="0015635C"/>
    <w:rsid w:val="00157AD5"/>
    <w:rsid w:val="00157DA9"/>
    <w:rsid w:val="001615D2"/>
    <w:rsid w:val="00164468"/>
    <w:rsid w:val="001653B0"/>
    <w:rsid w:val="00166498"/>
    <w:rsid w:val="001716CA"/>
    <w:rsid w:val="00172B56"/>
    <w:rsid w:val="001732FD"/>
    <w:rsid w:val="00173779"/>
    <w:rsid w:val="00177D40"/>
    <w:rsid w:val="00177D74"/>
    <w:rsid w:val="00181EE9"/>
    <w:rsid w:val="001829B0"/>
    <w:rsid w:val="001855BA"/>
    <w:rsid w:val="001859A7"/>
    <w:rsid w:val="001864AC"/>
    <w:rsid w:val="00192A24"/>
    <w:rsid w:val="00193D1B"/>
    <w:rsid w:val="00193E51"/>
    <w:rsid w:val="00196194"/>
    <w:rsid w:val="00196495"/>
    <w:rsid w:val="00196E3D"/>
    <w:rsid w:val="00197613"/>
    <w:rsid w:val="0019768D"/>
    <w:rsid w:val="001A0602"/>
    <w:rsid w:val="001A2233"/>
    <w:rsid w:val="001A3745"/>
    <w:rsid w:val="001A3B23"/>
    <w:rsid w:val="001A469F"/>
    <w:rsid w:val="001A5CF5"/>
    <w:rsid w:val="001A69CF"/>
    <w:rsid w:val="001A6F54"/>
    <w:rsid w:val="001A784D"/>
    <w:rsid w:val="001B3AE4"/>
    <w:rsid w:val="001B3D36"/>
    <w:rsid w:val="001B55C5"/>
    <w:rsid w:val="001B5CAD"/>
    <w:rsid w:val="001B6190"/>
    <w:rsid w:val="001B622E"/>
    <w:rsid w:val="001B6F52"/>
    <w:rsid w:val="001C348D"/>
    <w:rsid w:val="001C3E96"/>
    <w:rsid w:val="001C453A"/>
    <w:rsid w:val="001C5B27"/>
    <w:rsid w:val="001D008C"/>
    <w:rsid w:val="001D0AE4"/>
    <w:rsid w:val="001D1DE2"/>
    <w:rsid w:val="001D2233"/>
    <w:rsid w:val="001D2395"/>
    <w:rsid w:val="001D541A"/>
    <w:rsid w:val="001D7DDE"/>
    <w:rsid w:val="001E0B0F"/>
    <w:rsid w:val="001E156E"/>
    <w:rsid w:val="001E2216"/>
    <w:rsid w:val="001E2FCB"/>
    <w:rsid w:val="001E745A"/>
    <w:rsid w:val="001F014D"/>
    <w:rsid w:val="001F0608"/>
    <w:rsid w:val="001F0914"/>
    <w:rsid w:val="001F250B"/>
    <w:rsid w:val="001F27D4"/>
    <w:rsid w:val="001F652F"/>
    <w:rsid w:val="001F7732"/>
    <w:rsid w:val="002009D2"/>
    <w:rsid w:val="00200F8A"/>
    <w:rsid w:val="0020290F"/>
    <w:rsid w:val="002033AC"/>
    <w:rsid w:val="00205D1B"/>
    <w:rsid w:val="00211047"/>
    <w:rsid w:val="00213AFA"/>
    <w:rsid w:val="0021439B"/>
    <w:rsid w:val="00214DE9"/>
    <w:rsid w:val="00215540"/>
    <w:rsid w:val="002156B3"/>
    <w:rsid w:val="00216AAF"/>
    <w:rsid w:val="0022044A"/>
    <w:rsid w:val="002225CE"/>
    <w:rsid w:val="0022351C"/>
    <w:rsid w:val="00223838"/>
    <w:rsid w:val="00224328"/>
    <w:rsid w:val="00224C04"/>
    <w:rsid w:val="002260B2"/>
    <w:rsid w:val="002262A8"/>
    <w:rsid w:val="00233770"/>
    <w:rsid w:val="00233DC7"/>
    <w:rsid w:val="00234570"/>
    <w:rsid w:val="00236307"/>
    <w:rsid w:val="002368BD"/>
    <w:rsid w:val="0023739D"/>
    <w:rsid w:val="0024003F"/>
    <w:rsid w:val="00241C24"/>
    <w:rsid w:val="002429B7"/>
    <w:rsid w:val="00242CB3"/>
    <w:rsid w:val="00245F62"/>
    <w:rsid w:val="00246DF1"/>
    <w:rsid w:val="00247779"/>
    <w:rsid w:val="00250C17"/>
    <w:rsid w:val="0025197F"/>
    <w:rsid w:val="00253751"/>
    <w:rsid w:val="002538A2"/>
    <w:rsid w:val="00253CCE"/>
    <w:rsid w:val="00256210"/>
    <w:rsid w:val="002619D5"/>
    <w:rsid w:val="0026208B"/>
    <w:rsid w:val="002624D0"/>
    <w:rsid w:val="00263C3B"/>
    <w:rsid w:val="00264967"/>
    <w:rsid w:val="00265621"/>
    <w:rsid w:val="00265732"/>
    <w:rsid w:val="00265D05"/>
    <w:rsid w:val="002671D6"/>
    <w:rsid w:val="00270870"/>
    <w:rsid w:val="00271975"/>
    <w:rsid w:val="00273A73"/>
    <w:rsid w:val="0027637C"/>
    <w:rsid w:val="00276E1E"/>
    <w:rsid w:val="00277C00"/>
    <w:rsid w:val="00282872"/>
    <w:rsid w:val="00283D9A"/>
    <w:rsid w:val="00284052"/>
    <w:rsid w:val="00284E28"/>
    <w:rsid w:val="00285BEE"/>
    <w:rsid w:val="0028616A"/>
    <w:rsid w:val="00287E13"/>
    <w:rsid w:val="0029101B"/>
    <w:rsid w:val="002910BF"/>
    <w:rsid w:val="0029308F"/>
    <w:rsid w:val="0029533F"/>
    <w:rsid w:val="002977DE"/>
    <w:rsid w:val="002A0773"/>
    <w:rsid w:val="002A1B26"/>
    <w:rsid w:val="002A2A01"/>
    <w:rsid w:val="002A2FE4"/>
    <w:rsid w:val="002A6208"/>
    <w:rsid w:val="002A6A4A"/>
    <w:rsid w:val="002A7E81"/>
    <w:rsid w:val="002B01AC"/>
    <w:rsid w:val="002B26AA"/>
    <w:rsid w:val="002B30AF"/>
    <w:rsid w:val="002B312B"/>
    <w:rsid w:val="002B413C"/>
    <w:rsid w:val="002B4191"/>
    <w:rsid w:val="002B4A55"/>
    <w:rsid w:val="002B5A85"/>
    <w:rsid w:val="002B63A1"/>
    <w:rsid w:val="002B7DC4"/>
    <w:rsid w:val="002C17A3"/>
    <w:rsid w:val="002C183D"/>
    <w:rsid w:val="002C30C4"/>
    <w:rsid w:val="002C57A8"/>
    <w:rsid w:val="002C6107"/>
    <w:rsid w:val="002C6787"/>
    <w:rsid w:val="002C7465"/>
    <w:rsid w:val="002C74E1"/>
    <w:rsid w:val="002D0018"/>
    <w:rsid w:val="002D0610"/>
    <w:rsid w:val="002D1423"/>
    <w:rsid w:val="002D1953"/>
    <w:rsid w:val="002D1AE5"/>
    <w:rsid w:val="002D45BD"/>
    <w:rsid w:val="002D78FB"/>
    <w:rsid w:val="002E0DEA"/>
    <w:rsid w:val="002E39D9"/>
    <w:rsid w:val="002E467E"/>
    <w:rsid w:val="002E52A0"/>
    <w:rsid w:val="002E5D75"/>
    <w:rsid w:val="002E67C3"/>
    <w:rsid w:val="002E6910"/>
    <w:rsid w:val="002E717A"/>
    <w:rsid w:val="002E7288"/>
    <w:rsid w:val="002E7402"/>
    <w:rsid w:val="002E78B7"/>
    <w:rsid w:val="002F0668"/>
    <w:rsid w:val="002F093F"/>
    <w:rsid w:val="002F109D"/>
    <w:rsid w:val="002F17CF"/>
    <w:rsid w:val="002F205F"/>
    <w:rsid w:val="002F36E5"/>
    <w:rsid w:val="002F3E80"/>
    <w:rsid w:val="002F48E8"/>
    <w:rsid w:val="002F4EAE"/>
    <w:rsid w:val="002F796E"/>
    <w:rsid w:val="003002A9"/>
    <w:rsid w:val="0030035E"/>
    <w:rsid w:val="00302E19"/>
    <w:rsid w:val="00303E54"/>
    <w:rsid w:val="0030603F"/>
    <w:rsid w:val="003062EF"/>
    <w:rsid w:val="003067ED"/>
    <w:rsid w:val="00307AE5"/>
    <w:rsid w:val="00307BDB"/>
    <w:rsid w:val="00307C6E"/>
    <w:rsid w:val="00312653"/>
    <w:rsid w:val="00313DCA"/>
    <w:rsid w:val="003146CF"/>
    <w:rsid w:val="0031590D"/>
    <w:rsid w:val="0032048A"/>
    <w:rsid w:val="00322D99"/>
    <w:rsid w:val="00322E0B"/>
    <w:rsid w:val="003256C4"/>
    <w:rsid w:val="00327947"/>
    <w:rsid w:val="003279CD"/>
    <w:rsid w:val="00327AB9"/>
    <w:rsid w:val="003304BA"/>
    <w:rsid w:val="0033057F"/>
    <w:rsid w:val="0033344A"/>
    <w:rsid w:val="00334542"/>
    <w:rsid w:val="00334A02"/>
    <w:rsid w:val="00334DDE"/>
    <w:rsid w:val="00335A57"/>
    <w:rsid w:val="00335D9F"/>
    <w:rsid w:val="003404CC"/>
    <w:rsid w:val="00341017"/>
    <w:rsid w:val="00343278"/>
    <w:rsid w:val="00345968"/>
    <w:rsid w:val="003476A2"/>
    <w:rsid w:val="0035085D"/>
    <w:rsid w:val="00351753"/>
    <w:rsid w:val="00352850"/>
    <w:rsid w:val="00352EAF"/>
    <w:rsid w:val="0035612D"/>
    <w:rsid w:val="003569E3"/>
    <w:rsid w:val="003571DF"/>
    <w:rsid w:val="00360700"/>
    <w:rsid w:val="003612CD"/>
    <w:rsid w:val="0036245C"/>
    <w:rsid w:val="00363F16"/>
    <w:rsid w:val="00363FCE"/>
    <w:rsid w:val="00364D55"/>
    <w:rsid w:val="00366267"/>
    <w:rsid w:val="003708FD"/>
    <w:rsid w:val="003715B6"/>
    <w:rsid w:val="00373E4A"/>
    <w:rsid w:val="003749CE"/>
    <w:rsid w:val="00374A8F"/>
    <w:rsid w:val="003768D4"/>
    <w:rsid w:val="003769A1"/>
    <w:rsid w:val="0037787E"/>
    <w:rsid w:val="00377B43"/>
    <w:rsid w:val="00377BBC"/>
    <w:rsid w:val="003801C3"/>
    <w:rsid w:val="00380C44"/>
    <w:rsid w:val="003814B1"/>
    <w:rsid w:val="00381699"/>
    <w:rsid w:val="00381A4B"/>
    <w:rsid w:val="00383474"/>
    <w:rsid w:val="00384C24"/>
    <w:rsid w:val="00385EDB"/>
    <w:rsid w:val="00386652"/>
    <w:rsid w:val="003866E7"/>
    <w:rsid w:val="00386F45"/>
    <w:rsid w:val="00387FFD"/>
    <w:rsid w:val="0039052F"/>
    <w:rsid w:val="003912F1"/>
    <w:rsid w:val="003935CC"/>
    <w:rsid w:val="00394B54"/>
    <w:rsid w:val="00396683"/>
    <w:rsid w:val="003975A6"/>
    <w:rsid w:val="003A07FC"/>
    <w:rsid w:val="003A4310"/>
    <w:rsid w:val="003A5AA2"/>
    <w:rsid w:val="003A5EE9"/>
    <w:rsid w:val="003B1069"/>
    <w:rsid w:val="003B268E"/>
    <w:rsid w:val="003B3115"/>
    <w:rsid w:val="003B66E9"/>
    <w:rsid w:val="003B6BB1"/>
    <w:rsid w:val="003B7463"/>
    <w:rsid w:val="003C0612"/>
    <w:rsid w:val="003C0CA3"/>
    <w:rsid w:val="003C0F0B"/>
    <w:rsid w:val="003C17D6"/>
    <w:rsid w:val="003C2202"/>
    <w:rsid w:val="003C3CC6"/>
    <w:rsid w:val="003C4B02"/>
    <w:rsid w:val="003C5A4E"/>
    <w:rsid w:val="003C704B"/>
    <w:rsid w:val="003D106B"/>
    <w:rsid w:val="003D1671"/>
    <w:rsid w:val="003D2977"/>
    <w:rsid w:val="003D2C78"/>
    <w:rsid w:val="003D5108"/>
    <w:rsid w:val="003D7597"/>
    <w:rsid w:val="003D7A37"/>
    <w:rsid w:val="003E1122"/>
    <w:rsid w:val="003E19A6"/>
    <w:rsid w:val="003E1DEC"/>
    <w:rsid w:val="003E2C2F"/>
    <w:rsid w:val="003E2E77"/>
    <w:rsid w:val="003E3A9E"/>
    <w:rsid w:val="003E3C33"/>
    <w:rsid w:val="003E4C38"/>
    <w:rsid w:val="003E5ADE"/>
    <w:rsid w:val="003F0384"/>
    <w:rsid w:val="003F314F"/>
    <w:rsid w:val="003F3859"/>
    <w:rsid w:val="003F6C00"/>
    <w:rsid w:val="00401B97"/>
    <w:rsid w:val="004032C2"/>
    <w:rsid w:val="00405B32"/>
    <w:rsid w:val="0040735D"/>
    <w:rsid w:val="0040763B"/>
    <w:rsid w:val="00410C11"/>
    <w:rsid w:val="00410C4F"/>
    <w:rsid w:val="004120FD"/>
    <w:rsid w:val="004148E1"/>
    <w:rsid w:val="00414DEE"/>
    <w:rsid w:val="00416E1D"/>
    <w:rsid w:val="004170DB"/>
    <w:rsid w:val="00417854"/>
    <w:rsid w:val="004200A8"/>
    <w:rsid w:val="004206C3"/>
    <w:rsid w:val="00421295"/>
    <w:rsid w:val="00422160"/>
    <w:rsid w:val="0042353B"/>
    <w:rsid w:val="004248B4"/>
    <w:rsid w:val="004256AE"/>
    <w:rsid w:val="0042648E"/>
    <w:rsid w:val="00426B11"/>
    <w:rsid w:val="00431BEA"/>
    <w:rsid w:val="00432F45"/>
    <w:rsid w:val="00435C59"/>
    <w:rsid w:val="00436A68"/>
    <w:rsid w:val="00436D6F"/>
    <w:rsid w:val="00437B4B"/>
    <w:rsid w:val="0044047B"/>
    <w:rsid w:val="004405A4"/>
    <w:rsid w:val="0044091A"/>
    <w:rsid w:val="0044132E"/>
    <w:rsid w:val="00441975"/>
    <w:rsid w:val="00441F24"/>
    <w:rsid w:val="004434B5"/>
    <w:rsid w:val="00444DD0"/>
    <w:rsid w:val="00445FD4"/>
    <w:rsid w:val="00446165"/>
    <w:rsid w:val="00447771"/>
    <w:rsid w:val="0044789C"/>
    <w:rsid w:val="00447EB3"/>
    <w:rsid w:val="00450C25"/>
    <w:rsid w:val="004512DD"/>
    <w:rsid w:val="004549B8"/>
    <w:rsid w:val="00456D74"/>
    <w:rsid w:val="00460184"/>
    <w:rsid w:val="00462029"/>
    <w:rsid w:val="00462B5E"/>
    <w:rsid w:val="004640A5"/>
    <w:rsid w:val="00465BBF"/>
    <w:rsid w:val="004716C2"/>
    <w:rsid w:val="0047494D"/>
    <w:rsid w:val="0047528F"/>
    <w:rsid w:val="004753AB"/>
    <w:rsid w:val="004762EB"/>
    <w:rsid w:val="00476892"/>
    <w:rsid w:val="00477458"/>
    <w:rsid w:val="00477594"/>
    <w:rsid w:val="0048458A"/>
    <w:rsid w:val="00490BD0"/>
    <w:rsid w:val="004917B9"/>
    <w:rsid w:val="00493626"/>
    <w:rsid w:val="004936D2"/>
    <w:rsid w:val="004943A5"/>
    <w:rsid w:val="004946CC"/>
    <w:rsid w:val="0049512F"/>
    <w:rsid w:val="00495401"/>
    <w:rsid w:val="00495F69"/>
    <w:rsid w:val="004A2E2A"/>
    <w:rsid w:val="004A4D64"/>
    <w:rsid w:val="004A65E0"/>
    <w:rsid w:val="004A7838"/>
    <w:rsid w:val="004B0EC6"/>
    <w:rsid w:val="004B1B7D"/>
    <w:rsid w:val="004B3334"/>
    <w:rsid w:val="004B48B5"/>
    <w:rsid w:val="004B5DAB"/>
    <w:rsid w:val="004B6273"/>
    <w:rsid w:val="004B6463"/>
    <w:rsid w:val="004B6EE9"/>
    <w:rsid w:val="004B6F92"/>
    <w:rsid w:val="004C0246"/>
    <w:rsid w:val="004C0B69"/>
    <w:rsid w:val="004C0EA9"/>
    <w:rsid w:val="004C2985"/>
    <w:rsid w:val="004C3514"/>
    <w:rsid w:val="004C3C01"/>
    <w:rsid w:val="004C4771"/>
    <w:rsid w:val="004C5AA7"/>
    <w:rsid w:val="004C5E20"/>
    <w:rsid w:val="004C6D4B"/>
    <w:rsid w:val="004C6FF6"/>
    <w:rsid w:val="004C77BA"/>
    <w:rsid w:val="004D119D"/>
    <w:rsid w:val="004D1B94"/>
    <w:rsid w:val="004D2AB2"/>
    <w:rsid w:val="004D2F9D"/>
    <w:rsid w:val="004D4FCD"/>
    <w:rsid w:val="004D57D7"/>
    <w:rsid w:val="004D7A43"/>
    <w:rsid w:val="004E1AC2"/>
    <w:rsid w:val="004E2E08"/>
    <w:rsid w:val="004E3093"/>
    <w:rsid w:val="004E50BC"/>
    <w:rsid w:val="004E652A"/>
    <w:rsid w:val="004E6696"/>
    <w:rsid w:val="004F0CBA"/>
    <w:rsid w:val="004F197C"/>
    <w:rsid w:val="004F3840"/>
    <w:rsid w:val="004F411B"/>
    <w:rsid w:val="004F41EF"/>
    <w:rsid w:val="004F4B97"/>
    <w:rsid w:val="004F4D93"/>
    <w:rsid w:val="004F5866"/>
    <w:rsid w:val="0050084A"/>
    <w:rsid w:val="00500906"/>
    <w:rsid w:val="005016F1"/>
    <w:rsid w:val="00501C33"/>
    <w:rsid w:val="005028F7"/>
    <w:rsid w:val="00503766"/>
    <w:rsid w:val="0050600B"/>
    <w:rsid w:val="00510AC0"/>
    <w:rsid w:val="0051343B"/>
    <w:rsid w:val="00514DAA"/>
    <w:rsid w:val="00515028"/>
    <w:rsid w:val="00517E80"/>
    <w:rsid w:val="00521591"/>
    <w:rsid w:val="005228A1"/>
    <w:rsid w:val="00522DCB"/>
    <w:rsid w:val="005238C6"/>
    <w:rsid w:val="00527CD5"/>
    <w:rsid w:val="00530442"/>
    <w:rsid w:val="00531198"/>
    <w:rsid w:val="0053193D"/>
    <w:rsid w:val="00531A76"/>
    <w:rsid w:val="00531C79"/>
    <w:rsid w:val="00531F80"/>
    <w:rsid w:val="00532D68"/>
    <w:rsid w:val="005330B5"/>
    <w:rsid w:val="00533B55"/>
    <w:rsid w:val="005366DB"/>
    <w:rsid w:val="005377CF"/>
    <w:rsid w:val="005408FA"/>
    <w:rsid w:val="0054120A"/>
    <w:rsid w:val="005416F9"/>
    <w:rsid w:val="005425C3"/>
    <w:rsid w:val="00544265"/>
    <w:rsid w:val="0054710D"/>
    <w:rsid w:val="00547DEA"/>
    <w:rsid w:val="00556C55"/>
    <w:rsid w:val="005576F2"/>
    <w:rsid w:val="00561CF1"/>
    <w:rsid w:val="00563891"/>
    <w:rsid w:val="00564AD7"/>
    <w:rsid w:val="00566CC0"/>
    <w:rsid w:val="00567063"/>
    <w:rsid w:val="00567408"/>
    <w:rsid w:val="00567FE4"/>
    <w:rsid w:val="00570529"/>
    <w:rsid w:val="00572E52"/>
    <w:rsid w:val="00573E9A"/>
    <w:rsid w:val="005744A3"/>
    <w:rsid w:val="005746B7"/>
    <w:rsid w:val="005747E0"/>
    <w:rsid w:val="00574B15"/>
    <w:rsid w:val="00575021"/>
    <w:rsid w:val="0058019B"/>
    <w:rsid w:val="005820F8"/>
    <w:rsid w:val="005828B4"/>
    <w:rsid w:val="00583E8E"/>
    <w:rsid w:val="0058497D"/>
    <w:rsid w:val="00584FC0"/>
    <w:rsid w:val="005858D8"/>
    <w:rsid w:val="00586AD5"/>
    <w:rsid w:val="00590108"/>
    <w:rsid w:val="0059163A"/>
    <w:rsid w:val="0059343F"/>
    <w:rsid w:val="00596B19"/>
    <w:rsid w:val="00596C9B"/>
    <w:rsid w:val="005A351D"/>
    <w:rsid w:val="005A4EB8"/>
    <w:rsid w:val="005A564C"/>
    <w:rsid w:val="005A7CDA"/>
    <w:rsid w:val="005B15FF"/>
    <w:rsid w:val="005B1A05"/>
    <w:rsid w:val="005B1EB6"/>
    <w:rsid w:val="005B3377"/>
    <w:rsid w:val="005B38A8"/>
    <w:rsid w:val="005B51B7"/>
    <w:rsid w:val="005B7C22"/>
    <w:rsid w:val="005C0961"/>
    <w:rsid w:val="005C2226"/>
    <w:rsid w:val="005C3821"/>
    <w:rsid w:val="005C516F"/>
    <w:rsid w:val="005C78F0"/>
    <w:rsid w:val="005D19F8"/>
    <w:rsid w:val="005D490A"/>
    <w:rsid w:val="005D5339"/>
    <w:rsid w:val="005D548C"/>
    <w:rsid w:val="005D54A4"/>
    <w:rsid w:val="005E0BBF"/>
    <w:rsid w:val="005E1DAD"/>
    <w:rsid w:val="005E2A2E"/>
    <w:rsid w:val="005E4E29"/>
    <w:rsid w:val="005E5AD0"/>
    <w:rsid w:val="005E70E8"/>
    <w:rsid w:val="005F042D"/>
    <w:rsid w:val="005F2B31"/>
    <w:rsid w:val="005F3D72"/>
    <w:rsid w:val="005F3EEF"/>
    <w:rsid w:val="005F43BC"/>
    <w:rsid w:val="005F44D0"/>
    <w:rsid w:val="005F5810"/>
    <w:rsid w:val="005F64C6"/>
    <w:rsid w:val="005F677E"/>
    <w:rsid w:val="00600F53"/>
    <w:rsid w:val="006029BA"/>
    <w:rsid w:val="00606117"/>
    <w:rsid w:val="00606B7D"/>
    <w:rsid w:val="00607F1D"/>
    <w:rsid w:val="00611A3E"/>
    <w:rsid w:val="00612E4C"/>
    <w:rsid w:val="006148B7"/>
    <w:rsid w:val="006165ED"/>
    <w:rsid w:val="006178B3"/>
    <w:rsid w:val="00622034"/>
    <w:rsid w:val="006224C7"/>
    <w:rsid w:val="006313FB"/>
    <w:rsid w:val="00632915"/>
    <w:rsid w:val="00632AF0"/>
    <w:rsid w:val="00634058"/>
    <w:rsid w:val="006341BD"/>
    <w:rsid w:val="00636067"/>
    <w:rsid w:val="0063707D"/>
    <w:rsid w:val="006409D0"/>
    <w:rsid w:val="00642A8E"/>
    <w:rsid w:val="00644BD9"/>
    <w:rsid w:val="00645691"/>
    <w:rsid w:val="00647407"/>
    <w:rsid w:val="006522A6"/>
    <w:rsid w:val="006533FA"/>
    <w:rsid w:val="0065369D"/>
    <w:rsid w:val="006548A6"/>
    <w:rsid w:val="006557E6"/>
    <w:rsid w:val="00655F4C"/>
    <w:rsid w:val="00657074"/>
    <w:rsid w:val="0066065B"/>
    <w:rsid w:val="00661662"/>
    <w:rsid w:val="00661A12"/>
    <w:rsid w:val="00662130"/>
    <w:rsid w:val="00662DAB"/>
    <w:rsid w:val="00663229"/>
    <w:rsid w:val="0066594B"/>
    <w:rsid w:val="00670431"/>
    <w:rsid w:val="00674C3F"/>
    <w:rsid w:val="0067533E"/>
    <w:rsid w:val="00675C3F"/>
    <w:rsid w:val="00675E73"/>
    <w:rsid w:val="0067672C"/>
    <w:rsid w:val="006775D1"/>
    <w:rsid w:val="00684F95"/>
    <w:rsid w:val="00684FDA"/>
    <w:rsid w:val="006860B1"/>
    <w:rsid w:val="00687E8A"/>
    <w:rsid w:val="00690D80"/>
    <w:rsid w:val="00691DE8"/>
    <w:rsid w:val="006946B9"/>
    <w:rsid w:val="0069649C"/>
    <w:rsid w:val="006969CD"/>
    <w:rsid w:val="00696C2F"/>
    <w:rsid w:val="006974D2"/>
    <w:rsid w:val="00697825"/>
    <w:rsid w:val="006A1679"/>
    <w:rsid w:val="006A1684"/>
    <w:rsid w:val="006A3ADA"/>
    <w:rsid w:val="006A552B"/>
    <w:rsid w:val="006A6140"/>
    <w:rsid w:val="006A6EE0"/>
    <w:rsid w:val="006B1482"/>
    <w:rsid w:val="006B5523"/>
    <w:rsid w:val="006B5DA5"/>
    <w:rsid w:val="006B687F"/>
    <w:rsid w:val="006B73BE"/>
    <w:rsid w:val="006C0008"/>
    <w:rsid w:val="006C13AB"/>
    <w:rsid w:val="006C152F"/>
    <w:rsid w:val="006C2320"/>
    <w:rsid w:val="006C2390"/>
    <w:rsid w:val="006C368A"/>
    <w:rsid w:val="006C436F"/>
    <w:rsid w:val="006C4A59"/>
    <w:rsid w:val="006C60FE"/>
    <w:rsid w:val="006C62D7"/>
    <w:rsid w:val="006C66E5"/>
    <w:rsid w:val="006C68B0"/>
    <w:rsid w:val="006D0211"/>
    <w:rsid w:val="006D2E03"/>
    <w:rsid w:val="006D37DD"/>
    <w:rsid w:val="006D635A"/>
    <w:rsid w:val="006D6802"/>
    <w:rsid w:val="006D7044"/>
    <w:rsid w:val="006D7ACE"/>
    <w:rsid w:val="006D7E69"/>
    <w:rsid w:val="006E020A"/>
    <w:rsid w:val="006E02C9"/>
    <w:rsid w:val="006E0B61"/>
    <w:rsid w:val="006E0EF2"/>
    <w:rsid w:val="006E1DD3"/>
    <w:rsid w:val="006E358B"/>
    <w:rsid w:val="006E3BAE"/>
    <w:rsid w:val="006E4939"/>
    <w:rsid w:val="006E65CC"/>
    <w:rsid w:val="006F009D"/>
    <w:rsid w:val="006F1299"/>
    <w:rsid w:val="006F31BC"/>
    <w:rsid w:val="006F3BC1"/>
    <w:rsid w:val="006F5D1D"/>
    <w:rsid w:val="006F5D4C"/>
    <w:rsid w:val="006F6C48"/>
    <w:rsid w:val="006F6E68"/>
    <w:rsid w:val="006F7AD1"/>
    <w:rsid w:val="00701B2D"/>
    <w:rsid w:val="0070383A"/>
    <w:rsid w:val="007045D4"/>
    <w:rsid w:val="00705180"/>
    <w:rsid w:val="007071FB"/>
    <w:rsid w:val="00707641"/>
    <w:rsid w:val="0071051B"/>
    <w:rsid w:val="007112CF"/>
    <w:rsid w:val="00712679"/>
    <w:rsid w:val="00715613"/>
    <w:rsid w:val="00715AE6"/>
    <w:rsid w:val="00716A8B"/>
    <w:rsid w:val="00716BBC"/>
    <w:rsid w:val="007172F3"/>
    <w:rsid w:val="00717606"/>
    <w:rsid w:val="00717DF7"/>
    <w:rsid w:val="00721ADE"/>
    <w:rsid w:val="00721FBC"/>
    <w:rsid w:val="0072255A"/>
    <w:rsid w:val="007264A8"/>
    <w:rsid w:val="00726A22"/>
    <w:rsid w:val="00727CE6"/>
    <w:rsid w:val="007317AC"/>
    <w:rsid w:val="0073261C"/>
    <w:rsid w:val="00734F49"/>
    <w:rsid w:val="00735554"/>
    <w:rsid w:val="00737CE9"/>
    <w:rsid w:val="00741163"/>
    <w:rsid w:val="00741826"/>
    <w:rsid w:val="00741CFE"/>
    <w:rsid w:val="00741F87"/>
    <w:rsid w:val="007429EB"/>
    <w:rsid w:val="00742B1C"/>
    <w:rsid w:val="0074355B"/>
    <w:rsid w:val="00743FA5"/>
    <w:rsid w:val="007449DB"/>
    <w:rsid w:val="00745607"/>
    <w:rsid w:val="007460BE"/>
    <w:rsid w:val="00746B23"/>
    <w:rsid w:val="00747BBB"/>
    <w:rsid w:val="00750E23"/>
    <w:rsid w:val="00751C34"/>
    <w:rsid w:val="0075225A"/>
    <w:rsid w:val="00752652"/>
    <w:rsid w:val="007526C3"/>
    <w:rsid w:val="007528F0"/>
    <w:rsid w:val="00753010"/>
    <w:rsid w:val="00755378"/>
    <w:rsid w:val="00755510"/>
    <w:rsid w:val="007572DF"/>
    <w:rsid w:val="007605FD"/>
    <w:rsid w:val="00761338"/>
    <w:rsid w:val="00764C02"/>
    <w:rsid w:val="00765FFA"/>
    <w:rsid w:val="0076620A"/>
    <w:rsid w:val="00766426"/>
    <w:rsid w:val="00766568"/>
    <w:rsid w:val="00766EAE"/>
    <w:rsid w:val="00767720"/>
    <w:rsid w:val="00767902"/>
    <w:rsid w:val="00767F89"/>
    <w:rsid w:val="00771014"/>
    <w:rsid w:val="0077120C"/>
    <w:rsid w:val="00771975"/>
    <w:rsid w:val="00773331"/>
    <w:rsid w:val="00774A0A"/>
    <w:rsid w:val="00776EBA"/>
    <w:rsid w:val="007775C5"/>
    <w:rsid w:val="00777999"/>
    <w:rsid w:val="007809DF"/>
    <w:rsid w:val="00781729"/>
    <w:rsid w:val="0078191D"/>
    <w:rsid w:val="007819CE"/>
    <w:rsid w:val="00784016"/>
    <w:rsid w:val="0078621B"/>
    <w:rsid w:val="00787431"/>
    <w:rsid w:val="0079112F"/>
    <w:rsid w:val="0079289A"/>
    <w:rsid w:val="00792B6D"/>
    <w:rsid w:val="007932EF"/>
    <w:rsid w:val="00796119"/>
    <w:rsid w:val="00796547"/>
    <w:rsid w:val="00796668"/>
    <w:rsid w:val="0079688D"/>
    <w:rsid w:val="007A085A"/>
    <w:rsid w:val="007A115E"/>
    <w:rsid w:val="007A19A6"/>
    <w:rsid w:val="007A556E"/>
    <w:rsid w:val="007A6A0F"/>
    <w:rsid w:val="007A6A63"/>
    <w:rsid w:val="007A7908"/>
    <w:rsid w:val="007A7B43"/>
    <w:rsid w:val="007A7EC2"/>
    <w:rsid w:val="007B079C"/>
    <w:rsid w:val="007B0F04"/>
    <w:rsid w:val="007B2AC6"/>
    <w:rsid w:val="007B35B1"/>
    <w:rsid w:val="007B3C36"/>
    <w:rsid w:val="007B3E71"/>
    <w:rsid w:val="007B5D8A"/>
    <w:rsid w:val="007C0C3D"/>
    <w:rsid w:val="007C1BC7"/>
    <w:rsid w:val="007C37EA"/>
    <w:rsid w:val="007C3DA5"/>
    <w:rsid w:val="007C4D00"/>
    <w:rsid w:val="007C52B7"/>
    <w:rsid w:val="007C573A"/>
    <w:rsid w:val="007C6AF5"/>
    <w:rsid w:val="007D1D12"/>
    <w:rsid w:val="007D22D8"/>
    <w:rsid w:val="007D237B"/>
    <w:rsid w:val="007D24F4"/>
    <w:rsid w:val="007D3441"/>
    <w:rsid w:val="007D35E7"/>
    <w:rsid w:val="007D5381"/>
    <w:rsid w:val="007E05B0"/>
    <w:rsid w:val="007E0981"/>
    <w:rsid w:val="007E1D0E"/>
    <w:rsid w:val="007E3F98"/>
    <w:rsid w:val="007E4FEE"/>
    <w:rsid w:val="007E5350"/>
    <w:rsid w:val="007E59BD"/>
    <w:rsid w:val="007E5B15"/>
    <w:rsid w:val="007E5E79"/>
    <w:rsid w:val="007E6BE9"/>
    <w:rsid w:val="007E6C6D"/>
    <w:rsid w:val="007E7EB1"/>
    <w:rsid w:val="007F20E1"/>
    <w:rsid w:val="007F2DC9"/>
    <w:rsid w:val="007F3A81"/>
    <w:rsid w:val="007F4AA1"/>
    <w:rsid w:val="007F5C19"/>
    <w:rsid w:val="007F60C0"/>
    <w:rsid w:val="007F6A2E"/>
    <w:rsid w:val="007F7675"/>
    <w:rsid w:val="007F7C2E"/>
    <w:rsid w:val="00801C44"/>
    <w:rsid w:val="008026B2"/>
    <w:rsid w:val="00803B9C"/>
    <w:rsid w:val="00806449"/>
    <w:rsid w:val="00806E4C"/>
    <w:rsid w:val="0080710F"/>
    <w:rsid w:val="00810EC7"/>
    <w:rsid w:val="00811103"/>
    <w:rsid w:val="00811662"/>
    <w:rsid w:val="008118FD"/>
    <w:rsid w:val="00814EA4"/>
    <w:rsid w:val="0081549C"/>
    <w:rsid w:val="00815572"/>
    <w:rsid w:val="008165E4"/>
    <w:rsid w:val="00821441"/>
    <w:rsid w:val="00822254"/>
    <w:rsid w:val="0082447A"/>
    <w:rsid w:val="00825276"/>
    <w:rsid w:val="00826CAC"/>
    <w:rsid w:val="00826F2A"/>
    <w:rsid w:val="00827CE3"/>
    <w:rsid w:val="008305F8"/>
    <w:rsid w:val="0083113C"/>
    <w:rsid w:val="00832A76"/>
    <w:rsid w:val="00832C15"/>
    <w:rsid w:val="00840315"/>
    <w:rsid w:val="00842B51"/>
    <w:rsid w:val="0084375F"/>
    <w:rsid w:val="00845479"/>
    <w:rsid w:val="0084672C"/>
    <w:rsid w:val="0085086E"/>
    <w:rsid w:val="00851B5D"/>
    <w:rsid w:val="00852A95"/>
    <w:rsid w:val="00857CB2"/>
    <w:rsid w:val="008601E9"/>
    <w:rsid w:val="00862547"/>
    <w:rsid w:val="00863454"/>
    <w:rsid w:val="00863C6A"/>
    <w:rsid w:val="008643B7"/>
    <w:rsid w:val="0086598C"/>
    <w:rsid w:val="00871DE2"/>
    <w:rsid w:val="00871F40"/>
    <w:rsid w:val="008744A8"/>
    <w:rsid w:val="00874D22"/>
    <w:rsid w:val="00875040"/>
    <w:rsid w:val="0087626D"/>
    <w:rsid w:val="0087667B"/>
    <w:rsid w:val="00876D78"/>
    <w:rsid w:val="0087705D"/>
    <w:rsid w:val="00881A40"/>
    <w:rsid w:val="008821FE"/>
    <w:rsid w:val="008838D1"/>
    <w:rsid w:val="008848ED"/>
    <w:rsid w:val="0088745F"/>
    <w:rsid w:val="00887C64"/>
    <w:rsid w:val="00890B9D"/>
    <w:rsid w:val="00891BE2"/>
    <w:rsid w:val="00893813"/>
    <w:rsid w:val="00894786"/>
    <w:rsid w:val="008A05A8"/>
    <w:rsid w:val="008A07C5"/>
    <w:rsid w:val="008A09FA"/>
    <w:rsid w:val="008A2914"/>
    <w:rsid w:val="008A63D4"/>
    <w:rsid w:val="008A731C"/>
    <w:rsid w:val="008B09C4"/>
    <w:rsid w:val="008B0FCD"/>
    <w:rsid w:val="008B2F61"/>
    <w:rsid w:val="008B399F"/>
    <w:rsid w:val="008B537F"/>
    <w:rsid w:val="008B6E52"/>
    <w:rsid w:val="008C08E1"/>
    <w:rsid w:val="008C18F5"/>
    <w:rsid w:val="008C1F78"/>
    <w:rsid w:val="008C2378"/>
    <w:rsid w:val="008C4677"/>
    <w:rsid w:val="008C53BF"/>
    <w:rsid w:val="008C5ADF"/>
    <w:rsid w:val="008C6A4F"/>
    <w:rsid w:val="008C71DB"/>
    <w:rsid w:val="008D130B"/>
    <w:rsid w:val="008D22C5"/>
    <w:rsid w:val="008D2C58"/>
    <w:rsid w:val="008D3AA7"/>
    <w:rsid w:val="008D3C28"/>
    <w:rsid w:val="008D3C9B"/>
    <w:rsid w:val="008D4A54"/>
    <w:rsid w:val="008D4A75"/>
    <w:rsid w:val="008E32E9"/>
    <w:rsid w:val="008E33FD"/>
    <w:rsid w:val="008E4230"/>
    <w:rsid w:val="008E4D8E"/>
    <w:rsid w:val="008E7785"/>
    <w:rsid w:val="008E7DD4"/>
    <w:rsid w:val="008F0686"/>
    <w:rsid w:val="008F3EA6"/>
    <w:rsid w:val="008F4F9C"/>
    <w:rsid w:val="00900BBD"/>
    <w:rsid w:val="00901448"/>
    <w:rsid w:val="009017E1"/>
    <w:rsid w:val="00901BF0"/>
    <w:rsid w:val="00901C68"/>
    <w:rsid w:val="00901E2D"/>
    <w:rsid w:val="0090289B"/>
    <w:rsid w:val="00905647"/>
    <w:rsid w:val="009058C9"/>
    <w:rsid w:val="00911AF5"/>
    <w:rsid w:val="0091240A"/>
    <w:rsid w:val="00916988"/>
    <w:rsid w:val="00920800"/>
    <w:rsid w:val="00920C0F"/>
    <w:rsid w:val="00922D0C"/>
    <w:rsid w:val="009234B1"/>
    <w:rsid w:val="00923B41"/>
    <w:rsid w:val="009249FA"/>
    <w:rsid w:val="00925F52"/>
    <w:rsid w:val="00926486"/>
    <w:rsid w:val="00933FDD"/>
    <w:rsid w:val="00935889"/>
    <w:rsid w:val="0093634F"/>
    <w:rsid w:val="00936994"/>
    <w:rsid w:val="00937CE9"/>
    <w:rsid w:val="00940E18"/>
    <w:rsid w:val="0094103F"/>
    <w:rsid w:val="00941238"/>
    <w:rsid w:val="00942166"/>
    <w:rsid w:val="00943036"/>
    <w:rsid w:val="00943B04"/>
    <w:rsid w:val="00945A17"/>
    <w:rsid w:val="00945FC6"/>
    <w:rsid w:val="00946167"/>
    <w:rsid w:val="00947727"/>
    <w:rsid w:val="009509BB"/>
    <w:rsid w:val="009524F0"/>
    <w:rsid w:val="009556F7"/>
    <w:rsid w:val="00955F54"/>
    <w:rsid w:val="00956826"/>
    <w:rsid w:val="009616D2"/>
    <w:rsid w:val="00961C7C"/>
    <w:rsid w:val="00963C47"/>
    <w:rsid w:val="00966256"/>
    <w:rsid w:val="009675E7"/>
    <w:rsid w:val="00967F60"/>
    <w:rsid w:val="00970BDC"/>
    <w:rsid w:val="00971834"/>
    <w:rsid w:val="009754E8"/>
    <w:rsid w:val="009756C4"/>
    <w:rsid w:val="00977505"/>
    <w:rsid w:val="009779CB"/>
    <w:rsid w:val="00977C4B"/>
    <w:rsid w:val="00980C41"/>
    <w:rsid w:val="00981878"/>
    <w:rsid w:val="009850CC"/>
    <w:rsid w:val="009857C9"/>
    <w:rsid w:val="00987501"/>
    <w:rsid w:val="00991C2A"/>
    <w:rsid w:val="0099330A"/>
    <w:rsid w:val="0099491D"/>
    <w:rsid w:val="00996CAC"/>
    <w:rsid w:val="00997B9F"/>
    <w:rsid w:val="009A2758"/>
    <w:rsid w:val="009A369A"/>
    <w:rsid w:val="009A3C1F"/>
    <w:rsid w:val="009A3F62"/>
    <w:rsid w:val="009A3F81"/>
    <w:rsid w:val="009A477F"/>
    <w:rsid w:val="009A5DC8"/>
    <w:rsid w:val="009B0256"/>
    <w:rsid w:val="009B12D8"/>
    <w:rsid w:val="009B3226"/>
    <w:rsid w:val="009B4217"/>
    <w:rsid w:val="009B43E4"/>
    <w:rsid w:val="009B4E1A"/>
    <w:rsid w:val="009B5893"/>
    <w:rsid w:val="009B5F2F"/>
    <w:rsid w:val="009B5F4A"/>
    <w:rsid w:val="009C0E9E"/>
    <w:rsid w:val="009C2250"/>
    <w:rsid w:val="009C459C"/>
    <w:rsid w:val="009C4B9C"/>
    <w:rsid w:val="009C6FEF"/>
    <w:rsid w:val="009D15A5"/>
    <w:rsid w:val="009D1D4C"/>
    <w:rsid w:val="009D2763"/>
    <w:rsid w:val="009D2BC5"/>
    <w:rsid w:val="009D2C89"/>
    <w:rsid w:val="009D3832"/>
    <w:rsid w:val="009D464F"/>
    <w:rsid w:val="009D71CC"/>
    <w:rsid w:val="009D7552"/>
    <w:rsid w:val="009E05F7"/>
    <w:rsid w:val="009E3134"/>
    <w:rsid w:val="009E3FA0"/>
    <w:rsid w:val="009E45B6"/>
    <w:rsid w:val="009E667B"/>
    <w:rsid w:val="009F0C65"/>
    <w:rsid w:val="009F1CC0"/>
    <w:rsid w:val="009F28FE"/>
    <w:rsid w:val="009F2B28"/>
    <w:rsid w:val="009F45FE"/>
    <w:rsid w:val="009F53C1"/>
    <w:rsid w:val="009F59F5"/>
    <w:rsid w:val="009F70B1"/>
    <w:rsid w:val="009F7B21"/>
    <w:rsid w:val="00A00C6C"/>
    <w:rsid w:val="00A01592"/>
    <w:rsid w:val="00A10576"/>
    <w:rsid w:val="00A10CFF"/>
    <w:rsid w:val="00A10F6B"/>
    <w:rsid w:val="00A11ABA"/>
    <w:rsid w:val="00A12AE8"/>
    <w:rsid w:val="00A13548"/>
    <w:rsid w:val="00A15246"/>
    <w:rsid w:val="00A15558"/>
    <w:rsid w:val="00A17A49"/>
    <w:rsid w:val="00A17F80"/>
    <w:rsid w:val="00A222D0"/>
    <w:rsid w:val="00A227BE"/>
    <w:rsid w:val="00A23CFF"/>
    <w:rsid w:val="00A24077"/>
    <w:rsid w:val="00A24462"/>
    <w:rsid w:val="00A24CAE"/>
    <w:rsid w:val="00A26293"/>
    <w:rsid w:val="00A26766"/>
    <w:rsid w:val="00A26BDE"/>
    <w:rsid w:val="00A272EB"/>
    <w:rsid w:val="00A27D97"/>
    <w:rsid w:val="00A30663"/>
    <w:rsid w:val="00A33E47"/>
    <w:rsid w:val="00A349A0"/>
    <w:rsid w:val="00A34CE0"/>
    <w:rsid w:val="00A35723"/>
    <w:rsid w:val="00A4032B"/>
    <w:rsid w:val="00A44FAC"/>
    <w:rsid w:val="00A451CB"/>
    <w:rsid w:val="00A45C36"/>
    <w:rsid w:val="00A4649F"/>
    <w:rsid w:val="00A478F8"/>
    <w:rsid w:val="00A5097D"/>
    <w:rsid w:val="00A509A8"/>
    <w:rsid w:val="00A514A3"/>
    <w:rsid w:val="00A52E11"/>
    <w:rsid w:val="00A537BB"/>
    <w:rsid w:val="00A53EB2"/>
    <w:rsid w:val="00A53FEC"/>
    <w:rsid w:val="00A54DD4"/>
    <w:rsid w:val="00A54E0B"/>
    <w:rsid w:val="00A603D6"/>
    <w:rsid w:val="00A616B6"/>
    <w:rsid w:val="00A61814"/>
    <w:rsid w:val="00A61915"/>
    <w:rsid w:val="00A61A13"/>
    <w:rsid w:val="00A61D99"/>
    <w:rsid w:val="00A62DC2"/>
    <w:rsid w:val="00A63039"/>
    <w:rsid w:val="00A6312E"/>
    <w:rsid w:val="00A63467"/>
    <w:rsid w:val="00A6403E"/>
    <w:rsid w:val="00A6451F"/>
    <w:rsid w:val="00A65148"/>
    <w:rsid w:val="00A65974"/>
    <w:rsid w:val="00A71750"/>
    <w:rsid w:val="00A718EC"/>
    <w:rsid w:val="00A76B2C"/>
    <w:rsid w:val="00A772F5"/>
    <w:rsid w:val="00A80AFD"/>
    <w:rsid w:val="00A81070"/>
    <w:rsid w:val="00A810EF"/>
    <w:rsid w:val="00A830E2"/>
    <w:rsid w:val="00A83A56"/>
    <w:rsid w:val="00A84DA4"/>
    <w:rsid w:val="00A94E39"/>
    <w:rsid w:val="00A94FFE"/>
    <w:rsid w:val="00AA3740"/>
    <w:rsid w:val="00AA4BBC"/>
    <w:rsid w:val="00AB1DF5"/>
    <w:rsid w:val="00AB225D"/>
    <w:rsid w:val="00AB49AA"/>
    <w:rsid w:val="00AB5C29"/>
    <w:rsid w:val="00AC1714"/>
    <w:rsid w:val="00AC1F6D"/>
    <w:rsid w:val="00AC3ABC"/>
    <w:rsid w:val="00AC4756"/>
    <w:rsid w:val="00AC4D19"/>
    <w:rsid w:val="00AD4DB0"/>
    <w:rsid w:val="00AD52B7"/>
    <w:rsid w:val="00AD594F"/>
    <w:rsid w:val="00AE21CA"/>
    <w:rsid w:val="00AE6D0A"/>
    <w:rsid w:val="00AF0831"/>
    <w:rsid w:val="00AF3B9F"/>
    <w:rsid w:val="00AF3E43"/>
    <w:rsid w:val="00AF4574"/>
    <w:rsid w:val="00AF56FD"/>
    <w:rsid w:val="00AF67D4"/>
    <w:rsid w:val="00AF6A85"/>
    <w:rsid w:val="00AF6F33"/>
    <w:rsid w:val="00AF77B2"/>
    <w:rsid w:val="00B0333E"/>
    <w:rsid w:val="00B04B14"/>
    <w:rsid w:val="00B06030"/>
    <w:rsid w:val="00B06604"/>
    <w:rsid w:val="00B078C5"/>
    <w:rsid w:val="00B103AC"/>
    <w:rsid w:val="00B1075E"/>
    <w:rsid w:val="00B12186"/>
    <w:rsid w:val="00B134BB"/>
    <w:rsid w:val="00B13A60"/>
    <w:rsid w:val="00B14647"/>
    <w:rsid w:val="00B14C64"/>
    <w:rsid w:val="00B1582B"/>
    <w:rsid w:val="00B176E6"/>
    <w:rsid w:val="00B21415"/>
    <w:rsid w:val="00B26768"/>
    <w:rsid w:val="00B27A64"/>
    <w:rsid w:val="00B30157"/>
    <w:rsid w:val="00B316CA"/>
    <w:rsid w:val="00B31A6A"/>
    <w:rsid w:val="00B3272D"/>
    <w:rsid w:val="00B34B1E"/>
    <w:rsid w:val="00B362E4"/>
    <w:rsid w:val="00B37E17"/>
    <w:rsid w:val="00B40178"/>
    <w:rsid w:val="00B40E58"/>
    <w:rsid w:val="00B40F10"/>
    <w:rsid w:val="00B455BC"/>
    <w:rsid w:val="00B46867"/>
    <w:rsid w:val="00B46F0E"/>
    <w:rsid w:val="00B477EC"/>
    <w:rsid w:val="00B530DA"/>
    <w:rsid w:val="00B53B80"/>
    <w:rsid w:val="00B53EDC"/>
    <w:rsid w:val="00B54FC9"/>
    <w:rsid w:val="00B56249"/>
    <w:rsid w:val="00B573CD"/>
    <w:rsid w:val="00B577ED"/>
    <w:rsid w:val="00B57CE4"/>
    <w:rsid w:val="00B60779"/>
    <w:rsid w:val="00B61AAB"/>
    <w:rsid w:val="00B61AB1"/>
    <w:rsid w:val="00B62302"/>
    <w:rsid w:val="00B6294C"/>
    <w:rsid w:val="00B641FC"/>
    <w:rsid w:val="00B64498"/>
    <w:rsid w:val="00B6621A"/>
    <w:rsid w:val="00B67095"/>
    <w:rsid w:val="00B70C74"/>
    <w:rsid w:val="00B716D7"/>
    <w:rsid w:val="00B7275B"/>
    <w:rsid w:val="00B756D9"/>
    <w:rsid w:val="00B81FC3"/>
    <w:rsid w:val="00B8211C"/>
    <w:rsid w:val="00B821E7"/>
    <w:rsid w:val="00B826FE"/>
    <w:rsid w:val="00B837B7"/>
    <w:rsid w:val="00B83C90"/>
    <w:rsid w:val="00B85072"/>
    <w:rsid w:val="00B86B18"/>
    <w:rsid w:val="00B877CD"/>
    <w:rsid w:val="00B92026"/>
    <w:rsid w:val="00B936F1"/>
    <w:rsid w:val="00B96A37"/>
    <w:rsid w:val="00BA192B"/>
    <w:rsid w:val="00BA1CF9"/>
    <w:rsid w:val="00BA2EC4"/>
    <w:rsid w:val="00BA7219"/>
    <w:rsid w:val="00BB0746"/>
    <w:rsid w:val="00BB2BAC"/>
    <w:rsid w:val="00BB3FCA"/>
    <w:rsid w:val="00BB77EE"/>
    <w:rsid w:val="00BC192C"/>
    <w:rsid w:val="00BC1998"/>
    <w:rsid w:val="00BC1C0C"/>
    <w:rsid w:val="00BC359F"/>
    <w:rsid w:val="00BC3CF0"/>
    <w:rsid w:val="00BC631A"/>
    <w:rsid w:val="00BC6E3F"/>
    <w:rsid w:val="00BD15EF"/>
    <w:rsid w:val="00BD610A"/>
    <w:rsid w:val="00BD68D7"/>
    <w:rsid w:val="00BD7F8E"/>
    <w:rsid w:val="00BE3652"/>
    <w:rsid w:val="00BE3CEA"/>
    <w:rsid w:val="00BE4DE0"/>
    <w:rsid w:val="00BE4FEF"/>
    <w:rsid w:val="00BE5319"/>
    <w:rsid w:val="00BE5B40"/>
    <w:rsid w:val="00BF0C98"/>
    <w:rsid w:val="00BF2DC8"/>
    <w:rsid w:val="00BF2E30"/>
    <w:rsid w:val="00C022C7"/>
    <w:rsid w:val="00C03D1E"/>
    <w:rsid w:val="00C040E7"/>
    <w:rsid w:val="00C0723A"/>
    <w:rsid w:val="00C1044D"/>
    <w:rsid w:val="00C12301"/>
    <w:rsid w:val="00C12A72"/>
    <w:rsid w:val="00C13F09"/>
    <w:rsid w:val="00C148A4"/>
    <w:rsid w:val="00C163D7"/>
    <w:rsid w:val="00C17140"/>
    <w:rsid w:val="00C171FD"/>
    <w:rsid w:val="00C206FD"/>
    <w:rsid w:val="00C207DA"/>
    <w:rsid w:val="00C21418"/>
    <w:rsid w:val="00C24EC2"/>
    <w:rsid w:val="00C25BD2"/>
    <w:rsid w:val="00C2653F"/>
    <w:rsid w:val="00C26877"/>
    <w:rsid w:val="00C27042"/>
    <w:rsid w:val="00C320A8"/>
    <w:rsid w:val="00C32211"/>
    <w:rsid w:val="00C33094"/>
    <w:rsid w:val="00C33A06"/>
    <w:rsid w:val="00C33ED6"/>
    <w:rsid w:val="00C36F3A"/>
    <w:rsid w:val="00C40791"/>
    <w:rsid w:val="00C429AB"/>
    <w:rsid w:val="00C42C1C"/>
    <w:rsid w:val="00C433D4"/>
    <w:rsid w:val="00C4382A"/>
    <w:rsid w:val="00C442C6"/>
    <w:rsid w:val="00C478AA"/>
    <w:rsid w:val="00C47A5B"/>
    <w:rsid w:val="00C52918"/>
    <w:rsid w:val="00C543ED"/>
    <w:rsid w:val="00C5471F"/>
    <w:rsid w:val="00C55476"/>
    <w:rsid w:val="00C557F7"/>
    <w:rsid w:val="00C57B0C"/>
    <w:rsid w:val="00C57FEA"/>
    <w:rsid w:val="00C604FD"/>
    <w:rsid w:val="00C6177C"/>
    <w:rsid w:val="00C63378"/>
    <w:rsid w:val="00C63C02"/>
    <w:rsid w:val="00C64268"/>
    <w:rsid w:val="00C6571A"/>
    <w:rsid w:val="00C66C71"/>
    <w:rsid w:val="00C67190"/>
    <w:rsid w:val="00C67BDA"/>
    <w:rsid w:val="00C70A9A"/>
    <w:rsid w:val="00C71381"/>
    <w:rsid w:val="00C717FB"/>
    <w:rsid w:val="00C72131"/>
    <w:rsid w:val="00C74833"/>
    <w:rsid w:val="00C75574"/>
    <w:rsid w:val="00C77004"/>
    <w:rsid w:val="00C77D1B"/>
    <w:rsid w:val="00C77F0F"/>
    <w:rsid w:val="00C81678"/>
    <w:rsid w:val="00C81827"/>
    <w:rsid w:val="00C81E16"/>
    <w:rsid w:val="00C833BD"/>
    <w:rsid w:val="00C838EA"/>
    <w:rsid w:val="00C83A56"/>
    <w:rsid w:val="00C91D9C"/>
    <w:rsid w:val="00C91E2A"/>
    <w:rsid w:val="00C92530"/>
    <w:rsid w:val="00C92BBE"/>
    <w:rsid w:val="00C92D20"/>
    <w:rsid w:val="00C92DB2"/>
    <w:rsid w:val="00C95871"/>
    <w:rsid w:val="00C973BA"/>
    <w:rsid w:val="00CA09A5"/>
    <w:rsid w:val="00CA16DA"/>
    <w:rsid w:val="00CA2AEF"/>
    <w:rsid w:val="00CA2CA7"/>
    <w:rsid w:val="00CA3D2D"/>
    <w:rsid w:val="00CA4BE5"/>
    <w:rsid w:val="00CA5034"/>
    <w:rsid w:val="00CA54B3"/>
    <w:rsid w:val="00CA736F"/>
    <w:rsid w:val="00CA7A5C"/>
    <w:rsid w:val="00CA7B1B"/>
    <w:rsid w:val="00CB029E"/>
    <w:rsid w:val="00CB0A3D"/>
    <w:rsid w:val="00CB2489"/>
    <w:rsid w:val="00CB4ECE"/>
    <w:rsid w:val="00CB5C9B"/>
    <w:rsid w:val="00CB7162"/>
    <w:rsid w:val="00CC24D8"/>
    <w:rsid w:val="00CC3F05"/>
    <w:rsid w:val="00CC51BC"/>
    <w:rsid w:val="00CC53BF"/>
    <w:rsid w:val="00CC62F9"/>
    <w:rsid w:val="00CC6C9C"/>
    <w:rsid w:val="00CC78F7"/>
    <w:rsid w:val="00CD0475"/>
    <w:rsid w:val="00CD29BB"/>
    <w:rsid w:val="00CD2DEF"/>
    <w:rsid w:val="00CD41AA"/>
    <w:rsid w:val="00CD55A4"/>
    <w:rsid w:val="00CD5EB1"/>
    <w:rsid w:val="00CD7485"/>
    <w:rsid w:val="00CE2499"/>
    <w:rsid w:val="00CE3E3E"/>
    <w:rsid w:val="00CE584F"/>
    <w:rsid w:val="00CE645B"/>
    <w:rsid w:val="00CE6616"/>
    <w:rsid w:val="00CE7413"/>
    <w:rsid w:val="00CF7565"/>
    <w:rsid w:val="00CF7775"/>
    <w:rsid w:val="00D001BA"/>
    <w:rsid w:val="00D01823"/>
    <w:rsid w:val="00D01EBA"/>
    <w:rsid w:val="00D024F6"/>
    <w:rsid w:val="00D03654"/>
    <w:rsid w:val="00D05143"/>
    <w:rsid w:val="00D06450"/>
    <w:rsid w:val="00D068FB"/>
    <w:rsid w:val="00D13A8B"/>
    <w:rsid w:val="00D14202"/>
    <w:rsid w:val="00D20381"/>
    <w:rsid w:val="00D21740"/>
    <w:rsid w:val="00D21A11"/>
    <w:rsid w:val="00D21CA3"/>
    <w:rsid w:val="00D21F56"/>
    <w:rsid w:val="00D2210A"/>
    <w:rsid w:val="00D221D9"/>
    <w:rsid w:val="00D225F0"/>
    <w:rsid w:val="00D265D0"/>
    <w:rsid w:val="00D27E61"/>
    <w:rsid w:val="00D30A66"/>
    <w:rsid w:val="00D34286"/>
    <w:rsid w:val="00D359FD"/>
    <w:rsid w:val="00D37679"/>
    <w:rsid w:val="00D37C51"/>
    <w:rsid w:val="00D43E70"/>
    <w:rsid w:val="00D47188"/>
    <w:rsid w:val="00D5186D"/>
    <w:rsid w:val="00D51ACD"/>
    <w:rsid w:val="00D53FA2"/>
    <w:rsid w:val="00D55E15"/>
    <w:rsid w:val="00D56CA7"/>
    <w:rsid w:val="00D6224C"/>
    <w:rsid w:val="00D648FB"/>
    <w:rsid w:val="00D649E1"/>
    <w:rsid w:val="00D673F7"/>
    <w:rsid w:val="00D674DD"/>
    <w:rsid w:val="00D70236"/>
    <w:rsid w:val="00D71849"/>
    <w:rsid w:val="00D7271F"/>
    <w:rsid w:val="00D73182"/>
    <w:rsid w:val="00D743B7"/>
    <w:rsid w:val="00D76643"/>
    <w:rsid w:val="00D76CC3"/>
    <w:rsid w:val="00D77406"/>
    <w:rsid w:val="00D81412"/>
    <w:rsid w:val="00D82DCD"/>
    <w:rsid w:val="00D84046"/>
    <w:rsid w:val="00D85006"/>
    <w:rsid w:val="00D85007"/>
    <w:rsid w:val="00D85B06"/>
    <w:rsid w:val="00D85ECF"/>
    <w:rsid w:val="00D860E6"/>
    <w:rsid w:val="00D872CB"/>
    <w:rsid w:val="00D900C8"/>
    <w:rsid w:val="00D91220"/>
    <w:rsid w:val="00D91AF0"/>
    <w:rsid w:val="00D91FC4"/>
    <w:rsid w:val="00D92266"/>
    <w:rsid w:val="00D93170"/>
    <w:rsid w:val="00D93878"/>
    <w:rsid w:val="00D9472D"/>
    <w:rsid w:val="00D97D02"/>
    <w:rsid w:val="00DA0167"/>
    <w:rsid w:val="00DA0F41"/>
    <w:rsid w:val="00DA174F"/>
    <w:rsid w:val="00DA3B64"/>
    <w:rsid w:val="00DA3F55"/>
    <w:rsid w:val="00DA4902"/>
    <w:rsid w:val="00DA64AC"/>
    <w:rsid w:val="00DB150D"/>
    <w:rsid w:val="00DB261D"/>
    <w:rsid w:val="00DB382E"/>
    <w:rsid w:val="00DB47AA"/>
    <w:rsid w:val="00DB65DD"/>
    <w:rsid w:val="00DC0934"/>
    <w:rsid w:val="00DC1512"/>
    <w:rsid w:val="00DC2CFF"/>
    <w:rsid w:val="00DC332C"/>
    <w:rsid w:val="00DD0A22"/>
    <w:rsid w:val="00DD13C4"/>
    <w:rsid w:val="00DD225A"/>
    <w:rsid w:val="00DD4155"/>
    <w:rsid w:val="00DD4E94"/>
    <w:rsid w:val="00DD5E54"/>
    <w:rsid w:val="00DE056D"/>
    <w:rsid w:val="00DE0CCA"/>
    <w:rsid w:val="00DE22F4"/>
    <w:rsid w:val="00DE2D2B"/>
    <w:rsid w:val="00DE2DF9"/>
    <w:rsid w:val="00DE3C59"/>
    <w:rsid w:val="00DE46EA"/>
    <w:rsid w:val="00DE501F"/>
    <w:rsid w:val="00DE5B86"/>
    <w:rsid w:val="00DE6529"/>
    <w:rsid w:val="00DE67E3"/>
    <w:rsid w:val="00DE78AC"/>
    <w:rsid w:val="00DF3065"/>
    <w:rsid w:val="00DF516F"/>
    <w:rsid w:val="00DF6893"/>
    <w:rsid w:val="00E0271C"/>
    <w:rsid w:val="00E035E5"/>
    <w:rsid w:val="00E03F21"/>
    <w:rsid w:val="00E049E4"/>
    <w:rsid w:val="00E061C6"/>
    <w:rsid w:val="00E10339"/>
    <w:rsid w:val="00E107D2"/>
    <w:rsid w:val="00E10863"/>
    <w:rsid w:val="00E10A4D"/>
    <w:rsid w:val="00E11FC7"/>
    <w:rsid w:val="00E13D82"/>
    <w:rsid w:val="00E1752D"/>
    <w:rsid w:val="00E20C3B"/>
    <w:rsid w:val="00E21962"/>
    <w:rsid w:val="00E21B66"/>
    <w:rsid w:val="00E230EE"/>
    <w:rsid w:val="00E23128"/>
    <w:rsid w:val="00E2343B"/>
    <w:rsid w:val="00E234A2"/>
    <w:rsid w:val="00E23BE2"/>
    <w:rsid w:val="00E24404"/>
    <w:rsid w:val="00E276D2"/>
    <w:rsid w:val="00E27BE2"/>
    <w:rsid w:val="00E30D4E"/>
    <w:rsid w:val="00E322DD"/>
    <w:rsid w:val="00E32D9D"/>
    <w:rsid w:val="00E3302C"/>
    <w:rsid w:val="00E3324C"/>
    <w:rsid w:val="00E3668D"/>
    <w:rsid w:val="00E406F3"/>
    <w:rsid w:val="00E409E5"/>
    <w:rsid w:val="00E40ED0"/>
    <w:rsid w:val="00E412F4"/>
    <w:rsid w:val="00E42698"/>
    <w:rsid w:val="00E45790"/>
    <w:rsid w:val="00E45BE5"/>
    <w:rsid w:val="00E4618F"/>
    <w:rsid w:val="00E46FD7"/>
    <w:rsid w:val="00E4710E"/>
    <w:rsid w:val="00E53485"/>
    <w:rsid w:val="00E60726"/>
    <w:rsid w:val="00E6089D"/>
    <w:rsid w:val="00E6168B"/>
    <w:rsid w:val="00E6202C"/>
    <w:rsid w:val="00E62B03"/>
    <w:rsid w:val="00E65B0F"/>
    <w:rsid w:val="00E67270"/>
    <w:rsid w:val="00E72BB5"/>
    <w:rsid w:val="00E731A5"/>
    <w:rsid w:val="00E760FA"/>
    <w:rsid w:val="00E766BA"/>
    <w:rsid w:val="00E77B70"/>
    <w:rsid w:val="00E811BB"/>
    <w:rsid w:val="00E83C98"/>
    <w:rsid w:val="00E83ED7"/>
    <w:rsid w:val="00E85A0F"/>
    <w:rsid w:val="00E87B7A"/>
    <w:rsid w:val="00E905E1"/>
    <w:rsid w:val="00E90C3F"/>
    <w:rsid w:val="00E9279F"/>
    <w:rsid w:val="00E92D06"/>
    <w:rsid w:val="00E940D8"/>
    <w:rsid w:val="00E94327"/>
    <w:rsid w:val="00E95446"/>
    <w:rsid w:val="00E954E4"/>
    <w:rsid w:val="00E95875"/>
    <w:rsid w:val="00E95C04"/>
    <w:rsid w:val="00E969EF"/>
    <w:rsid w:val="00E9723B"/>
    <w:rsid w:val="00E97BAD"/>
    <w:rsid w:val="00EA096C"/>
    <w:rsid w:val="00EA0FC6"/>
    <w:rsid w:val="00EA17D3"/>
    <w:rsid w:val="00EA1DF0"/>
    <w:rsid w:val="00EA3E30"/>
    <w:rsid w:val="00EA45A6"/>
    <w:rsid w:val="00EA6101"/>
    <w:rsid w:val="00EA6B42"/>
    <w:rsid w:val="00EA7308"/>
    <w:rsid w:val="00EA75A5"/>
    <w:rsid w:val="00EA7DA2"/>
    <w:rsid w:val="00EB1139"/>
    <w:rsid w:val="00EB15D7"/>
    <w:rsid w:val="00EB1ABF"/>
    <w:rsid w:val="00EB1AD3"/>
    <w:rsid w:val="00EB254A"/>
    <w:rsid w:val="00EB4FA3"/>
    <w:rsid w:val="00EB53C5"/>
    <w:rsid w:val="00EB5AED"/>
    <w:rsid w:val="00EB5BA6"/>
    <w:rsid w:val="00EB5FEC"/>
    <w:rsid w:val="00EB6CAE"/>
    <w:rsid w:val="00EB7F06"/>
    <w:rsid w:val="00EC0005"/>
    <w:rsid w:val="00EC0627"/>
    <w:rsid w:val="00EC1B5D"/>
    <w:rsid w:val="00EC1E1F"/>
    <w:rsid w:val="00EC28D4"/>
    <w:rsid w:val="00EC523A"/>
    <w:rsid w:val="00EC69F3"/>
    <w:rsid w:val="00EC7D6B"/>
    <w:rsid w:val="00ED0067"/>
    <w:rsid w:val="00ED06BF"/>
    <w:rsid w:val="00ED6B06"/>
    <w:rsid w:val="00ED756B"/>
    <w:rsid w:val="00ED7BEF"/>
    <w:rsid w:val="00EE00C1"/>
    <w:rsid w:val="00EE412C"/>
    <w:rsid w:val="00EE4995"/>
    <w:rsid w:val="00EE6D06"/>
    <w:rsid w:val="00EE6D6C"/>
    <w:rsid w:val="00EF1141"/>
    <w:rsid w:val="00EF1735"/>
    <w:rsid w:val="00EF3CC1"/>
    <w:rsid w:val="00EF6467"/>
    <w:rsid w:val="00EF723A"/>
    <w:rsid w:val="00EF75DF"/>
    <w:rsid w:val="00F01ADF"/>
    <w:rsid w:val="00F038E1"/>
    <w:rsid w:val="00F04146"/>
    <w:rsid w:val="00F052F8"/>
    <w:rsid w:val="00F0616E"/>
    <w:rsid w:val="00F0744B"/>
    <w:rsid w:val="00F10284"/>
    <w:rsid w:val="00F12914"/>
    <w:rsid w:val="00F13FD3"/>
    <w:rsid w:val="00F144AC"/>
    <w:rsid w:val="00F151E5"/>
    <w:rsid w:val="00F15526"/>
    <w:rsid w:val="00F17125"/>
    <w:rsid w:val="00F172C3"/>
    <w:rsid w:val="00F215D9"/>
    <w:rsid w:val="00F21DF2"/>
    <w:rsid w:val="00F222F5"/>
    <w:rsid w:val="00F2388B"/>
    <w:rsid w:val="00F23C81"/>
    <w:rsid w:val="00F24231"/>
    <w:rsid w:val="00F27EED"/>
    <w:rsid w:val="00F31C57"/>
    <w:rsid w:val="00F3216D"/>
    <w:rsid w:val="00F32773"/>
    <w:rsid w:val="00F340EF"/>
    <w:rsid w:val="00F3541E"/>
    <w:rsid w:val="00F35C4E"/>
    <w:rsid w:val="00F37B62"/>
    <w:rsid w:val="00F37C98"/>
    <w:rsid w:val="00F41B3B"/>
    <w:rsid w:val="00F4337E"/>
    <w:rsid w:val="00F44E02"/>
    <w:rsid w:val="00F4711F"/>
    <w:rsid w:val="00F503B5"/>
    <w:rsid w:val="00F524FA"/>
    <w:rsid w:val="00F54DCE"/>
    <w:rsid w:val="00F56BAE"/>
    <w:rsid w:val="00F56E4E"/>
    <w:rsid w:val="00F63053"/>
    <w:rsid w:val="00F646CD"/>
    <w:rsid w:val="00F67C92"/>
    <w:rsid w:val="00F715E7"/>
    <w:rsid w:val="00F724EE"/>
    <w:rsid w:val="00F72597"/>
    <w:rsid w:val="00F74020"/>
    <w:rsid w:val="00F75510"/>
    <w:rsid w:val="00F801E6"/>
    <w:rsid w:val="00F802E9"/>
    <w:rsid w:val="00F8046A"/>
    <w:rsid w:val="00F81AE1"/>
    <w:rsid w:val="00F81E5A"/>
    <w:rsid w:val="00F82067"/>
    <w:rsid w:val="00F8417E"/>
    <w:rsid w:val="00F8536F"/>
    <w:rsid w:val="00F91D34"/>
    <w:rsid w:val="00F929AA"/>
    <w:rsid w:val="00F96D39"/>
    <w:rsid w:val="00FA112B"/>
    <w:rsid w:val="00FA28EA"/>
    <w:rsid w:val="00FA3B6A"/>
    <w:rsid w:val="00FA3E1E"/>
    <w:rsid w:val="00FA4C11"/>
    <w:rsid w:val="00FA6D94"/>
    <w:rsid w:val="00FB0BEF"/>
    <w:rsid w:val="00FB10B7"/>
    <w:rsid w:val="00FB13FA"/>
    <w:rsid w:val="00FB3A3A"/>
    <w:rsid w:val="00FB3BEB"/>
    <w:rsid w:val="00FB3DC1"/>
    <w:rsid w:val="00FB751A"/>
    <w:rsid w:val="00FB7660"/>
    <w:rsid w:val="00FC11D9"/>
    <w:rsid w:val="00FC2351"/>
    <w:rsid w:val="00FC2D84"/>
    <w:rsid w:val="00FC38F8"/>
    <w:rsid w:val="00FC43FA"/>
    <w:rsid w:val="00FC4FF9"/>
    <w:rsid w:val="00FC5FB5"/>
    <w:rsid w:val="00FD04FD"/>
    <w:rsid w:val="00FD101E"/>
    <w:rsid w:val="00FD26A2"/>
    <w:rsid w:val="00FD3AC3"/>
    <w:rsid w:val="00FD5E9D"/>
    <w:rsid w:val="00FD6527"/>
    <w:rsid w:val="00FD6A8A"/>
    <w:rsid w:val="00FE2B75"/>
    <w:rsid w:val="00FE2EB5"/>
    <w:rsid w:val="00FE5F63"/>
    <w:rsid w:val="00FE69AD"/>
    <w:rsid w:val="00FE75FD"/>
    <w:rsid w:val="00FF108C"/>
    <w:rsid w:val="00FF1221"/>
    <w:rsid w:val="00FF2680"/>
    <w:rsid w:val="00FF51F1"/>
    <w:rsid w:val="00FF5562"/>
    <w:rsid w:val="00FF59F1"/>
    <w:rsid w:val="00FF5C4B"/>
    <w:rsid w:val="00FF73CF"/>
    <w:rsid w:val="00FF765A"/>
    <w:rsid w:val="010EA8BF"/>
    <w:rsid w:val="0271559B"/>
    <w:rsid w:val="02AA7920"/>
    <w:rsid w:val="02DBA3A0"/>
    <w:rsid w:val="02EF974D"/>
    <w:rsid w:val="030B32BA"/>
    <w:rsid w:val="0354D9D6"/>
    <w:rsid w:val="03974014"/>
    <w:rsid w:val="04053971"/>
    <w:rsid w:val="04480FE9"/>
    <w:rsid w:val="05B5FC36"/>
    <w:rsid w:val="061FED94"/>
    <w:rsid w:val="062A2D67"/>
    <w:rsid w:val="0722D250"/>
    <w:rsid w:val="0763E368"/>
    <w:rsid w:val="088B9E82"/>
    <w:rsid w:val="09DFE4D9"/>
    <w:rsid w:val="0A88E792"/>
    <w:rsid w:val="0A89BC73"/>
    <w:rsid w:val="0BFC2F94"/>
    <w:rsid w:val="0C6770F8"/>
    <w:rsid w:val="0CB4D787"/>
    <w:rsid w:val="0CD554F7"/>
    <w:rsid w:val="0D004EA8"/>
    <w:rsid w:val="0D0247E1"/>
    <w:rsid w:val="0D2E7B1A"/>
    <w:rsid w:val="0E6CEA23"/>
    <w:rsid w:val="0ED29DA8"/>
    <w:rsid w:val="0ED6AA7D"/>
    <w:rsid w:val="0EDB547C"/>
    <w:rsid w:val="0EF12D72"/>
    <w:rsid w:val="0F2D3ABC"/>
    <w:rsid w:val="0FB5913F"/>
    <w:rsid w:val="1143B662"/>
    <w:rsid w:val="11FA6459"/>
    <w:rsid w:val="122FBEA0"/>
    <w:rsid w:val="13055670"/>
    <w:rsid w:val="133BE19B"/>
    <w:rsid w:val="13DFA052"/>
    <w:rsid w:val="13E3AFAC"/>
    <w:rsid w:val="13F1F626"/>
    <w:rsid w:val="1495CF6C"/>
    <w:rsid w:val="163606C6"/>
    <w:rsid w:val="1723E2A7"/>
    <w:rsid w:val="17710C37"/>
    <w:rsid w:val="1800FFB8"/>
    <w:rsid w:val="1922BC4C"/>
    <w:rsid w:val="1966F485"/>
    <w:rsid w:val="19C7A28C"/>
    <w:rsid w:val="1AA51850"/>
    <w:rsid w:val="1B1D25D0"/>
    <w:rsid w:val="1BA0E1F8"/>
    <w:rsid w:val="1C120C20"/>
    <w:rsid w:val="1C61263C"/>
    <w:rsid w:val="1C90F0DD"/>
    <w:rsid w:val="1CCA96AA"/>
    <w:rsid w:val="1D07957B"/>
    <w:rsid w:val="1D8240C0"/>
    <w:rsid w:val="1E4BB4B3"/>
    <w:rsid w:val="1E5FDB46"/>
    <w:rsid w:val="1F54E216"/>
    <w:rsid w:val="1F8E7C93"/>
    <w:rsid w:val="204696E3"/>
    <w:rsid w:val="208C4C88"/>
    <w:rsid w:val="20FBE319"/>
    <w:rsid w:val="213ABE7D"/>
    <w:rsid w:val="215A0265"/>
    <w:rsid w:val="2226C2F7"/>
    <w:rsid w:val="224DE5AA"/>
    <w:rsid w:val="230284AE"/>
    <w:rsid w:val="2308B664"/>
    <w:rsid w:val="2338D07C"/>
    <w:rsid w:val="23BDF8FD"/>
    <w:rsid w:val="2407B549"/>
    <w:rsid w:val="243C3AAF"/>
    <w:rsid w:val="2460BEC6"/>
    <w:rsid w:val="24713925"/>
    <w:rsid w:val="24C4214F"/>
    <w:rsid w:val="26C8829B"/>
    <w:rsid w:val="27B0F06D"/>
    <w:rsid w:val="27C5F482"/>
    <w:rsid w:val="28598ABB"/>
    <w:rsid w:val="28BB0DA3"/>
    <w:rsid w:val="2BEC6887"/>
    <w:rsid w:val="2DD1AF4D"/>
    <w:rsid w:val="2E469916"/>
    <w:rsid w:val="2FC2AC07"/>
    <w:rsid w:val="304354E7"/>
    <w:rsid w:val="305418E8"/>
    <w:rsid w:val="3097018F"/>
    <w:rsid w:val="30CC787C"/>
    <w:rsid w:val="315F8D68"/>
    <w:rsid w:val="32348DC0"/>
    <w:rsid w:val="323CEA85"/>
    <w:rsid w:val="33C9A3BA"/>
    <w:rsid w:val="3441ECF0"/>
    <w:rsid w:val="34A46CF2"/>
    <w:rsid w:val="34C4D811"/>
    <w:rsid w:val="37C74708"/>
    <w:rsid w:val="3808D865"/>
    <w:rsid w:val="386EBCFE"/>
    <w:rsid w:val="397A652B"/>
    <w:rsid w:val="3C3B4C50"/>
    <w:rsid w:val="3C59EF21"/>
    <w:rsid w:val="3D039026"/>
    <w:rsid w:val="3E69AC31"/>
    <w:rsid w:val="3FD6AE10"/>
    <w:rsid w:val="3FD94959"/>
    <w:rsid w:val="40C72BCE"/>
    <w:rsid w:val="41028339"/>
    <w:rsid w:val="424F4416"/>
    <w:rsid w:val="425147E7"/>
    <w:rsid w:val="42B528AF"/>
    <w:rsid w:val="4335C841"/>
    <w:rsid w:val="44A559D6"/>
    <w:rsid w:val="453CF6B6"/>
    <w:rsid w:val="4596BEE9"/>
    <w:rsid w:val="45F7DAFE"/>
    <w:rsid w:val="498CD2EF"/>
    <w:rsid w:val="4A2CF3D2"/>
    <w:rsid w:val="4A628C2A"/>
    <w:rsid w:val="4C42D800"/>
    <w:rsid w:val="4DBC3CA7"/>
    <w:rsid w:val="4E325509"/>
    <w:rsid w:val="4EE86B88"/>
    <w:rsid w:val="4F072E23"/>
    <w:rsid w:val="4F71FF57"/>
    <w:rsid w:val="4F72055A"/>
    <w:rsid w:val="4F98CB23"/>
    <w:rsid w:val="501D5C2C"/>
    <w:rsid w:val="50CF32B8"/>
    <w:rsid w:val="521AEE9D"/>
    <w:rsid w:val="52A8A3FA"/>
    <w:rsid w:val="53930741"/>
    <w:rsid w:val="53E91796"/>
    <w:rsid w:val="53FF79A8"/>
    <w:rsid w:val="5426E0B0"/>
    <w:rsid w:val="54F5D015"/>
    <w:rsid w:val="5A8C79D9"/>
    <w:rsid w:val="5AF01D38"/>
    <w:rsid w:val="5B34314B"/>
    <w:rsid w:val="5B8A0BA1"/>
    <w:rsid w:val="5B9A23DF"/>
    <w:rsid w:val="5D9557AC"/>
    <w:rsid w:val="5EA9F123"/>
    <w:rsid w:val="5F4AA97E"/>
    <w:rsid w:val="5F88BA99"/>
    <w:rsid w:val="60B02E11"/>
    <w:rsid w:val="60F4F9FE"/>
    <w:rsid w:val="6152028D"/>
    <w:rsid w:val="62136057"/>
    <w:rsid w:val="63126610"/>
    <w:rsid w:val="636E1DF0"/>
    <w:rsid w:val="63EFF9C2"/>
    <w:rsid w:val="6444324F"/>
    <w:rsid w:val="656C123D"/>
    <w:rsid w:val="660D3E37"/>
    <w:rsid w:val="6639990D"/>
    <w:rsid w:val="6659746D"/>
    <w:rsid w:val="668147EB"/>
    <w:rsid w:val="6687DE48"/>
    <w:rsid w:val="679A1ADA"/>
    <w:rsid w:val="67B9D994"/>
    <w:rsid w:val="687D6A66"/>
    <w:rsid w:val="6A889CFD"/>
    <w:rsid w:val="6C2513D1"/>
    <w:rsid w:val="6DC3367F"/>
    <w:rsid w:val="6E6AEAD9"/>
    <w:rsid w:val="6EB79B82"/>
    <w:rsid w:val="6F847C7E"/>
    <w:rsid w:val="6FC9486B"/>
    <w:rsid w:val="70AA06A3"/>
    <w:rsid w:val="7133E756"/>
    <w:rsid w:val="719A396E"/>
    <w:rsid w:val="71F78E71"/>
    <w:rsid w:val="72CBF751"/>
    <w:rsid w:val="72E42E27"/>
    <w:rsid w:val="731185B8"/>
    <w:rsid w:val="73E63699"/>
    <w:rsid w:val="73FD0116"/>
    <w:rsid w:val="74529C5F"/>
    <w:rsid w:val="749EFC7E"/>
    <w:rsid w:val="75DC9A71"/>
    <w:rsid w:val="76315FDE"/>
    <w:rsid w:val="76C8FBC3"/>
    <w:rsid w:val="76E09089"/>
    <w:rsid w:val="77811613"/>
    <w:rsid w:val="79F1CA26"/>
    <w:rsid w:val="7AB0FC20"/>
    <w:rsid w:val="7AB12EF1"/>
    <w:rsid w:val="7AEF72DD"/>
    <w:rsid w:val="7B95880D"/>
    <w:rsid w:val="7BB53B34"/>
    <w:rsid w:val="7D21A59B"/>
    <w:rsid w:val="7E82002A"/>
    <w:rsid w:val="7F0AB57B"/>
    <w:rsid w:val="7F2FE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277D5B"/>
  <w15:docId w15:val="{6C61ABE5-EE07-4548-A3D9-B9105A19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uiPriority w:val="99"/>
    <w:rsid w:val="000B3C18"/>
    <w:pPr>
      <w:numPr>
        <w:numId w:val="2"/>
      </w:numPr>
      <w:tabs>
        <w:tab w:val="num" w:pos="360"/>
      </w:tabs>
      <w:ind w:left="0" w:firstLine="0"/>
    </w:pPr>
    <w:rPr>
      <w:rFonts w:eastAsia="Times New Roman"/>
      <w:lang w:eastAsia="de-DE"/>
    </w:rPr>
  </w:style>
  <w:style w:type="paragraph" w:styleId="ListNumber">
    <w:name w:val="List Number"/>
    <w:basedOn w:val="Normal"/>
    <w:rsid w:val="002B26AA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rsid w:val="002B26AA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rsid w:val="002B26AA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rsid w:val="002B26AA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rsid w:val="002B26AA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rsid w:val="002B26AA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rsid w:val="002B26AA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rsid w:val="002B26AA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rsid w:val="002B26A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B3C18"/>
    <w:rPr>
      <w:color w:val="0000FF"/>
      <w:u w:val="single"/>
    </w:rPr>
  </w:style>
  <w:style w:type="paragraph" w:styleId="ListBullet">
    <w:name w:val="List Bullet"/>
    <w:basedOn w:val="Normal"/>
    <w:uiPriority w:val="99"/>
    <w:rsid w:val="000B3C18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uiPriority w:val="99"/>
    <w:rsid w:val="000B3C18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uiPriority w:val="99"/>
    <w:rsid w:val="000B3C18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rsid w:val="002B26AA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rsid w:val="002B26AA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rsid w:val="002B26AA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rsid w:val="002B26AA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rsid w:val="002B26AA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rsid w:val="002B26AA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rsid w:val="002B26AA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rsid w:val="002B26AA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rsid w:val="002B26AA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2B26AA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rsid w:val="002B26AA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rsid w:val="002B26AA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rsid w:val="002B26AA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2B26AA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rsid w:val="002B26AA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rsid w:val="002B26AA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rsid w:val="002B26AA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2B26AA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rsid w:val="002B26AA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rsid w:val="002B26AA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rsid w:val="002B26AA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rsid w:val="002B26AA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rsid w:val="002B26AA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rsid w:val="002B26AA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2B26AA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rsid w:val="002B26AA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rsid w:val="002B26AA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rsid w:val="002B26AA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rsid w:val="002B26AA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2B26AA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uiPriority w:val="99"/>
    <w:rsid w:val="000B3C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3C18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6AA"/>
    <w:rPr>
      <w:rFonts w:ascii="Times New Roman" w:eastAsia="Times New Roman" w:hAnsi="Times New Roman" w:cs="Times New Roman"/>
      <w:sz w:val="20"/>
      <w:szCs w:val="20"/>
      <w:lang w:val="mt-MT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3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B26AA"/>
    <w:rPr>
      <w:rFonts w:ascii="Times New Roman" w:eastAsia="Times New Roman" w:hAnsi="Times New Roman" w:cs="Times New Roman"/>
      <w:b/>
      <w:bCs/>
      <w:sz w:val="20"/>
      <w:szCs w:val="20"/>
      <w:lang w:val="mt-MT" w:eastAsia="en-GB"/>
    </w:rPr>
  </w:style>
  <w:style w:type="paragraph" w:styleId="BalloonText">
    <w:name w:val="Balloon Text"/>
    <w:basedOn w:val="Normal"/>
    <w:link w:val="BalloonTextChar"/>
    <w:rsid w:val="002B26AA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2B26AA"/>
    <w:rPr>
      <w:rFonts w:ascii="Tahoma" w:eastAsia="Times New Roman" w:hAnsi="Tahoma" w:cs="Tahoma"/>
      <w:sz w:val="16"/>
      <w:szCs w:val="16"/>
      <w:lang w:val="mt-MT" w:eastAsia="en-GB"/>
    </w:rPr>
  </w:style>
  <w:style w:type="paragraph" w:styleId="Caption">
    <w:name w:val="caption"/>
    <w:basedOn w:val="Normal"/>
    <w:next w:val="Normal"/>
    <w:qFormat/>
    <w:rsid w:val="002B26AA"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sid w:val="002B26AA"/>
    <w:rPr>
      <w:rFonts w:eastAsia="Times New Roman"/>
      <w:lang w:eastAsia="en-GB"/>
    </w:rPr>
  </w:style>
  <w:style w:type="character" w:styleId="PageNumber">
    <w:name w:val="page number"/>
    <w:rsid w:val="002B26AA"/>
  </w:style>
  <w:style w:type="character" w:customStyle="1" w:styleId="tw4winMark">
    <w:name w:val="tw4winMark"/>
    <w:rsid w:val="002B26AA"/>
    <w:rPr>
      <w:vanish/>
      <w:color w:val="800080"/>
      <w:vertAlign w:val="subscript"/>
    </w:rPr>
  </w:style>
  <w:style w:type="character" w:styleId="FollowedHyperlink">
    <w:name w:val="FollowedHyperlink"/>
    <w:rsid w:val="002B26AA"/>
    <w:rPr>
      <w:color w:val="800080"/>
      <w:u w:val="single"/>
    </w:rPr>
  </w:style>
  <w:style w:type="paragraph" w:customStyle="1" w:styleId="Sous-titreobjet">
    <w:name w:val="Sous-titre objet"/>
    <w:basedOn w:val="Normal"/>
    <w:rsid w:val="002B26AA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  <w:rsid w:val="002B26AA"/>
  </w:style>
  <w:style w:type="paragraph" w:styleId="Revision">
    <w:name w:val="Revision"/>
    <w:hidden/>
    <w:uiPriority w:val="99"/>
    <w:semiHidden/>
    <w:rsid w:val="000B3C18"/>
    <w:rPr>
      <w:rFonts w:ascii="Calibri" w:eastAsia="Calibri" w:hAnsi="Calibri" w:cs="Times New Roman"/>
      <w:sz w:val="24"/>
      <w:lang w:eastAsia="en-GB"/>
    </w:rPr>
  </w:style>
  <w:style w:type="paragraph" w:customStyle="1" w:styleId="FooterCoverPage">
    <w:name w:val="Footer Cover Page"/>
    <w:basedOn w:val="Normal"/>
    <w:link w:val="FooterCoverPageChar"/>
    <w:rsid w:val="002B26A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lang w:eastAsia="en-GB"/>
    </w:rPr>
  </w:style>
  <w:style w:type="character" w:customStyle="1" w:styleId="TOCHeadingChar">
    <w:name w:val="TOC Heading Char"/>
    <w:uiPriority w:val="39"/>
    <w:rsid w:val="002B26AA"/>
    <w:rPr>
      <w:rFonts w:ascii="Times New Roman" w:hAnsi="Times New Roman" w:cs="Times New Roman"/>
      <w:b/>
      <w:sz w:val="28"/>
      <w:lang w:val="mt-MT"/>
    </w:rPr>
  </w:style>
  <w:style w:type="character" w:customStyle="1" w:styleId="FooterCoverPageChar">
    <w:name w:val="Footer Cover Page Char"/>
    <w:link w:val="FooterCoverPage"/>
    <w:rsid w:val="002B26AA"/>
    <w:rPr>
      <w:rFonts w:ascii="Times New Roman" w:eastAsia="Calibri" w:hAnsi="Times New Roman" w:cs="Times New Roman"/>
      <w:sz w:val="24"/>
      <w:lang w:val="mt-MT" w:eastAsia="en-GB"/>
    </w:rPr>
  </w:style>
  <w:style w:type="paragraph" w:customStyle="1" w:styleId="HeaderCoverPage">
    <w:name w:val="Header Cover Page"/>
    <w:basedOn w:val="Normal"/>
    <w:link w:val="HeaderCoverPageChar"/>
    <w:rsid w:val="002B26AA"/>
    <w:pPr>
      <w:tabs>
        <w:tab w:val="center" w:pos="4535"/>
        <w:tab w:val="right" w:pos="9071"/>
      </w:tabs>
      <w:spacing w:before="0"/>
    </w:pPr>
    <w:rPr>
      <w:rFonts w:eastAsia="Calibri"/>
      <w:lang w:eastAsia="en-GB"/>
    </w:rPr>
  </w:style>
  <w:style w:type="character" w:customStyle="1" w:styleId="HeaderCoverPageChar">
    <w:name w:val="Header Cover Page Char"/>
    <w:link w:val="HeaderCoverPage"/>
    <w:rsid w:val="002B26AA"/>
    <w:rPr>
      <w:rFonts w:ascii="Times New Roman" w:eastAsia="Calibri" w:hAnsi="Times New Roman" w:cs="Times New Roman"/>
      <w:sz w:val="24"/>
      <w:lang w:val="mt-MT" w:eastAsia="en-GB"/>
    </w:rPr>
  </w:style>
  <w:style w:type="character" w:customStyle="1" w:styleId="FooterSensitivityChar">
    <w:name w:val="Footer Sensitivity Char"/>
    <w:rsid w:val="002B26AA"/>
    <w:rPr>
      <w:rFonts w:ascii="Times New Roman" w:hAnsi="Times New Roman" w:cs="Times New Roman"/>
      <w:b/>
      <w:sz w:val="32"/>
      <w:lang w:val="mt-MT"/>
    </w:rPr>
  </w:style>
  <w:style w:type="character" w:customStyle="1" w:styleId="HeaderSensitivityChar">
    <w:name w:val="Header Sensitivity Char"/>
    <w:rsid w:val="002B26AA"/>
    <w:rPr>
      <w:rFonts w:ascii="Times New Roman" w:hAnsi="Times New Roman" w:cs="Times New Roman"/>
      <w:b/>
      <w:sz w:val="32"/>
      <w:lang w:val="mt-MT"/>
    </w:rPr>
  </w:style>
  <w:style w:type="character" w:customStyle="1" w:styleId="HeaderSensitivityRightChar">
    <w:name w:val="Header Sensitivity Right Char"/>
    <w:rsid w:val="002B26AA"/>
    <w:rPr>
      <w:rFonts w:ascii="Times New Roman" w:hAnsi="Times New Roman" w:cs="Times New Roman"/>
      <w:sz w:val="28"/>
      <w:lang w:val="mt-MT"/>
    </w:rPr>
  </w:style>
  <w:style w:type="paragraph" w:customStyle="1" w:styleId="LegalNumPar">
    <w:name w:val="LegalNumPar"/>
    <w:basedOn w:val="Normal"/>
    <w:rsid w:val="002B26AA"/>
    <w:pPr>
      <w:numPr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2">
    <w:name w:val="LegalNumPar2"/>
    <w:basedOn w:val="Normal"/>
    <w:rsid w:val="002B26AA"/>
    <w:pPr>
      <w:numPr>
        <w:ilvl w:val="1"/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3">
    <w:name w:val="LegalNumPar3"/>
    <w:basedOn w:val="Normal"/>
    <w:rsid w:val="002B26AA"/>
    <w:pPr>
      <w:numPr>
        <w:ilvl w:val="2"/>
        <w:numId w:val="16"/>
      </w:numPr>
      <w:spacing w:line="36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2B26AA"/>
    <w:pPr>
      <w:ind w:left="720"/>
      <w:contextualSpacing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6AA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2B26AA"/>
    <w:rPr>
      <w:b/>
      <w:bCs/>
    </w:rPr>
  </w:style>
  <w:style w:type="character" w:styleId="Emphasis">
    <w:name w:val="Emphasis"/>
    <w:basedOn w:val="DefaultParagraphFont"/>
    <w:qFormat/>
    <w:rsid w:val="002B26AA"/>
    <w:rPr>
      <w:i/>
      <w:iCs/>
    </w:rPr>
  </w:style>
  <w:style w:type="character" w:customStyle="1" w:styleId="Mention1">
    <w:name w:val="Mention1"/>
    <w:basedOn w:val="DefaultParagraphFont"/>
    <w:uiPriority w:val="99"/>
    <w:unhideWhenUsed/>
    <w:rsid w:val="002B26A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2B26AA"/>
  </w:style>
  <w:style w:type="character" w:customStyle="1" w:styleId="eop">
    <w:name w:val="eop"/>
    <w:basedOn w:val="DefaultParagraphFont"/>
    <w:rsid w:val="002B26AA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0B3C1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3C1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B3C1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B3C18"/>
    <w:rPr>
      <w:rFonts w:ascii="Segoe UI" w:hAnsi="Segoe UI" w:cs="Segoe UI" w:hint="default"/>
      <w:i/>
      <w:iCs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3C1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3C18"/>
    <w:rPr>
      <w:rFonts w:ascii="Times New Roman" w:hAnsi="Times New Roman" w:cs="Times New Roman"/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sid w:val="000B3C18"/>
    <w:rPr>
      <w:vertAlign w:val="superscript"/>
    </w:rPr>
  </w:style>
  <w:style w:type="character" w:customStyle="1" w:styleId="Mention10">
    <w:name w:val="Mention1"/>
    <w:basedOn w:val="DefaultParagraphFont"/>
    <w:uiPriority w:val="99"/>
    <w:unhideWhenUsed/>
    <w:rsid w:val="000B3C18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D001BA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D001BA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D001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D001BA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D001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2"/>
      </w:numPr>
    </w:pPr>
  </w:style>
  <w:style w:type="paragraph" w:customStyle="1" w:styleId="Tiret1">
    <w:name w:val="Tiret 1"/>
    <w:basedOn w:val="Point1"/>
    <w:pPr>
      <w:numPr>
        <w:numId w:val="33"/>
      </w:numPr>
    </w:pPr>
  </w:style>
  <w:style w:type="paragraph" w:customStyle="1" w:styleId="Tiret2">
    <w:name w:val="Tiret 2"/>
    <w:basedOn w:val="Point2"/>
    <w:pPr>
      <w:numPr>
        <w:numId w:val="34"/>
      </w:numPr>
    </w:pPr>
  </w:style>
  <w:style w:type="paragraph" w:customStyle="1" w:styleId="Tiret3">
    <w:name w:val="Tiret 3"/>
    <w:basedOn w:val="Point3"/>
    <w:pPr>
      <w:numPr>
        <w:numId w:val="35"/>
      </w:numPr>
    </w:pPr>
  </w:style>
  <w:style w:type="paragraph" w:customStyle="1" w:styleId="Tiret4">
    <w:name w:val="Tiret 4"/>
    <w:basedOn w:val="Point4"/>
    <w:pPr>
      <w:numPr>
        <w:numId w:val="36"/>
      </w:numPr>
    </w:pPr>
  </w:style>
  <w:style w:type="paragraph" w:customStyle="1" w:styleId="Tiret5">
    <w:name w:val="Tiret 5"/>
    <w:basedOn w:val="Point5"/>
    <w:pPr>
      <w:numPr>
        <w:numId w:val="3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0"/>
      </w:numPr>
    </w:pPr>
  </w:style>
  <w:style w:type="paragraph" w:customStyle="1" w:styleId="Point1number">
    <w:name w:val="Point 1 (number)"/>
    <w:basedOn w:val="Normal"/>
    <w:pPr>
      <w:numPr>
        <w:ilvl w:val="2"/>
        <w:numId w:val="40"/>
      </w:numPr>
    </w:pPr>
  </w:style>
  <w:style w:type="paragraph" w:customStyle="1" w:styleId="Point2number">
    <w:name w:val="Point 2 (number)"/>
    <w:basedOn w:val="Normal"/>
    <w:pPr>
      <w:numPr>
        <w:ilvl w:val="4"/>
        <w:numId w:val="40"/>
      </w:numPr>
    </w:pPr>
  </w:style>
  <w:style w:type="paragraph" w:customStyle="1" w:styleId="Point3number">
    <w:name w:val="Point 3 (number)"/>
    <w:basedOn w:val="Normal"/>
    <w:pPr>
      <w:numPr>
        <w:ilvl w:val="6"/>
        <w:numId w:val="40"/>
      </w:numPr>
    </w:pPr>
  </w:style>
  <w:style w:type="paragraph" w:customStyle="1" w:styleId="Point0letter">
    <w:name w:val="Point 0 (letter)"/>
    <w:basedOn w:val="Normal"/>
    <w:pPr>
      <w:numPr>
        <w:ilvl w:val="1"/>
        <w:numId w:val="40"/>
      </w:numPr>
    </w:pPr>
  </w:style>
  <w:style w:type="paragraph" w:customStyle="1" w:styleId="Point1letter">
    <w:name w:val="Point 1 (letter)"/>
    <w:basedOn w:val="Normal"/>
    <w:pPr>
      <w:numPr>
        <w:ilvl w:val="3"/>
        <w:numId w:val="40"/>
      </w:numPr>
    </w:pPr>
  </w:style>
  <w:style w:type="paragraph" w:customStyle="1" w:styleId="Point2letter">
    <w:name w:val="Point 2 (letter)"/>
    <w:basedOn w:val="Normal"/>
    <w:pPr>
      <w:numPr>
        <w:ilvl w:val="5"/>
        <w:numId w:val="40"/>
      </w:numPr>
    </w:pPr>
  </w:style>
  <w:style w:type="paragraph" w:customStyle="1" w:styleId="Point3letter">
    <w:name w:val="Point 3 (letter)"/>
    <w:basedOn w:val="Normal"/>
    <w:pPr>
      <w:numPr>
        <w:ilvl w:val="7"/>
        <w:numId w:val="40"/>
      </w:numPr>
    </w:pPr>
  </w:style>
  <w:style w:type="paragraph" w:customStyle="1" w:styleId="Point4letter">
    <w:name w:val="Point 4 (letter)"/>
    <w:basedOn w:val="Normal"/>
    <w:pPr>
      <w:numPr>
        <w:ilvl w:val="8"/>
        <w:numId w:val="40"/>
      </w:numPr>
    </w:pPr>
  </w:style>
  <w:style w:type="paragraph" w:customStyle="1" w:styleId="Bullet0">
    <w:name w:val="Bullet 0"/>
    <w:basedOn w:val="Normal"/>
    <w:pPr>
      <w:numPr>
        <w:numId w:val="41"/>
      </w:numPr>
    </w:pPr>
  </w:style>
  <w:style w:type="paragraph" w:customStyle="1" w:styleId="Bullet1">
    <w:name w:val="Bullet 1"/>
    <w:basedOn w:val="Normal"/>
    <w:pPr>
      <w:numPr>
        <w:numId w:val="42"/>
      </w:numPr>
    </w:pPr>
  </w:style>
  <w:style w:type="paragraph" w:customStyle="1" w:styleId="Bullet2">
    <w:name w:val="Bullet 2"/>
    <w:basedOn w:val="Normal"/>
    <w:pPr>
      <w:numPr>
        <w:numId w:val="43"/>
      </w:numPr>
    </w:pPr>
  </w:style>
  <w:style w:type="paragraph" w:customStyle="1" w:styleId="Bullet3">
    <w:name w:val="Bullet 3"/>
    <w:basedOn w:val="Normal"/>
    <w:pPr>
      <w:numPr>
        <w:numId w:val="44"/>
      </w:numPr>
    </w:pPr>
  </w:style>
  <w:style w:type="paragraph" w:customStyle="1" w:styleId="Bullet4">
    <w:name w:val="Bullet 4"/>
    <w:basedOn w:val="Normal"/>
    <w:pPr>
      <w:numPr>
        <w:numId w:val="4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001BA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D001BA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D001B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D001B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65C2-0205-42BF-9932-CD5A4921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10</TotalTime>
  <Pages>12</Pages>
  <Words>4742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dcterms:created xsi:type="dcterms:W3CDTF">2025-06-03T08:14:00Z</dcterms:created>
  <dcterms:modified xsi:type="dcterms:W3CDTF">2025-06-19T09:53:00Z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2025-05-19T12:42:33Z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b54c33d4-709c-40a8-bb63-c583c1551aa8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Category">
    <vt:lpwstr>COM/PL/ORG</vt:lpwstr>
  </property>
  <property fmtid="{D5CDD505-2E9C-101B-9397-08002B2CF9AE}" pid="11" name="Last edited using">
    <vt:lpwstr>LW 9.1, Build 20240808</vt:lpwstr>
  </property>
  <property fmtid="{D5CDD505-2E9C-101B-9397-08002B2CF9AE}" pid="12" name="Part">
    <vt:lpwstr>1</vt:lpwstr>
  </property>
  <property fmtid="{D5CDD505-2E9C-101B-9397-08002B2CF9AE}" pid="13" name="Total parts">
    <vt:lpwstr>1</vt:lpwstr>
  </property>
  <property fmtid="{D5CDD505-2E9C-101B-9397-08002B2CF9AE}" pid="14" name="LWTemplateID">
    <vt:lpwstr>SJ-019</vt:lpwstr>
  </property>
  <property fmtid="{D5CDD505-2E9C-101B-9397-08002B2CF9AE}" pid="15" name="DQCStatus">
    <vt:lpwstr>Green (DQC version 03)</vt:lpwstr>
  </property>
</Properties>
</file>