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8DC13" w14:textId="3D217D5C" w:rsidR="00614A55" w:rsidRDefault="00893AE1" w:rsidP="00893AE1">
      <w:pPr>
        <w:pStyle w:val="Pagedecouverture"/>
        <w:rPr>
          <w:noProof/>
        </w:rPr>
      </w:pPr>
      <w:bookmarkStart w:id="0" w:name="LW_BM_COVERPAGE"/>
      <w:r>
        <w:rPr>
          <w:noProof/>
        </w:rPr>
        <w:pict w14:anchorId="111F5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5026B4BC-18D2-428B-95F3-FF82CA5DD66C" style="width:455.25pt;height:324pt">
            <v:imagedata r:id="rId14" o:title=""/>
          </v:shape>
        </w:pict>
      </w:r>
    </w:p>
    <w:bookmarkEnd w:id="0"/>
    <w:p w14:paraId="42FF9C92" w14:textId="38910CB7" w:rsidR="00614A55" w:rsidRDefault="00614A55">
      <w:pPr>
        <w:rPr>
          <w:noProof/>
        </w:rPr>
        <w:sectPr w:rsidR="00614A55" w:rsidSect="00893AE1">
          <w:headerReference w:type="even" r:id="rId15"/>
          <w:headerReference w:type="default" r:id="rId16"/>
          <w:footerReference w:type="even" r:id="rId17"/>
          <w:footerReference w:type="default" r:id="rId18"/>
          <w:headerReference w:type="first" r:id="rId19"/>
          <w:footerReference w:type="first" r:id="rId20"/>
          <w:endnotePr>
            <w:numFmt w:val="lowerLetter"/>
          </w:endnotePr>
          <w:pgSz w:w="11906" w:h="16838"/>
          <w:pgMar w:top="1134" w:right="1417" w:bottom="1134" w:left="1417" w:header="709" w:footer="709" w:gutter="0"/>
          <w:pgNumType w:start="0"/>
          <w:cols w:space="720"/>
          <w:docGrid w:linePitch="326"/>
        </w:sectPr>
      </w:pPr>
    </w:p>
    <w:p w14:paraId="63265472" w14:textId="77777777" w:rsidR="00614A55" w:rsidRDefault="00614A55" w:rsidP="00F5341E">
      <w:pPr>
        <w:pStyle w:val="Heading1"/>
        <w:rPr>
          <w:noProof/>
        </w:rPr>
      </w:pPr>
      <w:bookmarkStart w:id="1" w:name="_GoBack"/>
      <w:bookmarkEnd w:id="1"/>
      <w:r>
        <w:rPr>
          <w:noProof/>
        </w:rPr>
        <w:lastRenderedPageBreak/>
        <w:t xml:space="preserve">Introduzzjoni </w:t>
      </w:r>
    </w:p>
    <w:p w14:paraId="50827739" w14:textId="1A9564F2" w:rsidR="00614A55" w:rsidRDefault="00614A55">
      <w:pPr>
        <w:rPr>
          <w:noProof/>
          <w:szCs w:val="24"/>
        </w:rPr>
      </w:pPr>
      <w:r>
        <w:rPr>
          <w:noProof/>
        </w:rPr>
        <w:t>Id-Direttiva (UE) 2016/2284 dwar it-tnaqqis tal-emissjonijiet nazzjonali ta’ ċerti inkwinanti atmosferiċi (id-Direttiva) hija waħda mill-istrumenti leġiżlattivi li jikkontribwixxu biex jintlaħqu l-objettivi tal-2030 dwar it-tniġġis tal-arja tal-Pjan ta’ Azzjoni ta’ Tniġġis Żero (</w:t>
      </w:r>
      <w:r w:rsidR="00DB6307">
        <w:rPr>
          <w:rStyle w:val="FootnoteReference"/>
          <w:noProof/>
          <w:szCs w:val="24"/>
        </w:rPr>
        <w:footnoteReference w:id="2"/>
      </w:r>
      <w:r>
        <w:rPr>
          <w:noProof/>
        </w:rPr>
        <w:t>). Hija tistabbilixxi impenji nazzjonali għat-tnaqqis tal-emissjonijiet għal kull Stat Membru tal-UE għall-2020–2029 u impenji aktar ambizzjużi mill-2030. Hija tiffoka fuq ħames inkwinanti responsabbli għal impatti negattivi sinifikanti fuq is-saħħa tal-bniedem u l-ambjent, jiġifieri: id-diossidu tal-kubrit (SO</w:t>
      </w:r>
      <w:r>
        <w:rPr>
          <w:noProof/>
          <w:vertAlign w:val="subscript"/>
        </w:rPr>
        <w:t>2</w:t>
      </w:r>
      <w:r>
        <w:rPr>
          <w:noProof/>
        </w:rPr>
        <w:t>); l-ossidi tan-nitroġenu (NO</w:t>
      </w:r>
      <w:r>
        <w:rPr>
          <w:noProof/>
          <w:vertAlign w:val="subscript"/>
        </w:rPr>
        <w:t>x</w:t>
      </w:r>
      <w:r>
        <w:rPr>
          <w:noProof/>
        </w:rPr>
        <w:t>); il-komposti volatili organiċi mhux metaniċi (NMVOC); l-ammonijaka (NH</w:t>
      </w:r>
      <w:r>
        <w:rPr>
          <w:noProof/>
          <w:vertAlign w:val="subscript"/>
        </w:rPr>
        <w:t>3</w:t>
      </w:r>
      <w:r>
        <w:rPr>
          <w:noProof/>
        </w:rPr>
        <w:t>); u materja partikolata fina (PM</w:t>
      </w:r>
      <w:r>
        <w:rPr>
          <w:noProof/>
          <w:vertAlign w:val="subscript"/>
        </w:rPr>
        <w:t>2.5</w:t>
      </w:r>
      <w:r>
        <w:rPr>
          <w:noProof/>
        </w:rPr>
        <w:t xml:space="preserve">). </w:t>
      </w:r>
    </w:p>
    <w:p w14:paraId="3824AF6F" w14:textId="223C21C2" w:rsidR="00614A55" w:rsidRDefault="00614A55">
      <w:pPr>
        <w:rPr>
          <w:noProof/>
          <w:szCs w:val="24"/>
        </w:rPr>
      </w:pPr>
      <w:r>
        <w:rPr>
          <w:noProof/>
        </w:rPr>
        <w:t>Id-Direttiva daħlet fis-seħħ fil-31 ta’ Diċembru 2016, u tħassar id-Direttiva 2001/81/KE (</w:t>
      </w:r>
      <w:r>
        <w:rPr>
          <w:rStyle w:val="FootnoteReference"/>
          <w:noProof/>
          <w:szCs w:val="24"/>
        </w:rPr>
        <w:footnoteReference w:id="3"/>
      </w:r>
      <w:r>
        <w:rPr>
          <w:noProof/>
        </w:rPr>
        <w:t>) dwar il-livelli nazzjonali massimi tal-emissjonijiet ta’ ċerti inkwinanti atmosferiċi b’effett mill-1 ta’ Lulju 2018. Id-Direttiva tistabbilixxi obbligi nazzjonali ta’ tnaqqis għall-emissjonijiet tal-inkwinanti, espressi bħala perċentwal tal-emissjonijiet ta’ kull inkwinant fis-sena bażi 2005. Dawn l-obbligi ilhom japplikaw mill-2020, bid-</w:t>
      </w:r>
      <w:r>
        <w:rPr>
          <w:i/>
          <w:noProof/>
        </w:rPr>
        <w:t>data</w:t>
      </w:r>
      <w:r>
        <w:rPr>
          <w:noProof/>
        </w:rPr>
        <w:t xml:space="preserve"> dwar l-emissjonijiet irrapportata għall-ewwel darba fl-2022. </w:t>
      </w:r>
    </w:p>
    <w:p w14:paraId="726AF41D" w14:textId="62AE3CD8" w:rsidR="00614A55" w:rsidRDefault="00614A55">
      <w:pPr>
        <w:rPr>
          <w:noProof/>
          <w:szCs w:val="24"/>
        </w:rPr>
      </w:pPr>
      <w:r>
        <w:rPr>
          <w:noProof/>
        </w:rPr>
        <w:t>L-impenji tad-Direttiva għat-tnaqqis tal-emissjonijiet għall-2020 sal-2029 jikkorrispondu mal-impenji għat-tnaqqis tal-emissjonijiet mill-2020 ’il quddiem meħuda mill-UE u l-Istati Membri tagħha skont il-Protokoll rivedut ta’ Gothenburg (</w:t>
      </w:r>
      <w:r>
        <w:rPr>
          <w:rStyle w:val="FootnoteReference"/>
          <w:noProof/>
          <w:szCs w:val="24"/>
        </w:rPr>
        <w:footnoteReference w:id="4"/>
      </w:r>
      <w:r>
        <w:rPr>
          <w:noProof/>
        </w:rPr>
        <w:t>) għall-Konvenzjoni fuq it-tniġġis tal-arja transkonfini fuq distanza kbira (</w:t>
      </w:r>
      <w:r>
        <w:rPr>
          <w:rStyle w:val="FootnoteReference"/>
          <w:noProof/>
          <w:szCs w:val="24"/>
        </w:rPr>
        <w:footnoteReference w:id="5"/>
      </w:r>
      <w:r>
        <w:rPr>
          <w:noProof/>
        </w:rPr>
        <w:t xml:space="preserve">). Id-Direttiva tittrasponi dawk l-obbligi internazzjonali fid-dritt tal-UE, u tistabbilixxi impenji aktar ambizzjużi għall-2030 ’il quddiem. </w:t>
      </w:r>
    </w:p>
    <w:p w14:paraId="0C23DE9F" w14:textId="6AAEF065" w:rsidR="00614A55" w:rsidRDefault="00B35421">
      <w:pPr>
        <w:rPr>
          <w:noProof/>
          <w:szCs w:val="24"/>
        </w:rPr>
      </w:pPr>
      <w:r>
        <w:rPr>
          <w:noProof/>
        </w:rPr>
        <w:t>Id-Direttiva tindirizza l-emissjonijiet nazzjonali kumplessivi. Hija parti mill-qafas legali tal-UE dwar l-arja nadifa, flimkien mad-Direttiva(i) tal-UE dwar il-Kwalità tal-Arja fl-Ambjent (</w:t>
      </w:r>
      <w:r w:rsidR="00614A55">
        <w:rPr>
          <w:rStyle w:val="FootnoteReference"/>
          <w:noProof/>
          <w:szCs w:val="24"/>
        </w:rPr>
        <w:footnoteReference w:id="6"/>
      </w:r>
      <w:r>
        <w:rPr>
          <w:noProof/>
        </w:rPr>
        <w:t>) u l-leġiżlazzjoni tal-UE li tirregola t-tniġġis tal-arja fis-sors (</w:t>
      </w:r>
      <w:r w:rsidR="00614A55">
        <w:rPr>
          <w:rStyle w:val="FootnoteReference"/>
          <w:noProof/>
          <w:szCs w:val="24"/>
        </w:rPr>
        <w:footnoteReference w:id="7"/>
      </w:r>
      <w:r>
        <w:rPr>
          <w:noProof/>
        </w:rPr>
        <w:t>). L-implimentazzjoni effettiva tal-leġiżlazzjoni dwar l-arja nadifa hija essenzjali biex jintlaħqu ż-żewġ miri relatati mal-arja għall-2030 tal-Pjan ta’ Azzjoni ta’ Tniġġis Żero, jiġifieri: (i) it-tnaqqis b’aktar minn 55 % tal-impatti tat-tniġġis tal-arja fuq is-saħħa (espressi bħala mwiet prematuri minħabba t-tniġġis tal-PM</w:t>
      </w:r>
      <w:r>
        <w:rPr>
          <w:noProof/>
          <w:vertAlign w:val="subscript"/>
        </w:rPr>
        <w:t xml:space="preserve">2.5 </w:t>
      </w:r>
      <w:r>
        <w:rPr>
          <w:noProof/>
        </w:rPr>
        <w:t>) fl-UE; u (ii) it-tnaqqis b’ 25 % taż-żona tal-ekosistemi fejn it-tniġġis tal-arja jhedded il-bijodiversità (meta mqabbel mal-livelli tal-2005).</w:t>
      </w:r>
      <w:r>
        <w:rPr>
          <w:rStyle w:val="FootnoteReference"/>
          <w:noProof/>
        </w:rPr>
        <w:t xml:space="preserve"> </w:t>
      </w:r>
    </w:p>
    <w:p w14:paraId="78BBE27A" w14:textId="79EE2D3E" w:rsidR="00B818D9" w:rsidRDefault="00614A55" w:rsidP="10D35545">
      <w:pPr>
        <w:rPr>
          <w:noProof/>
        </w:rPr>
      </w:pPr>
      <w:r>
        <w:rPr>
          <w:noProof/>
        </w:rPr>
        <w:t xml:space="preserve">L-Istati Membri kienu meħtieġa jittrasponu bis-sħiħ (jiġifieri jintegraw fil-liġi nazzjonali) id-Direttiva (UE) 2016/2284 sal-1 ta’ Lulju 2018. </w:t>
      </w:r>
    </w:p>
    <w:p w14:paraId="39E87C4A" w14:textId="0F61674A" w:rsidR="00B818D9" w:rsidRDefault="00937911" w:rsidP="10D35545">
      <w:pPr>
        <w:rPr>
          <w:noProof/>
        </w:rPr>
      </w:pPr>
      <w:r>
        <w:rPr>
          <w:noProof/>
        </w:rPr>
        <w:t xml:space="preserve">Il-Kummissjoni għamlet segwitu għat-tmien każijiet ta’ komunikazzjoni tardiva tat-traspożizzjoni tad-Direttiva b’ittri ta’ intimazzjoni, f’konformità mal-Artikolu 258 tat-Trattat dwar il-Funzjonament tal-Unjoni Ewropea (TFUE). It-tmien każijiet kollha ngħalqu minn dak iż-żmien ’l hawn. </w:t>
      </w:r>
    </w:p>
    <w:p w14:paraId="3EA6F5F6" w14:textId="2AB2B2F8" w:rsidR="00614A55" w:rsidRDefault="54F1B3E9" w:rsidP="10D35545">
      <w:pPr>
        <w:rPr>
          <w:noProof/>
        </w:rPr>
      </w:pPr>
      <w:r>
        <w:rPr>
          <w:noProof/>
        </w:rPr>
        <w:t>Il-Kummissjoni vverifikat il-konformità tal-miżuri nazzjonali notifikati, u bdiet disa’ proċeduri ta’ ksur minħabba li l-leġiżlazzjoni nazzjonali ma kinitx konformi mar-rekwiżiti tad-Direttiva. Minn dak iż-żmien ’l hawn ingħalqu l-proċeduri kollha minbarra waħda (</w:t>
      </w:r>
      <w:r w:rsidR="00444673">
        <w:rPr>
          <w:rStyle w:val="FootnoteReference"/>
          <w:noProof/>
        </w:rPr>
        <w:footnoteReference w:id="8"/>
      </w:r>
      <w:r>
        <w:rPr>
          <w:noProof/>
        </w:rPr>
        <w:t xml:space="preserve">). </w:t>
      </w:r>
    </w:p>
    <w:p w14:paraId="6B957CC5" w14:textId="4B9EAFB4" w:rsidR="00B818D9" w:rsidRDefault="00614A55" w:rsidP="00AB2AA7">
      <w:pPr>
        <w:spacing w:after="0"/>
        <w:rPr>
          <w:noProof/>
          <w:szCs w:val="24"/>
        </w:rPr>
      </w:pPr>
      <w:r>
        <w:rPr>
          <w:noProof/>
        </w:rPr>
        <w:t xml:space="preserve">Skont l-Artikolu 11(1) tad-Direttiva, il-Kummissjoni Ewropea għandha l-obbligu li tinforma lill-Parlament Ewropew u lill-Kunsill dwar il-progress fl-implimentazzjoni li jkun sar. </w:t>
      </w:r>
    </w:p>
    <w:p w14:paraId="1F81E421" w14:textId="77777777" w:rsidR="00B818D9" w:rsidRDefault="00B818D9" w:rsidP="00AB2AA7">
      <w:pPr>
        <w:spacing w:after="0"/>
        <w:rPr>
          <w:noProof/>
          <w:szCs w:val="24"/>
        </w:rPr>
      </w:pPr>
    </w:p>
    <w:p w14:paraId="23C982F6" w14:textId="41E944FC" w:rsidR="00614A55" w:rsidRPr="00E37597" w:rsidRDefault="00614A55" w:rsidP="00AB2AA7">
      <w:pPr>
        <w:spacing w:after="0"/>
        <w:rPr>
          <w:noProof/>
          <w:szCs w:val="24"/>
        </w:rPr>
      </w:pPr>
      <w:r>
        <w:rPr>
          <w:noProof/>
        </w:rPr>
        <w:t>L-ewwel rapport ta’ implimentazzjoni ġie ppreżentat fl-2020 (</w:t>
      </w:r>
      <w:r w:rsidR="00996E9E">
        <w:rPr>
          <w:rStyle w:val="FootnoteReference"/>
          <w:noProof/>
          <w:szCs w:val="24"/>
        </w:rPr>
        <w:footnoteReference w:id="9"/>
      </w:r>
      <w:r>
        <w:rPr>
          <w:noProof/>
        </w:rPr>
        <w:t xml:space="preserve">). Dan it-tieni rapport qed jasal 4 snin wara dak preċedenti, kif meħtieġ mill-Artikolu 11 tad-Direttiva. Dan jippreżenta l-progress li sar s’issa fl-implimentazzjoni tad-Direttiva, u jinkludi valutazzjoni tal-kontribut tiegħu għall-kisba tal-objettivi stabbiliti fl-Artikolu 1. B’mod aktar preċiż, l-Artikolu 11(1) tad-Direttiva jirrikjedi li l-Kummissjoni tirrapporta dwar il-progress lejn:   </w:t>
      </w:r>
    </w:p>
    <w:p w14:paraId="04B1CB85" w14:textId="77777777" w:rsidR="00614A55" w:rsidRPr="00E37597" w:rsidRDefault="00614A55" w:rsidP="00AB2AA7">
      <w:pPr>
        <w:pStyle w:val="ListNumber1"/>
        <w:numPr>
          <w:ilvl w:val="0"/>
          <w:numId w:val="34"/>
        </w:numPr>
        <w:spacing w:after="0"/>
        <w:ind w:left="714" w:hanging="357"/>
        <w:rPr>
          <w:noProof/>
        </w:rPr>
      </w:pPr>
      <w:r>
        <w:rPr>
          <w:noProof/>
        </w:rPr>
        <w:t xml:space="preserve">il-livelli ta’ emissjonijiet indikattivi u l-impenji għat-tnaqqis tal-emissjonijiet imsemmija fl-Artikolu 4 u, fejn applikabbli, ir-raġunijiet għal kwalunkwe nuqqas ta’ ksib; </w:t>
      </w:r>
    </w:p>
    <w:p w14:paraId="33D970FA" w14:textId="123DDD8E" w:rsidR="00614A55" w:rsidRPr="00A619DC" w:rsidRDefault="00614A55" w:rsidP="00AB2AA7">
      <w:pPr>
        <w:pStyle w:val="ListNumber1"/>
        <w:numPr>
          <w:ilvl w:val="0"/>
          <w:numId w:val="34"/>
        </w:numPr>
        <w:spacing w:after="0"/>
        <w:ind w:left="714" w:hanging="357"/>
        <w:rPr>
          <w:noProof/>
        </w:rPr>
      </w:pPr>
      <w:r>
        <w:rPr>
          <w:noProof/>
        </w:rPr>
        <w:t xml:space="preserve">il-livelli ta’ kwalità tal-arja fl-ambjent f’konformità mal-linji gwida dwar il-kwalità tal-arja ppubblikati mill-Organizzazzjoni Dinjija tas-Saħħa; </w:t>
      </w:r>
    </w:p>
    <w:p w14:paraId="37D0017C" w14:textId="784AA1E4" w:rsidR="00614A55" w:rsidRPr="00A619DC" w:rsidRDefault="00614A55" w:rsidP="00AB2AA7">
      <w:pPr>
        <w:pStyle w:val="ListNumber1"/>
        <w:numPr>
          <w:ilvl w:val="0"/>
          <w:numId w:val="34"/>
        </w:numPr>
        <w:spacing w:after="0"/>
        <w:ind w:left="714" w:hanging="357"/>
        <w:rPr>
          <w:noProof/>
        </w:rPr>
      </w:pPr>
      <w:r>
        <w:rPr>
          <w:noProof/>
        </w:rPr>
        <w:t>l-objettivi tal-bijodiversità u tal-ekosistema tal-UE stabbiliti fis-seba’ programm ta’ azzjoni ambjentali.</w:t>
      </w:r>
    </w:p>
    <w:p w14:paraId="1D99F109" w14:textId="77777777" w:rsidR="00AB2AA7" w:rsidRDefault="00AB2AA7" w:rsidP="00AB2AA7">
      <w:pPr>
        <w:spacing w:after="0"/>
        <w:rPr>
          <w:noProof/>
          <w:szCs w:val="24"/>
        </w:rPr>
      </w:pPr>
    </w:p>
    <w:p w14:paraId="2AAC78D7" w14:textId="21AA4EB3" w:rsidR="00D36AB4" w:rsidRDefault="00614A55" w:rsidP="00AB2AA7">
      <w:pPr>
        <w:spacing w:after="0"/>
        <w:rPr>
          <w:noProof/>
          <w:szCs w:val="24"/>
        </w:rPr>
      </w:pPr>
      <w:r>
        <w:rPr>
          <w:noProof/>
        </w:rPr>
        <w:t>L-Artikolu 11(1) jirrikjedi wkoll li l-Kummissjoni:</w:t>
      </w:r>
    </w:p>
    <w:p w14:paraId="41D5C3A5" w14:textId="2C9DB651" w:rsidR="00614A55" w:rsidRPr="007118FB" w:rsidRDefault="00614A55" w:rsidP="00AB2AA7">
      <w:pPr>
        <w:pStyle w:val="ListNumber1"/>
        <w:numPr>
          <w:ilvl w:val="0"/>
          <w:numId w:val="34"/>
        </w:numPr>
        <w:spacing w:after="0"/>
        <w:ind w:left="714" w:hanging="357"/>
        <w:rPr>
          <w:noProof/>
        </w:rPr>
      </w:pPr>
      <w:r>
        <w:rPr>
          <w:noProof/>
        </w:rPr>
        <w:t xml:space="preserve">tidentifika aktar miżuri meħtieġa fil-livell tal-UE u tal-Istati Membri biex jintlaħqu dawn l-objettivi; </w:t>
      </w:r>
    </w:p>
    <w:p w14:paraId="40BF635D" w14:textId="5A3B0923" w:rsidR="00614A55" w:rsidRPr="007118FB" w:rsidRDefault="007118FB" w:rsidP="00AB2AA7">
      <w:pPr>
        <w:pStyle w:val="ListNumber1"/>
        <w:numPr>
          <w:ilvl w:val="0"/>
          <w:numId w:val="34"/>
        </w:numPr>
        <w:spacing w:after="0"/>
        <w:ind w:left="714" w:hanging="357"/>
        <w:rPr>
          <w:noProof/>
        </w:rPr>
      </w:pPr>
      <w:r>
        <w:rPr>
          <w:noProof/>
        </w:rPr>
        <w:t xml:space="preserve">tirrapporta dwar l-użu tal-fondi tal-UE biex tappoġġa l-miżuri meħuda għall-konformità mal-objettivi tad-Direttiva; </w:t>
      </w:r>
    </w:p>
    <w:p w14:paraId="0953B923" w14:textId="25DA6067" w:rsidR="00614A55" w:rsidRPr="007118FB" w:rsidRDefault="007118FB" w:rsidP="00AB2AA7">
      <w:pPr>
        <w:pStyle w:val="ListNumber1"/>
        <w:numPr>
          <w:ilvl w:val="0"/>
          <w:numId w:val="34"/>
        </w:numPr>
        <w:spacing w:after="0"/>
        <w:ind w:left="714" w:hanging="357"/>
        <w:rPr>
          <w:noProof/>
        </w:rPr>
      </w:pPr>
      <w:r>
        <w:rPr>
          <w:noProof/>
        </w:rPr>
        <w:t xml:space="preserve">tippreżenta r-riżultati tal-eżami mill-Kummissjoni tal-programmi nazzjonali għall-kontroll tat-tniġġis tal-arja u l-aġġornamenti tagħhom f’konformità mat-tielet subparagrafu tal-Artikolu 10(1); </w:t>
      </w:r>
    </w:p>
    <w:p w14:paraId="6BF218BA" w14:textId="45B11D58" w:rsidR="00614A55" w:rsidRPr="007118FB" w:rsidRDefault="007118FB" w:rsidP="00AB2AA7">
      <w:pPr>
        <w:pStyle w:val="ListNumber1"/>
        <w:numPr>
          <w:ilvl w:val="0"/>
          <w:numId w:val="34"/>
        </w:numPr>
        <w:spacing w:after="0"/>
        <w:ind w:left="714" w:hanging="357"/>
        <w:rPr>
          <w:noProof/>
        </w:rPr>
      </w:pPr>
      <w:r>
        <w:rPr>
          <w:noProof/>
        </w:rPr>
        <w:t xml:space="preserve">tevalwa l-impatti fuq is-saħħa, l-ambjent u dawk soċjoekonomiċi ta’ din id-Direttiva. </w:t>
      </w:r>
    </w:p>
    <w:p w14:paraId="3B451D86" w14:textId="77777777" w:rsidR="00AB2AA7" w:rsidRPr="00554779" w:rsidRDefault="00AB2AA7" w:rsidP="00AB2AA7">
      <w:pPr>
        <w:spacing w:after="0"/>
        <w:rPr>
          <w:noProof/>
          <w:szCs w:val="24"/>
        </w:rPr>
      </w:pPr>
    </w:p>
    <w:p w14:paraId="34DC24F7" w14:textId="31ACA574" w:rsidR="00B818D9" w:rsidRDefault="007118FB">
      <w:pPr>
        <w:rPr>
          <w:noProof/>
          <w:szCs w:val="24"/>
        </w:rPr>
      </w:pPr>
      <w:r>
        <w:rPr>
          <w:noProof/>
        </w:rPr>
        <w:t xml:space="preserve">L-Artikolu 11(2) jirrikjedi wkoll li l-Kummissjoni tinvestiga l-ħtieġa għal aktar azzjoni, inklużi miżuri leġiżlattivi possibbli, fejn ir-rapport jindika li n-nuqqas ta’ kisba tal-livelli indikattivi tal-emissjonijiet u tal-impenji għat-tnaqqis tal-emissjonijiet jista’ jkun ir-riżultat ta’ leġiżlazzjoni mhux effettiva tal-UE dwar is-sorsi, inkluża l-implimentazzjoni tagħha fil-livell tal-Istati Membri. </w:t>
      </w:r>
    </w:p>
    <w:p w14:paraId="3D63B04B" w14:textId="63764674" w:rsidR="00614A55" w:rsidRDefault="00614A55">
      <w:pPr>
        <w:rPr>
          <w:noProof/>
          <w:szCs w:val="24"/>
        </w:rPr>
      </w:pPr>
      <w:r>
        <w:rPr>
          <w:noProof/>
        </w:rPr>
        <w:t>Ir-raba’ Perspettiva dwar l-Arja Nadifa, ippjanata għal tmiem l-2024, li ssegwi mill-edizzjonijiet preċedenti (</w:t>
      </w:r>
      <w:r>
        <w:rPr>
          <w:rStyle w:val="FootnoteReference"/>
          <w:noProof/>
          <w:szCs w:val="24"/>
        </w:rPr>
        <w:footnoteReference w:id="10"/>
      </w:r>
      <w:r>
        <w:rPr>
          <w:noProof/>
        </w:rPr>
        <w:t xml:space="preserve">), se tikkomplementa dan ir-rapport billi tipprovdi informazzjoni dwar it-trajettorja għall-konformità. B’mod aktar speċifiku, il-Perspettiva dwar l-Arja Nadifa tal-2024 se tipprovdi valutazzjoni analitika dettaljata tal-punt sa fejn l-Istati Membri u l-UE kollha kemm hi jinsabu fit-triq it-tajba biex jissodisfaw ir-rekwiżiti tad-Direttiva għat-tnaqqis tal-emissjonijiet u biex itejbu l-kwalità tal-arja, u b’hekk inaqqsu l-impatti fuq is-saħħa tal-bniedem u fuq l-ambjent, kif ukoll tal-kostijiet u l-benefiċċji tal-miżuri meħtieġa u l-impatti mistennija. </w:t>
      </w:r>
    </w:p>
    <w:p w14:paraId="23D418A1" w14:textId="4C49FEE7" w:rsidR="00614A55" w:rsidRDefault="008D4ABB" w:rsidP="000D13E6">
      <w:pPr>
        <w:pStyle w:val="Heading1"/>
        <w:rPr>
          <w:noProof/>
        </w:rPr>
      </w:pPr>
      <w:r>
        <w:rPr>
          <w:noProof/>
        </w:rPr>
        <w:t xml:space="preserve">Kisba tal-imgħoddi u projettata tal-impenji għat-tnaqqis tal-emissjonijiet </w:t>
      </w:r>
    </w:p>
    <w:p w14:paraId="11FA682D" w14:textId="7541677E" w:rsidR="00614A55" w:rsidRDefault="00040990" w:rsidP="000D13E6">
      <w:pPr>
        <w:pStyle w:val="Heading2"/>
        <w:rPr>
          <w:noProof/>
        </w:rPr>
      </w:pPr>
      <w:r>
        <w:rPr>
          <w:noProof/>
        </w:rPr>
        <w:t>T</w:t>
      </w:r>
      <w:r w:rsidR="00BD10D5">
        <w:rPr>
          <w:noProof/>
        </w:rPr>
        <w:t xml:space="preserve">naqqis tal-emissjonijiet miksub s’issa u l-kontrolli tal-konformità </w:t>
      </w:r>
    </w:p>
    <w:p w14:paraId="1EB45134" w14:textId="106ED563" w:rsidR="00682792" w:rsidRDefault="00614A55" w:rsidP="008D4ABB">
      <w:pPr>
        <w:rPr>
          <w:noProof/>
          <w:szCs w:val="24"/>
        </w:rPr>
      </w:pPr>
      <w:r>
        <w:rPr>
          <w:noProof/>
        </w:rPr>
        <w:t>L-obbligu ċentrali għall-Istati Membri, kif stabbilit fid-Direttiva, huwa li jnaqqsu l-emissjonijiet għall-inkwinanti tal-arja SO</w:t>
      </w:r>
      <w:r>
        <w:rPr>
          <w:noProof/>
          <w:vertAlign w:val="subscript"/>
        </w:rPr>
        <w:t>2</w:t>
      </w:r>
      <w:r>
        <w:rPr>
          <w:noProof/>
        </w:rPr>
        <w:t>, NO</w:t>
      </w:r>
      <w:r>
        <w:rPr>
          <w:noProof/>
          <w:vertAlign w:val="subscript"/>
        </w:rPr>
        <w:t>x</w:t>
      </w:r>
      <w:r>
        <w:rPr>
          <w:noProof/>
        </w:rPr>
        <w:t>, NMVOC, NH</w:t>
      </w:r>
      <w:r>
        <w:rPr>
          <w:noProof/>
          <w:vertAlign w:val="subscript"/>
        </w:rPr>
        <w:t xml:space="preserve">3 </w:t>
      </w:r>
      <w:r>
        <w:rPr>
          <w:noProof/>
        </w:rPr>
        <w:t>u PM</w:t>
      </w:r>
      <w:r>
        <w:rPr>
          <w:noProof/>
          <w:vertAlign w:val="subscript"/>
        </w:rPr>
        <w:t>2.5</w:t>
      </w:r>
      <w:r>
        <w:rPr>
          <w:noProof/>
        </w:rPr>
        <w:t xml:space="preserve"> għas-snin 2020–2029 u mill-2030 ’il quddiem. L-impenji tal-Istati Membri għat-tnaqqis huma espressi bħala perċentwal tal-livelli tal-emissjonijiet tal-2005. L-Illustrazzjoni 1 tippreżenta bidliet fl-emissjonijiet ta’ dawn l-inkwinanti fil-livell tal-UE, li turi li l-emissjonijiet tal-inkwinanti kollha minbarra l-ammonijaka naqsu b’mod sostanzjali maż-żmien. Madankollu, dan jaħbi d-diskrepanzi bejn l-Istati Membri, li l-bidliet li sarulhom maż-żmien huma dettaljati fil-pubblikazzjonijiet tal-Aġenzija Ewropea għall-Ambjent (EEA) (</w:t>
      </w:r>
      <w:r w:rsidR="007C3D6E">
        <w:rPr>
          <w:rStyle w:val="FootnoteReference"/>
          <w:noProof/>
          <w:szCs w:val="24"/>
        </w:rPr>
        <w:footnoteReference w:id="11"/>
      </w:r>
      <w:r>
        <w:rPr>
          <w:noProof/>
        </w:rPr>
        <w:t xml:space="preserve">).  </w:t>
      </w:r>
    </w:p>
    <w:p w14:paraId="3D4E565E" w14:textId="1110D184" w:rsidR="001B0717" w:rsidRDefault="001B0717" w:rsidP="001B0717">
      <w:pPr>
        <w:jc w:val="center"/>
        <w:rPr>
          <w:noProof/>
          <w:szCs w:val="24"/>
        </w:rPr>
      </w:pPr>
      <w:r>
        <w:rPr>
          <w:noProof/>
          <w:lang w:val="en-GB" w:eastAsia="en-GB"/>
        </w:rPr>
        <w:drawing>
          <wp:inline distT="0" distB="0" distL="0" distR="0" wp14:anchorId="4D426EDF" wp14:editId="48B82690">
            <wp:extent cx="4912995" cy="2606723"/>
            <wp:effectExtent l="0" t="0" r="1905" b="3175"/>
            <wp:docPr id="10" name="Chart 10">
              <a:extLst xmlns:a="http://schemas.openxmlformats.org/drawingml/2006/main">
                <a:ext uri="{FF2B5EF4-FFF2-40B4-BE49-F238E27FC236}">
                  <a16:creationId xmlns:a16="http://schemas.microsoft.com/office/drawing/2014/main" id="{1DD3BE8E-E625-3257-F2D0-F853224C5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C080B7" w14:textId="5F7F85A2" w:rsidR="00C72F5C" w:rsidRPr="00C72F5C" w:rsidRDefault="00D65CCB" w:rsidP="008D4ABB">
      <w:pPr>
        <w:rPr>
          <w:noProof/>
          <w:sz w:val="20"/>
        </w:rPr>
      </w:pPr>
      <w:r>
        <w:rPr>
          <w:b/>
          <w:noProof/>
          <w:sz w:val="22"/>
        </w:rPr>
        <w:t>L-Illustrazzjoni 1: Ix-xejriet 2005–2021 fl-emissjonijiet tal-UE ta’ NH</w:t>
      </w:r>
      <w:r>
        <w:rPr>
          <w:b/>
          <w:noProof/>
          <w:sz w:val="22"/>
          <w:vertAlign w:val="subscript"/>
        </w:rPr>
        <w:t>3</w:t>
      </w:r>
      <w:r>
        <w:rPr>
          <w:b/>
          <w:noProof/>
          <w:sz w:val="22"/>
        </w:rPr>
        <w:t>, PM</w:t>
      </w:r>
      <w:r>
        <w:rPr>
          <w:b/>
          <w:noProof/>
          <w:sz w:val="22"/>
          <w:vertAlign w:val="subscript"/>
        </w:rPr>
        <w:t>2.5</w:t>
      </w:r>
      <w:r>
        <w:rPr>
          <w:b/>
          <w:noProof/>
          <w:sz w:val="22"/>
        </w:rPr>
        <w:t>, NMVOC, NO</w:t>
      </w:r>
      <w:r>
        <w:rPr>
          <w:b/>
          <w:noProof/>
          <w:sz w:val="22"/>
          <w:vertAlign w:val="subscript"/>
        </w:rPr>
        <w:t>X</w:t>
      </w:r>
      <w:r>
        <w:rPr>
          <w:b/>
          <w:noProof/>
          <w:sz w:val="22"/>
        </w:rPr>
        <w:t xml:space="preserve"> u SO</w:t>
      </w:r>
      <w:r>
        <w:rPr>
          <w:b/>
          <w:noProof/>
          <w:sz w:val="22"/>
          <w:vertAlign w:val="subscript"/>
        </w:rPr>
        <w:t>2</w:t>
      </w:r>
      <w:r>
        <w:rPr>
          <w:b/>
          <w:noProof/>
          <w:sz w:val="22"/>
        </w:rPr>
        <w:t xml:space="preserve">, bħala perċentwali tal-livelli tal-2005, imqabbla mal-PDG tal-Istati Membri tal-UE bħala perċentwal tal-PDG tal-2005 (sors: </w:t>
      </w:r>
      <w:hyperlink r:id="rId22" w:history="1">
        <w:r>
          <w:rPr>
            <w:rStyle w:val="Hyperlink"/>
            <w:b/>
            <w:noProof/>
            <w:sz w:val="22"/>
          </w:rPr>
          <w:t>https://www.eea.europa.eu/publications/national-emission-reduction-commitments-directive-2023</w:t>
        </w:r>
      </w:hyperlink>
      <w:r>
        <w:rPr>
          <w:b/>
          <w:noProof/>
          <w:sz w:val="22"/>
        </w:rPr>
        <w:t>)</w:t>
      </w:r>
    </w:p>
    <w:p w14:paraId="1A70E127" w14:textId="19EEA9A4" w:rsidR="007C2B54" w:rsidRDefault="00AC7683" w:rsidP="00161BD1">
      <w:pPr>
        <w:rPr>
          <w:noProof/>
          <w:szCs w:val="24"/>
        </w:rPr>
      </w:pPr>
      <w:r>
        <w:rPr>
          <w:noProof/>
        </w:rPr>
        <w:t xml:space="preserve">Abbażi tal-inventarji tal-emissjonijiet irrapportati kull sena mill-Istati Membri skont id-Direttiva, il-Kummissjoni tivverifika l-konformità mal-impenji għat-tnaqqis tal-emissjonijiet. L-inventarji fihom </w:t>
      </w:r>
      <w:r>
        <w:rPr>
          <w:i/>
          <w:noProof/>
        </w:rPr>
        <w:t>data</w:t>
      </w:r>
      <w:r>
        <w:rPr>
          <w:noProof/>
        </w:rPr>
        <w:t xml:space="preserve"> dwar l-emissjonijiet b’intervall ta’ żmien ta’ sentejn. L-aħħar inventarji rrapportati mill-Istati Membri fi Frar 2024 jinkludu </w:t>
      </w:r>
      <w:r>
        <w:rPr>
          <w:i/>
          <w:noProof/>
        </w:rPr>
        <w:t>data</w:t>
      </w:r>
      <w:r>
        <w:rPr>
          <w:noProof/>
        </w:rPr>
        <w:t xml:space="preserve"> dwar l-emissjonijiet mill-2022. Fl-2022, il-Kummissjoni għalhekk ivverifikat, għall-ewwel darba, il-konformità tal-Istati Membri mal-impenji għat-tnaqqis tal-emissjonijiet, abbażi tad-</w:t>
      </w:r>
      <w:r>
        <w:rPr>
          <w:i/>
          <w:noProof/>
        </w:rPr>
        <w:t>data</w:t>
      </w:r>
      <w:r>
        <w:rPr>
          <w:noProof/>
        </w:rPr>
        <w:t xml:space="preserve"> riveduta dwar l-emissjonijiet tal-2020. </w:t>
      </w:r>
    </w:p>
    <w:p w14:paraId="1B9F29A1" w14:textId="7343A51B" w:rsidR="008E240A" w:rsidRDefault="00C37BA1" w:rsidP="00161BD1">
      <w:pPr>
        <w:rPr>
          <w:noProof/>
          <w:szCs w:val="24"/>
        </w:rPr>
      </w:pPr>
      <w:r>
        <w:rPr>
          <w:noProof/>
        </w:rPr>
        <w:t>Kif muri fit-Tabella 1, il-konformità kumplessiva hija relattivament tajba għall-inkwinanti kollha ħlief għall-ammonijaka. Fl-2022, il-Kummissjoni sabet 19-il każ ta’ nuqqas ta’ konformità, mifruxa fuq 14-il Stat Membru (</w:t>
      </w:r>
      <w:r w:rsidR="00B44CAB">
        <w:rPr>
          <w:rStyle w:val="FootnoteReference"/>
          <w:noProof/>
          <w:szCs w:val="24"/>
          <w:lang w:val="en-IE"/>
        </w:rPr>
        <w:footnoteReference w:id="12"/>
      </w:r>
      <w:r>
        <w:rPr>
          <w:noProof/>
        </w:rPr>
        <w:t>). Filwaqt li l-ħames inkwinanti kollha huma kkonċernati, il-biċċa l-kbira tal-każijiet ta’ nuqqas ta’ konformità huma relatati mal-ammonijaka. B’konsegwenza ta’ dan, il-Kummissjoni ħarġet ittri ta’ intimazzjoni lil dawn l-14-il Stat Membru (</w:t>
      </w:r>
      <w:r w:rsidR="00B44CAB">
        <w:rPr>
          <w:rStyle w:val="FootnoteReference"/>
          <w:noProof/>
          <w:szCs w:val="24"/>
          <w:lang w:val="en-IE"/>
        </w:rPr>
        <w:footnoteReference w:id="13"/>
      </w:r>
      <w:r>
        <w:rPr>
          <w:noProof/>
        </w:rPr>
        <w:t xml:space="preserve">). </w:t>
      </w:r>
    </w:p>
    <w:p w14:paraId="65D05050" w14:textId="3AE7773D" w:rsidR="00161BD1" w:rsidRDefault="00550A6B" w:rsidP="00161BD1">
      <w:pPr>
        <w:rPr>
          <w:noProof/>
          <w:szCs w:val="24"/>
        </w:rPr>
      </w:pPr>
      <w:r>
        <w:rPr>
          <w:noProof/>
        </w:rPr>
        <w:t xml:space="preserve">Il-valutazzjoni tal-konformità tal-2023, ibbażata fuq </w:t>
      </w:r>
      <w:r>
        <w:rPr>
          <w:i/>
          <w:noProof/>
        </w:rPr>
        <w:t>data</w:t>
      </w:r>
      <w:r>
        <w:rPr>
          <w:noProof/>
        </w:rPr>
        <w:t xml:space="preserve"> rieżaminata tal-2021, uriet li l-biċċa l-kbira tal-każijiet ta’ nuqqas ta’ konformità ma ġewx solvuti, u li kien hemm ftit ksur addizzjonali (</w:t>
      </w:r>
      <w:r w:rsidR="00BA29A9">
        <w:rPr>
          <w:rStyle w:val="FootnoteReference"/>
          <w:noProof/>
          <w:szCs w:val="24"/>
          <w:lang w:val="en-IE"/>
        </w:rPr>
        <w:footnoteReference w:id="14"/>
      </w:r>
      <w:r>
        <w:rPr>
          <w:noProof/>
        </w:rPr>
        <w:t>). Il-Kummissjoni segwiet kif xieraq, bi tliet (</w:t>
      </w:r>
      <w:r w:rsidR="00B44CAB">
        <w:rPr>
          <w:rStyle w:val="FootnoteReference"/>
          <w:noProof/>
        </w:rPr>
        <w:footnoteReference w:id="15"/>
      </w:r>
      <w:r>
        <w:rPr>
          <w:noProof/>
        </w:rPr>
        <w:t>) ittri ta’ intimazzjoni addizzjonali u disa’ (</w:t>
      </w:r>
      <w:r w:rsidR="00B44CAB">
        <w:rPr>
          <w:rStyle w:val="FootnoteReference"/>
          <w:noProof/>
        </w:rPr>
        <w:footnoteReference w:id="16"/>
      </w:r>
      <w:r>
        <w:rPr>
          <w:noProof/>
        </w:rPr>
        <w:t>) opinjonijiet motivati maħruġa f’Novembru 2023 (</w:t>
      </w:r>
      <w:r w:rsidR="00CA57F6">
        <w:rPr>
          <w:rStyle w:val="FootnoteReference"/>
          <w:noProof/>
        </w:rPr>
        <w:footnoteReference w:id="17"/>
      </w:r>
      <w:r>
        <w:rPr>
          <w:noProof/>
        </w:rPr>
        <w:t xml:space="preserve">).  </w:t>
      </w:r>
    </w:p>
    <w:p w14:paraId="6180CF11" w14:textId="5B68D540" w:rsidR="00550A6B" w:rsidRPr="008D4ABB" w:rsidRDefault="00550A6B" w:rsidP="00161BD1">
      <w:pPr>
        <w:rPr>
          <w:b/>
          <w:bCs/>
          <w:noProof/>
          <w:szCs w:val="24"/>
        </w:rPr>
      </w:pPr>
      <w:r>
        <w:rPr>
          <w:b/>
          <w:noProof/>
        </w:rPr>
        <w:t>Tabella 1: Ħarsa ġenerali lejn in-nuqqas ta’ konformità mal-impenji għat-tnaqqis tal-emissjonijiet abbażi tad-</w:t>
      </w:r>
      <w:r>
        <w:rPr>
          <w:b/>
          <w:i/>
          <w:noProof/>
        </w:rPr>
        <w:t>data</w:t>
      </w:r>
      <w:r>
        <w:rPr>
          <w:b/>
          <w:noProof/>
        </w:rPr>
        <w:t xml:space="preserve"> tal-2020 u l-2021</w:t>
      </w:r>
    </w:p>
    <w:tbl>
      <w:tblPr>
        <w:tblStyle w:val="TableGrid"/>
        <w:tblW w:w="0" w:type="auto"/>
        <w:tblLook w:val="04A0" w:firstRow="1" w:lastRow="0" w:firstColumn="1" w:lastColumn="0" w:noHBand="0" w:noVBand="1"/>
      </w:tblPr>
      <w:tblGrid>
        <w:gridCol w:w="1284"/>
        <w:gridCol w:w="3659"/>
        <w:gridCol w:w="3659"/>
      </w:tblGrid>
      <w:tr w:rsidR="00161BD1" w:rsidRPr="00161BD1" w14:paraId="78F664F8" w14:textId="77777777" w:rsidTr="00161BD1">
        <w:tc>
          <w:tcPr>
            <w:tcW w:w="1268" w:type="dxa"/>
          </w:tcPr>
          <w:p w14:paraId="10A120F0" w14:textId="23BF095B" w:rsidR="00161BD1" w:rsidRPr="00161BD1" w:rsidRDefault="00161BD1" w:rsidP="008F3AB5">
            <w:pPr>
              <w:spacing w:before="60" w:after="60"/>
              <w:rPr>
                <w:b/>
                <w:bCs/>
                <w:noProof/>
                <w:szCs w:val="24"/>
              </w:rPr>
            </w:pPr>
            <w:r>
              <w:rPr>
                <w:b/>
                <w:noProof/>
              </w:rPr>
              <w:t>Inkwinant</w:t>
            </w:r>
          </w:p>
        </w:tc>
        <w:tc>
          <w:tcPr>
            <w:tcW w:w="3667" w:type="dxa"/>
          </w:tcPr>
          <w:p w14:paraId="1079602C" w14:textId="11296EA1" w:rsidR="00161BD1" w:rsidRPr="00161BD1" w:rsidRDefault="00161BD1" w:rsidP="008F3AB5">
            <w:pPr>
              <w:spacing w:before="60" w:after="60"/>
              <w:rPr>
                <w:b/>
                <w:bCs/>
                <w:noProof/>
                <w:szCs w:val="24"/>
              </w:rPr>
            </w:pPr>
            <w:r>
              <w:rPr>
                <w:b/>
                <w:noProof/>
              </w:rPr>
              <w:t xml:space="preserve">Stati Membri mhux konformi fl-2020* </w:t>
            </w:r>
          </w:p>
        </w:tc>
        <w:tc>
          <w:tcPr>
            <w:tcW w:w="3667" w:type="dxa"/>
          </w:tcPr>
          <w:p w14:paraId="1B6B2851" w14:textId="09747B62" w:rsidR="00161BD1" w:rsidRPr="00161BD1" w:rsidRDefault="00161BD1" w:rsidP="008F3AB5">
            <w:pPr>
              <w:spacing w:before="60" w:after="60"/>
              <w:rPr>
                <w:b/>
                <w:bCs/>
                <w:noProof/>
                <w:szCs w:val="24"/>
              </w:rPr>
            </w:pPr>
            <w:r>
              <w:rPr>
                <w:b/>
                <w:noProof/>
              </w:rPr>
              <w:t>Stati Membri mhux konformi fl-2021</w:t>
            </w:r>
            <w:r>
              <w:rPr>
                <w:b/>
                <w:noProof/>
                <w:vertAlign w:val="superscript"/>
              </w:rPr>
              <w:t>†</w:t>
            </w:r>
            <w:r>
              <w:rPr>
                <w:b/>
                <w:noProof/>
              </w:rPr>
              <w:t xml:space="preserve"> </w:t>
            </w:r>
          </w:p>
        </w:tc>
      </w:tr>
      <w:tr w:rsidR="00550A6B" w:rsidRPr="00AF695A" w14:paraId="01314912" w14:textId="77777777" w:rsidTr="00161BD1">
        <w:tc>
          <w:tcPr>
            <w:tcW w:w="1268" w:type="dxa"/>
          </w:tcPr>
          <w:p w14:paraId="1F8C6B1E" w14:textId="745F2C98" w:rsidR="00550A6B" w:rsidRDefault="00550A6B" w:rsidP="008F3AB5">
            <w:pPr>
              <w:spacing w:before="60" w:after="60"/>
              <w:rPr>
                <w:noProof/>
                <w:szCs w:val="24"/>
              </w:rPr>
            </w:pPr>
            <w:r>
              <w:rPr>
                <w:noProof/>
              </w:rPr>
              <w:t>NH</w:t>
            </w:r>
            <w:r>
              <w:rPr>
                <w:noProof/>
                <w:vertAlign w:val="subscript"/>
              </w:rPr>
              <w:t xml:space="preserve">3 </w:t>
            </w:r>
          </w:p>
        </w:tc>
        <w:tc>
          <w:tcPr>
            <w:tcW w:w="3667" w:type="dxa"/>
          </w:tcPr>
          <w:p w14:paraId="68F61C76" w14:textId="750BA4FD" w:rsidR="00550A6B" w:rsidRPr="00161BD1" w:rsidRDefault="00550A6B" w:rsidP="008F3AB5">
            <w:pPr>
              <w:spacing w:before="60" w:after="60"/>
              <w:rPr>
                <w:noProof/>
                <w:szCs w:val="24"/>
              </w:rPr>
            </w:pPr>
            <w:r>
              <w:rPr>
                <w:noProof/>
              </w:rPr>
              <w:t xml:space="preserve">11-il SM: AT, BG, DK, ES, HU, IE, LT, LU, LV, PT, SE </w:t>
            </w:r>
          </w:p>
        </w:tc>
        <w:tc>
          <w:tcPr>
            <w:tcW w:w="3667" w:type="dxa"/>
          </w:tcPr>
          <w:p w14:paraId="44AECE68" w14:textId="0D1E7CC3" w:rsidR="00550A6B" w:rsidRPr="00161BD1" w:rsidRDefault="00550A6B" w:rsidP="008F3AB5">
            <w:pPr>
              <w:spacing w:before="60" w:after="60"/>
              <w:rPr>
                <w:noProof/>
                <w:szCs w:val="24"/>
              </w:rPr>
            </w:pPr>
            <w:r>
              <w:rPr>
                <w:noProof/>
              </w:rPr>
              <w:t xml:space="preserve">10 SM: AT, BG, DK, HU, IE, LT, LU, LV, PT, SE </w:t>
            </w:r>
          </w:p>
        </w:tc>
      </w:tr>
      <w:tr w:rsidR="00550A6B" w14:paraId="0A8F9DB3" w14:textId="77777777" w:rsidTr="00161BD1">
        <w:tc>
          <w:tcPr>
            <w:tcW w:w="1268" w:type="dxa"/>
          </w:tcPr>
          <w:p w14:paraId="5ACCF07C" w14:textId="0918956A" w:rsidR="00550A6B" w:rsidRDefault="00550A6B" w:rsidP="008F3AB5">
            <w:pPr>
              <w:spacing w:before="60" w:after="60"/>
              <w:rPr>
                <w:noProof/>
                <w:szCs w:val="24"/>
              </w:rPr>
            </w:pPr>
            <w:r>
              <w:rPr>
                <w:noProof/>
              </w:rPr>
              <w:t>PM</w:t>
            </w:r>
            <w:r>
              <w:rPr>
                <w:noProof/>
                <w:vertAlign w:val="subscript"/>
              </w:rPr>
              <w:t>2.5</w:t>
            </w:r>
          </w:p>
        </w:tc>
        <w:tc>
          <w:tcPr>
            <w:tcW w:w="3667" w:type="dxa"/>
          </w:tcPr>
          <w:p w14:paraId="0332A0B0" w14:textId="2D495178" w:rsidR="00550A6B" w:rsidRDefault="00550A6B" w:rsidP="008F3AB5">
            <w:pPr>
              <w:spacing w:before="60" w:after="60"/>
              <w:rPr>
                <w:noProof/>
                <w:szCs w:val="24"/>
              </w:rPr>
            </w:pPr>
            <w:r>
              <w:rPr>
                <w:noProof/>
              </w:rPr>
              <w:t xml:space="preserve">3 SM: HU, LT, RO </w:t>
            </w:r>
          </w:p>
        </w:tc>
        <w:tc>
          <w:tcPr>
            <w:tcW w:w="3667" w:type="dxa"/>
          </w:tcPr>
          <w:p w14:paraId="484B447F" w14:textId="2B26AB8D" w:rsidR="00550A6B" w:rsidRDefault="00550A6B" w:rsidP="008F3AB5">
            <w:pPr>
              <w:spacing w:before="60" w:after="60"/>
              <w:rPr>
                <w:noProof/>
                <w:szCs w:val="24"/>
              </w:rPr>
            </w:pPr>
            <w:r>
              <w:rPr>
                <w:noProof/>
              </w:rPr>
              <w:t xml:space="preserve">3 SM: HU, PL, RO </w:t>
            </w:r>
          </w:p>
        </w:tc>
      </w:tr>
      <w:tr w:rsidR="00550A6B" w14:paraId="50602B0E" w14:textId="77777777" w:rsidTr="00161BD1">
        <w:tc>
          <w:tcPr>
            <w:tcW w:w="1268" w:type="dxa"/>
          </w:tcPr>
          <w:p w14:paraId="42A1932D" w14:textId="7AD029BE" w:rsidR="00550A6B" w:rsidRDefault="00550A6B" w:rsidP="008F3AB5">
            <w:pPr>
              <w:spacing w:before="60" w:after="60"/>
              <w:rPr>
                <w:noProof/>
                <w:szCs w:val="24"/>
              </w:rPr>
            </w:pPr>
            <w:r>
              <w:rPr>
                <w:noProof/>
              </w:rPr>
              <w:t>NMVOC</w:t>
            </w:r>
          </w:p>
        </w:tc>
        <w:tc>
          <w:tcPr>
            <w:tcW w:w="3667" w:type="dxa"/>
          </w:tcPr>
          <w:p w14:paraId="4B97F333" w14:textId="7E98B9F9" w:rsidR="00550A6B" w:rsidRDefault="00550A6B" w:rsidP="008F3AB5">
            <w:pPr>
              <w:spacing w:before="60" w:after="60"/>
              <w:rPr>
                <w:noProof/>
                <w:szCs w:val="24"/>
              </w:rPr>
            </w:pPr>
            <w:r>
              <w:rPr>
                <w:noProof/>
              </w:rPr>
              <w:t>2 SM: LT, PL</w:t>
            </w:r>
          </w:p>
        </w:tc>
        <w:tc>
          <w:tcPr>
            <w:tcW w:w="3667" w:type="dxa"/>
          </w:tcPr>
          <w:p w14:paraId="1F59BACE" w14:textId="1C084E53" w:rsidR="00550A6B" w:rsidRDefault="00550A6B" w:rsidP="008F3AB5">
            <w:pPr>
              <w:spacing w:before="60" w:after="60"/>
              <w:rPr>
                <w:noProof/>
                <w:szCs w:val="24"/>
              </w:rPr>
            </w:pPr>
            <w:r>
              <w:rPr>
                <w:noProof/>
              </w:rPr>
              <w:t>3 SM: LT, LU, PL</w:t>
            </w:r>
          </w:p>
        </w:tc>
      </w:tr>
      <w:tr w:rsidR="00550A6B" w14:paraId="73F9DB38" w14:textId="77777777" w:rsidTr="00161BD1">
        <w:tc>
          <w:tcPr>
            <w:tcW w:w="1268" w:type="dxa"/>
          </w:tcPr>
          <w:p w14:paraId="14609719" w14:textId="30E32478" w:rsidR="00550A6B" w:rsidRDefault="00550A6B" w:rsidP="008F3AB5">
            <w:pPr>
              <w:spacing w:before="60" w:after="60"/>
              <w:rPr>
                <w:noProof/>
                <w:szCs w:val="24"/>
              </w:rPr>
            </w:pPr>
            <w:r>
              <w:rPr>
                <w:noProof/>
              </w:rPr>
              <w:t>NO</w:t>
            </w:r>
            <w:r>
              <w:rPr>
                <w:noProof/>
                <w:vertAlign w:val="subscript"/>
              </w:rPr>
              <w:t>x</w:t>
            </w:r>
          </w:p>
        </w:tc>
        <w:tc>
          <w:tcPr>
            <w:tcW w:w="3667" w:type="dxa"/>
          </w:tcPr>
          <w:p w14:paraId="589159D8" w14:textId="63E72A33" w:rsidR="00550A6B" w:rsidRDefault="00550A6B" w:rsidP="008F3AB5">
            <w:pPr>
              <w:spacing w:before="60" w:after="60"/>
              <w:rPr>
                <w:noProof/>
                <w:szCs w:val="24"/>
              </w:rPr>
            </w:pPr>
            <w:r>
              <w:rPr>
                <w:noProof/>
              </w:rPr>
              <w:t>2 SM: LT, RO</w:t>
            </w:r>
          </w:p>
        </w:tc>
        <w:tc>
          <w:tcPr>
            <w:tcW w:w="3667" w:type="dxa"/>
          </w:tcPr>
          <w:p w14:paraId="5B30A369" w14:textId="2EE6C357" w:rsidR="00550A6B" w:rsidRDefault="00550A6B" w:rsidP="008F3AB5">
            <w:pPr>
              <w:spacing w:before="60" w:after="60"/>
              <w:rPr>
                <w:noProof/>
                <w:szCs w:val="24"/>
              </w:rPr>
            </w:pPr>
            <w:r>
              <w:rPr>
                <w:noProof/>
              </w:rPr>
              <w:t>2 SM: LT, RO</w:t>
            </w:r>
          </w:p>
        </w:tc>
      </w:tr>
      <w:tr w:rsidR="00550A6B" w14:paraId="799DE48A" w14:textId="77777777" w:rsidTr="00161BD1">
        <w:tc>
          <w:tcPr>
            <w:tcW w:w="1268" w:type="dxa"/>
          </w:tcPr>
          <w:p w14:paraId="535BD8A5" w14:textId="12E6EA1A" w:rsidR="00550A6B" w:rsidRDefault="00550A6B" w:rsidP="008F3AB5">
            <w:pPr>
              <w:spacing w:before="60" w:after="60"/>
              <w:rPr>
                <w:noProof/>
                <w:szCs w:val="24"/>
              </w:rPr>
            </w:pPr>
            <w:r>
              <w:rPr>
                <w:noProof/>
              </w:rPr>
              <w:t>SO</w:t>
            </w:r>
            <w:r>
              <w:rPr>
                <w:noProof/>
                <w:vertAlign w:val="subscript"/>
              </w:rPr>
              <w:t>2</w:t>
            </w:r>
          </w:p>
        </w:tc>
        <w:tc>
          <w:tcPr>
            <w:tcW w:w="3667" w:type="dxa"/>
          </w:tcPr>
          <w:p w14:paraId="059321F7" w14:textId="5BD38459" w:rsidR="00550A6B" w:rsidRDefault="00550A6B" w:rsidP="008F3AB5">
            <w:pPr>
              <w:spacing w:before="60" w:after="60"/>
              <w:rPr>
                <w:noProof/>
                <w:szCs w:val="24"/>
              </w:rPr>
            </w:pPr>
            <w:r>
              <w:rPr>
                <w:noProof/>
              </w:rPr>
              <w:t>1 SM: CY</w:t>
            </w:r>
          </w:p>
        </w:tc>
        <w:tc>
          <w:tcPr>
            <w:tcW w:w="3667" w:type="dxa"/>
          </w:tcPr>
          <w:p w14:paraId="788AA30B" w14:textId="65E0B74C" w:rsidR="00550A6B" w:rsidRDefault="00550A6B" w:rsidP="008F3AB5">
            <w:pPr>
              <w:spacing w:before="60" w:after="60"/>
              <w:rPr>
                <w:noProof/>
                <w:szCs w:val="24"/>
              </w:rPr>
            </w:pPr>
            <w:r>
              <w:rPr>
                <w:noProof/>
              </w:rPr>
              <w:t>1 SM: CY</w:t>
            </w:r>
          </w:p>
        </w:tc>
      </w:tr>
    </w:tbl>
    <w:p w14:paraId="28EDCF67" w14:textId="2AB11D41" w:rsidR="00161BD1" w:rsidRPr="001D0A50" w:rsidRDefault="00760768" w:rsidP="001D0A50">
      <w:pPr>
        <w:spacing w:after="0"/>
        <w:rPr>
          <w:noProof/>
          <w:sz w:val="20"/>
        </w:rPr>
      </w:pPr>
      <w:r>
        <w:rPr>
          <w:b/>
          <w:noProof/>
          <w:sz w:val="20"/>
          <w:vertAlign w:val="superscript"/>
        </w:rPr>
        <w:t>*</w:t>
      </w:r>
      <w:r>
        <w:rPr>
          <w:noProof/>
          <w:sz w:val="20"/>
        </w:rPr>
        <w:t>Skont l-inventarji rrapportati mill-Istati Membri fl-2022 (li fuqhom kienu bbażati l-ittri ta’ intimazzjoni maħruġa f’Jannar 2023).</w:t>
      </w:r>
    </w:p>
    <w:p w14:paraId="4429B74F" w14:textId="016789DF" w:rsidR="00D552D8" w:rsidRPr="001D0A50" w:rsidRDefault="00760768">
      <w:pPr>
        <w:rPr>
          <w:noProof/>
          <w:sz w:val="20"/>
        </w:rPr>
      </w:pPr>
      <w:r>
        <w:rPr>
          <w:b/>
          <w:noProof/>
          <w:sz w:val="20"/>
          <w:vertAlign w:val="superscript"/>
        </w:rPr>
        <w:t>†</w:t>
      </w:r>
      <w:r>
        <w:rPr>
          <w:noProof/>
          <w:sz w:val="20"/>
        </w:rPr>
        <w:t>Skont l-inventarji rrapportati mill-Istati Membri fl-2023 (li fuqhom kienu bbażati l-ittri ta’ intimazzjoni u l-opinjonijiet motivati maħruġa f’Novembru 2023).</w:t>
      </w:r>
    </w:p>
    <w:p w14:paraId="168EC771" w14:textId="77777777" w:rsidR="002143C0" w:rsidRDefault="0077671A" w:rsidP="00AB2AA7">
      <w:pPr>
        <w:spacing w:after="0"/>
        <w:rPr>
          <w:noProof/>
          <w:szCs w:val="24"/>
        </w:rPr>
      </w:pPr>
      <w:r>
        <w:rPr>
          <w:noProof/>
        </w:rPr>
        <w:t>L-inventarji jeħtieġ li jkunu ta’ kwalità tajba għal valutazzjoni affidabbli tal-konformità. Il-Kummissjoni timmonitorja mill-qrib il-kwalità tal-inventarji u tappoġġa l-isforzi tal-Istati Membri biex itejbuhom (ara t-Taqsima 5.1 ta’ dan ir-rapport), inkluż billi twettaq u tippubblika rieżamijiet tal-inventarji nazzjonali (</w:t>
      </w:r>
      <w:r>
        <w:rPr>
          <w:rStyle w:val="FootnoteReference"/>
          <w:noProof/>
          <w:szCs w:val="24"/>
        </w:rPr>
        <w:footnoteReference w:id="18"/>
      </w:r>
      <w:r>
        <w:rPr>
          <w:noProof/>
        </w:rPr>
        <w:t xml:space="preserve">) u tipprovdi appoġġ għall-bini tal-kapaċità. </w:t>
      </w:r>
    </w:p>
    <w:p w14:paraId="76D8B8F7" w14:textId="77777777" w:rsidR="002143C0" w:rsidRDefault="002143C0" w:rsidP="00AB2AA7">
      <w:pPr>
        <w:spacing w:after="0"/>
        <w:rPr>
          <w:noProof/>
          <w:szCs w:val="24"/>
        </w:rPr>
      </w:pPr>
    </w:p>
    <w:p w14:paraId="7FC5BD77" w14:textId="77777777" w:rsidR="002143C0" w:rsidRDefault="00526DC4" w:rsidP="00AB2AA7">
      <w:pPr>
        <w:spacing w:after="0"/>
        <w:rPr>
          <w:noProof/>
          <w:szCs w:val="24"/>
        </w:rPr>
      </w:pPr>
      <w:r>
        <w:rPr>
          <w:noProof/>
        </w:rPr>
        <w:t xml:space="preserve">Meta tirrieżamina l-inventarji nazzjonali, il-Kummissjoni tivverifika t-trasparenza, l-akkuratezza, il-konsistenza, il-komparabbiltà u l-kompletezza tal-informazzjoni pprovduta. </w:t>
      </w:r>
    </w:p>
    <w:p w14:paraId="5B09B673" w14:textId="77777777" w:rsidR="002143C0" w:rsidRDefault="002143C0" w:rsidP="00AB2AA7">
      <w:pPr>
        <w:spacing w:after="0"/>
        <w:rPr>
          <w:noProof/>
          <w:szCs w:val="24"/>
        </w:rPr>
      </w:pPr>
    </w:p>
    <w:p w14:paraId="2692769A" w14:textId="60028087" w:rsidR="003E2BEF" w:rsidRDefault="00AA7F26" w:rsidP="00AB2AA7">
      <w:pPr>
        <w:spacing w:after="0"/>
        <w:rPr>
          <w:noProof/>
          <w:szCs w:val="24"/>
        </w:rPr>
      </w:pPr>
      <w:r>
        <w:rPr>
          <w:noProof/>
        </w:rPr>
        <w:t>Skont ir-rieżami tal-2023 (</w:t>
      </w:r>
      <w:r w:rsidR="00674506">
        <w:rPr>
          <w:rStyle w:val="FootnoteReference"/>
          <w:noProof/>
          <w:szCs w:val="24"/>
        </w:rPr>
        <w:footnoteReference w:id="19"/>
      </w:r>
      <w:r>
        <w:rPr>
          <w:noProof/>
        </w:rPr>
        <w:t>), il-kwalità tal-inventarji kienet tajba għall-biċċa l-kbira tal-Istati Membri, iżda li kien hemm xi varjazzjoni bejn il-pajjiżi, bi ftit inventarji li huma ta’ kwalità partikolarment fqira. Jeżistu oqsma sinifikanti għal titjib fis-setturi u l-inkwinanti kollha, u jinkludu:</w:t>
      </w:r>
    </w:p>
    <w:p w14:paraId="3D94B74C" w14:textId="2746B690" w:rsidR="00A861FE" w:rsidRPr="00632E7A" w:rsidRDefault="00D039CB" w:rsidP="00AB2AA7">
      <w:pPr>
        <w:pStyle w:val="ListNumber1"/>
        <w:numPr>
          <w:ilvl w:val="0"/>
          <w:numId w:val="34"/>
        </w:numPr>
        <w:spacing w:after="0"/>
        <w:ind w:left="1066"/>
        <w:rPr>
          <w:noProof/>
        </w:rPr>
      </w:pPr>
      <w:r>
        <w:rPr>
          <w:noProof/>
        </w:rPr>
        <w:t>emissjonijiet b’valutazzjoni żejda jew sottovalutati u inkonsistenzi fis-serje kronoloġika tad-</w:t>
      </w:r>
      <w:r>
        <w:rPr>
          <w:i/>
          <w:noProof/>
        </w:rPr>
        <w:t>data</w:t>
      </w:r>
      <w:r>
        <w:rPr>
          <w:noProof/>
        </w:rPr>
        <w:t>;</w:t>
      </w:r>
    </w:p>
    <w:p w14:paraId="1C1409D8" w14:textId="67C5C619" w:rsidR="00164239" w:rsidRDefault="00D039CB" w:rsidP="00AB2AA7">
      <w:pPr>
        <w:pStyle w:val="ListNumber1"/>
        <w:numPr>
          <w:ilvl w:val="0"/>
          <w:numId w:val="34"/>
        </w:numPr>
        <w:spacing w:after="0"/>
        <w:ind w:left="1066"/>
        <w:rPr>
          <w:noProof/>
        </w:rPr>
      </w:pPr>
      <w:r>
        <w:rPr>
          <w:noProof/>
        </w:rPr>
        <w:t xml:space="preserve">nuqqas ta’ trasparenza dwar metodoloġiji u kalkoli mill-ġdid meta mqabbla ma’ inventarji preċedenti; </w:t>
      </w:r>
    </w:p>
    <w:p w14:paraId="6D53DD0B" w14:textId="6905E916" w:rsidR="0077671A" w:rsidRDefault="00D039CB" w:rsidP="00AB2AA7">
      <w:pPr>
        <w:pStyle w:val="ListNumber1"/>
        <w:numPr>
          <w:ilvl w:val="0"/>
          <w:numId w:val="34"/>
        </w:numPr>
        <w:spacing w:after="0"/>
        <w:ind w:left="1066"/>
        <w:rPr>
          <w:noProof/>
        </w:rPr>
      </w:pPr>
      <w:r>
        <w:rPr>
          <w:noProof/>
        </w:rPr>
        <w:t>ħtieġa għal metodi aktar sofistikati biex jiġu stmati l-emissjonijiet għal sorsi ewlenin ta’ emissjonijiet kif ukoll għal analiżi tal-inċertezza.</w:t>
      </w:r>
    </w:p>
    <w:p w14:paraId="4A574E0F" w14:textId="77777777" w:rsidR="00AB2AA7" w:rsidRPr="00554779" w:rsidRDefault="00AB2AA7" w:rsidP="00AB2AA7">
      <w:pPr>
        <w:pStyle w:val="ListNumber1"/>
        <w:numPr>
          <w:ilvl w:val="0"/>
          <w:numId w:val="0"/>
        </w:numPr>
        <w:spacing w:after="0"/>
        <w:ind w:left="1066"/>
        <w:rPr>
          <w:noProof/>
        </w:rPr>
      </w:pPr>
    </w:p>
    <w:p w14:paraId="09CC9EEE" w14:textId="7DE028B2" w:rsidR="005B4876" w:rsidRDefault="00614A55">
      <w:pPr>
        <w:rPr>
          <w:noProof/>
          <w:szCs w:val="24"/>
        </w:rPr>
      </w:pPr>
      <w:r>
        <w:rPr>
          <w:noProof/>
        </w:rPr>
        <w:t>Ir-rieżamijiet tal-inventarju jivvalutaw mhux biss il-kwalità tad-</w:t>
      </w:r>
      <w:r>
        <w:rPr>
          <w:i/>
          <w:noProof/>
        </w:rPr>
        <w:t>data</w:t>
      </w:r>
      <w:r>
        <w:rPr>
          <w:noProof/>
        </w:rPr>
        <w:t xml:space="preserve"> tal-inventarju iżda wkoll jekk l-applikazzjoni ta’ Stat Membru għall-flessibbiltà skont l-Artikolu 5 tad-Direttiva tistax tiġi aċċettata. L-Artikolu 5(1) jistabbilixxi l-kundizzjonijiet li taħthom l-Istati Membri jistgħu jaġġustaw l-inventarji tagħhom. Jista’ jsir aġġustament b’mod partikolari meta Stat Membru jkun qed japplika metodi ta’ inventarju mtejba aġġornati f’konformità mal-għarfien xjentifiku minn meta tfasslu għall-ewwel darba l-impenji għat-tnaqqis tal-emissjonijiet. </w:t>
      </w:r>
    </w:p>
    <w:p w14:paraId="1A9885F2" w14:textId="3E21F2B4" w:rsidR="008D4ABB" w:rsidRDefault="0049714B">
      <w:pPr>
        <w:rPr>
          <w:noProof/>
          <w:szCs w:val="24"/>
        </w:rPr>
      </w:pPr>
      <w:r>
        <w:rPr>
          <w:noProof/>
        </w:rPr>
        <w:t xml:space="preserve">Fl-2021, Stat Membru wieħed issottometta applikazzjonijiet ġodda ta’ aġġustament, filwaqt li diversi oħrajn issottomettew mill-ġdid applikazzjonijiet għal aġġustamenti approvati qabel. Mis-sottomissjoni tal-inventarju tal-2022, l-għadd ta’ applikazzjonijiet ta’ flessibbiltà naqas b’mod konsiderevoli. Dan huwa dovut għall-introduzzjoni ta’ impenji għat-tnaqqis tal-emissjonijiet espressi f’perċentwali, filwaqt li l-aġġustamenti approvati preċedentement kienu relatati mal-livelli massimi tal-emissjonijiet (li għadhom applikabbli mid-Direttiva 2001/81/KE kif stabbilit fid-dispożizzjoni tranżizzjonali skont l-Artikolu 21(2) tad-Direttiva) u għalhekk ma għadhomx validi. Minn din il-bidla, applikazzjoni waħda biss għall-aġġustament tal-Artikolu 5(1) waslet fl-2022 u sussegwentement ġiet approvata, u ġiet sottomessa mill-ġdid fl-2023 bħala waħda approvata qabel. Sal-lum, il-Kummissjoni għadha ma rċeviet l-ebda applikazzjoni għal xi waħda mill-flessibbiltajiet l-oħra stabbiliti fl-Artikolu 5 tad-Direttiva. </w:t>
      </w:r>
    </w:p>
    <w:p w14:paraId="18221040" w14:textId="45EB0282" w:rsidR="00614A55" w:rsidRDefault="00614A55" w:rsidP="000D13E6">
      <w:pPr>
        <w:pStyle w:val="Heading2"/>
        <w:rPr>
          <w:noProof/>
        </w:rPr>
      </w:pPr>
      <w:r>
        <w:rPr>
          <w:noProof/>
        </w:rPr>
        <w:t>Kisba projettata tal-impenji għat-tnaqqis tal-emissjonijiet 2020–2029 u 2030 ’il quddiem</w:t>
      </w:r>
    </w:p>
    <w:p w14:paraId="6DD6158E" w14:textId="2495D3A2" w:rsidR="00614A55" w:rsidRDefault="00614A55">
      <w:pPr>
        <w:rPr>
          <w:noProof/>
          <w:szCs w:val="24"/>
        </w:rPr>
      </w:pPr>
      <w:r>
        <w:rPr>
          <w:noProof/>
        </w:rPr>
        <w:t>L-Artikolu 10(2) tad-Direttiva jirrikjedi li l-Istati Membri jissottomettu, kull sentejn, projezzjonijiet tal-emissjonijiet tal-inkwinanti tal-arja għas-snin 2020, 2025 u 2030 (</w:t>
      </w:r>
      <w:r>
        <w:rPr>
          <w:rStyle w:val="FootnoteReference"/>
          <w:noProof/>
          <w:szCs w:val="24"/>
        </w:rPr>
        <w:footnoteReference w:id="20"/>
      </w:r>
      <w:r>
        <w:rPr>
          <w:noProof/>
        </w:rPr>
        <w:t>), biex jivvalutaw sa liema punt jinsabu fit-triq it-tajba biex jissodisfaw l-impenji tagħhom għat-tnaqqis tal-emissjonijiet għall-2020–2029 u għall-2030 ’il quddiem. Il-livelli pprojettati tal-emissjonijiet għall-2025 huma vvalutati wkoll skont trajettorja lineari bejn l-impenji għat-tnaqqis tal-emissjonijiet għall-2020-2029 u l-2030 (skont l-Artikolu 4(2) tad-Direttiva). Il-projezzjonijiet iridu jkopru xenarju “bil-miżuri” (miżuri eżistenti biss) u, meta rilevanti, xenarju “b’miżuri addizzjonali” (miżuri eżistenti u miżuri addizzjonali ppjanati) (</w:t>
      </w:r>
      <w:r>
        <w:rPr>
          <w:rStyle w:val="FootnoteReference"/>
          <w:noProof/>
          <w:szCs w:val="24"/>
        </w:rPr>
        <w:footnoteReference w:id="21"/>
      </w:r>
      <w:r>
        <w:rPr>
          <w:noProof/>
        </w:rPr>
        <w:t>). Jekk Stat Membru jipprojetta li se jissodisfa l-impenji kollha tiegħu għat-tnaqqis tal-emissjonijiet bis-saħħa tal-miżuri eżistenti, ma jkun hemm bżonn l-ebda xenarju “b’miżuri addizzjonali”. Il-Kummissjoni twettaq ukoll l-eżerċizzju ta’ mmudellar tagħha stess biex tikkomplementa l-projezzjonijiet tal-Istati Membri biex tivvaluta l-prospetti ta’ konformità f’xenarji differenti. It-Tielet Perspettiva dwar l-Arja Nadifa (</w:t>
      </w:r>
      <w:r w:rsidR="00C23DB5">
        <w:rPr>
          <w:rStyle w:val="FootnoteReference"/>
          <w:noProof/>
          <w:szCs w:val="24"/>
        </w:rPr>
        <w:footnoteReference w:id="22"/>
      </w:r>
      <w:r>
        <w:rPr>
          <w:noProof/>
        </w:rPr>
        <w:t>) tiġbor fil-qosor ir-riżultati ta’ dan l-immudellar.</w:t>
      </w:r>
    </w:p>
    <w:p w14:paraId="0DAB866E" w14:textId="22189133" w:rsidR="002D771C" w:rsidRDefault="00423057" w:rsidP="002D771C">
      <w:pPr>
        <w:rPr>
          <w:noProof/>
          <w:szCs w:val="24"/>
        </w:rPr>
      </w:pPr>
      <w:r>
        <w:rPr>
          <w:noProof/>
        </w:rPr>
        <w:t>L-aħħar rapportar mill-Istati Membri sar fl-2023. 22 Stat Membru (</w:t>
      </w:r>
      <w:r w:rsidR="000E684C">
        <w:rPr>
          <w:rStyle w:val="FootnoteReference"/>
          <w:noProof/>
          <w:szCs w:val="24"/>
        </w:rPr>
        <w:footnoteReference w:id="23"/>
      </w:r>
      <w:r>
        <w:rPr>
          <w:noProof/>
        </w:rPr>
        <w:t>) ssottomettew projezzjonijiet fil-ħin biex jiġu rieżaminati fid-dettall (</w:t>
      </w:r>
      <w:r w:rsidR="005153F7">
        <w:rPr>
          <w:rStyle w:val="FootnoteReference"/>
          <w:noProof/>
          <w:szCs w:val="24"/>
        </w:rPr>
        <w:footnoteReference w:id="24"/>
      </w:r>
      <w:r>
        <w:rPr>
          <w:noProof/>
        </w:rPr>
        <w:t>). Għax-xenarju “bil-miżuri”, in-nuqqas ta’ konformità huwa pprojettat l-aktar ta’ spiss għall-impenji għat-tnaqqis tal-emissjonijiet tal-NH</w:t>
      </w:r>
      <w:r>
        <w:rPr>
          <w:noProof/>
          <w:vertAlign w:val="subscript"/>
        </w:rPr>
        <w:t>3</w:t>
      </w:r>
      <w:r>
        <w:rPr>
          <w:noProof/>
        </w:rPr>
        <w:t xml:space="preserve"> (kemm għall-2020–2029 kif ukoll għall-2030 ’il quddiem), filwaqt li tiġi enfasizzata l-ħtieġa għal miżuri addizzjonali li jindirizzaw l-emissjonijiet tal-NH</w:t>
      </w:r>
      <w:r>
        <w:rPr>
          <w:noProof/>
          <w:vertAlign w:val="subscript"/>
        </w:rPr>
        <w:t>3</w:t>
      </w:r>
      <w:r>
        <w:rPr>
          <w:noProof/>
        </w:rPr>
        <w:t>. NMVOC, NO</w:t>
      </w:r>
      <w:r>
        <w:rPr>
          <w:noProof/>
          <w:vertAlign w:val="subscript"/>
        </w:rPr>
        <w:t>x</w:t>
      </w:r>
      <w:r>
        <w:rPr>
          <w:noProof/>
        </w:rPr>
        <w:t xml:space="preserve"> u PM</w:t>
      </w:r>
      <w:r>
        <w:rPr>
          <w:noProof/>
          <w:vertAlign w:val="subscript"/>
        </w:rPr>
        <w:t>2.5</w:t>
      </w:r>
      <w:r>
        <w:rPr>
          <w:noProof/>
        </w:rPr>
        <w:t xml:space="preserve"> juru okkorrenzi simili ta’ nuqqas ta’ konformità pprojettat. Ħlief għal xi każijiet speċifiċi, bħalissa ma jidhirx li l-issodisfar tal-impenji għat-tnaqqis tal-emissjonijiet tal-SO</w:t>
      </w:r>
      <w:r>
        <w:rPr>
          <w:noProof/>
          <w:vertAlign w:val="subscript"/>
        </w:rPr>
        <w:t>2</w:t>
      </w:r>
      <w:r>
        <w:rPr>
          <w:noProof/>
        </w:rPr>
        <w:t xml:space="preserve"> qed joħloq problemi fl-UE. </w:t>
      </w:r>
    </w:p>
    <w:p w14:paraId="4D4C8206" w14:textId="2F8911D9" w:rsidR="00560645" w:rsidRDefault="00614A55">
      <w:pPr>
        <w:rPr>
          <w:noProof/>
        </w:rPr>
      </w:pPr>
      <w:r>
        <w:rPr>
          <w:noProof/>
        </w:rPr>
        <w:t>Fix-xenarju “bil-miżuri”, l-analiżi turi wkoll li 13-il Stat Membru (</w:t>
      </w:r>
      <w:r w:rsidRPr="2A926D52">
        <w:rPr>
          <w:rStyle w:val="FootnoteReference"/>
          <w:noProof/>
        </w:rPr>
        <w:footnoteReference w:id="25"/>
      </w:r>
      <w:r>
        <w:rPr>
          <w:noProof/>
        </w:rPr>
        <w:t>) qed jipprojettaw li fl-2025 jissodisfaw l-impenji kollha għat-tnaqqis tal-emissjonijiet tal-2020–2029, filwaqt li l-għadd jinżel għal tmienja (</w:t>
      </w:r>
      <w:r w:rsidRPr="2A926D52">
        <w:rPr>
          <w:rStyle w:val="FootnoteReference"/>
          <w:noProof/>
        </w:rPr>
        <w:footnoteReference w:id="26"/>
      </w:r>
      <w:r>
        <w:rPr>
          <w:noProof/>
        </w:rPr>
        <w:t>) għall-impenji tal-2030 (ara l-Anness 1 ta’ dan ir-rapport). L-Istati Membri kollha li ma jissodisfawx l-impenji tagħhom għat-tnaqqis tal-emissjonijiet b’miżuri eżistenti jridu jistabbilixxu miżuri addizzjonali. Madankollu, żewġ Stati Membri li jipprojettaw nuqqas ta’ konformità ma’ impenn wieħed jew aktar għat-tnaqqis tal-emissjonijiet fix-xenarju “bil-miżuri” tagħhom ma rrapportawx xenarju “b’miżuri addizzjonali” (</w:t>
      </w:r>
      <w:r w:rsidRPr="2A926D52">
        <w:rPr>
          <w:rStyle w:val="FootnoteReference"/>
          <w:noProof/>
        </w:rPr>
        <w:footnoteReference w:id="27"/>
      </w:r>
      <w:r>
        <w:rPr>
          <w:noProof/>
        </w:rPr>
        <w:t xml:space="preserve">). </w:t>
      </w:r>
    </w:p>
    <w:p w14:paraId="66D2AAC1" w14:textId="19630ADF" w:rsidR="004C31AD" w:rsidRDefault="00614A55">
      <w:pPr>
        <w:rPr>
          <w:noProof/>
        </w:rPr>
      </w:pPr>
      <w:r>
        <w:rPr>
          <w:noProof/>
        </w:rPr>
        <w:t>B’mod parallel, mill-15-il Stat Membru li rrapportaw xenarju ta’ “bil-miżuri addizzjonali” (</w:t>
      </w:r>
      <w:r w:rsidRPr="2A926D52">
        <w:rPr>
          <w:rStyle w:val="FootnoteReference"/>
          <w:noProof/>
        </w:rPr>
        <w:footnoteReference w:id="28"/>
      </w:r>
      <w:r>
        <w:rPr>
          <w:noProof/>
        </w:rPr>
        <w:t>), erbgħa xorta naqsu milli jipprojettaw il-konformità mal-impenji kollha għat-tnaqqis tal-emissjonijiet, kemm fl-2025 kif ukoll fl-2030 (</w:t>
      </w:r>
      <w:r w:rsidR="00C905F5" w:rsidRPr="2A926D52">
        <w:rPr>
          <w:rStyle w:val="FootnoteReference"/>
          <w:noProof/>
        </w:rPr>
        <w:footnoteReference w:id="29"/>
      </w:r>
      <w:r>
        <w:rPr>
          <w:noProof/>
        </w:rPr>
        <w:t xml:space="preserve">). Dawn l-Istati Membri (flimkien ma’ dawk projettati li jkunu f’nuqqas ta’ konformità fix-xenarju “bil-miżuri” u li ma jirrapportawx xenarju “b’miżuri addizzjonali”) se jkollhom bżonn jistabbilixxu miżuri addizzjonali biex jissodisfaw l-impenji tagħhom għat-tnaqqis tal-emissjonijiet. </w:t>
      </w:r>
    </w:p>
    <w:p w14:paraId="4905CC2A" w14:textId="2FAA6352" w:rsidR="00614A55" w:rsidRDefault="00786DA1">
      <w:pPr>
        <w:rPr>
          <w:noProof/>
        </w:rPr>
      </w:pPr>
      <w:r>
        <w:rPr>
          <w:noProof/>
        </w:rPr>
        <w:t>Il-projezzjonijiet ippreżentati mill-Istati Membri ġew ivvalutati wkoll skont it-trajettorja ta’ tnaqqis lineari bejn l-impenji għat-tnaqqis tal-emissjonijiet għall-2020–2029 u l-impenji għat-tnaqqis tal-emissjonijiet tal-2030 (skont l-Artikolu 4(2) tad-Direttiva). Filwaqt li 13-il Stat Membru jipprojettaw li l-emissjonijiet tagħhom tal-2025 ikunu konformi mal-impenn għat-tnaqqis tal-emissjonijiet tal-2020–2029 skont ix-xenarju “bil-miżuri”, dan l-għadd jonqos għal tmienja (</w:t>
      </w:r>
      <w:r w:rsidR="00C964E1" w:rsidRPr="2A926D52">
        <w:rPr>
          <w:rStyle w:val="FootnoteReference"/>
          <w:noProof/>
        </w:rPr>
        <w:footnoteReference w:id="30"/>
      </w:r>
      <w:r>
        <w:rPr>
          <w:noProof/>
        </w:rPr>
        <w:t xml:space="preserve">) meta vvalutat kontra t-trajettorja ta’ tnaqqis lineari fl-2025 (din l-analiżi tuża x-xenarju “bil-miżuri” peress li ftit li xejn se jkun hemm żmien biex il-miżuri addizzjonali jwasslu għal effetti sal-2025). </w:t>
      </w:r>
    </w:p>
    <w:p w14:paraId="76E5D701" w14:textId="63CC12F6" w:rsidR="00423057" w:rsidRDefault="00423057" w:rsidP="1C49AE19">
      <w:pPr>
        <w:rPr>
          <w:noProof/>
        </w:rPr>
      </w:pPr>
      <w:r>
        <w:rPr>
          <w:noProof/>
        </w:rPr>
        <w:t>Il-projezzjonijiet jeħtieġ li jkunu ta’ kwalità tajba għal valutazzjoni affidabbli tar-riskju futur ta’ nuqqas ta’ konformità. Dan jippermetti wkoll li l-Istati Membri jadottaw miżuri addizzjonali maħsuba sew biex jindirizzaw is-setturi u s-sorsi tat-tniġġis meta jkun meħtieġ aktar sforz. Il-Kummissjoni tirrieżamina l-projezzjonijiet tal-emissjonijiet tal-Istati Membri għal kull ċiklu ta’ rapportar (kull sentejn) (</w:t>
      </w:r>
      <w:r w:rsidRPr="1C49AE19">
        <w:rPr>
          <w:rStyle w:val="FootnoteReference"/>
          <w:noProof/>
        </w:rPr>
        <w:footnoteReference w:id="31"/>
      </w:r>
      <w:r>
        <w:rPr>
          <w:noProof/>
        </w:rPr>
        <w:t>) u tqis l-aħħar linji gwida ta’ rapportar. Fl-2023, il-Kummissjoni adottat att delegat (</w:t>
      </w:r>
      <w:r w:rsidR="00D65CCB">
        <w:rPr>
          <w:rStyle w:val="FootnoteReference"/>
          <w:noProof/>
        </w:rPr>
        <w:footnoteReference w:id="32"/>
      </w:r>
      <w:r>
        <w:rPr>
          <w:noProof/>
        </w:rPr>
        <w:t>) li jagħmel emendi mmirati għal żewġ annessi tad-Direttiva li jirrikjedu li l-Istati Membri jużaw, mill-2025, l-aħħar mudell (</w:t>
      </w:r>
      <w:r w:rsidR="00452454" w:rsidRPr="1C49AE19">
        <w:rPr>
          <w:rStyle w:val="FootnoteReference"/>
          <w:noProof/>
        </w:rPr>
        <w:footnoteReference w:id="33"/>
      </w:r>
      <w:r>
        <w:rPr>
          <w:noProof/>
        </w:rPr>
        <w:t>) għar-rapportar tal-projezzjonijiet adottati skont il-Konvenzjoni fuq it-tniġġis tal-arja transkonfini fuq distanza kbira. Dan se jipproduċi projezzjonijiet tal-emissjonijiet f’riżoluzzjoni ogħla billi jiddiżaggrega s-setturi tas-sors bl-istess mod kif isir għall-inventarji, u jagħti lill-Istati Membri bażi mtejba għat-tfassil ta’ miżuri addizzjonali mmirati. Diġà fl-2023, filwaqt li ma kienx għadu obbligatorju li jintuża, madwar nofs l-Istati Membri rrapportaw il-projezzjonijiet tagħhom fil-verżjoni aktar diżaggregata tal-mudell tas-sottomissjoni.</w:t>
      </w:r>
    </w:p>
    <w:p w14:paraId="2C5B92DC" w14:textId="1AFA1C9F" w:rsidR="00614A55" w:rsidRDefault="00614A55" w:rsidP="000D13E6">
      <w:pPr>
        <w:pStyle w:val="Heading1"/>
        <w:rPr>
          <w:noProof/>
        </w:rPr>
      </w:pPr>
      <w:r>
        <w:rPr>
          <w:noProof/>
        </w:rPr>
        <w:t xml:space="preserve">Analiżi tal-programmi nazzjonali għall-kontroll tat-tniġġis tal-arja </w:t>
      </w:r>
    </w:p>
    <w:p w14:paraId="22EC6BE1" w14:textId="57071AB3" w:rsidR="00614A55" w:rsidRDefault="00040990" w:rsidP="000D13E6">
      <w:pPr>
        <w:pStyle w:val="Heading2"/>
        <w:rPr>
          <w:noProof/>
        </w:rPr>
      </w:pPr>
      <w:r>
        <w:rPr>
          <w:noProof/>
        </w:rPr>
        <w:t>I</w:t>
      </w:r>
      <w:r w:rsidR="00614A55">
        <w:rPr>
          <w:noProof/>
        </w:rPr>
        <w:t>ssodisfar tar-rekwiżiti legali</w:t>
      </w:r>
    </w:p>
    <w:p w14:paraId="62F35381" w14:textId="5940FED8" w:rsidR="00614A55" w:rsidRDefault="00614A55">
      <w:pPr>
        <w:rPr>
          <w:noProof/>
          <w:szCs w:val="24"/>
        </w:rPr>
      </w:pPr>
      <w:r>
        <w:rPr>
          <w:noProof/>
        </w:rPr>
        <w:t xml:space="preserve">L-Artikolu 6(1) tad-Direttiva jirrikjedi li l-Istati Membri jadottaw programm nazzjonali għall-kontroll tat-tniġġis tal-arja (NAPCP) biex juru kif biħsiebhom jillimitaw l-emissjonijiet antropoġeniċi annwali tagħhom biex jissodisfaw l-impenji tagħhom għat-tnaqqis tal-emissjonijiet. L-NAPCP jikkostitwixxi strument ta’ governanza ċentrali li jippermetti lill-Istati Membri jikkoordinaw u jaqblu dwar il-politiki u l-miżuri (PaMs, Policies and Measures) tagħhom biex jiżguraw li l-impenji nazzjonali għat-tnaqqis tal-emissjonijiet jiġu ssodisfati. It-tħejjija tiegħu teħtieġ konsultazzjoni u l-involviment tal-awtoritajiet kompetenti f’livelli differenti u ta’ diversi setturi differenti, bħall-ambjent, l-agrikoltura, l-enerġija, il-klima, it-trasport, l-industrija u l-finanzi. Issir enfasi partikolari fuq l-iżgurar tal-koerenza mal-pjanijiet u l-programmi għall-oqsma ta’ politika rilevanti kollha. Barra minn hekk, l-NAPCP huwa għodda biex jiġu kkomunikati l-politiki ta’ kontroll tat-tniġġis ta’ Stat Membru u biex il-pubbliku jiġi involut fil-proċess tat-tfassil tal-politika, permezz ta’ konsultazzjonijiet. </w:t>
      </w:r>
    </w:p>
    <w:p w14:paraId="2BD7619E" w14:textId="5C12ED22" w:rsidR="00614A55" w:rsidRDefault="00614A55">
      <w:pPr>
        <w:rPr>
          <w:noProof/>
          <w:szCs w:val="24"/>
        </w:rPr>
      </w:pPr>
      <w:r>
        <w:rPr>
          <w:noProof/>
        </w:rPr>
        <w:t>F’konformità mal-Artikolu 6(10) tad-Direttiva, il-Kummissjoni speċifikat il-format tal-NAPCP fid-Deċiżjoni ta’ Implimentazzjoni tal-Kummissjoni (UE) 2018/1522 (</w:t>
      </w:r>
      <w:r>
        <w:rPr>
          <w:rStyle w:val="FootnoteReference"/>
          <w:noProof/>
          <w:szCs w:val="24"/>
        </w:rPr>
        <w:footnoteReference w:id="34"/>
      </w:r>
      <w:r>
        <w:rPr>
          <w:noProof/>
        </w:rPr>
        <w:t>) li tistabbilixxi kontenut obbligatorju u fakultattiv abbażi tal-Artikolu 6 u tal-Anness III, il-Parti 1 tad-Direttiva. Il-politiki u l-miżuri addizzjonali magħżula għall-adozzjoni mill-Istati Membri biex ikomplu jnaqqsu l-emissjonijiet, huma parti essenzjali mill-kontenut obbligatorju. Dawn il-politiki u l-miżuri addizzjonali għandhom jiġu rrapportati permezz tal-“għodda EEA-PaM”, għodda tal-web żviluppata mill-Aġenzija Ewropea għall-Ambjent (EEA). Il-Kummissjoni ħejjiet ukoll gwida għall-iżvilupp tal-NAPCPs (</w:t>
      </w:r>
      <w:r>
        <w:rPr>
          <w:rStyle w:val="FootnoteReference"/>
          <w:noProof/>
          <w:szCs w:val="24"/>
        </w:rPr>
        <w:footnoteReference w:id="35"/>
      </w:r>
      <w:r>
        <w:rPr>
          <w:noProof/>
        </w:rPr>
        <w:t xml:space="preserve">), f’konformità mal-Artikolu 6(9) tad-Direttiva. Il-gwida tgħin lill-Istati Membri jfasslu NAPCP fil-format meħtieġ u f’konformità mar-rekwiżiti tad-Direttiva. L-ewwel NAPCPs kellhom jintbagħtu sal-1 ta’ April 2019. L-NAPCPs iridu jiġu aġġornati mill-inqas kull 4 snin u anke qabel, jekk </w:t>
      </w:r>
      <w:r>
        <w:rPr>
          <w:i/>
          <w:noProof/>
        </w:rPr>
        <w:t>data</w:t>
      </w:r>
      <w:r>
        <w:rPr>
          <w:noProof/>
        </w:rPr>
        <w:t xml:space="preserve"> ġdida tkun teħtieġ dan. Fl-2023, l-NAPCPs aġġornati kienu dovuti għal għadd ta’ Stati Membri (</w:t>
      </w:r>
      <w:r w:rsidR="00452454">
        <w:rPr>
          <w:rStyle w:val="FootnoteReference"/>
          <w:noProof/>
          <w:szCs w:val="24"/>
          <w:lang w:val="en-US"/>
        </w:rPr>
        <w:footnoteReference w:id="36"/>
      </w:r>
      <w:r>
        <w:rPr>
          <w:noProof/>
        </w:rPr>
        <w:t xml:space="preserve">). </w:t>
      </w:r>
    </w:p>
    <w:p w14:paraId="00C8B781" w14:textId="7EB9FBD3" w:rsidR="00614A55" w:rsidRDefault="0075474A">
      <w:pPr>
        <w:rPr>
          <w:noProof/>
          <w:szCs w:val="24"/>
        </w:rPr>
      </w:pPr>
      <w:r>
        <w:rPr>
          <w:noProof/>
        </w:rPr>
        <w:t>Minħabba dewmien sostanzjali fil-forniment tal-ewwel NAPCPs, il-proċeduri ta’ ksur għan-nuqqas ta’ sottomissjoni nfetħu għal ħames Stati Membri fi Frar (</w:t>
      </w:r>
      <w:r w:rsidR="00BE0DD3">
        <w:rPr>
          <w:rStyle w:val="FootnoteReference"/>
          <w:noProof/>
        </w:rPr>
        <w:footnoteReference w:id="37"/>
      </w:r>
      <w:r>
        <w:rPr>
          <w:noProof/>
        </w:rPr>
        <w:t>) u Lulju 2020 (</w:t>
      </w:r>
      <w:r w:rsidR="00B420FD">
        <w:rPr>
          <w:rStyle w:val="FootnoteReference"/>
          <w:noProof/>
        </w:rPr>
        <w:footnoteReference w:id="38"/>
      </w:r>
      <w:r>
        <w:rPr>
          <w:noProof/>
        </w:rPr>
        <w:t xml:space="preserve">). L-Istati Membri kollha kkonċernati sussegwentement ippreżentaw l-NAPCP tagħhom u l-proċeduri ngħalqu. </w:t>
      </w:r>
    </w:p>
    <w:p w14:paraId="6838F3DA" w14:textId="032E4C92" w:rsidR="00413AA8" w:rsidRDefault="001B519D" w:rsidP="002449DA">
      <w:pPr>
        <w:rPr>
          <w:noProof/>
          <w:szCs w:val="24"/>
        </w:rPr>
      </w:pPr>
      <w:r>
        <w:rPr>
          <w:noProof/>
        </w:rPr>
        <w:t xml:space="preserve">Minn Mejju 2020 (id-data limitu għas-sottomissjonijiet tal-NAPCP meqjusa fl-ewwel rapport ta’ implimentazzjoni), il-Kummissjoni rċeviet u analizzat l-ewwel NAPCPs mill- </w:t>
      </w:r>
      <w:bookmarkStart w:id="2" w:name="_Hlk152928881"/>
      <w:r>
        <w:rPr>
          <w:noProof/>
        </w:rPr>
        <w:t>Greċja, l-Italja, il-Lussemburgu u r-Rumanija, kif ukoll NAPCPs aġġornati mill-Belġju, Ċipru, id-Danimarka, l-Estonja, il-Finlandja u Franza</w:t>
      </w:r>
      <w:bookmarkEnd w:id="2"/>
      <w:r>
        <w:rPr>
          <w:noProof/>
        </w:rPr>
        <w:t>. Dan l-aħħar, il-Kummissjoni rċeviet ukoll NAPCPs aġġornati min-Netherlands, mill-Polonja u miċ-Ċekja, iżda dawn kienu għadhom ma ġewx analizzati fid-dettall fiż-żmien meta ġie abbozzat dan ir-rapport (</w:t>
      </w:r>
      <w:r w:rsidR="00C4351C">
        <w:rPr>
          <w:rStyle w:val="FootnoteReference"/>
          <w:noProof/>
          <w:szCs w:val="24"/>
          <w:lang w:val="en-US"/>
        </w:rPr>
        <w:footnoteReference w:id="39"/>
      </w:r>
      <w:r>
        <w:rPr>
          <w:noProof/>
        </w:rPr>
        <w:t xml:space="preserve">). Barra minn hekk, l-Irlanda u l-Lussemburgu ssottomettew il-politiki u l-miżuri aġġornati f’konformità mal-Artikolu 6(4), koperti fit-taqsima li jmiss. </w:t>
      </w:r>
    </w:p>
    <w:p w14:paraId="15A81B49" w14:textId="25429FC2" w:rsidR="002449DA" w:rsidRDefault="00687708" w:rsidP="002449DA">
      <w:pPr>
        <w:rPr>
          <w:noProof/>
          <w:szCs w:val="24"/>
        </w:rPr>
      </w:pPr>
      <w:r>
        <w:rPr>
          <w:noProof/>
        </w:rPr>
        <w:t>Mill-10 NAPCPs li waslu minn Mejju 2020, il-format komuni għall-NAPCP intuża minn sitt Stati Membri (</w:t>
      </w:r>
      <w:r w:rsidR="002449DA">
        <w:rPr>
          <w:rStyle w:val="FootnoteReference"/>
          <w:noProof/>
          <w:szCs w:val="24"/>
          <w:lang w:val="en-US"/>
        </w:rPr>
        <w:footnoteReference w:id="40"/>
      </w:r>
      <w:r>
        <w:rPr>
          <w:noProof/>
        </w:rPr>
        <w:t>), intuża parzjalment minn tlieta (</w:t>
      </w:r>
      <w:r w:rsidR="002449DA">
        <w:rPr>
          <w:rStyle w:val="FootnoteReference"/>
          <w:noProof/>
          <w:szCs w:val="24"/>
          <w:lang w:val="en-US"/>
        </w:rPr>
        <w:footnoteReference w:id="41"/>
      </w:r>
      <w:r>
        <w:rPr>
          <w:noProof/>
        </w:rPr>
        <w:t>) u ma ntużax minn wieħed (</w:t>
      </w:r>
      <w:r w:rsidR="002449DA">
        <w:rPr>
          <w:rStyle w:val="FootnoteReference"/>
          <w:noProof/>
          <w:szCs w:val="24"/>
          <w:lang w:val="en-US"/>
        </w:rPr>
        <w:footnoteReference w:id="42"/>
      </w:r>
      <w:r>
        <w:rPr>
          <w:noProof/>
        </w:rPr>
        <w:t>).</w:t>
      </w:r>
    </w:p>
    <w:p w14:paraId="6D2B6DF9" w14:textId="2FEDB69E" w:rsidR="002449DA" w:rsidRDefault="00687708" w:rsidP="002449DA">
      <w:pPr>
        <w:rPr>
          <w:noProof/>
          <w:szCs w:val="24"/>
        </w:rPr>
      </w:pPr>
      <w:r>
        <w:rPr>
          <w:noProof/>
        </w:rPr>
        <w:t>Skont l-Artikolu 6(5) tad-Direttiva, l-Istati Membri għandhom jikkonsultaw lill-pubbliku f’konformità mad-Direttiva 2003/35/KE (</w:t>
      </w:r>
      <w:r w:rsidR="002449DA">
        <w:rPr>
          <w:rStyle w:val="FootnoteReference"/>
          <w:noProof/>
          <w:szCs w:val="24"/>
          <w:lang w:val="en-US"/>
        </w:rPr>
        <w:footnoteReference w:id="43"/>
      </w:r>
      <w:r>
        <w:rPr>
          <w:noProof/>
        </w:rPr>
        <w:t>) dwar l-abbozz tal-NAPCP. Mill-erba’ Stati Membri li ssottomettew l-ewwel NAPCPs fil-perjodu kopert minn dan ir-rapport, tlieta (</w:t>
      </w:r>
      <w:r w:rsidR="00933571">
        <w:rPr>
          <w:rStyle w:val="FootnoteReference"/>
          <w:noProof/>
          <w:szCs w:val="24"/>
          <w:lang w:val="en-US"/>
        </w:rPr>
        <w:footnoteReference w:id="44"/>
      </w:r>
      <w:r>
        <w:rPr>
          <w:noProof/>
        </w:rPr>
        <w:t>) wettqu konsultazzjoni pubblika, filwaqt li wieħed (</w:t>
      </w:r>
      <w:r w:rsidR="00C03AC1">
        <w:rPr>
          <w:rStyle w:val="FootnoteReference"/>
          <w:noProof/>
          <w:szCs w:val="24"/>
          <w:lang w:val="en-US"/>
        </w:rPr>
        <w:footnoteReference w:id="45"/>
      </w:r>
      <w:r>
        <w:rPr>
          <w:noProof/>
        </w:rPr>
        <w:t>) ma pprovdiex evidenza li kienet saret konsultazzjoni. Mis-sitt NAPCPs aġġornati, tnejn (</w:t>
      </w:r>
      <w:r w:rsidR="00A84280">
        <w:rPr>
          <w:rStyle w:val="FootnoteReference"/>
          <w:noProof/>
          <w:szCs w:val="24"/>
          <w:lang w:val="en-US"/>
        </w:rPr>
        <w:footnoteReference w:id="46"/>
      </w:r>
      <w:r>
        <w:rPr>
          <w:noProof/>
        </w:rPr>
        <w:t>) għaddew minn konsultazzjoni pubblika, f’każ minnhom (</w:t>
      </w:r>
      <w:r w:rsidR="00776D27">
        <w:rPr>
          <w:rStyle w:val="FootnoteReference"/>
          <w:noProof/>
          <w:szCs w:val="24"/>
          <w:lang w:val="en-US"/>
        </w:rPr>
        <w:footnoteReference w:id="47"/>
      </w:r>
      <w:r>
        <w:rPr>
          <w:noProof/>
        </w:rPr>
        <w:t>) ma kienx ċar, u tlieta (</w:t>
      </w:r>
      <w:r w:rsidR="004D764D">
        <w:rPr>
          <w:rStyle w:val="FootnoteReference"/>
          <w:noProof/>
          <w:szCs w:val="24"/>
          <w:lang w:val="en-US"/>
        </w:rPr>
        <w:footnoteReference w:id="48"/>
      </w:r>
      <w:r>
        <w:rPr>
          <w:noProof/>
        </w:rPr>
        <w:t>) ma kien fihom l-ebda evidenza li twettqet konsultazzjoni pubblika.</w:t>
      </w:r>
    </w:p>
    <w:p w14:paraId="3626DAF9" w14:textId="49EC1CA1" w:rsidR="002449DA" w:rsidRDefault="00F05ED0" w:rsidP="002449DA">
      <w:pPr>
        <w:rPr>
          <w:noProof/>
          <w:szCs w:val="24"/>
        </w:rPr>
      </w:pPr>
      <w:r>
        <w:rPr>
          <w:noProof/>
        </w:rPr>
        <w:t>Dwar ir-rapportar tal-kontenut obbligatorju tal-NAPCP, il-maġġoranza tad-dokumenti analizzati għamlu dan bis-sħiħ jew għamlu dan b’lakuni relattivament żgħar (</w:t>
      </w:r>
      <w:r w:rsidR="002449DA">
        <w:rPr>
          <w:rStyle w:val="FootnoteReference"/>
          <w:noProof/>
          <w:szCs w:val="24"/>
        </w:rPr>
        <w:footnoteReference w:id="49"/>
      </w:r>
      <w:r>
        <w:rPr>
          <w:noProof/>
        </w:rPr>
        <w:t>), iżda hemm nuqqas ġenerali ta’ dettall dwar il-politiki u l-miżuri aġġornati addizzjonali, li għamlu analiżi fil-fond aktar diffiċli. Il-biċċa l-kbira tal-Istati Membri pprovdew ftit informazzjoni dwar il-kontenut fakultattiv.</w:t>
      </w:r>
    </w:p>
    <w:p w14:paraId="533EDA8C" w14:textId="0D28C723" w:rsidR="006334A7" w:rsidRDefault="006334A7" w:rsidP="002449DA">
      <w:pPr>
        <w:rPr>
          <w:noProof/>
          <w:szCs w:val="24"/>
        </w:rPr>
      </w:pPr>
      <w:r>
        <w:rPr>
          <w:noProof/>
        </w:rPr>
        <w:t>Il-projezzjonijiet li l-Istati Membri użaw fl-NAPCP tagħhom fil-biċċa l-kbira tal-każijiet (</w:t>
      </w:r>
      <w:r w:rsidR="00E4073D">
        <w:rPr>
          <w:rStyle w:val="FootnoteReference"/>
          <w:noProof/>
          <w:szCs w:val="24"/>
        </w:rPr>
        <w:footnoteReference w:id="50"/>
      </w:r>
      <w:r>
        <w:rPr>
          <w:noProof/>
        </w:rPr>
        <w:t>) huma konsistenti mal-aħħar sottomissjoni tagħhom tal-emissjonijiet projettati tal-inkwinanti tal-arja skont l-Artikolu 10(2) tad-Direttiva. Għal tliet Stati Membri ġew identifikati inkonsistenzi maġġuri (</w:t>
      </w:r>
      <w:r w:rsidR="000E1655">
        <w:rPr>
          <w:rStyle w:val="FootnoteReference"/>
          <w:noProof/>
          <w:szCs w:val="24"/>
        </w:rPr>
        <w:footnoteReference w:id="51"/>
      </w:r>
      <w:r>
        <w:rPr>
          <w:noProof/>
        </w:rPr>
        <w:t>), u għal Stat Membru wieħed (</w:t>
      </w:r>
      <w:r w:rsidR="001957B1">
        <w:rPr>
          <w:rStyle w:val="FootnoteReference"/>
          <w:noProof/>
          <w:szCs w:val="24"/>
        </w:rPr>
        <w:footnoteReference w:id="52"/>
      </w:r>
      <w:r>
        <w:rPr>
          <w:noProof/>
        </w:rPr>
        <w:t xml:space="preserve">) ġew identifikati inkonsistenzi minuri. Projezzjonijiet affidabbli u konsistenti huma importanti għat-tfassil ta’ politiki u l-miżuri aġġornati immirati sew.  </w:t>
      </w:r>
    </w:p>
    <w:p w14:paraId="043B46EC" w14:textId="07B35E3E" w:rsidR="00614A55" w:rsidRDefault="00657014" w:rsidP="00657014">
      <w:pPr>
        <w:rPr>
          <w:noProof/>
        </w:rPr>
      </w:pPr>
      <w:r>
        <w:rPr>
          <w:noProof/>
        </w:rPr>
        <w:t>L-NAPCPs kollha li jaslu mingħand l-Istati Membri kif ukoll il-valutazzjonijiet tagħhom huma ppubblikati fuq is-sit web tal-Kummissjoni (</w:t>
      </w:r>
      <w:r>
        <w:rPr>
          <w:rStyle w:val="FootnoteReference"/>
          <w:noProof/>
        </w:rPr>
        <w:footnoteReference w:id="53"/>
      </w:r>
      <w:r>
        <w:rPr>
          <w:noProof/>
        </w:rPr>
        <w:t>).</w:t>
      </w:r>
    </w:p>
    <w:p w14:paraId="711C7D99" w14:textId="1A685C0F" w:rsidR="00614A55" w:rsidRDefault="00614A55" w:rsidP="000D13E6">
      <w:pPr>
        <w:pStyle w:val="Heading2"/>
        <w:rPr>
          <w:noProof/>
        </w:rPr>
      </w:pPr>
      <w:r>
        <w:rPr>
          <w:noProof/>
        </w:rPr>
        <w:t xml:space="preserve">Analiżi tal-politiki u l-miżuri addizzjonali rrapportati </w:t>
      </w:r>
    </w:p>
    <w:p w14:paraId="6D0B3F11" w14:textId="6A6210C9" w:rsidR="00614A55" w:rsidRDefault="00614A55">
      <w:pPr>
        <w:rPr>
          <w:noProof/>
          <w:szCs w:val="24"/>
        </w:rPr>
      </w:pPr>
      <w:r>
        <w:rPr>
          <w:noProof/>
        </w:rPr>
        <w:t>L-Istati Membri li ma laħqux jew jipprojettaw li ma jilħqux l-impenji tagħhom għat-tnaqqis tal-emissjonijiet bil-politiki attwali jridu jirrapportaw fl-NAPCPs tagħhom il-politiki u l-miżuri addizzjonali – kemm dawk li qiesu għall-adozzjoni kif ukoll dawk li fil-fatt għażlu - biex jissodisfaw l-impenji tagħhom. Dan ir-rapportar irid isir permezz tal-“għodda EEA-PaM” ibbażata fuq il-web, ġestita mill-Aġenzija Ewropea għall-Ambjent.</w:t>
      </w:r>
    </w:p>
    <w:p w14:paraId="341F9F7E" w14:textId="5DEFA16E" w:rsidR="00EE5D8A" w:rsidRDefault="00EE5D8A">
      <w:pPr>
        <w:rPr>
          <w:noProof/>
          <w:szCs w:val="24"/>
        </w:rPr>
      </w:pPr>
      <w:r>
        <w:rPr>
          <w:noProof/>
        </w:rPr>
        <w:t xml:space="preserve">L-Istati Membri kkunsidrati f’din it-taqsima huma dawk li ssottomettew l-ewwel NAPCP jew NAPCP aġġornat (il-Belġju, Ċipru, id-Danimarka, l-Estonja, il-Greċja, il-Finlandja, Franza, l-Italja, il-Lussemburgu u r-Rumanija) kif ukoll iż-żewġ Stati Membri (l-Irlanda u l-Lussemburgu) li rrapportaw aġġornament tal-politiki u l-miżuri biss (skont l-Artikolu 6(4) tad-Direttiva), kif stabbilit fit-Taqsima 3.1. </w:t>
      </w:r>
    </w:p>
    <w:p w14:paraId="6DF4963B" w14:textId="743302D7" w:rsidR="00650159" w:rsidRDefault="00614A55" w:rsidP="00AB2AA7">
      <w:pPr>
        <w:spacing w:after="0"/>
        <w:rPr>
          <w:noProof/>
        </w:rPr>
      </w:pPr>
      <w:r>
        <w:rPr>
          <w:noProof/>
        </w:rPr>
        <w:t>Il-firxa u l-livell ta’ dettall tar-rapportar mill-Istati Membri dwar il-politiki u l-miżuri addizzjonali tagħhom ivarjaw skont il-pajjiż u l-miżura. Abbażi tal-aħħar rieżami tal-NAPCPs u l-politiki u l-miżuri (</w:t>
      </w:r>
      <w:r w:rsidR="00DE2F36">
        <w:rPr>
          <w:rStyle w:val="FootnoteReference"/>
          <w:noProof/>
        </w:rPr>
        <w:footnoteReference w:id="54"/>
      </w:r>
      <w:r>
        <w:rPr>
          <w:noProof/>
        </w:rPr>
        <w:t>), jidher ċar li għad hemm diversi nuqqasijiet identifikati f’rieżamijiet preċedenti u miġbura fil-qosor fl-ewwel rapport ta’ implimentazzjoni. Dawn jinkludu:</w:t>
      </w:r>
    </w:p>
    <w:p w14:paraId="23305C76" w14:textId="07A4BD0B" w:rsidR="00F6032B" w:rsidRPr="00A619DC" w:rsidRDefault="00FA55B6" w:rsidP="00AB2AA7">
      <w:pPr>
        <w:pStyle w:val="ListNumber1"/>
        <w:numPr>
          <w:ilvl w:val="0"/>
          <w:numId w:val="34"/>
        </w:numPr>
        <w:spacing w:after="0"/>
        <w:ind w:left="714" w:hanging="357"/>
        <w:rPr>
          <w:noProof/>
        </w:rPr>
      </w:pPr>
      <w:r>
        <w:rPr>
          <w:noProof/>
        </w:rPr>
        <w:t xml:space="preserve">informazzjoni insuffiċjenti biex jiġi ġġudikat jekk il-politiki u l-miżuri humiex verament addizzjonali u bħala tali tgħin biex Stat Membru li ma jkunx konformi jsir konformi; barra minn hekk, għal madwar terz tal-politiki u l-miżuri rrapportati bħala addizzjonali taħt ix-xenarju “b’miżuri addizzjonali”, id-dati tal-bidu tal-implimentazzjoni kienu ferm qabel l-2023, li xeħtu dubju dwar l-istatus tagħhom bħala “addizzjonali”; </w:t>
      </w:r>
    </w:p>
    <w:p w14:paraId="30B983D1" w14:textId="4F86B6AD" w:rsidR="00F6032B" w:rsidRPr="00A619DC" w:rsidRDefault="00EF5C79" w:rsidP="00AB2AA7">
      <w:pPr>
        <w:pStyle w:val="ListNumber1"/>
        <w:numPr>
          <w:ilvl w:val="0"/>
          <w:numId w:val="34"/>
        </w:numPr>
        <w:spacing w:after="0"/>
        <w:ind w:left="714" w:hanging="357"/>
        <w:rPr>
          <w:noProof/>
        </w:rPr>
      </w:pPr>
      <w:r>
        <w:rPr>
          <w:noProof/>
        </w:rPr>
        <w:t xml:space="preserve">nuqqas ta’ kwantifikazzjoni tal-impatti tat-tnaqqis tal-emissjonijiet mill-politiki u l-miżuri (u fejn dawn ġew ikkwantifikati, nuqqas ta’ informazzjoni biex jiġi ġġudikat jekk humiex realistiċi); u </w:t>
      </w:r>
    </w:p>
    <w:p w14:paraId="5110041C" w14:textId="47F3FD0D" w:rsidR="000E5B5F" w:rsidRPr="00A619DC" w:rsidRDefault="00421200" w:rsidP="00AB2AA7">
      <w:pPr>
        <w:pStyle w:val="ListNumber1"/>
        <w:numPr>
          <w:ilvl w:val="0"/>
          <w:numId w:val="34"/>
        </w:numPr>
        <w:spacing w:after="0"/>
        <w:ind w:left="714" w:hanging="357"/>
        <w:rPr>
          <w:noProof/>
        </w:rPr>
      </w:pPr>
      <w:r>
        <w:rPr>
          <w:noProof/>
        </w:rPr>
        <w:t xml:space="preserve">b’mod aktar ġenerali, u filwaqt li jiġi nnotat li l-kwalità tar-rapportar tvarja bejn l-Istati Membri, nuqqas ta’ informazzjoni dwar it-tfassil u l-fokus tal-politiki u l-miżuri li jippermetti li l-kredibbiltà tagħhom tiġi vvalutata. </w:t>
      </w:r>
    </w:p>
    <w:p w14:paraId="0A816509" w14:textId="77777777" w:rsidR="00A9170A" w:rsidRPr="00554779" w:rsidRDefault="00A9170A" w:rsidP="00DB6145">
      <w:pPr>
        <w:pStyle w:val="ListDash"/>
        <w:numPr>
          <w:ilvl w:val="0"/>
          <w:numId w:val="0"/>
        </w:numPr>
        <w:rPr>
          <w:noProof/>
        </w:rPr>
      </w:pPr>
    </w:p>
    <w:p w14:paraId="28471822" w14:textId="210DD26D" w:rsidR="00823B32" w:rsidRDefault="00DB187F" w:rsidP="00DB6145">
      <w:pPr>
        <w:pStyle w:val="ListDash"/>
        <w:numPr>
          <w:ilvl w:val="0"/>
          <w:numId w:val="0"/>
        </w:numPr>
        <w:rPr>
          <w:noProof/>
          <w:szCs w:val="24"/>
        </w:rPr>
      </w:pPr>
      <w:r>
        <w:rPr>
          <w:noProof/>
        </w:rPr>
        <w:t xml:space="preserve">Dawn il-punti japplikaw ukoll għall-ewwel NAPCPs li l-Istati Membri ssottomettew wara r-rapport ta’ implimentazzjoni tal-2020. Minn dawn, il-Greċja ma kkunsidratx politiki u miżuri addizzjonali għall-adozzjoni, peress li tipprojetta li tikseb l-impenji kollha tagħha għat-tnaqqis tal-emissjonijiet f’xenarju “bil-miżuri”, filwaqt li l-Italja u r-Rumanija għażlu 24 u 33 politiki u miżuri addizzjonali, rispettivament, immirati lejn l-inkwinanti kollha. Il-politiki u l-miżuri jimmiraw l-aktar lejn is-setturi tal-konsum tal-enerġija, tal-agrikoltura u tat-trasport fil-każ tal-Italja, u s-setturi tal-konsum tal-enerġija, tat-trasport u tal-industrija fil-każ tar-Rumanija. L-ewwel sottomissjonijiet kollha tal-NAPCP għandhom jew jagħżlu l-miżuri agrikoli msemmija fl-Anness III, il-Parti 2 tad-Direttiva fl-NAPCP tagħhom, jew jipprovdu evidenza li dawn il-miżuri huma diġà fis-seħħ u implimentati permezz ta’ programmi jew pjanijiet ta’ azzjoni oħra. </w:t>
      </w:r>
    </w:p>
    <w:p w14:paraId="0BBA1B1C" w14:textId="4B34725F" w:rsidR="00123B93" w:rsidRPr="00123B93" w:rsidRDefault="00FA55B6" w:rsidP="00AB2AA7">
      <w:pPr>
        <w:pStyle w:val="ListDash"/>
        <w:numPr>
          <w:ilvl w:val="0"/>
          <w:numId w:val="0"/>
        </w:numPr>
        <w:spacing w:after="0"/>
        <w:rPr>
          <w:noProof/>
        </w:rPr>
      </w:pPr>
      <w:r>
        <w:rPr>
          <w:noProof/>
        </w:rPr>
        <w:t>Mis-sitt Stati Membri li minnhom waslu s-sottomissjonijiet mill-ġdid tal-NAPCP fl-2023, il-Belġju, id-Danimarka u l-Finlandja ma kkunsidrawx politiki u miżuri addizzjonali għall-adozzjoni, peress li qed jipprojettaw li jiksbu l-impenji kollha tagħhom għat-tnaqqis tal-emissjonijiet f’xenarju “bil-miżuri”. Għall-bqija tas-sottomissjonijiet ta’ politiki u miżuri (</w:t>
      </w:r>
      <w:r w:rsidR="001B62C3">
        <w:rPr>
          <w:rStyle w:val="FootnoteReference"/>
          <w:noProof/>
        </w:rPr>
        <w:footnoteReference w:id="55"/>
      </w:r>
      <w:r>
        <w:rPr>
          <w:noProof/>
        </w:rPr>
        <w:t>), qed isiru l-konklużjonijiet aktar dettaljati li ġejjin:</w:t>
      </w:r>
    </w:p>
    <w:p w14:paraId="6A15029A" w14:textId="53BD7855" w:rsidR="00567339" w:rsidRDefault="00567339" w:rsidP="00AB2AA7">
      <w:pPr>
        <w:pStyle w:val="ListDash"/>
        <w:spacing w:after="0"/>
        <w:ind w:left="714" w:hanging="357"/>
        <w:rPr>
          <w:noProof/>
        </w:rPr>
      </w:pPr>
      <w:r>
        <w:rPr>
          <w:noProof/>
        </w:rPr>
        <w:t>Skont l-informazzjoni rrapportata permezz tal-għodda EEA-PaM, mit-78 politiki u miżuri uniċi addizzjonali kkunsidrati għall-adozzjoni, 48 intgħażlu għall-adozzjoni (62 % tal-politiki u l-miżuri kkunsidrati). Il-proporzjon ta’ politiki u miżuri kkunsidrati li sussegwentement intgħażlu għall-adozzjoni varja b’mod sinifikanti bejn l-Istati Membri (bl-ebda mill-politiki u l-miżuri kollha kkunsidrati fil-fatt intgħażlu).</w:t>
      </w:r>
    </w:p>
    <w:p w14:paraId="6F6E2414" w14:textId="3C491B79" w:rsidR="006843A7" w:rsidRPr="006843A7" w:rsidRDefault="005E399B" w:rsidP="00AB2AA7">
      <w:pPr>
        <w:pStyle w:val="ListDash"/>
        <w:spacing w:after="0"/>
        <w:ind w:left="714" w:hanging="357"/>
        <w:rPr>
          <w:noProof/>
        </w:rPr>
      </w:pPr>
      <w:r>
        <w:rPr>
          <w:noProof/>
        </w:rPr>
        <w:t>L-isfida ewlenija li qed jiffaċċjaw l-Istati Membri hija li jnaqqsu l-emissjonijiet tal-inkwinanti mill-akbar sorsi ta’ emissjonijiet: ammonijaka (NH</w:t>
      </w:r>
      <w:r>
        <w:rPr>
          <w:noProof/>
          <w:vertAlign w:val="subscript"/>
        </w:rPr>
        <w:t>3</w:t>
      </w:r>
      <w:r>
        <w:rPr>
          <w:noProof/>
        </w:rPr>
        <w:t>); il-kombustjoni fis-setturi kummerċjali, istituzzjonali u domestiċi u t-trasport bit-triq (PM</w:t>
      </w:r>
      <w:r>
        <w:rPr>
          <w:noProof/>
          <w:vertAlign w:val="subscript"/>
        </w:rPr>
        <w:t>2.5</w:t>
      </w:r>
      <w:r>
        <w:rPr>
          <w:noProof/>
        </w:rPr>
        <w:t>); u l-użu tas-solvent industrijali (NMVOC). L-analiżi tal-politiki u l-miżuri wriet li l-Istati Membri taw prijorità lill-kunsiderazzjoni u l-adozzjoni ta’ politiki u miżuri għal dawk is-setturi li jikkontribwixxu għall-akbar sehem tal-emissjonijiet. Aktar minn żewġ terzi tal-politiki u l-miżuri kkunsidrati għas-settur agrikolu ntgħażlu għall-adozzjoni, u aktar minn nofs il-politiki u l-miżuri kkunsidrati għat-trasport u l-konsum tal-enerġija ntgħażlu għall-adozzjoni. Madankollu, ftit ħafna politiki u miżuri ġew ikkunsidrati u magħżula għall-adozzjoni fis-setturi tal-proċessi industrijali u tal-immaniġġjar tal-iskart.</w:t>
      </w:r>
    </w:p>
    <w:p w14:paraId="2B4654DA" w14:textId="30D27BCA" w:rsidR="000A51A2" w:rsidRDefault="00054F89" w:rsidP="00AB2AA7">
      <w:pPr>
        <w:pStyle w:val="ListDash"/>
        <w:spacing w:after="0"/>
        <w:ind w:left="714" w:hanging="357"/>
        <w:rPr>
          <w:noProof/>
        </w:rPr>
      </w:pPr>
      <w:r>
        <w:rPr>
          <w:noProof/>
        </w:rPr>
        <w:t>Is-sottomissjoni ta’ Stat Membru wieħed (</w:t>
      </w:r>
      <w:r>
        <w:rPr>
          <w:rStyle w:val="FootnoteReference"/>
          <w:noProof/>
        </w:rPr>
        <w:footnoteReference w:id="56"/>
      </w:r>
      <w:r>
        <w:rPr>
          <w:noProof/>
        </w:rPr>
        <w:t xml:space="preserve">) għall-għodda tal-EEA-PaM kienet tikkonsisti f’ “politika u miżura” waħda, li fil-fatt kienet l-NAPCP fl-intier tagħha mingħajr ebda dettall addizzjonali dwar il-politiki u l-miżuri individwali magħżula għall-adozzjoni. Dan huwa meqjus insuffiċjenti. </w:t>
      </w:r>
    </w:p>
    <w:p w14:paraId="1EB6C946" w14:textId="77777777" w:rsidR="00D93CDC" w:rsidRDefault="00D93CDC" w:rsidP="00D93CDC">
      <w:pPr>
        <w:pStyle w:val="ListDash"/>
        <w:numPr>
          <w:ilvl w:val="0"/>
          <w:numId w:val="0"/>
        </w:numPr>
        <w:ind w:left="283" w:hanging="283"/>
        <w:rPr>
          <w:noProof/>
        </w:rPr>
      </w:pPr>
    </w:p>
    <w:p w14:paraId="272DBC59" w14:textId="6D876A92" w:rsidR="00614A55" w:rsidRPr="00DB73F1" w:rsidRDefault="00614A55" w:rsidP="000D13E6">
      <w:pPr>
        <w:pStyle w:val="Heading2"/>
        <w:rPr>
          <w:noProof/>
        </w:rPr>
      </w:pPr>
      <w:r>
        <w:rPr>
          <w:noProof/>
        </w:rPr>
        <w:t xml:space="preserve">Rabtiet bejn l-NAPCPs u pjanijiet oħra </w:t>
      </w:r>
    </w:p>
    <w:p w14:paraId="07E4B9AA" w14:textId="0FB214BC" w:rsidR="00DB73F1" w:rsidRDefault="00DB73F1">
      <w:pPr>
        <w:rPr>
          <w:noProof/>
          <w:szCs w:val="24"/>
        </w:rPr>
      </w:pPr>
      <w:r>
        <w:rPr>
          <w:noProof/>
        </w:rPr>
        <w:t xml:space="preserve">Hemm ħafna rabtiet bejn il-politiki dwar l-arja u l-politiki dwar il-klima/l-enerġija, peress li s-sorsi tal-emissjonijiet tal-gassijiet serra u tal-inkwinanti tal-arja spiss ikunu l-istess. Għalhekk, miżura waħda spiss tista’ tgħin biex jintlaħqu l-għanijiet kemm tal-arja kif ukoll tal-klima (eż. l-iżvilupp ta’ modi tat-trasport nodfa, iżolazzjoni aħjar tal-bini biex jitnaqqas il-konsum tal-enerġija). Madankollu, xi drabi jista’ jkun hemm ukoll kompromessi (eż. l-użu tal-bijoenerġija għat-tisħin domestiku). </w:t>
      </w:r>
    </w:p>
    <w:p w14:paraId="209F6279" w14:textId="31357DC4" w:rsidR="00614A55" w:rsidRDefault="00614A55">
      <w:pPr>
        <w:rPr>
          <w:noProof/>
          <w:szCs w:val="24"/>
        </w:rPr>
      </w:pPr>
      <w:r>
        <w:rPr>
          <w:noProof/>
        </w:rPr>
        <w:t>Il-leġiżlazzjoni dwar l-arja u l-enerġija/il-klima tirreferi għal xulxin u tirrikjedi li jsiru rabtiet bejn l-NAPCPs u l-pjanijiet nazzjonali għall-enerġija u l-klima (NECPs) (</w:t>
      </w:r>
      <w:r>
        <w:rPr>
          <w:rStyle w:val="FootnoteReference"/>
          <w:noProof/>
          <w:szCs w:val="24"/>
          <w:lang w:val="en-US"/>
        </w:rPr>
        <w:footnoteReference w:id="57"/>
      </w:r>
      <w:r>
        <w:rPr>
          <w:noProof/>
        </w:rPr>
        <w:t>) sottomessi skont ir-Regolament (UE) 2018/1999 (</w:t>
      </w:r>
      <w:r w:rsidR="00CE663F">
        <w:rPr>
          <w:rStyle w:val="FootnoteReference"/>
          <w:noProof/>
          <w:szCs w:val="24"/>
          <w:lang w:val="en-US"/>
        </w:rPr>
        <w:footnoteReference w:id="58"/>
      </w:r>
      <w:r>
        <w:rPr>
          <w:noProof/>
        </w:rPr>
        <w:t>). Il-gwida tal-Kummissjoni dwar l-iżvilupp tal-NAPCPs tistieden speċifikament lill-Istati Membri, meta jabbozzaw l-NAPCPs rispettivi tagħhom, biex jikkunsidraw il-politiki u l-miżuri ppjanati wkoll bil-ħsieb tal-obbligi tal-klima u l-enerġija. Min-naħa tagħha, il-gwida tal-Kummissjoni (</w:t>
      </w:r>
      <w:r w:rsidR="002E760B">
        <w:rPr>
          <w:rStyle w:val="FootnoteReference"/>
          <w:noProof/>
          <w:szCs w:val="24"/>
        </w:rPr>
        <w:footnoteReference w:id="59"/>
      </w:r>
      <w:r>
        <w:rPr>
          <w:noProof/>
        </w:rPr>
        <w:t xml:space="preserve">) dwar l-abbozzar tal-aġġornamenti tal-NECP tħeġġeġ lill-Istati Membri jaġġornaw l-NECPs tagħhom mill-qrib mal-aġġornamenti tal-NAPCP tagħhom, filwaqt li jagħtu attenzjoni speċjali lit-tisħiħ tal-valutazzjoni tal-impatt tal-politiki u l-miżuri ppjanati dwar l-emissjonijiet tal-inkwinanti tal-arja. </w:t>
      </w:r>
    </w:p>
    <w:p w14:paraId="496E397F" w14:textId="4EFF0F02" w:rsidR="009F551E" w:rsidRDefault="00BC15E2" w:rsidP="009F551E">
      <w:pPr>
        <w:rPr>
          <w:noProof/>
          <w:szCs w:val="24"/>
        </w:rPr>
      </w:pPr>
      <w:r>
        <w:rPr>
          <w:noProof/>
        </w:rPr>
        <w:t>Minħabba skadenzi legali differenti u dewmien fis-sottomissjoni tal-NAPCPs u tal-NECPs, id-dati tas-sottomissjoni jistgħu ma jkunux allinjati. Għalhekk, l-iżgurar tal-konsistenza bejn it-tnejn jista’ jkun meħtieġ li jsir abbażi tal-abbozzi tal-NECPs. Madankollu, ir-rabtiet bejn l-arja u l-klima/l-enerġija għandhom jiġu riflessi fl-NECPs finali li għandhom jiġu sottomessi mill-Istati Membri sat-30 ta’ Ġunju 2024. Skont il-valutazzjoni tal-Kummissjoni tal-2023 tal-abbozzi tal-NECPs aġġornati (</w:t>
      </w:r>
      <w:r w:rsidR="009F551E">
        <w:rPr>
          <w:rStyle w:val="FootnoteReference"/>
          <w:noProof/>
          <w:szCs w:val="24"/>
        </w:rPr>
        <w:footnoteReference w:id="60"/>
      </w:r>
      <w:r>
        <w:rPr>
          <w:noProof/>
        </w:rPr>
        <w:t>), aktar minn nofs il-pjanijiet sottomessi ma kinux jinkludu l-informazzjoni meħtieġa dwar l-impatt tal-politiki fuq l-emissjonijiet projettati tal-inkwinanti ewlenin tal-arja skont id-Direttiva, jew dwar l-allinjament tal-NAPCP mal-programmi tal-enerġija u tal-klima.</w:t>
      </w:r>
    </w:p>
    <w:p w14:paraId="4DF6CC3A" w14:textId="1F4E1131" w:rsidR="00410997" w:rsidRDefault="00E36B96">
      <w:pPr>
        <w:rPr>
          <w:noProof/>
        </w:rPr>
      </w:pPr>
      <w:r>
        <w:rPr>
          <w:noProof/>
        </w:rPr>
        <w:t>Skont l-aħħar valutazzjoni (</w:t>
      </w:r>
      <w:r w:rsidR="00404B2C">
        <w:rPr>
          <w:rStyle w:val="FootnoteReference"/>
          <w:noProof/>
        </w:rPr>
        <w:footnoteReference w:id="61"/>
      </w:r>
      <w:r>
        <w:rPr>
          <w:noProof/>
        </w:rPr>
        <w:t>), l-NAPCPs b’mod ġenerali jiddeskrivu tajjeb il-prijoritajiet tal-enerġija u tat-tibdil fil-klima fil-qafas ta’ politika. Il-biċċa l-kbira tal-Istati Membri inkludew informazzjoni dwar il-miri ewlenin għat-tnaqqis tal-gassijiet serra, kif ukoll dwar l-objettivi tal-enerġija rinnovabbli u tal-effiċjenza enerġetika tagħhom. Tliet Stati Membri (</w:t>
      </w:r>
      <w:r w:rsidR="00052BD4" w:rsidRPr="1148043E">
        <w:rPr>
          <w:rStyle w:val="FootnoteReference"/>
          <w:noProof/>
        </w:rPr>
        <w:footnoteReference w:id="62"/>
      </w:r>
      <w:r>
        <w:rPr>
          <w:noProof/>
        </w:rPr>
        <w:t xml:space="preserve">) jiddikjaraw b’mod ċar fis-sottomissjoni tagħhom dwar il-politiki u l-miżuri li l-politiki u l-miżuri kollha ġew żviluppati f’konformità mal-NECP tagħhom. </w:t>
      </w:r>
    </w:p>
    <w:p w14:paraId="0F5192EA" w14:textId="65CEC121" w:rsidR="00614A55" w:rsidRDefault="00614A55">
      <w:pPr>
        <w:rPr>
          <w:noProof/>
        </w:rPr>
      </w:pPr>
      <w:r>
        <w:rPr>
          <w:noProof/>
        </w:rPr>
        <w:t>L-analiżi tal-NAPCPs tindika, madankollu, li r-rabtiet bejn il-politiki dwar l-arja nadifa u dwar il-klima u l-enerġija jistgħu jissaħħu, u li ż-żewġ eżerċizzji ta’ ppjanar għandhom jiġu integrati aktar biex tiżdied l-effettività tal-politiki sottostanti. Dan ikun jinvolvi valutazzjoni aktar sistematika tar-rabtiet bejn il-politiki dwar l-arja u l-klima u l-enerġija, inklużi s-sinerġiji u l-kompromessi (</w:t>
      </w:r>
      <w:r w:rsidR="00E46A15" w:rsidRPr="1148043E">
        <w:rPr>
          <w:rStyle w:val="FootnoteReference"/>
          <w:noProof/>
        </w:rPr>
        <w:footnoteReference w:id="63"/>
      </w:r>
      <w:r>
        <w:rPr>
          <w:noProof/>
        </w:rPr>
        <w:t>) bejniethom. Il-Kummissjoni se tesplora modi biex ittejjeb dan l-aspett f’evalwazzjonijiet futuri kemm skont ir-Regolament (UE) 2018/1999 kif ukoll skont id-Direttiva.</w:t>
      </w:r>
    </w:p>
    <w:p w14:paraId="066FD2BF" w14:textId="3564E66B" w:rsidR="1148043E" w:rsidRDefault="006277A8" w:rsidP="1148043E">
      <w:pPr>
        <w:rPr>
          <w:noProof/>
        </w:rPr>
      </w:pPr>
      <w:r>
        <w:rPr>
          <w:noProof/>
        </w:rPr>
        <w:t>Minbarra r-rabtiet mal-miżuri tal-enerġija u tal-klima, l-NAPCPs għandhom ifittxu wkoll sinerġiji ma’ miżuri agrikoli biex fuq kollox jitnaqqsu l-emissjonijiet tal-ammonijaka. L-ammonijaka hija primarjament emessa permezz ta’ attività agrikola, kemm mill-ġestjoni tal-bhejjem kif ukoll mill-kultivazzjoni tal-għelejjel (</w:t>
      </w:r>
      <w:r w:rsidR="00E97C1A">
        <w:rPr>
          <w:rStyle w:val="FootnoteReference"/>
          <w:noProof/>
          <w:szCs w:val="24"/>
        </w:rPr>
        <w:footnoteReference w:id="64"/>
      </w:r>
      <w:r>
        <w:rPr>
          <w:noProof/>
        </w:rPr>
        <w:t>). Il-ħidma attwali tal-Kummissjoni dwar l-indirizzar tan-nutrijenti b’mod integrat hija rilevanti f’dan il-kuntest peress li tistabbilixxi rabtiet aktar ċari bejn il-politiki dwar l-arja, l-ilma, il-ħamrija, il-bijodiversità u l-agrikoltura. Eżempji notevoli jinkludu l-Istrateġija Mill-Għalqa sal-Platt (</w:t>
      </w:r>
      <w:r w:rsidR="0075573C">
        <w:rPr>
          <w:rStyle w:val="FootnoteReference"/>
          <w:noProof/>
        </w:rPr>
        <w:footnoteReference w:id="65"/>
      </w:r>
      <w:r>
        <w:rPr>
          <w:noProof/>
        </w:rPr>
        <w:t xml:space="preserve">) u l-Politika Agrikola Komuni l-ġdida.  </w:t>
      </w:r>
    </w:p>
    <w:p w14:paraId="19A8DC53" w14:textId="6AD86C1F" w:rsidR="00487FAD" w:rsidRPr="00802816" w:rsidRDefault="00487FAD" w:rsidP="797BD164">
      <w:pPr>
        <w:rPr>
          <w:noProof/>
        </w:rPr>
      </w:pPr>
      <w:r>
        <w:rPr>
          <w:noProof/>
        </w:rPr>
        <w:t>Pereżempju, il-Kummissjoni mmonitorjat l-integrazzjoni tal-kunsiderazzjonijiet dwar l-arja nadifa fil-pjanijiet strateġiċi tal-Istati Membri għall-2023 skont il-Politika Agrikola Komuni 2023–2027. F’dan il-kuntest, il-Kummissjoni tiffoka fuq li tinċentiva lill-Istati Membri biex jiżviluppaw u jimplimentaw interventi u indikaturi tar-riżultati li huma direttament rilevanti għat-tnaqqis tal-emissjonijiet tal-ammonijaka, minħabba l-isfidi fl-implimentazzjoni tad-Direttiva NEC, b’mod partikolari n-nuqqas ta’ ħafna Stati Membri li jkomplu jnaqqsu l-emissjonijiet tal-ammonijaka tagħhom.</w:t>
      </w:r>
    </w:p>
    <w:p w14:paraId="44537BEE" w14:textId="78EB5DC1" w:rsidR="00614A55" w:rsidRPr="006705BA" w:rsidRDefault="00614A55" w:rsidP="000D13E6">
      <w:pPr>
        <w:pStyle w:val="Heading1"/>
        <w:rPr>
          <w:i/>
          <w:noProof/>
        </w:rPr>
      </w:pPr>
      <w:r>
        <w:rPr>
          <w:noProof/>
        </w:rPr>
        <w:t>Analiżi tal-impatti tat-tnaqqis tal-emissjonijiet</w:t>
      </w:r>
      <w:r>
        <w:rPr>
          <w:i/>
          <w:noProof/>
        </w:rPr>
        <w:t xml:space="preserve"> </w:t>
      </w:r>
    </w:p>
    <w:p w14:paraId="3DFDE7E0" w14:textId="7B843906" w:rsidR="00614A55" w:rsidRDefault="00614A55" w:rsidP="000D13E6">
      <w:pPr>
        <w:pStyle w:val="Heading2"/>
        <w:rPr>
          <w:noProof/>
        </w:rPr>
      </w:pPr>
      <w:r>
        <w:rPr>
          <w:noProof/>
        </w:rPr>
        <w:t>Impatti fuq il-kwalità tal-arja u s-saħħa tal-bniedem</w:t>
      </w:r>
    </w:p>
    <w:p w14:paraId="4E2FE9AB" w14:textId="77777777" w:rsidR="007E0AEF" w:rsidRDefault="00614A55" w:rsidP="4995AC74">
      <w:pPr>
        <w:rPr>
          <w:noProof/>
        </w:rPr>
      </w:pPr>
      <w:r>
        <w:rPr>
          <w:noProof/>
        </w:rPr>
        <w:t>It-tnaqqis tal-emissjonijiet tal-inkwinanti jwassal għal tnaqqis fil-konċentrazzjonijiet tal-inkwinanti, titjib fil-kwalità tal-arja u inqas morbidità u mortalità marbuta mat-tniġġis tal-arja (</w:t>
      </w:r>
      <w:r w:rsidR="008D148A">
        <w:rPr>
          <w:rStyle w:val="FootnoteReference"/>
          <w:noProof/>
        </w:rPr>
        <w:footnoteReference w:id="66"/>
      </w:r>
      <w:r>
        <w:rPr>
          <w:noProof/>
        </w:rPr>
        <w:t xml:space="preserve">). </w:t>
      </w:r>
    </w:p>
    <w:p w14:paraId="472C3BE5" w14:textId="77777777" w:rsidR="007E0AEF" w:rsidRDefault="002E6FD5" w:rsidP="4995AC74">
      <w:pPr>
        <w:rPr>
          <w:noProof/>
        </w:rPr>
      </w:pPr>
      <w:r>
        <w:rPr>
          <w:noProof/>
        </w:rPr>
        <w:t>L-Illustrazzjoni 2 turi l-bidliet bejn l-2005 u l-2020 fil-konċentrazzjonijiet medji annwali tal-PM</w:t>
      </w:r>
      <w:r>
        <w:rPr>
          <w:noProof/>
          <w:vertAlign w:val="subscript"/>
        </w:rPr>
        <w:t>2.5</w:t>
      </w:r>
      <w:r>
        <w:rPr>
          <w:noProof/>
        </w:rPr>
        <w:t xml:space="preserve">, l-inkwinant tal-arja bl-agħar impatt fuq is-saħħa tal-bniedem. </w:t>
      </w:r>
    </w:p>
    <w:p w14:paraId="1FB9F8FB" w14:textId="77777777" w:rsidR="007E0AEF" w:rsidRDefault="006705BA" w:rsidP="4995AC74">
      <w:pPr>
        <w:rPr>
          <w:noProof/>
        </w:rPr>
      </w:pPr>
      <w:r>
        <w:rPr>
          <w:noProof/>
        </w:rPr>
        <w:t>Dawn il-mapep juru li, għalkemm is-sitwazzjoni tjiebet maż-żmien (</w:t>
      </w:r>
      <w:r w:rsidR="00693196">
        <w:rPr>
          <w:rStyle w:val="FootnoteReference"/>
          <w:noProof/>
        </w:rPr>
        <w:footnoteReference w:id="67"/>
      </w:r>
      <w:r>
        <w:rPr>
          <w:noProof/>
        </w:rPr>
        <w:t>), ħafna reġjuni għad għandhom konċentrazzjonijiet ferm ogħla mil-livell annwali ta’ 5 μg/m³ rakkomandat fil-Linji Gwida tad-WHO tal-2021 (</w:t>
      </w:r>
      <w:r w:rsidR="00CC2D15">
        <w:rPr>
          <w:rStyle w:val="FootnoteReference"/>
          <w:noProof/>
        </w:rPr>
        <w:footnoteReference w:id="68"/>
      </w:r>
      <w:r>
        <w:rPr>
          <w:noProof/>
        </w:rPr>
        <w:t xml:space="preserve">). </w:t>
      </w:r>
    </w:p>
    <w:p w14:paraId="2C30F394" w14:textId="08076BA9" w:rsidR="00226EC6" w:rsidRDefault="00AA26A9" w:rsidP="4995AC74">
      <w:pPr>
        <w:rPr>
          <w:noProof/>
        </w:rPr>
      </w:pPr>
      <w:r>
        <w:rPr>
          <w:noProof/>
        </w:rPr>
        <w:t>Ir-rapport tat-Tielet Perspettiva dwar l-Arja Nadifa (</w:t>
      </w:r>
      <w:r w:rsidR="00E630AF">
        <w:rPr>
          <w:rStyle w:val="FootnoteReference"/>
          <w:noProof/>
        </w:rPr>
        <w:footnoteReference w:id="69"/>
      </w:r>
      <w:r>
        <w:rPr>
          <w:noProof/>
        </w:rPr>
        <w:t xml:space="preserve">) jipprojetta aktar titjib fil-futur, iżda dan xorta mhux se jkun biżżejjed biex jinkiseb il-livell tal-linja gwida tad-WHO kullimkien fis-sitwazzjoni tal-linja bażi. </w:t>
      </w:r>
    </w:p>
    <w:p w14:paraId="7C129443" w14:textId="176CE100" w:rsidR="00571AF6" w:rsidRDefault="002E6FD5" w:rsidP="00571AF6">
      <w:pPr>
        <w:keepNext/>
        <w:spacing w:after="0"/>
        <w:rPr>
          <w:noProof/>
        </w:rPr>
      </w:pPr>
      <w:r>
        <w:rPr>
          <w:noProof/>
          <w:lang w:val="en-GB" w:eastAsia="en-GB"/>
        </w:rPr>
        <w:drawing>
          <wp:inline distT="0" distB="0" distL="0" distR="0" wp14:anchorId="753BC39B" wp14:editId="0437CAE1">
            <wp:extent cx="5474970" cy="2346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970" cy="2346960"/>
                    </a:xfrm>
                    <a:prstGeom prst="rect">
                      <a:avLst/>
                    </a:prstGeom>
                    <a:noFill/>
                  </pic:spPr>
                </pic:pic>
              </a:graphicData>
            </a:graphic>
          </wp:inline>
        </w:drawing>
      </w:r>
    </w:p>
    <w:p w14:paraId="3F741966" w14:textId="100C5F49" w:rsidR="00571AF6" w:rsidRDefault="00571AF6" w:rsidP="00571AF6">
      <w:pPr>
        <w:pStyle w:val="Caption"/>
        <w:rPr>
          <w:b/>
          <w:bCs/>
          <w:i w:val="0"/>
          <w:iCs/>
          <w:noProof/>
        </w:rPr>
      </w:pPr>
      <w:r>
        <w:rPr>
          <w:b/>
          <w:i w:val="0"/>
          <w:noProof/>
        </w:rPr>
        <w:t>Illustrazzjoni 2: Konċentrazzjonijiet medji annwali ta’ PM</w:t>
      </w:r>
      <w:r>
        <w:rPr>
          <w:b/>
          <w:i w:val="0"/>
          <w:noProof/>
          <w:vertAlign w:val="subscript"/>
        </w:rPr>
        <w:t>2.5</w:t>
      </w:r>
      <w:r>
        <w:rPr>
          <w:b/>
          <w:i w:val="0"/>
          <w:noProof/>
        </w:rPr>
        <w:t xml:space="preserve"> fl-2005 u fl-2020 (sors: adattat mill-istudju ta’ appoġġ tat-Tielet Perspettiva dwar l-Arja Nadifa (</w:t>
      </w:r>
      <w:r>
        <w:rPr>
          <w:rStyle w:val="FootnoteReference"/>
          <w:b/>
          <w:bCs/>
          <w:i w:val="0"/>
          <w:iCs/>
          <w:noProof/>
        </w:rPr>
        <w:footnoteReference w:id="70"/>
      </w:r>
      <w:r>
        <w:rPr>
          <w:b/>
          <w:i w:val="0"/>
          <w:noProof/>
        </w:rPr>
        <w:t xml:space="preserve">)) </w:t>
      </w:r>
    </w:p>
    <w:p w14:paraId="32042615" w14:textId="77777777" w:rsidR="007E0AEF" w:rsidRDefault="002E6FD5" w:rsidP="00277616">
      <w:pPr>
        <w:rPr>
          <w:noProof/>
        </w:rPr>
      </w:pPr>
      <w:r>
        <w:rPr>
          <w:noProof/>
        </w:rPr>
        <w:t xml:space="preserve">Dawn il-bidliet fil-konċentrazzjonijiet issarrfu f’bidliet fl-għadd ta’ persuni esposti għal livelli dannużi ta’ konċentrazzjonijiet ta’ inkwinanti. </w:t>
      </w:r>
    </w:p>
    <w:p w14:paraId="4F462972" w14:textId="3C916CB5" w:rsidR="00277616" w:rsidRPr="002E6FD5" w:rsidRDefault="002E6FD5" w:rsidP="00277616">
      <w:pPr>
        <w:rPr>
          <w:noProof/>
        </w:rPr>
      </w:pPr>
      <w:r>
        <w:rPr>
          <w:noProof/>
        </w:rPr>
        <w:t>L-Illustrazzjoni 2 turi tnaqqis sinifikanti fl-għadd ta’ persuni esposti għal livelli ta’ PM</w:t>
      </w:r>
      <w:r>
        <w:rPr>
          <w:noProof/>
          <w:vertAlign w:val="subscript"/>
        </w:rPr>
        <w:t>2.5</w:t>
      </w:r>
      <w:r>
        <w:rPr>
          <w:noProof/>
        </w:rPr>
        <w:t xml:space="preserve"> ogħla minn 20 μg/m³ (minn 140 għal 14-il miljun). Dan juri wkoll li minoranza biss ta’ persuni fl-UE (31 miljun fl-2020) igawdu l-kwalità tal-arja f’konformità mar-rakkomandazzjonijiet tal-aħħar linji gwida tad-WHO.  </w:t>
      </w:r>
    </w:p>
    <w:p w14:paraId="3437B31A" w14:textId="1D17312B" w:rsidR="00571AF6" w:rsidRDefault="00277616" w:rsidP="00277616">
      <w:pPr>
        <w:rPr>
          <w:b/>
          <w:bCs/>
          <w:noProof/>
          <w:sz w:val="22"/>
          <w:szCs w:val="22"/>
        </w:rPr>
      </w:pPr>
      <w:r>
        <w:rPr>
          <w:noProof/>
          <w:lang w:val="en-GB" w:eastAsia="en-GB"/>
        </w:rPr>
        <mc:AlternateContent>
          <mc:Choice Requires="wpg">
            <w:drawing>
              <wp:inline distT="0" distB="0" distL="0" distR="0" wp14:anchorId="514E01CA" wp14:editId="38A77253">
                <wp:extent cx="5286375" cy="1209675"/>
                <wp:effectExtent l="0" t="0" r="9525" b="9525"/>
                <wp:docPr id="4" name="Group 4">
                  <a:extLst xmlns:a="http://schemas.openxmlformats.org/drawingml/2006/main">
                    <a:ext uri="{FF2B5EF4-FFF2-40B4-BE49-F238E27FC236}">
                      <a16:creationId xmlns:a16="http://schemas.microsoft.com/office/drawing/2014/main" id="{A9216425-8FE0-9635-A550-8F9501E6B5B8}"/>
                    </a:ext>
                  </a:extLst>
                </wp:docPr>
                <wp:cNvGraphicFramePr/>
                <a:graphic xmlns:a="http://schemas.openxmlformats.org/drawingml/2006/main">
                  <a:graphicData uri="http://schemas.microsoft.com/office/word/2010/wordprocessingGroup">
                    <wpg:wgp>
                      <wpg:cNvGrpSpPr/>
                      <wpg:grpSpPr>
                        <a:xfrm>
                          <a:off x="0" y="0"/>
                          <a:ext cx="5286375" cy="1209675"/>
                          <a:chOff x="0" y="0"/>
                          <a:chExt cx="5286375" cy="1209675"/>
                        </a:xfrm>
                      </wpg:grpSpPr>
                      <pic:pic xmlns:pic="http://schemas.openxmlformats.org/drawingml/2006/picture">
                        <pic:nvPicPr>
                          <pic:cNvPr id="1" name="Picture 1">
                            <a:extLst>
                              <a:ext uri="{FF2B5EF4-FFF2-40B4-BE49-F238E27FC236}">
                                <a16:creationId xmlns:a16="http://schemas.microsoft.com/office/drawing/2014/main" id="{2D893115-D788-F101-50D4-38024EADE9E6}"/>
                              </a:ext>
                            </a:extLst>
                          </pic:cNvPr>
                          <pic:cNvPicPr>
                            <a:picLocks noChangeAspect="1"/>
                          </pic:cNvPicPr>
                        </pic:nvPicPr>
                        <pic:blipFill rotWithShape="1">
                          <a:blip r:embed="rId24"/>
                          <a:srcRect l="3391"/>
                          <a:stretch/>
                        </pic:blipFill>
                        <pic:spPr bwMode="auto">
                          <a:xfrm>
                            <a:off x="0" y="0"/>
                            <a:ext cx="5286375" cy="1209675"/>
                          </a:xfrm>
                          <a:prstGeom prst="rect">
                            <a:avLst/>
                          </a:prstGeom>
                          <a:ln>
                            <a:noFill/>
                          </a:ln>
                          <a:extLst>
                            <a:ext uri="{53640926-AAD7-44D8-BBD7-CCE9431645EC}">
                              <a14:shadowObscured xmlns:a14="http://schemas.microsoft.com/office/drawing/2010/main"/>
                            </a:ext>
                          </a:extLst>
                        </pic:spPr>
                      </pic:pic>
                      <wps:wsp>
                        <wps:cNvPr id="2" name="Rectangle 2">
                          <a:extLst>
                            <a:ext uri="{FF2B5EF4-FFF2-40B4-BE49-F238E27FC236}">
                              <a16:creationId xmlns:a16="http://schemas.microsoft.com/office/drawing/2014/main" id="{72D68D1D-4361-A297-843C-D19E73A160F8}"/>
                            </a:ext>
                          </a:extLst>
                        </wps:cNvPr>
                        <wps:cNvSpPr/>
                        <wps:spPr>
                          <a:xfrm>
                            <a:off x="1853411" y="756863"/>
                            <a:ext cx="1612587" cy="162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2C0687">
              <v:group id="Group 4" style="width:416.25pt;height:95.25pt;mso-position-horizontal-relative:char;mso-position-vertical-relative:line" coordsize="52863,12096"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" w14:anchorId="4ADBBD47">
                <v:shape id="Picture 1" style="position:absolute;width:52863;height:120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">
                  <v:imagedata cropleft="2222f" o:title="" r:id="rId29"/>
                </v:shape>
                <v:rect id="Rectangle 2" style="position:absolute;left:18534;top:7568;width:16125;height:1622;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w10:anchorlock/>
              </v:group>
            </w:pict>
          </mc:Fallback>
        </mc:AlternateContent>
      </w:r>
      <w:r>
        <w:rPr>
          <w:b/>
          <w:noProof/>
          <w:sz w:val="22"/>
        </w:rPr>
        <w:t>Illustrazzjoni 3: Il-popolazzjoni tal-EU-27 (f’miljuni ta’ persuni) esposta għal konċentrazzjonijiet differenti ta’ PM</w:t>
      </w:r>
      <w:r>
        <w:rPr>
          <w:b/>
          <w:noProof/>
          <w:sz w:val="22"/>
          <w:vertAlign w:val="subscript"/>
        </w:rPr>
        <w:t>2.5</w:t>
      </w:r>
      <w:r>
        <w:rPr>
          <w:b/>
          <w:noProof/>
          <w:sz w:val="22"/>
        </w:rPr>
        <w:t xml:space="preserve"> (sors: adattat mit-Tielet Perspettiva dwar l-Arja Nadifa)</w:t>
      </w:r>
    </w:p>
    <w:p w14:paraId="002C39DB" w14:textId="77777777" w:rsidR="007E0AEF" w:rsidRDefault="0046080D" w:rsidP="00EB4E20">
      <w:pPr>
        <w:rPr>
          <w:noProof/>
        </w:rPr>
      </w:pPr>
      <w:r>
        <w:rPr>
          <w:noProof/>
        </w:rPr>
        <w:t xml:space="preserve">Għalkemm ix-xejriet maż-żmien juru titjib fis-sitwazzjoni, fl-2021, 97 % tal-popolazzjoni urbana tal-UE kienet għadha esposta għal konċentrazzjonijiet ta’ materja partikolata fina ogħla mill-aħħar linji gwida tad-WHO.  </w:t>
      </w:r>
    </w:p>
    <w:p w14:paraId="7A165DFB" w14:textId="6435D4A9" w:rsidR="00EB4E20" w:rsidRDefault="00131014" w:rsidP="00EB4E20">
      <w:pPr>
        <w:rPr>
          <w:noProof/>
        </w:rPr>
      </w:pPr>
      <w:r>
        <w:rPr>
          <w:noProof/>
        </w:rPr>
        <w:t>L-ogħla konċentrazzjonijiet ta’ materja partikolata dehru fl-Ewropa Ċentrali tal-Lvant u fit-Tramuntana tal-Italja (kif muri wkoll fl-Illustrazzjoni 2), primarjament minħabba l-ħruq ta’ fjuwils solidi għat-tisħin domestiku u fl-industrija (</w:t>
      </w:r>
      <w:r w:rsidR="00E0586A">
        <w:rPr>
          <w:rStyle w:val="FootnoteReference"/>
          <w:noProof/>
        </w:rPr>
        <w:footnoteReference w:id="71"/>
      </w:r>
      <w:r>
        <w:rPr>
          <w:noProof/>
        </w:rPr>
        <w:t>).</w:t>
      </w:r>
    </w:p>
    <w:p w14:paraId="22C4857F" w14:textId="6138B808" w:rsidR="00404DCE" w:rsidRPr="00C5181D" w:rsidRDefault="00404DCE" w:rsidP="00EB4E20">
      <w:pPr>
        <w:rPr>
          <w:noProof/>
        </w:rPr>
      </w:pPr>
      <w:r>
        <w:rPr>
          <w:noProof/>
        </w:rPr>
        <w:t xml:space="preserve">Ir-reġjuni ifqar fl-Ewropa (20 % l-inqas PDG </w:t>
      </w:r>
      <w:r>
        <w:rPr>
          <w:i/>
          <w:noProof/>
        </w:rPr>
        <w:t>per capita</w:t>
      </w:r>
      <w:r>
        <w:rPr>
          <w:noProof/>
        </w:rPr>
        <w:t>) spiss jintlaqtu b’mod partikolari mit-tniġġis tal-arja, bil-livelli tal-PM</w:t>
      </w:r>
      <w:r>
        <w:rPr>
          <w:noProof/>
          <w:vertAlign w:val="subscript"/>
        </w:rPr>
        <w:t>2.5</w:t>
      </w:r>
      <w:r>
        <w:rPr>
          <w:noProof/>
        </w:rPr>
        <w:t xml:space="preserve"> ikunu ogħla b’madwar terz milli f’reġjuni aktar sinjuri (</w:t>
      </w:r>
      <w:r w:rsidR="007956E2">
        <w:rPr>
          <w:rStyle w:val="FootnoteReference"/>
          <w:noProof/>
        </w:rPr>
        <w:footnoteReference w:id="72"/>
      </w:r>
      <w:r>
        <w:rPr>
          <w:noProof/>
        </w:rPr>
        <w:t>) (</w:t>
      </w:r>
      <w:r w:rsidR="0058233B">
        <w:rPr>
          <w:rStyle w:val="FootnoteReference"/>
          <w:noProof/>
        </w:rPr>
        <w:footnoteReference w:id="73"/>
      </w:r>
      <w:r>
        <w:rPr>
          <w:noProof/>
        </w:rPr>
        <w:t xml:space="preserve">). Gruppi vulnerabbli bħall-anzjani, il-persuni b’kundizzjonijiet tas-saħħa preeżistenti, it-tfal, u n-nisa tqal huma aktar probabbli li jiġu affettwati mir-riskji għas-saħħa minħabba t-tniġġis tal-arja filwaqt li l-fatturi soċjoekonomiċi jistgħu jikkontribwixxu għall-grad ta’ esponiment.   </w:t>
      </w:r>
    </w:p>
    <w:p w14:paraId="47F5A0CD" w14:textId="55C6D3D0" w:rsidR="00950841" w:rsidRPr="001179AD" w:rsidRDefault="00727377" w:rsidP="00C5181D">
      <w:pPr>
        <w:rPr>
          <w:noProof/>
        </w:rPr>
      </w:pPr>
      <w:r>
        <w:rPr>
          <w:noProof/>
        </w:rPr>
        <w:t>It-tnaqqis kumplessiv fl-impatti negattivi tat-tniġġis tal-arja fuq is-saħħa maż-żmien (tnaqqis kważi bin-nofs tal-imwiet prematuri attribwibbli għall-esponiment għall-konċentrazzjoni totali tal-PM</w:t>
      </w:r>
      <w:r>
        <w:rPr>
          <w:noProof/>
          <w:vertAlign w:val="subscript"/>
        </w:rPr>
        <w:t>2.5</w:t>
      </w:r>
      <w:r>
        <w:rPr>
          <w:noProof/>
        </w:rPr>
        <w:t xml:space="preserve"> bejn l-2005 u l-2020) ipoġġi lill-UE fit-triq it-tajba biex tilħaq il-mira tagħha ta’ “tniġġis żero” li tnaqqas b’aktar minn 55 % l-impatti tat-tniġġis tal-arja fuq is-saħħa sal-2030 meta mqabbel mal-2005 (</w:t>
      </w:r>
      <w:r w:rsidR="00E3083F">
        <w:rPr>
          <w:rStyle w:val="FootnoteReference"/>
          <w:noProof/>
        </w:rPr>
        <w:footnoteReference w:id="74"/>
      </w:r>
      <w:r>
        <w:rPr>
          <w:noProof/>
        </w:rPr>
        <w:t>). Biex tkompli din ix-xejra, il-Kummissjoni għandha l-għan li tiżgura l-implimentazzjoni xierqa tad-Direttivi dwar il-Kwalità tal-Arja fl-Ambjent. Fi Frar 2024, kien għad hemm 25 każ attiv ta’ ksur minn 16-il Stat Membru dwar l-applikazzjoni ħażina tad-Direttivi dwar il-Kwalità tal-Arja fl-Ambjent(</w:t>
      </w:r>
      <w:r w:rsidR="00950841" w:rsidRPr="00126FC6">
        <w:rPr>
          <w:rStyle w:val="FootnoteAnchor"/>
          <w:noProof/>
        </w:rPr>
        <w:footnoteReference w:id="75"/>
      </w:r>
      <w:r>
        <w:rPr>
          <w:noProof/>
        </w:rPr>
        <w:t>). Il-Qorti tal-Ġustizzja qatgħet is-sentenza għal 15-il kawża (</w:t>
      </w:r>
      <w:r w:rsidR="002A635D">
        <w:rPr>
          <w:rStyle w:val="FootnoteReference"/>
          <w:noProof/>
        </w:rPr>
        <w:footnoteReference w:id="76"/>
      </w:r>
      <w:r>
        <w:rPr>
          <w:noProof/>
        </w:rPr>
        <w:t xml:space="preserve">). </w:t>
      </w:r>
    </w:p>
    <w:p w14:paraId="1D0E6B05" w14:textId="11847485" w:rsidR="00FD1EA7" w:rsidRPr="00126FC6" w:rsidRDefault="00FD1EA7" w:rsidP="00526CD9">
      <w:pPr>
        <w:pStyle w:val="ListBullet"/>
        <w:numPr>
          <w:ilvl w:val="0"/>
          <w:numId w:val="0"/>
        </w:numPr>
        <w:tabs>
          <w:tab w:val="left" w:pos="284"/>
        </w:tabs>
        <w:spacing w:after="0"/>
        <w:rPr>
          <w:b/>
          <w:noProof/>
        </w:rPr>
      </w:pPr>
    </w:p>
    <w:p w14:paraId="45F650F1" w14:textId="77777777" w:rsidR="00614A55" w:rsidRDefault="00614A55" w:rsidP="000D13E6">
      <w:pPr>
        <w:pStyle w:val="Heading2"/>
        <w:rPr>
          <w:noProof/>
        </w:rPr>
      </w:pPr>
      <w:r>
        <w:rPr>
          <w:noProof/>
        </w:rPr>
        <w:t>Impatti fuq l-ekosistemi</w:t>
      </w:r>
    </w:p>
    <w:p w14:paraId="2812E00F" w14:textId="0E13A65F" w:rsidR="00AB6877" w:rsidRDefault="6C8C44FA" w:rsidP="10D35545">
      <w:pPr>
        <w:rPr>
          <w:noProof/>
        </w:rPr>
      </w:pPr>
      <w:r>
        <w:rPr>
          <w:noProof/>
        </w:rPr>
        <w:t xml:space="preserve">It-tniġġis tal-arja mhux biss jagħmel ħsara lis-saħħa tal-bniedem, iżda jwassal ukoll għall-aċidifikazzjoni, l-ewtrofikazzjoni u l-formazzjoni tal-ożonu troposferiku, li kollha huma ta’ detriment għall-ekosistemi (tal-ilma ħelu u dawk terrestri, seminaturali u agrikoli) u għall-bijodiversità. </w:t>
      </w:r>
    </w:p>
    <w:p w14:paraId="091FDD4A" w14:textId="570132BE" w:rsidR="008521FC" w:rsidRDefault="00AB6877" w:rsidP="10D35545">
      <w:pPr>
        <w:rPr>
          <w:noProof/>
        </w:rPr>
      </w:pPr>
      <w:r>
        <w:rPr>
          <w:noProof/>
        </w:rPr>
        <w:t xml:space="preserve">It-Tielet Perspettiva dwar l-Arja Nadifa wriet li ż-żona tal-ekosistema tal-UE meta jinqabżu t-tagħbijiet kritiċi għall-aċidifikazzjoni naqset minn 9,0 % għal 5.5 % taż-żona totali tal-ekosistema bejn l-2015 u l-2020. Meta mqabbla maż-żona affettwata mill-aċidifikazzjoni, iż-żona tal-ekosistemi fejn id-depożizzjoni tan-nitroġenu taqbeż it-tagħbijiet kritiċi għall-ewtrofikazzjoni hija ħafna akbar. Kien hemm ukoll titjib inqas relattiv, peress li s-sehem taż-żona tal-ekosistema bid-depożizzjoni tan-nitroġenu li jaqbeż it-tagħbijiet kritiċi naqas minn 80,2 % għal 74,9 % bejn l-2015 u l-2020. </w:t>
      </w:r>
    </w:p>
    <w:p w14:paraId="5B90AEAB" w14:textId="77777777" w:rsidR="007E0AEF" w:rsidRDefault="008521FC" w:rsidP="10D35545">
      <w:pPr>
        <w:rPr>
          <w:noProof/>
        </w:rPr>
      </w:pPr>
      <w:r>
        <w:rPr>
          <w:noProof/>
        </w:rPr>
        <w:t>Fil-livell tal-Istati Membri, l-ogħla qabżiet ta’ tagħbijiet kritiċi tan-nitroġenu fl-2021 instabu fil-Wied tal-Po fl-Italja, fiż-żoni tal-fruntiera bejn in-Netherlands u l-Ġermanja, tul il-fruntiera bejn id-Danimarka u l-Ġermanja u fil-Grigal ta’ Spanja, b’xi hotspots addizzjonali fin-Netherlands u ż-żoni tal-fruntiera tiegħu mal-Belġju (</w:t>
      </w:r>
      <w:r w:rsidR="00FC19A7">
        <w:rPr>
          <w:rStyle w:val="FootnoteReference"/>
          <w:noProof/>
        </w:rPr>
        <w:footnoteReference w:id="77"/>
      </w:r>
      <w:r>
        <w:rPr>
          <w:noProof/>
        </w:rPr>
        <w:t xml:space="preserve">). </w:t>
      </w:r>
    </w:p>
    <w:p w14:paraId="220DC876" w14:textId="7D597DA2" w:rsidR="00515D4E" w:rsidRDefault="009D76BA" w:rsidP="10D35545">
      <w:pPr>
        <w:rPr>
          <w:noProof/>
        </w:rPr>
      </w:pPr>
      <w:r>
        <w:rPr>
          <w:noProof/>
        </w:rPr>
        <w:t>Dan ifisser li l-Istati Membri se jkollhom jintroduċu aktar miżuri (</w:t>
      </w:r>
      <w:r w:rsidR="008D3E87">
        <w:rPr>
          <w:rStyle w:val="FootnoteReference"/>
          <w:noProof/>
        </w:rPr>
        <w:footnoteReference w:id="78"/>
      </w:r>
      <w:r>
        <w:rPr>
          <w:noProof/>
        </w:rPr>
        <w:t xml:space="preserve">) biex inaqqsu l-impatti tal-ewtrofikazzjoni tat-tniġġis tal-arja biex, sal-2030, jiksbu l-mira ta’ tniġġis żero tal-UE li jitnaqqsu b’25 % l-ekosistemi tal-UE fejn it-tniġġis tal-arja jhedded il-bijodiversità.   </w:t>
      </w:r>
    </w:p>
    <w:p w14:paraId="158C18ED" w14:textId="08DA2C47" w:rsidR="00614A55" w:rsidRDefault="6C8C44FA" w:rsidP="0027461F">
      <w:pPr>
        <w:rPr>
          <w:noProof/>
        </w:rPr>
      </w:pPr>
      <w:r>
        <w:rPr>
          <w:noProof/>
        </w:rPr>
        <w:t>L-Artikoli 9 u 10(4) tad-Direttiva jirrikjedu li l-Istati Membri jirrapportaw dawn l-impatti tal-ekosistema kull 4 snin mill-1 ta’ Lulju 2019, abbażi ta’ network rappreżentattiv ta’ siti li kellu jiġi rrapportat sal-1 ta’ Lulju 2018. Il-Kummissjoni Ewropea ppubblikat Avviż tal-Kummissjoni (</w:t>
      </w:r>
      <w:r w:rsidR="005B3AE0" w:rsidRPr="10D35545">
        <w:rPr>
          <w:rStyle w:val="FootnoteReference"/>
          <w:noProof/>
        </w:rPr>
        <w:footnoteReference w:id="79"/>
      </w:r>
      <w:r>
        <w:rPr>
          <w:noProof/>
        </w:rPr>
        <w:t>) u mudell ta’ rapportar fakultattiv, flimkien mal-gwida li takkumpanjah (</w:t>
      </w:r>
      <w:r w:rsidR="005B3AE0" w:rsidRPr="10D35545">
        <w:rPr>
          <w:rStyle w:val="FootnoteReference"/>
          <w:noProof/>
        </w:rPr>
        <w:footnoteReference w:id="80"/>
      </w:r>
      <w:r>
        <w:rPr>
          <w:noProof/>
        </w:rPr>
        <w:t xml:space="preserve">), sabiex tiffaċilita r-rapportar mill-Istati Membri tal-impatti tal-ekosistema u l-analiżi sussegwenti. Fiż-żewġ ċikli ta’ rapportar (2018–2019 u 2022–2023), l-Istati Membri kollha kkonformaw mal-obbligi ta’ rapportar tagħhom. </w:t>
      </w:r>
    </w:p>
    <w:p w14:paraId="5E089270" w14:textId="77F424AA" w:rsidR="003C2B12" w:rsidRDefault="382A2312" w:rsidP="006254D5">
      <w:pPr>
        <w:spacing w:line="259" w:lineRule="auto"/>
        <w:rPr>
          <w:noProof/>
        </w:rPr>
      </w:pPr>
      <w:r>
        <w:rPr>
          <w:noProof/>
        </w:rPr>
        <w:t>Il-valutazzjoni tal-Kummissjoni tal-ewwel ċiklu ta’ rapportar tal-Istati Membri wriet li n-network tas-siti u d-</w:t>
      </w:r>
      <w:r>
        <w:rPr>
          <w:i/>
          <w:noProof/>
        </w:rPr>
        <w:t>data</w:t>
      </w:r>
      <w:r>
        <w:rPr>
          <w:noProof/>
        </w:rPr>
        <w:t xml:space="preserve"> rrapportata ma kinux rappreżentattivi u adegwati biżżejjed biex jimmonitorjaw l-effetti tat-tniġġis tal-arja fuq l-ekosistemi. Filwaqt li tibni fuq it-tagħlimiet meħuda minn dan l-ewwel ċiklu ta’ rapportar, il-Kummissjoni ħejjiet nota ta’ gwida dwar l-għażla tas-sit (</w:t>
      </w:r>
      <w:r w:rsidR="002D037E" w:rsidRPr="0A192A9A">
        <w:rPr>
          <w:rStyle w:val="FootnoteReference"/>
          <w:noProof/>
        </w:rPr>
        <w:footnoteReference w:id="81"/>
      </w:r>
      <w:r>
        <w:rPr>
          <w:noProof/>
        </w:rPr>
        <w:t>), appoġġata mill-esperti tal-EEA u tal-Istati Membri. Hija maħsuba biex tgħin lil kull Stat Membru jistabbilixxi network ta’ monitoraġġ rappreżentattiv. Il-mudell ta’ rapportar fakultattiv(</w:t>
      </w:r>
      <w:r w:rsidR="008E17C7">
        <w:rPr>
          <w:rStyle w:val="FootnoteReference"/>
          <w:noProof/>
        </w:rPr>
        <w:footnoteReference w:id="82"/>
      </w:r>
      <w:r>
        <w:rPr>
          <w:noProof/>
        </w:rPr>
        <w:t>) ġie adattat wara l-feedback mill-Istati Membri u mill-EEA. L-analiżi tat-tieni ċiklu ta’ rapportar turi żieda fl-għadd totali ta’ siti u parametri rrapportati meta mqabbla mal-ewwel sottomissjoni (+14 %). Għalkemm id-distribuzzjoni tas-siti hija aktar allinjata mad-distribuzzjoni tat-tipi ta’ ekosistemi fl-UE, it-tipi ta’ ekosistemi “xmajjar u lagi” u “msaġar u foresti” għadhom irrappreżentati żżejjed, filwaqt li l-art tal-għelejjel, l-art mistagħdra u s-siti ta’ xagħri/arbuxelli għadhom sottorappreżentati. Id-differenzi konsiderevoli bejn is-settijiet tad-</w:t>
      </w:r>
      <w:r>
        <w:rPr>
          <w:i/>
          <w:noProof/>
        </w:rPr>
        <w:t>data</w:t>
      </w:r>
      <w:r>
        <w:rPr>
          <w:noProof/>
        </w:rPr>
        <w:t xml:space="preserve"> rrapportati mill-Istati Membri matul dawn iż-żewġ ċikli (kemm fl-ispazju kif ukoll fil-ħin, u f’termini ta’ tipi ta’ siti ta’ monitoraġġ, protokolli ta’ kejl u parametri mmonitorjati) jagħmluha diffiċli li ssir valutazzjoni fl-UE kollha. Dan jipprevjeni wkoll li jiġi stabbilit punt ta’ referenza għall-valutazzjoni futura tal-effettività fit-tul tad-Direttiva. </w:t>
      </w:r>
    </w:p>
    <w:p w14:paraId="7101DA19" w14:textId="4247407A" w:rsidR="000F42E8" w:rsidRDefault="00746906" w:rsidP="10D35545">
      <w:pPr>
        <w:rPr>
          <w:noProof/>
        </w:rPr>
      </w:pPr>
      <w:r>
        <w:rPr>
          <w:noProof/>
        </w:rPr>
        <w:t>Mhuwiex neċessarju li l-Istati Membri jridujistabbilixxu stazzjonijiet ta’ monitoraġġ ġodda biex jissodisfaw l-obbligi ta’ monitoraġġ tagħhom dwar l-impatti tat-tniġġis tal-arja fuq l-ekosistemi. Id-Direttiva tirrikjedi b’mod espliċitu li l-Istati Membri jieħdu approċċ kosteffettiv, billi jikkoordinaw ma’ programmi oħra ta’ monitoraġġ. Dan l-approċċ jidher li jintuża b’mod wiesa’ mill-Istati Membri, peress li l-biċċa l-kbira tad-</w:t>
      </w:r>
      <w:r>
        <w:rPr>
          <w:i/>
          <w:noProof/>
        </w:rPr>
        <w:t>data</w:t>
      </w:r>
      <w:r>
        <w:rPr>
          <w:noProof/>
        </w:rPr>
        <w:t xml:space="preserve"> pprovduta ssegwi protokolli internazzjonali, bħal dik mill-Programmi Kooperattivi Internazzjonali (International Cooperative Programmes, ICP) jew minn direttivi oħra tal-UE. Dan jillimita l-kostijiet amministrattivi tar-rekwiżiti tad-Direttiva għall-monitoraġġ tal-impatti tal-ekosistema.</w:t>
      </w:r>
    </w:p>
    <w:p w14:paraId="3CDD64C4" w14:textId="202AA1B8" w:rsidR="00614A55" w:rsidRDefault="00746906" w:rsidP="10D35545">
      <w:pPr>
        <w:rPr>
          <w:noProof/>
        </w:rPr>
      </w:pPr>
      <w:r>
        <w:rPr>
          <w:noProof/>
        </w:rPr>
        <w:t xml:space="preserve">Għalkemm il-mudell tal-NAPCP jispeċifika li l-Istati Membri jenħtieġ li jirrapportaw (bħala kontenut fakultattiv) l-impatti fuq l-ambjent tax-xenarju ta’ projezzjoni “b’miżuri addizzjonali”, l-ebda wieħed mill-NAPCPs jew il-politiki u l-miżuri addizzjonali sottomessi sal-lum ma rrapporta dawn l-impatti. </w:t>
      </w:r>
    </w:p>
    <w:p w14:paraId="154F1E82" w14:textId="4F1DD12E" w:rsidR="00614A55" w:rsidRPr="00E70032" w:rsidRDefault="00614A55" w:rsidP="000D13E6">
      <w:pPr>
        <w:pStyle w:val="Heading2"/>
        <w:rPr>
          <w:noProof/>
        </w:rPr>
      </w:pPr>
      <w:r>
        <w:rPr>
          <w:noProof/>
        </w:rPr>
        <w:t xml:space="preserve">Kostijiet u benefiċċji ta’ tnaqqis fl-emissjonijiet tal-inkwinanti tal-arja </w:t>
      </w:r>
    </w:p>
    <w:p w14:paraId="17522736" w14:textId="2E058B7F" w:rsidR="00614A55" w:rsidRDefault="00614A55">
      <w:pPr>
        <w:rPr>
          <w:noProof/>
          <w:szCs w:val="24"/>
        </w:rPr>
      </w:pPr>
      <w:r>
        <w:rPr>
          <w:noProof/>
        </w:rPr>
        <w:t>L-informazzjoni dwar il-kostijiet u l-benefiċċji tal-politiki u l-miżuri magħżula mill-Istati Membri xi drabi tingħata fl-NAPCPs, iżda din mhijiex obbligatorja. Mill-10 NAPCPs analizzati għal dan ir-rapport, tnejn biss (</w:t>
      </w:r>
      <w:r w:rsidRPr="10D35545">
        <w:rPr>
          <w:rStyle w:val="FootnoteReference"/>
          <w:noProof/>
        </w:rPr>
        <w:footnoteReference w:id="83"/>
      </w:r>
      <w:r>
        <w:rPr>
          <w:noProof/>
        </w:rPr>
        <w:t>) irrapportaw tali informazzjoni. Filwaqt li huwa apprezzat li dawn iż-żewġ Stati Membri għamlu sforz biex jipprovdu stimi, kien hemm xi inkonsistenzi u lakuni fl-informazzjoni. Pereżempju, fl-informazzjoni pprovduta mir-Rumanija dwar pakketti maħsuba għal diversi inkwinanti, mhuwiex ċar kif il-kostijiet, il-benefiċċji u l-kost għal kull tunnellata ta’ inkwinant mnaqqsa jitqassmu għal diversi inkwinanti. Barra minn hekk, għalkemm Ċipru pprovda stimi tal-kostijiet għal żewġ politiki u miżuri individwali, il-kost għal kull tunnellata ta’ NH</w:t>
      </w:r>
      <w:r>
        <w:rPr>
          <w:noProof/>
          <w:vertAlign w:val="subscript"/>
        </w:rPr>
        <w:t>3</w:t>
      </w:r>
      <w:r>
        <w:rPr>
          <w:noProof/>
        </w:rPr>
        <w:t xml:space="preserve"> imnaqqas mhuwiex meqjus realistiku. Dan ir-rapportar limitat ħafna dwar il-kostijiet tal-miżuri proposti mill-Istati Membri jista’ jagħti lok għal dubji dwar jekk il-finanzjament sħiħ għall-implimentazzjoni tagħhom huwiex żgurat. Filwaqt li l-istimi tal-kostijiet jiddependu ħafna fuq iċ-ċirkostanzi nazzjonali, ir-rapportar ta’ dawn l-istimi jippermetti analiżi tal-effiċjenza relattiva ta’ diversi miżuri. Dan imbagħad jgħin biex jiġu infurmati l-għażliet ta’ politika futuri fl-Istati Membri kkonċernati jew f’oħrajn (permezz ta’ tagħlim bejn il-pari). </w:t>
      </w:r>
    </w:p>
    <w:p w14:paraId="1ACBDD33" w14:textId="031EA1A3" w:rsidR="00614A55" w:rsidRDefault="00FE1E1B">
      <w:pPr>
        <w:rPr>
          <w:noProof/>
          <w:szCs w:val="24"/>
        </w:rPr>
      </w:pPr>
      <w:r>
        <w:rPr>
          <w:noProof/>
        </w:rPr>
        <w:t xml:space="preserve">Il-Kummissjoni tkompli tħeġġeġ lill-Istati Membri jipprovdu aktar informazzjoni dwar il-kostijiet u l-benefiċċji tal-miżuri tagħhom għat-tnaqqis tal-emissjonijiet tal-inkwinanti tal-arja fir-rapporti li ġejjin, peress li din l-informazzjoni hija kruċjali għall-iżvilupp ta’ miżuri futuri. Sadanittant, dan l-aspett se jiġi analizzat fil-Perspettiva dwar l-Arja Nadifa li jmiss, permezz ta’ metodoloġija ta’ mmudellar. </w:t>
      </w:r>
    </w:p>
    <w:p w14:paraId="47BD66AF" w14:textId="773A799A" w:rsidR="005D2EF8" w:rsidRDefault="00FA6C56" w:rsidP="0085276C">
      <w:pPr>
        <w:rPr>
          <w:noProof/>
          <w:szCs w:val="24"/>
        </w:rPr>
      </w:pPr>
      <w:r>
        <w:rPr>
          <w:noProof/>
        </w:rPr>
        <w:t>Il-Kummissjoni wettqet analiżi tal-kostijiet-benefiċċji għas-snin li ġejjin taħt it-Tielet Perspettiva dwar l-Arja Nadifa. Għal dan l-għan, hija qieset il-benefiċċji ta’ tnaqqis fit-tniġġis (inqas ħsara għas-saħħa u għall-ekosistema, u inqas ħsara lill-materjali) meta mqabbla mal-kostijiet tal-miżuri għat-tnaqqis tat-tniġġis. Bħala parti mill-analiżi tal-kostijiet-benefiċċji, l-impatti tat-tniġġis tal-arja relatati mas-saħħa u mhux relatati mas-saħħa ġew stmati u assenjati valur monetarju (</w:t>
      </w:r>
      <w:r w:rsidR="006046DD">
        <w:rPr>
          <w:rStyle w:val="FootnoteReference"/>
          <w:noProof/>
          <w:szCs w:val="24"/>
        </w:rPr>
        <w:footnoteReference w:id="84"/>
      </w:r>
      <w:r>
        <w:rPr>
          <w:noProof/>
        </w:rPr>
        <w:t xml:space="preserve">). Dan żvela li l-impatti relatati mas-saħħa jaqbżu b’mod ċar l-impatti mhux relatati mas-saħħa. Fix-xenarju </w:t>
      </w:r>
      <w:r>
        <w:rPr>
          <w:i/>
          <w:noProof/>
        </w:rPr>
        <w:t>bażi</w:t>
      </w:r>
      <w:r>
        <w:rPr>
          <w:noProof/>
        </w:rPr>
        <w:t>, pereżempju, il-ħsara totali għas-saħħa minħabba t-tniġġis tal-arja fl-2025 hija stmata b’mod konservattiv għal madwar EUR 173 biljun fis-sena (</w:t>
      </w:r>
      <w:r w:rsidR="00D94A0C">
        <w:rPr>
          <w:rStyle w:val="FootnoteReference"/>
          <w:noProof/>
          <w:szCs w:val="24"/>
        </w:rPr>
        <w:footnoteReference w:id="85"/>
      </w:r>
      <w:r>
        <w:rPr>
          <w:noProof/>
        </w:rPr>
        <w:t>), filwaqt li l-ħsara mhux relatata mas-saħħa (materjali, għelejjel, foresti, ekosistemi) hija stmata għal bejn EUR 33 u 41 biljun fis-sena (kollha fi prezzijiet tal-2015), skont il-metodu ta’ valutazzjoni użat għall-kalkolu tal-ħsara lill-ekosistemi. Min-naħa l-oħra, il-kostijiet tal-miżuri għat-tnaqqis tat-tniġġis tal-arja fl-EU-27 fl-2025 huma stmati għal EUR 77 biljun fis-sena (fi prezzijiet tal-2015) — ferm inqas mill-kostijiet tal-impatti tat-tniġġis tal-arja.  Ir-riżultati tal-immudellar juru li x-xenarji b’politiki aktar ambizzjużi dwar l-arja nadifa sistematikament jipprovdu benefiċċji diretti netti (jiġifieri l-benefiċċji bil-kostijiet imnaqqsa minnhom) meta mqabbla mal-linja bażi. Politiki aktar ambizzjużi dwar l-arja nadifa jaffettwaw ukoll b’mod pożittiv il-PDG tal-UE fl-2030, li jiżdied bejn 0,26 sa 0,28 % meta mqabbel mal-linja bażi.</w:t>
      </w:r>
    </w:p>
    <w:p w14:paraId="665B6DCA" w14:textId="02637736" w:rsidR="00614A55" w:rsidRDefault="00614A55" w:rsidP="000D13E6">
      <w:pPr>
        <w:pStyle w:val="Heading1"/>
        <w:rPr>
          <w:noProof/>
        </w:rPr>
      </w:pPr>
      <w:r>
        <w:rPr>
          <w:noProof/>
        </w:rPr>
        <w:t xml:space="preserve">Aspetti oħra tal-implimentazzjoni tad-Direttiva </w:t>
      </w:r>
    </w:p>
    <w:p w14:paraId="1632B3FA" w14:textId="176B2B73" w:rsidR="00614A55" w:rsidRPr="00ED75DE" w:rsidRDefault="00614A55" w:rsidP="000D13E6">
      <w:pPr>
        <w:pStyle w:val="Heading2"/>
        <w:rPr>
          <w:noProof/>
        </w:rPr>
      </w:pPr>
      <w:r>
        <w:rPr>
          <w:noProof/>
        </w:rPr>
        <w:t>Azzjonijiet tal-UE li jappoġġaw l-implimentazzjoni tad-Direttiva</w:t>
      </w:r>
    </w:p>
    <w:p w14:paraId="6FF2C882" w14:textId="77777777" w:rsidR="009004FC" w:rsidRDefault="00902BEA">
      <w:pPr>
        <w:rPr>
          <w:noProof/>
        </w:rPr>
      </w:pPr>
      <w:r>
        <w:rPr>
          <w:noProof/>
        </w:rPr>
        <w:t>Skont l-Artikolu 12 tad-Direttiva, il-Kummissjoni għandha tistabbilixxi b’mod regolari Forum Ewropew dwar l-Arja Nadifa biex jgħin fl-implimentazzjoni tal-leġiżlazzjoni u l-politiki tal-UE dwar il-kwalità tal-arja b’mod koordinat. Sa mill-ewwel rapport fl-2020, il-Kummissjoni organizzat, f’kooperazzjoni mal-Istati Membri rispettivi, żewġ Fora Ewropej oħra dwar l-Arja Nadifa, f’Madrid fit-18–19 ta’ Novembru 2021 u f’Rotterdam fit-23–24 ta’ Novembru 2023 (</w:t>
      </w:r>
      <w:r w:rsidR="00614A55" w:rsidRPr="10D35545">
        <w:rPr>
          <w:rStyle w:val="FootnoteReference"/>
          <w:noProof/>
          <w:lang w:val="en-US"/>
        </w:rPr>
        <w:footnoteReference w:id="86"/>
      </w:r>
      <w:r>
        <w:rPr>
          <w:noProof/>
        </w:rPr>
        <w:t xml:space="preserve">). Iż-żewġ avvenimenti ntlaqgħu b’interess qawwi mill-partijiet ikkonċernati tal-gvern u tal-industrija, l-NGOs u l-membri tal-pubbliku. </w:t>
      </w:r>
    </w:p>
    <w:p w14:paraId="206527E3" w14:textId="77777777" w:rsidR="009004FC" w:rsidRDefault="00614A55">
      <w:pPr>
        <w:rPr>
          <w:noProof/>
        </w:rPr>
      </w:pPr>
      <w:r>
        <w:rPr>
          <w:noProof/>
        </w:rPr>
        <w:t xml:space="preserve">Il-Forum dwar l-Arja Nadifa tal-2021 sar wara l-pubblikazzjoni tal-aħħar linji gwida tad-WHO dwar il-kwalità tal-arja u waqt it-tħejjija tar-reviżjoni tal-leġiżlazzjoni tal-UE dwar il-kwalità tal-arja.  Dan iffoka fuq it-temi ta’ tniġġis żero u tas-saħħa, l-involviment mal-bliet u ċ-ċittadini, l-aċċess għall-ġustizzja, u r-rabta tal-politiki dwar l-arja nadifa mal-politiki dwar il-klima u l-bijodiversità. </w:t>
      </w:r>
    </w:p>
    <w:p w14:paraId="322F442E" w14:textId="50030F0C" w:rsidR="00614A55" w:rsidRDefault="00614A55">
      <w:pPr>
        <w:rPr>
          <w:noProof/>
        </w:rPr>
      </w:pPr>
      <w:r>
        <w:rPr>
          <w:noProof/>
        </w:rPr>
        <w:t>Il-Forum dwar l-Arja Nadifa tal-2023 ta segwitu għar-reviżjoni li għaddejja tar-regoli tal-UE dwar il-kwalità tal-arja, u ffoka wkoll fuq it-temi tal-inugwaljanza soċjali marbuta mal-kwalità tal-arja, l-ippjanar spazjali u t-trasport multimodali, l-emissjonijiet tal-inkwinanti tal-arja mit-trasport marittimu, stili ta’ ħajja tajbin għas-saħħa, ħiliet u impjiegi għal arja nadifa, u l-kondiviżjoni tal-għarfien.</w:t>
      </w:r>
    </w:p>
    <w:p w14:paraId="5552CD01" w14:textId="77777777" w:rsidR="009004FC" w:rsidRDefault="00614A55" w:rsidP="00DB7B4E">
      <w:pPr>
        <w:rPr>
          <w:noProof/>
        </w:rPr>
      </w:pPr>
      <w:r>
        <w:rPr>
          <w:noProof/>
        </w:rPr>
        <w:t>Il-Kummissjoni, f’kooperazzjoni mal-Kumitat tar-Reġjuni, stabbiliet ukoll Pjattaforma għall-Partijiet Ikkonċernati b’rabta mat-Tniġġis Żero (</w:t>
      </w:r>
      <w:r w:rsidR="00E0201A">
        <w:rPr>
          <w:rStyle w:val="FootnoteReference"/>
          <w:noProof/>
          <w:lang w:val="en-US"/>
        </w:rPr>
        <w:footnoteReference w:id="87"/>
      </w:r>
      <w:r>
        <w:rPr>
          <w:noProof/>
        </w:rPr>
        <w:t xml:space="preserve">) biex tgħin fit-twettiq tal-inizjattivi u l-azzjonijiet ewlenin stabbiliti fil-Pjan ta’ Azzjoni ta’ Tniġġis Żero. </w:t>
      </w:r>
    </w:p>
    <w:p w14:paraId="3AE78C86" w14:textId="141A704C" w:rsidR="00CF55F4" w:rsidRPr="00DB7B4E" w:rsidRDefault="00902BEA" w:rsidP="00DB7B4E">
      <w:pPr>
        <w:rPr>
          <w:noProof/>
          <w:szCs w:val="24"/>
        </w:rPr>
      </w:pPr>
      <w:r>
        <w:rPr>
          <w:noProof/>
        </w:rPr>
        <w:t xml:space="preserve">Il-pjattaforma tlaqqa’ flimkien partijiet ikkonċernati u esperti f’oqsma ta’ politika differenti, bħas-saħħa, l-agrikoltura, ir-riċerka u l-innovazzjoni, it-trasport, id-diġitalizzazzjoni u l-ambjent. L-objettivi tagħha jinkludu l-istabbiliment ta’ viżjoni komuni dwar kif jinkiseb it-tniġġis żero, l-indirizzar tal-isfidi interkonnessi, bħat-tisħiħ ta’ aġenda konġunta dwar l-ambjent u s-saħħa, u l-iżvilupp u l-kondiviżjoni ta’ prattiki tajbin dwar suġġetti trasversali. </w:t>
      </w:r>
    </w:p>
    <w:p w14:paraId="079801DF" w14:textId="77777777" w:rsidR="009004FC" w:rsidRDefault="00614A55" w:rsidP="39987D97">
      <w:pPr>
        <w:rPr>
          <w:noProof/>
        </w:rPr>
      </w:pPr>
      <w:r>
        <w:rPr>
          <w:noProof/>
        </w:rPr>
        <w:t>Il-Kummissjoni tappoġġa wkoll lill-Istati Membri fl-implimentazzjoni tad-Direttiva permezz tal-bini tal-kapaċità u l-grupp ta’ esperti dwar il-Kwalità tal-Arja fl-Ambjent. Fl-2022, il-Kummissjoni ospitat workshop dwar il-bini tal-kapaċità (</w:t>
      </w:r>
      <w:r w:rsidR="000D1BDD" w:rsidRPr="10D35545">
        <w:rPr>
          <w:rStyle w:val="FootnoteReference"/>
          <w:noProof/>
          <w:lang w:val="en-US"/>
        </w:rPr>
        <w:footnoteReference w:id="88"/>
      </w:r>
      <w:r>
        <w:rPr>
          <w:noProof/>
        </w:rPr>
        <w:t xml:space="preserve">) biex ixxerred prattiki tajbin dwar diversi aspetti tat-tħejjija tal-projezzjonijiet tal-emissjonijiet tal-inkwinanti tal-arja u tal-NAPCPs. </w:t>
      </w:r>
    </w:p>
    <w:p w14:paraId="5A5761B1" w14:textId="3ADB3BF5" w:rsidR="00614A55" w:rsidRDefault="00317F7B" w:rsidP="39987D97">
      <w:pPr>
        <w:rPr>
          <w:noProof/>
        </w:rPr>
      </w:pPr>
      <w:r>
        <w:rPr>
          <w:noProof/>
        </w:rPr>
        <w:t>Il-Kummissjoni tappoġġa wkoll lill-Istati Membri permezz tal-għodda bejn il-pari TAIEX-EIR (</w:t>
      </w:r>
      <w:r w:rsidRPr="39987D97">
        <w:rPr>
          <w:rStyle w:val="FootnoteReference"/>
          <w:noProof/>
          <w:lang w:val="en-US"/>
        </w:rPr>
        <w:footnoteReference w:id="89"/>
      </w:r>
      <w:r>
        <w:rPr>
          <w:noProof/>
        </w:rPr>
        <w:t>). Eżempju reċenti kien missjoni esperta tat-TAIEX biex tgħin lil Stat Membru jtejjeb l-inventarju tiegħu tal-emissjonijiet tal-inkwinanti tal-arja. Għall-ħarifa tal-2024, hemm ippjanata sessjoni ta’ ħidma bejn diversi pajjiżi tat-TAIEX dwar il-miżuri agrikoli biex jitnaqqsu l-emissjonijiet tal-ammonijaka . L-Istrument ta’ Appoġġ Tekniku (</w:t>
      </w:r>
      <w:r w:rsidR="00435DEC" w:rsidRPr="39987D97">
        <w:rPr>
          <w:rStyle w:val="FootnoteReference"/>
          <w:noProof/>
          <w:lang w:val="en-US"/>
        </w:rPr>
        <w:footnoteReference w:id="90"/>
      </w:r>
      <w:r>
        <w:rPr>
          <w:noProof/>
        </w:rPr>
        <w:t xml:space="preserve">) jista’ jgħin ukoll lill-Istati Membri jirriformaw jew itejbu l-effettività tal-politiki dwar l-arja nadifa. </w:t>
      </w:r>
    </w:p>
    <w:p w14:paraId="3FA41084" w14:textId="77777777" w:rsidR="009004FC" w:rsidRDefault="007175DA">
      <w:pPr>
        <w:rPr>
          <w:noProof/>
        </w:rPr>
      </w:pPr>
      <w:r>
        <w:rPr>
          <w:noProof/>
        </w:rPr>
        <w:t>Iċ-Ċentru Konġunt tar-Riċerka tal-Kummissjoni żviluppa l-għodda tal-Istima tal-Emissjonijiet Agrikoli (</w:t>
      </w:r>
      <w:r w:rsidR="00435DEC" w:rsidRPr="10D35545">
        <w:rPr>
          <w:rStyle w:val="FootnoteReference"/>
          <w:noProof/>
          <w:lang w:val="en-US"/>
        </w:rPr>
        <w:footnoteReference w:id="91"/>
      </w:r>
      <w:r>
        <w:rPr>
          <w:noProof/>
        </w:rPr>
        <w:t xml:space="preserve">) biex jgħin lill-Istati Membri jtejbu l-inventarji tal-emissjonijiet tagħhom għas-settur agrikolu. </w:t>
      </w:r>
    </w:p>
    <w:p w14:paraId="4E9CA448" w14:textId="6D8C6FA5" w:rsidR="00A20419" w:rsidRDefault="003E1735">
      <w:pPr>
        <w:rPr>
          <w:noProof/>
        </w:rPr>
      </w:pPr>
      <w:r>
        <w:rPr>
          <w:noProof/>
        </w:rPr>
        <w:t>Mill-2014, Copernicus (</w:t>
      </w:r>
      <w:r w:rsidR="002F765A">
        <w:rPr>
          <w:rStyle w:val="FootnoteReference"/>
          <w:noProof/>
          <w:lang w:val="en-US"/>
        </w:rPr>
        <w:footnoteReference w:id="92"/>
      </w:r>
      <w:r>
        <w:rPr>
          <w:noProof/>
        </w:rPr>
        <w:t xml:space="preserve">) jipprovdi, permezz tas-Servizz ta’ Monitoraġġ tal-Atmosfera Ewlenija tiegħu, </w:t>
      </w:r>
      <w:r>
        <w:rPr>
          <w:i/>
          <w:noProof/>
        </w:rPr>
        <w:t>data</w:t>
      </w:r>
      <w:r>
        <w:rPr>
          <w:noProof/>
        </w:rPr>
        <w:t xml:space="preserve"> u informazzjoni kontinwi li jiddeskrivu l-livelli u x-xejriet tal-kwalità tal-arja fil-livell nazzjonali u Ewropew. Il-kooperazzjoni mas-Servizzi dwar it-Tibdil fil-Klima ta’ Copernicus wasslet għall-iżvilupp ta’ għodda bbażata fuq il-web (</w:t>
      </w:r>
      <w:r w:rsidR="008D51CF" w:rsidRPr="10D35545">
        <w:rPr>
          <w:rStyle w:val="FootnoteReference"/>
          <w:noProof/>
          <w:lang w:val="en-US"/>
        </w:rPr>
        <w:footnoteReference w:id="93"/>
      </w:r>
      <w:r>
        <w:rPr>
          <w:noProof/>
        </w:rPr>
        <w:t xml:space="preserve">) biex jiġi identifikat jekk xi Stat Membru tal-UE esperjenzax xitwa eċċezzjonalment kiesħa jew sajf eċċezzjonalment xott f’sena speċifika, peress li din l-informazzjoni hija essenzjali għall-użu tal-flessibbiltà prevista fl-Artikolu 5(2) tad-Direttiva. Din l-għodda tal-web tiżgura li l-valutazzjoni tal-Kummissjoni ta’ dawk l-applikazzjonijiet ta’ flessibbiltà tkun konsistenti u trasparenti. </w:t>
      </w:r>
    </w:p>
    <w:p w14:paraId="0719A870" w14:textId="4BC469BB" w:rsidR="00317F7B" w:rsidRPr="00317F7B" w:rsidRDefault="00317F7B" w:rsidP="0E7129CE">
      <w:pPr>
        <w:rPr>
          <w:noProof/>
        </w:rPr>
      </w:pPr>
      <w:r>
        <w:rPr>
          <w:noProof/>
        </w:rPr>
        <w:t>Fl-2021, il-Kummissjoni flimkien mal-EEA nediet il-paġna web tal-Indiċi tal-Kwalità tal-Arja Ewropew (</w:t>
      </w:r>
      <w:r w:rsidRPr="10D35545">
        <w:rPr>
          <w:rStyle w:val="FootnoteReference"/>
          <w:noProof/>
          <w:lang w:val="en-US"/>
        </w:rPr>
        <w:footnoteReference w:id="94"/>
      </w:r>
      <w:r>
        <w:rPr>
          <w:noProof/>
        </w:rPr>
        <w:t xml:space="preserve">) u l-applikazzjoni għall-apparati mobbli li jippermettu lill-utenti jifhmu aktar dwar il-kwalità tal-arja qrib id-dar jew il-postijiet tax-xogħol tagħhom. </w:t>
      </w:r>
    </w:p>
    <w:p w14:paraId="0B8522BC" w14:textId="45C2DDB4" w:rsidR="00614A55" w:rsidRDefault="00040990" w:rsidP="000D13E6">
      <w:pPr>
        <w:pStyle w:val="Heading2"/>
        <w:rPr>
          <w:noProof/>
        </w:rPr>
      </w:pPr>
      <w:r>
        <w:rPr>
          <w:noProof/>
        </w:rPr>
        <w:t>U</w:t>
      </w:r>
      <w:r w:rsidR="2DBBE59D">
        <w:rPr>
          <w:noProof/>
        </w:rPr>
        <w:t>żu tal-fondi tal-UE biex jiġu appoġġati l-objettivi tad-Direttiva</w:t>
      </w:r>
    </w:p>
    <w:p w14:paraId="0D9244CA" w14:textId="61E7909F" w:rsidR="00614A55" w:rsidRDefault="00614A55">
      <w:pPr>
        <w:rPr>
          <w:noProof/>
          <w:szCs w:val="24"/>
        </w:rPr>
      </w:pPr>
      <w:r>
        <w:rPr>
          <w:noProof/>
        </w:rPr>
        <w:t xml:space="preserve">L-Artikolu 7 tad-Direttiva jirrikjedi li l-Kummissjoni “tagħmel ħilitha biex tiffaċilita l-aċċess [tal-Istati Membri] għall-fondi eżistenti tal-Unjoni” biex tappoġġa l-kisba tal-objettivi tad-Direttiva. Skont l-Artikolu 11(1)(c) tad-Direttiva, il-Kummissjoni għandha tirrapporta dwar dan l-użu. </w:t>
      </w:r>
    </w:p>
    <w:p w14:paraId="45802E4A" w14:textId="35813AD0" w:rsidR="00C248BE" w:rsidRDefault="00614A55" w:rsidP="4EA85BF4">
      <w:pPr>
        <w:rPr>
          <w:noProof/>
        </w:rPr>
      </w:pPr>
      <w:r>
        <w:rPr>
          <w:noProof/>
        </w:rPr>
        <w:t xml:space="preserve">Il-finanzjament tal-UE sar disponibbli taħt diversi programmi ta’ finanzjament, u matul is-snin intuża b’suċċess mill-Istati Membri biex itejbu l-kwalità tal-arja. Dan il-finanzjament jew jappoġġa direttament proġetti dwar l-arja nadifa jew jinkludi b’mod effettiv objettivi tal-arja nadifa f’investimenti oħra (eż. infrastruttura, żvilupp rurali u reġjonali). Diversi proġetti LIFE, Orizzont 2020 u Orizzont Ewropa appoġġaw it-tnaqqis tal-emissjonijiet tal-inkwinanti kif ukoll il-monitoraġġ u s-sensibilizzazzjoni taċ-ċittadini dwar kwistjonijiet ta’ tniġġis tal-arja. </w:t>
      </w:r>
    </w:p>
    <w:p w14:paraId="43B3E9B6" w14:textId="481D802A" w:rsidR="00284312" w:rsidRPr="00554779" w:rsidRDefault="00614A55" w:rsidP="00924E34">
      <w:pPr>
        <w:rPr>
          <w:noProof/>
        </w:rPr>
      </w:pPr>
      <w:r>
        <w:rPr>
          <w:noProof/>
        </w:rPr>
        <w:t>Sabiex timmonitorja l-progress tal-Istati Membri fl-użu ta’ dawn il-fondi tal-UE, il-Kummissjoni żviluppat metodoloġija (</w:t>
      </w:r>
      <w:r w:rsidR="00996E9E" w:rsidRPr="39987D97">
        <w:rPr>
          <w:rStyle w:val="FootnoteReference"/>
          <w:noProof/>
          <w:lang w:val="en-US"/>
        </w:rPr>
        <w:footnoteReference w:id="95"/>
      </w:r>
      <w:r>
        <w:rPr>
          <w:noProof/>
        </w:rPr>
        <w:t>) li tivvaluta sa liema punt kull fluss ta’ finanzjament jikkontribwixxi għall-objettivi tal-arja nadifa. Il-Kummissjoni tirrapporta kull sena dwar il-finanzjament tal-arja nadifa bħala parti mill-abbozz tal-baġit tagħha, għal kull programm ta’ finanzjament rilevanti. In-numri ppubblikati fl-2023 juru li, għall-2021–2027, il-baġit tal-UE — inkluż NextGenerationEU — qed jiddedika madwar EUR 147 biljun, jew 8,3 % tal-qafas finanzjarju pluriennali, għall-objettiv tal-arja nadifa. L-Illustrazzjoni 4 turi s-sehem tal-infiq ipprojettat fuq l-arja nadifa fil-programmi kollha (</w:t>
      </w:r>
      <w:bookmarkStart w:id="3" w:name="_Ref157584601"/>
      <w:r w:rsidR="00C248BE" w:rsidRPr="39987D97">
        <w:rPr>
          <w:rStyle w:val="FootnoteReference"/>
          <w:noProof/>
          <w:lang w:val="en-US"/>
        </w:rPr>
        <w:footnoteReference w:id="96"/>
      </w:r>
      <w:bookmarkEnd w:id="3"/>
      <w:r>
        <w:rPr>
          <w:noProof/>
        </w:rPr>
        <w:t xml:space="preserve">). L-akbar kontribuzzjoni fil-perjodu ta’ programmazzjoni attwali hija pprojettata li tiġi mill-Faċilità għall-Irkupru u r-Reżiljenza, kif ukoll mill-Fondi Ewropej għall-Iżvilupp Reġjonali u ta’ Koeżjoni.  </w:t>
      </w:r>
    </w:p>
    <w:p w14:paraId="32A20715" w14:textId="1852EC34" w:rsidR="00C1357D" w:rsidRDefault="00924E34" w:rsidP="009430A7">
      <w:pPr>
        <w:spacing w:after="0"/>
        <w:jc w:val="center"/>
        <w:rPr>
          <w:noProof/>
        </w:rPr>
      </w:pPr>
      <w:r>
        <w:rPr>
          <w:noProof/>
          <w:lang w:val="en-GB" w:eastAsia="en-GB"/>
        </w:rPr>
        <w:drawing>
          <wp:inline distT="0" distB="0" distL="0" distR="0" wp14:anchorId="403C4D2C" wp14:editId="13F20E5B">
            <wp:extent cx="5363570" cy="291274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735" r="1988"/>
                    <a:stretch/>
                  </pic:blipFill>
                  <pic:spPr bwMode="auto">
                    <a:xfrm>
                      <a:off x="0" y="0"/>
                      <a:ext cx="5363622" cy="2912773"/>
                    </a:xfrm>
                    <a:prstGeom prst="rect">
                      <a:avLst/>
                    </a:prstGeom>
                    <a:ln>
                      <a:noFill/>
                    </a:ln>
                    <a:extLst>
                      <a:ext uri="{53640926-AAD7-44D8-BBD7-CCE9431645EC}">
                        <a14:shadowObscured xmlns:a14="http://schemas.microsoft.com/office/drawing/2010/main"/>
                      </a:ext>
                    </a:extLst>
                  </pic:spPr>
                </pic:pic>
              </a:graphicData>
            </a:graphic>
          </wp:inline>
        </w:drawing>
      </w:r>
    </w:p>
    <w:p w14:paraId="28485CF7" w14:textId="2ECAB38F" w:rsidR="009430A7" w:rsidRPr="00924E34" w:rsidRDefault="00C248BE" w:rsidP="00924E34">
      <w:pPr>
        <w:pStyle w:val="Caption"/>
        <w:rPr>
          <w:b/>
          <w:bCs/>
          <w:i w:val="0"/>
          <w:iCs/>
          <w:noProof/>
        </w:rPr>
      </w:pPr>
      <w:r>
        <w:rPr>
          <w:b/>
          <w:i w:val="0"/>
          <w:noProof/>
        </w:rPr>
        <w:t>Illustrazzjoni 4: Il-kontribuzzjoni projettata għall-arja nadifa mill-2021 sal-2027 (f’miljuni ta’ EUR). Nota: L-istima għall-finanzjament tal-PAK tkopri biss l-2021 u l-2022 (sors: Il-Kummissjoni Ewropea (</w:t>
      </w:r>
      <w:r w:rsidR="00184D98">
        <w:rPr>
          <w:rStyle w:val="FootnoteReference"/>
          <w:b/>
          <w:bCs/>
          <w:i w:val="0"/>
          <w:iCs/>
          <w:noProof/>
        </w:rPr>
        <w:footnoteReference w:id="97"/>
      </w:r>
      <w:r>
        <w:rPr>
          <w:b/>
          <w:i w:val="0"/>
          <w:noProof/>
        </w:rPr>
        <w:t xml:space="preserve">)) </w:t>
      </w:r>
    </w:p>
    <w:p w14:paraId="638B4C76" w14:textId="773F86BF" w:rsidR="00614A55" w:rsidRPr="00BC3DD8" w:rsidRDefault="0085276C" w:rsidP="006955D2">
      <w:pPr>
        <w:pStyle w:val="Heading2"/>
        <w:rPr>
          <w:noProof/>
        </w:rPr>
      </w:pPr>
      <w:r>
        <w:rPr>
          <w:noProof/>
        </w:rPr>
        <w:t xml:space="preserve">Rabtiet ma’ ftehimiet internazzjonali </w:t>
      </w:r>
    </w:p>
    <w:p w14:paraId="47EA82C8" w14:textId="506B5F32" w:rsidR="00A35FB0" w:rsidRDefault="00BC3DD8">
      <w:pPr>
        <w:rPr>
          <w:noProof/>
        </w:rPr>
      </w:pPr>
      <w:r>
        <w:rPr>
          <w:noProof/>
        </w:rPr>
        <w:t>Id-Direttiva torbot mill-qrib mal-Konvenzjoni tal-UNECE dwar it-Tniġġis Transkonfinali tal-Arja fuq Distanza Twila (il-Konvenzjoni dwar l-Arja) u l-protokolli tagħha (</w:t>
      </w:r>
      <w:r w:rsidR="00614A55" w:rsidRPr="10D35545">
        <w:rPr>
          <w:rStyle w:val="FootnoteReference"/>
          <w:noProof/>
        </w:rPr>
        <w:footnoteReference w:id="98"/>
      </w:r>
      <w:r>
        <w:rPr>
          <w:noProof/>
        </w:rPr>
        <w:t>), u ż-żewġ reġimi legali jikkooperaw kemm jista’ jkun ma’ xulxin, b’mod partikolari dwar ir-rapportar tal-inventarji u l-projezzjonijiet tal-emissjonijiet. Ġie żviluppat manwal ta’ gwida konġunt dwar l-inventarju għal metodoloġija komuni u dan qed jittejjeb kontinwament bl-appoġġ tal-EEA (</w:t>
      </w:r>
      <w:r w:rsidR="00FE4D1E">
        <w:rPr>
          <w:rStyle w:val="FootnoteReference"/>
          <w:noProof/>
          <w:lang w:val="en-US"/>
        </w:rPr>
        <w:footnoteReference w:id="99"/>
      </w:r>
      <w:r>
        <w:rPr>
          <w:noProof/>
        </w:rPr>
        <w:t>). Id-dokumenti ta’ gwida (</w:t>
      </w:r>
      <w:r w:rsidR="004E48FB">
        <w:rPr>
          <w:rStyle w:val="FootnoteReference"/>
          <w:noProof/>
          <w:lang w:val="en-US"/>
        </w:rPr>
        <w:footnoteReference w:id="100"/>
      </w:r>
      <w:r>
        <w:rPr>
          <w:noProof/>
        </w:rPr>
        <w:t>, </w:t>
      </w:r>
      <w:r w:rsidR="009000C5">
        <w:rPr>
          <w:rStyle w:val="FootnoteReference"/>
          <w:noProof/>
          <w:lang w:val="en-US"/>
        </w:rPr>
        <w:footnoteReference w:id="101"/>
      </w:r>
      <w:r>
        <w:rPr>
          <w:noProof/>
        </w:rPr>
        <w:t xml:space="preserve">) jiġu wkoll ippubblikati regolarment skont il-Konvenzjoni dwar l-Arja. </w:t>
      </w:r>
    </w:p>
    <w:p w14:paraId="7201491E" w14:textId="07797FDA" w:rsidR="00614A55" w:rsidRDefault="00614A55">
      <w:pPr>
        <w:rPr>
          <w:noProof/>
        </w:rPr>
      </w:pPr>
      <w:r>
        <w:rPr>
          <w:noProof/>
        </w:rPr>
        <w:t xml:space="preserve">Il-Protokoll emendat ta’ Gothenburg għall-Konvenzjoni dwar l-Arja, li daħal fis-seħħ fis-7 ta’ Ottubru 2019, u d-Direttiva huma allinjati b’mod ġenerali f’termini ta’ impenji għat-tnaqqis tal-emissjonijiet għall-2020–2029. Il-Protokoll ta’ Gothenburg ġie rieżaminat reċentement fi ħdan il-qafas tal-Konvenzjoni dwar l-Arja, u pprovda opportunità biex jiġi kkunsidrat allinjament ulterjuri ta’ dawn iż-żewġ reġimi legali, inkluż billi jiġi żviluppat approċċ komuni, pereżempju, għall-emissjonijiet tal-metan u tal-karbonju iswed. Ir-rieżami wassal biex il-Partijiet għall-Konvenzjoni dwar l-Arja jieħdu d-deċiżjoni, f’Diċembru 2023, li jibdew il-proċess biex jirrevedu l-Protokoll ta’ Gothenburg. Il-proċess ta’ reviżjoni se jibda fl-2024, bl-għan li jitlestew in-negozjati sa tmiem l-2026. </w:t>
      </w:r>
    </w:p>
    <w:p w14:paraId="768C06D9" w14:textId="77777777" w:rsidR="00614A55" w:rsidRDefault="00614A55" w:rsidP="006955D2">
      <w:pPr>
        <w:pStyle w:val="Heading1"/>
        <w:rPr>
          <w:noProof/>
        </w:rPr>
      </w:pPr>
      <w:r>
        <w:rPr>
          <w:noProof/>
        </w:rPr>
        <w:t>Konklużjoni</w:t>
      </w:r>
    </w:p>
    <w:p w14:paraId="7CFDAE3F" w14:textId="77777777" w:rsidR="008131BD" w:rsidRDefault="00614A55">
      <w:pPr>
        <w:rPr>
          <w:noProof/>
          <w:szCs w:val="24"/>
        </w:rPr>
      </w:pPr>
      <w:r>
        <w:rPr>
          <w:noProof/>
        </w:rPr>
        <w:t xml:space="preserve">It-tqegħid tal-implimentazzjoni tad-Direttiva fit-triq it-tajba mill-bidu nett kien kruċjali biex jiġi żgurat tnaqqis f’waqtu fl-emissjonijiet ta’ sustanzi li jniġġsu l-arja, jikkontribwixxi b’mod effettiv għal titjib fis-saħħa tal-bniedem u tal-ekosistema u jwettaq l-ambizzjoni ta’ tniġġis żero skont il-Patt Ekoloġiku Ewropew u l-Pjan ta’ Azzjoni tiegħu ta’ Tniġġis Żero. </w:t>
      </w:r>
    </w:p>
    <w:p w14:paraId="539BBEE2" w14:textId="3A811B94" w:rsidR="00E6159D" w:rsidRDefault="00416C18">
      <w:pPr>
        <w:rPr>
          <w:noProof/>
          <w:szCs w:val="24"/>
        </w:rPr>
      </w:pPr>
      <w:r>
        <w:rPr>
          <w:noProof/>
        </w:rPr>
        <w:t xml:space="preserve">Din hija r-raġuni għaliex il-Kummissjoni tat segwitu mill-bidu nett għall-każijiet fejn l-inventarji tal-emissjonijiet tal-inkwinanti tal-arja tal-Istati Membri wrew nuqqas ta’ konformità. Il-Kummissjoni timmonitorja mill-qrib ukoll is-segwitu tal-każijiet mill-Istati Membri u tistedinhom jieħdu passi tanġibbli fil-forma ta’ politiki u miżuri aġġornati (u sottomissjonijiet f’waqthom tal-NAPCPs aġġornati, meta dovuti) f’konformità mal-iskadenzi legali. </w:t>
      </w:r>
    </w:p>
    <w:p w14:paraId="6AC846DA" w14:textId="6E17D0B2" w:rsidR="00480F6B" w:rsidRDefault="00446446">
      <w:pPr>
        <w:rPr>
          <w:noProof/>
        </w:rPr>
      </w:pPr>
      <w:r>
        <w:rPr>
          <w:noProof/>
        </w:rPr>
        <w:t>L-inkwinanti kollha li għalihom id-Direttiva tistabbilixxi impenji għat-tnaqqis tal-emissjonijiet jeħtieġu attenzjoni kontinwa. Dan huwa partikolarment importanti hekk kif l-impenji ta’ tnaqqis aktar stretti għall-2030 ’il quddiem qed joqorbu aktar u minħabba l-għan li l-istandards tal-kwalità tal-arja tal-UE jiġu allinjati aktar mill-qrib mal-linji gwida tal-2021 tad-WHO dwar il-kwalità tal-arja (</w:t>
      </w:r>
      <w:r w:rsidR="0075656D">
        <w:rPr>
          <w:rStyle w:val="FootnoteReference"/>
          <w:noProof/>
        </w:rPr>
        <w:footnoteReference w:id="102"/>
      </w:r>
      <w:r>
        <w:rPr>
          <w:noProof/>
        </w:rPr>
        <w:t xml:space="preserve">). Is-sustanza li tniġġes li tispikka bħala partikolarment problematika tibqa’ l-ammonijaka, li għaliha l-prospetti li jintlaħqu l-impenji tad-Direttiva għat-tnaqqis tal-emissjonijiet għadhom diffiċli.  Sabiex tgħin lill-Istati Membri jilħqu dan l-objettiv speċifiku, id-Direttiva inkludiet anness li jistabbilixxi miżuri (obbligatorji u mhux obbligatorji) u jelenka prattiki stabbiliti sew li huma ppruvati li jnaqqsu l-emissjonijiet tal-ammonijaka. Jeħtieġ li l-Istati Membri jżidu l-isforzi tagħhom biex jiżguraw li dawn il-miżuri u l-prattiki jiġu effettivament implimentati, inkluż billi jinvolvu ruħhom mal-partijiet ikkonċernati rilevanti u jiżguraw approċċ koerenti għal proċessi nazzjonali oħra, pereżempju dwar l-implimentazzjoni tal-pjanijiet strateġiċi tal-Politika Agrikola Komuni. </w:t>
      </w:r>
    </w:p>
    <w:p w14:paraId="03F85933" w14:textId="042A5B7A" w:rsidR="00A734A8" w:rsidRDefault="00C60EB6">
      <w:pPr>
        <w:rPr>
          <w:noProof/>
          <w:szCs w:val="24"/>
        </w:rPr>
      </w:pPr>
      <w:r>
        <w:rPr>
          <w:noProof/>
        </w:rPr>
        <w:t>Inkwinanti regolati oħra bbenefikaw direttament mill-politiki aktar ambizzjużi dwar l-enerġija u l-klima permezz tal-pakkett leġiżlattiv “Lesti għall-mira ta’ 55 %”, il-pjan REPowerEU u, l-aktar reċenti, il-pjan tal-miri klimatiċi għall-2040 (</w:t>
      </w:r>
      <w:r w:rsidR="002A5404">
        <w:rPr>
          <w:rStyle w:val="FootnoteReference"/>
          <w:noProof/>
          <w:szCs w:val="24"/>
        </w:rPr>
        <w:footnoteReference w:id="103"/>
      </w:r>
      <w:r>
        <w:rPr>
          <w:noProof/>
        </w:rPr>
        <w:t xml:space="preserve">). Dawn l-inizjattivi jipprovdu spinta kbira wkoll għall-objettivi tal-arja nadifa, fejn ambizzjoni klimatika aktar b’saħħitha tissarraf f’żieda fl-effiċjenza enerġetika u introduzzjoni aktar rapida ta’ sorsi ta’ enerġija rinnovabbli mhux kombustibbli. Dan jgħodd b’mod partikolari għall-emissjonijiet ta’ materja partikolata fina, ossidi tan-nitroġenu u diossidu tal-kubrit. Sabiex jiġu massimizzati dawn il-kobenefiċċji, huwa importanti li l-Istati Membri jikkoordinaw il-proċessi ta’ ppjanar nazzjonali kif xieraq. Dan ifisser li l-NECPs u l-NAPCPs jenħtieġ li jkunu konsistenti ma’ xulxin, xi ħaġa li l-Istati Membri huma mħeġġa jqisu meta jiffinalizzaw l-NECPs tagħhom sa Ġunju 2024, u meta jaġġornaw l-NAPCPs tagħhom. </w:t>
      </w:r>
    </w:p>
    <w:p w14:paraId="74EF9DAD" w14:textId="7EE635F7" w:rsidR="00614A55" w:rsidRDefault="00690CEE">
      <w:pPr>
        <w:rPr>
          <w:noProof/>
          <w:szCs w:val="24"/>
        </w:rPr>
      </w:pPr>
      <w:r>
        <w:rPr>
          <w:noProof/>
        </w:rPr>
        <w:t>Il-Kummissjoni tkompli tappoġġa lill-Istati Membri b’diversi modi biex tgħinhom jimplimentaw id-Direttiva. Pereżempju, l-appoġġ għall-bini tal-kapaċità, li qabelxejn jieħu l-forma ta’ rieżami rigoruż tal-inventarji, il-projezzjonijiet, l-NAPCPs u s-sottomissjonijiet tad-</w:t>
      </w:r>
      <w:r>
        <w:rPr>
          <w:i/>
          <w:noProof/>
        </w:rPr>
        <w:t>data</w:t>
      </w:r>
      <w:r>
        <w:rPr>
          <w:noProof/>
        </w:rPr>
        <w:t xml:space="preserve"> tal-ekosistema tal-Istati Membri. Dan l-eżerċizzju jinvolvi skambji ma’ esperti tal-Istati Membri u jirriżulta f’rakkomandazzjonijiet prattiċi għat-titjib tas-sottomissjonijiet futuri. Dan huwa importanti minħabba li hija meħtieġa </w:t>
      </w:r>
      <w:r>
        <w:rPr>
          <w:i/>
          <w:noProof/>
        </w:rPr>
        <w:t>data</w:t>
      </w:r>
      <w:r>
        <w:rPr>
          <w:noProof/>
        </w:rPr>
        <w:t xml:space="preserve"> ta’ kwalità għolja biex jiġu indirizzati s-sorsi tal-emissjonijiet b’mod infurmat u mmirat tajjeb. Forom oħra ta’ appoġġ disponibbli għall-Istati Membri fuq talba jinkludu l-Istrument ta’ Appoġġ Tekniku, l-għodda bejn il-pari TAIEX-EIR u l-iskambji tal-partijiet ikkonċernati. Fl-aħħar iżda mhux l-inqas, il-finanzjament tal-UE għadu disponibbli biex jappoġġa inizjattivi relatati mal-arja nadifa. </w:t>
      </w:r>
    </w:p>
    <w:p w14:paraId="3C01869C" w14:textId="7D97EBDB" w:rsidR="00614A55" w:rsidRPr="00B42BF2" w:rsidRDefault="00F76D17" w:rsidP="00B930DB">
      <w:pPr>
        <w:rPr>
          <w:noProof/>
        </w:rPr>
      </w:pPr>
      <w:r>
        <w:rPr>
          <w:noProof/>
        </w:rPr>
        <w:t xml:space="preserve">Flimkien ma’ dan ir-rapport, ir-raba’ Perspettiva dwar l-Arja Nadifa, mistennija għal tmiem l-2024, se tipprovdi analiżi aġġornata tal-kostijiet u l-benefiċċji fil-kisba tal-objettivi tad-Direttiva, u tenfasizza kwalunkwe azzjoni addizzjonali li hija meħtieġa fil-livell nazzjonali u tal-UE. Iż-żewġ dokumenti se jinfurmaw ir-rieżami li jmiss tad-Direttiva, li għandu jiġi ffinalizzat sal-2025, li se janalizza f’aktar dettall id-Direttiva u l-implimentazzjoni tagħha. </w:t>
      </w:r>
    </w:p>
    <w:sectPr w:rsidR="00614A55" w:rsidRPr="00B42BF2" w:rsidSect="00651140">
      <w:headerReference w:type="even" r:id="rId31"/>
      <w:headerReference w:type="default" r:id="rId32"/>
      <w:footerReference w:type="even" r:id="rId33"/>
      <w:footerReference w:type="default" r:id="rId34"/>
      <w:headerReference w:type="first" r:id="rId35"/>
      <w:footerReference w:type="first" r:id="rId36"/>
      <w:endnotePr>
        <w:numFmt w:val="lowerLetter"/>
      </w:endnotePr>
      <w:pgSz w:w="11906" w:h="16838"/>
      <w:pgMar w:top="1020" w:right="1701" w:bottom="1020" w:left="1587" w:header="601" w:footer="107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7A8EC" w14:textId="77777777" w:rsidR="002B34F2" w:rsidRDefault="002B34F2">
      <w:pPr>
        <w:spacing w:after="0"/>
      </w:pPr>
      <w:r>
        <w:separator/>
      </w:r>
    </w:p>
  </w:endnote>
  <w:endnote w:type="continuationSeparator" w:id="0">
    <w:p w14:paraId="542BDD2E" w14:textId="77777777" w:rsidR="002B34F2" w:rsidRDefault="002B34F2">
      <w:pPr>
        <w:spacing w:after="0"/>
      </w:pPr>
      <w:r>
        <w:continuationSeparator/>
      </w:r>
    </w:p>
  </w:endnote>
  <w:endnote w:type="continuationNotice" w:id="1">
    <w:p w14:paraId="3DEA1D90" w14:textId="77777777" w:rsidR="002B34F2" w:rsidRDefault="002B34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85F7D" w14:textId="6744653F" w:rsidR="00893AE1" w:rsidRPr="00893AE1" w:rsidRDefault="00893AE1" w:rsidP="00893AE1">
    <w:pPr>
      <w:pStyle w:val="FooterCoverPage"/>
      <w:rPr>
        <w:rFonts w:ascii="Arial" w:hAnsi="Arial" w:cs="Arial"/>
        <w:b/>
        <w:sz w:val="48"/>
      </w:rPr>
    </w:pPr>
    <w:r w:rsidRPr="00893AE1">
      <w:rPr>
        <w:rFonts w:ascii="Arial" w:hAnsi="Arial" w:cs="Arial"/>
        <w:b/>
        <w:sz w:val="48"/>
      </w:rPr>
      <w:t>MT</w:t>
    </w:r>
    <w:r w:rsidRPr="00893AE1">
      <w:rPr>
        <w:rFonts w:ascii="Arial" w:hAnsi="Arial" w:cs="Arial"/>
        <w:b/>
        <w:sz w:val="48"/>
      </w:rPr>
      <w:tab/>
    </w:r>
    <w:r w:rsidRPr="00893AE1">
      <w:rPr>
        <w:rFonts w:ascii="Arial" w:hAnsi="Arial" w:cs="Arial"/>
        <w:b/>
        <w:sz w:val="48"/>
      </w:rPr>
      <w:tab/>
    </w:r>
    <w:r w:rsidRPr="00893AE1">
      <w:tab/>
    </w:r>
    <w:r w:rsidRPr="00893AE1">
      <w:rPr>
        <w:rFonts w:ascii="Arial" w:hAnsi="Arial" w:cs="Arial"/>
        <w:b/>
        <w:sz w:val="48"/>
      </w:rPr>
      <w:t>MT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6763" w14:textId="59198124" w:rsidR="00893AE1" w:rsidRPr="00893AE1" w:rsidRDefault="00893AE1" w:rsidP="00893AE1">
    <w:pPr>
      <w:pStyle w:val="FooterCoverPage"/>
      <w:rPr>
        <w:rFonts w:ascii="Arial" w:hAnsi="Arial" w:cs="Arial"/>
        <w:b/>
        <w:sz w:val="48"/>
      </w:rPr>
    </w:pPr>
    <w:r w:rsidRPr="00893AE1">
      <w:rPr>
        <w:rFonts w:ascii="Arial" w:hAnsi="Arial" w:cs="Arial"/>
        <w:b/>
        <w:sz w:val="48"/>
      </w:rPr>
      <w:t>MT</w:t>
    </w:r>
    <w:r w:rsidRPr="00893AE1">
      <w:rPr>
        <w:rFonts w:ascii="Arial" w:hAnsi="Arial" w:cs="Arial"/>
        <w:b/>
        <w:sz w:val="48"/>
      </w:rPr>
      <w:tab/>
    </w:r>
    <w:r w:rsidRPr="00893AE1">
      <w:rPr>
        <w:rFonts w:ascii="Arial" w:hAnsi="Arial" w:cs="Arial"/>
        <w:b/>
        <w:sz w:val="48"/>
      </w:rPr>
      <w:tab/>
    </w:r>
    <w:r w:rsidRPr="00893AE1">
      <w:tab/>
    </w:r>
    <w:r w:rsidRPr="00893AE1">
      <w:rPr>
        <w:rFonts w:ascii="Arial" w:hAnsi="Arial" w:cs="Arial"/>
        <w:b/>
        <w:sz w:val="48"/>
      </w:rPr>
      <w:t>MT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C0D3" w14:textId="77777777" w:rsidR="00893AE1" w:rsidRPr="00893AE1" w:rsidRDefault="00893AE1" w:rsidP="00893AE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ADB9C" w14:textId="77777777" w:rsidR="00B32DBA" w:rsidRDefault="0099241C">
    <w:pPr>
      <w:pStyle w:val="FooterLine"/>
      <w:jc w:val="center"/>
    </w:pPr>
    <w:r>
      <w:fldChar w:fldCharType="begin"/>
    </w:r>
    <w:r>
      <w:instrText>PAGE   \* MERGEFORMAT</w:instrText>
    </w:r>
    <w:r>
      <w:fldChar w:fldCharType="separate"/>
    </w:r>
    <w:r w:rsidR="00614A55">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E4057" w14:textId="3E4A729C" w:rsidR="00B32DBA" w:rsidRDefault="0099241C">
    <w:pPr>
      <w:pStyle w:val="FooterLine"/>
      <w:jc w:val="center"/>
    </w:pPr>
    <w:r>
      <w:fldChar w:fldCharType="begin"/>
    </w:r>
    <w:r>
      <w:instrText>PAGE   \* MERGEFORMAT</w:instrText>
    </w:r>
    <w:r>
      <w:fldChar w:fldCharType="separate"/>
    </w:r>
    <w:r w:rsidR="00893AE1">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689372"/>
      <w:docPartObj>
        <w:docPartGallery w:val="Page Numbers (Bottom of Page)"/>
        <w:docPartUnique/>
      </w:docPartObj>
    </w:sdtPr>
    <w:sdtEndPr>
      <w:rPr>
        <w:noProof/>
      </w:rPr>
    </w:sdtEndPr>
    <w:sdtContent>
      <w:p w14:paraId="2E8420FA" w14:textId="40F74C83" w:rsidR="00651140" w:rsidRDefault="00651140">
        <w:pPr>
          <w:pStyle w:val="Footer"/>
          <w:jc w:val="center"/>
        </w:pPr>
        <w:r>
          <w:fldChar w:fldCharType="begin"/>
        </w:r>
        <w:r>
          <w:instrText xml:space="preserve"> PAGE   \* MERGEFORMAT </w:instrText>
        </w:r>
        <w:r>
          <w:fldChar w:fldCharType="separate"/>
        </w:r>
        <w:r w:rsidR="00893AE1">
          <w:rPr>
            <w:noProof/>
          </w:rPr>
          <w:t>1</w:t>
        </w:r>
        <w:r>
          <w:fldChar w:fldCharType="end"/>
        </w:r>
      </w:p>
    </w:sdtContent>
  </w:sdt>
  <w:p w14:paraId="4FE41869" w14:textId="57EAD601" w:rsidR="00B32DBA" w:rsidRPr="006955D2" w:rsidRDefault="00B32DBA" w:rsidP="00695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113BB" w14:textId="77777777" w:rsidR="002B34F2" w:rsidRDefault="002B34F2">
      <w:pPr>
        <w:spacing w:after="0"/>
      </w:pPr>
      <w:r>
        <w:separator/>
      </w:r>
    </w:p>
  </w:footnote>
  <w:footnote w:type="continuationSeparator" w:id="0">
    <w:p w14:paraId="66975826" w14:textId="77777777" w:rsidR="002B34F2" w:rsidRDefault="002B34F2">
      <w:pPr>
        <w:spacing w:after="0"/>
      </w:pPr>
      <w:r>
        <w:continuationSeparator/>
      </w:r>
    </w:p>
  </w:footnote>
  <w:footnote w:type="continuationNotice" w:id="1">
    <w:p w14:paraId="25248206" w14:textId="77777777" w:rsidR="002B34F2" w:rsidRDefault="002B34F2">
      <w:pPr>
        <w:spacing w:after="0"/>
      </w:pPr>
    </w:p>
  </w:footnote>
  <w:footnote w:id="2">
    <w:p w14:paraId="61E160A1" w14:textId="4BEFDC96" w:rsidR="00DB6307" w:rsidRPr="007078E0" w:rsidRDefault="00444673" w:rsidP="0027789B">
      <w:pPr>
        <w:pStyle w:val="FootnoteText"/>
        <w:spacing w:after="0"/>
      </w:pPr>
      <w:r>
        <w:t>(</w:t>
      </w:r>
      <w:r>
        <w:rPr>
          <w:rStyle w:val="FootnoteReference"/>
        </w:rPr>
        <w:footnoteRef/>
      </w:r>
      <w:r>
        <w:t xml:space="preserve">) </w:t>
      </w:r>
      <w:r>
        <w:tab/>
        <w:t xml:space="preserve">COM/2021/400 final </w:t>
      </w:r>
    </w:p>
  </w:footnote>
  <w:footnote w:id="3">
    <w:p w14:paraId="5E7BF7E2" w14:textId="478C7089" w:rsidR="00614A55" w:rsidRDefault="00444673" w:rsidP="006955D2">
      <w:pPr>
        <w:pStyle w:val="FootnoteText"/>
        <w:spacing w:after="0"/>
      </w:pPr>
      <w:r>
        <w:t>(</w:t>
      </w:r>
      <w:r>
        <w:rPr>
          <w:rStyle w:val="FootnoteReference"/>
        </w:rPr>
        <w:footnoteRef/>
      </w:r>
      <w:r>
        <w:t xml:space="preserve">) </w:t>
      </w:r>
      <w:r>
        <w:tab/>
        <w:t xml:space="preserve">Id-Direttiva 2001/81/KE tal-Parlament Ewropew u tal-Kunsill tat-23 ta’ Ottubru 2001 dwar il-livelli nazzjonali massimi tal-emissjonijiet ta’ ċerti inkwinanti atmosferiċi (ĠU L 309, 27.11.2001, p. 22. </w:t>
      </w:r>
    </w:p>
  </w:footnote>
  <w:footnote w:id="4">
    <w:p w14:paraId="6CB2034B" w14:textId="74DF6F5E" w:rsidR="00614A55" w:rsidRDefault="00444673" w:rsidP="006955D2">
      <w:pPr>
        <w:pStyle w:val="FootnoteText"/>
        <w:spacing w:after="0"/>
      </w:pPr>
      <w:r>
        <w:t>(</w:t>
      </w:r>
      <w:r>
        <w:rPr>
          <w:rStyle w:val="FootnoteReference"/>
        </w:rPr>
        <w:footnoteRef/>
      </w:r>
      <w:r>
        <w:t xml:space="preserve">) </w:t>
      </w:r>
      <w:r>
        <w:tab/>
        <w:t xml:space="preserve">Il-Protokoll tal-1999 għat-Tnaqqis tal-Aċidifikazzjoni, l-Ewtrofikazzjoni u l-Ożonu Troposferiku għall-Konvenzjoni dwar it-Tniġġis Transkonfini tal-Arja fuq Distanza Twila, kif emendat fl-4 ta’ Mejju 2012 (il-Protokoll emendat ta’ Gothenburg). </w:t>
      </w:r>
      <w:hyperlink r:id="rId1" w:history="1">
        <w:r>
          <w:rPr>
            <w:rStyle w:val="Hyperlink"/>
          </w:rPr>
          <w:t>http://www.unece.org/env/lrtap/status/lrtap_s.html</w:t>
        </w:r>
      </w:hyperlink>
    </w:p>
  </w:footnote>
  <w:footnote w:id="5">
    <w:p w14:paraId="04353582" w14:textId="1A6E03C9" w:rsidR="00614A55" w:rsidRDefault="00444673" w:rsidP="006955D2">
      <w:pPr>
        <w:pStyle w:val="FootnoteText"/>
        <w:spacing w:after="0"/>
      </w:pPr>
      <w:r>
        <w:t>(</w:t>
      </w:r>
      <w:r>
        <w:rPr>
          <w:rStyle w:val="FootnoteReference"/>
        </w:rPr>
        <w:footnoteRef/>
      </w:r>
      <w:r>
        <w:t xml:space="preserve">) </w:t>
      </w:r>
      <w:r>
        <w:tab/>
        <w:t xml:space="preserve">Il-Konvenzjoni tal-1979 dwar it-Tniġġis Transkonfini tal-Arja Fuq Distanza Twila (Konvenzjoni dwar l-Arja). </w:t>
      </w:r>
      <w:hyperlink r:id="rId2" w:history="1">
        <w:r>
          <w:rPr>
            <w:rStyle w:val="Hyperlink"/>
          </w:rPr>
          <w:t>https://www.unece.org/environmental-policy/conventions/envlrtapwelcome/the-air-convention-and-its-protocols/the-convention-and-its-achievements.html</w:t>
        </w:r>
      </w:hyperlink>
    </w:p>
  </w:footnote>
  <w:footnote w:id="6">
    <w:p w14:paraId="08526704" w14:textId="2FE0B650" w:rsidR="00614A55" w:rsidRDefault="00444673" w:rsidP="006955D2">
      <w:pPr>
        <w:pStyle w:val="FootnoteText"/>
        <w:spacing w:after="0"/>
      </w:pPr>
      <w:r>
        <w:t>(</w:t>
      </w:r>
      <w:r>
        <w:rPr>
          <w:rStyle w:val="FootnoteReference"/>
        </w:rPr>
        <w:footnoteRef/>
      </w:r>
      <w:r>
        <w:t xml:space="preserve">) </w:t>
      </w:r>
      <w:r>
        <w:tab/>
        <w:t>Id-Direttiva 2008/50/KE tal-Parlament Ewropew u tal-Kunsill tal-21 ta’ Mejju 2008 dwar il-kwalità tal-arja fl-ambjent u arja iktar nadifa għall-Ewropa (ĠU L 152, 11.6.2008) u d-Direttiva 2004/107/KE tal-Parlament Ewropew u tal-Kunsill tal-15 ta’ Diċembru 2004 dwar l-arseniku, il-kadmju, il-merkurju, in-nikil u l-idrokarboni aromatiċi poliċikliċi fl-arja ambjentali (ĠU L 23, 26.1.2005). Il-Kummissjoni pproponiet li tirrevedi dawn id-Direttivi fis-26 ta’ Ottubru 2022 (COM(2022) 542 final/2). Il-Kunsill u l-Parlament laħqu qbil politiku dwar Direttiva riveduta kmieni fl-2024 (</w:t>
      </w:r>
      <w:hyperlink r:id="rId3" w:history="1">
        <w:r>
          <w:rPr>
            <w:rStyle w:val="Hyperlink"/>
          </w:rPr>
          <w:t>https://www.consilium.europa.eu/mt/press/press-releases/2024/02/20/air-quality-council-and-parliament-strike-deal-to-strengthen-standards-in-the-eu/</w:t>
        </w:r>
      </w:hyperlink>
      <w:r>
        <w:t>)</w:t>
      </w:r>
    </w:p>
  </w:footnote>
  <w:footnote w:id="7">
    <w:p w14:paraId="5C46AD10" w14:textId="070CF71D" w:rsidR="00614A55" w:rsidRDefault="00444673" w:rsidP="006955D2">
      <w:pPr>
        <w:pStyle w:val="FootnoteText"/>
        <w:spacing w:after="0"/>
      </w:pPr>
      <w:r>
        <w:t>(</w:t>
      </w:r>
      <w:r>
        <w:rPr>
          <w:rStyle w:val="FootnoteReference"/>
        </w:rPr>
        <w:footnoteRef/>
      </w:r>
      <w:r>
        <w:t xml:space="preserve">) </w:t>
      </w:r>
      <w:r>
        <w:tab/>
        <w:t xml:space="preserve">Is-sit web li ġej jagħti ħarsa ġenerali lejha: </w:t>
      </w:r>
      <w:hyperlink r:id="rId4" w:history="1">
        <w:r>
          <w:rPr>
            <w:rStyle w:val="Hyperlink"/>
          </w:rPr>
          <w:t>https://environment.ec.europa.eu/topics/air/air-pollution-key-sectors_en</w:t>
        </w:r>
      </w:hyperlink>
      <w:r>
        <w:t xml:space="preserve"> </w:t>
      </w:r>
    </w:p>
  </w:footnote>
  <w:footnote w:id="8">
    <w:p w14:paraId="2738B776" w14:textId="4CE00DC8" w:rsidR="00444673" w:rsidRPr="00802816" w:rsidRDefault="00444673" w:rsidP="00802816">
      <w:pPr>
        <w:pStyle w:val="FootnoteText"/>
        <w:spacing w:after="0"/>
        <w:jc w:val="left"/>
      </w:pPr>
      <w:r>
        <w:t>(</w:t>
      </w:r>
      <w:r>
        <w:rPr>
          <w:rStyle w:val="FootnoteReference"/>
        </w:rPr>
        <w:footnoteRef/>
      </w:r>
      <w:r>
        <w:t>)</w:t>
      </w:r>
      <w:r>
        <w:tab/>
        <w:t>Il-proċedura li għadha miftuħa hija kontra l-Polonja (</w:t>
      </w:r>
      <w:hyperlink r:id="rId5" w:history="1">
        <w:r>
          <w:rPr>
            <w:rStyle w:val="Hyperlink"/>
          </w:rPr>
          <w:t>https://ec.europa.eu/commission/presscorner/detail/mt/INF_21_2743</w:t>
        </w:r>
      </w:hyperlink>
      <w:r>
        <w:t xml:space="preserve">) </w:t>
      </w:r>
    </w:p>
  </w:footnote>
  <w:footnote w:id="9">
    <w:p w14:paraId="53F69951" w14:textId="1F1C9C3A" w:rsidR="00996E9E" w:rsidRPr="00996E9E" w:rsidRDefault="00444673" w:rsidP="00996E9E">
      <w:pPr>
        <w:pStyle w:val="FootnoteText"/>
        <w:spacing w:after="0"/>
      </w:pPr>
      <w:r>
        <w:t>(</w:t>
      </w:r>
      <w:r>
        <w:rPr>
          <w:rStyle w:val="FootnoteReference"/>
        </w:rPr>
        <w:footnoteRef/>
      </w:r>
      <w:r>
        <w:t>)</w:t>
      </w:r>
      <w:r>
        <w:tab/>
        <w:t>COM(2020) 266 final.</w:t>
      </w:r>
    </w:p>
  </w:footnote>
  <w:footnote w:id="10">
    <w:p w14:paraId="463155D9" w14:textId="39EC2296" w:rsidR="00614A55" w:rsidRPr="006265D3" w:rsidRDefault="00444673" w:rsidP="008D5CC1">
      <w:pPr>
        <w:pStyle w:val="FootnoteText"/>
        <w:spacing w:after="0"/>
      </w:pPr>
      <w:r>
        <w:t>(</w:t>
      </w:r>
      <w:r>
        <w:rPr>
          <w:rStyle w:val="FootnoteReference"/>
        </w:rPr>
        <w:footnoteRef/>
      </w:r>
      <w:r>
        <w:t xml:space="preserve">) </w:t>
      </w:r>
      <w:r>
        <w:tab/>
        <w:t xml:space="preserve">Kollha disponibbli fuq: </w:t>
      </w:r>
      <w:hyperlink r:id="rId6" w:history="1">
        <w:r>
          <w:rPr>
            <w:rStyle w:val="Hyperlink"/>
          </w:rPr>
          <w:t>https://environment.ec.europa.eu/topics/air/clean-air-outlook_en</w:t>
        </w:r>
      </w:hyperlink>
      <w:r>
        <w:t xml:space="preserve"> </w:t>
      </w:r>
    </w:p>
  </w:footnote>
  <w:footnote w:id="11">
    <w:p w14:paraId="5B449654" w14:textId="4DB65DB3" w:rsidR="007C3D6E" w:rsidRPr="00802816" w:rsidRDefault="007C3D6E" w:rsidP="00802816">
      <w:pPr>
        <w:pStyle w:val="FootnoteText"/>
        <w:spacing w:after="0"/>
      </w:pPr>
      <w:r>
        <w:t>(</w:t>
      </w:r>
      <w:r>
        <w:rPr>
          <w:rStyle w:val="FootnoteReference"/>
        </w:rPr>
        <w:footnoteRef/>
      </w:r>
      <w:r>
        <w:t>)</w:t>
      </w:r>
      <w:r>
        <w:tab/>
        <w:t xml:space="preserve">Għax-xejriet tal-inkwinanti għal kull pajjiż, ara: </w:t>
      </w:r>
      <w:hyperlink r:id="rId7" w:history="1">
        <w:r>
          <w:rPr>
            <w:rStyle w:val="Hyperlink"/>
          </w:rPr>
          <w:t>https://www.eea.europa.eu/data-and-maps/dashboards/necd-directive-data-viewer-7</w:t>
        </w:r>
      </w:hyperlink>
      <w:r>
        <w:t xml:space="preserve">. Għall-aħħar sitwazzjoni attwali dwar id-distanza għall-konformità għal kull Stat Membru u valutazzjoni kumplessiva tal-progress, ara: </w:t>
      </w:r>
      <w:hyperlink r:id="rId8" w:history="1">
        <w:r>
          <w:rPr>
            <w:rStyle w:val="Hyperlink"/>
          </w:rPr>
          <w:t>https://www.eea.europa.eu/publications/national-emission-reduction-commitments-directive-2023</w:t>
        </w:r>
      </w:hyperlink>
    </w:p>
  </w:footnote>
  <w:footnote w:id="12">
    <w:p w14:paraId="0470817C" w14:textId="75F0E71D" w:rsidR="00B44CAB" w:rsidRPr="00B44CAB" w:rsidRDefault="00444673" w:rsidP="002345CD">
      <w:pPr>
        <w:pStyle w:val="FootnoteText"/>
        <w:spacing w:after="0"/>
      </w:pPr>
      <w:r>
        <w:t>(</w:t>
      </w:r>
      <w:r>
        <w:rPr>
          <w:rStyle w:val="FootnoteReference"/>
        </w:rPr>
        <w:footnoteRef/>
      </w:r>
      <w:r>
        <w:t xml:space="preserve">) </w:t>
      </w:r>
      <w:r>
        <w:tab/>
        <w:t>Il-Bulgarija, id-Danimarka, l-Irlanda, Spanja, Ċipru, il-Latvja, il-Litwanja, il-Lussemburgu, l-Ungerija, l-Awstrija, il-Polonja, il-Portugall, ir-Rumanija u l-Iżvezja.</w:t>
      </w:r>
    </w:p>
  </w:footnote>
  <w:footnote w:id="13">
    <w:p w14:paraId="3F6B1F0F" w14:textId="296EF722" w:rsidR="00B44CAB" w:rsidRPr="00DD655C" w:rsidRDefault="00444673" w:rsidP="002345CD">
      <w:pPr>
        <w:pStyle w:val="FootnoteText"/>
        <w:spacing w:after="0"/>
      </w:pPr>
      <w:r>
        <w:t>(</w:t>
      </w:r>
      <w:r>
        <w:rPr>
          <w:rStyle w:val="FootnoteReference"/>
        </w:rPr>
        <w:footnoteRef/>
      </w:r>
      <w:r>
        <w:t xml:space="preserve">) </w:t>
      </w:r>
      <w:r>
        <w:tab/>
      </w:r>
      <w:hyperlink r:id="rId9" w:history="1">
        <w:r>
          <w:rPr>
            <w:rStyle w:val="Hyperlink"/>
          </w:rPr>
          <w:t>https://ec.europa.eu/commission/presscorner/detail/mt/inf_23_142</w:t>
        </w:r>
      </w:hyperlink>
      <w:r>
        <w:t xml:space="preserve"> </w:t>
      </w:r>
    </w:p>
  </w:footnote>
  <w:footnote w:id="14">
    <w:p w14:paraId="3297B795" w14:textId="226390C1" w:rsidR="00BA29A9" w:rsidRPr="004B497D" w:rsidRDefault="00444673" w:rsidP="004B497D">
      <w:pPr>
        <w:pStyle w:val="FootnoteText"/>
        <w:spacing w:after="0"/>
      </w:pPr>
      <w:r>
        <w:t>(</w:t>
      </w:r>
      <w:r>
        <w:rPr>
          <w:rStyle w:val="FootnoteReference"/>
        </w:rPr>
        <w:footnoteRef/>
      </w:r>
      <w:r>
        <w:t xml:space="preserve">) </w:t>
      </w:r>
      <w:r>
        <w:tab/>
        <w:t xml:space="preserve">Il-Kroazja naqset milli tissottometti l-inventarju tal-emissjonijiet tagħha fl-2023 u għalhekk irċeviet ittra ta’ intimazzjoni. Għalhekk ma tidhirx fil-valutazzjoni tal-konformità għall-emissjonijiet tal-2021. </w:t>
      </w:r>
    </w:p>
  </w:footnote>
  <w:footnote w:id="15">
    <w:p w14:paraId="5683096E" w14:textId="60B4F4E8" w:rsidR="00B44CAB" w:rsidRPr="00802816" w:rsidRDefault="00444673" w:rsidP="002345CD">
      <w:pPr>
        <w:pStyle w:val="FootnoteText"/>
        <w:spacing w:after="0"/>
      </w:pPr>
      <w:r>
        <w:t>(</w:t>
      </w:r>
      <w:r>
        <w:rPr>
          <w:rStyle w:val="FootnoteReference"/>
        </w:rPr>
        <w:footnoteRef/>
      </w:r>
      <w:r>
        <w:t xml:space="preserve">) </w:t>
      </w:r>
      <w:r>
        <w:tab/>
        <w:t>Il-Lussemburgu, il-Polonja u r-Rumanija.</w:t>
      </w:r>
    </w:p>
  </w:footnote>
  <w:footnote w:id="16">
    <w:p w14:paraId="4154F51D" w14:textId="19245C59" w:rsidR="00B44CAB" w:rsidRPr="00802816" w:rsidRDefault="00444673" w:rsidP="002345CD">
      <w:pPr>
        <w:pStyle w:val="FootnoteText"/>
        <w:spacing w:after="0"/>
      </w:pPr>
      <w:r>
        <w:t>(</w:t>
      </w:r>
      <w:r>
        <w:rPr>
          <w:rStyle w:val="FootnoteReference"/>
        </w:rPr>
        <w:footnoteRef/>
      </w:r>
      <w:r>
        <w:t xml:space="preserve">) </w:t>
      </w:r>
      <w:r>
        <w:tab/>
        <w:t xml:space="preserve">Il-Bulgarija, Ċipru, l-Irlanda, l-Ungerija, il-Latvja, il-Litwanja, l-Awstrija, il-Portugall u l-Iżvezja. </w:t>
      </w:r>
    </w:p>
  </w:footnote>
  <w:footnote w:id="17">
    <w:p w14:paraId="30B37D29" w14:textId="55021EC7" w:rsidR="00CA57F6" w:rsidRPr="00B818D9" w:rsidRDefault="00444673" w:rsidP="004B497D">
      <w:pPr>
        <w:pStyle w:val="FootnoteText"/>
        <w:spacing w:after="0"/>
      </w:pPr>
      <w:r>
        <w:t>(</w:t>
      </w:r>
      <w:r>
        <w:rPr>
          <w:rStyle w:val="FootnoteReference"/>
        </w:rPr>
        <w:footnoteRef/>
      </w:r>
      <w:r>
        <w:t xml:space="preserve">) </w:t>
      </w:r>
      <w:r>
        <w:tab/>
        <w:t>Il-pakkett ta’ ksur ta’ Novembru (</w:t>
      </w:r>
      <w:hyperlink r:id="rId10" w:history="1">
        <w:r>
          <w:rPr>
            <w:rStyle w:val="Hyperlink"/>
          </w:rPr>
          <w:t>https://ec.europa.eu/commission/presscorner/detail/mt/inf_23_5380</w:t>
        </w:r>
      </w:hyperlink>
      <w:r>
        <w:t>).</w:t>
      </w:r>
    </w:p>
  </w:footnote>
  <w:footnote w:id="18">
    <w:p w14:paraId="3E295F00" w14:textId="42659E98" w:rsidR="0077671A" w:rsidRPr="00B818D9" w:rsidRDefault="00444673" w:rsidP="0077671A">
      <w:pPr>
        <w:pStyle w:val="FootnoteText"/>
        <w:spacing w:after="0"/>
      </w:pPr>
      <w:r>
        <w:t>(</w:t>
      </w:r>
      <w:r>
        <w:rPr>
          <w:rStyle w:val="FootnoteReference"/>
        </w:rPr>
        <w:footnoteRef/>
      </w:r>
      <w:r>
        <w:t xml:space="preserve">) </w:t>
      </w:r>
      <w:r>
        <w:tab/>
        <w:t xml:space="preserve">Ara: </w:t>
      </w:r>
      <w:hyperlink r:id="rId11" w:anchor="review-of-national-emission-inventories" w:history="1">
        <w:r>
          <w:rPr>
            <w:rStyle w:val="Hyperlink"/>
          </w:rPr>
          <w:t>https://environment.ec.europa.eu/topics/air/reducing-emissions-air-pollutants/emissions-inventories_en#review-of-national-emission-inventories</w:t>
        </w:r>
      </w:hyperlink>
      <w:r>
        <w:t xml:space="preserve"> </w:t>
      </w:r>
    </w:p>
  </w:footnote>
  <w:footnote w:id="19">
    <w:p w14:paraId="2F1FF9A5" w14:textId="6203B9AE" w:rsidR="00674506" w:rsidRPr="00674506" w:rsidRDefault="00444673" w:rsidP="00674506">
      <w:pPr>
        <w:pStyle w:val="FootnoteText"/>
        <w:spacing w:after="0"/>
      </w:pPr>
      <w:r>
        <w:t>(</w:t>
      </w:r>
      <w:r>
        <w:rPr>
          <w:rStyle w:val="FootnoteReference"/>
        </w:rPr>
        <w:footnoteRef/>
      </w:r>
      <w:r>
        <w:t xml:space="preserve">) </w:t>
      </w:r>
      <w:r>
        <w:tab/>
        <w:t xml:space="preserve">Ara l-valutazzjoni għall-UE kollha fir-rapport ta’ rieżami orizzontali: </w:t>
      </w:r>
      <w:hyperlink r:id="rId12" w:history="1">
        <w:r>
          <w:rPr>
            <w:rStyle w:val="Hyperlink"/>
          </w:rPr>
          <w:t>https://circabc.europa.eu/ui/group/cd69a4b9-1a68-4d6c-9c48-77c0399f225d/library/a43a894a-191f-42c1-bb45-5dfc696ebdb3/details?download=true</w:t>
        </w:r>
      </w:hyperlink>
      <w:r>
        <w:t xml:space="preserve"> </w:t>
      </w:r>
    </w:p>
  </w:footnote>
  <w:footnote w:id="20">
    <w:p w14:paraId="001712F0" w14:textId="4D6395F4" w:rsidR="00614A55" w:rsidRDefault="00444673" w:rsidP="006955D2">
      <w:pPr>
        <w:pStyle w:val="FootnoteText"/>
        <w:spacing w:after="0"/>
      </w:pPr>
      <w:r>
        <w:t>(</w:t>
      </w:r>
      <w:r>
        <w:rPr>
          <w:rStyle w:val="FootnoteReference"/>
        </w:rPr>
        <w:footnoteRef/>
      </w:r>
      <w:r>
        <w:t xml:space="preserve">) </w:t>
      </w:r>
      <w:r>
        <w:tab/>
        <w:t>L-Artikolu 10(2) jirreferi għall-Anness I, it-Tabella C tad-Direttiva (UE) 2016/2284 li tagħti dettalji dwar ir-rekwiżiti ta’ rapportar għall-emissjonijiet u l-projezzjonijiet.</w:t>
      </w:r>
    </w:p>
  </w:footnote>
  <w:footnote w:id="21">
    <w:p w14:paraId="103E26A8" w14:textId="6BD360AE" w:rsidR="00614A55" w:rsidRDefault="00444673" w:rsidP="006955D2">
      <w:pPr>
        <w:pStyle w:val="FootnoteText"/>
        <w:spacing w:after="0"/>
      </w:pPr>
      <w:r>
        <w:t>(</w:t>
      </w:r>
      <w:r>
        <w:rPr>
          <w:rStyle w:val="FootnoteReference"/>
        </w:rPr>
        <w:footnoteRef/>
      </w:r>
      <w:r>
        <w:t xml:space="preserve">) </w:t>
      </w:r>
      <w:r>
        <w:tab/>
        <w:t>L-Artikolu 8(5) tad-Direttiva (UE) 2016/2284 jirreferi għall-Anness IV, il-Parti 2 li tagħti dettalji dwar ir-rekwiżiti għall-projezzjonijiet.</w:t>
      </w:r>
    </w:p>
  </w:footnote>
  <w:footnote w:id="22">
    <w:p w14:paraId="618073BD" w14:textId="01C32C46" w:rsidR="00C23DB5" w:rsidRPr="00C70904" w:rsidRDefault="00444673" w:rsidP="00C23DB5">
      <w:pPr>
        <w:pStyle w:val="FootnoteText"/>
        <w:spacing w:after="0"/>
      </w:pPr>
      <w:r>
        <w:t>(</w:t>
      </w:r>
      <w:r>
        <w:rPr>
          <w:rStyle w:val="FootnoteReference"/>
        </w:rPr>
        <w:footnoteRef/>
      </w:r>
      <w:r>
        <w:t xml:space="preserve">) </w:t>
      </w:r>
      <w:r>
        <w:tab/>
        <w:t>COM(2022) 673 final.</w:t>
      </w:r>
    </w:p>
  </w:footnote>
  <w:footnote w:id="23">
    <w:p w14:paraId="6EAEAE74" w14:textId="6B243574" w:rsidR="000E684C" w:rsidRPr="000E684C" w:rsidRDefault="00444673" w:rsidP="002D7248">
      <w:pPr>
        <w:pStyle w:val="FootnoteText"/>
        <w:spacing w:after="0"/>
      </w:pPr>
      <w:r>
        <w:t>(</w:t>
      </w:r>
      <w:r>
        <w:rPr>
          <w:rStyle w:val="FootnoteReference"/>
        </w:rPr>
        <w:footnoteRef/>
      </w:r>
      <w:r>
        <w:t xml:space="preserve">) </w:t>
      </w:r>
      <w:r>
        <w:tab/>
        <w:t xml:space="preserve">Il-Kroazja ma ssottomettietx projezzjonijiet fl-2023 (u għalhekk irċeviet ittra ta’ intimazzjoni), filwaqt li Spanja, l-Ungerija u s-Slovenja ssottomettew il-projezzjonijiet tard wisq (wara l-15 ta’ Mejju 2023, jiġifieri xahrejn wara l-iskadenza tar-rapportar legali) u l-Portugall issottometta mill-ġdid is-sottomissjoni tiegħu tal-2021. Għalhekk, dawn is-sottomissjonijiet ma setgħux jiġu vverifikati għall-kwalità bħala parti mir-rieżami tekniku dettaljat u mhumiex inklużi fis-sommarju hawnhekk. Peress li l-Ġermanja ssottomettiet il-projezzjonijiet tagħha wara s-26 ta’ April 2023 iżda qabel il-15 ta’ Mejju 2023, is-sottomissjoni tagħha ġiet rieżaminata, iżda f’inqas dettall. </w:t>
      </w:r>
    </w:p>
  </w:footnote>
  <w:footnote w:id="24">
    <w:p w14:paraId="735425CB" w14:textId="72333CBF" w:rsidR="005153F7" w:rsidRPr="00894E20" w:rsidRDefault="00444673" w:rsidP="002D7248">
      <w:pPr>
        <w:pStyle w:val="FootnoteText"/>
        <w:spacing w:after="0"/>
      </w:pPr>
      <w:r>
        <w:t>(</w:t>
      </w:r>
      <w:r>
        <w:rPr>
          <w:rStyle w:val="FootnoteReference"/>
        </w:rPr>
        <w:footnoteRef/>
      </w:r>
      <w:r>
        <w:t xml:space="preserve">) </w:t>
      </w:r>
      <w:r>
        <w:tab/>
        <w:t xml:space="preserve">Sommarju dettaljat tar-rieżami tal-2023 tal-projezzjonijiet huwa disponibbli fir- </w:t>
      </w:r>
      <w:hyperlink r:id="rId13" w:history="1">
        <w:r>
          <w:rPr>
            <w:rStyle w:val="Hyperlink"/>
          </w:rPr>
          <w:t>rapport ta’ rieżami orizzontali</w:t>
        </w:r>
      </w:hyperlink>
      <w:r>
        <w:t>.</w:t>
      </w:r>
    </w:p>
  </w:footnote>
  <w:footnote w:id="25">
    <w:p w14:paraId="3B5DA79E" w14:textId="04B8CA8D" w:rsidR="00614A55" w:rsidRDefault="00444673" w:rsidP="006955D2">
      <w:pPr>
        <w:pStyle w:val="FootnoteText"/>
        <w:spacing w:after="0"/>
      </w:pPr>
      <w:r>
        <w:t>(</w:t>
      </w:r>
      <w:r>
        <w:rPr>
          <w:rStyle w:val="FootnoteReference"/>
        </w:rPr>
        <w:footnoteRef/>
      </w:r>
      <w:r>
        <w:t xml:space="preserve">) </w:t>
      </w:r>
      <w:r>
        <w:tab/>
        <w:t xml:space="preserve">Il-Belġju, il-Bulgarija, Ċipru, iċ-Ċekja, il-Ġermanja, id-Danimarka, Franza, il-Greċja, l-Italja, Malta, in-Netherlands, is-Slovakkja u l-Finlandja. </w:t>
      </w:r>
    </w:p>
  </w:footnote>
  <w:footnote w:id="26">
    <w:p w14:paraId="12F41C75" w14:textId="67239F85" w:rsidR="00614A55" w:rsidRDefault="00444673" w:rsidP="006955D2">
      <w:pPr>
        <w:pStyle w:val="FootnoteText"/>
        <w:spacing w:after="0"/>
      </w:pPr>
      <w:r>
        <w:t>(</w:t>
      </w:r>
      <w:r>
        <w:rPr>
          <w:rStyle w:val="FootnoteReference"/>
        </w:rPr>
        <w:footnoteRef/>
      </w:r>
      <w:r>
        <w:t xml:space="preserve">) </w:t>
      </w:r>
      <w:r>
        <w:tab/>
        <w:t>Il-Belġju, Ċipru, iċ-Ċekja, id-Danimarka, il-Greċja, l-Italja, in-Netherlands u l-Finlandja.</w:t>
      </w:r>
    </w:p>
  </w:footnote>
  <w:footnote w:id="27">
    <w:p w14:paraId="39F45D6A" w14:textId="311E29DE" w:rsidR="00614A55" w:rsidRDefault="00444673" w:rsidP="006955D2">
      <w:pPr>
        <w:pStyle w:val="FootnoteText"/>
        <w:spacing w:after="0"/>
      </w:pPr>
      <w:r>
        <w:t>(</w:t>
      </w:r>
      <w:r>
        <w:rPr>
          <w:rStyle w:val="FootnoteReference"/>
        </w:rPr>
        <w:footnoteRef/>
      </w:r>
      <w:r>
        <w:t xml:space="preserve">) </w:t>
      </w:r>
      <w:r>
        <w:tab/>
        <w:t>L-Awstrija u l-Iżvezja.</w:t>
      </w:r>
    </w:p>
  </w:footnote>
  <w:footnote w:id="28">
    <w:p w14:paraId="6EB08C16" w14:textId="5CAB9F3C" w:rsidR="00614A55" w:rsidRDefault="00444673" w:rsidP="006955D2">
      <w:pPr>
        <w:pStyle w:val="FootnoteText"/>
        <w:spacing w:after="0"/>
      </w:pPr>
      <w:r>
        <w:t>(</w:t>
      </w:r>
      <w:r>
        <w:rPr>
          <w:rStyle w:val="FootnoteReference"/>
        </w:rPr>
        <w:footnoteRef/>
      </w:r>
      <w:r>
        <w:t xml:space="preserve">) </w:t>
      </w:r>
      <w:r>
        <w:tab/>
        <w:t>Ara l-Kapitolu 3.3 fir-</w:t>
      </w:r>
      <w:hyperlink r:id="rId14" w:history="1">
        <w:r>
          <w:rPr>
            <w:rStyle w:val="Hyperlink"/>
          </w:rPr>
          <w:t>rapport ta’ rieżami orizzontali</w:t>
        </w:r>
      </w:hyperlink>
      <w:r>
        <w:t xml:space="preserve"> tal-2023.</w:t>
      </w:r>
    </w:p>
  </w:footnote>
  <w:footnote w:id="29">
    <w:p w14:paraId="43434EFE" w14:textId="4F44F2CD" w:rsidR="00C905F5" w:rsidRPr="00E303D1" w:rsidRDefault="00444673" w:rsidP="002D7248">
      <w:pPr>
        <w:pStyle w:val="FootnoteText"/>
        <w:spacing w:after="0"/>
      </w:pPr>
      <w:r>
        <w:t>(</w:t>
      </w:r>
      <w:r>
        <w:rPr>
          <w:rStyle w:val="FootnoteReference"/>
        </w:rPr>
        <w:footnoteRef/>
      </w:r>
      <w:r>
        <w:t xml:space="preserve">) </w:t>
      </w:r>
      <w:r>
        <w:tab/>
        <w:t xml:space="preserve">Għall-2025: l-Estonja, l-Irlanda, il-Litwanja u l-Polonja. Għall-2030: il-Bulgarija, l-Irlanda, il-Lussemburgu u Malta. </w:t>
      </w:r>
    </w:p>
  </w:footnote>
  <w:footnote w:id="30">
    <w:p w14:paraId="2D359D54" w14:textId="49BB8CF1" w:rsidR="00C964E1" w:rsidRPr="002D7248" w:rsidRDefault="00444673" w:rsidP="002D7248">
      <w:pPr>
        <w:pStyle w:val="FootnoteText"/>
        <w:spacing w:after="0"/>
      </w:pPr>
      <w:r>
        <w:t>(</w:t>
      </w:r>
      <w:r>
        <w:rPr>
          <w:rStyle w:val="FootnoteReference"/>
        </w:rPr>
        <w:footnoteRef/>
      </w:r>
      <w:r>
        <w:t xml:space="preserve">) </w:t>
      </w:r>
      <w:r>
        <w:tab/>
        <w:t>Il-Belġju, Ċipru, iċ-Ċekja, id-Danimarka, il-Greċja, l-Italja, in-Netherlands u l-Finlandja.</w:t>
      </w:r>
    </w:p>
  </w:footnote>
  <w:footnote w:id="31">
    <w:p w14:paraId="1E8B4809" w14:textId="6C35145D" w:rsidR="00423057" w:rsidRPr="006265D3" w:rsidRDefault="00444673" w:rsidP="00423057">
      <w:pPr>
        <w:pStyle w:val="FootnoteText"/>
        <w:spacing w:after="0"/>
      </w:pPr>
      <w:r>
        <w:t>(</w:t>
      </w:r>
      <w:r>
        <w:rPr>
          <w:rStyle w:val="FootnoteReference"/>
        </w:rPr>
        <w:footnoteRef/>
      </w:r>
      <w:r>
        <w:t xml:space="preserve">) </w:t>
      </w:r>
      <w:r>
        <w:tab/>
        <w:t xml:space="preserve">Ara: </w:t>
      </w:r>
      <w:hyperlink r:id="rId15" w:history="1">
        <w:r>
          <w:rPr>
            <w:rStyle w:val="Hyperlink"/>
          </w:rPr>
          <w:t>https://environment.ec.europa.eu/topics/air/reducing-emissions-air-pollutants/national-air-pollution-control-programmes-and-projections_en</w:t>
        </w:r>
      </w:hyperlink>
      <w:r>
        <w:t xml:space="preserve">  </w:t>
      </w:r>
    </w:p>
  </w:footnote>
  <w:footnote w:id="32">
    <w:p w14:paraId="14D053C8" w14:textId="06176716" w:rsidR="00D65CCB" w:rsidRPr="00D65CCB" w:rsidRDefault="00571DA9" w:rsidP="00571DA9">
      <w:pPr>
        <w:pStyle w:val="FootnoteText"/>
        <w:spacing w:after="0"/>
      </w:pPr>
      <w:r>
        <w:t>(</w:t>
      </w:r>
      <w:r>
        <w:rPr>
          <w:rStyle w:val="FootnoteReference"/>
        </w:rPr>
        <w:footnoteRef/>
      </w:r>
      <w:r>
        <w:t xml:space="preserve">) </w:t>
      </w:r>
      <w:r>
        <w:tab/>
        <w:t>Id-Direttiva Delegata tal-Kummissjoni (UE) 2024/299 tas-27 ta’ Ottubru 2023 li temenda d-Direttiva (UE) 2016/2284 tal-Parlament Ewropew u tal-Kunsill dwar il-metodoloġija għar-rapportar tal-emissjonijiet projettati ta’ ċerti inkwinanti atmosferiċi.</w:t>
      </w:r>
    </w:p>
  </w:footnote>
  <w:footnote w:id="33">
    <w:p w14:paraId="2D7DE345" w14:textId="454A7BFE" w:rsidR="00452454" w:rsidRPr="00DA30F3" w:rsidRDefault="00444673" w:rsidP="00452454">
      <w:pPr>
        <w:pStyle w:val="FootnoteText"/>
        <w:spacing w:after="0"/>
      </w:pPr>
      <w:r>
        <w:t>(</w:t>
      </w:r>
      <w:r>
        <w:rPr>
          <w:rStyle w:val="FootnoteReference"/>
        </w:rPr>
        <w:footnoteRef/>
      </w:r>
      <w:r>
        <w:t xml:space="preserve">) </w:t>
      </w:r>
      <w:r>
        <w:tab/>
        <w:t xml:space="preserve">Il-mudell tal-Anness IV huwa disponibbli hawnhekk: </w:t>
      </w:r>
      <w:hyperlink r:id="rId16" w:history="1">
        <w:r>
          <w:rPr>
            <w:rStyle w:val="Hyperlink"/>
          </w:rPr>
          <w:t>https://www.ceip.at/reporting-instructions/annexes-to-the-2023-reporting-guidelines</w:t>
        </w:r>
      </w:hyperlink>
      <w:r>
        <w:t>.</w:t>
      </w:r>
    </w:p>
  </w:footnote>
  <w:footnote w:id="34">
    <w:p w14:paraId="10082EEA" w14:textId="71E8F27B" w:rsidR="00614A55" w:rsidRDefault="00444673" w:rsidP="00454561">
      <w:pPr>
        <w:pStyle w:val="FootnoteText"/>
        <w:spacing w:after="0"/>
      </w:pPr>
      <w:r>
        <w:t>(</w:t>
      </w:r>
      <w:r>
        <w:rPr>
          <w:rStyle w:val="FootnoteReference"/>
        </w:rPr>
        <w:footnoteRef/>
      </w:r>
      <w:r>
        <w:t xml:space="preserve">) </w:t>
      </w:r>
      <w:r>
        <w:tab/>
        <w:t>Id-Deċiżjoni ta’ Implimentazzjoni tal-Kummissjoni (UE) 2018/1522 tal-11 ta’ Ottubru 2018 li tistabbilixxi format komuni għall-programmi nazzjonali għall-kontroll tat-tniġġis tal-arja skont id-Direttiva (UE) 2016/2284 tal-Parlament Ewropew u tal-Kunsill dwar it-tnaqqis tal-emissjonijiet nazzjonali ta’ ċerti inkwinanti atmosferiċi, ĠU L 256, 12.10.2018, p. 87.</w:t>
      </w:r>
    </w:p>
  </w:footnote>
  <w:footnote w:id="35">
    <w:p w14:paraId="24FC9097" w14:textId="2E5D5CD8" w:rsidR="00614A55" w:rsidRDefault="00444673" w:rsidP="00454561">
      <w:pPr>
        <w:pStyle w:val="FootnoteText"/>
        <w:spacing w:after="0"/>
      </w:pPr>
      <w:r>
        <w:t>(</w:t>
      </w:r>
      <w:r>
        <w:rPr>
          <w:rStyle w:val="FootnoteReference"/>
        </w:rPr>
        <w:footnoteRef/>
      </w:r>
      <w:r>
        <w:t xml:space="preserve">) </w:t>
      </w:r>
      <w:r>
        <w:tab/>
        <w:t xml:space="preserve">Il-Komunikazzjoni tal-Kummissjoni - Gwida għall-iżvilupp ta’ Programmi Nazzjonali għall-Kontroll tat-Tniġġis tal-Arja fil-qafas tad-Direttiva (UE) 2016/2284 tal-Parlament Ewropew u tal-Kunsill dwar it-tnaqqis tal-emissjonijiet nazzjonali ta’ ċerti inkwinanti atmosferiċi, ĠU C 77, 1.3.2019, p. 1. </w:t>
      </w:r>
    </w:p>
  </w:footnote>
  <w:footnote w:id="36">
    <w:p w14:paraId="6D158788" w14:textId="157D7C52" w:rsidR="00452454" w:rsidRPr="00452454" w:rsidRDefault="00444673" w:rsidP="00452454">
      <w:pPr>
        <w:pStyle w:val="FootnoteText"/>
        <w:spacing w:after="0"/>
      </w:pPr>
      <w:r>
        <w:t>(</w:t>
      </w:r>
      <w:r>
        <w:rPr>
          <w:rStyle w:val="FootnoteReference"/>
        </w:rPr>
        <w:footnoteRef/>
      </w:r>
      <w:r>
        <w:t xml:space="preserve">) </w:t>
      </w:r>
      <w:r>
        <w:tab/>
        <w:t xml:space="preserve">Peress li mhux l-Istati Membri kollha ssottomettew l-ewwel NAPCPs tagħhom sal-iskadenza tal-1 ta’ April 2019, l-aġġornamenti tal-NAPCP xorta se jiġu sottomessi matul l-2024 (u aktar tard) f’konformità mar-rekwiżit ta’ aġġornament kull 4 snin. </w:t>
      </w:r>
    </w:p>
  </w:footnote>
  <w:footnote w:id="37">
    <w:p w14:paraId="105346C3" w14:textId="4FE31F86" w:rsidR="00BE0DD3" w:rsidRPr="00BE0DD3" w:rsidRDefault="00444673" w:rsidP="00B420FD">
      <w:pPr>
        <w:pStyle w:val="FootnoteText"/>
        <w:spacing w:after="0"/>
      </w:pPr>
      <w:r>
        <w:t>(</w:t>
      </w:r>
      <w:r>
        <w:rPr>
          <w:rStyle w:val="FootnoteReference"/>
        </w:rPr>
        <w:footnoteRef/>
      </w:r>
      <w:r>
        <w:t xml:space="preserve">) </w:t>
      </w:r>
      <w:r>
        <w:tab/>
        <w:t>Il-Greċja, Malta u r-Rumanija.</w:t>
      </w:r>
    </w:p>
  </w:footnote>
  <w:footnote w:id="38">
    <w:p w14:paraId="55EC8768" w14:textId="39315CCF" w:rsidR="00B420FD" w:rsidRPr="00B420FD" w:rsidRDefault="00444673" w:rsidP="00B420FD">
      <w:pPr>
        <w:pStyle w:val="FootnoteText"/>
        <w:spacing w:after="0"/>
      </w:pPr>
      <w:r>
        <w:t>(</w:t>
      </w:r>
      <w:r>
        <w:rPr>
          <w:rStyle w:val="FootnoteReference"/>
        </w:rPr>
        <w:footnoteRef/>
      </w:r>
      <w:r>
        <w:t xml:space="preserve">) </w:t>
      </w:r>
      <w:r>
        <w:tab/>
        <w:t>L-Italja u l-Lussemburgu.</w:t>
      </w:r>
    </w:p>
  </w:footnote>
  <w:footnote w:id="39">
    <w:p w14:paraId="37D03E84" w14:textId="1D98483E" w:rsidR="00C4351C" w:rsidRPr="00C4351C" w:rsidRDefault="00444673" w:rsidP="004D289E">
      <w:pPr>
        <w:pStyle w:val="FootnoteText"/>
        <w:spacing w:after="0"/>
      </w:pPr>
      <w:r>
        <w:t>(</w:t>
      </w:r>
      <w:r>
        <w:rPr>
          <w:rStyle w:val="FootnoteReference"/>
        </w:rPr>
        <w:footnoteRef/>
      </w:r>
      <w:r>
        <w:t xml:space="preserve">) </w:t>
      </w:r>
      <w:r>
        <w:tab/>
        <w:t xml:space="preserve">L-analiżi tal-NAPCPs inkluża f’dan ir-rapport issegwi </w:t>
      </w:r>
      <w:hyperlink r:id="rId17" w:history="1">
        <w:r>
          <w:rPr>
            <w:rStyle w:val="Hyperlink"/>
          </w:rPr>
          <w:t xml:space="preserve"> r-rapport ta’ rieżami orizzontali interim tal-2023 tal-NAPCPs,</w:t>
        </w:r>
      </w:hyperlink>
      <w:r>
        <w:t xml:space="preserve"> li ġie ffinalizzat f’Diċembru 2023. </w:t>
      </w:r>
    </w:p>
  </w:footnote>
  <w:footnote w:id="40">
    <w:p w14:paraId="35D0DA7F" w14:textId="2FB753CB" w:rsidR="002449DA" w:rsidRPr="00020904" w:rsidRDefault="00444673" w:rsidP="002449DA">
      <w:pPr>
        <w:pStyle w:val="FootnoteText"/>
        <w:spacing w:after="0"/>
      </w:pPr>
      <w:r>
        <w:t>(</w:t>
      </w:r>
      <w:r>
        <w:rPr>
          <w:rStyle w:val="FootnoteReference"/>
        </w:rPr>
        <w:footnoteRef/>
      </w:r>
      <w:r>
        <w:t xml:space="preserve">) </w:t>
      </w:r>
      <w:r>
        <w:tab/>
        <w:t xml:space="preserve">Il-Belġju, Ċipru, il-Finlandja, Franza, il-Greċja u l-Lussemburgu. </w:t>
      </w:r>
    </w:p>
  </w:footnote>
  <w:footnote w:id="41">
    <w:p w14:paraId="285B0C43" w14:textId="271651C3" w:rsidR="002449DA" w:rsidRPr="00783DF2" w:rsidRDefault="00444673" w:rsidP="002449DA">
      <w:pPr>
        <w:pStyle w:val="FootnoteText"/>
        <w:spacing w:after="0"/>
      </w:pPr>
      <w:r>
        <w:t>(</w:t>
      </w:r>
      <w:r>
        <w:rPr>
          <w:rStyle w:val="FootnoteReference"/>
        </w:rPr>
        <w:footnoteRef/>
      </w:r>
      <w:r>
        <w:t xml:space="preserve">) </w:t>
      </w:r>
      <w:r>
        <w:tab/>
        <w:t>Id-Danimarka, ir-Rumanija u l-Italja.</w:t>
      </w:r>
    </w:p>
  </w:footnote>
  <w:footnote w:id="42">
    <w:p w14:paraId="47F21CD0" w14:textId="37E28D31" w:rsidR="002449DA" w:rsidRPr="00783DF2" w:rsidRDefault="00444673" w:rsidP="002449DA">
      <w:pPr>
        <w:pStyle w:val="FootnoteText"/>
        <w:spacing w:after="0"/>
      </w:pPr>
      <w:r>
        <w:t>(</w:t>
      </w:r>
      <w:r>
        <w:rPr>
          <w:rStyle w:val="FootnoteReference"/>
        </w:rPr>
        <w:footnoteRef/>
      </w:r>
      <w:r>
        <w:t xml:space="preserve">) </w:t>
      </w:r>
      <w:r>
        <w:tab/>
        <w:t xml:space="preserve">L-Estonja. </w:t>
      </w:r>
    </w:p>
  </w:footnote>
  <w:footnote w:id="43">
    <w:p w14:paraId="2E48336D" w14:textId="26E872A5" w:rsidR="002449DA" w:rsidRDefault="00444673" w:rsidP="002449DA">
      <w:pPr>
        <w:pStyle w:val="FootnoteText"/>
        <w:spacing w:after="0"/>
      </w:pPr>
      <w:r>
        <w:t>(</w:t>
      </w:r>
      <w:r>
        <w:rPr>
          <w:rStyle w:val="FootnoteReference"/>
        </w:rPr>
        <w:footnoteRef/>
      </w:r>
      <w:r>
        <w:t xml:space="preserve">) </w:t>
      </w:r>
      <w:r>
        <w:tab/>
        <w:t>Id-Direttiva 2003/35/KE tal-Parlament Ewropew u tal-Kunsill tas-26 ta’ Mejju 2003 li tipprovdi għall-parteċipazzjoni pubblika rigward it-tfassil ta’ ċerti pjani u programmi li għandhom x’jaqsmu mal-ambjent, ĠU L 156, 25.6.2003, p. 17.</w:t>
      </w:r>
    </w:p>
  </w:footnote>
  <w:footnote w:id="44">
    <w:p w14:paraId="201A539B" w14:textId="1E4B7677" w:rsidR="00933571" w:rsidRPr="0001791F" w:rsidRDefault="00444673" w:rsidP="0001791F">
      <w:pPr>
        <w:pStyle w:val="FootnoteText"/>
        <w:spacing w:after="0"/>
      </w:pPr>
      <w:r>
        <w:t>(</w:t>
      </w:r>
      <w:r>
        <w:rPr>
          <w:rStyle w:val="FootnoteReference"/>
        </w:rPr>
        <w:footnoteRef/>
      </w:r>
      <w:r>
        <w:t xml:space="preserve">) </w:t>
      </w:r>
      <w:r>
        <w:tab/>
        <w:t>Il-Lussemburgu, ir-Rumanija u l-Greċja.</w:t>
      </w:r>
    </w:p>
  </w:footnote>
  <w:footnote w:id="45">
    <w:p w14:paraId="53971EA2" w14:textId="7428CF8F" w:rsidR="00C03AC1" w:rsidRPr="00802816" w:rsidRDefault="00020904" w:rsidP="00802816">
      <w:pPr>
        <w:pStyle w:val="FootnoteText"/>
        <w:spacing w:after="0"/>
      </w:pPr>
      <w:r>
        <w:t>(</w:t>
      </w:r>
      <w:r>
        <w:rPr>
          <w:rStyle w:val="FootnoteReference"/>
        </w:rPr>
        <w:footnoteRef/>
      </w:r>
      <w:r>
        <w:t xml:space="preserve">) </w:t>
      </w:r>
      <w:r>
        <w:tab/>
        <w:t>L-Italja.</w:t>
      </w:r>
    </w:p>
  </w:footnote>
  <w:footnote w:id="46">
    <w:p w14:paraId="582F558D" w14:textId="469FA5C2" w:rsidR="00A84280" w:rsidRPr="00A84280" w:rsidRDefault="00444673" w:rsidP="0001791F">
      <w:pPr>
        <w:pStyle w:val="FootnoteText"/>
        <w:spacing w:after="0"/>
      </w:pPr>
      <w:r>
        <w:t>(</w:t>
      </w:r>
      <w:r>
        <w:rPr>
          <w:rStyle w:val="FootnoteReference"/>
        </w:rPr>
        <w:footnoteRef/>
      </w:r>
      <w:r>
        <w:t xml:space="preserve">) </w:t>
      </w:r>
      <w:r>
        <w:tab/>
        <w:t>Id-Danimarka u l-Finlandja.</w:t>
      </w:r>
    </w:p>
  </w:footnote>
  <w:footnote w:id="47">
    <w:p w14:paraId="0ECA283E" w14:textId="28B0BCC6" w:rsidR="00776D27" w:rsidRPr="0001791F" w:rsidRDefault="00444673" w:rsidP="0001791F">
      <w:pPr>
        <w:pStyle w:val="FootnoteText"/>
        <w:spacing w:after="0"/>
      </w:pPr>
      <w:r>
        <w:t>(</w:t>
      </w:r>
      <w:r>
        <w:rPr>
          <w:rStyle w:val="FootnoteReference"/>
        </w:rPr>
        <w:footnoteRef/>
      </w:r>
      <w:r>
        <w:t xml:space="preserve">) </w:t>
      </w:r>
      <w:r>
        <w:tab/>
        <w:t>Franza.</w:t>
      </w:r>
    </w:p>
  </w:footnote>
  <w:footnote w:id="48">
    <w:p w14:paraId="76E7050F" w14:textId="7931BA65" w:rsidR="004D764D" w:rsidRPr="00776D27" w:rsidRDefault="00444673" w:rsidP="0001791F">
      <w:pPr>
        <w:pStyle w:val="FootnoteText"/>
        <w:spacing w:after="0"/>
      </w:pPr>
      <w:r>
        <w:t>(</w:t>
      </w:r>
      <w:r>
        <w:rPr>
          <w:rStyle w:val="FootnoteReference"/>
        </w:rPr>
        <w:footnoteRef/>
      </w:r>
      <w:r>
        <w:t xml:space="preserve">) </w:t>
      </w:r>
      <w:r>
        <w:tab/>
        <w:t>Il-Belġju, Ċipru u l-Estonja.</w:t>
      </w:r>
    </w:p>
  </w:footnote>
  <w:footnote w:id="49">
    <w:p w14:paraId="09202017" w14:textId="095C61F1" w:rsidR="002449DA" w:rsidRDefault="00444673" w:rsidP="002449DA">
      <w:pPr>
        <w:pStyle w:val="FootnoteText"/>
        <w:spacing w:after="0"/>
      </w:pPr>
      <w:r>
        <w:t>(</w:t>
      </w:r>
      <w:r>
        <w:rPr>
          <w:rStyle w:val="FootnoteReference"/>
        </w:rPr>
        <w:footnoteRef/>
      </w:r>
      <w:r>
        <w:t xml:space="preserve">) </w:t>
      </w:r>
      <w:r>
        <w:tab/>
        <w:t>Il-Belġju, Ċipru, id-Danimarka, l-Estonja, il-Finlandja, il-Greċja, l-Italja u r-Rumanija.</w:t>
      </w:r>
    </w:p>
  </w:footnote>
  <w:footnote w:id="50">
    <w:p w14:paraId="4FE3DF8F" w14:textId="3826210F" w:rsidR="00E4073D" w:rsidRPr="00E4073D" w:rsidRDefault="00444673" w:rsidP="00C0777B">
      <w:pPr>
        <w:pStyle w:val="FootnoteText"/>
        <w:spacing w:after="0"/>
      </w:pPr>
      <w:r>
        <w:t>(</w:t>
      </w:r>
      <w:r>
        <w:rPr>
          <w:rStyle w:val="FootnoteReference"/>
        </w:rPr>
        <w:footnoteRef/>
      </w:r>
      <w:r>
        <w:t xml:space="preserve">) </w:t>
      </w:r>
      <w:r>
        <w:tab/>
        <w:t xml:space="preserve">Il-Belġju, id-Danimarka, l-Estonja, il-Finlandja, Franza u r-Rumanija. </w:t>
      </w:r>
    </w:p>
  </w:footnote>
  <w:footnote w:id="51">
    <w:p w14:paraId="06EFB060" w14:textId="29CF135E" w:rsidR="000E1655" w:rsidRPr="00783DF2" w:rsidRDefault="00444673" w:rsidP="00C0777B">
      <w:pPr>
        <w:pStyle w:val="FootnoteText"/>
        <w:spacing w:after="0"/>
      </w:pPr>
      <w:r>
        <w:t>(</w:t>
      </w:r>
      <w:r>
        <w:rPr>
          <w:rStyle w:val="FootnoteReference"/>
        </w:rPr>
        <w:footnoteRef/>
      </w:r>
      <w:r>
        <w:t xml:space="preserve">) </w:t>
      </w:r>
      <w:r>
        <w:tab/>
        <w:t xml:space="preserve">Ċipru, il-Greċja u l-Italja. </w:t>
      </w:r>
    </w:p>
  </w:footnote>
  <w:footnote w:id="52">
    <w:p w14:paraId="505900C0" w14:textId="0CDDB6E2" w:rsidR="001957B1" w:rsidRPr="00893ACC" w:rsidRDefault="00444673" w:rsidP="00C0777B">
      <w:pPr>
        <w:pStyle w:val="FootnoteText"/>
        <w:spacing w:after="0"/>
      </w:pPr>
      <w:r>
        <w:t>(</w:t>
      </w:r>
      <w:r>
        <w:rPr>
          <w:rStyle w:val="FootnoteReference"/>
        </w:rPr>
        <w:footnoteRef/>
      </w:r>
      <w:r>
        <w:t xml:space="preserve">) </w:t>
      </w:r>
      <w:r>
        <w:tab/>
        <w:t>Il-Lussemburgu.</w:t>
      </w:r>
    </w:p>
  </w:footnote>
  <w:footnote w:id="53">
    <w:p w14:paraId="662A740E" w14:textId="75A70350" w:rsidR="00657014" w:rsidRPr="00893ACC" w:rsidRDefault="00444673" w:rsidP="00657014">
      <w:pPr>
        <w:pStyle w:val="FootnoteText"/>
        <w:spacing w:after="0"/>
      </w:pPr>
      <w:r>
        <w:t>(</w:t>
      </w:r>
      <w:r>
        <w:rPr>
          <w:rStyle w:val="FootnoteReference"/>
        </w:rPr>
        <w:footnoteRef/>
      </w:r>
      <w:r>
        <w:t xml:space="preserve">) </w:t>
      </w:r>
      <w:r>
        <w:tab/>
      </w:r>
      <w:hyperlink r:id="rId18" w:history="1">
        <w:r>
          <w:rPr>
            <w:rStyle w:val="Hyperlink"/>
          </w:rPr>
          <w:t>https://environment.ec.europa.eu/topics/air/reducing-emissions-air-pollutants/national-air-pollution-control-programmes-and-projections_en</w:t>
        </w:r>
      </w:hyperlink>
      <w:r>
        <w:t xml:space="preserve"> </w:t>
      </w:r>
    </w:p>
  </w:footnote>
  <w:footnote w:id="54">
    <w:p w14:paraId="74FDED95" w14:textId="78D91329" w:rsidR="00DE2F36" w:rsidRPr="006718B5" w:rsidRDefault="00FA55B6" w:rsidP="00802816">
      <w:pPr>
        <w:pStyle w:val="FootnoteText"/>
        <w:spacing w:after="0"/>
      </w:pPr>
      <w:r>
        <w:t>(</w:t>
      </w:r>
      <w:r>
        <w:rPr>
          <w:rStyle w:val="FootnoteReference"/>
        </w:rPr>
        <w:footnoteRef/>
      </w:r>
      <w:r>
        <w:t xml:space="preserve">) </w:t>
      </w:r>
      <w:r>
        <w:tab/>
      </w:r>
      <w:hyperlink r:id="rId19" w:history="1">
        <w:r>
          <w:rPr>
            <w:rStyle w:val="Hyperlink"/>
          </w:rPr>
          <w:t>https://circabc.europa.eu/ui/group/cd69a4b9-1a68-4d6c-9c48-77c0399f225d/library/52f82bad-1dae-4ead-869c-d2bf757621f2/details</w:t>
        </w:r>
      </w:hyperlink>
      <w:r>
        <w:t xml:space="preserve"> (rieżami tan-NAPCP) u </w:t>
      </w:r>
      <w:hyperlink r:id="rId20" w:history="1">
        <w:r>
          <w:rPr>
            <w:rStyle w:val="Hyperlink"/>
          </w:rPr>
          <w:t>https://www.eea.europa.eu/data-and-maps/dashboards/overview-of-compliant-air-pollution-policies</w:t>
        </w:r>
      </w:hyperlink>
      <w:r>
        <w:t xml:space="preserve"> (dashboard tal-politiki u l-miżuri tal-EEA).</w:t>
      </w:r>
    </w:p>
  </w:footnote>
  <w:footnote w:id="55">
    <w:p w14:paraId="5F5C2D2B" w14:textId="4C4618D5" w:rsidR="001B62C3" w:rsidRPr="001B62C3" w:rsidRDefault="00444673" w:rsidP="005F0659">
      <w:pPr>
        <w:pStyle w:val="FootnoteText"/>
        <w:spacing w:after="0"/>
      </w:pPr>
      <w:r>
        <w:t>(</w:t>
      </w:r>
      <w:r>
        <w:rPr>
          <w:rStyle w:val="FootnoteReference"/>
        </w:rPr>
        <w:footnoteRef/>
      </w:r>
      <w:r>
        <w:t xml:space="preserve">) </w:t>
      </w:r>
      <w:r>
        <w:tab/>
        <w:t xml:space="preserve">L-informazzjoni ta’ hawn taħt tinkludi s-sottomissjonijiet tal-politiki u l-miżuri tal-Artikolu 6(4) tal-Irlanda u tal-Lussemburgu, kif ukoll l-ewwel sottomissjoni tal-NAPCP tar-Rumanija, li kienet koperta fir- </w:t>
      </w:r>
      <w:hyperlink r:id="rId21" w:history="1">
        <w:r>
          <w:rPr>
            <w:rStyle w:val="Hyperlink"/>
          </w:rPr>
          <w:t>rapport ta’ rieżami orizzontali interim tal-2023 tan-NAPCPs</w:t>
        </w:r>
      </w:hyperlink>
      <w:r>
        <w:t xml:space="preserve">, minħabba s-sottomissjoni tardiva tiegħu. </w:t>
      </w:r>
    </w:p>
  </w:footnote>
  <w:footnote w:id="56">
    <w:p w14:paraId="03C6050D" w14:textId="1AA90E5E" w:rsidR="00054F89" w:rsidRPr="00054F89" w:rsidRDefault="00444673" w:rsidP="0001791F">
      <w:pPr>
        <w:pStyle w:val="FootnoteText"/>
        <w:spacing w:after="0"/>
      </w:pPr>
      <w:r>
        <w:t>(</w:t>
      </w:r>
      <w:r>
        <w:rPr>
          <w:rStyle w:val="FootnoteReference"/>
        </w:rPr>
        <w:footnoteRef/>
      </w:r>
      <w:r>
        <w:t xml:space="preserve">) </w:t>
      </w:r>
      <w:r>
        <w:tab/>
        <w:t xml:space="preserve">Franza. </w:t>
      </w:r>
    </w:p>
  </w:footnote>
  <w:footnote w:id="57">
    <w:p w14:paraId="2C00B1BE" w14:textId="2E256D86" w:rsidR="00614A55" w:rsidRDefault="00444673" w:rsidP="00454561">
      <w:pPr>
        <w:pStyle w:val="FootnoteText"/>
        <w:spacing w:after="0"/>
      </w:pPr>
      <w:r>
        <w:t>(</w:t>
      </w:r>
      <w:r>
        <w:rPr>
          <w:rStyle w:val="FootnoteReference"/>
        </w:rPr>
        <w:footnoteRef/>
      </w:r>
      <w:r>
        <w:t xml:space="preserve">) </w:t>
      </w:r>
      <w:r>
        <w:tab/>
        <w:t xml:space="preserve">Ara, d-Direttiva (UE) 2016/2284, l-Artikolu 1 (sinerġiji); L-Anness III, il-Parti 1 (konsistenza fil-prijoritajiet); L-Anness IV, il-Parti 2 (konsistenza fil-projezzjonijiet). B’mod parallel, ara r-Regolament </w:t>
      </w:r>
      <w:r>
        <w:rPr>
          <w:shd w:val="clear" w:color="auto" w:fill="FFFFFF"/>
        </w:rPr>
        <w:t>(UE) 2018/1999, l-Anness I, it-Taqsima A, il-Paragrafu</w:t>
      </w:r>
      <w:r>
        <w:t xml:space="preserve"> 5(1)(i) li jeħtieġ ir-rapportar tal-impatti pprojettati tal-politiki u tal-miżuri ppjanati dwar l-emissjonijiet tal-inkwinanti tal-arja rregolati skont id-Direttiva (UE) 2018/2284.</w:t>
      </w:r>
    </w:p>
  </w:footnote>
  <w:footnote w:id="58">
    <w:p w14:paraId="1BABBE84" w14:textId="0E8E3719" w:rsidR="00CE663F" w:rsidRDefault="00444673" w:rsidP="00CE663F">
      <w:pPr>
        <w:pStyle w:val="FootnoteText"/>
        <w:spacing w:after="0"/>
      </w:pPr>
      <w:r>
        <w:t>(</w:t>
      </w:r>
      <w:r>
        <w:rPr>
          <w:rStyle w:val="FootnoteReference"/>
        </w:rPr>
        <w:footnoteRef/>
      </w:r>
      <w:r>
        <w:t xml:space="preserve">) </w:t>
      </w:r>
      <w:r>
        <w:tab/>
        <w:t xml:space="preserve">Ir-Regolament (UE) 2018/1999 tal-Parlament Ewropew u tal-Kunsill tal-11 ta’ Diċembru 2018 dwar il-Governanza tal-Unjoni tal-Enerġija u tal-Azzjoni Klimatika, li jemenda r-Regolamenti (KE) Nru 663/2009 u (KE) Nru 715/2009 tal-Parlament Ewropew u tal-Kunsill, id-Direttivi 94/22/KE, 98/70/KE, 2009/31/KE, 2009/73/KE, 2010/31/UE, 2012/27/UE u 2013/30/UE tal-Parlament Ewropew u tal-Kunsill, id-Direttivi tal-Kunsill 2009/119/KE u (UE) 2015/652 u li jħassar ir-Regolament (UE) Nru 525/2013 tal-Parlament Ewropew u tal-Kunsill, ĠU L 328, 21.12.2018, p. 1. </w:t>
      </w:r>
    </w:p>
  </w:footnote>
  <w:footnote w:id="59">
    <w:p w14:paraId="36E145B7" w14:textId="1256BCE1" w:rsidR="002E760B" w:rsidRPr="002E760B" w:rsidRDefault="00444673" w:rsidP="009F551E">
      <w:pPr>
        <w:pStyle w:val="FootnoteText"/>
        <w:spacing w:after="0"/>
      </w:pPr>
      <w:r>
        <w:t>(</w:t>
      </w:r>
      <w:r>
        <w:rPr>
          <w:rStyle w:val="FootnoteReference"/>
        </w:rPr>
        <w:footnoteRef/>
      </w:r>
      <w:r>
        <w:t xml:space="preserve">) </w:t>
      </w:r>
      <w:r>
        <w:tab/>
        <w:t>L-Avviż tal-Kummissjoni 2022/C 495/02 dwar il-Gwida lill-Istati Membri għall-aġġornament tal-pjanijiet nazzjonali għall-enerġija u l-klima għall-2021-2030.</w:t>
      </w:r>
    </w:p>
  </w:footnote>
  <w:footnote w:id="60">
    <w:p w14:paraId="4117579F" w14:textId="452CD54D" w:rsidR="009F551E" w:rsidRPr="00802816" w:rsidRDefault="00444673" w:rsidP="009F551E">
      <w:pPr>
        <w:pStyle w:val="FootnoteText"/>
        <w:spacing w:after="0"/>
      </w:pPr>
      <w:r>
        <w:t>(</w:t>
      </w:r>
      <w:r>
        <w:rPr>
          <w:rStyle w:val="FootnoteReference"/>
        </w:rPr>
        <w:footnoteRef/>
      </w:r>
      <w:r>
        <w:t xml:space="preserve">) </w:t>
      </w:r>
      <w:r>
        <w:tab/>
        <w:t>COM(2023) 796 final.</w:t>
      </w:r>
    </w:p>
  </w:footnote>
  <w:footnote w:id="61">
    <w:p w14:paraId="493BA6B8" w14:textId="6503BDBE" w:rsidR="00404B2C" w:rsidRPr="00802816" w:rsidRDefault="00A373CF" w:rsidP="00802816">
      <w:pPr>
        <w:pStyle w:val="FootnoteText"/>
        <w:spacing w:after="0"/>
      </w:pPr>
      <w:r>
        <w:t>(</w:t>
      </w:r>
      <w:r>
        <w:rPr>
          <w:rStyle w:val="FootnoteReference"/>
        </w:rPr>
        <w:footnoteRef/>
      </w:r>
      <w:r>
        <w:t xml:space="preserve">) </w:t>
      </w:r>
      <w:r>
        <w:tab/>
      </w:r>
      <w:hyperlink r:id="rId22" w:history="1">
        <w:r>
          <w:rPr>
            <w:rStyle w:val="Hyperlink"/>
          </w:rPr>
          <w:t>https://circabc.europa.eu/ui/group/cd69a4b9-1a68-4d6c-9c48-77c0399f225d/library/52f82bad-1dae-4ead-869c-d2bf757621f2/details</w:t>
        </w:r>
      </w:hyperlink>
      <w:r>
        <w:t xml:space="preserve"> </w:t>
      </w:r>
    </w:p>
  </w:footnote>
  <w:footnote w:id="62">
    <w:p w14:paraId="1240DB97" w14:textId="2838D1A4" w:rsidR="00052BD4" w:rsidRPr="00052BD4" w:rsidRDefault="00444673" w:rsidP="00052BD4">
      <w:pPr>
        <w:pStyle w:val="FootnoteText"/>
        <w:spacing w:after="0"/>
      </w:pPr>
      <w:r>
        <w:t>(</w:t>
      </w:r>
      <w:r>
        <w:rPr>
          <w:rStyle w:val="FootnoteReference"/>
        </w:rPr>
        <w:footnoteRef/>
      </w:r>
      <w:r>
        <w:t xml:space="preserve">) </w:t>
      </w:r>
      <w:r>
        <w:tab/>
        <w:t>Ċipru, il-Lussemburgu u r-Rumanija.</w:t>
      </w:r>
    </w:p>
  </w:footnote>
  <w:footnote w:id="63">
    <w:p w14:paraId="718B064C" w14:textId="3257995A" w:rsidR="00E46A15" w:rsidRPr="00E46A15" w:rsidRDefault="00444673" w:rsidP="00E46A15">
      <w:pPr>
        <w:pStyle w:val="FootnoteText"/>
        <w:spacing w:after="0"/>
      </w:pPr>
      <w:r>
        <w:t>(</w:t>
      </w:r>
      <w:r>
        <w:rPr>
          <w:rStyle w:val="FootnoteReference"/>
        </w:rPr>
        <w:footnoteRef/>
      </w:r>
      <w:r>
        <w:t xml:space="preserve">) </w:t>
      </w:r>
      <w:r>
        <w:tab/>
        <w:t>Bħala eżempju ta’ kompromessi, żewġ Stati Membri (Ċipru u l-Irlanda) għażlu politiki u miżuri għall-adozzjoni li pprijoritizzaw l-objettivi stabbiliti fl-NECP li kienu f’kunflitt mal-kisba tat-tnaqqis tal-emissjonijiet għall-NH3. Dawn il-politiki u l-miżuri ntgħażlu bl-għan li jitnaqqsu l-emissjonijiet tal-gassijiet serra, iżda x’aktarx li jżidu l-emissjonijiet tal-NH</w:t>
      </w:r>
      <w:r>
        <w:rPr>
          <w:vertAlign w:val="subscript"/>
        </w:rPr>
        <w:t>3</w:t>
      </w:r>
      <w:r>
        <w:t xml:space="preserve"> jekk ma jkunux akkumpanjati minn miżuri maħsuba biex inaqqsu l-emissjonijiet tal-NH</w:t>
      </w:r>
      <w:r>
        <w:rPr>
          <w:vertAlign w:val="subscript"/>
        </w:rPr>
        <w:t>3</w:t>
      </w:r>
      <w:r>
        <w:t>.</w:t>
      </w:r>
    </w:p>
  </w:footnote>
  <w:footnote w:id="64">
    <w:p w14:paraId="035C95F6" w14:textId="6516F3CD" w:rsidR="00E97C1A" w:rsidRPr="00F301D7" w:rsidRDefault="00A373CF" w:rsidP="00081353">
      <w:pPr>
        <w:pStyle w:val="FootnoteText"/>
        <w:spacing w:after="0"/>
      </w:pPr>
      <w:r>
        <w:t>(</w:t>
      </w:r>
      <w:r>
        <w:rPr>
          <w:rStyle w:val="FootnoteReference"/>
        </w:rPr>
        <w:footnoteRef/>
      </w:r>
      <w:r>
        <w:t>)</w:t>
      </w:r>
      <w:r>
        <w:tab/>
        <w:t>L-agrikoltura tirrappreżenta aktar minn 90 % tal-emissjonijiet tal-ammonijaka fl-UE (</w:t>
      </w:r>
      <w:hyperlink r:id="rId23" w:history="1">
        <w:r>
          <w:rPr>
            <w:rStyle w:val="Hyperlink"/>
          </w:rPr>
          <w:t>https://www.eea.europa.eu/data-and-maps/dashboards/necd-directive-data-viewer-7</w:t>
        </w:r>
      </w:hyperlink>
      <w:r>
        <w:t xml:space="preserve">) </w:t>
      </w:r>
    </w:p>
  </w:footnote>
  <w:footnote w:id="65">
    <w:p w14:paraId="63DF980F" w14:textId="125DCE7C" w:rsidR="0075573C" w:rsidRPr="00802816" w:rsidRDefault="00A373CF" w:rsidP="0075573C">
      <w:pPr>
        <w:pStyle w:val="FootnoteText"/>
        <w:spacing w:after="0"/>
      </w:pPr>
      <w:r>
        <w:t>(</w:t>
      </w:r>
      <w:r>
        <w:rPr>
          <w:rStyle w:val="FootnoteReference"/>
        </w:rPr>
        <w:footnoteRef/>
      </w:r>
      <w:r>
        <w:t xml:space="preserve">) </w:t>
      </w:r>
      <w:r>
        <w:tab/>
        <w:t>COM(2020) 381 final.</w:t>
      </w:r>
    </w:p>
  </w:footnote>
  <w:footnote w:id="66">
    <w:p w14:paraId="68B9A607" w14:textId="70E8EF7D" w:rsidR="008D148A" w:rsidRPr="00F301D7" w:rsidRDefault="008D148A" w:rsidP="00CE2607">
      <w:pPr>
        <w:pStyle w:val="FootnoteText"/>
        <w:spacing w:after="0"/>
      </w:pPr>
      <w:r>
        <w:t>(</w:t>
      </w:r>
      <w:r>
        <w:rPr>
          <w:rStyle w:val="FootnoteReference"/>
        </w:rPr>
        <w:footnoteRef/>
      </w:r>
      <w:r>
        <w:t xml:space="preserve">) </w:t>
      </w:r>
      <w:r>
        <w:tab/>
      </w:r>
      <w:hyperlink r:id="rId24" w:history="1">
        <w:r>
          <w:rPr>
            <w:rStyle w:val="Hyperlink"/>
          </w:rPr>
          <w:t>https://www.eea.europa.eu/en/analysis/indicators/health-impacts-of-exposure-to</w:t>
        </w:r>
      </w:hyperlink>
      <w:r>
        <w:t xml:space="preserve"> </w:t>
      </w:r>
    </w:p>
  </w:footnote>
  <w:footnote w:id="67">
    <w:p w14:paraId="0BDF6C57" w14:textId="3E4C0302" w:rsidR="00693196" w:rsidRPr="00693196" w:rsidRDefault="00693196" w:rsidP="00693196">
      <w:pPr>
        <w:pStyle w:val="FootnoteText"/>
        <w:spacing w:after="0"/>
      </w:pPr>
      <w:r>
        <w:t>(</w:t>
      </w:r>
      <w:r>
        <w:rPr>
          <w:rStyle w:val="FootnoteReference"/>
        </w:rPr>
        <w:footnoteRef/>
      </w:r>
      <w:r>
        <w:t>)</w:t>
      </w:r>
      <w:r>
        <w:tab/>
        <w:t>It-titjib osservat fil-konċentrazzjonijiet medji annwali tal-PM</w:t>
      </w:r>
      <w:r>
        <w:rPr>
          <w:vertAlign w:val="subscript"/>
        </w:rPr>
        <w:t>2.5</w:t>
      </w:r>
      <w:r>
        <w:t xml:space="preserve"> huwa fil-biċċa l-kbira indipendenti mill-miżuri tal-lockdown tal-COVID-19. Skont l-EEA, l-impatt tagħhom fuq il-livell medju annwali tal-PM</w:t>
      </w:r>
      <w:r>
        <w:rPr>
          <w:vertAlign w:val="subscript"/>
        </w:rPr>
        <w:t>2.5</w:t>
      </w:r>
      <w:r>
        <w:t xml:space="preserve"> ma kienx akbar minn tnaqqis medjan ta’ 5 % fl-istazzjonijiet ta’ monitoraġġ kollha. Ġew osservati impatti akbar għall-NO</w:t>
      </w:r>
      <w:r>
        <w:rPr>
          <w:vertAlign w:val="subscript"/>
        </w:rPr>
        <w:t>2</w:t>
      </w:r>
      <w:r>
        <w:t>(</w:t>
      </w:r>
      <w:hyperlink r:id="rId25" w:history="1">
        <w:r>
          <w:rPr>
            <w:rStyle w:val="Hyperlink"/>
          </w:rPr>
          <w:t>https://www.eea.europa.eu/publications/status-of-air-quality-in-Europe-2022</w:t>
        </w:r>
      </w:hyperlink>
      <w:r>
        <w:t xml:space="preserve">)  </w:t>
      </w:r>
    </w:p>
  </w:footnote>
  <w:footnote w:id="68">
    <w:p w14:paraId="4310940D" w14:textId="77777777" w:rsidR="00CC2D15" w:rsidRPr="00802816" w:rsidRDefault="00CC2D15" w:rsidP="00CC2D15">
      <w:pPr>
        <w:pStyle w:val="FootnoteText"/>
        <w:spacing w:after="0"/>
      </w:pPr>
      <w:r>
        <w:t>(</w:t>
      </w:r>
      <w:r>
        <w:rPr>
          <w:rStyle w:val="FootnoteReference"/>
        </w:rPr>
        <w:footnoteRef/>
      </w:r>
      <w:r>
        <w:t xml:space="preserve">) </w:t>
      </w:r>
      <w:r>
        <w:tab/>
      </w:r>
      <w:hyperlink r:id="rId26" w:history="1">
        <w:r>
          <w:rPr>
            <w:rStyle w:val="Hyperlink"/>
          </w:rPr>
          <w:t>https://iris.who.int/handle/10665/345329</w:t>
        </w:r>
      </w:hyperlink>
      <w:r>
        <w:t xml:space="preserve"> </w:t>
      </w:r>
    </w:p>
  </w:footnote>
  <w:footnote w:id="69">
    <w:p w14:paraId="63B7E76F" w14:textId="70BCB835" w:rsidR="00E630AF" w:rsidRPr="00AB2AA7" w:rsidRDefault="00E630AF" w:rsidP="00802816">
      <w:pPr>
        <w:pStyle w:val="FootnoteText"/>
        <w:spacing w:after="0"/>
      </w:pPr>
      <w:r>
        <w:t>(</w:t>
      </w:r>
      <w:r>
        <w:rPr>
          <w:rStyle w:val="FootnoteReference"/>
        </w:rPr>
        <w:footnoteRef/>
      </w:r>
      <w:r>
        <w:t>)</w:t>
      </w:r>
      <w:r>
        <w:tab/>
        <w:t>COM/2022/673.</w:t>
      </w:r>
    </w:p>
  </w:footnote>
  <w:footnote w:id="70">
    <w:p w14:paraId="1FB7C870" w14:textId="7BF53C3A" w:rsidR="00571AF6" w:rsidRPr="00571AF6" w:rsidRDefault="008521FC" w:rsidP="00E630AF">
      <w:pPr>
        <w:pStyle w:val="FootnoteText"/>
        <w:spacing w:after="0"/>
      </w:pPr>
      <w:r>
        <w:t>(</w:t>
      </w:r>
      <w:r>
        <w:rPr>
          <w:rStyle w:val="FootnoteReference"/>
        </w:rPr>
        <w:footnoteRef/>
      </w:r>
      <w:r>
        <w:t xml:space="preserve">) </w:t>
      </w:r>
      <w:r>
        <w:tab/>
        <w:t>Klimont et al., “Support to the development of the third Clean Air Outlook”, IIASA, 2022.</w:t>
      </w:r>
    </w:p>
  </w:footnote>
  <w:footnote w:id="71">
    <w:p w14:paraId="69652552" w14:textId="0AD3F473" w:rsidR="00E0586A" w:rsidRPr="006530BC" w:rsidRDefault="00444673" w:rsidP="00E630AF">
      <w:pPr>
        <w:pStyle w:val="FootnoteText"/>
        <w:spacing w:after="0"/>
      </w:pPr>
      <w:r>
        <w:t>(</w:t>
      </w:r>
      <w:r>
        <w:rPr>
          <w:rStyle w:val="FootnoteReference"/>
        </w:rPr>
        <w:footnoteRef/>
      </w:r>
      <w:r>
        <w:t xml:space="preserve">) </w:t>
      </w:r>
      <w:r>
        <w:tab/>
        <w:t xml:space="preserve">EEA “L-istatus tal-kwalità tal-arja tal-Ewropa 2023”. </w:t>
      </w:r>
      <w:hyperlink r:id="rId27" w:history="1">
        <w:r>
          <w:rPr>
            <w:rStyle w:val="Hyperlink"/>
          </w:rPr>
          <w:t>https://www.eea.europa.eu/publications/europes-air-quality-status-2023</w:t>
        </w:r>
      </w:hyperlink>
      <w:r>
        <w:t xml:space="preserve"> </w:t>
      </w:r>
    </w:p>
  </w:footnote>
  <w:footnote w:id="72">
    <w:p w14:paraId="5E5B51A9" w14:textId="66225117" w:rsidR="007956E2" w:rsidRPr="001D379E" w:rsidRDefault="007956E2" w:rsidP="001D379E">
      <w:pPr>
        <w:pStyle w:val="FootnoteText"/>
        <w:spacing w:after="0"/>
      </w:pPr>
      <w:r>
        <w:t>(</w:t>
      </w:r>
      <w:r>
        <w:rPr>
          <w:rStyle w:val="FootnoteReference"/>
        </w:rPr>
        <w:footnoteRef/>
      </w:r>
      <w:r>
        <w:t>)</w:t>
      </w:r>
      <w:r>
        <w:tab/>
      </w:r>
      <w:hyperlink r:id="rId28" w:history="1">
        <w:r>
          <w:rPr>
            <w:rStyle w:val="Hyperlink"/>
          </w:rPr>
          <w:t>https://www.eea.europa.eu/en/analysis/indicators/income-related-environmental-inequalities-associated</w:t>
        </w:r>
      </w:hyperlink>
      <w:r>
        <w:t xml:space="preserve"> </w:t>
      </w:r>
    </w:p>
  </w:footnote>
  <w:footnote w:id="73">
    <w:p w14:paraId="3C64D1F1" w14:textId="71AB1804" w:rsidR="0058233B" w:rsidRPr="001D379E" w:rsidRDefault="0058233B" w:rsidP="001D379E">
      <w:pPr>
        <w:pStyle w:val="FootnoteText"/>
        <w:spacing w:after="0"/>
      </w:pPr>
      <w:r>
        <w:t>(</w:t>
      </w:r>
      <w:r>
        <w:rPr>
          <w:rStyle w:val="FootnoteReference"/>
        </w:rPr>
        <w:footnoteRef/>
      </w:r>
      <w:r>
        <w:t>)</w:t>
      </w:r>
      <w:r>
        <w:tab/>
      </w:r>
      <w:hyperlink r:id="rId29" w:history="1">
        <w:r>
          <w:rPr>
            <w:rStyle w:val="Hyperlink"/>
          </w:rPr>
          <w:t>https://discomap.eea.europa.eu/atlas/?page=Combined-risks-and-inequalities&amp;views=PM%E2%82%82.%E2%82%85-vs-GDP</w:t>
        </w:r>
      </w:hyperlink>
      <w:r>
        <w:t xml:space="preserve"> </w:t>
      </w:r>
    </w:p>
  </w:footnote>
  <w:footnote w:id="74">
    <w:p w14:paraId="3BD1C374" w14:textId="402FB413" w:rsidR="00E3083F" w:rsidRPr="00AB2AA7" w:rsidRDefault="00E3083F" w:rsidP="00322524">
      <w:pPr>
        <w:pStyle w:val="FootnoteText"/>
        <w:spacing w:after="0"/>
      </w:pPr>
      <w:r>
        <w:t>(</w:t>
      </w:r>
      <w:r>
        <w:rPr>
          <w:rStyle w:val="FootnoteReference"/>
        </w:rPr>
        <w:footnoteRef/>
      </w:r>
      <w:r>
        <w:t>)</w:t>
      </w:r>
      <w:r>
        <w:tab/>
        <w:t>COM(2022) 673 final.</w:t>
      </w:r>
    </w:p>
  </w:footnote>
  <w:footnote w:id="75">
    <w:p w14:paraId="27C4820C" w14:textId="35B53DBD" w:rsidR="00950841" w:rsidRPr="00526CD9" w:rsidRDefault="23695A42" w:rsidP="00802816">
      <w:pPr>
        <w:pStyle w:val="FootnoteText"/>
        <w:spacing w:after="0"/>
      </w:pPr>
      <w:r>
        <w:t>(</w:t>
      </w:r>
      <w:r>
        <w:rPr>
          <w:rStyle w:val="FootnoteCharacters"/>
        </w:rPr>
        <w:footnoteRef/>
      </w:r>
      <w:r>
        <w:t>)</w:t>
      </w:r>
      <w:r>
        <w:tab/>
        <w:t xml:space="preserve">Fir-rigward tal-Belġju, il-Bulgarija, iċ-Ċekja, il-Ġermanja, Franza, il-Greċja, Spanja, l-Italja, il-Kroazja, l-Ungerija, il-Polonja, il-Portugall, ir-Rumanija, l-Iżvezja, is-Slovenja u s-Slovakkja. </w:t>
      </w:r>
    </w:p>
  </w:footnote>
  <w:footnote w:id="76">
    <w:p w14:paraId="51C29F3C" w14:textId="63D41395" w:rsidR="002A635D" w:rsidRPr="004671D7" w:rsidRDefault="00444673" w:rsidP="00802816">
      <w:pPr>
        <w:pStyle w:val="FootnoteText"/>
        <w:spacing w:after="0"/>
      </w:pPr>
      <w:r>
        <w:t>(</w:t>
      </w:r>
      <w:r>
        <w:rPr>
          <w:rStyle w:val="FootnoteReference"/>
        </w:rPr>
        <w:footnoteRef/>
      </w:r>
      <w:r>
        <w:t>)</w:t>
      </w:r>
      <w:r>
        <w:tab/>
        <w:t>Fir-rigward tal-Bulgarija, il-Greċja, Franza, l-Italja, l-Ungerija, il-Polonja, is-Slovakkja, ir-Rumanija għall-PM</w:t>
      </w:r>
      <w:r>
        <w:rPr>
          <w:vertAlign w:val="subscript"/>
        </w:rPr>
        <w:t>10</w:t>
      </w:r>
      <w:r>
        <w:t>; Il-Ġermanja, il-Greċja, Spanja, Franza, l-Italja, il-Portugall għall-NO</w:t>
      </w:r>
      <w:r>
        <w:rPr>
          <w:vertAlign w:val="subscript"/>
        </w:rPr>
        <w:t>2</w:t>
      </w:r>
      <w:r>
        <w:t xml:space="preserve"> u l-Bulgarija għall-SO</w:t>
      </w:r>
      <w:r>
        <w:rPr>
          <w:vertAlign w:val="subscript"/>
        </w:rPr>
        <w:t>2</w:t>
      </w:r>
      <w:r>
        <w:t>.</w:t>
      </w:r>
    </w:p>
  </w:footnote>
  <w:footnote w:id="77">
    <w:p w14:paraId="4572B825" w14:textId="0E9718F5" w:rsidR="00FC19A7" w:rsidRPr="00FC19A7" w:rsidRDefault="00444673" w:rsidP="00802816">
      <w:pPr>
        <w:pStyle w:val="FootnoteText"/>
        <w:spacing w:after="0"/>
      </w:pPr>
      <w:r>
        <w:t>(</w:t>
      </w:r>
      <w:r>
        <w:rPr>
          <w:rStyle w:val="FootnoteReference"/>
        </w:rPr>
        <w:footnoteRef/>
      </w:r>
      <w:r>
        <w:t xml:space="preserve">) </w:t>
      </w:r>
      <w:r>
        <w:tab/>
        <w:t xml:space="preserve">EEA (2023) </w:t>
      </w:r>
      <w:hyperlink r:id="rId30" w:anchor=":~:text=Eutrophication%20caused%20by%20atmospheric%20nitrogen%20deposition%20in%20Europe,-Published%2028%20Nov&amp;amp;text=One%20of%20the%20targets%20of,by%202030%2C%20compared%20with%202005." w:history="1">
        <w:r>
          <w:rPr>
            <w:rStyle w:val="Hyperlink"/>
          </w:rPr>
          <w:t>Ewtrofikazzjoni kkawżata minn depożiti ta’ nitroġenu atmosferiku fl-Ewropa</w:t>
        </w:r>
      </w:hyperlink>
      <w:r>
        <w:t xml:space="preserve">. </w:t>
      </w:r>
    </w:p>
  </w:footnote>
  <w:footnote w:id="78">
    <w:p w14:paraId="4E4E12BF" w14:textId="77777777" w:rsidR="008D3E87" w:rsidRPr="00802816" w:rsidRDefault="008D3E87" w:rsidP="008D3E87">
      <w:pPr>
        <w:pStyle w:val="FootnoteText"/>
        <w:spacing w:after="0"/>
      </w:pPr>
      <w:r>
        <w:t>(</w:t>
      </w:r>
      <w:r>
        <w:rPr>
          <w:rStyle w:val="FootnoteReference"/>
        </w:rPr>
        <w:footnoteRef/>
      </w:r>
      <w:r>
        <w:t>)</w:t>
      </w:r>
      <w:r>
        <w:tab/>
        <w:t>COM(2022) 673 final.</w:t>
      </w:r>
    </w:p>
  </w:footnote>
  <w:footnote w:id="79">
    <w:p w14:paraId="77353F96" w14:textId="104EA557" w:rsidR="10D35545" w:rsidRDefault="00444673" w:rsidP="00802816">
      <w:pPr>
        <w:pStyle w:val="FootnoteText"/>
        <w:spacing w:after="0"/>
      </w:pPr>
      <w:r>
        <w:t>(</w:t>
      </w:r>
      <w:r>
        <w:rPr>
          <w:rStyle w:val="FootnoteReference"/>
        </w:rPr>
        <w:footnoteRef/>
      </w:r>
      <w:r>
        <w:t xml:space="preserve">) </w:t>
      </w:r>
      <w:r>
        <w:tab/>
        <w:t xml:space="preserve">Avviż tal-Kummissjoni dwar il-monitoraġġ tal-ekosistema taħt l-Artikolu 9 u l-Anness V tad-Direttiva (UE) 2016/2284 tal-Parlament Ewropew u tal-Kunsill dwar it-tnaqqis tal-emissjonijiet nazzjonali ta’ ċerti inkwinanti atmosferiċi (Direttiva NEC), ĠU C 92, 11.3.2019. </w:t>
      </w:r>
    </w:p>
  </w:footnote>
  <w:footnote w:id="80">
    <w:p w14:paraId="4C6DE717" w14:textId="3021FECD" w:rsidR="10D35545" w:rsidRDefault="00444673" w:rsidP="00802816">
      <w:pPr>
        <w:pStyle w:val="FootnoteText"/>
        <w:spacing w:after="0"/>
      </w:pPr>
      <w:r>
        <w:t>(</w:t>
      </w:r>
      <w:r>
        <w:rPr>
          <w:rStyle w:val="FootnoteReference"/>
        </w:rPr>
        <w:footnoteRef/>
      </w:r>
      <w:r>
        <w:t xml:space="preserve">) </w:t>
      </w:r>
      <w:r>
        <w:tab/>
      </w:r>
      <w:hyperlink r:id="rId31">
        <w:r>
          <w:rPr>
            <w:rStyle w:val="Hyperlink"/>
          </w:rPr>
          <w:t>https://ec.europa.eu/environment/air/reduction/ecosysmonitoring.htm</w:t>
        </w:r>
      </w:hyperlink>
      <w:r>
        <w:t xml:space="preserve"> </w:t>
      </w:r>
    </w:p>
  </w:footnote>
  <w:footnote w:id="81">
    <w:p w14:paraId="2F612999" w14:textId="03B6037B" w:rsidR="002D037E" w:rsidRPr="00CD68C1" w:rsidRDefault="00444673" w:rsidP="00802816">
      <w:pPr>
        <w:pStyle w:val="FootnoteText"/>
        <w:spacing w:after="0"/>
      </w:pPr>
      <w:r>
        <w:t>(</w:t>
      </w:r>
      <w:r>
        <w:rPr>
          <w:rStyle w:val="FootnoteReference"/>
        </w:rPr>
        <w:footnoteRef/>
      </w:r>
      <w:r>
        <w:t xml:space="preserve">) </w:t>
      </w:r>
      <w:r>
        <w:tab/>
      </w:r>
      <w:hyperlink r:id="rId32" w:history="1">
        <w:r>
          <w:rPr>
            <w:rStyle w:val="Hyperlink"/>
          </w:rPr>
          <w:t>https://circabc.europa.eu/ui/group/cd69a4b9-1a68-4d6c-9c48-77c0399f225d/library/85f4b9c0-e232-42b7-9940-9262f75ac625/details</w:t>
        </w:r>
      </w:hyperlink>
      <w:r>
        <w:t xml:space="preserve">   </w:t>
      </w:r>
    </w:p>
  </w:footnote>
  <w:footnote w:id="82">
    <w:p w14:paraId="57FBE453" w14:textId="4D1D4EC1" w:rsidR="008E17C7" w:rsidRPr="008E17C7" w:rsidRDefault="00444673" w:rsidP="00526CD9">
      <w:pPr>
        <w:pStyle w:val="FootnoteText"/>
        <w:spacing w:after="0"/>
      </w:pPr>
      <w:r>
        <w:t>(</w:t>
      </w:r>
      <w:r>
        <w:rPr>
          <w:rStyle w:val="FootnoteReference"/>
        </w:rPr>
        <w:footnoteRef/>
      </w:r>
      <w:r>
        <w:t xml:space="preserve">) </w:t>
      </w:r>
      <w:r>
        <w:tab/>
      </w:r>
      <w:hyperlink r:id="rId33" w:history="1">
        <w:r>
          <w:rPr>
            <w:rStyle w:val="Hyperlink"/>
          </w:rPr>
          <w:t>https://circabc.europa.eu/ui/group/cd69a4b9-1a68-4d6c-9c48-77c0399f225d/library/2922dd49-80d6-4fd1-b510-812dab4da6be/details</w:t>
        </w:r>
      </w:hyperlink>
      <w:r>
        <w:t xml:space="preserve">   </w:t>
      </w:r>
    </w:p>
  </w:footnote>
  <w:footnote w:id="83">
    <w:p w14:paraId="79136812" w14:textId="5C750A99" w:rsidR="00614A55" w:rsidRDefault="00444673" w:rsidP="00FA6C56">
      <w:pPr>
        <w:pStyle w:val="FootnoteText"/>
        <w:spacing w:after="0"/>
      </w:pPr>
      <w:r>
        <w:t>(</w:t>
      </w:r>
      <w:r>
        <w:rPr>
          <w:rStyle w:val="FootnoteReference"/>
        </w:rPr>
        <w:footnoteRef/>
      </w:r>
      <w:r>
        <w:t xml:space="preserve">) </w:t>
      </w:r>
      <w:r>
        <w:tab/>
        <w:t>Ir-Rumanija (l-ewwel sottomissjoni) u Ċipru (sottomissjoni aġġornata).</w:t>
      </w:r>
    </w:p>
  </w:footnote>
  <w:footnote w:id="84">
    <w:p w14:paraId="62976BF0" w14:textId="5BECE84E" w:rsidR="006046DD" w:rsidRPr="006046DD" w:rsidRDefault="00444673" w:rsidP="00894C8E">
      <w:pPr>
        <w:pStyle w:val="FootnoteText"/>
        <w:spacing w:after="0"/>
      </w:pPr>
      <w:r>
        <w:t>(</w:t>
      </w:r>
      <w:r>
        <w:rPr>
          <w:rStyle w:val="FootnoteReference"/>
        </w:rPr>
        <w:footnoteRef/>
      </w:r>
      <w:r>
        <w:t xml:space="preserve">) </w:t>
      </w:r>
      <w:r>
        <w:tab/>
        <w:t>Kif spjegat fi Klimont et al. “Support to the development of the third Clean Air Outlook”, IIASA, 2022 u l-anness tiegħu, il-Kapitolu 5.</w:t>
      </w:r>
    </w:p>
  </w:footnote>
  <w:footnote w:id="85">
    <w:p w14:paraId="4AC6F329" w14:textId="551CE987" w:rsidR="00D94A0C" w:rsidRPr="00D94A0C" w:rsidRDefault="00444673" w:rsidP="00EE3A78">
      <w:pPr>
        <w:pStyle w:val="FootnoteText"/>
        <w:spacing w:after="0"/>
      </w:pPr>
      <w:r>
        <w:t>(</w:t>
      </w:r>
      <w:r>
        <w:rPr>
          <w:rStyle w:val="FootnoteReference"/>
        </w:rPr>
        <w:footnoteRef/>
      </w:r>
      <w:r>
        <w:t xml:space="preserve">) </w:t>
      </w:r>
      <w:r>
        <w:tab/>
        <w:t>L-għadd tal-impatti li joriġinaw biss mill-esponiment għal konċentrazzjonijiet ta’ inkwinanti li jkunu ogħla mil-livelli tal-linji gwida tad-WHO, billi jintuża metodu konservattiv biex jiġu vvalutati l-imwiet prematuri u jiġu esklużi bis-sħiħ l-impatti relatati mal-esponiment għall-NO</w:t>
      </w:r>
      <w:r>
        <w:rPr>
          <w:vertAlign w:val="subscript"/>
        </w:rPr>
        <w:t>2</w:t>
      </w:r>
      <w:r>
        <w:t xml:space="preserve"> biex jiġi evitat kwalunkwe għadd doppju possibbli.</w:t>
      </w:r>
    </w:p>
  </w:footnote>
  <w:footnote w:id="86">
    <w:p w14:paraId="788C7CE9" w14:textId="523210FB" w:rsidR="00614A55" w:rsidRDefault="00444673" w:rsidP="00FA6C56">
      <w:pPr>
        <w:pStyle w:val="FootnoteText"/>
        <w:spacing w:after="0"/>
      </w:pPr>
      <w:r>
        <w:t>(</w:t>
      </w:r>
      <w:r>
        <w:rPr>
          <w:rStyle w:val="FootnoteReference"/>
        </w:rPr>
        <w:footnoteRef/>
      </w:r>
      <w:r>
        <w:t xml:space="preserve">) </w:t>
      </w:r>
      <w:r>
        <w:tab/>
      </w:r>
      <w:hyperlink r:id="rId34" w:history="1">
        <w:r>
          <w:rPr>
            <w:rStyle w:val="Hyperlink"/>
          </w:rPr>
          <w:t>https://environment.ec.europa.eu/topics/air/clean-air-forum_en</w:t>
        </w:r>
      </w:hyperlink>
      <w:r>
        <w:t xml:space="preserve">  </w:t>
      </w:r>
    </w:p>
  </w:footnote>
  <w:footnote w:id="87">
    <w:p w14:paraId="77FBC5F8" w14:textId="20EC3639" w:rsidR="00E0201A" w:rsidRPr="00E0201A" w:rsidRDefault="00444673" w:rsidP="00E0201A">
      <w:pPr>
        <w:pStyle w:val="FootnoteText"/>
        <w:spacing w:after="0"/>
      </w:pPr>
      <w:r>
        <w:t>(</w:t>
      </w:r>
      <w:r>
        <w:rPr>
          <w:rStyle w:val="FootnoteReference"/>
        </w:rPr>
        <w:footnoteRef/>
      </w:r>
      <w:r>
        <w:t xml:space="preserve">) </w:t>
      </w:r>
      <w:r>
        <w:tab/>
      </w:r>
      <w:hyperlink r:id="rId35" w:history="1">
        <w:r>
          <w:rPr>
            <w:rStyle w:val="Hyperlink"/>
          </w:rPr>
          <w:t>https://environment.ec.europa.eu/strategy/zero-pollution-stakeholder-platform_en</w:t>
        </w:r>
      </w:hyperlink>
      <w:r>
        <w:t xml:space="preserve"> </w:t>
      </w:r>
    </w:p>
  </w:footnote>
  <w:footnote w:id="88">
    <w:p w14:paraId="1AA003B1" w14:textId="77777777" w:rsidR="000D1BDD" w:rsidRPr="00435DEC" w:rsidRDefault="000D1BDD" w:rsidP="000D1BDD">
      <w:pPr>
        <w:pStyle w:val="FootnoteText"/>
        <w:spacing w:after="0"/>
      </w:pPr>
      <w:r>
        <w:t>(</w:t>
      </w:r>
      <w:r>
        <w:rPr>
          <w:rStyle w:val="FootnoteReference"/>
        </w:rPr>
        <w:footnoteRef/>
      </w:r>
      <w:r>
        <w:t xml:space="preserve">) </w:t>
      </w:r>
      <w:r>
        <w:tab/>
      </w:r>
      <w:hyperlink r:id="rId36" w:history="1">
        <w:r>
          <w:rPr>
            <w:rStyle w:val="Hyperlink"/>
          </w:rPr>
          <w:t>https://circabc.europa.eu/ui/group/cd69a4b9-1a68-4d6c-9c48-77c0399f225d/library/b879b074-ef81-4221-b463-d334595e03d8/details?download=true</w:t>
        </w:r>
      </w:hyperlink>
      <w:r>
        <w:t xml:space="preserve"> </w:t>
      </w:r>
    </w:p>
  </w:footnote>
  <w:footnote w:id="89">
    <w:p w14:paraId="638A4ABD" w14:textId="4E9D812A" w:rsidR="00317F7B" w:rsidRPr="00317F7B" w:rsidRDefault="00444673" w:rsidP="00996E9E">
      <w:pPr>
        <w:pStyle w:val="FootnoteText"/>
        <w:spacing w:after="0"/>
      </w:pPr>
      <w:r>
        <w:t>(</w:t>
      </w:r>
      <w:r>
        <w:rPr>
          <w:rStyle w:val="FootnoteReference"/>
        </w:rPr>
        <w:footnoteRef/>
      </w:r>
      <w:r>
        <w:t xml:space="preserve">) </w:t>
      </w:r>
      <w:r>
        <w:tab/>
      </w:r>
      <w:hyperlink r:id="rId37" w:history="1">
        <w:r>
          <w:rPr>
            <w:rStyle w:val="Hyperlink"/>
          </w:rPr>
          <w:t>https://environment.ec.europa.eu/law-and-governance/environmental-implementation-review/peer-2-peer_en</w:t>
        </w:r>
      </w:hyperlink>
      <w:r>
        <w:t xml:space="preserve">. Din l-għodda tappoġġa sessjonijiet ta’ ħidma f’diversi pajjiżi, żjarat ta’ studju jew missjonijiet ta’ esperti fi Stat Membru rikjedenti. </w:t>
      </w:r>
    </w:p>
  </w:footnote>
  <w:footnote w:id="90">
    <w:p w14:paraId="62A799BC" w14:textId="433C6FF1" w:rsidR="00435DEC" w:rsidRPr="00435DEC" w:rsidRDefault="00444673" w:rsidP="00996E9E">
      <w:pPr>
        <w:pStyle w:val="FootnoteText"/>
        <w:spacing w:after="0"/>
      </w:pPr>
      <w:r>
        <w:t>(</w:t>
      </w:r>
      <w:r>
        <w:rPr>
          <w:rStyle w:val="FootnoteReference"/>
        </w:rPr>
        <w:footnoteRef/>
      </w:r>
      <w:r>
        <w:t xml:space="preserve">) </w:t>
      </w:r>
      <w:r>
        <w:tab/>
        <w:t>L-Istrument ta’ Appoġġ Tekniku huwa l-programm tal-UE li jipprovdi għarfien espert tekniku mfassal apposta lill-Istati Membri tal-UE biex ifasslu u jimplimentaw ir-riformi (</w:t>
      </w:r>
      <w:hyperlink r:id="rId38" w:history="1">
        <w:r>
          <w:rPr>
            <w:rStyle w:val="Hyperlink"/>
          </w:rPr>
          <w:t>https://reform-support.ec.europa.eu/index_mt</w:t>
        </w:r>
      </w:hyperlink>
      <w:r>
        <w:rPr>
          <w:rStyle w:val="Hyperlink"/>
        </w:rPr>
        <w:t>).</w:t>
      </w:r>
      <w:r>
        <w:t xml:space="preserve"> </w:t>
      </w:r>
    </w:p>
  </w:footnote>
  <w:footnote w:id="91">
    <w:p w14:paraId="17DC9D74" w14:textId="15CBE588" w:rsidR="00435DEC" w:rsidRPr="00996E9E" w:rsidRDefault="00444673" w:rsidP="00996E9E">
      <w:pPr>
        <w:pStyle w:val="FootnoteText"/>
        <w:spacing w:after="0"/>
      </w:pPr>
      <w:r>
        <w:t>(</w:t>
      </w:r>
      <w:r>
        <w:rPr>
          <w:rStyle w:val="FootnoteReference"/>
        </w:rPr>
        <w:footnoteRef/>
      </w:r>
      <w:r>
        <w:t xml:space="preserve">) </w:t>
      </w:r>
      <w:r>
        <w:tab/>
      </w:r>
      <w:hyperlink r:id="rId39" w:history="1">
        <w:r>
          <w:rPr>
            <w:rStyle w:val="Hyperlink"/>
          </w:rPr>
          <w:t>https://edgar.jrc.ec.europa.eu/agree_tool/public/</w:t>
        </w:r>
      </w:hyperlink>
      <w:r>
        <w:t xml:space="preserve"> (Login tal-UE meħtieġ għall-aċċess).</w:t>
      </w:r>
    </w:p>
  </w:footnote>
  <w:footnote w:id="92">
    <w:p w14:paraId="0DEA6837" w14:textId="4F0C9B78" w:rsidR="002F765A" w:rsidRPr="002F765A" w:rsidRDefault="002F765A" w:rsidP="002F765A">
      <w:pPr>
        <w:pStyle w:val="FootnoteText"/>
        <w:spacing w:after="0"/>
      </w:pPr>
      <w:r>
        <w:t>(</w:t>
      </w:r>
      <w:r>
        <w:rPr>
          <w:rStyle w:val="FootnoteReference"/>
        </w:rPr>
        <w:footnoteRef/>
      </w:r>
      <w:r>
        <w:t xml:space="preserve">) </w:t>
      </w:r>
      <w:r>
        <w:tab/>
        <w:t>Copernicus huwa l-komponent tal-Osservazzjoni tad-Dinja tal-Programm Spazjali tal-UE.</w:t>
      </w:r>
    </w:p>
  </w:footnote>
  <w:footnote w:id="93">
    <w:p w14:paraId="3FF3DD4B" w14:textId="1E791838" w:rsidR="008D51CF" w:rsidRPr="008D51CF" w:rsidRDefault="00444673" w:rsidP="008D51CF">
      <w:pPr>
        <w:pStyle w:val="FootnoteText"/>
        <w:spacing w:after="0"/>
      </w:pPr>
      <w:r>
        <w:t>(</w:t>
      </w:r>
      <w:r>
        <w:rPr>
          <w:rStyle w:val="FootnoteReference"/>
        </w:rPr>
        <w:footnoteRef/>
      </w:r>
      <w:r>
        <w:t xml:space="preserve">) </w:t>
      </w:r>
      <w:r>
        <w:tab/>
      </w:r>
      <w:hyperlink r:id="rId40" w:anchor="!/software/app-necd?tab=overview" w:history="1">
        <w:r>
          <w:rPr>
            <w:rStyle w:val="Hyperlink"/>
          </w:rPr>
          <w:t>https://cds.climate.copernicus.eu/cdsapp#!/software/app-necd?tab=overview</w:t>
        </w:r>
      </w:hyperlink>
      <w:r>
        <w:t xml:space="preserve"> </w:t>
      </w:r>
    </w:p>
  </w:footnote>
  <w:footnote w:id="94">
    <w:p w14:paraId="3F7EBBDF" w14:textId="6AF8132B" w:rsidR="00317F7B" w:rsidRPr="00996E9E" w:rsidRDefault="00444673" w:rsidP="00435DEC">
      <w:pPr>
        <w:pStyle w:val="FootnoteText"/>
        <w:spacing w:after="0"/>
      </w:pPr>
      <w:r>
        <w:t>(</w:t>
      </w:r>
      <w:r>
        <w:rPr>
          <w:rStyle w:val="FootnoteReference"/>
        </w:rPr>
        <w:footnoteRef/>
      </w:r>
      <w:r>
        <w:t xml:space="preserve">) </w:t>
      </w:r>
      <w:r>
        <w:tab/>
      </w:r>
      <w:hyperlink r:id="rId41" w:history="1">
        <w:r>
          <w:rPr>
            <w:rStyle w:val="Hyperlink"/>
          </w:rPr>
          <w:t>https://www.eea.europa.eu/themes/air/air-quality-index</w:t>
        </w:r>
      </w:hyperlink>
      <w:r>
        <w:t xml:space="preserve"> </w:t>
      </w:r>
    </w:p>
  </w:footnote>
  <w:footnote w:id="95">
    <w:p w14:paraId="3B468E53" w14:textId="695FE14E" w:rsidR="00996E9E" w:rsidRPr="00996E9E" w:rsidRDefault="00444673" w:rsidP="00985FCD">
      <w:pPr>
        <w:pStyle w:val="FootnoteText"/>
        <w:spacing w:after="0"/>
      </w:pPr>
      <w:r>
        <w:t>(</w:t>
      </w:r>
      <w:r>
        <w:rPr>
          <w:rStyle w:val="FootnoteReference"/>
        </w:rPr>
        <w:footnoteRef/>
      </w:r>
      <w:r>
        <w:t xml:space="preserve">) </w:t>
      </w:r>
      <w:r>
        <w:tab/>
        <w:t xml:space="preserve">Ippreżentat fl-Anness 4 tal-ewwel rapport ta’ implimentazzjoni COM(2020) 266 final, u kkomplementat mill-informazzjoni disponibbli fuq: </w:t>
      </w:r>
      <w:hyperlink r:id="rId42" w:anchor="clean-air-methodology" w:history="1">
        <w:r>
          <w:rPr>
            <w:rStyle w:val="Hyperlink"/>
          </w:rPr>
          <w:t>https://commission.europa.eu/strategy-and-policy/eu-budget/performance-and-reporting/horizontal-priorities/green-budgeting/clean-air-tracking_en#clean-air-methodology</w:t>
        </w:r>
      </w:hyperlink>
    </w:p>
  </w:footnote>
  <w:footnote w:id="96">
    <w:p w14:paraId="7DFDEDD0" w14:textId="2A98DE77" w:rsidR="00C248BE" w:rsidRPr="00C248BE" w:rsidRDefault="00444673" w:rsidP="00C248BE">
      <w:pPr>
        <w:pStyle w:val="FootnoteText"/>
        <w:spacing w:after="0"/>
      </w:pPr>
      <w:r>
        <w:t>(</w:t>
      </w:r>
      <w:r>
        <w:rPr>
          <w:rStyle w:val="FootnoteReference"/>
        </w:rPr>
        <w:footnoteRef/>
      </w:r>
      <w:r>
        <w:t xml:space="preserve">) </w:t>
      </w:r>
      <w:r>
        <w:tab/>
      </w:r>
      <w:hyperlink r:id="rId43" w:history="1">
        <w:r>
          <w:rPr>
            <w:rStyle w:val="Hyperlink"/>
          </w:rPr>
          <w:t>https://commission.europa.eu/strategy-and-policy/eu-budget/performance-and-reporting/horizontal-priorities/green-budgeting/clean-air-tracking_en</w:t>
        </w:r>
      </w:hyperlink>
      <w:r>
        <w:t xml:space="preserve">. Kif spjegat fil-metodoloġija, l-istima għall-finanzjament tal-PAK hija bbażata fuq l-2021 u l-2022 biss u l-metodoloġija eżistenti għat-traċċar tal-arja nadifa żviluppata għall-QFP 2014–2020. Għas-snin ta’ wara dan, speċifikament 2023–2027, il-metodoloġija ta’ traċċar tal-arja nadifa se tiġi adattata għall-kundizzjonijiet mibdula tal-implimentazzjoni tal-PAK għal dawn is-snin. </w:t>
      </w:r>
    </w:p>
  </w:footnote>
  <w:footnote w:id="97">
    <w:p w14:paraId="2E183BAC" w14:textId="6BEBD037" w:rsidR="00184D98" w:rsidRPr="00184D98" w:rsidRDefault="000B133D" w:rsidP="000B133D">
      <w:pPr>
        <w:pStyle w:val="FootnoteText"/>
        <w:spacing w:after="0"/>
      </w:pPr>
      <w:r>
        <w:t>(</w:t>
      </w:r>
      <w:r>
        <w:rPr>
          <w:rStyle w:val="FootnoteReference"/>
        </w:rPr>
        <w:footnoteRef/>
      </w:r>
      <w:r>
        <w:t xml:space="preserve">) </w:t>
      </w:r>
      <w:r>
        <w:tab/>
      </w:r>
      <w:hyperlink r:id="rId44" w:history="1">
        <w:r>
          <w:rPr>
            <w:rStyle w:val="Hyperlink"/>
          </w:rPr>
          <w:t>https://commission.europa.eu/strategy-and-policy/eu-budget/performance-and-reporting/horizontal-priorities/green-budgeting/clean-air-tracking_en</w:t>
        </w:r>
      </w:hyperlink>
    </w:p>
  </w:footnote>
  <w:footnote w:id="98">
    <w:p w14:paraId="0398C323" w14:textId="22C6D6B0" w:rsidR="00614A55" w:rsidRDefault="00444673" w:rsidP="00454561">
      <w:pPr>
        <w:pStyle w:val="FootnoteText"/>
        <w:spacing w:after="0"/>
      </w:pPr>
      <w:r>
        <w:t>(</w:t>
      </w:r>
      <w:r>
        <w:rPr>
          <w:rStyle w:val="FootnoteReference"/>
        </w:rPr>
        <w:footnoteRef/>
      </w:r>
      <w:r>
        <w:t xml:space="preserve">) </w:t>
      </w:r>
      <w:r>
        <w:tab/>
      </w:r>
      <w:hyperlink r:id="rId45" w:history="1">
        <w:r>
          <w:rPr>
            <w:rStyle w:val="Hyperlink"/>
          </w:rPr>
          <w:t>https://ec.europa.eu/environment/air/policy/index.htm</w:t>
        </w:r>
      </w:hyperlink>
      <w:r>
        <w:t xml:space="preserve"> </w:t>
      </w:r>
    </w:p>
  </w:footnote>
  <w:footnote w:id="99">
    <w:p w14:paraId="157970C4" w14:textId="3F46719C" w:rsidR="00FE4D1E" w:rsidRPr="001C59C1" w:rsidRDefault="00FE4D1E" w:rsidP="001C59C1">
      <w:pPr>
        <w:pStyle w:val="FootnoteText"/>
        <w:spacing w:after="0"/>
      </w:pPr>
      <w:r>
        <w:t>(</w:t>
      </w:r>
      <w:r>
        <w:rPr>
          <w:rStyle w:val="FootnoteReference"/>
        </w:rPr>
        <w:footnoteRef/>
      </w:r>
      <w:r>
        <w:t>)</w:t>
      </w:r>
      <w:r>
        <w:tab/>
      </w:r>
      <w:hyperlink r:id="rId46" w:history="1">
        <w:r>
          <w:rPr>
            <w:rStyle w:val="Hyperlink"/>
          </w:rPr>
          <w:t>https://unece.org/emissions-reporting</w:t>
        </w:r>
      </w:hyperlink>
      <w:r>
        <w:t xml:space="preserve">      </w:t>
      </w:r>
    </w:p>
  </w:footnote>
  <w:footnote w:id="100">
    <w:p w14:paraId="7055661A" w14:textId="56C858D6" w:rsidR="004E48FB" w:rsidRPr="001C59C1" w:rsidRDefault="004E48FB" w:rsidP="001C59C1">
      <w:pPr>
        <w:pStyle w:val="FootnoteText"/>
        <w:spacing w:after="0"/>
      </w:pPr>
      <w:r>
        <w:t>(</w:t>
      </w:r>
      <w:r>
        <w:rPr>
          <w:vertAlign w:val="superscript"/>
          <w:lang w:val="en-IE"/>
        </w:rPr>
        <w:footnoteRef/>
      </w:r>
      <w:r>
        <w:t>)</w:t>
      </w:r>
      <w:r>
        <w:tab/>
      </w:r>
      <w:hyperlink r:id="rId47" w:history="1">
        <w:r>
          <w:rPr>
            <w:rStyle w:val="Hyperlink"/>
          </w:rPr>
          <w:t>https://unece.org/publications/environment-policy/air-convention</w:t>
        </w:r>
      </w:hyperlink>
    </w:p>
  </w:footnote>
  <w:footnote w:id="101">
    <w:p w14:paraId="0E0D4DB4" w14:textId="1CB9E998" w:rsidR="009000C5" w:rsidRPr="00AB2AA7" w:rsidRDefault="009000C5" w:rsidP="001C59C1">
      <w:pPr>
        <w:pStyle w:val="FootnoteText"/>
        <w:spacing w:after="0"/>
      </w:pPr>
      <w:r>
        <w:t>(</w:t>
      </w:r>
      <w:r>
        <w:rPr>
          <w:vertAlign w:val="superscript"/>
          <w:lang w:val="en-IE"/>
        </w:rPr>
        <w:footnoteRef/>
      </w:r>
      <w:r>
        <w:t>)</w:t>
      </w:r>
      <w:r>
        <w:tab/>
      </w:r>
      <w:hyperlink r:id="rId48" w:history="1">
        <w:r>
          <w:rPr>
            <w:rStyle w:val="Hyperlink"/>
          </w:rPr>
          <w:t>https://unece.org/gothenburg-protocol</w:t>
        </w:r>
      </w:hyperlink>
      <w:r>
        <w:t xml:space="preserve">    </w:t>
      </w:r>
    </w:p>
  </w:footnote>
  <w:footnote w:id="102">
    <w:p w14:paraId="0ED2F4D6" w14:textId="0BB2BF71" w:rsidR="0075656D" w:rsidRPr="000D422F" w:rsidRDefault="0075656D" w:rsidP="0075656D">
      <w:pPr>
        <w:pStyle w:val="FootnoteText"/>
        <w:spacing w:after="0"/>
      </w:pPr>
      <w:r>
        <w:t>(</w:t>
      </w:r>
      <w:r>
        <w:rPr>
          <w:rStyle w:val="FootnoteReference"/>
        </w:rPr>
        <w:footnoteRef/>
      </w:r>
      <w:r>
        <w:t>) Il-Kummissjoni pproponiet li tirrevedi d-Direttivi dwar il-Kwalità tal-Arja fl-Ambjent u f’dan il-kuntest, l-istandards tal-kwalità tal-arja tal-UE fis-26 ta’ Ottubru 2022 (COM(2022) 542 final/2). Il-Kunsill u l-Parlament laħqu qbil politiku dwar Direttiva riveduta kmieni fl-2024 (</w:t>
      </w:r>
      <w:hyperlink r:id="rId49" w:history="1">
        <w:r>
          <w:rPr>
            <w:rStyle w:val="Hyperlink"/>
          </w:rPr>
          <w:t>https://www.consilium.europa.eu/mt/press/press-releases/2024/02/20/air-quality-council-and-parliament-strike-deal-to-strengthen-standards-in-the-eu/</w:t>
        </w:r>
      </w:hyperlink>
      <w:r>
        <w:t>)</w:t>
      </w:r>
    </w:p>
  </w:footnote>
  <w:footnote w:id="103">
    <w:p w14:paraId="279AC0A6" w14:textId="54A0F2BB" w:rsidR="002A5404" w:rsidRPr="00C84AEF" w:rsidRDefault="00C84AEF" w:rsidP="00C84AEF">
      <w:pPr>
        <w:spacing w:after="0"/>
        <w:ind w:left="357" w:hanging="357"/>
        <w:rPr>
          <w:sz w:val="20"/>
        </w:rPr>
      </w:pPr>
      <w:r>
        <w:rPr>
          <w:sz w:val="20"/>
        </w:rPr>
        <w:t>(</w:t>
      </w:r>
      <w:r>
        <w:rPr>
          <w:rStyle w:val="FootnoteReference"/>
          <w:sz w:val="20"/>
        </w:rPr>
        <w:footnoteRef/>
      </w:r>
      <w:r>
        <w:rPr>
          <w:sz w:val="20"/>
        </w:rPr>
        <w:t>) COM(2024) 63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265A5" w14:textId="77777777" w:rsidR="00893AE1" w:rsidRPr="00893AE1" w:rsidRDefault="00893AE1" w:rsidP="00893AE1">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E4DB4" w14:textId="77777777" w:rsidR="00893AE1" w:rsidRPr="00893AE1" w:rsidRDefault="00893AE1" w:rsidP="00893AE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C0ACA" w14:textId="77777777" w:rsidR="00893AE1" w:rsidRPr="00893AE1" w:rsidRDefault="00893AE1" w:rsidP="00893AE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1744" w14:textId="77777777" w:rsidR="00B32DBA" w:rsidRDefault="00B32D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67E4" w14:textId="77777777" w:rsidR="00B32DBA" w:rsidRDefault="00B32D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178AC" w14:textId="77777777" w:rsidR="00B32DBA" w:rsidRDefault="00B32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60A3"/>
    <w:multiLevelType w:val="hybridMultilevel"/>
    <w:tmpl w:val="0980C4D6"/>
    <w:lvl w:ilvl="0" w:tplc="92B83A2C">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A2900F7"/>
    <w:multiLevelType w:val="multilevel"/>
    <w:tmpl w:val="D16CA956"/>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EFB7115"/>
    <w:multiLevelType w:val="multilevel"/>
    <w:tmpl w:val="54D03170"/>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109B3D3C"/>
    <w:multiLevelType w:val="hybridMultilevel"/>
    <w:tmpl w:val="CE0C4462"/>
    <w:lvl w:ilvl="0" w:tplc="FB9C2E24">
      <w:start w:val="1"/>
      <w:numFmt w:val="bullet"/>
      <w:lvlText w:val=""/>
      <w:lvlJc w:val="left"/>
      <w:pPr>
        <w:ind w:left="781" w:hanging="360"/>
      </w:pPr>
      <w:rPr>
        <w:rFonts w:ascii="Symbol" w:hAnsi="Symbol" w:hint="default"/>
      </w:rPr>
    </w:lvl>
    <w:lvl w:ilvl="1" w:tplc="18090003" w:tentative="1">
      <w:start w:val="1"/>
      <w:numFmt w:val="bullet"/>
      <w:lvlText w:val="o"/>
      <w:lvlJc w:val="left"/>
      <w:pPr>
        <w:ind w:left="1501" w:hanging="360"/>
      </w:pPr>
      <w:rPr>
        <w:rFonts w:ascii="Courier New" w:hAnsi="Courier New" w:cs="Courier New" w:hint="default"/>
      </w:rPr>
    </w:lvl>
    <w:lvl w:ilvl="2" w:tplc="18090005" w:tentative="1">
      <w:start w:val="1"/>
      <w:numFmt w:val="bullet"/>
      <w:lvlText w:val=""/>
      <w:lvlJc w:val="left"/>
      <w:pPr>
        <w:ind w:left="2221" w:hanging="360"/>
      </w:pPr>
      <w:rPr>
        <w:rFonts w:ascii="Wingdings" w:hAnsi="Wingdings" w:hint="default"/>
      </w:rPr>
    </w:lvl>
    <w:lvl w:ilvl="3" w:tplc="18090001" w:tentative="1">
      <w:start w:val="1"/>
      <w:numFmt w:val="bullet"/>
      <w:lvlText w:val=""/>
      <w:lvlJc w:val="left"/>
      <w:pPr>
        <w:ind w:left="2941" w:hanging="360"/>
      </w:pPr>
      <w:rPr>
        <w:rFonts w:ascii="Symbol" w:hAnsi="Symbol" w:hint="default"/>
      </w:rPr>
    </w:lvl>
    <w:lvl w:ilvl="4" w:tplc="18090003" w:tentative="1">
      <w:start w:val="1"/>
      <w:numFmt w:val="bullet"/>
      <w:lvlText w:val="o"/>
      <w:lvlJc w:val="left"/>
      <w:pPr>
        <w:ind w:left="3661" w:hanging="360"/>
      </w:pPr>
      <w:rPr>
        <w:rFonts w:ascii="Courier New" w:hAnsi="Courier New" w:cs="Courier New" w:hint="default"/>
      </w:rPr>
    </w:lvl>
    <w:lvl w:ilvl="5" w:tplc="18090005" w:tentative="1">
      <w:start w:val="1"/>
      <w:numFmt w:val="bullet"/>
      <w:lvlText w:val=""/>
      <w:lvlJc w:val="left"/>
      <w:pPr>
        <w:ind w:left="4381" w:hanging="360"/>
      </w:pPr>
      <w:rPr>
        <w:rFonts w:ascii="Wingdings" w:hAnsi="Wingdings" w:hint="default"/>
      </w:rPr>
    </w:lvl>
    <w:lvl w:ilvl="6" w:tplc="18090001" w:tentative="1">
      <w:start w:val="1"/>
      <w:numFmt w:val="bullet"/>
      <w:lvlText w:val=""/>
      <w:lvlJc w:val="left"/>
      <w:pPr>
        <w:ind w:left="5101" w:hanging="360"/>
      </w:pPr>
      <w:rPr>
        <w:rFonts w:ascii="Symbol" w:hAnsi="Symbol" w:hint="default"/>
      </w:rPr>
    </w:lvl>
    <w:lvl w:ilvl="7" w:tplc="18090003" w:tentative="1">
      <w:start w:val="1"/>
      <w:numFmt w:val="bullet"/>
      <w:lvlText w:val="o"/>
      <w:lvlJc w:val="left"/>
      <w:pPr>
        <w:ind w:left="5821" w:hanging="360"/>
      </w:pPr>
      <w:rPr>
        <w:rFonts w:ascii="Courier New" w:hAnsi="Courier New" w:cs="Courier New" w:hint="default"/>
      </w:rPr>
    </w:lvl>
    <w:lvl w:ilvl="8" w:tplc="18090005" w:tentative="1">
      <w:start w:val="1"/>
      <w:numFmt w:val="bullet"/>
      <w:lvlText w:val=""/>
      <w:lvlJc w:val="left"/>
      <w:pPr>
        <w:ind w:left="6541" w:hanging="360"/>
      </w:pPr>
      <w:rPr>
        <w:rFonts w:ascii="Wingdings" w:hAnsi="Wingdings" w:hint="default"/>
      </w:rPr>
    </w:lvl>
  </w:abstractNum>
  <w:abstractNum w:abstractNumId="4" w15:restartNumberingAfterBreak="0">
    <w:nsid w:val="120B7201"/>
    <w:multiLevelType w:val="multilevel"/>
    <w:tmpl w:val="F6BAEED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0B8345"/>
    <w:multiLevelType w:val="multilevel"/>
    <w:tmpl w:val="EFD09FD0"/>
    <w:name w:val="TableListNumberNumbering"/>
    <w:lvl w:ilvl="0">
      <w:start w:val="1"/>
      <w:numFmt w:val="decimal"/>
      <w:pStyle w:val="TableListNumber"/>
      <w:lvlText w:val="(%1)"/>
      <w:lvlJc w:val="left"/>
      <w:pPr>
        <w:tabs>
          <w:tab w:val="num" w:pos="454"/>
        </w:tabs>
        <w:ind w:left="454" w:hanging="454"/>
      </w:pPr>
    </w:lvl>
    <w:lvl w:ilvl="1">
      <w:start w:val="1"/>
      <w:numFmt w:val="lowerLetter"/>
      <w:pStyle w:val="TableListNumberLevel2"/>
      <w:lvlText w:val="(%2)"/>
      <w:lvlJc w:val="left"/>
      <w:pPr>
        <w:tabs>
          <w:tab w:val="num" w:pos="907"/>
        </w:tabs>
        <w:ind w:left="907" w:hanging="453"/>
      </w:pPr>
    </w:lvl>
    <w:lvl w:ilvl="2">
      <w:start w:val="1"/>
      <w:numFmt w:val="bullet"/>
      <w:pStyle w:val="TableListNumberLevel3"/>
      <w:lvlText w:val="–"/>
      <w:lvlJc w:val="left"/>
      <w:pPr>
        <w:tabs>
          <w:tab w:val="num" w:pos="1361"/>
        </w:tabs>
        <w:ind w:left="1361" w:hanging="454"/>
      </w:pPr>
      <w:rPr>
        <w:rFonts w:ascii="Times New Roman" w:hAnsi="Times New Roman"/>
      </w:rPr>
    </w:lvl>
    <w:lvl w:ilvl="3">
      <w:start w:val="1"/>
      <w:numFmt w:val="bullet"/>
      <w:pStyle w:val="Table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262685D"/>
    <w:multiLevelType w:val="multilevel"/>
    <w:tmpl w:val="6BEA6DBC"/>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4287E0D"/>
    <w:multiLevelType w:val="hybridMultilevel"/>
    <w:tmpl w:val="0248EB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D0A16"/>
    <w:multiLevelType w:val="multilevel"/>
    <w:tmpl w:val="5348576A"/>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72F0AC5"/>
    <w:multiLevelType w:val="multilevel"/>
    <w:tmpl w:val="0734CA30"/>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18E2467B"/>
    <w:multiLevelType w:val="hybridMultilevel"/>
    <w:tmpl w:val="4D9CD54A"/>
    <w:lvl w:ilvl="0" w:tplc="C8FAD2D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315DD2"/>
    <w:multiLevelType w:val="multilevel"/>
    <w:tmpl w:val="E3BC248E"/>
    <w:lvl w:ilvl="0">
      <w:start w:val="1"/>
      <w:numFmt w:val="bullet"/>
      <w:lvlText w:val=""/>
      <w:lvlJc w:val="left"/>
      <w:pPr>
        <w:tabs>
          <w:tab w:val="num" w:pos="1191"/>
        </w:tabs>
        <w:ind w:left="1191" w:hanging="709"/>
      </w:pPr>
      <w:rPr>
        <w:rFonts w:ascii="Symbol" w:hAnsi="Symbol" w:hint="default"/>
      </w:r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C7B624F"/>
    <w:multiLevelType w:val="multilevel"/>
    <w:tmpl w:val="ED16E2E2"/>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1E3334F6"/>
    <w:multiLevelType w:val="multilevel"/>
    <w:tmpl w:val="269A4FEC"/>
    <w:lvl w:ilvl="0">
      <w:start w:val="1"/>
      <w:numFmt w:val="lowerRoman"/>
      <w:lvlText w:val="(%1)"/>
      <w:lvlJc w:val="left"/>
      <w:pPr>
        <w:tabs>
          <w:tab w:val="num" w:pos="1191"/>
        </w:tabs>
        <w:ind w:left="1191" w:hanging="709"/>
      </w:pPr>
      <w:rPr>
        <w:rFonts w:hint="default"/>
      </w:r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1EEC0B22"/>
    <w:multiLevelType w:val="hybridMultilevel"/>
    <w:tmpl w:val="A43C24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C8DFDF8"/>
    <w:multiLevelType w:val="multilevel"/>
    <w:tmpl w:val="1138EC7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2D293CE3"/>
    <w:multiLevelType w:val="multilevel"/>
    <w:tmpl w:val="A04ADBF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F4"/>
    <w:multiLevelType w:val="multilevel"/>
    <w:tmpl w:val="20106604"/>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302659EA"/>
    <w:multiLevelType w:val="hybridMultilevel"/>
    <w:tmpl w:val="893C6040"/>
    <w:lvl w:ilvl="0" w:tplc="E77288AA">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6324F1E"/>
    <w:multiLevelType w:val="multilevel"/>
    <w:tmpl w:val="288C0D48"/>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37CB1E1C"/>
    <w:multiLevelType w:val="multilevel"/>
    <w:tmpl w:val="E1C2878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38EC78F7"/>
    <w:multiLevelType w:val="hybridMultilevel"/>
    <w:tmpl w:val="F7C84952"/>
    <w:lvl w:ilvl="0" w:tplc="821602B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A7730C4"/>
    <w:multiLevelType w:val="multilevel"/>
    <w:tmpl w:val="02001160"/>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429E662A"/>
    <w:multiLevelType w:val="multilevel"/>
    <w:tmpl w:val="D00843D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4B4A21EF"/>
    <w:multiLevelType w:val="multilevel"/>
    <w:tmpl w:val="8700AA98"/>
    <w:lvl w:ilvl="0">
      <w:start w:val="1"/>
      <w:numFmt w:val="bullet"/>
      <w:lvlText w:val=""/>
      <w:lvlJc w:val="left"/>
      <w:pPr>
        <w:tabs>
          <w:tab w:val="num" w:pos="1191"/>
        </w:tabs>
        <w:ind w:left="1191" w:hanging="709"/>
      </w:pPr>
      <w:rPr>
        <w:rFonts w:ascii="Symbol" w:hAnsi="Symbol" w:hint="default"/>
      </w:r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15:restartNumberingAfterBreak="0">
    <w:nsid w:val="4E1A63DF"/>
    <w:multiLevelType w:val="multilevel"/>
    <w:tmpl w:val="80166F5C"/>
    <w:name w:val="TableListBulletNumbering"/>
    <w:lvl w:ilvl="0">
      <w:start w:val="1"/>
      <w:numFmt w:val="bullet"/>
      <w:pStyle w:val="TableListBullet"/>
      <w:lvlText w:val=""/>
      <w:lvlJc w:val="left"/>
      <w:pPr>
        <w:tabs>
          <w:tab w:val="num" w:pos="283"/>
        </w:tabs>
        <w:ind w:left="283" w:hanging="283"/>
      </w:pPr>
      <w:rPr>
        <w:rFonts w:ascii="Symbol" w:hAnsi="Symbol"/>
      </w:rPr>
    </w:lvl>
    <w:lvl w:ilvl="1">
      <w:start w:val="1"/>
      <w:numFmt w:val="bullet"/>
      <w:pStyle w:val="TableListBulletLevel2"/>
      <w:lvlText w:val=""/>
      <w:lvlJc w:val="left"/>
      <w:pPr>
        <w:tabs>
          <w:tab w:val="num" w:pos="567"/>
        </w:tabs>
        <w:ind w:left="567" w:hanging="284"/>
      </w:pPr>
      <w:rPr>
        <w:rFonts w:ascii="Symbol" w:hAnsi="Symbol"/>
      </w:rPr>
    </w:lvl>
    <w:lvl w:ilvl="2">
      <w:start w:val="1"/>
      <w:numFmt w:val="bullet"/>
      <w:pStyle w:val="TableListBulletLevel3"/>
      <w:lvlText w:val=""/>
      <w:lvlJc w:val="left"/>
      <w:pPr>
        <w:tabs>
          <w:tab w:val="num" w:pos="850"/>
        </w:tabs>
        <w:ind w:left="850" w:hanging="283"/>
      </w:pPr>
      <w:rPr>
        <w:rFonts w:ascii="Symbol" w:hAnsi="Symbol"/>
      </w:rPr>
    </w:lvl>
    <w:lvl w:ilvl="3">
      <w:start w:val="1"/>
      <w:numFmt w:val="bullet"/>
      <w:pStyle w:val="Table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4E1A982C"/>
    <w:multiLevelType w:val="multilevel"/>
    <w:tmpl w:val="E1DEA03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15:restartNumberingAfterBreak="0">
    <w:nsid w:val="50645335"/>
    <w:multiLevelType w:val="multilevel"/>
    <w:tmpl w:val="0809001D"/>
    <w:styleLink w:val="BulletList"/>
    <w:lvl w:ilvl="0">
      <w:start w:val="1"/>
      <w:numFmt w:val="bullet"/>
      <w:lvlText w:val=""/>
      <w:lvlJc w:val="left"/>
      <w:pPr>
        <w:ind w:left="360" w:hanging="360"/>
      </w:pPr>
      <w:rPr>
        <w:rFonts w:ascii="Symbol" w:hAnsi="Symbol"/>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72619B"/>
    <w:multiLevelType w:val="multilevel"/>
    <w:tmpl w:val="40E60AB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15:restartNumberingAfterBreak="0">
    <w:nsid w:val="50729B52"/>
    <w:multiLevelType w:val="multilevel"/>
    <w:tmpl w:val="CD9EA8EC"/>
    <w:name w:val="TableListDashNumbering"/>
    <w:lvl w:ilvl="0">
      <w:start w:val="1"/>
      <w:numFmt w:val="bullet"/>
      <w:pStyle w:val="TableListDash"/>
      <w:lvlText w:val="–"/>
      <w:lvlJc w:val="left"/>
      <w:pPr>
        <w:tabs>
          <w:tab w:val="num" w:pos="283"/>
        </w:tabs>
        <w:ind w:left="283" w:hanging="283"/>
      </w:pPr>
      <w:rPr>
        <w:rFonts w:ascii="Times New Roman" w:hAnsi="Times New Roman"/>
      </w:rPr>
    </w:lvl>
    <w:lvl w:ilvl="1">
      <w:start w:val="1"/>
      <w:numFmt w:val="bullet"/>
      <w:pStyle w:val="TableListDashLevel2"/>
      <w:lvlText w:val="–"/>
      <w:lvlJc w:val="left"/>
      <w:pPr>
        <w:tabs>
          <w:tab w:val="num" w:pos="567"/>
        </w:tabs>
        <w:ind w:left="567" w:hanging="284"/>
      </w:pPr>
      <w:rPr>
        <w:rFonts w:ascii="Times New Roman" w:hAnsi="Times New Roman"/>
      </w:rPr>
    </w:lvl>
    <w:lvl w:ilvl="2">
      <w:start w:val="1"/>
      <w:numFmt w:val="bullet"/>
      <w:pStyle w:val="TableListDashLevel3"/>
      <w:lvlText w:val="–"/>
      <w:lvlJc w:val="left"/>
      <w:pPr>
        <w:tabs>
          <w:tab w:val="num" w:pos="850"/>
        </w:tabs>
        <w:ind w:left="850" w:hanging="283"/>
      </w:pPr>
      <w:rPr>
        <w:rFonts w:ascii="Times New Roman" w:hAnsi="Times New Roman"/>
      </w:rPr>
    </w:lvl>
    <w:lvl w:ilvl="3">
      <w:start w:val="1"/>
      <w:numFmt w:val="bullet"/>
      <w:pStyle w:val="Table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56013575"/>
    <w:multiLevelType w:val="hybridMultilevel"/>
    <w:tmpl w:val="AB7C5D96"/>
    <w:lvl w:ilvl="0" w:tplc="96525B0E">
      <w:start w:val="19"/>
      <w:numFmt w:val="bullet"/>
      <w:lvlText w:val=""/>
      <w:lvlJc w:val="left"/>
      <w:pPr>
        <w:ind w:left="360" w:hanging="360"/>
      </w:pPr>
      <w:rPr>
        <w:rFonts w:ascii="Wingdings" w:eastAsiaTheme="minorHAnsi" w:hAnsi="Wingdings"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5B587DAF"/>
    <w:multiLevelType w:val="hybridMultilevel"/>
    <w:tmpl w:val="AA284434"/>
    <w:lvl w:ilvl="0" w:tplc="FB9C2E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0FA24D5"/>
    <w:multiLevelType w:val="hybridMultilevel"/>
    <w:tmpl w:val="8E26F274"/>
    <w:lvl w:ilvl="0" w:tplc="FB9C2E2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977472E"/>
    <w:multiLevelType w:val="multilevel"/>
    <w:tmpl w:val="6596A67C"/>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15:restartNumberingAfterBreak="0">
    <w:nsid w:val="73B5249C"/>
    <w:multiLevelType w:val="hybridMultilevel"/>
    <w:tmpl w:val="C0AE50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785"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8285CAA"/>
    <w:multiLevelType w:val="hybridMultilevel"/>
    <w:tmpl w:val="FD0A237E"/>
    <w:lvl w:ilvl="0" w:tplc="55A4E306">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C65145E"/>
    <w:multiLevelType w:val="multilevel"/>
    <w:tmpl w:val="0D6C5970"/>
    <w:name w:val="EurolookHeading"/>
    <w:lvl w:ilvl="0">
      <w:start w:val="1"/>
      <w:numFmt w:val="decimal"/>
      <w:pStyle w:val="Heading1"/>
      <w:lvlText w:val="%1."/>
      <w:lvlJc w:val="left"/>
      <w:pPr>
        <w:tabs>
          <w:tab w:val="num" w:pos="482"/>
        </w:tabs>
        <w:ind w:left="482" w:hanging="482"/>
      </w:pPr>
      <w:rPr>
        <w:b/>
        <w:bCs w:val="0"/>
        <w:i w:val="0"/>
        <w:iCs/>
      </w:r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7"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21"/>
  </w:num>
  <w:num w:numId="2">
    <w:abstractNumId w:val="10"/>
  </w:num>
  <w:num w:numId="3">
    <w:abstractNumId w:val="1"/>
  </w:num>
  <w:num w:numId="4">
    <w:abstractNumId w:val="19"/>
  </w:num>
  <w:num w:numId="5">
    <w:abstractNumId w:val="12"/>
  </w:num>
  <w:num w:numId="6">
    <w:abstractNumId w:val="20"/>
  </w:num>
  <w:num w:numId="7">
    <w:abstractNumId w:val="28"/>
  </w:num>
  <w:num w:numId="8">
    <w:abstractNumId w:val="33"/>
  </w:num>
  <w:num w:numId="9">
    <w:abstractNumId w:val="2"/>
  </w:num>
  <w:num w:numId="10">
    <w:abstractNumId w:val="9"/>
  </w:num>
  <w:num w:numId="11">
    <w:abstractNumId w:val="23"/>
  </w:num>
  <w:num w:numId="12">
    <w:abstractNumId w:val="4"/>
  </w:num>
  <w:num w:numId="13">
    <w:abstractNumId w:val="6"/>
  </w:num>
  <w:num w:numId="14">
    <w:abstractNumId w:val="8"/>
  </w:num>
  <w:num w:numId="15">
    <w:abstractNumId w:val="15"/>
  </w:num>
  <w:num w:numId="16">
    <w:abstractNumId w:val="22"/>
  </w:num>
  <w:num w:numId="17">
    <w:abstractNumId w:val="26"/>
  </w:num>
  <w:num w:numId="18">
    <w:abstractNumId w:val="36"/>
  </w:num>
  <w:num w:numId="19">
    <w:abstractNumId w:val="16"/>
  </w:num>
  <w:num w:numId="20">
    <w:abstractNumId w:val="17"/>
  </w:num>
  <w:num w:numId="21">
    <w:abstractNumId w:val="37"/>
  </w:num>
  <w:num w:numId="22">
    <w:abstractNumId w:val="25"/>
  </w:num>
  <w:num w:numId="23">
    <w:abstractNumId w:val="29"/>
  </w:num>
  <w:num w:numId="24">
    <w:abstractNumId w:val="5"/>
  </w:num>
  <w:num w:numId="25">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6">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9">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0">
    <w:abstractNumId w:val="13"/>
  </w:num>
  <w:num w:numId="31">
    <w:abstractNumId w:val="14"/>
  </w:num>
  <w:num w:numId="32">
    <w:abstractNumId w:val="23"/>
  </w:num>
  <w:num w:numId="33">
    <w:abstractNumId w:val="11"/>
  </w:num>
  <w:num w:numId="34">
    <w:abstractNumId w:val="24"/>
  </w:num>
  <w:num w:numId="35">
    <w:abstractNumId w:val="23"/>
  </w:num>
  <w:num w:numId="36">
    <w:abstractNumId w:val="32"/>
  </w:num>
  <w:num w:numId="37">
    <w:abstractNumId w:val="18"/>
  </w:num>
  <w:num w:numId="38">
    <w:abstractNumId w:val="30"/>
  </w:num>
  <w:num w:numId="39">
    <w:abstractNumId w:val="31"/>
  </w:num>
  <w:num w:numId="40">
    <w:abstractNumId w:val="35"/>
  </w:num>
  <w:num w:numId="41">
    <w:abstractNumId w:val="0"/>
  </w:num>
  <w:num w:numId="42">
    <w:abstractNumId w:val="27"/>
  </w:num>
  <w:num w:numId="43">
    <w:abstractNumId w:val="7"/>
  </w:num>
  <w:num w:numId="44">
    <w:abstractNumId w:val="34"/>
  </w:num>
  <w:num w:numId="45">
    <w:abstractNumId w:val="3"/>
  </w:num>
  <w:num w:numId="46">
    <w:abstractNumId w:val="23"/>
  </w:num>
  <w:num w:numId="47">
    <w:abstractNumId w:val="23"/>
  </w:num>
  <w:num w:numId="4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051"/>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5026B4BC-18D2-428B-95F3-FF82CA5DD66C"/>
    <w:docVar w:name="LW_COVERPAGE_TYPE" w:val="1"/>
    <w:docVar w:name="LW_CROSSREFERENCE" w:val="&lt;UNUSED&gt;"/>
    <w:docVar w:name="LW_DocType" w:val="EUROLOOK"/>
    <w:docVar w:name="LW_EMISSION" w:val="30.7.2024"/>
    <w:docVar w:name="LW_EMISSION_ISODATE" w:val="2024-07-30"/>
    <w:docVar w:name="LW_EMISSION_LOCATION" w:val="BRX"/>
    <w:docVar w:name="LW_EMISSION_PREFIX" w:val="Brussell, "/>
    <w:docVar w:name="LW_EMISSION_SUFFIX" w:val=" "/>
    <w:docVar w:name="LW_ID_DOCTYPE_NONLW" w:val="CP-005"/>
    <w:docVar w:name="LW_LANGUE" w:val="MT"/>
    <w:docVar w:name="LW_LEVEL_OF_SENSITIVITY" w:val="Standard treatment"/>
    <w:docVar w:name="LW_NOM.INST" w:val="IL-KUMMISSJONI EWROPEA"/>
    <w:docVar w:name="LW_NOM.INST_JOINTDOC" w:val="&lt;EMPTY&gt;"/>
    <w:docVar w:name="LW_PART_NBR" w:val="1"/>
    <w:docVar w:name="LW_PART_NBR_TOTAL" w:val="1"/>
    <w:docVar w:name="LW_REF.INST.NEW" w:val="COM"/>
    <w:docVar w:name="LW_REF.INST.NEW_ADOPTED" w:val="final"/>
    <w:docVar w:name="LW_REF.INST.NEW_TEXT" w:val="(2024) 348"/>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war il-progress li sar fl-implimentazzjoni tad-Direttiva (UE) 2016/2284 dwar it-tnaqqis tal-emissjonijiet nazzjonali ta\u8217? \u267?erti inkwinanti atmosferi\u267?i"/>
    <w:docVar w:name="LW_TYPE.DOC.CP" w:val="RAPPORT TAL-KUMMISSJONI LILL-KUNSILL U LILL-PARLAMENT EWROPEW"/>
    <w:docVar w:name="LwApiVersions" w:val="LW4CoDe 1.24.5.0; LW 9.0, Build 20240221"/>
  </w:docVars>
  <w:rsids>
    <w:rsidRoot w:val="00614A55"/>
    <w:rsid w:val="000007EB"/>
    <w:rsid w:val="00001751"/>
    <w:rsid w:val="00002840"/>
    <w:rsid w:val="000046EB"/>
    <w:rsid w:val="00007461"/>
    <w:rsid w:val="000074BC"/>
    <w:rsid w:val="000078BE"/>
    <w:rsid w:val="00011AF4"/>
    <w:rsid w:val="00011BB5"/>
    <w:rsid w:val="00012C2C"/>
    <w:rsid w:val="0001324C"/>
    <w:rsid w:val="00013E58"/>
    <w:rsid w:val="0001462F"/>
    <w:rsid w:val="00014778"/>
    <w:rsid w:val="00014F1A"/>
    <w:rsid w:val="00015D8B"/>
    <w:rsid w:val="00015E7E"/>
    <w:rsid w:val="0001791F"/>
    <w:rsid w:val="00017FA1"/>
    <w:rsid w:val="00020904"/>
    <w:rsid w:val="00020E1C"/>
    <w:rsid w:val="0002290A"/>
    <w:rsid w:val="00022E6E"/>
    <w:rsid w:val="0002306A"/>
    <w:rsid w:val="00024C2D"/>
    <w:rsid w:val="00024D30"/>
    <w:rsid w:val="00024DB0"/>
    <w:rsid w:val="00025B1F"/>
    <w:rsid w:val="00026274"/>
    <w:rsid w:val="00027BF9"/>
    <w:rsid w:val="0003038B"/>
    <w:rsid w:val="00030B56"/>
    <w:rsid w:val="00031C0D"/>
    <w:rsid w:val="00031EFA"/>
    <w:rsid w:val="0003239B"/>
    <w:rsid w:val="0003249B"/>
    <w:rsid w:val="000327C9"/>
    <w:rsid w:val="00032DE4"/>
    <w:rsid w:val="0003354D"/>
    <w:rsid w:val="00034C5F"/>
    <w:rsid w:val="00035669"/>
    <w:rsid w:val="00035AE2"/>
    <w:rsid w:val="00036CE5"/>
    <w:rsid w:val="000375CF"/>
    <w:rsid w:val="00037B11"/>
    <w:rsid w:val="00040990"/>
    <w:rsid w:val="0004202B"/>
    <w:rsid w:val="0004226A"/>
    <w:rsid w:val="00043351"/>
    <w:rsid w:val="000439BA"/>
    <w:rsid w:val="00043BC4"/>
    <w:rsid w:val="00043CDD"/>
    <w:rsid w:val="00046193"/>
    <w:rsid w:val="000461D9"/>
    <w:rsid w:val="00047171"/>
    <w:rsid w:val="00047B4B"/>
    <w:rsid w:val="0005041C"/>
    <w:rsid w:val="00050FC8"/>
    <w:rsid w:val="00050FCD"/>
    <w:rsid w:val="00051AC9"/>
    <w:rsid w:val="00052BD4"/>
    <w:rsid w:val="00052DAB"/>
    <w:rsid w:val="0005351C"/>
    <w:rsid w:val="000536BC"/>
    <w:rsid w:val="000537F6"/>
    <w:rsid w:val="00054247"/>
    <w:rsid w:val="000542E4"/>
    <w:rsid w:val="00054F89"/>
    <w:rsid w:val="00055969"/>
    <w:rsid w:val="00055A7A"/>
    <w:rsid w:val="000560CD"/>
    <w:rsid w:val="00057C24"/>
    <w:rsid w:val="00060226"/>
    <w:rsid w:val="00060521"/>
    <w:rsid w:val="00060AD1"/>
    <w:rsid w:val="00060C53"/>
    <w:rsid w:val="00062314"/>
    <w:rsid w:val="00062A3F"/>
    <w:rsid w:val="00063D42"/>
    <w:rsid w:val="00065598"/>
    <w:rsid w:val="000660A7"/>
    <w:rsid w:val="00066C9C"/>
    <w:rsid w:val="00067C2E"/>
    <w:rsid w:val="00070EBE"/>
    <w:rsid w:val="0007165E"/>
    <w:rsid w:val="00072A6F"/>
    <w:rsid w:val="00073039"/>
    <w:rsid w:val="00073E58"/>
    <w:rsid w:val="0007425D"/>
    <w:rsid w:val="00074261"/>
    <w:rsid w:val="00074327"/>
    <w:rsid w:val="00074585"/>
    <w:rsid w:val="00074D8A"/>
    <w:rsid w:val="00075B62"/>
    <w:rsid w:val="00075B9C"/>
    <w:rsid w:val="0007635D"/>
    <w:rsid w:val="00076F10"/>
    <w:rsid w:val="0007738A"/>
    <w:rsid w:val="000779E5"/>
    <w:rsid w:val="000806C9"/>
    <w:rsid w:val="000810C2"/>
    <w:rsid w:val="00081353"/>
    <w:rsid w:val="00081A31"/>
    <w:rsid w:val="00082262"/>
    <w:rsid w:val="00082A22"/>
    <w:rsid w:val="00082C0D"/>
    <w:rsid w:val="00082EAA"/>
    <w:rsid w:val="000832E2"/>
    <w:rsid w:val="000840A7"/>
    <w:rsid w:val="00084BB8"/>
    <w:rsid w:val="00086335"/>
    <w:rsid w:val="000864AA"/>
    <w:rsid w:val="00086DAC"/>
    <w:rsid w:val="00087278"/>
    <w:rsid w:val="00087927"/>
    <w:rsid w:val="00090F4C"/>
    <w:rsid w:val="0009117B"/>
    <w:rsid w:val="0009172E"/>
    <w:rsid w:val="00092964"/>
    <w:rsid w:val="00093210"/>
    <w:rsid w:val="000932A4"/>
    <w:rsid w:val="0009487E"/>
    <w:rsid w:val="0009516B"/>
    <w:rsid w:val="00095738"/>
    <w:rsid w:val="000977C0"/>
    <w:rsid w:val="000A0C11"/>
    <w:rsid w:val="000A0FAB"/>
    <w:rsid w:val="000A15D1"/>
    <w:rsid w:val="000A2610"/>
    <w:rsid w:val="000A2FBE"/>
    <w:rsid w:val="000A39CE"/>
    <w:rsid w:val="000A4A35"/>
    <w:rsid w:val="000A51A2"/>
    <w:rsid w:val="000A54E0"/>
    <w:rsid w:val="000A7466"/>
    <w:rsid w:val="000B03A5"/>
    <w:rsid w:val="000B133D"/>
    <w:rsid w:val="000B23BE"/>
    <w:rsid w:val="000B32A6"/>
    <w:rsid w:val="000B39E9"/>
    <w:rsid w:val="000B439F"/>
    <w:rsid w:val="000B4FFE"/>
    <w:rsid w:val="000B5C4E"/>
    <w:rsid w:val="000B6E91"/>
    <w:rsid w:val="000B76BD"/>
    <w:rsid w:val="000C07C2"/>
    <w:rsid w:val="000C10F1"/>
    <w:rsid w:val="000C1BB4"/>
    <w:rsid w:val="000C339E"/>
    <w:rsid w:val="000C3DB4"/>
    <w:rsid w:val="000C4199"/>
    <w:rsid w:val="000C437C"/>
    <w:rsid w:val="000C47F3"/>
    <w:rsid w:val="000C4DAF"/>
    <w:rsid w:val="000C5698"/>
    <w:rsid w:val="000C5B40"/>
    <w:rsid w:val="000C6246"/>
    <w:rsid w:val="000C62AA"/>
    <w:rsid w:val="000C798D"/>
    <w:rsid w:val="000C7AFA"/>
    <w:rsid w:val="000C7D98"/>
    <w:rsid w:val="000D08F0"/>
    <w:rsid w:val="000D11DD"/>
    <w:rsid w:val="000D13E6"/>
    <w:rsid w:val="000D17F7"/>
    <w:rsid w:val="000D1BDD"/>
    <w:rsid w:val="000D1C1B"/>
    <w:rsid w:val="000D1FF6"/>
    <w:rsid w:val="000D2255"/>
    <w:rsid w:val="000D2BE2"/>
    <w:rsid w:val="000D2E27"/>
    <w:rsid w:val="000D36D0"/>
    <w:rsid w:val="000D37E1"/>
    <w:rsid w:val="000D422F"/>
    <w:rsid w:val="000D435D"/>
    <w:rsid w:val="000D4594"/>
    <w:rsid w:val="000D45C5"/>
    <w:rsid w:val="000D556A"/>
    <w:rsid w:val="000D6085"/>
    <w:rsid w:val="000D6181"/>
    <w:rsid w:val="000D69A0"/>
    <w:rsid w:val="000D6FEE"/>
    <w:rsid w:val="000E01A0"/>
    <w:rsid w:val="000E1655"/>
    <w:rsid w:val="000E1833"/>
    <w:rsid w:val="000E3528"/>
    <w:rsid w:val="000E392A"/>
    <w:rsid w:val="000E3989"/>
    <w:rsid w:val="000E3D5D"/>
    <w:rsid w:val="000E49ED"/>
    <w:rsid w:val="000E54E2"/>
    <w:rsid w:val="000E5B5F"/>
    <w:rsid w:val="000E62FB"/>
    <w:rsid w:val="000E684C"/>
    <w:rsid w:val="000F09A7"/>
    <w:rsid w:val="000F2C1B"/>
    <w:rsid w:val="000F2D6A"/>
    <w:rsid w:val="000F34A0"/>
    <w:rsid w:val="000F42E8"/>
    <w:rsid w:val="000F4716"/>
    <w:rsid w:val="000F4835"/>
    <w:rsid w:val="000F4F1B"/>
    <w:rsid w:val="000F5E00"/>
    <w:rsid w:val="000F68A7"/>
    <w:rsid w:val="000F758A"/>
    <w:rsid w:val="000F7B1F"/>
    <w:rsid w:val="000F7B79"/>
    <w:rsid w:val="00100E6C"/>
    <w:rsid w:val="00102C7C"/>
    <w:rsid w:val="00103094"/>
    <w:rsid w:val="00103237"/>
    <w:rsid w:val="001032FC"/>
    <w:rsid w:val="00104828"/>
    <w:rsid w:val="00104F33"/>
    <w:rsid w:val="001077FE"/>
    <w:rsid w:val="001078D1"/>
    <w:rsid w:val="0011141B"/>
    <w:rsid w:val="00112666"/>
    <w:rsid w:val="001151C9"/>
    <w:rsid w:val="00115299"/>
    <w:rsid w:val="00115FC6"/>
    <w:rsid w:val="00117435"/>
    <w:rsid w:val="00117520"/>
    <w:rsid w:val="00117E50"/>
    <w:rsid w:val="00120180"/>
    <w:rsid w:val="001202B0"/>
    <w:rsid w:val="001202D9"/>
    <w:rsid w:val="00123017"/>
    <w:rsid w:val="001236E3"/>
    <w:rsid w:val="00123B93"/>
    <w:rsid w:val="0012411C"/>
    <w:rsid w:val="00124B63"/>
    <w:rsid w:val="0012680F"/>
    <w:rsid w:val="00127B1B"/>
    <w:rsid w:val="00130346"/>
    <w:rsid w:val="00131014"/>
    <w:rsid w:val="00131BC1"/>
    <w:rsid w:val="00132786"/>
    <w:rsid w:val="00132C8B"/>
    <w:rsid w:val="00134D5A"/>
    <w:rsid w:val="001351F6"/>
    <w:rsid w:val="001355B6"/>
    <w:rsid w:val="0013569E"/>
    <w:rsid w:val="00137759"/>
    <w:rsid w:val="00137C20"/>
    <w:rsid w:val="00140137"/>
    <w:rsid w:val="0014046B"/>
    <w:rsid w:val="00141944"/>
    <w:rsid w:val="0014262D"/>
    <w:rsid w:val="00142AFE"/>
    <w:rsid w:val="00142B15"/>
    <w:rsid w:val="00143D2C"/>
    <w:rsid w:val="001444F5"/>
    <w:rsid w:val="001459C7"/>
    <w:rsid w:val="00146505"/>
    <w:rsid w:val="00146847"/>
    <w:rsid w:val="00146D3D"/>
    <w:rsid w:val="00147127"/>
    <w:rsid w:val="001472D1"/>
    <w:rsid w:val="001474F9"/>
    <w:rsid w:val="00147E77"/>
    <w:rsid w:val="00150DD5"/>
    <w:rsid w:val="00150F67"/>
    <w:rsid w:val="00152B09"/>
    <w:rsid w:val="00152B59"/>
    <w:rsid w:val="0015304E"/>
    <w:rsid w:val="0015368C"/>
    <w:rsid w:val="00155BAD"/>
    <w:rsid w:val="001561FD"/>
    <w:rsid w:val="00156FBC"/>
    <w:rsid w:val="00156FD3"/>
    <w:rsid w:val="00157F61"/>
    <w:rsid w:val="00160A02"/>
    <w:rsid w:val="00161BD1"/>
    <w:rsid w:val="00163156"/>
    <w:rsid w:val="00164239"/>
    <w:rsid w:val="001642DB"/>
    <w:rsid w:val="00165D50"/>
    <w:rsid w:val="00166CB8"/>
    <w:rsid w:val="00166CC9"/>
    <w:rsid w:val="0016726E"/>
    <w:rsid w:val="001708BB"/>
    <w:rsid w:val="001709DC"/>
    <w:rsid w:val="001714FD"/>
    <w:rsid w:val="0017175D"/>
    <w:rsid w:val="00171AA4"/>
    <w:rsid w:val="001721AC"/>
    <w:rsid w:val="001746B6"/>
    <w:rsid w:val="00175016"/>
    <w:rsid w:val="00175A38"/>
    <w:rsid w:val="0018051B"/>
    <w:rsid w:val="00180E07"/>
    <w:rsid w:val="0018129F"/>
    <w:rsid w:val="00181C5B"/>
    <w:rsid w:val="00181D7B"/>
    <w:rsid w:val="00182BD0"/>
    <w:rsid w:val="001835FB"/>
    <w:rsid w:val="001838B9"/>
    <w:rsid w:val="00184329"/>
    <w:rsid w:val="001847C3"/>
    <w:rsid w:val="0018488E"/>
    <w:rsid w:val="00184C4A"/>
    <w:rsid w:val="00184D98"/>
    <w:rsid w:val="00184DDE"/>
    <w:rsid w:val="0018535E"/>
    <w:rsid w:val="001856C1"/>
    <w:rsid w:val="0018621E"/>
    <w:rsid w:val="00186634"/>
    <w:rsid w:val="001866F0"/>
    <w:rsid w:val="00186BEE"/>
    <w:rsid w:val="00190088"/>
    <w:rsid w:val="001957B1"/>
    <w:rsid w:val="00195E12"/>
    <w:rsid w:val="001961EC"/>
    <w:rsid w:val="001968E3"/>
    <w:rsid w:val="001A0244"/>
    <w:rsid w:val="001A225D"/>
    <w:rsid w:val="001A284C"/>
    <w:rsid w:val="001A2D91"/>
    <w:rsid w:val="001A3704"/>
    <w:rsid w:val="001A3B03"/>
    <w:rsid w:val="001A6DB5"/>
    <w:rsid w:val="001A7AEC"/>
    <w:rsid w:val="001B0717"/>
    <w:rsid w:val="001B0761"/>
    <w:rsid w:val="001B16E7"/>
    <w:rsid w:val="001B2395"/>
    <w:rsid w:val="001B2C76"/>
    <w:rsid w:val="001B498D"/>
    <w:rsid w:val="001B4B22"/>
    <w:rsid w:val="001B4B3D"/>
    <w:rsid w:val="001B519D"/>
    <w:rsid w:val="001B62C3"/>
    <w:rsid w:val="001B6361"/>
    <w:rsid w:val="001B6A62"/>
    <w:rsid w:val="001B6C09"/>
    <w:rsid w:val="001C1A1D"/>
    <w:rsid w:val="001C1BDB"/>
    <w:rsid w:val="001C20C4"/>
    <w:rsid w:val="001C2B04"/>
    <w:rsid w:val="001C3309"/>
    <w:rsid w:val="001C3696"/>
    <w:rsid w:val="001C3B7B"/>
    <w:rsid w:val="001C45D0"/>
    <w:rsid w:val="001C59C1"/>
    <w:rsid w:val="001C69D4"/>
    <w:rsid w:val="001D0A50"/>
    <w:rsid w:val="001D1BEB"/>
    <w:rsid w:val="001D2255"/>
    <w:rsid w:val="001D2FCC"/>
    <w:rsid w:val="001D379E"/>
    <w:rsid w:val="001D3C02"/>
    <w:rsid w:val="001D4748"/>
    <w:rsid w:val="001D4F12"/>
    <w:rsid w:val="001D5121"/>
    <w:rsid w:val="001D531F"/>
    <w:rsid w:val="001D5434"/>
    <w:rsid w:val="001D7A53"/>
    <w:rsid w:val="001D7D88"/>
    <w:rsid w:val="001E099C"/>
    <w:rsid w:val="001E0D9B"/>
    <w:rsid w:val="001E1D85"/>
    <w:rsid w:val="001E2672"/>
    <w:rsid w:val="001E275B"/>
    <w:rsid w:val="001E30DE"/>
    <w:rsid w:val="001E3559"/>
    <w:rsid w:val="001E368D"/>
    <w:rsid w:val="001E46FB"/>
    <w:rsid w:val="001E608D"/>
    <w:rsid w:val="001E707B"/>
    <w:rsid w:val="001F0A7A"/>
    <w:rsid w:val="001F2654"/>
    <w:rsid w:val="001F2BA8"/>
    <w:rsid w:val="001F37EA"/>
    <w:rsid w:val="001F3D93"/>
    <w:rsid w:val="001F44E7"/>
    <w:rsid w:val="001F4ACF"/>
    <w:rsid w:val="001F4B47"/>
    <w:rsid w:val="001F519E"/>
    <w:rsid w:val="001F5259"/>
    <w:rsid w:val="001F61BE"/>
    <w:rsid w:val="001F6852"/>
    <w:rsid w:val="001F6FCC"/>
    <w:rsid w:val="001F7050"/>
    <w:rsid w:val="0020024A"/>
    <w:rsid w:val="0020118A"/>
    <w:rsid w:val="002017ED"/>
    <w:rsid w:val="002022B1"/>
    <w:rsid w:val="00202E8B"/>
    <w:rsid w:val="00202F67"/>
    <w:rsid w:val="00203612"/>
    <w:rsid w:val="00204E32"/>
    <w:rsid w:val="0021000E"/>
    <w:rsid w:val="00210730"/>
    <w:rsid w:val="002115B6"/>
    <w:rsid w:val="0021201E"/>
    <w:rsid w:val="002123FF"/>
    <w:rsid w:val="002135D0"/>
    <w:rsid w:val="00213A1A"/>
    <w:rsid w:val="00213CD7"/>
    <w:rsid w:val="0021421B"/>
    <w:rsid w:val="002143C0"/>
    <w:rsid w:val="00214C6C"/>
    <w:rsid w:val="00215484"/>
    <w:rsid w:val="00216115"/>
    <w:rsid w:val="00216AAF"/>
    <w:rsid w:val="00216CB9"/>
    <w:rsid w:val="00217EB8"/>
    <w:rsid w:val="002201B7"/>
    <w:rsid w:val="00220D21"/>
    <w:rsid w:val="00221E6B"/>
    <w:rsid w:val="00222442"/>
    <w:rsid w:val="00222CF0"/>
    <w:rsid w:val="002235B5"/>
    <w:rsid w:val="00226EC6"/>
    <w:rsid w:val="0022703D"/>
    <w:rsid w:val="002278E7"/>
    <w:rsid w:val="00227F82"/>
    <w:rsid w:val="002318E6"/>
    <w:rsid w:val="002345CD"/>
    <w:rsid w:val="00234B6C"/>
    <w:rsid w:val="00234C14"/>
    <w:rsid w:val="00235321"/>
    <w:rsid w:val="00235F84"/>
    <w:rsid w:val="002370F3"/>
    <w:rsid w:val="002372CF"/>
    <w:rsid w:val="002406EA"/>
    <w:rsid w:val="00240C77"/>
    <w:rsid w:val="00241205"/>
    <w:rsid w:val="002418C5"/>
    <w:rsid w:val="00241C61"/>
    <w:rsid w:val="002440B3"/>
    <w:rsid w:val="002449DA"/>
    <w:rsid w:val="00244BE2"/>
    <w:rsid w:val="00245331"/>
    <w:rsid w:val="00245F7E"/>
    <w:rsid w:val="002472FE"/>
    <w:rsid w:val="00247BAF"/>
    <w:rsid w:val="0025057C"/>
    <w:rsid w:val="0025091D"/>
    <w:rsid w:val="00250C16"/>
    <w:rsid w:val="00251293"/>
    <w:rsid w:val="00251352"/>
    <w:rsid w:val="0025188D"/>
    <w:rsid w:val="00251F52"/>
    <w:rsid w:val="0025211C"/>
    <w:rsid w:val="00257692"/>
    <w:rsid w:val="0025786E"/>
    <w:rsid w:val="00257E67"/>
    <w:rsid w:val="00260D85"/>
    <w:rsid w:val="00262E55"/>
    <w:rsid w:val="00263406"/>
    <w:rsid w:val="00264232"/>
    <w:rsid w:val="0026460C"/>
    <w:rsid w:val="002647C0"/>
    <w:rsid w:val="00265CC9"/>
    <w:rsid w:val="00265D33"/>
    <w:rsid w:val="00266742"/>
    <w:rsid w:val="00270FC9"/>
    <w:rsid w:val="00271968"/>
    <w:rsid w:val="00272AB7"/>
    <w:rsid w:val="0027328F"/>
    <w:rsid w:val="00273868"/>
    <w:rsid w:val="0027461F"/>
    <w:rsid w:val="00274DDF"/>
    <w:rsid w:val="00277466"/>
    <w:rsid w:val="00277616"/>
    <w:rsid w:val="0027789B"/>
    <w:rsid w:val="002809D8"/>
    <w:rsid w:val="00281F86"/>
    <w:rsid w:val="002838FD"/>
    <w:rsid w:val="00284312"/>
    <w:rsid w:val="002843BD"/>
    <w:rsid w:val="00284973"/>
    <w:rsid w:val="0028666E"/>
    <w:rsid w:val="00286EDF"/>
    <w:rsid w:val="00287121"/>
    <w:rsid w:val="0028731F"/>
    <w:rsid w:val="0028758C"/>
    <w:rsid w:val="00287AEB"/>
    <w:rsid w:val="00290EAD"/>
    <w:rsid w:val="00290FFD"/>
    <w:rsid w:val="00291118"/>
    <w:rsid w:val="00291AA6"/>
    <w:rsid w:val="00291FE3"/>
    <w:rsid w:val="00293202"/>
    <w:rsid w:val="002941DE"/>
    <w:rsid w:val="00294329"/>
    <w:rsid w:val="00295EF7"/>
    <w:rsid w:val="002978D4"/>
    <w:rsid w:val="002A0450"/>
    <w:rsid w:val="002A2FB6"/>
    <w:rsid w:val="002A3C21"/>
    <w:rsid w:val="002A4A08"/>
    <w:rsid w:val="002A5404"/>
    <w:rsid w:val="002A541C"/>
    <w:rsid w:val="002A6309"/>
    <w:rsid w:val="002A635D"/>
    <w:rsid w:val="002A6382"/>
    <w:rsid w:val="002A68E2"/>
    <w:rsid w:val="002A6AA2"/>
    <w:rsid w:val="002A6FB8"/>
    <w:rsid w:val="002B0322"/>
    <w:rsid w:val="002B1DCB"/>
    <w:rsid w:val="002B1E74"/>
    <w:rsid w:val="002B2BD9"/>
    <w:rsid w:val="002B34F2"/>
    <w:rsid w:val="002B4C53"/>
    <w:rsid w:val="002B4E84"/>
    <w:rsid w:val="002B5DFC"/>
    <w:rsid w:val="002B67D9"/>
    <w:rsid w:val="002B7CAB"/>
    <w:rsid w:val="002C00BF"/>
    <w:rsid w:val="002C134C"/>
    <w:rsid w:val="002C1E61"/>
    <w:rsid w:val="002C31A9"/>
    <w:rsid w:val="002C3C82"/>
    <w:rsid w:val="002C4D79"/>
    <w:rsid w:val="002D037E"/>
    <w:rsid w:val="002D098E"/>
    <w:rsid w:val="002D0AE3"/>
    <w:rsid w:val="002D1A20"/>
    <w:rsid w:val="002D3960"/>
    <w:rsid w:val="002D4964"/>
    <w:rsid w:val="002D4A8C"/>
    <w:rsid w:val="002D4CBD"/>
    <w:rsid w:val="002D60F7"/>
    <w:rsid w:val="002D631D"/>
    <w:rsid w:val="002D636D"/>
    <w:rsid w:val="002D7248"/>
    <w:rsid w:val="002D771C"/>
    <w:rsid w:val="002D7D69"/>
    <w:rsid w:val="002E0717"/>
    <w:rsid w:val="002E0EB0"/>
    <w:rsid w:val="002E1564"/>
    <w:rsid w:val="002E2C06"/>
    <w:rsid w:val="002E2F61"/>
    <w:rsid w:val="002E3BFE"/>
    <w:rsid w:val="002E47BF"/>
    <w:rsid w:val="002E4A05"/>
    <w:rsid w:val="002E4F9F"/>
    <w:rsid w:val="002E50C9"/>
    <w:rsid w:val="002E64C7"/>
    <w:rsid w:val="002E6B52"/>
    <w:rsid w:val="002E6FD5"/>
    <w:rsid w:val="002E760B"/>
    <w:rsid w:val="002E7610"/>
    <w:rsid w:val="002E774C"/>
    <w:rsid w:val="002F149E"/>
    <w:rsid w:val="002F23C9"/>
    <w:rsid w:val="002F258D"/>
    <w:rsid w:val="002F2D63"/>
    <w:rsid w:val="002F4172"/>
    <w:rsid w:val="002F49C0"/>
    <w:rsid w:val="002F4E3A"/>
    <w:rsid w:val="002F765A"/>
    <w:rsid w:val="002F7E69"/>
    <w:rsid w:val="00301147"/>
    <w:rsid w:val="00301D47"/>
    <w:rsid w:val="00302358"/>
    <w:rsid w:val="003031F7"/>
    <w:rsid w:val="00303641"/>
    <w:rsid w:val="00303CED"/>
    <w:rsid w:val="003045B3"/>
    <w:rsid w:val="00304894"/>
    <w:rsid w:val="00304D44"/>
    <w:rsid w:val="003052F4"/>
    <w:rsid w:val="00305D7F"/>
    <w:rsid w:val="00306A33"/>
    <w:rsid w:val="00306E88"/>
    <w:rsid w:val="00307F8C"/>
    <w:rsid w:val="003105A3"/>
    <w:rsid w:val="0031128D"/>
    <w:rsid w:val="00312037"/>
    <w:rsid w:val="00312840"/>
    <w:rsid w:val="00312B03"/>
    <w:rsid w:val="00312C6F"/>
    <w:rsid w:val="00312CD1"/>
    <w:rsid w:val="00313878"/>
    <w:rsid w:val="0031393C"/>
    <w:rsid w:val="00314478"/>
    <w:rsid w:val="00314C5A"/>
    <w:rsid w:val="00314D1A"/>
    <w:rsid w:val="00315078"/>
    <w:rsid w:val="00317F7B"/>
    <w:rsid w:val="00320980"/>
    <w:rsid w:val="00320AAE"/>
    <w:rsid w:val="00320CDC"/>
    <w:rsid w:val="00320F41"/>
    <w:rsid w:val="00322524"/>
    <w:rsid w:val="0032379E"/>
    <w:rsid w:val="00323F8F"/>
    <w:rsid w:val="003247AE"/>
    <w:rsid w:val="00324F95"/>
    <w:rsid w:val="00325AA3"/>
    <w:rsid w:val="00325C1F"/>
    <w:rsid w:val="00326322"/>
    <w:rsid w:val="00331D0D"/>
    <w:rsid w:val="00333804"/>
    <w:rsid w:val="00334D51"/>
    <w:rsid w:val="00334DBF"/>
    <w:rsid w:val="00335522"/>
    <w:rsid w:val="00336E8F"/>
    <w:rsid w:val="00340126"/>
    <w:rsid w:val="003439FE"/>
    <w:rsid w:val="003440BE"/>
    <w:rsid w:val="00345A87"/>
    <w:rsid w:val="003461E9"/>
    <w:rsid w:val="00346DFB"/>
    <w:rsid w:val="00347FB4"/>
    <w:rsid w:val="0035089F"/>
    <w:rsid w:val="00350ABE"/>
    <w:rsid w:val="00351DE9"/>
    <w:rsid w:val="003523D1"/>
    <w:rsid w:val="00353322"/>
    <w:rsid w:val="0035339E"/>
    <w:rsid w:val="0035386C"/>
    <w:rsid w:val="00353AF5"/>
    <w:rsid w:val="00354DC6"/>
    <w:rsid w:val="0035619A"/>
    <w:rsid w:val="003578D4"/>
    <w:rsid w:val="0036003D"/>
    <w:rsid w:val="003602FC"/>
    <w:rsid w:val="00360ACA"/>
    <w:rsid w:val="00360DFD"/>
    <w:rsid w:val="00361DE5"/>
    <w:rsid w:val="003623C2"/>
    <w:rsid w:val="00363570"/>
    <w:rsid w:val="00363A66"/>
    <w:rsid w:val="003672F2"/>
    <w:rsid w:val="00367900"/>
    <w:rsid w:val="00367B3F"/>
    <w:rsid w:val="0037002C"/>
    <w:rsid w:val="00370AE0"/>
    <w:rsid w:val="00372CF1"/>
    <w:rsid w:val="003732E3"/>
    <w:rsid w:val="00374B95"/>
    <w:rsid w:val="00374E47"/>
    <w:rsid w:val="00375497"/>
    <w:rsid w:val="00375548"/>
    <w:rsid w:val="003764B2"/>
    <w:rsid w:val="00377C46"/>
    <w:rsid w:val="00381466"/>
    <w:rsid w:val="00381953"/>
    <w:rsid w:val="00381BCF"/>
    <w:rsid w:val="00382223"/>
    <w:rsid w:val="003860A2"/>
    <w:rsid w:val="00386561"/>
    <w:rsid w:val="00386E3A"/>
    <w:rsid w:val="00387592"/>
    <w:rsid w:val="00390660"/>
    <w:rsid w:val="003908B7"/>
    <w:rsid w:val="00390A55"/>
    <w:rsid w:val="00391241"/>
    <w:rsid w:val="00392067"/>
    <w:rsid w:val="003926CB"/>
    <w:rsid w:val="00395135"/>
    <w:rsid w:val="00395F8D"/>
    <w:rsid w:val="00396C07"/>
    <w:rsid w:val="0039736C"/>
    <w:rsid w:val="00397D48"/>
    <w:rsid w:val="003A0183"/>
    <w:rsid w:val="003A1203"/>
    <w:rsid w:val="003A200A"/>
    <w:rsid w:val="003A2D5F"/>
    <w:rsid w:val="003A4629"/>
    <w:rsid w:val="003A5480"/>
    <w:rsid w:val="003A5532"/>
    <w:rsid w:val="003A5949"/>
    <w:rsid w:val="003A5E43"/>
    <w:rsid w:val="003A6191"/>
    <w:rsid w:val="003A6BF0"/>
    <w:rsid w:val="003A720C"/>
    <w:rsid w:val="003B087F"/>
    <w:rsid w:val="003B0B78"/>
    <w:rsid w:val="003B1AC4"/>
    <w:rsid w:val="003B480C"/>
    <w:rsid w:val="003B572E"/>
    <w:rsid w:val="003B574F"/>
    <w:rsid w:val="003B695C"/>
    <w:rsid w:val="003B71E7"/>
    <w:rsid w:val="003B7479"/>
    <w:rsid w:val="003C0AD6"/>
    <w:rsid w:val="003C1407"/>
    <w:rsid w:val="003C1BCA"/>
    <w:rsid w:val="003C2431"/>
    <w:rsid w:val="003C2B12"/>
    <w:rsid w:val="003C332A"/>
    <w:rsid w:val="003C4092"/>
    <w:rsid w:val="003C5FE8"/>
    <w:rsid w:val="003C6712"/>
    <w:rsid w:val="003C6A26"/>
    <w:rsid w:val="003D1A5E"/>
    <w:rsid w:val="003D3B36"/>
    <w:rsid w:val="003D475B"/>
    <w:rsid w:val="003D48CC"/>
    <w:rsid w:val="003D637A"/>
    <w:rsid w:val="003D6EB0"/>
    <w:rsid w:val="003D7F87"/>
    <w:rsid w:val="003E03E6"/>
    <w:rsid w:val="003E1735"/>
    <w:rsid w:val="003E2BEF"/>
    <w:rsid w:val="003E46B1"/>
    <w:rsid w:val="003E491C"/>
    <w:rsid w:val="003E5F07"/>
    <w:rsid w:val="003E6439"/>
    <w:rsid w:val="003E64DB"/>
    <w:rsid w:val="003E6A2F"/>
    <w:rsid w:val="003E7DCC"/>
    <w:rsid w:val="003F02E1"/>
    <w:rsid w:val="003F04CF"/>
    <w:rsid w:val="003F1831"/>
    <w:rsid w:val="003F1D7F"/>
    <w:rsid w:val="003F38E8"/>
    <w:rsid w:val="003F63C7"/>
    <w:rsid w:val="003F6695"/>
    <w:rsid w:val="003F6E13"/>
    <w:rsid w:val="003F737E"/>
    <w:rsid w:val="003F781C"/>
    <w:rsid w:val="00401543"/>
    <w:rsid w:val="00404B2C"/>
    <w:rsid w:val="00404DCE"/>
    <w:rsid w:val="00405CC3"/>
    <w:rsid w:val="00405F46"/>
    <w:rsid w:val="00406753"/>
    <w:rsid w:val="00410431"/>
    <w:rsid w:val="00410647"/>
    <w:rsid w:val="0041064E"/>
    <w:rsid w:val="00410997"/>
    <w:rsid w:val="00410CA2"/>
    <w:rsid w:val="00411783"/>
    <w:rsid w:val="004119E5"/>
    <w:rsid w:val="00413AA8"/>
    <w:rsid w:val="00414048"/>
    <w:rsid w:val="0041482D"/>
    <w:rsid w:val="004156DB"/>
    <w:rsid w:val="00415917"/>
    <w:rsid w:val="00416C18"/>
    <w:rsid w:val="00416D4C"/>
    <w:rsid w:val="004179CB"/>
    <w:rsid w:val="00421200"/>
    <w:rsid w:val="00421ACF"/>
    <w:rsid w:val="004228C5"/>
    <w:rsid w:val="00423057"/>
    <w:rsid w:val="0042328F"/>
    <w:rsid w:val="00423E2E"/>
    <w:rsid w:val="00424118"/>
    <w:rsid w:val="00424722"/>
    <w:rsid w:val="00427475"/>
    <w:rsid w:val="00427832"/>
    <w:rsid w:val="004278F7"/>
    <w:rsid w:val="004306BD"/>
    <w:rsid w:val="00431BFC"/>
    <w:rsid w:val="00432017"/>
    <w:rsid w:val="0043276E"/>
    <w:rsid w:val="00432DEE"/>
    <w:rsid w:val="0043320A"/>
    <w:rsid w:val="004352F0"/>
    <w:rsid w:val="00435DEC"/>
    <w:rsid w:val="00436C9E"/>
    <w:rsid w:val="00436E38"/>
    <w:rsid w:val="0044102B"/>
    <w:rsid w:val="00441C8A"/>
    <w:rsid w:val="00443E14"/>
    <w:rsid w:val="00444673"/>
    <w:rsid w:val="004448A3"/>
    <w:rsid w:val="00446063"/>
    <w:rsid w:val="00446446"/>
    <w:rsid w:val="004465F8"/>
    <w:rsid w:val="00446C1A"/>
    <w:rsid w:val="0044700B"/>
    <w:rsid w:val="00450895"/>
    <w:rsid w:val="00450C1D"/>
    <w:rsid w:val="0045113D"/>
    <w:rsid w:val="0045149A"/>
    <w:rsid w:val="004521AE"/>
    <w:rsid w:val="00452454"/>
    <w:rsid w:val="00453C34"/>
    <w:rsid w:val="0045408E"/>
    <w:rsid w:val="00454194"/>
    <w:rsid w:val="00454561"/>
    <w:rsid w:val="00454B2C"/>
    <w:rsid w:val="00455314"/>
    <w:rsid w:val="00455978"/>
    <w:rsid w:val="00457448"/>
    <w:rsid w:val="004579F2"/>
    <w:rsid w:val="00457CD9"/>
    <w:rsid w:val="00457D2F"/>
    <w:rsid w:val="0046080D"/>
    <w:rsid w:val="004614E5"/>
    <w:rsid w:val="00461DAD"/>
    <w:rsid w:val="0046339F"/>
    <w:rsid w:val="00463AE0"/>
    <w:rsid w:val="00463C58"/>
    <w:rsid w:val="00463DDD"/>
    <w:rsid w:val="0046434C"/>
    <w:rsid w:val="00466F06"/>
    <w:rsid w:val="00466F3A"/>
    <w:rsid w:val="004671D7"/>
    <w:rsid w:val="004713A8"/>
    <w:rsid w:val="00471527"/>
    <w:rsid w:val="00471EEA"/>
    <w:rsid w:val="004720E2"/>
    <w:rsid w:val="0047369A"/>
    <w:rsid w:val="00473D2F"/>
    <w:rsid w:val="00475381"/>
    <w:rsid w:val="004756B9"/>
    <w:rsid w:val="00475E91"/>
    <w:rsid w:val="00476749"/>
    <w:rsid w:val="0047696B"/>
    <w:rsid w:val="004775BF"/>
    <w:rsid w:val="004802AF"/>
    <w:rsid w:val="0048062D"/>
    <w:rsid w:val="00480A29"/>
    <w:rsid w:val="00480F6B"/>
    <w:rsid w:val="00482470"/>
    <w:rsid w:val="00482E5E"/>
    <w:rsid w:val="00483064"/>
    <w:rsid w:val="00483CE4"/>
    <w:rsid w:val="00484210"/>
    <w:rsid w:val="00484F56"/>
    <w:rsid w:val="00485BFC"/>
    <w:rsid w:val="00486EE8"/>
    <w:rsid w:val="00487064"/>
    <w:rsid w:val="00487723"/>
    <w:rsid w:val="00487FAD"/>
    <w:rsid w:val="0049082B"/>
    <w:rsid w:val="00490E73"/>
    <w:rsid w:val="004937F8"/>
    <w:rsid w:val="00495F40"/>
    <w:rsid w:val="00496066"/>
    <w:rsid w:val="004960EA"/>
    <w:rsid w:val="0049661C"/>
    <w:rsid w:val="00496979"/>
    <w:rsid w:val="00496CC7"/>
    <w:rsid w:val="0049714B"/>
    <w:rsid w:val="004972C9"/>
    <w:rsid w:val="004A0E95"/>
    <w:rsid w:val="004A1D4D"/>
    <w:rsid w:val="004A2380"/>
    <w:rsid w:val="004A340B"/>
    <w:rsid w:val="004A4BC4"/>
    <w:rsid w:val="004A601B"/>
    <w:rsid w:val="004A739B"/>
    <w:rsid w:val="004B056C"/>
    <w:rsid w:val="004B0581"/>
    <w:rsid w:val="004B08A0"/>
    <w:rsid w:val="004B0A18"/>
    <w:rsid w:val="004B0B5E"/>
    <w:rsid w:val="004B2603"/>
    <w:rsid w:val="004B3907"/>
    <w:rsid w:val="004B4870"/>
    <w:rsid w:val="004B497D"/>
    <w:rsid w:val="004B53BD"/>
    <w:rsid w:val="004B5610"/>
    <w:rsid w:val="004B5E6D"/>
    <w:rsid w:val="004B61D1"/>
    <w:rsid w:val="004C2BD8"/>
    <w:rsid w:val="004C31AD"/>
    <w:rsid w:val="004C33AC"/>
    <w:rsid w:val="004C3A67"/>
    <w:rsid w:val="004C45D4"/>
    <w:rsid w:val="004C4CF2"/>
    <w:rsid w:val="004C5CF7"/>
    <w:rsid w:val="004C67AB"/>
    <w:rsid w:val="004C6A2A"/>
    <w:rsid w:val="004C7A90"/>
    <w:rsid w:val="004D046E"/>
    <w:rsid w:val="004D10EC"/>
    <w:rsid w:val="004D289E"/>
    <w:rsid w:val="004D33E0"/>
    <w:rsid w:val="004D3AD5"/>
    <w:rsid w:val="004D4072"/>
    <w:rsid w:val="004D442A"/>
    <w:rsid w:val="004D456C"/>
    <w:rsid w:val="004D5BEF"/>
    <w:rsid w:val="004D5C4A"/>
    <w:rsid w:val="004D631B"/>
    <w:rsid w:val="004D6F7C"/>
    <w:rsid w:val="004D75CE"/>
    <w:rsid w:val="004D764D"/>
    <w:rsid w:val="004E15B8"/>
    <w:rsid w:val="004E1E69"/>
    <w:rsid w:val="004E2CE1"/>
    <w:rsid w:val="004E3B2B"/>
    <w:rsid w:val="004E3E0C"/>
    <w:rsid w:val="004E46DC"/>
    <w:rsid w:val="004E48FB"/>
    <w:rsid w:val="004E4E00"/>
    <w:rsid w:val="004E5900"/>
    <w:rsid w:val="004E6387"/>
    <w:rsid w:val="004E6CF8"/>
    <w:rsid w:val="004E73DB"/>
    <w:rsid w:val="004E7B99"/>
    <w:rsid w:val="004F02EB"/>
    <w:rsid w:val="004F0E75"/>
    <w:rsid w:val="004F148D"/>
    <w:rsid w:val="004F2544"/>
    <w:rsid w:val="004F3634"/>
    <w:rsid w:val="004F3956"/>
    <w:rsid w:val="004F4CD5"/>
    <w:rsid w:val="004F5653"/>
    <w:rsid w:val="004F616B"/>
    <w:rsid w:val="004F6AB8"/>
    <w:rsid w:val="004F77D9"/>
    <w:rsid w:val="004F7CDB"/>
    <w:rsid w:val="004F7D40"/>
    <w:rsid w:val="005005B2"/>
    <w:rsid w:val="00501561"/>
    <w:rsid w:val="00501B0E"/>
    <w:rsid w:val="00501EF8"/>
    <w:rsid w:val="00502B74"/>
    <w:rsid w:val="005037CD"/>
    <w:rsid w:val="005038FF"/>
    <w:rsid w:val="00503CCF"/>
    <w:rsid w:val="00504255"/>
    <w:rsid w:val="00504768"/>
    <w:rsid w:val="00504880"/>
    <w:rsid w:val="005060EC"/>
    <w:rsid w:val="00507AA1"/>
    <w:rsid w:val="00507BE7"/>
    <w:rsid w:val="00510C58"/>
    <w:rsid w:val="005111E6"/>
    <w:rsid w:val="00512E9B"/>
    <w:rsid w:val="00513E83"/>
    <w:rsid w:val="0051433B"/>
    <w:rsid w:val="00514404"/>
    <w:rsid w:val="00514442"/>
    <w:rsid w:val="00514456"/>
    <w:rsid w:val="00514B39"/>
    <w:rsid w:val="005153F7"/>
    <w:rsid w:val="00515D4E"/>
    <w:rsid w:val="005162CF"/>
    <w:rsid w:val="005163A8"/>
    <w:rsid w:val="00516EBA"/>
    <w:rsid w:val="005170C7"/>
    <w:rsid w:val="005212DC"/>
    <w:rsid w:val="00521FEA"/>
    <w:rsid w:val="0052231C"/>
    <w:rsid w:val="00522720"/>
    <w:rsid w:val="00522AAD"/>
    <w:rsid w:val="005247A7"/>
    <w:rsid w:val="005248A6"/>
    <w:rsid w:val="0052546C"/>
    <w:rsid w:val="005265BD"/>
    <w:rsid w:val="00526CD9"/>
    <w:rsid w:val="00526D79"/>
    <w:rsid w:val="00526DC4"/>
    <w:rsid w:val="00530B8D"/>
    <w:rsid w:val="00531141"/>
    <w:rsid w:val="005344A9"/>
    <w:rsid w:val="00537864"/>
    <w:rsid w:val="00537FEF"/>
    <w:rsid w:val="005403E4"/>
    <w:rsid w:val="00540E31"/>
    <w:rsid w:val="00541EF3"/>
    <w:rsid w:val="0054243F"/>
    <w:rsid w:val="00542EB3"/>
    <w:rsid w:val="0054308D"/>
    <w:rsid w:val="00543323"/>
    <w:rsid w:val="00543EF7"/>
    <w:rsid w:val="0054493A"/>
    <w:rsid w:val="005459FA"/>
    <w:rsid w:val="00545D7B"/>
    <w:rsid w:val="00546E81"/>
    <w:rsid w:val="00550018"/>
    <w:rsid w:val="0055097F"/>
    <w:rsid w:val="00550A6B"/>
    <w:rsid w:val="0055169C"/>
    <w:rsid w:val="00552401"/>
    <w:rsid w:val="005539BA"/>
    <w:rsid w:val="00553D36"/>
    <w:rsid w:val="00553FDC"/>
    <w:rsid w:val="005541D0"/>
    <w:rsid w:val="00554779"/>
    <w:rsid w:val="005547A0"/>
    <w:rsid w:val="00554869"/>
    <w:rsid w:val="0055520F"/>
    <w:rsid w:val="00560645"/>
    <w:rsid w:val="0056096F"/>
    <w:rsid w:val="00561727"/>
    <w:rsid w:val="00561E27"/>
    <w:rsid w:val="00562806"/>
    <w:rsid w:val="00563BF1"/>
    <w:rsid w:val="00564D62"/>
    <w:rsid w:val="005659E5"/>
    <w:rsid w:val="005672DE"/>
    <w:rsid w:val="00567339"/>
    <w:rsid w:val="0057187D"/>
    <w:rsid w:val="00571AF6"/>
    <w:rsid w:val="00571DA9"/>
    <w:rsid w:val="00572A40"/>
    <w:rsid w:val="00573D9C"/>
    <w:rsid w:val="005742AF"/>
    <w:rsid w:val="00575458"/>
    <w:rsid w:val="00577B84"/>
    <w:rsid w:val="00580256"/>
    <w:rsid w:val="005806DE"/>
    <w:rsid w:val="00580E29"/>
    <w:rsid w:val="00581454"/>
    <w:rsid w:val="0058233B"/>
    <w:rsid w:val="0058296B"/>
    <w:rsid w:val="0058306E"/>
    <w:rsid w:val="0058448C"/>
    <w:rsid w:val="005849E5"/>
    <w:rsid w:val="00586278"/>
    <w:rsid w:val="00586576"/>
    <w:rsid w:val="0059021A"/>
    <w:rsid w:val="00590C4C"/>
    <w:rsid w:val="005910EE"/>
    <w:rsid w:val="005920F0"/>
    <w:rsid w:val="005921B6"/>
    <w:rsid w:val="00592F77"/>
    <w:rsid w:val="00593896"/>
    <w:rsid w:val="0059467C"/>
    <w:rsid w:val="0059478C"/>
    <w:rsid w:val="00594E05"/>
    <w:rsid w:val="00596C6E"/>
    <w:rsid w:val="00596D72"/>
    <w:rsid w:val="005A1816"/>
    <w:rsid w:val="005A1E2E"/>
    <w:rsid w:val="005A20F8"/>
    <w:rsid w:val="005A3046"/>
    <w:rsid w:val="005A3A92"/>
    <w:rsid w:val="005A5C0F"/>
    <w:rsid w:val="005B0320"/>
    <w:rsid w:val="005B0B37"/>
    <w:rsid w:val="005B0ECC"/>
    <w:rsid w:val="005B2D38"/>
    <w:rsid w:val="005B3AE0"/>
    <w:rsid w:val="005B43CF"/>
    <w:rsid w:val="005B4876"/>
    <w:rsid w:val="005B5404"/>
    <w:rsid w:val="005B77AE"/>
    <w:rsid w:val="005C0246"/>
    <w:rsid w:val="005C0BDF"/>
    <w:rsid w:val="005C2004"/>
    <w:rsid w:val="005C20D4"/>
    <w:rsid w:val="005C23A5"/>
    <w:rsid w:val="005C37E2"/>
    <w:rsid w:val="005C4E3B"/>
    <w:rsid w:val="005C5D57"/>
    <w:rsid w:val="005C7BE0"/>
    <w:rsid w:val="005C7FB3"/>
    <w:rsid w:val="005D0140"/>
    <w:rsid w:val="005D021E"/>
    <w:rsid w:val="005D05A2"/>
    <w:rsid w:val="005D12EA"/>
    <w:rsid w:val="005D1434"/>
    <w:rsid w:val="005D2A97"/>
    <w:rsid w:val="005D2EF8"/>
    <w:rsid w:val="005D35C6"/>
    <w:rsid w:val="005D4B6E"/>
    <w:rsid w:val="005D5357"/>
    <w:rsid w:val="005D635F"/>
    <w:rsid w:val="005D7319"/>
    <w:rsid w:val="005D7551"/>
    <w:rsid w:val="005E112D"/>
    <w:rsid w:val="005E27E8"/>
    <w:rsid w:val="005E2FE3"/>
    <w:rsid w:val="005E399B"/>
    <w:rsid w:val="005E5575"/>
    <w:rsid w:val="005E6D98"/>
    <w:rsid w:val="005F0659"/>
    <w:rsid w:val="005F50DD"/>
    <w:rsid w:val="00600BAF"/>
    <w:rsid w:val="00600BF4"/>
    <w:rsid w:val="006015A5"/>
    <w:rsid w:val="006022F2"/>
    <w:rsid w:val="0060297A"/>
    <w:rsid w:val="00602B4C"/>
    <w:rsid w:val="00603ED0"/>
    <w:rsid w:val="006046DD"/>
    <w:rsid w:val="00605369"/>
    <w:rsid w:val="00611CCE"/>
    <w:rsid w:val="006126EE"/>
    <w:rsid w:val="00612D85"/>
    <w:rsid w:val="00614A55"/>
    <w:rsid w:val="00614B1D"/>
    <w:rsid w:val="006158C1"/>
    <w:rsid w:val="00615945"/>
    <w:rsid w:val="006161BE"/>
    <w:rsid w:val="00616C57"/>
    <w:rsid w:val="006173D9"/>
    <w:rsid w:val="00617AE1"/>
    <w:rsid w:val="00617C4F"/>
    <w:rsid w:val="00620922"/>
    <w:rsid w:val="00620D50"/>
    <w:rsid w:val="006210F8"/>
    <w:rsid w:val="006219F3"/>
    <w:rsid w:val="0062224D"/>
    <w:rsid w:val="00622251"/>
    <w:rsid w:val="00622A3A"/>
    <w:rsid w:val="00622F6E"/>
    <w:rsid w:val="00623BB2"/>
    <w:rsid w:val="006250F6"/>
    <w:rsid w:val="006254D5"/>
    <w:rsid w:val="006257D4"/>
    <w:rsid w:val="00626490"/>
    <w:rsid w:val="006265D3"/>
    <w:rsid w:val="00626F2F"/>
    <w:rsid w:val="00627186"/>
    <w:rsid w:val="006277A8"/>
    <w:rsid w:val="00631547"/>
    <w:rsid w:val="00631C80"/>
    <w:rsid w:val="00632E7A"/>
    <w:rsid w:val="00632EF7"/>
    <w:rsid w:val="006334A7"/>
    <w:rsid w:val="00636CB3"/>
    <w:rsid w:val="00636D0D"/>
    <w:rsid w:val="00637478"/>
    <w:rsid w:val="0064172A"/>
    <w:rsid w:val="0064277A"/>
    <w:rsid w:val="00643E0B"/>
    <w:rsid w:val="00644B75"/>
    <w:rsid w:val="00644BE8"/>
    <w:rsid w:val="00645775"/>
    <w:rsid w:val="006459B5"/>
    <w:rsid w:val="00646A93"/>
    <w:rsid w:val="00650159"/>
    <w:rsid w:val="00650FCD"/>
    <w:rsid w:val="00651140"/>
    <w:rsid w:val="00651FBD"/>
    <w:rsid w:val="00652EF8"/>
    <w:rsid w:val="00653003"/>
    <w:rsid w:val="006530BC"/>
    <w:rsid w:val="0065350A"/>
    <w:rsid w:val="00653FBF"/>
    <w:rsid w:val="00654C73"/>
    <w:rsid w:val="00655BF3"/>
    <w:rsid w:val="006563D3"/>
    <w:rsid w:val="00656C22"/>
    <w:rsid w:val="00657014"/>
    <w:rsid w:val="0065725B"/>
    <w:rsid w:val="006577B7"/>
    <w:rsid w:val="006579A6"/>
    <w:rsid w:val="00657CB8"/>
    <w:rsid w:val="00660A5E"/>
    <w:rsid w:val="00660CAA"/>
    <w:rsid w:val="00660FC7"/>
    <w:rsid w:val="00661B69"/>
    <w:rsid w:val="006628B1"/>
    <w:rsid w:val="006630F1"/>
    <w:rsid w:val="00663C9F"/>
    <w:rsid w:val="00665B37"/>
    <w:rsid w:val="00665CED"/>
    <w:rsid w:val="006664E6"/>
    <w:rsid w:val="006664F1"/>
    <w:rsid w:val="0066658F"/>
    <w:rsid w:val="006674FC"/>
    <w:rsid w:val="006678F8"/>
    <w:rsid w:val="00670114"/>
    <w:rsid w:val="0067059F"/>
    <w:rsid w:val="006705BA"/>
    <w:rsid w:val="0067070B"/>
    <w:rsid w:val="00670A8C"/>
    <w:rsid w:val="00671891"/>
    <w:rsid w:val="006718B5"/>
    <w:rsid w:val="006722D5"/>
    <w:rsid w:val="00674506"/>
    <w:rsid w:val="00674748"/>
    <w:rsid w:val="00676075"/>
    <w:rsid w:val="006771B6"/>
    <w:rsid w:val="006801AA"/>
    <w:rsid w:val="006804BB"/>
    <w:rsid w:val="00680501"/>
    <w:rsid w:val="00680C76"/>
    <w:rsid w:val="00681E45"/>
    <w:rsid w:val="00682792"/>
    <w:rsid w:val="006839B8"/>
    <w:rsid w:val="006843A7"/>
    <w:rsid w:val="00684B5E"/>
    <w:rsid w:val="0068728C"/>
    <w:rsid w:val="00687708"/>
    <w:rsid w:val="0068778E"/>
    <w:rsid w:val="00690CEE"/>
    <w:rsid w:val="00691DD0"/>
    <w:rsid w:val="00692232"/>
    <w:rsid w:val="00693196"/>
    <w:rsid w:val="0069371E"/>
    <w:rsid w:val="00693C9A"/>
    <w:rsid w:val="006941D5"/>
    <w:rsid w:val="0069427A"/>
    <w:rsid w:val="00694423"/>
    <w:rsid w:val="00694C8E"/>
    <w:rsid w:val="006955D2"/>
    <w:rsid w:val="00695B31"/>
    <w:rsid w:val="00696590"/>
    <w:rsid w:val="00697494"/>
    <w:rsid w:val="006A052C"/>
    <w:rsid w:val="006A0C5E"/>
    <w:rsid w:val="006A0E38"/>
    <w:rsid w:val="006A0FE8"/>
    <w:rsid w:val="006A1032"/>
    <w:rsid w:val="006A14C8"/>
    <w:rsid w:val="006A1557"/>
    <w:rsid w:val="006A22BC"/>
    <w:rsid w:val="006A336C"/>
    <w:rsid w:val="006A35EB"/>
    <w:rsid w:val="006A3D33"/>
    <w:rsid w:val="006A4037"/>
    <w:rsid w:val="006A46AC"/>
    <w:rsid w:val="006A51EC"/>
    <w:rsid w:val="006A52E8"/>
    <w:rsid w:val="006A5346"/>
    <w:rsid w:val="006A5A2F"/>
    <w:rsid w:val="006A5C15"/>
    <w:rsid w:val="006A5E23"/>
    <w:rsid w:val="006A5FC4"/>
    <w:rsid w:val="006A76BD"/>
    <w:rsid w:val="006B167C"/>
    <w:rsid w:val="006B2962"/>
    <w:rsid w:val="006B31D1"/>
    <w:rsid w:val="006B3D86"/>
    <w:rsid w:val="006B4BC8"/>
    <w:rsid w:val="006B579B"/>
    <w:rsid w:val="006B5FEE"/>
    <w:rsid w:val="006B6074"/>
    <w:rsid w:val="006B6B3B"/>
    <w:rsid w:val="006B6D7E"/>
    <w:rsid w:val="006C010D"/>
    <w:rsid w:val="006C05CE"/>
    <w:rsid w:val="006C0DC3"/>
    <w:rsid w:val="006C215C"/>
    <w:rsid w:val="006C3005"/>
    <w:rsid w:val="006C3721"/>
    <w:rsid w:val="006C401C"/>
    <w:rsid w:val="006C4523"/>
    <w:rsid w:val="006C4C41"/>
    <w:rsid w:val="006C4CBB"/>
    <w:rsid w:val="006C7372"/>
    <w:rsid w:val="006C7656"/>
    <w:rsid w:val="006D27E2"/>
    <w:rsid w:val="006D3D00"/>
    <w:rsid w:val="006D4218"/>
    <w:rsid w:val="006D4EDE"/>
    <w:rsid w:val="006D51D2"/>
    <w:rsid w:val="006D553F"/>
    <w:rsid w:val="006D5EF9"/>
    <w:rsid w:val="006D628B"/>
    <w:rsid w:val="006D7E42"/>
    <w:rsid w:val="006E07F1"/>
    <w:rsid w:val="006E0992"/>
    <w:rsid w:val="006E1021"/>
    <w:rsid w:val="006E288B"/>
    <w:rsid w:val="006E2B86"/>
    <w:rsid w:val="006E3043"/>
    <w:rsid w:val="006E3C6F"/>
    <w:rsid w:val="006E73D1"/>
    <w:rsid w:val="006E75C9"/>
    <w:rsid w:val="006E7980"/>
    <w:rsid w:val="006F01CE"/>
    <w:rsid w:val="006F01E4"/>
    <w:rsid w:val="006F067F"/>
    <w:rsid w:val="006F0DBB"/>
    <w:rsid w:val="006F22DE"/>
    <w:rsid w:val="006F23FF"/>
    <w:rsid w:val="006F2654"/>
    <w:rsid w:val="006F2BB6"/>
    <w:rsid w:val="006F4F07"/>
    <w:rsid w:val="006F5988"/>
    <w:rsid w:val="006F5E5C"/>
    <w:rsid w:val="006F6642"/>
    <w:rsid w:val="006F6BEF"/>
    <w:rsid w:val="006F77A6"/>
    <w:rsid w:val="006F7FF7"/>
    <w:rsid w:val="007003E9"/>
    <w:rsid w:val="0070149F"/>
    <w:rsid w:val="00702937"/>
    <w:rsid w:val="00702FC8"/>
    <w:rsid w:val="007030C8"/>
    <w:rsid w:val="00704FFF"/>
    <w:rsid w:val="00705CB3"/>
    <w:rsid w:val="00705DCE"/>
    <w:rsid w:val="007066DA"/>
    <w:rsid w:val="00707604"/>
    <w:rsid w:val="007078E0"/>
    <w:rsid w:val="00707CB6"/>
    <w:rsid w:val="00707CCC"/>
    <w:rsid w:val="007100FE"/>
    <w:rsid w:val="00710270"/>
    <w:rsid w:val="0071050F"/>
    <w:rsid w:val="007105B7"/>
    <w:rsid w:val="007118FB"/>
    <w:rsid w:val="00711CA2"/>
    <w:rsid w:val="00711EA1"/>
    <w:rsid w:val="007127FC"/>
    <w:rsid w:val="00712988"/>
    <w:rsid w:val="007134BD"/>
    <w:rsid w:val="007134CB"/>
    <w:rsid w:val="00713D5A"/>
    <w:rsid w:val="00713EF0"/>
    <w:rsid w:val="00714526"/>
    <w:rsid w:val="00714D9A"/>
    <w:rsid w:val="007156F8"/>
    <w:rsid w:val="00715FB7"/>
    <w:rsid w:val="00717006"/>
    <w:rsid w:val="007175DA"/>
    <w:rsid w:val="00717A46"/>
    <w:rsid w:val="00717F2D"/>
    <w:rsid w:val="00720ED3"/>
    <w:rsid w:val="00726A10"/>
    <w:rsid w:val="00727377"/>
    <w:rsid w:val="007307D3"/>
    <w:rsid w:val="00731526"/>
    <w:rsid w:val="00731FBE"/>
    <w:rsid w:val="0073303C"/>
    <w:rsid w:val="007349FF"/>
    <w:rsid w:val="00735441"/>
    <w:rsid w:val="00735E2E"/>
    <w:rsid w:val="00736432"/>
    <w:rsid w:val="00736D5E"/>
    <w:rsid w:val="00737751"/>
    <w:rsid w:val="00737BD2"/>
    <w:rsid w:val="00740879"/>
    <w:rsid w:val="00740F8A"/>
    <w:rsid w:val="00743B2F"/>
    <w:rsid w:val="00743E52"/>
    <w:rsid w:val="00744519"/>
    <w:rsid w:val="007451E6"/>
    <w:rsid w:val="00746906"/>
    <w:rsid w:val="00746F80"/>
    <w:rsid w:val="00746F86"/>
    <w:rsid w:val="00747002"/>
    <w:rsid w:val="00750D26"/>
    <w:rsid w:val="00750EC8"/>
    <w:rsid w:val="00751BF8"/>
    <w:rsid w:val="00751C30"/>
    <w:rsid w:val="00752B7E"/>
    <w:rsid w:val="007539F5"/>
    <w:rsid w:val="00754006"/>
    <w:rsid w:val="00754702"/>
    <w:rsid w:val="0075474A"/>
    <w:rsid w:val="0075477C"/>
    <w:rsid w:val="00754BE3"/>
    <w:rsid w:val="0075573C"/>
    <w:rsid w:val="00755996"/>
    <w:rsid w:val="0075656D"/>
    <w:rsid w:val="0075787A"/>
    <w:rsid w:val="0075788D"/>
    <w:rsid w:val="00757B93"/>
    <w:rsid w:val="007600E3"/>
    <w:rsid w:val="007603D3"/>
    <w:rsid w:val="00760768"/>
    <w:rsid w:val="00760ADB"/>
    <w:rsid w:val="00760C35"/>
    <w:rsid w:val="00760D34"/>
    <w:rsid w:val="007618A3"/>
    <w:rsid w:val="0076296F"/>
    <w:rsid w:val="00762ABE"/>
    <w:rsid w:val="007636D9"/>
    <w:rsid w:val="00764462"/>
    <w:rsid w:val="00766BFE"/>
    <w:rsid w:val="007670EB"/>
    <w:rsid w:val="007676F5"/>
    <w:rsid w:val="007707A2"/>
    <w:rsid w:val="00771521"/>
    <w:rsid w:val="007715A9"/>
    <w:rsid w:val="007724FF"/>
    <w:rsid w:val="00772C04"/>
    <w:rsid w:val="00772D44"/>
    <w:rsid w:val="007734B1"/>
    <w:rsid w:val="0077538C"/>
    <w:rsid w:val="00775456"/>
    <w:rsid w:val="00775494"/>
    <w:rsid w:val="0077573A"/>
    <w:rsid w:val="00775E3E"/>
    <w:rsid w:val="00775EEC"/>
    <w:rsid w:val="0077671A"/>
    <w:rsid w:val="00776D27"/>
    <w:rsid w:val="00776D97"/>
    <w:rsid w:val="0078021C"/>
    <w:rsid w:val="00780818"/>
    <w:rsid w:val="00780E16"/>
    <w:rsid w:val="00781215"/>
    <w:rsid w:val="007821FF"/>
    <w:rsid w:val="00782846"/>
    <w:rsid w:val="00783DF2"/>
    <w:rsid w:val="0078526E"/>
    <w:rsid w:val="00785A4B"/>
    <w:rsid w:val="007863E2"/>
    <w:rsid w:val="00786B92"/>
    <w:rsid w:val="00786DA1"/>
    <w:rsid w:val="007904C9"/>
    <w:rsid w:val="00790F9D"/>
    <w:rsid w:val="00791094"/>
    <w:rsid w:val="00792501"/>
    <w:rsid w:val="007926FB"/>
    <w:rsid w:val="0079293E"/>
    <w:rsid w:val="007936AB"/>
    <w:rsid w:val="00794451"/>
    <w:rsid w:val="00794F54"/>
    <w:rsid w:val="007956E2"/>
    <w:rsid w:val="00795737"/>
    <w:rsid w:val="00795C8B"/>
    <w:rsid w:val="0079628C"/>
    <w:rsid w:val="00796EC5"/>
    <w:rsid w:val="00796F52"/>
    <w:rsid w:val="007971F0"/>
    <w:rsid w:val="00797271"/>
    <w:rsid w:val="00797899"/>
    <w:rsid w:val="007A0565"/>
    <w:rsid w:val="007A30A9"/>
    <w:rsid w:val="007A3472"/>
    <w:rsid w:val="007A34C5"/>
    <w:rsid w:val="007A487D"/>
    <w:rsid w:val="007A5462"/>
    <w:rsid w:val="007A5A44"/>
    <w:rsid w:val="007A6DE7"/>
    <w:rsid w:val="007A6E22"/>
    <w:rsid w:val="007B0512"/>
    <w:rsid w:val="007B05D2"/>
    <w:rsid w:val="007B0D48"/>
    <w:rsid w:val="007B28BB"/>
    <w:rsid w:val="007B4A03"/>
    <w:rsid w:val="007B4E4D"/>
    <w:rsid w:val="007B562C"/>
    <w:rsid w:val="007C0E8A"/>
    <w:rsid w:val="007C162B"/>
    <w:rsid w:val="007C16C6"/>
    <w:rsid w:val="007C1D7B"/>
    <w:rsid w:val="007C21E7"/>
    <w:rsid w:val="007C2B54"/>
    <w:rsid w:val="007C324C"/>
    <w:rsid w:val="007C3D6E"/>
    <w:rsid w:val="007C4430"/>
    <w:rsid w:val="007C4653"/>
    <w:rsid w:val="007C4B39"/>
    <w:rsid w:val="007C4DCB"/>
    <w:rsid w:val="007C4E25"/>
    <w:rsid w:val="007C5523"/>
    <w:rsid w:val="007C5D7F"/>
    <w:rsid w:val="007C6E9B"/>
    <w:rsid w:val="007C7275"/>
    <w:rsid w:val="007C7381"/>
    <w:rsid w:val="007C76DC"/>
    <w:rsid w:val="007C7E33"/>
    <w:rsid w:val="007D0B38"/>
    <w:rsid w:val="007D0F6E"/>
    <w:rsid w:val="007D169A"/>
    <w:rsid w:val="007D3441"/>
    <w:rsid w:val="007D354D"/>
    <w:rsid w:val="007D3788"/>
    <w:rsid w:val="007D4206"/>
    <w:rsid w:val="007D515C"/>
    <w:rsid w:val="007D5229"/>
    <w:rsid w:val="007D5A0D"/>
    <w:rsid w:val="007D7A28"/>
    <w:rsid w:val="007D7DAF"/>
    <w:rsid w:val="007D7EA5"/>
    <w:rsid w:val="007E0AEF"/>
    <w:rsid w:val="007E1034"/>
    <w:rsid w:val="007E174D"/>
    <w:rsid w:val="007E2D3C"/>
    <w:rsid w:val="007E4D41"/>
    <w:rsid w:val="007E53AD"/>
    <w:rsid w:val="007E56C2"/>
    <w:rsid w:val="007E5726"/>
    <w:rsid w:val="007E5727"/>
    <w:rsid w:val="007E5972"/>
    <w:rsid w:val="007E6DE2"/>
    <w:rsid w:val="007E7C5F"/>
    <w:rsid w:val="007F1553"/>
    <w:rsid w:val="007F18B1"/>
    <w:rsid w:val="007F2812"/>
    <w:rsid w:val="007F44CF"/>
    <w:rsid w:val="007F555B"/>
    <w:rsid w:val="007F604A"/>
    <w:rsid w:val="007F66AA"/>
    <w:rsid w:val="007F67D6"/>
    <w:rsid w:val="007F6DFC"/>
    <w:rsid w:val="007F72EB"/>
    <w:rsid w:val="007F7688"/>
    <w:rsid w:val="0080005E"/>
    <w:rsid w:val="00800B34"/>
    <w:rsid w:val="00800CC1"/>
    <w:rsid w:val="008021E0"/>
    <w:rsid w:val="00802455"/>
    <w:rsid w:val="00802816"/>
    <w:rsid w:val="00802BEC"/>
    <w:rsid w:val="008030CC"/>
    <w:rsid w:val="00803D03"/>
    <w:rsid w:val="008050E7"/>
    <w:rsid w:val="00805832"/>
    <w:rsid w:val="00806891"/>
    <w:rsid w:val="00807063"/>
    <w:rsid w:val="00807E06"/>
    <w:rsid w:val="008101FB"/>
    <w:rsid w:val="00811D1F"/>
    <w:rsid w:val="008127DE"/>
    <w:rsid w:val="00812C0C"/>
    <w:rsid w:val="00812EE7"/>
    <w:rsid w:val="008131BD"/>
    <w:rsid w:val="008135F7"/>
    <w:rsid w:val="00813662"/>
    <w:rsid w:val="00813A3B"/>
    <w:rsid w:val="008143A0"/>
    <w:rsid w:val="00815298"/>
    <w:rsid w:val="00815B21"/>
    <w:rsid w:val="00815D6F"/>
    <w:rsid w:val="00816B41"/>
    <w:rsid w:val="00817C34"/>
    <w:rsid w:val="00817EB3"/>
    <w:rsid w:val="008202ED"/>
    <w:rsid w:val="0082064A"/>
    <w:rsid w:val="00820989"/>
    <w:rsid w:val="00821A95"/>
    <w:rsid w:val="00822064"/>
    <w:rsid w:val="00822256"/>
    <w:rsid w:val="008230EA"/>
    <w:rsid w:val="00823B32"/>
    <w:rsid w:val="008247A5"/>
    <w:rsid w:val="008265B9"/>
    <w:rsid w:val="00826731"/>
    <w:rsid w:val="00827427"/>
    <w:rsid w:val="0082753F"/>
    <w:rsid w:val="00830652"/>
    <w:rsid w:val="0083125F"/>
    <w:rsid w:val="00831531"/>
    <w:rsid w:val="00831C01"/>
    <w:rsid w:val="008323BE"/>
    <w:rsid w:val="008329CF"/>
    <w:rsid w:val="00833C10"/>
    <w:rsid w:val="00833ED6"/>
    <w:rsid w:val="00834E62"/>
    <w:rsid w:val="00836465"/>
    <w:rsid w:val="008374A1"/>
    <w:rsid w:val="008403A8"/>
    <w:rsid w:val="00841C53"/>
    <w:rsid w:val="00842096"/>
    <w:rsid w:val="0084238C"/>
    <w:rsid w:val="008425AA"/>
    <w:rsid w:val="008430D5"/>
    <w:rsid w:val="008437CD"/>
    <w:rsid w:val="0084488F"/>
    <w:rsid w:val="00844C25"/>
    <w:rsid w:val="008453C5"/>
    <w:rsid w:val="00845A1A"/>
    <w:rsid w:val="0084616B"/>
    <w:rsid w:val="00847097"/>
    <w:rsid w:val="00847EBA"/>
    <w:rsid w:val="008500EC"/>
    <w:rsid w:val="008506BF"/>
    <w:rsid w:val="00850717"/>
    <w:rsid w:val="00851A24"/>
    <w:rsid w:val="00851AB5"/>
    <w:rsid w:val="00851C1D"/>
    <w:rsid w:val="008521FC"/>
    <w:rsid w:val="0085276C"/>
    <w:rsid w:val="008531D0"/>
    <w:rsid w:val="008535CD"/>
    <w:rsid w:val="00854262"/>
    <w:rsid w:val="0085610D"/>
    <w:rsid w:val="0085633A"/>
    <w:rsid w:val="0085751A"/>
    <w:rsid w:val="00860203"/>
    <w:rsid w:val="00860396"/>
    <w:rsid w:val="00860E4A"/>
    <w:rsid w:val="00861195"/>
    <w:rsid w:val="008612CC"/>
    <w:rsid w:val="00862EDE"/>
    <w:rsid w:val="008630FF"/>
    <w:rsid w:val="008640C7"/>
    <w:rsid w:val="00864302"/>
    <w:rsid w:val="00864782"/>
    <w:rsid w:val="008658C4"/>
    <w:rsid w:val="008663E7"/>
    <w:rsid w:val="00866BF3"/>
    <w:rsid w:val="00867656"/>
    <w:rsid w:val="00867FFC"/>
    <w:rsid w:val="00870376"/>
    <w:rsid w:val="0087076D"/>
    <w:rsid w:val="00870A9E"/>
    <w:rsid w:val="00870C96"/>
    <w:rsid w:val="00871E87"/>
    <w:rsid w:val="00871EB6"/>
    <w:rsid w:val="00871F4D"/>
    <w:rsid w:val="00872783"/>
    <w:rsid w:val="00872BA0"/>
    <w:rsid w:val="00873EFF"/>
    <w:rsid w:val="008764BE"/>
    <w:rsid w:val="00877AE7"/>
    <w:rsid w:val="008808C6"/>
    <w:rsid w:val="0088095B"/>
    <w:rsid w:val="00880CDE"/>
    <w:rsid w:val="00881CAF"/>
    <w:rsid w:val="008841DB"/>
    <w:rsid w:val="00886080"/>
    <w:rsid w:val="008861DB"/>
    <w:rsid w:val="00886938"/>
    <w:rsid w:val="00887DE7"/>
    <w:rsid w:val="00887F07"/>
    <w:rsid w:val="008912DE"/>
    <w:rsid w:val="00891CA5"/>
    <w:rsid w:val="00892045"/>
    <w:rsid w:val="008932C5"/>
    <w:rsid w:val="00893ACC"/>
    <w:rsid w:val="00893AE1"/>
    <w:rsid w:val="00894C8E"/>
    <w:rsid w:val="00894E20"/>
    <w:rsid w:val="0089637E"/>
    <w:rsid w:val="008A1BB9"/>
    <w:rsid w:val="008A23C2"/>
    <w:rsid w:val="008A3C6A"/>
    <w:rsid w:val="008A4365"/>
    <w:rsid w:val="008A445A"/>
    <w:rsid w:val="008A5327"/>
    <w:rsid w:val="008A5781"/>
    <w:rsid w:val="008A5C15"/>
    <w:rsid w:val="008A6D89"/>
    <w:rsid w:val="008A7D4C"/>
    <w:rsid w:val="008B414E"/>
    <w:rsid w:val="008B5065"/>
    <w:rsid w:val="008B5879"/>
    <w:rsid w:val="008B6008"/>
    <w:rsid w:val="008B781E"/>
    <w:rsid w:val="008C0CA5"/>
    <w:rsid w:val="008C2112"/>
    <w:rsid w:val="008C2484"/>
    <w:rsid w:val="008C2B68"/>
    <w:rsid w:val="008C3504"/>
    <w:rsid w:val="008C3A52"/>
    <w:rsid w:val="008C4922"/>
    <w:rsid w:val="008C49B2"/>
    <w:rsid w:val="008C5136"/>
    <w:rsid w:val="008C5A35"/>
    <w:rsid w:val="008C6CF7"/>
    <w:rsid w:val="008C7C19"/>
    <w:rsid w:val="008C7ED0"/>
    <w:rsid w:val="008D0598"/>
    <w:rsid w:val="008D0CE9"/>
    <w:rsid w:val="008D148A"/>
    <w:rsid w:val="008D1999"/>
    <w:rsid w:val="008D1D74"/>
    <w:rsid w:val="008D3E87"/>
    <w:rsid w:val="008D42D2"/>
    <w:rsid w:val="008D4ABB"/>
    <w:rsid w:val="008D4D1A"/>
    <w:rsid w:val="008D4D6A"/>
    <w:rsid w:val="008D4DD9"/>
    <w:rsid w:val="008D51CF"/>
    <w:rsid w:val="008D5CC1"/>
    <w:rsid w:val="008D5D3D"/>
    <w:rsid w:val="008E0FD0"/>
    <w:rsid w:val="008E12F1"/>
    <w:rsid w:val="008E17C7"/>
    <w:rsid w:val="008E1F10"/>
    <w:rsid w:val="008E2166"/>
    <w:rsid w:val="008E240A"/>
    <w:rsid w:val="008E3BB4"/>
    <w:rsid w:val="008E416D"/>
    <w:rsid w:val="008E4C39"/>
    <w:rsid w:val="008E5051"/>
    <w:rsid w:val="008E73D6"/>
    <w:rsid w:val="008F2B2E"/>
    <w:rsid w:val="008F3AB5"/>
    <w:rsid w:val="008F472C"/>
    <w:rsid w:val="008F6817"/>
    <w:rsid w:val="008F7AC3"/>
    <w:rsid w:val="008F7D76"/>
    <w:rsid w:val="009000C5"/>
    <w:rsid w:val="00900334"/>
    <w:rsid w:val="009004FC"/>
    <w:rsid w:val="00900832"/>
    <w:rsid w:val="0090101D"/>
    <w:rsid w:val="00902B1F"/>
    <w:rsid w:val="00902BEA"/>
    <w:rsid w:val="0090358A"/>
    <w:rsid w:val="0090359A"/>
    <w:rsid w:val="009038E5"/>
    <w:rsid w:val="00903FF5"/>
    <w:rsid w:val="00904552"/>
    <w:rsid w:val="00904AA0"/>
    <w:rsid w:val="0090554E"/>
    <w:rsid w:val="009059AC"/>
    <w:rsid w:val="0090664D"/>
    <w:rsid w:val="00906F02"/>
    <w:rsid w:val="0090755B"/>
    <w:rsid w:val="0091165A"/>
    <w:rsid w:val="009117F0"/>
    <w:rsid w:val="00911BE3"/>
    <w:rsid w:val="00911FA5"/>
    <w:rsid w:val="0091204A"/>
    <w:rsid w:val="00912285"/>
    <w:rsid w:val="00912777"/>
    <w:rsid w:val="00912840"/>
    <w:rsid w:val="009136C6"/>
    <w:rsid w:val="0091371C"/>
    <w:rsid w:val="00913B82"/>
    <w:rsid w:val="00913CE8"/>
    <w:rsid w:val="00914AD9"/>
    <w:rsid w:val="00915210"/>
    <w:rsid w:val="00915D5F"/>
    <w:rsid w:val="00915DAD"/>
    <w:rsid w:val="009177E4"/>
    <w:rsid w:val="00923A65"/>
    <w:rsid w:val="00924DA1"/>
    <w:rsid w:val="00924E34"/>
    <w:rsid w:val="00926526"/>
    <w:rsid w:val="009267E8"/>
    <w:rsid w:val="00927469"/>
    <w:rsid w:val="00930EFF"/>
    <w:rsid w:val="00931483"/>
    <w:rsid w:val="00931A2A"/>
    <w:rsid w:val="009324CA"/>
    <w:rsid w:val="00933571"/>
    <w:rsid w:val="00934BC5"/>
    <w:rsid w:val="00934FE2"/>
    <w:rsid w:val="009351EF"/>
    <w:rsid w:val="0093595C"/>
    <w:rsid w:val="00936CF7"/>
    <w:rsid w:val="00936D13"/>
    <w:rsid w:val="00937911"/>
    <w:rsid w:val="009405A9"/>
    <w:rsid w:val="009422FD"/>
    <w:rsid w:val="0094279F"/>
    <w:rsid w:val="009430A7"/>
    <w:rsid w:val="009430E4"/>
    <w:rsid w:val="0094318B"/>
    <w:rsid w:val="0094426D"/>
    <w:rsid w:val="0094432F"/>
    <w:rsid w:val="009458CF"/>
    <w:rsid w:val="00946D91"/>
    <w:rsid w:val="00947476"/>
    <w:rsid w:val="009503CC"/>
    <w:rsid w:val="00950841"/>
    <w:rsid w:val="00950D3A"/>
    <w:rsid w:val="009513C7"/>
    <w:rsid w:val="00952C5F"/>
    <w:rsid w:val="00952D9B"/>
    <w:rsid w:val="00952FD0"/>
    <w:rsid w:val="009545FA"/>
    <w:rsid w:val="00954C16"/>
    <w:rsid w:val="009558A6"/>
    <w:rsid w:val="00955DEF"/>
    <w:rsid w:val="00956ED3"/>
    <w:rsid w:val="009578C2"/>
    <w:rsid w:val="00960A7F"/>
    <w:rsid w:val="0096117E"/>
    <w:rsid w:val="009623D4"/>
    <w:rsid w:val="009639A0"/>
    <w:rsid w:val="0096429E"/>
    <w:rsid w:val="009648D4"/>
    <w:rsid w:val="009659CA"/>
    <w:rsid w:val="009662D3"/>
    <w:rsid w:val="00970C0F"/>
    <w:rsid w:val="0097331A"/>
    <w:rsid w:val="009740CB"/>
    <w:rsid w:val="009742B0"/>
    <w:rsid w:val="0097431E"/>
    <w:rsid w:val="00974979"/>
    <w:rsid w:val="00974FCB"/>
    <w:rsid w:val="009750F0"/>
    <w:rsid w:val="00975661"/>
    <w:rsid w:val="009758FA"/>
    <w:rsid w:val="00975BCD"/>
    <w:rsid w:val="00976678"/>
    <w:rsid w:val="009767FF"/>
    <w:rsid w:val="0098130E"/>
    <w:rsid w:val="00983034"/>
    <w:rsid w:val="009831A1"/>
    <w:rsid w:val="00983F88"/>
    <w:rsid w:val="00984D7C"/>
    <w:rsid w:val="00985FCD"/>
    <w:rsid w:val="0098602E"/>
    <w:rsid w:val="00986A68"/>
    <w:rsid w:val="00986CFE"/>
    <w:rsid w:val="009874AD"/>
    <w:rsid w:val="0098776D"/>
    <w:rsid w:val="009902D7"/>
    <w:rsid w:val="009903D2"/>
    <w:rsid w:val="00990DAF"/>
    <w:rsid w:val="009921EB"/>
    <w:rsid w:val="009922BF"/>
    <w:rsid w:val="0099241C"/>
    <w:rsid w:val="00993AC4"/>
    <w:rsid w:val="00995FFA"/>
    <w:rsid w:val="00996D52"/>
    <w:rsid w:val="00996E9E"/>
    <w:rsid w:val="00996ED5"/>
    <w:rsid w:val="009973D2"/>
    <w:rsid w:val="00997838"/>
    <w:rsid w:val="009978C3"/>
    <w:rsid w:val="009A2038"/>
    <w:rsid w:val="009A2661"/>
    <w:rsid w:val="009A2ACE"/>
    <w:rsid w:val="009A2BFD"/>
    <w:rsid w:val="009A3276"/>
    <w:rsid w:val="009A344C"/>
    <w:rsid w:val="009A34B9"/>
    <w:rsid w:val="009A464A"/>
    <w:rsid w:val="009A4A8A"/>
    <w:rsid w:val="009A5457"/>
    <w:rsid w:val="009A5537"/>
    <w:rsid w:val="009A5F5D"/>
    <w:rsid w:val="009A7EF9"/>
    <w:rsid w:val="009B03E0"/>
    <w:rsid w:val="009B06AC"/>
    <w:rsid w:val="009B3C93"/>
    <w:rsid w:val="009B65E6"/>
    <w:rsid w:val="009B6633"/>
    <w:rsid w:val="009B676A"/>
    <w:rsid w:val="009B75C9"/>
    <w:rsid w:val="009C25EF"/>
    <w:rsid w:val="009C51EA"/>
    <w:rsid w:val="009C752E"/>
    <w:rsid w:val="009D06C8"/>
    <w:rsid w:val="009D1BAE"/>
    <w:rsid w:val="009D274D"/>
    <w:rsid w:val="009D35F9"/>
    <w:rsid w:val="009D3BB2"/>
    <w:rsid w:val="009D4430"/>
    <w:rsid w:val="009D55EA"/>
    <w:rsid w:val="009D6A2A"/>
    <w:rsid w:val="009D748A"/>
    <w:rsid w:val="009D758C"/>
    <w:rsid w:val="009D76BA"/>
    <w:rsid w:val="009E008B"/>
    <w:rsid w:val="009E042A"/>
    <w:rsid w:val="009E0D13"/>
    <w:rsid w:val="009E0F2E"/>
    <w:rsid w:val="009E14FF"/>
    <w:rsid w:val="009E1838"/>
    <w:rsid w:val="009E2492"/>
    <w:rsid w:val="009E25A1"/>
    <w:rsid w:val="009E38A4"/>
    <w:rsid w:val="009E4220"/>
    <w:rsid w:val="009E5E0D"/>
    <w:rsid w:val="009E79E2"/>
    <w:rsid w:val="009E7D33"/>
    <w:rsid w:val="009F0130"/>
    <w:rsid w:val="009F0635"/>
    <w:rsid w:val="009F15F8"/>
    <w:rsid w:val="009F218C"/>
    <w:rsid w:val="009F253D"/>
    <w:rsid w:val="009F26DE"/>
    <w:rsid w:val="009F551E"/>
    <w:rsid w:val="009F5C1F"/>
    <w:rsid w:val="009F63A8"/>
    <w:rsid w:val="00A00C0E"/>
    <w:rsid w:val="00A015F9"/>
    <w:rsid w:val="00A01E93"/>
    <w:rsid w:val="00A02B1E"/>
    <w:rsid w:val="00A02EC0"/>
    <w:rsid w:val="00A04056"/>
    <w:rsid w:val="00A04694"/>
    <w:rsid w:val="00A05952"/>
    <w:rsid w:val="00A12430"/>
    <w:rsid w:val="00A1250D"/>
    <w:rsid w:val="00A12749"/>
    <w:rsid w:val="00A129B8"/>
    <w:rsid w:val="00A12D54"/>
    <w:rsid w:val="00A12E39"/>
    <w:rsid w:val="00A130FE"/>
    <w:rsid w:val="00A13577"/>
    <w:rsid w:val="00A13663"/>
    <w:rsid w:val="00A14270"/>
    <w:rsid w:val="00A142C7"/>
    <w:rsid w:val="00A14F25"/>
    <w:rsid w:val="00A15179"/>
    <w:rsid w:val="00A153A8"/>
    <w:rsid w:val="00A16786"/>
    <w:rsid w:val="00A17A7C"/>
    <w:rsid w:val="00A20357"/>
    <w:rsid w:val="00A20419"/>
    <w:rsid w:val="00A20EE4"/>
    <w:rsid w:val="00A21E40"/>
    <w:rsid w:val="00A225C1"/>
    <w:rsid w:val="00A22DD2"/>
    <w:rsid w:val="00A24078"/>
    <w:rsid w:val="00A25AF2"/>
    <w:rsid w:val="00A26A80"/>
    <w:rsid w:val="00A2755A"/>
    <w:rsid w:val="00A30E78"/>
    <w:rsid w:val="00A3251C"/>
    <w:rsid w:val="00A33DA5"/>
    <w:rsid w:val="00A34A71"/>
    <w:rsid w:val="00A34D06"/>
    <w:rsid w:val="00A35AB0"/>
    <w:rsid w:val="00A35FB0"/>
    <w:rsid w:val="00A36C02"/>
    <w:rsid w:val="00A373CF"/>
    <w:rsid w:val="00A37873"/>
    <w:rsid w:val="00A37DCB"/>
    <w:rsid w:val="00A400F2"/>
    <w:rsid w:val="00A4092F"/>
    <w:rsid w:val="00A41227"/>
    <w:rsid w:val="00A4161E"/>
    <w:rsid w:val="00A41775"/>
    <w:rsid w:val="00A4280D"/>
    <w:rsid w:val="00A4369B"/>
    <w:rsid w:val="00A43A85"/>
    <w:rsid w:val="00A444DD"/>
    <w:rsid w:val="00A445B3"/>
    <w:rsid w:val="00A44EB8"/>
    <w:rsid w:val="00A4525F"/>
    <w:rsid w:val="00A45A35"/>
    <w:rsid w:val="00A46AC9"/>
    <w:rsid w:val="00A46C85"/>
    <w:rsid w:val="00A47071"/>
    <w:rsid w:val="00A478A3"/>
    <w:rsid w:val="00A47FB3"/>
    <w:rsid w:val="00A52358"/>
    <w:rsid w:val="00A52616"/>
    <w:rsid w:val="00A53B05"/>
    <w:rsid w:val="00A53C70"/>
    <w:rsid w:val="00A53DA8"/>
    <w:rsid w:val="00A54407"/>
    <w:rsid w:val="00A548CF"/>
    <w:rsid w:val="00A55EC9"/>
    <w:rsid w:val="00A565ED"/>
    <w:rsid w:val="00A56C97"/>
    <w:rsid w:val="00A570D7"/>
    <w:rsid w:val="00A57210"/>
    <w:rsid w:val="00A57DCF"/>
    <w:rsid w:val="00A60C5E"/>
    <w:rsid w:val="00A619DC"/>
    <w:rsid w:val="00A61BC2"/>
    <w:rsid w:val="00A66463"/>
    <w:rsid w:val="00A67F43"/>
    <w:rsid w:val="00A709EC"/>
    <w:rsid w:val="00A71401"/>
    <w:rsid w:val="00A71ABC"/>
    <w:rsid w:val="00A72DD6"/>
    <w:rsid w:val="00A734A8"/>
    <w:rsid w:val="00A73BFA"/>
    <w:rsid w:val="00A7439F"/>
    <w:rsid w:val="00A7486E"/>
    <w:rsid w:val="00A748CA"/>
    <w:rsid w:val="00A74BC0"/>
    <w:rsid w:val="00A74F70"/>
    <w:rsid w:val="00A757F4"/>
    <w:rsid w:val="00A75CED"/>
    <w:rsid w:val="00A75E79"/>
    <w:rsid w:val="00A75F3A"/>
    <w:rsid w:val="00A770FC"/>
    <w:rsid w:val="00A77841"/>
    <w:rsid w:val="00A8034E"/>
    <w:rsid w:val="00A8099B"/>
    <w:rsid w:val="00A80E44"/>
    <w:rsid w:val="00A84280"/>
    <w:rsid w:val="00A84B5E"/>
    <w:rsid w:val="00A861FE"/>
    <w:rsid w:val="00A862D7"/>
    <w:rsid w:val="00A8688C"/>
    <w:rsid w:val="00A868BA"/>
    <w:rsid w:val="00A87447"/>
    <w:rsid w:val="00A8792C"/>
    <w:rsid w:val="00A90496"/>
    <w:rsid w:val="00A90AB2"/>
    <w:rsid w:val="00A90BBF"/>
    <w:rsid w:val="00A916A8"/>
    <w:rsid w:val="00A9170A"/>
    <w:rsid w:val="00A91B12"/>
    <w:rsid w:val="00A91BE4"/>
    <w:rsid w:val="00A93625"/>
    <w:rsid w:val="00A936BB"/>
    <w:rsid w:val="00A93FC1"/>
    <w:rsid w:val="00A94CAA"/>
    <w:rsid w:val="00A95863"/>
    <w:rsid w:val="00A95949"/>
    <w:rsid w:val="00A96447"/>
    <w:rsid w:val="00AA085C"/>
    <w:rsid w:val="00AA1A63"/>
    <w:rsid w:val="00AA1F21"/>
    <w:rsid w:val="00AA26A9"/>
    <w:rsid w:val="00AA363E"/>
    <w:rsid w:val="00AA39E8"/>
    <w:rsid w:val="00AA48CD"/>
    <w:rsid w:val="00AA53CB"/>
    <w:rsid w:val="00AA54C2"/>
    <w:rsid w:val="00AA6A0B"/>
    <w:rsid w:val="00AA73FC"/>
    <w:rsid w:val="00AA7456"/>
    <w:rsid w:val="00AA76A7"/>
    <w:rsid w:val="00AA7CF9"/>
    <w:rsid w:val="00AA7F26"/>
    <w:rsid w:val="00AB1051"/>
    <w:rsid w:val="00AB1292"/>
    <w:rsid w:val="00AB154A"/>
    <w:rsid w:val="00AB2AA7"/>
    <w:rsid w:val="00AB2B67"/>
    <w:rsid w:val="00AB4A6C"/>
    <w:rsid w:val="00AB5D3D"/>
    <w:rsid w:val="00AB6675"/>
    <w:rsid w:val="00AB67B2"/>
    <w:rsid w:val="00AB6870"/>
    <w:rsid w:val="00AB6877"/>
    <w:rsid w:val="00AB74F1"/>
    <w:rsid w:val="00AB7DC5"/>
    <w:rsid w:val="00AC006E"/>
    <w:rsid w:val="00AC0318"/>
    <w:rsid w:val="00AC043B"/>
    <w:rsid w:val="00AC0E1F"/>
    <w:rsid w:val="00AC11FC"/>
    <w:rsid w:val="00AC181E"/>
    <w:rsid w:val="00AC1DA3"/>
    <w:rsid w:val="00AC2950"/>
    <w:rsid w:val="00AC3800"/>
    <w:rsid w:val="00AC45D6"/>
    <w:rsid w:val="00AC65BF"/>
    <w:rsid w:val="00AC68B5"/>
    <w:rsid w:val="00AC7424"/>
    <w:rsid w:val="00AC7683"/>
    <w:rsid w:val="00AD056F"/>
    <w:rsid w:val="00AD36EA"/>
    <w:rsid w:val="00AD48F8"/>
    <w:rsid w:val="00AD55C3"/>
    <w:rsid w:val="00AD64CA"/>
    <w:rsid w:val="00AD7202"/>
    <w:rsid w:val="00AE0392"/>
    <w:rsid w:val="00AE0B39"/>
    <w:rsid w:val="00AE0C6B"/>
    <w:rsid w:val="00AE2441"/>
    <w:rsid w:val="00AE3671"/>
    <w:rsid w:val="00AE3844"/>
    <w:rsid w:val="00AE495B"/>
    <w:rsid w:val="00AE5D3E"/>
    <w:rsid w:val="00AE6763"/>
    <w:rsid w:val="00AE6B6B"/>
    <w:rsid w:val="00AF0FE5"/>
    <w:rsid w:val="00AF2BE8"/>
    <w:rsid w:val="00AF310A"/>
    <w:rsid w:val="00AF3CEA"/>
    <w:rsid w:val="00AF3E35"/>
    <w:rsid w:val="00AF43AF"/>
    <w:rsid w:val="00AF695A"/>
    <w:rsid w:val="00AF6C82"/>
    <w:rsid w:val="00AF74D1"/>
    <w:rsid w:val="00B0019F"/>
    <w:rsid w:val="00B01D66"/>
    <w:rsid w:val="00B01DC2"/>
    <w:rsid w:val="00B02303"/>
    <w:rsid w:val="00B02B90"/>
    <w:rsid w:val="00B041B5"/>
    <w:rsid w:val="00B053AE"/>
    <w:rsid w:val="00B05F50"/>
    <w:rsid w:val="00B061CA"/>
    <w:rsid w:val="00B0648A"/>
    <w:rsid w:val="00B069A7"/>
    <w:rsid w:val="00B06EC3"/>
    <w:rsid w:val="00B0720A"/>
    <w:rsid w:val="00B07932"/>
    <w:rsid w:val="00B1032C"/>
    <w:rsid w:val="00B107D6"/>
    <w:rsid w:val="00B11A10"/>
    <w:rsid w:val="00B11C12"/>
    <w:rsid w:val="00B1233D"/>
    <w:rsid w:val="00B12C62"/>
    <w:rsid w:val="00B1691F"/>
    <w:rsid w:val="00B17CB6"/>
    <w:rsid w:val="00B17EC4"/>
    <w:rsid w:val="00B17F16"/>
    <w:rsid w:val="00B20557"/>
    <w:rsid w:val="00B20BCA"/>
    <w:rsid w:val="00B20F72"/>
    <w:rsid w:val="00B21B79"/>
    <w:rsid w:val="00B21FF9"/>
    <w:rsid w:val="00B23274"/>
    <w:rsid w:val="00B236AF"/>
    <w:rsid w:val="00B25F5A"/>
    <w:rsid w:val="00B264CD"/>
    <w:rsid w:val="00B26505"/>
    <w:rsid w:val="00B26D67"/>
    <w:rsid w:val="00B26F9D"/>
    <w:rsid w:val="00B32BB2"/>
    <w:rsid w:val="00B32DBA"/>
    <w:rsid w:val="00B34728"/>
    <w:rsid w:val="00B3482B"/>
    <w:rsid w:val="00B35421"/>
    <w:rsid w:val="00B35B5D"/>
    <w:rsid w:val="00B36953"/>
    <w:rsid w:val="00B369F0"/>
    <w:rsid w:val="00B37431"/>
    <w:rsid w:val="00B40567"/>
    <w:rsid w:val="00B40837"/>
    <w:rsid w:val="00B40F47"/>
    <w:rsid w:val="00B4105C"/>
    <w:rsid w:val="00B411D1"/>
    <w:rsid w:val="00B41CF1"/>
    <w:rsid w:val="00B420FD"/>
    <w:rsid w:val="00B423F2"/>
    <w:rsid w:val="00B42590"/>
    <w:rsid w:val="00B43492"/>
    <w:rsid w:val="00B4491F"/>
    <w:rsid w:val="00B44CAB"/>
    <w:rsid w:val="00B45032"/>
    <w:rsid w:val="00B45C8E"/>
    <w:rsid w:val="00B46785"/>
    <w:rsid w:val="00B46DA6"/>
    <w:rsid w:val="00B50F24"/>
    <w:rsid w:val="00B51317"/>
    <w:rsid w:val="00B528E0"/>
    <w:rsid w:val="00B52E1F"/>
    <w:rsid w:val="00B53EB0"/>
    <w:rsid w:val="00B540D8"/>
    <w:rsid w:val="00B54121"/>
    <w:rsid w:val="00B541D9"/>
    <w:rsid w:val="00B5461C"/>
    <w:rsid w:val="00B54B4E"/>
    <w:rsid w:val="00B55A56"/>
    <w:rsid w:val="00B55F2F"/>
    <w:rsid w:val="00B574AE"/>
    <w:rsid w:val="00B605A4"/>
    <w:rsid w:val="00B608D0"/>
    <w:rsid w:val="00B61B0B"/>
    <w:rsid w:val="00B631C1"/>
    <w:rsid w:val="00B63D66"/>
    <w:rsid w:val="00B64ED4"/>
    <w:rsid w:val="00B65B6F"/>
    <w:rsid w:val="00B66245"/>
    <w:rsid w:val="00B66EE1"/>
    <w:rsid w:val="00B66EF3"/>
    <w:rsid w:val="00B67287"/>
    <w:rsid w:val="00B70B8E"/>
    <w:rsid w:val="00B70BFF"/>
    <w:rsid w:val="00B70F18"/>
    <w:rsid w:val="00B72407"/>
    <w:rsid w:val="00B742D2"/>
    <w:rsid w:val="00B74457"/>
    <w:rsid w:val="00B7497C"/>
    <w:rsid w:val="00B761AA"/>
    <w:rsid w:val="00B769F8"/>
    <w:rsid w:val="00B76BAE"/>
    <w:rsid w:val="00B818D9"/>
    <w:rsid w:val="00B8231A"/>
    <w:rsid w:val="00B82563"/>
    <w:rsid w:val="00B84029"/>
    <w:rsid w:val="00B840AB"/>
    <w:rsid w:val="00B84BE8"/>
    <w:rsid w:val="00B850A6"/>
    <w:rsid w:val="00B87C2F"/>
    <w:rsid w:val="00B87C7F"/>
    <w:rsid w:val="00B903D5"/>
    <w:rsid w:val="00B90E1C"/>
    <w:rsid w:val="00B91557"/>
    <w:rsid w:val="00B927BE"/>
    <w:rsid w:val="00B927F9"/>
    <w:rsid w:val="00B92D79"/>
    <w:rsid w:val="00B930DB"/>
    <w:rsid w:val="00B94A5B"/>
    <w:rsid w:val="00B9608C"/>
    <w:rsid w:val="00B97B51"/>
    <w:rsid w:val="00BA131F"/>
    <w:rsid w:val="00BA16B1"/>
    <w:rsid w:val="00BA29A9"/>
    <w:rsid w:val="00BA3069"/>
    <w:rsid w:val="00BA37D4"/>
    <w:rsid w:val="00BA3830"/>
    <w:rsid w:val="00BA68D7"/>
    <w:rsid w:val="00BA6DC6"/>
    <w:rsid w:val="00BA6EA3"/>
    <w:rsid w:val="00BB05D1"/>
    <w:rsid w:val="00BB0F6C"/>
    <w:rsid w:val="00BB231C"/>
    <w:rsid w:val="00BB240F"/>
    <w:rsid w:val="00BB31D2"/>
    <w:rsid w:val="00BB35CD"/>
    <w:rsid w:val="00BB53A0"/>
    <w:rsid w:val="00BB5FEA"/>
    <w:rsid w:val="00BB6B65"/>
    <w:rsid w:val="00BB7906"/>
    <w:rsid w:val="00BC089E"/>
    <w:rsid w:val="00BC0E78"/>
    <w:rsid w:val="00BC1582"/>
    <w:rsid w:val="00BC15E2"/>
    <w:rsid w:val="00BC2FE9"/>
    <w:rsid w:val="00BC3DD8"/>
    <w:rsid w:val="00BC447D"/>
    <w:rsid w:val="00BC5DCB"/>
    <w:rsid w:val="00BC613E"/>
    <w:rsid w:val="00BC63B1"/>
    <w:rsid w:val="00BC6580"/>
    <w:rsid w:val="00BC72D2"/>
    <w:rsid w:val="00BD10D5"/>
    <w:rsid w:val="00BD1D8A"/>
    <w:rsid w:val="00BD2589"/>
    <w:rsid w:val="00BD3756"/>
    <w:rsid w:val="00BD3832"/>
    <w:rsid w:val="00BD40B1"/>
    <w:rsid w:val="00BD63D8"/>
    <w:rsid w:val="00BD7356"/>
    <w:rsid w:val="00BE0DD3"/>
    <w:rsid w:val="00BE0EB7"/>
    <w:rsid w:val="00BE0EF4"/>
    <w:rsid w:val="00BE0F93"/>
    <w:rsid w:val="00BE28E8"/>
    <w:rsid w:val="00BE32E3"/>
    <w:rsid w:val="00BE3A34"/>
    <w:rsid w:val="00BE495F"/>
    <w:rsid w:val="00BE5AF3"/>
    <w:rsid w:val="00BE600E"/>
    <w:rsid w:val="00BE65E1"/>
    <w:rsid w:val="00BE71EE"/>
    <w:rsid w:val="00BE7645"/>
    <w:rsid w:val="00BF0D99"/>
    <w:rsid w:val="00BF17E1"/>
    <w:rsid w:val="00BF2275"/>
    <w:rsid w:val="00BF348A"/>
    <w:rsid w:val="00BF570D"/>
    <w:rsid w:val="00BF5954"/>
    <w:rsid w:val="00BF619C"/>
    <w:rsid w:val="00BF6B9C"/>
    <w:rsid w:val="00C0055D"/>
    <w:rsid w:val="00C012A6"/>
    <w:rsid w:val="00C01EBF"/>
    <w:rsid w:val="00C0224A"/>
    <w:rsid w:val="00C03AC1"/>
    <w:rsid w:val="00C04EE1"/>
    <w:rsid w:val="00C04F71"/>
    <w:rsid w:val="00C05DE9"/>
    <w:rsid w:val="00C060D9"/>
    <w:rsid w:val="00C062FB"/>
    <w:rsid w:val="00C06B68"/>
    <w:rsid w:val="00C06E80"/>
    <w:rsid w:val="00C0777B"/>
    <w:rsid w:val="00C07846"/>
    <w:rsid w:val="00C10106"/>
    <w:rsid w:val="00C126A2"/>
    <w:rsid w:val="00C1357D"/>
    <w:rsid w:val="00C13AA5"/>
    <w:rsid w:val="00C14805"/>
    <w:rsid w:val="00C159CD"/>
    <w:rsid w:val="00C159FD"/>
    <w:rsid w:val="00C15E30"/>
    <w:rsid w:val="00C16215"/>
    <w:rsid w:val="00C162DF"/>
    <w:rsid w:val="00C21B61"/>
    <w:rsid w:val="00C22D0A"/>
    <w:rsid w:val="00C23DB5"/>
    <w:rsid w:val="00C248BE"/>
    <w:rsid w:val="00C25E25"/>
    <w:rsid w:val="00C26930"/>
    <w:rsid w:val="00C27A5F"/>
    <w:rsid w:val="00C27F1A"/>
    <w:rsid w:val="00C30AED"/>
    <w:rsid w:val="00C30EB0"/>
    <w:rsid w:val="00C31BB7"/>
    <w:rsid w:val="00C3272C"/>
    <w:rsid w:val="00C33E76"/>
    <w:rsid w:val="00C34601"/>
    <w:rsid w:val="00C34D06"/>
    <w:rsid w:val="00C353CD"/>
    <w:rsid w:val="00C35F14"/>
    <w:rsid w:val="00C36285"/>
    <w:rsid w:val="00C36936"/>
    <w:rsid w:val="00C36BC0"/>
    <w:rsid w:val="00C37BA1"/>
    <w:rsid w:val="00C40047"/>
    <w:rsid w:val="00C400DF"/>
    <w:rsid w:val="00C41B7B"/>
    <w:rsid w:val="00C420CF"/>
    <w:rsid w:val="00C4351C"/>
    <w:rsid w:val="00C4470F"/>
    <w:rsid w:val="00C44CE7"/>
    <w:rsid w:val="00C452EC"/>
    <w:rsid w:val="00C464AA"/>
    <w:rsid w:val="00C465CB"/>
    <w:rsid w:val="00C46A4C"/>
    <w:rsid w:val="00C50799"/>
    <w:rsid w:val="00C5181D"/>
    <w:rsid w:val="00C51A0B"/>
    <w:rsid w:val="00C5223A"/>
    <w:rsid w:val="00C523D7"/>
    <w:rsid w:val="00C53782"/>
    <w:rsid w:val="00C54F10"/>
    <w:rsid w:val="00C556A7"/>
    <w:rsid w:val="00C558C0"/>
    <w:rsid w:val="00C55D19"/>
    <w:rsid w:val="00C560F0"/>
    <w:rsid w:val="00C56F39"/>
    <w:rsid w:val="00C575E7"/>
    <w:rsid w:val="00C6078B"/>
    <w:rsid w:val="00C608AE"/>
    <w:rsid w:val="00C60EB6"/>
    <w:rsid w:val="00C612F9"/>
    <w:rsid w:val="00C618EA"/>
    <w:rsid w:val="00C668DA"/>
    <w:rsid w:val="00C66995"/>
    <w:rsid w:val="00C66DAF"/>
    <w:rsid w:val="00C67200"/>
    <w:rsid w:val="00C678EE"/>
    <w:rsid w:val="00C702A6"/>
    <w:rsid w:val="00C70904"/>
    <w:rsid w:val="00C709CC"/>
    <w:rsid w:val="00C71912"/>
    <w:rsid w:val="00C722A2"/>
    <w:rsid w:val="00C72A88"/>
    <w:rsid w:val="00C72B4D"/>
    <w:rsid w:val="00C72F5C"/>
    <w:rsid w:val="00C734D2"/>
    <w:rsid w:val="00C73E4C"/>
    <w:rsid w:val="00C742C3"/>
    <w:rsid w:val="00C74E71"/>
    <w:rsid w:val="00C766EE"/>
    <w:rsid w:val="00C7712B"/>
    <w:rsid w:val="00C82BFA"/>
    <w:rsid w:val="00C83FA1"/>
    <w:rsid w:val="00C8416C"/>
    <w:rsid w:val="00C84AE4"/>
    <w:rsid w:val="00C84AEF"/>
    <w:rsid w:val="00C90479"/>
    <w:rsid w:val="00C905F5"/>
    <w:rsid w:val="00C912B3"/>
    <w:rsid w:val="00C92344"/>
    <w:rsid w:val="00C9322A"/>
    <w:rsid w:val="00C9329F"/>
    <w:rsid w:val="00C93BD8"/>
    <w:rsid w:val="00C93C05"/>
    <w:rsid w:val="00C94320"/>
    <w:rsid w:val="00C94983"/>
    <w:rsid w:val="00C94A9A"/>
    <w:rsid w:val="00C95EB3"/>
    <w:rsid w:val="00C964E1"/>
    <w:rsid w:val="00C9654A"/>
    <w:rsid w:val="00C96C39"/>
    <w:rsid w:val="00C97BFA"/>
    <w:rsid w:val="00CA008F"/>
    <w:rsid w:val="00CA027B"/>
    <w:rsid w:val="00CA0357"/>
    <w:rsid w:val="00CA0946"/>
    <w:rsid w:val="00CA31D9"/>
    <w:rsid w:val="00CA31DC"/>
    <w:rsid w:val="00CA475F"/>
    <w:rsid w:val="00CA4905"/>
    <w:rsid w:val="00CA5018"/>
    <w:rsid w:val="00CA5481"/>
    <w:rsid w:val="00CA57F6"/>
    <w:rsid w:val="00CA5F72"/>
    <w:rsid w:val="00CA6650"/>
    <w:rsid w:val="00CA6AAF"/>
    <w:rsid w:val="00CA6E50"/>
    <w:rsid w:val="00CA74D7"/>
    <w:rsid w:val="00CA7B10"/>
    <w:rsid w:val="00CB0B42"/>
    <w:rsid w:val="00CB0CE2"/>
    <w:rsid w:val="00CB0D7B"/>
    <w:rsid w:val="00CB0EC7"/>
    <w:rsid w:val="00CB186A"/>
    <w:rsid w:val="00CB19AE"/>
    <w:rsid w:val="00CB3F3A"/>
    <w:rsid w:val="00CB4799"/>
    <w:rsid w:val="00CB4A23"/>
    <w:rsid w:val="00CB4BCD"/>
    <w:rsid w:val="00CB5B09"/>
    <w:rsid w:val="00CB5FA3"/>
    <w:rsid w:val="00CB752B"/>
    <w:rsid w:val="00CB79FD"/>
    <w:rsid w:val="00CB7D05"/>
    <w:rsid w:val="00CC0122"/>
    <w:rsid w:val="00CC06B5"/>
    <w:rsid w:val="00CC06D8"/>
    <w:rsid w:val="00CC0BBC"/>
    <w:rsid w:val="00CC2D15"/>
    <w:rsid w:val="00CC4BA5"/>
    <w:rsid w:val="00CC4E3A"/>
    <w:rsid w:val="00CC50F0"/>
    <w:rsid w:val="00CC68F4"/>
    <w:rsid w:val="00CD058D"/>
    <w:rsid w:val="00CD0732"/>
    <w:rsid w:val="00CD0AD6"/>
    <w:rsid w:val="00CD2447"/>
    <w:rsid w:val="00CD2797"/>
    <w:rsid w:val="00CD31F8"/>
    <w:rsid w:val="00CD3575"/>
    <w:rsid w:val="00CD4A66"/>
    <w:rsid w:val="00CD5C41"/>
    <w:rsid w:val="00CD68C1"/>
    <w:rsid w:val="00CD71D1"/>
    <w:rsid w:val="00CD7D0D"/>
    <w:rsid w:val="00CE105E"/>
    <w:rsid w:val="00CE1606"/>
    <w:rsid w:val="00CE2525"/>
    <w:rsid w:val="00CE2607"/>
    <w:rsid w:val="00CE38F0"/>
    <w:rsid w:val="00CE51DE"/>
    <w:rsid w:val="00CE5C06"/>
    <w:rsid w:val="00CE6134"/>
    <w:rsid w:val="00CE663F"/>
    <w:rsid w:val="00CE66DD"/>
    <w:rsid w:val="00CF08A2"/>
    <w:rsid w:val="00CF0B1F"/>
    <w:rsid w:val="00CF1064"/>
    <w:rsid w:val="00CF16C8"/>
    <w:rsid w:val="00CF1705"/>
    <w:rsid w:val="00CF33E9"/>
    <w:rsid w:val="00CF36B6"/>
    <w:rsid w:val="00CF4922"/>
    <w:rsid w:val="00CF4C9D"/>
    <w:rsid w:val="00CF5231"/>
    <w:rsid w:val="00CF55F4"/>
    <w:rsid w:val="00CF683D"/>
    <w:rsid w:val="00CF6E6C"/>
    <w:rsid w:val="00CF7AAF"/>
    <w:rsid w:val="00D000A9"/>
    <w:rsid w:val="00D0084B"/>
    <w:rsid w:val="00D00ED0"/>
    <w:rsid w:val="00D0118B"/>
    <w:rsid w:val="00D01359"/>
    <w:rsid w:val="00D01491"/>
    <w:rsid w:val="00D01946"/>
    <w:rsid w:val="00D020ED"/>
    <w:rsid w:val="00D0335C"/>
    <w:rsid w:val="00D039CB"/>
    <w:rsid w:val="00D03C5C"/>
    <w:rsid w:val="00D05271"/>
    <w:rsid w:val="00D07D4D"/>
    <w:rsid w:val="00D1090D"/>
    <w:rsid w:val="00D109F8"/>
    <w:rsid w:val="00D114FD"/>
    <w:rsid w:val="00D11D4D"/>
    <w:rsid w:val="00D1249F"/>
    <w:rsid w:val="00D137B6"/>
    <w:rsid w:val="00D13887"/>
    <w:rsid w:val="00D140B6"/>
    <w:rsid w:val="00D140DE"/>
    <w:rsid w:val="00D143B0"/>
    <w:rsid w:val="00D1627E"/>
    <w:rsid w:val="00D163EF"/>
    <w:rsid w:val="00D17B70"/>
    <w:rsid w:val="00D20829"/>
    <w:rsid w:val="00D20929"/>
    <w:rsid w:val="00D21686"/>
    <w:rsid w:val="00D21768"/>
    <w:rsid w:val="00D23424"/>
    <w:rsid w:val="00D24959"/>
    <w:rsid w:val="00D25DD0"/>
    <w:rsid w:val="00D26DDB"/>
    <w:rsid w:val="00D277E9"/>
    <w:rsid w:val="00D303D9"/>
    <w:rsid w:val="00D304BB"/>
    <w:rsid w:val="00D304E3"/>
    <w:rsid w:val="00D30631"/>
    <w:rsid w:val="00D3112B"/>
    <w:rsid w:val="00D320C9"/>
    <w:rsid w:val="00D34399"/>
    <w:rsid w:val="00D34872"/>
    <w:rsid w:val="00D35038"/>
    <w:rsid w:val="00D36AB4"/>
    <w:rsid w:val="00D40FD0"/>
    <w:rsid w:val="00D419C3"/>
    <w:rsid w:val="00D41A20"/>
    <w:rsid w:val="00D42A8A"/>
    <w:rsid w:val="00D42C0C"/>
    <w:rsid w:val="00D45050"/>
    <w:rsid w:val="00D4553F"/>
    <w:rsid w:val="00D45C46"/>
    <w:rsid w:val="00D46C34"/>
    <w:rsid w:val="00D46CEF"/>
    <w:rsid w:val="00D4741A"/>
    <w:rsid w:val="00D4766C"/>
    <w:rsid w:val="00D5017A"/>
    <w:rsid w:val="00D50747"/>
    <w:rsid w:val="00D51EB6"/>
    <w:rsid w:val="00D52273"/>
    <w:rsid w:val="00D52314"/>
    <w:rsid w:val="00D53A36"/>
    <w:rsid w:val="00D53D85"/>
    <w:rsid w:val="00D53F73"/>
    <w:rsid w:val="00D54B80"/>
    <w:rsid w:val="00D552D8"/>
    <w:rsid w:val="00D55A6A"/>
    <w:rsid w:val="00D55C69"/>
    <w:rsid w:val="00D5659E"/>
    <w:rsid w:val="00D6113E"/>
    <w:rsid w:val="00D62075"/>
    <w:rsid w:val="00D621A7"/>
    <w:rsid w:val="00D6295F"/>
    <w:rsid w:val="00D62AC5"/>
    <w:rsid w:val="00D637C1"/>
    <w:rsid w:val="00D63BAE"/>
    <w:rsid w:val="00D644EF"/>
    <w:rsid w:val="00D646B6"/>
    <w:rsid w:val="00D65581"/>
    <w:rsid w:val="00D658B9"/>
    <w:rsid w:val="00D65CCB"/>
    <w:rsid w:val="00D6678F"/>
    <w:rsid w:val="00D66B8F"/>
    <w:rsid w:val="00D67DFD"/>
    <w:rsid w:val="00D706B7"/>
    <w:rsid w:val="00D70858"/>
    <w:rsid w:val="00D7186F"/>
    <w:rsid w:val="00D71FC8"/>
    <w:rsid w:val="00D7253A"/>
    <w:rsid w:val="00D72685"/>
    <w:rsid w:val="00D7282F"/>
    <w:rsid w:val="00D74E84"/>
    <w:rsid w:val="00D75B8A"/>
    <w:rsid w:val="00D765E8"/>
    <w:rsid w:val="00D77931"/>
    <w:rsid w:val="00D81E4F"/>
    <w:rsid w:val="00D820C7"/>
    <w:rsid w:val="00D82397"/>
    <w:rsid w:val="00D83F7A"/>
    <w:rsid w:val="00D8778B"/>
    <w:rsid w:val="00D912AB"/>
    <w:rsid w:val="00D91460"/>
    <w:rsid w:val="00D916F4"/>
    <w:rsid w:val="00D91BF9"/>
    <w:rsid w:val="00D92456"/>
    <w:rsid w:val="00D92EB0"/>
    <w:rsid w:val="00D92F60"/>
    <w:rsid w:val="00D93764"/>
    <w:rsid w:val="00D93CDC"/>
    <w:rsid w:val="00D94A0C"/>
    <w:rsid w:val="00D94A1A"/>
    <w:rsid w:val="00D9717D"/>
    <w:rsid w:val="00DA0528"/>
    <w:rsid w:val="00DA2263"/>
    <w:rsid w:val="00DA30F3"/>
    <w:rsid w:val="00DA3103"/>
    <w:rsid w:val="00DA35D7"/>
    <w:rsid w:val="00DA3A32"/>
    <w:rsid w:val="00DA41D0"/>
    <w:rsid w:val="00DA5194"/>
    <w:rsid w:val="00DA5224"/>
    <w:rsid w:val="00DA6582"/>
    <w:rsid w:val="00DA6ABE"/>
    <w:rsid w:val="00DA750E"/>
    <w:rsid w:val="00DB04F6"/>
    <w:rsid w:val="00DB187F"/>
    <w:rsid w:val="00DB1D19"/>
    <w:rsid w:val="00DB399A"/>
    <w:rsid w:val="00DB3A7D"/>
    <w:rsid w:val="00DB47DB"/>
    <w:rsid w:val="00DB4E0D"/>
    <w:rsid w:val="00DB520C"/>
    <w:rsid w:val="00DB5D22"/>
    <w:rsid w:val="00DB6145"/>
    <w:rsid w:val="00DB6307"/>
    <w:rsid w:val="00DB68E9"/>
    <w:rsid w:val="00DB6F12"/>
    <w:rsid w:val="00DB73F1"/>
    <w:rsid w:val="00DB7946"/>
    <w:rsid w:val="00DB7B4E"/>
    <w:rsid w:val="00DB7D33"/>
    <w:rsid w:val="00DC0B7A"/>
    <w:rsid w:val="00DC0F4C"/>
    <w:rsid w:val="00DC111F"/>
    <w:rsid w:val="00DC1402"/>
    <w:rsid w:val="00DC1655"/>
    <w:rsid w:val="00DC1722"/>
    <w:rsid w:val="00DC1AA2"/>
    <w:rsid w:val="00DC569B"/>
    <w:rsid w:val="00DC5BBF"/>
    <w:rsid w:val="00DC64D7"/>
    <w:rsid w:val="00DC6A03"/>
    <w:rsid w:val="00DD06AB"/>
    <w:rsid w:val="00DD15A8"/>
    <w:rsid w:val="00DD1EE7"/>
    <w:rsid w:val="00DD5617"/>
    <w:rsid w:val="00DD5A4C"/>
    <w:rsid w:val="00DD5FEE"/>
    <w:rsid w:val="00DD6106"/>
    <w:rsid w:val="00DD63C3"/>
    <w:rsid w:val="00DD655C"/>
    <w:rsid w:val="00DD6D0D"/>
    <w:rsid w:val="00DD6F2D"/>
    <w:rsid w:val="00DE008D"/>
    <w:rsid w:val="00DE12D9"/>
    <w:rsid w:val="00DE2223"/>
    <w:rsid w:val="00DE269D"/>
    <w:rsid w:val="00DE2881"/>
    <w:rsid w:val="00DE2D0C"/>
    <w:rsid w:val="00DE2F36"/>
    <w:rsid w:val="00DE46BE"/>
    <w:rsid w:val="00DE478E"/>
    <w:rsid w:val="00DE5DF9"/>
    <w:rsid w:val="00DE61AD"/>
    <w:rsid w:val="00DF1379"/>
    <w:rsid w:val="00DF1390"/>
    <w:rsid w:val="00DF1B5D"/>
    <w:rsid w:val="00DF2E95"/>
    <w:rsid w:val="00DF35D9"/>
    <w:rsid w:val="00DF3722"/>
    <w:rsid w:val="00DF40EB"/>
    <w:rsid w:val="00DF5049"/>
    <w:rsid w:val="00DF6332"/>
    <w:rsid w:val="00DF6DD3"/>
    <w:rsid w:val="00DF710B"/>
    <w:rsid w:val="00DF7A5A"/>
    <w:rsid w:val="00E00209"/>
    <w:rsid w:val="00E00F4E"/>
    <w:rsid w:val="00E0201A"/>
    <w:rsid w:val="00E02435"/>
    <w:rsid w:val="00E027FE"/>
    <w:rsid w:val="00E037D3"/>
    <w:rsid w:val="00E03F46"/>
    <w:rsid w:val="00E04090"/>
    <w:rsid w:val="00E04453"/>
    <w:rsid w:val="00E04D03"/>
    <w:rsid w:val="00E0586A"/>
    <w:rsid w:val="00E06BFC"/>
    <w:rsid w:val="00E071E3"/>
    <w:rsid w:val="00E10898"/>
    <w:rsid w:val="00E1094B"/>
    <w:rsid w:val="00E11979"/>
    <w:rsid w:val="00E1276B"/>
    <w:rsid w:val="00E129FF"/>
    <w:rsid w:val="00E13E62"/>
    <w:rsid w:val="00E14F32"/>
    <w:rsid w:val="00E152CD"/>
    <w:rsid w:val="00E153B6"/>
    <w:rsid w:val="00E15666"/>
    <w:rsid w:val="00E15C2D"/>
    <w:rsid w:val="00E164A9"/>
    <w:rsid w:val="00E16929"/>
    <w:rsid w:val="00E1702E"/>
    <w:rsid w:val="00E170B1"/>
    <w:rsid w:val="00E215C8"/>
    <w:rsid w:val="00E220A8"/>
    <w:rsid w:val="00E2262D"/>
    <w:rsid w:val="00E22BAE"/>
    <w:rsid w:val="00E22DF2"/>
    <w:rsid w:val="00E23E72"/>
    <w:rsid w:val="00E2409B"/>
    <w:rsid w:val="00E24154"/>
    <w:rsid w:val="00E24252"/>
    <w:rsid w:val="00E24703"/>
    <w:rsid w:val="00E25AF9"/>
    <w:rsid w:val="00E25C39"/>
    <w:rsid w:val="00E2684F"/>
    <w:rsid w:val="00E26DBC"/>
    <w:rsid w:val="00E303D1"/>
    <w:rsid w:val="00E306C0"/>
    <w:rsid w:val="00E306C2"/>
    <w:rsid w:val="00E3083F"/>
    <w:rsid w:val="00E30A66"/>
    <w:rsid w:val="00E33CFD"/>
    <w:rsid w:val="00E3452A"/>
    <w:rsid w:val="00E34845"/>
    <w:rsid w:val="00E35ECA"/>
    <w:rsid w:val="00E3662E"/>
    <w:rsid w:val="00E36B96"/>
    <w:rsid w:val="00E370AF"/>
    <w:rsid w:val="00E37EE5"/>
    <w:rsid w:val="00E37FAE"/>
    <w:rsid w:val="00E40521"/>
    <w:rsid w:val="00E4073D"/>
    <w:rsid w:val="00E40B44"/>
    <w:rsid w:val="00E42831"/>
    <w:rsid w:val="00E42BF5"/>
    <w:rsid w:val="00E4330F"/>
    <w:rsid w:val="00E44E2E"/>
    <w:rsid w:val="00E45AB5"/>
    <w:rsid w:val="00E4639A"/>
    <w:rsid w:val="00E464E8"/>
    <w:rsid w:val="00E46A15"/>
    <w:rsid w:val="00E46AE6"/>
    <w:rsid w:val="00E46C88"/>
    <w:rsid w:val="00E4789B"/>
    <w:rsid w:val="00E5028E"/>
    <w:rsid w:val="00E5047E"/>
    <w:rsid w:val="00E507F0"/>
    <w:rsid w:val="00E50EFD"/>
    <w:rsid w:val="00E510C7"/>
    <w:rsid w:val="00E51401"/>
    <w:rsid w:val="00E528EE"/>
    <w:rsid w:val="00E52A8B"/>
    <w:rsid w:val="00E534FF"/>
    <w:rsid w:val="00E54555"/>
    <w:rsid w:val="00E546D6"/>
    <w:rsid w:val="00E54A0A"/>
    <w:rsid w:val="00E560A9"/>
    <w:rsid w:val="00E569C4"/>
    <w:rsid w:val="00E5787C"/>
    <w:rsid w:val="00E60B5D"/>
    <w:rsid w:val="00E61578"/>
    <w:rsid w:val="00E6159D"/>
    <w:rsid w:val="00E620A2"/>
    <w:rsid w:val="00E6267C"/>
    <w:rsid w:val="00E630AF"/>
    <w:rsid w:val="00E632B5"/>
    <w:rsid w:val="00E642DA"/>
    <w:rsid w:val="00E64464"/>
    <w:rsid w:val="00E64F4C"/>
    <w:rsid w:val="00E656D2"/>
    <w:rsid w:val="00E65E4B"/>
    <w:rsid w:val="00E665FA"/>
    <w:rsid w:val="00E70032"/>
    <w:rsid w:val="00E70305"/>
    <w:rsid w:val="00E7112B"/>
    <w:rsid w:val="00E71EF2"/>
    <w:rsid w:val="00E72938"/>
    <w:rsid w:val="00E72FAE"/>
    <w:rsid w:val="00E74A69"/>
    <w:rsid w:val="00E75230"/>
    <w:rsid w:val="00E7550A"/>
    <w:rsid w:val="00E75E13"/>
    <w:rsid w:val="00E77795"/>
    <w:rsid w:val="00E77D21"/>
    <w:rsid w:val="00E8317E"/>
    <w:rsid w:val="00E83A6B"/>
    <w:rsid w:val="00E84002"/>
    <w:rsid w:val="00E842E2"/>
    <w:rsid w:val="00E84456"/>
    <w:rsid w:val="00E84D0E"/>
    <w:rsid w:val="00E850A0"/>
    <w:rsid w:val="00E85A54"/>
    <w:rsid w:val="00E9027B"/>
    <w:rsid w:val="00E91489"/>
    <w:rsid w:val="00E91608"/>
    <w:rsid w:val="00E91994"/>
    <w:rsid w:val="00E920FA"/>
    <w:rsid w:val="00E92A21"/>
    <w:rsid w:val="00E93BC3"/>
    <w:rsid w:val="00E94646"/>
    <w:rsid w:val="00E94DDE"/>
    <w:rsid w:val="00E9769A"/>
    <w:rsid w:val="00E97C1A"/>
    <w:rsid w:val="00EA0A91"/>
    <w:rsid w:val="00EA2C3B"/>
    <w:rsid w:val="00EA350D"/>
    <w:rsid w:val="00EA39E5"/>
    <w:rsid w:val="00EA57E0"/>
    <w:rsid w:val="00EA5E3D"/>
    <w:rsid w:val="00EA5ECF"/>
    <w:rsid w:val="00EB0DF3"/>
    <w:rsid w:val="00EB11DA"/>
    <w:rsid w:val="00EB13A5"/>
    <w:rsid w:val="00EB20CC"/>
    <w:rsid w:val="00EB4A70"/>
    <w:rsid w:val="00EB4C79"/>
    <w:rsid w:val="00EB4CDC"/>
    <w:rsid w:val="00EB4E20"/>
    <w:rsid w:val="00EB5C92"/>
    <w:rsid w:val="00EB5E1D"/>
    <w:rsid w:val="00EC14D6"/>
    <w:rsid w:val="00EC155B"/>
    <w:rsid w:val="00EC29AB"/>
    <w:rsid w:val="00EC33D3"/>
    <w:rsid w:val="00EC3A81"/>
    <w:rsid w:val="00EC3AC0"/>
    <w:rsid w:val="00EC3B07"/>
    <w:rsid w:val="00EC3B73"/>
    <w:rsid w:val="00EC43A0"/>
    <w:rsid w:val="00EC47A2"/>
    <w:rsid w:val="00EC4B77"/>
    <w:rsid w:val="00EC4ECC"/>
    <w:rsid w:val="00EC6A51"/>
    <w:rsid w:val="00EC7685"/>
    <w:rsid w:val="00ED03BF"/>
    <w:rsid w:val="00ED084A"/>
    <w:rsid w:val="00ED16F8"/>
    <w:rsid w:val="00ED1D5D"/>
    <w:rsid w:val="00ED259F"/>
    <w:rsid w:val="00ED2649"/>
    <w:rsid w:val="00ED2ACB"/>
    <w:rsid w:val="00ED3001"/>
    <w:rsid w:val="00ED309E"/>
    <w:rsid w:val="00ED3D41"/>
    <w:rsid w:val="00ED5716"/>
    <w:rsid w:val="00ED58DD"/>
    <w:rsid w:val="00ED75DE"/>
    <w:rsid w:val="00ED7623"/>
    <w:rsid w:val="00ED7BBD"/>
    <w:rsid w:val="00EE112D"/>
    <w:rsid w:val="00EE37E4"/>
    <w:rsid w:val="00EE3A78"/>
    <w:rsid w:val="00EE4551"/>
    <w:rsid w:val="00EE5ABE"/>
    <w:rsid w:val="00EE5D8A"/>
    <w:rsid w:val="00EE63AA"/>
    <w:rsid w:val="00EE6D51"/>
    <w:rsid w:val="00EF1394"/>
    <w:rsid w:val="00EF1733"/>
    <w:rsid w:val="00EF179B"/>
    <w:rsid w:val="00EF217A"/>
    <w:rsid w:val="00EF2AAF"/>
    <w:rsid w:val="00EF539B"/>
    <w:rsid w:val="00EF5C79"/>
    <w:rsid w:val="00EF5E90"/>
    <w:rsid w:val="00EF68BB"/>
    <w:rsid w:val="00F0051C"/>
    <w:rsid w:val="00F01890"/>
    <w:rsid w:val="00F01B6D"/>
    <w:rsid w:val="00F01EB5"/>
    <w:rsid w:val="00F030C2"/>
    <w:rsid w:val="00F03583"/>
    <w:rsid w:val="00F050C6"/>
    <w:rsid w:val="00F05ED0"/>
    <w:rsid w:val="00F071BB"/>
    <w:rsid w:val="00F078F0"/>
    <w:rsid w:val="00F10146"/>
    <w:rsid w:val="00F114ED"/>
    <w:rsid w:val="00F1204D"/>
    <w:rsid w:val="00F13AFB"/>
    <w:rsid w:val="00F13D4B"/>
    <w:rsid w:val="00F140C6"/>
    <w:rsid w:val="00F17420"/>
    <w:rsid w:val="00F17F63"/>
    <w:rsid w:val="00F2029C"/>
    <w:rsid w:val="00F20BFA"/>
    <w:rsid w:val="00F21AD4"/>
    <w:rsid w:val="00F21CFA"/>
    <w:rsid w:val="00F23E6C"/>
    <w:rsid w:val="00F24CA8"/>
    <w:rsid w:val="00F25549"/>
    <w:rsid w:val="00F25FAA"/>
    <w:rsid w:val="00F26782"/>
    <w:rsid w:val="00F2729D"/>
    <w:rsid w:val="00F27855"/>
    <w:rsid w:val="00F301D7"/>
    <w:rsid w:val="00F30C75"/>
    <w:rsid w:val="00F3100C"/>
    <w:rsid w:val="00F310B5"/>
    <w:rsid w:val="00F313C6"/>
    <w:rsid w:val="00F31DF7"/>
    <w:rsid w:val="00F3291A"/>
    <w:rsid w:val="00F32B82"/>
    <w:rsid w:val="00F33076"/>
    <w:rsid w:val="00F3403D"/>
    <w:rsid w:val="00F35955"/>
    <w:rsid w:val="00F35DB0"/>
    <w:rsid w:val="00F35E02"/>
    <w:rsid w:val="00F374F6"/>
    <w:rsid w:val="00F41712"/>
    <w:rsid w:val="00F4585D"/>
    <w:rsid w:val="00F462CD"/>
    <w:rsid w:val="00F47145"/>
    <w:rsid w:val="00F50E33"/>
    <w:rsid w:val="00F5147A"/>
    <w:rsid w:val="00F51DF5"/>
    <w:rsid w:val="00F52626"/>
    <w:rsid w:val="00F5341E"/>
    <w:rsid w:val="00F550F2"/>
    <w:rsid w:val="00F55382"/>
    <w:rsid w:val="00F55B97"/>
    <w:rsid w:val="00F566DF"/>
    <w:rsid w:val="00F6032B"/>
    <w:rsid w:val="00F61293"/>
    <w:rsid w:val="00F616E4"/>
    <w:rsid w:val="00F6176E"/>
    <w:rsid w:val="00F62176"/>
    <w:rsid w:val="00F629A2"/>
    <w:rsid w:val="00F63387"/>
    <w:rsid w:val="00F63941"/>
    <w:rsid w:val="00F6395E"/>
    <w:rsid w:val="00F64D5B"/>
    <w:rsid w:val="00F652AB"/>
    <w:rsid w:val="00F6573A"/>
    <w:rsid w:val="00F66774"/>
    <w:rsid w:val="00F676C4"/>
    <w:rsid w:val="00F70D11"/>
    <w:rsid w:val="00F70F7E"/>
    <w:rsid w:val="00F71747"/>
    <w:rsid w:val="00F71B73"/>
    <w:rsid w:val="00F71F3D"/>
    <w:rsid w:val="00F725A6"/>
    <w:rsid w:val="00F72B72"/>
    <w:rsid w:val="00F72BC0"/>
    <w:rsid w:val="00F73085"/>
    <w:rsid w:val="00F732E7"/>
    <w:rsid w:val="00F7495E"/>
    <w:rsid w:val="00F74A7B"/>
    <w:rsid w:val="00F76D17"/>
    <w:rsid w:val="00F7712C"/>
    <w:rsid w:val="00F77F50"/>
    <w:rsid w:val="00F81040"/>
    <w:rsid w:val="00F82761"/>
    <w:rsid w:val="00F82903"/>
    <w:rsid w:val="00F83ABC"/>
    <w:rsid w:val="00F905B6"/>
    <w:rsid w:val="00F912A5"/>
    <w:rsid w:val="00F91477"/>
    <w:rsid w:val="00F919EA"/>
    <w:rsid w:val="00F91A2B"/>
    <w:rsid w:val="00F92F22"/>
    <w:rsid w:val="00F9386B"/>
    <w:rsid w:val="00F93C58"/>
    <w:rsid w:val="00F93ECA"/>
    <w:rsid w:val="00F94B1E"/>
    <w:rsid w:val="00F95304"/>
    <w:rsid w:val="00F9550D"/>
    <w:rsid w:val="00F95612"/>
    <w:rsid w:val="00F95AF0"/>
    <w:rsid w:val="00F95F81"/>
    <w:rsid w:val="00F96029"/>
    <w:rsid w:val="00F96578"/>
    <w:rsid w:val="00F96B72"/>
    <w:rsid w:val="00F97066"/>
    <w:rsid w:val="00F975B8"/>
    <w:rsid w:val="00F97985"/>
    <w:rsid w:val="00F97DF5"/>
    <w:rsid w:val="00FA0460"/>
    <w:rsid w:val="00FA09B9"/>
    <w:rsid w:val="00FA2362"/>
    <w:rsid w:val="00FA4480"/>
    <w:rsid w:val="00FA55B6"/>
    <w:rsid w:val="00FA6C56"/>
    <w:rsid w:val="00FA6DFE"/>
    <w:rsid w:val="00FA708F"/>
    <w:rsid w:val="00FA74E9"/>
    <w:rsid w:val="00FA79FF"/>
    <w:rsid w:val="00FA7B56"/>
    <w:rsid w:val="00FB19DA"/>
    <w:rsid w:val="00FB229B"/>
    <w:rsid w:val="00FB26B4"/>
    <w:rsid w:val="00FB38E9"/>
    <w:rsid w:val="00FB4A31"/>
    <w:rsid w:val="00FC0C01"/>
    <w:rsid w:val="00FC12F4"/>
    <w:rsid w:val="00FC19A7"/>
    <w:rsid w:val="00FC2010"/>
    <w:rsid w:val="00FC27EB"/>
    <w:rsid w:val="00FC34A5"/>
    <w:rsid w:val="00FC389E"/>
    <w:rsid w:val="00FC4694"/>
    <w:rsid w:val="00FC52A7"/>
    <w:rsid w:val="00FC7217"/>
    <w:rsid w:val="00FC7292"/>
    <w:rsid w:val="00FC7A18"/>
    <w:rsid w:val="00FD1033"/>
    <w:rsid w:val="00FD17BB"/>
    <w:rsid w:val="00FD1EA7"/>
    <w:rsid w:val="00FD4A22"/>
    <w:rsid w:val="00FD4B1B"/>
    <w:rsid w:val="00FD4B23"/>
    <w:rsid w:val="00FD556F"/>
    <w:rsid w:val="00FD783E"/>
    <w:rsid w:val="00FE099E"/>
    <w:rsid w:val="00FE09BF"/>
    <w:rsid w:val="00FE0D6E"/>
    <w:rsid w:val="00FE0F3F"/>
    <w:rsid w:val="00FE1347"/>
    <w:rsid w:val="00FE1E1B"/>
    <w:rsid w:val="00FE35B0"/>
    <w:rsid w:val="00FE3811"/>
    <w:rsid w:val="00FE3B68"/>
    <w:rsid w:val="00FE3CB2"/>
    <w:rsid w:val="00FE4D1E"/>
    <w:rsid w:val="00FE5433"/>
    <w:rsid w:val="00FE5FAD"/>
    <w:rsid w:val="00FE60FC"/>
    <w:rsid w:val="00FE649B"/>
    <w:rsid w:val="00FE7235"/>
    <w:rsid w:val="00FE7BC2"/>
    <w:rsid w:val="00FF1510"/>
    <w:rsid w:val="00FF3510"/>
    <w:rsid w:val="00FF375A"/>
    <w:rsid w:val="00FF6C2E"/>
    <w:rsid w:val="00FF7282"/>
    <w:rsid w:val="00FF7B5D"/>
    <w:rsid w:val="01330931"/>
    <w:rsid w:val="019564D7"/>
    <w:rsid w:val="01D81586"/>
    <w:rsid w:val="022B56F7"/>
    <w:rsid w:val="027D90FD"/>
    <w:rsid w:val="02DD748B"/>
    <w:rsid w:val="032DFF9C"/>
    <w:rsid w:val="035AFFE1"/>
    <w:rsid w:val="036E493C"/>
    <w:rsid w:val="038EB2F1"/>
    <w:rsid w:val="03F5DC88"/>
    <w:rsid w:val="044B5236"/>
    <w:rsid w:val="04A78FB8"/>
    <w:rsid w:val="04BBAD96"/>
    <w:rsid w:val="04E5DBB2"/>
    <w:rsid w:val="0580BCE6"/>
    <w:rsid w:val="05877E62"/>
    <w:rsid w:val="05934B33"/>
    <w:rsid w:val="05986595"/>
    <w:rsid w:val="05C3B156"/>
    <w:rsid w:val="05C877AE"/>
    <w:rsid w:val="067EB6BE"/>
    <w:rsid w:val="069290BF"/>
    <w:rsid w:val="06ABC918"/>
    <w:rsid w:val="0713B61E"/>
    <w:rsid w:val="07148FE3"/>
    <w:rsid w:val="076A6F0F"/>
    <w:rsid w:val="0777CFF8"/>
    <w:rsid w:val="079016BE"/>
    <w:rsid w:val="0792BB7B"/>
    <w:rsid w:val="07CDB87D"/>
    <w:rsid w:val="07D49463"/>
    <w:rsid w:val="07E1BEEF"/>
    <w:rsid w:val="08167BCF"/>
    <w:rsid w:val="0827580E"/>
    <w:rsid w:val="08FC57F3"/>
    <w:rsid w:val="08FD55E9"/>
    <w:rsid w:val="09160723"/>
    <w:rsid w:val="091A9B7B"/>
    <w:rsid w:val="0968C92D"/>
    <w:rsid w:val="097E4FE4"/>
    <w:rsid w:val="0A1126F4"/>
    <w:rsid w:val="0A192A9A"/>
    <w:rsid w:val="0A34206B"/>
    <w:rsid w:val="0A842235"/>
    <w:rsid w:val="0AE511B5"/>
    <w:rsid w:val="0B5CB16D"/>
    <w:rsid w:val="0B6A68BF"/>
    <w:rsid w:val="0B7F04F8"/>
    <w:rsid w:val="0B8AE885"/>
    <w:rsid w:val="0C095A5E"/>
    <w:rsid w:val="0C556881"/>
    <w:rsid w:val="0CA832C0"/>
    <w:rsid w:val="0D02C8E1"/>
    <w:rsid w:val="0D1E85AF"/>
    <w:rsid w:val="0D47E4B4"/>
    <w:rsid w:val="0D5B1653"/>
    <w:rsid w:val="0DA1B8AE"/>
    <w:rsid w:val="0DCC2350"/>
    <w:rsid w:val="0E7129CE"/>
    <w:rsid w:val="0E7E7C05"/>
    <w:rsid w:val="0F3E9239"/>
    <w:rsid w:val="0FFAC87F"/>
    <w:rsid w:val="10048E3B"/>
    <w:rsid w:val="1022E5FC"/>
    <w:rsid w:val="102B5CAD"/>
    <w:rsid w:val="1067401B"/>
    <w:rsid w:val="1078E5A4"/>
    <w:rsid w:val="10D35545"/>
    <w:rsid w:val="10E39440"/>
    <w:rsid w:val="1121D2EB"/>
    <w:rsid w:val="112E1AD5"/>
    <w:rsid w:val="1148043E"/>
    <w:rsid w:val="114D63B4"/>
    <w:rsid w:val="1166861F"/>
    <w:rsid w:val="1192BA53"/>
    <w:rsid w:val="121609C1"/>
    <w:rsid w:val="123A2E9C"/>
    <w:rsid w:val="123C239E"/>
    <w:rsid w:val="1283C9CD"/>
    <w:rsid w:val="12E06A76"/>
    <w:rsid w:val="13933CD5"/>
    <w:rsid w:val="13C6AC48"/>
    <w:rsid w:val="13D02084"/>
    <w:rsid w:val="13F4C1AD"/>
    <w:rsid w:val="1405AB6F"/>
    <w:rsid w:val="14928056"/>
    <w:rsid w:val="14D55A31"/>
    <w:rsid w:val="15A433EF"/>
    <w:rsid w:val="15CF48E9"/>
    <w:rsid w:val="165E77FC"/>
    <w:rsid w:val="166A6F47"/>
    <w:rsid w:val="166EB2BD"/>
    <w:rsid w:val="1672AB88"/>
    <w:rsid w:val="16877F4A"/>
    <w:rsid w:val="16BF4AED"/>
    <w:rsid w:val="16E0E85F"/>
    <w:rsid w:val="17406ED7"/>
    <w:rsid w:val="177DFA49"/>
    <w:rsid w:val="177F7CD4"/>
    <w:rsid w:val="177FB82A"/>
    <w:rsid w:val="1788E07A"/>
    <w:rsid w:val="1797727A"/>
    <w:rsid w:val="17B684B6"/>
    <w:rsid w:val="184BFF89"/>
    <w:rsid w:val="189D281A"/>
    <w:rsid w:val="19418B99"/>
    <w:rsid w:val="195AC9F5"/>
    <w:rsid w:val="19924927"/>
    <w:rsid w:val="199E4E5A"/>
    <w:rsid w:val="19F54FF1"/>
    <w:rsid w:val="19FA89C3"/>
    <w:rsid w:val="1AC0E992"/>
    <w:rsid w:val="1AC1E5DA"/>
    <w:rsid w:val="1AF7BD84"/>
    <w:rsid w:val="1B69B569"/>
    <w:rsid w:val="1B73D0AE"/>
    <w:rsid w:val="1B89C33D"/>
    <w:rsid w:val="1C49AE19"/>
    <w:rsid w:val="1CA47E01"/>
    <w:rsid w:val="1CE163AB"/>
    <w:rsid w:val="1D92071E"/>
    <w:rsid w:val="1DECD48B"/>
    <w:rsid w:val="1E08BF56"/>
    <w:rsid w:val="1E71D573"/>
    <w:rsid w:val="1EFA6122"/>
    <w:rsid w:val="1F3A0460"/>
    <w:rsid w:val="1F7815E7"/>
    <w:rsid w:val="1FD018B4"/>
    <w:rsid w:val="2089ED0E"/>
    <w:rsid w:val="20C187FE"/>
    <w:rsid w:val="20F41EAE"/>
    <w:rsid w:val="212CE993"/>
    <w:rsid w:val="217126D8"/>
    <w:rsid w:val="219135D2"/>
    <w:rsid w:val="2191B375"/>
    <w:rsid w:val="21963A3E"/>
    <w:rsid w:val="21C7D4EC"/>
    <w:rsid w:val="2200853C"/>
    <w:rsid w:val="220DF02B"/>
    <w:rsid w:val="225C1791"/>
    <w:rsid w:val="226D8627"/>
    <w:rsid w:val="2296C9CD"/>
    <w:rsid w:val="22A4448C"/>
    <w:rsid w:val="22C46D58"/>
    <w:rsid w:val="22D29585"/>
    <w:rsid w:val="2305618D"/>
    <w:rsid w:val="231F45D6"/>
    <w:rsid w:val="23695A42"/>
    <w:rsid w:val="23A4ADC2"/>
    <w:rsid w:val="23BE3DCD"/>
    <w:rsid w:val="23E864AB"/>
    <w:rsid w:val="23F8938D"/>
    <w:rsid w:val="240784E6"/>
    <w:rsid w:val="249DF068"/>
    <w:rsid w:val="24DAE201"/>
    <w:rsid w:val="24ED531E"/>
    <w:rsid w:val="2568217C"/>
    <w:rsid w:val="25A759B4"/>
    <w:rsid w:val="260E5BF5"/>
    <w:rsid w:val="2643254F"/>
    <w:rsid w:val="265B77C1"/>
    <w:rsid w:val="2679C0E9"/>
    <w:rsid w:val="270C33C1"/>
    <w:rsid w:val="271321D7"/>
    <w:rsid w:val="272C6F2C"/>
    <w:rsid w:val="27490A1F"/>
    <w:rsid w:val="2779D059"/>
    <w:rsid w:val="2794269A"/>
    <w:rsid w:val="2800CFA1"/>
    <w:rsid w:val="28213140"/>
    <w:rsid w:val="2836698D"/>
    <w:rsid w:val="28A5D1B0"/>
    <w:rsid w:val="28EB0B15"/>
    <w:rsid w:val="29263437"/>
    <w:rsid w:val="2A215C7F"/>
    <w:rsid w:val="2A8CBF47"/>
    <w:rsid w:val="2A926D52"/>
    <w:rsid w:val="2ACDF29B"/>
    <w:rsid w:val="2ADD2445"/>
    <w:rsid w:val="2AE9E179"/>
    <w:rsid w:val="2B13B319"/>
    <w:rsid w:val="2B4CB924"/>
    <w:rsid w:val="2B824576"/>
    <w:rsid w:val="2BF7D921"/>
    <w:rsid w:val="2C34CCA2"/>
    <w:rsid w:val="2C41E9C2"/>
    <w:rsid w:val="2C5524D6"/>
    <w:rsid w:val="2C75D3CF"/>
    <w:rsid w:val="2C833700"/>
    <w:rsid w:val="2CF1F0C5"/>
    <w:rsid w:val="2CF87F78"/>
    <w:rsid w:val="2CFD4BD9"/>
    <w:rsid w:val="2D676FAD"/>
    <w:rsid w:val="2DA87A6C"/>
    <w:rsid w:val="2DBBE59D"/>
    <w:rsid w:val="2DBC02ED"/>
    <w:rsid w:val="2DCA6D68"/>
    <w:rsid w:val="2E157D34"/>
    <w:rsid w:val="2E620208"/>
    <w:rsid w:val="2ED4343F"/>
    <w:rsid w:val="2EEA0325"/>
    <w:rsid w:val="2F38EA98"/>
    <w:rsid w:val="2FE8D45C"/>
    <w:rsid w:val="30177131"/>
    <w:rsid w:val="30BE23B7"/>
    <w:rsid w:val="30DA246A"/>
    <w:rsid w:val="313FAAC7"/>
    <w:rsid w:val="315D3544"/>
    <w:rsid w:val="315F61FB"/>
    <w:rsid w:val="31BB1A6B"/>
    <w:rsid w:val="324FC3A4"/>
    <w:rsid w:val="327BEB8F"/>
    <w:rsid w:val="3291ED5B"/>
    <w:rsid w:val="32A69129"/>
    <w:rsid w:val="32B13399"/>
    <w:rsid w:val="32E27EA8"/>
    <w:rsid w:val="33168BEC"/>
    <w:rsid w:val="3323B72F"/>
    <w:rsid w:val="338570E4"/>
    <w:rsid w:val="33C8B3B4"/>
    <w:rsid w:val="33DCA8A8"/>
    <w:rsid w:val="344B966C"/>
    <w:rsid w:val="346C5122"/>
    <w:rsid w:val="347883C6"/>
    <w:rsid w:val="3509A63C"/>
    <w:rsid w:val="3522F7BE"/>
    <w:rsid w:val="356E3267"/>
    <w:rsid w:val="3572738F"/>
    <w:rsid w:val="3599B2E8"/>
    <w:rsid w:val="36173BE0"/>
    <w:rsid w:val="361B97F5"/>
    <w:rsid w:val="365C7EBA"/>
    <w:rsid w:val="369BEE6B"/>
    <w:rsid w:val="36E02323"/>
    <w:rsid w:val="371E1D9F"/>
    <w:rsid w:val="3741C63D"/>
    <w:rsid w:val="37989FC4"/>
    <w:rsid w:val="37A8519C"/>
    <w:rsid w:val="37DEF67C"/>
    <w:rsid w:val="37EAF373"/>
    <w:rsid w:val="3803C7EE"/>
    <w:rsid w:val="382A2312"/>
    <w:rsid w:val="38B2BA51"/>
    <w:rsid w:val="390E48C7"/>
    <w:rsid w:val="39506588"/>
    <w:rsid w:val="39987D97"/>
    <w:rsid w:val="39A11259"/>
    <w:rsid w:val="39FB3156"/>
    <w:rsid w:val="3A04346B"/>
    <w:rsid w:val="3A0BCEF9"/>
    <w:rsid w:val="3A431BE6"/>
    <w:rsid w:val="3AAF027E"/>
    <w:rsid w:val="3B1CF211"/>
    <w:rsid w:val="3B47CE60"/>
    <w:rsid w:val="3B6E64EF"/>
    <w:rsid w:val="3BA62786"/>
    <w:rsid w:val="3C1C6B0F"/>
    <w:rsid w:val="3C1FA744"/>
    <w:rsid w:val="3C5EA84E"/>
    <w:rsid w:val="3CBA4817"/>
    <w:rsid w:val="3CEBB427"/>
    <w:rsid w:val="3D2EE8A5"/>
    <w:rsid w:val="3D3441B6"/>
    <w:rsid w:val="3D4F3B13"/>
    <w:rsid w:val="3D73B443"/>
    <w:rsid w:val="3DAD15BB"/>
    <w:rsid w:val="3DDB40D2"/>
    <w:rsid w:val="3DE43CAA"/>
    <w:rsid w:val="3E7F601F"/>
    <w:rsid w:val="3EAB5F50"/>
    <w:rsid w:val="3EF9EF98"/>
    <w:rsid w:val="3F130B52"/>
    <w:rsid w:val="3F2EFD07"/>
    <w:rsid w:val="3F516FB8"/>
    <w:rsid w:val="3FA14BB6"/>
    <w:rsid w:val="3FA3B1A9"/>
    <w:rsid w:val="3FB47FC6"/>
    <w:rsid w:val="3FF04569"/>
    <w:rsid w:val="404B2BDF"/>
    <w:rsid w:val="4114EF56"/>
    <w:rsid w:val="41218391"/>
    <w:rsid w:val="413CB6CE"/>
    <w:rsid w:val="41483EAB"/>
    <w:rsid w:val="418ACEF1"/>
    <w:rsid w:val="41F08715"/>
    <w:rsid w:val="4227FE49"/>
    <w:rsid w:val="42312D34"/>
    <w:rsid w:val="426C90BA"/>
    <w:rsid w:val="42719A91"/>
    <w:rsid w:val="427AB6F7"/>
    <w:rsid w:val="428DBC91"/>
    <w:rsid w:val="42AA6E0A"/>
    <w:rsid w:val="433FF06F"/>
    <w:rsid w:val="4346C5AF"/>
    <w:rsid w:val="434787D4"/>
    <w:rsid w:val="437A8F78"/>
    <w:rsid w:val="43917836"/>
    <w:rsid w:val="43C86D82"/>
    <w:rsid w:val="44197C63"/>
    <w:rsid w:val="44788E6A"/>
    <w:rsid w:val="44962F59"/>
    <w:rsid w:val="44A51A3B"/>
    <w:rsid w:val="44AB8FAB"/>
    <w:rsid w:val="44DD2422"/>
    <w:rsid w:val="44EB843B"/>
    <w:rsid w:val="452ECB52"/>
    <w:rsid w:val="4537D60C"/>
    <w:rsid w:val="45A8501F"/>
    <w:rsid w:val="45CFF890"/>
    <w:rsid w:val="461CA6F8"/>
    <w:rsid w:val="46207735"/>
    <w:rsid w:val="465AE2D6"/>
    <w:rsid w:val="466ABCD3"/>
    <w:rsid w:val="467CAA04"/>
    <w:rsid w:val="46C8801D"/>
    <w:rsid w:val="46DCF4FC"/>
    <w:rsid w:val="46E85AB1"/>
    <w:rsid w:val="47205AB2"/>
    <w:rsid w:val="47579CBC"/>
    <w:rsid w:val="47748D28"/>
    <w:rsid w:val="477BBB6F"/>
    <w:rsid w:val="47E840C2"/>
    <w:rsid w:val="480DC3B6"/>
    <w:rsid w:val="482ED14F"/>
    <w:rsid w:val="48401B12"/>
    <w:rsid w:val="484AF906"/>
    <w:rsid w:val="485EA0E1"/>
    <w:rsid w:val="487A9735"/>
    <w:rsid w:val="487FEE51"/>
    <w:rsid w:val="48AC6698"/>
    <w:rsid w:val="48AE0B91"/>
    <w:rsid w:val="48BB913D"/>
    <w:rsid w:val="48BE7BE4"/>
    <w:rsid w:val="49180A62"/>
    <w:rsid w:val="4931A317"/>
    <w:rsid w:val="4970CCA8"/>
    <w:rsid w:val="498BB281"/>
    <w:rsid w:val="4995AC74"/>
    <w:rsid w:val="49A22DD1"/>
    <w:rsid w:val="49B342B1"/>
    <w:rsid w:val="49BB3F28"/>
    <w:rsid w:val="49E4445F"/>
    <w:rsid w:val="4A6D5664"/>
    <w:rsid w:val="4AC2FB83"/>
    <w:rsid w:val="4AD2ABEA"/>
    <w:rsid w:val="4B60AAD5"/>
    <w:rsid w:val="4B82B060"/>
    <w:rsid w:val="4BA7E084"/>
    <w:rsid w:val="4BA942E2"/>
    <w:rsid w:val="4BB4FEF4"/>
    <w:rsid w:val="4C00161B"/>
    <w:rsid w:val="4CA65817"/>
    <w:rsid w:val="4CF29151"/>
    <w:rsid w:val="4D0CF915"/>
    <w:rsid w:val="4D85CE06"/>
    <w:rsid w:val="4DA48CF3"/>
    <w:rsid w:val="4DB4948B"/>
    <w:rsid w:val="4DB826F4"/>
    <w:rsid w:val="4DD988F5"/>
    <w:rsid w:val="4E00ADC7"/>
    <w:rsid w:val="4E8DA736"/>
    <w:rsid w:val="4EA85BF4"/>
    <w:rsid w:val="4ED55A54"/>
    <w:rsid w:val="4EEB554D"/>
    <w:rsid w:val="4EF89FA8"/>
    <w:rsid w:val="4F15EFAF"/>
    <w:rsid w:val="4F98CA48"/>
    <w:rsid w:val="4FA91D3A"/>
    <w:rsid w:val="501EDB95"/>
    <w:rsid w:val="504A920C"/>
    <w:rsid w:val="5136D0E8"/>
    <w:rsid w:val="514DC637"/>
    <w:rsid w:val="514FC25C"/>
    <w:rsid w:val="51B90411"/>
    <w:rsid w:val="51FFDC7A"/>
    <w:rsid w:val="521B9558"/>
    <w:rsid w:val="5230406A"/>
    <w:rsid w:val="523FF242"/>
    <w:rsid w:val="5271E0AB"/>
    <w:rsid w:val="527309F4"/>
    <w:rsid w:val="52768AC7"/>
    <w:rsid w:val="527CF1F5"/>
    <w:rsid w:val="5321C4B2"/>
    <w:rsid w:val="536072EB"/>
    <w:rsid w:val="536D85B4"/>
    <w:rsid w:val="53C9E120"/>
    <w:rsid w:val="53E9B17F"/>
    <w:rsid w:val="54309317"/>
    <w:rsid w:val="5433F0C3"/>
    <w:rsid w:val="54644FBB"/>
    <w:rsid w:val="54927649"/>
    <w:rsid w:val="54A5628F"/>
    <w:rsid w:val="54CA555D"/>
    <w:rsid w:val="54F1B3E9"/>
    <w:rsid w:val="54F30AAC"/>
    <w:rsid w:val="550270D4"/>
    <w:rsid w:val="5538891B"/>
    <w:rsid w:val="5567E12C"/>
    <w:rsid w:val="55936942"/>
    <w:rsid w:val="55F1B4C2"/>
    <w:rsid w:val="56532272"/>
    <w:rsid w:val="56787F18"/>
    <w:rsid w:val="56B3DC0C"/>
    <w:rsid w:val="56C45F59"/>
    <w:rsid w:val="56D5580B"/>
    <w:rsid w:val="57226558"/>
    <w:rsid w:val="57348FBF"/>
    <w:rsid w:val="57F6BBED"/>
    <w:rsid w:val="589E2488"/>
    <w:rsid w:val="589ECF3A"/>
    <w:rsid w:val="58D253DC"/>
    <w:rsid w:val="595C946C"/>
    <w:rsid w:val="59827182"/>
    <w:rsid w:val="59B3BD47"/>
    <w:rsid w:val="59D8E6E0"/>
    <w:rsid w:val="5A063154"/>
    <w:rsid w:val="5A08D2C8"/>
    <w:rsid w:val="5A448503"/>
    <w:rsid w:val="5A7F5234"/>
    <w:rsid w:val="5A9A5277"/>
    <w:rsid w:val="5A9D5467"/>
    <w:rsid w:val="5A9EE3A0"/>
    <w:rsid w:val="5AAC9DDE"/>
    <w:rsid w:val="5AD0A378"/>
    <w:rsid w:val="5AFD679D"/>
    <w:rsid w:val="5B1D4549"/>
    <w:rsid w:val="5B496A6E"/>
    <w:rsid w:val="5B501DFA"/>
    <w:rsid w:val="5B82D9C1"/>
    <w:rsid w:val="5B9F98AA"/>
    <w:rsid w:val="5BF25AD9"/>
    <w:rsid w:val="5BF86F1D"/>
    <w:rsid w:val="5C3D00AA"/>
    <w:rsid w:val="5C501719"/>
    <w:rsid w:val="5C5C8AF0"/>
    <w:rsid w:val="5C6189C8"/>
    <w:rsid w:val="5CA31307"/>
    <w:rsid w:val="5CBAE380"/>
    <w:rsid w:val="5CEE6277"/>
    <w:rsid w:val="5D31C2DC"/>
    <w:rsid w:val="5D9B54C3"/>
    <w:rsid w:val="5DC48D55"/>
    <w:rsid w:val="5DD1F339"/>
    <w:rsid w:val="5DD6EC01"/>
    <w:rsid w:val="5DE220AA"/>
    <w:rsid w:val="5E1A4C61"/>
    <w:rsid w:val="5E1AEA07"/>
    <w:rsid w:val="5E1CFB18"/>
    <w:rsid w:val="5E7D786E"/>
    <w:rsid w:val="5E84B8BA"/>
    <w:rsid w:val="5ED257F8"/>
    <w:rsid w:val="5EDE979F"/>
    <w:rsid w:val="5EEB1ED4"/>
    <w:rsid w:val="5EF79EE6"/>
    <w:rsid w:val="5F124FDD"/>
    <w:rsid w:val="5F297064"/>
    <w:rsid w:val="5F3797C3"/>
    <w:rsid w:val="5F5A345C"/>
    <w:rsid w:val="5FC12C71"/>
    <w:rsid w:val="5FD6DFB7"/>
    <w:rsid w:val="601991B5"/>
    <w:rsid w:val="60D330B5"/>
    <w:rsid w:val="612DD7AE"/>
    <w:rsid w:val="6157C063"/>
    <w:rsid w:val="616E8412"/>
    <w:rsid w:val="6176E1BB"/>
    <w:rsid w:val="61A7EC23"/>
    <w:rsid w:val="61B5BD6F"/>
    <w:rsid w:val="61C79865"/>
    <w:rsid w:val="61ED1130"/>
    <w:rsid w:val="623DA303"/>
    <w:rsid w:val="623F852C"/>
    <w:rsid w:val="62D7BBB8"/>
    <w:rsid w:val="62F0B299"/>
    <w:rsid w:val="63206765"/>
    <w:rsid w:val="63910F48"/>
    <w:rsid w:val="64474901"/>
    <w:rsid w:val="64CB4876"/>
    <w:rsid w:val="64DB8430"/>
    <w:rsid w:val="64DC7AB2"/>
    <w:rsid w:val="64E8BC10"/>
    <w:rsid w:val="65B6B710"/>
    <w:rsid w:val="65D2673E"/>
    <w:rsid w:val="66978EA3"/>
    <w:rsid w:val="66C48B04"/>
    <w:rsid w:val="670A06D9"/>
    <w:rsid w:val="6795D757"/>
    <w:rsid w:val="67A8D9E6"/>
    <w:rsid w:val="67FE2F45"/>
    <w:rsid w:val="684656E5"/>
    <w:rsid w:val="6880EC6D"/>
    <w:rsid w:val="68A0915B"/>
    <w:rsid w:val="68AC044E"/>
    <w:rsid w:val="68BC4B93"/>
    <w:rsid w:val="69043BAE"/>
    <w:rsid w:val="69110D15"/>
    <w:rsid w:val="691EDBB9"/>
    <w:rsid w:val="695BDA66"/>
    <w:rsid w:val="698698EE"/>
    <w:rsid w:val="69EE99FD"/>
    <w:rsid w:val="6A1B2D9C"/>
    <w:rsid w:val="6A3CC0B7"/>
    <w:rsid w:val="6A7DE6B1"/>
    <w:rsid w:val="6B86F819"/>
    <w:rsid w:val="6C1A4D8A"/>
    <w:rsid w:val="6C3075A8"/>
    <w:rsid w:val="6C54268B"/>
    <w:rsid w:val="6C8C44FA"/>
    <w:rsid w:val="6C9EA304"/>
    <w:rsid w:val="6CB3B60D"/>
    <w:rsid w:val="6CB55BD2"/>
    <w:rsid w:val="6CE5527D"/>
    <w:rsid w:val="6DE6BF3E"/>
    <w:rsid w:val="6E171B96"/>
    <w:rsid w:val="6E5A0A11"/>
    <w:rsid w:val="6E6D1450"/>
    <w:rsid w:val="6EBE3BDA"/>
    <w:rsid w:val="6EE15662"/>
    <w:rsid w:val="6EE6C7C0"/>
    <w:rsid w:val="6EF5575E"/>
    <w:rsid w:val="6EFBF061"/>
    <w:rsid w:val="6F53D20E"/>
    <w:rsid w:val="6F58E0BD"/>
    <w:rsid w:val="6F886B9A"/>
    <w:rsid w:val="6FC1ABD7"/>
    <w:rsid w:val="6FCD0293"/>
    <w:rsid w:val="6FD982AD"/>
    <w:rsid w:val="6FFD83AA"/>
    <w:rsid w:val="7068F6F4"/>
    <w:rsid w:val="709530C9"/>
    <w:rsid w:val="70CFD7D0"/>
    <w:rsid w:val="715BDF99"/>
    <w:rsid w:val="716FFE73"/>
    <w:rsid w:val="719C4CA0"/>
    <w:rsid w:val="72916892"/>
    <w:rsid w:val="72B074EF"/>
    <w:rsid w:val="72E4A6D3"/>
    <w:rsid w:val="72F1A988"/>
    <w:rsid w:val="732CE224"/>
    <w:rsid w:val="736DCABF"/>
    <w:rsid w:val="74701DCF"/>
    <w:rsid w:val="74D7C4BC"/>
    <w:rsid w:val="74EDCE18"/>
    <w:rsid w:val="75728831"/>
    <w:rsid w:val="7581FCBB"/>
    <w:rsid w:val="76129225"/>
    <w:rsid w:val="76B06397"/>
    <w:rsid w:val="76DB8DAA"/>
    <w:rsid w:val="77103B88"/>
    <w:rsid w:val="77679842"/>
    <w:rsid w:val="778BA0C0"/>
    <w:rsid w:val="779DAEB5"/>
    <w:rsid w:val="77B8E4B4"/>
    <w:rsid w:val="78594CAA"/>
    <w:rsid w:val="78EE17D9"/>
    <w:rsid w:val="790CFAB7"/>
    <w:rsid w:val="792805C0"/>
    <w:rsid w:val="7944786E"/>
    <w:rsid w:val="79600C4A"/>
    <w:rsid w:val="79643092"/>
    <w:rsid w:val="797BD164"/>
    <w:rsid w:val="79A0B789"/>
    <w:rsid w:val="7A03411D"/>
    <w:rsid w:val="7A3A1EC1"/>
    <w:rsid w:val="7A64FAE2"/>
    <w:rsid w:val="7A6E8600"/>
    <w:rsid w:val="7A7DA95E"/>
    <w:rsid w:val="7A816645"/>
    <w:rsid w:val="7B0CE40F"/>
    <w:rsid w:val="7B4A21FF"/>
    <w:rsid w:val="7B63231C"/>
    <w:rsid w:val="7B726430"/>
    <w:rsid w:val="7B794ACA"/>
    <w:rsid w:val="7BCD55FB"/>
    <w:rsid w:val="7CEC4B3B"/>
    <w:rsid w:val="7D067CBE"/>
    <w:rsid w:val="7D0FE5B6"/>
    <w:rsid w:val="7D32A3EB"/>
    <w:rsid w:val="7D833EF3"/>
    <w:rsid w:val="7D9A5EAE"/>
    <w:rsid w:val="7EA5EB56"/>
    <w:rsid w:val="7ECE744C"/>
    <w:rsid w:val="7F8607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7618E6"/>
  <w15:docId w15:val="{E94A085F-D959-4E43-905B-EE38F825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mt-MT" w:eastAsia="en-IE" w:bidi="ar-SA"/>
      </w:rPr>
    </w:rPrDefault>
    <w:pPrDefault/>
  </w:docDefaults>
  <w:latentStyles w:defLockedState="1"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nhideWhenUsed="1" w:qFormat="1"/>
    <w:lsdException w:name="annotation text" w:semiHidden="1"/>
    <w:lsdException w:name="footer" w:uiPriority="99"/>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uiPriority="99" w:qFormat="1"/>
    <w:lsdException w:name="annotation reference" w:semiHidden="1" w:uiPriority="99"/>
    <w:lsdException w:name="line number" w:semiHidden="1"/>
    <w:lsdException w:name="page number" w:semiHidden="1"/>
    <w:lsdException w:name="endnote reference" w:semiHidden="1"/>
    <w:lsdException w:name="endnote text" w:unhideWhenUsed="1"/>
    <w:lsdException w:name="table of authorities" w:semiHidden="1"/>
    <w:lsdException w:name="macro" w:semiHidden="1"/>
    <w:lsdException w:name="toa heading" w:semiHidden="1"/>
    <w:lsdException w:name="List" w:semiHidden="1"/>
    <w:lsdException w:name="List Bullet" w:uiPriority="1"/>
    <w:lsdException w:name="List Number" w:uiPriority="1"/>
    <w:lsdException w:name="List 2" w:semiHidden="1"/>
    <w:lsdException w:name="List 3" w:semiHidden="1"/>
    <w:lsdException w:name="List 4" w:semiHidden="1"/>
    <w:lsdException w:name="List 5" w:semiHidden="1"/>
    <w:lsdException w:name="List Bullet 2" w:uiPriority="1"/>
    <w:lsdException w:name="List Bullet 3" w:uiPriority="1"/>
    <w:lsdException w:name="List Bullet 4" w:uiPriority="1"/>
    <w:lsdException w:name="List Bullet 5" w:semiHidden="1"/>
    <w:lsdException w:name="List Number 2" w:uiPriority="1"/>
    <w:lsdException w:name="List Number 3" w:uiPriority="1"/>
    <w:lsdException w:name="List Number 4" w:uiPriority="1"/>
    <w:lsdException w:name="List Number 5" w:semiHidden="1"/>
    <w:lsdException w:name="Title" w:uiPriority="1" w:qFormat="1"/>
    <w:lsdException w:name="Closing" w:semiHidden="1"/>
    <w:lsdException w:name="Signature" w:uiPriority="2"/>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uiPriority="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atentStyles>
  <w:style w:type="paragraph" w:default="1" w:styleId="Normal">
    <w:name w:val="Normal"/>
    <w:uiPriority w:val="1"/>
    <w:qFormat/>
    <w:pPr>
      <w:spacing w:after="240"/>
      <w:jc w:val="both"/>
    </w:pPr>
  </w:style>
  <w:style w:type="paragraph" w:styleId="Heading1">
    <w:name w:val="heading 1"/>
    <w:basedOn w:val="Normal"/>
    <w:next w:val="Text1"/>
    <w:uiPriority w:val="1"/>
    <w:qFormat/>
    <w:pPr>
      <w:keepNext/>
      <w:numPr>
        <w:numId w:val="18"/>
      </w:numPr>
      <w:spacing w:before="240"/>
      <w:outlineLvl w:val="0"/>
    </w:pPr>
    <w:rPr>
      <w:b/>
      <w:smallCaps/>
    </w:rPr>
  </w:style>
  <w:style w:type="paragraph" w:styleId="Heading2">
    <w:name w:val="heading 2"/>
    <w:basedOn w:val="Normal"/>
    <w:next w:val="Text2"/>
    <w:uiPriority w:val="1"/>
    <w:qFormat/>
    <w:pPr>
      <w:keepNext/>
      <w:numPr>
        <w:ilvl w:val="1"/>
        <w:numId w:val="18"/>
      </w:numPr>
      <w:outlineLvl w:val="1"/>
    </w:pPr>
    <w:rPr>
      <w:b/>
    </w:rPr>
  </w:style>
  <w:style w:type="paragraph" w:styleId="Heading3">
    <w:name w:val="heading 3"/>
    <w:basedOn w:val="Normal"/>
    <w:next w:val="Text3"/>
    <w:uiPriority w:val="1"/>
    <w:qFormat/>
    <w:pPr>
      <w:keepNext/>
      <w:numPr>
        <w:ilvl w:val="2"/>
        <w:numId w:val="18"/>
      </w:numPr>
      <w:outlineLvl w:val="2"/>
    </w:pPr>
    <w:rPr>
      <w:i/>
    </w:rPr>
  </w:style>
  <w:style w:type="paragraph" w:styleId="Heading4">
    <w:name w:val="heading 4"/>
    <w:basedOn w:val="Normal"/>
    <w:next w:val="Text4"/>
    <w:uiPriority w:val="1"/>
    <w:qFormat/>
    <w:pPr>
      <w:keepNext/>
      <w:numPr>
        <w:ilvl w:val="3"/>
        <w:numId w:val="18"/>
      </w:numPr>
      <w:outlineLvl w:val="3"/>
    </w:pPr>
  </w:style>
  <w:style w:type="paragraph" w:styleId="Heading5">
    <w:name w:val="heading 5"/>
    <w:basedOn w:val="Normal"/>
    <w:next w:val="Normal"/>
    <w:semiHidden/>
    <w:pPr>
      <w:keepNext/>
      <w:numPr>
        <w:ilvl w:val="4"/>
        <w:numId w:val="18"/>
      </w:numPr>
      <w:outlineLvl w:val="4"/>
    </w:pPr>
  </w:style>
  <w:style w:type="paragraph" w:styleId="Heading6">
    <w:name w:val="heading 6"/>
    <w:basedOn w:val="Normal"/>
    <w:next w:val="Normal"/>
    <w:semiHidden/>
    <w:pPr>
      <w:keepNext/>
      <w:numPr>
        <w:ilvl w:val="5"/>
        <w:numId w:val="18"/>
      </w:numPr>
      <w:outlineLvl w:val="5"/>
    </w:pPr>
  </w:style>
  <w:style w:type="paragraph" w:styleId="Heading7">
    <w:name w:val="heading 7"/>
    <w:basedOn w:val="Normal"/>
    <w:next w:val="Normal"/>
    <w:semiHidden/>
    <w:pPr>
      <w:keepNext/>
      <w:numPr>
        <w:ilvl w:val="6"/>
        <w:numId w:val="18"/>
      </w:numPr>
      <w:outlineLvl w:val="6"/>
    </w:pPr>
  </w:style>
  <w:style w:type="paragraph" w:styleId="Heading8">
    <w:name w:val="heading 8"/>
    <w:basedOn w:val="Normal"/>
    <w:next w:val="Normal"/>
    <w:semiHidden/>
    <w:pPr>
      <w:keepNext/>
      <w:numPr>
        <w:ilvl w:val="7"/>
        <w:numId w:val="18"/>
      </w:numPr>
      <w:outlineLvl w:val="7"/>
    </w:pPr>
  </w:style>
  <w:style w:type="paragraph" w:styleId="Heading9">
    <w:name w:val="heading 9"/>
    <w:basedOn w:val="Normal"/>
    <w:next w:val="Normal"/>
    <w:semiHidden/>
    <w:pPr>
      <w:keepNext/>
      <w:numPr>
        <w:ilvl w:val="8"/>
        <w:numId w:val="1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decouverture">
    <w:name w:val="Page de couverture"/>
    <w:basedOn w:val="Normal"/>
    <w:next w:val="Normal"/>
    <w:link w:val="PagedecouvertureChar"/>
    <w:rsid w:val="00614A55"/>
    <w:pPr>
      <w:spacing w:after="0"/>
    </w:pPr>
    <w:rPr>
      <w:rFonts w:eastAsia="Calibri"/>
      <w:szCs w:val="22"/>
      <w:lang w:eastAsia="en-GB"/>
    </w:rPr>
  </w:style>
  <w:style w:type="character" w:customStyle="1" w:styleId="FooterChar">
    <w:name w:val="Footer Char"/>
    <w:uiPriority w:val="99"/>
    <w:rsid w:val="00614A55"/>
    <w:rPr>
      <w:sz w:val="16"/>
    </w:rPr>
  </w:style>
  <w:style w:type="paragraph" w:customStyle="1" w:styleId="FooterCoverPage">
    <w:name w:val="Footer Cover Page"/>
    <w:basedOn w:val="Normal"/>
    <w:link w:val="FooterCoverPageChar"/>
    <w:rsid w:val="00614A55"/>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sid w:val="00614A55"/>
  </w:style>
  <w:style w:type="paragraph" w:customStyle="1" w:styleId="HeaderCoverPage">
    <w:name w:val="Header Cover Page"/>
    <w:basedOn w:val="Normal"/>
    <w:link w:val="HeaderCoverPageChar"/>
    <w:rsid w:val="00614A55"/>
    <w:pPr>
      <w:tabs>
        <w:tab w:val="center" w:pos="4535"/>
        <w:tab w:val="right" w:pos="9071"/>
      </w:tabs>
      <w:spacing w:after="120"/>
    </w:pPr>
  </w:style>
  <w:style w:type="character" w:customStyle="1" w:styleId="HeaderCoverPageChar">
    <w:name w:val="Header Cover Page Char"/>
    <w:link w:val="HeaderCoverPage"/>
    <w:rsid w:val="00614A55"/>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Ha"/>
    <w:basedOn w:val="Normal"/>
    <w:link w:val="ListParagraphChar"/>
    <w:uiPriority w:val="34"/>
    <w:qFormat/>
    <w:locked/>
    <w:rsid w:val="00614A55"/>
    <w:pPr>
      <w:spacing w:after="160" w:line="259" w:lineRule="auto"/>
      <w:ind w:left="720"/>
      <w:contextualSpacing/>
      <w:jc w:val="left"/>
    </w:pPr>
    <w:rPr>
      <w:rFonts w:ascii="Calibri" w:eastAsia="Calibri" w:hAnsi="Calibri"/>
      <w:sz w:val="22"/>
      <w:szCs w:val="22"/>
    </w:rPr>
  </w:style>
  <w:style w:type="character" w:styleId="CommentReference">
    <w:name w:val="annotation reference"/>
    <w:uiPriority w:val="99"/>
    <w:locked/>
    <w:rsid w:val="00614A55"/>
    <w:rPr>
      <w:sz w:val="16"/>
      <w:szCs w:val="16"/>
    </w:rPr>
  </w:style>
  <w:style w:type="paragraph" w:styleId="CommentText">
    <w:name w:val="annotation text"/>
    <w:basedOn w:val="Normal"/>
    <w:link w:val="CommentTextChar"/>
    <w:locked/>
    <w:rsid w:val="00614A55"/>
    <w:pPr>
      <w:spacing w:after="160"/>
      <w:jc w:val="left"/>
    </w:pPr>
    <w:rPr>
      <w:rFonts w:ascii="Calibri" w:eastAsia="Calibri" w:hAnsi="Calibri"/>
      <w:sz w:val="20"/>
    </w:rPr>
  </w:style>
  <w:style w:type="character" w:customStyle="1" w:styleId="CommentTextChar">
    <w:name w:val="Comment Text Char"/>
    <w:basedOn w:val="DefaultParagraphFont"/>
    <w:link w:val="CommentText"/>
    <w:rsid w:val="00614A55"/>
    <w:rPr>
      <w:rFonts w:ascii="Calibri" w:eastAsia="Calibri" w:hAnsi="Calibri"/>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qFormat/>
    <w:rsid w:val="00614A55"/>
    <w:rPr>
      <w:sz w:val="20"/>
    </w:rPr>
  </w:style>
  <w:style w:type="character" w:styleId="FootnoteReference">
    <w:name w:val="footnote reference"/>
    <w:aliases w:val="number,stylish,EN Footnote Reference,SUPERS,BVI fnr,RSC_WP (footnote reference),Footnote reference number,Footnote symbol,note TESI,-E Fußnotenzeichen,Footnote,Times 10 Point,Exposant 3 Point,Footnote number,Footnote Reference Number"/>
    <w:link w:val="SUPERSCharCharCharCharCharCharCharChar"/>
    <w:uiPriority w:val="99"/>
    <w:qFormat/>
    <w:locked/>
    <w:rsid w:val="00614A55"/>
    <w:rPr>
      <w:vertAlign w:val="superscript"/>
    </w:rPr>
  </w:style>
  <w:style w:type="character" w:styleId="Hyperlink">
    <w:name w:val="Hyperlink"/>
    <w:locked/>
    <w:rsid w:val="00614A55"/>
    <w:rPr>
      <w:color w:val="0000FF"/>
      <w:u w:val="single"/>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Ha Char"/>
    <w:basedOn w:val="DefaultParagraphFont"/>
    <w:link w:val="ListParagraph"/>
    <w:rsid w:val="00614A55"/>
    <w:rPr>
      <w:rFonts w:ascii="Calibri" w:eastAsia="Calibri" w:hAnsi="Calibri"/>
      <w:sz w:val="22"/>
      <w:szCs w:val="22"/>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614A55"/>
    <w:pPr>
      <w:spacing w:after="160" w:line="240" w:lineRule="exact"/>
      <w:jc w:val="left"/>
    </w:pPr>
    <w:rPr>
      <w:vertAlign w:val="superscript"/>
    </w:rPr>
  </w:style>
  <w:style w:type="character" w:customStyle="1" w:styleId="BodyPlaceholderText">
    <w:name w:val="BodyPlaceholderText"/>
    <w:basedOn w:val="PlaceholderText"/>
    <w:semiHidden/>
    <w:rPr>
      <w:color w:val="3366CC"/>
    </w:rPr>
  </w:style>
  <w:style w:type="character" w:customStyle="1" w:styleId="CrossReference">
    <w:name w:val="Cross Reference"/>
    <w:basedOn w:val="DefaultParagraphFont"/>
    <w:uiPriority w:val="2"/>
    <w:rPr>
      <w:i/>
    </w:rPr>
  </w:style>
  <w:style w:type="character" w:customStyle="1" w:styleId="InstructionBlue">
    <w:name w:val="InstructionBlue"/>
    <w:uiPriority w:val="1"/>
    <w:rPr>
      <w:i/>
      <w:color w:val="3366CC"/>
    </w:rPr>
  </w:style>
  <w:style w:type="character" w:customStyle="1" w:styleId="InstructionPlaceholder">
    <w:name w:val="InstructionPlaceholder"/>
    <w:uiPriority w:val="1"/>
    <w:rPr>
      <w:color w:val="CB3535"/>
    </w:rPr>
  </w:style>
  <w:style w:type="character" w:customStyle="1" w:styleId="InstructionRed">
    <w:name w:val="InstructionRed"/>
    <w:uiPriority w:val="1"/>
    <w:rPr>
      <w:i/>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styleId="PlaceholderText">
    <w:name w:val="Placeholder Text"/>
    <w:basedOn w:val="DefaultParagraphFont"/>
    <w:semiHidden/>
    <w:rPr>
      <w:color w:val="288061"/>
    </w:rPr>
  </w:style>
  <w:style w:type="paragraph" w:customStyle="1" w:styleId="AfterTable">
    <w:name w:val="After Table"/>
    <w:semiHidden/>
    <w:rPr>
      <w:sz w:val="4"/>
    </w:rPr>
  </w:style>
  <w:style w:type="paragraph" w:customStyle="1" w:styleId="AnnexTitle">
    <w:name w:val="AnnexTitle"/>
    <w:basedOn w:val="Normal"/>
    <w:next w:val="Normal"/>
    <w:uiPriority w:val="1"/>
    <w:qFormat/>
    <w:pPr>
      <w:pageBreakBefore/>
      <w:numPr>
        <w:numId w:val="21"/>
      </w:numPr>
      <w:spacing w:after="480"/>
      <w:outlineLvl w:val="0"/>
    </w:pPr>
    <w:rPr>
      <w:b/>
      <w:sz w:val="32"/>
    </w:rPr>
  </w:style>
  <w:style w:type="paragraph" w:styleId="Caption">
    <w:name w:val="caption"/>
    <w:basedOn w:val="Normal"/>
    <w:next w:val="Normal"/>
    <w:semiHidden/>
    <w:pPr>
      <w:spacing w:before="160"/>
    </w:pPr>
    <w:rPr>
      <w:i/>
      <w:sz w:val="22"/>
    </w:rPr>
  </w:style>
  <w:style w:type="paragraph" w:customStyle="1" w:styleId="ChapterTitle">
    <w:name w:val="ChapterTitle"/>
    <w:basedOn w:val="Normal"/>
    <w:next w:val="SectionTitle"/>
    <w:uiPriority w:val="1"/>
    <w:qFormat/>
    <w:pPr>
      <w:keepNext/>
      <w:spacing w:after="480"/>
      <w:jc w:val="center"/>
      <w:outlineLvl w:val="0"/>
    </w:pPr>
    <w:rPr>
      <w:b/>
      <w:sz w:val="32"/>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Contact">
    <w:name w:val="Contact"/>
    <w:basedOn w:val="Normal"/>
    <w:uiPriority w:val="1"/>
    <w:pPr>
      <w:spacing w:before="480" w:after="0"/>
      <w:ind w:left="567" w:hanging="567"/>
      <w:contextualSpacing/>
      <w:jc w:val="left"/>
    </w:pPr>
  </w:style>
  <w:style w:type="paragraph" w:customStyle="1" w:styleId="ContNum">
    <w:name w:val="ContNum"/>
    <w:basedOn w:val="Normal"/>
    <w:uiPriority w:val="1"/>
    <w:qFormat/>
    <w:pPr>
      <w:numPr>
        <w:numId w:val="20"/>
      </w:numPr>
    </w:pPr>
  </w:style>
  <w:style w:type="paragraph" w:customStyle="1" w:styleId="ContNumLevel2">
    <w:name w:val="ContNum (Level 2)"/>
    <w:basedOn w:val="Normal"/>
    <w:uiPriority w:val="1"/>
    <w:pPr>
      <w:numPr>
        <w:ilvl w:val="1"/>
        <w:numId w:val="20"/>
      </w:numPr>
    </w:pPr>
  </w:style>
  <w:style w:type="paragraph" w:customStyle="1" w:styleId="ContNumLevel3">
    <w:name w:val="ContNum (Level 3)"/>
    <w:basedOn w:val="Normal"/>
    <w:uiPriority w:val="1"/>
    <w:pPr>
      <w:numPr>
        <w:ilvl w:val="2"/>
        <w:numId w:val="20"/>
      </w:numPr>
    </w:pPr>
  </w:style>
  <w:style w:type="paragraph" w:styleId="Date">
    <w:name w:val="Date"/>
    <w:basedOn w:val="Normal"/>
    <w:next w:val="References"/>
    <w:uiPriority w:val="1"/>
    <w:pPr>
      <w:spacing w:after="0"/>
      <w:ind w:left="5102" w:right="-567"/>
      <w:jc w:val="left"/>
    </w:pPr>
  </w:style>
  <w:style w:type="paragraph" w:customStyle="1" w:styleId="Designator">
    <w:name w:val="Designator"/>
    <w:basedOn w:val="Normal"/>
    <w:semiHidden/>
    <w:pPr>
      <w:spacing w:after="0"/>
      <w:jc w:val="center"/>
    </w:pPr>
    <w:rPr>
      <w:b/>
      <w:caps/>
      <w:sz w:val="32"/>
    </w:rPr>
  </w:style>
  <w:style w:type="paragraph" w:customStyle="1" w:styleId="DoubSign">
    <w:name w:val="DoubSign"/>
    <w:basedOn w:val="Normal"/>
    <w:uiPriority w:val="2"/>
    <w:pPr>
      <w:spacing w:before="1200" w:after="0"/>
      <w:jc w:val="left"/>
    </w:pPr>
  </w:style>
  <w:style w:type="paragraph" w:customStyle="1" w:styleId="EmptyParagraph">
    <w:name w:val="Empty Paragraph"/>
    <w:basedOn w:val="Normal"/>
    <w:next w:val="Normal"/>
    <w:semiHidden/>
    <w:pPr>
      <w:spacing w:before="240"/>
    </w:pPr>
  </w:style>
  <w:style w:type="paragraph" w:styleId="EndnoteText">
    <w:name w:val="endnote text"/>
    <w:basedOn w:val="Normal"/>
    <w:semiHidden/>
    <w:unhideWhenUsed/>
    <w:pPr>
      <w:spacing w:after="120"/>
      <w:ind w:left="357" w:hanging="357"/>
    </w:pPr>
    <w:rPr>
      <w:sz w:val="20"/>
    </w:rPr>
  </w:style>
  <w:style w:type="paragraph" w:customStyle="1" w:styleId="FigureBody">
    <w:name w:val="Figure Body"/>
    <w:basedOn w:val="Normal"/>
    <w:next w:val="FigureSource"/>
    <w:uiPriority w:val="2"/>
    <w:pPr>
      <w:keepNext/>
      <w:spacing w:after="40"/>
    </w:pPr>
  </w:style>
  <w:style w:type="paragraph" w:customStyle="1" w:styleId="FigureBody1">
    <w:name w:val="Figure Body 1"/>
    <w:basedOn w:val="Text1"/>
    <w:next w:val="FigureSource1"/>
    <w:uiPriority w:val="2"/>
    <w:pPr>
      <w:keepNext/>
      <w:spacing w:after="40"/>
    </w:pPr>
  </w:style>
  <w:style w:type="paragraph" w:customStyle="1" w:styleId="FigureBody2">
    <w:name w:val="Figure Body 2"/>
    <w:basedOn w:val="Text2"/>
    <w:next w:val="FigureSource2"/>
    <w:uiPriority w:val="2"/>
    <w:pPr>
      <w:keepNext/>
      <w:spacing w:after="40"/>
    </w:pPr>
  </w:style>
  <w:style w:type="paragraph" w:customStyle="1" w:styleId="FigureBody3">
    <w:name w:val="Figure Body 3"/>
    <w:basedOn w:val="Text3"/>
    <w:next w:val="FigureSource3"/>
    <w:uiPriority w:val="2"/>
    <w:pPr>
      <w:keepNext/>
      <w:spacing w:after="40"/>
    </w:pPr>
  </w:style>
  <w:style w:type="paragraph" w:customStyle="1" w:styleId="FigureBody4">
    <w:name w:val="Figure Body 4"/>
    <w:basedOn w:val="Text4"/>
    <w:next w:val="FigureSource4"/>
    <w:uiPriority w:val="2"/>
    <w:pPr>
      <w:keepNext/>
      <w:spacing w:after="40"/>
    </w:pPr>
  </w:style>
  <w:style w:type="paragraph" w:customStyle="1" w:styleId="FigureSource">
    <w:name w:val="Figure Source"/>
    <w:basedOn w:val="Normal"/>
    <w:next w:val="Normal"/>
    <w:uiPriority w:val="2"/>
    <w:rPr>
      <w:sz w:val="20"/>
    </w:rPr>
  </w:style>
  <w:style w:type="paragraph" w:customStyle="1" w:styleId="FigureSource1">
    <w:name w:val="Figure Source 1"/>
    <w:basedOn w:val="Text1"/>
    <w:next w:val="Text1"/>
    <w:uiPriority w:val="2"/>
    <w:rPr>
      <w:sz w:val="20"/>
    </w:rPr>
  </w:style>
  <w:style w:type="paragraph" w:customStyle="1" w:styleId="FigureSource2">
    <w:name w:val="Figure Source 2"/>
    <w:basedOn w:val="Text2"/>
    <w:next w:val="Text2"/>
    <w:uiPriority w:val="2"/>
    <w:rPr>
      <w:sz w:val="20"/>
    </w:rPr>
  </w:style>
  <w:style w:type="paragraph" w:customStyle="1" w:styleId="FigureSource3">
    <w:name w:val="Figure Source 3"/>
    <w:basedOn w:val="Text3"/>
    <w:next w:val="Text3"/>
    <w:uiPriority w:val="2"/>
    <w:rPr>
      <w:sz w:val="20"/>
    </w:rPr>
  </w:style>
  <w:style w:type="paragraph" w:customStyle="1" w:styleId="FigureSource4">
    <w:name w:val="Figure Source 4"/>
    <w:basedOn w:val="Text4"/>
    <w:next w:val="Text4"/>
    <w:uiPriority w:val="2"/>
    <w:rPr>
      <w:sz w:val="20"/>
    </w:rPr>
  </w:style>
  <w:style w:type="paragraph" w:customStyle="1" w:styleId="FigureTitle">
    <w:name w:val="Figure Title"/>
    <w:basedOn w:val="Normal"/>
    <w:next w:val="FigureBody"/>
    <w:uiPriority w:val="2"/>
    <w:pPr>
      <w:keepNext/>
      <w:spacing w:after="120"/>
    </w:pPr>
    <w:rPr>
      <w:b/>
      <w:i/>
    </w:rPr>
  </w:style>
  <w:style w:type="paragraph" w:customStyle="1" w:styleId="FigureTitle1">
    <w:name w:val="Figure Title 1"/>
    <w:basedOn w:val="Text1"/>
    <w:next w:val="FigureBody1"/>
    <w:uiPriority w:val="2"/>
    <w:pPr>
      <w:keepNext/>
      <w:spacing w:after="120"/>
    </w:pPr>
    <w:rPr>
      <w:b/>
      <w:i/>
    </w:rPr>
  </w:style>
  <w:style w:type="paragraph" w:customStyle="1" w:styleId="FigureTitle2">
    <w:name w:val="Figure Title 2"/>
    <w:basedOn w:val="Text2"/>
    <w:next w:val="FigureBody2"/>
    <w:uiPriority w:val="2"/>
    <w:pPr>
      <w:keepNext/>
      <w:spacing w:after="120"/>
    </w:pPr>
    <w:rPr>
      <w:b/>
      <w:i/>
    </w:rPr>
  </w:style>
  <w:style w:type="paragraph" w:customStyle="1" w:styleId="FigureTitle3">
    <w:name w:val="Figure Title 3"/>
    <w:basedOn w:val="Text3"/>
    <w:next w:val="FigureBody3"/>
    <w:uiPriority w:val="2"/>
    <w:pPr>
      <w:keepNext/>
      <w:spacing w:after="120"/>
    </w:pPr>
    <w:rPr>
      <w:b/>
      <w:i/>
    </w:rPr>
  </w:style>
  <w:style w:type="paragraph" w:customStyle="1" w:styleId="FigureTitle4">
    <w:name w:val="Figure Title 4"/>
    <w:basedOn w:val="Text4"/>
    <w:next w:val="FigureBody4"/>
    <w:uiPriority w:val="2"/>
    <w:pPr>
      <w:keepNext/>
      <w:spacing w:after="120"/>
    </w:pPr>
    <w:rPr>
      <w:b/>
      <w:i/>
    </w:rPr>
  </w:style>
  <w:style w:type="paragraph" w:styleId="Footer">
    <w:name w:val="footer"/>
    <w:basedOn w:val="Normal"/>
    <w:uiPriority w:val="99"/>
    <w:pPr>
      <w:spacing w:after="0"/>
      <w:ind w:right="-567"/>
      <w:jc w:val="left"/>
    </w:pPr>
    <w:rPr>
      <w:sz w:val="16"/>
    </w:rPr>
  </w:style>
  <w:style w:type="paragraph" w:customStyle="1" w:styleId="FooterLine">
    <w:name w:val="Footer Line"/>
    <w:basedOn w:val="Footer"/>
    <w:next w:val="Footer"/>
    <w:uiPriority w:val="2"/>
    <w:pPr>
      <w:tabs>
        <w:tab w:val="right" w:pos="8646"/>
      </w:tabs>
      <w:spacing w:before="120" w:line="264" w:lineRule="auto"/>
      <w:ind w:right="0"/>
      <w:jc w:val="both"/>
    </w:pPr>
  </w:style>
  <w:style w:type="paragraph" w:styleId="FootnoteText">
    <w:name w:val="footnote text"/>
    <w:aliases w:val="-E Fußnotentext,Fußnotentext Ursprung,-E Fußnotentext1,-E Fußnotentext2,-E Fußnotentext3,Schriftart: 9 pt,Schriftart: 10 pt,Schriftart: 8 pt,WB-Fußnotentext,fn,Footnotes,Footnote ak,Fußnote,Carattere,fn Char Char,f,~FootnoteText,Char,ft"/>
    <w:basedOn w:val="Normal"/>
    <w:unhideWhenUsed/>
    <w:qFormat/>
    <w:pPr>
      <w:spacing w:after="120"/>
      <w:ind w:left="357" w:hanging="357"/>
    </w:pPr>
    <w:rPr>
      <w:sz w:val="20"/>
    </w:rPr>
  </w:style>
  <w:style w:type="paragraph" w:customStyle="1" w:styleId="HistoryTable">
    <w:name w:val="HistoryTable"/>
    <w:basedOn w:val="Normal"/>
    <w:uiPriority w:val="2"/>
    <w:pPr>
      <w:spacing w:before="60" w:after="60"/>
      <w:jc w:val="left"/>
    </w:pPr>
    <w:rPr>
      <w:sz w:val="20"/>
    </w:rPr>
  </w:style>
  <w:style w:type="paragraph" w:customStyle="1" w:styleId="HistTableHeading">
    <w:name w:val="HistTableHeading"/>
    <w:basedOn w:val="Normal"/>
    <w:next w:val="HistoryTable"/>
    <w:uiPriority w:val="2"/>
    <w:pPr>
      <w:spacing w:before="240"/>
      <w:jc w:val="center"/>
    </w:pPr>
    <w:rPr>
      <w:rFonts w:ascii="Times New Roman Bold" w:hAnsi="Times New Roman Bold"/>
      <w:b/>
      <w:caps/>
    </w:rPr>
  </w:style>
  <w:style w:type="paragraph" w:customStyle="1" w:styleId="LegalNumPar">
    <w:name w:val="LegalNumPar"/>
    <w:basedOn w:val="Normal"/>
    <w:uiPriority w:val="1"/>
    <w:qFormat/>
    <w:pPr>
      <w:numPr>
        <w:numId w:val="19"/>
      </w:numPr>
      <w:spacing w:line="360" w:lineRule="auto"/>
    </w:pPr>
  </w:style>
  <w:style w:type="paragraph" w:customStyle="1" w:styleId="LegalNumPar2">
    <w:name w:val="LegalNumPar2"/>
    <w:basedOn w:val="Normal"/>
    <w:uiPriority w:val="1"/>
    <w:pPr>
      <w:numPr>
        <w:ilvl w:val="1"/>
        <w:numId w:val="19"/>
      </w:numPr>
      <w:spacing w:line="360" w:lineRule="auto"/>
    </w:pPr>
  </w:style>
  <w:style w:type="paragraph" w:customStyle="1" w:styleId="LegalNumPar3">
    <w:name w:val="LegalNumPar3"/>
    <w:basedOn w:val="Normal"/>
    <w:uiPriority w:val="1"/>
    <w:pPr>
      <w:numPr>
        <w:ilvl w:val="2"/>
        <w:numId w:val="19"/>
      </w:numPr>
      <w:spacing w:line="360" w:lineRule="auto"/>
    </w:pPr>
  </w:style>
  <w:style w:type="paragraph" w:styleId="ListBullet">
    <w:name w:val="List Bullet"/>
    <w:basedOn w:val="Normal"/>
    <w:uiPriority w:val="1"/>
    <w:pPr>
      <w:numPr>
        <w:numId w:val="17"/>
      </w:numPr>
    </w:pPr>
  </w:style>
  <w:style w:type="paragraph" w:customStyle="1" w:styleId="ListBulletLevel2">
    <w:name w:val="List Bullet (Level 2)"/>
    <w:basedOn w:val="Normal"/>
    <w:uiPriority w:val="1"/>
    <w:pPr>
      <w:numPr>
        <w:ilvl w:val="1"/>
        <w:numId w:val="17"/>
      </w:numPr>
    </w:pPr>
  </w:style>
  <w:style w:type="paragraph" w:customStyle="1" w:styleId="ListBulletLevel3">
    <w:name w:val="List Bullet (Level 3)"/>
    <w:basedOn w:val="Normal"/>
    <w:uiPriority w:val="1"/>
    <w:semiHidden/>
    <w:unhideWhenUsed/>
    <w:pPr>
      <w:numPr>
        <w:ilvl w:val="2"/>
        <w:numId w:val="17"/>
      </w:numPr>
    </w:pPr>
  </w:style>
  <w:style w:type="paragraph" w:customStyle="1" w:styleId="ListBulletLevel4">
    <w:name w:val="List Bullet (Level 4)"/>
    <w:basedOn w:val="Normal"/>
    <w:uiPriority w:val="1"/>
    <w:semiHidden/>
    <w:unhideWhenUsed/>
    <w:pPr>
      <w:numPr>
        <w:ilvl w:val="3"/>
        <w:numId w:val="17"/>
      </w:numPr>
    </w:pPr>
  </w:style>
  <w:style w:type="paragraph" w:customStyle="1" w:styleId="ListBullet1">
    <w:name w:val="List Bullet 1"/>
    <w:basedOn w:val="Text1"/>
    <w:uiPriority w:val="1"/>
    <w:pPr>
      <w:numPr>
        <w:numId w:val="16"/>
      </w:numPr>
    </w:pPr>
  </w:style>
  <w:style w:type="paragraph" w:customStyle="1" w:styleId="ListBullet1Level2">
    <w:name w:val="List Bullet 1 (Level 2)"/>
    <w:basedOn w:val="Text1"/>
    <w:uiPriority w:val="1"/>
    <w:pPr>
      <w:numPr>
        <w:ilvl w:val="1"/>
        <w:numId w:val="16"/>
      </w:numPr>
    </w:pPr>
  </w:style>
  <w:style w:type="paragraph" w:customStyle="1" w:styleId="ListBullet1Level3">
    <w:name w:val="List Bullet 1 (Level 3)"/>
    <w:basedOn w:val="Text1"/>
    <w:uiPriority w:val="1"/>
    <w:semiHidden/>
    <w:unhideWhenUsed/>
    <w:pPr>
      <w:numPr>
        <w:ilvl w:val="2"/>
        <w:numId w:val="16"/>
      </w:numPr>
    </w:pPr>
  </w:style>
  <w:style w:type="paragraph" w:customStyle="1" w:styleId="ListBullet1Level4">
    <w:name w:val="List Bullet 1 (Level 4)"/>
    <w:basedOn w:val="Text1"/>
    <w:uiPriority w:val="1"/>
    <w:semiHidden/>
    <w:unhideWhenUsed/>
    <w:pPr>
      <w:numPr>
        <w:ilvl w:val="3"/>
        <w:numId w:val="16"/>
      </w:numPr>
    </w:pPr>
  </w:style>
  <w:style w:type="paragraph" w:styleId="ListBullet2">
    <w:name w:val="List Bullet 2"/>
    <w:basedOn w:val="Text2"/>
    <w:uiPriority w:val="1"/>
    <w:pPr>
      <w:numPr>
        <w:numId w:val="15"/>
      </w:numPr>
    </w:pPr>
  </w:style>
  <w:style w:type="paragraph" w:customStyle="1" w:styleId="ListBullet2Level2">
    <w:name w:val="List Bullet 2 (Level 2)"/>
    <w:basedOn w:val="Text2"/>
    <w:uiPriority w:val="1"/>
    <w:pPr>
      <w:numPr>
        <w:ilvl w:val="1"/>
        <w:numId w:val="15"/>
      </w:numPr>
    </w:pPr>
  </w:style>
  <w:style w:type="paragraph" w:customStyle="1" w:styleId="ListBullet2Level3">
    <w:name w:val="List Bullet 2 (Level 3)"/>
    <w:basedOn w:val="Text2"/>
    <w:uiPriority w:val="1"/>
    <w:semiHidden/>
    <w:unhideWhenUsed/>
    <w:pPr>
      <w:numPr>
        <w:ilvl w:val="2"/>
        <w:numId w:val="15"/>
      </w:numPr>
    </w:pPr>
  </w:style>
  <w:style w:type="paragraph" w:customStyle="1" w:styleId="ListBullet2Level4">
    <w:name w:val="List Bullet 2 (Level 4)"/>
    <w:basedOn w:val="Text2"/>
    <w:uiPriority w:val="1"/>
    <w:semiHidden/>
    <w:unhideWhenUsed/>
    <w:pPr>
      <w:numPr>
        <w:ilvl w:val="3"/>
        <w:numId w:val="15"/>
      </w:numPr>
    </w:pPr>
  </w:style>
  <w:style w:type="paragraph" w:styleId="ListBullet3">
    <w:name w:val="List Bullet 3"/>
    <w:basedOn w:val="Text3"/>
    <w:uiPriority w:val="1"/>
    <w:pPr>
      <w:numPr>
        <w:numId w:val="14"/>
      </w:numPr>
    </w:pPr>
  </w:style>
  <w:style w:type="paragraph" w:customStyle="1" w:styleId="ListBullet3Level2">
    <w:name w:val="List Bullet 3 (Level 2)"/>
    <w:basedOn w:val="Text3"/>
    <w:uiPriority w:val="1"/>
    <w:pPr>
      <w:numPr>
        <w:ilvl w:val="1"/>
        <w:numId w:val="14"/>
      </w:numPr>
    </w:pPr>
  </w:style>
  <w:style w:type="paragraph" w:customStyle="1" w:styleId="ListBullet3Level3">
    <w:name w:val="List Bullet 3 (Level 3)"/>
    <w:basedOn w:val="Text3"/>
    <w:uiPriority w:val="1"/>
    <w:semiHidden/>
    <w:unhideWhenUsed/>
    <w:pPr>
      <w:numPr>
        <w:ilvl w:val="2"/>
        <w:numId w:val="14"/>
      </w:numPr>
    </w:pPr>
  </w:style>
  <w:style w:type="paragraph" w:customStyle="1" w:styleId="ListBullet3Level4">
    <w:name w:val="List Bullet 3 (Level 4)"/>
    <w:basedOn w:val="Text3"/>
    <w:uiPriority w:val="1"/>
    <w:semiHidden/>
    <w:unhideWhenUsed/>
    <w:pPr>
      <w:numPr>
        <w:ilvl w:val="3"/>
        <w:numId w:val="14"/>
      </w:numPr>
    </w:pPr>
  </w:style>
  <w:style w:type="paragraph" w:styleId="ListBullet4">
    <w:name w:val="List Bullet 4"/>
    <w:basedOn w:val="Text4"/>
    <w:uiPriority w:val="1"/>
    <w:pPr>
      <w:numPr>
        <w:numId w:val="13"/>
      </w:numPr>
    </w:pPr>
  </w:style>
  <w:style w:type="paragraph" w:customStyle="1" w:styleId="ListBullet4Level2">
    <w:name w:val="List Bullet 4 (Level 2)"/>
    <w:basedOn w:val="Text4"/>
    <w:uiPriority w:val="1"/>
    <w:pPr>
      <w:numPr>
        <w:ilvl w:val="1"/>
        <w:numId w:val="13"/>
      </w:numPr>
    </w:pPr>
  </w:style>
  <w:style w:type="paragraph" w:customStyle="1" w:styleId="ListBullet4Level3">
    <w:name w:val="List Bullet 4 (Level 3)"/>
    <w:basedOn w:val="Text4"/>
    <w:uiPriority w:val="1"/>
    <w:semiHidden/>
    <w:unhideWhenUsed/>
    <w:pPr>
      <w:numPr>
        <w:ilvl w:val="2"/>
        <w:numId w:val="13"/>
      </w:numPr>
    </w:pPr>
  </w:style>
  <w:style w:type="paragraph" w:customStyle="1" w:styleId="ListBullet4Level4">
    <w:name w:val="List Bullet 4 (Level 4)"/>
    <w:basedOn w:val="Text4"/>
    <w:uiPriority w:val="1"/>
    <w:semiHidden/>
    <w:unhideWhenUsed/>
    <w:pPr>
      <w:numPr>
        <w:ilvl w:val="3"/>
        <w:numId w:val="13"/>
      </w:numPr>
    </w:pPr>
  </w:style>
  <w:style w:type="paragraph" w:customStyle="1" w:styleId="ListDash">
    <w:name w:val="List Dash"/>
    <w:basedOn w:val="Normal"/>
    <w:uiPriority w:val="1"/>
    <w:pPr>
      <w:numPr>
        <w:numId w:val="7"/>
      </w:numPr>
    </w:pPr>
  </w:style>
  <w:style w:type="paragraph" w:customStyle="1" w:styleId="ListDashLevel2">
    <w:name w:val="List Dash (Level 2)"/>
    <w:basedOn w:val="Normal"/>
    <w:uiPriority w:val="1"/>
    <w:pPr>
      <w:numPr>
        <w:ilvl w:val="1"/>
        <w:numId w:val="7"/>
      </w:numPr>
    </w:pPr>
  </w:style>
  <w:style w:type="paragraph" w:customStyle="1" w:styleId="ListDashLevel3">
    <w:name w:val="List Dash (Level 3)"/>
    <w:basedOn w:val="Normal"/>
    <w:uiPriority w:val="1"/>
    <w:semiHidden/>
    <w:unhideWhenUsed/>
    <w:pPr>
      <w:numPr>
        <w:ilvl w:val="2"/>
        <w:numId w:val="7"/>
      </w:numPr>
    </w:pPr>
  </w:style>
  <w:style w:type="paragraph" w:customStyle="1" w:styleId="ListDashLevel4">
    <w:name w:val="List Dash (Level 4)"/>
    <w:basedOn w:val="Normal"/>
    <w:uiPriority w:val="1"/>
    <w:semiHidden/>
    <w:unhideWhenUsed/>
    <w:pPr>
      <w:numPr>
        <w:ilvl w:val="3"/>
        <w:numId w:val="7"/>
      </w:numPr>
    </w:pPr>
  </w:style>
  <w:style w:type="paragraph" w:customStyle="1" w:styleId="ListDash1">
    <w:name w:val="List Dash 1"/>
    <w:basedOn w:val="Text1"/>
    <w:uiPriority w:val="1"/>
    <w:pPr>
      <w:numPr>
        <w:numId w:val="6"/>
      </w:numPr>
    </w:pPr>
  </w:style>
  <w:style w:type="paragraph" w:customStyle="1" w:styleId="ListDash1Level2">
    <w:name w:val="List Dash 1 (Level 2)"/>
    <w:basedOn w:val="Text1"/>
    <w:uiPriority w:val="1"/>
    <w:pPr>
      <w:numPr>
        <w:ilvl w:val="1"/>
        <w:numId w:val="6"/>
      </w:numPr>
    </w:pPr>
  </w:style>
  <w:style w:type="paragraph" w:customStyle="1" w:styleId="ListDash1Level3">
    <w:name w:val="List Dash 1 (Level 3)"/>
    <w:basedOn w:val="Text1"/>
    <w:uiPriority w:val="1"/>
    <w:semiHidden/>
    <w:unhideWhenUsed/>
    <w:pPr>
      <w:numPr>
        <w:ilvl w:val="2"/>
        <w:numId w:val="6"/>
      </w:numPr>
    </w:pPr>
  </w:style>
  <w:style w:type="paragraph" w:customStyle="1" w:styleId="ListDash1Level4">
    <w:name w:val="List Dash 1 (Level 4)"/>
    <w:basedOn w:val="Text1"/>
    <w:uiPriority w:val="1"/>
    <w:semiHidden/>
    <w:unhideWhenUsed/>
    <w:pPr>
      <w:numPr>
        <w:ilvl w:val="3"/>
        <w:numId w:val="6"/>
      </w:numPr>
    </w:pPr>
  </w:style>
  <w:style w:type="paragraph" w:customStyle="1" w:styleId="ListDash2">
    <w:name w:val="List Dash 2"/>
    <w:basedOn w:val="Text2"/>
    <w:uiPriority w:val="1"/>
    <w:pPr>
      <w:numPr>
        <w:numId w:val="5"/>
      </w:numPr>
    </w:pPr>
  </w:style>
  <w:style w:type="paragraph" w:customStyle="1" w:styleId="ListDash2Level2">
    <w:name w:val="List Dash 2 (Level 2)"/>
    <w:basedOn w:val="Text2"/>
    <w:uiPriority w:val="1"/>
    <w:pPr>
      <w:numPr>
        <w:ilvl w:val="1"/>
        <w:numId w:val="5"/>
      </w:numPr>
    </w:pPr>
  </w:style>
  <w:style w:type="paragraph" w:customStyle="1" w:styleId="ListDash2Level3">
    <w:name w:val="List Dash 2 (Level 3)"/>
    <w:basedOn w:val="Text2"/>
    <w:uiPriority w:val="1"/>
    <w:semiHidden/>
    <w:unhideWhenUsed/>
    <w:pPr>
      <w:numPr>
        <w:ilvl w:val="2"/>
        <w:numId w:val="5"/>
      </w:numPr>
    </w:pPr>
  </w:style>
  <w:style w:type="paragraph" w:customStyle="1" w:styleId="ListDash2Level4">
    <w:name w:val="List Dash 2 (Level 4)"/>
    <w:basedOn w:val="Text2"/>
    <w:uiPriority w:val="1"/>
    <w:semiHidden/>
    <w:unhideWhenUsed/>
    <w:pPr>
      <w:numPr>
        <w:ilvl w:val="3"/>
        <w:numId w:val="5"/>
      </w:numPr>
    </w:pPr>
  </w:style>
  <w:style w:type="paragraph" w:customStyle="1" w:styleId="ListDash3">
    <w:name w:val="List Dash 3"/>
    <w:basedOn w:val="Text3"/>
    <w:uiPriority w:val="1"/>
    <w:pPr>
      <w:numPr>
        <w:numId w:val="4"/>
      </w:numPr>
    </w:pPr>
  </w:style>
  <w:style w:type="paragraph" w:customStyle="1" w:styleId="ListDash3Level2">
    <w:name w:val="List Dash 3 (Level 2)"/>
    <w:basedOn w:val="Text3"/>
    <w:uiPriority w:val="1"/>
    <w:pPr>
      <w:numPr>
        <w:ilvl w:val="1"/>
        <w:numId w:val="4"/>
      </w:numPr>
    </w:pPr>
  </w:style>
  <w:style w:type="paragraph" w:customStyle="1" w:styleId="ListDash3Level3">
    <w:name w:val="List Dash 3 (Level 3)"/>
    <w:basedOn w:val="Text3"/>
    <w:uiPriority w:val="1"/>
    <w:semiHidden/>
    <w:unhideWhenUsed/>
    <w:pPr>
      <w:numPr>
        <w:ilvl w:val="2"/>
        <w:numId w:val="4"/>
      </w:numPr>
    </w:pPr>
  </w:style>
  <w:style w:type="paragraph" w:customStyle="1" w:styleId="ListDash3Level4">
    <w:name w:val="List Dash 3 (Level 4)"/>
    <w:basedOn w:val="Text3"/>
    <w:uiPriority w:val="1"/>
    <w:semiHidden/>
    <w:unhideWhenUsed/>
    <w:pPr>
      <w:numPr>
        <w:ilvl w:val="3"/>
        <w:numId w:val="4"/>
      </w:numPr>
    </w:pPr>
  </w:style>
  <w:style w:type="paragraph" w:customStyle="1" w:styleId="ListDash4">
    <w:name w:val="List Dash 4"/>
    <w:basedOn w:val="Text4"/>
    <w:uiPriority w:val="1"/>
    <w:pPr>
      <w:numPr>
        <w:numId w:val="3"/>
      </w:numPr>
    </w:pPr>
  </w:style>
  <w:style w:type="paragraph" w:customStyle="1" w:styleId="ListDash4Level2">
    <w:name w:val="List Dash 4 (Level 2)"/>
    <w:basedOn w:val="Text4"/>
    <w:uiPriority w:val="1"/>
    <w:pPr>
      <w:numPr>
        <w:ilvl w:val="1"/>
        <w:numId w:val="3"/>
      </w:numPr>
    </w:pPr>
  </w:style>
  <w:style w:type="paragraph" w:customStyle="1" w:styleId="ListDash4Level3">
    <w:name w:val="List Dash 4 (Level 3)"/>
    <w:basedOn w:val="Text4"/>
    <w:uiPriority w:val="1"/>
    <w:semiHidden/>
    <w:unhideWhenUsed/>
    <w:pPr>
      <w:numPr>
        <w:ilvl w:val="2"/>
        <w:numId w:val="3"/>
      </w:numPr>
    </w:pPr>
  </w:style>
  <w:style w:type="paragraph" w:customStyle="1" w:styleId="ListDash4Level4">
    <w:name w:val="List Dash 4 (Level 4)"/>
    <w:basedOn w:val="Text4"/>
    <w:uiPriority w:val="1"/>
    <w:semiHidden/>
    <w:unhideWhenUsed/>
    <w:pPr>
      <w:numPr>
        <w:ilvl w:val="3"/>
        <w:numId w:val="3"/>
      </w:numPr>
    </w:pPr>
  </w:style>
  <w:style w:type="paragraph" w:styleId="ListNumber">
    <w:name w:val="List Number"/>
    <w:basedOn w:val="Normal"/>
    <w:uiPriority w:val="1"/>
    <w:pPr>
      <w:numPr>
        <w:numId w:val="12"/>
      </w:numPr>
    </w:pPr>
  </w:style>
  <w:style w:type="paragraph" w:customStyle="1" w:styleId="ListNumberLevel2">
    <w:name w:val="List Number (Level 2)"/>
    <w:basedOn w:val="Normal"/>
    <w:uiPriority w:val="1"/>
    <w:pPr>
      <w:numPr>
        <w:ilvl w:val="1"/>
        <w:numId w:val="12"/>
      </w:numPr>
    </w:pPr>
  </w:style>
  <w:style w:type="paragraph" w:customStyle="1" w:styleId="ListNumberLevel3">
    <w:name w:val="List Number (Level 3)"/>
    <w:basedOn w:val="Normal"/>
    <w:uiPriority w:val="1"/>
    <w:semiHidden/>
    <w:unhideWhenUsed/>
    <w:pPr>
      <w:numPr>
        <w:ilvl w:val="2"/>
        <w:numId w:val="12"/>
      </w:numPr>
    </w:pPr>
  </w:style>
  <w:style w:type="paragraph" w:customStyle="1" w:styleId="ListNumberLevel4">
    <w:name w:val="List Number (Level 4)"/>
    <w:basedOn w:val="Normal"/>
    <w:uiPriority w:val="1"/>
    <w:semiHidden/>
    <w:unhideWhenUsed/>
    <w:pPr>
      <w:numPr>
        <w:ilvl w:val="3"/>
        <w:numId w:val="12"/>
      </w:numPr>
    </w:pPr>
  </w:style>
  <w:style w:type="paragraph" w:customStyle="1" w:styleId="ListNumber1">
    <w:name w:val="List Number 1"/>
    <w:basedOn w:val="Text1"/>
    <w:uiPriority w:val="1"/>
    <w:pPr>
      <w:numPr>
        <w:numId w:val="11"/>
      </w:numPr>
    </w:pPr>
  </w:style>
  <w:style w:type="paragraph" w:customStyle="1" w:styleId="ListNumber1Level2">
    <w:name w:val="List Number 1 (Level 2)"/>
    <w:basedOn w:val="Text1"/>
    <w:uiPriority w:val="1"/>
    <w:pPr>
      <w:numPr>
        <w:ilvl w:val="1"/>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4">
    <w:name w:val="List Number 1 (Level 4)"/>
    <w:basedOn w:val="Text1"/>
    <w:uiPriority w:val="1"/>
    <w:semiHidden/>
    <w:unhideWhenUsed/>
    <w:pPr>
      <w:numPr>
        <w:ilvl w:val="3"/>
        <w:numId w:val="11"/>
      </w:numPr>
    </w:pPr>
  </w:style>
  <w:style w:type="paragraph" w:styleId="ListNumber2">
    <w:name w:val="List Number 2"/>
    <w:basedOn w:val="Text2"/>
    <w:uiPriority w:val="1"/>
    <w:pPr>
      <w:numPr>
        <w:numId w:val="10"/>
      </w:numPr>
    </w:pPr>
  </w:style>
  <w:style w:type="paragraph" w:customStyle="1" w:styleId="ListNumber2Level2">
    <w:name w:val="List Number 2 (Level 2)"/>
    <w:basedOn w:val="Text2"/>
    <w:uiPriority w:val="1"/>
    <w:pPr>
      <w:numPr>
        <w:ilvl w:val="1"/>
        <w:numId w:val="10"/>
      </w:numPr>
    </w:pPr>
  </w:style>
  <w:style w:type="paragraph" w:customStyle="1" w:styleId="ListNumber2Level3">
    <w:name w:val="List Number 2 (Level 3)"/>
    <w:basedOn w:val="Text2"/>
    <w:uiPriority w:val="1"/>
    <w:semiHidden/>
    <w:unhideWhenUsed/>
    <w:pPr>
      <w:numPr>
        <w:ilvl w:val="2"/>
        <w:numId w:val="10"/>
      </w:numPr>
    </w:pPr>
  </w:style>
  <w:style w:type="paragraph" w:customStyle="1" w:styleId="ListNumber2Level4">
    <w:name w:val="List Number 2 (Level 4)"/>
    <w:basedOn w:val="Text2"/>
    <w:uiPriority w:val="1"/>
    <w:semiHidden/>
    <w:unhideWhenUsed/>
    <w:pPr>
      <w:numPr>
        <w:ilvl w:val="3"/>
        <w:numId w:val="10"/>
      </w:numPr>
    </w:pPr>
  </w:style>
  <w:style w:type="paragraph" w:styleId="ListNumber3">
    <w:name w:val="List Number 3"/>
    <w:basedOn w:val="Text3"/>
    <w:uiPriority w:val="1"/>
    <w:pPr>
      <w:numPr>
        <w:numId w:val="9"/>
      </w:numPr>
    </w:pPr>
  </w:style>
  <w:style w:type="paragraph" w:customStyle="1" w:styleId="ListNumber3Level2">
    <w:name w:val="List Number 3 (Level 2)"/>
    <w:basedOn w:val="Text3"/>
    <w:uiPriority w:val="1"/>
    <w:pPr>
      <w:numPr>
        <w:ilvl w:val="1"/>
        <w:numId w:val="9"/>
      </w:numPr>
    </w:pPr>
  </w:style>
  <w:style w:type="paragraph" w:customStyle="1" w:styleId="ListNumber3Level3">
    <w:name w:val="List Number 3 (Level 3)"/>
    <w:basedOn w:val="Text3"/>
    <w:uiPriority w:val="1"/>
    <w:semiHidden/>
    <w:unhideWhenUsed/>
    <w:pPr>
      <w:numPr>
        <w:ilvl w:val="2"/>
        <w:numId w:val="9"/>
      </w:numPr>
    </w:pPr>
  </w:style>
  <w:style w:type="paragraph" w:customStyle="1" w:styleId="ListNumber3Level4">
    <w:name w:val="List Number 3 (Level 4)"/>
    <w:basedOn w:val="Text3"/>
    <w:uiPriority w:val="1"/>
    <w:semiHidden/>
    <w:unhideWhenUsed/>
    <w:pPr>
      <w:numPr>
        <w:ilvl w:val="3"/>
        <w:numId w:val="9"/>
      </w:numPr>
    </w:pPr>
  </w:style>
  <w:style w:type="paragraph" w:styleId="ListNumber4">
    <w:name w:val="List Number 4"/>
    <w:basedOn w:val="Text4"/>
    <w:uiPriority w:val="1"/>
    <w:pPr>
      <w:numPr>
        <w:numId w:val="8"/>
      </w:numPr>
    </w:pPr>
  </w:style>
  <w:style w:type="paragraph" w:customStyle="1" w:styleId="ListNumber4Level2">
    <w:name w:val="List Number 4 (Level 2)"/>
    <w:basedOn w:val="Text4"/>
    <w:uiPriority w:val="1"/>
    <w:pPr>
      <w:numPr>
        <w:ilvl w:val="1"/>
        <w:numId w:val="8"/>
      </w:numPr>
    </w:pPr>
  </w:style>
  <w:style w:type="paragraph" w:customStyle="1" w:styleId="ListNumber4Level3">
    <w:name w:val="List Number 4 (Level 3)"/>
    <w:basedOn w:val="Text4"/>
    <w:uiPriority w:val="1"/>
    <w:semiHidden/>
    <w:unhideWhenUsed/>
    <w:pPr>
      <w:numPr>
        <w:ilvl w:val="2"/>
        <w:numId w:val="8"/>
      </w:numPr>
    </w:pPr>
  </w:style>
  <w:style w:type="paragraph" w:customStyle="1" w:styleId="ListNumber4Level4">
    <w:name w:val="List Number 4 (Level 4)"/>
    <w:basedOn w:val="Text4"/>
    <w:uiPriority w:val="1"/>
    <w:semiHidden/>
    <w:unhideWhenUsed/>
    <w:pPr>
      <w:numPr>
        <w:ilvl w:val="3"/>
        <w:numId w:val="8"/>
      </w:numPr>
    </w:p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Marking">
    <w:name w:val="Marking"/>
    <w:basedOn w:val="Normal"/>
    <w:semiHidden/>
    <w:pPr>
      <w:ind w:left="5102" w:right="-567"/>
      <w:contextualSpacing/>
      <w:jc w:val="left"/>
    </w:pPr>
    <w:rPr>
      <w:sz w:val="28"/>
    </w:rPr>
  </w:style>
  <w:style w:type="paragraph" w:customStyle="1" w:styleId="NumPar1">
    <w:name w:val="NumPar 1"/>
    <w:basedOn w:val="Heading1"/>
    <w:uiPriority w:val="1"/>
    <w:qFormat/>
    <w:pPr>
      <w:keepNext w:val="0"/>
      <w:spacing w:before="0"/>
      <w:outlineLvl w:val="9"/>
    </w:pPr>
    <w:rPr>
      <w:b w:val="0"/>
      <w:smallCaps w:val="0"/>
    </w:rPr>
  </w:style>
  <w:style w:type="paragraph" w:customStyle="1" w:styleId="NumPar2">
    <w:name w:val="NumPar 2"/>
    <w:basedOn w:val="Heading2"/>
    <w:uiPriority w:val="1"/>
    <w:qFormat/>
    <w:pPr>
      <w:keepNext w:val="0"/>
      <w:outlineLvl w:val="9"/>
    </w:pPr>
    <w:rPr>
      <w:b w:val="0"/>
    </w:rPr>
  </w:style>
  <w:style w:type="paragraph" w:customStyle="1" w:styleId="NumPar3">
    <w:name w:val="NumPar 3"/>
    <w:basedOn w:val="Heading3"/>
    <w:uiPriority w:val="1"/>
    <w:qFormat/>
    <w:pPr>
      <w:keepNext w:val="0"/>
      <w:outlineLvl w:val="9"/>
    </w:pPr>
    <w:rPr>
      <w:i w:val="0"/>
    </w:rPr>
  </w:style>
  <w:style w:type="paragraph" w:customStyle="1" w:styleId="NumPar4">
    <w:name w:val="NumPar 4"/>
    <w:basedOn w:val="Heading4"/>
    <w:uiPriority w:val="1"/>
    <w:qFormat/>
    <w:pPr>
      <w:keepNext w:val="0"/>
      <w:outlineLvl w:val="9"/>
    </w:pPr>
  </w:style>
  <w:style w:type="paragraph" w:customStyle="1" w:styleId="PartTitle">
    <w:name w:val="PartTitle"/>
    <w:basedOn w:val="Normal"/>
    <w:next w:val="ChapterTitle"/>
    <w:uiPriority w:val="1"/>
    <w:qFormat/>
    <w:pPr>
      <w:keepNext/>
      <w:pageBreakBefore/>
      <w:spacing w:after="480"/>
      <w:jc w:val="center"/>
      <w:outlineLvl w:val="0"/>
    </w:pPr>
    <w:rPr>
      <w:b/>
      <w:sz w:val="36"/>
    </w:rPr>
  </w:style>
  <w:style w:type="paragraph" w:customStyle="1" w:styleId="References">
    <w:name w:val="References"/>
    <w:basedOn w:val="Normal"/>
    <w:uiPriority w:val="1"/>
    <w:pPr>
      <w:ind w:left="5102" w:right="-567"/>
      <w:contextualSpacing/>
      <w:jc w:val="left"/>
    </w:pPr>
    <w:rPr>
      <w:sz w:val="20"/>
    </w:rPr>
  </w:style>
  <w:style w:type="paragraph" w:customStyle="1" w:styleId="Releasable">
    <w:name w:val="Releasable"/>
    <w:basedOn w:val="Normal"/>
    <w:semiHidden/>
    <w:pPr>
      <w:spacing w:after="0"/>
      <w:jc w:val="center"/>
    </w:pPr>
    <w:rPr>
      <w:b/>
      <w:caps/>
      <w:sz w:val="32"/>
    </w:rPr>
  </w:style>
  <w:style w:type="paragraph" w:customStyle="1" w:styleId="RUE">
    <w:name w:val="RUE"/>
    <w:basedOn w:val="Normal"/>
    <w:semiHidden/>
    <w:pPr>
      <w:spacing w:after="0"/>
      <w:jc w:val="center"/>
    </w:pPr>
    <w:rPr>
      <w:b/>
      <w:caps/>
      <w:sz w:val="32"/>
      <w:bdr w:val="single" w:sz="18" w:space="0" w:color="auto"/>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SectionTitle">
    <w:name w:val="SectionTitle"/>
    <w:basedOn w:val="Normal"/>
    <w:next w:val="Heading1"/>
    <w:uiPriority w:val="1"/>
    <w:qFormat/>
    <w:pPr>
      <w:keepNext/>
      <w:spacing w:after="480"/>
      <w:jc w:val="center"/>
      <w:outlineLvl w:val="0"/>
    </w:pPr>
    <w:rPr>
      <w:b/>
      <w:smallCaps/>
      <w:sz w:val="28"/>
    </w:rPr>
  </w:style>
  <w:style w:type="paragraph" w:styleId="Signature">
    <w:name w:val="Signature"/>
    <w:basedOn w:val="Normal"/>
    <w:uiPriority w:val="2"/>
    <w:pPr>
      <w:spacing w:before="1200" w:after="0"/>
      <w:ind w:left="5102"/>
      <w:jc w:val="center"/>
    </w:pPr>
  </w:style>
  <w:style w:type="paragraph" w:customStyle="1" w:styleId="SignatureL">
    <w:name w:val="SignatureL"/>
    <w:basedOn w:val="Normal"/>
    <w:uiPriority w:val="2"/>
    <w:pPr>
      <w:spacing w:before="1200" w:after="0"/>
      <w:jc w:val="left"/>
    </w:pPr>
  </w:style>
  <w:style w:type="paragraph" w:customStyle="1" w:styleId="SubTitle1">
    <w:name w:val="SubTitle 1"/>
    <w:basedOn w:val="Normal"/>
    <w:next w:val="SubTitle2"/>
    <w:uiPriority w:val="1"/>
    <w:qFormat/>
    <w:pPr>
      <w:jc w:val="center"/>
    </w:pPr>
    <w:rPr>
      <w:b/>
      <w:sz w:val="40"/>
    </w:rPr>
  </w:style>
  <w:style w:type="paragraph" w:customStyle="1" w:styleId="SubTitle2">
    <w:name w:val="SubTitle 2"/>
    <w:basedOn w:val="Normal"/>
    <w:uiPriority w:val="1"/>
    <w:qFormat/>
    <w:pPr>
      <w:jc w:val="center"/>
    </w:pPr>
    <w:rPr>
      <w:b/>
      <w:sz w:val="32"/>
    </w:rPr>
  </w:style>
  <w:style w:type="paragraph" w:customStyle="1" w:styleId="TableListBullet">
    <w:name w:val="Table List Bullet"/>
    <w:basedOn w:val="TableText"/>
    <w:uiPriority w:val="1"/>
    <w:pPr>
      <w:numPr>
        <w:numId w:val="22"/>
      </w:numPr>
    </w:pPr>
  </w:style>
  <w:style w:type="paragraph" w:customStyle="1" w:styleId="TableListBulletLevel2">
    <w:name w:val="Table List Bullet (Level 2)"/>
    <w:basedOn w:val="TableText"/>
    <w:uiPriority w:val="1"/>
    <w:pPr>
      <w:numPr>
        <w:ilvl w:val="1"/>
        <w:numId w:val="22"/>
      </w:numPr>
    </w:pPr>
  </w:style>
  <w:style w:type="paragraph" w:customStyle="1" w:styleId="TableListBulletLevel3">
    <w:name w:val="Table List Bullet (Level 3)"/>
    <w:basedOn w:val="TableText"/>
    <w:uiPriority w:val="1"/>
    <w:semiHidden/>
    <w:unhideWhenUsed/>
    <w:pPr>
      <w:numPr>
        <w:ilvl w:val="2"/>
        <w:numId w:val="22"/>
      </w:numPr>
    </w:pPr>
  </w:style>
  <w:style w:type="paragraph" w:customStyle="1" w:styleId="TableListBulletLevel4">
    <w:name w:val="Table List Bullet (Level 4)"/>
    <w:basedOn w:val="TableText"/>
    <w:uiPriority w:val="1"/>
    <w:semiHidden/>
    <w:unhideWhenUsed/>
    <w:pPr>
      <w:numPr>
        <w:ilvl w:val="3"/>
        <w:numId w:val="22"/>
      </w:numPr>
    </w:pPr>
  </w:style>
  <w:style w:type="paragraph" w:customStyle="1" w:styleId="TableListDash">
    <w:name w:val="Table List Dash"/>
    <w:basedOn w:val="TableText"/>
    <w:uiPriority w:val="1"/>
    <w:pPr>
      <w:numPr>
        <w:numId w:val="23"/>
      </w:numPr>
    </w:pPr>
  </w:style>
  <w:style w:type="paragraph" w:customStyle="1" w:styleId="TableListDashLevel2">
    <w:name w:val="Table List Dash (Level 2)"/>
    <w:basedOn w:val="TableText"/>
    <w:uiPriority w:val="1"/>
    <w:pPr>
      <w:numPr>
        <w:ilvl w:val="1"/>
        <w:numId w:val="23"/>
      </w:numPr>
    </w:pPr>
  </w:style>
  <w:style w:type="paragraph" w:customStyle="1" w:styleId="TableListDashLevel3">
    <w:name w:val="Table List Dash (Level 3)"/>
    <w:basedOn w:val="TableText"/>
    <w:uiPriority w:val="1"/>
    <w:semiHidden/>
    <w:unhideWhenUsed/>
    <w:pPr>
      <w:numPr>
        <w:ilvl w:val="2"/>
        <w:numId w:val="23"/>
      </w:numPr>
    </w:pPr>
  </w:style>
  <w:style w:type="paragraph" w:customStyle="1" w:styleId="TableListDashLevel4">
    <w:name w:val="Table List Dash (Level 4)"/>
    <w:basedOn w:val="TableText"/>
    <w:uiPriority w:val="1"/>
    <w:semiHidden/>
    <w:unhideWhenUsed/>
    <w:pPr>
      <w:numPr>
        <w:ilvl w:val="3"/>
        <w:numId w:val="23"/>
      </w:numPr>
    </w:pPr>
  </w:style>
  <w:style w:type="paragraph" w:customStyle="1" w:styleId="TableListNumber">
    <w:name w:val="Table List Number"/>
    <w:basedOn w:val="TableText"/>
    <w:uiPriority w:val="1"/>
    <w:pPr>
      <w:numPr>
        <w:numId w:val="24"/>
      </w:numPr>
    </w:pPr>
  </w:style>
  <w:style w:type="paragraph" w:customStyle="1" w:styleId="TableListNumberLevel2">
    <w:name w:val="Table List Number (Level 2)"/>
    <w:basedOn w:val="TableText"/>
    <w:uiPriority w:val="1"/>
    <w:pPr>
      <w:numPr>
        <w:ilvl w:val="1"/>
        <w:numId w:val="24"/>
      </w:numPr>
    </w:pPr>
  </w:style>
  <w:style w:type="paragraph" w:customStyle="1" w:styleId="TableListNumberLevel3">
    <w:name w:val="Table List Number (Level 3)"/>
    <w:basedOn w:val="TableText"/>
    <w:uiPriority w:val="1"/>
    <w:semiHidden/>
    <w:unhideWhenUsed/>
    <w:pPr>
      <w:numPr>
        <w:ilvl w:val="2"/>
        <w:numId w:val="24"/>
      </w:numPr>
    </w:pPr>
  </w:style>
  <w:style w:type="paragraph" w:customStyle="1" w:styleId="TableListNumberLevel4">
    <w:name w:val="Table List Number (Level 4)"/>
    <w:basedOn w:val="TableText"/>
    <w:uiPriority w:val="1"/>
    <w:semiHidden/>
    <w:unhideWhenUsed/>
    <w:pPr>
      <w:numPr>
        <w:ilvl w:val="3"/>
        <w:numId w:val="24"/>
      </w:numPr>
    </w:pPr>
  </w:style>
  <w:style w:type="paragraph" w:customStyle="1" w:styleId="TableSource">
    <w:name w:val="Table Source"/>
    <w:basedOn w:val="Normal"/>
    <w:next w:val="Normal"/>
    <w:semiHidden/>
    <w:unhideWhenUsed/>
    <w:rPr>
      <w:sz w:val="20"/>
    </w:rPr>
  </w:style>
  <w:style w:type="paragraph" w:customStyle="1" w:styleId="TableSource1">
    <w:name w:val="Table Source 1"/>
    <w:basedOn w:val="Text1"/>
    <w:next w:val="Text1"/>
    <w:semiHidden/>
    <w:unhideWhenUsed/>
    <w:rPr>
      <w:sz w:val="20"/>
    </w:rPr>
  </w:style>
  <w:style w:type="paragraph" w:customStyle="1" w:styleId="TableSource2">
    <w:name w:val="Table Source 2"/>
    <w:basedOn w:val="Text2"/>
    <w:next w:val="Text2"/>
    <w:semiHidden/>
    <w:unhideWhenUsed/>
    <w:rPr>
      <w:sz w:val="20"/>
    </w:rPr>
  </w:style>
  <w:style w:type="paragraph" w:customStyle="1" w:styleId="TableSource3">
    <w:name w:val="Table Source 3"/>
    <w:basedOn w:val="Text3"/>
    <w:next w:val="Text3"/>
    <w:semiHidden/>
    <w:unhideWhenUsed/>
    <w:rPr>
      <w:sz w:val="20"/>
    </w:rPr>
  </w:style>
  <w:style w:type="paragraph" w:customStyle="1" w:styleId="TableSource4">
    <w:name w:val="Table Source 4"/>
    <w:basedOn w:val="Text4"/>
    <w:next w:val="Text4"/>
    <w:semiHidden/>
    <w:unhideWhenUsed/>
    <w:rPr>
      <w:sz w:val="20"/>
    </w:rPr>
  </w:style>
  <w:style w:type="paragraph" w:customStyle="1" w:styleId="TableText">
    <w:name w:val="Table Text"/>
    <w:basedOn w:val="Normal"/>
    <w:uiPriority w:val="1"/>
    <w:qFormat/>
    <w:pPr>
      <w:spacing w:before="60" w:after="60"/>
      <w:jc w:val="left"/>
    </w:pPr>
  </w:style>
  <w:style w:type="paragraph" w:customStyle="1" w:styleId="TableTitle">
    <w:name w:val="Table Title"/>
    <w:basedOn w:val="Normal"/>
    <w:uiPriority w:val="1"/>
    <w:semiHidden/>
    <w:unhideWhenUsed/>
    <w:pPr>
      <w:keepNext/>
      <w:spacing w:after="120"/>
    </w:pPr>
    <w:rPr>
      <w:b/>
      <w:i/>
    </w:rPr>
  </w:style>
  <w:style w:type="paragraph" w:customStyle="1" w:styleId="TableTitle1">
    <w:name w:val="Table Title 1"/>
    <w:basedOn w:val="Text1"/>
    <w:uiPriority w:val="1"/>
    <w:semiHidden/>
    <w:unhideWhenUsed/>
    <w:pPr>
      <w:keepNext/>
      <w:spacing w:after="120"/>
    </w:pPr>
    <w:rPr>
      <w:b/>
      <w:i/>
    </w:rPr>
  </w:style>
  <w:style w:type="paragraph" w:customStyle="1" w:styleId="TableTitle2">
    <w:name w:val="Table Title 2"/>
    <w:basedOn w:val="Text2"/>
    <w:uiPriority w:val="1"/>
    <w:semiHidden/>
    <w:unhideWhenUsed/>
    <w:pPr>
      <w:keepNext/>
      <w:spacing w:after="120"/>
    </w:pPr>
    <w:rPr>
      <w:b/>
      <w:i/>
    </w:rPr>
  </w:style>
  <w:style w:type="paragraph" w:customStyle="1" w:styleId="TableTitle3">
    <w:name w:val="Table Title 3"/>
    <w:basedOn w:val="Text3"/>
    <w:uiPriority w:val="1"/>
    <w:semiHidden/>
    <w:unhideWhenUsed/>
    <w:pPr>
      <w:keepNext/>
      <w:spacing w:after="120"/>
    </w:pPr>
    <w:rPr>
      <w:b/>
      <w:i/>
    </w:rPr>
  </w:style>
  <w:style w:type="paragraph" w:customStyle="1" w:styleId="TableTitle4">
    <w:name w:val="Table Title 4"/>
    <w:basedOn w:val="Text4"/>
    <w:uiPriority w:val="1"/>
    <w:semiHidden/>
    <w:unhideWhenUsed/>
    <w:pPr>
      <w:keepNext/>
      <w:spacing w:after="120"/>
    </w:pPr>
    <w:rPr>
      <w:b/>
      <w:i/>
    </w:r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202"/>
    </w:pPr>
  </w:style>
  <w:style w:type="paragraph" w:customStyle="1" w:styleId="Text3">
    <w:name w:val="Text 3"/>
    <w:basedOn w:val="Normal"/>
    <w:uiPriority w:val="1"/>
    <w:qFormat/>
    <w:pPr>
      <w:ind w:left="1202"/>
    </w:pPr>
  </w:style>
  <w:style w:type="paragraph" w:customStyle="1" w:styleId="Text4">
    <w:name w:val="Text 4"/>
    <w:basedOn w:val="Normal"/>
    <w:uiPriority w:val="1"/>
    <w:qFormat/>
    <w:pPr>
      <w:ind w:left="1202"/>
    </w:pPr>
  </w:style>
  <w:style w:type="paragraph" w:styleId="Title">
    <w:name w:val="Title"/>
    <w:basedOn w:val="Normal"/>
    <w:next w:val="SubTitle1"/>
    <w:uiPriority w:val="1"/>
    <w:qFormat/>
    <w:pPr>
      <w:spacing w:after="480"/>
      <w:jc w:val="center"/>
    </w:pPr>
    <w:rPr>
      <w:b/>
      <w:kern w:val="28"/>
      <w:sz w:val="48"/>
    </w:rPr>
  </w:style>
  <w:style w:type="paragraph" w:styleId="TOC1">
    <w:name w:val="toc 1"/>
    <w:basedOn w:val="Normal"/>
    <w:next w:val="Normal"/>
    <w:semiHidden/>
    <w:pPr>
      <w:tabs>
        <w:tab w:val="right" w:leader="dot" w:pos="8640"/>
      </w:tabs>
      <w:spacing w:before="120" w:after="120"/>
      <w:ind w:left="482" w:right="720" w:hanging="482"/>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ZCom">
    <w:name w:val="Z_Com"/>
    <w:basedOn w:val="Normal"/>
    <w:next w:val="Normal"/>
    <w:uiPriority w:val="2"/>
    <w:pPr>
      <w:widowControl w:val="0"/>
      <w:spacing w:before="90" w:after="0"/>
      <w:ind w:right="85"/>
      <w:jc w:val="left"/>
    </w:pPr>
  </w:style>
  <w:style w:type="paragraph" w:customStyle="1" w:styleId="ZDGName">
    <w:name w:val="Z_DGName"/>
    <w:basedOn w:val="Normal"/>
    <w:uiPriority w:val="2"/>
    <w:pPr>
      <w:widowControl w:val="0"/>
      <w:spacing w:after="0"/>
      <w:ind w:right="85"/>
      <w:jc w:val="left"/>
    </w:pPr>
    <w:rPr>
      <w:sz w:val="16"/>
    </w:rPr>
  </w:style>
  <w:style w:type="paragraph" w:customStyle="1" w:styleId="ZFlag">
    <w:name w:val="Z_Flag"/>
    <w:basedOn w:val="Normal"/>
    <w:next w:val="Normal"/>
    <w:uiPriority w:val="2"/>
    <w:pPr>
      <w:widowControl w:val="0"/>
      <w:spacing w:after="0"/>
      <w:ind w:right="85"/>
    </w:pPr>
  </w:style>
  <w:style w:type="paragraph" w:styleId="Header">
    <w:name w:val="header"/>
    <w:basedOn w:val="Normal"/>
    <w:link w:val="HeaderChar"/>
    <w:uiPriority w:val="2"/>
    <w:pPr>
      <w:tabs>
        <w:tab w:val="center" w:pos="4150"/>
        <w:tab w:val="right" w:pos="8306"/>
      </w:tabs>
      <w:spacing w:after="0"/>
    </w:pPr>
  </w:style>
  <w:style w:type="character" w:customStyle="1" w:styleId="HeaderChar">
    <w:name w:val="Header Char"/>
    <w:basedOn w:val="DefaultParagraphFont"/>
    <w:link w:val="Header"/>
    <w:uiPriority w:val="2"/>
    <w:rPr>
      <w:sz w:val="24"/>
    </w:rPr>
  </w:style>
  <w:style w:type="table" w:customStyle="1" w:styleId="EurolookClassicBlue">
    <w:name w:val="Eurolook Classic Blue"/>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1">
    <w:name w:val="Eurolook Classic Blu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2">
    <w:name w:val="Eurolook Classic Blu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3">
    <w:name w:val="Eurolook Classic Blu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4">
    <w:name w:val="Eurolook Classic Blu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Grey">
    <w:name w:val="Eurolook Classic Grey"/>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1">
    <w:name w:val="Eurolook Classic Grey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2">
    <w:name w:val="Eurolook Classic Grey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3">
    <w:name w:val="Eurolook Classic Grey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4">
    <w:name w:val="Eurolook Classic Grey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Olive">
    <w:name w:val="Eurolook Classic Olive"/>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1">
    <w:name w:val="Eurolook Classic Oliv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2">
    <w:name w:val="Eurolook Classic Oliv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3">
    <w:name w:val="Eurolook Classic Oliv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4">
    <w:name w:val="Eurolook Classic Oliv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Petrol">
    <w:name w:val="Eurolook Classic Petrol"/>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1">
    <w:name w:val="Eurolook Classic Petrol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2">
    <w:name w:val="Eurolook Classic Petrol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3">
    <w:name w:val="Eurolook Classic Petrol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4">
    <w:name w:val="Eurolook Classic Petrol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urple">
    <w:name w:val="Eurolook Classic Purple"/>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1">
    <w:name w:val="Eurolook Classic Purpl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2">
    <w:name w:val="Eurolook Classic Purpl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3">
    <w:name w:val="Eurolook Classic Purpl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4">
    <w:name w:val="Eurolook Classic Purpl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Rust">
    <w:name w:val="Eurolook Classic Rust"/>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1">
    <w:name w:val="Eurolook Classic Rust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2">
    <w:name w:val="Eurolook Classic Rust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3">
    <w:name w:val="Eurolook Classic Rust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4">
    <w:name w:val="Eurolook Classic Rust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LightBlue">
    <w:name w:val="Eurolook Light Blue"/>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1">
    <w:name w:val="Eurolook Light Blu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2">
    <w:name w:val="Eurolook Light Blu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3">
    <w:name w:val="Eurolook Light Blu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4">
    <w:name w:val="Eurolook Light Blu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
    <w:name w:val="Eurolook Light Grey"/>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1">
    <w:name w:val="Eurolook Light Grey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2">
    <w:name w:val="Eurolook Light Grey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3">
    <w:name w:val="Eurolook Light Grey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4">
    <w:name w:val="Eurolook Light Grey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
    <w:name w:val="Eurolook Light Olive"/>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1">
    <w:name w:val="Eurolook Light Oliv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2">
    <w:name w:val="Eurolook Light Oliv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3">
    <w:name w:val="Eurolook Light Oliv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4">
    <w:name w:val="Eurolook Light Oliv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
    <w:name w:val="Eurolook Light Petrol"/>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1">
    <w:name w:val="Eurolook Light Petrol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2">
    <w:name w:val="Eurolook Light Petrol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3">
    <w:name w:val="Eurolook Light Petrol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4">
    <w:name w:val="Eurolook Light Petrol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
    <w:name w:val="Eurolook Light Purple"/>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1">
    <w:name w:val="Eurolook Light Purpl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2">
    <w:name w:val="Eurolook Light Purpl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3">
    <w:name w:val="Eurolook Light Purpl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4">
    <w:name w:val="Eurolook Light Purpl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
    <w:name w:val="Eurolook Light Rust"/>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1">
    <w:name w:val="Eurolook Light Rust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2">
    <w:name w:val="Eurolook Light Rust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3">
    <w:name w:val="Eurolook Light Rust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4">
    <w:name w:val="Eurolook Light Rust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Table">
    <w:name w:val="Eurolook Table"/>
    <w:semiHidden/>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rPr>
        <w:cantSplit/>
        <w:tblHeader/>
      </w:trPr>
    </w:tblStylePr>
  </w:style>
  <w:style w:type="table" w:customStyle="1" w:styleId="EurolookTable1">
    <w:name w:val="Eurolook Table 1"/>
    <w:basedOn w:val="EurolookTable"/>
    <w:semiHidden/>
    <w:unhideWhenUsed/>
    <w:tblPr>
      <w:tblInd w:w="482" w:type="dxa"/>
    </w:tblPr>
    <w:tblStylePr w:type="firstRow">
      <w:rPr>
        <w:b/>
      </w:rPr>
      <w:tblPr/>
      <w:trPr>
        <w:cantSplit/>
        <w:tblHeader/>
      </w:trPr>
    </w:tblStylePr>
  </w:style>
  <w:style w:type="table" w:customStyle="1" w:styleId="EurolookTable2">
    <w:name w:val="Eurolook Table 2"/>
    <w:basedOn w:val="EurolookTable"/>
    <w:semiHidden/>
    <w:unhideWhenUsed/>
    <w:tblPr>
      <w:tblInd w:w="1202" w:type="dxa"/>
    </w:tblPr>
    <w:tblStylePr w:type="firstRow">
      <w:rPr>
        <w:b/>
      </w:rPr>
      <w:tblPr/>
      <w:trPr>
        <w:cantSplit/>
        <w:tblHeader/>
      </w:trPr>
    </w:tblStylePr>
  </w:style>
  <w:style w:type="table" w:customStyle="1" w:styleId="EurolookTable3">
    <w:name w:val="Eurolook Table 3"/>
    <w:basedOn w:val="EurolookTable"/>
    <w:semiHidden/>
    <w:unhideWhenUsed/>
    <w:tblPr>
      <w:tblInd w:w="1202" w:type="dxa"/>
    </w:tblPr>
    <w:tblStylePr w:type="firstRow">
      <w:rPr>
        <w:b/>
      </w:rPr>
      <w:tblPr/>
      <w:trPr>
        <w:cantSplit/>
        <w:tblHeader/>
      </w:trPr>
    </w:tblStylePr>
  </w:style>
  <w:style w:type="table" w:customStyle="1" w:styleId="EurolookTable4">
    <w:name w:val="Eurolook Table 4"/>
    <w:basedOn w:val="EurolookTable"/>
    <w:semiHidden/>
    <w:unhideWhenUsed/>
    <w:tblPr>
      <w:tblInd w:w="1202" w:type="dxa"/>
    </w:tblPr>
    <w:tblStylePr w:type="firstRow">
      <w:rPr>
        <w:b/>
      </w:rPr>
      <w:tblPr/>
      <w:trPr>
        <w:cantSplit/>
        <w:tblHeader/>
      </w:trPr>
    </w:tblStyle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SignatureTable">
    <w:name w:val="Signature Table"/>
    <w:basedOn w:val="HelperTableBase"/>
    <w:semiHidden/>
    <w:tblPr/>
  </w:style>
  <w:style w:type="table" w:styleId="TableGrid">
    <w:name w:val="Table Grid"/>
    <w:semiHidden/>
    <w:tblPr>
      <w:tblStyleRowBandSize w:val="1"/>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History">
    <w:name w:val="Table History"/>
    <w:basedOn w:val="TableNormal"/>
    <w:semiHidden/>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character" w:customStyle="1" w:styleId="UnresolvedMention">
    <w:name w:val="Unresolved Mention"/>
    <w:basedOn w:val="DefaultParagraphFont"/>
    <w:semiHidden/>
    <w:locked/>
    <w:rsid w:val="00454561"/>
    <w:rPr>
      <w:color w:val="605E5C"/>
      <w:shd w:val="clear" w:color="auto" w:fill="E1DFDD"/>
    </w:rPr>
  </w:style>
  <w:style w:type="paragraph" w:styleId="CommentSubject">
    <w:name w:val="annotation subject"/>
    <w:basedOn w:val="CommentText"/>
    <w:next w:val="CommentText"/>
    <w:link w:val="CommentSubjectChar"/>
    <w:semiHidden/>
    <w:locked/>
    <w:rsid w:val="001A7AEC"/>
    <w:pPr>
      <w:spacing w:after="240"/>
      <w:jc w:val="both"/>
    </w:pPr>
    <w:rPr>
      <w:rFonts w:ascii="Times New Roman" w:eastAsia="Times New Roman" w:hAnsi="Times New Roman"/>
      <w:b/>
      <w:bCs/>
    </w:rPr>
  </w:style>
  <w:style w:type="character" w:customStyle="1" w:styleId="CommentSubjectChar">
    <w:name w:val="Comment Subject Char"/>
    <w:basedOn w:val="CommentTextChar"/>
    <w:link w:val="CommentSubject"/>
    <w:semiHidden/>
    <w:rsid w:val="001A7AEC"/>
    <w:rPr>
      <w:rFonts w:ascii="Calibri" w:eastAsia="Calibri" w:hAnsi="Calibri"/>
      <w:b/>
      <w:bCs/>
      <w:sz w:val="20"/>
    </w:rPr>
  </w:style>
  <w:style w:type="paragraph" w:styleId="Revision">
    <w:name w:val="Revision"/>
    <w:hidden/>
    <w:semiHidden/>
    <w:locked/>
    <w:rsid w:val="001A7AEC"/>
  </w:style>
  <w:style w:type="character" w:styleId="FollowedHyperlink">
    <w:name w:val="FollowedHyperlink"/>
    <w:basedOn w:val="DefaultParagraphFont"/>
    <w:semiHidden/>
    <w:locked/>
    <w:rsid w:val="00BC447D"/>
    <w:rPr>
      <w:color w:val="954F72" w:themeColor="followedHyperlink"/>
      <w:u w:val="single"/>
    </w:rPr>
  </w:style>
  <w:style w:type="character" w:customStyle="1" w:styleId="Mention">
    <w:name w:val="Mention"/>
    <w:basedOn w:val="DefaultParagraphFont"/>
    <w:semiHidden/>
    <w:locked/>
    <w:rsid w:val="00813A3B"/>
    <w:rPr>
      <w:color w:val="2B579A"/>
      <w:shd w:val="clear" w:color="auto" w:fill="E1DFDD"/>
    </w:rPr>
  </w:style>
  <w:style w:type="numbering" w:customStyle="1" w:styleId="BulletList">
    <w:name w:val="Bullet List"/>
    <w:basedOn w:val="NoList"/>
    <w:uiPriority w:val="99"/>
    <w:rsid w:val="00C012A6"/>
    <w:pPr>
      <w:numPr>
        <w:numId w:val="42"/>
      </w:numPr>
    </w:pPr>
  </w:style>
  <w:style w:type="character" w:customStyle="1" w:styleId="FootnoteCharacters">
    <w:name w:val="Footnote Characters"/>
    <w:qFormat/>
    <w:rsid w:val="00776D97"/>
    <w:rPr>
      <w:vertAlign w:val="superscript"/>
    </w:rPr>
  </w:style>
  <w:style w:type="character" w:customStyle="1" w:styleId="FootnoteAnchor">
    <w:name w:val="Footnote Anchor"/>
    <w:rsid w:val="00776D97"/>
    <w:rPr>
      <w:vertAlign w:val="superscript"/>
    </w:rPr>
  </w:style>
  <w:style w:type="character" w:customStyle="1" w:styleId="tab">
    <w:name w:val="tab"/>
    <w:basedOn w:val="DefaultParagraphFont"/>
    <w:rsid w:val="00C72B4D"/>
  </w:style>
  <w:style w:type="character" w:customStyle="1" w:styleId="ecl-u-type-capitalize">
    <w:name w:val="ecl-u-type-capitalize"/>
    <w:basedOn w:val="DefaultParagraphFont"/>
    <w:rsid w:val="000A2FBE"/>
  </w:style>
  <w:style w:type="character" w:customStyle="1" w:styleId="Marker">
    <w:name w:val="Marker"/>
    <w:basedOn w:val="DefaultParagraphFont"/>
    <w:rsid w:val="00EF539B"/>
    <w:rPr>
      <w:color w:val="0000FF"/>
      <w:shd w:val="clear" w:color="auto" w:fill="auto"/>
    </w:rPr>
  </w:style>
  <w:style w:type="paragraph" w:customStyle="1" w:styleId="FooterSensitivity">
    <w:name w:val="Footer Sensitivity"/>
    <w:basedOn w:val="Normal"/>
    <w:link w:val="FooterSensitivityChar"/>
    <w:rsid w:val="00EF539B"/>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PagedecouvertureChar">
    <w:name w:val="Page de couverture Char"/>
    <w:basedOn w:val="DefaultParagraphFont"/>
    <w:link w:val="Pagedecouverture"/>
    <w:rsid w:val="00EF539B"/>
    <w:rPr>
      <w:rFonts w:eastAsia="Calibri"/>
      <w:szCs w:val="22"/>
      <w:lang w:eastAsia="en-GB"/>
    </w:rPr>
  </w:style>
  <w:style w:type="character" w:customStyle="1" w:styleId="FooterSensitivityChar">
    <w:name w:val="Footer Sensitivity Char"/>
    <w:basedOn w:val="PagedecouvertureChar"/>
    <w:link w:val="FooterSensitivity"/>
    <w:rsid w:val="00EF539B"/>
    <w:rPr>
      <w:rFonts w:eastAsia="Calibri"/>
      <w:b/>
      <w:sz w:val="32"/>
      <w:szCs w:val="22"/>
      <w:lang w:eastAsia="en-GB"/>
    </w:rPr>
  </w:style>
  <w:style w:type="paragraph" w:customStyle="1" w:styleId="HeaderSensitivity">
    <w:name w:val="Header Sensitivity"/>
    <w:basedOn w:val="Normal"/>
    <w:link w:val="HeaderSensitivityChar"/>
    <w:rsid w:val="00EF539B"/>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sid w:val="00EF539B"/>
    <w:rPr>
      <w:rFonts w:eastAsia="Calibri"/>
      <w:b/>
      <w:sz w:val="32"/>
      <w:szCs w:val="22"/>
      <w:lang w:eastAsia="en-GB"/>
    </w:rPr>
  </w:style>
  <w:style w:type="paragraph" w:customStyle="1" w:styleId="HeaderSensitivityRight">
    <w:name w:val="Header Sensitivity Right"/>
    <w:basedOn w:val="Normal"/>
    <w:link w:val="HeaderSensitivityRightChar"/>
    <w:rsid w:val="00EF539B"/>
    <w:pPr>
      <w:spacing w:after="120"/>
      <w:jc w:val="right"/>
    </w:pPr>
    <w:rPr>
      <w:sz w:val="28"/>
    </w:rPr>
  </w:style>
  <w:style w:type="character" w:customStyle="1" w:styleId="HeaderSensitivityRightChar">
    <w:name w:val="Header Sensitivity Right Char"/>
    <w:basedOn w:val="PagedecouvertureChar"/>
    <w:link w:val="HeaderSensitivityRight"/>
    <w:rsid w:val="00EF539B"/>
    <w:rPr>
      <w:rFonts w:eastAsia="Calibri"/>
      <w:sz w:val="28"/>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4954">
      <w:bodyDiv w:val="1"/>
      <w:marLeft w:val="0"/>
      <w:marRight w:val="0"/>
      <w:marTop w:val="0"/>
      <w:marBottom w:val="0"/>
      <w:divBdr>
        <w:top w:val="none" w:sz="0" w:space="0" w:color="auto"/>
        <w:left w:val="none" w:sz="0" w:space="0" w:color="auto"/>
        <w:bottom w:val="none" w:sz="0" w:space="0" w:color="auto"/>
        <w:right w:val="none" w:sz="0" w:space="0" w:color="auto"/>
      </w:divBdr>
    </w:div>
    <w:div w:id="220866946">
      <w:bodyDiv w:val="1"/>
      <w:marLeft w:val="0"/>
      <w:marRight w:val="0"/>
      <w:marTop w:val="0"/>
      <w:marBottom w:val="0"/>
      <w:divBdr>
        <w:top w:val="none" w:sz="0" w:space="0" w:color="auto"/>
        <w:left w:val="none" w:sz="0" w:space="0" w:color="auto"/>
        <w:bottom w:val="none" w:sz="0" w:space="0" w:color="auto"/>
        <w:right w:val="none" w:sz="0" w:space="0" w:color="auto"/>
      </w:divBdr>
    </w:div>
    <w:div w:id="270938877">
      <w:bodyDiv w:val="1"/>
      <w:marLeft w:val="0"/>
      <w:marRight w:val="0"/>
      <w:marTop w:val="0"/>
      <w:marBottom w:val="0"/>
      <w:divBdr>
        <w:top w:val="none" w:sz="0" w:space="0" w:color="auto"/>
        <w:left w:val="none" w:sz="0" w:space="0" w:color="auto"/>
        <w:bottom w:val="none" w:sz="0" w:space="0" w:color="auto"/>
        <w:right w:val="none" w:sz="0" w:space="0" w:color="auto"/>
      </w:divBdr>
    </w:div>
    <w:div w:id="288629243">
      <w:bodyDiv w:val="1"/>
      <w:marLeft w:val="0"/>
      <w:marRight w:val="0"/>
      <w:marTop w:val="0"/>
      <w:marBottom w:val="0"/>
      <w:divBdr>
        <w:top w:val="none" w:sz="0" w:space="0" w:color="auto"/>
        <w:left w:val="none" w:sz="0" w:space="0" w:color="auto"/>
        <w:bottom w:val="none" w:sz="0" w:space="0" w:color="auto"/>
        <w:right w:val="none" w:sz="0" w:space="0" w:color="auto"/>
      </w:divBdr>
    </w:div>
    <w:div w:id="308553842">
      <w:bodyDiv w:val="1"/>
      <w:marLeft w:val="0"/>
      <w:marRight w:val="0"/>
      <w:marTop w:val="0"/>
      <w:marBottom w:val="0"/>
      <w:divBdr>
        <w:top w:val="none" w:sz="0" w:space="0" w:color="auto"/>
        <w:left w:val="none" w:sz="0" w:space="0" w:color="auto"/>
        <w:bottom w:val="none" w:sz="0" w:space="0" w:color="auto"/>
        <w:right w:val="none" w:sz="0" w:space="0" w:color="auto"/>
      </w:divBdr>
    </w:div>
    <w:div w:id="521092819">
      <w:bodyDiv w:val="1"/>
      <w:marLeft w:val="0"/>
      <w:marRight w:val="0"/>
      <w:marTop w:val="0"/>
      <w:marBottom w:val="0"/>
      <w:divBdr>
        <w:top w:val="none" w:sz="0" w:space="0" w:color="auto"/>
        <w:left w:val="none" w:sz="0" w:space="0" w:color="auto"/>
        <w:bottom w:val="none" w:sz="0" w:space="0" w:color="auto"/>
        <w:right w:val="none" w:sz="0" w:space="0" w:color="auto"/>
      </w:divBdr>
    </w:div>
    <w:div w:id="563567291">
      <w:bodyDiv w:val="1"/>
      <w:marLeft w:val="0"/>
      <w:marRight w:val="0"/>
      <w:marTop w:val="0"/>
      <w:marBottom w:val="0"/>
      <w:divBdr>
        <w:top w:val="none" w:sz="0" w:space="0" w:color="auto"/>
        <w:left w:val="none" w:sz="0" w:space="0" w:color="auto"/>
        <w:bottom w:val="none" w:sz="0" w:space="0" w:color="auto"/>
        <w:right w:val="none" w:sz="0" w:space="0" w:color="auto"/>
      </w:divBdr>
    </w:div>
    <w:div w:id="881673186">
      <w:bodyDiv w:val="1"/>
      <w:marLeft w:val="0"/>
      <w:marRight w:val="0"/>
      <w:marTop w:val="0"/>
      <w:marBottom w:val="0"/>
      <w:divBdr>
        <w:top w:val="none" w:sz="0" w:space="0" w:color="auto"/>
        <w:left w:val="none" w:sz="0" w:space="0" w:color="auto"/>
        <w:bottom w:val="none" w:sz="0" w:space="0" w:color="auto"/>
        <w:right w:val="none" w:sz="0" w:space="0" w:color="auto"/>
      </w:divBdr>
    </w:div>
    <w:div w:id="949898890">
      <w:bodyDiv w:val="1"/>
      <w:marLeft w:val="0"/>
      <w:marRight w:val="0"/>
      <w:marTop w:val="0"/>
      <w:marBottom w:val="0"/>
      <w:divBdr>
        <w:top w:val="none" w:sz="0" w:space="0" w:color="auto"/>
        <w:left w:val="none" w:sz="0" w:space="0" w:color="auto"/>
        <w:bottom w:val="none" w:sz="0" w:space="0" w:color="auto"/>
        <w:right w:val="none" w:sz="0" w:space="0" w:color="auto"/>
      </w:divBdr>
    </w:div>
    <w:div w:id="1071997969">
      <w:bodyDiv w:val="1"/>
      <w:marLeft w:val="0"/>
      <w:marRight w:val="0"/>
      <w:marTop w:val="0"/>
      <w:marBottom w:val="0"/>
      <w:divBdr>
        <w:top w:val="none" w:sz="0" w:space="0" w:color="auto"/>
        <w:left w:val="none" w:sz="0" w:space="0" w:color="auto"/>
        <w:bottom w:val="none" w:sz="0" w:space="0" w:color="auto"/>
        <w:right w:val="none" w:sz="0" w:space="0" w:color="auto"/>
      </w:divBdr>
    </w:div>
    <w:div w:id="1435829622">
      <w:bodyDiv w:val="1"/>
      <w:marLeft w:val="0"/>
      <w:marRight w:val="0"/>
      <w:marTop w:val="0"/>
      <w:marBottom w:val="0"/>
      <w:divBdr>
        <w:top w:val="none" w:sz="0" w:space="0" w:color="auto"/>
        <w:left w:val="none" w:sz="0" w:space="0" w:color="auto"/>
        <w:bottom w:val="none" w:sz="0" w:space="0" w:color="auto"/>
        <w:right w:val="none" w:sz="0" w:space="0" w:color="auto"/>
      </w:divBdr>
    </w:div>
    <w:div w:id="1579897035">
      <w:bodyDiv w:val="1"/>
      <w:marLeft w:val="0"/>
      <w:marRight w:val="0"/>
      <w:marTop w:val="0"/>
      <w:marBottom w:val="0"/>
      <w:divBdr>
        <w:top w:val="none" w:sz="0" w:space="0" w:color="auto"/>
        <w:left w:val="none" w:sz="0" w:space="0" w:color="auto"/>
        <w:bottom w:val="none" w:sz="0" w:space="0" w:color="auto"/>
        <w:right w:val="none" w:sz="0" w:space="0" w:color="auto"/>
      </w:divBdr>
      <w:divsChild>
        <w:div w:id="1433553601">
          <w:marLeft w:val="0"/>
          <w:marRight w:val="0"/>
          <w:marTop w:val="0"/>
          <w:marBottom w:val="0"/>
          <w:divBdr>
            <w:top w:val="none" w:sz="0" w:space="0" w:color="auto"/>
            <w:left w:val="none" w:sz="0" w:space="0" w:color="auto"/>
            <w:bottom w:val="none" w:sz="0" w:space="0" w:color="auto"/>
            <w:right w:val="none" w:sz="0" w:space="0" w:color="auto"/>
          </w:divBdr>
        </w:div>
      </w:divsChild>
    </w:div>
    <w:div w:id="1909997416">
      <w:bodyDiv w:val="1"/>
      <w:marLeft w:val="0"/>
      <w:marRight w:val="0"/>
      <w:marTop w:val="0"/>
      <w:marBottom w:val="0"/>
      <w:divBdr>
        <w:top w:val="none" w:sz="0" w:space="0" w:color="auto"/>
        <w:left w:val="none" w:sz="0" w:space="0" w:color="auto"/>
        <w:bottom w:val="none" w:sz="0" w:space="0" w:color="auto"/>
        <w:right w:val="none" w:sz="0" w:space="0" w:color="auto"/>
      </w:divBdr>
    </w:div>
    <w:div w:id="1946616154">
      <w:bodyDiv w:val="1"/>
      <w:marLeft w:val="0"/>
      <w:marRight w:val="0"/>
      <w:marTop w:val="0"/>
      <w:marBottom w:val="0"/>
      <w:divBdr>
        <w:top w:val="none" w:sz="0" w:space="0" w:color="auto"/>
        <w:left w:val="none" w:sz="0" w:space="0" w:color="auto"/>
        <w:bottom w:val="none" w:sz="0" w:space="0" w:color="auto"/>
        <w:right w:val="none" w:sz="0" w:space="0" w:color="auto"/>
      </w:divBdr>
    </w:div>
    <w:div w:id="2012223008">
      <w:bodyDiv w:val="1"/>
      <w:marLeft w:val="0"/>
      <w:marRight w:val="0"/>
      <w:marTop w:val="0"/>
      <w:marBottom w:val="0"/>
      <w:divBdr>
        <w:top w:val="none" w:sz="0" w:space="0" w:color="auto"/>
        <w:left w:val="none" w:sz="0" w:space="0" w:color="auto"/>
        <w:bottom w:val="none" w:sz="0" w:space="0" w:color="auto"/>
        <w:right w:val="none" w:sz="0" w:space="0" w:color="auto"/>
      </w:divBdr>
    </w:div>
    <w:div w:id="2109308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36"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yperlink" Target="https://www.eea.europa.eu/publications/national-emission-reduction-commitments-directive-2023" TargetMode="External"/><Relationship Id="rId30" Type="http://schemas.openxmlformats.org/officeDocument/2006/relationships/image" Target="media/image6.png"/><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3" Type="http://schemas.openxmlformats.org/officeDocument/2006/relationships/hyperlink" Target="https://circabc.europa.eu/ui/group/cd69a4b9-1a68-4d6c-9c48-77c0399f225d/library/603dbb7c-7d0a-4d71-b46e-ffc34a006df8/details" TargetMode="External"/><Relationship Id="rId18" Type="http://schemas.openxmlformats.org/officeDocument/2006/relationships/hyperlink" Target="https://environment.ec.europa.eu/topics/air/reducing-emissions-air-pollutants/national-air-pollution-control-programmes-and-projections_en" TargetMode="External"/><Relationship Id="rId26" Type="http://schemas.openxmlformats.org/officeDocument/2006/relationships/hyperlink" Target="https://iris.who.int/handle/10665/345329" TargetMode="External"/><Relationship Id="rId39" Type="http://schemas.openxmlformats.org/officeDocument/2006/relationships/hyperlink" Target="https://edgar.jrc.ec.europa.eu/agree_tool/public/" TargetMode="External"/><Relationship Id="rId3" Type="http://schemas.openxmlformats.org/officeDocument/2006/relationships/hyperlink" Target="https://www.consilium.europa.eu/mt/press/press-releases/2024/02/20/air-quality-council-and-parliament-strike-deal-to-strengthen-standards-in-the-eu/" TargetMode="External"/><Relationship Id="rId21" Type="http://schemas.openxmlformats.org/officeDocument/2006/relationships/hyperlink" Target="https://circabc.europa.eu/ui/group/cd69a4b9-1a68-4d6c-9c48-77c0399f225d/library/52f82bad-1dae-4ead-869c-d2bf757621f2/details" TargetMode="External"/><Relationship Id="rId34" Type="http://schemas.openxmlformats.org/officeDocument/2006/relationships/hyperlink" Target="https://environment.ec.europa.eu/topics/air/clean-air-forum_en" TargetMode="External"/><Relationship Id="rId42" Type="http://schemas.openxmlformats.org/officeDocument/2006/relationships/hyperlink" Target="https://commission.europa.eu/strategy-and-policy/eu-budget/performance-and-reporting/horizontal-priorities/green-budgeting/clean-air-tracking_en" TargetMode="External"/><Relationship Id="rId47" Type="http://schemas.openxmlformats.org/officeDocument/2006/relationships/hyperlink" Target="https://unece.org/publications/environment-policy/air-convention" TargetMode="External"/><Relationship Id="rId7" Type="http://schemas.openxmlformats.org/officeDocument/2006/relationships/hyperlink" Target="https://www.eea.europa.eu/data-and-maps/dashboards/necd-directive-data-viewer-7" TargetMode="External"/><Relationship Id="rId12" Type="http://schemas.openxmlformats.org/officeDocument/2006/relationships/hyperlink" Target="https://circabc.europa.eu/ui/group/cd69a4b9-1a68-4d6c-9c48-77c0399f225d/library/a43a894a-191f-42c1-bb45-5dfc696ebdb3/details?download=true" TargetMode="External"/><Relationship Id="rId17" Type="http://schemas.openxmlformats.org/officeDocument/2006/relationships/hyperlink" Target="https://circabc.europa.eu/ui/group/cd69a4b9-1a68-4d6c-9c48-77c0399f225d/library/52f82bad-1dae-4ead-869c-d2bf757621f2/details" TargetMode="External"/><Relationship Id="rId25" Type="http://schemas.openxmlformats.org/officeDocument/2006/relationships/hyperlink" Target="https://www.eea.europa.eu/publications/status-of-air-quality-in-Europe-2022" TargetMode="External"/><Relationship Id="rId33" Type="http://schemas.openxmlformats.org/officeDocument/2006/relationships/hyperlink" Target="https://circabc.europa.eu/ui/group/cd69a4b9-1a68-4d6c-9c48-77c0399f225d/library/2922dd49-80d6-4fd1-b510-812dab4da6be/details" TargetMode="External"/><Relationship Id="rId38" Type="http://schemas.openxmlformats.org/officeDocument/2006/relationships/hyperlink" Target="https://reform-support.ec.europa.eu/index_mt" TargetMode="External"/><Relationship Id="rId46" Type="http://schemas.openxmlformats.org/officeDocument/2006/relationships/hyperlink" Target="https://unece.org/emissions-reporting" TargetMode="External"/><Relationship Id="rId2" Type="http://schemas.openxmlformats.org/officeDocument/2006/relationships/hyperlink" Target="https://www.unece.org/environmental-policy/conventions/envlrtapwelcome/the-air-convention-and-its-protocols/the-convention-and-its-achievements.html" TargetMode="External"/><Relationship Id="rId16" Type="http://schemas.openxmlformats.org/officeDocument/2006/relationships/hyperlink" Target="https://www.ceip.at/reporting-instructions/annexes-to-the-2023-reporting-guidelines" TargetMode="External"/><Relationship Id="rId20" Type="http://schemas.openxmlformats.org/officeDocument/2006/relationships/hyperlink" Target="https://www.eea.europa.eu/data-and-maps/dashboards/overview-of-compliant-air-pollution-policies" TargetMode="External"/><Relationship Id="rId29" Type="http://schemas.openxmlformats.org/officeDocument/2006/relationships/hyperlink" Target="https://discomap.eea.europa.eu/atlas/?page=Combined-risks-and-inequalities&amp;views=PM%E2%82%82.%E2%82%85-vs-GDP" TargetMode="External"/><Relationship Id="rId41" Type="http://schemas.openxmlformats.org/officeDocument/2006/relationships/hyperlink" Target="https://www.eea.europa.eu/themes/air/air-quality-index" TargetMode="External"/><Relationship Id="rId1" Type="http://schemas.openxmlformats.org/officeDocument/2006/relationships/hyperlink" Target="http://www.unece.org/env/lrtap/status/lrtap_s.html" TargetMode="External"/><Relationship Id="rId6" Type="http://schemas.openxmlformats.org/officeDocument/2006/relationships/hyperlink" Target="https://environment.ec.europa.eu/topics/air/clean-air-outlook_en" TargetMode="External"/><Relationship Id="rId11" Type="http://schemas.openxmlformats.org/officeDocument/2006/relationships/hyperlink" Target="https://environment.ec.europa.eu/topics/air/reducing-emissions-air-pollutants/emissions-inventories_en" TargetMode="External"/><Relationship Id="rId24" Type="http://schemas.openxmlformats.org/officeDocument/2006/relationships/hyperlink" Target="https://www.eea.europa.eu/en/analysis/indicators/health-impacts-of-exposure-to" TargetMode="External"/><Relationship Id="rId32" Type="http://schemas.openxmlformats.org/officeDocument/2006/relationships/hyperlink" Target="https://circabc.europa.eu/ui/group/cd69a4b9-1a68-4d6c-9c48-77c0399f225d/library/85f4b9c0-e232-42b7-9940-9262f75ac625/details" TargetMode="External"/><Relationship Id="rId37" Type="http://schemas.openxmlformats.org/officeDocument/2006/relationships/hyperlink" Target="https://environment.ec.europa.eu/law-and-governance/environmental-implementation-review/peer-2-peer_en" TargetMode="External"/><Relationship Id="rId40" Type="http://schemas.openxmlformats.org/officeDocument/2006/relationships/hyperlink" Target="https://cds.climate.copernicus.eu/cdsapp" TargetMode="External"/><Relationship Id="rId45" Type="http://schemas.openxmlformats.org/officeDocument/2006/relationships/hyperlink" Target="https://ec.europa.eu/environment/air/policy/index.htm" TargetMode="External"/><Relationship Id="rId5" Type="http://schemas.openxmlformats.org/officeDocument/2006/relationships/hyperlink" Target="https://ec.europa.eu/commission/presscorner/detail/mt/INF_21_2743" TargetMode="External"/><Relationship Id="rId15" Type="http://schemas.openxmlformats.org/officeDocument/2006/relationships/hyperlink" Target="https://environment.ec.europa.eu/topics/air/reducing-emissions-air-pollutants/national-air-pollution-control-programmes-and-projections_en" TargetMode="External"/><Relationship Id="rId23" Type="http://schemas.openxmlformats.org/officeDocument/2006/relationships/hyperlink" Target="https://www.eea.europa.eu/data-and-maps/dashboards/necd-directive-data-viewer-7" TargetMode="External"/><Relationship Id="rId28" Type="http://schemas.openxmlformats.org/officeDocument/2006/relationships/hyperlink" Target="https://www.eea.europa.eu/en/analysis/indicators/income-related-environmental-inequalities-associated" TargetMode="External"/><Relationship Id="rId36" Type="http://schemas.openxmlformats.org/officeDocument/2006/relationships/hyperlink" Target="https://circabc.europa.eu/ui/group/cd69a4b9-1a68-4d6c-9c48-77c0399f225d/library/b879b074-ef81-4221-b463-d334595e03d8/details?download=true" TargetMode="External"/><Relationship Id="rId49" Type="http://schemas.openxmlformats.org/officeDocument/2006/relationships/hyperlink" Target="https://www.consilium.europa.eu/mt/press/press-releases/2024/02/20/air-quality-council-and-parliament-strike-deal-to-strengthen-standards-in-the-eu/" TargetMode="External"/><Relationship Id="rId10" Type="http://schemas.openxmlformats.org/officeDocument/2006/relationships/hyperlink" Target="https://ec.europa.eu/commission/presscorner/detail/mt/inf_23_5380" TargetMode="External"/><Relationship Id="rId19" Type="http://schemas.openxmlformats.org/officeDocument/2006/relationships/hyperlink" Target="https://circabc.europa.eu/ui/group/cd69a4b9-1a68-4d6c-9c48-77c0399f225d/library/52f82bad-1dae-4ead-869c-d2bf757621f2/details" TargetMode="External"/><Relationship Id="rId31" Type="http://schemas.openxmlformats.org/officeDocument/2006/relationships/hyperlink" Target="https://ec.europa.eu/environment/air/reduction/ecosysmonitoring.htm" TargetMode="External"/><Relationship Id="rId44" Type="http://schemas.openxmlformats.org/officeDocument/2006/relationships/hyperlink" Target="https://commission.europa.eu/strategy-and-policy/eu-budget/performance-and-reporting/horizontal-priorities/green-budgeting/clean-air-tracking_en" TargetMode="External"/><Relationship Id="rId4" Type="http://schemas.openxmlformats.org/officeDocument/2006/relationships/hyperlink" Target="https://environment.ec.europa.eu/topics/air/air-pollution-key-sectors_en" TargetMode="External"/><Relationship Id="rId9" Type="http://schemas.openxmlformats.org/officeDocument/2006/relationships/hyperlink" Target="https://ec.europa.eu/commission/presscorner/detail/mt/inf_23_142" TargetMode="External"/><Relationship Id="rId14" Type="http://schemas.openxmlformats.org/officeDocument/2006/relationships/hyperlink" Target="https://circabc.europa.eu/ui/group/cd69a4b9-1a68-4d6c-9c48-77c0399f225d/library/603dbb7c-7d0a-4d71-b46e-ffc34a006df8/details" TargetMode="External"/><Relationship Id="rId22" Type="http://schemas.openxmlformats.org/officeDocument/2006/relationships/hyperlink" Target="https://circabc.europa.eu/ui/group/cd69a4b9-1a68-4d6c-9c48-77c0399f225d/library/52f82bad-1dae-4ead-869c-d2bf757621f2/details" TargetMode="External"/><Relationship Id="rId27" Type="http://schemas.openxmlformats.org/officeDocument/2006/relationships/hyperlink" Target="https://www.eea.europa.eu/publications/europes-air-quality-status-2023" TargetMode="External"/><Relationship Id="rId30" Type="http://schemas.openxmlformats.org/officeDocument/2006/relationships/hyperlink" Target="https://www.eea.europa.eu/en/analysis/indicators/eutrophication-caused-by-atmospheric-nitrogen" TargetMode="External"/><Relationship Id="rId35" Type="http://schemas.openxmlformats.org/officeDocument/2006/relationships/hyperlink" Target="https://environment.ec.europa.eu/strategy/zero-pollution-stakeholder-platform_en" TargetMode="External"/><Relationship Id="rId43" Type="http://schemas.openxmlformats.org/officeDocument/2006/relationships/hyperlink" Target="https://commission.europa.eu/strategy-and-policy/eu-budget/performance-and-reporting/horizontal-priorities/green-budgeting/clean-air-tracking_en" TargetMode="External"/><Relationship Id="rId48" Type="http://schemas.openxmlformats.org/officeDocument/2006/relationships/hyperlink" Target="https://unece.org/gothenburg-protocol" TargetMode="External"/><Relationship Id="rId8" Type="http://schemas.openxmlformats.org/officeDocument/2006/relationships/hyperlink" Target="https://www.eea.europa.eu/publications/national-emission-reduction-commitments-directive-202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 2'!$A$2</c:f>
              <c:strCache>
                <c:ptCount val="1"/>
                <c:pt idx="0">
                  <c:v>NH₃</c:v>
                </c:pt>
              </c:strCache>
            </c:strRef>
          </c:tx>
          <c:spPr>
            <a:ln w="15875" cap="rnd">
              <a:solidFill>
                <a:schemeClr val="accent1"/>
              </a:solidFill>
              <a:round/>
            </a:ln>
            <a:effectLst/>
          </c:spPr>
          <c:marker>
            <c:symbol val="none"/>
          </c:marker>
          <c:cat>
            <c:strRef>
              <c:f>'Sheet 2'!$B$1:$R$1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'Sheet 2'!$B$2:$R$2</c:f>
              <c:numCache>
                <c:formatCode>0%</c:formatCode>
                <c:ptCount val="17"/>
                <c:pt idx="0">
                  <c:v>1</c:v>
                </c:pt>
                <c:pt idx="1">
                  <c:v>0.99050601013283468</c:v>
                </c:pt>
                <c:pt idx="2">
                  <c:v>0.99411111939725183</c:v>
                </c:pt>
                <c:pt idx="3">
                  <c:v>0.97010030589223473</c:v>
                </c:pt>
                <c:pt idx="4">
                  <c:v>0.95219830417280471</c:v>
                </c:pt>
                <c:pt idx="5">
                  <c:v>0.93919016414876177</c:v>
                </c:pt>
                <c:pt idx="6">
                  <c:v>0.9336024476688346</c:v>
                </c:pt>
                <c:pt idx="7">
                  <c:v>0.93070245192993173</c:v>
                </c:pt>
                <c:pt idx="8">
                  <c:v>0.92738537864650317</c:v>
                </c:pt>
                <c:pt idx="9">
                  <c:v>0.93322386134510305</c:v>
                </c:pt>
                <c:pt idx="10">
                  <c:v>0.9403140159865705</c:v>
                </c:pt>
                <c:pt idx="11">
                  <c:v>0.94367298879290129</c:v>
                </c:pt>
                <c:pt idx="12">
                  <c:v>0.94667056917334935</c:v>
                </c:pt>
                <c:pt idx="13">
                  <c:v>0.93524429960921984</c:v>
                </c:pt>
                <c:pt idx="14">
                  <c:v>0.91097111554403665</c:v>
                </c:pt>
                <c:pt idx="15">
                  <c:v>0.90102380465889498</c:v>
                </c:pt>
                <c:pt idx="16">
                  <c:v>0.87920820566586722</c:v>
                </c:pt>
              </c:numCache>
            </c:numRef>
          </c:val>
          <c:smooth val="0"/>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C12E-4BAB-BF35-EC9C45AB3DF8}"/>
            </c:ext>
          </c:extLst>
        </c:ser>
        <c:ser>
          <c:idx val="1"/>
          <c:order val="1"/>
          <c:tx>
            <c:strRef>
              <c:f>'Sheet 2'!$A$3</c:f>
              <c:strCache>
                <c:ptCount val="1"/>
                <c:pt idx="0">
                  <c:v>NMVOC</c:v>
                </c:pt>
              </c:strCache>
            </c:strRef>
          </c:tx>
          <c:spPr>
            <a:ln w="15875" cap="rnd">
              <a:solidFill>
                <a:schemeClr val="accent2"/>
              </a:solidFill>
              <a:round/>
            </a:ln>
            <a:effectLst/>
          </c:spPr>
          <c:marker>
            <c:symbol val="none"/>
          </c:marker>
          <c:cat>
            <c:strRef>
              <c:f>'Sheet 2'!$B$1:$R$1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'Sheet 2'!$B$3:$R$3</c:f>
              <c:numCache>
                <c:formatCode>0%</c:formatCode>
                <c:ptCount val="17"/>
                <c:pt idx="0">
                  <c:v>1</c:v>
                </c:pt>
                <c:pt idx="1">
                  <c:v>0.97894779117624142</c:v>
                </c:pt>
                <c:pt idx="2">
                  <c:v>0.94119624816087388</c:v>
                </c:pt>
                <c:pt idx="3">
                  <c:v>0.91294142827173963</c:v>
                </c:pt>
                <c:pt idx="4">
                  <c:v>0.8579152935470411</c:v>
                </c:pt>
                <c:pt idx="5">
                  <c:v>0.85629477101935891</c:v>
                </c:pt>
                <c:pt idx="6">
                  <c:v>0.81113578088948524</c:v>
                </c:pt>
                <c:pt idx="7">
                  <c:v>0.7938643389336083</c:v>
                </c:pt>
                <c:pt idx="8">
                  <c:v>0.76987092844491445</c:v>
                </c:pt>
                <c:pt idx="9">
                  <c:v>0.74330665477652247</c:v>
                </c:pt>
                <c:pt idx="10">
                  <c:v>0.73774248808950116</c:v>
                </c:pt>
                <c:pt idx="11">
                  <c:v>0.73123835546917437</c:v>
                </c:pt>
                <c:pt idx="12">
                  <c:v>0.73736338259947953</c:v>
                </c:pt>
                <c:pt idx="13">
                  <c:v>0.72297885205579426</c:v>
                </c:pt>
                <c:pt idx="14">
                  <c:v>0.70701273037274293</c:v>
                </c:pt>
                <c:pt idx="15">
                  <c:v>0.70229216702824693</c:v>
                </c:pt>
                <c:pt idx="16">
                  <c:v>0.70673957767487749</c:v>
                </c:pt>
              </c:numCache>
            </c:numRef>
          </c:val>
          <c:smooth val="0"/>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C12E-4BAB-BF35-EC9C45AB3DF8}"/>
            </c:ext>
          </c:extLst>
        </c:ser>
        <c:ser>
          <c:idx val="2"/>
          <c:order val="2"/>
          <c:tx>
            <c:strRef>
              <c:f>'Sheet 2'!$A$4</c:f>
              <c:strCache>
                <c:ptCount val="1"/>
                <c:pt idx="0">
                  <c:v>NOₓ</c:v>
                </c:pt>
              </c:strCache>
            </c:strRef>
          </c:tx>
          <c:spPr>
            <a:ln w="15875" cap="rnd">
              <a:solidFill>
                <a:schemeClr val="accent3"/>
              </a:solidFill>
              <a:round/>
            </a:ln>
            <a:effectLst/>
          </c:spPr>
          <c:marker>
            <c:symbol val="none"/>
          </c:marker>
          <c:cat>
            <c:strRef>
              <c:f>'Sheet 2'!$B$1:$R$1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'Sheet 2'!$B$4:$R$4</c:f>
              <c:numCache>
                <c:formatCode>0%</c:formatCode>
                <c:ptCount val="17"/>
                <c:pt idx="0">
                  <c:v>1</c:v>
                </c:pt>
                <c:pt idx="1">
                  <c:v>0.97770717533705398</c:v>
                </c:pt>
                <c:pt idx="2">
                  <c:v>0.94993499986851904</c:v>
                </c:pt>
                <c:pt idx="3">
                  <c:v>0.88860692712263489</c:v>
                </c:pt>
                <c:pt idx="4">
                  <c:v>0.82274348825623378</c:v>
                </c:pt>
                <c:pt idx="5">
                  <c:v>0.80435688870287025</c:v>
                </c:pt>
                <c:pt idx="6">
                  <c:v>0.77826223760221425</c:v>
                </c:pt>
                <c:pt idx="7">
                  <c:v>0.74535345564038602</c:v>
                </c:pt>
                <c:pt idx="8">
                  <c:v>0.71507053707976898</c:v>
                </c:pt>
                <c:pt idx="9">
                  <c:v>0.69015496054471503</c:v>
                </c:pt>
                <c:pt idx="10">
                  <c:v>0.67919260678473203</c:v>
                </c:pt>
                <c:pt idx="11">
                  <c:v>0.65780806242267498</c:v>
                </c:pt>
                <c:pt idx="12">
                  <c:v>0.64420712486476139</c:v>
                </c:pt>
                <c:pt idx="13">
                  <c:v>0.61658377430328803</c:v>
                </c:pt>
                <c:pt idx="14">
                  <c:v>0.58040800752949739</c:v>
                </c:pt>
                <c:pt idx="15">
                  <c:v>0.52034787277763939</c:v>
                </c:pt>
                <c:pt idx="16">
                  <c:v>0.52571679993376286</c:v>
                </c:pt>
              </c:numCache>
            </c:numRef>
          </c:val>
          <c:smooth val="0"/>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C12E-4BAB-BF35-EC9C45AB3DF8}"/>
            </c:ext>
          </c:extLst>
        </c:ser>
        <c:ser>
          <c:idx val="3"/>
          <c:order val="3"/>
          <c:tx>
            <c:strRef>
              <c:f>'Sheet 2'!$A$5</c:f>
              <c:strCache>
                <c:ptCount val="1"/>
                <c:pt idx="0">
                  <c:v>PM₂.₅</c:v>
                </c:pt>
              </c:strCache>
            </c:strRef>
          </c:tx>
          <c:spPr>
            <a:ln w="15875" cap="rnd">
              <a:solidFill>
                <a:schemeClr val="accent4"/>
              </a:solidFill>
              <a:round/>
            </a:ln>
            <a:effectLst/>
          </c:spPr>
          <c:marker>
            <c:symbol val="none"/>
          </c:marker>
          <c:cat>
            <c:strRef>
              <c:f>'Sheet 2'!$B$1:$R$1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'Sheet 2'!$B$5:$R$5</c:f>
              <c:numCache>
                <c:formatCode>0%</c:formatCode>
                <c:ptCount val="17"/>
                <c:pt idx="0">
                  <c:v>1</c:v>
                </c:pt>
                <c:pt idx="1">
                  <c:v>0.99273090453630808</c:v>
                </c:pt>
                <c:pt idx="2">
                  <c:v>0.9789238024526421</c:v>
                </c:pt>
                <c:pt idx="3">
                  <c:v>0.97283066893265968</c:v>
                </c:pt>
                <c:pt idx="4">
                  <c:v>0.9438008077840625</c:v>
                </c:pt>
                <c:pt idx="5">
                  <c:v>0.97077126438757777</c:v>
                </c:pt>
                <c:pt idx="6">
                  <c:v>0.89529109159683284</c:v>
                </c:pt>
                <c:pt idx="7">
                  <c:v>0.89691849480656138</c:v>
                </c:pt>
                <c:pt idx="8">
                  <c:v>0.88833557664712315</c:v>
                </c:pt>
                <c:pt idx="9">
                  <c:v>0.8038674213883017</c:v>
                </c:pt>
                <c:pt idx="10">
                  <c:v>0.80410571586546165</c:v>
                </c:pt>
                <c:pt idx="11">
                  <c:v>0.78853527303585236</c:v>
                </c:pt>
                <c:pt idx="12">
                  <c:v>0.77936843107435971</c:v>
                </c:pt>
                <c:pt idx="13">
                  <c:v>0.80237079051987792</c:v>
                </c:pt>
                <c:pt idx="14">
                  <c:v>0.74888092044621879</c:v>
                </c:pt>
                <c:pt idx="15">
                  <c:v>0.70982506099779608</c:v>
                </c:pt>
                <c:pt idx="16">
                  <c:v>0.72551143135225871</c:v>
                </c:pt>
              </c:numCache>
            </c:numRef>
          </c:val>
          <c:smooth val="0"/>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C12E-4BAB-BF35-EC9C45AB3DF8}"/>
            </c:ext>
          </c:extLst>
        </c:ser>
        <c:ser>
          <c:idx val="4"/>
          <c:order val="4"/>
          <c:tx>
            <c:strRef>
              <c:f>'Sheet 2'!$A$6</c:f>
              <c:strCache>
                <c:ptCount val="1"/>
                <c:pt idx="0">
                  <c:v>SO₂</c:v>
                </c:pt>
              </c:strCache>
            </c:strRef>
          </c:tx>
          <c:spPr>
            <a:ln w="15875" cap="rnd">
              <a:solidFill>
                <a:schemeClr val="accent5"/>
              </a:solidFill>
              <a:round/>
            </a:ln>
            <a:effectLst/>
          </c:spPr>
          <c:marker>
            <c:symbol val="none"/>
          </c:marker>
          <c:cat>
            <c:strRef>
              <c:f>'Sheet 2'!$B$1:$R$1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'Sheet 2'!$B$6:$R$6</c:f>
              <c:numCache>
                <c:formatCode>0%</c:formatCode>
                <c:ptCount val="17"/>
                <c:pt idx="0">
                  <c:v>1</c:v>
                </c:pt>
                <c:pt idx="1">
                  <c:v>0.97323733799501733</c:v>
                </c:pt>
                <c:pt idx="2">
                  <c:v>0.93016542783025236</c:v>
                </c:pt>
                <c:pt idx="3">
                  <c:v>0.70105281932245034</c:v>
                </c:pt>
                <c:pt idx="4">
                  <c:v>0.58529201510401763</c:v>
                </c:pt>
                <c:pt idx="5">
                  <c:v>0.51464034047792107</c:v>
                </c:pt>
                <c:pt idx="6">
                  <c:v>0.52814123638082522</c:v>
                </c:pt>
                <c:pt idx="7">
                  <c:v>0.4463478090444995</c:v>
                </c:pt>
                <c:pt idx="8">
                  <c:v>0.38253308100587213</c:v>
                </c:pt>
                <c:pt idx="9">
                  <c:v>0.35401225620005006</c:v>
                </c:pt>
                <c:pt idx="10">
                  <c:v>0.34355861484750205</c:v>
                </c:pt>
                <c:pt idx="11">
                  <c:v>0.2875383403965987</c:v>
                </c:pt>
                <c:pt idx="12">
                  <c:v>0.28156235695925219</c:v>
                </c:pt>
                <c:pt idx="13">
                  <c:v>0.26194720353334394</c:v>
                </c:pt>
                <c:pt idx="14">
                  <c:v>0.22739585364511791</c:v>
                </c:pt>
                <c:pt idx="15">
                  <c:v>0.19863785955680699</c:v>
                </c:pt>
                <c:pt idx="16">
                  <c:v>0.19823056539320541</c:v>
                </c:pt>
              </c:numCache>
            </c:numRef>
          </c:val>
          <c:smooth val="0"/>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C12E-4BAB-BF35-EC9C45AB3DF8}"/>
            </c:ext>
          </c:extLst>
        </c:ser>
        <c:ser>
          <c:idx val="5"/>
          <c:order val="5"/>
          <c:tx>
            <c:strRef>
              <c:f>'Sheet 2'!$A$7</c:f>
              <c:strCache>
                <c:ptCount val="1"/>
                <c:pt idx="0">
                  <c:v>GDP</c:v>
                </c:pt>
              </c:strCache>
            </c:strRef>
          </c:tx>
          <c:spPr>
            <a:ln w="22225" cap="rnd">
              <a:solidFill>
                <a:schemeClr val="accent6"/>
              </a:solidFill>
              <a:prstDash val="sysDot"/>
              <a:round/>
            </a:ln>
            <a:effectLst/>
          </c:spPr>
          <c:marker>
            <c:symbol val="none"/>
          </c:marker>
          <c:cat>
            <c:strRef>
              <c:f>'Sheet 2'!$B$1:$R$1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'Sheet 2'!$B$7:$R$7</c:f>
              <c:numCache>
                <c:formatCode>0%</c:formatCode>
                <c:ptCount val="17"/>
                <c:pt idx="0">
                  <c:v>1</c:v>
                </c:pt>
                <c:pt idx="1">
                  <c:v>1.0545454545454545</c:v>
                </c:pt>
                <c:pt idx="2">
                  <c:v>1.1181818181818182</c:v>
                </c:pt>
                <c:pt idx="3">
                  <c:v>1.1499999999999999</c:v>
                </c:pt>
                <c:pt idx="4">
                  <c:v>1.0954545454545455</c:v>
                </c:pt>
                <c:pt idx="5">
                  <c:v>1.1318181818181818</c:v>
                </c:pt>
                <c:pt idx="6">
                  <c:v>1.1681818181818182</c:v>
                </c:pt>
                <c:pt idx="7">
                  <c:v>1.1727272727272726</c:v>
                </c:pt>
                <c:pt idx="8">
                  <c:v>1.1818181818181819</c:v>
                </c:pt>
                <c:pt idx="9">
                  <c:v>1.209090909090909</c:v>
                </c:pt>
                <c:pt idx="10">
                  <c:v>1.25</c:v>
                </c:pt>
                <c:pt idx="11">
                  <c:v>1.2818181818181817</c:v>
                </c:pt>
                <c:pt idx="12">
                  <c:v>1.3318181818181818</c:v>
                </c:pt>
                <c:pt idx="13">
                  <c:v>1.3772727272727272</c:v>
                </c:pt>
                <c:pt idx="14">
                  <c:v>1.4227272727272726</c:v>
                </c:pt>
                <c:pt idx="15">
                  <c:v>1.3636363636363635</c:v>
                </c:pt>
                <c:pt idx="16">
                  <c:v>1.4727272727272727</c:v>
                </c:pt>
              </c:numCache>
            </c:numRef>
          </c:val>
          <c:smooth val="0"/>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C12E-4BAB-BF35-EC9C45AB3DF8}"/>
            </c:ext>
          </c:extLst>
        </c:ser>
        <c:dLbls>
          <c:showLegendKey val="0"/>
          <c:showVal val="0"/>
          <c:showCatName val="0"/>
          <c:showSerName val="0"/>
          <c:showPercent val="0"/>
          <c:showBubbleSize val="0"/>
        </c:dLbls>
        <c:smooth val="0"/>
        <c:axId val="2077865359"/>
        <c:axId val="2078658335"/>
      </c:lineChart>
      <c:catAx>
        <c:axId val="2077865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658335"/>
        <c:crosses val="autoZero"/>
        <c:auto val="1"/>
        <c:lblAlgn val="ctr"/>
        <c:lblOffset val="100"/>
        <c:noMultiLvlLbl val="0"/>
      </c:catAx>
      <c:valAx>
        <c:axId val="2078658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865359"/>
        <c:crosses val="autoZero"/>
        <c:crossBetween val="between"/>
      </c:valAx>
      <c:spPr>
        <a:noFill/>
        <a:ln>
          <a:noFill/>
        </a:ln>
        <a:effectLst/>
      </c:spPr>
    </c:plotArea>
    <c:legend>
      <c:legendPos val="b"/>
      <c:layout>
        <c:manualLayout>
          <c:xMode val="edge"/>
          <c:yMode val="edge"/>
          <c:x val="8.5813980261054051E-2"/>
          <c:y val="0.91984193204468545"/>
          <c:w val="0.87286433997328428"/>
          <c:h val="8.0158067955314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0.01806</cdr:x>
      <cdr:y>0</cdr:y>
    </cdr:from>
    <cdr:to>
      <cdr:x>0.98893</cdr:x>
      <cdr:y>0.98431</cdr:y>
    </cdr:to>
    <cdr:pic>
      <cdr:nvPicPr>
        <cdr:cNvPr id="2"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1806" r="1107" b="1569"/>
        <a:stretch xmlns:a="http://schemas.openxmlformats.org/drawingml/2006/main"/>
      </cdr:blipFill>
      <cdr:spPr>
        <a:xfrm xmlns:a="http://schemas.openxmlformats.org/drawingml/2006/main">
          <a:off x="88711" y="0"/>
          <a:ext cx="4769892" cy="256577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946F0AA494C4BB25CCD4EAB82602F" ma:contentTypeVersion="4" ma:contentTypeDescription="Create a new document." ma:contentTypeScope="" ma:versionID="0971e72255cbc881cb890b4801863c50">
  <xsd:schema xmlns:xsd="http://www.w3.org/2001/XMLSchema" xmlns:xs="http://www.w3.org/2001/XMLSchema" xmlns:p="http://schemas.microsoft.com/office/2006/metadata/properties" xmlns:ns2="6f72634d-5da9-4e9f-98c3-3013ce1d074f" targetNamespace="http://schemas.microsoft.com/office/2006/metadata/properties" ma:root="true" ma:fieldsID="61c7f304b5308b80b34dcb49193bcb01" ns2:_="">
    <xsd:import namespace="6f72634d-5da9-4e9f-98c3-3013ce1d07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2634d-5da9-4e9f-98c3-3013ce1d0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LabelFormattedTableSeqEC>Table {field: SEQ Table \* ARABIC }: </LabelFormattedTableSeqEC>
  <MarkingUntilText>UNTIL</MarkingUntilText>
  <OrgaRoot>EUROPEAN COMMISSION</OrgaRoot>
  <SecurityPharma>Pharma Investigations</SecurityPharma>
  <ClimaSensitive>CLIMA</ClimaSensitive>
  <TechHistoryCreatedBy>Document created by</TechHistoryCreatedBy>
  <TechHistoryDate>Date</TechHistoryDate>
  <TechHistory>Document History</TechHistory>
  <TechHistoryComment>Comment</TechHistoryComment>
  <TechHistoryVersion>Version</TechHistoryVersion>
  <SecurityEmbargo>EMBARGO UNTIL</SecurityEmbargo>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LabelTableSeqWChapter>Table { STYLEREF "Chapter Number" \s }.{ SEQ Table \* ARABIC } – </LabelTableSeqWChapter>
  <LabelSource>Source</LabelSource>
  <LabelTableSeqEC>Table {SEQ Table \* ARABIC }: </LabelTableSeqEC>
  <EmbargoUnlimited>Embargo (Unlimited)</EmbargoUnlimited>
  <SecurityCompOperations>COMP Operations</SecurityCompOperations>
  <SecurityOpinionLegalService>Opinion of the Legal Service</SecurityOpinionLegalService>
  <FooterPhone>Tel. direct line</FooterPhone>
  <FooterFax>Fax</FooterFax>
  <FooterOffice>Office:</FooterOffice>
  <PharmaSpecialHandlingLabel>Pharma Investigations</PharmaSpecialHandlingLabel>
  <SpecialHandlingFootnote>Special handling instructions are given at </SpecialHandlingFootnote>
  <PharmaSpecialHandlingHyperlink>{field:HYPERLINK "https://myintracomm.ec.europa.eu/corp/security/EN/newDS3/SensitiveInformation/Pages/SPECIAL-HANDLING-INFORMATION-Pharma-investigations.aspx?ln=en" |https://myintracomm.ec.europa.eu/corp/security/EN/newDS3/SensitiveInformation/Pages/SPECIAL-HANDLING-INFORMATION-Pharma-investigations.aspx?ln=en}</PharmaSpecialHandlingHyperlink>
  <SpecialHandlingLabel>Special Handling</SpecialHandlingLabel>
  <TOCHeading>Table of Contents</TOCHeading>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SecurityStaffMatter>Staff Matter</SecurityStaffMatter>
  <SecurityMediationServiceMatter>Mediation Service</SecurityMediationServiceMatter>
  <LabelFigureSeqEC>Figure {SEQ Figure \* ARABIC }: </LabelFigureSeqEC>
  <LabelFigureSeqWChapter>Table {field: STYLEREF "Chapter Number" \s }.{field: SEQ Table \* ARABIC } –</LabelFigureSeqWChapter>
  <SecurityReleasable>RELEASABLE TO:</SecurityReleasable>
  <LabelPictureSeq>Figure {SEQ Figure \* ARABIC }: </LabelPictureSeq>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"https://myintracomm.ec.europa.eu/corp/security/EN/newDS3/SensitiveInformation/Pages/SPECIAL-HANDLING-INFORMATION-DG-COMP.aspx?ln=en" |https://myintracomm.ec.europa.eu/corp/security/EN/newDS3/SensitiveInformation/Pages/SPECIAL-HANDLING-INFORMATION-DG-COMP.aspx?ln=en}</COMPSpecialHandlingHyperlink>
  <DateFormatShort>dd/MM/yyyy</DateFormatShort>
  <DateFormatLong>d MMMM yyyy</DateFormatLong>
</Texts>
</file>

<file path=customXml/item3.xml><?xml version="1.0" encoding="utf-8"?>
<Author Role="Creator" AuthorRoleName="Writer" AuthorRoleId="a4fbaff4-b07c-48b4-a21e-e7b9eedf3796">
  <Id>267b1aae-85c0-4bf9-9498-2605ab0a432d</Id>
  <Names>
    <Latin>
      <FirstName>Bettina</FirstName>
      <LastName>KRETSCHMER</LastName>
    </Latin>
    <Greek>
      <FirstName/>
      <LastName/>
    </Greek>
    <Cyrillic>
      <FirstName/>
      <LastName/>
    </Cyrillic>
    <DocumentScript>
      <FirstName>Bettina</FirstName>
      <LastName>KRETSCHMER</LastName>
      <FullName>Bettina KRETSCHMER</FullName>
    </DocumentScript>
  </Names>
  <Initials>BK</Initials>
  <Gender>f</Gender>
  <Email>Bettina.KRETSCHMER@ec.europa.eu</Email>
  <Service>ENV.C.3</Service>
  <Function ADCode="" ShowInSignature="true" ShowInHeader="false" HeaderText=""/>
  <WebAddress/>
  <FunctionalMailbox/>
  <InheritedWebAddress>WebAddress</InheritedWebAddress>
  <OrgaEntity1>
    <Id>3582fddc-c2e6-4f76-9feb-24293efccb2e</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ec1fb1a9-e52f-4204-8191-023f29a55830</Id>
    <LogicalLevel>2</LogicalLevel>
    <Name>ENV.C</Name>
    <HeadLine1>Directorate C – Zero Pollution</HeadLine1>
    <HeadLine2/>
    <PrimaryAddressId>f03b5801-04c9-4931-aa17-c6d6c70bc579</PrimaryAddressId>
    <SecondaryAddressId/>
    <WebAddress/>
    <InheritedWebAddress>WebAddress</InheritedWebAddress>
    <ShowInHeader>true</ShowInHeader>
  </OrgaEntity2>
  <OrgaEntity3>
    <Id>61879d75-dd7a-47f7-9991-db481e786678</Id>
    <LogicalLevel>3</LogicalLevel>
    <Name>ENV.C.3</Name>
    <HeadLine1>ENV.C.3 – Clean Air &amp; Urban Policy</HeadLine1>
    <HeadLine2/>
    <PrimaryAddressId>f03b5801-04c9-4931-aa17-c6d6c70bc579</PrimaryAddressId>
    <SecondaryAddressId/>
    <WebAddress/>
    <InheritedWebAddress>WebAddress</InheritedWebAddress>
    <ShowInHeader>true</ShowInHeader>
  </OrgaEntity3>
  <Hierarchy>
    <OrgaEntity>
      <Id>3582fddc-c2e6-4f76-9feb-24293efccb2e</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
    <OrgaEntity>
      <Id>ec1fb1a9-e52f-4204-8191-023f29a55830</Id>
      <LogicalLevel>2</LogicalLevel>
      <Name>ENV.C</Name>
      <HeadLine1>Directorate C – Zero Pollution</HeadLine1>
      <HeadLine2/>
      <PrimaryAddressId>f03b5801-04c9-4931-aa17-c6d6c70bc579</PrimaryAddressId>
      <SecondaryAddressId/>
      <WebAddress/>
      <InheritedWebAddress>WebAddress</InheritedWebAddress>
      <ShowInHeader>true</ShowInHeader>
    </OrgaEntity>
    <OrgaEntity>
      <Id>61879d75-dd7a-47f7-9991-db481e786678</Id>
      <LogicalLevel>3</LogicalLevel>
      <Name>ENV.C.3</Name>
      <HeadLine1>ENV.C.3 – Clean Air &amp; Urban Policy</HeadLine1>
      <HeadLine2/>
      <PrimaryAddressId>f03b5801-04c9-4931-aa17-c6d6c70bc579</PrimaryAddressId>
      <SecondaryAddressId/>
      <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f03b5801-04c9-4931-aa17-c6d6c70bc579</AddressId>
    <Fax/>
    <Phone>+32 229-61058</Phone>
    <Office>BRE2 07/DCS</Office>
  </MainWorkplace>
  <Workplaces>
    <Workplace IsMain="true">
      <AddressId>f03b5801-04c9-4931-aa17-c6d6c70bc579</AddressId>
      <Fax/>
      <Phone>+32 229-61058</Phone>
      <Office>BRE2 07/DCS</Office>
    </Workplace>
  </Workplaces>
</Author>
</file>

<file path=customXml/item4.xml><?xml version="1.0" encoding="utf-8"?>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EurolookProperties>
  <ProductCustomizationId>EC</ProductCustomizationId>
  <Created>
    <Version>10.0.44709.0</Version>
    <Date>2023-06-09T10:21:55</Date>
    <Language>EN</Language>
    <Note>Created using 'Convert To Eurolook'</Note>
  </Created>
  <Edited>
    <Version/>
    <Date/>
  </Edited>
  <DocumentModel>
    <Id>6cbda13a-4db2-46c6-876a-ef72275827ef</Id>
    <Name>Report</Name>
  </DocumentModel>
  <CustomTemplate>
    <Id/>
    <Name/>
  </CustomTemplate>
  <DocumentDate>2023-06-09T10:21:55</DocumentDate>
  <DocumentVersion>0.1</DocumentVersion>
  <CompatibilityMode>Eurolook10</CompatibilityMode>
  <DocumentMetadata>
    <EC_SecurityDateMarkingEvent MetadataSerializationType="SimpleValue"/>
    <EC_SecurityDistributionWorkingGroup MetadataSerializationType="SimpleValue"/>
    <EC_SecurityDistributionSpecialHandling MetadataSerializationType="SimpleValue"/>
    <EC_SecurityDistributionSensitive MetadataSerializationType="SimpleValue"/>
    <EC_SecurityDistributionDG MetadataSerializationType="SimpleValue"/>
    <EC_SecurityDateMarkingDate MetadataSerializationType="SimpleValue"/>
    <EC_SecurityMarking MetadataSerializationType="SimpleValue"/>
    <EC_SecurityReleasability MetadataSerializationType="SimpleValue"/>
    <EC_SecurityDateMarking MetadataSerializationType="SimpleValue"/>
  </DocumentMetadata>
</Eurolook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208DB-EAA4-468F-99EF-A1741CE78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2634d-5da9-4e9f-98c3-3013ce1d0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AEF8ECF9-7BC3-4A04-9559-018B85C8102A}">
  <ds:schemaRefs/>
</ds:datastoreItem>
</file>

<file path=customXml/itemProps4.xml><?xml version="1.0" encoding="utf-8"?>
<ds:datastoreItem xmlns:ds="http://schemas.openxmlformats.org/officeDocument/2006/customXml" ds:itemID="{45B8CE28-C3B1-4573-A6F3-72BAC95546F4}">
  <ds:schemaRefs>
    <ds:schemaRef ds:uri="http://schemas.microsoft.com/sharepoint/v3/contenttype/forms"/>
  </ds:schemaRefs>
</ds:datastoreItem>
</file>

<file path=customXml/itemProps5.xml><?xml version="1.0" encoding="utf-8"?>
<ds:datastoreItem xmlns:ds="http://schemas.openxmlformats.org/officeDocument/2006/customXml" ds:itemID="{B649EA8D-2391-400C-8D4D-F45291589FB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B61CB49D-4AC1-4216-BFB5-4CAD2A5F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8282</Words>
  <Characters>47212</Characters>
  <Application>Microsoft Office Word</Application>
  <DocSecurity>0</DocSecurity>
  <PresentationFormat>Microsoft Word 14.0</PresentationFormat>
  <Lines>393</Lines>
  <Paragraphs>110</Paragraphs>
  <ScaleCrop>true</ScaleCrop>
  <HeadingPairs>
    <vt:vector size="2" baseType="variant">
      <vt:variant>
        <vt:lpstr>Title</vt:lpstr>
      </vt:variant>
      <vt:variant>
        <vt:i4>1</vt:i4>
      </vt:variant>
    </vt:vector>
  </HeadingPairs>
  <TitlesOfParts>
    <vt:vector size="1" baseType="lpstr">
      <vt:lpstr>Re</vt:lpstr>
    </vt:vector>
  </TitlesOfParts>
  <Manager/>
  <Company/>
  <LinksUpToDate>false</LinksUpToDate>
  <CharactersWithSpaces>55384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c:title>
  <dc:subject/>
  <dc:creator/>
  <cp:keywords/>
  <dc:description/>
  <cp:lastModifiedBy/>
  <cp:revision>8</cp:revision>
  <dcterms:created xsi:type="dcterms:W3CDTF">2024-05-06T08:26:00Z</dcterms:created>
  <dcterms:modified xsi:type="dcterms:W3CDTF">2024-07-25T06:57:00Z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2023-06-09T08:21:55Z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aba3a775-6102-4f9f-b8ae-bf8acee90727</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_LW_INVALIDATED_EurolookVersion">
    <vt:lpwstr>10.0</vt:lpwstr>
  </property>
  <property fmtid="{D5CDD505-2E9C-101B-9397-08002B2CF9AE}" pid="11" name="_LW_INVALIDATED_ELDocType">
    <vt:lpwstr>rep.dot</vt:lpwstr>
  </property>
  <property fmtid="{D5CDD505-2E9C-101B-9397-08002B2CF9AE}" pid="12" name="Part">
    <vt:lpwstr>1</vt:lpwstr>
  </property>
  <property fmtid="{D5CDD505-2E9C-101B-9397-08002B2CF9AE}" pid="13" name="Total parts">
    <vt:lpwstr>1</vt:lpwstr>
  </property>
  <property fmtid="{D5CDD505-2E9C-101B-9397-08002B2CF9AE}" pid="14" name="DocStatus">
    <vt:lpwstr>Green</vt:lpwstr>
  </property>
  <property fmtid="{D5CDD505-2E9C-101B-9397-08002B2CF9AE}" pid="15" name="CPTemplateID">
    <vt:lpwstr>CP-005</vt:lpwstr>
  </property>
  <property fmtid="{D5CDD505-2E9C-101B-9397-08002B2CF9AE}" pid="16" name="Last edited using">
    <vt:lpwstr>LW 9.0, Build 20230317</vt:lpwstr>
  </property>
  <property fmtid="{D5CDD505-2E9C-101B-9397-08002B2CF9AE}" pid="17" name="Created using">
    <vt:lpwstr>LW 9.0, Build 20230317</vt:lpwstr>
  </property>
  <property fmtid="{D5CDD505-2E9C-101B-9397-08002B2CF9AE}" pid="18" name="ContentTypeId">
    <vt:lpwstr>0x010100F08946F0AA494C4BB25CCD4EAB82602F</vt:lpwstr>
  </property>
  <property name="OP_sanitized" fmtid="{D5CDD505-2E9C-101B-9397-08002B2CF9AE}" pid="19">
    <vt:lpwstr>True</vt:lpwstr>
  </property>
</Properties>
</file>