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90BB8" w14:textId="52CD846C" w:rsidR="00EF47EE" w:rsidRPr="00DE6EE5" w:rsidRDefault="006E12D3" w:rsidP="006E12D3">
      <w:pPr>
        <w:pStyle w:val="Pagedecouverture"/>
        <w:rPr>
          <w:noProof/>
        </w:rPr>
      </w:pPr>
      <w:bookmarkStart w:id="0" w:name="_Toc131587992"/>
      <w:bookmarkStart w:id="1" w:name="_Hlk130923431"/>
      <w:bookmarkStart w:id="2" w:name="LW_BM_COVERPAGE"/>
      <w:r>
        <w:rPr>
          <w:noProof/>
        </w:rPr>
        <w:pict w14:anchorId="39919C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F6FD8895-92E1-47EA-88F4-2CD5C2608001" style="width:455.25pt;height:365.25pt">
            <v:imagedata r:id="rId11" o:title=""/>
          </v:shape>
        </w:pict>
      </w:r>
    </w:p>
    <w:bookmarkEnd w:id="2"/>
    <w:p w14:paraId="6B26E0D0" w14:textId="77777777" w:rsidR="00EF47EE" w:rsidRPr="00DE6EE5" w:rsidRDefault="00EF47EE" w:rsidP="00EF47EE">
      <w:pPr>
        <w:rPr>
          <w:noProof/>
        </w:rPr>
        <w:sectPr w:rsidR="00EF47EE" w:rsidRPr="00DE6EE5" w:rsidSect="006E12D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3DB1FEA1" w14:textId="3FCCF3EB" w:rsidR="006D5FC4" w:rsidRPr="00DE6EE5" w:rsidRDefault="00C71F87" w:rsidP="007458A9">
      <w:pPr>
        <w:pStyle w:val="Heading2"/>
        <w:numPr>
          <w:ilvl w:val="0"/>
          <w:numId w:val="4"/>
        </w:numPr>
        <w:rPr>
          <w:noProof/>
        </w:rPr>
      </w:pPr>
      <w:bookmarkStart w:id="3" w:name="_GoBack"/>
      <w:bookmarkEnd w:id="0"/>
      <w:bookmarkEnd w:id="3"/>
      <w:r>
        <w:rPr>
          <w:noProof/>
        </w:rPr>
        <w:lastRenderedPageBreak/>
        <w:t>Introduzzjoni</w:t>
      </w:r>
    </w:p>
    <w:p w14:paraId="186DF937" w14:textId="45B33628" w:rsidR="00DF6EC8" w:rsidRDefault="00C71F87" w:rsidP="006D5FC4">
      <w:pPr>
        <w:pStyle w:val="Text1"/>
        <w:ind w:left="0"/>
        <w:rPr>
          <w:rStyle w:val="normaltextrun"/>
          <w:noProof/>
          <w:color w:val="000000"/>
          <w:bdr w:val="none" w:sz="0" w:space="0" w:color="auto" w:frame="1"/>
        </w:rPr>
      </w:pPr>
      <w:r>
        <w:rPr>
          <w:noProof/>
        </w:rPr>
        <w:t>Ir-Regolament (UE) 2016/1011 tal-Parlament Ewropew u tal-Kunsill</w:t>
      </w:r>
      <w:r w:rsidR="00FF135F">
        <w:rPr>
          <w:rStyle w:val="FootnoteReference"/>
          <w:noProof/>
        </w:rPr>
        <w:footnoteReference w:id="2"/>
      </w:r>
      <w:r>
        <w:rPr>
          <w:noProof/>
        </w:rPr>
        <w:t xml:space="preserve"> ġie adottat fit-8 ta’ Ġunju 2016. Ir-Regolament (UE) Nru 2016/1011 ġie emendat sussegwentement bir-Regolament (UE) 2019/2089 tal-Parlament Ewropew u tal-Kunsill</w:t>
      </w:r>
      <w:r w:rsidR="00FF135F">
        <w:rPr>
          <w:rStyle w:val="FootnoteReference"/>
          <w:noProof/>
        </w:rPr>
        <w:footnoteReference w:id="3"/>
      </w:r>
      <w:r>
        <w:rPr>
          <w:noProof/>
        </w:rPr>
        <w:t>, bir-Regolament (UE) Nru 2019/2175 tal-Parlament Ewropew u tal-Kunsill</w:t>
      </w:r>
      <w:r w:rsidR="00FF135F">
        <w:rPr>
          <w:rStyle w:val="FootnoteReference"/>
          <w:noProof/>
        </w:rPr>
        <w:footnoteReference w:id="4"/>
      </w:r>
      <w:r>
        <w:rPr>
          <w:noProof/>
        </w:rPr>
        <w:t>, bir-</w:t>
      </w:r>
      <w:r>
        <w:rPr>
          <w:rStyle w:val="normaltextrun"/>
          <w:noProof/>
          <w:color w:val="000000"/>
          <w:bdr w:val="none" w:sz="0" w:space="0" w:color="auto" w:frame="1"/>
        </w:rPr>
        <w:t>Regolament (UE) Nru 2021/168</w:t>
      </w:r>
      <w:r>
        <w:rPr>
          <w:noProof/>
        </w:rPr>
        <w:t xml:space="preserve"> tal-Parlament Ewropew u tal-Kunsill</w:t>
      </w:r>
      <w:r w:rsidR="00FF135F">
        <w:rPr>
          <w:rStyle w:val="FootnoteReference"/>
          <w:noProof/>
        </w:rPr>
        <w:footnoteReference w:id="5"/>
      </w:r>
      <w:r>
        <w:rPr>
          <w:rStyle w:val="normaltextrun"/>
          <w:noProof/>
          <w:color w:val="000000"/>
          <w:bdr w:val="none" w:sz="0" w:space="0" w:color="auto" w:frame="1"/>
        </w:rPr>
        <w:t xml:space="preserve"> u bir-Regolament (UE) Nru 2023/2869</w:t>
      </w:r>
      <w:r>
        <w:rPr>
          <w:noProof/>
        </w:rPr>
        <w:t xml:space="preserve"> tal-Parlament Ewropew u tal-Kunsill</w:t>
      </w:r>
      <w:r w:rsidR="00FF135F">
        <w:rPr>
          <w:rStyle w:val="FootnoteReference"/>
          <w:noProof/>
        </w:rPr>
        <w:footnoteReference w:id="6"/>
      </w:r>
      <w:r>
        <w:rPr>
          <w:rStyle w:val="normaltextrun"/>
          <w:noProof/>
          <w:color w:val="000000"/>
          <w:bdr w:val="none" w:sz="0" w:space="0" w:color="auto" w:frame="1"/>
        </w:rPr>
        <w:t>.</w:t>
      </w:r>
    </w:p>
    <w:p w14:paraId="3BF0B935" w14:textId="5524A695" w:rsidR="00C71F87" w:rsidRDefault="00C71F87" w:rsidP="00C71F87">
      <w:pPr>
        <w:pStyle w:val="Text1"/>
        <w:ind w:left="0"/>
        <w:rPr>
          <w:noProof/>
        </w:rPr>
      </w:pPr>
      <w:r>
        <w:rPr>
          <w:noProof/>
        </w:rPr>
        <w:t>Ir-Regolament (UE) 2016/1011 introduċa qafas komuni biex tiġi żgurata l-preċiżjoni u l-integrità tal-indiċi użati jew bħala parametri referenzjarji fi strumenti finanzjarji u kuntratti finanzjarji, jew biex titkejjel il-prestazzjoni ta’ fondi ta’ investiment fl-Unjoni.</w:t>
      </w:r>
    </w:p>
    <w:p w14:paraId="5A44B6C2" w14:textId="5A9FE7DD" w:rsidR="005260F8" w:rsidRDefault="005260F8" w:rsidP="005260F8">
      <w:pPr>
        <w:pStyle w:val="Text1"/>
        <w:ind w:left="0"/>
        <w:rPr>
          <w:noProof/>
        </w:rPr>
      </w:pPr>
      <w:r>
        <w:rPr>
          <w:noProof/>
        </w:rPr>
        <w:t xml:space="preserve">Skont l-Artikolu 49(1) tar-Regolament (UE) 2016/1011, il-Kummissjoni ngħatat is-setgħa li tadotta atti delegati.  </w:t>
      </w:r>
    </w:p>
    <w:p w14:paraId="192429F0" w14:textId="30971AF2" w:rsidR="005260F8" w:rsidRPr="00DE6EE5" w:rsidRDefault="005260F8" w:rsidP="005260F8">
      <w:pPr>
        <w:pStyle w:val="Text1"/>
        <w:ind w:left="0"/>
        <w:rPr>
          <w:noProof/>
        </w:rPr>
      </w:pPr>
      <w:r>
        <w:rPr>
          <w:noProof/>
        </w:rPr>
        <w:t>Fir-rigward tal-Artikoli 3(2), 13(2a), 19a(2), 19c(1), 20(6), 24(2), 27(2b), 33(7), 51(6) u 54(3) tar-Regolament (UE) 2016/1011, l-Artikolu 49(2) tar-Regolament (UE) 2016/1011 jipprevedi li l-Kummissjoni tingħata s-setgħa li tadotta atti delegati għal perjodu ta’ ħames snin, li tista’ tiġi estiża b’mod taċitu għal perjodu ulterjuri ta’ durata identika dment li l-Parlament Ewropew jew il-Kunsill ma jopponux mhux aktar tard minn tliet xhur qabel it-tmiem ta’ kull perjodu. Inizjalment, il-perjodu ta’ ħames snin dam mit-30 ta’ Ġunju 2016 sat-30 ta’ Ġunju 2021. Ir-Regolament (UE) 2019/2089 emenda l-Artikolu 49(2) sabiex l-għoti tas-setgħa attwalment jingħata mill-10 ta’ Diċembru 2019 sal-10 ta’ Diċembru 2024, u żied ir-rekwiżit li jitħejja rapport fir-rigward tad-delega tas-setgħa. Dan ir-rapport għandu l-għan li jissodisfa dak ir-rekwiżit.</w:t>
      </w:r>
    </w:p>
    <w:p w14:paraId="08A0F374" w14:textId="77777777" w:rsidR="005260F8" w:rsidRPr="00DE6EE5" w:rsidRDefault="005260F8" w:rsidP="00C71F87">
      <w:pPr>
        <w:pStyle w:val="Text1"/>
        <w:ind w:left="0"/>
        <w:rPr>
          <w:noProof/>
        </w:rPr>
      </w:pPr>
    </w:p>
    <w:p w14:paraId="6AF2D687" w14:textId="6E1EB5D7" w:rsidR="006D5FC4" w:rsidRPr="00DE6EE5" w:rsidRDefault="00C71F87" w:rsidP="007458A9">
      <w:pPr>
        <w:pStyle w:val="Heading2"/>
        <w:numPr>
          <w:ilvl w:val="0"/>
          <w:numId w:val="4"/>
        </w:numPr>
        <w:rPr>
          <w:noProof/>
        </w:rPr>
      </w:pPr>
      <w:r>
        <w:rPr>
          <w:noProof/>
        </w:rPr>
        <w:lastRenderedPageBreak/>
        <w:t>Bażi legali</w:t>
      </w:r>
    </w:p>
    <w:p w14:paraId="209116B6" w14:textId="77777777" w:rsidR="005B0FF1" w:rsidRDefault="00C71F87" w:rsidP="002C5B32">
      <w:pPr>
        <w:rPr>
          <w:noProof/>
        </w:rPr>
      </w:pPr>
      <w:r>
        <w:rPr>
          <w:noProof/>
        </w:rPr>
        <w:t xml:space="preserve">L-Artikolu 49(2) tar-Regolament (UE) 2016/1011 jirrikjedi li l-Kummissjoni tħejji rapport fir-rigward tas-setgħat imsemmija f’dik id-dispożizzjoni qabel tmiem il-perjodu ta’ ħames snin li għalih ikunu ngħataw. </w:t>
      </w:r>
    </w:p>
    <w:p w14:paraId="5F9141BC" w14:textId="531D27EA" w:rsidR="00C71F87" w:rsidRDefault="00C71F87" w:rsidP="002A66CE">
      <w:pPr>
        <w:pStyle w:val="Heading2"/>
        <w:numPr>
          <w:ilvl w:val="0"/>
          <w:numId w:val="4"/>
        </w:numPr>
        <w:rPr>
          <w:noProof/>
        </w:rPr>
      </w:pPr>
      <w:r>
        <w:rPr>
          <w:noProof/>
        </w:rPr>
        <w:t>Eżerċizzju tad-delega</w:t>
      </w:r>
    </w:p>
    <w:p w14:paraId="46447CD5" w14:textId="6181CFFB" w:rsidR="00C71F87" w:rsidRPr="00C71F87" w:rsidRDefault="00C71F87" w:rsidP="00C71F87">
      <w:pPr>
        <w:pStyle w:val="Heading2"/>
        <w:numPr>
          <w:ilvl w:val="1"/>
          <w:numId w:val="4"/>
        </w:numPr>
        <w:rPr>
          <w:noProof/>
        </w:rPr>
      </w:pPr>
      <w:r>
        <w:rPr>
          <w:noProof/>
        </w:rPr>
        <w:t xml:space="preserve">Konsultazzjoni qabel l-adozzjoni </w:t>
      </w:r>
    </w:p>
    <w:p w14:paraId="29949556" w14:textId="4B2F322D" w:rsidR="00C71F87" w:rsidRPr="00C71F87" w:rsidRDefault="00C71F87" w:rsidP="00C71F87">
      <w:pPr>
        <w:pStyle w:val="Text2"/>
        <w:ind w:left="0"/>
        <w:rPr>
          <w:noProof/>
        </w:rPr>
      </w:pPr>
      <w:r>
        <w:rPr>
          <w:rStyle w:val="normaltextrun"/>
          <w:noProof/>
        </w:rPr>
        <w:t>Skont l-Artikolu 49(4</w:t>
      </w:r>
      <w:r>
        <w:rPr>
          <w:noProof/>
        </w:rPr>
        <w:t>) tar-Regolament (UE) 2016/1011, matul it-tħejjija tal-atti delegati, il-Kummissjoni kkonsultat lill-Grupp ta’ Esperti tal-Kumitat Ewropew tat-Titoli (EG ESC, Expert Group of the European Securities Committee). L-Istati Membri kollha ġew mistiedna jinnominaw esperti biex jieħdu sehem f’dawn il-konsultazzjonijiet; il-Parlament Ewropew ġie mistieden jipparteċipa wkoll.</w:t>
      </w:r>
    </w:p>
    <w:p w14:paraId="4431BFE3" w14:textId="07449331" w:rsidR="00C71F87" w:rsidRPr="00C71F87" w:rsidRDefault="00C71F87" w:rsidP="00C71F87">
      <w:pPr>
        <w:pStyle w:val="Text2"/>
        <w:ind w:left="0"/>
        <w:rPr>
          <w:noProof/>
        </w:rPr>
      </w:pPr>
      <w:r>
        <w:rPr>
          <w:noProof/>
        </w:rPr>
        <w:t>Fit-tħejjija tal-verżjonijiet finali tal-atti delegati il-Kummissjoni qieset l-osservazzjonijiet ippreżentati f’dawk il-konsultazzjonijiet. Il-Kummissjoni infurmat ukoll regolarment lill-membri tal-EG ESC dwar il-progress li jkun sar fir-rigward tal-abbozzi tal-atti delegati.</w:t>
      </w:r>
    </w:p>
    <w:p w14:paraId="439B316B" w14:textId="584639B3" w:rsidR="00C71F87" w:rsidRPr="00E74235" w:rsidRDefault="00C36209" w:rsidP="00C71F87">
      <w:pPr>
        <w:pStyle w:val="Text2"/>
        <w:ind w:left="0"/>
        <w:rPr>
          <w:noProof/>
        </w:rPr>
      </w:pPr>
      <w:r>
        <w:rPr>
          <w:noProof/>
        </w:rPr>
        <w:t xml:space="preserve">Hekk kif l-atti delegati ġew adottati mill-Kummissjoni, dawn ġew innotifikati simultanjament lill-Parlament Ewropew u lill-Kunsill, u dan ta bidu għall-perjodu ta’ oġġezzjoni msemmi fil-punt 3.2. hawn taħt. </w:t>
      </w:r>
    </w:p>
    <w:p w14:paraId="75B80CC9" w14:textId="6B93D8A5" w:rsidR="00C71F87" w:rsidRPr="00C71F87" w:rsidRDefault="00C71F87" w:rsidP="00E74235">
      <w:pPr>
        <w:pStyle w:val="Heading2"/>
        <w:numPr>
          <w:ilvl w:val="1"/>
          <w:numId w:val="4"/>
        </w:numPr>
        <w:rPr>
          <w:noProof/>
        </w:rPr>
      </w:pPr>
      <w:r>
        <w:rPr>
          <w:noProof/>
        </w:rPr>
        <w:t>Atti delegati adottati</w:t>
      </w:r>
    </w:p>
    <w:p w14:paraId="7DB41427" w14:textId="5D7F9C5C" w:rsidR="00DC7F84" w:rsidRDefault="00C71F87" w:rsidP="00DC7F84">
      <w:pPr>
        <w:pStyle w:val="Text2"/>
        <w:ind w:left="0"/>
        <w:rPr>
          <w:rStyle w:val="normaltextrun"/>
          <w:noProof/>
          <w:color w:val="000000"/>
          <w:shd w:val="clear" w:color="auto" w:fill="FFFFFF"/>
        </w:rPr>
      </w:pPr>
      <w:r>
        <w:rPr>
          <w:rStyle w:val="normaltextrun"/>
          <w:noProof/>
        </w:rPr>
        <w:t xml:space="preserve">Matul il-perjodu ta’ rapportar, li huwa bejn l-10 ta’ Diċembru 2019 u l-10 ta’ Diċembru 2024, il-Kummissjoni eżerċitat is-setgħat delegati tagħha billi adottat l-atti delegati msemmija fit-Tabella ta’ hawn taħt. Qabel ma nħoloq ir-rekwiżit ta’ </w:t>
      </w:r>
      <w:r>
        <w:rPr>
          <w:rStyle w:val="normaltextrun"/>
          <w:noProof/>
          <w:color w:val="000000"/>
          <w:shd w:val="clear" w:color="auto" w:fill="FFFFFF"/>
        </w:rPr>
        <w:t>rapportar, il-Kummissjoni kienet diġà adottat atti delegati skont l-Artikoli 3 (2), 20 (6) (a), 20 (6) (c) u 51 (6) tar-Regolament (UE) 2016/1011</w:t>
      </w:r>
      <w:r w:rsidR="004B298A">
        <w:rPr>
          <w:rStyle w:val="FootnoteReference"/>
          <w:noProof/>
        </w:rPr>
        <w:footnoteReference w:id="7"/>
      </w:r>
      <w:r>
        <w:rPr>
          <w:rStyle w:val="normaltextrun"/>
          <w:noProof/>
          <w:color w:val="000000"/>
          <w:shd w:val="clear" w:color="auto" w:fill="FFFFFF"/>
        </w:rPr>
        <w:t xml:space="preserve">.  </w:t>
      </w:r>
      <w:r w:rsidR="00DC7F84">
        <w:rPr>
          <w:rStyle w:val="normaltextrun"/>
          <w:noProof/>
          <w:color w:val="000000"/>
          <w:shd w:val="clear" w:color="auto" w:fill="FFFFFF"/>
        </w:rPr>
        <w:br w:type="page"/>
      </w:r>
    </w:p>
    <w:tbl>
      <w:tblPr>
        <w:tblStyle w:val="TableGrid"/>
        <w:tblpPr w:leftFromText="180" w:rightFromText="180" w:vertAnchor="text" w:horzAnchor="margin" w:tblpY="210"/>
        <w:tblW w:w="0" w:type="auto"/>
        <w:tblLook w:val="04A0" w:firstRow="1" w:lastRow="0" w:firstColumn="1" w:lastColumn="0" w:noHBand="0" w:noVBand="1"/>
      </w:tblPr>
      <w:tblGrid>
        <w:gridCol w:w="6644"/>
        <w:gridCol w:w="2372"/>
      </w:tblGrid>
      <w:tr w:rsidR="00DC7F84" w14:paraId="790EB2D6" w14:textId="77777777" w:rsidTr="00DC7F84">
        <w:tc>
          <w:tcPr>
            <w:tcW w:w="6644" w:type="dxa"/>
          </w:tcPr>
          <w:p w14:paraId="40923C4C" w14:textId="77777777" w:rsidR="00DC7F84" w:rsidRPr="004720AC" w:rsidRDefault="00DC7F84" w:rsidP="00DC7F84">
            <w:pPr>
              <w:pStyle w:val="Text2"/>
              <w:ind w:left="0"/>
              <w:rPr>
                <w:rStyle w:val="normaltextrun"/>
                <w:b/>
                <w:bCs/>
                <w:noProof/>
              </w:rPr>
            </w:pPr>
            <w:r>
              <w:rPr>
                <w:rStyle w:val="normaltextrun"/>
                <w:b/>
                <w:noProof/>
              </w:rPr>
              <w:lastRenderedPageBreak/>
              <w:t>Att Delegat</w:t>
            </w:r>
          </w:p>
        </w:tc>
        <w:tc>
          <w:tcPr>
            <w:tcW w:w="2372" w:type="dxa"/>
          </w:tcPr>
          <w:p w14:paraId="45200939" w14:textId="77777777" w:rsidR="00DC7F84" w:rsidRPr="004720AC" w:rsidRDefault="00DC7F84" w:rsidP="00DC7F84">
            <w:pPr>
              <w:pStyle w:val="Text2"/>
              <w:ind w:left="0"/>
              <w:rPr>
                <w:rStyle w:val="normaltextrun"/>
                <w:b/>
                <w:bCs/>
                <w:noProof/>
              </w:rPr>
            </w:pPr>
            <w:r>
              <w:rPr>
                <w:rStyle w:val="normaltextrun"/>
                <w:b/>
                <w:noProof/>
              </w:rPr>
              <w:t>Setgħat</w:t>
            </w:r>
          </w:p>
        </w:tc>
      </w:tr>
      <w:tr w:rsidR="00DC7F84" w14:paraId="0F4C8439" w14:textId="77777777" w:rsidTr="00DC7F84">
        <w:tc>
          <w:tcPr>
            <w:tcW w:w="6644" w:type="dxa"/>
          </w:tcPr>
          <w:p w14:paraId="43EFA17F" w14:textId="77777777" w:rsidR="00DC7F84" w:rsidRDefault="00DC7F84" w:rsidP="00DC7F84">
            <w:pPr>
              <w:pStyle w:val="Text2"/>
              <w:ind w:left="0"/>
              <w:rPr>
                <w:rStyle w:val="normaltextrun"/>
                <w:noProof/>
              </w:rPr>
            </w:pPr>
            <w:r>
              <w:rPr>
                <w:rStyle w:val="normaltextrun"/>
                <w:noProof/>
                <w:color w:val="000000"/>
                <w:shd w:val="clear" w:color="auto" w:fill="FFFFFF"/>
              </w:rPr>
              <w:t>Ir-Regolament Delegat tal-Kummissjoni (UE) 2020/1816</w:t>
            </w:r>
            <w:r>
              <w:rPr>
                <w:rStyle w:val="FootnoteReference"/>
                <w:noProof/>
                <w:color w:val="000000"/>
                <w:shd w:val="clear" w:color="auto" w:fill="FFFFFF"/>
              </w:rPr>
              <w:footnoteReference w:id="8"/>
            </w:r>
          </w:p>
        </w:tc>
        <w:tc>
          <w:tcPr>
            <w:tcW w:w="2372" w:type="dxa"/>
          </w:tcPr>
          <w:p w14:paraId="5B135263" w14:textId="77777777" w:rsidR="00DC7F84" w:rsidRDefault="00DC7F84" w:rsidP="00DC7F84">
            <w:pPr>
              <w:pStyle w:val="Text2"/>
              <w:ind w:left="0"/>
              <w:rPr>
                <w:rStyle w:val="normaltextrun"/>
                <w:noProof/>
              </w:rPr>
            </w:pPr>
            <w:r>
              <w:rPr>
                <w:rStyle w:val="normaltextrun"/>
                <w:noProof/>
                <w:color w:val="000000"/>
                <w:shd w:val="clear" w:color="auto" w:fill="FFFFFF"/>
              </w:rPr>
              <w:t>l-Art. 13(2a)</w:t>
            </w:r>
            <w:r>
              <w:rPr>
                <w:rStyle w:val="eop"/>
                <w:noProof/>
                <w:color w:val="000000"/>
                <w:shd w:val="clear" w:color="auto" w:fill="FFFFFF"/>
              </w:rPr>
              <w:t> </w:t>
            </w:r>
          </w:p>
        </w:tc>
      </w:tr>
      <w:tr w:rsidR="00DC7F84" w14:paraId="390E18CF" w14:textId="77777777" w:rsidTr="00DC7F84">
        <w:tc>
          <w:tcPr>
            <w:tcW w:w="6644" w:type="dxa"/>
          </w:tcPr>
          <w:p w14:paraId="05793389" w14:textId="77777777" w:rsidR="00DC7F84" w:rsidRDefault="00DC7F84" w:rsidP="00DC7F84">
            <w:pPr>
              <w:pStyle w:val="Text2"/>
              <w:ind w:left="0"/>
              <w:rPr>
                <w:rStyle w:val="normaltextrun"/>
                <w:noProof/>
                <w:color w:val="000000"/>
                <w:shd w:val="clear" w:color="auto" w:fill="FFFFFF"/>
              </w:rPr>
            </w:pPr>
            <w:r>
              <w:rPr>
                <w:rStyle w:val="normaltextrun"/>
                <w:noProof/>
              </w:rPr>
              <w:t>Ir-Regolament Delegat tal-Kummissjoni (UE) 2020/1818</w:t>
            </w:r>
            <w:r>
              <w:rPr>
                <w:rStyle w:val="FootnoteReference"/>
                <w:noProof/>
              </w:rPr>
              <w:footnoteReference w:id="9"/>
            </w:r>
          </w:p>
        </w:tc>
        <w:tc>
          <w:tcPr>
            <w:tcW w:w="2372" w:type="dxa"/>
          </w:tcPr>
          <w:p w14:paraId="15BAC46C" w14:textId="77777777" w:rsidR="00DC7F84" w:rsidRDefault="00DC7F84" w:rsidP="00DC7F84">
            <w:pPr>
              <w:pStyle w:val="Text2"/>
              <w:ind w:left="0"/>
              <w:jc w:val="left"/>
              <w:rPr>
                <w:rStyle w:val="normaltextrun"/>
                <w:noProof/>
                <w:color w:val="000000"/>
                <w:shd w:val="clear" w:color="auto" w:fill="FFFFFF"/>
              </w:rPr>
            </w:pPr>
            <w:r>
              <w:rPr>
                <w:rStyle w:val="normaltextrun"/>
                <w:noProof/>
                <w:color w:val="000000"/>
                <w:shd w:val="clear" w:color="auto" w:fill="FFFFFF"/>
              </w:rPr>
              <w:t>Art. 19a(2)</w:t>
            </w:r>
            <w:r>
              <w:rPr>
                <w:rStyle w:val="normaltextrun"/>
                <w:noProof/>
                <w:color w:val="000000"/>
                <w:shd w:val="clear" w:color="auto" w:fill="FFFFFF"/>
              </w:rPr>
              <w:br/>
              <w:t>Art. 19c(1)</w:t>
            </w:r>
            <w:r>
              <w:rPr>
                <w:rStyle w:val="eop"/>
                <w:noProof/>
                <w:color w:val="000000"/>
                <w:shd w:val="clear" w:color="auto" w:fill="FFFFFF"/>
              </w:rPr>
              <w:t> </w:t>
            </w:r>
          </w:p>
        </w:tc>
      </w:tr>
      <w:tr w:rsidR="00DC7F84" w14:paraId="118CA2E9" w14:textId="77777777" w:rsidTr="00DC7F84">
        <w:tc>
          <w:tcPr>
            <w:tcW w:w="6644" w:type="dxa"/>
          </w:tcPr>
          <w:p w14:paraId="6CDA922A" w14:textId="77777777" w:rsidR="00DC7F84" w:rsidRDefault="00DC7F84" w:rsidP="00DC7F84">
            <w:pPr>
              <w:pStyle w:val="Text2"/>
              <w:ind w:left="0"/>
              <w:rPr>
                <w:rStyle w:val="normaltextrun"/>
                <w:noProof/>
                <w:color w:val="000000"/>
                <w:shd w:val="clear" w:color="auto" w:fill="FFFFFF"/>
              </w:rPr>
            </w:pPr>
            <w:r>
              <w:rPr>
                <w:rStyle w:val="normaltextrun"/>
                <w:noProof/>
                <w:color w:val="000000"/>
                <w:shd w:val="clear" w:color="auto" w:fill="FFFFFF"/>
              </w:rPr>
              <w:t>Ir-Regolament Delegat tal-Kummissjoni (UE) 2020/1817</w:t>
            </w:r>
            <w:r>
              <w:rPr>
                <w:rStyle w:val="FootnoteReference"/>
                <w:noProof/>
                <w:color w:val="000000"/>
                <w:shd w:val="clear" w:color="auto" w:fill="FFFFFF"/>
              </w:rPr>
              <w:footnoteReference w:id="10"/>
            </w:r>
            <w:r>
              <w:rPr>
                <w:rStyle w:val="normaltextrun"/>
                <w:noProof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372" w:type="dxa"/>
          </w:tcPr>
          <w:p w14:paraId="182654B7" w14:textId="77777777" w:rsidR="00DC7F84" w:rsidRDefault="00DC7F84" w:rsidP="00DC7F84">
            <w:pPr>
              <w:pStyle w:val="Text2"/>
              <w:ind w:left="0"/>
              <w:rPr>
                <w:rStyle w:val="normaltextrun"/>
                <w:noProof/>
                <w:color w:val="000000"/>
                <w:shd w:val="clear" w:color="auto" w:fill="FFFFFF"/>
              </w:rPr>
            </w:pPr>
            <w:r>
              <w:rPr>
                <w:rStyle w:val="normaltextrun"/>
                <w:noProof/>
                <w:color w:val="000000"/>
                <w:shd w:val="clear" w:color="auto" w:fill="FFFFFF"/>
              </w:rPr>
              <w:t>l-Art. 27(2b)</w:t>
            </w:r>
            <w:r>
              <w:rPr>
                <w:rStyle w:val="eop"/>
                <w:noProof/>
                <w:color w:val="000000"/>
                <w:shd w:val="clear" w:color="auto" w:fill="FFFFFF"/>
              </w:rPr>
              <w:t> </w:t>
            </w:r>
          </w:p>
        </w:tc>
      </w:tr>
    </w:tbl>
    <w:p w14:paraId="60265AC0" w14:textId="77777777" w:rsidR="00CD46BF" w:rsidRDefault="00CD46BF" w:rsidP="00C71F87">
      <w:pPr>
        <w:pStyle w:val="Text2"/>
        <w:ind w:left="0"/>
        <w:rPr>
          <w:rStyle w:val="normaltextrun"/>
          <w:noProof/>
        </w:rPr>
      </w:pPr>
    </w:p>
    <w:p w14:paraId="6B87FF06" w14:textId="396DC18D" w:rsidR="00CD46BF" w:rsidRPr="00C71F87" w:rsidRDefault="00CD46BF" w:rsidP="00C94A5D">
      <w:pPr>
        <w:pStyle w:val="Heading2"/>
        <w:numPr>
          <w:ilvl w:val="1"/>
          <w:numId w:val="4"/>
        </w:numPr>
        <w:spacing w:before="240"/>
        <w:ind w:left="788" w:hanging="431"/>
        <w:rPr>
          <w:noProof/>
        </w:rPr>
      </w:pPr>
      <w:r>
        <w:rPr>
          <w:noProof/>
        </w:rPr>
        <w:t>Oġġezzjoni għall-atti delegati</w:t>
      </w:r>
    </w:p>
    <w:p w14:paraId="5D73D78B" w14:textId="48C5734B" w:rsidR="00CD46BF" w:rsidRDefault="00CD46BF" w:rsidP="00CD46BF">
      <w:pPr>
        <w:pStyle w:val="Text2"/>
        <w:ind w:left="0"/>
        <w:rPr>
          <w:rStyle w:val="normaltextrun"/>
          <w:noProof/>
        </w:rPr>
      </w:pPr>
      <w:r>
        <w:rPr>
          <w:rStyle w:val="normaltextrun"/>
          <w:noProof/>
        </w:rPr>
        <w:t>Skont l-Artikolu 49(6) u (6a) tar-Regolament (UE) 2016/1011, il-Parlament Ewropew jew il-Kunsill jistgħu joġġezzjonaw għal att delegat fi żmien tliet xhur mid-data tan-notifika, u jistgħu jiġu estiżi bi tliet ġimgħat, li jista’ jiġi estiż għal tliet xhur oħra fuq l-inizjattiva jew tal-Parlament Ewropew jew tal-Kunsill. Jekk il-Parlament Ewropew jew il-Kunsill joġġezzjonaw għal att delegat f’dak il-perjodu, dan ma jidħolx fis-seħħ. La l-Parlament Ewropew u lanqas il-Kunsill ma oġġezzjonaw għal ebda wieħed mill-atti delegati msemmija fit-Taqsima 3.2.</w:t>
      </w:r>
    </w:p>
    <w:p w14:paraId="171F4843" w14:textId="2FA31987" w:rsidR="00CD46BF" w:rsidRPr="00C71F87" w:rsidRDefault="00CD46BF" w:rsidP="00CD46BF">
      <w:pPr>
        <w:pStyle w:val="Heading2"/>
        <w:numPr>
          <w:ilvl w:val="1"/>
          <w:numId w:val="4"/>
        </w:numPr>
        <w:rPr>
          <w:noProof/>
        </w:rPr>
      </w:pPr>
      <w:r>
        <w:rPr>
          <w:noProof/>
        </w:rPr>
        <w:t xml:space="preserve">Ħtieġa għall-estensjoni tas-setgħa tal-adozzjoni ta’ atti delegati </w:t>
      </w:r>
    </w:p>
    <w:p w14:paraId="4B5F98B1" w14:textId="7EF68E8D" w:rsidR="00CD46BF" w:rsidRDefault="00CD46BF" w:rsidP="00CD46BF">
      <w:pPr>
        <w:pStyle w:val="Text2"/>
        <w:ind w:left="0"/>
        <w:rPr>
          <w:rStyle w:val="normaltextrun"/>
          <w:noProof/>
        </w:rPr>
      </w:pPr>
      <w:r>
        <w:rPr>
          <w:rStyle w:val="normaltextrun"/>
          <w:noProof/>
        </w:rPr>
        <w:t xml:space="preserve">Filwaqt li għadd ta’ atti delegati ġew adottati f’dan il-punt, is-setgħat elenkati fit-tabella ta’ hawn taħt għadhom ma ntużawx.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1"/>
        <w:gridCol w:w="3125"/>
      </w:tblGrid>
      <w:tr w:rsidR="00CD46BF" w14:paraId="1D0A5663" w14:textId="77777777" w:rsidTr="006F5F2B">
        <w:tc>
          <w:tcPr>
            <w:tcW w:w="5891" w:type="dxa"/>
          </w:tcPr>
          <w:p w14:paraId="721CB5C5" w14:textId="4BBDEB69" w:rsidR="00CD46BF" w:rsidRPr="004720AC" w:rsidRDefault="00CD46BF" w:rsidP="00CD46BF">
            <w:pPr>
              <w:pStyle w:val="Text2"/>
              <w:ind w:left="0"/>
              <w:rPr>
                <w:rStyle w:val="normaltextrun"/>
                <w:b/>
                <w:bCs/>
                <w:noProof/>
              </w:rPr>
            </w:pPr>
            <w:r>
              <w:rPr>
                <w:rStyle w:val="normaltextrun"/>
                <w:b/>
                <w:noProof/>
              </w:rPr>
              <w:t>Atti Delegati </w:t>
            </w:r>
          </w:p>
        </w:tc>
        <w:tc>
          <w:tcPr>
            <w:tcW w:w="3125" w:type="dxa"/>
          </w:tcPr>
          <w:p w14:paraId="52763CE1" w14:textId="2EB22EBF" w:rsidR="00CD46BF" w:rsidRPr="004720AC" w:rsidRDefault="00CD46BF" w:rsidP="00CD46BF">
            <w:pPr>
              <w:pStyle w:val="Text2"/>
              <w:ind w:left="0"/>
              <w:rPr>
                <w:rStyle w:val="normaltextrun"/>
                <w:b/>
                <w:bCs/>
                <w:noProof/>
              </w:rPr>
            </w:pPr>
            <w:r>
              <w:rPr>
                <w:rStyle w:val="normaltextrun"/>
                <w:b/>
                <w:noProof/>
              </w:rPr>
              <w:t>Setgħat </w:t>
            </w:r>
          </w:p>
        </w:tc>
      </w:tr>
      <w:tr w:rsidR="00CD46BF" w14:paraId="644297AC" w14:textId="77777777" w:rsidTr="006F5F2B">
        <w:tc>
          <w:tcPr>
            <w:tcW w:w="5891" w:type="dxa"/>
          </w:tcPr>
          <w:p w14:paraId="2010F43B" w14:textId="60858B11" w:rsidR="00CD46BF" w:rsidRPr="00CD46BF" w:rsidRDefault="00CD46BF" w:rsidP="00CD46BF">
            <w:pPr>
              <w:pStyle w:val="Text2"/>
              <w:ind w:left="0"/>
              <w:rPr>
                <w:rStyle w:val="normaltextrun"/>
                <w:noProof/>
              </w:rPr>
            </w:pPr>
            <w:r>
              <w:rPr>
                <w:rStyle w:val="normaltextrun"/>
                <w:noProof/>
              </w:rPr>
              <w:t>Att delegat biex isir rieżami tal-metodu ta’ kalkolu użat sabiex jiġu ddeterminati l-limiti stabbiliti fl-Artikolu 20(1) fid-dawl tal-iżviluppi fis-suq, fil-prezzijiet u l-iżviluppi regolatorji, kif ukoll l-adegwatezza tal-klassifikazzjoni tal-parametri referenzjarji b’valur totali ta’ strumenti finanzjarji, kuntratti finanzjarji jew fondi ta’ investiment li jirreferuhom u li jkunu qrib il-limiti stabbiliti </w:t>
            </w:r>
          </w:p>
        </w:tc>
        <w:tc>
          <w:tcPr>
            <w:tcW w:w="3125" w:type="dxa"/>
          </w:tcPr>
          <w:p w14:paraId="45763E58" w14:textId="4BCEC677" w:rsidR="00CD46BF" w:rsidRDefault="00CD46BF" w:rsidP="00CD46BF">
            <w:pPr>
              <w:pStyle w:val="Text2"/>
              <w:ind w:left="0"/>
              <w:rPr>
                <w:rStyle w:val="normaltextrun"/>
                <w:noProof/>
              </w:rPr>
            </w:pPr>
            <w:r>
              <w:rPr>
                <w:rStyle w:val="normaltextrun"/>
                <w:noProof/>
              </w:rPr>
              <w:t>l-Artikolu 20(6), il-punt (b) </w:t>
            </w:r>
          </w:p>
        </w:tc>
      </w:tr>
      <w:tr w:rsidR="00CD46BF" w14:paraId="5B447120" w14:textId="77777777" w:rsidTr="006F5F2B">
        <w:tc>
          <w:tcPr>
            <w:tcW w:w="5891" w:type="dxa"/>
          </w:tcPr>
          <w:p w14:paraId="0422811A" w14:textId="1C53DD97" w:rsidR="00CD46BF" w:rsidRPr="00CD46BF" w:rsidRDefault="00CD46BF" w:rsidP="00CD46BF">
            <w:pPr>
              <w:pStyle w:val="Text2"/>
              <w:ind w:left="0"/>
              <w:rPr>
                <w:rStyle w:val="normaltextrun"/>
                <w:noProof/>
              </w:rPr>
            </w:pPr>
            <w:r>
              <w:rPr>
                <w:rStyle w:val="normaltextrun"/>
                <w:noProof/>
              </w:rPr>
              <w:t>Att delegat biex isir rieżami tal-metodu ta’ kalkolu użat sabiex jiġi ddeterminat il-limitu stabbilit imsemmi fl-Artikolu 24(1), il-punt (a), fid-dawl tal-iżviluppi fis-suq, fil-prezzijiet u l-iżviluppi regolatorji, kif ukoll l-</w:t>
            </w:r>
            <w:r>
              <w:rPr>
                <w:rStyle w:val="normaltextrun"/>
                <w:noProof/>
              </w:rPr>
              <w:lastRenderedPageBreak/>
              <w:t>adegwatezza tal-klassifikazzjoni tal-parametri referenzjarji b’valur totali ta’ strumenti finanzjarji, kuntratti finanzjarji jew fondi ta’ investiment li jirreferuhom u li huma qrib il-limiti stabbiliti </w:t>
            </w:r>
          </w:p>
        </w:tc>
        <w:tc>
          <w:tcPr>
            <w:tcW w:w="3125" w:type="dxa"/>
          </w:tcPr>
          <w:p w14:paraId="3ABF62F7" w14:textId="1BDA4EC4" w:rsidR="00CD46BF" w:rsidRPr="00CD46BF" w:rsidRDefault="00CD46BF" w:rsidP="00CD46BF">
            <w:pPr>
              <w:pStyle w:val="Text2"/>
              <w:ind w:left="0"/>
              <w:rPr>
                <w:rStyle w:val="normaltextrun"/>
                <w:noProof/>
              </w:rPr>
            </w:pPr>
            <w:r>
              <w:rPr>
                <w:rStyle w:val="normaltextrun"/>
                <w:noProof/>
              </w:rPr>
              <w:lastRenderedPageBreak/>
              <w:t>Artikolu 24(2) </w:t>
            </w:r>
          </w:p>
        </w:tc>
      </w:tr>
      <w:tr w:rsidR="00CD46BF" w14:paraId="5DDB903A" w14:textId="77777777" w:rsidTr="006F5F2B">
        <w:tc>
          <w:tcPr>
            <w:tcW w:w="5891" w:type="dxa"/>
          </w:tcPr>
          <w:p w14:paraId="06C32A24" w14:textId="33D5200F" w:rsidR="00CD46BF" w:rsidRPr="00CD46BF" w:rsidRDefault="00CD46BF" w:rsidP="00CD46BF">
            <w:pPr>
              <w:pStyle w:val="Text2"/>
              <w:ind w:left="0"/>
              <w:rPr>
                <w:rStyle w:val="normaltextrun"/>
                <w:noProof/>
              </w:rPr>
            </w:pPr>
            <w:r>
              <w:rPr>
                <w:rStyle w:val="normaltextrun"/>
                <w:noProof/>
              </w:rPr>
              <w:t>Att delegat dwar miżuri li jiddeterminaw il-kundizzjonijiet li taħthom l-awtoritajiet kompetenti rilevanti jistgħu jivvalutaw jekk hemmx raġuni oġġettiva għall-forniment ta’ parametru referenzjarju jew familja ta’ parametri referenzjarji f’pajjiż terz u l-approvazzjoni tagħhom għall-użu tagħhom fl-Unjoni. </w:t>
            </w:r>
          </w:p>
        </w:tc>
        <w:tc>
          <w:tcPr>
            <w:tcW w:w="3125" w:type="dxa"/>
          </w:tcPr>
          <w:p w14:paraId="08346A38" w14:textId="0E2348E2" w:rsidR="00CD46BF" w:rsidRPr="00CD46BF" w:rsidRDefault="00CD46BF" w:rsidP="00CD46BF">
            <w:pPr>
              <w:pStyle w:val="Text2"/>
              <w:ind w:left="0"/>
              <w:rPr>
                <w:rStyle w:val="normaltextrun"/>
                <w:noProof/>
              </w:rPr>
            </w:pPr>
            <w:r>
              <w:rPr>
                <w:rStyle w:val="normaltextrun"/>
                <w:noProof/>
              </w:rPr>
              <w:t>Artikolu 33(7) </w:t>
            </w:r>
          </w:p>
        </w:tc>
      </w:tr>
      <w:tr w:rsidR="00CD46BF" w14:paraId="778340CD" w14:textId="77777777" w:rsidTr="006F5F2B">
        <w:tc>
          <w:tcPr>
            <w:tcW w:w="5891" w:type="dxa"/>
          </w:tcPr>
          <w:p w14:paraId="3B1066B4" w14:textId="252529C9" w:rsidR="00CD46BF" w:rsidRPr="00CD46BF" w:rsidRDefault="00CD46BF" w:rsidP="00CD46BF">
            <w:pPr>
              <w:pStyle w:val="Text2"/>
              <w:ind w:left="0"/>
              <w:rPr>
                <w:rStyle w:val="normaltextrun"/>
                <w:noProof/>
              </w:rPr>
            </w:pPr>
            <w:r>
              <w:rPr>
                <w:rStyle w:val="normaltextrun"/>
                <w:noProof/>
              </w:rPr>
              <w:t xml:space="preserve">Att delegat biex il-perjodu ta’ 42 xahar imsemmi fl-Artikolu 51(2) jiġi estiż b’24 xahar, jekk ir-rapport imsemmi fil-punt (b) tal-paragrafu 1 tal-Artikolu </w:t>
            </w:r>
            <w:r w:rsidR="005E400B">
              <w:rPr>
                <w:rStyle w:val="normaltextrun"/>
                <w:noProof/>
              </w:rPr>
              <w:t xml:space="preserve">54 </w:t>
            </w:r>
            <w:r>
              <w:rPr>
                <w:rStyle w:val="normaltextrun"/>
                <w:noProof/>
              </w:rPr>
              <w:t>jipprovdi evidenza li r-reġim ta’ reġistrazzjoni tranżizzjonali skont l-Artikolu 51(2) ma jkunx ta’ detriment għal kultura superviżorja komuni Ewropea u prattiki u approċċi superviżorji konsistenti fost l-awtoritajiet kompetenti. </w:t>
            </w:r>
          </w:p>
        </w:tc>
        <w:tc>
          <w:tcPr>
            <w:tcW w:w="3125" w:type="dxa"/>
          </w:tcPr>
          <w:p w14:paraId="7F40E44C" w14:textId="0FC6B508" w:rsidR="00CD46BF" w:rsidRPr="00CD46BF" w:rsidRDefault="00CD46BF" w:rsidP="00CD46BF">
            <w:pPr>
              <w:pStyle w:val="Text2"/>
              <w:ind w:left="0"/>
              <w:rPr>
                <w:rStyle w:val="normaltextrun"/>
                <w:noProof/>
              </w:rPr>
            </w:pPr>
            <w:r>
              <w:rPr>
                <w:rStyle w:val="normaltextrun"/>
                <w:noProof/>
              </w:rPr>
              <w:t>Artikolu 54(3) </w:t>
            </w:r>
          </w:p>
        </w:tc>
      </w:tr>
    </w:tbl>
    <w:p w14:paraId="359CBB63" w14:textId="671A151E" w:rsidR="00CD46BF" w:rsidRPr="00CD46BF" w:rsidRDefault="00CD46BF" w:rsidP="006F5F2B">
      <w:pPr>
        <w:pStyle w:val="Text2"/>
        <w:spacing w:before="240"/>
        <w:ind w:left="0"/>
        <w:rPr>
          <w:rStyle w:val="normaltextrun"/>
          <w:noProof/>
        </w:rPr>
      </w:pPr>
      <w:r>
        <w:rPr>
          <w:rStyle w:val="normaltextrun"/>
          <w:noProof/>
        </w:rPr>
        <w:t>Ir-raġunijiet għaliex dawk l-atti delegati għadhom ma ġewx adottati jvarjaw.</w:t>
      </w:r>
    </w:p>
    <w:p w14:paraId="58CDA014" w14:textId="44F36E75" w:rsidR="00CD46BF" w:rsidRDefault="006F5F2B" w:rsidP="006F5F2B">
      <w:pPr>
        <w:pStyle w:val="ListParagraph"/>
        <w:numPr>
          <w:ilvl w:val="0"/>
          <w:numId w:val="23"/>
        </w:numPr>
        <w:ind w:left="567" w:hanging="567"/>
        <w:rPr>
          <w:rStyle w:val="normaltextrun"/>
          <w:noProof/>
        </w:rPr>
      </w:pPr>
      <w:r>
        <w:rPr>
          <w:rStyle w:val="normaltextrun"/>
          <w:noProof/>
        </w:rPr>
        <w:t>L-atti delegati li għandhom jiġu adottati skont is-setgħat stabbiliti fl-Artikolu 18a(3), l-Artikolu 30(2a), l-Artikolu 30(3a) u l-Artikolu 33(7) tar-Regolament (UE) 2016/1011 huma relatati mar-regoli dwar l-użu ta’ parametri referenzjarji mhux tal-UE fl-Unjoni. Id-data tal-applikazzjoni ta’ dak ir-reġim ġiet posposta diversi drabi, l-aktar waħda reċenti sal-31 ta’ Diċembru 2025, peress li ħareġ biċ-ċar li r-restrizzjoni tal-aċċess għal parametri referenzjarji mhux tal-UE tkun ta’ detriment għall-entitajiet taħt superviżjoni fl-UE li jużaw dawk il-parametri referenzjarji.</w:t>
      </w:r>
      <w:r w:rsidR="003B1BBB">
        <w:rPr>
          <w:rStyle w:val="FootnoteReference"/>
          <w:noProof/>
        </w:rPr>
        <w:footnoteReference w:id="11"/>
      </w:r>
      <w:r>
        <w:rPr>
          <w:rStyle w:val="normaltextrun"/>
          <w:noProof/>
        </w:rPr>
        <w:t xml:space="preserve"> Peress li r-regoli dwar l-użu ta’ parametri referenzjarji ta’ pajjiżi terzi fl-UE għad iridu jiġu applikati b’mod obbligatorju, tqies li għadu kmieni wisq biex l-atti delegati jiġu adottati skont dawn is-setgħat. </w:t>
      </w:r>
    </w:p>
    <w:p w14:paraId="0B0E6FEF" w14:textId="77777777" w:rsidR="004720AC" w:rsidRPr="00CD46BF" w:rsidRDefault="004720AC" w:rsidP="006F5F2B">
      <w:pPr>
        <w:pStyle w:val="ListParagraph"/>
        <w:ind w:left="567" w:hanging="567"/>
        <w:rPr>
          <w:rStyle w:val="normaltextrun"/>
          <w:noProof/>
        </w:rPr>
      </w:pPr>
    </w:p>
    <w:p w14:paraId="31E35AC2" w14:textId="109D2742" w:rsidR="00CD46BF" w:rsidRDefault="00022195" w:rsidP="006F5F2B">
      <w:pPr>
        <w:pStyle w:val="ListParagraph"/>
        <w:numPr>
          <w:ilvl w:val="0"/>
          <w:numId w:val="23"/>
        </w:numPr>
        <w:ind w:left="567" w:hanging="567"/>
        <w:rPr>
          <w:rStyle w:val="normaltextrun"/>
          <w:noProof/>
        </w:rPr>
      </w:pPr>
      <w:r>
        <w:rPr>
          <w:rStyle w:val="normaltextrun"/>
          <w:noProof/>
        </w:rPr>
        <w:t>fir-rigward tal-atti delegati li għandhom jiġu adottati skont is-setgħat stabbiliti fl-Artikolu 20(6), il-punt (b), u l-Artikolu 24(2), fil-kuntatti regolari tagħha mal-Awtorità Ewropea tat-Titoli u s-Swieq u mal-awtoritajiet nazzjonali kompetenti, il-Kummissjoni ma ġiet mgħarrfa dwar ebda diffikultà prattika fl-applikazzjoni tal-limiti kwantitattivi ta’ EUR 500 biljun u EUR 50 biljun li jiddelinjaw bejn parametri referenzjarji kritiċi, sinifikanti u mhux sinifikanti. Għalhekk, il-Kummissjoni qieset li ma kienx hemm bżonn li jsir rieżami tal-metodu ta’ kalkolu biex jiġu ddeterminati d-diversi limiti kwantitattivi fir-Regolament (UE) 2016/1011 u ma adottatx atti delegati għal dak l-għan. Il-Kummissjoni tagħmel dan jekk iċ-ċirkostanzi jinbidlu.</w:t>
      </w:r>
    </w:p>
    <w:p w14:paraId="5FA96190" w14:textId="77777777" w:rsidR="004720AC" w:rsidRDefault="004720AC" w:rsidP="006F5F2B">
      <w:pPr>
        <w:pStyle w:val="ListParagraph"/>
        <w:ind w:left="567" w:hanging="567"/>
        <w:rPr>
          <w:rStyle w:val="normaltextrun"/>
          <w:noProof/>
        </w:rPr>
      </w:pPr>
    </w:p>
    <w:p w14:paraId="5C862426" w14:textId="741C2AC9" w:rsidR="00CD46BF" w:rsidRPr="00CD46BF" w:rsidRDefault="00022195" w:rsidP="006F5F2B">
      <w:pPr>
        <w:pStyle w:val="ListParagraph"/>
        <w:numPr>
          <w:ilvl w:val="0"/>
          <w:numId w:val="23"/>
        </w:numPr>
        <w:ind w:left="567" w:hanging="567"/>
        <w:rPr>
          <w:rStyle w:val="normaltextrun"/>
          <w:noProof/>
        </w:rPr>
      </w:pPr>
      <w:r>
        <w:rPr>
          <w:rStyle w:val="normaltextrun"/>
          <w:noProof/>
        </w:rPr>
        <w:lastRenderedPageBreak/>
        <w:t>l-att delegat li għandu jiġi adottat skont is-setgħa stabbilita fl-Artikolu 54(3) jikkonċerna l-estensjoni tal-perjodu ta’ 42 xahar imsemmi fl-Artikolu 51(2) bi 24 xahar fir-rigward tal-applikazzjoni tar-Regolament (UE) 2016/1011 għall-amministraturi tal-parametri referenzjarji stabbiliti fl-Unjoni qabel l-2020. Peress li ma aġixxietx fuq din is-setgħa, il-perjodu tranżitorju li kien jippermetti li jiġi estiż issa skada, u b’hekk is-setgħa ma baqgħetx valida.</w:t>
      </w:r>
    </w:p>
    <w:p w14:paraId="3E55ACFD" w14:textId="01E32613" w:rsidR="00CD46BF" w:rsidRPr="00CD46BF" w:rsidRDefault="00CD46BF" w:rsidP="00CD46BF">
      <w:pPr>
        <w:pStyle w:val="Text2"/>
        <w:ind w:left="0"/>
        <w:rPr>
          <w:rStyle w:val="normaltextrun"/>
          <w:noProof/>
        </w:rPr>
      </w:pPr>
      <w:r>
        <w:rPr>
          <w:rStyle w:val="normaltextrun"/>
          <w:noProof/>
        </w:rPr>
        <w:t>Fl-aħħar nett, filwaqt li tinnota li l-Kummissjoni pproponiet li temenda l-Artikolu 24 tar-Regolament (UE) 2016/1011</w:t>
      </w:r>
      <w:r w:rsidR="00A6691E">
        <w:rPr>
          <w:rStyle w:val="FootnoteReference"/>
          <w:noProof/>
        </w:rPr>
        <w:footnoteReference w:id="12"/>
      </w:r>
      <w:r>
        <w:rPr>
          <w:rStyle w:val="normaltextrun"/>
          <w:noProof/>
        </w:rPr>
        <w:t>, u li l-Parlament Ewropew sussegwentement ippropona emendi għall-Artikolu 33</w:t>
      </w:r>
      <w:r w:rsidR="0049049C">
        <w:rPr>
          <w:rStyle w:val="FootnoteReference"/>
          <w:noProof/>
        </w:rPr>
        <w:footnoteReference w:id="13"/>
      </w:r>
      <w:r>
        <w:rPr>
          <w:rStyle w:val="normaltextrun"/>
          <w:noProof/>
        </w:rPr>
        <w:t>, bħalissa mhuwiex ċert jekk is-setgħat mogħtija f’dawk l-artikoli humiex se jiġu emendati fir-regolament rivedut</w:t>
      </w:r>
      <w:r w:rsidR="00C31AAF">
        <w:rPr>
          <w:rStyle w:val="FootnoteReference"/>
          <w:noProof/>
        </w:rPr>
        <w:footnoteReference w:id="14"/>
      </w:r>
      <w:r>
        <w:rPr>
          <w:rStyle w:val="normaltextrun"/>
          <w:noProof/>
        </w:rPr>
        <w:t xml:space="preserve">. </w:t>
      </w:r>
    </w:p>
    <w:bookmarkEnd w:id="1"/>
    <w:p w14:paraId="75A770C8" w14:textId="6B575EB5" w:rsidR="007458A9" w:rsidRPr="00E054D8" w:rsidRDefault="007458A9" w:rsidP="00CD46BF">
      <w:pPr>
        <w:pStyle w:val="Heading2"/>
        <w:numPr>
          <w:ilvl w:val="0"/>
          <w:numId w:val="4"/>
        </w:numPr>
        <w:rPr>
          <w:bCs/>
          <w:noProof/>
        </w:rPr>
      </w:pPr>
      <w:r>
        <w:rPr>
          <w:noProof/>
        </w:rPr>
        <w:t>Konklużjoni</w:t>
      </w:r>
    </w:p>
    <w:p w14:paraId="10BD1D98" w14:textId="7BD34441" w:rsidR="004720AC" w:rsidRPr="004720AC" w:rsidRDefault="004720AC" w:rsidP="004720AC">
      <w:pPr>
        <w:rPr>
          <w:noProof/>
        </w:rPr>
      </w:pPr>
      <w:r>
        <w:rPr>
          <w:noProof/>
        </w:rPr>
        <w:t xml:space="preserve">Minħabba l-ispjegazzjoni mogħtija fit-Taqsima 3, il-Kummissjoni tqis li hemm ħtieġa ċara għal estensjoni taċita tad-delega tas-setgħa prevista fl-Artikolu 49(2) tar-Regolament (UE) 2016/1011 għal perjodu ta’ ħames snin. </w:t>
      </w:r>
    </w:p>
    <w:p w14:paraId="1CBD5F56" w14:textId="358D62E8" w:rsidR="007458A9" w:rsidRPr="004720AC" w:rsidRDefault="004720AC" w:rsidP="004720AC">
      <w:pPr>
        <w:rPr>
          <w:noProof/>
        </w:rPr>
      </w:pPr>
      <w:r>
        <w:rPr>
          <w:noProof/>
        </w:rPr>
        <w:t>Il-Kummissjoni tistieden lill-Parlament Ewropew u lill-Kunsill jieħdu nota ta’ dan ir-rapport.</w:t>
      </w:r>
    </w:p>
    <w:sectPr w:rsidR="007458A9" w:rsidRPr="004720AC" w:rsidSect="00425A7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625E4" w14:textId="77777777" w:rsidR="000F730F" w:rsidRDefault="000F730F" w:rsidP="006D5FC4">
      <w:pPr>
        <w:spacing w:after="0"/>
      </w:pPr>
      <w:r>
        <w:separator/>
      </w:r>
    </w:p>
  </w:endnote>
  <w:endnote w:type="continuationSeparator" w:id="0">
    <w:p w14:paraId="56682176" w14:textId="77777777" w:rsidR="000F730F" w:rsidRDefault="000F730F" w:rsidP="006D5FC4">
      <w:pPr>
        <w:spacing w:after="0"/>
      </w:pPr>
      <w:r>
        <w:continuationSeparator/>
      </w:r>
    </w:p>
  </w:endnote>
  <w:endnote w:type="continuationNotice" w:id="1">
    <w:p w14:paraId="57F81B1C" w14:textId="77777777" w:rsidR="000F730F" w:rsidRDefault="000F730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C635B" w14:textId="5E2F8365" w:rsidR="006E12D3" w:rsidRPr="006E12D3" w:rsidRDefault="006E12D3" w:rsidP="006E12D3">
    <w:pPr>
      <w:pStyle w:val="FooterCoverPage"/>
      <w:rPr>
        <w:rFonts w:ascii="Arial" w:hAnsi="Arial" w:cs="Arial"/>
        <w:b/>
        <w:sz w:val="48"/>
      </w:rPr>
    </w:pPr>
    <w:r w:rsidRPr="006E12D3">
      <w:rPr>
        <w:rFonts w:ascii="Arial" w:hAnsi="Arial" w:cs="Arial"/>
        <w:b/>
        <w:sz w:val="48"/>
      </w:rPr>
      <w:t>MT</w:t>
    </w:r>
    <w:r w:rsidRPr="006E12D3">
      <w:rPr>
        <w:rFonts w:ascii="Arial" w:hAnsi="Arial" w:cs="Arial"/>
        <w:b/>
        <w:sz w:val="48"/>
      </w:rPr>
      <w:tab/>
    </w:r>
    <w:r w:rsidRPr="006E12D3">
      <w:rPr>
        <w:rFonts w:ascii="Arial" w:hAnsi="Arial" w:cs="Arial"/>
        <w:b/>
        <w:sz w:val="48"/>
      </w:rPr>
      <w:tab/>
    </w:r>
    <w:r w:rsidRPr="006E12D3">
      <w:tab/>
    </w:r>
    <w:r w:rsidRPr="006E12D3">
      <w:rPr>
        <w:rFonts w:ascii="Arial" w:hAnsi="Arial" w:cs="Arial"/>
        <w:b/>
        <w:sz w:val="48"/>
      </w:rP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621E0" w14:textId="20CC7A20" w:rsidR="006E12D3" w:rsidRPr="006E12D3" w:rsidRDefault="006E12D3" w:rsidP="006E12D3">
    <w:pPr>
      <w:pStyle w:val="FooterCoverPage"/>
      <w:rPr>
        <w:rFonts w:ascii="Arial" w:hAnsi="Arial" w:cs="Arial"/>
        <w:b/>
        <w:sz w:val="48"/>
      </w:rPr>
    </w:pPr>
    <w:r w:rsidRPr="006E12D3">
      <w:rPr>
        <w:rFonts w:ascii="Arial" w:hAnsi="Arial" w:cs="Arial"/>
        <w:b/>
        <w:sz w:val="48"/>
      </w:rPr>
      <w:t>MT</w:t>
    </w:r>
    <w:r w:rsidRPr="006E12D3">
      <w:rPr>
        <w:rFonts w:ascii="Arial" w:hAnsi="Arial" w:cs="Arial"/>
        <w:b/>
        <w:sz w:val="48"/>
      </w:rPr>
      <w:tab/>
    </w:r>
    <w:r w:rsidRPr="006E12D3">
      <w:rPr>
        <w:rFonts w:ascii="Arial" w:hAnsi="Arial" w:cs="Arial"/>
        <w:b/>
        <w:sz w:val="48"/>
      </w:rPr>
      <w:tab/>
    </w:r>
    <w:r w:rsidRPr="006E12D3">
      <w:tab/>
    </w:r>
    <w:r w:rsidRPr="006E12D3"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E0B6C" w14:textId="77777777" w:rsidR="006E12D3" w:rsidRPr="006E12D3" w:rsidRDefault="006E12D3" w:rsidP="006E12D3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30AFE" w14:textId="77777777" w:rsidR="00EF47EE" w:rsidRDefault="00EF47E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74351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F1B384" w14:textId="4D71F3F1" w:rsidR="005A286A" w:rsidRDefault="005A28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12D3">
          <w:rPr>
            <w:noProof/>
          </w:rPr>
          <w:t>1</w:t>
        </w:r>
        <w:r>
          <w:fldChar w:fldCharType="end"/>
        </w:r>
      </w:p>
    </w:sdtContent>
  </w:sdt>
  <w:p w14:paraId="3E6388C3" w14:textId="77777777" w:rsidR="00EF47EE" w:rsidRDefault="00EF47E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B80F" w14:textId="77777777" w:rsidR="00EF47EE" w:rsidRDefault="00EF47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BBD8B" w14:textId="77777777" w:rsidR="000F730F" w:rsidRDefault="000F730F" w:rsidP="006D5FC4">
      <w:pPr>
        <w:spacing w:after="0"/>
      </w:pPr>
      <w:r>
        <w:separator/>
      </w:r>
    </w:p>
  </w:footnote>
  <w:footnote w:type="continuationSeparator" w:id="0">
    <w:p w14:paraId="64454276" w14:textId="77777777" w:rsidR="000F730F" w:rsidRDefault="000F730F" w:rsidP="006D5FC4">
      <w:pPr>
        <w:spacing w:after="0"/>
      </w:pPr>
      <w:r>
        <w:continuationSeparator/>
      </w:r>
    </w:p>
  </w:footnote>
  <w:footnote w:type="continuationNotice" w:id="1">
    <w:p w14:paraId="1C3BB55F" w14:textId="77777777" w:rsidR="000F730F" w:rsidRDefault="000F730F">
      <w:pPr>
        <w:spacing w:after="0"/>
      </w:pPr>
    </w:p>
  </w:footnote>
  <w:footnote w:id="2">
    <w:p w14:paraId="4BC2C477" w14:textId="068C8370" w:rsidR="00FF135F" w:rsidRPr="0010321A" w:rsidRDefault="00FF135F">
      <w:pPr>
        <w:pStyle w:val="FootnoteText"/>
      </w:pPr>
      <w:r>
        <w:rPr>
          <w:rStyle w:val="FootnoteReference"/>
        </w:rPr>
        <w:footnoteRef/>
      </w:r>
      <w:r>
        <w:tab/>
        <w:t>Ir-Regolament (UE) 2016/1011 tal-Parlament Ewropew u tal-Kunsill tat-8 ta’ Ġunju 2016 dwar l-indiċi użati bħala parametri referenzjarji fi strumenti finanzjarji u kuntratti finanzjarji jew dwar il-kejl tal-prestazzjoni ta’ fondi ta’ investiment u li jemenda d-Direttivi 2008/48/KE u 2014/17/UE u r-Regolament (UE) Nru 596/2014 (ĠU L 171, 29.6.2016, p. 1, ELI: http://data.europa.eu/eli/reg/2016/1011/oj–65).</w:t>
      </w:r>
    </w:p>
  </w:footnote>
  <w:footnote w:id="3">
    <w:p w14:paraId="79A37CD4" w14:textId="2D3D8B8D" w:rsidR="00FF135F" w:rsidRPr="0010321A" w:rsidRDefault="00FF135F">
      <w:pPr>
        <w:pStyle w:val="FootnoteText"/>
      </w:pPr>
      <w:r>
        <w:rPr>
          <w:rStyle w:val="FootnoteReference"/>
        </w:rPr>
        <w:footnoteRef/>
      </w:r>
      <w:r>
        <w:tab/>
      </w:r>
      <w:r>
        <w:rPr>
          <w:rStyle w:val="normaltextrun"/>
          <w:color w:val="000000"/>
          <w:shd w:val="clear" w:color="auto" w:fill="FFFFFF"/>
        </w:rPr>
        <w:t>Ir-Regolament (UE) 2019/2089 tal-Parlament Ewropew u tal-Kunsill tas-27 ta’ Novembru 2019 li jemenda r-Regolament (UE) 2016/1011 fir-rigward ta’ Parametri Referenzjarji tat-Tranżizzjoni Klimatika tal-UE, ta’ Parametri Referenzjarji tal-UE allinjati mal-Ftehim ta’ Pariġi u ta’ divulgazzjonijiet relatati mas-sostenibbiltà għall-parametri referenzjarji (ĠU L 317, 9.12.2019, p. 17, ELI: http://data.europa.eu/eli/reg/2019/2089/oj).</w:t>
      </w:r>
    </w:p>
  </w:footnote>
  <w:footnote w:id="4">
    <w:p w14:paraId="3EC1474D" w14:textId="054D4577" w:rsidR="00FF135F" w:rsidRPr="0010321A" w:rsidRDefault="00FF135F">
      <w:pPr>
        <w:pStyle w:val="FootnoteText"/>
      </w:pPr>
      <w:r>
        <w:rPr>
          <w:rStyle w:val="FootnoteReference"/>
        </w:rPr>
        <w:footnoteRef/>
      </w:r>
      <w:r>
        <w:tab/>
      </w:r>
      <w:r>
        <w:rPr>
          <w:rStyle w:val="normaltextrun"/>
          <w:color w:val="000000"/>
          <w:shd w:val="clear" w:color="auto" w:fill="FFFFFF"/>
        </w:rPr>
        <w:t>Ir-Regolament (UE) 2019/2175 tal-Parlament Ewropew u tal-Kunsill tat-18 ta’ Diċembru 2019 li jemenda r-Regolament (UE) Nru 1093/2010 li jistabbilixxi Awtorità Superviżorja Ewropea (Awtorità Bankarja Ewropea); ir-Regolament (UE) Nru 1094/2010 li jistabbilixxi Awtorità Superviżorja Ewropea (Awtorità Ewropea tal-Assigurazzjoni u l-Pensjonijiet tax-Xogħol); ir-Regolament (UE) Nru 1095/2010 li jistabbilixxi Awtorità Superviżorja Ewropea (Awtorità Ewropea tat-Titoli u s-Swieq); ir-Regolament (UE) Nru 600/2014 dwar is-swieq tal-istrumenti finanzjarji; ir-Regolament (UE) 2016/1011 dwar l-indiċi użati bħala parametri referenzjarji fi strumenti finanzjarji u kuntratti finanzjarji jew dwar il-kejl tal-prestazzjoni ta’ fondi ta’ investiment; u r-Regolament (UE) 2015/847 dwar l-informazzjoni li takkumpanja t-trasferimenti ta’ fondi (ĠU L 334, 27.12.2019, p. 1, ELI: http://data.europa.eu/eli/reg/2019/2175/oj).</w:t>
      </w:r>
    </w:p>
  </w:footnote>
  <w:footnote w:id="5">
    <w:p w14:paraId="2C1C76B1" w14:textId="2FBF505A" w:rsidR="00FF135F" w:rsidRPr="0010321A" w:rsidRDefault="00FF135F">
      <w:pPr>
        <w:pStyle w:val="FootnoteText"/>
      </w:pPr>
      <w:r>
        <w:rPr>
          <w:rStyle w:val="FootnoteReference"/>
        </w:rPr>
        <w:footnoteRef/>
      </w:r>
      <w:r>
        <w:tab/>
        <w:t>Ir-Regolament (UE) 2021/168 tal-Parlament Ewropew u tal-Kunsill tal-10 ta’ Frar 2021 li jemenda r-Regolament (UE) 2016/1011 fir-rigward tal-eżenzjoni ta’ ċerti parametri referenzjarji tal-kambju spot ta’ pajjiżi terzi u l-iffissar ta’ sostituti għal ċerti parametri referenzjarji li jkunu se jitwaqqfu, u li jemenda r-Regolament (UE) Nru 648/2012 (ĠU L 49, 12.2.2021, p. 6, ELI: http://data.europa.eu/eli/reg/2021/168/oj).</w:t>
      </w:r>
    </w:p>
  </w:footnote>
  <w:footnote w:id="6">
    <w:p w14:paraId="238686B2" w14:textId="75719292" w:rsidR="00FF135F" w:rsidRPr="0010321A" w:rsidRDefault="00FF135F">
      <w:pPr>
        <w:pStyle w:val="FootnoteText"/>
      </w:pPr>
      <w:r>
        <w:rPr>
          <w:rStyle w:val="FootnoteReference"/>
        </w:rPr>
        <w:footnoteRef/>
      </w:r>
      <w:r>
        <w:tab/>
      </w:r>
      <w:r>
        <w:rPr>
          <w:rStyle w:val="normaltextrun"/>
          <w:color w:val="000000"/>
          <w:shd w:val="clear" w:color="auto" w:fill="FFFFFF"/>
        </w:rPr>
        <w:t>Ir-Regolament (UE) 2023/2869 tal-Parlament Ewropew u tal-Kunsill tat-13 ta’ Diċembru 2023 li jemenda ċerti Regolamenti fir-rigward tal-istabbiliment u l-funzjonament tal-punt ta’ aċċess uniku Ewropew</w:t>
      </w:r>
      <w:r w:rsidR="00641051">
        <w:rPr>
          <w:rStyle w:val="normaltextrun"/>
          <w:color w:val="000000"/>
          <w:shd w:val="clear" w:color="auto" w:fill="FFFFFF"/>
        </w:rPr>
        <w:t> </w:t>
      </w:r>
      <w:r>
        <w:rPr>
          <w:rStyle w:val="normaltextrun"/>
          <w:color w:val="000000"/>
          <w:shd w:val="clear" w:color="auto" w:fill="FFFFFF"/>
        </w:rPr>
        <w:t>(ĠU L, 2023/2869, 20.12.2023,ELI: http://data.europa.eu/eli/reg/2023/2869/oj).</w:t>
      </w:r>
    </w:p>
  </w:footnote>
  <w:footnote w:id="7">
    <w:p w14:paraId="0132AFDA" w14:textId="77777777" w:rsidR="004B298A" w:rsidRPr="0010321A" w:rsidRDefault="004B298A" w:rsidP="004B298A">
      <w:pPr>
        <w:pStyle w:val="FootnoteText"/>
      </w:pPr>
      <w:r>
        <w:rPr>
          <w:rStyle w:val="FootnoteReference"/>
        </w:rPr>
        <w:footnoteRef/>
      </w:r>
      <w:r>
        <w:tab/>
      </w:r>
      <w:r>
        <w:rPr>
          <w:rStyle w:val="normaltextrun"/>
          <w:color w:val="000000"/>
          <w:shd w:val="clear" w:color="auto" w:fill="FFFFFF"/>
        </w:rPr>
        <w:t xml:space="preserve">Qabel il-perjodu ta’ referenza attwali, il-Kummissjoni diġà kienet adottat 4 atti delegati dwar is-setgħat mogħtija skont l-Artikoli 3(2), 20(6)(a), 20(6)(c) u 51(6) tar-Regolament (UE) 2016/1011. </w:t>
      </w:r>
    </w:p>
  </w:footnote>
  <w:footnote w:id="8">
    <w:p w14:paraId="5B52817C" w14:textId="77777777" w:rsidR="00DC7F84" w:rsidRPr="006F5F2B" w:rsidRDefault="00DC7F84" w:rsidP="00DC7F84">
      <w:pPr>
        <w:pStyle w:val="FootnoteText"/>
      </w:pPr>
      <w:r>
        <w:rPr>
          <w:rStyle w:val="FootnoteReference"/>
        </w:rPr>
        <w:footnoteRef/>
      </w:r>
      <w:r>
        <w:tab/>
        <w:t>Ir-Regolament Delegat tal-Kummissjoni (UE) 2020/1816 tas-17 ta’ Lulju 2020 li jissupplimenta r-Regolament (UE) 2016/1011 tal-Parlament Ewropew u tal-Kunsill fir-rigward tal-ispjegazzjoni fid-dikjarazzjoni ta’ parametru referenzjarju dwar kif il-fatturi ambjentali, soċjali u ta’ governanza huma riflessi f’kull parametru referenzjarju pprovdut u ppubblikat (ĠU L 406, 3.12.2020, p. 1, ELI: http://data.europa.eu/eli/reg_del/2020/1816/oj).</w:t>
      </w:r>
    </w:p>
  </w:footnote>
  <w:footnote w:id="9">
    <w:p w14:paraId="073E5EC6" w14:textId="77777777" w:rsidR="00DC7F84" w:rsidRPr="006F5F2B" w:rsidRDefault="00DC7F84" w:rsidP="00DC7F84">
      <w:pPr>
        <w:pStyle w:val="FootnoteText"/>
      </w:pPr>
      <w:r>
        <w:rPr>
          <w:rStyle w:val="FootnoteReference"/>
        </w:rPr>
        <w:footnoteRef/>
      </w:r>
      <w:r>
        <w:tab/>
        <w:t>Ir-Regolament Delegat tal-Kummissjoni (UE) 2020/1818 tas-17 ta’ Lulju 2020 li jissupplimenta r-Regolament (UE) 2016/1011 tal-Parlament Ewropew u tal-Kunsill fir-rigward tal-istandards minimi għall-Parametri Referenzjarji tat-Tranżizzjoni Klimatika tal-UE u l-Parametri Referenzjarji tal-UE allinjati mal-Ftehim ta’ Pariġi (ĠU L 406, 3.12.2020, p. 17, ELI: http://data.europa.eu/eli/reg_del/2020/1818/oj).</w:t>
      </w:r>
    </w:p>
  </w:footnote>
  <w:footnote w:id="10">
    <w:p w14:paraId="7EC6748B" w14:textId="77777777" w:rsidR="00DC7F84" w:rsidRPr="002078FA" w:rsidRDefault="00DC7F84" w:rsidP="00DC7F84">
      <w:pPr>
        <w:pStyle w:val="FootnoteText"/>
      </w:pPr>
      <w:r>
        <w:rPr>
          <w:rStyle w:val="FootnoteReference"/>
        </w:rPr>
        <w:footnoteRef/>
      </w:r>
      <w:r>
        <w:tab/>
        <w:t xml:space="preserve">Ir-Regolament Delegat tal-Kummissjoni (UE) 2020/1817 tas-17 ta’ Lulju 2020 </w:t>
      </w:r>
      <w:r w:rsidRPr="0089560E">
        <w:t>li jissupplimenta r-Regolament (UE) 2016/1011 tal-Parlament Ewropew u tal-Kunsill fir-rigward tal-kontenut minimu tal-ispjegazzjoni dwar kif il-fatturi ambjentali, soċjali u ta’ governanza huma riflessi fil-metodoloġija tal-parametru referenzjarju</w:t>
      </w:r>
      <w:r>
        <w:t xml:space="preserve"> (ĠU L 406, 3.12.2020, p. 12, ELI: http://data.europa.eu/eli/reg_del/2020/1817/oj).</w:t>
      </w:r>
    </w:p>
  </w:footnote>
  <w:footnote w:id="11">
    <w:p w14:paraId="2DC0ED1A" w14:textId="63484325" w:rsidR="003B1BBB" w:rsidRPr="00C94A5D" w:rsidRDefault="003B1BBB">
      <w:pPr>
        <w:pStyle w:val="FootnoteText"/>
      </w:pPr>
      <w:r>
        <w:rPr>
          <w:rStyle w:val="FootnoteReference"/>
        </w:rPr>
        <w:footnoteRef/>
      </w:r>
      <w:r w:rsidR="009827F7">
        <w:t xml:space="preserve"> </w:t>
      </w:r>
      <w:r>
        <w:t>Ir-Regolament (UE) 2019/2089 ippospona d-dħul fis-seħħ sal-31 ta’ Diċembru 2022; Ir-Regolament (UE) 2021/168 ippospona d-dħul fis-seħħ sal-31 ta’ Diċembru 2024 u introduċa l-possibbiltà ta’ posponiment ulterjuri permezz ta’ att delegat tal-Kummissjoni. Fl-14 ta’ Lulju 2023, il-Kummissjoni adottat Regolament Delegat (UE) 2023/2222 li jestendi l-perjodu tranżitorju stabbilit għall-parametri referenzjarji ta’ pajjiżi terzi fl-Artikolu 51(5) tar-Regolament (UE) 2016/1011.</w:t>
      </w:r>
    </w:p>
  </w:footnote>
  <w:footnote w:id="12">
    <w:p w14:paraId="1DCDC635" w14:textId="5E5F42DC" w:rsidR="00A6691E" w:rsidRPr="00C94A5D" w:rsidRDefault="00A6691E">
      <w:pPr>
        <w:pStyle w:val="FootnoteText"/>
      </w:pPr>
      <w:r>
        <w:rPr>
          <w:rStyle w:val="FootnoteReference"/>
        </w:rPr>
        <w:footnoteRef/>
      </w:r>
      <w:r>
        <w:t xml:space="preserve"> Proposta għal Regolament tal-Parlament Ewropew u tal-Kunsill li jemenda r-Regolament (UE) 2016/1011 fir-rigward tal-ambitu tar-regoli għall-parametri referenzjarji, l-użu fl-Unjoni ta’ parametri referenzjarji pprovduti minn amministratur li jinsab f’pajjiż terz, u ċerti rekwiżiti ta’ rapportar, COM(2023) 660 final.</w:t>
      </w:r>
    </w:p>
  </w:footnote>
  <w:footnote w:id="13">
    <w:p w14:paraId="3CD8BA80" w14:textId="78424D71" w:rsidR="0049049C" w:rsidRPr="00C94A5D" w:rsidRDefault="0049049C">
      <w:pPr>
        <w:pStyle w:val="FootnoteText"/>
      </w:pPr>
      <w:r>
        <w:rPr>
          <w:rStyle w:val="FootnoteReference"/>
        </w:rPr>
        <w:footnoteRef/>
      </w:r>
      <w:r w:rsidR="009827F7">
        <w:t xml:space="preserve"> </w:t>
      </w:r>
      <w:r>
        <w:t>Rapport dwar il-proposta għal regolament tal-Parlament Ewropew u tal-Kunsill li jemenda r-Regolament (UE) 2016/1011 fir-rigward tal-ambitu tar-regoli għall-parametri referenzjarji, l-użu fl-Unjoni ta’ parametri referenzjarji pprovduti minn amministratur li jinsab f’pajjiż terz, u ċerti rekwiżiti ta’ rapportar, A9-0076/2024.</w:t>
      </w:r>
    </w:p>
  </w:footnote>
  <w:footnote w:id="14">
    <w:p w14:paraId="25E839D1" w14:textId="38C51272" w:rsidR="00C31AAF" w:rsidRPr="00C94A5D" w:rsidRDefault="00C31AAF">
      <w:pPr>
        <w:pStyle w:val="FootnoteText"/>
      </w:pPr>
      <w:r>
        <w:rPr>
          <w:rStyle w:val="FootnoteReference"/>
        </w:rPr>
        <w:footnoteRef/>
      </w:r>
      <w:r w:rsidR="009827F7">
        <w:t xml:space="preserve"> </w:t>
      </w:r>
      <w:r>
        <w:t>In-negozjati interistituzzjonali mistennija jibdew fil-leġiżlatura l-ġdida wara l-elezzjonijiet tas-6–9 ta’ Ġunju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91628" w14:textId="77777777" w:rsidR="006E12D3" w:rsidRPr="006E12D3" w:rsidRDefault="006E12D3" w:rsidP="006E12D3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CC0FD" w14:textId="77777777" w:rsidR="006E12D3" w:rsidRPr="006E12D3" w:rsidRDefault="006E12D3" w:rsidP="006E12D3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FF59A" w14:textId="77777777" w:rsidR="006E12D3" w:rsidRPr="006E12D3" w:rsidRDefault="006E12D3" w:rsidP="006E12D3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98F32" w14:textId="77777777" w:rsidR="00EF47EE" w:rsidRDefault="00EF47E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A9691" w14:textId="77777777" w:rsidR="00EF47EE" w:rsidRDefault="00EF47E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73379" w14:textId="77777777" w:rsidR="00EF47EE" w:rsidRDefault="00EF47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DD83C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58E0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CE4B3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A202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F241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FCC1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E8E5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5497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06C6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765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734306"/>
    <w:multiLevelType w:val="multilevel"/>
    <w:tmpl w:val="DF428C2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2F3251A0"/>
    <w:multiLevelType w:val="multilevel"/>
    <w:tmpl w:val="1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8E10A2A"/>
    <w:multiLevelType w:val="multilevel"/>
    <w:tmpl w:val="1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AEE160E"/>
    <w:multiLevelType w:val="multilevel"/>
    <w:tmpl w:val="1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4F566F5"/>
    <w:multiLevelType w:val="hybridMultilevel"/>
    <w:tmpl w:val="62441F60"/>
    <w:lvl w:ilvl="0" w:tplc="F57411F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60" w:hanging="360"/>
      </w:pPr>
    </w:lvl>
    <w:lvl w:ilvl="2" w:tplc="1809001B" w:tentative="1">
      <w:start w:val="1"/>
      <w:numFmt w:val="lowerRoman"/>
      <w:lvlText w:val="%3."/>
      <w:lvlJc w:val="right"/>
      <w:pPr>
        <w:ind w:left="2280" w:hanging="180"/>
      </w:pPr>
    </w:lvl>
    <w:lvl w:ilvl="3" w:tplc="1809000F" w:tentative="1">
      <w:start w:val="1"/>
      <w:numFmt w:val="decimal"/>
      <w:lvlText w:val="%4."/>
      <w:lvlJc w:val="left"/>
      <w:pPr>
        <w:ind w:left="3000" w:hanging="360"/>
      </w:pPr>
    </w:lvl>
    <w:lvl w:ilvl="4" w:tplc="18090019" w:tentative="1">
      <w:start w:val="1"/>
      <w:numFmt w:val="lowerLetter"/>
      <w:lvlText w:val="%5."/>
      <w:lvlJc w:val="left"/>
      <w:pPr>
        <w:ind w:left="3720" w:hanging="360"/>
      </w:pPr>
    </w:lvl>
    <w:lvl w:ilvl="5" w:tplc="1809001B" w:tentative="1">
      <w:start w:val="1"/>
      <w:numFmt w:val="lowerRoman"/>
      <w:lvlText w:val="%6."/>
      <w:lvlJc w:val="right"/>
      <w:pPr>
        <w:ind w:left="4440" w:hanging="180"/>
      </w:pPr>
    </w:lvl>
    <w:lvl w:ilvl="6" w:tplc="1809000F" w:tentative="1">
      <w:start w:val="1"/>
      <w:numFmt w:val="decimal"/>
      <w:lvlText w:val="%7."/>
      <w:lvlJc w:val="left"/>
      <w:pPr>
        <w:ind w:left="5160" w:hanging="360"/>
      </w:pPr>
    </w:lvl>
    <w:lvl w:ilvl="7" w:tplc="18090019" w:tentative="1">
      <w:start w:val="1"/>
      <w:numFmt w:val="lowerLetter"/>
      <w:lvlText w:val="%8."/>
      <w:lvlJc w:val="left"/>
      <w:pPr>
        <w:ind w:left="5880" w:hanging="360"/>
      </w:pPr>
    </w:lvl>
    <w:lvl w:ilvl="8" w:tplc="1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6FE879B3"/>
    <w:multiLevelType w:val="multilevel"/>
    <w:tmpl w:val="1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7A363F"/>
    <w:multiLevelType w:val="hybridMultilevel"/>
    <w:tmpl w:val="7CC0782A"/>
    <w:lvl w:ilvl="0" w:tplc="58B47FC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D32D7E"/>
    <w:multiLevelType w:val="hybridMultilevel"/>
    <w:tmpl w:val="E72AEA90"/>
    <w:lvl w:ilvl="0" w:tplc="31E2156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4"/>
  </w:num>
  <w:num w:numId="4">
    <w:abstractNumId w:val="11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3"/>
  </w:num>
  <w:num w:numId="22">
    <w:abstractNumId w:val="15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F6FD8895-92E1-47EA-88F4-2CD5C2608001"/>
    <w:docVar w:name="LW_COVERPAGE_TYPE" w:val="1"/>
    <w:docVar w:name="LW_CROSSREFERENCE" w:val="&lt;UNUSED&gt;"/>
    <w:docVar w:name="LW_DocType" w:val="NORMAL"/>
    <w:docVar w:name="LW_EMISSION" w:val="12.6.2024"/>
    <w:docVar w:name="LW_EMISSION_ISODATE" w:val="2024-06-12"/>
    <w:docVar w:name="LW_EMISSION_LOCATION" w:val="BRX"/>
    <w:docVar w:name="LW_EMISSION_PREFIX" w:val="Brussell, "/>
    <w:docVar w:name="LW_EMISSION_SUFFIX" w:val=" "/>
    <w:docVar w:name="LW_ID_DOCTYPE_NONLW" w:val="CP-006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4) 244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dwar id-delega ta' setg\u295?at li ji\u289?u adottati atti delegati kkonferita lill-Kummissjoni skont ir-Regolament (UE) 2016/1011 tal-Parlament Ewropew u tal-Kunsill tat-8 ta' \u288?unju 2016 dwar l-indi\u267?i u\u380?ati b\u295?ala parametri referenzjarji fi strumenti finanzjarji u kuntratti finanzjarji jew dwar il-kejl tal-prestazzjoni ta' fondi ta' investiment u li jemenda d-Direttivi 2008/48/KE u 2014/17/UE u r-Regolament (UE) Nru 596/2014"/>
    <w:docVar w:name="LW_TYPE.DOC.CP" w:val="RAPPORT TAL-KUMMISSJONI LILL-PARLAMENT EWROPEW U LILL-KUNSILL"/>
    <w:docVar w:name="LwApiVersions" w:val="LW4CoDe 1.24.5.0; LW 9.0, Build 20240221"/>
  </w:docVars>
  <w:rsids>
    <w:rsidRoot w:val="006D5FC4"/>
    <w:rsid w:val="00002AB1"/>
    <w:rsid w:val="00004B57"/>
    <w:rsid w:val="000120E5"/>
    <w:rsid w:val="000136DF"/>
    <w:rsid w:val="00021AF7"/>
    <w:rsid w:val="00022195"/>
    <w:rsid w:val="0002545E"/>
    <w:rsid w:val="00040620"/>
    <w:rsid w:val="00040770"/>
    <w:rsid w:val="00051F38"/>
    <w:rsid w:val="0006102E"/>
    <w:rsid w:val="00064A87"/>
    <w:rsid w:val="00065814"/>
    <w:rsid w:val="00070A2D"/>
    <w:rsid w:val="000A4296"/>
    <w:rsid w:val="000B007D"/>
    <w:rsid w:val="000C6E27"/>
    <w:rsid w:val="000C7243"/>
    <w:rsid w:val="000D0F93"/>
    <w:rsid w:val="000D4E64"/>
    <w:rsid w:val="000E6679"/>
    <w:rsid w:val="000E7533"/>
    <w:rsid w:val="000F069D"/>
    <w:rsid w:val="000F1AAB"/>
    <w:rsid w:val="000F1BC5"/>
    <w:rsid w:val="000F730F"/>
    <w:rsid w:val="0010321A"/>
    <w:rsid w:val="00106598"/>
    <w:rsid w:val="00110753"/>
    <w:rsid w:val="00110CF5"/>
    <w:rsid w:val="001129A1"/>
    <w:rsid w:val="001136C9"/>
    <w:rsid w:val="00114D08"/>
    <w:rsid w:val="00115CF9"/>
    <w:rsid w:val="001215FC"/>
    <w:rsid w:val="00126E74"/>
    <w:rsid w:val="00132B09"/>
    <w:rsid w:val="001344DA"/>
    <w:rsid w:val="0013678B"/>
    <w:rsid w:val="001457B5"/>
    <w:rsid w:val="001532B2"/>
    <w:rsid w:val="001536EB"/>
    <w:rsid w:val="00162A3F"/>
    <w:rsid w:val="00164A69"/>
    <w:rsid w:val="0016785E"/>
    <w:rsid w:val="00172E30"/>
    <w:rsid w:val="00177753"/>
    <w:rsid w:val="00196CE9"/>
    <w:rsid w:val="001A0937"/>
    <w:rsid w:val="001B1D17"/>
    <w:rsid w:val="001B2160"/>
    <w:rsid w:val="001B7E14"/>
    <w:rsid w:val="001C7D72"/>
    <w:rsid w:val="001D01BB"/>
    <w:rsid w:val="001D7583"/>
    <w:rsid w:val="001D7ED5"/>
    <w:rsid w:val="001E07CC"/>
    <w:rsid w:val="001F003D"/>
    <w:rsid w:val="001F099C"/>
    <w:rsid w:val="001F3813"/>
    <w:rsid w:val="001F3B36"/>
    <w:rsid w:val="0020692E"/>
    <w:rsid w:val="00206AA1"/>
    <w:rsid w:val="0021149F"/>
    <w:rsid w:val="00220B7E"/>
    <w:rsid w:val="0022121B"/>
    <w:rsid w:val="0022139C"/>
    <w:rsid w:val="0022354B"/>
    <w:rsid w:val="00225145"/>
    <w:rsid w:val="0022773B"/>
    <w:rsid w:val="00227CAD"/>
    <w:rsid w:val="002323DE"/>
    <w:rsid w:val="00233B54"/>
    <w:rsid w:val="002362F4"/>
    <w:rsid w:val="002378F3"/>
    <w:rsid w:val="00243BD1"/>
    <w:rsid w:val="002462C0"/>
    <w:rsid w:val="00255276"/>
    <w:rsid w:val="00263AEA"/>
    <w:rsid w:val="00271C46"/>
    <w:rsid w:val="00281702"/>
    <w:rsid w:val="00282404"/>
    <w:rsid w:val="00285F31"/>
    <w:rsid w:val="002963BF"/>
    <w:rsid w:val="0029641B"/>
    <w:rsid w:val="002A0985"/>
    <w:rsid w:val="002A14E3"/>
    <w:rsid w:val="002A66CE"/>
    <w:rsid w:val="002B3D10"/>
    <w:rsid w:val="002C219D"/>
    <w:rsid w:val="002C5B32"/>
    <w:rsid w:val="002C6662"/>
    <w:rsid w:val="002D1DFF"/>
    <w:rsid w:val="002D3662"/>
    <w:rsid w:val="002E1E30"/>
    <w:rsid w:val="002F3B93"/>
    <w:rsid w:val="00337975"/>
    <w:rsid w:val="00340EAE"/>
    <w:rsid w:val="00341E78"/>
    <w:rsid w:val="00342240"/>
    <w:rsid w:val="0034444E"/>
    <w:rsid w:val="00346505"/>
    <w:rsid w:val="003540D7"/>
    <w:rsid w:val="00363199"/>
    <w:rsid w:val="003771B7"/>
    <w:rsid w:val="0038181D"/>
    <w:rsid w:val="00382253"/>
    <w:rsid w:val="0038312B"/>
    <w:rsid w:val="003839C9"/>
    <w:rsid w:val="00385279"/>
    <w:rsid w:val="003868EE"/>
    <w:rsid w:val="00386DF7"/>
    <w:rsid w:val="003940C2"/>
    <w:rsid w:val="00396CED"/>
    <w:rsid w:val="003B1BBB"/>
    <w:rsid w:val="003B6E16"/>
    <w:rsid w:val="003C0A22"/>
    <w:rsid w:val="003C1319"/>
    <w:rsid w:val="003E120E"/>
    <w:rsid w:val="003E17CB"/>
    <w:rsid w:val="003E45EE"/>
    <w:rsid w:val="003E553F"/>
    <w:rsid w:val="003E7879"/>
    <w:rsid w:val="003F1031"/>
    <w:rsid w:val="003F1B9D"/>
    <w:rsid w:val="003F1CB4"/>
    <w:rsid w:val="003F38CE"/>
    <w:rsid w:val="003F4BFA"/>
    <w:rsid w:val="004038C3"/>
    <w:rsid w:val="00413159"/>
    <w:rsid w:val="00420FC5"/>
    <w:rsid w:val="00421B66"/>
    <w:rsid w:val="00425A7C"/>
    <w:rsid w:val="00425CA4"/>
    <w:rsid w:val="00431FF1"/>
    <w:rsid w:val="00436493"/>
    <w:rsid w:val="00437D7C"/>
    <w:rsid w:val="00442C2B"/>
    <w:rsid w:val="0044549B"/>
    <w:rsid w:val="00450B5C"/>
    <w:rsid w:val="004531C9"/>
    <w:rsid w:val="0046168D"/>
    <w:rsid w:val="00466CF8"/>
    <w:rsid w:val="004720AC"/>
    <w:rsid w:val="00472A1A"/>
    <w:rsid w:val="004731C5"/>
    <w:rsid w:val="00475F7E"/>
    <w:rsid w:val="00476343"/>
    <w:rsid w:val="0049049C"/>
    <w:rsid w:val="004919DE"/>
    <w:rsid w:val="00497C97"/>
    <w:rsid w:val="004A5CAD"/>
    <w:rsid w:val="004A67EC"/>
    <w:rsid w:val="004A735B"/>
    <w:rsid w:val="004A7B61"/>
    <w:rsid w:val="004B298A"/>
    <w:rsid w:val="004B3599"/>
    <w:rsid w:val="004B5397"/>
    <w:rsid w:val="004C0AE4"/>
    <w:rsid w:val="004C1213"/>
    <w:rsid w:val="004C31C4"/>
    <w:rsid w:val="004C503C"/>
    <w:rsid w:val="004C587F"/>
    <w:rsid w:val="004D3276"/>
    <w:rsid w:val="004D72DA"/>
    <w:rsid w:val="004E6909"/>
    <w:rsid w:val="004F34B4"/>
    <w:rsid w:val="004F63E5"/>
    <w:rsid w:val="00504015"/>
    <w:rsid w:val="00513C41"/>
    <w:rsid w:val="005171D6"/>
    <w:rsid w:val="00525326"/>
    <w:rsid w:val="00525C3A"/>
    <w:rsid w:val="005260F8"/>
    <w:rsid w:val="00527DB0"/>
    <w:rsid w:val="005371D3"/>
    <w:rsid w:val="00544311"/>
    <w:rsid w:val="0054643E"/>
    <w:rsid w:val="00550D7A"/>
    <w:rsid w:val="00551DF8"/>
    <w:rsid w:val="0055353C"/>
    <w:rsid w:val="00554003"/>
    <w:rsid w:val="00561273"/>
    <w:rsid w:val="0056506C"/>
    <w:rsid w:val="00565C96"/>
    <w:rsid w:val="00566700"/>
    <w:rsid w:val="0057666E"/>
    <w:rsid w:val="00580AB5"/>
    <w:rsid w:val="0058545E"/>
    <w:rsid w:val="00594872"/>
    <w:rsid w:val="005A1A48"/>
    <w:rsid w:val="005A286A"/>
    <w:rsid w:val="005A6CF5"/>
    <w:rsid w:val="005A7B81"/>
    <w:rsid w:val="005B0FF1"/>
    <w:rsid w:val="005B19D6"/>
    <w:rsid w:val="005B4446"/>
    <w:rsid w:val="005B7658"/>
    <w:rsid w:val="005E400B"/>
    <w:rsid w:val="005E47A3"/>
    <w:rsid w:val="00604899"/>
    <w:rsid w:val="006066EC"/>
    <w:rsid w:val="00606A0D"/>
    <w:rsid w:val="006100B0"/>
    <w:rsid w:val="00620A6B"/>
    <w:rsid w:val="006217AA"/>
    <w:rsid w:val="00630085"/>
    <w:rsid w:val="00630B22"/>
    <w:rsid w:val="006365E0"/>
    <w:rsid w:val="00641051"/>
    <w:rsid w:val="006465F5"/>
    <w:rsid w:val="00652A4A"/>
    <w:rsid w:val="006600B9"/>
    <w:rsid w:val="00661392"/>
    <w:rsid w:val="00666F61"/>
    <w:rsid w:val="006708E8"/>
    <w:rsid w:val="0067167C"/>
    <w:rsid w:val="0067258A"/>
    <w:rsid w:val="006759F3"/>
    <w:rsid w:val="00691793"/>
    <w:rsid w:val="006A1F09"/>
    <w:rsid w:val="006A57D9"/>
    <w:rsid w:val="006A73A0"/>
    <w:rsid w:val="006A74E8"/>
    <w:rsid w:val="006B48F7"/>
    <w:rsid w:val="006B7510"/>
    <w:rsid w:val="006C2719"/>
    <w:rsid w:val="006C788C"/>
    <w:rsid w:val="006D5FC4"/>
    <w:rsid w:val="006E12D3"/>
    <w:rsid w:val="006E300C"/>
    <w:rsid w:val="006E434A"/>
    <w:rsid w:val="006E5D15"/>
    <w:rsid w:val="006E74BA"/>
    <w:rsid w:val="006F156B"/>
    <w:rsid w:val="006F24E6"/>
    <w:rsid w:val="006F5F2B"/>
    <w:rsid w:val="006F708C"/>
    <w:rsid w:val="0070074C"/>
    <w:rsid w:val="00710460"/>
    <w:rsid w:val="007113A2"/>
    <w:rsid w:val="007124FC"/>
    <w:rsid w:val="0071266E"/>
    <w:rsid w:val="00715DA3"/>
    <w:rsid w:val="0071728B"/>
    <w:rsid w:val="007240C8"/>
    <w:rsid w:val="007249D3"/>
    <w:rsid w:val="00727570"/>
    <w:rsid w:val="0072780A"/>
    <w:rsid w:val="00731170"/>
    <w:rsid w:val="00735D1C"/>
    <w:rsid w:val="007363AE"/>
    <w:rsid w:val="00743818"/>
    <w:rsid w:val="007458A9"/>
    <w:rsid w:val="00763AC7"/>
    <w:rsid w:val="00765A83"/>
    <w:rsid w:val="007668AA"/>
    <w:rsid w:val="0077150C"/>
    <w:rsid w:val="0078111C"/>
    <w:rsid w:val="00782189"/>
    <w:rsid w:val="007877A5"/>
    <w:rsid w:val="00787BD9"/>
    <w:rsid w:val="007927D6"/>
    <w:rsid w:val="00796A33"/>
    <w:rsid w:val="00797A51"/>
    <w:rsid w:val="007B7839"/>
    <w:rsid w:val="007C2368"/>
    <w:rsid w:val="007D1EAB"/>
    <w:rsid w:val="007D33C2"/>
    <w:rsid w:val="007E03DB"/>
    <w:rsid w:val="007E44E2"/>
    <w:rsid w:val="007E5CE1"/>
    <w:rsid w:val="007E6BCE"/>
    <w:rsid w:val="007F1F41"/>
    <w:rsid w:val="007F3691"/>
    <w:rsid w:val="007F3CEB"/>
    <w:rsid w:val="007F51D3"/>
    <w:rsid w:val="007F6443"/>
    <w:rsid w:val="007F7B81"/>
    <w:rsid w:val="00802C3B"/>
    <w:rsid w:val="00806B19"/>
    <w:rsid w:val="00806D99"/>
    <w:rsid w:val="0081487A"/>
    <w:rsid w:val="0082198F"/>
    <w:rsid w:val="008224C2"/>
    <w:rsid w:val="00825AB5"/>
    <w:rsid w:val="00842991"/>
    <w:rsid w:val="00842A11"/>
    <w:rsid w:val="00843158"/>
    <w:rsid w:val="008473EE"/>
    <w:rsid w:val="00850876"/>
    <w:rsid w:val="0085098F"/>
    <w:rsid w:val="008529D8"/>
    <w:rsid w:val="00852B18"/>
    <w:rsid w:val="00866B71"/>
    <w:rsid w:val="00877741"/>
    <w:rsid w:val="0088596D"/>
    <w:rsid w:val="008903EF"/>
    <w:rsid w:val="0089182D"/>
    <w:rsid w:val="0089216F"/>
    <w:rsid w:val="00893BDF"/>
    <w:rsid w:val="008953EF"/>
    <w:rsid w:val="0089560E"/>
    <w:rsid w:val="008A084E"/>
    <w:rsid w:val="008A4855"/>
    <w:rsid w:val="008A64A0"/>
    <w:rsid w:val="008A6996"/>
    <w:rsid w:val="008B427A"/>
    <w:rsid w:val="008C4B5D"/>
    <w:rsid w:val="008C682B"/>
    <w:rsid w:val="008C7766"/>
    <w:rsid w:val="008D7148"/>
    <w:rsid w:val="008D7548"/>
    <w:rsid w:val="008E025D"/>
    <w:rsid w:val="008F0E36"/>
    <w:rsid w:val="008F1CBD"/>
    <w:rsid w:val="008F4D52"/>
    <w:rsid w:val="009105D3"/>
    <w:rsid w:val="00930028"/>
    <w:rsid w:val="009319BB"/>
    <w:rsid w:val="00941624"/>
    <w:rsid w:val="00943F64"/>
    <w:rsid w:val="00944D40"/>
    <w:rsid w:val="00950105"/>
    <w:rsid w:val="009512BD"/>
    <w:rsid w:val="0095170B"/>
    <w:rsid w:val="009518BC"/>
    <w:rsid w:val="009603EB"/>
    <w:rsid w:val="00960A7C"/>
    <w:rsid w:val="00964340"/>
    <w:rsid w:val="0096453C"/>
    <w:rsid w:val="0096758C"/>
    <w:rsid w:val="009677BF"/>
    <w:rsid w:val="00967ED6"/>
    <w:rsid w:val="0097298F"/>
    <w:rsid w:val="00974FD0"/>
    <w:rsid w:val="009771E1"/>
    <w:rsid w:val="009827F7"/>
    <w:rsid w:val="009863BE"/>
    <w:rsid w:val="00993DB6"/>
    <w:rsid w:val="00996A3D"/>
    <w:rsid w:val="009A41E9"/>
    <w:rsid w:val="009B1DC0"/>
    <w:rsid w:val="009C496F"/>
    <w:rsid w:val="009C6476"/>
    <w:rsid w:val="009E3D18"/>
    <w:rsid w:val="009E4EF9"/>
    <w:rsid w:val="009F0594"/>
    <w:rsid w:val="00A018E0"/>
    <w:rsid w:val="00A062E1"/>
    <w:rsid w:val="00A114F6"/>
    <w:rsid w:val="00A11B6C"/>
    <w:rsid w:val="00A17592"/>
    <w:rsid w:val="00A17F47"/>
    <w:rsid w:val="00A20D09"/>
    <w:rsid w:val="00A21508"/>
    <w:rsid w:val="00A24715"/>
    <w:rsid w:val="00A257A1"/>
    <w:rsid w:val="00A301C6"/>
    <w:rsid w:val="00A35807"/>
    <w:rsid w:val="00A36BDE"/>
    <w:rsid w:val="00A40AB4"/>
    <w:rsid w:val="00A51EE8"/>
    <w:rsid w:val="00A5293B"/>
    <w:rsid w:val="00A5474F"/>
    <w:rsid w:val="00A56CAD"/>
    <w:rsid w:val="00A6691E"/>
    <w:rsid w:val="00A6715F"/>
    <w:rsid w:val="00A67DBD"/>
    <w:rsid w:val="00A725E6"/>
    <w:rsid w:val="00A729DB"/>
    <w:rsid w:val="00A743E3"/>
    <w:rsid w:val="00A777C4"/>
    <w:rsid w:val="00A81334"/>
    <w:rsid w:val="00A818FA"/>
    <w:rsid w:val="00A8768A"/>
    <w:rsid w:val="00A90EC1"/>
    <w:rsid w:val="00A9351A"/>
    <w:rsid w:val="00A93A9C"/>
    <w:rsid w:val="00AA5B86"/>
    <w:rsid w:val="00AA5BA3"/>
    <w:rsid w:val="00AB24AF"/>
    <w:rsid w:val="00AB2507"/>
    <w:rsid w:val="00AD271E"/>
    <w:rsid w:val="00AD7D8F"/>
    <w:rsid w:val="00AE5430"/>
    <w:rsid w:val="00AE7D45"/>
    <w:rsid w:val="00AF18F3"/>
    <w:rsid w:val="00AF449A"/>
    <w:rsid w:val="00B05F4B"/>
    <w:rsid w:val="00B07BCE"/>
    <w:rsid w:val="00B10F34"/>
    <w:rsid w:val="00B11486"/>
    <w:rsid w:val="00B1350D"/>
    <w:rsid w:val="00B16E57"/>
    <w:rsid w:val="00B2769A"/>
    <w:rsid w:val="00B27811"/>
    <w:rsid w:val="00B34FAB"/>
    <w:rsid w:val="00B40137"/>
    <w:rsid w:val="00B40336"/>
    <w:rsid w:val="00B40728"/>
    <w:rsid w:val="00B4199F"/>
    <w:rsid w:val="00B426CF"/>
    <w:rsid w:val="00B43D85"/>
    <w:rsid w:val="00B505F7"/>
    <w:rsid w:val="00B50A42"/>
    <w:rsid w:val="00B52CE0"/>
    <w:rsid w:val="00B673C2"/>
    <w:rsid w:val="00B8359C"/>
    <w:rsid w:val="00B85E99"/>
    <w:rsid w:val="00B869DB"/>
    <w:rsid w:val="00B96CDD"/>
    <w:rsid w:val="00BA3628"/>
    <w:rsid w:val="00BB1725"/>
    <w:rsid w:val="00BB2934"/>
    <w:rsid w:val="00BB2AB8"/>
    <w:rsid w:val="00BC1C3B"/>
    <w:rsid w:val="00BC3B59"/>
    <w:rsid w:val="00BC63BB"/>
    <w:rsid w:val="00BD4C12"/>
    <w:rsid w:val="00BD5D57"/>
    <w:rsid w:val="00BE5767"/>
    <w:rsid w:val="00BE713B"/>
    <w:rsid w:val="00BF221D"/>
    <w:rsid w:val="00BF24E0"/>
    <w:rsid w:val="00BF397E"/>
    <w:rsid w:val="00BF5F0B"/>
    <w:rsid w:val="00BF6A2E"/>
    <w:rsid w:val="00C0310B"/>
    <w:rsid w:val="00C0426E"/>
    <w:rsid w:val="00C154B9"/>
    <w:rsid w:val="00C254F7"/>
    <w:rsid w:val="00C31AAF"/>
    <w:rsid w:val="00C333FF"/>
    <w:rsid w:val="00C36209"/>
    <w:rsid w:val="00C45144"/>
    <w:rsid w:val="00C47C64"/>
    <w:rsid w:val="00C50056"/>
    <w:rsid w:val="00C62E7A"/>
    <w:rsid w:val="00C63342"/>
    <w:rsid w:val="00C71D18"/>
    <w:rsid w:val="00C71F87"/>
    <w:rsid w:val="00C73A07"/>
    <w:rsid w:val="00C75AE0"/>
    <w:rsid w:val="00C8198F"/>
    <w:rsid w:val="00C82CC2"/>
    <w:rsid w:val="00C833E0"/>
    <w:rsid w:val="00C93FF1"/>
    <w:rsid w:val="00C94A5D"/>
    <w:rsid w:val="00C9748C"/>
    <w:rsid w:val="00CA5718"/>
    <w:rsid w:val="00CC2C85"/>
    <w:rsid w:val="00CC538D"/>
    <w:rsid w:val="00CC6163"/>
    <w:rsid w:val="00CD4013"/>
    <w:rsid w:val="00CD46BF"/>
    <w:rsid w:val="00CE0129"/>
    <w:rsid w:val="00CE2AA2"/>
    <w:rsid w:val="00CF17FD"/>
    <w:rsid w:val="00CF25F1"/>
    <w:rsid w:val="00D07D01"/>
    <w:rsid w:val="00D350D1"/>
    <w:rsid w:val="00D37678"/>
    <w:rsid w:val="00D540F9"/>
    <w:rsid w:val="00D54D63"/>
    <w:rsid w:val="00D55E19"/>
    <w:rsid w:val="00D60CCB"/>
    <w:rsid w:val="00D614D1"/>
    <w:rsid w:val="00D634AC"/>
    <w:rsid w:val="00D646C7"/>
    <w:rsid w:val="00D736FA"/>
    <w:rsid w:val="00D739DC"/>
    <w:rsid w:val="00D779D3"/>
    <w:rsid w:val="00D80120"/>
    <w:rsid w:val="00D8146E"/>
    <w:rsid w:val="00D851F9"/>
    <w:rsid w:val="00D86213"/>
    <w:rsid w:val="00D94A36"/>
    <w:rsid w:val="00D952DF"/>
    <w:rsid w:val="00D95520"/>
    <w:rsid w:val="00D9781A"/>
    <w:rsid w:val="00DA2840"/>
    <w:rsid w:val="00DA4B1D"/>
    <w:rsid w:val="00DA58E0"/>
    <w:rsid w:val="00DA7A93"/>
    <w:rsid w:val="00DB0B1A"/>
    <w:rsid w:val="00DB5BCD"/>
    <w:rsid w:val="00DC53BF"/>
    <w:rsid w:val="00DC7F84"/>
    <w:rsid w:val="00DD1F8D"/>
    <w:rsid w:val="00DD36D4"/>
    <w:rsid w:val="00DD452F"/>
    <w:rsid w:val="00DD75D5"/>
    <w:rsid w:val="00DE6ED4"/>
    <w:rsid w:val="00DE6EE5"/>
    <w:rsid w:val="00DF040D"/>
    <w:rsid w:val="00DF56CE"/>
    <w:rsid w:val="00DF6EC8"/>
    <w:rsid w:val="00DF731B"/>
    <w:rsid w:val="00DF7EC0"/>
    <w:rsid w:val="00E0432D"/>
    <w:rsid w:val="00E046A5"/>
    <w:rsid w:val="00E054D8"/>
    <w:rsid w:val="00E063E7"/>
    <w:rsid w:val="00E24C0C"/>
    <w:rsid w:val="00E31ED2"/>
    <w:rsid w:val="00E32CDD"/>
    <w:rsid w:val="00E35627"/>
    <w:rsid w:val="00E52B6F"/>
    <w:rsid w:val="00E551E1"/>
    <w:rsid w:val="00E60085"/>
    <w:rsid w:val="00E61A4A"/>
    <w:rsid w:val="00E637C8"/>
    <w:rsid w:val="00E65971"/>
    <w:rsid w:val="00E719BE"/>
    <w:rsid w:val="00E71FAC"/>
    <w:rsid w:val="00E72B0C"/>
    <w:rsid w:val="00E74235"/>
    <w:rsid w:val="00E836C3"/>
    <w:rsid w:val="00E91C82"/>
    <w:rsid w:val="00E922A1"/>
    <w:rsid w:val="00E95E74"/>
    <w:rsid w:val="00E97CD4"/>
    <w:rsid w:val="00EA6186"/>
    <w:rsid w:val="00EB3CC5"/>
    <w:rsid w:val="00EC2DAD"/>
    <w:rsid w:val="00EC3D4E"/>
    <w:rsid w:val="00EC6C39"/>
    <w:rsid w:val="00ED1010"/>
    <w:rsid w:val="00ED2C43"/>
    <w:rsid w:val="00ED6125"/>
    <w:rsid w:val="00ED6A80"/>
    <w:rsid w:val="00EE40BF"/>
    <w:rsid w:val="00EE753B"/>
    <w:rsid w:val="00EF0A63"/>
    <w:rsid w:val="00EF20B8"/>
    <w:rsid w:val="00EF47EE"/>
    <w:rsid w:val="00F05990"/>
    <w:rsid w:val="00F10EC7"/>
    <w:rsid w:val="00F30645"/>
    <w:rsid w:val="00F34E6D"/>
    <w:rsid w:val="00F36FFA"/>
    <w:rsid w:val="00F37966"/>
    <w:rsid w:val="00F474A6"/>
    <w:rsid w:val="00F54799"/>
    <w:rsid w:val="00F55755"/>
    <w:rsid w:val="00F57BF2"/>
    <w:rsid w:val="00F6116C"/>
    <w:rsid w:val="00F6265A"/>
    <w:rsid w:val="00F63BB4"/>
    <w:rsid w:val="00F90F41"/>
    <w:rsid w:val="00F950C9"/>
    <w:rsid w:val="00FA1E77"/>
    <w:rsid w:val="00FA2CE8"/>
    <w:rsid w:val="00FA4130"/>
    <w:rsid w:val="00FB6FEA"/>
    <w:rsid w:val="00FD170D"/>
    <w:rsid w:val="00FD28B2"/>
    <w:rsid w:val="00FD55A2"/>
    <w:rsid w:val="00FF135F"/>
    <w:rsid w:val="00FF64AC"/>
    <w:rsid w:val="1A78FEF8"/>
    <w:rsid w:val="32DF0AC2"/>
    <w:rsid w:val="54C6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0E35707"/>
  <w15:chartTrackingRefBased/>
  <w15:docId w15:val="{2062C47C-37B2-4804-8203-6783B2E8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FC4"/>
    <w:pPr>
      <w:spacing w:after="24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Text1"/>
    <w:link w:val="Heading1Char"/>
    <w:uiPriority w:val="1"/>
    <w:qFormat/>
    <w:rsid w:val="006D5FC4"/>
    <w:pPr>
      <w:keepNext/>
      <w:numPr>
        <w:numId w:val="1"/>
      </w:numPr>
      <w:spacing w:before="240"/>
      <w:outlineLvl w:val="0"/>
    </w:pPr>
    <w:rPr>
      <w:rFonts w:eastAsia="Times New Roman"/>
      <w:b/>
      <w:smallCaps/>
      <w:szCs w:val="20"/>
    </w:rPr>
  </w:style>
  <w:style w:type="paragraph" w:styleId="Heading2">
    <w:name w:val="heading 2"/>
    <w:basedOn w:val="Normal"/>
    <w:next w:val="Text2"/>
    <w:link w:val="Heading2Char"/>
    <w:uiPriority w:val="1"/>
    <w:qFormat/>
    <w:rsid w:val="006D5FC4"/>
    <w:pPr>
      <w:keepNext/>
      <w:numPr>
        <w:ilvl w:val="1"/>
        <w:numId w:val="1"/>
      </w:numPr>
      <w:outlineLvl w:val="1"/>
    </w:pPr>
    <w:rPr>
      <w:rFonts w:eastAsia="Times New Roman"/>
      <w:b/>
      <w:szCs w:val="20"/>
    </w:rPr>
  </w:style>
  <w:style w:type="paragraph" w:styleId="Heading3">
    <w:name w:val="heading 3"/>
    <w:basedOn w:val="Normal"/>
    <w:next w:val="Normal"/>
    <w:link w:val="Heading3Char"/>
    <w:uiPriority w:val="1"/>
    <w:qFormat/>
    <w:rsid w:val="006D5FC4"/>
    <w:pPr>
      <w:keepNext/>
      <w:numPr>
        <w:ilvl w:val="2"/>
        <w:numId w:val="1"/>
      </w:numPr>
      <w:outlineLvl w:val="2"/>
    </w:pPr>
    <w:rPr>
      <w:rFonts w:eastAsia="Times New Roman"/>
      <w:i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6D5FC4"/>
    <w:pPr>
      <w:keepNext/>
      <w:numPr>
        <w:ilvl w:val="3"/>
        <w:numId w:val="1"/>
      </w:numPr>
      <w:outlineLvl w:val="3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D5FC4"/>
    <w:rPr>
      <w:rFonts w:ascii="Times New Roman" w:eastAsia="Times New Roman" w:hAnsi="Times New Roman" w:cs="Times New Roman"/>
      <w:b/>
      <w:smallCaps/>
      <w:sz w:val="24"/>
      <w:szCs w:val="20"/>
      <w:lang w:val="mt-MT"/>
    </w:rPr>
  </w:style>
  <w:style w:type="character" w:customStyle="1" w:styleId="Heading2Char">
    <w:name w:val="Heading 2 Char"/>
    <w:basedOn w:val="DefaultParagraphFont"/>
    <w:link w:val="Heading2"/>
    <w:uiPriority w:val="1"/>
    <w:rsid w:val="006D5FC4"/>
    <w:rPr>
      <w:rFonts w:ascii="Times New Roman" w:eastAsia="Times New Roman" w:hAnsi="Times New Roman" w:cs="Times New Roman"/>
      <w:b/>
      <w:sz w:val="24"/>
      <w:szCs w:val="20"/>
      <w:lang w:val="mt-MT"/>
    </w:rPr>
  </w:style>
  <w:style w:type="character" w:customStyle="1" w:styleId="Heading3Char">
    <w:name w:val="Heading 3 Char"/>
    <w:basedOn w:val="DefaultParagraphFont"/>
    <w:link w:val="Heading3"/>
    <w:uiPriority w:val="1"/>
    <w:rsid w:val="006D5FC4"/>
    <w:rPr>
      <w:rFonts w:ascii="Times New Roman" w:eastAsia="Times New Roman" w:hAnsi="Times New Roman" w:cs="Times New Roman"/>
      <w:i/>
      <w:sz w:val="24"/>
      <w:szCs w:val="20"/>
      <w:lang w:val="mt-MT"/>
    </w:rPr>
  </w:style>
  <w:style w:type="character" w:customStyle="1" w:styleId="Heading4Char">
    <w:name w:val="Heading 4 Char"/>
    <w:basedOn w:val="DefaultParagraphFont"/>
    <w:link w:val="Heading4"/>
    <w:uiPriority w:val="1"/>
    <w:rsid w:val="006D5FC4"/>
    <w:rPr>
      <w:rFonts w:ascii="Times New Roman" w:eastAsia="Times New Roman" w:hAnsi="Times New Roman" w:cs="Times New Roman"/>
      <w:sz w:val="24"/>
      <w:szCs w:val="20"/>
      <w:lang w:val="mt-MT"/>
    </w:rPr>
  </w:style>
  <w:style w:type="paragraph" w:customStyle="1" w:styleId="Text1">
    <w:name w:val="Text 1"/>
    <w:basedOn w:val="Normal"/>
    <w:uiPriority w:val="1"/>
    <w:qFormat/>
    <w:rsid w:val="006D5FC4"/>
    <w:pPr>
      <w:ind w:left="482"/>
    </w:pPr>
    <w:rPr>
      <w:rFonts w:eastAsia="Times New Roman"/>
      <w:szCs w:val="20"/>
    </w:rPr>
  </w:style>
  <w:style w:type="paragraph" w:customStyle="1" w:styleId="Text2">
    <w:name w:val="Text 2"/>
    <w:basedOn w:val="Normal"/>
    <w:uiPriority w:val="1"/>
    <w:qFormat/>
    <w:rsid w:val="006D5FC4"/>
    <w:pPr>
      <w:tabs>
        <w:tab w:val="left" w:pos="2302"/>
      </w:tabs>
      <w:ind w:left="1202"/>
    </w:pPr>
    <w:rPr>
      <w:rFonts w:eastAsia="Times New Roman"/>
      <w:szCs w:val="20"/>
    </w:rPr>
  </w:style>
  <w:style w:type="character" w:styleId="Hyperlink">
    <w:name w:val="Hyperlink"/>
    <w:basedOn w:val="DefaultParagraphFont"/>
    <w:uiPriority w:val="99"/>
    <w:unhideWhenUsed/>
    <w:rsid w:val="006D5FC4"/>
    <w:rPr>
      <w:color w:val="0563C1" w:themeColor="hyperlink"/>
      <w:u w:val="single"/>
    </w:rPr>
  </w:style>
  <w:style w:type="paragraph" w:styleId="FootnoteText">
    <w:name w:val="footnote text"/>
    <w:aliases w:val="Char,Fußnote,Carattere,fn,Footnotes,Footnote ak,Footnote Text Char1,Footnote Text Char Char,fn Char Char,footnote text Char Char,Footnotes Char Char,Footnote ak Char Char,fn Char1,footnote text Char1,Footnotes Char1,ft,Footnote Text_EP-LC"/>
    <w:basedOn w:val="Normal"/>
    <w:link w:val="FootnoteTextChar"/>
    <w:uiPriority w:val="99"/>
    <w:unhideWhenUsed/>
    <w:qFormat/>
    <w:rsid w:val="006D5FC4"/>
    <w:pPr>
      <w:spacing w:after="0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aliases w:val="Char Char,Fußnote Char,Carattere Char,fn Char,Footnotes Char,Footnote ak Char,Footnote Text Char1 Char,Footnote Text Char Char Char,fn Char Char Char,footnote text Char Char Char,Footnotes Char Char Char,Footnote ak Char Char Char"/>
    <w:basedOn w:val="DefaultParagraphFont"/>
    <w:link w:val="FootnoteText"/>
    <w:uiPriority w:val="99"/>
    <w:qFormat/>
    <w:rsid w:val="006D5FC4"/>
    <w:rPr>
      <w:rFonts w:ascii="Times New Roman" w:eastAsiaTheme="minorEastAsia" w:hAnsi="Times New Roman" w:cs="Times New Roman"/>
      <w:sz w:val="20"/>
      <w:szCs w:val="20"/>
      <w:lang w:val="mt-MT"/>
    </w:rPr>
  </w:style>
  <w:style w:type="character" w:styleId="FootnoteReference">
    <w:name w:val="footnote reference"/>
    <w:aliases w:val="Footnote symbol,Footnote reference number,note TESI,BVI fnr,Appel note de bas de p,Nota,SUPERS,Footnote number,Footnote Reference Superscript,EN Footnote Reference,-E Fußnotenzeichen,number Char Char,number,Ref,styl,styli,de nota al p"/>
    <w:basedOn w:val="DefaultParagraphFont"/>
    <w:link w:val="CharCharChar1"/>
    <w:uiPriority w:val="99"/>
    <w:unhideWhenUsed/>
    <w:qFormat/>
    <w:rsid w:val="006D5FC4"/>
    <w:rPr>
      <w:vertAlign w:val="superscript"/>
    </w:rPr>
  </w:style>
  <w:style w:type="paragraph" w:customStyle="1" w:styleId="CharCharChar1">
    <w:name w:val="Char Char Char1"/>
    <w:basedOn w:val="Normal"/>
    <w:link w:val="FootnoteReference"/>
    <w:uiPriority w:val="99"/>
    <w:rsid w:val="006D5FC4"/>
    <w:pPr>
      <w:spacing w:after="160" w:line="240" w:lineRule="exact"/>
    </w:pPr>
    <w:rPr>
      <w:rFonts w:asciiTheme="minorHAnsi" w:hAnsiTheme="minorHAnsi" w:cstheme="minorBidi"/>
      <w:sz w:val="22"/>
      <w:szCs w:val="22"/>
      <w:vertAlign w:val="superscript"/>
    </w:rPr>
  </w:style>
  <w:style w:type="paragraph" w:styleId="Revision">
    <w:name w:val="Revision"/>
    <w:hidden/>
    <w:uiPriority w:val="99"/>
    <w:semiHidden/>
    <w:rsid w:val="00E31ED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31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1E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1ED2"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ED2"/>
    <w:rPr>
      <w:rFonts w:ascii="Times New Roman" w:hAnsi="Times New Roman" w:cs="Times New Roman"/>
      <w:b/>
      <w:bCs/>
      <w:sz w:val="20"/>
      <w:szCs w:val="20"/>
      <w:lang w:val="mt-MT"/>
    </w:rPr>
  </w:style>
  <w:style w:type="character" w:customStyle="1" w:styleId="Marker">
    <w:name w:val="Marker"/>
    <w:basedOn w:val="DefaultParagraphFont"/>
    <w:rsid w:val="00EF47EE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EF47E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F47EE"/>
    <w:rPr>
      <w:rFonts w:ascii="Times New Roman" w:hAnsi="Times New Roman" w:cs="Times New Roman"/>
      <w:sz w:val="24"/>
      <w:szCs w:val="24"/>
      <w:lang w:val="mt-MT"/>
    </w:rPr>
  </w:style>
  <w:style w:type="paragraph" w:styleId="Footer">
    <w:name w:val="footer"/>
    <w:basedOn w:val="Normal"/>
    <w:link w:val="FooterChar"/>
    <w:uiPriority w:val="99"/>
    <w:unhideWhenUsed/>
    <w:rsid w:val="00EF47E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F47EE"/>
    <w:rPr>
      <w:rFonts w:ascii="Times New Roman" w:hAnsi="Times New Roman" w:cs="Times New Roman"/>
      <w:sz w:val="24"/>
      <w:szCs w:val="24"/>
      <w:lang w:val="mt-MT"/>
    </w:rPr>
  </w:style>
  <w:style w:type="paragraph" w:customStyle="1" w:styleId="Pagedecouverture">
    <w:name w:val="Page de couverture"/>
    <w:basedOn w:val="Normal"/>
    <w:next w:val="Normal"/>
    <w:link w:val="PagedecouvertureChar"/>
    <w:rsid w:val="00EF47EE"/>
    <w:pPr>
      <w:spacing w:after="0"/>
    </w:pPr>
    <w:rPr>
      <w:szCs w:val="22"/>
    </w:rPr>
  </w:style>
  <w:style w:type="paragraph" w:customStyle="1" w:styleId="FooterCoverPage">
    <w:name w:val="Footer Cover Page"/>
    <w:basedOn w:val="Normal"/>
    <w:link w:val="FooterCoverPageChar"/>
    <w:rsid w:val="00EF47EE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PagedecouvertureChar">
    <w:name w:val="Page de couverture Char"/>
    <w:basedOn w:val="DefaultParagraphFont"/>
    <w:link w:val="Pagedecouverture"/>
    <w:rsid w:val="00EF47EE"/>
    <w:rPr>
      <w:rFonts w:ascii="Times New Roman" w:hAnsi="Times New Roman" w:cs="Times New Roman"/>
      <w:sz w:val="24"/>
      <w:lang w:val="mt-MT"/>
    </w:rPr>
  </w:style>
  <w:style w:type="character" w:customStyle="1" w:styleId="FooterCoverPageChar">
    <w:name w:val="Footer Cover Page Char"/>
    <w:basedOn w:val="PagedecouvertureChar"/>
    <w:link w:val="FooterCoverPage"/>
    <w:rsid w:val="00EF47EE"/>
    <w:rPr>
      <w:rFonts w:ascii="Times New Roman" w:hAnsi="Times New Roman" w:cs="Times New Roman"/>
      <w:sz w:val="24"/>
      <w:szCs w:val="24"/>
      <w:lang w:val="mt-MT"/>
    </w:rPr>
  </w:style>
  <w:style w:type="paragraph" w:customStyle="1" w:styleId="FooterSensitivity">
    <w:name w:val="Footer Sensitivity"/>
    <w:basedOn w:val="Normal"/>
    <w:link w:val="FooterSensitivityChar"/>
    <w:rsid w:val="00EF47E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basedOn w:val="PagedecouvertureChar"/>
    <w:link w:val="FooterSensitivity"/>
    <w:rsid w:val="00EF47EE"/>
    <w:rPr>
      <w:rFonts w:ascii="Times New Roman" w:hAnsi="Times New Roman" w:cs="Times New Roman"/>
      <w:b/>
      <w:sz w:val="32"/>
      <w:szCs w:val="24"/>
      <w:lang w:val="mt-MT"/>
    </w:rPr>
  </w:style>
  <w:style w:type="paragraph" w:customStyle="1" w:styleId="HeaderCoverPage">
    <w:name w:val="Header Cover Page"/>
    <w:basedOn w:val="Normal"/>
    <w:link w:val="HeaderCoverPageChar"/>
    <w:rsid w:val="00EF47EE"/>
    <w:pPr>
      <w:tabs>
        <w:tab w:val="center" w:pos="4535"/>
        <w:tab w:val="right" w:pos="9071"/>
      </w:tabs>
      <w:spacing w:after="120"/>
    </w:pPr>
  </w:style>
  <w:style w:type="character" w:customStyle="1" w:styleId="HeaderCoverPageChar">
    <w:name w:val="Header Cover Page Char"/>
    <w:basedOn w:val="PagedecouvertureChar"/>
    <w:link w:val="HeaderCoverPage"/>
    <w:rsid w:val="00EF47EE"/>
    <w:rPr>
      <w:rFonts w:ascii="Times New Roman" w:hAnsi="Times New Roman" w:cs="Times New Roman"/>
      <w:sz w:val="24"/>
      <w:szCs w:val="24"/>
      <w:lang w:val="mt-MT"/>
    </w:rPr>
  </w:style>
  <w:style w:type="paragraph" w:customStyle="1" w:styleId="HeaderSensitivity">
    <w:name w:val="Header Sensitivity"/>
    <w:basedOn w:val="Normal"/>
    <w:link w:val="HeaderSensitivityChar"/>
    <w:rsid w:val="00EF47E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basedOn w:val="PagedecouvertureChar"/>
    <w:link w:val="HeaderSensitivity"/>
    <w:rsid w:val="00EF47EE"/>
    <w:rPr>
      <w:rFonts w:ascii="Times New Roman" w:hAnsi="Times New Roman" w:cs="Times New Roman"/>
      <w:b/>
      <w:sz w:val="32"/>
      <w:szCs w:val="24"/>
      <w:lang w:val="mt-MT"/>
    </w:rPr>
  </w:style>
  <w:style w:type="paragraph" w:customStyle="1" w:styleId="HeaderSensitivityRight">
    <w:name w:val="Header Sensitivity Right"/>
    <w:basedOn w:val="Normal"/>
    <w:link w:val="HeaderSensitivityRightChar"/>
    <w:rsid w:val="00EF47EE"/>
    <w:pPr>
      <w:spacing w:after="120"/>
      <w:jc w:val="right"/>
    </w:pPr>
    <w:rPr>
      <w:sz w:val="28"/>
    </w:rPr>
  </w:style>
  <w:style w:type="character" w:customStyle="1" w:styleId="HeaderSensitivityRightChar">
    <w:name w:val="Header Sensitivity Right Char"/>
    <w:basedOn w:val="PagedecouvertureChar"/>
    <w:link w:val="HeaderSensitivityRight"/>
    <w:rsid w:val="00EF47EE"/>
    <w:rPr>
      <w:rFonts w:ascii="Times New Roman" w:hAnsi="Times New Roman" w:cs="Times New Roman"/>
      <w:sz w:val="28"/>
      <w:szCs w:val="24"/>
      <w:lang w:val="mt-MT"/>
    </w:rPr>
  </w:style>
  <w:style w:type="character" w:styleId="FollowedHyperlink">
    <w:name w:val="FollowedHyperlink"/>
    <w:basedOn w:val="DefaultParagraphFont"/>
    <w:uiPriority w:val="99"/>
    <w:semiHidden/>
    <w:unhideWhenUsed/>
    <w:rsid w:val="003F4BFA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C71F87"/>
  </w:style>
  <w:style w:type="paragraph" w:customStyle="1" w:styleId="paragraph">
    <w:name w:val="paragraph"/>
    <w:basedOn w:val="Normal"/>
    <w:rsid w:val="00C71F87"/>
    <w:pPr>
      <w:spacing w:before="100" w:beforeAutospacing="1" w:after="100" w:afterAutospacing="1"/>
      <w:jc w:val="left"/>
    </w:pPr>
    <w:rPr>
      <w:rFonts w:eastAsia="Times New Roman"/>
      <w:lang w:eastAsia="en-IE"/>
    </w:rPr>
  </w:style>
  <w:style w:type="character" w:customStyle="1" w:styleId="eop">
    <w:name w:val="eop"/>
    <w:basedOn w:val="DefaultParagraphFont"/>
    <w:rsid w:val="00C71F87"/>
  </w:style>
  <w:style w:type="table" w:styleId="TableGrid">
    <w:name w:val="Table Grid"/>
    <w:basedOn w:val="TableNormal"/>
    <w:uiPriority w:val="39"/>
    <w:rsid w:val="00CD4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46BF"/>
    <w:pPr>
      <w:ind w:left="720"/>
      <w:contextualSpacing/>
    </w:pPr>
  </w:style>
  <w:style w:type="table" w:styleId="PlainTable1">
    <w:name w:val="Plain Table 1"/>
    <w:basedOn w:val="TableNormal"/>
    <w:uiPriority w:val="41"/>
    <w:rsid w:val="004720A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720A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720A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4720A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4720A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720A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4720A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4720A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5Dark-Accent1">
    <w:name w:val="List Table 5 Dark Accent 1"/>
    <w:basedOn w:val="TableNormal"/>
    <w:uiPriority w:val="50"/>
    <w:rsid w:val="004720A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4720A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758C"/>
    <w:rPr>
      <w:color w:val="605E5C"/>
      <w:shd w:val="clear" w:color="auto" w:fill="E1DFDD"/>
    </w:rPr>
  </w:style>
  <w:style w:type="paragraph" w:customStyle="1" w:styleId="pf0">
    <w:name w:val="pf0"/>
    <w:basedOn w:val="Normal"/>
    <w:rsid w:val="00FF135F"/>
    <w:pPr>
      <w:spacing w:before="100" w:beforeAutospacing="1" w:after="100" w:afterAutospacing="1"/>
      <w:jc w:val="left"/>
    </w:pPr>
    <w:rPr>
      <w:rFonts w:eastAsia="Times New Roman"/>
      <w:lang w:eastAsia="en-IE"/>
    </w:rPr>
  </w:style>
  <w:style w:type="character" w:customStyle="1" w:styleId="cf01">
    <w:name w:val="cf01"/>
    <w:basedOn w:val="DefaultParagraphFont"/>
    <w:rsid w:val="00FF135F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E74235"/>
    <w:rPr>
      <w:rFonts w:ascii="Segoe UI" w:hAnsi="Segoe UI" w:cs="Segoe UI" w:hint="default"/>
      <w:color w:val="333333"/>
      <w:sz w:val="18"/>
      <w:szCs w:val="18"/>
      <w:shd w:val="clear" w:color="auto" w:fill="FFFFFF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B1BB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1BBB"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semiHidden/>
    <w:unhideWhenUsed/>
    <w:rsid w:val="003B1BBB"/>
    <w:rPr>
      <w:vertAlign w:val="superscript"/>
    </w:rPr>
  </w:style>
  <w:style w:type="character" w:customStyle="1" w:styleId="Mention">
    <w:name w:val="Mention"/>
    <w:basedOn w:val="DefaultParagraphFont"/>
    <w:uiPriority w:val="99"/>
    <w:unhideWhenUsed/>
    <w:rsid w:val="004038C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8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4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3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8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8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2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7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3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Status xmlns="a280f3ed-f921-4226-9525-27fa6d577539">Draft</DocStatus>
  </documentManagement>
</p:properties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9A588E0F14746BFAC081FD6A566B8" ma:contentTypeVersion="7" ma:contentTypeDescription="Create a new document." ma:contentTypeScope="" ma:versionID="75295f1cfacf88a75dd99dd94451f848">
  <xsd:schema xmlns:xsd="http://www.w3.org/2001/XMLSchema" xmlns:xs="http://www.w3.org/2001/XMLSchema" xmlns:p="http://schemas.microsoft.com/office/2006/metadata/properties" xmlns:ns2="a280f3ed-f921-4226-9525-27fa6d577539" xmlns:ns3="278287c8-5be4-4613-8138-480f9be48247" targetNamespace="http://schemas.microsoft.com/office/2006/metadata/properties" ma:root="true" ma:fieldsID="865f85f0d8bd327edeb52476231840b6" ns2:_="" ns3:_="">
    <xsd:import namespace="a280f3ed-f921-4226-9525-27fa6d577539"/>
    <xsd:import namespace="278287c8-5be4-4613-8138-480f9be48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Status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0f3ed-f921-4226-9525-27fa6d577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Status" ma:index="10" ma:displayName="Doc Status" ma:format="Dropdown" ma:internalName="DocStatus">
      <xsd:simpleType>
        <xsd:restriction base="dms:Choice">
          <xsd:enumeration value="Draft"/>
          <xsd:enumeration value="Final"/>
        </xsd:restriction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287c8-5be4-4613-8138-480f9be48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F3FAF-2196-4ACF-8050-264E229762A8}">
  <ds:schemaRefs>
    <ds:schemaRef ds:uri="http://schemas.microsoft.com/office/2006/metadata/properties"/>
    <ds:schemaRef ds:uri="http://schemas.microsoft.com/office/infopath/2007/PartnerControls"/>
    <ds:schemaRef ds:uri="a280f3ed-f921-4226-9525-27fa6d577539"/>
  </ds:schemaRefs>
</ds:datastoreItem>
</file>

<file path=customXml/itemProps2.xml><?xml version="1.0" encoding="utf-8"?>
<ds:datastoreItem xmlns:ds="http://schemas.openxmlformats.org/officeDocument/2006/customXml" ds:itemID="{C6ACEC8B-A982-4FF8-A870-9865CFA09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B11E85-AC7C-4432-9ADF-B2FE46198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0f3ed-f921-4226-9525-27fa6d577539"/>
    <ds:schemaRef ds:uri="278287c8-5be4-4613-8138-480f9be48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0AB186-CB9C-48D4-9B02-AB6D6A0C2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1294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cp:lastPrinted>2024-04-19T23:22:00Z</cp:lastPrinted>
  <dcterms:created xsi:type="dcterms:W3CDTF">2024-05-30T11:28:00Z</dcterms:created>
  <dcterms:modified xsi:type="dcterms:W3CDTF">2024-06-03T07:42:00Z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2023-05-08T08:48:23Z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3b7c7271-51c3-40c8-ac62-c081791d02c0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Part">
    <vt:lpwstr>1</vt:lpwstr>
  </property>
  <property fmtid="{D5CDD505-2E9C-101B-9397-08002B2CF9AE}" pid="11" name="Total parts">
    <vt:lpwstr>1</vt:lpwstr>
  </property>
  <property fmtid="{D5CDD505-2E9C-101B-9397-08002B2CF9AE}" pid="12" name="DocStatus">
    <vt:lpwstr>Green</vt:lpwstr>
  </property>
  <property fmtid="{D5CDD505-2E9C-101B-9397-08002B2CF9AE}" pid="13" name="CPTemplateID">
    <vt:lpwstr>CP-006</vt:lpwstr>
  </property>
  <property fmtid="{D5CDD505-2E9C-101B-9397-08002B2CF9AE}" pid="14" name="Last edited using">
    <vt:lpwstr>LW 9.0, Build 20230317</vt:lpwstr>
  </property>
  <property fmtid="{D5CDD505-2E9C-101B-9397-08002B2CF9AE}" pid="15" name="Created using">
    <vt:lpwstr>LW 9.0, Build 20230317</vt:lpwstr>
  </property>
  <property fmtid="{D5CDD505-2E9C-101B-9397-08002B2CF9AE}" pid="16" name="ContentTypeId">
    <vt:lpwstr>0x010100F099A588E0F14746BFAC081FD6A566B8</vt:lpwstr>
  </property>
  <property name="OP_sanitized" fmtid="{D5CDD505-2E9C-101B-9397-08002B2CF9AE}" pid="17">
    <vt:lpwstr>True</vt:lpwstr>
  </property>
</Properties>
</file>