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41780" w14:textId="2D324DC8" w:rsidR="007F1C63" w:rsidRDefault="00996A92" w:rsidP="00996A92">
      <w:pPr>
        <w:pStyle w:val="Pagedecouverture"/>
        <w:rPr>
          <w:rStyle w:val="Heading11"/>
          <w:smallCaps/>
          <w:noProof/>
          <w:sz w:val="24"/>
          <w:szCs w:val="24"/>
        </w:rPr>
      </w:pPr>
      <w:bookmarkStart w:id="0" w:name="LW_BM_COVERPAGE"/>
      <w:r>
        <w:rPr>
          <w:rStyle w:val="Heading11"/>
          <w:smallCaps/>
          <w:noProof/>
          <w:sz w:val="24"/>
          <w:szCs w:val="24"/>
        </w:rPr>
        <w:pict w14:anchorId="193196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28A14CC0-C2BE-4A82-88FB-58AB46622278" style="width:455.25pt;height:336.75pt">
            <v:imagedata r:id="rId8" o:title=""/>
          </v:shape>
        </w:pict>
      </w:r>
    </w:p>
    <w:bookmarkEnd w:id="0"/>
    <w:p w14:paraId="5C793B7A" w14:textId="77777777" w:rsidR="007F1C63" w:rsidRDefault="007F1C63" w:rsidP="007F1C63">
      <w:pPr>
        <w:rPr>
          <w:rStyle w:val="Heading11"/>
          <w:rFonts w:ascii="Times New Roman" w:hAnsi="Times New Roman" w:cs="Times New Roman"/>
          <w:smallCaps/>
          <w:noProof/>
          <w:sz w:val="24"/>
          <w:szCs w:val="24"/>
        </w:rPr>
        <w:sectPr w:rsidR="007F1C63" w:rsidSect="00996A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D616DB2" w14:textId="1E638864" w:rsidR="004B181D" w:rsidRPr="001E1863" w:rsidRDefault="004B181D" w:rsidP="004B181D">
      <w:pPr>
        <w:pStyle w:val="Heading110"/>
        <w:keepNext/>
        <w:keepLines/>
        <w:numPr>
          <w:ilvl w:val="0"/>
          <w:numId w:val="1"/>
        </w:numPr>
        <w:tabs>
          <w:tab w:val="left" w:pos="552"/>
          <w:tab w:val="left" w:pos="557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GoBack"/>
      <w:bookmarkEnd w:id="1"/>
      <w:r>
        <w:rPr>
          <w:rStyle w:val="Heading11"/>
          <w:rFonts w:ascii="Times New Roman" w:hAnsi="Times New Roman"/>
          <w:smallCaps/>
          <w:noProof/>
          <w:sz w:val="24"/>
        </w:rPr>
        <w:lastRenderedPageBreak/>
        <w:t>Introduzzjoni</w:t>
      </w:r>
    </w:p>
    <w:p w14:paraId="6DB9F7CA" w14:textId="77777777" w:rsidR="004B181D" w:rsidRPr="000C6D51" w:rsidRDefault="004B181D" w:rsidP="004B181D">
      <w:pPr>
        <w:pStyle w:val="Bodytext10"/>
        <w:ind w:left="580"/>
        <w:jc w:val="both"/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</w:pPr>
      <w:r>
        <w:rPr>
          <w:rStyle w:val="Bodytext1"/>
          <w:rFonts w:ascii="Times New Roman" w:hAnsi="Times New Roman"/>
          <w:noProof/>
          <w:sz w:val="24"/>
        </w:rPr>
        <w:t>Id-Direttiva 2009/128/KE</w:t>
      </w:r>
      <w:r>
        <w:rPr>
          <w:rStyle w:val="FootnoteReference"/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  <w:footnoteReference w:id="1"/>
      </w:r>
      <w:r>
        <w:rPr>
          <w:rStyle w:val="Bodytext1"/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noProof/>
          <w:color w:val="333333"/>
          <w:sz w:val="24"/>
          <w:shd w:val="clear" w:color="auto" w:fill="FFFFFF"/>
        </w:rPr>
        <w:t>tistabbilixxi qafas legali komuni biex jinkiseb użu sostenibbli tal-pestiċidi, filwaqt li jitqiesu approċċi prekawzjonarji u preventivi.</w:t>
      </w:r>
      <w:r>
        <w:rPr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noProof/>
          <w:color w:val="333333"/>
          <w:sz w:val="24"/>
          <w:shd w:val="clear" w:color="auto" w:fill="FFFFFF"/>
        </w:rPr>
        <w:t>Ġiet adottata fl-2009 u</w:t>
      </w:r>
      <w:r>
        <w:rPr>
          <w:rStyle w:val="Bodytext1"/>
          <w:rFonts w:ascii="Times New Roman" w:hAnsi="Times New Roman"/>
          <w:noProof/>
          <w:sz w:val="24"/>
        </w:rPr>
        <w:t xml:space="preserve"> kellha tiġi trasposta fil-liġijiet nazzjonali tal-Istati Membri sas-26 ta’ Novembru 2011.</w:t>
      </w:r>
    </w:p>
    <w:p w14:paraId="1263EE15" w14:textId="77777777" w:rsidR="004B181D" w:rsidRPr="00C722DC" w:rsidRDefault="004B181D" w:rsidP="004B181D">
      <w:pPr>
        <w:ind w:left="5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Din id-Direttiva tistabbilixxi qafas biex jitnaqqsu r-riskji u l-impatti tal-użu tal-pestiċidi fuq is-saħħa tal-bniedem u l-ambjent, kif ukoll biex jiġi promoss l-użu ta’ ġestjoni integrata tal-pesti u ta’ approċċi jew tekniki alternattivi.</w:t>
      </w:r>
    </w:p>
    <w:p w14:paraId="1EB14C1C" w14:textId="77777777" w:rsidR="004B181D" w:rsidRPr="008515EF" w:rsidRDefault="004B181D" w:rsidP="004B181D">
      <w:pPr>
        <w:pStyle w:val="Bodytext10"/>
        <w:ind w:left="58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Bodytext1"/>
          <w:rFonts w:ascii="Times New Roman" w:hAnsi="Times New Roman"/>
          <w:noProof/>
          <w:sz w:val="24"/>
        </w:rPr>
        <w:t>Id-Direttiva tagħti s-setgħa lill-Kummissjoni li tadotta atti delegati u timponilha obbligu li tirrapporta lill-koleġiżlaturi dwar l-eżerċitar tas-setgħat delegati li fiha.</w:t>
      </w:r>
    </w:p>
    <w:p w14:paraId="12C195A8" w14:textId="77777777" w:rsidR="004B181D" w:rsidRPr="001E1863" w:rsidRDefault="004B181D" w:rsidP="004B181D">
      <w:pPr>
        <w:pStyle w:val="Heading110"/>
        <w:keepNext/>
        <w:keepLines/>
        <w:numPr>
          <w:ilvl w:val="0"/>
          <w:numId w:val="1"/>
        </w:numPr>
        <w:tabs>
          <w:tab w:val="left" w:pos="552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Heading11"/>
          <w:rFonts w:ascii="Times New Roman" w:hAnsi="Times New Roman"/>
          <w:smallCaps/>
          <w:noProof/>
          <w:sz w:val="24"/>
        </w:rPr>
        <w:t>Bażi legali</w:t>
      </w:r>
    </w:p>
    <w:p w14:paraId="27970C73" w14:textId="77777777" w:rsidR="004B181D" w:rsidRPr="001E1863" w:rsidRDefault="004B181D" w:rsidP="004B181D">
      <w:pPr>
        <w:pStyle w:val="Bodytext10"/>
        <w:ind w:left="58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Bodytext1"/>
          <w:rFonts w:ascii="Times New Roman" w:hAnsi="Times New Roman"/>
          <w:noProof/>
          <w:sz w:val="24"/>
        </w:rPr>
        <w:t>Dan ir-rapport huwa meħtieġ skont l-Artikolu 20a(2) tad-Direttiva 2009/128/KE. Skont din id-dispożizzjoni, is-setgħa li tadotta atti delegati dwar il-kwistjonijiet elenkati fiha tingħata lill-Kummissjoni għal perjodu ta’ 5 snin mis-26 ta’ Lulju 2019 u l-Kummissjoni hija meħtieġa tħejji rapport fir-rigward tad-delega tas-setgħa mhux aktar tard minn 9 xhur qabel tmiem il-perjodu ta’ 5 snin.</w:t>
      </w:r>
    </w:p>
    <w:p w14:paraId="68C55704" w14:textId="77777777" w:rsidR="004B181D" w:rsidRPr="001E1863" w:rsidRDefault="004B181D" w:rsidP="004B181D">
      <w:pPr>
        <w:pStyle w:val="Bodytext10"/>
        <w:ind w:left="58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Bodytext1"/>
          <w:rFonts w:ascii="Times New Roman" w:hAnsi="Times New Roman"/>
          <w:noProof/>
          <w:sz w:val="24"/>
        </w:rPr>
        <w:t>Kif stabbilit fl-Artikolu 20a(2), il-Kummissjoni għandha s-setgħa li tadotta l-atti delegati msemmija fl-</w:t>
      </w:r>
      <w:r>
        <w:rPr>
          <w:rFonts w:ascii="Times New Roman" w:hAnsi="Times New Roman"/>
          <w:noProof/>
          <w:sz w:val="24"/>
          <w:shd w:val="clear" w:color="auto" w:fill="FFFFFF"/>
        </w:rPr>
        <w:t>Artikoli 5(3), 8(7), 14(4) u 15(1</w:t>
      </w:r>
      <w:r>
        <w:rPr>
          <w:rFonts w:ascii="Times New Roman" w:hAnsi="Times New Roman"/>
          <w:noProof/>
          <w:color w:val="333333"/>
          <w:sz w:val="24"/>
          <w:shd w:val="clear" w:color="auto" w:fill="FFFFFF"/>
        </w:rPr>
        <w:t>)</w:t>
      </w:r>
      <w:r>
        <w:rPr>
          <w:rStyle w:val="Bodytext1"/>
          <w:rFonts w:ascii="Times New Roman" w:hAnsi="Times New Roman"/>
          <w:noProof/>
          <w:sz w:val="24"/>
        </w:rPr>
        <w:t xml:space="preserve"> tad-Direttiva 2009/128/KE.</w:t>
      </w:r>
    </w:p>
    <w:p w14:paraId="75A819FA" w14:textId="77777777" w:rsidR="004B181D" w:rsidRPr="001E1863" w:rsidRDefault="004B181D" w:rsidP="004B181D">
      <w:pPr>
        <w:pStyle w:val="Bodytext10"/>
        <w:ind w:left="58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Bodytext1"/>
          <w:rFonts w:ascii="Times New Roman" w:hAnsi="Times New Roman"/>
          <w:noProof/>
          <w:sz w:val="24"/>
        </w:rPr>
        <w:t>L-Artikolu 20 a(2) ta’ dik id-Direttiva jistabbilixxi li d-delega tas-setgħa għandha tiġi estiża awtomatikament għal perjodi ta’ żmien identiċi, sakemm il-Parlament Ewropew jew il-Kunsill ma jopponux tali estensjoni mhux aktar tard minn 3 xhur qabel it-tmiem ta’ kull perjodu, filwaqt li l-Artikolu 20a(3) jiddikjara li d-delega tas-setgħat imsemmija fl-</w:t>
      </w:r>
      <w:r>
        <w:rPr>
          <w:rFonts w:ascii="Times New Roman" w:hAnsi="Times New Roman"/>
          <w:noProof/>
          <w:sz w:val="24"/>
          <w:shd w:val="clear" w:color="auto" w:fill="FFFFFF"/>
        </w:rPr>
        <w:t>Artikoli 5(3), 8(7), 14(4) u 15(1</w:t>
      </w:r>
      <w:r>
        <w:rPr>
          <w:rFonts w:ascii="Times New Roman" w:hAnsi="Times New Roman"/>
          <w:noProof/>
          <w:color w:val="333333"/>
          <w:sz w:val="24"/>
          <w:shd w:val="clear" w:color="auto" w:fill="FFFFFF"/>
        </w:rPr>
        <w:t>)</w:t>
      </w:r>
      <w:r>
        <w:rPr>
          <w:rFonts w:ascii="Times New Roman" w:hAnsi="Times New Roman"/>
          <w:noProof/>
          <w:sz w:val="24"/>
        </w:rPr>
        <w:t xml:space="preserve"> </w:t>
      </w:r>
      <w:r>
        <w:rPr>
          <w:rStyle w:val="Bodytext1"/>
          <w:rFonts w:ascii="Times New Roman" w:hAnsi="Times New Roman"/>
          <w:noProof/>
          <w:sz w:val="24"/>
        </w:rPr>
        <w:t>tad-Direttiva 2009/128/KE tista’ tiġi revokata fi kwalunkwe mument mill-Parlament Ewropew jew mill-Kunsill.</w:t>
      </w:r>
    </w:p>
    <w:p w14:paraId="4CF990BE" w14:textId="77777777" w:rsidR="004B181D" w:rsidRPr="001E1863" w:rsidRDefault="004B181D" w:rsidP="004B181D">
      <w:pPr>
        <w:pStyle w:val="Heading110"/>
        <w:keepNext/>
        <w:keepLines/>
        <w:numPr>
          <w:ilvl w:val="0"/>
          <w:numId w:val="1"/>
        </w:numPr>
        <w:tabs>
          <w:tab w:val="left" w:pos="552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Heading11"/>
          <w:rFonts w:ascii="Times New Roman" w:hAnsi="Times New Roman"/>
          <w:smallCaps/>
          <w:noProof/>
          <w:sz w:val="24"/>
        </w:rPr>
        <w:t xml:space="preserve">Eżerċitar tad-delega  </w:t>
      </w:r>
    </w:p>
    <w:p w14:paraId="1D32ABDB" w14:textId="61077BA2" w:rsidR="004B181D" w:rsidRDefault="004B181D" w:rsidP="004B181D">
      <w:pPr>
        <w:pStyle w:val="Bodytext10"/>
        <w:spacing w:after="160"/>
        <w:ind w:left="580"/>
        <w:jc w:val="both"/>
        <w:rPr>
          <w:rStyle w:val="Bodytext1"/>
          <w:rFonts w:ascii="Times New Roman" w:hAnsi="Times New Roman" w:cs="Times New Roman"/>
          <w:noProof/>
          <w:sz w:val="24"/>
          <w:szCs w:val="24"/>
        </w:rPr>
      </w:pPr>
      <w:r>
        <w:rPr>
          <w:rStyle w:val="Bodytext1"/>
          <w:rFonts w:ascii="Times New Roman" w:hAnsi="Times New Roman"/>
          <w:noProof/>
          <w:sz w:val="24"/>
        </w:rPr>
        <w:t>Matul il-perjodu ta’ rapportar, il-Kummissjoni ma eżerċitat l-ebda setgħa skont</w:t>
      </w:r>
      <w:r>
        <w:rPr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noProof/>
          <w:sz w:val="24"/>
          <w:shd w:val="clear" w:color="auto" w:fill="FFFFFF"/>
        </w:rPr>
        <w:t>l-Artikoli 5(3), 8(7), 14(4) u 15(1</w:t>
      </w:r>
      <w:r>
        <w:rPr>
          <w:rFonts w:ascii="Times New Roman" w:hAnsi="Times New Roman"/>
          <w:noProof/>
          <w:color w:val="333333"/>
          <w:sz w:val="24"/>
          <w:shd w:val="clear" w:color="auto" w:fill="FFFFFF"/>
        </w:rPr>
        <w:t>),</w:t>
      </w:r>
      <w:r>
        <w:rPr>
          <w:rStyle w:val="Bodytext1"/>
          <w:rFonts w:ascii="Times New Roman" w:hAnsi="Times New Roman"/>
          <w:noProof/>
          <w:sz w:val="24"/>
        </w:rPr>
        <w:t>imsemmija fl-Artikolu 20a(2) tad-Direttiva 2009/128/KE. Dan il-perjodu jaħbat mat-tħejjija u n-negozjar ta’ proposta għal</w:t>
      </w:r>
      <w:r>
        <w:rPr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noProof/>
          <w:color w:val="333333"/>
          <w:sz w:val="24"/>
        </w:rPr>
        <w:t>regolament dwar l-użu sostenibbli tal-prodotti għall-protezzjoni tal-pjanti</w:t>
      </w:r>
      <w:r>
        <w:rPr>
          <w:rStyle w:val="FootnoteReference"/>
          <w:rFonts w:ascii="Times New Roman" w:hAnsi="Times New Roman" w:cs="Times New Roman"/>
          <w:noProof/>
          <w:color w:val="333333"/>
          <w:sz w:val="24"/>
          <w:szCs w:val="24"/>
          <w:lang w:val="en-GB"/>
        </w:rPr>
        <w:footnoteReference w:id="2"/>
      </w:r>
      <w:r>
        <w:rPr>
          <w:rStyle w:val="Bodytext1"/>
          <w:rFonts w:ascii="Times New Roman" w:hAnsi="Times New Roman"/>
          <w:noProof/>
          <w:sz w:val="24"/>
        </w:rPr>
        <w:t xml:space="preserve">. Fil-mument li kellu jingħata dan ir-rapport, il-Kummissjoni ma setgħetx tasal għal konklużjonijiet definittivi dwar jekk is-setgħat delegati skont id-Direttiva 2009/128/KE jeħtiġux estensjoni peress li s-setgħat delegati ma kienx ikun hemm bżonn li jiġu estiżi kieku d-Direttiva tħassret. </w:t>
      </w:r>
    </w:p>
    <w:p w14:paraId="3C5D647F" w14:textId="089E351D" w:rsidR="008F36AF" w:rsidRPr="008F36AF" w:rsidRDefault="008F36AF" w:rsidP="004B181D">
      <w:pPr>
        <w:pStyle w:val="Bodytext10"/>
        <w:spacing w:after="160"/>
        <w:ind w:left="580"/>
        <w:jc w:val="both"/>
        <w:rPr>
          <w:rStyle w:val="Bodytext1"/>
          <w:rFonts w:ascii="Times New Roman" w:hAnsi="Times New Roman" w:cs="Times New Roman"/>
          <w:noProof/>
          <w:sz w:val="24"/>
          <w:szCs w:val="24"/>
        </w:rPr>
      </w:pPr>
      <w:r>
        <w:rPr>
          <w:rStyle w:val="Bodytext1"/>
          <w:rFonts w:ascii="Times New Roman" w:hAnsi="Times New Roman"/>
          <w:noProof/>
          <w:sz w:val="24"/>
        </w:rPr>
        <w:t>Fis-27 ta’ Marzu 2024, il-Kummissjoni approvat l-irtirar tal-proposta u dan ġie inkluż fil-</w:t>
      </w:r>
      <w:r>
        <w:rPr>
          <w:rStyle w:val="Bodytext1"/>
          <w:rFonts w:ascii="Times New Roman" w:hAnsi="Times New Roman"/>
          <w:noProof/>
          <w:sz w:val="24"/>
        </w:rPr>
        <w:lastRenderedPageBreak/>
        <w:t>lista ta’ proposti rtirati ppubblikata fis-6 ta’ Mejju 2024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3"/>
      </w:r>
      <w:r>
        <w:rPr>
          <w:noProof/>
        </w:rPr>
        <w:t>.</w:t>
      </w:r>
    </w:p>
    <w:p w14:paraId="1B53AA40" w14:textId="77777777" w:rsidR="004B181D" w:rsidRPr="00591B49" w:rsidRDefault="004B181D" w:rsidP="004B181D">
      <w:pPr>
        <w:pStyle w:val="Bodytext10"/>
        <w:spacing w:after="160"/>
        <w:ind w:left="580"/>
        <w:jc w:val="both"/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</w:pPr>
    </w:p>
    <w:p w14:paraId="73B72466" w14:textId="77777777" w:rsidR="004B181D" w:rsidRPr="001E1863" w:rsidRDefault="004B181D" w:rsidP="004B181D">
      <w:pPr>
        <w:pStyle w:val="Heading110"/>
        <w:keepNext/>
        <w:keepLines/>
        <w:numPr>
          <w:ilvl w:val="0"/>
          <w:numId w:val="1"/>
        </w:numPr>
        <w:tabs>
          <w:tab w:val="left" w:pos="557"/>
        </w:tabs>
        <w:jc w:val="both"/>
        <w:rPr>
          <w:rStyle w:val="Heading11"/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Style w:val="Heading11"/>
          <w:rFonts w:ascii="Times New Roman" w:hAnsi="Times New Roman"/>
          <w:noProof/>
          <w:sz w:val="24"/>
        </w:rPr>
        <w:t>KONKLUŻJONI</w:t>
      </w:r>
    </w:p>
    <w:p w14:paraId="53FC6460" w14:textId="36CCAC9C" w:rsidR="004B181D" w:rsidRPr="001E1863" w:rsidRDefault="004B181D" w:rsidP="00D576FE">
      <w:pPr>
        <w:pStyle w:val="Bodytext10"/>
        <w:spacing w:after="160"/>
        <w:ind w:left="58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Bodytext1"/>
          <w:rFonts w:ascii="Times New Roman" w:hAnsi="Times New Roman"/>
          <w:noProof/>
          <w:sz w:val="24"/>
        </w:rPr>
        <w:t>B’dan ir-rapport, il-Kummissjoni tikkonforma mal-obbligu ta’ rapportar skont l-Artikolu 20a(2) tad-Direttiva 2009/128/KE. L-implimentazzjoni tad-Direttiva 2009/128/KE qed tavvanza u</w:t>
      </w:r>
      <w:r>
        <w:rPr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noProof/>
          <w:color w:val="333333"/>
          <w:sz w:val="24"/>
          <w:shd w:val="clear" w:color="auto" w:fill="FFFFFF"/>
        </w:rPr>
        <w:t>għaddej progress xjentifiku u tekniku</w:t>
      </w:r>
      <w:r>
        <w:rPr>
          <w:rStyle w:val="Bodytext1"/>
          <w:rFonts w:ascii="Times New Roman" w:hAnsi="Times New Roman"/>
          <w:noProof/>
          <w:sz w:val="24"/>
        </w:rPr>
        <w:t xml:space="preserve"> li jista’ jiġġustifika l-adozzjoni ta’</w:t>
      </w:r>
      <w:r>
        <w:rPr>
          <w:rFonts w:ascii="Times New Roman" w:hAnsi="Times New Roman"/>
          <w:noProof/>
          <w:sz w:val="24"/>
        </w:rPr>
        <w:t xml:space="preserve"> aktar atti delegati fil-futur sabiex il-qafas legali jinżamm aġġornat.</w:t>
      </w:r>
      <w:r>
        <w:rPr>
          <w:rStyle w:val="Bodytext1"/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noProof/>
          <w:sz w:val="24"/>
        </w:rPr>
        <w:t>Il-Kummissjoni tistieden lill-Parlament Ewropew u lill-Kunsill jieħdu nota ta’ dan ir-rapport</w:t>
      </w:r>
      <w:r>
        <w:rPr>
          <w:noProof/>
        </w:rPr>
        <w:t>.</w:t>
      </w:r>
    </w:p>
    <w:sectPr w:rsidR="004B181D" w:rsidRPr="001E1863" w:rsidSect="007F1C6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48BBA" w14:textId="77777777" w:rsidR="004B181D" w:rsidRDefault="004B181D" w:rsidP="004B181D">
      <w:pPr>
        <w:spacing w:after="0" w:line="240" w:lineRule="auto"/>
      </w:pPr>
      <w:r>
        <w:separator/>
      </w:r>
    </w:p>
  </w:endnote>
  <w:endnote w:type="continuationSeparator" w:id="0">
    <w:p w14:paraId="61F41598" w14:textId="77777777" w:rsidR="004B181D" w:rsidRDefault="004B181D" w:rsidP="004B1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6D462" w14:textId="079C436F" w:rsidR="00996A92" w:rsidRPr="00996A92" w:rsidRDefault="00996A92" w:rsidP="00996A92">
    <w:pPr>
      <w:pStyle w:val="FooterCoverPage"/>
      <w:rPr>
        <w:rFonts w:ascii="Arial" w:hAnsi="Arial" w:cs="Arial"/>
        <w:b/>
        <w:sz w:val="48"/>
      </w:rPr>
    </w:pPr>
    <w:r w:rsidRPr="00996A92">
      <w:rPr>
        <w:rFonts w:ascii="Arial" w:hAnsi="Arial" w:cs="Arial"/>
        <w:b/>
        <w:sz w:val="48"/>
      </w:rPr>
      <w:t>MT</w:t>
    </w:r>
    <w:r w:rsidRPr="00996A92">
      <w:rPr>
        <w:rFonts w:ascii="Arial" w:hAnsi="Arial" w:cs="Arial"/>
        <w:b/>
        <w:sz w:val="48"/>
      </w:rPr>
      <w:tab/>
    </w:r>
    <w:r w:rsidRPr="00996A92">
      <w:rPr>
        <w:rFonts w:ascii="Arial" w:hAnsi="Arial" w:cs="Arial"/>
        <w:b/>
        <w:sz w:val="48"/>
      </w:rPr>
      <w:tab/>
    </w:r>
    <w:r w:rsidRPr="00996A92">
      <w:tab/>
    </w:r>
    <w:r w:rsidRPr="00996A92"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90E6A" w14:textId="4AD61092" w:rsidR="00996A92" w:rsidRPr="00996A92" w:rsidRDefault="00996A92" w:rsidP="00996A92">
    <w:pPr>
      <w:pStyle w:val="FooterCoverPage"/>
      <w:rPr>
        <w:rFonts w:ascii="Arial" w:hAnsi="Arial" w:cs="Arial"/>
        <w:b/>
        <w:sz w:val="48"/>
      </w:rPr>
    </w:pPr>
    <w:r w:rsidRPr="00996A92">
      <w:rPr>
        <w:rFonts w:ascii="Arial" w:hAnsi="Arial" w:cs="Arial"/>
        <w:b/>
        <w:sz w:val="48"/>
      </w:rPr>
      <w:t>MT</w:t>
    </w:r>
    <w:r w:rsidRPr="00996A92">
      <w:rPr>
        <w:rFonts w:ascii="Arial" w:hAnsi="Arial" w:cs="Arial"/>
        <w:b/>
        <w:sz w:val="48"/>
      </w:rPr>
      <w:tab/>
    </w:r>
    <w:r w:rsidRPr="00996A92">
      <w:rPr>
        <w:rFonts w:ascii="Arial" w:hAnsi="Arial" w:cs="Arial"/>
        <w:b/>
        <w:sz w:val="48"/>
      </w:rPr>
      <w:tab/>
    </w:r>
    <w:r w:rsidRPr="00996A92">
      <w:tab/>
    </w:r>
    <w:r w:rsidRPr="00996A92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81197" w14:textId="77777777" w:rsidR="00996A92" w:rsidRPr="00996A92" w:rsidRDefault="00996A92" w:rsidP="00996A92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28662" w14:textId="77777777" w:rsidR="007F1C63" w:rsidRDefault="007F1C6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A3CB6" w14:textId="5E4B9E79" w:rsidR="00F704C0" w:rsidRPr="00F704C0" w:rsidRDefault="00F704C0">
    <w:pPr>
      <w:pStyle w:val="Footer"/>
      <w:jc w:val="center"/>
      <w:rPr>
        <w:rFonts w:ascii="Times New Roman" w:hAnsi="Times New Roman" w:cs="Times New Roman"/>
        <w:noProof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Times New Roman" w:hAnsi="Times New Roman" w:cs="Times New Roman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fldChar w:fldCharType="begin"/>
    </w:r>
    <w:r>
      <w:rPr>
        <w:rFonts w:ascii="Times New Roman" w:hAnsi="Times New Roman" w:cs="Times New Roman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instrText xml:space="preserve"> PAGE   \* MERGEFORMAT </w:instrText>
    </w:r>
    <w:r>
      <w:rPr>
        <w:rFonts w:ascii="Times New Roman" w:hAnsi="Times New Roman" w:cs="Times New Roman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fldChar w:fldCharType="separate"/>
    </w:r>
    <w:r w:rsidR="00996A92">
      <w:rPr>
        <w:rFonts w:ascii="Times New Roman" w:hAnsi="Times New Roman" w:cs="Times New Roman"/>
        <w:noProof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1</w:t>
    </w:r>
    <w:r>
      <w:rPr>
        <w:rFonts w:ascii="Times New Roman" w:hAnsi="Times New Roman" w:cs="Times New Roman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fldChar w:fldCharType="end"/>
    </w:r>
  </w:p>
  <w:p w14:paraId="3545C194" w14:textId="77777777" w:rsidR="007F1C63" w:rsidRDefault="007F1C6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93F9C" w14:textId="77777777" w:rsidR="007F1C63" w:rsidRDefault="007F1C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FF2F3" w14:textId="77777777" w:rsidR="004B181D" w:rsidRDefault="004B181D" w:rsidP="004B181D">
      <w:pPr>
        <w:spacing w:after="0" w:line="240" w:lineRule="auto"/>
      </w:pPr>
      <w:r>
        <w:separator/>
      </w:r>
    </w:p>
  </w:footnote>
  <w:footnote w:type="continuationSeparator" w:id="0">
    <w:p w14:paraId="514146B2" w14:textId="77777777" w:rsidR="004B181D" w:rsidRDefault="004B181D" w:rsidP="004B181D">
      <w:pPr>
        <w:spacing w:after="0" w:line="240" w:lineRule="auto"/>
      </w:pPr>
      <w:r>
        <w:continuationSeparator/>
      </w:r>
    </w:p>
  </w:footnote>
  <w:footnote w:id="1">
    <w:p w14:paraId="62388B0C" w14:textId="1153D9A3" w:rsidR="004B181D" w:rsidRPr="00E97588" w:rsidRDefault="004B181D" w:rsidP="004B181D">
      <w:pPr>
        <w:pStyle w:val="title-bold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>
        <w:rPr>
          <w:rStyle w:val="FootnoteReference"/>
          <w:sz w:val="20"/>
          <w:szCs w:val="20"/>
        </w:rPr>
        <w:footnoteRef/>
      </w:r>
      <w:r>
        <w:tab/>
      </w:r>
      <w:r>
        <w:rPr>
          <w:color w:val="333333"/>
          <w:sz w:val="20"/>
        </w:rPr>
        <w:t xml:space="preserve">Id-Direttiva 2009/128/KE </w:t>
      </w:r>
      <w:r>
        <w:rPr>
          <w:color w:val="333333"/>
          <w:sz w:val="20"/>
          <w:shd w:val="clear" w:color="auto" w:fill="FFFFFF"/>
        </w:rPr>
        <w:t xml:space="preserve">tal-Parlament Ewropew u tal-Kunsill tal-21 ta’ Ottubru 2009 li tistabbilixxi qafas għal azzjoni Komunitarja biex jinkiseb użu sostenibbli tal-pestiċidi, </w:t>
      </w:r>
      <w:r>
        <w:rPr>
          <w:rStyle w:val="Emphasis"/>
          <w:color w:val="333333"/>
          <w:sz w:val="20"/>
        </w:rPr>
        <w:t xml:space="preserve">ĠU L 309, 24.11.2009, p. 71, </w:t>
      </w:r>
      <w:hyperlink r:id="rId1" w:tooltip="Jagħti aċċess lil dan id-dokument permezz tal-URI tal-ELI tiegħu." w:history="1">
        <w:r>
          <w:rPr>
            <w:rStyle w:val="Hyperlink"/>
            <w:color w:val="337AB7"/>
            <w:sz w:val="20"/>
            <w:shd w:val="clear" w:color="auto" w:fill="FFFFFF"/>
          </w:rPr>
          <w:t>http://data.europa.eu/eli/dir/2009/128/oj</w:t>
        </w:r>
      </w:hyperlink>
      <w:r>
        <w:rPr>
          <w:rStyle w:val="Emphasis"/>
          <w:color w:val="333333"/>
          <w:sz w:val="20"/>
        </w:rPr>
        <w:t>.</w:t>
      </w:r>
    </w:p>
  </w:footnote>
  <w:footnote w:id="2">
    <w:p w14:paraId="2E3B34EF" w14:textId="32697D17" w:rsidR="004B181D" w:rsidRPr="008A119E" w:rsidRDefault="004B181D" w:rsidP="004B181D">
      <w:pPr>
        <w:pStyle w:val="FootnoteText"/>
      </w:pPr>
      <w:r>
        <w:rPr>
          <w:rStyle w:val="FootnoteReference"/>
        </w:rPr>
        <w:footnoteRef/>
      </w:r>
      <w:r>
        <w:tab/>
      </w:r>
      <w:r>
        <w:rPr>
          <w:color w:val="333333"/>
        </w:rPr>
        <w:t>COM(2022)305 final.</w:t>
      </w:r>
    </w:p>
  </w:footnote>
  <w:footnote w:id="3">
    <w:p w14:paraId="4BA1707E" w14:textId="6720346A" w:rsidR="008F36AF" w:rsidRPr="008A119E" w:rsidRDefault="008F36AF">
      <w:pPr>
        <w:pStyle w:val="FootnoteText"/>
      </w:pPr>
      <w:r>
        <w:rPr>
          <w:rStyle w:val="FootnoteReference"/>
        </w:rPr>
        <w:footnoteRef/>
      </w:r>
      <w:r>
        <w:tab/>
        <w:t xml:space="preserve">Irtirar ta’ proposti tal-Kummissjoni, ĠU C, C/2024/3117, 6.5.2024, </w:t>
      </w:r>
      <w:hyperlink r:id="rId2" w:tooltip="Jagħti aċċess lil dan id-dokument permezz tal-URI tal-ELI tiegħu." w:history="1">
        <w:r>
          <w:rPr>
            <w:rStyle w:val="Hyperlink"/>
            <w:color w:val="337AB7"/>
            <w:shd w:val="clear" w:color="auto" w:fill="FFFFFF"/>
          </w:rPr>
          <w:t>http://data.europa.eu/eli/C/2024/3117/oj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19EF5" w14:textId="77777777" w:rsidR="00996A92" w:rsidRPr="00996A92" w:rsidRDefault="00996A92" w:rsidP="00996A92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1E123" w14:textId="77777777" w:rsidR="00996A92" w:rsidRPr="00996A92" w:rsidRDefault="00996A92" w:rsidP="00996A92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7265E" w14:textId="77777777" w:rsidR="00996A92" w:rsidRPr="00996A92" w:rsidRDefault="00996A92" w:rsidP="00996A92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57659" w14:textId="77777777" w:rsidR="007F1C63" w:rsidRDefault="007F1C6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BE87C" w14:textId="77777777" w:rsidR="007F1C63" w:rsidRDefault="007F1C6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2AA1B" w14:textId="77777777" w:rsidR="007F1C63" w:rsidRDefault="007F1C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D4244"/>
    <w:multiLevelType w:val="multilevel"/>
    <w:tmpl w:val="DC8ED9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28A14CC0-C2BE-4A82-88FB-58AB46622278"/>
    <w:docVar w:name="LW_COVERPAGE_TYPE" w:val="1"/>
    <w:docVar w:name="LW_CROSSREFERENCE" w:val="&lt;UNUSED&gt;"/>
    <w:docVar w:name="LW_DocType" w:val="NORMAL"/>
    <w:docVar w:name="LW_EMISSION" w:val="3.6.2024"/>
    <w:docVar w:name="LW_EMISSION_ISODATE" w:val="2024-06-03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4) 22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rigward l-e\u380?er\u267?itar tas-setg\u295?a mog\u295?tija lill-Kummissjoni li tadotta atti delegati skont id-Direttiva 2009/128/KE tal-Parlament Ewropew u tal-Kunsill dwar l-u\u380?u sostenibbli tal-pesti\u267?idi"/>
    <w:docVar w:name="LW_TYPE.DOC.CP" w:val="RAPPORT TAL-KUMMISSJONI LILL-PARLAMENT EWROPEW U LILL-KUNSILL"/>
    <w:docVar w:name="LwApiVersions" w:val="LW4CoDe 1.24.5.0; LW 9.0, Build 20240221"/>
  </w:docVars>
  <w:rsids>
    <w:rsidRoot w:val="004B181D"/>
    <w:rsid w:val="0005795A"/>
    <w:rsid w:val="001A382C"/>
    <w:rsid w:val="00313E09"/>
    <w:rsid w:val="003A4439"/>
    <w:rsid w:val="0041305B"/>
    <w:rsid w:val="004B181D"/>
    <w:rsid w:val="004F56AA"/>
    <w:rsid w:val="0055061D"/>
    <w:rsid w:val="00585F9B"/>
    <w:rsid w:val="00591B49"/>
    <w:rsid w:val="005E2AB0"/>
    <w:rsid w:val="0071428A"/>
    <w:rsid w:val="007F1C63"/>
    <w:rsid w:val="0080294A"/>
    <w:rsid w:val="008351A6"/>
    <w:rsid w:val="008A119E"/>
    <w:rsid w:val="008F36AF"/>
    <w:rsid w:val="0093406A"/>
    <w:rsid w:val="009577DC"/>
    <w:rsid w:val="00996A92"/>
    <w:rsid w:val="00AA48F5"/>
    <w:rsid w:val="00AB37E6"/>
    <w:rsid w:val="00B96358"/>
    <w:rsid w:val="00C438B7"/>
    <w:rsid w:val="00D576FE"/>
    <w:rsid w:val="00D75A25"/>
    <w:rsid w:val="00DC23C0"/>
    <w:rsid w:val="00E02414"/>
    <w:rsid w:val="00E97588"/>
    <w:rsid w:val="00F7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7C6BD01"/>
  <w15:chartTrackingRefBased/>
  <w15:docId w15:val="{8D0C2779-6F72-4546-B099-819FA6FB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t-M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81D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1">
    <w:name w:val="Body text|1_"/>
    <w:basedOn w:val="DefaultParagraphFont"/>
    <w:link w:val="Bodytext10"/>
    <w:rsid w:val="004B181D"/>
  </w:style>
  <w:style w:type="character" w:customStyle="1" w:styleId="Heading11">
    <w:name w:val="Heading #1|1_"/>
    <w:basedOn w:val="DefaultParagraphFont"/>
    <w:link w:val="Heading110"/>
    <w:rsid w:val="004B181D"/>
    <w:rPr>
      <w:b/>
      <w:bCs/>
      <w:sz w:val="19"/>
      <w:szCs w:val="19"/>
    </w:rPr>
  </w:style>
  <w:style w:type="paragraph" w:customStyle="1" w:styleId="Bodytext10">
    <w:name w:val="Body text|1"/>
    <w:basedOn w:val="Normal"/>
    <w:link w:val="Bodytext1"/>
    <w:rsid w:val="004B181D"/>
    <w:pPr>
      <w:widowControl w:val="0"/>
      <w:spacing w:after="260" w:line="240" w:lineRule="auto"/>
    </w:pPr>
    <w:rPr>
      <w:kern w:val="2"/>
      <w14:ligatures w14:val="standardContextual"/>
    </w:rPr>
  </w:style>
  <w:style w:type="paragraph" w:customStyle="1" w:styleId="Heading110">
    <w:name w:val="Heading #1|1"/>
    <w:basedOn w:val="Normal"/>
    <w:link w:val="Heading11"/>
    <w:rsid w:val="004B181D"/>
    <w:pPr>
      <w:widowControl w:val="0"/>
      <w:spacing w:after="260" w:line="240" w:lineRule="auto"/>
      <w:outlineLvl w:val="0"/>
    </w:pPr>
    <w:rPr>
      <w:b/>
      <w:bCs/>
      <w:kern w:val="2"/>
      <w:sz w:val="19"/>
      <w:szCs w:val="19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4B181D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181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 w:bidi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81D"/>
    <w:rPr>
      <w:rFonts w:ascii="Times New Roman" w:eastAsia="Times New Roman" w:hAnsi="Times New Roman" w:cs="Times New Roman"/>
      <w:color w:val="000000"/>
      <w:kern w:val="0"/>
      <w:sz w:val="20"/>
      <w:szCs w:val="20"/>
      <w:lang w:val="mt-MT" w:eastAsia="hr-HR" w:bidi="hr-H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B181D"/>
    <w:rPr>
      <w:vertAlign w:val="superscript"/>
    </w:rPr>
  </w:style>
  <w:style w:type="paragraph" w:customStyle="1" w:styleId="title-bold">
    <w:name w:val="title-bold"/>
    <w:basedOn w:val="Normal"/>
    <w:rsid w:val="004B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Marker">
    <w:name w:val="Marker"/>
    <w:basedOn w:val="DefaultParagraphFont"/>
    <w:rsid w:val="007F1C63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F1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C63"/>
    <w:rPr>
      <w:kern w:val="0"/>
      <w:lang w:val="mt-M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1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C63"/>
    <w:rPr>
      <w:kern w:val="0"/>
      <w:lang w:val="mt-MT"/>
      <w14:ligatures w14:val="none"/>
    </w:rPr>
  </w:style>
  <w:style w:type="paragraph" w:customStyle="1" w:styleId="Pagedecouverture">
    <w:name w:val="Page de couverture"/>
    <w:basedOn w:val="Normal"/>
    <w:next w:val="Normal"/>
    <w:link w:val="PagedecouvertureChar"/>
    <w:rsid w:val="007F1C63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7F1C63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PagedecouvertureChar">
    <w:name w:val="Page de couverture Char"/>
    <w:basedOn w:val="DefaultParagraphFont"/>
    <w:link w:val="Pagedecouverture"/>
    <w:rsid w:val="007F1C63"/>
    <w:rPr>
      <w:rFonts w:ascii="Times New Roman" w:hAnsi="Times New Roman" w:cs="Times New Roman"/>
      <w:kern w:val="0"/>
      <w:sz w:val="24"/>
      <w:lang w:val="mt-MT"/>
      <w14:ligatures w14:val="none"/>
    </w:rPr>
  </w:style>
  <w:style w:type="character" w:customStyle="1" w:styleId="FooterCoverPageChar">
    <w:name w:val="Footer Cover Page Char"/>
    <w:basedOn w:val="PagedecouvertureChar"/>
    <w:link w:val="FooterCoverPage"/>
    <w:rsid w:val="007F1C63"/>
    <w:rPr>
      <w:rFonts w:ascii="Times New Roman" w:hAnsi="Times New Roman" w:cs="Times New Roman"/>
      <w:kern w:val="0"/>
      <w:sz w:val="24"/>
      <w:lang w:val="mt-MT"/>
      <w14:ligatures w14:val="none"/>
    </w:rPr>
  </w:style>
  <w:style w:type="paragraph" w:customStyle="1" w:styleId="FooterSensitivity">
    <w:name w:val="Footer Sensitivity"/>
    <w:basedOn w:val="Normal"/>
    <w:link w:val="FooterSensitivityChar"/>
    <w:rsid w:val="007F1C6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PagedecouvertureChar"/>
    <w:link w:val="FooterSensitivity"/>
    <w:rsid w:val="007F1C63"/>
    <w:rPr>
      <w:rFonts w:ascii="Times New Roman" w:hAnsi="Times New Roman" w:cs="Times New Roman"/>
      <w:b/>
      <w:kern w:val="0"/>
      <w:sz w:val="32"/>
      <w:lang w:val="mt-MT"/>
      <w14:ligatures w14:val="none"/>
    </w:rPr>
  </w:style>
  <w:style w:type="paragraph" w:customStyle="1" w:styleId="HeaderCoverPage">
    <w:name w:val="Header Cover Page"/>
    <w:basedOn w:val="Normal"/>
    <w:link w:val="HeaderCoverPageChar"/>
    <w:rsid w:val="007F1C63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PagedecouvertureChar"/>
    <w:link w:val="HeaderCoverPage"/>
    <w:rsid w:val="007F1C63"/>
    <w:rPr>
      <w:rFonts w:ascii="Times New Roman" w:hAnsi="Times New Roman" w:cs="Times New Roman"/>
      <w:kern w:val="0"/>
      <w:sz w:val="24"/>
      <w:lang w:val="mt-MT"/>
      <w14:ligatures w14:val="none"/>
    </w:rPr>
  </w:style>
  <w:style w:type="paragraph" w:customStyle="1" w:styleId="HeaderSensitivity">
    <w:name w:val="Header Sensitivity"/>
    <w:basedOn w:val="Normal"/>
    <w:link w:val="HeaderSensitivityChar"/>
    <w:rsid w:val="007F1C6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PagedecouvertureChar"/>
    <w:link w:val="HeaderSensitivity"/>
    <w:rsid w:val="007F1C63"/>
    <w:rPr>
      <w:rFonts w:ascii="Times New Roman" w:hAnsi="Times New Roman" w:cs="Times New Roman"/>
      <w:b/>
      <w:kern w:val="0"/>
      <w:sz w:val="32"/>
      <w:lang w:val="mt-MT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rsid w:val="007F1C63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PagedecouvertureChar"/>
    <w:link w:val="HeaderSensitivityRight"/>
    <w:rsid w:val="007F1C63"/>
    <w:rPr>
      <w:rFonts w:ascii="Times New Roman" w:hAnsi="Times New Roman" w:cs="Times New Roman"/>
      <w:kern w:val="0"/>
      <w:sz w:val="28"/>
      <w:lang w:val="mt-MT"/>
      <w14:ligatures w14:val="none"/>
    </w:rPr>
  </w:style>
  <w:style w:type="paragraph" w:styleId="Revision">
    <w:name w:val="Revision"/>
    <w:hidden/>
    <w:uiPriority w:val="99"/>
    <w:semiHidden/>
    <w:rsid w:val="00DC23C0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C2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3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3C0"/>
    <w:rPr>
      <w:kern w:val="0"/>
      <w:sz w:val="20"/>
      <w:szCs w:val="20"/>
      <w:lang w:val="mt-M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3C0"/>
    <w:rPr>
      <w:b/>
      <w:bCs/>
      <w:kern w:val="0"/>
      <w:sz w:val="20"/>
      <w:szCs w:val="20"/>
      <w:lang w:val="mt-MT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E975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http://data.europa.eu/eli/C/2024/3117/oj" TargetMode="External"/><Relationship Id="rId1" Type="http://schemas.openxmlformats.org/officeDocument/2006/relationships/hyperlink" Target="http://data.europa.eu/eli/dir/2009/12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299D5-6E57-4A96-B035-54F8C0A54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cp:lastPrinted>2024-04-30T07:29:00Z</cp:lastPrinted>
  <dcterms:created xsi:type="dcterms:W3CDTF">2024-05-22T15:15:00Z</dcterms:created>
  <dcterms:modified xsi:type="dcterms:W3CDTF">2024-05-27T06:50:00Z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2024-04-05T14:43:48Z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13d92e9d-0af8-43a0-b6dc-adbce80fb090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CP-006</vt:lpwstr>
  </property>
  <property fmtid="{D5CDD505-2E9C-101B-9397-08002B2CF9AE}" pid="14" name="Last edited using">
    <vt:lpwstr>LW 9.0, Build 20230317</vt:lpwstr>
  </property>
  <property fmtid="{D5CDD505-2E9C-101B-9397-08002B2CF9AE}" pid="15" name="Created using">
    <vt:lpwstr>LW 9.0, Build 20230317</vt:lpwstr>
  </property>
  <property name="OP_sanitized" fmtid="{D5CDD505-2E9C-101B-9397-08002B2CF9AE}" pid="16">
    <vt:lpwstr>True</vt:lpwstr>
  </property>
</Properties>
</file>