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DD16E" w14:textId="2CA55A7F" w:rsidR="00A01175" w:rsidRDefault="00E95900" w:rsidP="00E95900">
      <w:pPr>
        <w:pStyle w:val="Pagedecouverture"/>
        <w:rPr>
          <w:noProof/>
        </w:rPr>
      </w:pPr>
      <w:bookmarkStart w:id="0" w:name="LW_BM_COVERPAGE"/>
      <w:r>
        <w:rPr>
          <w:noProof/>
        </w:rPr>
        <w:pict w14:anchorId="1F1D6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92E79FA-1EA5-485B-A4D9-136A67373286" style="width:455.25pt;height:336.75pt">
            <v:imagedata r:id="rId14" o:title=""/>
          </v:shape>
        </w:pict>
      </w:r>
    </w:p>
    <w:bookmarkEnd w:id="0"/>
    <w:p w14:paraId="07282DAD" w14:textId="77777777" w:rsidR="00A01175" w:rsidRDefault="00A01175" w:rsidP="00A01175">
      <w:pPr>
        <w:rPr>
          <w:noProof/>
        </w:rPr>
        <w:sectPr w:rsidR="00A01175" w:rsidSect="00E95900">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2B6CE89E" w14:textId="77777777" w:rsidR="0081351E" w:rsidRDefault="0081351E" w:rsidP="0081351E">
      <w:pPr>
        <w:pStyle w:val="Heading1"/>
        <w:rPr>
          <w:noProof/>
        </w:rPr>
      </w:pPr>
      <w:bookmarkStart w:id="1" w:name="_GoBack"/>
      <w:bookmarkEnd w:id="1"/>
      <w:r>
        <w:rPr>
          <w:noProof/>
        </w:rPr>
        <w:lastRenderedPageBreak/>
        <w:t>Sommarju</w:t>
      </w:r>
    </w:p>
    <w:p w14:paraId="0C24B3AB" w14:textId="5BCDB17D" w:rsidR="0081351E" w:rsidRDefault="0081351E" w:rsidP="0081351E">
      <w:pPr>
        <w:spacing w:before="120" w:after="120"/>
        <w:rPr>
          <w:noProof/>
          <w:szCs w:val="24"/>
        </w:rPr>
      </w:pPr>
      <w:r>
        <w:rPr>
          <w:noProof/>
        </w:rPr>
        <w:t xml:space="preserve">Dan huwa </w:t>
      </w:r>
      <w:r>
        <w:rPr>
          <w:b/>
          <w:bCs/>
          <w:noProof/>
        </w:rPr>
        <w:t>rapport tal-Kummissjoni lill-Kunsill dwar l-użu tal-faċilità tal-UE li tipprovdi assistenza finanzjarja ta’ terminu medju għall-bilanċi ta’ pagament tal-Istati Membri</w:t>
      </w:r>
      <w:r>
        <w:rPr>
          <w:noProof/>
        </w:rPr>
        <w:t xml:space="preserve"> (“Faċilità tal-BoP”) għall-Istati Membri li għadhom ma adottawx l-euro. Skont l-Artikolu 10 tar-Regolament tal-Kunsill (KE) Nru 332/2002</w:t>
      </w:r>
      <w:r w:rsidRPr="00821EF9">
        <w:rPr>
          <w:rStyle w:val="FootnoteReference"/>
          <w:noProof/>
          <w:szCs w:val="24"/>
        </w:rPr>
        <w:footnoteReference w:id="2"/>
      </w:r>
      <w:r>
        <w:rPr>
          <w:noProof/>
        </w:rPr>
        <w:t xml:space="preserve"> tat-18 ta’ Frar 2002 (ir-“Regolament dwar il-BoP”), fuq il-bażi tar-rapport tal-Kummissjoni u filwaqt li jqis l-opinjoni tal-Kumitat Ekonomiku u Finanzjarju (KEF), il-Kunsill meħtieġ jeżamina “[…] jekk il-faċilità stabbilita għadhiex tilħaq, fil-prinċipju, l-arranġamenti u l-limitu tagħha, il-ħtiġiet li għalihom ġiet maħluqa.”</w:t>
      </w:r>
    </w:p>
    <w:p w14:paraId="770D586C" w14:textId="77777777" w:rsidR="0081351E" w:rsidRDefault="0081351E" w:rsidP="0081351E">
      <w:pPr>
        <w:spacing w:before="120" w:after="120"/>
        <w:rPr>
          <w:noProof/>
          <w:szCs w:val="24"/>
        </w:rPr>
      </w:pPr>
      <w:r>
        <w:rPr>
          <w:noProof/>
        </w:rPr>
        <w:t>Mir-rapport preċedenti</w:t>
      </w:r>
      <w:r w:rsidRPr="00821EF9">
        <w:rPr>
          <w:rStyle w:val="FootnoteReference"/>
          <w:noProof/>
          <w:szCs w:val="24"/>
        </w:rPr>
        <w:footnoteReference w:id="3"/>
      </w:r>
      <w:r>
        <w:rPr>
          <w:noProof/>
        </w:rPr>
        <w:t xml:space="preserve"> u d-diskussjoni fil-Kunsill</w:t>
      </w:r>
      <w:r w:rsidRPr="00821EF9">
        <w:rPr>
          <w:rStyle w:val="FootnoteReference"/>
          <w:noProof/>
          <w:szCs w:val="24"/>
        </w:rPr>
        <w:footnoteReference w:id="4"/>
      </w:r>
      <w:r>
        <w:rPr>
          <w:noProof/>
        </w:rPr>
        <w:t xml:space="preserve">, il-Faċilità tal-BoP ma ġietx attivata, u ma ngħata l-ebda self ġdid. Dan ifisser li l-aħħar żborż taħt il-Faċilità tal-BoP sar f’Ġunju 2011 b’pagament parzjali ta’ EUR 150 miljun ta’ self lir-Rumanija. </w:t>
      </w:r>
    </w:p>
    <w:p w14:paraId="56061501" w14:textId="08B8A5FA" w:rsidR="0081351E" w:rsidRDefault="0081351E" w:rsidP="0081351E">
      <w:pPr>
        <w:spacing w:before="120" w:after="120"/>
        <w:rPr>
          <w:noProof/>
          <w:szCs w:val="24"/>
        </w:rPr>
      </w:pPr>
      <w:r>
        <w:rPr>
          <w:b/>
          <w:bCs/>
          <w:noProof/>
        </w:rPr>
        <w:t>Ir-Rumanija u l-Ungerija</w:t>
      </w:r>
      <w:r>
        <w:rPr>
          <w:noProof/>
        </w:rPr>
        <w:t xml:space="preserve"> ħallsu lura bis-sħiħ l-għajnuna riċevuta, filwaqt li EUR 217-il miljun minn EUR 2.9 biljun f’self lil-</w:t>
      </w:r>
      <w:r>
        <w:rPr>
          <w:b/>
          <w:bCs/>
          <w:noProof/>
        </w:rPr>
        <w:t>Latvja</w:t>
      </w:r>
      <w:r>
        <w:rPr>
          <w:noProof/>
        </w:rPr>
        <w:t>, żborżati bejn l-2009 u l-2010, għad iridu jitħallsu lura f’konformità mal-iskeda miftiehma ta’ ħlas lura. Wara l-aġġustament ekonomiku appoġġat mill-Faċilità tal-BoP, dawn l-Istati Membri raw is-sostenibbiltà tas-sitwazzjoni tal-bilanċ tal-pagamenti tagħhom titjieb malajr, u dan iwassal għal aċċess imġedded għal finanzjament estern ibbażat fuq is-suq u jippermetti ħlas lura f’waqtu.</w:t>
      </w:r>
    </w:p>
    <w:p w14:paraId="4260A540" w14:textId="77777777" w:rsidR="0081351E" w:rsidRPr="007C5483" w:rsidRDefault="0081351E" w:rsidP="0081351E">
      <w:pPr>
        <w:spacing w:before="120" w:after="120"/>
        <w:rPr>
          <w:noProof/>
          <w:szCs w:val="24"/>
        </w:rPr>
      </w:pPr>
      <w:r>
        <w:rPr>
          <w:noProof/>
        </w:rPr>
        <w:t>Il-Kummissjoni tivvaluta l-istrument kif ġej:</w:t>
      </w:r>
    </w:p>
    <w:p w14:paraId="10B05295" w14:textId="695F9F7F" w:rsidR="00FC6214" w:rsidRPr="001432CA" w:rsidRDefault="0081351E" w:rsidP="0081351E">
      <w:pPr>
        <w:numPr>
          <w:ilvl w:val="0"/>
          <w:numId w:val="24"/>
        </w:numPr>
        <w:suppressAutoHyphens/>
        <w:spacing w:before="120" w:after="120"/>
        <w:ind w:left="426" w:hanging="426"/>
        <w:rPr>
          <w:noProof/>
          <w:szCs w:val="24"/>
        </w:rPr>
      </w:pPr>
      <w:r>
        <w:rPr>
          <w:b/>
          <w:bCs/>
          <w:noProof/>
        </w:rPr>
        <w:t>Mill-aħħar emenda tagħha f’Mejju 2009, il-Faċilità qed taħdem kif suppost</w:t>
      </w:r>
      <w:r>
        <w:rPr>
          <w:noProof/>
        </w:rPr>
        <w:t xml:space="preserve"> u l-Istati Membri benefiċjarji kienu kapaċi jindirizzaw id-diffikultajiet tal-bilanċ tal-pagamenti u jaċċessaw is-swieq kapitali  b’mod sistematiku wara l-assistenza finanzjarja. Fil-każijiet kollha, l-iskeda ta’ ħlas lura ġiet irrispettata wkoll. </w:t>
      </w:r>
    </w:p>
    <w:p w14:paraId="575CD8CC" w14:textId="77777777" w:rsidR="0081351E" w:rsidRPr="001432CA" w:rsidRDefault="0081351E" w:rsidP="0081351E">
      <w:pPr>
        <w:numPr>
          <w:ilvl w:val="0"/>
          <w:numId w:val="24"/>
        </w:numPr>
        <w:suppressAutoHyphens/>
        <w:spacing w:before="120" w:after="120"/>
        <w:ind w:left="426" w:hanging="426"/>
        <w:rPr>
          <w:noProof/>
          <w:szCs w:val="24"/>
        </w:rPr>
      </w:pPr>
      <w:r>
        <w:rPr>
          <w:noProof/>
        </w:rPr>
        <w:t>Il-</w:t>
      </w:r>
      <w:r>
        <w:rPr>
          <w:b/>
          <w:bCs/>
          <w:noProof/>
        </w:rPr>
        <w:t>limitu massimu</w:t>
      </w:r>
      <w:r>
        <w:rPr>
          <w:noProof/>
        </w:rPr>
        <w:t xml:space="preserve"> globali għas-self pendenti (f’termini ta’ kapital) u linji ta’ kreditu skont l-istrument, </w:t>
      </w:r>
      <w:r>
        <w:rPr>
          <w:b/>
          <w:bCs/>
          <w:noProof/>
        </w:rPr>
        <w:t>li attwalment jammonta għal EUR 50 biljun,</w:t>
      </w:r>
      <w:r>
        <w:rPr>
          <w:noProof/>
        </w:rPr>
        <w:t xml:space="preserve"> </w:t>
      </w:r>
      <w:r>
        <w:rPr>
          <w:b/>
          <w:bCs/>
          <w:noProof/>
        </w:rPr>
        <w:t>jidher li huwa xieraq</w:t>
      </w:r>
      <w:r>
        <w:rPr>
          <w:noProof/>
        </w:rPr>
        <w:t>.</w:t>
      </w:r>
    </w:p>
    <w:p w14:paraId="1FF5EC91" w14:textId="364F0DA6" w:rsidR="000678EB" w:rsidRPr="007C5483" w:rsidRDefault="000678EB" w:rsidP="0081351E">
      <w:pPr>
        <w:numPr>
          <w:ilvl w:val="0"/>
          <w:numId w:val="24"/>
        </w:numPr>
        <w:suppressAutoHyphens/>
        <w:spacing w:before="120" w:after="120"/>
        <w:ind w:left="426" w:hanging="426"/>
        <w:rPr>
          <w:rFonts w:eastAsiaTheme="minorEastAsia"/>
          <w:noProof/>
          <w:szCs w:val="24"/>
        </w:rPr>
      </w:pPr>
      <w:r>
        <w:rPr>
          <w:b/>
          <w:bCs/>
          <w:noProof/>
        </w:rPr>
        <w:t xml:space="preserve">Fl-2012, proposta tal-Kummissjoni għal Regolament ġdid tal-Kunsill </w:t>
      </w:r>
      <w:r>
        <w:rPr>
          <w:noProof/>
        </w:rPr>
        <w:t>(COM (2012) 336 final) stabbiliet diversi emendi biex jiġu riflessi l-bidliet fil-qafas ta’ koordinazzjoni tal-politika ekonomika tal-UE għaż-żona tal-euro, mgħammra bil-Faċilità Ewropea ta’ Stabbiltà Finanzjarja (EFSF)</w:t>
      </w:r>
      <w:r w:rsidR="00F2462A" w:rsidRPr="00821EF9">
        <w:rPr>
          <w:rStyle w:val="FootnoteReference"/>
          <w:noProof/>
          <w:szCs w:val="24"/>
        </w:rPr>
        <w:footnoteReference w:id="5"/>
      </w:r>
      <w:r>
        <w:rPr>
          <w:noProof/>
        </w:rPr>
        <w:t xml:space="preserve"> u aktar tard is-suċċessur tagħha, il-Mekkaniżmu Ewropew ta’ Stabbiltà (MES)</w:t>
      </w:r>
      <w:r w:rsidR="00F2462A" w:rsidRPr="00821EF9">
        <w:rPr>
          <w:rStyle w:val="FootnoteReference"/>
          <w:noProof/>
          <w:szCs w:val="24"/>
        </w:rPr>
        <w:footnoteReference w:id="6"/>
      </w:r>
      <w:r>
        <w:rPr>
          <w:noProof/>
        </w:rPr>
        <w:t xml:space="preserve">, biex tiġi żborżata l-assistenza finanzjarja. L-għan kien li xi wħud minn dawn il-bidliet jiġu riflessi wkoll fil-qafas għall-Istati Membri li mhumiex fiż-żona tal-euro. Pereżempju, il-proposta tal-Kummissjoni pprevediet iż-żieda ta’ linji ta’ kreditu prekawzjonarji mal-Faċilità tal-BoP biex timita s-settijiet ta’ għodod ta’ assistenza finanzjarja prekawzjonarja tal-MES. Il-Kunsill iddiskuta l-proposta tal-Kummissjoni, iżda minħabba nuqqas ta’ kunsens, il-proċess leġiżlattiv ma għamilx progress mill-2013. </w:t>
      </w:r>
    </w:p>
    <w:p w14:paraId="38814414" w14:textId="11E24845" w:rsidR="006F4A14" w:rsidRPr="007C5483" w:rsidRDefault="00860D19" w:rsidP="006F4A14">
      <w:pPr>
        <w:numPr>
          <w:ilvl w:val="0"/>
          <w:numId w:val="24"/>
        </w:numPr>
        <w:spacing w:before="120" w:after="120"/>
        <w:ind w:left="426" w:hanging="426"/>
        <w:rPr>
          <w:rFonts w:eastAsiaTheme="minorEastAsia"/>
          <w:noProof/>
          <w:szCs w:val="24"/>
        </w:rPr>
      </w:pPr>
      <w:r>
        <w:rPr>
          <w:b/>
          <w:bCs/>
          <w:noProof/>
        </w:rPr>
        <w:t>Minn dak iż-żmien ’il hawn, seħħew aktar żviluppi istituzzjonali u ekonomiċi, b’mod partikolari</w:t>
      </w:r>
      <w:r>
        <w:rPr>
          <w:noProof/>
        </w:rPr>
        <w:t xml:space="preserve"> bil-ħolqien tal-Mekkaniżmu Uniku ta’ Riżoluzzjoni fl-2014 u r-riforma tal-MES maqbula lejn l-aħħar tal-2020.</w:t>
      </w:r>
    </w:p>
    <w:p w14:paraId="521D7F18" w14:textId="30FB3C5C" w:rsidR="00C570D9" w:rsidRPr="002A4C69" w:rsidRDefault="00457827" w:rsidP="561245B9">
      <w:pPr>
        <w:numPr>
          <w:ilvl w:val="0"/>
          <w:numId w:val="24"/>
        </w:numPr>
        <w:spacing w:before="120" w:after="120"/>
        <w:ind w:left="426" w:hanging="426"/>
        <w:rPr>
          <w:rFonts w:eastAsiaTheme="minorEastAsia"/>
          <w:noProof/>
          <w:szCs w:val="24"/>
        </w:rPr>
      </w:pPr>
      <w:r>
        <w:rPr>
          <w:b/>
          <w:bCs/>
          <w:noProof/>
        </w:rPr>
        <w:t>Wara l-bidla fil-kuntest mill-aħħar emenda tal-Faċilità f’Mejju 2009</w:t>
      </w:r>
      <w:r>
        <w:rPr>
          <w:noProof/>
        </w:rPr>
        <w:t xml:space="preserve">, matul l-eżami tagħha dwar jekk il-Faċilità għadhiex tissodisfa, fil-prinċipju, fl-arranġamenti u fil-limitu massimu tagħha, il-ħtieġa li wasslet għall-ħolqien tagħha, il-Kunsill mistieden jiddiskuti t-tagħlim li għandu jinsilet mill-kriżijiet reċenti u l-iżviluppi istituzzjonali u ekonomiċi li seħħew mill-2009 rigward it-tfassil u l-implimentazzjoni tal-Faċilità tal-BoP. </w:t>
      </w:r>
    </w:p>
    <w:p w14:paraId="50A18EAA" w14:textId="77777777" w:rsidR="0081351E" w:rsidRDefault="0081351E" w:rsidP="00E73116">
      <w:pPr>
        <w:pStyle w:val="Heading1"/>
        <w:spacing w:after="0"/>
        <w:rPr>
          <w:noProof/>
        </w:rPr>
      </w:pPr>
      <w:r>
        <w:rPr>
          <w:noProof/>
        </w:rPr>
        <w:t>Introduzzjoni</w:t>
      </w:r>
    </w:p>
    <w:p w14:paraId="60EAEC84" w14:textId="11681F01" w:rsidR="00583AD8" w:rsidRDefault="000558C3" w:rsidP="0081351E">
      <w:pPr>
        <w:spacing w:before="120" w:after="120"/>
        <w:rPr>
          <w:noProof/>
          <w:szCs w:val="24"/>
        </w:rPr>
      </w:pPr>
      <w:r>
        <w:rPr>
          <w:noProof/>
        </w:rPr>
        <w:t>Skont ir-Regolament dwar il-BoP, il-Faċilità tal-BoP ġiet stabbilita biex tipprovdi assistenza finanzjarja tal-UE ta’ terminu medju għall-Istati Membri li għadhom ma adottawx l-euro</w:t>
      </w:r>
      <w:r w:rsidR="0081351E" w:rsidRPr="00821EF9">
        <w:rPr>
          <w:rStyle w:val="FootnoteReference"/>
          <w:noProof/>
        </w:rPr>
        <w:footnoteReference w:id="7"/>
      </w:r>
      <w:r>
        <w:rPr>
          <w:noProof/>
        </w:rPr>
        <w:t xml:space="preserve"> (“l-Istati Membri b’deroga”) u li qegħdin </w:t>
      </w:r>
      <w:r>
        <w:rPr>
          <w:i/>
          <w:iCs/>
          <w:noProof/>
        </w:rPr>
        <w:t>jesperjenzaw, jew huma mhedda b’</w:t>
      </w:r>
      <w:r>
        <w:rPr>
          <w:noProof/>
        </w:rPr>
        <w:t xml:space="preserve">diffikultajiet fil-bilanċ tal-pagamenti tagħhom. Din l-assistenza finanzjarja tal-bilanċ tal-pagamenti tista’ tingħata jew fil-forma ta’ self mill-UE jew “faċilità ta’ finanzjament” (eż. linja ta’ kreditu). Din tal-aħħar tista’ tingħata wkoll bħala prekawzjoni. L-assistenza finanzjarja tal-BoP hija dejjem kondizzjonali fuq l-implimentazzjoni ta’ programm ta’ politiki li jrawmu aġġustament tal-ekonomija għal-limitazzjonijiet tal-finanzjament estern tagħha. </w:t>
      </w:r>
    </w:p>
    <w:p w14:paraId="2F807F36" w14:textId="4623F792" w:rsidR="009E325A" w:rsidRDefault="0081351E" w:rsidP="0081351E">
      <w:pPr>
        <w:spacing w:before="120" w:after="120"/>
        <w:rPr>
          <w:noProof/>
          <w:szCs w:val="24"/>
        </w:rPr>
      </w:pPr>
      <w:r>
        <w:rPr>
          <w:noProof/>
        </w:rPr>
        <w:t>Ir-Regolament dwar il-BoP jirrikjedi li l-Kunsill b’mod regolari jeżamina sa fejn il-Faċilità sservi l-għan tagħha f’termini tal-prinċipju, l-arranġamenti u l-limitu tagħha. L-eżami tal-Kunsill għandu jkun ibbażat fuq rapport mill-Kummissjoni u għandu jitwettaq wara li l-KEF ikun ta opinjoni. Dan l-eżerċizzju wassal għall-proposta tat-22 ta’ Ġunju 2012 (COM (2012) 336 final) biex tiġi riformata l-Faċilità tal-BoP (ara t-taqsima ddedikata hawn taħt) fid-dawl tal-iżviluppi istituzzjonali mill-ħolqien tal-Faċilità. Madankollu, il-Kunsill ma setax jaqbel dwar pożizzjoni komuni u l-proċess leġiżlattiv ma għamilx progress sussegwentement. Minn dak iż-żmien ’il hawn, seħħew aktar żviluppi istituzzjonali, b’mod partikolari bil-ħolqien tal-Mekkaniżmu Uniku ta’ Riżoluzzjoni fl-2014 u r-riforma tal-MES maqbula lejn l-aħħar tal-2020</w:t>
      </w:r>
      <w:r w:rsidR="00821EF9" w:rsidRPr="00821EF9">
        <w:rPr>
          <w:rStyle w:val="FootnoteReference"/>
          <w:noProof/>
        </w:rPr>
        <w:footnoteReference w:id="8"/>
      </w:r>
      <w:r>
        <w:rPr>
          <w:noProof/>
        </w:rPr>
        <w:t xml:space="preserve">. </w:t>
      </w:r>
    </w:p>
    <w:p w14:paraId="6F9D0CBC" w14:textId="7112CEE6" w:rsidR="0081351E" w:rsidRPr="00AA4398" w:rsidRDefault="00A928C9" w:rsidP="0081351E">
      <w:pPr>
        <w:spacing w:before="120" w:after="120"/>
        <w:rPr>
          <w:noProof/>
          <w:szCs w:val="24"/>
        </w:rPr>
      </w:pPr>
      <w:r>
        <w:rPr>
          <w:noProof/>
        </w:rPr>
        <w:t>F’dan l-isfond, dan ir-rapport jistieden lill-Kunsill biex jeżamina jekk il-Faċilità għadhiex tissodisfa, fil-prinċipju, fl-arranġamenti u fil-limitu massimu tagħha, il-ħtieġa li wasslet għall-ħolqien tagħha, u biex jiddiskuti t-tagħlim li għandu jinsilet mill-kriżijiet reċenti u l-iżviluppi istituzzjonali u ekonomiċi sa mill-2009 fl-implimentazzjoni tal-Faċilità tal-BoP.</w:t>
      </w:r>
    </w:p>
    <w:p w14:paraId="76FE8B7E" w14:textId="77777777" w:rsidR="0081351E" w:rsidRPr="00A237B5" w:rsidRDefault="0081351E" w:rsidP="00E73116">
      <w:pPr>
        <w:pStyle w:val="Heading1"/>
        <w:spacing w:after="0"/>
        <w:rPr>
          <w:noProof/>
          <w:u w:val="single"/>
        </w:rPr>
      </w:pPr>
      <w:r>
        <w:rPr>
          <w:noProof/>
        </w:rPr>
        <w:t>L-aħħar mobilizzazzjoni u adegwatezza tal-Faċilità tal-BoP</w:t>
      </w:r>
    </w:p>
    <w:p w14:paraId="1E3A6313" w14:textId="596EE28F" w:rsidR="0081351E" w:rsidRPr="00B033B1" w:rsidRDefault="0081351E" w:rsidP="0081351E">
      <w:pPr>
        <w:spacing w:before="120" w:after="120"/>
        <w:rPr>
          <w:noProof/>
          <w:szCs w:val="24"/>
        </w:rPr>
      </w:pPr>
      <w:r>
        <w:rPr>
          <w:noProof/>
        </w:rPr>
        <w:t xml:space="preserve">Mill-2017, meta ġie diskuss l-aħħar rapport meħtieġ skont l-Artikolu 10 tar-Regolament dwar il-BoP, l-ebda Stat Membru ma talab jew irċieva għajnuna taħt il-Faċilità. L-aħħar operazzjonijiet ta’ għajnuna tal-bilanċ tal-pagamenti seħħew bejn l-2008 u l-2015, għal: </w:t>
      </w:r>
    </w:p>
    <w:p w14:paraId="40F7A4F2" w14:textId="3F9F593A" w:rsidR="0081351E" w:rsidRPr="00B033B1" w:rsidRDefault="0081351E" w:rsidP="0081351E">
      <w:pPr>
        <w:pStyle w:val="ListParagraph"/>
        <w:numPr>
          <w:ilvl w:val="0"/>
          <w:numId w:val="2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L-Ungerija (EUR 5.5 biljun żborżati fl-2008/2009);</w:t>
      </w:r>
    </w:p>
    <w:p w14:paraId="777FB7F8" w14:textId="77777777" w:rsidR="0081351E" w:rsidRPr="00B033B1" w:rsidRDefault="0081351E" w:rsidP="0081351E">
      <w:pPr>
        <w:pStyle w:val="ListParagraph"/>
        <w:numPr>
          <w:ilvl w:val="0"/>
          <w:numId w:val="2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Il-Latvja (EUR 2.9 biljun żborżati fl-2009/2010) u </w:t>
      </w:r>
    </w:p>
    <w:p w14:paraId="79C1A00C" w14:textId="77777777" w:rsidR="0081351E" w:rsidRPr="00B033B1" w:rsidRDefault="0081351E" w:rsidP="0081351E">
      <w:pPr>
        <w:pStyle w:val="ListParagraph"/>
        <w:numPr>
          <w:ilvl w:val="0"/>
          <w:numId w:val="27"/>
        </w:numPr>
        <w:spacing w:before="120" w:after="120" w:line="240" w:lineRule="auto"/>
        <w:jc w:val="both"/>
        <w:rPr>
          <w:rFonts w:ascii="Times New Roman" w:eastAsia="Times New Roman" w:hAnsi="Times New Roman" w:cs="Times New Roman"/>
          <w:noProof/>
          <w:sz w:val="24"/>
          <w:szCs w:val="24"/>
        </w:rPr>
      </w:pPr>
      <w:r>
        <w:rPr>
          <w:rFonts w:ascii="Times New Roman" w:hAnsi="Times New Roman"/>
          <w:noProof/>
          <w:sz w:val="24"/>
        </w:rPr>
        <w:t>Ir-Rumanija (EUR 5.0 biljun żborżati fl-2009-2011; żewġ operazzjonijiet suċċessuri (2011–2013 u 2013–2015) ġew ittrattati bħala prekawzjonarji, u għalhekk ma ġew żborżati l-ebda fondi).</w:t>
      </w:r>
    </w:p>
    <w:p w14:paraId="1425EF69" w14:textId="6CDD6551" w:rsidR="005616B1" w:rsidRDefault="0081351E" w:rsidP="00477C2B">
      <w:pPr>
        <w:spacing w:before="120" w:after="120"/>
        <w:rPr>
          <w:noProof/>
          <w:szCs w:val="24"/>
        </w:rPr>
      </w:pPr>
      <w:r>
        <w:rPr>
          <w:noProof/>
        </w:rPr>
        <w:t xml:space="preserve">Il-ħlas lura dejjem sar fil-ħin: wara l-ħlas lura mill-Ungerija, ir-Rumanija ħallset lura kompletament l-għajnuna li rċeviet fl-2019. Fir-rigward tal-Latvja, EUR 217-il miljun tas-self tagħha </w:t>
      </w:r>
      <w:bookmarkStart w:id="2" w:name="_Ref48907723"/>
      <w:r>
        <w:rPr>
          <w:noProof/>
        </w:rPr>
        <w:t xml:space="preserve"> għadhom pendenti, f’konformità mal-iskeda miftiehma ta’ ħlas lura (ara t-Tabella 1)</w:t>
      </w:r>
      <w:r w:rsidR="00496EFE" w:rsidRPr="00821EF9">
        <w:rPr>
          <w:rStyle w:val="FootnoteReference"/>
          <w:noProof/>
          <w:szCs w:val="24"/>
        </w:rPr>
        <w:footnoteReference w:id="9"/>
      </w:r>
      <w:r>
        <w:rPr>
          <w:noProof/>
        </w:rPr>
        <w:t xml:space="preserve">.  </w:t>
      </w:r>
    </w:p>
    <w:p w14:paraId="0E5E5D26" w14:textId="77777777" w:rsidR="005616B1" w:rsidRDefault="005616B1" w:rsidP="005616B1">
      <w:pPr>
        <w:keepNext/>
        <w:spacing w:before="120" w:after="120"/>
        <w:rPr>
          <w:b/>
          <w:bCs/>
          <w:noProof/>
          <w:szCs w:val="24"/>
        </w:rPr>
      </w:pPr>
      <w:r>
        <w:rPr>
          <w:b/>
          <w:bCs/>
          <w:noProof/>
        </w:rPr>
        <w:t xml:space="preserve">Tabella </w:t>
      </w:r>
      <w:r w:rsidRPr="1EFA2774">
        <w:rPr>
          <w:b/>
          <w:noProof/>
        </w:rPr>
        <w:fldChar w:fldCharType="begin"/>
      </w:r>
      <w:r w:rsidRPr="1EFA2774">
        <w:rPr>
          <w:b/>
          <w:noProof/>
        </w:rPr>
        <w:instrText xml:space="preserve"> SEQ Table \* ARABIC </w:instrText>
      </w:r>
      <w:r w:rsidRPr="1EFA2774">
        <w:rPr>
          <w:b/>
          <w:noProof/>
        </w:rPr>
        <w:fldChar w:fldCharType="separate"/>
      </w:r>
      <w:r w:rsidR="00A435F9">
        <w:rPr>
          <w:b/>
          <w:noProof/>
        </w:rPr>
        <w:t>1</w:t>
      </w:r>
      <w:r w:rsidRPr="1EFA2774">
        <w:rPr>
          <w:b/>
          <w:noProof/>
        </w:rPr>
        <w:fldChar w:fldCharType="end"/>
      </w:r>
      <w:bookmarkEnd w:id="2"/>
      <w:r>
        <w:rPr>
          <w:b/>
          <w:noProof/>
        </w:rPr>
        <w:t>: Obbligi ta’ pagament residwi skont il-Faċilità tal-BoP</w:t>
      </w:r>
    </w:p>
    <w:tbl>
      <w:tblPr>
        <w:tblW w:w="8668" w:type="dxa"/>
        <w:tblInd w:w="93" w:type="dxa"/>
        <w:tblLook w:val="04A0" w:firstRow="1" w:lastRow="0" w:firstColumn="1" w:lastColumn="0" w:noHBand="0" w:noVBand="1"/>
      </w:tblPr>
      <w:tblGrid>
        <w:gridCol w:w="2000"/>
        <w:gridCol w:w="1834"/>
        <w:gridCol w:w="1678"/>
        <w:gridCol w:w="1478"/>
        <w:gridCol w:w="1678"/>
      </w:tblGrid>
      <w:tr w:rsidR="005616B1" w14:paraId="2FE7E8D3" w14:textId="77777777" w:rsidTr="561245B9">
        <w:trPr>
          <w:trHeight w:val="586"/>
        </w:trPr>
        <w:tc>
          <w:tcPr>
            <w:tcW w:w="2000" w:type="dxa"/>
            <w:tcBorders>
              <w:top w:val="single" w:sz="4" w:space="0" w:color="auto"/>
              <w:left w:val="single" w:sz="4" w:space="0" w:color="auto"/>
              <w:bottom w:val="nil"/>
              <w:right w:val="single" w:sz="4" w:space="0" w:color="auto"/>
            </w:tcBorders>
            <w:shd w:val="clear" w:color="auto" w:fill="auto"/>
            <w:vAlign w:val="center"/>
            <w:hideMark/>
          </w:tcPr>
          <w:p w14:paraId="552831A7" w14:textId="77777777" w:rsidR="005616B1" w:rsidRPr="0081351E" w:rsidRDefault="005616B1" w:rsidP="00A62935">
            <w:pPr>
              <w:spacing w:after="0"/>
              <w:jc w:val="center"/>
              <w:rPr>
                <w:b/>
                <w:bCs/>
                <w:i/>
                <w:iCs/>
                <w:noProof/>
                <w:color w:val="000000"/>
              </w:rPr>
            </w:pPr>
            <w:r>
              <w:rPr>
                <w:b/>
                <w:i/>
                <w:noProof/>
                <w:color w:val="000000"/>
              </w:rPr>
              <w:t>Sena</w:t>
            </w:r>
          </w:p>
        </w:tc>
        <w:tc>
          <w:tcPr>
            <w:tcW w:w="1834" w:type="dxa"/>
            <w:tcBorders>
              <w:top w:val="single" w:sz="4" w:space="0" w:color="auto"/>
              <w:left w:val="nil"/>
              <w:bottom w:val="nil"/>
              <w:right w:val="single" w:sz="4" w:space="0" w:color="auto"/>
            </w:tcBorders>
            <w:shd w:val="clear" w:color="auto" w:fill="auto"/>
            <w:vAlign w:val="center"/>
            <w:hideMark/>
          </w:tcPr>
          <w:p w14:paraId="0205AC03" w14:textId="77777777" w:rsidR="005616B1" w:rsidRPr="0081351E" w:rsidRDefault="005616B1" w:rsidP="00A62935">
            <w:pPr>
              <w:spacing w:after="0"/>
              <w:jc w:val="center"/>
              <w:rPr>
                <w:b/>
                <w:bCs/>
                <w:i/>
                <w:iCs/>
                <w:noProof/>
                <w:color w:val="000000"/>
              </w:rPr>
            </w:pPr>
            <w:r>
              <w:rPr>
                <w:b/>
                <w:i/>
                <w:noProof/>
                <w:color w:val="000000"/>
              </w:rPr>
              <w:t>Pajjiż</w:t>
            </w:r>
          </w:p>
        </w:tc>
        <w:tc>
          <w:tcPr>
            <w:tcW w:w="1678" w:type="dxa"/>
            <w:tcBorders>
              <w:top w:val="single" w:sz="4" w:space="0" w:color="auto"/>
              <w:left w:val="nil"/>
              <w:bottom w:val="nil"/>
              <w:right w:val="single" w:sz="4" w:space="0" w:color="auto"/>
            </w:tcBorders>
            <w:shd w:val="clear" w:color="auto" w:fill="auto"/>
            <w:vAlign w:val="center"/>
            <w:hideMark/>
          </w:tcPr>
          <w:p w14:paraId="2EA4A87C" w14:textId="77777777" w:rsidR="005616B1" w:rsidRPr="0081351E" w:rsidRDefault="005616B1" w:rsidP="00A62935">
            <w:pPr>
              <w:spacing w:after="0"/>
              <w:jc w:val="center"/>
              <w:rPr>
                <w:b/>
                <w:bCs/>
                <w:i/>
                <w:iCs/>
                <w:noProof/>
                <w:color w:val="000000"/>
              </w:rPr>
            </w:pPr>
            <w:r>
              <w:rPr>
                <w:b/>
                <w:i/>
                <w:noProof/>
                <w:color w:val="000000"/>
              </w:rPr>
              <w:t xml:space="preserve">Kapital </w:t>
            </w:r>
            <w:r>
              <w:rPr>
                <w:b/>
                <w:i/>
                <w:noProof/>
                <w:color w:val="000000"/>
              </w:rPr>
              <w:br/>
              <w:t>ripagament</w:t>
            </w:r>
          </w:p>
        </w:tc>
        <w:tc>
          <w:tcPr>
            <w:tcW w:w="1478" w:type="dxa"/>
            <w:tcBorders>
              <w:top w:val="single" w:sz="4" w:space="0" w:color="auto"/>
              <w:left w:val="nil"/>
              <w:bottom w:val="nil"/>
              <w:right w:val="single" w:sz="4" w:space="0" w:color="auto"/>
            </w:tcBorders>
            <w:shd w:val="clear" w:color="auto" w:fill="auto"/>
            <w:vAlign w:val="center"/>
            <w:hideMark/>
          </w:tcPr>
          <w:p w14:paraId="7DE07C21" w14:textId="77777777" w:rsidR="005616B1" w:rsidRPr="0081351E" w:rsidRDefault="005616B1" w:rsidP="00A62935">
            <w:pPr>
              <w:spacing w:after="0"/>
              <w:jc w:val="center"/>
              <w:rPr>
                <w:b/>
                <w:bCs/>
                <w:i/>
                <w:iCs/>
                <w:noProof/>
                <w:color w:val="000000"/>
              </w:rPr>
            </w:pPr>
            <w:r>
              <w:rPr>
                <w:b/>
                <w:i/>
                <w:noProof/>
                <w:color w:val="000000"/>
              </w:rPr>
              <w:t xml:space="preserve">Imgħax </w:t>
            </w:r>
            <w:r>
              <w:rPr>
                <w:b/>
                <w:i/>
                <w:noProof/>
                <w:color w:val="000000"/>
              </w:rPr>
              <w:br/>
              <w:t>pagament</w:t>
            </w:r>
          </w:p>
        </w:tc>
        <w:tc>
          <w:tcPr>
            <w:tcW w:w="1678" w:type="dxa"/>
            <w:tcBorders>
              <w:top w:val="single" w:sz="4" w:space="0" w:color="auto"/>
              <w:left w:val="nil"/>
              <w:bottom w:val="nil"/>
              <w:right w:val="single" w:sz="4" w:space="0" w:color="auto"/>
            </w:tcBorders>
            <w:shd w:val="clear" w:color="auto" w:fill="auto"/>
            <w:vAlign w:val="center"/>
            <w:hideMark/>
          </w:tcPr>
          <w:p w14:paraId="28070217" w14:textId="77777777" w:rsidR="005616B1" w:rsidRPr="0081351E" w:rsidRDefault="005616B1" w:rsidP="00A62935">
            <w:pPr>
              <w:spacing w:after="0"/>
              <w:jc w:val="center"/>
              <w:rPr>
                <w:b/>
                <w:bCs/>
                <w:i/>
                <w:iCs/>
                <w:noProof/>
                <w:color w:val="000000"/>
              </w:rPr>
            </w:pPr>
            <w:r>
              <w:rPr>
                <w:b/>
                <w:i/>
                <w:noProof/>
                <w:color w:val="000000"/>
              </w:rPr>
              <w:t>Total</w:t>
            </w:r>
          </w:p>
        </w:tc>
      </w:tr>
      <w:tr w:rsidR="005616B1" w14:paraId="684DA08B" w14:textId="77777777" w:rsidTr="561245B9">
        <w:trPr>
          <w:trHeight w:val="293"/>
        </w:trPr>
        <w:tc>
          <w:tcPr>
            <w:tcW w:w="2000" w:type="dxa"/>
            <w:tcBorders>
              <w:top w:val="single" w:sz="4" w:space="0" w:color="000000" w:themeColor="text1"/>
              <w:left w:val="single" w:sz="4" w:space="0" w:color="000000" w:themeColor="text1"/>
              <w:bottom w:val="nil"/>
              <w:right w:val="nil"/>
            </w:tcBorders>
            <w:shd w:val="clear" w:color="auto" w:fill="auto"/>
            <w:noWrap/>
            <w:vAlign w:val="center"/>
            <w:hideMark/>
          </w:tcPr>
          <w:p w14:paraId="6EDBB087" w14:textId="77777777" w:rsidR="005616B1" w:rsidRPr="0081351E" w:rsidRDefault="005616B1" w:rsidP="00A62935">
            <w:pPr>
              <w:spacing w:after="0"/>
              <w:jc w:val="center"/>
              <w:rPr>
                <w:noProof/>
                <w:color w:val="000000"/>
              </w:rPr>
            </w:pPr>
            <w:r>
              <w:rPr>
                <w:noProof/>
                <w:color w:val="000000"/>
              </w:rPr>
              <w:t>2023</w:t>
            </w:r>
          </w:p>
        </w:tc>
        <w:tc>
          <w:tcPr>
            <w:tcW w:w="1834" w:type="dxa"/>
            <w:tcBorders>
              <w:top w:val="single" w:sz="4" w:space="0" w:color="000000" w:themeColor="text1"/>
              <w:left w:val="single" w:sz="4" w:space="0" w:color="000000" w:themeColor="text1"/>
              <w:bottom w:val="nil"/>
              <w:right w:val="nil"/>
            </w:tcBorders>
            <w:shd w:val="clear" w:color="auto" w:fill="auto"/>
            <w:noWrap/>
            <w:vAlign w:val="bottom"/>
            <w:hideMark/>
          </w:tcPr>
          <w:p w14:paraId="7D102EFD" w14:textId="77777777" w:rsidR="005616B1" w:rsidRPr="0081351E" w:rsidRDefault="005616B1" w:rsidP="00A62935">
            <w:pPr>
              <w:spacing w:after="0"/>
              <w:rPr>
                <w:noProof/>
                <w:color w:val="000000"/>
              </w:rPr>
            </w:pPr>
            <w:r>
              <w:rPr>
                <w:noProof/>
                <w:color w:val="000000"/>
              </w:rPr>
              <w:t>Il-Latvja</w:t>
            </w:r>
          </w:p>
        </w:tc>
        <w:tc>
          <w:tcPr>
            <w:tcW w:w="1678" w:type="dxa"/>
            <w:tcBorders>
              <w:top w:val="single" w:sz="4" w:space="0" w:color="000000" w:themeColor="text1"/>
              <w:left w:val="single" w:sz="4" w:space="0" w:color="000000" w:themeColor="text1"/>
              <w:bottom w:val="nil"/>
              <w:right w:val="nil"/>
            </w:tcBorders>
            <w:shd w:val="clear" w:color="auto" w:fill="auto"/>
            <w:noWrap/>
            <w:vAlign w:val="bottom"/>
            <w:hideMark/>
          </w:tcPr>
          <w:p w14:paraId="70E79B2A" w14:textId="77777777" w:rsidR="005616B1" w:rsidRPr="0081351E" w:rsidRDefault="005616B1" w:rsidP="00A62935">
            <w:pPr>
              <w:spacing w:after="0"/>
              <w:rPr>
                <w:noProof/>
                <w:color w:val="000000"/>
              </w:rPr>
            </w:pPr>
            <w:r>
              <w:rPr>
                <w:noProof/>
                <w:color w:val="000000"/>
              </w:rPr>
              <w:t> </w:t>
            </w:r>
          </w:p>
        </w:tc>
        <w:tc>
          <w:tcPr>
            <w:tcW w:w="1478" w:type="dxa"/>
            <w:tcBorders>
              <w:top w:val="single" w:sz="4" w:space="0" w:color="000000" w:themeColor="text1"/>
              <w:left w:val="single" w:sz="4" w:space="0" w:color="000000" w:themeColor="text1"/>
              <w:bottom w:val="nil"/>
              <w:right w:val="nil"/>
            </w:tcBorders>
            <w:shd w:val="clear" w:color="auto" w:fill="auto"/>
            <w:noWrap/>
            <w:vAlign w:val="bottom"/>
            <w:hideMark/>
          </w:tcPr>
          <w:p w14:paraId="003892D2" w14:textId="77777777" w:rsidR="005616B1" w:rsidRPr="0081351E" w:rsidRDefault="005616B1" w:rsidP="00A62935">
            <w:pPr>
              <w:spacing w:after="0"/>
              <w:jc w:val="right"/>
              <w:rPr>
                <w:noProof/>
                <w:color w:val="000000"/>
              </w:rPr>
            </w:pPr>
            <w:r>
              <w:rPr>
                <w:noProof/>
                <w:color w:val="000000"/>
              </w:rPr>
              <w:t>5.8</w:t>
            </w:r>
          </w:p>
        </w:tc>
        <w:tc>
          <w:tcPr>
            <w:tcW w:w="1678"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bottom"/>
            <w:hideMark/>
          </w:tcPr>
          <w:p w14:paraId="15653FCF" w14:textId="77777777" w:rsidR="005616B1" w:rsidRPr="0081351E" w:rsidRDefault="005616B1" w:rsidP="00A62935">
            <w:pPr>
              <w:spacing w:after="0"/>
              <w:jc w:val="right"/>
              <w:rPr>
                <w:noProof/>
                <w:color w:val="000000"/>
              </w:rPr>
            </w:pPr>
            <w:r>
              <w:rPr>
                <w:noProof/>
                <w:color w:val="000000"/>
              </w:rPr>
              <w:t>5.8</w:t>
            </w:r>
          </w:p>
        </w:tc>
      </w:tr>
      <w:tr w:rsidR="005616B1" w14:paraId="234A6956" w14:textId="77777777" w:rsidTr="561245B9">
        <w:trPr>
          <w:trHeight w:val="293"/>
        </w:trPr>
        <w:tc>
          <w:tcPr>
            <w:tcW w:w="2000" w:type="dxa"/>
            <w:tcBorders>
              <w:top w:val="single" w:sz="4" w:space="0" w:color="000000" w:themeColor="text1"/>
              <w:left w:val="single" w:sz="4" w:space="0" w:color="000000" w:themeColor="text1"/>
              <w:bottom w:val="nil"/>
              <w:right w:val="nil"/>
            </w:tcBorders>
            <w:shd w:val="clear" w:color="auto" w:fill="auto"/>
            <w:noWrap/>
            <w:vAlign w:val="center"/>
            <w:hideMark/>
          </w:tcPr>
          <w:p w14:paraId="0514F37C" w14:textId="77777777" w:rsidR="005616B1" w:rsidRPr="0081351E" w:rsidRDefault="005616B1" w:rsidP="00A62935">
            <w:pPr>
              <w:spacing w:after="0"/>
              <w:jc w:val="center"/>
              <w:rPr>
                <w:noProof/>
                <w:color w:val="000000"/>
              </w:rPr>
            </w:pPr>
            <w:r>
              <w:rPr>
                <w:noProof/>
                <w:color w:val="000000"/>
              </w:rPr>
              <w:t>2024</w:t>
            </w:r>
          </w:p>
        </w:tc>
        <w:tc>
          <w:tcPr>
            <w:tcW w:w="1834" w:type="dxa"/>
            <w:tcBorders>
              <w:top w:val="single" w:sz="4" w:space="0" w:color="000000" w:themeColor="text1"/>
              <w:left w:val="single" w:sz="4" w:space="0" w:color="000000" w:themeColor="text1"/>
              <w:bottom w:val="nil"/>
              <w:right w:val="nil"/>
            </w:tcBorders>
            <w:shd w:val="clear" w:color="auto" w:fill="auto"/>
            <w:noWrap/>
            <w:vAlign w:val="bottom"/>
            <w:hideMark/>
          </w:tcPr>
          <w:p w14:paraId="0FCD92D3" w14:textId="77777777" w:rsidR="005616B1" w:rsidRPr="0081351E" w:rsidRDefault="005616B1" w:rsidP="00A62935">
            <w:pPr>
              <w:spacing w:after="0"/>
              <w:rPr>
                <w:noProof/>
                <w:color w:val="000000"/>
              </w:rPr>
            </w:pPr>
            <w:r>
              <w:rPr>
                <w:noProof/>
                <w:color w:val="000000"/>
              </w:rPr>
              <w:t>Il-Latvja</w:t>
            </w:r>
          </w:p>
        </w:tc>
        <w:tc>
          <w:tcPr>
            <w:tcW w:w="1678" w:type="dxa"/>
            <w:tcBorders>
              <w:top w:val="single" w:sz="4" w:space="0" w:color="000000" w:themeColor="text1"/>
              <w:left w:val="single" w:sz="4" w:space="0" w:color="000000" w:themeColor="text1"/>
              <w:bottom w:val="nil"/>
              <w:right w:val="nil"/>
            </w:tcBorders>
            <w:shd w:val="clear" w:color="auto" w:fill="auto"/>
            <w:noWrap/>
            <w:vAlign w:val="bottom"/>
            <w:hideMark/>
          </w:tcPr>
          <w:p w14:paraId="5C8653A9" w14:textId="77777777" w:rsidR="005616B1" w:rsidRPr="0081351E" w:rsidRDefault="005616B1" w:rsidP="00A62935">
            <w:pPr>
              <w:spacing w:after="0"/>
              <w:rPr>
                <w:noProof/>
                <w:color w:val="000000"/>
              </w:rPr>
            </w:pPr>
            <w:r>
              <w:rPr>
                <w:noProof/>
                <w:color w:val="000000"/>
              </w:rPr>
              <w:t> </w:t>
            </w:r>
          </w:p>
        </w:tc>
        <w:tc>
          <w:tcPr>
            <w:tcW w:w="1478" w:type="dxa"/>
            <w:tcBorders>
              <w:top w:val="single" w:sz="4" w:space="0" w:color="000000" w:themeColor="text1"/>
              <w:left w:val="single" w:sz="4" w:space="0" w:color="000000" w:themeColor="text1"/>
              <w:bottom w:val="nil"/>
              <w:right w:val="nil"/>
            </w:tcBorders>
            <w:shd w:val="clear" w:color="auto" w:fill="auto"/>
            <w:noWrap/>
            <w:vAlign w:val="bottom"/>
            <w:hideMark/>
          </w:tcPr>
          <w:p w14:paraId="28445E47" w14:textId="77777777" w:rsidR="005616B1" w:rsidRPr="0081351E" w:rsidRDefault="005616B1" w:rsidP="00A62935">
            <w:pPr>
              <w:spacing w:after="0"/>
              <w:jc w:val="right"/>
              <w:rPr>
                <w:noProof/>
                <w:color w:val="000000"/>
              </w:rPr>
            </w:pPr>
            <w:r>
              <w:rPr>
                <w:noProof/>
                <w:color w:val="000000"/>
              </w:rPr>
              <w:t>5.8</w:t>
            </w:r>
          </w:p>
        </w:tc>
        <w:tc>
          <w:tcPr>
            <w:tcW w:w="1678"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bottom"/>
            <w:hideMark/>
          </w:tcPr>
          <w:p w14:paraId="61E18223" w14:textId="77777777" w:rsidR="005616B1" w:rsidRPr="0081351E" w:rsidRDefault="005616B1" w:rsidP="00A62935">
            <w:pPr>
              <w:spacing w:after="0"/>
              <w:jc w:val="right"/>
              <w:rPr>
                <w:noProof/>
                <w:color w:val="000000"/>
              </w:rPr>
            </w:pPr>
            <w:r>
              <w:rPr>
                <w:noProof/>
                <w:color w:val="000000"/>
              </w:rPr>
              <w:t>5.8</w:t>
            </w:r>
          </w:p>
        </w:tc>
      </w:tr>
      <w:tr w:rsidR="005616B1" w14:paraId="38DEF745" w14:textId="77777777" w:rsidTr="561245B9">
        <w:trPr>
          <w:trHeight w:val="293"/>
        </w:trPr>
        <w:tc>
          <w:tcPr>
            <w:tcW w:w="2000" w:type="dxa"/>
            <w:tcBorders>
              <w:top w:val="single" w:sz="4" w:space="0" w:color="000000" w:themeColor="text1"/>
              <w:left w:val="single" w:sz="4" w:space="0" w:color="000000" w:themeColor="text1"/>
              <w:bottom w:val="nil"/>
              <w:right w:val="nil"/>
            </w:tcBorders>
            <w:shd w:val="clear" w:color="auto" w:fill="auto"/>
            <w:noWrap/>
            <w:vAlign w:val="center"/>
            <w:hideMark/>
          </w:tcPr>
          <w:p w14:paraId="78B7BBF1" w14:textId="77777777" w:rsidR="005616B1" w:rsidRPr="0081351E" w:rsidRDefault="005616B1" w:rsidP="00A62935">
            <w:pPr>
              <w:spacing w:after="0"/>
              <w:jc w:val="center"/>
              <w:rPr>
                <w:noProof/>
                <w:color w:val="000000"/>
              </w:rPr>
            </w:pPr>
            <w:r>
              <w:rPr>
                <w:noProof/>
                <w:color w:val="000000"/>
              </w:rPr>
              <w:t>2025</w:t>
            </w:r>
          </w:p>
        </w:tc>
        <w:tc>
          <w:tcPr>
            <w:tcW w:w="1834" w:type="dxa"/>
            <w:tcBorders>
              <w:top w:val="single" w:sz="4" w:space="0" w:color="000000" w:themeColor="text1"/>
              <w:left w:val="single" w:sz="4" w:space="0" w:color="000000" w:themeColor="text1"/>
              <w:bottom w:val="nil"/>
              <w:right w:val="nil"/>
            </w:tcBorders>
            <w:shd w:val="clear" w:color="auto" w:fill="auto"/>
            <w:noWrap/>
            <w:vAlign w:val="bottom"/>
            <w:hideMark/>
          </w:tcPr>
          <w:p w14:paraId="3BB1F321" w14:textId="77777777" w:rsidR="005616B1" w:rsidRPr="0081351E" w:rsidRDefault="005616B1" w:rsidP="00A62935">
            <w:pPr>
              <w:spacing w:after="0"/>
              <w:rPr>
                <w:noProof/>
                <w:color w:val="000000"/>
              </w:rPr>
            </w:pPr>
            <w:r>
              <w:rPr>
                <w:noProof/>
                <w:color w:val="000000"/>
              </w:rPr>
              <w:t>Il-Latvja</w:t>
            </w:r>
          </w:p>
        </w:tc>
        <w:tc>
          <w:tcPr>
            <w:tcW w:w="1678" w:type="dxa"/>
            <w:tcBorders>
              <w:top w:val="single" w:sz="4" w:space="0" w:color="000000" w:themeColor="text1"/>
              <w:left w:val="single" w:sz="4" w:space="0" w:color="000000" w:themeColor="text1"/>
              <w:bottom w:val="nil"/>
              <w:right w:val="nil"/>
            </w:tcBorders>
            <w:shd w:val="clear" w:color="auto" w:fill="auto"/>
            <w:noWrap/>
            <w:vAlign w:val="bottom"/>
            <w:hideMark/>
          </w:tcPr>
          <w:p w14:paraId="34C90617" w14:textId="77777777" w:rsidR="005616B1" w:rsidRPr="0081351E" w:rsidRDefault="005616B1" w:rsidP="00A62935">
            <w:pPr>
              <w:spacing w:after="0"/>
              <w:jc w:val="right"/>
              <w:rPr>
                <w:noProof/>
                <w:color w:val="000000"/>
              </w:rPr>
            </w:pPr>
            <w:r>
              <w:rPr>
                <w:noProof/>
                <w:color w:val="000000"/>
              </w:rPr>
              <w:t>200</w:t>
            </w:r>
          </w:p>
        </w:tc>
        <w:tc>
          <w:tcPr>
            <w:tcW w:w="1478" w:type="dxa"/>
            <w:tcBorders>
              <w:top w:val="single" w:sz="4" w:space="0" w:color="000000" w:themeColor="text1"/>
              <w:left w:val="single" w:sz="4" w:space="0" w:color="000000" w:themeColor="text1"/>
              <w:bottom w:val="nil"/>
              <w:right w:val="nil"/>
            </w:tcBorders>
            <w:shd w:val="clear" w:color="auto" w:fill="auto"/>
            <w:noWrap/>
            <w:vAlign w:val="bottom"/>
            <w:hideMark/>
          </w:tcPr>
          <w:p w14:paraId="1EFB76AD" w14:textId="77777777" w:rsidR="005616B1" w:rsidRPr="0081351E" w:rsidRDefault="005616B1" w:rsidP="00A62935">
            <w:pPr>
              <w:spacing w:after="0"/>
              <w:jc w:val="right"/>
              <w:rPr>
                <w:noProof/>
                <w:color w:val="000000"/>
              </w:rPr>
            </w:pPr>
            <w:r>
              <w:rPr>
                <w:noProof/>
                <w:color w:val="000000"/>
              </w:rPr>
              <w:t>5.8</w:t>
            </w:r>
          </w:p>
        </w:tc>
        <w:tc>
          <w:tcPr>
            <w:tcW w:w="1678"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bottom"/>
            <w:hideMark/>
          </w:tcPr>
          <w:p w14:paraId="300487EA" w14:textId="77777777" w:rsidR="005616B1" w:rsidRPr="0081351E" w:rsidRDefault="005616B1" w:rsidP="00A62935">
            <w:pPr>
              <w:spacing w:after="0"/>
              <w:jc w:val="right"/>
              <w:rPr>
                <w:noProof/>
                <w:color w:val="000000"/>
              </w:rPr>
            </w:pPr>
            <w:r>
              <w:rPr>
                <w:noProof/>
                <w:color w:val="000000"/>
              </w:rPr>
              <w:t>205.8</w:t>
            </w:r>
          </w:p>
        </w:tc>
      </w:tr>
      <w:tr w:rsidR="005616B1" w14:paraId="5268C1FE" w14:textId="77777777" w:rsidTr="561245B9">
        <w:trPr>
          <w:trHeight w:val="293"/>
        </w:trPr>
        <w:tc>
          <w:tcPr>
            <w:tcW w:w="3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CC0F50C" w14:textId="17C6290B" w:rsidR="005616B1" w:rsidRPr="0081351E" w:rsidRDefault="005616B1" w:rsidP="00A62935">
            <w:pPr>
              <w:spacing w:after="0"/>
              <w:jc w:val="center"/>
              <w:rPr>
                <w:b/>
                <w:bCs/>
                <w:noProof/>
                <w:color w:val="000000"/>
              </w:rPr>
            </w:pPr>
            <w:r>
              <w:rPr>
                <w:b/>
                <w:noProof/>
                <w:color w:val="000000"/>
              </w:rPr>
              <w:t>Gran total</w:t>
            </w:r>
          </w:p>
        </w:tc>
        <w:tc>
          <w:tcPr>
            <w:tcW w:w="1678" w:type="dxa"/>
            <w:tcBorders>
              <w:top w:val="single" w:sz="4" w:space="0" w:color="000000" w:themeColor="text1"/>
              <w:left w:val="nil"/>
              <w:bottom w:val="single" w:sz="4" w:space="0" w:color="000000" w:themeColor="text1"/>
              <w:right w:val="nil"/>
            </w:tcBorders>
            <w:shd w:val="clear" w:color="auto" w:fill="auto"/>
            <w:noWrap/>
            <w:vAlign w:val="bottom"/>
            <w:hideMark/>
          </w:tcPr>
          <w:p w14:paraId="7185A52C" w14:textId="77777777" w:rsidR="005616B1" w:rsidRPr="0081351E" w:rsidRDefault="005616B1" w:rsidP="00A62935">
            <w:pPr>
              <w:spacing w:after="0"/>
              <w:jc w:val="right"/>
              <w:rPr>
                <w:b/>
                <w:bCs/>
                <w:noProof/>
                <w:color w:val="000000"/>
              </w:rPr>
            </w:pPr>
            <w:r>
              <w:rPr>
                <w:b/>
                <w:noProof/>
                <w:color w:val="000000"/>
              </w:rPr>
              <w:t>200</w:t>
            </w:r>
          </w:p>
        </w:tc>
        <w:tc>
          <w:tcPr>
            <w:tcW w:w="1478" w:type="dxa"/>
            <w:tcBorders>
              <w:top w:val="single" w:sz="4" w:space="0" w:color="000000" w:themeColor="text1"/>
              <w:left w:val="single" w:sz="4" w:space="0" w:color="000000" w:themeColor="text1"/>
              <w:bottom w:val="single" w:sz="4" w:space="0" w:color="000000" w:themeColor="text1"/>
              <w:right w:val="nil"/>
            </w:tcBorders>
            <w:shd w:val="clear" w:color="auto" w:fill="auto"/>
            <w:noWrap/>
            <w:vAlign w:val="bottom"/>
            <w:hideMark/>
          </w:tcPr>
          <w:p w14:paraId="2F1E84B1" w14:textId="77777777" w:rsidR="005616B1" w:rsidRPr="0081351E" w:rsidRDefault="4A66AD34" w:rsidP="00A62935">
            <w:pPr>
              <w:spacing w:after="0"/>
              <w:jc w:val="right"/>
              <w:rPr>
                <w:b/>
                <w:bCs/>
                <w:noProof/>
                <w:color w:val="000000"/>
              </w:rPr>
            </w:pPr>
            <w:r>
              <w:rPr>
                <w:b/>
                <w:noProof/>
                <w:color w:val="000000" w:themeColor="text1"/>
              </w:rPr>
              <w:t>17.4</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54FF2" w14:textId="77777777" w:rsidR="005616B1" w:rsidRPr="0081351E" w:rsidRDefault="005616B1" w:rsidP="00A62935">
            <w:pPr>
              <w:spacing w:after="0"/>
              <w:jc w:val="right"/>
              <w:rPr>
                <w:b/>
                <w:bCs/>
                <w:noProof/>
                <w:color w:val="000000"/>
              </w:rPr>
            </w:pPr>
            <w:r>
              <w:rPr>
                <w:b/>
                <w:noProof/>
                <w:color w:val="000000"/>
              </w:rPr>
              <w:t>217.4</w:t>
            </w:r>
          </w:p>
        </w:tc>
      </w:tr>
    </w:tbl>
    <w:p w14:paraId="17E70744" w14:textId="77777777" w:rsidR="005616B1" w:rsidRDefault="005616B1" w:rsidP="005616B1">
      <w:pPr>
        <w:spacing w:after="120"/>
        <w:jc w:val="right"/>
        <w:rPr>
          <w:noProof/>
        </w:rPr>
      </w:pPr>
      <w:r>
        <w:rPr>
          <w:noProof/>
        </w:rPr>
        <w:t>F’miljuni ta’ EUR</w:t>
      </w:r>
    </w:p>
    <w:p w14:paraId="150E74F4" w14:textId="4E4268EA" w:rsidR="00F37891" w:rsidRPr="007C5483" w:rsidRDefault="0081351E" w:rsidP="0081351E">
      <w:pPr>
        <w:spacing w:before="120" w:after="120"/>
        <w:rPr>
          <w:noProof/>
          <w:szCs w:val="24"/>
        </w:rPr>
      </w:pPr>
      <w:r>
        <w:rPr>
          <w:noProof/>
        </w:rPr>
        <w:t>F’dan l-isfond, il-kapaċità li jifdal tal-Faċilità tal-BoP bħalissa hija ta’ EUR 49.8 biljun, disponibbli biex tappoġġa lill-Istati Membri li mhumiex fiż-żona tal-euro li qed jiffaċċjaw kwistjonijiet ta’ finanzjament tal-bilanċ tal-pagamenti. Il-limitu massimu ta’ EUR 50 biljun tal-Faċilità tal-BoP huwa ekwivalenti għal madwar 3 % tal-PDG tal-2021 tal-Istati Membri li mhumiex fiż-żona tal-euro. Bħala punt ta’ referenza, il-kapaċità totali ta’ self tal-MES tirrappreżenta 4 % tal-PDG tal-2021 tal-Istati Membri taż-żona tal-euro</w:t>
      </w:r>
      <w:r w:rsidR="000334C6" w:rsidRPr="00821EF9">
        <w:rPr>
          <w:rStyle w:val="FootnoteReference"/>
          <w:noProof/>
          <w:szCs w:val="24"/>
        </w:rPr>
        <w:footnoteReference w:id="10"/>
      </w:r>
      <w:r>
        <w:rPr>
          <w:noProof/>
        </w:rPr>
        <w:t>. Fuq din il-bażi u meta jitqiesu l-ħtiġijiet ta’ finanzjament tal-programmi preċedenti tal-bilanċ tal-pagamenti, il-limitu attwali tal-Faċilità tal-BoP jidher xieraq.</w:t>
      </w:r>
    </w:p>
    <w:p w14:paraId="66A95F6C" w14:textId="06F0C84B" w:rsidR="00E15EA0" w:rsidRDefault="00432ED5" w:rsidP="000E0D40">
      <w:pPr>
        <w:rPr>
          <w:noProof/>
        </w:rPr>
      </w:pPr>
      <w:r>
        <w:rPr>
          <w:noProof/>
        </w:rPr>
        <w:t xml:space="preserve">L-operazzjonijiet tal-Faċilità tal-BoP konklużi b’suċċess urew l-effettività u l-versatilità tal-istrument. L-Istati Membri benefiċjarji indirizzaw il-kwistjonijiet tal-bilanċ tal-pagamenti tagħhom u reġgħu kisbu jew żammew l-aċċess għas-swieq kapitali wara l-użu tagħhom tal-Faċilità tal-BoP. </w:t>
      </w:r>
    </w:p>
    <w:p w14:paraId="0ABEA793" w14:textId="5E40A05D" w:rsidR="0081351E" w:rsidRDefault="003E44FD" w:rsidP="000E7C3A">
      <w:pPr>
        <w:rPr>
          <w:noProof/>
        </w:rPr>
      </w:pPr>
      <w:r>
        <w:rPr>
          <w:noProof/>
        </w:rPr>
        <w:t>Filwaqt li l-Faċilità tal-BoP bla dubju għadha taqdi l-iskop tagħha f’termini tal-prinċipju u l-limitu massimu tagħha, jista’ jiġi kkunsidrat xi titjib fl-arranġamenti tagħha, pereżempju fil-mekkaniżmu ta’ finanzjament tagħha</w:t>
      </w:r>
      <w:r w:rsidR="00F16E9E" w:rsidRPr="00821EF9">
        <w:rPr>
          <w:rStyle w:val="FootnoteReference"/>
          <w:noProof/>
        </w:rPr>
        <w:footnoteReference w:id="11"/>
      </w:r>
      <w:r>
        <w:rPr>
          <w:noProof/>
          <w:vertAlign w:val="superscript"/>
        </w:rPr>
        <w:t xml:space="preserve"> </w:t>
      </w:r>
      <w:r>
        <w:rPr>
          <w:noProof/>
        </w:rPr>
        <w:t>.</w:t>
      </w:r>
    </w:p>
    <w:p w14:paraId="4F2F771C" w14:textId="77777777" w:rsidR="000E7C3A" w:rsidRPr="000E7C3A" w:rsidRDefault="000E7C3A" w:rsidP="000E7C3A">
      <w:pPr>
        <w:pStyle w:val="Heading1"/>
        <w:rPr>
          <w:noProof/>
        </w:rPr>
      </w:pPr>
      <w:r>
        <w:rPr>
          <w:noProof/>
        </w:rPr>
        <w:t>Kontenut tal-proposta leġiżlattiva tal-2012</w:t>
      </w:r>
    </w:p>
    <w:p w14:paraId="6AF95CAA" w14:textId="7276B122" w:rsidR="00583AD8" w:rsidRDefault="00126F0C" w:rsidP="00705FCA">
      <w:pPr>
        <w:autoSpaceDE w:val="0"/>
        <w:autoSpaceDN w:val="0"/>
        <w:adjustRightInd w:val="0"/>
        <w:spacing w:before="120" w:after="120"/>
        <w:rPr>
          <w:noProof/>
          <w:szCs w:val="24"/>
        </w:rPr>
      </w:pPr>
      <w:r>
        <w:rPr>
          <w:noProof/>
        </w:rPr>
        <w:t xml:space="preserve">Fit-22 ta’ Ġunju 2012, il-Kummissjoni ppreżentat proposta leġiżlattiva għar-riforma tal-Faċilità tal-BoP. Din il-proposta kienet għal regolament ġdid biex jitħassar u jiġi sostitwit ir-Regolament eżistenti tal-BoP. L-għan ġenerali tal-proposta tal-Kummissjoni kien li l-istruttura istituzzjonali għall-assistenza finanzjarja u l-koordinazzjoni tal-politika stabbilita għall-Istati Membri taż-żona tal-euro, b’mod partikolari mal-MES, tiġi applikata wkoll għall-Istati Membri li mhumiex fiż-żona tal-euro. Il-proposta ssuġġeriet l-emendi ewlenin li ġejjin għall-Faċilità tal-BoP: </w:t>
      </w:r>
    </w:p>
    <w:p w14:paraId="7B64CA62" w14:textId="5C6E2B9A" w:rsidR="00D0639A" w:rsidRPr="00705FCA" w:rsidRDefault="00B21CC1" w:rsidP="00C912C1">
      <w:pPr>
        <w:pStyle w:val="ListParagraph"/>
        <w:numPr>
          <w:ilvl w:val="0"/>
          <w:numId w:val="34"/>
        </w:numPr>
        <w:autoSpaceDE w:val="0"/>
        <w:autoSpaceDN w:val="0"/>
        <w:adjustRightInd w:val="0"/>
        <w:spacing w:before="120" w:after="120" w:line="240" w:lineRule="auto"/>
        <w:jc w:val="both"/>
        <w:rPr>
          <w:rFonts w:ascii="Times New Roman" w:hAnsi="Times New Roman" w:cs="Times New Roman"/>
          <w:noProof/>
          <w:sz w:val="24"/>
          <w:szCs w:val="24"/>
        </w:rPr>
      </w:pPr>
      <w:r>
        <w:rPr>
          <w:rFonts w:ascii="Times New Roman" w:hAnsi="Times New Roman"/>
          <w:b/>
          <w:bCs/>
          <w:noProof/>
          <w:sz w:val="24"/>
          <w:u w:val="single"/>
        </w:rPr>
        <w:t>Għodod aktar flessibbli:</w:t>
      </w:r>
      <w:r>
        <w:rPr>
          <w:rFonts w:ascii="Times New Roman" w:hAnsi="Times New Roman"/>
          <w:noProof/>
          <w:sz w:val="24"/>
        </w:rPr>
        <w:t xml:space="preserve"> li jirriflettu l-innovazzjonijiet tal-EFSF/MES, ir-reviżjonijiet proposti għall-Faċilità tal-BoP kienu jintroduċu strument iddedikat ta’ linja ta’ kreditu li jieħu l-forma ta’ linja tal-kreditu b’kundizzjonijiet prekawzjonarji (PCCL) jew linja ta’ kreditu b’kundizzjonijiet imsaħħa (ECCL). L-għoti ta’ PCCL ikun bil-kundizzjoni tal-issodisfar tal-kriterji ta’ eliġibbiltà biss, filwaqt li l-għoti ta’ ECCL ikun bil-kundizzjoni li tiġi adottata taħlita ta’ kriterji ta’ eliġibbiltà u miżuri ta’ politika korrettivi. L-aċċess għal PCCL kellu jkun limitat għall-Istati Membri li jinsabu f’sitwazzjoni ekonomika u finanzjarja vvalutata bħala “fundamentalment soda” abbażi tal-kriterji imsemmija</w:t>
      </w:r>
      <w:r w:rsidRPr="00821EF9">
        <w:rPr>
          <w:noProof/>
          <w:vertAlign w:val="superscript"/>
        </w:rPr>
        <w:footnoteReference w:id="12"/>
      </w:r>
      <w:r>
        <w:rPr>
          <w:rFonts w:ascii="Times New Roman" w:hAnsi="Times New Roman"/>
          <w:noProof/>
          <w:sz w:val="24"/>
        </w:rPr>
        <w:t>. L-aċċess għal ECCL kellu jkun miftuħ għall-Istati Membri li ma jikkwalifikawx għall-aċċess għal PCCL iżda li s-sitwazzjoni ekonomika u finanzjarja ġenerali tagħhom baqgħet soda, u li barra minn hekk impenjaw ruħhom li jimplimentaw (sett limitat ta’) miżuri korrettivi. B’kuntrast ma’ self prekawzjonarju mill-Faċilità tal-BoP, il-linji ta’ kreditu għalhekk ma jeħtiġux l-implimentazzjoni ta’ programm ta’ aġġustament makroekonomiku iżda minflok jew ma jinkludux (PCCL) jew ikollhom sett imnaqqas (ECCL) ta’ kundizzjonijiet ta’ politika ekonomika.</w:t>
      </w:r>
    </w:p>
    <w:p w14:paraId="64B50FB4" w14:textId="77777777" w:rsidR="00D0639A" w:rsidRPr="00D0639A" w:rsidRDefault="00D0639A" w:rsidP="00496EFE">
      <w:pPr>
        <w:pStyle w:val="ListParagraph"/>
        <w:autoSpaceDE w:val="0"/>
        <w:autoSpaceDN w:val="0"/>
        <w:adjustRightInd w:val="0"/>
        <w:spacing w:before="120" w:after="120" w:line="240" w:lineRule="auto"/>
        <w:ind w:left="1065"/>
        <w:jc w:val="both"/>
        <w:rPr>
          <w:rFonts w:ascii="Times New Roman" w:hAnsi="Times New Roman" w:cs="Times New Roman"/>
          <w:noProof/>
          <w:szCs w:val="24"/>
        </w:rPr>
      </w:pPr>
    </w:p>
    <w:p w14:paraId="11286135" w14:textId="77777777" w:rsidR="00B21CC1" w:rsidRPr="00294DE9" w:rsidRDefault="00B21CC1" w:rsidP="00294DE9">
      <w:pPr>
        <w:pStyle w:val="ListParagraph"/>
        <w:numPr>
          <w:ilvl w:val="0"/>
          <w:numId w:val="34"/>
        </w:numPr>
        <w:autoSpaceDE w:val="0"/>
        <w:autoSpaceDN w:val="0"/>
        <w:adjustRightInd w:val="0"/>
        <w:spacing w:before="120" w:after="120"/>
        <w:rPr>
          <w:rFonts w:ascii="Times New Roman" w:hAnsi="Times New Roman" w:cs="Times New Roman"/>
          <w:b/>
          <w:bCs/>
          <w:noProof/>
          <w:sz w:val="24"/>
          <w:szCs w:val="24"/>
        </w:rPr>
      </w:pPr>
      <w:r>
        <w:rPr>
          <w:rFonts w:ascii="Times New Roman" w:hAnsi="Times New Roman"/>
          <w:b/>
          <w:noProof/>
          <w:sz w:val="24"/>
          <w:u w:val="single"/>
        </w:rPr>
        <w:t>Sorveljanza aktar mill-qrib:</w:t>
      </w:r>
      <w:r>
        <w:rPr>
          <w:rFonts w:ascii="Times New Roman" w:hAnsi="Times New Roman"/>
          <w:b/>
          <w:noProof/>
          <w:sz w:val="24"/>
        </w:rPr>
        <w:t xml:space="preserve"> </w:t>
      </w:r>
    </w:p>
    <w:p w14:paraId="5525E88C" w14:textId="4DA6FE86" w:rsidR="00B21CC1" w:rsidRPr="00DD5741" w:rsidRDefault="00EE6D73" w:rsidP="00294DE9">
      <w:pPr>
        <w:numPr>
          <w:ilvl w:val="1"/>
          <w:numId w:val="25"/>
        </w:numPr>
        <w:autoSpaceDE w:val="0"/>
        <w:autoSpaceDN w:val="0"/>
        <w:adjustRightInd w:val="0"/>
        <w:spacing w:before="120" w:after="120"/>
        <w:ind w:left="993" w:hanging="426"/>
        <w:rPr>
          <w:noProof/>
          <w:szCs w:val="24"/>
        </w:rPr>
      </w:pPr>
      <w:r>
        <w:rPr>
          <w:noProof/>
        </w:rPr>
        <w:t xml:space="preserve">Bħal fil-każ tal-Istati Membri taż-żona tal-euro (skont ir-Regolament (UE) Nru 472/2013), </w:t>
      </w:r>
      <w:r>
        <w:rPr>
          <w:i/>
          <w:iCs/>
          <w:noProof/>
        </w:rPr>
        <w:t>is-sorveljanza msaħħa</w:t>
      </w:r>
      <w:r>
        <w:rPr>
          <w:noProof/>
        </w:rPr>
        <w:t xml:space="preserve"> tiġi skattata meta tingħata ECCL jew tintuża PCCL. Sorveljanza msaħħa tfisser aċċess usa’ mill-Kummissjoni għall-informazzjoni meħtieġa għal monitoraġġ mill-qrib tas-sitwazzjoni ekonomika, baġitarja u finanzjarja tal-Istat Membru kkonċernat u rappurtar regolari. Stat Membru taħt sorveljanza msaħħa għandu jadotta miżuri</w:t>
      </w:r>
      <w:r w:rsidR="002D74DC" w:rsidRPr="00821EF9">
        <w:rPr>
          <w:rStyle w:val="FootnoteReference"/>
          <w:noProof/>
          <w:szCs w:val="24"/>
        </w:rPr>
        <w:footnoteReference w:id="13"/>
      </w:r>
      <w:r>
        <w:rPr>
          <w:noProof/>
        </w:rPr>
        <w:t xml:space="preserve"> biex jiġu indirizzati s-sorsi potenzjali ta’ diffikultajiet ekonomiċi. </w:t>
      </w:r>
    </w:p>
    <w:p w14:paraId="2A5728D7" w14:textId="1AFADBEB" w:rsidR="009543AE" w:rsidRDefault="00B21CC1" w:rsidP="00DD5741">
      <w:pPr>
        <w:numPr>
          <w:ilvl w:val="1"/>
          <w:numId w:val="25"/>
        </w:numPr>
        <w:autoSpaceDE w:val="0"/>
        <w:autoSpaceDN w:val="0"/>
        <w:adjustRightInd w:val="0"/>
        <w:spacing w:before="120" w:after="120"/>
        <w:ind w:left="993" w:hanging="426"/>
        <w:rPr>
          <w:noProof/>
          <w:szCs w:val="24"/>
        </w:rPr>
      </w:pPr>
      <w:r>
        <w:rPr>
          <w:noProof/>
        </w:rPr>
        <w:t xml:space="preserve">Kodifikazzjoni tal-prattika ta’ </w:t>
      </w:r>
      <w:r>
        <w:rPr>
          <w:i/>
          <w:iCs/>
          <w:noProof/>
        </w:rPr>
        <w:t>sorveljanza ta’ wara l-għajnuna</w:t>
      </w:r>
      <w:r>
        <w:rPr>
          <w:noProof/>
        </w:rPr>
        <w:t>: wara li tintemm l-għajnuna, il-kapaċità ta’ ħlas lura tal-Istati Membri tibqa’ taħt skrutinju sakemm ikunu rrimborżaw 75 % tal-assistenza finanzjarja riċevuta</w:t>
      </w:r>
      <w:r w:rsidR="00671CC0" w:rsidRPr="00821EF9">
        <w:rPr>
          <w:rStyle w:val="FootnoteReference"/>
          <w:noProof/>
          <w:szCs w:val="24"/>
        </w:rPr>
        <w:footnoteReference w:id="14"/>
      </w:r>
      <w:r>
        <w:rPr>
          <w:noProof/>
        </w:rPr>
        <w:t>.</w:t>
      </w:r>
    </w:p>
    <w:p w14:paraId="6CC67BBF" w14:textId="18C3707D" w:rsidR="00B21CC1" w:rsidRPr="009543AE" w:rsidRDefault="00B21CC1" w:rsidP="009543AE">
      <w:pPr>
        <w:pStyle w:val="ListParagraph"/>
        <w:numPr>
          <w:ilvl w:val="0"/>
          <w:numId w:val="34"/>
        </w:numPr>
        <w:autoSpaceDE w:val="0"/>
        <w:autoSpaceDN w:val="0"/>
        <w:adjustRightInd w:val="0"/>
        <w:spacing w:before="120" w:after="120"/>
        <w:jc w:val="both"/>
        <w:rPr>
          <w:rFonts w:ascii="Times New Roman" w:eastAsia="Times New Roman" w:hAnsi="Times New Roman" w:cs="Times New Roman"/>
          <w:noProof/>
          <w:sz w:val="24"/>
          <w:szCs w:val="24"/>
        </w:rPr>
      </w:pPr>
      <w:r>
        <w:rPr>
          <w:rFonts w:ascii="Times New Roman" w:hAnsi="Times New Roman"/>
          <w:b/>
          <w:noProof/>
          <w:sz w:val="24"/>
          <w:u w:val="single"/>
        </w:rPr>
        <w:t>Simplifikazzjoni tal-proċeduri ta’ sorveljanza:</w:t>
      </w:r>
      <w:r>
        <w:rPr>
          <w:rFonts w:ascii="Times New Roman" w:hAnsi="Times New Roman"/>
          <w:noProof/>
          <w:sz w:val="24"/>
        </w:rPr>
        <w:t xml:space="preserve"> billi tiġi evitata d-duplikazzjoni bejn is-sorveljanza baġitarja u ekonomika tal-UE u l-monitoraġġ tal-programm ta’ aġġustament makroekonomiku bl-istess mod bħal għall-Istati Membri taż-żona tal-euro skont ir-Regolament (UE) Nru 472/2013</w:t>
      </w:r>
      <w:r w:rsidR="000C0B3C" w:rsidRPr="00821EF9">
        <w:rPr>
          <w:rStyle w:val="FootnoteReference"/>
          <w:rFonts w:ascii="Times New Roman" w:eastAsia="Times New Roman" w:hAnsi="Times New Roman" w:cs="Times New Roman"/>
          <w:noProof/>
          <w:sz w:val="24"/>
          <w:szCs w:val="24"/>
          <w:lang w:eastAsia="en-IE"/>
        </w:rPr>
        <w:footnoteReference w:id="15"/>
      </w:r>
      <w:r>
        <w:rPr>
          <w:rFonts w:ascii="Times New Roman" w:hAnsi="Times New Roman"/>
          <w:noProof/>
          <w:sz w:val="24"/>
        </w:rPr>
        <w:t xml:space="preserve">. </w:t>
      </w:r>
    </w:p>
    <w:p w14:paraId="15863EB5" w14:textId="77777777" w:rsidR="009543AE" w:rsidRPr="009543AE" w:rsidRDefault="009543AE" w:rsidP="009543AE">
      <w:pPr>
        <w:pStyle w:val="ListParagraph"/>
        <w:spacing w:before="120" w:after="120"/>
        <w:rPr>
          <w:noProof/>
          <w:szCs w:val="24"/>
          <w:u w:val="single"/>
        </w:rPr>
      </w:pPr>
    </w:p>
    <w:p w14:paraId="5A206405" w14:textId="1CBF3D4F" w:rsidR="00B21CC1" w:rsidRPr="009543AE" w:rsidRDefault="00B21CC1" w:rsidP="009543AE">
      <w:pPr>
        <w:pStyle w:val="ListParagraph"/>
        <w:numPr>
          <w:ilvl w:val="0"/>
          <w:numId w:val="34"/>
        </w:numPr>
        <w:spacing w:before="120" w:after="120"/>
        <w:rPr>
          <w:rFonts w:ascii="Times New Roman" w:eastAsia="Times New Roman" w:hAnsi="Times New Roman" w:cs="Times New Roman"/>
          <w:noProof/>
          <w:sz w:val="24"/>
          <w:szCs w:val="24"/>
        </w:rPr>
      </w:pPr>
      <w:r>
        <w:rPr>
          <w:rFonts w:ascii="Times New Roman" w:hAnsi="Times New Roman"/>
          <w:b/>
          <w:noProof/>
          <w:sz w:val="24"/>
          <w:u w:val="single"/>
        </w:rPr>
        <w:t>It-twaqqit tal-operazzjonijiet ta’ teħid b’self:</w:t>
      </w:r>
      <w:r>
        <w:rPr>
          <w:rFonts w:ascii="Times New Roman" w:hAnsi="Times New Roman"/>
          <w:noProof/>
          <w:sz w:val="24"/>
        </w:rPr>
        <w:t xml:space="preserve"> billi l-Kummissjoni tkun awtorizzata tissellef fis-swieq ferm qabel l-iżborżi ppjanati tas-self biex tibbenefika mill-aktar kundizzjonijiet vantaġġużi tas-suq. </w:t>
      </w:r>
    </w:p>
    <w:p w14:paraId="27A9EB7C" w14:textId="69F26E02" w:rsidR="00B21CC1" w:rsidRDefault="00B21CC1" w:rsidP="00B21CC1">
      <w:pPr>
        <w:spacing w:before="120" w:after="120"/>
        <w:rPr>
          <w:noProof/>
          <w:szCs w:val="24"/>
        </w:rPr>
      </w:pPr>
      <w:r>
        <w:rPr>
          <w:noProof/>
        </w:rPr>
        <w:t>Minbarra dawn il-bidliet proposti mill-Kummissjoni, il-Parlament Ewropew talab li jinħoloq strument iddedikat biex jipprovdi self lill-Istati Membri għar-rikapitalizzazzjoni tal-istituzzjonijiet finanzjarji tal-Istati Membri (mhux fiż-żona tal-euro) (“rikapitalizzazzjoni indiretta”)</w:t>
      </w:r>
      <w:r w:rsidR="00821EF9" w:rsidRPr="00821EF9">
        <w:rPr>
          <w:rStyle w:val="FootnoteReference"/>
          <w:noProof/>
          <w:szCs w:val="24"/>
        </w:rPr>
        <w:footnoteReference w:id="16"/>
      </w:r>
      <w:r>
        <w:rPr>
          <w:noProof/>
        </w:rPr>
        <w:t>. Il-Kummissjoni appoġġat din it-talba.</w:t>
      </w:r>
    </w:p>
    <w:p w14:paraId="3CBBBB74" w14:textId="300E4FC5" w:rsidR="00462536" w:rsidRDefault="00B21CC1" w:rsidP="00B21CC1">
      <w:pPr>
        <w:spacing w:before="120" w:after="120"/>
        <w:rPr>
          <w:noProof/>
          <w:szCs w:val="24"/>
        </w:rPr>
      </w:pPr>
      <w:r>
        <w:rPr>
          <w:noProof/>
        </w:rPr>
        <w:t xml:space="preserve">Bħar-Regolament dwar il-BoP, il-proposta tal-Kummissjoni tal-2012 dwar il-Faċilità tal-BoP kienet ibbażata fuq l-Artikolu 352 tat-TFUE. Għalhekk kien jeħtieġ approvazzjoni unanima fil-Kunsill u kunsens mill-Parlament Ewropew. </w:t>
      </w:r>
    </w:p>
    <w:p w14:paraId="09132EF4" w14:textId="3DDCF139" w:rsidR="00B21CC1" w:rsidRPr="00C752D8" w:rsidRDefault="00462536" w:rsidP="00B21CC1">
      <w:pPr>
        <w:spacing w:before="120" w:after="120"/>
        <w:rPr>
          <w:noProof/>
          <w:szCs w:val="24"/>
        </w:rPr>
      </w:pPr>
      <w:r>
        <w:rPr>
          <w:noProof/>
        </w:rPr>
        <w:t>Il-Kunsill iddiskuta l-proposta emendata tal-Kummissjoni għall-aħħar darba f’Diċembru 2013 sabiex ikun hemm qbil dwar pożizzjoni komuni. Il-proposta ma ġietx adottata u l-proċess leġiżlattiv ma għamilx progress mill-2013. Madankollu, l-emendi stabbiliti fil-proposta tal-Kummissjoni tal-2012 jibqgħu meħtieġa biex jiġu allinjati s-settijiet ta’ għodod ta’ assistenza finanzjarja bejn l-Istati Membri taż-żona tal-euro u dawk li mhumiex fiż-żona tal-euro.</w:t>
      </w:r>
    </w:p>
    <w:p w14:paraId="3FFD0A00" w14:textId="423A21C5" w:rsidR="00982306" w:rsidRPr="00C752D8" w:rsidRDefault="005E644C" w:rsidP="000334C6">
      <w:pPr>
        <w:pStyle w:val="Heading1"/>
        <w:rPr>
          <w:noProof/>
        </w:rPr>
      </w:pPr>
      <w:r>
        <w:rPr>
          <w:noProof/>
        </w:rPr>
        <w:t>Is-sitwazzjoni attwali</w:t>
      </w:r>
    </w:p>
    <w:p w14:paraId="69758727" w14:textId="527BC8FD" w:rsidR="00982306" w:rsidRPr="002A4C69" w:rsidRDefault="0081351E" w:rsidP="002A4C69">
      <w:pPr>
        <w:rPr>
          <w:noProof/>
        </w:rPr>
      </w:pPr>
      <w:r>
        <w:rPr>
          <w:noProof/>
        </w:rPr>
        <w:t xml:space="preserve">Filwaqt li l-Faċilità tal-BoP irnexxiet u kienet effettiva fil-passat, ix-xenarju tal-qafas tal-assistenza finanzjarja ġenerali u tal-koordinazzjoni tal-politika ekonomika tal-UE għadda minn għadd ta’ bidliet kbar mill-aħħar reviżjoni tar-Regolament dwar il-BoP fl-2009.  </w:t>
      </w:r>
    </w:p>
    <w:p w14:paraId="5CCEC53F" w14:textId="71DA788F" w:rsidR="00982306" w:rsidRPr="001131AA" w:rsidRDefault="001131AA" w:rsidP="001131AA">
      <w:pPr>
        <w:pStyle w:val="ListParagraph"/>
        <w:numPr>
          <w:ilvl w:val="0"/>
          <w:numId w:val="33"/>
        </w:numPr>
        <w:spacing w:line="240" w:lineRule="auto"/>
        <w:jc w:val="both"/>
        <w:rPr>
          <w:rFonts w:ascii="Times New Roman" w:eastAsia="Times New Roman" w:hAnsi="Times New Roman" w:cs="Times New Roman"/>
          <w:noProof/>
          <w:sz w:val="24"/>
          <w:szCs w:val="20"/>
        </w:rPr>
      </w:pPr>
      <w:r>
        <w:rPr>
          <w:rFonts w:ascii="Times New Roman" w:hAnsi="Times New Roman"/>
          <w:noProof/>
          <w:sz w:val="24"/>
        </w:rPr>
        <w:t>Il-Mekkaniżmu Ewropew ta’ Stabbilizzazzjoni Finanzjarja (EFSM), stabbilit fl-2010 bħala strument mifrux mal-UE kollha u ġeneralment simili fil-ħidma tiegħu għall-Faċilità tal-BoP, ippermetta operazzjonijiet ta’ teħid b’self b’antiċipazzjoni ta’ żborżi tas-self aktar tard, li jitbiegħdu mill-finanzjament back-to-back tradizzjonali tal-Kummissjoni, sabiex jibbenefika mill-aktar kundizzjonijiet tas-suq vantaġġużi.</w:t>
      </w:r>
    </w:p>
    <w:p w14:paraId="0371F92D" w14:textId="77777777" w:rsidR="00982306" w:rsidRPr="000334C6" w:rsidRDefault="00982306" w:rsidP="002A4C69">
      <w:pPr>
        <w:pStyle w:val="ListParagraph"/>
        <w:spacing w:line="240" w:lineRule="auto"/>
        <w:rPr>
          <w:rFonts w:ascii="Times New Roman" w:hAnsi="Times New Roman" w:cs="Times New Roman"/>
          <w:noProof/>
          <w:sz w:val="24"/>
          <w:szCs w:val="24"/>
        </w:rPr>
      </w:pPr>
    </w:p>
    <w:p w14:paraId="4670ED6B" w14:textId="40ED3E3F" w:rsidR="00982306" w:rsidRPr="000334C6" w:rsidRDefault="00982306" w:rsidP="002A4C69">
      <w:pPr>
        <w:pStyle w:val="ListParagraph"/>
        <w:numPr>
          <w:ilvl w:val="0"/>
          <w:numId w:val="33"/>
        </w:numPr>
        <w:spacing w:line="240" w:lineRule="auto"/>
        <w:jc w:val="both"/>
        <w:rPr>
          <w:rFonts w:ascii="Times New Roman" w:hAnsi="Times New Roman" w:cs="Times New Roman"/>
          <w:noProof/>
          <w:sz w:val="24"/>
          <w:szCs w:val="24"/>
        </w:rPr>
      </w:pPr>
      <w:r>
        <w:rPr>
          <w:rFonts w:ascii="Times New Roman" w:hAnsi="Times New Roman"/>
          <w:noProof/>
          <w:sz w:val="24"/>
        </w:rPr>
        <w:t>L-EFSF twaqqaf fl-2010, u sussegwentement ġie sostitwit mill-MES fl-2012, biex jipprovdi assistenza finanzjarja lill-Istati Membri taż-żona tal-euro. Is-sett ta’ għodod tal-MES jinkludi self kondizzjonali fuq programm ta’ aġġustament makroekonomiku, assistenza finanzjarja prekawzjonarja, xiri ta’ bonds sovrani tas-suq primarju u sekondarju, self għal rikapitalizzazzjoni indiretta tal-banek u rikapitalizzazzjoni diretta tal-istituzzjonijiet finanzjarji. Il-MES jiddependi fuq strateġija ta’ finanzjament diversifikata biex jiġbor fondi fis-swieq kapitali.</w:t>
      </w:r>
    </w:p>
    <w:p w14:paraId="7550F2F1" w14:textId="77777777" w:rsidR="00982306" w:rsidRPr="000334C6" w:rsidRDefault="00982306" w:rsidP="002A4C69">
      <w:pPr>
        <w:pStyle w:val="ListParagraph"/>
        <w:spacing w:line="240" w:lineRule="auto"/>
        <w:rPr>
          <w:rFonts w:ascii="Times New Roman" w:hAnsi="Times New Roman" w:cs="Times New Roman"/>
          <w:noProof/>
          <w:sz w:val="24"/>
          <w:szCs w:val="24"/>
        </w:rPr>
      </w:pPr>
    </w:p>
    <w:p w14:paraId="30DB27A4" w14:textId="1D5382F9" w:rsidR="00982306" w:rsidRDefault="00266B46" w:rsidP="00215FD8">
      <w:pPr>
        <w:pStyle w:val="ListParagraph"/>
        <w:numPr>
          <w:ilvl w:val="0"/>
          <w:numId w:val="33"/>
        </w:numPr>
        <w:spacing w:after="0" w:line="240" w:lineRule="auto"/>
        <w:jc w:val="both"/>
        <w:rPr>
          <w:rFonts w:ascii="Times New Roman" w:hAnsi="Times New Roman" w:cs="Times New Roman"/>
          <w:noProof/>
          <w:sz w:val="24"/>
          <w:szCs w:val="24"/>
        </w:rPr>
      </w:pPr>
      <w:r>
        <w:rPr>
          <w:rFonts w:ascii="Times New Roman" w:hAnsi="Times New Roman"/>
          <w:noProof/>
          <w:sz w:val="24"/>
        </w:rPr>
        <w:t>Fl-2014, il-koleġiżlaturi adottaw id-Direttiva dwar l-Irkupru u r-Riżoluzzjoni tal-Banek</w:t>
      </w:r>
      <w:r w:rsidR="00A56D19">
        <w:rPr>
          <w:rStyle w:val="FootnoteReference"/>
          <w:rFonts w:ascii="Times New Roman" w:hAnsi="Times New Roman" w:cs="Times New Roman"/>
          <w:noProof/>
          <w:sz w:val="24"/>
          <w:szCs w:val="24"/>
        </w:rPr>
        <w:footnoteReference w:id="17"/>
      </w:r>
      <w:r>
        <w:rPr>
          <w:rFonts w:ascii="Times New Roman" w:hAnsi="Times New Roman"/>
          <w:noProof/>
          <w:sz w:val="24"/>
        </w:rPr>
        <w:t>, il-pedament tal-qafas tal-UE għar-riżoluzzjoni tal-banek. Inkisbet aktar integrazzjoni bil-ħolqien tal-Mekkaniżmu Uniku ta’ Riżoluzzjoni, bit-tisħiħ tal-qafas leġiżlattiv għall-ibbankjar f’riżoluzzjoni, u bit-tiswir tat-tieni pilastru tal-Unjoni Bankarja. Bħala parti minn dan il-qafas, il-Fond Uniku ta’ Riżoluzzjoni ġie stabbilit fl-2014.  Huwa ffinanzjat mill-kontribuzzjonijiet tas-settur bankarju u wieħed jista’ joqgħod fuqu bħala l-aħħar rimedju, biex tiġi żgurata l-applikazzjoni effettiva tal-għodod ta’ riżoluzzjoni.</w:t>
      </w:r>
    </w:p>
    <w:p w14:paraId="1760E533" w14:textId="77777777" w:rsidR="00215FD8" w:rsidRPr="00215FD8" w:rsidRDefault="00215FD8" w:rsidP="00215FD8">
      <w:pPr>
        <w:spacing w:after="0"/>
        <w:rPr>
          <w:noProof/>
          <w:szCs w:val="24"/>
        </w:rPr>
      </w:pPr>
    </w:p>
    <w:p w14:paraId="628C8E4D" w14:textId="0DBCF2EB" w:rsidR="00117D5B" w:rsidRPr="000334C6" w:rsidRDefault="000356CA" w:rsidP="00982306">
      <w:pPr>
        <w:pStyle w:val="ListParagraph"/>
        <w:numPr>
          <w:ilvl w:val="0"/>
          <w:numId w:val="33"/>
        </w:numPr>
        <w:spacing w:line="240" w:lineRule="auto"/>
        <w:jc w:val="both"/>
        <w:rPr>
          <w:rFonts w:ascii="Times New Roman" w:hAnsi="Times New Roman" w:cs="Times New Roman"/>
          <w:noProof/>
          <w:sz w:val="24"/>
          <w:szCs w:val="24"/>
        </w:rPr>
      </w:pPr>
      <w:r>
        <w:rPr>
          <w:rFonts w:ascii="Times New Roman" w:hAnsi="Times New Roman"/>
          <w:noProof/>
          <w:sz w:val="24"/>
        </w:rPr>
        <w:t>Fl-2013, il-qafas ta’ sorveljanza ekonomika għaż-żona tal-euro espanda bid-dħul fis-seħħ tat-“two pack”</w:t>
      </w:r>
      <w:r w:rsidR="00570DC9" w:rsidRPr="00821EF9">
        <w:rPr>
          <w:rStyle w:val="FootnoteReference"/>
          <w:rFonts w:ascii="Times New Roman" w:hAnsi="Times New Roman" w:cs="Times New Roman"/>
          <w:noProof/>
          <w:sz w:val="24"/>
          <w:szCs w:val="24"/>
        </w:rPr>
        <w:footnoteReference w:id="18"/>
      </w:r>
      <w:r>
        <w:rPr>
          <w:rFonts w:ascii="Times New Roman" w:hAnsi="Times New Roman"/>
          <w:noProof/>
          <w:sz w:val="24"/>
        </w:rPr>
        <w:t>. Ir-Regolament (UE) Nru 472/2013</w:t>
      </w:r>
      <w:r w:rsidR="00E60391" w:rsidRPr="00821EF9">
        <w:rPr>
          <w:rFonts w:ascii="Times New Roman" w:hAnsi="Times New Roman" w:cs="Times New Roman"/>
          <w:noProof/>
          <w:sz w:val="24"/>
          <w:szCs w:val="24"/>
          <w:vertAlign w:val="superscript"/>
        </w:rPr>
        <w:footnoteReference w:id="19"/>
      </w:r>
      <w:r>
        <w:rPr>
          <w:rFonts w:ascii="Times New Roman" w:hAnsi="Times New Roman"/>
          <w:noProof/>
          <w:sz w:val="24"/>
        </w:rPr>
        <w:t xml:space="preserve">  introduċa reġim ta’ monitoraġġ ta’ sorveljanza msaħħa għall-Istati Membri taż-żona tal-euro li jesperjenzaw jew ikunu mhedda b’diffikultajiet gravi ta’ stabbiltà finanzjarja u b’mod partikolari għall-Istati Membri li jirċievu assistenza finanzjarja prekawzjonarja</w:t>
      </w:r>
      <w:r w:rsidR="00117D5B" w:rsidRPr="00697111">
        <w:rPr>
          <w:rStyle w:val="FootnoteReference"/>
          <w:rFonts w:ascii="Times New Roman" w:hAnsi="Times New Roman" w:cs="Times New Roman"/>
          <w:noProof/>
          <w:sz w:val="24"/>
          <w:szCs w:val="24"/>
        </w:rPr>
        <w:footnoteReference w:id="20"/>
      </w:r>
      <w:r>
        <w:rPr>
          <w:rFonts w:ascii="Times New Roman" w:hAnsi="Times New Roman"/>
          <w:noProof/>
          <w:sz w:val="24"/>
        </w:rPr>
        <w:t>. Dan ir-Regolament jistabbilixxi wkoll diversi dispożizzjonijiet biex tiġi evitata d-duplikazzjoni tal-obbligi ta’ rappurtar u monitoraġġ għall-Istati Membri taż-żona tal-euro soġġetti għal programm ta’ aġġustament makroekonomiku</w:t>
      </w:r>
      <w:r w:rsidR="00E60391" w:rsidRPr="000334C6">
        <w:rPr>
          <w:rFonts w:ascii="Times New Roman" w:hAnsi="Times New Roman" w:cs="Times New Roman"/>
          <w:noProof/>
          <w:sz w:val="24"/>
          <w:szCs w:val="24"/>
          <w:vertAlign w:val="superscript"/>
        </w:rPr>
        <w:footnoteReference w:id="21"/>
      </w:r>
      <w:r>
        <w:rPr>
          <w:rFonts w:ascii="Times New Roman" w:hAnsi="Times New Roman"/>
          <w:noProof/>
          <w:sz w:val="24"/>
        </w:rPr>
        <w:t>. Fl-aħħar nett, huwa jistabbilixxi qafas għall-monitoraġġ tal-Istati Membri taż-żona tal-euro wara li jirċievu assistenza finanzjarja fil-forma ta’ “sorveljanza ta’ wara l-programm”</w:t>
      </w:r>
      <w:r w:rsidR="002D261E">
        <w:rPr>
          <w:rStyle w:val="FootnoteReference"/>
          <w:rFonts w:ascii="Times New Roman" w:hAnsi="Times New Roman" w:cs="Times New Roman"/>
          <w:noProof/>
          <w:sz w:val="24"/>
          <w:szCs w:val="24"/>
        </w:rPr>
        <w:footnoteReference w:id="22"/>
      </w:r>
      <w:r>
        <w:rPr>
          <w:rFonts w:ascii="Times New Roman" w:hAnsi="Times New Roman"/>
          <w:noProof/>
          <w:sz w:val="24"/>
        </w:rPr>
        <w:t xml:space="preserve">. </w:t>
      </w:r>
    </w:p>
    <w:p w14:paraId="453C0400" w14:textId="77777777" w:rsidR="00117D5B" w:rsidRPr="000334C6" w:rsidRDefault="00117D5B" w:rsidP="002A4C69">
      <w:pPr>
        <w:pStyle w:val="ListParagraph"/>
        <w:spacing w:line="240" w:lineRule="auto"/>
        <w:jc w:val="both"/>
        <w:rPr>
          <w:rFonts w:ascii="Times New Roman" w:hAnsi="Times New Roman" w:cs="Times New Roman"/>
          <w:noProof/>
          <w:sz w:val="24"/>
          <w:szCs w:val="24"/>
        </w:rPr>
      </w:pPr>
    </w:p>
    <w:p w14:paraId="2A7260A6" w14:textId="39F45A03" w:rsidR="00581813" w:rsidRPr="00596DBB" w:rsidRDefault="008A4B92" w:rsidP="002A4C69">
      <w:pPr>
        <w:pStyle w:val="ListParagraph"/>
        <w:numPr>
          <w:ilvl w:val="0"/>
          <w:numId w:val="33"/>
        </w:numPr>
        <w:spacing w:line="240" w:lineRule="auto"/>
        <w:jc w:val="both"/>
        <w:rPr>
          <w:noProof/>
          <w:szCs w:val="24"/>
        </w:rPr>
      </w:pPr>
      <w:r>
        <w:rPr>
          <w:rFonts w:ascii="Times New Roman" w:hAnsi="Times New Roman"/>
          <w:noProof/>
          <w:sz w:val="24"/>
        </w:rPr>
        <w:t>Ir-riforma tal-MES, minquxa fir-reviżjonijiet tat-Trattat tiegħu u maqbula lejn l-aħħar tal-2020 iżda li għadha ma ġietx ratifikata, tkompli tiċċara l-eliġibbiltà u l-kundizzjonalità tal-linja tal-kreditu b’kundizzjonijiet prekawzjonarji (PCCL) tal-MES u l-linja ta’ kreditu b’kundizzjonijiet imsaħħa (ECCL). Ir-riforma tal-MES tistabbilixxi wkoll garanzija ta’ kontinġenza għall-Fond Uniku ta’ Riżoluzzjoni (SRF). Fil-każ li l-SRF jiġi eżawrit, il-MES jista’ jsellef il-fondi meħtieġa lill-SRF biex jiffinanzja riżoluzzjoni fil-forma ta’ linja ta’ kreditu rotanti mogħtija lill-istituzzjoni, soġġett għall-approvazzjoni tal-korpi governattivi tal-MES.</w:t>
      </w:r>
    </w:p>
    <w:p w14:paraId="00F28252" w14:textId="77777777" w:rsidR="00117D5B" w:rsidRDefault="00117D5B" w:rsidP="002A4C69">
      <w:pPr>
        <w:pStyle w:val="ListParagraph"/>
        <w:rPr>
          <w:noProof/>
        </w:rPr>
      </w:pPr>
    </w:p>
    <w:p w14:paraId="727E383C" w14:textId="4582F3C5" w:rsidR="00E60391" w:rsidRPr="00705FCA" w:rsidRDefault="007E43EE" w:rsidP="002A4C69">
      <w:pPr>
        <w:pStyle w:val="ListParagraph"/>
        <w:numPr>
          <w:ilvl w:val="0"/>
          <w:numId w:val="33"/>
        </w:numPr>
        <w:spacing w:line="240" w:lineRule="auto"/>
        <w:jc w:val="both"/>
        <w:rPr>
          <w:noProof/>
          <w:szCs w:val="24"/>
        </w:rPr>
      </w:pPr>
      <w:r>
        <w:rPr>
          <w:rFonts w:ascii="Times New Roman" w:hAnsi="Times New Roman"/>
          <w:noProof/>
          <w:sz w:val="24"/>
        </w:rPr>
        <w:t>F’Novembru 2022, bħala parti mir-rieżami tal-governanza ekonomika li għaddej bħalissa, u b’reazzjoni għar-rapport tal-Qorti Ewropea tal-Awdituri tal-2021 dwar is-sorveljanza ta’ wara l-programm, il-Kummissjoni pproponiet li tħalli l-leġiżlazzjoni kkonċernata intatta iżda li twettaq is-sorveljanza ta’ wara l-programm b’mod differenti, b’objettivi aktar ċari, u li torbot l-intensità tal-qafas ma’ dawk l-objettivi</w:t>
      </w:r>
      <w:r w:rsidR="00773C15">
        <w:rPr>
          <w:rStyle w:val="FootnoteReference"/>
          <w:rFonts w:ascii="Times New Roman" w:hAnsi="Times New Roman" w:cs="Times New Roman"/>
          <w:noProof/>
          <w:sz w:val="24"/>
          <w:szCs w:val="24"/>
        </w:rPr>
        <w:footnoteReference w:id="23"/>
      </w:r>
      <w:r>
        <w:rPr>
          <w:rFonts w:ascii="Times New Roman" w:hAnsi="Times New Roman"/>
          <w:noProof/>
          <w:sz w:val="24"/>
        </w:rPr>
        <w:t>. B’mod partikolari, il-Kummissjoni pproponiet li s-sorveljanza ta’ wara l-programm tiffoka fuq: (i) il-valutazzjoni tal-kapaċità ta’ ħlas lura tal-Istati Membri; (ii) il-monitoraġġ tal-implimentazzjoni ta’ riformi mhux kompluti li bdew taħt il-programm ta’ aġġustament; u (iii) il-valutazzjoni ta’ jekk humiex meħtieġa aktar miżuri korrettivi.</w:t>
      </w:r>
    </w:p>
    <w:p w14:paraId="6F405BB1" w14:textId="77777777" w:rsidR="00850EEF" w:rsidRPr="00705FCA" w:rsidRDefault="00850EEF" w:rsidP="00705FCA">
      <w:pPr>
        <w:pStyle w:val="ListParagraph"/>
        <w:spacing w:line="240" w:lineRule="auto"/>
        <w:jc w:val="both"/>
        <w:rPr>
          <w:noProof/>
          <w:szCs w:val="24"/>
        </w:rPr>
      </w:pPr>
    </w:p>
    <w:p w14:paraId="130A9176" w14:textId="4BCEAD00" w:rsidR="00583AD8" w:rsidRPr="00B72DCC" w:rsidRDefault="00583AD8" w:rsidP="002A4C69">
      <w:pPr>
        <w:pStyle w:val="ListParagraph"/>
        <w:numPr>
          <w:ilvl w:val="0"/>
          <w:numId w:val="33"/>
        </w:numPr>
        <w:spacing w:line="240" w:lineRule="auto"/>
        <w:jc w:val="both"/>
        <w:rPr>
          <w:noProof/>
          <w:szCs w:val="24"/>
        </w:rPr>
      </w:pPr>
      <w:r>
        <w:rPr>
          <w:rFonts w:ascii="Times New Roman" w:hAnsi="Times New Roman"/>
          <w:noProof/>
          <w:sz w:val="24"/>
        </w:rPr>
        <w:t>Ir-Regolament Finanzjarju</w:t>
      </w:r>
      <w:r w:rsidR="00850EEF" w:rsidRPr="00697111">
        <w:rPr>
          <w:rStyle w:val="FootnoteReference"/>
          <w:rFonts w:ascii="Times New Roman" w:hAnsi="Times New Roman" w:cs="Times New Roman"/>
          <w:noProof/>
          <w:sz w:val="24"/>
          <w:szCs w:val="24"/>
        </w:rPr>
        <w:footnoteReference w:id="24"/>
      </w:r>
      <w:r>
        <w:rPr>
          <w:rFonts w:ascii="Times New Roman" w:hAnsi="Times New Roman"/>
          <w:noProof/>
          <w:sz w:val="24"/>
        </w:rPr>
        <w:t xml:space="preserve"> ġie emendat tard fl-2022 biex jippermetti lill-Kummissjoni timplimenta strateġija ta’ finanzjament diversifikata li tinkludi t-teħid b’self awtorizzat skont l-Artikolu 5(1) tad-Deċiżjoni tal-Kunsill (UE, Euratom) 2020/2053</w:t>
      </w:r>
      <w:r w:rsidR="00EE5793">
        <w:rPr>
          <w:rStyle w:val="FootnoteReference"/>
          <w:rFonts w:ascii="Times New Roman" w:hAnsi="Times New Roman" w:cs="Times New Roman"/>
          <w:noProof/>
          <w:sz w:val="24"/>
          <w:szCs w:val="24"/>
        </w:rPr>
        <w:footnoteReference w:id="25"/>
      </w:r>
      <w:r>
        <w:rPr>
          <w:rFonts w:ascii="Times New Roman" w:hAnsi="Times New Roman"/>
          <w:noProof/>
          <w:sz w:val="24"/>
        </w:rPr>
        <w:t xml:space="preserve"> u, ħlief f’każijiet debitament ġustifikati, operazzjonijiet ta’ teħid b’self u ta’ ġestjoni tad-dejn biex jiġu ffinanzjati programmi ta’ assistenza finanzjarja. </w:t>
      </w:r>
    </w:p>
    <w:p w14:paraId="177B0E99" w14:textId="77777777" w:rsidR="00CC451B" w:rsidRPr="00CC451B" w:rsidRDefault="00CC451B" w:rsidP="00B72DCC">
      <w:pPr>
        <w:pStyle w:val="ListParagraph"/>
        <w:rPr>
          <w:noProof/>
          <w:szCs w:val="24"/>
        </w:rPr>
      </w:pPr>
    </w:p>
    <w:p w14:paraId="66EBB5EF" w14:textId="04271EF2" w:rsidR="00CC451B" w:rsidRPr="00B72DCC" w:rsidRDefault="00CC451B" w:rsidP="00CC451B">
      <w:pPr>
        <w:pStyle w:val="ListParagraph"/>
        <w:numPr>
          <w:ilvl w:val="0"/>
          <w:numId w:val="33"/>
        </w:numPr>
        <w:spacing w:line="240" w:lineRule="auto"/>
        <w:jc w:val="both"/>
        <w:rPr>
          <w:rFonts w:ascii="Times New Roman" w:hAnsi="Times New Roman" w:cs="Times New Roman"/>
          <w:noProof/>
          <w:sz w:val="24"/>
          <w:szCs w:val="24"/>
        </w:rPr>
      </w:pPr>
      <w:bookmarkStart w:id="4" w:name="_Hlk147163327"/>
      <w:r>
        <w:rPr>
          <w:rFonts w:ascii="Times New Roman" w:hAnsi="Times New Roman"/>
          <w:noProof/>
          <w:sz w:val="24"/>
        </w:rPr>
        <w:t xml:space="preserve">Fis-26 ta’ April 2023, bħala parti mir-rieżami tal-governanza ekonomika, il-Kummissjoni ppreżentat proposta leġiżlattiva dwar il-koordinazzjoni effettiva tal-politiki ekonomiċi u s-sorveljanza baġitarja multilaterali. </w:t>
      </w:r>
      <w:r>
        <w:rPr>
          <w:noProof/>
        </w:rPr>
        <w:t>Din il-proposta tistabbilixxi l-interazzjoni mar-Regolament (UE) Nru 472/2013 dwar it-tisħiħ tas-sorveljanza ekonomika u baġitarja tal-Istati Membri taż-żona tal-euro li jesperjenzaw jew ikunu mhedda b’diffikultajiet gravi tal-istabbiltà finanzjarja tagħhom.</w:t>
      </w:r>
      <w:r>
        <w:rPr>
          <w:rFonts w:ascii="Times New Roman" w:hAnsi="Times New Roman"/>
          <w:noProof/>
          <w:sz w:val="24"/>
        </w:rPr>
        <w:t xml:space="preserve"> Skont il-proposta tal-Kummissjoni, l-Istati Membri taż-żona tal-euro soġġetti għal programm ta’ aġġustament makroekonomiku jkunu eżentati milli jissottomettu pjan fiskali-strutturali fuq terminu medju u rapport ta’ progress annwali. Il-proposta tkun tirrikjedi wkoll li l-Istati Membri taż-żona tal-euro taħt sorveljanza msaħħa jikkunsidraw ir-rakkomandazzjonijiet indirizzati mill-Kunsill skont l-Artikolu 121(4) tat-TFUE f’każ ta’ devjazzjoni mill-perkors tan-nefqa netta. </w:t>
      </w:r>
    </w:p>
    <w:bookmarkEnd w:id="4"/>
    <w:p w14:paraId="7BAF6E0F" w14:textId="3B145E40" w:rsidR="00163DA6" w:rsidRDefault="0081351E" w:rsidP="002A4C69">
      <w:pPr>
        <w:spacing w:before="120" w:after="120"/>
        <w:rPr>
          <w:noProof/>
          <w:szCs w:val="24"/>
        </w:rPr>
      </w:pPr>
      <w:r>
        <w:rPr>
          <w:noProof/>
        </w:rPr>
        <w:t xml:space="preserve">B’kuntrast ma’ dan, jekk jitwarrbu l-emendi leġiżlattivi tal-2009 li żiedu l-limitu massimu tal-Faċilità tal-BoP u li ċċaraw ir-responsabbiltajiet tal-Kummissjoni u tal-Istati Membri, il-ħidma tal-Faċilità tal-BoP baqgħet ma nbidlitx mill-2002. </w:t>
      </w:r>
      <w:bookmarkStart w:id="5" w:name="_Hlk124932618"/>
      <w:r>
        <w:rPr>
          <w:noProof/>
        </w:rPr>
        <w:t xml:space="preserve">Pereżempju, l-UE trid tissellef b’mod strett “back-to-back” b’operazzjonijiet ta’ self biex tiffinanzja l-assistenza finanzjarja taħt il-Faċilità tal-BoP.  </w:t>
      </w:r>
    </w:p>
    <w:bookmarkEnd w:id="5"/>
    <w:p w14:paraId="141E264B" w14:textId="77777777" w:rsidR="0081351E" w:rsidRDefault="0081351E" w:rsidP="0081351E">
      <w:pPr>
        <w:pStyle w:val="Heading1"/>
        <w:rPr>
          <w:noProof/>
        </w:rPr>
      </w:pPr>
      <w:r>
        <w:rPr>
          <w:noProof/>
        </w:rPr>
        <w:t>Konklużjonijiet u rakkomandazzjonijiet</w:t>
      </w:r>
    </w:p>
    <w:p w14:paraId="63AFD400" w14:textId="0C019396" w:rsidR="009E0A1A" w:rsidRDefault="0081351E" w:rsidP="0028340B">
      <w:pPr>
        <w:spacing w:before="120" w:after="120"/>
        <w:rPr>
          <w:noProof/>
          <w:szCs w:val="24"/>
        </w:rPr>
      </w:pPr>
      <w:r>
        <w:rPr>
          <w:noProof/>
        </w:rPr>
        <w:t xml:space="preserve">Sa mill-2009, il-Faċilità tal-BoP wettqet ir-rwol tagħha b’mod effettiv. L-Istati Membri benefiċjarji l-aktar reċenti reġgħu stabbilew pożizzjoni sostenibbli tal-bilanċ tal-pagamenti u ħallsu lura l-assistenza fil-ħin. L-ammont massimu ta’ EUR 50 biljun għall-kapital tas-self pendenti jidher xieraq. Dan għen biex tiġi ssodisfata d-domanda għall-Faċilità tal-BoP filwaqt li żamm il-kapaċità żejda. Dan juri sinjal b’saħħtu li l-UE għandha kemm ir-rieda kif ukoll il-kapaċità li tappoġġa l-Istati Membri kollha tagħha fi żminijiet diffiċli. </w:t>
      </w:r>
    </w:p>
    <w:p w14:paraId="6B64EC26" w14:textId="35F40866" w:rsidR="00742AAB" w:rsidRPr="007D31F2" w:rsidRDefault="009E0A1A" w:rsidP="0028340B">
      <w:pPr>
        <w:spacing w:before="120" w:after="120"/>
        <w:rPr>
          <w:noProof/>
          <w:szCs w:val="24"/>
        </w:rPr>
      </w:pPr>
      <w:r>
        <w:rPr>
          <w:noProof/>
        </w:rPr>
        <w:t>Madankollu, hemm lok biex il-Faċilità tal-BoP tiġi adattata biex tirrifletti r-riformi istituzzjonali li seħħew mill-aħħar reviżjoni tal-Faċilità tal-BoP fl-2009, skont l-objettiv tal-proposta tal-Kummissjoni tal-2012. L-emendi ssuġġeriti f’din il-proposta jibqgħu meħtieġa biex jiġu allinjati s-settijiet ta’ għodod tal-assistenza finanzjarja bejn l-Istati Membri taż-żona tal-euro u dawk li mhumiex fiż-żona tal-euro. F’dan l-isfond, il-Kunsill mistieden jiddiskuti t-tagħlim li għandu jinsilet mill-kriżijiet reċenti u l-iżviluppi istituzzjonali, ekonomiċi u finanzjarji mill-2009, u l-implikazzjonijiet tagħhom għat-tfassil u l-implimentazzjoni tal-Faċilità tal-BoP.</w:t>
      </w:r>
    </w:p>
    <w:sectPr w:rsidR="00742AAB" w:rsidRPr="007D31F2" w:rsidSect="00A01175">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5D303" w14:textId="77777777" w:rsidR="00DE44C1" w:rsidRDefault="00DE44C1">
      <w:pPr>
        <w:spacing w:after="0"/>
      </w:pPr>
      <w:r>
        <w:separator/>
      </w:r>
    </w:p>
  </w:endnote>
  <w:endnote w:type="continuationSeparator" w:id="0">
    <w:p w14:paraId="2449EF9F" w14:textId="77777777" w:rsidR="00DE44C1" w:rsidRDefault="00DE44C1">
      <w:pPr>
        <w:spacing w:after="0"/>
      </w:pPr>
      <w:r>
        <w:continuationSeparator/>
      </w:r>
    </w:p>
  </w:endnote>
  <w:endnote w:type="continuationNotice" w:id="1">
    <w:p w14:paraId="4D4E297F" w14:textId="77777777" w:rsidR="00DE44C1" w:rsidRDefault="00DE44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7BAB4" w14:textId="6605D741" w:rsidR="00E95900" w:rsidRPr="00E95900" w:rsidRDefault="00E95900" w:rsidP="00E95900">
    <w:pPr>
      <w:pStyle w:val="FooterCoverPage"/>
      <w:rPr>
        <w:rFonts w:ascii="Arial" w:hAnsi="Arial" w:cs="Arial"/>
        <w:b/>
        <w:sz w:val="48"/>
      </w:rPr>
    </w:pPr>
    <w:r w:rsidRPr="00E95900">
      <w:rPr>
        <w:rFonts w:ascii="Arial" w:hAnsi="Arial" w:cs="Arial"/>
        <w:b/>
        <w:sz w:val="48"/>
      </w:rPr>
      <w:t>MT</w:t>
    </w:r>
    <w:r w:rsidRPr="00E95900">
      <w:rPr>
        <w:rFonts w:ascii="Arial" w:hAnsi="Arial" w:cs="Arial"/>
        <w:b/>
        <w:sz w:val="48"/>
      </w:rPr>
      <w:tab/>
    </w:r>
    <w:r w:rsidRPr="00E95900">
      <w:rPr>
        <w:rFonts w:ascii="Arial" w:hAnsi="Arial" w:cs="Arial"/>
        <w:b/>
        <w:sz w:val="48"/>
      </w:rPr>
      <w:tab/>
    </w:r>
    <w:r w:rsidRPr="00E95900">
      <w:tab/>
    </w:r>
    <w:r w:rsidRPr="00E95900">
      <w:rPr>
        <w:rFonts w:ascii="Arial" w:hAnsi="Arial" w:cs="Arial"/>
        <w:b/>
        <w:sz w:val="48"/>
      </w:rPr>
      <w:t>MT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1D793" w14:textId="7B3BA5AC" w:rsidR="00E95900" w:rsidRPr="00E95900" w:rsidRDefault="00E95900" w:rsidP="00E95900">
    <w:pPr>
      <w:pStyle w:val="FooterCoverPage"/>
      <w:rPr>
        <w:rFonts w:ascii="Arial" w:hAnsi="Arial" w:cs="Arial"/>
        <w:b/>
        <w:sz w:val="48"/>
      </w:rPr>
    </w:pPr>
    <w:r w:rsidRPr="00E95900">
      <w:rPr>
        <w:rFonts w:ascii="Arial" w:hAnsi="Arial" w:cs="Arial"/>
        <w:b/>
        <w:sz w:val="48"/>
      </w:rPr>
      <w:t>MT</w:t>
    </w:r>
    <w:r w:rsidRPr="00E95900">
      <w:rPr>
        <w:rFonts w:ascii="Arial" w:hAnsi="Arial" w:cs="Arial"/>
        <w:b/>
        <w:sz w:val="48"/>
      </w:rPr>
      <w:tab/>
    </w:r>
    <w:r w:rsidRPr="00E95900">
      <w:rPr>
        <w:rFonts w:ascii="Arial" w:hAnsi="Arial" w:cs="Arial"/>
        <w:b/>
        <w:sz w:val="48"/>
      </w:rPr>
      <w:tab/>
    </w:r>
    <w:r w:rsidRPr="00E95900">
      <w:tab/>
    </w:r>
    <w:r w:rsidRPr="00E95900">
      <w:rPr>
        <w:rFonts w:ascii="Arial" w:hAnsi="Arial" w:cs="Arial"/>
        <w:b/>
        <w:sz w:val="48"/>
      </w:rPr>
      <w:t>MT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CC8A6" w14:textId="77777777" w:rsidR="00E95900" w:rsidRPr="00E95900" w:rsidRDefault="00E95900" w:rsidP="00E9590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570A" w14:textId="77777777" w:rsidR="00A01175" w:rsidRDefault="00A01175">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BDB2D" w14:textId="364B9418" w:rsidR="00A01175" w:rsidRDefault="00A01175">
    <w:pPr>
      <w:pStyle w:val="FooterLine"/>
      <w:jc w:val="center"/>
    </w:pPr>
    <w:r>
      <w:fldChar w:fldCharType="begin"/>
    </w:r>
    <w:r>
      <w:instrText>PAGE   \* MERGEFORMAT</w:instrText>
    </w:r>
    <w:r>
      <w:fldChar w:fldCharType="separate"/>
    </w:r>
    <w:r w:rsidR="00E95900">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AB2EE" w14:textId="77777777" w:rsidR="00A01175" w:rsidRDefault="00A01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EB584" w14:textId="77777777" w:rsidR="00DE44C1" w:rsidRDefault="00DE44C1">
      <w:pPr>
        <w:spacing w:after="0"/>
      </w:pPr>
      <w:r>
        <w:separator/>
      </w:r>
    </w:p>
  </w:footnote>
  <w:footnote w:type="continuationSeparator" w:id="0">
    <w:p w14:paraId="41128AD2" w14:textId="77777777" w:rsidR="00DE44C1" w:rsidRDefault="00DE44C1">
      <w:pPr>
        <w:spacing w:after="0"/>
      </w:pPr>
      <w:r>
        <w:continuationSeparator/>
      </w:r>
    </w:p>
  </w:footnote>
  <w:footnote w:type="continuationNotice" w:id="1">
    <w:p w14:paraId="49B9DF54" w14:textId="77777777" w:rsidR="00DE44C1" w:rsidRDefault="00DE44C1">
      <w:pPr>
        <w:spacing w:after="0"/>
      </w:pPr>
    </w:p>
  </w:footnote>
  <w:footnote w:id="2">
    <w:p w14:paraId="3CAEE203" w14:textId="77777777" w:rsidR="00422AC0" w:rsidRPr="00C3259C" w:rsidRDefault="00781345" w:rsidP="003A1F10">
      <w:pPr>
        <w:pStyle w:val="FootnoteText"/>
        <w:spacing w:after="0"/>
        <w:ind w:left="720" w:hanging="720"/>
      </w:pPr>
      <w:r>
        <w:rPr>
          <w:vertAlign w:val="superscript"/>
        </w:rPr>
        <w:t>1</w:t>
      </w:r>
      <w:r>
        <w:rPr>
          <w:vertAlign w:val="superscript"/>
        </w:rPr>
        <w:tab/>
      </w:r>
      <w:r>
        <w:t>ĠU L 53, 23.2.2002, p. 1.</w:t>
      </w:r>
    </w:p>
  </w:footnote>
  <w:footnote w:id="3">
    <w:p w14:paraId="1C216FA0" w14:textId="77777777" w:rsidR="00422AC0" w:rsidRPr="00AE3223" w:rsidRDefault="00781345" w:rsidP="003A1F10">
      <w:pPr>
        <w:pStyle w:val="FootnoteText"/>
        <w:spacing w:after="0"/>
        <w:ind w:left="720" w:hanging="720"/>
      </w:pPr>
      <w:r>
        <w:rPr>
          <w:vertAlign w:val="superscript"/>
        </w:rPr>
        <w:t>2</w:t>
      </w:r>
      <w:r>
        <w:rPr>
          <w:vertAlign w:val="superscript"/>
        </w:rPr>
        <w:tab/>
      </w:r>
      <w:r>
        <w:t>COM(2017) 459 final, 30.8.2017.</w:t>
      </w:r>
    </w:p>
  </w:footnote>
  <w:footnote w:id="4">
    <w:p w14:paraId="49C3FB21" w14:textId="77777777" w:rsidR="00781345" w:rsidRDefault="00781345" w:rsidP="003A1F10">
      <w:pPr>
        <w:pStyle w:val="FootnoteText"/>
        <w:spacing w:after="0"/>
        <w:ind w:left="720" w:hanging="720"/>
      </w:pPr>
      <w:r>
        <w:rPr>
          <w:vertAlign w:val="superscript"/>
        </w:rPr>
        <w:t xml:space="preserve">3 </w:t>
      </w:r>
      <w:r>
        <w:t xml:space="preserve">     </w:t>
      </w:r>
      <w:r>
        <w:tab/>
        <w:t xml:space="preserve">Il-Konklużjonijiet tal-Kunsill tal-10 ta’ Novembru 2017, disponibbli fuq: </w:t>
      </w:r>
    </w:p>
    <w:p w14:paraId="7E860F0E" w14:textId="77777777" w:rsidR="00422AC0" w:rsidRPr="008E74FA" w:rsidRDefault="00E95900" w:rsidP="003A1F10">
      <w:pPr>
        <w:pStyle w:val="FootnoteText"/>
        <w:spacing w:after="0"/>
        <w:ind w:left="720" w:firstLine="0"/>
      </w:pPr>
      <w:hyperlink r:id="rId1" w:history="1">
        <w:r w:rsidR="00B64AE5">
          <w:rPr>
            <w:rStyle w:val="Hyperlink"/>
            <w:color w:val="auto"/>
          </w:rPr>
          <w:t>https://data.consilium.europa.eu/doc/document/ST-14201-2017-INIT/mt/pdf</w:t>
        </w:r>
      </w:hyperlink>
      <w:r w:rsidR="00B64AE5">
        <w:t>.</w:t>
      </w:r>
    </w:p>
  </w:footnote>
  <w:footnote w:id="5">
    <w:p w14:paraId="77FC85C4" w14:textId="77777777" w:rsidR="00422AC0" w:rsidRPr="00294DE9" w:rsidRDefault="00781345" w:rsidP="003A1F10">
      <w:pPr>
        <w:pStyle w:val="FootnoteText"/>
        <w:spacing w:after="0"/>
        <w:ind w:left="720" w:hanging="720"/>
      </w:pPr>
      <w:r>
        <w:rPr>
          <w:vertAlign w:val="superscript"/>
        </w:rPr>
        <w:t>4</w:t>
      </w:r>
      <w:r>
        <w:rPr>
          <w:vertAlign w:val="superscript"/>
        </w:rPr>
        <w:tab/>
      </w:r>
      <w:r>
        <w:t>Stabbilita fl-2010.</w:t>
      </w:r>
    </w:p>
  </w:footnote>
  <w:footnote w:id="6">
    <w:p w14:paraId="2DA4AFCF" w14:textId="77777777" w:rsidR="00422AC0" w:rsidRPr="00294DE9" w:rsidRDefault="00781345" w:rsidP="003A1F10">
      <w:pPr>
        <w:pStyle w:val="FootnoteText"/>
        <w:spacing w:after="0"/>
        <w:ind w:left="720" w:hanging="720"/>
      </w:pPr>
      <w:r>
        <w:rPr>
          <w:vertAlign w:val="superscript"/>
        </w:rPr>
        <w:t xml:space="preserve">5 </w:t>
      </w:r>
      <w:r>
        <w:t xml:space="preserve">     </w:t>
      </w:r>
      <w:r>
        <w:tab/>
        <w:t>Stabbilit fl-2012.</w:t>
      </w:r>
    </w:p>
  </w:footnote>
  <w:footnote w:id="7">
    <w:p w14:paraId="21F95891" w14:textId="1681D6E4" w:rsidR="00422AC0" w:rsidRPr="00BD5961" w:rsidRDefault="00781345" w:rsidP="001A7D59">
      <w:pPr>
        <w:pStyle w:val="FootnoteText"/>
        <w:spacing w:after="0"/>
        <w:ind w:left="720" w:hanging="720"/>
      </w:pPr>
      <w:r>
        <w:rPr>
          <w:vertAlign w:val="superscript"/>
        </w:rPr>
        <w:t>6</w:t>
      </w:r>
      <w:r>
        <w:rPr>
          <w:vertAlign w:val="superscript"/>
        </w:rPr>
        <w:tab/>
      </w:r>
      <w:r>
        <w:t>Attwalment, seba’ Stati Membri jaqgħu f’din il-kategorija: il-Bulgarija, id-Danimarka, iċ-Ċekja, l-Ungerija, il-Polonja, ir-Rumanija u l-Iżvezja; Id-Danimarka u l-Bulgarija jipparteċipaw fl-ERM II. Wara deċiżjoni tal-Kunsill fit-12 ta’ Lulju 2022, il-Kroazja ssieħbet fiż-żona tal-euro fl-1 ta’ Jannar 2023.</w:t>
      </w:r>
    </w:p>
  </w:footnote>
  <w:footnote w:id="8">
    <w:p w14:paraId="75C76746" w14:textId="77777777" w:rsidR="00422AC0" w:rsidRPr="00BD5961" w:rsidRDefault="00781345" w:rsidP="001A7D59">
      <w:pPr>
        <w:pStyle w:val="Heading1"/>
        <w:numPr>
          <w:ilvl w:val="0"/>
          <w:numId w:val="0"/>
        </w:numPr>
        <w:shd w:val="clear" w:color="auto" w:fill="FFFFFF"/>
        <w:spacing w:before="0" w:after="0"/>
        <w:ind w:left="720" w:hanging="720"/>
        <w:rPr>
          <w:b w:val="0"/>
          <w:smallCaps w:val="0"/>
          <w:sz w:val="20"/>
        </w:rPr>
      </w:pPr>
      <w:r>
        <w:rPr>
          <w:b w:val="0"/>
          <w:smallCaps w:val="0"/>
          <w:sz w:val="20"/>
          <w:vertAlign w:val="superscript"/>
        </w:rPr>
        <w:t>7</w:t>
      </w:r>
      <w:r>
        <w:rPr>
          <w:b w:val="0"/>
          <w:smallCaps w:val="0"/>
          <w:sz w:val="20"/>
          <w:vertAlign w:val="superscript"/>
        </w:rPr>
        <w:tab/>
        <w:t xml:space="preserve"> </w:t>
      </w:r>
      <w:r>
        <w:rPr>
          <w:b w:val="0"/>
          <w:smallCaps w:val="0"/>
          <w:sz w:val="20"/>
        </w:rPr>
        <w:t>Dikjarazzjoni tal-Grupp tal-Euro f’format inklużiv dwar ir-riforma tal-MES u l-introduzzjoni bikrija tal-garanzija ta’ kontinġenza għall-Fond Uniku ta’ Riżoluzzjoni, 30 ta’ Novembru 2020.</w:t>
      </w:r>
    </w:p>
  </w:footnote>
  <w:footnote w:id="9">
    <w:p w14:paraId="7DD1D5E5" w14:textId="77777777" w:rsidR="00422AC0" w:rsidRPr="00053654" w:rsidRDefault="00422AC0" w:rsidP="001A7D59">
      <w:pPr>
        <w:pStyle w:val="FootnoteText"/>
        <w:spacing w:after="0"/>
        <w:ind w:left="720" w:hanging="720"/>
      </w:pPr>
      <w:r>
        <w:rPr>
          <w:rStyle w:val="FootnoteReference"/>
        </w:rPr>
        <w:footnoteRef/>
      </w:r>
      <w:r>
        <w:t xml:space="preserve">   Il-Latvja għamlet pagament ta’ mgħax ta’ EUR 5.8 miljun fl-20 ta’ Ottubru 2020.</w:t>
      </w:r>
    </w:p>
  </w:footnote>
  <w:footnote w:id="10">
    <w:p w14:paraId="7607C0ED" w14:textId="77777777" w:rsidR="00422AC0" w:rsidRPr="00BD5961" w:rsidRDefault="00422AC0" w:rsidP="001A7D59">
      <w:pPr>
        <w:pStyle w:val="FootnoteText"/>
        <w:spacing w:after="0"/>
        <w:ind w:left="720" w:hanging="720"/>
      </w:pPr>
      <w:r>
        <w:rPr>
          <w:rStyle w:val="FootnoteReference"/>
        </w:rPr>
        <w:footnoteRef/>
      </w:r>
      <w:r>
        <w:t xml:space="preserve">   </w:t>
      </w:r>
      <w:r>
        <w:tab/>
        <w:t xml:space="preserve">Din iċ-ċifra ma tinkludix il-Kroazja li ssieħbet fiż-żona tal-euro f’Jannar 2023. </w:t>
      </w:r>
    </w:p>
  </w:footnote>
  <w:footnote w:id="11">
    <w:p w14:paraId="2281455A" w14:textId="0E1D9869" w:rsidR="00422AC0" w:rsidRPr="00294DE9" w:rsidRDefault="00422AC0" w:rsidP="001A7D59">
      <w:pPr>
        <w:pStyle w:val="FootnoteText"/>
        <w:spacing w:after="0"/>
        <w:ind w:left="720" w:hanging="720"/>
      </w:pPr>
      <w:r>
        <w:rPr>
          <w:rStyle w:val="FootnoteReference"/>
        </w:rPr>
        <w:footnoteRef/>
      </w:r>
      <w:r>
        <w:t xml:space="preserve"> </w:t>
      </w:r>
      <w:r>
        <w:tab/>
        <w:t xml:space="preserve">Hemm tekniki differenti disponibbli għall-Kummissjoni biex taċċessa l-finanzjament tas-swieq kapitali, li jvarjaw fil-flessibbiltà: (i) finanzjament back-to-back, fejn l-operazzjonijiet ta’ għoti u teħid b’self ikollhom l-istess data tal-valur; (ii) finanzjament b’antiċipazzjoni ta’ żborżi aktar tard; u (iii) strateġija ta’ finanzjament diversifikata li tippermetti lill-Kummissjoni toħroġ skont il-kundizzjonijiet tas-suq, tiġbor ir-rikavati minn ġabra ta’ finanzjament ċentrali, u sussegwentement talloka l-fondi għall-programm deżinjat fi kwalunkwe ħin.  </w:t>
      </w:r>
    </w:p>
  </w:footnote>
  <w:footnote w:id="12">
    <w:p w14:paraId="544E4DE8" w14:textId="206CB4BC" w:rsidR="00422AC0" w:rsidRPr="003A1F10" w:rsidRDefault="00422AC0" w:rsidP="001A7D59">
      <w:pPr>
        <w:pStyle w:val="FootnoteText"/>
        <w:spacing w:after="0"/>
        <w:ind w:left="720" w:hanging="720"/>
      </w:pPr>
      <w:r>
        <w:rPr>
          <w:vertAlign w:val="superscript"/>
        </w:rPr>
        <w:footnoteRef/>
      </w:r>
      <w:r>
        <w:t xml:space="preserve"> </w:t>
      </w:r>
      <w:r>
        <w:tab/>
        <w:t>Bħal dejn tal-gvern ġenerali sostenibbli, ir-rispett tal-impenji skont il-proċedura ta’ żbilanċ eċċessiv (EIP), rekord ta’ aċċess għas-swieq kapitali internazzjonali b’termini raġonevoli, pożizzjoni esterna sostenibbli, u nuqqas ta’ kwistjonijiet ta’ solvenza bankarja li joħolqu theddida sistematika għas-sistema bankarja taż-żona tal-euro.</w:t>
      </w:r>
    </w:p>
  </w:footnote>
  <w:footnote w:id="13">
    <w:p w14:paraId="5B0FB0AB" w14:textId="38788D31" w:rsidR="00422AC0" w:rsidRPr="00821EF9" w:rsidRDefault="00422AC0" w:rsidP="001A7D59">
      <w:pPr>
        <w:pStyle w:val="FootnoteText"/>
        <w:spacing w:after="0"/>
        <w:ind w:left="720" w:hanging="720"/>
      </w:pPr>
      <w:r>
        <w:rPr>
          <w:rStyle w:val="FootnoteReference"/>
        </w:rPr>
        <w:footnoteRef/>
      </w:r>
      <w:r>
        <w:tab/>
        <w:t xml:space="preserve">Aċċess kontinwu għal PCCL ma jkunx kondizzjonali fuq l-implimentazzjoni ta’ miżuri korrettivi f’konformità mas-sorveljanza msaħħa.  </w:t>
      </w:r>
    </w:p>
  </w:footnote>
  <w:footnote w:id="14">
    <w:p w14:paraId="03F985D6" w14:textId="572A40DA" w:rsidR="00422AC0" w:rsidRPr="00294DE9" w:rsidRDefault="00422AC0" w:rsidP="001A7D59">
      <w:pPr>
        <w:pStyle w:val="FootnoteText"/>
        <w:spacing w:after="0"/>
        <w:ind w:left="720" w:hanging="720"/>
      </w:pPr>
      <w:r>
        <w:rPr>
          <w:rStyle w:val="FootnoteReference"/>
          <w:sz w:val="22"/>
          <w:szCs w:val="22"/>
        </w:rPr>
        <w:footnoteRef/>
      </w:r>
      <w:r>
        <w:rPr>
          <w:sz w:val="22"/>
        </w:rPr>
        <w:tab/>
      </w:r>
      <w:bookmarkStart w:id="3" w:name="_Hlk124932453"/>
      <w:r>
        <w:t>Id-dispożizzjonijiet għas-sorveljanza ta’ wara l-programm għall-Istati Membri li mhumiex fiż-żona tal-euro ġew stabbiliti mill-KEF fl-2011, bl-aġġornament tal-“proċeduri tal-UE għall-għoti ta’ assistenza finanzjarja lill-Istati Membri tal-UE li mhumiex fiż-żona tal-euro”, magħruf komunement bħala l-“Green File”</w:t>
      </w:r>
      <w:bookmarkEnd w:id="3"/>
      <w:r>
        <w:t>.</w:t>
      </w:r>
    </w:p>
  </w:footnote>
  <w:footnote w:id="15">
    <w:p w14:paraId="169023EF" w14:textId="472CB5F0" w:rsidR="00422AC0" w:rsidRPr="00294DE9" w:rsidRDefault="00422AC0" w:rsidP="001A7D59">
      <w:pPr>
        <w:pStyle w:val="FootnoteText"/>
        <w:spacing w:after="0"/>
        <w:ind w:left="720" w:hanging="720"/>
      </w:pPr>
      <w:r>
        <w:rPr>
          <w:vertAlign w:val="superscript"/>
        </w:rPr>
        <w:footnoteRef/>
      </w:r>
      <w:r>
        <w:tab/>
        <w:t>Meta taħt programm ta’ aġġustament makroekonomiku (MAP), ir-Regolament (UE) Nru 472/2013 jeżenta lill-Istati Membri taż-żona tal-euro minn: (i) is-sottomissjoni ta’ programm ta’ stabbiltà skont l-Artikolu 3 tar-Regolament (KE) Nru 1466/97 li minflok jiġi integrat fil-MAP;  (ii) il-preżentazzjoni ta’ rapporti skont l-Artikolu 3(4a) u l-Artikolu 5(1a) tar-Regolament (KE) Nru 1467/97 meta jkunu soġġetti għal rakkomandazzjoni skont l-Artikolu 126(7) tat-TFUE jew ta’ deċiżjoni li jingħata avviż skont l-Artikolu 126(9) tat-TFUE għall-korrezzjoni ta’ defiċit eċċessiv: (iii) mir-Regolament (UE) Nru 1176/2011 dwar il-prevenzjoni u l-korrezzjoni tal-iżbilanċi makroekonomiċi; u (iv) mill-monitoraġġ u l-valutazzjoni tas-Semestru Ewropew għall-koordinazzjoni tal-politika ekonomika skont l-Artikolu 2-a tar-Regolament (KE) Nru 1466/97 għad-durata tal-MAP.</w:t>
      </w:r>
    </w:p>
  </w:footnote>
  <w:footnote w:id="16">
    <w:p w14:paraId="1F8EA75B" w14:textId="43394629" w:rsidR="00A435F9" w:rsidRPr="008E74FA" w:rsidRDefault="00422AC0" w:rsidP="00A435F9">
      <w:pPr>
        <w:pStyle w:val="FootnoteText"/>
        <w:spacing w:after="0"/>
        <w:ind w:left="720" w:hanging="720"/>
        <w:rPr>
          <w:sz w:val="18"/>
          <w:szCs w:val="18"/>
        </w:rPr>
      </w:pPr>
      <w:r>
        <w:rPr>
          <w:rStyle w:val="FootnoteReference"/>
        </w:rPr>
        <w:footnoteRef/>
      </w:r>
      <w:r>
        <w:t xml:space="preserve"> </w:t>
      </w:r>
      <w:r>
        <w:tab/>
        <w:t xml:space="preserve">Riżoluzzjoni tal-Parlament Ewropew tas-17 ta’ April 2013 dwar il-proposta għal regolament tal-Kunsill li jistabbilixxi faċilità biex tingħata għajnuna finanzjarja lill-Istati Membri li l-munita tagħhom mhix l-euro (2016/C 045/04) li jinsab fuq: </w:t>
      </w:r>
      <w:hyperlink r:id="rId2" w:history="1">
        <w:r>
          <w:rPr>
            <w:rStyle w:val="Hyperlink"/>
            <w:color w:val="auto"/>
          </w:rPr>
          <w:t>https://eur-lex.europa.eu/legal-content/MT/TXT/?uri=celex:52013IP0174</w:t>
        </w:r>
      </w:hyperlink>
      <w:r>
        <w:t>.</w:t>
      </w:r>
    </w:p>
  </w:footnote>
  <w:footnote w:id="17">
    <w:p w14:paraId="6D7B08D5" w14:textId="2C6BEB94" w:rsidR="00A56D19" w:rsidRPr="00A435F9" w:rsidRDefault="00A435F9" w:rsidP="00A435F9">
      <w:pPr>
        <w:pStyle w:val="FootnoteText"/>
        <w:ind w:left="709" w:hanging="851"/>
      </w:pPr>
      <w:r>
        <w:t xml:space="preserve">   </w:t>
      </w:r>
      <w:r>
        <w:rPr>
          <w:rStyle w:val="FootnoteReference"/>
        </w:rPr>
        <w:footnoteRef/>
      </w:r>
      <w:r>
        <w:t xml:space="preserve">           Id-Direttiva 2014/59/UE tal-Parlament Ewropew u tal-Kunsill tal-15 ta’ Mejju 2014 li tistabbilixxi qafas għall-irkupru u r-riżoluzzjoni ta’ istituzzjonijiet ta’ kreditu u ditti ta’ investiment u li temenda d-Direttiva tal-Kunsill 82/891/KEE u d-Direttivi 2001/24/KE, 2002/47/KE, 2004/25/KE, 2005/56/KE, 2007/36/KE, 2011/35/UE, 2012/30/UE u 2013/36/UE, u r-Regolamenti (UE) Nru 1093/2010 u (UE) Nru 648/2012, tal-Parlament Ewropew u tal-Kunsill Test b’relevanza għaż-ŻEE</w:t>
      </w:r>
    </w:p>
  </w:footnote>
  <w:footnote w:id="18">
    <w:p w14:paraId="240EBFCD" w14:textId="62B4F57A" w:rsidR="00422AC0" w:rsidRPr="00294DE9" w:rsidRDefault="00422AC0" w:rsidP="001A7D59">
      <w:pPr>
        <w:pStyle w:val="FootnoteText"/>
        <w:spacing w:after="0"/>
        <w:ind w:left="720" w:hanging="720"/>
      </w:pPr>
      <w:r>
        <w:rPr>
          <w:rStyle w:val="FootnoteReference"/>
        </w:rPr>
        <w:footnoteRef/>
      </w:r>
      <w:r>
        <w:rPr>
          <w:vertAlign w:val="superscript"/>
        </w:rPr>
        <w:tab/>
      </w:r>
      <w:r>
        <w:t>It-“ 2 pack” jinkludi r-Regolament (UE) Nru 473/2013 u r-Regolament (UE) Nru 472/2013.</w:t>
      </w:r>
    </w:p>
  </w:footnote>
  <w:footnote w:id="19">
    <w:p w14:paraId="64E0EF04" w14:textId="77777777" w:rsidR="00422AC0" w:rsidRDefault="00422AC0" w:rsidP="001A7D59">
      <w:pPr>
        <w:pStyle w:val="FootnoteText"/>
        <w:spacing w:after="0"/>
        <w:ind w:left="720" w:hanging="720"/>
      </w:pPr>
      <w:r>
        <w:rPr>
          <w:rStyle w:val="FootnoteReference"/>
        </w:rPr>
        <w:footnoteRef/>
      </w:r>
      <w:r>
        <w:t xml:space="preserve">  </w:t>
      </w:r>
      <w:r>
        <w:tab/>
        <w:t>Ir-Regolament (UE) 472/2013 tal-Parlament Ewropew u tal-Kunsill tal-21 ta' Mejju 2013 dwar it-tisħiħ tas-sorveljanza ekonomika u baġitarja tal-Istati Membri fiż-żona tal-euro li jesperjenzaw jew ikunu mhedda b’diffikultajiet gravi fir-rigward tal-istabbiltà finanzjarja tagħhom - ĠU L 140, 27.5.2013, p. 1.</w:t>
      </w:r>
    </w:p>
  </w:footnote>
  <w:footnote w:id="20">
    <w:p w14:paraId="243E5A9A" w14:textId="77777777" w:rsidR="00422AC0" w:rsidRPr="002A4C69" w:rsidRDefault="00422AC0" w:rsidP="001A7D59">
      <w:pPr>
        <w:pStyle w:val="FootnoteText"/>
        <w:spacing w:after="0"/>
        <w:ind w:left="720" w:hanging="720"/>
      </w:pPr>
      <w:r>
        <w:rPr>
          <w:rStyle w:val="FootnoteReference"/>
        </w:rPr>
        <w:footnoteRef/>
      </w:r>
      <w:r>
        <w:tab/>
        <w:t>Sakemm l-assistenza finanzjarja ma tkunx kondizzjonali fuq l-adozzjoni ta’ miżuri ta’ politika u tibqa’ mhux prelevata.</w:t>
      </w:r>
    </w:p>
  </w:footnote>
  <w:footnote w:id="21">
    <w:p w14:paraId="072679E0" w14:textId="77777777" w:rsidR="00422AC0" w:rsidRPr="007D1B9A" w:rsidRDefault="00422AC0" w:rsidP="001A7D59">
      <w:pPr>
        <w:pStyle w:val="FootnoteText"/>
        <w:spacing w:after="0"/>
        <w:ind w:left="720" w:hanging="720"/>
      </w:pPr>
      <w:r>
        <w:rPr>
          <w:rStyle w:val="FootnoteReference"/>
        </w:rPr>
        <w:footnoteRef/>
      </w:r>
      <w:r>
        <w:rPr>
          <w:vertAlign w:val="superscript"/>
        </w:rPr>
        <w:tab/>
      </w:r>
      <w:r>
        <w:t>Dan isir billi tiġi sospiża l-applikazzjoni tal-proċedura tal-iżbilanċi makroekonomiċi (MIP) skont ir-Regolament 1176/2011 u l-monitoraġġ u l-valutazzjoni tas-Semestru Ewropew sakemm l-Istat Membru kkonċernat ikun qed jimplimenta l-programm tiegħu.</w:t>
      </w:r>
    </w:p>
  </w:footnote>
  <w:footnote w:id="22">
    <w:p w14:paraId="6A1E3521" w14:textId="51813AD9" w:rsidR="00422AC0" w:rsidRPr="002D261E" w:rsidRDefault="00422AC0" w:rsidP="001A7D59">
      <w:pPr>
        <w:pStyle w:val="FootnoteText"/>
        <w:spacing w:after="0"/>
        <w:ind w:left="720" w:hanging="720"/>
      </w:pPr>
      <w:r>
        <w:rPr>
          <w:rStyle w:val="FootnoteReference"/>
        </w:rPr>
        <w:footnoteRef/>
      </w:r>
      <w:r>
        <w:rPr>
          <w:vertAlign w:val="superscript"/>
        </w:rPr>
        <w:tab/>
      </w:r>
      <w:r>
        <w:t>Id-dispożizzjonijiet għas-sorveljanza ta’ wara l-programm għall-Istati Membri li mhumiex fiż-żona tal-euro ġew stabbiliti mill-KEF fl-2011, bl-aġġornament tal-“proċeduri tal-UE għall-għoti ta’ assistenza finanzjarja lill-Istati Membri tal-UE li mhumiex fiż-żona tal-euro”, magħruf komunement bħala l-“Green File”.</w:t>
      </w:r>
    </w:p>
  </w:footnote>
  <w:footnote w:id="23">
    <w:p w14:paraId="23E91A04" w14:textId="65BB83ED" w:rsidR="00773C15" w:rsidRPr="0028340B" w:rsidRDefault="00773C15" w:rsidP="001A7D59">
      <w:pPr>
        <w:pStyle w:val="FootnoteText"/>
        <w:spacing w:after="0"/>
        <w:ind w:left="720" w:hanging="720"/>
      </w:pPr>
      <w:r>
        <w:rPr>
          <w:rStyle w:val="FootnoteReference"/>
        </w:rPr>
        <w:footnoteRef/>
      </w:r>
      <w:r>
        <w:tab/>
        <w:t>Ara COM (2022) 583 final “Komunikazzjoni tal-Kummissjoni lill-Parlament Ewropew, lill-Kunsill, lill-Bank Ċentrali Ewropew, lill-Kumitat Ekonomiku u Soċjali Ewropew u lill-Kumitat tar-Reġjuni:  Komunikazzjoni dwar l-orjentazzjonijiet għal riforma tal-qafas tal-governanza ekonomika tal-UE”.</w:t>
      </w:r>
    </w:p>
  </w:footnote>
  <w:footnote w:id="24">
    <w:p w14:paraId="4097DBED" w14:textId="77777777" w:rsidR="00422AC0" w:rsidRDefault="00422AC0" w:rsidP="00612A53">
      <w:pPr>
        <w:pStyle w:val="FootnoteText"/>
        <w:spacing w:after="0"/>
        <w:ind w:left="720" w:hanging="720"/>
      </w:pPr>
      <w:r>
        <w:rPr>
          <w:rStyle w:val="FootnoteReference"/>
        </w:rPr>
        <w:footnoteRef/>
      </w:r>
      <w:r>
        <w:t xml:space="preserve">  </w:t>
      </w:r>
      <w:r>
        <w:tab/>
        <w:t>Ir-Regolament (UE, Euratom) 2018/1046 tal-Parlament Ewropew u tal-Kunsill tat-18 ta’ Lulju 2018 dwar ir-regoli finanzjarji applikabbli għall-baġit ġenerali tal-Unjoni, li jemenda r-Regolamenti (UE) Nru 1296/2013, (UE) Nru 1301/2013, (UE) Nru 1303/2013, (UE) Nru 1304/2013, (UE) Nru 1309/2013, (UE) Nru 1316/2013, (UE) Nru 223/2014, (UE) Nru 283/2014, u d-Deċiżjoni Nru 541/2014/UE u li jħassar ir-Regolament (UE, Euratom) Nru 966/2012 - ĠU L 193, 30.7.2018, p. 1.</w:t>
      </w:r>
    </w:p>
  </w:footnote>
  <w:footnote w:id="25">
    <w:p w14:paraId="1CDCF016" w14:textId="77777777" w:rsidR="00EE5793" w:rsidRPr="00EE5793" w:rsidRDefault="00EE5793" w:rsidP="00EE5793">
      <w:pPr>
        <w:pStyle w:val="FootnoteText"/>
        <w:ind w:left="709" w:hanging="709"/>
      </w:pPr>
      <w:r>
        <w:rPr>
          <w:rStyle w:val="FootnoteReference"/>
        </w:rPr>
        <w:footnoteRef/>
      </w:r>
      <w:r>
        <w:tab/>
        <w:t>Id-Deċiżjoni tal-Kunsill (UE, Euratom) 2020/2053 tal-14 ta’ Diċembru 2020 dwar is-sistema tar-riżorsi proprji tal-Unjoni Ewropea u li tħassar id-Deċiżjoni 2014/335/UE, Euratom (ĠU L 424, 15.12.2020,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BC73B" w14:textId="77777777" w:rsidR="00E95900" w:rsidRPr="00E95900" w:rsidRDefault="00E95900" w:rsidP="00E9590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F683D" w14:textId="77777777" w:rsidR="00E95900" w:rsidRPr="00E95900" w:rsidRDefault="00E95900" w:rsidP="00E9590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7F3E5" w14:textId="77777777" w:rsidR="00E95900" w:rsidRPr="00E95900" w:rsidRDefault="00E95900" w:rsidP="00E9590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DAB4" w14:textId="77777777" w:rsidR="00A01175" w:rsidRDefault="00A01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A8896" w14:textId="77777777" w:rsidR="00A01175" w:rsidRDefault="00A011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A9D4" w14:textId="77777777" w:rsidR="00A01175" w:rsidRDefault="00A01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417"/>
    <w:multiLevelType w:val="hybridMultilevel"/>
    <w:tmpl w:val="304E7B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A2900F7"/>
    <w:multiLevelType w:val="multilevel"/>
    <w:tmpl w:val="CCE03E8E"/>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2494B1C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AED22A7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7C62617A"/>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53CE650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F86A03"/>
    <w:multiLevelType w:val="hybridMultilevel"/>
    <w:tmpl w:val="450AEA2A"/>
    <w:lvl w:ilvl="0" w:tplc="FDA68396">
      <w:start w:val="1"/>
      <w:numFmt w:val="decimal"/>
      <w:lvlText w:val="%1"/>
      <w:lvlJc w:val="left"/>
      <w:pPr>
        <w:ind w:left="360" w:hanging="360"/>
      </w:pPr>
      <w:rPr>
        <w:rFonts w:ascii="Times New Roman" w:eastAsia="Times New Roman" w:hAnsi="Times New Roman" w:cs="Times New Roman"/>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43D0A16"/>
    <w:multiLevelType w:val="multilevel"/>
    <w:tmpl w:val="68EC92F2"/>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72F0AC5"/>
    <w:multiLevelType w:val="multilevel"/>
    <w:tmpl w:val="EF9493E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592E9480"/>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1015063"/>
    <w:multiLevelType w:val="hybridMultilevel"/>
    <w:tmpl w:val="451E18EC"/>
    <w:lvl w:ilvl="0" w:tplc="70CE16C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607B53"/>
    <w:multiLevelType w:val="hybridMultilevel"/>
    <w:tmpl w:val="68FA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DE866638"/>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E992406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2D7E97B8"/>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DE2B6D"/>
    <w:multiLevelType w:val="hybridMultilevel"/>
    <w:tmpl w:val="5F0E2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066278"/>
    <w:multiLevelType w:val="hybridMultilevel"/>
    <w:tmpl w:val="BD284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4097A"/>
    <w:multiLevelType w:val="hybridMultilevel"/>
    <w:tmpl w:val="1A70B0D6"/>
    <w:lvl w:ilvl="0" w:tplc="7AAC76DA">
      <w:start w:val="1"/>
      <w:numFmt w:val="decimal"/>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5960A12"/>
    <w:multiLevelType w:val="hybridMultilevel"/>
    <w:tmpl w:val="0AC6BFB4"/>
    <w:lvl w:ilvl="0" w:tplc="18090001">
      <w:start w:val="1"/>
      <w:numFmt w:val="bullet"/>
      <w:lvlText w:val=""/>
      <w:lvlJc w:val="left"/>
      <w:pPr>
        <w:ind w:left="1065" w:hanging="360"/>
      </w:pPr>
      <w:rPr>
        <w:rFonts w:ascii="Symbol" w:hAnsi="Symbol" w:hint="default"/>
      </w:rPr>
    </w:lvl>
    <w:lvl w:ilvl="1" w:tplc="18090003" w:tentative="1">
      <w:start w:val="1"/>
      <w:numFmt w:val="bullet"/>
      <w:lvlText w:val="o"/>
      <w:lvlJc w:val="left"/>
      <w:pPr>
        <w:ind w:left="1785" w:hanging="360"/>
      </w:pPr>
      <w:rPr>
        <w:rFonts w:ascii="Courier New" w:hAnsi="Courier New" w:cs="Courier New" w:hint="default"/>
      </w:rPr>
    </w:lvl>
    <w:lvl w:ilvl="2" w:tplc="18090005" w:tentative="1">
      <w:start w:val="1"/>
      <w:numFmt w:val="bullet"/>
      <w:lvlText w:val=""/>
      <w:lvlJc w:val="left"/>
      <w:pPr>
        <w:ind w:left="2505" w:hanging="360"/>
      </w:pPr>
      <w:rPr>
        <w:rFonts w:ascii="Wingdings" w:hAnsi="Wingdings" w:hint="default"/>
      </w:rPr>
    </w:lvl>
    <w:lvl w:ilvl="3" w:tplc="18090001" w:tentative="1">
      <w:start w:val="1"/>
      <w:numFmt w:val="bullet"/>
      <w:lvlText w:val=""/>
      <w:lvlJc w:val="left"/>
      <w:pPr>
        <w:ind w:left="3225" w:hanging="360"/>
      </w:pPr>
      <w:rPr>
        <w:rFonts w:ascii="Symbol" w:hAnsi="Symbol" w:hint="default"/>
      </w:rPr>
    </w:lvl>
    <w:lvl w:ilvl="4" w:tplc="18090003" w:tentative="1">
      <w:start w:val="1"/>
      <w:numFmt w:val="bullet"/>
      <w:lvlText w:val="o"/>
      <w:lvlJc w:val="left"/>
      <w:pPr>
        <w:ind w:left="3945" w:hanging="360"/>
      </w:pPr>
      <w:rPr>
        <w:rFonts w:ascii="Courier New" w:hAnsi="Courier New" w:cs="Courier New" w:hint="default"/>
      </w:rPr>
    </w:lvl>
    <w:lvl w:ilvl="5" w:tplc="18090005" w:tentative="1">
      <w:start w:val="1"/>
      <w:numFmt w:val="bullet"/>
      <w:lvlText w:val=""/>
      <w:lvlJc w:val="left"/>
      <w:pPr>
        <w:ind w:left="4665" w:hanging="360"/>
      </w:pPr>
      <w:rPr>
        <w:rFonts w:ascii="Wingdings" w:hAnsi="Wingdings" w:hint="default"/>
      </w:rPr>
    </w:lvl>
    <w:lvl w:ilvl="6" w:tplc="18090001" w:tentative="1">
      <w:start w:val="1"/>
      <w:numFmt w:val="bullet"/>
      <w:lvlText w:val=""/>
      <w:lvlJc w:val="left"/>
      <w:pPr>
        <w:ind w:left="5385" w:hanging="360"/>
      </w:pPr>
      <w:rPr>
        <w:rFonts w:ascii="Symbol" w:hAnsi="Symbol" w:hint="default"/>
      </w:rPr>
    </w:lvl>
    <w:lvl w:ilvl="7" w:tplc="18090003" w:tentative="1">
      <w:start w:val="1"/>
      <w:numFmt w:val="bullet"/>
      <w:lvlText w:val="o"/>
      <w:lvlJc w:val="left"/>
      <w:pPr>
        <w:ind w:left="6105" w:hanging="360"/>
      </w:pPr>
      <w:rPr>
        <w:rFonts w:ascii="Courier New" w:hAnsi="Courier New" w:cs="Courier New" w:hint="default"/>
      </w:rPr>
    </w:lvl>
    <w:lvl w:ilvl="8" w:tplc="18090005" w:tentative="1">
      <w:start w:val="1"/>
      <w:numFmt w:val="bullet"/>
      <w:lvlText w:val=""/>
      <w:lvlJc w:val="left"/>
      <w:pPr>
        <w:ind w:left="6825" w:hanging="360"/>
      </w:pPr>
      <w:rPr>
        <w:rFonts w:ascii="Wingdings" w:hAnsi="Wingdings" w:hint="default"/>
      </w:rPr>
    </w:lvl>
  </w:abstractNum>
  <w:abstractNum w:abstractNumId="19" w15:restartNumberingAfterBreak="0">
    <w:nsid w:val="36324F1E"/>
    <w:multiLevelType w:val="multilevel"/>
    <w:tmpl w:val="4E2A3046"/>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7CB1E1C"/>
    <w:multiLevelType w:val="multilevel"/>
    <w:tmpl w:val="7F1CC62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A7730C4"/>
    <w:multiLevelType w:val="multilevel"/>
    <w:tmpl w:val="D3CE239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CEF58FA"/>
    <w:multiLevelType w:val="hybridMultilevel"/>
    <w:tmpl w:val="304E7B60"/>
    <w:lvl w:ilvl="0" w:tplc="71CACEC8">
      <w:start w:val="1"/>
      <w:numFmt w:val="decimal"/>
      <w:lvlText w:val="%1."/>
      <w:lvlJc w:val="left"/>
      <w:pPr>
        <w:ind w:left="720" w:hanging="360"/>
      </w:pPr>
      <w:rPr>
        <w:b/>
        <w:bCs w:val="0"/>
      </w:rPr>
    </w:lvl>
    <w:lvl w:ilvl="1" w:tplc="64A0C184">
      <w:start w:val="1"/>
      <w:numFmt w:val="lowerLetter"/>
      <w:lvlText w:val="%2."/>
      <w:lvlJc w:val="left"/>
      <w:pPr>
        <w:ind w:left="1440" w:hanging="360"/>
      </w:pPr>
    </w:lvl>
    <w:lvl w:ilvl="2" w:tplc="5BAE8666">
      <w:start w:val="1"/>
      <w:numFmt w:val="lowerRoman"/>
      <w:lvlText w:val="%3."/>
      <w:lvlJc w:val="right"/>
      <w:pPr>
        <w:ind w:left="2160" w:hanging="180"/>
      </w:pPr>
    </w:lvl>
    <w:lvl w:ilvl="3" w:tplc="84D41EA0">
      <w:start w:val="1"/>
      <w:numFmt w:val="decimal"/>
      <w:lvlText w:val="%4."/>
      <w:lvlJc w:val="left"/>
      <w:pPr>
        <w:ind w:left="2880" w:hanging="360"/>
      </w:pPr>
    </w:lvl>
    <w:lvl w:ilvl="4" w:tplc="23A02CF4">
      <w:start w:val="1"/>
      <w:numFmt w:val="lowerLetter"/>
      <w:lvlText w:val="%5."/>
      <w:lvlJc w:val="left"/>
      <w:pPr>
        <w:ind w:left="3600" w:hanging="360"/>
      </w:pPr>
    </w:lvl>
    <w:lvl w:ilvl="5" w:tplc="E634FCD6">
      <w:start w:val="1"/>
      <w:numFmt w:val="lowerRoman"/>
      <w:lvlText w:val="%6."/>
      <w:lvlJc w:val="right"/>
      <w:pPr>
        <w:ind w:left="4320" w:hanging="180"/>
      </w:pPr>
    </w:lvl>
    <w:lvl w:ilvl="6" w:tplc="282810CA">
      <w:start w:val="1"/>
      <w:numFmt w:val="decimal"/>
      <w:lvlText w:val="%7."/>
      <w:lvlJc w:val="left"/>
      <w:pPr>
        <w:ind w:left="5040" w:hanging="360"/>
      </w:pPr>
    </w:lvl>
    <w:lvl w:ilvl="7" w:tplc="87347364">
      <w:start w:val="1"/>
      <w:numFmt w:val="lowerLetter"/>
      <w:lvlText w:val="%8."/>
      <w:lvlJc w:val="left"/>
      <w:pPr>
        <w:ind w:left="5760" w:hanging="360"/>
      </w:pPr>
    </w:lvl>
    <w:lvl w:ilvl="8" w:tplc="3EC0BBCC">
      <w:start w:val="1"/>
      <w:numFmt w:val="lowerRoman"/>
      <w:lvlText w:val="%9."/>
      <w:lvlJc w:val="right"/>
      <w:pPr>
        <w:ind w:left="6480" w:hanging="180"/>
      </w:pPr>
    </w:lvl>
  </w:abstractNum>
  <w:abstractNum w:abstractNumId="23" w15:restartNumberingAfterBreak="0">
    <w:nsid w:val="429E662A"/>
    <w:multiLevelType w:val="multilevel"/>
    <w:tmpl w:val="F558D2F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63DF"/>
    <w:multiLevelType w:val="multilevel"/>
    <w:tmpl w:val="22CAE0E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E1A982C"/>
    <w:multiLevelType w:val="multilevel"/>
    <w:tmpl w:val="CEB8E3C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619B"/>
    <w:multiLevelType w:val="multilevel"/>
    <w:tmpl w:val="FCA83C5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0729B52"/>
    <w:multiLevelType w:val="multilevel"/>
    <w:tmpl w:val="4FE0B8A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50DF54A4"/>
    <w:multiLevelType w:val="hybridMultilevel"/>
    <w:tmpl w:val="5CCEB2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977472E"/>
    <w:multiLevelType w:val="multilevel"/>
    <w:tmpl w:val="BA34FF7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72A16C8B"/>
    <w:multiLevelType w:val="hybridMultilevel"/>
    <w:tmpl w:val="BB3EF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9853138"/>
    <w:multiLevelType w:val="hybridMultilevel"/>
    <w:tmpl w:val="64347AC4"/>
    <w:lvl w:ilvl="0" w:tplc="53FE923C">
      <w:start w:val="1"/>
      <w:numFmt w:val="lowerRoman"/>
      <w:lvlText w:val="%1."/>
      <w:lvlJc w:val="right"/>
      <w:pPr>
        <w:ind w:left="720" w:hanging="360"/>
      </w:pPr>
      <w:rPr>
        <w:rFonts w:ascii="Times New Roman" w:hAnsi="Times New Roman" w:cs="Times New Roman" w:hint="default"/>
        <w:b w:val="0"/>
        <w:bCs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AFE3ABC"/>
    <w:multiLevelType w:val="hybridMultilevel"/>
    <w:tmpl w:val="F8A0DB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C65145E"/>
    <w:multiLevelType w:val="multilevel"/>
    <w:tmpl w:val="C692661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9"/>
  </w:num>
  <w:num w:numId="3">
    <w:abstractNumId w:val="9"/>
  </w:num>
  <w:num w:numId="4">
    <w:abstractNumId w:val="20"/>
  </w:num>
  <w:num w:numId="5">
    <w:abstractNumId w:val="26"/>
  </w:num>
  <w:num w:numId="6">
    <w:abstractNumId w:val="29"/>
  </w:num>
  <w:num w:numId="7">
    <w:abstractNumId w:val="2"/>
  </w:num>
  <w:num w:numId="8">
    <w:abstractNumId w:val="8"/>
  </w:num>
  <w:num w:numId="9">
    <w:abstractNumId w:val="23"/>
  </w:num>
  <w:num w:numId="10">
    <w:abstractNumId w:val="3"/>
  </w:num>
  <w:num w:numId="11">
    <w:abstractNumId w:val="5"/>
  </w:num>
  <w:num w:numId="12">
    <w:abstractNumId w:val="7"/>
  </w:num>
  <w:num w:numId="13">
    <w:abstractNumId w:val="12"/>
  </w:num>
  <w:num w:numId="14">
    <w:abstractNumId w:val="21"/>
  </w:num>
  <w:num w:numId="15">
    <w:abstractNumId w:val="25"/>
  </w:num>
  <w:num w:numId="16">
    <w:abstractNumId w:val="33"/>
  </w:num>
  <w:num w:numId="17">
    <w:abstractNumId w:val="13"/>
  </w:num>
  <w:num w:numId="18">
    <w:abstractNumId w:val="14"/>
  </w:num>
  <w:num w:numId="19">
    <w:abstractNumId w:val="34"/>
  </w:num>
  <w:num w:numId="20">
    <w:abstractNumId w:val="24"/>
  </w:num>
  <w:num w:numId="21">
    <w:abstractNumId w:val="27"/>
  </w:num>
  <w:num w:numId="22">
    <w:abstractNumId w:val="4"/>
  </w:num>
  <w:num w:numId="23">
    <w:abstractNumId w:val="22"/>
  </w:num>
  <w:num w:numId="24">
    <w:abstractNumId w:val="11"/>
  </w:num>
  <w:num w:numId="25">
    <w:abstractNumId w:val="16"/>
  </w:num>
  <w:num w:numId="26">
    <w:abstractNumId w:val="10"/>
  </w:num>
  <w:num w:numId="27">
    <w:abstractNumId w:val="15"/>
  </w:num>
  <w:num w:numId="28">
    <w:abstractNumId w:val="28"/>
  </w:num>
  <w:num w:numId="29">
    <w:abstractNumId w:val="18"/>
  </w:num>
  <w:num w:numId="30">
    <w:abstractNumId w:val="33"/>
    <w:lvlOverride w:ilvl="0">
      <w:startOverride w:val="1"/>
    </w:lvlOverride>
  </w:num>
  <w:num w:numId="31">
    <w:abstractNumId w:val="0"/>
  </w:num>
  <w:num w:numId="32">
    <w:abstractNumId w:val="30"/>
  </w:num>
  <w:num w:numId="33">
    <w:abstractNumId w:val="17"/>
  </w:num>
  <w:num w:numId="34">
    <w:abstractNumId w:val="31"/>
  </w:num>
  <w:num w:numId="35">
    <w:abstractNumId w:val="3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6" w:nlCheck="1" w:checkStyle="0"/>
  <w:activeWritingStyle w:appName="MSWord" w:lang="en-IE" w:vendorID="64" w:dllVersion="6" w:nlCheck="1" w:checkStyle="1"/>
  <w:activeWritingStyle w:appName="MSWord" w:lang="en-IE"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92E79FA-1EA5-485B-A4D9-136A67373286"/>
    <w:docVar w:name="LW_COVERPAGE_TYPE" w:val="1"/>
    <w:docVar w:name="LW_CROSSREFERENCE" w:val="&lt;UNUSED&gt;"/>
    <w:docVar w:name="LW_DocType" w:val="EUROLOOK"/>
    <w:docVar w:name="LW_EMISSION" w:val="29.1.2024"/>
    <w:docVar w:name="LW_EMISSION_ISODATE" w:val="2024-01-29"/>
    <w:docVar w:name="LW_EMISSION_LOCATION" w:val="BRX"/>
    <w:docVar w:name="LW_EMISSION_PREFIX" w:val="Brussell, "/>
    <w:docVar w:name="LW_EMISSION_SUFFIX" w:val=" "/>
    <w:docVar w:name="LW_ID_DOCTYPE_NONLW" w:val="CP-004"/>
    <w:docVar w:name="LW_LANGUE" w:val="MT"/>
    <w:docVar w:name="LW_LEVEL_OF_SENSITIVITY" w:val="Standard treatmen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24) 4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pport dwar il-fa\u267?ilità tal-Unjoni Ewropea li tipprovdi assistenza finanzjarja ta\u8217? terminu medju g\u295?all-bilan\u267?i ta\u8217? pagament tal-Istati Membri skont l-Artikolu 10 tar-Regolament tal-Kunsill (KE) Nru 332/2002_x000d__x000d__x000b_"/>
    <w:docVar w:name="LW_TYPE.DOC.CP" w:val="RAPPORT TAL-KUMMISSJONI LILL-KUNSILL"/>
    <w:docVar w:name="LwApiVersions" w:val="LW4CoDe 1.24.4.0; LW 9.0, Build 20240109"/>
  </w:docVars>
  <w:rsids>
    <w:rsidRoot w:val="0081351E"/>
    <w:rsid w:val="00004BD5"/>
    <w:rsid w:val="0000564D"/>
    <w:rsid w:val="00011D4B"/>
    <w:rsid w:val="00011E05"/>
    <w:rsid w:val="00014328"/>
    <w:rsid w:val="0002290E"/>
    <w:rsid w:val="000270C5"/>
    <w:rsid w:val="000334C6"/>
    <w:rsid w:val="000356CA"/>
    <w:rsid w:val="00035A54"/>
    <w:rsid w:val="00046834"/>
    <w:rsid w:val="00050A78"/>
    <w:rsid w:val="0005316C"/>
    <w:rsid w:val="00054F6E"/>
    <w:rsid w:val="000558C3"/>
    <w:rsid w:val="00063B06"/>
    <w:rsid w:val="000678EB"/>
    <w:rsid w:val="00070147"/>
    <w:rsid w:val="000713D5"/>
    <w:rsid w:val="000734CC"/>
    <w:rsid w:val="00075187"/>
    <w:rsid w:val="00077B47"/>
    <w:rsid w:val="00084049"/>
    <w:rsid w:val="0008689B"/>
    <w:rsid w:val="00090A0E"/>
    <w:rsid w:val="000951E1"/>
    <w:rsid w:val="000A0600"/>
    <w:rsid w:val="000A65D6"/>
    <w:rsid w:val="000B647B"/>
    <w:rsid w:val="000B672A"/>
    <w:rsid w:val="000C0B3C"/>
    <w:rsid w:val="000C1B7D"/>
    <w:rsid w:val="000C1D7A"/>
    <w:rsid w:val="000C36F4"/>
    <w:rsid w:val="000D06A1"/>
    <w:rsid w:val="000D09F1"/>
    <w:rsid w:val="000D3920"/>
    <w:rsid w:val="000D39A6"/>
    <w:rsid w:val="000D6F8C"/>
    <w:rsid w:val="000E0CFD"/>
    <w:rsid w:val="000E0D40"/>
    <w:rsid w:val="000E4CB7"/>
    <w:rsid w:val="000E7C3A"/>
    <w:rsid w:val="000F469F"/>
    <w:rsid w:val="000F53AA"/>
    <w:rsid w:val="000F75A0"/>
    <w:rsid w:val="00105EB9"/>
    <w:rsid w:val="001073C0"/>
    <w:rsid w:val="00110939"/>
    <w:rsid w:val="00110D99"/>
    <w:rsid w:val="001131AA"/>
    <w:rsid w:val="00117D5B"/>
    <w:rsid w:val="00123DBC"/>
    <w:rsid w:val="00126F0C"/>
    <w:rsid w:val="00130B2A"/>
    <w:rsid w:val="001432CA"/>
    <w:rsid w:val="00156B14"/>
    <w:rsid w:val="00162BD5"/>
    <w:rsid w:val="00163DA6"/>
    <w:rsid w:val="00164BDC"/>
    <w:rsid w:val="001720DC"/>
    <w:rsid w:val="00177502"/>
    <w:rsid w:val="001775EC"/>
    <w:rsid w:val="00187DED"/>
    <w:rsid w:val="00196814"/>
    <w:rsid w:val="001A1479"/>
    <w:rsid w:val="001A670A"/>
    <w:rsid w:val="001A7D59"/>
    <w:rsid w:val="001B48B0"/>
    <w:rsid w:val="001C3D0A"/>
    <w:rsid w:val="001C4A58"/>
    <w:rsid w:val="001C4C41"/>
    <w:rsid w:val="001C5759"/>
    <w:rsid w:val="001D7159"/>
    <w:rsid w:val="001E0CA0"/>
    <w:rsid w:val="001E7D23"/>
    <w:rsid w:val="001F155B"/>
    <w:rsid w:val="001F33DB"/>
    <w:rsid w:val="001F6114"/>
    <w:rsid w:val="002026F0"/>
    <w:rsid w:val="002065EF"/>
    <w:rsid w:val="00210601"/>
    <w:rsid w:val="002111AC"/>
    <w:rsid w:val="0021142A"/>
    <w:rsid w:val="00212500"/>
    <w:rsid w:val="00213A79"/>
    <w:rsid w:val="0021427C"/>
    <w:rsid w:val="002150BF"/>
    <w:rsid w:val="00215FD8"/>
    <w:rsid w:val="00223EEB"/>
    <w:rsid w:val="0022790E"/>
    <w:rsid w:val="002353D5"/>
    <w:rsid w:val="00250D27"/>
    <w:rsid w:val="0025158C"/>
    <w:rsid w:val="0025190E"/>
    <w:rsid w:val="002528BD"/>
    <w:rsid w:val="0025312A"/>
    <w:rsid w:val="00253E76"/>
    <w:rsid w:val="00255FC6"/>
    <w:rsid w:val="002629A4"/>
    <w:rsid w:val="00263091"/>
    <w:rsid w:val="002635CA"/>
    <w:rsid w:val="00265032"/>
    <w:rsid w:val="00266B46"/>
    <w:rsid w:val="00266F7F"/>
    <w:rsid w:val="00277227"/>
    <w:rsid w:val="0028340B"/>
    <w:rsid w:val="00290A9E"/>
    <w:rsid w:val="00291714"/>
    <w:rsid w:val="00294DE9"/>
    <w:rsid w:val="00295782"/>
    <w:rsid w:val="0029695A"/>
    <w:rsid w:val="002A05D9"/>
    <w:rsid w:val="002A4C69"/>
    <w:rsid w:val="002B6C8C"/>
    <w:rsid w:val="002C0713"/>
    <w:rsid w:val="002C23E3"/>
    <w:rsid w:val="002C3022"/>
    <w:rsid w:val="002D1ADE"/>
    <w:rsid w:val="002D261E"/>
    <w:rsid w:val="002D2BD0"/>
    <w:rsid w:val="002D5BE4"/>
    <w:rsid w:val="002D5D6B"/>
    <w:rsid w:val="002D74DC"/>
    <w:rsid w:val="002D7ABE"/>
    <w:rsid w:val="002E6DE1"/>
    <w:rsid w:val="002F216D"/>
    <w:rsid w:val="002F3DE2"/>
    <w:rsid w:val="002F42C1"/>
    <w:rsid w:val="002F5BB9"/>
    <w:rsid w:val="0030073F"/>
    <w:rsid w:val="00301882"/>
    <w:rsid w:val="00302AD0"/>
    <w:rsid w:val="00305F5D"/>
    <w:rsid w:val="00312D52"/>
    <w:rsid w:val="00315034"/>
    <w:rsid w:val="003161AA"/>
    <w:rsid w:val="00321390"/>
    <w:rsid w:val="00326E5D"/>
    <w:rsid w:val="00330A26"/>
    <w:rsid w:val="00334471"/>
    <w:rsid w:val="00335704"/>
    <w:rsid w:val="00336253"/>
    <w:rsid w:val="0034345D"/>
    <w:rsid w:val="00344C8A"/>
    <w:rsid w:val="00346530"/>
    <w:rsid w:val="0035364F"/>
    <w:rsid w:val="00353C6E"/>
    <w:rsid w:val="00354B1A"/>
    <w:rsid w:val="00361303"/>
    <w:rsid w:val="00390DEB"/>
    <w:rsid w:val="00393534"/>
    <w:rsid w:val="003A1F10"/>
    <w:rsid w:val="003B0001"/>
    <w:rsid w:val="003B294B"/>
    <w:rsid w:val="003B306D"/>
    <w:rsid w:val="003B3B2B"/>
    <w:rsid w:val="003B7485"/>
    <w:rsid w:val="003C1A4C"/>
    <w:rsid w:val="003C2CC1"/>
    <w:rsid w:val="003C455C"/>
    <w:rsid w:val="003C6990"/>
    <w:rsid w:val="003D00C2"/>
    <w:rsid w:val="003D254D"/>
    <w:rsid w:val="003D4484"/>
    <w:rsid w:val="003D4EDB"/>
    <w:rsid w:val="003D757C"/>
    <w:rsid w:val="003E44FD"/>
    <w:rsid w:val="003E6FA1"/>
    <w:rsid w:val="003F0BF3"/>
    <w:rsid w:val="003F0D87"/>
    <w:rsid w:val="003F1D0A"/>
    <w:rsid w:val="003F1F88"/>
    <w:rsid w:val="003F22FB"/>
    <w:rsid w:val="003F76B8"/>
    <w:rsid w:val="00400754"/>
    <w:rsid w:val="00402CC8"/>
    <w:rsid w:val="00410369"/>
    <w:rsid w:val="00410AF2"/>
    <w:rsid w:val="00410EE5"/>
    <w:rsid w:val="004149F6"/>
    <w:rsid w:val="00415FB2"/>
    <w:rsid w:val="00417592"/>
    <w:rsid w:val="00421964"/>
    <w:rsid w:val="00422AC0"/>
    <w:rsid w:val="00426097"/>
    <w:rsid w:val="0042775A"/>
    <w:rsid w:val="00432ED5"/>
    <w:rsid w:val="004405CE"/>
    <w:rsid w:val="00441CBE"/>
    <w:rsid w:val="004451B9"/>
    <w:rsid w:val="004462E9"/>
    <w:rsid w:val="00450157"/>
    <w:rsid w:val="00450557"/>
    <w:rsid w:val="0045663A"/>
    <w:rsid w:val="00457827"/>
    <w:rsid w:val="00462536"/>
    <w:rsid w:val="004630A8"/>
    <w:rsid w:val="0047455A"/>
    <w:rsid w:val="00477C2B"/>
    <w:rsid w:val="004853F3"/>
    <w:rsid w:val="0048626E"/>
    <w:rsid w:val="00493F89"/>
    <w:rsid w:val="00496E8D"/>
    <w:rsid w:val="00496EFE"/>
    <w:rsid w:val="004A1435"/>
    <w:rsid w:val="004A5A71"/>
    <w:rsid w:val="004B770F"/>
    <w:rsid w:val="004B7F63"/>
    <w:rsid w:val="004C15F0"/>
    <w:rsid w:val="004C2CA0"/>
    <w:rsid w:val="004C6DDD"/>
    <w:rsid w:val="004D178B"/>
    <w:rsid w:val="004D3891"/>
    <w:rsid w:val="004E4896"/>
    <w:rsid w:val="004E60D1"/>
    <w:rsid w:val="004F482D"/>
    <w:rsid w:val="004F4977"/>
    <w:rsid w:val="004F517C"/>
    <w:rsid w:val="00500FFD"/>
    <w:rsid w:val="00501F93"/>
    <w:rsid w:val="005215BF"/>
    <w:rsid w:val="005221AA"/>
    <w:rsid w:val="005257B0"/>
    <w:rsid w:val="0053206C"/>
    <w:rsid w:val="00537DC8"/>
    <w:rsid w:val="0054048C"/>
    <w:rsid w:val="00542BD4"/>
    <w:rsid w:val="005448FE"/>
    <w:rsid w:val="00547D40"/>
    <w:rsid w:val="00551374"/>
    <w:rsid w:val="005577C4"/>
    <w:rsid w:val="005616B1"/>
    <w:rsid w:val="005657EC"/>
    <w:rsid w:val="00565B15"/>
    <w:rsid w:val="00565B99"/>
    <w:rsid w:val="00567DEA"/>
    <w:rsid w:val="00570C6B"/>
    <w:rsid w:val="00570DC9"/>
    <w:rsid w:val="00571E01"/>
    <w:rsid w:val="00574B84"/>
    <w:rsid w:val="0057532B"/>
    <w:rsid w:val="00580CE4"/>
    <w:rsid w:val="00581813"/>
    <w:rsid w:val="005828E3"/>
    <w:rsid w:val="00583AD8"/>
    <w:rsid w:val="005904D7"/>
    <w:rsid w:val="00590F69"/>
    <w:rsid w:val="00595EBB"/>
    <w:rsid w:val="00596CC4"/>
    <w:rsid w:val="00596DBB"/>
    <w:rsid w:val="005A1435"/>
    <w:rsid w:val="005A207D"/>
    <w:rsid w:val="005A2603"/>
    <w:rsid w:val="005A4DED"/>
    <w:rsid w:val="005A5C69"/>
    <w:rsid w:val="005B1FBE"/>
    <w:rsid w:val="005C461E"/>
    <w:rsid w:val="005E0F0D"/>
    <w:rsid w:val="005E6323"/>
    <w:rsid w:val="005E644C"/>
    <w:rsid w:val="005F1B42"/>
    <w:rsid w:val="005F60DF"/>
    <w:rsid w:val="005F6A96"/>
    <w:rsid w:val="006025DC"/>
    <w:rsid w:val="00605B40"/>
    <w:rsid w:val="00605B96"/>
    <w:rsid w:val="0061116E"/>
    <w:rsid w:val="00612779"/>
    <w:rsid w:val="00612A53"/>
    <w:rsid w:val="00624F47"/>
    <w:rsid w:val="00626DAD"/>
    <w:rsid w:val="006270DB"/>
    <w:rsid w:val="006423BC"/>
    <w:rsid w:val="00651E74"/>
    <w:rsid w:val="00653CE5"/>
    <w:rsid w:val="00667320"/>
    <w:rsid w:val="00671CC0"/>
    <w:rsid w:val="00677695"/>
    <w:rsid w:val="00685213"/>
    <w:rsid w:val="006854FE"/>
    <w:rsid w:val="00697111"/>
    <w:rsid w:val="00697FD9"/>
    <w:rsid w:val="006A0AB3"/>
    <w:rsid w:val="006B6D5C"/>
    <w:rsid w:val="006B7388"/>
    <w:rsid w:val="006B79BC"/>
    <w:rsid w:val="006C1C3B"/>
    <w:rsid w:val="006C323D"/>
    <w:rsid w:val="006C5516"/>
    <w:rsid w:val="006C5C20"/>
    <w:rsid w:val="006D3BF4"/>
    <w:rsid w:val="006D3D43"/>
    <w:rsid w:val="006D5AF4"/>
    <w:rsid w:val="006D71D6"/>
    <w:rsid w:val="006E10DA"/>
    <w:rsid w:val="006E1E44"/>
    <w:rsid w:val="006E2052"/>
    <w:rsid w:val="006E25AF"/>
    <w:rsid w:val="006F184E"/>
    <w:rsid w:val="006F4A14"/>
    <w:rsid w:val="006F510F"/>
    <w:rsid w:val="006F57EC"/>
    <w:rsid w:val="006F7D25"/>
    <w:rsid w:val="0070078D"/>
    <w:rsid w:val="007009A6"/>
    <w:rsid w:val="00705FCA"/>
    <w:rsid w:val="0071334E"/>
    <w:rsid w:val="00720BBF"/>
    <w:rsid w:val="00725146"/>
    <w:rsid w:val="00726648"/>
    <w:rsid w:val="0072693A"/>
    <w:rsid w:val="00742AAB"/>
    <w:rsid w:val="00744093"/>
    <w:rsid w:val="00745734"/>
    <w:rsid w:val="00751E28"/>
    <w:rsid w:val="007531AE"/>
    <w:rsid w:val="007531E5"/>
    <w:rsid w:val="00764F28"/>
    <w:rsid w:val="00766174"/>
    <w:rsid w:val="00770283"/>
    <w:rsid w:val="0077350C"/>
    <w:rsid w:val="00773965"/>
    <w:rsid w:val="00773C15"/>
    <w:rsid w:val="0078109F"/>
    <w:rsid w:val="00781345"/>
    <w:rsid w:val="007862A3"/>
    <w:rsid w:val="00787973"/>
    <w:rsid w:val="00791381"/>
    <w:rsid w:val="0079160A"/>
    <w:rsid w:val="00797611"/>
    <w:rsid w:val="007978E1"/>
    <w:rsid w:val="007A662D"/>
    <w:rsid w:val="007B1863"/>
    <w:rsid w:val="007C356E"/>
    <w:rsid w:val="007C4745"/>
    <w:rsid w:val="007C5483"/>
    <w:rsid w:val="007D31F2"/>
    <w:rsid w:val="007D45F3"/>
    <w:rsid w:val="007E1FE5"/>
    <w:rsid w:val="007E41CB"/>
    <w:rsid w:val="007E43EE"/>
    <w:rsid w:val="007E4669"/>
    <w:rsid w:val="007F07EA"/>
    <w:rsid w:val="007F2D7B"/>
    <w:rsid w:val="007F402F"/>
    <w:rsid w:val="007F4208"/>
    <w:rsid w:val="007F4DEE"/>
    <w:rsid w:val="007F732A"/>
    <w:rsid w:val="0081351E"/>
    <w:rsid w:val="00814FAE"/>
    <w:rsid w:val="00821EF9"/>
    <w:rsid w:val="00827546"/>
    <w:rsid w:val="00832145"/>
    <w:rsid w:val="008403F2"/>
    <w:rsid w:val="00847EB3"/>
    <w:rsid w:val="00850EEF"/>
    <w:rsid w:val="00851762"/>
    <w:rsid w:val="00852FA2"/>
    <w:rsid w:val="00857D96"/>
    <w:rsid w:val="00860A8C"/>
    <w:rsid w:val="00860AD3"/>
    <w:rsid w:val="00860D19"/>
    <w:rsid w:val="00862235"/>
    <w:rsid w:val="00865ACB"/>
    <w:rsid w:val="00866E04"/>
    <w:rsid w:val="0087067C"/>
    <w:rsid w:val="008715C8"/>
    <w:rsid w:val="00873EF7"/>
    <w:rsid w:val="008743DE"/>
    <w:rsid w:val="00874D91"/>
    <w:rsid w:val="008760A4"/>
    <w:rsid w:val="00880945"/>
    <w:rsid w:val="00884272"/>
    <w:rsid w:val="00897D62"/>
    <w:rsid w:val="008A1DC0"/>
    <w:rsid w:val="008A4B92"/>
    <w:rsid w:val="008A6846"/>
    <w:rsid w:val="008B167C"/>
    <w:rsid w:val="008B1A0F"/>
    <w:rsid w:val="008B361C"/>
    <w:rsid w:val="008C136A"/>
    <w:rsid w:val="008C257E"/>
    <w:rsid w:val="008C673D"/>
    <w:rsid w:val="008E5D38"/>
    <w:rsid w:val="008E74FA"/>
    <w:rsid w:val="008E751C"/>
    <w:rsid w:val="008E77D0"/>
    <w:rsid w:val="008F6333"/>
    <w:rsid w:val="008F6957"/>
    <w:rsid w:val="008F77EC"/>
    <w:rsid w:val="00901F89"/>
    <w:rsid w:val="00905521"/>
    <w:rsid w:val="009075DC"/>
    <w:rsid w:val="009116EC"/>
    <w:rsid w:val="009151C0"/>
    <w:rsid w:val="009259DF"/>
    <w:rsid w:val="00927073"/>
    <w:rsid w:val="0093055E"/>
    <w:rsid w:val="009351A5"/>
    <w:rsid w:val="009432ED"/>
    <w:rsid w:val="00946110"/>
    <w:rsid w:val="00951CCC"/>
    <w:rsid w:val="00952019"/>
    <w:rsid w:val="00952A80"/>
    <w:rsid w:val="00954164"/>
    <w:rsid w:val="009543AE"/>
    <w:rsid w:val="00960A4E"/>
    <w:rsid w:val="00961465"/>
    <w:rsid w:val="00967AF9"/>
    <w:rsid w:val="00970C2D"/>
    <w:rsid w:val="00982306"/>
    <w:rsid w:val="009841DE"/>
    <w:rsid w:val="00984541"/>
    <w:rsid w:val="009947DD"/>
    <w:rsid w:val="009A33E7"/>
    <w:rsid w:val="009A66AF"/>
    <w:rsid w:val="009A76EB"/>
    <w:rsid w:val="009B2461"/>
    <w:rsid w:val="009B444C"/>
    <w:rsid w:val="009C2214"/>
    <w:rsid w:val="009C7B1C"/>
    <w:rsid w:val="009D022C"/>
    <w:rsid w:val="009D2A20"/>
    <w:rsid w:val="009D575C"/>
    <w:rsid w:val="009E0A1A"/>
    <w:rsid w:val="009E1252"/>
    <w:rsid w:val="009E1D1D"/>
    <w:rsid w:val="009E325A"/>
    <w:rsid w:val="009E52CF"/>
    <w:rsid w:val="009E7C39"/>
    <w:rsid w:val="00A01175"/>
    <w:rsid w:val="00A02E83"/>
    <w:rsid w:val="00A07C8F"/>
    <w:rsid w:val="00A10268"/>
    <w:rsid w:val="00A1151D"/>
    <w:rsid w:val="00A116F4"/>
    <w:rsid w:val="00A12932"/>
    <w:rsid w:val="00A172CD"/>
    <w:rsid w:val="00A209A5"/>
    <w:rsid w:val="00A209A7"/>
    <w:rsid w:val="00A219C5"/>
    <w:rsid w:val="00A237B5"/>
    <w:rsid w:val="00A24328"/>
    <w:rsid w:val="00A24FAF"/>
    <w:rsid w:val="00A31D49"/>
    <w:rsid w:val="00A333A6"/>
    <w:rsid w:val="00A33D32"/>
    <w:rsid w:val="00A34937"/>
    <w:rsid w:val="00A4149F"/>
    <w:rsid w:val="00A435F9"/>
    <w:rsid w:val="00A5106A"/>
    <w:rsid w:val="00A52B21"/>
    <w:rsid w:val="00A56D19"/>
    <w:rsid w:val="00A574E5"/>
    <w:rsid w:val="00A62004"/>
    <w:rsid w:val="00A62935"/>
    <w:rsid w:val="00A62EC7"/>
    <w:rsid w:val="00A632CD"/>
    <w:rsid w:val="00A652F5"/>
    <w:rsid w:val="00A6551F"/>
    <w:rsid w:val="00A73EF5"/>
    <w:rsid w:val="00A86449"/>
    <w:rsid w:val="00A90D2D"/>
    <w:rsid w:val="00A928C9"/>
    <w:rsid w:val="00A94146"/>
    <w:rsid w:val="00A96758"/>
    <w:rsid w:val="00AA40FC"/>
    <w:rsid w:val="00AA4398"/>
    <w:rsid w:val="00AB38A4"/>
    <w:rsid w:val="00AB6BFA"/>
    <w:rsid w:val="00AC0C72"/>
    <w:rsid w:val="00AD3392"/>
    <w:rsid w:val="00AD48D3"/>
    <w:rsid w:val="00AD49DB"/>
    <w:rsid w:val="00AD4BB6"/>
    <w:rsid w:val="00AD5055"/>
    <w:rsid w:val="00AE0821"/>
    <w:rsid w:val="00AE4446"/>
    <w:rsid w:val="00AF3B7E"/>
    <w:rsid w:val="00B049D8"/>
    <w:rsid w:val="00B10A9F"/>
    <w:rsid w:val="00B13E52"/>
    <w:rsid w:val="00B14042"/>
    <w:rsid w:val="00B15573"/>
    <w:rsid w:val="00B17864"/>
    <w:rsid w:val="00B20EB9"/>
    <w:rsid w:val="00B21CC1"/>
    <w:rsid w:val="00B33F12"/>
    <w:rsid w:val="00B349B4"/>
    <w:rsid w:val="00B35E3B"/>
    <w:rsid w:val="00B47A1E"/>
    <w:rsid w:val="00B54876"/>
    <w:rsid w:val="00B54988"/>
    <w:rsid w:val="00B607FD"/>
    <w:rsid w:val="00B62658"/>
    <w:rsid w:val="00B64617"/>
    <w:rsid w:val="00B64AE5"/>
    <w:rsid w:val="00B667EA"/>
    <w:rsid w:val="00B72C98"/>
    <w:rsid w:val="00B72DCC"/>
    <w:rsid w:val="00B76034"/>
    <w:rsid w:val="00B84B8F"/>
    <w:rsid w:val="00B8599E"/>
    <w:rsid w:val="00B90EC4"/>
    <w:rsid w:val="00B955DD"/>
    <w:rsid w:val="00B97773"/>
    <w:rsid w:val="00BA6120"/>
    <w:rsid w:val="00BA7C2D"/>
    <w:rsid w:val="00BB457F"/>
    <w:rsid w:val="00BB4B5A"/>
    <w:rsid w:val="00BB5AD1"/>
    <w:rsid w:val="00BB72FD"/>
    <w:rsid w:val="00BB75FD"/>
    <w:rsid w:val="00BC3BA1"/>
    <w:rsid w:val="00BD2580"/>
    <w:rsid w:val="00BD5961"/>
    <w:rsid w:val="00BD6824"/>
    <w:rsid w:val="00BD7071"/>
    <w:rsid w:val="00BE2AAC"/>
    <w:rsid w:val="00BE54E9"/>
    <w:rsid w:val="00BF7365"/>
    <w:rsid w:val="00BF783B"/>
    <w:rsid w:val="00C07387"/>
    <w:rsid w:val="00C17975"/>
    <w:rsid w:val="00C24A0C"/>
    <w:rsid w:val="00C27E79"/>
    <w:rsid w:val="00C308FC"/>
    <w:rsid w:val="00C3259C"/>
    <w:rsid w:val="00C330C9"/>
    <w:rsid w:val="00C35398"/>
    <w:rsid w:val="00C41FA3"/>
    <w:rsid w:val="00C42AE1"/>
    <w:rsid w:val="00C46DF2"/>
    <w:rsid w:val="00C50DE7"/>
    <w:rsid w:val="00C5628D"/>
    <w:rsid w:val="00C570D9"/>
    <w:rsid w:val="00C72C56"/>
    <w:rsid w:val="00C74E18"/>
    <w:rsid w:val="00C752D8"/>
    <w:rsid w:val="00C771FB"/>
    <w:rsid w:val="00C82263"/>
    <w:rsid w:val="00C912C1"/>
    <w:rsid w:val="00C93636"/>
    <w:rsid w:val="00C96EC6"/>
    <w:rsid w:val="00CA20DE"/>
    <w:rsid w:val="00CA2485"/>
    <w:rsid w:val="00CB377E"/>
    <w:rsid w:val="00CC451B"/>
    <w:rsid w:val="00CC4E6A"/>
    <w:rsid w:val="00CE3F00"/>
    <w:rsid w:val="00CE512B"/>
    <w:rsid w:val="00CE5551"/>
    <w:rsid w:val="00CF0905"/>
    <w:rsid w:val="00CF67BD"/>
    <w:rsid w:val="00D01ADB"/>
    <w:rsid w:val="00D03E38"/>
    <w:rsid w:val="00D0639A"/>
    <w:rsid w:val="00D07D8B"/>
    <w:rsid w:val="00D125A7"/>
    <w:rsid w:val="00D17922"/>
    <w:rsid w:val="00D17A47"/>
    <w:rsid w:val="00D2030D"/>
    <w:rsid w:val="00D20D74"/>
    <w:rsid w:val="00D24EBE"/>
    <w:rsid w:val="00D26020"/>
    <w:rsid w:val="00D31AEF"/>
    <w:rsid w:val="00D62E19"/>
    <w:rsid w:val="00D62F45"/>
    <w:rsid w:val="00D648AB"/>
    <w:rsid w:val="00D719F9"/>
    <w:rsid w:val="00D74787"/>
    <w:rsid w:val="00D7530B"/>
    <w:rsid w:val="00D77C99"/>
    <w:rsid w:val="00D80D7D"/>
    <w:rsid w:val="00D8251B"/>
    <w:rsid w:val="00D91B03"/>
    <w:rsid w:val="00D932C4"/>
    <w:rsid w:val="00DA15BD"/>
    <w:rsid w:val="00DA36ED"/>
    <w:rsid w:val="00DA6F19"/>
    <w:rsid w:val="00DA704D"/>
    <w:rsid w:val="00DB3022"/>
    <w:rsid w:val="00DB355E"/>
    <w:rsid w:val="00DB37FD"/>
    <w:rsid w:val="00DB7AAC"/>
    <w:rsid w:val="00DC46EC"/>
    <w:rsid w:val="00DC4756"/>
    <w:rsid w:val="00DD1074"/>
    <w:rsid w:val="00DD44FC"/>
    <w:rsid w:val="00DD4BA1"/>
    <w:rsid w:val="00DD5741"/>
    <w:rsid w:val="00DD6FAA"/>
    <w:rsid w:val="00DE28C6"/>
    <w:rsid w:val="00DE44C1"/>
    <w:rsid w:val="00DF03C4"/>
    <w:rsid w:val="00DF33CA"/>
    <w:rsid w:val="00DF34FE"/>
    <w:rsid w:val="00DF5B44"/>
    <w:rsid w:val="00DF5E61"/>
    <w:rsid w:val="00DF7939"/>
    <w:rsid w:val="00E04D94"/>
    <w:rsid w:val="00E1259C"/>
    <w:rsid w:val="00E12B88"/>
    <w:rsid w:val="00E15DDB"/>
    <w:rsid w:val="00E15EA0"/>
    <w:rsid w:val="00E20070"/>
    <w:rsid w:val="00E255B4"/>
    <w:rsid w:val="00E37F82"/>
    <w:rsid w:val="00E410E8"/>
    <w:rsid w:val="00E44B92"/>
    <w:rsid w:val="00E456BB"/>
    <w:rsid w:val="00E45E85"/>
    <w:rsid w:val="00E51F09"/>
    <w:rsid w:val="00E60391"/>
    <w:rsid w:val="00E61523"/>
    <w:rsid w:val="00E61E99"/>
    <w:rsid w:val="00E62D60"/>
    <w:rsid w:val="00E6321C"/>
    <w:rsid w:val="00E70806"/>
    <w:rsid w:val="00E73116"/>
    <w:rsid w:val="00E75556"/>
    <w:rsid w:val="00E7565F"/>
    <w:rsid w:val="00E81DF7"/>
    <w:rsid w:val="00E8512C"/>
    <w:rsid w:val="00E95900"/>
    <w:rsid w:val="00EA458C"/>
    <w:rsid w:val="00EA6B3F"/>
    <w:rsid w:val="00EA7B8D"/>
    <w:rsid w:val="00EB40C9"/>
    <w:rsid w:val="00EB60E8"/>
    <w:rsid w:val="00EC2B72"/>
    <w:rsid w:val="00ED3248"/>
    <w:rsid w:val="00ED3D28"/>
    <w:rsid w:val="00EE0A96"/>
    <w:rsid w:val="00EE5793"/>
    <w:rsid w:val="00EE59CB"/>
    <w:rsid w:val="00EE67FF"/>
    <w:rsid w:val="00EE6D73"/>
    <w:rsid w:val="00EE7297"/>
    <w:rsid w:val="00EF00B8"/>
    <w:rsid w:val="00EF1B88"/>
    <w:rsid w:val="00EF2681"/>
    <w:rsid w:val="00F027BB"/>
    <w:rsid w:val="00F02CFF"/>
    <w:rsid w:val="00F03D7C"/>
    <w:rsid w:val="00F043AE"/>
    <w:rsid w:val="00F0517F"/>
    <w:rsid w:val="00F107E5"/>
    <w:rsid w:val="00F1666A"/>
    <w:rsid w:val="00F16E9E"/>
    <w:rsid w:val="00F2462A"/>
    <w:rsid w:val="00F25B3D"/>
    <w:rsid w:val="00F316C4"/>
    <w:rsid w:val="00F3366D"/>
    <w:rsid w:val="00F3463D"/>
    <w:rsid w:val="00F3715D"/>
    <w:rsid w:val="00F37891"/>
    <w:rsid w:val="00F40CA1"/>
    <w:rsid w:val="00F434BC"/>
    <w:rsid w:val="00F500F3"/>
    <w:rsid w:val="00F52066"/>
    <w:rsid w:val="00F55FA0"/>
    <w:rsid w:val="00F623A4"/>
    <w:rsid w:val="00F73D20"/>
    <w:rsid w:val="00F82344"/>
    <w:rsid w:val="00F83144"/>
    <w:rsid w:val="00F84E26"/>
    <w:rsid w:val="00F859E5"/>
    <w:rsid w:val="00F94996"/>
    <w:rsid w:val="00F95FD3"/>
    <w:rsid w:val="00FB2522"/>
    <w:rsid w:val="00FB611C"/>
    <w:rsid w:val="00FB7226"/>
    <w:rsid w:val="00FB7C23"/>
    <w:rsid w:val="00FC35C0"/>
    <w:rsid w:val="00FC6214"/>
    <w:rsid w:val="00FD39D4"/>
    <w:rsid w:val="00FD3E26"/>
    <w:rsid w:val="00FD439B"/>
    <w:rsid w:val="00FD73D3"/>
    <w:rsid w:val="00FD7E19"/>
    <w:rsid w:val="00FE093B"/>
    <w:rsid w:val="00FE0C9E"/>
    <w:rsid w:val="00FE1D8F"/>
    <w:rsid w:val="00FE50CA"/>
    <w:rsid w:val="00FF176D"/>
    <w:rsid w:val="00FF4B88"/>
    <w:rsid w:val="00FF5B30"/>
    <w:rsid w:val="00FF6306"/>
    <w:rsid w:val="029B4C6C"/>
    <w:rsid w:val="08A04ED0"/>
    <w:rsid w:val="0B304C2F"/>
    <w:rsid w:val="265FE4E4"/>
    <w:rsid w:val="467BC065"/>
    <w:rsid w:val="4A66AD34"/>
    <w:rsid w:val="553A4571"/>
    <w:rsid w:val="561245B9"/>
    <w:rsid w:val="571E9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A046759"/>
  <w15:docId w15:val="{A77A5291-2A94-4A8E-8869-97D8E962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mt-MT" w:eastAsia="en-IE"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uiPriority="99"/>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rsid w:val="00AA4398"/>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styleId="EndnoteText">
    <w:name w:val="endnote text"/>
    <w:basedOn w:val="Normal"/>
    <w:semiHidden/>
    <w:unhideWhenUsed/>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styleId="FootnoteText">
    <w:name w:val="footnote text"/>
    <w:basedOn w:val="Normal"/>
    <w:uiPriority w:val="99"/>
    <w:unhideWhenUsed/>
    <w:pPr>
      <w:spacing w:after="120"/>
      <w:ind w:left="357" w:hanging="357"/>
    </w:pPr>
    <w:rPr>
      <w:sz w:val="20"/>
    </w:rPr>
  </w:style>
  <w:style w:type="paragraph" w:customStyle="1" w:styleId="HistoryTable">
    <w:name w:val="HistoryTable"/>
    <w:basedOn w:val="Normal"/>
    <w:uiPriority w:val="2"/>
    <w:pPr>
      <w:spacing w:before="60" w:after="60"/>
      <w:jc w:val="left"/>
    </w:pPr>
    <w:rPr>
      <w:sz w:val="20"/>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Title1">
    <w:name w:val="SubTitle 1"/>
    <w:basedOn w:val="Normal"/>
    <w:next w:val="SubTitle2"/>
    <w:uiPriority w:val="1"/>
    <w:qFormat/>
    <w:pPr>
      <w:jc w:val="center"/>
    </w:pPr>
    <w:rPr>
      <w:b/>
      <w:sz w:val="40"/>
    </w:rPr>
  </w:style>
  <w:style w:type="paragraph" w:customStyle="1" w:styleId="SubTitle2">
    <w:name w:val="SubTitle 2"/>
    <w:basedOn w:val="Normal"/>
    <w:uiPriority w:val="1"/>
    <w:qFormat/>
    <w:pPr>
      <w:jc w:val="center"/>
    </w:pPr>
    <w:rPr>
      <w:b/>
      <w:sz w:val="32"/>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202"/>
    </w:pPr>
  </w:style>
  <w:style w:type="paragraph" w:customStyle="1" w:styleId="Text3">
    <w:name w:val="Text 3"/>
    <w:basedOn w:val="Normal"/>
    <w:uiPriority w:val="1"/>
    <w:qFormat/>
    <w:pPr>
      <w:ind w:left="1202"/>
    </w:pPr>
  </w:style>
  <w:style w:type="paragraph" w:customStyle="1" w:styleId="Text4">
    <w:name w:val="Text 4"/>
    <w:basedOn w:val="Normal"/>
    <w:uiPriority w:val="1"/>
    <w:qFormat/>
    <w:pPr>
      <w:ind w:left="1202"/>
    </w:pPr>
  </w:style>
  <w:style w:type="paragraph" w:styleId="Title">
    <w:name w:val="Title"/>
    <w:basedOn w:val="Normal"/>
    <w:next w:val="SubTitle1"/>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20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20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SignatureTable">
    <w:name w:val="Signature Table"/>
    <w:basedOn w:val="HelperTableBase"/>
    <w:semiHidden/>
    <w:tblPr>
      <w:tblCellMar>
        <w:left w:w="567" w:type="dxa"/>
      </w:tblCellMar>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aliases w:val="Footnote Reference Number,Footnote symbol"/>
    <w:locked/>
    <w:rsid w:val="0081351E"/>
    <w:rPr>
      <w:vertAlign w:val="superscript"/>
    </w:rPr>
  </w:style>
  <w:style w:type="paragraph" w:styleId="ListParagraph">
    <w:name w:val="List Paragraph"/>
    <w:basedOn w:val="Normal"/>
    <w:uiPriority w:val="34"/>
    <w:qFormat/>
    <w:locked/>
    <w:rsid w:val="0081351E"/>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locked/>
    <w:rsid w:val="0081351E"/>
    <w:rPr>
      <w:sz w:val="16"/>
      <w:szCs w:val="16"/>
    </w:rPr>
  </w:style>
  <w:style w:type="paragraph" w:styleId="CommentText">
    <w:name w:val="annotation text"/>
    <w:basedOn w:val="Normal"/>
    <w:link w:val="CommentTextChar"/>
    <w:uiPriority w:val="99"/>
    <w:unhideWhenUsed/>
    <w:locked/>
    <w:rsid w:val="0081351E"/>
    <w:pPr>
      <w:spacing w:after="20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81351E"/>
    <w:rPr>
      <w:rFonts w:asciiTheme="minorHAnsi" w:eastAsiaTheme="minorHAnsi" w:hAnsiTheme="minorHAnsi" w:cstheme="minorBidi"/>
      <w:sz w:val="20"/>
      <w:lang w:eastAsia="en-US"/>
    </w:rPr>
  </w:style>
  <w:style w:type="character" w:styleId="Hyperlink">
    <w:name w:val="Hyperlink"/>
    <w:basedOn w:val="DefaultParagraphFont"/>
    <w:uiPriority w:val="99"/>
    <w:unhideWhenUsed/>
    <w:locked/>
    <w:rsid w:val="0081351E"/>
    <w:rPr>
      <w:color w:val="0563C1" w:themeColor="hyperlink"/>
      <w:u w:val="single"/>
    </w:rPr>
  </w:style>
  <w:style w:type="paragraph" w:styleId="CommentSubject">
    <w:name w:val="annotation subject"/>
    <w:basedOn w:val="CommentText"/>
    <w:next w:val="CommentText"/>
    <w:link w:val="CommentSubjectChar"/>
    <w:semiHidden/>
    <w:locked/>
    <w:rsid w:val="0081351E"/>
    <w:pPr>
      <w:spacing w:after="240"/>
      <w:jc w:val="both"/>
    </w:pPr>
    <w:rPr>
      <w:rFonts w:ascii="Times New Roman" w:eastAsia="Times New Roman" w:hAnsi="Times New Roman" w:cs="Times New Roman"/>
      <w:b/>
      <w:bCs/>
      <w:lang w:eastAsia="en-IE"/>
    </w:rPr>
  </w:style>
  <w:style w:type="character" w:customStyle="1" w:styleId="CommentSubjectChar">
    <w:name w:val="Comment Subject Char"/>
    <w:basedOn w:val="CommentTextChar"/>
    <w:link w:val="CommentSubject"/>
    <w:semiHidden/>
    <w:rsid w:val="0081351E"/>
    <w:rPr>
      <w:rFonts w:asciiTheme="minorHAnsi" w:eastAsiaTheme="minorHAnsi" w:hAnsiTheme="minorHAnsi" w:cstheme="minorBidi"/>
      <w:b/>
      <w:bCs/>
      <w:sz w:val="20"/>
      <w:lang w:eastAsia="en-US"/>
    </w:rPr>
  </w:style>
  <w:style w:type="paragraph" w:styleId="BalloonText">
    <w:name w:val="Balloon Text"/>
    <w:basedOn w:val="Normal"/>
    <w:link w:val="BalloonTextChar"/>
    <w:semiHidden/>
    <w:locked/>
    <w:rsid w:val="005B1FBE"/>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B1FBE"/>
    <w:rPr>
      <w:rFonts w:ascii="Segoe UI" w:hAnsi="Segoe UI" w:cs="Segoe UI"/>
      <w:sz w:val="18"/>
      <w:szCs w:val="18"/>
    </w:rPr>
  </w:style>
  <w:style w:type="paragraph" w:styleId="Revision">
    <w:name w:val="Revision"/>
    <w:hidden/>
    <w:semiHidden/>
    <w:locked/>
    <w:rsid w:val="002A4C69"/>
  </w:style>
  <w:style w:type="character" w:customStyle="1" w:styleId="UnresolvedMention1">
    <w:name w:val="Unresolved Mention1"/>
    <w:basedOn w:val="DefaultParagraphFont"/>
    <w:uiPriority w:val="99"/>
    <w:semiHidden/>
    <w:unhideWhenUsed/>
    <w:rsid w:val="008E77D0"/>
    <w:rPr>
      <w:color w:val="605E5C"/>
      <w:shd w:val="clear" w:color="auto" w:fill="E1DFDD"/>
    </w:rPr>
  </w:style>
  <w:style w:type="character" w:styleId="FollowedHyperlink">
    <w:name w:val="FollowedHyperlink"/>
    <w:basedOn w:val="DefaultParagraphFont"/>
    <w:semiHidden/>
    <w:locked/>
    <w:rsid w:val="00C912C1"/>
    <w:rPr>
      <w:color w:val="954F72" w:themeColor="followedHyperlink"/>
      <w:u w:val="single"/>
    </w:rPr>
  </w:style>
  <w:style w:type="character" w:customStyle="1" w:styleId="Marker">
    <w:name w:val="Marker"/>
    <w:basedOn w:val="DefaultParagraphFont"/>
    <w:rsid w:val="00A01175"/>
    <w:rPr>
      <w:color w:val="0000FF"/>
      <w:shd w:val="clear" w:color="auto" w:fill="auto"/>
    </w:rPr>
  </w:style>
  <w:style w:type="paragraph" w:customStyle="1" w:styleId="Pagedecouverture">
    <w:name w:val="Page de couverture"/>
    <w:basedOn w:val="Normal"/>
    <w:next w:val="Normal"/>
    <w:link w:val="PagedecouvertureChar"/>
    <w:rsid w:val="00A01175"/>
    <w:pPr>
      <w:spacing w:after="0"/>
    </w:pPr>
    <w:rPr>
      <w:rFonts w:eastAsiaTheme="minorHAnsi"/>
      <w:szCs w:val="22"/>
      <w:lang w:eastAsia="en-US"/>
    </w:rPr>
  </w:style>
  <w:style w:type="paragraph" w:customStyle="1" w:styleId="FooterCoverPage">
    <w:name w:val="Footer Cover Page"/>
    <w:basedOn w:val="Normal"/>
    <w:link w:val="FooterCoverPageChar"/>
    <w:rsid w:val="00A01175"/>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A01175"/>
    <w:rPr>
      <w:rFonts w:eastAsiaTheme="minorHAnsi"/>
      <w:szCs w:val="22"/>
      <w:lang w:eastAsia="en-US"/>
    </w:rPr>
  </w:style>
  <w:style w:type="character" w:customStyle="1" w:styleId="FooterCoverPageChar">
    <w:name w:val="Footer Cover Page Char"/>
    <w:basedOn w:val="PagedecouvertureChar"/>
    <w:link w:val="FooterCoverPage"/>
    <w:rsid w:val="00A01175"/>
    <w:rPr>
      <w:rFonts w:eastAsiaTheme="minorHAnsi"/>
      <w:szCs w:val="22"/>
      <w:lang w:eastAsia="en-US"/>
    </w:rPr>
  </w:style>
  <w:style w:type="paragraph" w:customStyle="1" w:styleId="FooterSensitivity">
    <w:name w:val="Footer Sensitivity"/>
    <w:basedOn w:val="Normal"/>
    <w:link w:val="FooterSensitivityChar"/>
    <w:rsid w:val="00A0117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A01175"/>
    <w:rPr>
      <w:rFonts w:eastAsiaTheme="minorHAnsi"/>
      <w:b/>
      <w:sz w:val="32"/>
      <w:szCs w:val="22"/>
      <w:lang w:eastAsia="en-US"/>
    </w:rPr>
  </w:style>
  <w:style w:type="paragraph" w:customStyle="1" w:styleId="HeaderCoverPage">
    <w:name w:val="Header Cover Page"/>
    <w:basedOn w:val="Normal"/>
    <w:link w:val="HeaderCoverPageChar"/>
    <w:rsid w:val="00A01175"/>
    <w:pPr>
      <w:tabs>
        <w:tab w:val="center" w:pos="4535"/>
        <w:tab w:val="right" w:pos="9071"/>
      </w:tabs>
      <w:spacing w:after="120"/>
    </w:pPr>
  </w:style>
  <w:style w:type="character" w:customStyle="1" w:styleId="HeaderCoverPageChar">
    <w:name w:val="Header Cover Page Char"/>
    <w:basedOn w:val="PagedecouvertureChar"/>
    <w:link w:val="HeaderCoverPage"/>
    <w:rsid w:val="00A01175"/>
    <w:rPr>
      <w:rFonts w:eastAsiaTheme="minorHAnsi"/>
      <w:szCs w:val="22"/>
      <w:lang w:eastAsia="en-US"/>
    </w:rPr>
  </w:style>
  <w:style w:type="paragraph" w:customStyle="1" w:styleId="HeaderSensitivity">
    <w:name w:val="Header Sensitivity"/>
    <w:basedOn w:val="Normal"/>
    <w:link w:val="HeaderSensitivityChar"/>
    <w:rsid w:val="00A01175"/>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A01175"/>
    <w:rPr>
      <w:rFonts w:eastAsiaTheme="minorHAnsi"/>
      <w:b/>
      <w:sz w:val="32"/>
      <w:szCs w:val="22"/>
      <w:lang w:eastAsia="en-US"/>
    </w:rPr>
  </w:style>
  <w:style w:type="paragraph" w:customStyle="1" w:styleId="HeaderSensitivityRight">
    <w:name w:val="Header Sensitivity Right"/>
    <w:basedOn w:val="Normal"/>
    <w:link w:val="HeaderSensitivityRightChar"/>
    <w:rsid w:val="00A01175"/>
    <w:pPr>
      <w:spacing w:after="120"/>
      <w:jc w:val="right"/>
    </w:pPr>
    <w:rPr>
      <w:sz w:val="28"/>
    </w:rPr>
  </w:style>
  <w:style w:type="character" w:customStyle="1" w:styleId="HeaderSensitivityRightChar">
    <w:name w:val="Header Sensitivity Right Char"/>
    <w:basedOn w:val="PagedecouvertureChar"/>
    <w:link w:val="HeaderSensitivityRight"/>
    <w:rsid w:val="00A01175"/>
    <w:rPr>
      <w:rFonts w:eastAsiaTheme="minorHAnsi"/>
      <w:sz w:val="28"/>
      <w:szCs w:val="22"/>
      <w:lang w:eastAsia="en-US"/>
    </w:rPr>
  </w:style>
  <w:style w:type="character" w:customStyle="1" w:styleId="UnresolvedMention2">
    <w:name w:val="Unresolved Mention2"/>
    <w:basedOn w:val="DefaultParagraphFont"/>
    <w:uiPriority w:val="99"/>
    <w:semiHidden/>
    <w:unhideWhenUsed/>
    <w:rsid w:val="00781345"/>
    <w:rPr>
      <w:color w:val="605E5C"/>
      <w:shd w:val="clear" w:color="auto" w:fill="E1DFDD"/>
    </w:rPr>
  </w:style>
  <w:style w:type="character" w:customStyle="1" w:styleId="Mention1">
    <w:name w:val="Mention1"/>
    <w:basedOn w:val="DefaultParagraphFont"/>
    <w:uiPriority w:val="99"/>
    <w:unhideWhenUsed/>
    <w:rsid w:val="00FC35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6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MT/TXT/?uri=celex:52013IP0174" TargetMode="External"/><Relationship Id="rId1" Type="http://schemas.openxmlformats.org/officeDocument/2006/relationships/hyperlink" Target="https://data.consilium.europa.eu/doc/document/ST-14201-2017-INIT/m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4af8c89d-4332-4d32-84a3-abf4120a8008" xsi:nil="true"/>
  </documentManagement>
</p:properties>
</file>

<file path=customXml/item2.xml><?xml version="1.0" encoding="utf-8"?>
<EurolookProperties>
  <ProductCustomizationId>EC</ProductCustomizationId>
  <Created>
    <Version>10.0.43517.0</Version>
    <Date>2022-10-04T12:28:26</Date>
    <Language>EN</Language>
    <Note/>
  </Created>
  <Edited>
    <Version/>
    <Date/>
  </Edited>
  <DocumentModel>
    <Id>6cbda13a-4db2-46c6-876a-ef72275827ef</Id>
    <Name>Report</Name>
  </DocumentModel>
  <DocumentDate>2022-10-04T12:28:26</DocumentDate>
  <DocumentVersion>0.1</DocumentVersion>
  <CompatibilityMode>Eurolook10</CompatibilityMode>
  <DocumentMetadata>
    <EC_SecurityMarking MetadataSerializationType="SimpleValue"/>
    <EC_SecurityDateMarkingDate MetadataSerializationType="SimpleValue"/>
    <EC_SecurityDateMarkingEvent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DocumentMetadata>
</Eurolook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Author Role="Creator" AuthorRoleName="Writer" AuthorRoleId="a4fbaff4-b07c-48b4-a21e-e7b9eedf3796">
  <Id>ca22ee0c-20ae-4e4c-9e44-dbbe1c68a211</Id>
  <Names>
    <Latin>
      <FirstName>Pierre-Antoine</FirstName>
      <LastName>LAPRAT</LastName>
    </Latin>
    <Greek>
      <FirstName/>
      <LastName/>
    </Greek>
    <Cyrillic>
      <FirstName/>
      <LastName/>
    </Cyrillic>
    <DocumentScript>
      <FirstName>Pierre-Antoine</FirstName>
      <LastName>LAPRAT</LastName>
      <FullName>Pierre-Antoine LAPRAT</FullName>
    </DocumentScript>
  </Names>
  <Initials>PL</Initials>
  <Gender>m</Gender>
  <Email>Pierre-Antoine.LAPRAT@ec.europa.eu</Email>
  <Service>ECFIN.A.2</Service>
  <Function ADCode="" ShowInSignature="true" ShowInHeader="false" HeaderText=""/>
  <WebAddress/>
  <FunctionalMailbox/>
  <InheritedWebAddress>WebAddress</InheritedWebAddress>
  <OrgaEntity1>
    <Id>86c1c1fc-745f-4d17-a9c8-20786c9f67c9</Id>
    <LogicalLevel>1</LogicalLevel>
    <Name>ECFIN</Name>
    <HeadLine1>DIRECTORATE-GENERAL</HeadLine1>
    <HeadLine2>ECONOMIC AND FINANCIAL AFFAIRS</HeadLine2>
    <PrimaryAddressId>f03b5801-04c9-4931-aa17-c6d6c70bc579</PrimaryAddressId>
    <SecondaryAddressId/>
    <WebAddress>WebAddress</WebAddress>
    <InheritedWebAddress>WebAddress</InheritedWebAddress>
    <ShowInHeader>true</ShowInHeader>
  </OrgaEntity1>
  <OrgaEntity2>
    <Id>2680cf78-8e18-4b5e-86af-7b078b2b34db</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2>
  <OrgaEntity3>
    <Id>cfab8c75-5447-4ecf-b3fb-8b36a923a9b1</Id>
    <LogicalLevel>3</LogicalLevel>
    <Name>ECFIN.A.2</Name>
    <HeadLine1>Stability mechanisms, EMU deepening and legal affairs</HeadLine1>
    <HeadLine2/>
    <PrimaryAddressId>f03b5801-04c9-4931-aa17-c6d6c70bc579</PrimaryAddressId>
    <SecondaryAddressId/>
    <WebAddress/>
    <InheritedWebAddress>WebAddress</InheritedWebAddress>
    <ShowInHeader>true</ShowInHeader>
  </OrgaEntity3>
  <Hierarchy>
    <OrgaEntity>
      <Id>86c1c1fc-745f-4d17-a9c8-20786c9f67c9</Id>
      <LogicalLevel>1</LogicalLevel>
      <Name>ECFIN</Name>
      <HeadLine1>DIRECTORATE-GENERAL</HeadLine1>
      <HeadLine2>ECONOMIC AND FINANCIAL AFFAIRS</HeadLine2>
      <PrimaryAddressId>f03b5801-04c9-4931-aa17-c6d6c70bc579</PrimaryAddressId>
      <SecondaryAddressId/>
      <WebAddress>WebAddress</WebAddress>
      <InheritedWebAddress>WebAddress</InheritedWebAddress>
      <ShowInHeader>true</ShowInHeader>
    </OrgaEntity>
    <OrgaEntity>
      <Id>2680cf78-8e18-4b5e-86af-7b078b2b34db</Id>
      <LogicalLevel>2</LogicalLevel>
      <Name>ECFIN.A</Name>
      <HeadLine1>Policy coordination, economic forecasts and communication</HeadLine1>
      <HeadLine2/>
      <PrimaryAddressId>f03b5801-04c9-4931-aa17-c6d6c70bc579</PrimaryAddressId>
      <SecondaryAddressId/>
      <WebAddress/>
      <InheritedWebAddress>WebAddress</InheritedWebAddress>
      <ShowInHeader>true</ShowInHeader>
    </OrgaEntity>
    <OrgaEntity>
      <Id>cfab8c75-5447-4ecf-b3fb-8b36a923a9b1</Id>
      <LogicalLevel>3</LogicalLevel>
      <Name>ECFIN.A.2</Name>
      <HeadLine1>Stability mechanisms, EMU deepening and legal affairs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9477b21f-3bff-4071-bc5a-78636fecdbbf</Id>
      <Name>&lt;No Address&gt;</Name>
      <PhoneNumberPrefix/>
      <TranslatedName/>
      <Location/>
      <Footer/>
    </Address>
  </Addresses>
  <JobAssignmentId/>
  <MainWorkplace IsMain="true">
    <AddressId>f03b5801-04c9-4931-aa17-c6d6c70bc579</AddressId>
    <Fax/>
    <Phone>+32 229-63954</Phone>
    <Office>CHAR 15/095</Office>
  </MainWorkplace>
  <Workplaces>
    <Workplace IsMain="true">
      <AddressId>f03b5801-04c9-4931-aa17-c6d6c70bc579</AddressId>
      <Fax/>
      <Phone>+32 229-63954</Phone>
      <Office>CHAR 15/095</Office>
    </Workplace>
    <Workplace IsMain="false">
      <AddressId>9477b21f-3bff-4071-bc5a-78636fecdbbf</AddressId>
      <Fax/>
      <Phone/>
      <Office/>
    </Workplace>
  </Workplaces>
</Author>
</file>

<file path=customXml/item5.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2" ma:contentTypeDescription="Create a new document." ma:contentTypeScope="" ma:versionID="504ef4b21a76ca9fdbb7ed70c11c22f2">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7143163f8097d07800eb307f7fabdedd"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89d6a2-f40d-4fa0-ac79-06606ecdd2c1}"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692A-2600-4B53-9E3D-69C5B021C24C}">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0442CB5B-B00B-4B42-A102-FF74AD933118}">
  <ds:schemaRefs>
    <ds:schemaRef ds:uri="http://schemas.microsoft.com/sharepoint/v3/contenttype/forms"/>
  </ds:schemaRefs>
</ds:datastoreItem>
</file>

<file path=customXml/itemProps4.xml><?xml version="1.0" encoding="utf-8"?>
<ds:datastoreItem xmlns:ds="http://schemas.openxmlformats.org/officeDocument/2006/customXml" ds:itemID="{89987A28-6D91-4AC6-B664-128E2FCD1672}">
  <ds:schemaRefs/>
</ds:datastoreItem>
</file>

<file path=customXml/itemProps5.xml><?xml version="1.0" encoding="utf-8"?>
<ds:datastoreItem xmlns:ds="http://schemas.openxmlformats.org/officeDocument/2006/customXml" ds:itemID="{0DDD056A-B21F-41B9-B139-F25CF767B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43279D63-520E-4A8F-BD72-AFDF96EE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2857</Words>
  <Characters>16287</Characters>
  <Application>Microsoft Office Word</Application>
  <DocSecurity>0</DocSecurity>
  <PresentationFormat>Microsoft Word 14.0</PresentationFormat>
  <Lines>135</Lines>
  <Paragraphs>38</Paragraphs>
  <ScaleCrop>true</ScaleCrop>
  <HeadingPairs>
    <vt:vector size="2" baseType="variant">
      <vt:variant>
        <vt:lpstr>Title</vt:lpstr>
      </vt:variant>
      <vt:variant>
        <vt:i4>1</vt:i4>
      </vt:variant>
    </vt:vector>
  </HeadingPairs>
  <TitlesOfParts>
    <vt:vector size="1" baseType="lpstr">
      <vt:lpstr>Report pursuant to Article 10 of Council Regulation (EC) 332/2002 on the Union’s facility providing medium-term financial assistance for Member State’s balance of payments</vt:lpstr>
    </vt:vector>
  </TitlesOfParts>
  <Manager/>
  <Company/>
  <LinksUpToDate>false</LinksUpToDate>
  <CharactersWithSpaces>19106</CharactersWithSpaces>
  <SharedDoc>false</SharedDoc>
  <HLinks>
    <vt:vector size="6" baseType="variant">
      <vt:variant>
        <vt:i4>3997806</vt:i4>
      </vt:variant>
      <vt:variant>
        <vt:i4>0</vt:i4>
      </vt:variant>
      <vt:variant>
        <vt:i4>0</vt:i4>
      </vt:variant>
      <vt:variant>
        <vt:i4>5</vt:i4>
      </vt:variant>
      <vt:variant>
        <vt:lpwstr>https://data.consilium.europa.eu/doc/document/ST-14201-2017-INIT/en/pdf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pursuant to Article 10 of Council Regulation (EC) 332/2002 on the Union’s facility providing medium-term financial assistance for Member State’s balance of payments</dc:title>
  <dc:subject/>
  <dc:creator/>
  <cp:keywords/>
  <dc:description/>
  <cp:lastModifiedBy/>
  <cp:revision>5</cp:revision>
  <cp:lastPrinted>2023-03-10T10:53:00Z</cp:lastPrinted>
  <dcterms:created xsi:type="dcterms:W3CDTF">2024-01-17T14:20:00Z</dcterms:created>
  <dcterms:modified xsi:type="dcterms:W3CDTF">2024-01-29T09:55:00Z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2022-10-04T10:28:29Z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b49dd1ff-7b83-4d09-bb23-b7050f5c2464</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_LW_INVALIDATED_EurolookVersion">
    <vt:lpwstr>10.0</vt:lpwstr>
  </property>
  <property fmtid="{D5CDD505-2E9C-101B-9397-08002B2CF9AE}" pid="13" name="_LW_INVALIDATED_ELDocType">
    <vt:lpwstr>rep.dot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PTemplateID">
    <vt:lpwstr>CP-004</vt:lpwstr>
  </property>
  <property fmtid="{D5CDD505-2E9C-101B-9397-08002B2CF9AE}" pid="18" name="Last edited using">
    <vt:lpwstr>LW 9.0, Build 20230317</vt:lpwstr>
  </property>
  <property fmtid="{D5CDD505-2E9C-101B-9397-08002B2CF9AE}" pid="19" name="Created using">
    <vt:lpwstr>LW 9.0, Build 20230317</vt:lpwstr>
  </property>
  <property name="OP_sanitized" fmtid="{D5CDD505-2E9C-101B-9397-08002B2CF9AE}" pid="20">
    <vt:lpwstr>True</vt:lpwstr>
  </property>
</Properties>
</file>