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C1BF88" w14:textId="51833CED" w:rsidR="00B4753A" w:rsidRDefault="00614FB1" w:rsidP="00614FB1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1EC092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438808ED-8B7A-4041-AD54-F542AF73F088" style="width:455.25pt;height:324pt">
            <v:imagedata r:id="rId8" o:title=""/>
          </v:shape>
        </w:pict>
      </w:r>
    </w:p>
    <w:bookmarkEnd w:id="0"/>
    <w:p w14:paraId="69A1DF73" w14:textId="2CF77149" w:rsidR="00744CB0" w:rsidRDefault="00744CB0" w:rsidP="00744CB0">
      <w:pPr>
        <w:rPr>
          <w:noProof/>
        </w:rPr>
        <w:sectPr w:rsidR="00744CB0" w:rsidSect="00614FB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417" w:bottom="1134" w:left="1417" w:header="709" w:footer="709" w:gutter="0"/>
          <w:pgNumType w:start="1"/>
          <w:cols w:space="720"/>
          <w:docGrid w:linePitch="360"/>
        </w:sectPr>
      </w:pPr>
    </w:p>
    <w:p w14:paraId="409B1D04" w14:textId="0AE03A28" w:rsidR="00BC2959" w:rsidRDefault="00BC2959" w:rsidP="00010116">
      <w:pPr>
        <w:pStyle w:val="ListParagraph"/>
        <w:keepNext/>
        <w:numPr>
          <w:ilvl w:val="0"/>
          <w:numId w:val="1"/>
        </w:numPr>
        <w:spacing w:before="36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mallCaps/>
          <w:noProof/>
          <w:sz w:val="24"/>
          <w:szCs w:val="32"/>
        </w:rPr>
      </w:pPr>
      <w:bookmarkStart w:id="1" w:name="_Toc525734915"/>
      <w:bookmarkStart w:id="2" w:name="_Toc525736646"/>
      <w:bookmarkStart w:id="3" w:name="_Toc526175174"/>
      <w:bookmarkStart w:id="4" w:name="_Toc525734916"/>
      <w:bookmarkStart w:id="5" w:name="_Toc525736647"/>
      <w:bookmarkStart w:id="6" w:name="_Toc526175175"/>
      <w:bookmarkStart w:id="7" w:name="_Toc525734917"/>
      <w:bookmarkStart w:id="8" w:name="_Toc525736648"/>
      <w:bookmarkStart w:id="9" w:name="_Toc526175176"/>
      <w:bookmarkStart w:id="10" w:name="_Toc244054015"/>
      <w:bookmarkStart w:id="11" w:name="_Toc413145209"/>
      <w:bookmarkStart w:id="12" w:name="_Toc147135954"/>
      <w:bookmarkStart w:id="13" w:name="_GoBack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3"/>
      <w:r>
        <w:rPr>
          <w:rFonts w:ascii="Times New Roman" w:hAnsi="Times New Roman"/>
          <w:b/>
          <w:smallCaps/>
          <w:noProof/>
          <w:sz w:val="24"/>
        </w:rPr>
        <w:lastRenderedPageBreak/>
        <w:t>Tabella tal-konsum proviżorju fil-31/12/2023</w:t>
      </w:r>
    </w:p>
    <w:p w14:paraId="0AC71563" w14:textId="7A1255D7" w:rsidR="00DA11FB" w:rsidRDefault="00C9142D" w:rsidP="00DA11FB">
      <w:pPr>
        <w:pStyle w:val="Text1"/>
        <w:rPr>
          <w:noProof/>
        </w:rPr>
      </w:pPr>
      <w:r>
        <w:rPr>
          <w:noProof/>
        </w:rPr>
        <w:t>Dan ir-rapport jippreżenta l-implimentazzjoni proviżorja tal-baġit tal-2023 għall-FAEG fil-31 ta’ Diċembru 2023 u d-dettalji jinsabu fit-tabella hawn taħt.</w:t>
      </w:r>
    </w:p>
    <w:p w14:paraId="65250101" w14:textId="488D8DD6" w:rsidR="008C6F0A" w:rsidRDefault="008C6F0A" w:rsidP="008C6F0A">
      <w:pPr>
        <w:pStyle w:val="Text1"/>
        <w:rPr>
          <w:noProof/>
        </w:rPr>
      </w:pPr>
      <w:r>
        <w:rPr>
          <w:noProof/>
        </w:rPr>
        <w:t>Il-livell ta’ implimentazzjoni jitqabbel mal-approprjazzjonijiet korrispondenti inklużi fil-baġit tal-2023.</w:t>
      </w:r>
    </w:p>
    <w:p w14:paraId="797F8067" w14:textId="4CC8DCF8" w:rsidR="009C739F" w:rsidRDefault="00DD74C9" w:rsidP="0050177E">
      <w:pPr>
        <w:spacing w:before="120" w:after="120" w:line="240" w:lineRule="auto"/>
        <w:ind w:left="-24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DD74C9">
        <w:rPr>
          <w:noProof/>
          <w:lang w:val="en-GB" w:eastAsia="en-GB"/>
        </w:rPr>
        <w:drawing>
          <wp:inline distT="0" distB="0" distL="0" distR="0" wp14:anchorId="44C9F6B6" wp14:editId="2EC232CE">
            <wp:extent cx="5943600" cy="6149975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4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D1376" w14:textId="635CCBC6" w:rsidR="00EB5D9B" w:rsidRDefault="00EB5D9B" w:rsidP="009C739F">
      <w:pPr>
        <w:spacing w:before="120" w:after="120" w:line="240" w:lineRule="auto"/>
        <w:ind w:left="850"/>
        <w:jc w:val="both"/>
        <w:rPr>
          <w:rFonts w:ascii="Times New Roman" w:eastAsia="Times New Roman" w:hAnsi="Times New Roman" w:cs="Times New Roman"/>
          <w:b/>
          <w:bCs/>
          <w:smallCaps/>
          <w:noProof/>
          <w:sz w:val="24"/>
          <w:szCs w:val="32"/>
        </w:rPr>
      </w:pPr>
    </w:p>
    <w:p w14:paraId="47C3E05E" w14:textId="021E6D9E" w:rsidR="007002DC" w:rsidRDefault="00DD74C9" w:rsidP="00D23471">
      <w:pPr>
        <w:spacing w:before="120" w:after="120" w:line="240" w:lineRule="auto"/>
        <w:ind w:left="-240"/>
        <w:jc w:val="both"/>
        <w:rPr>
          <w:rFonts w:ascii="Times New Roman" w:eastAsia="Times New Roman" w:hAnsi="Times New Roman" w:cs="Times New Roman"/>
          <w:b/>
          <w:bCs/>
          <w:smallCaps/>
          <w:noProof/>
          <w:sz w:val="24"/>
          <w:szCs w:val="32"/>
        </w:rPr>
      </w:pPr>
      <w:r w:rsidRPr="00DD74C9">
        <w:rPr>
          <w:noProof/>
          <w:lang w:val="en-GB" w:eastAsia="en-GB"/>
        </w:rPr>
        <w:drawing>
          <wp:inline distT="0" distB="0" distL="0" distR="0" wp14:anchorId="4B993182" wp14:editId="081E0124">
            <wp:extent cx="6241774" cy="40451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110" cy="4051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111D0" w14:textId="77777777" w:rsidR="00EB5D9B" w:rsidRDefault="00EB5D9B" w:rsidP="00BC2959">
      <w:pPr>
        <w:pStyle w:val="ListParagraph"/>
        <w:keepNext/>
        <w:spacing w:before="360" w:after="120" w:line="240" w:lineRule="auto"/>
        <w:ind w:left="850"/>
        <w:jc w:val="both"/>
        <w:outlineLvl w:val="0"/>
        <w:rPr>
          <w:rFonts w:ascii="Times New Roman" w:eastAsia="Times New Roman" w:hAnsi="Times New Roman" w:cs="Times New Roman"/>
          <w:b/>
          <w:bCs/>
          <w:smallCaps/>
          <w:noProof/>
          <w:sz w:val="24"/>
          <w:szCs w:val="32"/>
        </w:rPr>
      </w:pPr>
    </w:p>
    <w:p w14:paraId="63CACF44" w14:textId="526AC5A0" w:rsidR="00010116" w:rsidRDefault="00010116" w:rsidP="00010116">
      <w:pPr>
        <w:pStyle w:val="ListParagraph"/>
        <w:keepNext/>
        <w:numPr>
          <w:ilvl w:val="0"/>
          <w:numId w:val="1"/>
        </w:numPr>
        <w:spacing w:before="36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mallCaps/>
          <w:noProof/>
          <w:sz w:val="24"/>
          <w:szCs w:val="32"/>
        </w:rPr>
      </w:pPr>
      <w:r>
        <w:rPr>
          <w:rFonts w:ascii="Times New Roman" w:hAnsi="Times New Roman"/>
          <w:b/>
          <w:smallCaps/>
          <w:noProof/>
          <w:sz w:val="24"/>
        </w:rPr>
        <w:t xml:space="preserve">Kummenti dwar ir-riżerva għall-agrikoltura tal-2023  </w:t>
      </w:r>
      <w:bookmarkEnd w:id="10"/>
      <w:bookmarkEnd w:id="11"/>
      <w:bookmarkEnd w:id="12"/>
    </w:p>
    <w:p w14:paraId="2D0769BF" w14:textId="15C65723" w:rsidR="009D4375" w:rsidRPr="00DF6A09" w:rsidRDefault="00335B0C" w:rsidP="0050177E">
      <w:pPr>
        <w:spacing w:before="120" w:after="120" w:line="240" w:lineRule="auto"/>
        <w:ind w:left="84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Il-baġit tal-2023 kien jinkludi ammont ta’ EUR 450 miljun għar-riżerva għall-agrikoltura. Ġew adottati ħames miżuri, li jammontaw għal EUR 530,5</w:t>
      </w:r>
      <w:r w:rsidR="005D6441" w:rsidRPr="00DF6A09">
        <w:rPr>
          <w:rStyle w:val="FootnoteReference"/>
          <w:rFonts w:ascii="Times New Roman" w:eastAsia="Times New Roman" w:hAnsi="Times New Roman" w:cs="Times New Roman"/>
          <w:noProof/>
          <w:sz w:val="24"/>
          <w:szCs w:val="24"/>
        </w:rPr>
        <w:footnoteReference w:id="2"/>
      </w:r>
      <w:r>
        <w:rPr>
          <w:rFonts w:ascii="Times New Roman" w:hAnsi="Times New Roman"/>
          <w:noProof/>
          <w:sz w:val="24"/>
        </w:rPr>
        <w:t xml:space="preserve">. </w:t>
      </w:r>
    </w:p>
    <w:p w14:paraId="70EC434B" w14:textId="4B3E5BC4" w:rsidR="009D4375" w:rsidRPr="0050177E" w:rsidRDefault="009D4375" w:rsidP="0050177E">
      <w:pPr>
        <w:spacing w:before="120" w:after="120" w:line="240" w:lineRule="auto"/>
        <w:ind w:left="840"/>
        <w:jc w:val="both"/>
        <w:rPr>
          <w:rFonts w:ascii="Times New Roman" w:hAnsi="Times New Roman"/>
          <w:noProof/>
          <w:sz w:val="24"/>
        </w:rPr>
      </w:pPr>
      <w:r>
        <w:rPr>
          <w:rFonts w:ascii="Times New Roman" w:hAnsi="Times New Roman"/>
          <w:noProof/>
          <w:sz w:val="24"/>
        </w:rPr>
        <w:t>L-ewwel tlieta huma ffinanzjati mir-riżerva għall-agrikoltura tal-2023, jiġifieri mill-Baġit tal-2023. Filwaqt li l-aħħar żewġ miżuri huma ffinanzjati kemm mill-baġit tal-2023 kif ukoll minn dak tal-2024. B’kollox ġew iddikjarati EUR 134,5 miljun mill-baġit tal-2023. L-approprjazzjonijiet ta’ EUR 315,5-il miljun li fadal, se jiġu riportati għall-baġit tal-2024.</w:t>
      </w:r>
    </w:p>
    <w:p w14:paraId="09BD0C36" w14:textId="1136C0AD" w:rsidR="00C572C6" w:rsidRDefault="00C572C6" w:rsidP="009D4375">
      <w:pPr>
        <w:pStyle w:val="ListParagraph"/>
        <w:spacing w:before="120" w:after="120" w:line="240" w:lineRule="auto"/>
        <w:ind w:left="2290"/>
        <w:jc w:val="both"/>
        <w:rPr>
          <w:rFonts w:ascii="Times New Roman" w:hAnsi="Times New Roman"/>
          <w:noProof/>
          <w:sz w:val="24"/>
        </w:rPr>
      </w:pPr>
    </w:p>
    <w:p w14:paraId="7C8A747A" w14:textId="4EF217A3" w:rsidR="009D4375" w:rsidRPr="009D4375" w:rsidRDefault="009D4375" w:rsidP="009D4375">
      <w:pPr>
        <w:pStyle w:val="ListParagraph"/>
        <w:keepNext/>
        <w:numPr>
          <w:ilvl w:val="0"/>
          <w:numId w:val="1"/>
        </w:numPr>
        <w:spacing w:before="36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mallCaps/>
          <w:noProof/>
          <w:sz w:val="24"/>
          <w:szCs w:val="32"/>
        </w:rPr>
      </w:pPr>
      <w:bookmarkStart w:id="14" w:name="_Toc66369575"/>
      <w:bookmarkStart w:id="15" w:name="_Toc147135960"/>
      <w:r>
        <w:rPr>
          <w:rFonts w:ascii="Times New Roman" w:hAnsi="Times New Roman"/>
          <w:b/>
          <w:smallCaps/>
          <w:noProof/>
          <w:sz w:val="24"/>
        </w:rPr>
        <w:t>Kummenti dwar l-implimentazzjoni proviżorja tal-baġit tal-FAEG għall-2023</w:t>
      </w:r>
      <w:bookmarkEnd w:id="14"/>
      <w:bookmarkEnd w:id="15"/>
    </w:p>
    <w:p w14:paraId="0ACBC618" w14:textId="3CDAB373" w:rsidR="005019A4" w:rsidRPr="001E1BE2" w:rsidRDefault="001E1BE2" w:rsidP="001E1BE2">
      <w:pPr>
        <w:spacing w:before="120" w:after="120" w:line="240" w:lineRule="auto"/>
        <w:ind w:left="840"/>
        <w:jc w:val="both"/>
        <w:rPr>
          <w:noProof/>
        </w:rPr>
      </w:pPr>
      <w:r>
        <w:rPr>
          <w:rFonts w:ascii="Times New Roman" w:hAnsi="Times New Roman"/>
          <w:noProof/>
          <w:sz w:val="24"/>
        </w:rPr>
        <w:t>In-nefqa proviżorja tal-baġit tal-FAEG għall-2023, inkluż l-azzjonijiet stmati u implimentati bis-sħiħ b’ġestjoni diretta mill-Kummissjoni sal-31 ta’ Diċembru 2023, twassal għal sottoeżekuzzjoni ta’ EUR 20,5 miljun meta mqabbla mal-approprjazzjonijiet ivvotati tal-baġit. Meta jitqies id-dħul assenjat disponibbli ta’ EUR 626,2 miljun, is-sottoimplimentazzjoni totali tal-FAEG tammonta għal EUR 646,7 miljun.</w:t>
      </w:r>
    </w:p>
    <w:p w14:paraId="58A053C5" w14:textId="3E31EC22" w:rsidR="0056551C" w:rsidRPr="001E1BE2" w:rsidRDefault="005019A4" w:rsidP="001E1BE2">
      <w:pPr>
        <w:spacing w:before="120" w:after="120" w:line="240" w:lineRule="auto"/>
        <w:ind w:left="840"/>
        <w:jc w:val="both"/>
        <w:rPr>
          <w:rFonts w:ascii="Times New Roman" w:hAnsi="Times New Roman"/>
          <w:noProof/>
          <w:sz w:val="24"/>
        </w:rPr>
      </w:pPr>
      <w:r>
        <w:rPr>
          <w:rFonts w:ascii="Times New Roman" w:hAnsi="Times New Roman"/>
          <w:noProof/>
          <w:sz w:val="24"/>
        </w:rPr>
        <w:t>Dan is-surplus ġenerali tal-FAEG jinkludi EUR 315,5-il miljun ta’ approprjazzjonijiet ivvotati (C1) mir-riżerva għall-agrikoltura, li se jiġi riportat għar-riżerva għall-agrikoltura tal-2024 f’konformità mal-Artikolu 16(2), it-tielet subparagrafu, tar-Regolament (UE) 2021/2116.</w:t>
      </w:r>
    </w:p>
    <w:p w14:paraId="13611D3C" w14:textId="3A37519D" w:rsidR="005019A4" w:rsidRDefault="005019A4">
      <w:pPr>
        <w:spacing w:before="120" w:after="120" w:line="240" w:lineRule="auto"/>
        <w:ind w:left="840"/>
        <w:jc w:val="both"/>
        <w:rPr>
          <w:rFonts w:ascii="Times New Roman" w:hAnsi="Times New Roman"/>
          <w:noProof/>
          <w:sz w:val="24"/>
        </w:rPr>
      </w:pPr>
      <w:bookmarkStart w:id="16" w:name="_Toc525722902"/>
      <w:bookmarkStart w:id="17" w:name="_Toc525734906"/>
      <w:bookmarkStart w:id="18" w:name="_Toc525736637"/>
      <w:bookmarkStart w:id="19" w:name="_Toc526175165"/>
      <w:bookmarkEnd w:id="16"/>
      <w:bookmarkEnd w:id="17"/>
      <w:bookmarkEnd w:id="18"/>
      <w:bookmarkEnd w:id="19"/>
      <w:r>
        <w:rPr>
          <w:rFonts w:ascii="Times New Roman" w:hAnsi="Times New Roman"/>
          <w:noProof/>
          <w:sz w:val="24"/>
        </w:rPr>
        <w:t>Is-surplus li fadal ta’ EUR 331,2 miljun jissarraf fi dħul addizzjonali assenjat lill-FAEG (C4) li għandu jiġi riportat mill-2023 għall-2024, li jnaqqas l-ammont ta’ approprjazzjonijiet meħtieġa fil-baġit tal-2024.</w:t>
      </w:r>
    </w:p>
    <w:p w14:paraId="00766A22" w14:textId="3175A3DC" w:rsidR="00C706D5" w:rsidRPr="00AB523F" w:rsidRDefault="00610A38" w:rsidP="00C706D5">
      <w:pPr>
        <w:spacing w:before="120" w:after="120" w:line="240" w:lineRule="auto"/>
        <w:ind w:left="850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L-implimentazzjoni reali fi tmiem is-sena għan-nefqa ġestita direttament kif ukoll għadd ta’ aġġustamenti ta’ tmiem is-sena u trasferimenti ta’ approprjazzjonijiet se jinfluwenzaw kemxejn il-bilanċ finali tad-dħul assenjat li għandu jiġi riportat għall-baġit tal-2024. Fil-kuntest tal-proċedura ta’ konċiljazzjoni dwar il-baġit għall-2024, dan il-bilanċ ġie stmat għal EUR 339,8 miljun.</w:t>
      </w:r>
    </w:p>
    <w:p w14:paraId="5BB5EB71" w14:textId="77777777" w:rsidR="00C706D5" w:rsidRPr="001E1BE2" w:rsidRDefault="00C706D5" w:rsidP="001E1BE2">
      <w:pPr>
        <w:spacing w:before="120" w:after="120" w:line="240" w:lineRule="auto"/>
        <w:ind w:left="840"/>
        <w:jc w:val="both"/>
        <w:rPr>
          <w:rFonts w:ascii="Times New Roman" w:hAnsi="Times New Roman"/>
          <w:noProof/>
          <w:sz w:val="24"/>
        </w:rPr>
      </w:pPr>
    </w:p>
    <w:p w14:paraId="526D1186" w14:textId="59098979" w:rsidR="00010116" w:rsidRPr="002D1321" w:rsidRDefault="00010116" w:rsidP="00A57B74">
      <w:pPr>
        <w:rPr>
          <w:noProof/>
        </w:rPr>
      </w:pPr>
    </w:p>
    <w:sectPr w:rsidR="00010116" w:rsidRPr="002D1321" w:rsidSect="0078603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BAC61" w14:textId="77777777" w:rsidR="00050499" w:rsidRDefault="00050499" w:rsidP="00010116">
      <w:pPr>
        <w:spacing w:after="0" w:line="240" w:lineRule="auto"/>
      </w:pPr>
      <w:r>
        <w:separator/>
      </w:r>
    </w:p>
  </w:endnote>
  <w:endnote w:type="continuationSeparator" w:id="0">
    <w:p w14:paraId="5F3D0DD1" w14:textId="77777777" w:rsidR="00050499" w:rsidRDefault="00050499" w:rsidP="00010116">
      <w:pPr>
        <w:spacing w:after="0" w:line="240" w:lineRule="auto"/>
      </w:pPr>
      <w:r>
        <w:continuationSeparator/>
      </w:r>
    </w:p>
  </w:endnote>
  <w:endnote w:type="continuationNotice" w:id="1">
    <w:p w14:paraId="18D77A12" w14:textId="77777777" w:rsidR="00050499" w:rsidRDefault="000504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A50D30" w14:textId="559B38A5" w:rsidR="00614FB1" w:rsidRPr="00614FB1" w:rsidRDefault="00614FB1" w:rsidP="00614FB1">
    <w:pPr>
      <w:pStyle w:val="FooterCoverPage"/>
      <w:rPr>
        <w:rFonts w:ascii="Arial" w:hAnsi="Arial" w:cs="Arial"/>
        <w:b/>
        <w:sz w:val="48"/>
      </w:rPr>
    </w:pPr>
    <w:r w:rsidRPr="00614FB1">
      <w:rPr>
        <w:rFonts w:ascii="Arial" w:hAnsi="Arial" w:cs="Arial"/>
        <w:b/>
        <w:sz w:val="48"/>
      </w:rPr>
      <w:t>MT</w:t>
    </w:r>
    <w:r w:rsidRPr="00614FB1">
      <w:rPr>
        <w:rFonts w:ascii="Arial" w:hAnsi="Arial" w:cs="Arial"/>
        <w:b/>
        <w:sz w:val="48"/>
      </w:rPr>
      <w:tab/>
    </w:r>
    <w:r w:rsidRPr="00614FB1">
      <w:rPr>
        <w:rFonts w:ascii="Arial" w:hAnsi="Arial" w:cs="Arial"/>
        <w:b/>
        <w:sz w:val="48"/>
      </w:rPr>
      <w:tab/>
    </w:r>
    <w:r w:rsidRPr="00614FB1">
      <w:tab/>
    </w:r>
    <w:r w:rsidRPr="00614FB1">
      <w:rPr>
        <w:rFonts w:ascii="Arial" w:hAnsi="Arial" w:cs="Arial"/>
        <w:b/>
        <w:sz w:val="48"/>
      </w:rPr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91442" w14:textId="652F17F7" w:rsidR="00614FB1" w:rsidRPr="00614FB1" w:rsidRDefault="00614FB1" w:rsidP="00614FB1">
    <w:pPr>
      <w:pStyle w:val="FooterCoverPage"/>
      <w:rPr>
        <w:rFonts w:ascii="Arial" w:hAnsi="Arial" w:cs="Arial"/>
        <w:b/>
        <w:sz w:val="48"/>
      </w:rPr>
    </w:pPr>
    <w:r w:rsidRPr="00614FB1">
      <w:rPr>
        <w:rFonts w:ascii="Arial" w:hAnsi="Arial" w:cs="Arial"/>
        <w:b/>
        <w:sz w:val="48"/>
      </w:rPr>
      <w:t>MT</w:t>
    </w:r>
    <w:r w:rsidRPr="00614FB1">
      <w:rPr>
        <w:rFonts w:ascii="Arial" w:hAnsi="Arial" w:cs="Arial"/>
        <w:b/>
        <w:sz w:val="48"/>
      </w:rPr>
      <w:tab/>
    </w:r>
    <w:r w:rsidRPr="00614FB1">
      <w:rPr>
        <w:rFonts w:ascii="Arial" w:hAnsi="Arial" w:cs="Arial"/>
        <w:b/>
        <w:sz w:val="48"/>
      </w:rPr>
      <w:tab/>
    </w:r>
    <w:r w:rsidRPr="00614FB1">
      <w:tab/>
    </w:r>
    <w:r w:rsidRPr="00614FB1"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5AB64" w14:textId="77777777" w:rsidR="00614FB1" w:rsidRPr="00614FB1" w:rsidRDefault="00614FB1" w:rsidP="00614FB1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9072C" w14:textId="77777777" w:rsidR="0000214C" w:rsidRPr="00F4454F" w:rsidRDefault="00614FB1" w:rsidP="00F4454F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62972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4AC9B4" w14:textId="7ABF5162" w:rsidR="00945DF3" w:rsidRDefault="00877BE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4FB1">
          <w:rPr>
            <w:noProof/>
          </w:rPr>
          <w:t>1</w:t>
        </w:r>
        <w:r>
          <w:fldChar w:fldCharType="end"/>
        </w:r>
      </w:p>
    </w:sdtContent>
  </w:sdt>
  <w:p w14:paraId="2628DA8E" w14:textId="77777777" w:rsidR="00945DF3" w:rsidRPr="00F4454F" w:rsidRDefault="00614FB1" w:rsidP="00F4454F">
    <w:pPr>
      <w:pStyle w:val="FooterCoverPage"/>
      <w:rPr>
        <w:rFonts w:ascii="Arial" w:hAnsi="Arial" w:cs="Arial"/>
        <w:b/>
        <w:sz w:val="48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6A84E" w14:textId="77777777" w:rsidR="0000214C" w:rsidRPr="00F4454F" w:rsidRDefault="00614FB1" w:rsidP="00F4454F">
    <w:pPr>
      <w:pStyle w:val="FooterCover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0A56A0" w14:textId="77777777" w:rsidR="00050499" w:rsidRDefault="00050499" w:rsidP="00010116">
      <w:pPr>
        <w:spacing w:after="0" w:line="240" w:lineRule="auto"/>
      </w:pPr>
      <w:r>
        <w:separator/>
      </w:r>
    </w:p>
  </w:footnote>
  <w:footnote w:type="continuationSeparator" w:id="0">
    <w:p w14:paraId="3C74AE6E" w14:textId="77777777" w:rsidR="00050499" w:rsidRDefault="00050499" w:rsidP="00010116">
      <w:pPr>
        <w:spacing w:after="0" w:line="240" w:lineRule="auto"/>
      </w:pPr>
      <w:r>
        <w:continuationSeparator/>
      </w:r>
    </w:p>
  </w:footnote>
  <w:footnote w:type="continuationNotice" w:id="1">
    <w:p w14:paraId="3D646A91" w14:textId="77777777" w:rsidR="00050499" w:rsidRDefault="00050499">
      <w:pPr>
        <w:spacing w:after="0" w:line="240" w:lineRule="auto"/>
      </w:pPr>
    </w:p>
  </w:footnote>
  <w:footnote w:id="2">
    <w:p w14:paraId="107A48A3" w14:textId="6D4210B3" w:rsidR="005D6441" w:rsidRDefault="005D644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  <w:color w:val="333333"/>
          <w:shd w:val="clear" w:color="auto" w:fill="FFFFFF"/>
        </w:rPr>
        <w:t>Ir-Regolament ta’ Implimentazzjoni tal-Kummissjoni (UE) 2022/2406 tat-8 ta’ Diċembru 2022 dwar miżuri eċċezzjonali ta’ appoġġ għas-suq għas-setturi tal-bajd u tal-laħam tat-tjur fil-Polonja (ĠU</w:t>
      </w:r>
      <w:r>
        <w:rPr>
          <w:rFonts w:ascii="Times New Roman" w:hAnsi="Times New Roman"/>
        </w:rPr>
        <w:t xml:space="preserve"> L 317, 9.12.2022, p. 56, </w:t>
      </w:r>
      <w:r>
        <w:rPr>
          <w:rFonts w:ascii="Times New Roman" w:hAnsi="Times New Roman"/>
          <w:color w:val="333333"/>
          <w:shd w:val="clear" w:color="auto" w:fill="FFFFFF"/>
        </w:rPr>
        <w:t>ELI:</w:t>
      </w:r>
      <w:r>
        <w:rPr>
          <w:rFonts w:ascii="Roboto" w:hAnsi="Roboto"/>
          <w:color w:val="333333"/>
          <w:shd w:val="clear" w:color="auto" w:fill="FFFFFF"/>
        </w:rPr>
        <w:t> </w:t>
      </w:r>
      <w:hyperlink r:id="rId1" w:history="1">
        <w:r>
          <w:rPr>
            <w:rStyle w:val="Hyperlink"/>
            <w:rFonts w:ascii="Roboto" w:hAnsi="Roboto"/>
            <w:shd w:val="clear" w:color="auto" w:fill="FFFFFF"/>
          </w:rPr>
          <w:t>http://data.europa.eu/eli/reg_impl/2022/2406/oj</w:t>
        </w:r>
        <w:r>
          <w:rPr>
            <w:rStyle w:val="Hyperlink"/>
          </w:rPr>
          <w:t>)</w:t>
        </w:r>
      </w:hyperlink>
      <w:r>
        <w:t xml:space="preserve">, </w:t>
      </w:r>
    </w:p>
    <w:p w14:paraId="0461EEFA" w14:textId="4C228B42" w:rsidR="003D6ECA" w:rsidRPr="00B66689" w:rsidRDefault="003D6ECA">
      <w:pPr>
        <w:pStyle w:val="FootnoteText"/>
      </w:pPr>
      <w:r>
        <w:rPr>
          <w:rFonts w:ascii="Times New Roman" w:hAnsi="Times New Roman"/>
        </w:rPr>
        <w:t>Ir-Regolament ta’ Implimentazzjoni tal-Kummissjoni (UE) 2023/739 tal-4 ta’ April 2023 li jipprevedi miżura ta’ appoġġ ta’ emerġenza għas-setturi taċ-ċereali u taż-żrieragħ żejtnin fil-Bulgarija, fil-Polonja u fir-Rumanija (ĠU L 96, 5.4.2023, p. 80, ELI:</w:t>
      </w:r>
      <w:r>
        <w:t xml:space="preserve"> </w:t>
      </w:r>
      <w:hyperlink r:id="rId2" w:history="1">
        <w:r>
          <w:rPr>
            <w:rStyle w:val="Hyperlink"/>
            <w:rFonts w:ascii="Roboto" w:hAnsi="Roboto"/>
            <w:shd w:val="clear" w:color="auto" w:fill="FFFFFF"/>
          </w:rPr>
          <w:t>http://data.europa.eu/eli/reg_impl/2023/739/oj</w:t>
        </w:r>
      </w:hyperlink>
      <w:r>
        <w:t>),</w:t>
      </w:r>
    </w:p>
    <w:p w14:paraId="7D2ECACC" w14:textId="36F14898" w:rsidR="003D6ECA" w:rsidRPr="00B66689" w:rsidRDefault="003D6ECA">
      <w:pPr>
        <w:pStyle w:val="FootnoteText"/>
      </w:pPr>
      <w:r>
        <w:rPr>
          <w:rFonts w:ascii="Times New Roman" w:hAnsi="Times New Roman"/>
        </w:rPr>
        <w:t>Ir-Regolament ta’ Implimentazzjoni tal-Kummissjoni (UE) 2023/834 tat-18 ta’ April 2023 dwar miżuri eċċezzjonali ta’ appoġġ għas-suq għas-setturi tal-bajd u tal-laħam tat-tjur fl-Italja (ĠU L 105, 20.4.2023, p. 2, ELI:</w:t>
      </w:r>
      <w:r>
        <w:t> </w:t>
      </w:r>
      <w:hyperlink r:id="rId3" w:tooltip="Jagħti aċċess għal dan id-dokument permezz tal-URI tal-ELI." w:history="1">
        <w:r>
          <w:rPr>
            <w:rStyle w:val="Hyperlink"/>
            <w:rFonts w:ascii="Roboto" w:hAnsi="Roboto"/>
            <w:shd w:val="clear" w:color="auto" w:fill="FFFFFF"/>
          </w:rPr>
          <w:t>http://data.europa.eu/eli/reg_impl/2023/834/oj</w:t>
        </w:r>
      </w:hyperlink>
      <w:r>
        <w:t xml:space="preserve">), </w:t>
      </w:r>
    </w:p>
    <w:p w14:paraId="617ABE57" w14:textId="64251D16" w:rsidR="003D6ECA" w:rsidRPr="00B66689" w:rsidRDefault="003D6ECA">
      <w:pPr>
        <w:pStyle w:val="FootnoteText"/>
      </w:pPr>
      <w:r>
        <w:rPr>
          <w:rFonts w:ascii="Times New Roman" w:hAnsi="Times New Roman"/>
        </w:rPr>
        <w:t>Ir-Regolament ta’ Implimentazzjoni tal-Kummissjoni (UE) 2023/1343 tat-30 ta’ Ġunju 2023 li jipprevedi miżura ta’ appoġġ ta’ emerġenza għas-setturi taċ-ċereali u taż-żrieragħ żejtnin fil-Bulgarija, fl-Ungerija, fil-Polonja, fir-Rumanija u fis-Slovakkja (ĠU L 168, 3.7.2023, p. 22, ELI:</w:t>
      </w:r>
      <w:r>
        <w:t> </w:t>
      </w:r>
      <w:hyperlink r:id="rId4" w:tooltip="Jagħti aċċess għal dan id-dokument permezz tal-URI tal-ELI." w:history="1">
        <w:r>
          <w:rPr>
            <w:rStyle w:val="Hyperlink"/>
            <w:rFonts w:ascii="Roboto" w:hAnsi="Roboto"/>
            <w:shd w:val="clear" w:color="auto" w:fill="FFFFFF"/>
          </w:rPr>
          <w:t>http://data.europa.eu/eli/reg_impl/2023/1343/oj</w:t>
        </w:r>
      </w:hyperlink>
      <w:r>
        <w:t xml:space="preserve">), </w:t>
      </w:r>
    </w:p>
    <w:p w14:paraId="7995B5B0" w14:textId="39B025DF" w:rsidR="003D6ECA" w:rsidRPr="00BC4C43" w:rsidRDefault="003D6ECA">
      <w:pPr>
        <w:pStyle w:val="FootnoteText"/>
      </w:pPr>
      <w:r>
        <w:rPr>
          <w:rFonts w:ascii="Times New Roman" w:hAnsi="Times New Roman"/>
        </w:rPr>
        <w:t>Ir-Regolament ta’ Implimentazzjoni tal-Kummissjoni (UE) 2023/1465 tal-14 ta’ Lulju 2023 li jipprovdi għal appoġġ finanzjarju ta’ emerġenza għas-setturi agrikoli affettwati minn problemi speċifiċi b’impatt fuq il-vijabbiltà ekonomika tal-produtturi agrikoli (ĠU L 180, 17.7.2023, p. 21, ELI:</w:t>
      </w:r>
      <w:r>
        <w:t> </w:t>
      </w:r>
      <w:hyperlink r:id="rId5" w:tooltip="Jagħti aċċess għal dan id-dokument permezz tal-URI tal-ELI." w:history="1">
        <w:r>
          <w:rPr>
            <w:rStyle w:val="Hyperlink"/>
            <w:rFonts w:ascii="Roboto" w:hAnsi="Roboto"/>
            <w:shd w:val="clear" w:color="auto" w:fill="FFFFFF"/>
          </w:rPr>
          <w:t>http://data.europa.eu/eli/reg_impl/2023/1465/oj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1C5C4" w14:textId="77777777" w:rsidR="00614FB1" w:rsidRPr="00614FB1" w:rsidRDefault="00614FB1" w:rsidP="00614FB1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3AC26" w14:textId="77777777" w:rsidR="00614FB1" w:rsidRPr="00614FB1" w:rsidRDefault="00614FB1" w:rsidP="00614FB1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C3EA3E" w14:textId="77777777" w:rsidR="00614FB1" w:rsidRPr="00614FB1" w:rsidRDefault="00614FB1" w:rsidP="00614FB1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4D529" w14:textId="77777777" w:rsidR="0000214C" w:rsidRPr="00F4454F" w:rsidRDefault="00614FB1" w:rsidP="00F4454F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B218F" w14:textId="77777777" w:rsidR="0000214C" w:rsidRPr="00F4454F" w:rsidRDefault="00614FB1" w:rsidP="00F4454F">
    <w:pPr>
      <w:pStyle w:val="HeaderCoverPag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5B4CF" w14:textId="77777777" w:rsidR="0000214C" w:rsidRPr="00F4454F" w:rsidRDefault="00614FB1" w:rsidP="00F4454F">
    <w:pPr>
      <w:pStyle w:val="HeaderCoverPag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C0697"/>
    <w:multiLevelType w:val="hybridMultilevel"/>
    <w:tmpl w:val="65E208FE"/>
    <w:lvl w:ilvl="0" w:tplc="18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" w15:restartNumberingAfterBreak="0">
    <w:nsid w:val="12E871E7"/>
    <w:multiLevelType w:val="hybridMultilevel"/>
    <w:tmpl w:val="E9C0EFF4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2D850A4A"/>
    <w:multiLevelType w:val="hybridMultilevel"/>
    <w:tmpl w:val="BEA8B052"/>
    <w:lvl w:ilvl="0" w:tplc="04090001">
      <w:start w:val="1"/>
      <w:numFmt w:val="bullet"/>
      <w:lvlText w:val=""/>
      <w:lvlJc w:val="left"/>
      <w:pPr>
        <w:ind w:left="1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3" w15:restartNumberingAfterBreak="0">
    <w:nsid w:val="4E1A982C"/>
    <w:multiLevelType w:val="multilevel"/>
    <w:tmpl w:val="C2AA8F80"/>
    <w:name w:val="ListBulletNumbering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</w:rPr>
    </w:lvl>
    <w:lvl w:ilvl="1">
      <w:start w:val="1"/>
      <w:numFmt w:val="bullet"/>
      <w:pStyle w:val="ListBulletLevel2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/>
      </w:rPr>
    </w:lvl>
    <w:lvl w:ilvl="2">
      <w:start w:val="1"/>
      <w:numFmt w:val="bullet"/>
      <w:pStyle w:val="ListBulletLevel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</w:rPr>
    </w:lvl>
    <w:lvl w:ilvl="3">
      <w:start w:val="1"/>
      <w:numFmt w:val="bullet"/>
      <w:pStyle w:val="ListBulletLevel4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/>
      </w:rPr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4" w15:restartNumberingAfterBreak="0">
    <w:nsid w:val="64A12FA4"/>
    <w:multiLevelType w:val="multilevel"/>
    <w:tmpl w:val="428ECF3E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438808ED-8B7A-4041-AD54-F542AF73F088"/>
    <w:docVar w:name="LW_COVERPAGE_TYPE" w:val="1"/>
    <w:docVar w:name="LW_CROSSREFERENCE" w:val="&lt;UNUSED&gt;"/>
    <w:docVar w:name="LW_DocType" w:val="NORMAL"/>
    <w:docVar w:name="LW_EMISSION" w:val="19.1.2024"/>
    <w:docVar w:name="LW_EMISSION_ISODATE" w:val="2024-01-19"/>
    <w:docVar w:name="LW_EMISSION_LOCATION" w:val="BRX"/>
    <w:docVar w:name="LW_EMISSION_PREFIX" w:val="Brussell, "/>
    <w:docVar w:name="LW_EMISSION_SUFFIX" w:val=" "/>
    <w:docVar w:name="LW_ID_DOCTYPE_NONLW" w:val="CP-006"/>
    <w:docVar w:name="LW_LANGUE" w:val="MT"/>
    <w:docVar w:name="LW_LEVEL_OF_SENSITIVITY" w:val="Standard treatment"/>
    <w:docVar w:name="LW_NOM.INST" w:val="IL-KUMMISSJONI EWROPEA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24) 32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dwar in-nefqa tal-FAEG _x000d__x000d__x000d__x000d__x000d__x000d__x000d__x000d__x000d__x000d__x000d__x000d__x000b_Sistema ta' Twissija Bikrija Nru 11-12/2023"/>
    <w:docVar w:name="LW_TYPE.DOC.CP" w:val="RAPPORT TAL-KUMMISSJONI LILL-PARLAMENT EWROPEW U LILL-KUNSILL"/>
    <w:docVar w:name="LwApiVersions" w:val="LW4CoDe 1.24.4.0; LW 9.0, Build 20240109"/>
  </w:docVars>
  <w:rsids>
    <w:rsidRoot w:val="00010116"/>
    <w:rsid w:val="000004CF"/>
    <w:rsid w:val="000014F9"/>
    <w:rsid w:val="000028A8"/>
    <w:rsid w:val="00004AF1"/>
    <w:rsid w:val="00010116"/>
    <w:rsid w:val="00012113"/>
    <w:rsid w:val="00021561"/>
    <w:rsid w:val="0002621E"/>
    <w:rsid w:val="00026438"/>
    <w:rsid w:val="00026F4F"/>
    <w:rsid w:val="00027293"/>
    <w:rsid w:val="00031470"/>
    <w:rsid w:val="00035A43"/>
    <w:rsid w:val="00036024"/>
    <w:rsid w:val="00044A51"/>
    <w:rsid w:val="00050499"/>
    <w:rsid w:val="00051725"/>
    <w:rsid w:val="00052939"/>
    <w:rsid w:val="00055ACB"/>
    <w:rsid w:val="00056F76"/>
    <w:rsid w:val="00060405"/>
    <w:rsid w:val="00067E56"/>
    <w:rsid w:val="00071F17"/>
    <w:rsid w:val="00072B14"/>
    <w:rsid w:val="00073D2D"/>
    <w:rsid w:val="00074BE9"/>
    <w:rsid w:val="000777EC"/>
    <w:rsid w:val="00082D7A"/>
    <w:rsid w:val="00084895"/>
    <w:rsid w:val="000848AD"/>
    <w:rsid w:val="000974A0"/>
    <w:rsid w:val="000A10E3"/>
    <w:rsid w:val="000A3FC8"/>
    <w:rsid w:val="000A6E6C"/>
    <w:rsid w:val="000B1604"/>
    <w:rsid w:val="000B25D0"/>
    <w:rsid w:val="000B2762"/>
    <w:rsid w:val="000B3A91"/>
    <w:rsid w:val="000C20D1"/>
    <w:rsid w:val="000C5265"/>
    <w:rsid w:val="000D5BBD"/>
    <w:rsid w:val="000E2FEA"/>
    <w:rsid w:val="000E3618"/>
    <w:rsid w:val="000F1099"/>
    <w:rsid w:val="000F4780"/>
    <w:rsid w:val="00104B71"/>
    <w:rsid w:val="00114E0A"/>
    <w:rsid w:val="00120994"/>
    <w:rsid w:val="00131C6C"/>
    <w:rsid w:val="001349FB"/>
    <w:rsid w:val="0014195F"/>
    <w:rsid w:val="00143C91"/>
    <w:rsid w:val="00146667"/>
    <w:rsid w:val="0015425A"/>
    <w:rsid w:val="00161BF3"/>
    <w:rsid w:val="001724A2"/>
    <w:rsid w:val="001743FB"/>
    <w:rsid w:val="00182D83"/>
    <w:rsid w:val="00183F01"/>
    <w:rsid w:val="00185B46"/>
    <w:rsid w:val="00190E84"/>
    <w:rsid w:val="00191178"/>
    <w:rsid w:val="001922D3"/>
    <w:rsid w:val="001930F6"/>
    <w:rsid w:val="001A40B0"/>
    <w:rsid w:val="001B1AC1"/>
    <w:rsid w:val="001B5298"/>
    <w:rsid w:val="001B5A55"/>
    <w:rsid w:val="001B7B92"/>
    <w:rsid w:val="001C0EE2"/>
    <w:rsid w:val="001D02EB"/>
    <w:rsid w:val="001D4660"/>
    <w:rsid w:val="001E1BE2"/>
    <w:rsid w:val="001F0011"/>
    <w:rsid w:val="001F271D"/>
    <w:rsid w:val="001F2DAD"/>
    <w:rsid w:val="001F32A8"/>
    <w:rsid w:val="001F5CF5"/>
    <w:rsid w:val="001F7B7B"/>
    <w:rsid w:val="0020521C"/>
    <w:rsid w:val="002201FF"/>
    <w:rsid w:val="00221E55"/>
    <w:rsid w:val="00224A64"/>
    <w:rsid w:val="00241CA0"/>
    <w:rsid w:val="00243011"/>
    <w:rsid w:val="002457DD"/>
    <w:rsid w:val="00247C48"/>
    <w:rsid w:val="00250F09"/>
    <w:rsid w:val="002514F1"/>
    <w:rsid w:val="00260986"/>
    <w:rsid w:val="00261842"/>
    <w:rsid w:val="00261E97"/>
    <w:rsid w:val="00264E17"/>
    <w:rsid w:val="0027086F"/>
    <w:rsid w:val="00283640"/>
    <w:rsid w:val="00283787"/>
    <w:rsid w:val="00285535"/>
    <w:rsid w:val="00287E48"/>
    <w:rsid w:val="00290C8E"/>
    <w:rsid w:val="00296553"/>
    <w:rsid w:val="002A33F2"/>
    <w:rsid w:val="002A3943"/>
    <w:rsid w:val="002A439A"/>
    <w:rsid w:val="002A64B8"/>
    <w:rsid w:val="002C458A"/>
    <w:rsid w:val="002D1321"/>
    <w:rsid w:val="002E1F37"/>
    <w:rsid w:val="002E2927"/>
    <w:rsid w:val="002E47CA"/>
    <w:rsid w:val="002E4A80"/>
    <w:rsid w:val="002F51E0"/>
    <w:rsid w:val="00300DAA"/>
    <w:rsid w:val="00302B5A"/>
    <w:rsid w:val="00303147"/>
    <w:rsid w:val="0030622F"/>
    <w:rsid w:val="00310CDF"/>
    <w:rsid w:val="00317927"/>
    <w:rsid w:val="00317E5F"/>
    <w:rsid w:val="003203B6"/>
    <w:rsid w:val="00326E0F"/>
    <w:rsid w:val="0032751E"/>
    <w:rsid w:val="00327F2F"/>
    <w:rsid w:val="003324BD"/>
    <w:rsid w:val="0033576F"/>
    <w:rsid w:val="00335B0C"/>
    <w:rsid w:val="003363F3"/>
    <w:rsid w:val="00337E78"/>
    <w:rsid w:val="003431AC"/>
    <w:rsid w:val="00346D32"/>
    <w:rsid w:val="00351CDD"/>
    <w:rsid w:val="00352690"/>
    <w:rsid w:val="00355354"/>
    <w:rsid w:val="00355E93"/>
    <w:rsid w:val="00360685"/>
    <w:rsid w:val="00362A6E"/>
    <w:rsid w:val="00362C2F"/>
    <w:rsid w:val="00362E22"/>
    <w:rsid w:val="00367011"/>
    <w:rsid w:val="0036777F"/>
    <w:rsid w:val="003834B7"/>
    <w:rsid w:val="00390C9B"/>
    <w:rsid w:val="00390CCD"/>
    <w:rsid w:val="0039166B"/>
    <w:rsid w:val="003926D1"/>
    <w:rsid w:val="003951A7"/>
    <w:rsid w:val="003961C3"/>
    <w:rsid w:val="003B593D"/>
    <w:rsid w:val="003C00DC"/>
    <w:rsid w:val="003C568E"/>
    <w:rsid w:val="003C5828"/>
    <w:rsid w:val="003C7992"/>
    <w:rsid w:val="003D41A1"/>
    <w:rsid w:val="003D4E71"/>
    <w:rsid w:val="003D577A"/>
    <w:rsid w:val="003D6ECA"/>
    <w:rsid w:val="003F04B3"/>
    <w:rsid w:val="003F5658"/>
    <w:rsid w:val="0040101B"/>
    <w:rsid w:val="00410BC3"/>
    <w:rsid w:val="00410BEC"/>
    <w:rsid w:val="00412155"/>
    <w:rsid w:val="004137D6"/>
    <w:rsid w:val="00415ED1"/>
    <w:rsid w:val="00417470"/>
    <w:rsid w:val="00423D9D"/>
    <w:rsid w:val="00425E03"/>
    <w:rsid w:val="004349D0"/>
    <w:rsid w:val="0043740A"/>
    <w:rsid w:val="0044339A"/>
    <w:rsid w:val="00453500"/>
    <w:rsid w:val="0046463C"/>
    <w:rsid w:val="00465F5B"/>
    <w:rsid w:val="00466072"/>
    <w:rsid w:val="004677BD"/>
    <w:rsid w:val="00473CD5"/>
    <w:rsid w:val="00481798"/>
    <w:rsid w:val="004826FC"/>
    <w:rsid w:val="00483409"/>
    <w:rsid w:val="00491877"/>
    <w:rsid w:val="004A3000"/>
    <w:rsid w:val="004A3063"/>
    <w:rsid w:val="004A3443"/>
    <w:rsid w:val="004A5C7E"/>
    <w:rsid w:val="004A7D7C"/>
    <w:rsid w:val="004C04F9"/>
    <w:rsid w:val="004C1C59"/>
    <w:rsid w:val="004C5B78"/>
    <w:rsid w:val="004D53BC"/>
    <w:rsid w:val="004D7EAB"/>
    <w:rsid w:val="004E0E13"/>
    <w:rsid w:val="004E3B71"/>
    <w:rsid w:val="004E65AA"/>
    <w:rsid w:val="004F1032"/>
    <w:rsid w:val="004F19D6"/>
    <w:rsid w:val="004F520E"/>
    <w:rsid w:val="0050177E"/>
    <w:rsid w:val="005019A4"/>
    <w:rsid w:val="005025F4"/>
    <w:rsid w:val="0051319B"/>
    <w:rsid w:val="005154EA"/>
    <w:rsid w:val="005157ED"/>
    <w:rsid w:val="005160CD"/>
    <w:rsid w:val="005277C8"/>
    <w:rsid w:val="0053469F"/>
    <w:rsid w:val="0053638B"/>
    <w:rsid w:val="00551562"/>
    <w:rsid w:val="0055498F"/>
    <w:rsid w:val="0055682C"/>
    <w:rsid w:val="00564DD1"/>
    <w:rsid w:val="00565091"/>
    <w:rsid w:val="0056551C"/>
    <w:rsid w:val="00565EA1"/>
    <w:rsid w:val="00576C20"/>
    <w:rsid w:val="00593AB4"/>
    <w:rsid w:val="005B038C"/>
    <w:rsid w:val="005B163F"/>
    <w:rsid w:val="005B46F4"/>
    <w:rsid w:val="005B4DDB"/>
    <w:rsid w:val="005B5871"/>
    <w:rsid w:val="005B6A7E"/>
    <w:rsid w:val="005B6D43"/>
    <w:rsid w:val="005B7BAF"/>
    <w:rsid w:val="005C5606"/>
    <w:rsid w:val="005C6A2C"/>
    <w:rsid w:val="005D0B86"/>
    <w:rsid w:val="005D1E7B"/>
    <w:rsid w:val="005D3CC8"/>
    <w:rsid w:val="005D6441"/>
    <w:rsid w:val="005E16D4"/>
    <w:rsid w:val="005E2C15"/>
    <w:rsid w:val="005E33C8"/>
    <w:rsid w:val="005E421F"/>
    <w:rsid w:val="005E5640"/>
    <w:rsid w:val="005F0686"/>
    <w:rsid w:val="005F36F3"/>
    <w:rsid w:val="005F6797"/>
    <w:rsid w:val="005F69ED"/>
    <w:rsid w:val="005F722E"/>
    <w:rsid w:val="00605291"/>
    <w:rsid w:val="00610A38"/>
    <w:rsid w:val="00611D3E"/>
    <w:rsid w:val="00612332"/>
    <w:rsid w:val="00614FB1"/>
    <w:rsid w:val="006202A6"/>
    <w:rsid w:val="006203F3"/>
    <w:rsid w:val="0062126C"/>
    <w:rsid w:val="006256C5"/>
    <w:rsid w:val="0062765C"/>
    <w:rsid w:val="006341E0"/>
    <w:rsid w:val="00634E89"/>
    <w:rsid w:val="00637618"/>
    <w:rsid w:val="00645227"/>
    <w:rsid w:val="0064687D"/>
    <w:rsid w:val="00654840"/>
    <w:rsid w:val="0066056C"/>
    <w:rsid w:val="0066619E"/>
    <w:rsid w:val="00671E08"/>
    <w:rsid w:val="0069238C"/>
    <w:rsid w:val="0069684A"/>
    <w:rsid w:val="00697C2D"/>
    <w:rsid w:val="006A2E76"/>
    <w:rsid w:val="006A7921"/>
    <w:rsid w:val="006B05CF"/>
    <w:rsid w:val="006B0EEF"/>
    <w:rsid w:val="006B1F93"/>
    <w:rsid w:val="006B1F99"/>
    <w:rsid w:val="006C20E8"/>
    <w:rsid w:val="006C6EA7"/>
    <w:rsid w:val="006D08E9"/>
    <w:rsid w:val="006D3BB7"/>
    <w:rsid w:val="006D6313"/>
    <w:rsid w:val="006E37F7"/>
    <w:rsid w:val="006E503F"/>
    <w:rsid w:val="007002DC"/>
    <w:rsid w:val="00707CD4"/>
    <w:rsid w:val="00710136"/>
    <w:rsid w:val="00712712"/>
    <w:rsid w:val="00716467"/>
    <w:rsid w:val="007171A2"/>
    <w:rsid w:val="007233FF"/>
    <w:rsid w:val="00725492"/>
    <w:rsid w:val="00730CF7"/>
    <w:rsid w:val="00731301"/>
    <w:rsid w:val="00731C61"/>
    <w:rsid w:val="007322F9"/>
    <w:rsid w:val="0073326A"/>
    <w:rsid w:val="007352D9"/>
    <w:rsid w:val="0073713F"/>
    <w:rsid w:val="00740010"/>
    <w:rsid w:val="007401F1"/>
    <w:rsid w:val="00740EF5"/>
    <w:rsid w:val="00744CB0"/>
    <w:rsid w:val="00754DE9"/>
    <w:rsid w:val="00761828"/>
    <w:rsid w:val="00767140"/>
    <w:rsid w:val="0077093E"/>
    <w:rsid w:val="007717DF"/>
    <w:rsid w:val="00771BC9"/>
    <w:rsid w:val="007745B0"/>
    <w:rsid w:val="00780E2D"/>
    <w:rsid w:val="007856DE"/>
    <w:rsid w:val="007868ED"/>
    <w:rsid w:val="00790C5B"/>
    <w:rsid w:val="00792238"/>
    <w:rsid w:val="007A283A"/>
    <w:rsid w:val="007A2CCD"/>
    <w:rsid w:val="007A3C48"/>
    <w:rsid w:val="007B12DE"/>
    <w:rsid w:val="007C1316"/>
    <w:rsid w:val="007C351D"/>
    <w:rsid w:val="007E1F8D"/>
    <w:rsid w:val="007F6597"/>
    <w:rsid w:val="00800324"/>
    <w:rsid w:val="00801035"/>
    <w:rsid w:val="008039AF"/>
    <w:rsid w:val="008115A4"/>
    <w:rsid w:val="00812100"/>
    <w:rsid w:val="0081627C"/>
    <w:rsid w:val="00817012"/>
    <w:rsid w:val="00821A24"/>
    <w:rsid w:val="00821C26"/>
    <w:rsid w:val="008233C4"/>
    <w:rsid w:val="008318EA"/>
    <w:rsid w:val="0083401A"/>
    <w:rsid w:val="00836577"/>
    <w:rsid w:val="00841ED3"/>
    <w:rsid w:val="00843E31"/>
    <w:rsid w:val="008475E9"/>
    <w:rsid w:val="008574FC"/>
    <w:rsid w:val="00864149"/>
    <w:rsid w:val="008650F9"/>
    <w:rsid w:val="00877BE2"/>
    <w:rsid w:val="00884F06"/>
    <w:rsid w:val="008901E4"/>
    <w:rsid w:val="00895BFE"/>
    <w:rsid w:val="008A230F"/>
    <w:rsid w:val="008A4C3B"/>
    <w:rsid w:val="008A65E8"/>
    <w:rsid w:val="008A7D14"/>
    <w:rsid w:val="008B36A1"/>
    <w:rsid w:val="008B3C67"/>
    <w:rsid w:val="008B5222"/>
    <w:rsid w:val="008C6F0A"/>
    <w:rsid w:val="008C7D72"/>
    <w:rsid w:val="008D2CD4"/>
    <w:rsid w:val="008D6E02"/>
    <w:rsid w:val="008F18D8"/>
    <w:rsid w:val="008F4CDE"/>
    <w:rsid w:val="00905886"/>
    <w:rsid w:val="00906873"/>
    <w:rsid w:val="0091209B"/>
    <w:rsid w:val="00917786"/>
    <w:rsid w:val="00917E02"/>
    <w:rsid w:val="00921814"/>
    <w:rsid w:val="009444B4"/>
    <w:rsid w:val="0094486B"/>
    <w:rsid w:val="00944E40"/>
    <w:rsid w:val="00955039"/>
    <w:rsid w:val="00957562"/>
    <w:rsid w:val="009615C3"/>
    <w:rsid w:val="009628CE"/>
    <w:rsid w:val="0096743B"/>
    <w:rsid w:val="00970DF3"/>
    <w:rsid w:val="00971E21"/>
    <w:rsid w:val="00974935"/>
    <w:rsid w:val="00975849"/>
    <w:rsid w:val="00983E11"/>
    <w:rsid w:val="0098608D"/>
    <w:rsid w:val="009909F4"/>
    <w:rsid w:val="009B0EA3"/>
    <w:rsid w:val="009B17A0"/>
    <w:rsid w:val="009B5BBA"/>
    <w:rsid w:val="009C0DE2"/>
    <w:rsid w:val="009C6F30"/>
    <w:rsid w:val="009C6FD1"/>
    <w:rsid w:val="009C72BF"/>
    <w:rsid w:val="009C739F"/>
    <w:rsid w:val="009D4375"/>
    <w:rsid w:val="009E0975"/>
    <w:rsid w:val="009F0B26"/>
    <w:rsid w:val="009F31DA"/>
    <w:rsid w:val="009F640A"/>
    <w:rsid w:val="009F7F2E"/>
    <w:rsid w:val="00A02A94"/>
    <w:rsid w:val="00A12196"/>
    <w:rsid w:val="00A136DA"/>
    <w:rsid w:val="00A15E0E"/>
    <w:rsid w:val="00A2100A"/>
    <w:rsid w:val="00A22430"/>
    <w:rsid w:val="00A23473"/>
    <w:rsid w:val="00A23938"/>
    <w:rsid w:val="00A24B5E"/>
    <w:rsid w:val="00A31C01"/>
    <w:rsid w:val="00A3320D"/>
    <w:rsid w:val="00A348D8"/>
    <w:rsid w:val="00A3650B"/>
    <w:rsid w:val="00A376A2"/>
    <w:rsid w:val="00A3790D"/>
    <w:rsid w:val="00A44352"/>
    <w:rsid w:val="00A57B74"/>
    <w:rsid w:val="00A65901"/>
    <w:rsid w:val="00A66D9D"/>
    <w:rsid w:val="00A83C09"/>
    <w:rsid w:val="00A847ED"/>
    <w:rsid w:val="00A86399"/>
    <w:rsid w:val="00A97EC1"/>
    <w:rsid w:val="00AA2E0A"/>
    <w:rsid w:val="00AA3EA9"/>
    <w:rsid w:val="00AC4004"/>
    <w:rsid w:val="00AD22E8"/>
    <w:rsid w:val="00AD2392"/>
    <w:rsid w:val="00AD46E0"/>
    <w:rsid w:val="00AD5AA4"/>
    <w:rsid w:val="00AD6734"/>
    <w:rsid w:val="00AE4C42"/>
    <w:rsid w:val="00AF2B87"/>
    <w:rsid w:val="00B14304"/>
    <w:rsid w:val="00B1708D"/>
    <w:rsid w:val="00B203FF"/>
    <w:rsid w:val="00B222AB"/>
    <w:rsid w:val="00B23040"/>
    <w:rsid w:val="00B2713E"/>
    <w:rsid w:val="00B27377"/>
    <w:rsid w:val="00B302A4"/>
    <w:rsid w:val="00B36879"/>
    <w:rsid w:val="00B40D69"/>
    <w:rsid w:val="00B4753A"/>
    <w:rsid w:val="00B47DE6"/>
    <w:rsid w:val="00B52904"/>
    <w:rsid w:val="00B640A4"/>
    <w:rsid w:val="00B66689"/>
    <w:rsid w:val="00B7037F"/>
    <w:rsid w:val="00B74C78"/>
    <w:rsid w:val="00B76A15"/>
    <w:rsid w:val="00B835BD"/>
    <w:rsid w:val="00B841AF"/>
    <w:rsid w:val="00B87433"/>
    <w:rsid w:val="00B93E1E"/>
    <w:rsid w:val="00BA098D"/>
    <w:rsid w:val="00BA19BE"/>
    <w:rsid w:val="00BA4E9E"/>
    <w:rsid w:val="00BB46B2"/>
    <w:rsid w:val="00BB4B10"/>
    <w:rsid w:val="00BB6E89"/>
    <w:rsid w:val="00BC11B3"/>
    <w:rsid w:val="00BC2959"/>
    <w:rsid w:val="00BC4C43"/>
    <w:rsid w:val="00BC63DC"/>
    <w:rsid w:val="00BD07EF"/>
    <w:rsid w:val="00BD449A"/>
    <w:rsid w:val="00BD5A1A"/>
    <w:rsid w:val="00BD5C81"/>
    <w:rsid w:val="00BE0A99"/>
    <w:rsid w:val="00BE0CCC"/>
    <w:rsid w:val="00BF6091"/>
    <w:rsid w:val="00C247B4"/>
    <w:rsid w:val="00C25C41"/>
    <w:rsid w:val="00C25DA9"/>
    <w:rsid w:val="00C264A6"/>
    <w:rsid w:val="00C267D4"/>
    <w:rsid w:val="00C32508"/>
    <w:rsid w:val="00C35233"/>
    <w:rsid w:val="00C374F7"/>
    <w:rsid w:val="00C431BC"/>
    <w:rsid w:val="00C45B86"/>
    <w:rsid w:val="00C467C0"/>
    <w:rsid w:val="00C47C38"/>
    <w:rsid w:val="00C5121D"/>
    <w:rsid w:val="00C572C6"/>
    <w:rsid w:val="00C60E9F"/>
    <w:rsid w:val="00C63E7C"/>
    <w:rsid w:val="00C706D5"/>
    <w:rsid w:val="00C7318F"/>
    <w:rsid w:val="00C9142D"/>
    <w:rsid w:val="00CA2079"/>
    <w:rsid w:val="00CA3819"/>
    <w:rsid w:val="00CA602A"/>
    <w:rsid w:val="00CA60C0"/>
    <w:rsid w:val="00CA6702"/>
    <w:rsid w:val="00CB20E8"/>
    <w:rsid w:val="00CB2163"/>
    <w:rsid w:val="00CB6AC8"/>
    <w:rsid w:val="00CC1529"/>
    <w:rsid w:val="00CC46E7"/>
    <w:rsid w:val="00CC53B7"/>
    <w:rsid w:val="00CC6B83"/>
    <w:rsid w:val="00CD77BB"/>
    <w:rsid w:val="00CE1742"/>
    <w:rsid w:val="00CE2E88"/>
    <w:rsid w:val="00CE310B"/>
    <w:rsid w:val="00CE6B6E"/>
    <w:rsid w:val="00CF50A9"/>
    <w:rsid w:val="00CF5943"/>
    <w:rsid w:val="00D05853"/>
    <w:rsid w:val="00D075B8"/>
    <w:rsid w:val="00D131BA"/>
    <w:rsid w:val="00D15D3D"/>
    <w:rsid w:val="00D23471"/>
    <w:rsid w:val="00D23AF8"/>
    <w:rsid w:val="00D415B5"/>
    <w:rsid w:val="00D45C15"/>
    <w:rsid w:val="00D47E46"/>
    <w:rsid w:val="00D50CF4"/>
    <w:rsid w:val="00D5133D"/>
    <w:rsid w:val="00D51CE4"/>
    <w:rsid w:val="00D5604B"/>
    <w:rsid w:val="00D579FB"/>
    <w:rsid w:val="00D67174"/>
    <w:rsid w:val="00D703F4"/>
    <w:rsid w:val="00D74452"/>
    <w:rsid w:val="00D76A1A"/>
    <w:rsid w:val="00D81E9A"/>
    <w:rsid w:val="00D835A2"/>
    <w:rsid w:val="00D87402"/>
    <w:rsid w:val="00D91C16"/>
    <w:rsid w:val="00DA11FB"/>
    <w:rsid w:val="00DA1641"/>
    <w:rsid w:val="00DA1E5B"/>
    <w:rsid w:val="00DA3CAE"/>
    <w:rsid w:val="00DA65F7"/>
    <w:rsid w:val="00DA6C27"/>
    <w:rsid w:val="00DC1818"/>
    <w:rsid w:val="00DC5D54"/>
    <w:rsid w:val="00DC7DCB"/>
    <w:rsid w:val="00DD024E"/>
    <w:rsid w:val="00DD74C9"/>
    <w:rsid w:val="00DD7740"/>
    <w:rsid w:val="00DE5C36"/>
    <w:rsid w:val="00DF01FA"/>
    <w:rsid w:val="00DF2AED"/>
    <w:rsid w:val="00DF3EFA"/>
    <w:rsid w:val="00DF4B15"/>
    <w:rsid w:val="00DF6A09"/>
    <w:rsid w:val="00E05A1B"/>
    <w:rsid w:val="00E13614"/>
    <w:rsid w:val="00E148AC"/>
    <w:rsid w:val="00E154AD"/>
    <w:rsid w:val="00E1611C"/>
    <w:rsid w:val="00E21C02"/>
    <w:rsid w:val="00E21EE9"/>
    <w:rsid w:val="00E31046"/>
    <w:rsid w:val="00E32D36"/>
    <w:rsid w:val="00E3415D"/>
    <w:rsid w:val="00E410BC"/>
    <w:rsid w:val="00E41E06"/>
    <w:rsid w:val="00E445FA"/>
    <w:rsid w:val="00E44E38"/>
    <w:rsid w:val="00E45A1C"/>
    <w:rsid w:val="00E51C2C"/>
    <w:rsid w:val="00E56401"/>
    <w:rsid w:val="00E64340"/>
    <w:rsid w:val="00E65D66"/>
    <w:rsid w:val="00E6692E"/>
    <w:rsid w:val="00E70997"/>
    <w:rsid w:val="00E767D6"/>
    <w:rsid w:val="00E777B2"/>
    <w:rsid w:val="00E82D8C"/>
    <w:rsid w:val="00E901C3"/>
    <w:rsid w:val="00E93A90"/>
    <w:rsid w:val="00E93CA8"/>
    <w:rsid w:val="00E947B0"/>
    <w:rsid w:val="00E95D9D"/>
    <w:rsid w:val="00E975E7"/>
    <w:rsid w:val="00EA1AB0"/>
    <w:rsid w:val="00EA5F7B"/>
    <w:rsid w:val="00EA7BAF"/>
    <w:rsid w:val="00EB5D9B"/>
    <w:rsid w:val="00EB65BB"/>
    <w:rsid w:val="00EB692C"/>
    <w:rsid w:val="00EC7D31"/>
    <w:rsid w:val="00ED0015"/>
    <w:rsid w:val="00ED5773"/>
    <w:rsid w:val="00EE08D5"/>
    <w:rsid w:val="00EE38A2"/>
    <w:rsid w:val="00EE5ECB"/>
    <w:rsid w:val="00EF0F75"/>
    <w:rsid w:val="00F0022C"/>
    <w:rsid w:val="00F04BA4"/>
    <w:rsid w:val="00F1066B"/>
    <w:rsid w:val="00F1280A"/>
    <w:rsid w:val="00F15315"/>
    <w:rsid w:val="00F161FE"/>
    <w:rsid w:val="00F21341"/>
    <w:rsid w:val="00F244CE"/>
    <w:rsid w:val="00F271D3"/>
    <w:rsid w:val="00F30909"/>
    <w:rsid w:val="00F35BB0"/>
    <w:rsid w:val="00F37C8A"/>
    <w:rsid w:val="00F4239F"/>
    <w:rsid w:val="00F46DF5"/>
    <w:rsid w:val="00F4706F"/>
    <w:rsid w:val="00F5617C"/>
    <w:rsid w:val="00F60A7E"/>
    <w:rsid w:val="00F66364"/>
    <w:rsid w:val="00F8052D"/>
    <w:rsid w:val="00F8728A"/>
    <w:rsid w:val="00F87322"/>
    <w:rsid w:val="00F87726"/>
    <w:rsid w:val="00F87B8E"/>
    <w:rsid w:val="00F916DC"/>
    <w:rsid w:val="00F9708F"/>
    <w:rsid w:val="00F97599"/>
    <w:rsid w:val="00FA0385"/>
    <w:rsid w:val="00FB0B46"/>
    <w:rsid w:val="00FB0ED1"/>
    <w:rsid w:val="00FB3422"/>
    <w:rsid w:val="00FB67F5"/>
    <w:rsid w:val="00FC2B0B"/>
    <w:rsid w:val="00FC5B93"/>
    <w:rsid w:val="00FD249D"/>
    <w:rsid w:val="00FD2DE5"/>
    <w:rsid w:val="00FD6E5D"/>
    <w:rsid w:val="00FE064B"/>
    <w:rsid w:val="00FE172D"/>
    <w:rsid w:val="00FE3156"/>
    <w:rsid w:val="00FE3237"/>
    <w:rsid w:val="00FE52D0"/>
    <w:rsid w:val="00FF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7E3C33B"/>
  <w15:chartTrackingRefBased/>
  <w15:docId w15:val="{21C402E5-6BED-43CC-A5B0-A626B4BD3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mt-M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51C"/>
  </w:style>
  <w:style w:type="paragraph" w:styleId="Heading1">
    <w:name w:val="heading 1"/>
    <w:basedOn w:val="Normal"/>
    <w:next w:val="Normal"/>
    <w:link w:val="Heading1Char"/>
    <w:uiPriority w:val="9"/>
    <w:qFormat/>
    <w:rsid w:val="000101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gedecouverture">
    <w:name w:val="Page de couverture"/>
    <w:basedOn w:val="Normal"/>
    <w:next w:val="Normal"/>
    <w:rsid w:val="00010116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0101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116"/>
    <w:rPr>
      <w:lang w:val="mt-MT"/>
    </w:rPr>
  </w:style>
  <w:style w:type="paragraph" w:styleId="Footer">
    <w:name w:val="footer"/>
    <w:basedOn w:val="Normal"/>
    <w:link w:val="FooterChar"/>
    <w:uiPriority w:val="99"/>
    <w:unhideWhenUsed/>
    <w:rsid w:val="000101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116"/>
    <w:rPr>
      <w:lang w:val="mt-MT"/>
    </w:rPr>
  </w:style>
  <w:style w:type="paragraph" w:customStyle="1" w:styleId="FooterCoverPage">
    <w:name w:val="Footer Cover Page"/>
    <w:basedOn w:val="Normal"/>
    <w:link w:val="FooterCoverPageChar"/>
    <w:rsid w:val="00010116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010116"/>
    <w:rPr>
      <w:rFonts w:ascii="Times New Roman" w:hAnsi="Times New Roman" w:cs="Times New Roman"/>
      <w:sz w:val="24"/>
    </w:rPr>
  </w:style>
  <w:style w:type="paragraph" w:customStyle="1" w:styleId="HeaderCoverPage">
    <w:name w:val="Header Cover Page"/>
    <w:basedOn w:val="Normal"/>
    <w:link w:val="HeaderCoverPageChar"/>
    <w:rsid w:val="00010116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010116"/>
    <w:rPr>
      <w:rFonts w:ascii="Times New Roman" w:hAnsi="Times New Roman" w:cs="Times New Roman"/>
      <w:sz w:val="24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801035"/>
    <w:pPr>
      <w:tabs>
        <w:tab w:val="right" w:leader="dot" w:pos="9071"/>
      </w:tabs>
      <w:spacing w:before="60" w:after="120" w:line="240" w:lineRule="auto"/>
      <w:ind w:left="850" w:hanging="85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101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unhideWhenUsed/>
    <w:qFormat/>
    <w:rsid w:val="00010116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0116"/>
    <w:pPr>
      <w:tabs>
        <w:tab w:val="left" w:pos="850"/>
        <w:tab w:val="right" w:leader="dot" w:pos="9062"/>
      </w:tabs>
      <w:spacing w:after="200" w:line="276" w:lineRule="auto"/>
      <w:ind w:left="220"/>
    </w:pPr>
    <w:rPr>
      <w:rFonts w:ascii="Times New Roman" w:eastAsia="Times New Roman" w:hAnsi="Times New Roman" w:cs="Times New Roman"/>
      <w:b/>
      <w:bCs/>
      <w:iCs/>
      <w:noProof/>
    </w:rPr>
  </w:style>
  <w:style w:type="character" w:styleId="Hyperlink">
    <w:name w:val="Hyperlink"/>
    <w:uiPriority w:val="99"/>
    <w:unhideWhenUsed/>
    <w:rsid w:val="00010116"/>
    <w:rPr>
      <w:color w:val="0000FF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01011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10116"/>
    <w:rPr>
      <w:sz w:val="20"/>
      <w:szCs w:val="20"/>
      <w:lang w:val="mt-MT"/>
    </w:rPr>
  </w:style>
  <w:style w:type="character" w:styleId="FootnoteReference">
    <w:name w:val="footnote reference"/>
    <w:semiHidden/>
    <w:unhideWhenUsed/>
    <w:rsid w:val="00010116"/>
    <w:rPr>
      <w:vertAlign w:val="superscript"/>
    </w:rPr>
  </w:style>
  <w:style w:type="paragraph" w:styleId="ListParagraph">
    <w:name w:val="List Paragraph"/>
    <w:basedOn w:val="Normal"/>
    <w:uiPriority w:val="34"/>
    <w:qFormat/>
    <w:rsid w:val="00010116"/>
    <w:pPr>
      <w:spacing w:after="200" w:line="276" w:lineRule="auto"/>
      <w:ind w:left="720"/>
      <w:contextualSpacing/>
    </w:pPr>
  </w:style>
  <w:style w:type="paragraph" w:customStyle="1" w:styleId="Text1">
    <w:name w:val="Text 1"/>
    <w:basedOn w:val="Normal"/>
    <w:link w:val="Text1Char"/>
    <w:qFormat/>
    <w:rsid w:val="00010116"/>
    <w:pPr>
      <w:spacing w:before="120" w:after="120" w:line="240" w:lineRule="auto"/>
      <w:ind w:left="85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1Char">
    <w:name w:val="Text 1 Char"/>
    <w:link w:val="Text1"/>
    <w:locked/>
    <w:rsid w:val="00010116"/>
    <w:rPr>
      <w:rFonts w:ascii="Times New Roman" w:eastAsia="Times New Roman" w:hAnsi="Times New Roman" w:cs="Times New Roman"/>
      <w:sz w:val="24"/>
      <w:szCs w:val="24"/>
      <w:lang w:val="mt-MT"/>
    </w:rPr>
  </w:style>
  <w:style w:type="paragraph" w:styleId="ListBullet">
    <w:name w:val="List Bullet"/>
    <w:basedOn w:val="Normal"/>
    <w:uiPriority w:val="1"/>
    <w:rsid w:val="00010116"/>
    <w:pPr>
      <w:numPr>
        <w:numId w:val="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BulletLevel2">
    <w:name w:val="List Bullet (Level 2)"/>
    <w:basedOn w:val="Text1"/>
    <w:uiPriority w:val="1"/>
    <w:rsid w:val="00010116"/>
    <w:pPr>
      <w:numPr>
        <w:ilvl w:val="1"/>
        <w:numId w:val="3"/>
      </w:numPr>
      <w:tabs>
        <w:tab w:val="clear" w:pos="851"/>
        <w:tab w:val="num" w:pos="360"/>
      </w:tabs>
      <w:spacing w:before="0" w:after="240"/>
      <w:ind w:left="850" w:firstLine="0"/>
    </w:pPr>
    <w:rPr>
      <w:szCs w:val="20"/>
    </w:rPr>
  </w:style>
  <w:style w:type="paragraph" w:customStyle="1" w:styleId="ListBulletLevel3">
    <w:name w:val="List Bullet (Level 3)"/>
    <w:basedOn w:val="Text1"/>
    <w:uiPriority w:val="1"/>
    <w:semiHidden/>
    <w:unhideWhenUsed/>
    <w:rsid w:val="00010116"/>
    <w:pPr>
      <w:numPr>
        <w:ilvl w:val="2"/>
        <w:numId w:val="3"/>
      </w:numPr>
      <w:tabs>
        <w:tab w:val="clear" w:pos="1134"/>
        <w:tab w:val="num" w:pos="360"/>
      </w:tabs>
      <w:spacing w:before="0" w:after="240"/>
      <w:ind w:left="850" w:firstLine="0"/>
    </w:pPr>
    <w:rPr>
      <w:szCs w:val="20"/>
    </w:rPr>
  </w:style>
  <w:style w:type="paragraph" w:customStyle="1" w:styleId="ListBulletLevel4">
    <w:name w:val="List Bullet (Level 4)"/>
    <w:basedOn w:val="Text1"/>
    <w:uiPriority w:val="1"/>
    <w:semiHidden/>
    <w:unhideWhenUsed/>
    <w:rsid w:val="00010116"/>
    <w:pPr>
      <w:numPr>
        <w:ilvl w:val="3"/>
        <w:numId w:val="3"/>
      </w:numPr>
      <w:tabs>
        <w:tab w:val="clear" w:pos="1418"/>
        <w:tab w:val="num" w:pos="360"/>
      </w:tabs>
      <w:spacing w:before="0" w:after="240"/>
      <w:ind w:left="850" w:firstLine="0"/>
    </w:pPr>
    <w:rPr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74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43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43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43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43F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743F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00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010"/>
    <w:rPr>
      <w:rFonts w:ascii="Segoe UI" w:hAnsi="Segoe UI" w:cs="Segoe UI"/>
      <w:sz w:val="18"/>
      <w:szCs w:val="18"/>
    </w:rPr>
  </w:style>
  <w:style w:type="character" w:customStyle="1" w:styleId="Marker">
    <w:name w:val="Marker"/>
    <w:basedOn w:val="DefaultParagraphFont"/>
    <w:rsid w:val="007717DF"/>
    <w:rPr>
      <w:color w:val="0000FF"/>
      <w:shd w:val="clear" w:color="auto" w:fill="auto"/>
    </w:rPr>
  </w:style>
  <w:style w:type="paragraph" w:customStyle="1" w:styleId="FooterSensitivity">
    <w:name w:val="Footer Sensitivity"/>
    <w:basedOn w:val="Normal"/>
    <w:link w:val="FooterSensitivityChar"/>
    <w:rsid w:val="007717D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7717DF"/>
    <w:rPr>
      <w:rFonts w:ascii="Times New Roman" w:hAnsi="Times New Roman" w:cs="Times New Roman"/>
      <w:b/>
      <w:sz w:val="32"/>
    </w:rPr>
  </w:style>
  <w:style w:type="paragraph" w:customStyle="1" w:styleId="HeaderSensitivity">
    <w:name w:val="Header Sensitivity"/>
    <w:basedOn w:val="Normal"/>
    <w:link w:val="HeaderSensitivityChar"/>
    <w:rsid w:val="007717D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7717DF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7717DF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7717DF"/>
    <w:rPr>
      <w:rFonts w:ascii="Times New Roman" w:hAnsi="Times New Roman" w:cs="Times New Roman"/>
      <w:sz w:val="28"/>
    </w:rPr>
  </w:style>
  <w:style w:type="character" w:customStyle="1" w:styleId="markedcontent">
    <w:name w:val="markedcontent"/>
    <w:basedOn w:val="DefaultParagraphFont"/>
    <w:rsid w:val="008039AF"/>
  </w:style>
  <w:style w:type="character" w:styleId="FollowedHyperlink">
    <w:name w:val="FollowedHyperlink"/>
    <w:basedOn w:val="DefaultParagraphFont"/>
    <w:uiPriority w:val="99"/>
    <w:semiHidden/>
    <w:unhideWhenUsed/>
    <w:rsid w:val="008233C4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0B25D0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0E9F"/>
    <w:rPr>
      <w:color w:val="605E5C"/>
      <w:shd w:val="clear" w:color="auto" w:fill="E1DFDD"/>
    </w:rPr>
  </w:style>
  <w:style w:type="character" w:customStyle="1" w:styleId="rynqvb">
    <w:name w:val="rynqvb"/>
    <w:basedOn w:val="DefaultParagraphFont"/>
    <w:rsid w:val="005F0686"/>
  </w:style>
  <w:style w:type="character" w:customStyle="1" w:styleId="UnresolvedMention">
    <w:name w:val="Unresolved Mention"/>
    <w:basedOn w:val="DefaultParagraphFont"/>
    <w:uiPriority w:val="99"/>
    <w:semiHidden/>
    <w:unhideWhenUsed/>
    <w:rsid w:val="003D6E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6.xml"/></Relationships>
</file>

<file path=word/_rels/footnotes.xml.rels><?xml version='1.0' encoding='UTF-8' standalone='yes'?>
<Relationships xmlns="http://schemas.openxmlformats.org/package/2006/relationships"><Relationship Id="rId3" Type="http://schemas.openxmlformats.org/officeDocument/2006/relationships/hyperlink" Target="http://data.europa.eu/eli/reg_impl/2023/834/oj" TargetMode="External"/><Relationship Id="rId2" Type="http://schemas.openxmlformats.org/officeDocument/2006/relationships/hyperlink" Target="http://data.europa.eu/eli/reg_impl/2023/739/oj" TargetMode="External"/><Relationship Id="rId1" Type="http://schemas.openxmlformats.org/officeDocument/2006/relationships/hyperlink" Target="http://data.europa.eu/eli/reg_impl/2022/2406/oj)" TargetMode="External"/><Relationship Id="rId5" Type="http://schemas.openxmlformats.org/officeDocument/2006/relationships/hyperlink" Target="http://data.europa.eu/eli/reg_impl/2023/1465/oj" TargetMode="External"/><Relationship Id="rId4" Type="http://schemas.openxmlformats.org/officeDocument/2006/relationships/hyperlink" Target="http://data.europa.eu/eli/reg_impl/2023/134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120AF-6E67-43C8-B78A-3C3CFF716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8</cp:revision>
  <cp:lastPrinted>2023-12-20T09:16:00Z</cp:lastPrinted>
  <dcterms:created xsi:type="dcterms:W3CDTF">2024-01-05T10:22:00Z</dcterms:created>
  <dcterms:modified xsi:type="dcterms:W3CDTF">2024-01-19T11:09:00Z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2022-11-18T14:02:27Z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95c4cf85-ff36-4dab-a4e5-9bf065f04951</vt:lpwstr>
  </property>
  <property fmtid="{D5CDD505-2E9C-101B-9397-08002B2CF9AE}" pid="8" name="MSIP_Label_6bd9ddd1-4d20-43f6-abfa-fc3c07406f94_ContentBits">
    <vt:lpwstr>0</vt:lpwstr>
  </property>
  <property fmtid="{D5CDD505-2E9C-101B-9397-08002B2CF9AE}" pid="9" name="Level of sensitivity">
    <vt:lpwstr>Standard treatment</vt:lpwstr>
  </property>
  <property fmtid="{D5CDD505-2E9C-101B-9397-08002B2CF9AE}" pid="10" name="Part">
    <vt:lpwstr>1</vt:lpwstr>
  </property>
  <property fmtid="{D5CDD505-2E9C-101B-9397-08002B2CF9AE}" pid="11" name="Total parts">
    <vt:lpwstr>1</vt:lpwstr>
  </property>
  <property fmtid="{D5CDD505-2E9C-101B-9397-08002B2CF9AE}" pid="12" name="DocStatus">
    <vt:lpwstr>Green</vt:lpwstr>
  </property>
  <property fmtid="{D5CDD505-2E9C-101B-9397-08002B2CF9AE}" pid="13" name="CPTemplateID">
    <vt:lpwstr>CP-006</vt:lpwstr>
  </property>
  <property fmtid="{D5CDD505-2E9C-101B-9397-08002B2CF9AE}" pid="14" name="Last edited using">
    <vt:lpwstr>LW 9.0, Build 20230317</vt:lpwstr>
  </property>
  <property fmtid="{D5CDD505-2E9C-101B-9397-08002B2CF9AE}" pid="15" name="Created using">
    <vt:lpwstr>LW 8.1, Build 20220902</vt:lpwstr>
  </property>
  <property name="OP_sanitized" fmtid="{D5CDD505-2E9C-101B-9397-08002B2CF9AE}" pid="16">
    <vt:lpwstr>True</vt:lpwstr>
  </property>
</Properties>
</file>