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359DE" w14:textId="6AC0C93E" w:rsidR="00304682" w:rsidRPr="00D04088" w:rsidRDefault="006C0976" w:rsidP="006C0976">
      <w:pPr>
        <w:pStyle w:val="Pagedecouverture"/>
        <w:rPr>
          <w:noProof/>
        </w:rPr>
      </w:pPr>
      <w:r>
        <w:rPr>
          <w:noProof/>
        </w:rPr>
        <w:pict w14:anchorId="38F40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7041216-BC9C-4DB3-B536-1ACABF8B6C16" style="width:455.25pt;height:410.25pt">
            <v:imagedata r:id="rId11" o:title=""/>
          </v:shape>
        </w:pict>
      </w:r>
    </w:p>
    <w:p w14:paraId="513B9069" w14:textId="77777777" w:rsidR="00304682" w:rsidRPr="00D04088" w:rsidRDefault="00304682" w:rsidP="00304682">
      <w:pPr>
        <w:rPr>
          <w:noProof/>
        </w:rPr>
        <w:sectPr w:rsidR="00304682" w:rsidRPr="00D04088" w:rsidSect="006C0976">
          <w:footerReference w:type="even" r:id="rId12"/>
          <w:footerReference w:type="default" r:id="rId13"/>
          <w:pgSz w:w="11907" w:h="16839"/>
          <w:pgMar w:top="1134" w:right="1417" w:bottom="1134" w:left="1417" w:header="709" w:footer="709" w:gutter="0"/>
          <w:pgNumType w:start="0"/>
          <w:cols w:space="720"/>
          <w:docGrid w:linePitch="360"/>
        </w:sectPr>
      </w:pPr>
    </w:p>
    <w:p w14:paraId="751FE23C" w14:textId="77777777" w:rsidR="00304682" w:rsidRPr="00D04088" w:rsidRDefault="00304682">
      <w:pPr>
        <w:pStyle w:val="Exposdesmotifstitre"/>
        <w:rPr>
          <w:noProof/>
        </w:rPr>
      </w:pPr>
      <w:bookmarkStart w:id="0" w:name="_GoBack"/>
      <w:bookmarkEnd w:id="0"/>
      <w:r w:rsidRPr="00D04088">
        <w:rPr>
          <w:noProof/>
        </w:rPr>
        <w:lastRenderedPageBreak/>
        <w:t>MEMORANDUM TA’ SPJEGAZZJONI</w:t>
      </w:r>
    </w:p>
    <w:p w14:paraId="63370CAF" w14:textId="77777777" w:rsidR="00304682" w:rsidRPr="00D04088" w:rsidRDefault="00304682">
      <w:pPr>
        <w:pStyle w:val="ManualHeading1"/>
        <w:rPr>
          <w:noProof/>
        </w:rPr>
      </w:pPr>
      <w:r w:rsidRPr="00D04088">
        <w:rPr>
          <w:noProof/>
        </w:rPr>
        <w:t>1.</w:t>
      </w:r>
      <w:r w:rsidRPr="00D04088">
        <w:rPr>
          <w:noProof/>
        </w:rPr>
        <w:tab/>
        <w:t>KUNTEST TAL-PROPOSTA</w:t>
      </w:r>
    </w:p>
    <w:p w14:paraId="51EE7D33" w14:textId="77777777" w:rsidR="00304682" w:rsidRPr="00D04088" w:rsidRDefault="00304682">
      <w:pPr>
        <w:pStyle w:val="ManualHeading2"/>
        <w:rPr>
          <w:noProof/>
        </w:rPr>
      </w:pPr>
      <w:r w:rsidRPr="00D04088">
        <w:rPr>
          <w:noProof/>
          <w:u w:color="000000"/>
          <w:bdr w:val="nil"/>
        </w:rPr>
        <w:t>•</w:t>
      </w:r>
      <w:r w:rsidRPr="00D04088">
        <w:rPr>
          <w:noProof/>
        </w:rPr>
        <w:tab/>
        <w:t>Raġunijiet u objettivi tal-proposta</w:t>
      </w:r>
    </w:p>
    <w:p w14:paraId="4545EF62" w14:textId="42BB83E7" w:rsidR="005935EA" w:rsidRPr="00D04088" w:rsidRDefault="005935EA" w:rsidP="001135C7">
      <w:pPr>
        <w:spacing w:before="0" w:after="240"/>
        <w:textAlignment w:val="baseline"/>
        <w:rPr>
          <w:noProof/>
        </w:rPr>
      </w:pPr>
      <w:r w:rsidRPr="00D04088">
        <w:rPr>
          <w:noProof/>
        </w:rPr>
        <w:t xml:space="preserve">Iċ-ċittadini tal-Unjoni li jivvjaġġaw lejn pajjiż terz fejn l-Istat Membru tan-nazzjonalità tagħhom ma jkunx rappreżentat minn ambaxxati jew konsulati, jew li jgħixu f’tali pajjiż huma intitolati għall-protezzjoni tal-awtoritajiet diplomatiċi u konsulari ta’ kwalunkwe Stat Membru ieħor bl-istess kundizzjonijiet bħan-nazzjonali ta’ dak l-Istat Membru. Dan id-dritt taċ-ċittadinanza tal-Unjoni, stabbilit mit-Trattat ta’ Maastricht, huwa stabbilit fl-Artikoli 20(2)(c) u 23 tat-Trattat dwar il-Funzjonament tal-Unjoni Ewropea (TFUE) u fl-Artikolu 46 tal-Karta tad-Drittijiet Fundamentali tal-Unjoni Ewropea (il-“Karta”). </w:t>
      </w:r>
    </w:p>
    <w:p w14:paraId="26FD64FC" w14:textId="6A50B995" w:rsidR="005935EA" w:rsidRPr="00D04088" w:rsidRDefault="00DC3F9F" w:rsidP="001135C7">
      <w:pPr>
        <w:spacing w:before="0" w:after="240"/>
        <w:textAlignment w:val="baseline"/>
        <w:rPr>
          <w:noProof/>
        </w:rPr>
      </w:pPr>
      <w:r w:rsidRPr="00D04088">
        <w:rPr>
          <w:noProof/>
        </w:rPr>
        <w:t>Dan id-dritt huwa d-dimensjoni esterna taċ-ċittadinanza tal-Unjoni, wieħed mill-benefiċċji prattiċi li wieħed ikun ċittadin tal-Unjoni, u eżempju tanġibbli tas-solidarjetà Ewropea. Dan jipproteġi liċ-ċittadini tal-Unjoni li jsibu ruħhom fil-bżonn ta’ għajnuna f’pajjiż terz fejn ma jkunux rappreżentati mill-Istat Membru tan-nazzjonalità tagħhom, pereżempju minħabba li jkollhom aċċident, mard serju, jisfaw vittmi ta’ xi reat jew jitilfu d-dokumenti tal-ivvjaġġar.</w:t>
      </w:r>
    </w:p>
    <w:p w14:paraId="6217DDFA" w14:textId="4B131971" w:rsidR="0071192F" w:rsidRPr="00D04088" w:rsidRDefault="0071192F" w:rsidP="001135C7">
      <w:pPr>
        <w:pBdr>
          <w:top w:val="nil"/>
          <w:left w:val="nil"/>
          <w:bottom w:val="nil"/>
          <w:right w:val="nil"/>
          <w:between w:val="nil"/>
          <w:bar w:val="nil"/>
        </w:pBdr>
        <w:spacing w:before="0" w:after="240"/>
        <w:rPr>
          <w:noProof/>
        </w:rPr>
      </w:pPr>
      <w:r w:rsidRPr="00D04088">
        <w:rPr>
          <w:noProof/>
        </w:rPr>
        <w:t>Fl-20 ta’ April 2015, il-Kunsill adotta d-</w:t>
      </w:r>
      <w:bookmarkStart w:id="1" w:name="_Hlk129257139"/>
      <w:r w:rsidRPr="00D04088">
        <w:rPr>
          <w:noProof/>
        </w:rPr>
        <w:t>Direttiva (UE) 2015/637</w:t>
      </w:r>
      <w:bookmarkEnd w:id="1"/>
      <w:r w:rsidRPr="00D04088">
        <w:rPr>
          <w:noProof/>
        </w:rPr>
        <w:t xml:space="preserve"> dwar il-miżuri ta’ koordinazzjoni u kooperazzjoni biex tiġi ffaċilitata l-protezzjoni konsulari għal ċittadini mhux rappreżentati tal-Unjoni f’pajjiżi terzi</w:t>
      </w:r>
      <w:r w:rsidRPr="00D04088">
        <w:rPr>
          <w:rStyle w:val="FootnoteReference0"/>
          <w:noProof/>
        </w:rPr>
        <w:footnoteReference w:id="2"/>
      </w:r>
      <w:r w:rsidRPr="00D04088">
        <w:rPr>
          <w:noProof/>
        </w:rPr>
        <w:t>, li ssostitwiet il-qafas intergovernattiv li kien jintuża biex jirregola l-protezzjoni konsulari</w:t>
      </w:r>
      <w:r w:rsidRPr="00D04088">
        <w:rPr>
          <w:rStyle w:val="FootnoteReference0"/>
          <w:noProof/>
        </w:rPr>
        <w:footnoteReference w:id="3"/>
      </w:r>
      <w:r w:rsidRPr="00D04088">
        <w:rPr>
          <w:noProof/>
        </w:rPr>
        <w:t>. L-Istati Membri kellhom 3 snin, sa Mejju 2018, biex jimplimentaw id-Direttiva fil-leġiżlazzjoni nazzjonali</w:t>
      </w:r>
      <w:r w:rsidRPr="00D04088">
        <w:rPr>
          <w:rStyle w:val="FootnoteReference0"/>
          <w:noProof/>
        </w:rPr>
        <w:footnoteReference w:id="4"/>
      </w:r>
      <w:r w:rsidRPr="00D04088">
        <w:rPr>
          <w:noProof/>
        </w:rPr>
        <w:t xml:space="preserve">. </w:t>
      </w:r>
    </w:p>
    <w:p w14:paraId="48ABB622" w14:textId="77777777" w:rsidR="00563599" w:rsidRPr="00D04088" w:rsidRDefault="006F1271" w:rsidP="001135C7">
      <w:pPr>
        <w:spacing w:before="0" w:after="240"/>
        <w:textAlignment w:val="baseline"/>
        <w:rPr>
          <w:noProof/>
        </w:rPr>
      </w:pPr>
      <w:r w:rsidRPr="00D04088">
        <w:rPr>
          <w:noProof/>
        </w:rPr>
        <w:t>Il-programm ta’ ħidma tal-Kummissjoni tal-2021</w:t>
      </w:r>
      <w:r w:rsidRPr="00D04088">
        <w:rPr>
          <w:rStyle w:val="FootnoteReference0"/>
          <w:noProof/>
        </w:rPr>
        <w:footnoteReference w:id="5"/>
      </w:r>
      <w:r w:rsidRPr="00D04088">
        <w:rPr>
          <w:noProof/>
        </w:rPr>
        <w:t xml:space="preserve"> ħabbar rieżami tar-regoli tal-Unjoni dwar il-protezzjoni konsulari biex jittejbu t-tħejjija u l-kapaċità tal-Unjoni u tal-Istati Membri biex jipproteġu u jappoġġaw liċ-ċittadini tal-Unjoni fi żminijiet ta’ kriżi. Dan ir-rieżami ikun jinvolvi t-tisħiħ tar-rwol ta’ appoġġ tal-Unjoni u l-aħjar użu tan-network uniku tagħha ta’ delegazzjonijiet tal-Unjoni. </w:t>
      </w:r>
    </w:p>
    <w:p w14:paraId="7E7708EB" w14:textId="77777777" w:rsidR="00563599" w:rsidRPr="00D04088" w:rsidRDefault="00563599" w:rsidP="001135C7">
      <w:pPr>
        <w:spacing w:before="0" w:after="240"/>
        <w:textAlignment w:val="baseline"/>
        <w:rPr>
          <w:noProof/>
        </w:rPr>
      </w:pPr>
      <w:r w:rsidRPr="00D04088">
        <w:rPr>
          <w:noProof/>
        </w:rPr>
        <w:t>Barra minn hekk, il-Kummissjoni, fil-Komunikazzjoni tagħha fis-segwitu għall-Konferenza dwar il-Futur tal-Ewropa, impenjat ruħha li tikkunsidra oqsma ġodda ta’ azzjoni, bħal “</w:t>
      </w:r>
      <w:r w:rsidRPr="00D04088">
        <w:rPr>
          <w:i/>
          <w:iCs/>
          <w:noProof/>
        </w:rPr>
        <w:t>li ċ-ċittadinanza Ewropea ssir aktar tanġibbli għaċ-ċittadini, inkluż billi jissaħħu d-drittijiet marbutin magħha u billi tiġi pprovduta informazzjoni affidabbli u faċilment aċċessibbli dwarha</w:t>
      </w:r>
      <w:r w:rsidRPr="00D04088">
        <w:rPr>
          <w:noProof/>
        </w:rPr>
        <w:t>”</w:t>
      </w:r>
      <w:r w:rsidRPr="00D04088">
        <w:rPr>
          <w:rStyle w:val="FootnoteReference0"/>
          <w:noProof/>
        </w:rPr>
        <w:footnoteReference w:id="6"/>
      </w:r>
      <w:r w:rsidRPr="00D04088">
        <w:rPr>
          <w:noProof/>
        </w:rPr>
        <w:t xml:space="preserve">. </w:t>
      </w:r>
    </w:p>
    <w:p w14:paraId="379E2605" w14:textId="77777777" w:rsidR="00563599" w:rsidRPr="00D04088" w:rsidRDefault="00563599" w:rsidP="001135C7">
      <w:pPr>
        <w:spacing w:before="0" w:after="240"/>
        <w:textAlignment w:val="baseline"/>
        <w:rPr>
          <w:noProof/>
        </w:rPr>
      </w:pPr>
      <w:r w:rsidRPr="00D04088">
        <w:rPr>
          <w:noProof/>
        </w:rPr>
        <w:lastRenderedPageBreak/>
        <w:t>Il-Boxxla Strateġika għas-Sigurtà u d-Difiża – Għal Unjoni Ewropea li tipproteġi liċ-ċittadini, il-valuri u l-interessi tagħha u tikkontribwixxi għall-paċi u s-sigurtà internazzjonali adottata mill-Kunsill f’Marzu 2022</w:t>
      </w:r>
      <w:r w:rsidRPr="00D04088">
        <w:rPr>
          <w:rStyle w:val="FootnoteReference0"/>
          <w:noProof/>
        </w:rPr>
        <w:footnoteReference w:id="7"/>
      </w:r>
      <w:r w:rsidRPr="00D04088">
        <w:rPr>
          <w:noProof/>
        </w:rPr>
        <w:t xml:space="preserve"> ħabbret li l-“</w:t>
      </w:r>
      <w:r w:rsidRPr="00D04088">
        <w:rPr>
          <w:i/>
          <w:noProof/>
        </w:rPr>
        <w:t>il-mekkaniżmi ta’ rispons għall-kriżijiet...”</w:t>
      </w:r>
      <w:r w:rsidRPr="00D04088">
        <w:rPr>
          <w:noProof/>
        </w:rPr>
        <w:t xml:space="preserve"> tas-Servizz Ewropew għall-Azzjoni Esterna (SEAE) </w:t>
      </w:r>
      <w:r w:rsidRPr="00D04088">
        <w:rPr>
          <w:i/>
          <w:iCs/>
          <w:noProof/>
        </w:rPr>
        <w:t>“... l-appoġġ konsulari tagħna u s-sigurtà fuq il-post se jiġu wkoll rieżaminati u msaħħa biex l-Istati Membri jkunu jistgħu jiġu assistiti aħjar fl-isforzi tagħhom biex jipproteġu u jsalvaw liċ-ċittadini tagħhom barra minn pajjiżhom, kif ukoll biex nappoġġaw lid-Delegazzjonijiet tagħna tal-UE meta jkollhom bżonn jevakwaw il-persunal”</w:t>
      </w:r>
      <w:r w:rsidRPr="00D04088">
        <w:rPr>
          <w:rStyle w:val="FootnoteReference0"/>
          <w:noProof/>
        </w:rPr>
        <w:footnoteReference w:id="8"/>
      </w:r>
      <w:r w:rsidRPr="00D04088">
        <w:rPr>
          <w:noProof/>
        </w:rPr>
        <w:t xml:space="preserve">. </w:t>
      </w:r>
    </w:p>
    <w:p w14:paraId="49255107" w14:textId="2002A96F" w:rsidR="00323997" w:rsidRPr="00D04088" w:rsidRDefault="00F02514" w:rsidP="001135C7">
      <w:pPr>
        <w:spacing w:before="0" w:after="240"/>
        <w:textAlignment w:val="baseline"/>
        <w:rPr>
          <w:noProof/>
        </w:rPr>
      </w:pPr>
      <w:r w:rsidRPr="00D04088">
        <w:rPr>
          <w:noProof/>
        </w:rPr>
        <w:t>Kif innotat fir-rapport tal-Kummissjoni tat-2 ta’ Settembru 2022 dwar l-implimentazzjoni u l-applikazzjoni tad-Direttiva tal-Kunsill (UE) 2015/637</w:t>
      </w:r>
      <w:r w:rsidRPr="00D04088">
        <w:rPr>
          <w:rStyle w:val="FootnoteReference0"/>
          <w:noProof/>
        </w:rPr>
        <w:footnoteReference w:id="9"/>
      </w:r>
      <w:r w:rsidRPr="00D04088">
        <w:rPr>
          <w:noProof/>
        </w:rPr>
        <w:t>, il-kriżijiet li jwasslu għal talbiet għall-protezzjoni konsulari qed jiżdiedu fil-frekwenza u fl-iskala. Il-pandemija tal-COVID-19 (mingħajr preċedent fl-iskala u fil-kumplessità tagħha), il-kriżi fl-Afganistan, il-gwerra ta’ aggressjoni tar-Russja kontra l-Ukrajna, il-kunflitt fis-Sudan, ir-ripatrijazzjoni mill-Iżrael u minn Gaża u kriżijiet simili oħra pprovdew kuntest biex jiġu identifikati lakuni u biex issir riflessjoni dwar kif għandu jissaħħaħ id-dritt taċ-ċittadini tal-Unjoni għall-protezzjoni konsulari.</w:t>
      </w:r>
    </w:p>
    <w:p w14:paraId="3BCF0D50" w14:textId="17CAB10B" w:rsidR="00334693" w:rsidRPr="00D04088" w:rsidRDefault="00334693" w:rsidP="001135C7">
      <w:pPr>
        <w:spacing w:before="0" w:after="240"/>
        <w:textAlignment w:val="baseline"/>
        <w:rPr>
          <w:noProof/>
        </w:rPr>
      </w:pPr>
      <w:r w:rsidRPr="00D04088">
        <w:rPr>
          <w:noProof/>
        </w:rPr>
        <w:t>Fid-dawl ta’ dan ta’ hawn fuq, il-Kummissjoni tipproponi li temenda d-Direttiva (UE) 2015/637 bil-ħsieb li ttejjeb u ssaħħaħ il-miżuri ta’ koordinazzjoni u kooperazzjoni meħtieġa biex tiġi ffaċilitata l-protezzjoni konsulari taċ-ċittadini tal-Unjoni.</w:t>
      </w:r>
    </w:p>
    <w:p w14:paraId="37A250C3" w14:textId="7B64A03E" w:rsidR="00A60D18" w:rsidRPr="00D04088" w:rsidRDefault="003B217A" w:rsidP="001135C7">
      <w:pPr>
        <w:spacing w:before="0" w:after="240"/>
        <w:textAlignment w:val="baseline"/>
        <w:rPr>
          <w:noProof/>
        </w:rPr>
      </w:pPr>
      <w:r w:rsidRPr="00D04088">
        <w:rPr>
          <w:noProof/>
        </w:rPr>
        <w:t>Sabiex ittejjeb iċ-ċertezza legali għall-awtoritajiet konsulari u għaċ-ċittadini, il-Kummissjoni tipproponi li tiċċara meta ċittadin tal-Unjoni għandu jitqies bħala “mhux rappreżentat” u għalhekk intitolat li jirċievi protezzjoni konsulari mill-awtoritajiet konsulari ta’ Stati Membri oħra. Il-bidliet fid-Direttiva (UE) 2015/637 għandhom jiżguraw li l-kooperazzjoni bejn l-awtoritajiet konsulari, appoġġati mid-delegazzjonijiet tal-Unjoni, tiġi ssimplifikata.</w:t>
      </w:r>
    </w:p>
    <w:p w14:paraId="69010CCC" w14:textId="20617B9D" w:rsidR="00F02FE1" w:rsidRPr="00D04088" w:rsidRDefault="00F50731" w:rsidP="001135C7">
      <w:pPr>
        <w:spacing w:before="0" w:after="240"/>
        <w:textAlignment w:val="baseline"/>
        <w:rPr>
          <w:noProof/>
        </w:rPr>
      </w:pPr>
      <w:r w:rsidRPr="00D04088">
        <w:rPr>
          <w:noProof/>
        </w:rPr>
        <w:t>Sabiex isir l-aħjar użu min-network tad-delegazzjonijiet tal-Unjoni, b’mod partikolari f’pajjiżi terzi fejn hemm ftit Stati Membri preżenti, il-Kummissjoni tqis li l-kompiti tagħhom għandhom jiġu ċċarati u li r-rwol ta’ appoġġ tagħhom għandu jissaħħaħ, b’mod partikolari fil-qasam tat-tħejjija u r-rispons għall-kriżijiet. F’dak il-qasam, il-proposta tipprevedi li jitfasslu l-hekk imsejħa pjanijiet ta’ kontinġenza konsulari konġunti (magħrufa wkoll bħala “Oqfsa Konġunti tal-UE għat-Tħejjija Konsulari għall-Kriżijiet”) għall-pajjiżi terzi kollha biex jiffaċilitaw ir-rispons għal kwalunkwe kriżi konsulari futura possibbli. Barra minn hekk, il-proposta tipprovdi bażi legali għall-użu possibbli tal-hekk imsejħa timijiet konsulari konġunti, jiġifieri, timijiet multidixxiplinari volontarji b’persunal minn esperti konsulari mill-Istati Membri u mill-istituzzjonijiet tal-Unjoni, biex jappoġġaw servizzi konsulari lokali tal-Istati Membri li jkollhom nuqqas ta’ persunal fi żminijiet ta’ kriżi</w:t>
      </w:r>
      <w:r w:rsidRPr="00D04088">
        <w:rPr>
          <w:rStyle w:val="FootnoteReference0"/>
          <w:noProof/>
        </w:rPr>
        <w:footnoteReference w:id="10"/>
      </w:r>
      <w:r w:rsidRPr="00D04088">
        <w:rPr>
          <w:noProof/>
        </w:rPr>
        <w:t xml:space="preserve">. </w:t>
      </w:r>
    </w:p>
    <w:p w14:paraId="6854E4A5" w14:textId="338874C0" w:rsidR="003279E5" w:rsidRPr="00D04088" w:rsidRDefault="003279E5" w:rsidP="001135C7">
      <w:pPr>
        <w:spacing w:before="0" w:after="240"/>
        <w:textAlignment w:val="baseline"/>
        <w:rPr>
          <w:noProof/>
        </w:rPr>
      </w:pPr>
      <w:r w:rsidRPr="00D04088">
        <w:rPr>
          <w:noProof/>
        </w:rPr>
        <w:lastRenderedPageBreak/>
        <w:t xml:space="preserve">Il-Kummissjoni tipproponi wkoll li ttejjeb il-fluss tal-informazzjoni bejn l-Istati Membri u l-istituzzjonijiet tal-Unjoni u l-informazzjoni pprovduta liċ-ċittadini tal-Unjoni, bil-għan li tippermettilhom jieħdu deċiżjonijiet infurmati aħjar dwar l-ivvjaġġar. </w:t>
      </w:r>
    </w:p>
    <w:p w14:paraId="1BD4756B" w14:textId="739DBF99" w:rsidR="00564ED1" w:rsidRPr="00D04088" w:rsidRDefault="00564ED1" w:rsidP="001135C7">
      <w:pPr>
        <w:spacing w:before="0" w:after="240"/>
        <w:textAlignment w:val="baseline"/>
        <w:rPr>
          <w:noProof/>
        </w:rPr>
      </w:pPr>
      <w:r w:rsidRPr="00D04088">
        <w:rPr>
          <w:noProof/>
        </w:rPr>
        <w:t>Fl-aħħar nett, il-Kummissjoni tipproponi li jiġu ssimplifikati d-dispożizzjonijiet dwar ir-rimborżi finanzjarji tal-kostijiet li jirriżultaw mill-għoti ta’ protezzjoni konsulari. Fil-futur, l-Istati Membri għandhom ikunu intitolati li jitolbu rimborż direttament miċ-ċittadin ikkonċernat biex jevitaw proċeduri burokratiċi twal. Barra minn hekk, id-delegazzjonijiet tal-Unjoni għandhom ikunu intitolati wkoll li jiksbu rimborżi finanzjarji jekk jappoġġaw l-għoti ta’ protezzjoni konsulari liċ-ċittadini mhux rappreżentati. Dawn il-proċeduri finanzjarji ġodda għandhom japplikaw ukoll fil-kuntest tad-Direttiva (UE) 2019/997</w:t>
      </w:r>
      <w:r w:rsidRPr="00D04088">
        <w:rPr>
          <w:rStyle w:val="FootnoteReference0"/>
          <w:noProof/>
        </w:rPr>
        <w:footnoteReference w:id="11"/>
      </w:r>
      <w:r w:rsidRPr="00D04088">
        <w:rPr>
          <w:noProof/>
        </w:rPr>
        <w:t>, li tistabbilixxi regoli dwar il-kundizzjonijiet u l-proċedura għaċ-ċittadini mhux rappreżentati f’pajjiżi terzi biex jiksbu Dokument Provviżorju tal-Ivvjaġġar tal-UE (“ETD tal-UE”) u tistabbilixxi format uniformi għal tali dokument.</w:t>
      </w:r>
    </w:p>
    <w:p w14:paraId="40A95DCB" w14:textId="52DFB2EE" w:rsidR="00563599" w:rsidRPr="00D04088" w:rsidRDefault="00563599" w:rsidP="001135C7">
      <w:pPr>
        <w:spacing w:before="0" w:after="240"/>
        <w:textAlignment w:val="baseline"/>
        <w:rPr>
          <w:noProof/>
        </w:rPr>
      </w:pPr>
      <w:r w:rsidRPr="00D04088">
        <w:rPr>
          <w:noProof/>
        </w:rPr>
        <w:t xml:space="preserve">It-titjib tal-protezzjoni konsulari taċ-ċittadini tal-Unjoni barra mill-pajjiż permezz tat-tisħiħ tas-solidarjetà u l-kooperazzjoni tal-Unjoni f’dan il-qasam jiżgura li ċ-ċittadini tal-Unjoni jkomplu jibbenefikaw minn dan id-dritt fundamentali skont l-ogħla standards, b’mod partikolari matul żminijiet ta’ kriżi. </w:t>
      </w:r>
    </w:p>
    <w:p w14:paraId="3C7FF902" w14:textId="77777777" w:rsidR="00304682" w:rsidRPr="00D04088" w:rsidRDefault="00304682">
      <w:pPr>
        <w:pStyle w:val="ManualHeading2"/>
        <w:rPr>
          <w:noProof/>
          <w:u w:color="000000"/>
          <w:bdr w:val="nil"/>
        </w:rPr>
      </w:pPr>
      <w:r w:rsidRPr="00D04088">
        <w:rPr>
          <w:noProof/>
          <w:u w:color="000000"/>
          <w:bdr w:val="nil"/>
        </w:rPr>
        <w:t>•</w:t>
      </w:r>
      <w:r w:rsidRPr="00D04088">
        <w:rPr>
          <w:noProof/>
        </w:rPr>
        <w:tab/>
        <w:t>Konsistenza mad-dispożizzjonijiet eżistenti fil-qasam ta’ politika</w:t>
      </w:r>
    </w:p>
    <w:p w14:paraId="1480876A" w14:textId="480FBAAE" w:rsidR="005A3DDC" w:rsidRPr="00D04088" w:rsidRDefault="005A3DDC" w:rsidP="008B2719">
      <w:pPr>
        <w:pBdr>
          <w:top w:val="nil"/>
          <w:left w:val="nil"/>
          <w:bottom w:val="nil"/>
          <w:right w:val="nil"/>
          <w:between w:val="nil"/>
          <w:bar w:val="nil"/>
        </w:pBdr>
        <w:spacing w:before="0" w:after="240"/>
        <w:rPr>
          <w:noProof/>
        </w:rPr>
      </w:pPr>
      <w:r w:rsidRPr="00D04088">
        <w:rPr>
          <w:noProof/>
        </w:rPr>
        <w:t>L-Artikolu 9(f) tad-Direttiva (UE) 2015/637 jirreferi b’mod espliċitu għall-ħruġ ta’ tali dokumenti provviżorji tal-ivvjaġġar. Din il-proposta tiżgura li d-Direttiva (UE) 2015/637 u r-regoli speċifiċi applikabbli għall-ETDs tal-UE previsti mid-Direttiva (UE) 2019/997 jibqgħu allinjati.</w:t>
      </w:r>
    </w:p>
    <w:p w14:paraId="21D79E23" w14:textId="77777777" w:rsidR="008B2719" w:rsidRPr="00D04088" w:rsidRDefault="00192403" w:rsidP="005E547D">
      <w:pPr>
        <w:spacing w:before="0" w:after="240"/>
        <w:textAlignment w:val="baseline"/>
        <w:rPr>
          <w:noProof/>
        </w:rPr>
      </w:pPr>
      <w:r w:rsidRPr="00D04088">
        <w:rPr>
          <w:noProof/>
        </w:rPr>
        <w:t>Din il-proposta tiżgura wkoll konsistenza mad-Deċiżjoni tal-Kunsill 2010/427/UE</w:t>
      </w:r>
      <w:r w:rsidRPr="00D04088">
        <w:rPr>
          <w:rStyle w:val="FootnoteReference0"/>
          <w:noProof/>
        </w:rPr>
        <w:footnoteReference w:id="12"/>
      </w:r>
      <w:r w:rsidRPr="00D04088">
        <w:rPr>
          <w:noProof/>
        </w:rPr>
        <w:t xml:space="preserve">, li tiddefinixxi l-mandat tad-delegazzjonijiet tal-Unjoni. Skont l-Artikolu 5(10) ta’ dik id-Deċiżjoni, </w:t>
      </w:r>
      <w:bookmarkStart w:id="2" w:name="_Hlk125643701"/>
      <w:r w:rsidRPr="00D04088">
        <w:rPr>
          <w:noProof/>
        </w:rPr>
        <w:t xml:space="preserve">id-delegazzjonijiet tal-Unjoni, f’konformità mal-Artikolu 35, it-tielet paragrafu, tat-Trattat dwar l-Unjoni Ewropea, u fuq talba mill-Istati Membri, </w:t>
      </w:r>
      <w:bookmarkStart w:id="3" w:name="_Hlk125643621"/>
      <w:bookmarkEnd w:id="2"/>
      <w:r w:rsidRPr="00D04088">
        <w:rPr>
          <w:noProof/>
        </w:rPr>
        <w:t>biex jappoġġaw lill-Istati Membri fir-relazzjonijiet diplomatiċi tagħhom u fir-rwol tagħhom li jipprovdu protezzjoni konsulari liċ-ċittadini tal-Unjoni f’pajjiżi terzi</w:t>
      </w:r>
      <w:bookmarkEnd w:id="3"/>
      <w:r w:rsidRPr="00D04088">
        <w:rPr>
          <w:noProof/>
        </w:rPr>
        <w:t xml:space="preserve"> fuq bażi newtrali fir-riżorsi</w:t>
      </w:r>
      <w:r w:rsidRPr="00D04088">
        <w:rPr>
          <w:i/>
          <w:noProof/>
        </w:rPr>
        <w:t>.</w:t>
      </w:r>
    </w:p>
    <w:p w14:paraId="67DA7A22" w14:textId="0379A3CF" w:rsidR="005E547D" w:rsidRPr="00D04088" w:rsidRDefault="000E7078" w:rsidP="0032693D">
      <w:pPr>
        <w:spacing w:before="0" w:after="240"/>
        <w:textAlignment w:val="baseline"/>
        <w:rPr>
          <w:noProof/>
        </w:rPr>
      </w:pPr>
      <w:r w:rsidRPr="00D04088">
        <w:rPr>
          <w:noProof/>
        </w:rPr>
        <w:t>Id-Direttiva (UE) 2015/637 fiha referenzi għall-Mekkaniżmu tal-Unjoni għall-Protezzjoni Ċivili (UCPM)</w:t>
      </w:r>
      <w:r w:rsidRPr="00D04088">
        <w:rPr>
          <w:rStyle w:val="FootnoteReference0"/>
          <w:noProof/>
        </w:rPr>
        <w:footnoteReference w:id="13"/>
      </w:r>
      <w:r w:rsidRPr="00D04088">
        <w:rPr>
          <w:noProof/>
        </w:rPr>
        <w:t>, li jintuża biex jipprovdi appoġġ għall-protezzjoni ċivili għall-isforzi ta’ assistenza konsulari. Il-proposta tiżgura allinjament sħiħ bejn id-Direttiva (UE) 2015/637 u r-regoli dwar il-UCPM, anki fid-dawl tal-esperjenzi miksuba mill-pandemija tal-COVID-19 u l-emerġenza konsulari tal-2021 fl-Afganistan.</w:t>
      </w:r>
    </w:p>
    <w:p w14:paraId="438C46E3" w14:textId="77777777" w:rsidR="0050668E" w:rsidRPr="00D04088" w:rsidRDefault="00FA5973" w:rsidP="00824EDB">
      <w:pPr>
        <w:pBdr>
          <w:top w:val="nil"/>
          <w:left w:val="nil"/>
          <w:bottom w:val="nil"/>
          <w:right w:val="nil"/>
          <w:between w:val="nil"/>
          <w:bar w:val="nil"/>
        </w:pBdr>
        <w:spacing w:before="0" w:after="240"/>
        <w:rPr>
          <w:noProof/>
        </w:rPr>
      </w:pPr>
      <w:r w:rsidRPr="00D04088">
        <w:rPr>
          <w:noProof/>
        </w:rPr>
        <w:t xml:space="preserve">Sabiex tiġi żgurata l-implimentazzjoni prattika tad-dritt għall-protezzjoni konsulari, l-Unjoni tkompli tinnegozja l-inklużjoni tal-hekk imsejħa klawżoli ta’ protezzjoni konsulari fi ftehimiet </w:t>
      </w:r>
      <w:r w:rsidRPr="00D04088">
        <w:rPr>
          <w:noProof/>
        </w:rPr>
        <w:lastRenderedPageBreak/>
        <w:t>internazzjonali biex tneħħi l-obbligu, previst fl-Artikolu 8 tal-Konvenzjoni ta’ Vjenna tal-1963 dwar ir-Relazzjonijiet Konsulari</w:t>
      </w:r>
      <w:r w:rsidRPr="00D04088">
        <w:rPr>
          <w:rStyle w:val="FootnoteReference0"/>
          <w:noProof/>
        </w:rPr>
        <w:footnoteReference w:id="14"/>
      </w:r>
      <w:r w:rsidRPr="00D04088">
        <w:rPr>
          <w:noProof/>
        </w:rPr>
        <w:t>, li l-Istati Membri rappreżentati jinnotifikaw lill-pajjiż terz fejn ikun jinsab ċittadin tal-Unjoni mhux rappreżentat bl-għoti ta’ protezzjoni konsulari.</w:t>
      </w:r>
    </w:p>
    <w:p w14:paraId="778858D0" w14:textId="77777777" w:rsidR="00304682" w:rsidRPr="00D04088" w:rsidRDefault="00304682">
      <w:pPr>
        <w:pStyle w:val="ManualHeading2"/>
        <w:rPr>
          <w:noProof/>
        </w:rPr>
      </w:pPr>
      <w:r w:rsidRPr="00D04088">
        <w:rPr>
          <w:noProof/>
          <w:u w:color="000000"/>
          <w:bdr w:val="nil"/>
        </w:rPr>
        <w:t>•</w:t>
      </w:r>
      <w:r w:rsidRPr="00D04088">
        <w:rPr>
          <w:noProof/>
        </w:rPr>
        <w:tab/>
        <w:t>Konsistenza ma’ politiki oħra tal-Unjoni</w:t>
      </w:r>
    </w:p>
    <w:p w14:paraId="44C42869" w14:textId="77777777" w:rsidR="005D20BF" w:rsidRPr="00D04088" w:rsidRDefault="007A5958">
      <w:pPr>
        <w:pBdr>
          <w:top w:val="nil"/>
          <w:left w:val="nil"/>
          <w:bottom w:val="nil"/>
          <w:right w:val="nil"/>
          <w:between w:val="nil"/>
          <w:bar w:val="nil"/>
        </w:pBdr>
        <w:spacing w:before="0" w:after="240"/>
        <w:rPr>
          <w:noProof/>
        </w:rPr>
      </w:pPr>
      <w:r w:rsidRPr="00D04088">
        <w:rPr>
          <w:noProof/>
        </w:rPr>
        <w:t>Din il-proposta hija konsistenti mal-politiki dwar il-protezzjoni ċivili u r-rispons għall-kriżijiet.</w:t>
      </w:r>
    </w:p>
    <w:p w14:paraId="344F1FEF" w14:textId="77777777" w:rsidR="00304682" w:rsidRPr="00D04088" w:rsidRDefault="00304682">
      <w:pPr>
        <w:pStyle w:val="ManualHeading1"/>
        <w:rPr>
          <w:noProof/>
        </w:rPr>
      </w:pPr>
      <w:r w:rsidRPr="00D04088">
        <w:rPr>
          <w:noProof/>
        </w:rPr>
        <w:t>2.</w:t>
      </w:r>
      <w:r w:rsidRPr="00D04088">
        <w:rPr>
          <w:noProof/>
        </w:rPr>
        <w:tab/>
        <w:t>BAŻI LEGALI, SUSSIDJARJETÀ U PROPORZJONALITÀ</w:t>
      </w:r>
    </w:p>
    <w:p w14:paraId="5A88DADB"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Bażi legali</w:t>
      </w:r>
    </w:p>
    <w:p w14:paraId="4F40E4E4" w14:textId="6C8DE316" w:rsidR="008C7929" w:rsidRPr="00D04088" w:rsidRDefault="00334693" w:rsidP="0071192F">
      <w:pPr>
        <w:spacing w:before="0" w:after="240"/>
        <w:rPr>
          <w:noProof/>
        </w:rPr>
      </w:pPr>
      <w:r w:rsidRPr="00D04088">
        <w:rPr>
          <w:noProof/>
        </w:rPr>
        <w:t>Id-Direttiva proposta temenda d-Direttiva (UE) 2015/637. B’hekk hija għandha l-istess bażi legali ta’ dik id-Direttiva, jiġifieri l-Artikolu 23 tat-TFUE. Skont it-tieni paragrafu ta’ dik id-dispożizzjoni, il-Kunsill, filwaqt li jaġixxi skont proċedura leġiżlattiva speċjali u wara konsultazzjoni mal-Parlament Ewropew, jista’ jadotta direttivi li jistabbilixxu l-miżuri ta’ koordinazzjoni u ta’ kooperazzjoni meħtieġa biex jiffaċilitaw il-protezzjoni konsulari għal ċittadini mhux rappreżentati tal-Unjoni. Din id-dispożizzjoni tapplika għall-Istati Membri kollha.</w:t>
      </w:r>
    </w:p>
    <w:p w14:paraId="0799D6CC" w14:textId="77777777" w:rsidR="008C7929" w:rsidRPr="00D04088" w:rsidRDefault="008C7929" w:rsidP="0071192F">
      <w:pPr>
        <w:spacing w:before="0" w:after="240"/>
        <w:rPr>
          <w:noProof/>
        </w:rPr>
      </w:pPr>
      <w:r w:rsidRPr="00D04088">
        <w:rPr>
          <w:noProof/>
        </w:rPr>
        <w:t xml:space="preserve">L-emendi ta’ din il-proposta għandhom l-għan li jtejbu l-miżuri meħtieġa biex jiffaċilitaw l-għoti ta’ protezzjoni konsulari liċ-ċittadini mhux rappreżentati previsti fid-Direttiva (UE) 2015/637. </w:t>
      </w:r>
    </w:p>
    <w:p w14:paraId="33D20D07"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Sussidjarjetà</w:t>
      </w:r>
    </w:p>
    <w:p w14:paraId="1C4A92DF" w14:textId="77777777" w:rsidR="00DF5132" w:rsidRPr="00D04088" w:rsidRDefault="00DF5132">
      <w:pPr>
        <w:pBdr>
          <w:top w:val="nil"/>
          <w:left w:val="nil"/>
          <w:bottom w:val="nil"/>
          <w:right w:val="nil"/>
          <w:between w:val="nil"/>
          <w:bar w:val="nil"/>
        </w:pBdr>
        <w:spacing w:before="0" w:after="240"/>
        <w:rPr>
          <w:noProof/>
        </w:rPr>
      </w:pPr>
      <w:r w:rsidRPr="00D04088">
        <w:rPr>
          <w:noProof/>
        </w:rPr>
        <w:t>Il-protezzjoni konsulari għaċ-ċittadini mhux rappreżentati tinvolvi, skont id-definizzjoni, dimensjoni transfruntiera, minħabba n-natura tagħha ta’ dritt taċ-ċittadinanza tal-Unjoni li jitgawda fil-konfront tal-awtoritajiet ta’ Stati Membri li ma humiex dawk tan-nazzjonalità tal-individwu.</w:t>
      </w:r>
    </w:p>
    <w:p w14:paraId="73F139DE" w14:textId="4EC84DA2" w:rsidR="00021B16" w:rsidRPr="00D04088" w:rsidRDefault="00341CBC">
      <w:pPr>
        <w:pBdr>
          <w:top w:val="nil"/>
          <w:left w:val="nil"/>
          <w:bottom w:val="nil"/>
          <w:right w:val="nil"/>
          <w:between w:val="nil"/>
          <w:bar w:val="nil"/>
        </w:pBdr>
        <w:spacing w:before="0" w:after="240"/>
        <w:rPr>
          <w:noProof/>
        </w:rPr>
      </w:pPr>
      <w:r w:rsidRPr="00D04088">
        <w:rPr>
          <w:noProof/>
        </w:rPr>
        <w:t xml:space="preserve">L-objettivi ta’ din il-proposta, jiġifieri li jittejjeb l-eżerċizzju tad-dritt stabbilit fl-Artikolu 20(2), il-punt (c), tat-TFUE minn ċittadini mhux rappreżentati, ma jistgħux jintlaħqu b’mod effettiv mill-Istati Membri b’mod indipendenti, minħabba li dan jirrikjedi emendi għal ċerti dispożizzjonijiet tad-Direttiva (UE) 2015/637. Għaldaqstant, hija meħtieġa azzjoni fil-livell tal-Unjoni. </w:t>
      </w:r>
    </w:p>
    <w:p w14:paraId="0845F715" w14:textId="1A4DA740" w:rsidR="00C12F6B" w:rsidRPr="00D04088" w:rsidRDefault="00C12F6B">
      <w:pPr>
        <w:pBdr>
          <w:top w:val="nil"/>
          <w:left w:val="nil"/>
          <w:bottom w:val="nil"/>
          <w:right w:val="nil"/>
          <w:between w:val="nil"/>
          <w:bar w:val="nil"/>
        </w:pBdr>
        <w:spacing w:before="0" w:after="240"/>
        <w:rPr>
          <w:noProof/>
        </w:rPr>
      </w:pPr>
      <w:r w:rsidRPr="00D04088">
        <w:rPr>
          <w:noProof/>
        </w:rPr>
        <w:t>In-nuqqas ta’ azzjoni fil-livell tal-Unjoni jwassal biex ir-regoli tad-Direttiva (UE) 2015/637 ma jiġux adattati biex jindirizzaw in-nuqqasijiet identifikati fl-applikazzjoni tagħhom. Barra minn hekk, ir-regoli ma jqisux l-esperjenza miksuba matul kriżijiet konsulari riċenti. B’riżultat ta’ dan, iċ-ċittadini tal-Unjoni ma jkunux jistgħu jgawdu d-dritt tagħhom ta’ protezzjoni konsulari sa grad li jkun possibbli b’azzjoni fil-livell tal-Unjoni.</w:t>
      </w:r>
    </w:p>
    <w:p w14:paraId="7F2496CC"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Proporzjonalità</w:t>
      </w:r>
    </w:p>
    <w:p w14:paraId="39BA1CD3" w14:textId="77777777" w:rsidR="0069037E" w:rsidRPr="00D04088" w:rsidRDefault="00160A6F" w:rsidP="0094184C">
      <w:pPr>
        <w:pBdr>
          <w:top w:val="nil"/>
          <w:left w:val="nil"/>
          <w:bottom w:val="nil"/>
          <w:right w:val="nil"/>
          <w:between w:val="nil"/>
          <w:bar w:val="nil"/>
        </w:pBdr>
        <w:spacing w:before="0" w:after="240"/>
        <w:rPr>
          <w:noProof/>
        </w:rPr>
      </w:pPr>
      <w:r w:rsidRPr="00D04088">
        <w:rPr>
          <w:noProof/>
        </w:rPr>
        <w:t>L-objettivi ta’ din il-proposta jistgħu jintlaħqu permezz ta’ emendi għal ċerti dispożizzjonijiet tad-Direttiva (UE) 2015/637.</w:t>
      </w:r>
    </w:p>
    <w:p w14:paraId="33F0A94A" w14:textId="758ECC7C" w:rsidR="00D37B17" w:rsidRPr="00D04088" w:rsidRDefault="00D028C2" w:rsidP="0094184C">
      <w:pPr>
        <w:pBdr>
          <w:top w:val="nil"/>
          <w:left w:val="nil"/>
          <w:bottom w:val="nil"/>
          <w:right w:val="nil"/>
          <w:between w:val="nil"/>
          <w:bar w:val="nil"/>
        </w:pBdr>
        <w:spacing w:before="0" w:after="240"/>
        <w:rPr>
          <w:noProof/>
        </w:rPr>
      </w:pPr>
      <w:r w:rsidRPr="00D04088">
        <w:rPr>
          <w:noProof/>
        </w:rPr>
        <w:t xml:space="preserve">B’dan il-mod, il-proposta ma tmurx lil hinn minn dak li huwa meħtieġ biex jintlaħaq dan l-objettiv, peress li ma tbiddilx b’mod fundamentali r-regoli u l-proċeduri eżistenti tad-Direttiva </w:t>
      </w:r>
      <w:r w:rsidRPr="00D04088">
        <w:rPr>
          <w:noProof/>
        </w:rPr>
        <w:lastRenderedPageBreak/>
        <w:t>(UE) 2015/637. B’mod partikolari, ma tipproponix l-introduzzjoni ta’ proċeduri addizzjonali, iżda pjuttost tipprova tissimplifika dawk eżistenti biex tnaqqas il-piż amministrattiv fuq l-Istati Membri u tiffaċilita l-għoti ta’ protezzjoni konsulari. Pereżempju, il-proposta tippermetti li l-Istati Membri li jassistu jiġbru l-kostijiet, b’mod mhux diskriminatorju, direttament mingħand iċ-ċittadini mhux rappreżentati, minflok ikollhom jitolbu rimborż mill-Istat Membru tan-nazzjonalità tan-nazzjonalità.</w:t>
      </w:r>
    </w:p>
    <w:p w14:paraId="329B3F2B" w14:textId="53949810" w:rsidR="002F7A2C" w:rsidRPr="00D04088" w:rsidRDefault="002F7A2C" w:rsidP="0094184C">
      <w:pPr>
        <w:pBdr>
          <w:top w:val="nil"/>
          <w:left w:val="nil"/>
          <w:bottom w:val="nil"/>
          <w:right w:val="nil"/>
          <w:between w:val="nil"/>
          <w:bar w:val="nil"/>
        </w:pBdr>
        <w:spacing w:before="0" w:after="240"/>
        <w:rPr>
          <w:noProof/>
        </w:rPr>
      </w:pPr>
      <w:r w:rsidRPr="00D04088">
        <w:rPr>
          <w:noProof/>
        </w:rPr>
        <w:t>Spjegazzjonijiet addizzjonali dwar il-proporzjonalità tal-għażliet ta’ politika differenti – inklużi l-għażliet ta’ politika mhux miżmuma – jistgħu jinstabu fil-valutazzjoni tal-impatt li takkumpanja din il-proposta</w:t>
      </w:r>
      <w:r w:rsidRPr="00D04088">
        <w:rPr>
          <w:rStyle w:val="FootnoteReference0"/>
          <w:noProof/>
        </w:rPr>
        <w:footnoteReference w:id="15"/>
      </w:r>
      <w:r w:rsidRPr="00D04088">
        <w:rPr>
          <w:noProof/>
        </w:rPr>
        <w:t>.</w:t>
      </w:r>
    </w:p>
    <w:p w14:paraId="08D332CF"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Għażla tal-istrument</w:t>
      </w:r>
    </w:p>
    <w:p w14:paraId="2950EF0A" w14:textId="65CDFC3F" w:rsidR="008B18EA" w:rsidRPr="00D04088" w:rsidRDefault="008B18EA" w:rsidP="008B18EA">
      <w:pPr>
        <w:rPr>
          <w:noProof/>
        </w:rPr>
      </w:pPr>
      <w:r w:rsidRPr="00D04088">
        <w:rPr>
          <w:noProof/>
        </w:rPr>
        <w:t>F’konformità mal-Artikolu 23, it-tieni paragrafu, tat-TFUE, l-istrument propost huwa direttiva.</w:t>
      </w:r>
    </w:p>
    <w:p w14:paraId="20EF232F" w14:textId="77777777" w:rsidR="00304682" w:rsidRPr="00D04088" w:rsidRDefault="00304682">
      <w:pPr>
        <w:pStyle w:val="ManualHeading1"/>
        <w:rPr>
          <w:noProof/>
        </w:rPr>
      </w:pPr>
      <w:r w:rsidRPr="00D04088">
        <w:rPr>
          <w:noProof/>
        </w:rPr>
        <w:t>3.</w:t>
      </w:r>
      <w:r w:rsidRPr="00D04088">
        <w:rPr>
          <w:noProof/>
        </w:rPr>
        <w:tab/>
        <w:t>RIŻULTATI TAL-EVALWAZZJONIJIET EX POST, TAL-KONSULTAZZJONIJIET MAL-PARTIJIET IKKONĊERNATI U TAL-VALUTAZZJONIJIET TAL-IMPATT</w:t>
      </w:r>
    </w:p>
    <w:p w14:paraId="11257FAB"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Konsultazzjonijiet mal-partijiet ikkonċernati</w:t>
      </w:r>
    </w:p>
    <w:p w14:paraId="669F826F" w14:textId="4B4B9DF8" w:rsidR="00C178B8" w:rsidRPr="00D04088" w:rsidRDefault="00A60016" w:rsidP="002B16E7">
      <w:pPr>
        <w:pBdr>
          <w:top w:val="nil"/>
          <w:left w:val="nil"/>
          <w:bottom w:val="nil"/>
          <w:right w:val="nil"/>
          <w:between w:val="nil"/>
          <w:bar w:val="nil"/>
        </w:pBdr>
        <w:spacing w:before="0" w:after="240"/>
        <w:rPr>
          <w:noProof/>
        </w:rPr>
      </w:pPr>
      <w:r w:rsidRPr="00D04088">
        <w:rPr>
          <w:noProof/>
        </w:rPr>
        <w:t>Din il-proposta tqis id-diskussjonijiet fil-Grupp ta’ Ħidma tal-Kunsill dwar l-Affarijiet Konsulari, b’mod partikolari l-iskambji ta’ fehmiet dwar l-iffaċilitar ulterjuri tal-eżerċizzju tad-dritt taċ-ċittadini tal-Unjoni għall-protezzjoni konsulari f’pajjiżi terzi li seħħew wara l-adozzjoni tar-rapport tal-Kummissjoni dwar l-implimentazzjoni u l-applikazzjoni tad-Direttiva (UE) 2015/637</w:t>
      </w:r>
      <w:r w:rsidRPr="00D04088">
        <w:rPr>
          <w:rStyle w:val="FootnoteReference0"/>
          <w:noProof/>
        </w:rPr>
        <w:footnoteReference w:id="16"/>
      </w:r>
      <w:r w:rsidRPr="00D04088">
        <w:rPr>
          <w:noProof/>
        </w:rPr>
        <w:t xml:space="preserve">. Fil-konklużjoni ta’ dawk id-diskussjonijiet, il-Presidenza tal-Kunsill qieset li kien hemm lok għar-rieżami tad-Direttiva, b’mod partikolari abbażi tal-esperjenzi minn kriżijiet konsulari f’dawn l-aħħar snin. </w:t>
      </w:r>
    </w:p>
    <w:p w14:paraId="105BC8D3" w14:textId="77777777" w:rsidR="00A60016" w:rsidRPr="00D04088" w:rsidRDefault="00960679">
      <w:pPr>
        <w:pBdr>
          <w:top w:val="nil"/>
          <w:left w:val="nil"/>
          <w:bottom w:val="nil"/>
          <w:right w:val="nil"/>
          <w:between w:val="nil"/>
          <w:bar w:val="nil"/>
        </w:pBdr>
        <w:spacing w:before="0" w:after="240"/>
        <w:rPr>
          <w:noProof/>
        </w:rPr>
      </w:pPr>
      <w:r w:rsidRPr="00D04088">
        <w:rPr>
          <w:noProof/>
        </w:rPr>
        <w:t xml:space="preserve">Kwestjonarju ddedikat fost l-awtoritajiet tal-Istati Membri ntuża biex tinġabar </w:t>
      </w:r>
      <w:r w:rsidRPr="00D04088">
        <w:rPr>
          <w:i/>
          <w:iCs/>
          <w:noProof/>
        </w:rPr>
        <w:t>data</w:t>
      </w:r>
      <w:r w:rsidRPr="00D04088">
        <w:rPr>
          <w:noProof/>
        </w:rPr>
        <w:t xml:space="preserve"> kwantitattiva dwar il-leġiżlazzjoni u l-proċeduri nazzjonali tal-Istati Membri, in-networks u l-assi konsulari tagħhom, il-protezzjoni konsulari li jipprovdu, u dwar il-kanali tal-ivvjaġġar u tal-komunikazzjoni tagħhom. Barra minn hekk, l-awtoritajiet tal-Istati Membri ntalbu wkoll jipprovdu feedback kwalitattiv dwar l-applikazzjoni tad-Direttiva (UE) 2015/637, dwar għażliet ta’ politika possibbli, u dwar it-tagħlimiet meħuda mir-rispons konsulari għall-pandemija tal-COVID-19.</w:t>
      </w:r>
    </w:p>
    <w:p w14:paraId="2C33FABB" w14:textId="604A0942" w:rsidR="00960679" w:rsidRPr="00D04088" w:rsidRDefault="00D94376">
      <w:pPr>
        <w:pBdr>
          <w:top w:val="nil"/>
          <w:left w:val="nil"/>
          <w:bottom w:val="nil"/>
          <w:right w:val="nil"/>
          <w:between w:val="nil"/>
          <w:bar w:val="nil"/>
        </w:pBdr>
        <w:spacing w:before="0" w:after="240"/>
        <w:rPr>
          <w:noProof/>
        </w:rPr>
      </w:pPr>
      <w:r w:rsidRPr="00D04088">
        <w:rPr>
          <w:noProof/>
        </w:rPr>
        <w:t>Intuża stħarriġ online mad-delegazzjonijiet tal-Unjoni biex tinkiseb il-valutazzjoni tagħhom tas-sitwazzjoni fl-i</w:t>
      </w:r>
      <w:r w:rsidRPr="00D04088">
        <w:rPr>
          <w:i/>
          <w:iCs/>
          <w:noProof/>
        </w:rPr>
        <w:t>status quo</w:t>
      </w:r>
      <w:r w:rsidRPr="00D04088">
        <w:rPr>
          <w:noProof/>
        </w:rPr>
        <w:t xml:space="preserve"> (inkluż fi żminijiet ta’ kriżi, bħal fiż-żmien tat-tifqigħa tal-COVID-19), fehmiet rigward il-funzjonament tad-Direttiva (UE) 2015/637, kif ukoll fehmiet rigward l-għażliet ta’ politika disponibbli.</w:t>
      </w:r>
    </w:p>
    <w:p w14:paraId="612694A0" w14:textId="36F93981" w:rsidR="003536E4" w:rsidRPr="00D04088" w:rsidRDefault="009C14D2">
      <w:pPr>
        <w:pBdr>
          <w:top w:val="nil"/>
          <w:left w:val="nil"/>
          <w:bottom w:val="nil"/>
          <w:right w:val="nil"/>
          <w:between w:val="nil"/>
          <w:bar w:val="nil"/>
        </w:pBdr>
        <w:spacing w:before="0" w:after="240"/>
        <w:rPr>
          <w:noProof/>
        </w:rPr>
      </w:pPr>
      <w:r w:rsidRPr="00D04088">
        <w:rPr>
          <w:noProof/>
        </w:rPr>
        <w:t>Matul l-2021, saru intervisti fil-fond mad-delegazzjonijiet tal-Unjoni, ir-rappreżentazzjonijiet tal-Istati Membri u l-organizzazzjonijiet tat-turisti/tal-espatrijati f’ħames pajjiżi terzi magħżula</w:t>
      </w:r>
      <w:r w:rsidRPr="00D04088">
        <w:rPr>
          <w:rStyle w:val="FootnoteReference0"/>
          <w:noProof/>
        </w:rPr>
        <w:footnoteReference w:id="17"/>
      </w:r>
      <w:r w:rsidRPr="00D04088">
        <w:rPr>
          <w:noProof/>
        </w:rPr>
        <w:t>, kif ukoll ma’ uffiċjali minn korpi tal-Unjoni bi rwol ta’ appoġġ fil-qasam tal-protezzjoni konsulari.</w:t>
      </w:r>
    </w:p>
    <w:p w14:paraId="20209CE9" w14:textId="77777777" w:rsidR="004669A8" w:rsidRPr="00D04088" w:rsidRDefault="00A168D7">
      <w:pPr>
        <w:pBdr>
          <w:top w:val="nil"/>
          <w:left w:val="nil"/>
          <w:bottom w:val="nil"/>
          <w:right w:val="nil"/>
          <w:between w:val="nil"/>
          <w:bar w:val="nil"/>
        </w:pBdr>
        <w:spacing w:before="0" w:after="240"/>
        <w:rPr>
          <w:noProof/>
        </w:rPr>
      </w:pPr>
      <w:r w:rsidRPr="00D04088">
        <w:rPr>
          <w:noProof/>
        </w:rPr>
        <w:lastRenderedPageBreak/>
        <w:t>Aktar informazzjoni dwar ir-rispons li wasal tista’ tinstab fil-valutazzjoni tal-impatt li takkumpanja din il-proposta.</w:t>
      </w:r>
    </w:p>
    <w:p w14:paraId="1E3067DF"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Ġbir u użu tal-għarfien espert</w:t>
      </w:r>
    </w:p>
    <w:p w14:paraId="420D8597" w14:textId="07CA4130" w:rsidR="00B5059D" w:rsidRPr="00D04088" w:rsidRDefault="00B5059D" w:rsidP="00B5059D">
      <w:pPr>
        <w:pStyle w:val="CoffeyParagraph"/>
        <w:spacing w:before="120" w:line="240" w:lineRule="auto"/>
        <w:rPr>
          <w:rFonts w:ascii="Times New Roman" w:hAnsi="Times New Roman"/>
          <w:noProof/>
          <w:sz w:val="24"/>
        </w:rPr>
      </w:pPr>
      <w:r w:rsidRPr="00D04088">
        <w:rPr>
          <w:rFonts w:ascii="Times New Roman" w:hAnsi="Times New Roman"/>
          <w:noProof/>
          <w:sz w:val="24"/>
        </w:rPr>
        <w:t>Il-Kummissjoni wettqet il-Flash Eurobarometer 485 dwar iċ-Ċittadinanza tal-UE u d-Demokrazija</w:t>
      </w:r>
      <w:r w:rsidRPr="00D04088">
        <w:rPr>
          <w:rStyle w:val="FootnoteReference0"/>
          <w:rFonts w:ascii="Times New Roman" w:hAnsi="Times New Roman"/>
          <w:noProof/>
          <w:sz w:val="24"/>
        </w:rPr>
        <w:footnoteReference w:id="18"/>
      </w:r>
      <w:r w:rsidRPr="00D04088">
        <w:rPr>
          <w:rFonts w:ascii="Times New Roman" w:hAnsi="Times New Roman"/>
          <w:noProof/>
          <w:sz w:val="24"/>
        </w:rPr>
        <w:t xml:space="preserve"> dwar firxa ta’ kwistjonijiet assoċjati maċ-ċittadinanza u d-demokrazija tal-Unjoni, li għalihom saret ħidma fuq il-post fl-Istati Membri fi Frar/Marzu 2020. Fost affarijiet oħra, l-istħarriġ esplora l-fehim taċ-ċittadini tal-Unjoni dwar id-drittijiet mogħtija miċ-ċittadinanza tal-Unjoni, inkluża l-protezzjoni konsulari. Sar stħarriġ simili fl-2023</w:t>
      </w:r>
      <w:r w:rsidRPr="00D04088">
        <w:rPr>
          <w:rStyle w:val="FootnoteReference0"/>
          <w:rFonts w:ascii="Times New Roman" w:hAnsi="Times New Roman"/>
          <w:noProof/>
          <w:sz w:val="24"/>
        </w:rPr>
        <w:footnoteReference w:id="19"/>
      </w:r>
      <w:r w:rsidRPr="00D04088">
        <w:rPr>
          <w:rFonts w:ascii="Times New Roman" w:hAnsi="Times New Roman"/>
          <w:noProof/>
          <w:sz w:val="24"/>
        </w:rPr>
        <w:t>.</w:t>
      </w:r>
    </w:p>
    <w:p w14:paraId="1BCAD8CF" w14:textId="2EF80F42" w:rsidR="00B5059D" w:rsidRPr="00D04088" w:rsidRDefault="009902E3" w:rsidP="00B5059D">
      <w:pPr>
        <w:rPr>
          <w:noProof/>
        </w:rPr>
      </w:pPr>
      <w:r w:rsidRPr="00D04088">
        <w:rPr>
          <w:noProof/>
        </w:rPr>
        <w:t>Bejn id-9 ta’ Lulju 2020 u l-1 ta’ Ottubru 2020 saret konsultazzjoni pubblika għar-Rapport dwar iċ-Ċittadinanza tal-UE tal-2020</w:t>
      </w:r>
      <w:r w:rsidRPr="00D04088">
        <w:rPr>
          <w:rStyle w:val="FootnoteReference0"/>
          <w:noProof/>
        </w:rPr>
        <w:footnoteReference w:id="20"/>
      </w:r>
      <w:r w:rsidRPr="00D04088">
        <w:rPr>
          <w:noProof/>
        </w:rPr>
        <w:t xml:space="preserve"> u din kien fiha mistoqsijiet dwar il-protezzjoni konsulari. Ir-rapport iddeskriva l-isforz ta’ ripatrijazzjoni mingħajr preċedent, li fih l-Istati Membri, appoġġati mis-servizzi tal-Kummissjoni u s-SEAE, irnexxielhom jirripatrijaw, bejn Frar u Mejju 2020, aktar minn nofs miljun ċittadin tal-Unjoni affettwati mir-restrizzjonijiet fuq l-ivvjaġġar minħabba l-COVID-19 madwar id-dinja. Ir-rapport stima li, fl-2020, 76 % taċ-ċittadini tal-Unjoni kienu konxji mid-dritt li jfittxu assistenza minn Stati Membri oħra, f’każ li l-Istat Membru tagħhom ma jkollux ambaxxati jew konsulati f’pajjiż terz.</w:t>
      </w:r>
    </w:p>
    <w:p w14:paraId="4FEC46B4" w14:textId="77777777" w:rsidR="00A657AC" w:rsidRPr="00D04088" w:rsidRDefault="00F74587" w:rsidP="00B75B61">
      <w:pPr>
        <w:spacing w:before="0" w:after="240"/>
        <w:rPr>
          <w:noProof/>
        </w:rPr>
      </w:pPr>
      <w:r w:rsidRPr="00D04088">
        <w:rPr>
          <w:noProof/>
        </w:rPr>
        <w:t>Barra minn hekk, il-Kummissjoni użat ir-rispons pubbliku li rċeviet bħala parti mill-proċess ta’ konsultazzjoni biex tħejji l-analiżi tal-valutazzjoni tal-impatt.</w:t>
      </w:r>
    </w:p>
    <w:p w14:paraId="36614880" w14:textId="7D6E1A7C" w:rsidR="005A0083" w:rsidRPr="00D04088" w:rsidRDefault="00F74587" w:rsidP="005A0083">
      <w:pPr>
        <w:pBdr>
          <w:top w:val="nil"/>
          <w:left w:val="nil"/>
          <w:bottom w:val="nil"/>
          <w:right w:val="nil"/>
          <w:between w:val="nil"/>
          <w:bar w:val="nil"/>
        </w:pBdr>
        <w:spacing w:before="0" w:after="240"/>
        <w:rPr>
          <w:noProof/>
        </w:rPr>
      </w:pPr>
      <w:r w:rsidRPr="00D04088">
        <w:rPr>
          <w:noProof/>
        </w:rPr>
        <w:t>Fl-aħħar nett, inġabret u ġiet analizzata evidenza fi studju ddedikat li sar f’isem il-Kummissjoni</w:t>
      </w:r>
      <w:r w:rsidRPr="00D04088">
        <w:rPr>
          <w:rStyle w:val="FootnoteReference0"/>
          <w:noProof/>
        </w:rPr>
        <w:footnoteReference w:id="21"/>
      </w:r>
      <w:r w:rsidRPr="00D04088">
        <w:rPr>
          <w:noProof/>
        </w:rPr>
        <w:t>. Aktar informazzjoni tista’ tinstab fil-valutazzjoni tal-impatt li takkumpanja din il-proposta.</w:t>
      </w:r>
    </w:p>
    <w:p w14:paraId="4D27198F"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Valutazzjoni tal-impatt</w:t>
      </w:r>
    </w:p>
    <w:p w14:paraId="04AF00EA" w14:textId="77777777" w:rsidR="00914EC7" w:rsidRPr="00D04088" w:rsidRDefault="00861C31" w:rsidP="00582229">
      <w:pPr>
        <w:spacing w:before="0" w:after="240"/>
        <w:rPr>
          <w:noProof/>
        </w:rPr>
      </w:pPr>
      <w:r w:rsidRPr="00D04088">
        <w:rPr>
          <w:noProof/>
        </w:rPr>
        <w:t>Kif deskritt fil-valutazzjoni tal-impatt</w:t>
      </w:r>
      <w:r w:rsidRPr="00D04088">
        <w:rPr>
          <w:rStyle w:val="FootnoteReference0"/>
          <w:noProof/>
        </w:rPr>
        <w:footnoteReference w:id="22"/>
      </w:r>
      <w:r w:rsidRPr="00D04088">
        <w:rPr>
          <w:noProof/>
        </w:rPr>
        <w:t>, l-objettiv ġenerali ta’ din l-inizjattiva huwa li ttejjeb l-eżerċizzju tad-dritt taċ-ċittadini tal-Unjoni li jgawdu, fit-territorju ta’ pajjiż terz fejn ma jkunx rappreżentat l-Istat Membru li tiegħu jkunu nazzjonali, il-protezzjoni tal-awtoritajiet diplomatiċi u konsulari ta’ kwalunkwe Stat Membru bl-istess kundizzjonijiet bħan-nazzjonali ta’ dak l-Istat Membru, .</w:t>
      </w:r>
    </w:p>
    <w:p w14:paraId="700C7297" w14:textId="03FAFA24" w:rsidR="00861C31" w:rsidRPr="00D04088" w:rsidRDefault="00861C31" w:rsidP="00582229">
      <w:pPr>
        <w:spacing w:before="0" w:after="240"/>
        <w:rPr>
          <w:noProof/>
        </w:rPr>
      </w:pPr>
      <w:r w:rsidRPr="00D04088">
        <w:rPr>
          <w:noProof/>
        </w:rPr>
        <w:t>Dan jinkiseb permezz tal-objettivi speċifiċi li ġejjin: (i) it-tisħiħ taċ-ċertezza legali għaċ-ċittadini tal-Unjoni fir-rigward tal-kamp ta’ applikazzjoni tad-dritt għall-protezzjoni konsulari; (ii) l-iżgurar ta’ rwoli u mekkaniżmi ta’ koordinazzjoni u kooperazzjoni ċari bejn l-Istati Membri u d-delegazzjonijiet tal-Unjoni, inkluż fi żminijiet ta’ kriżi; (iii) it-titjib tal-għoti ta’ informazzjoni u tal-komunikazzjoni maċ-ċittadini tal-Unjoni (mhux rappreżentati); u (iv) iż-żieda fl-effiċjenza u l-użu tal-proċeduri ta’ rimborż finanzjarju.</w:t>
      </w:r>
    </w:p>
    <w:p w14:paraId="2894FD6C" w14:textId="77777777" w:rsidR="00861C31" w:rsidRPr="00D04088" w:rsidRDefault="00861C31" w:rsidP="00582229">
      <w:pPr>
        <w:spacing w:before="0" w:after="240"/>
        <w:rPr>
          <w:noProof/>
        </w:rPr>
      </w:pPr>
      <w:r w:rsidRPr="00D04088">
        <w:rPr>
          <w:noProof/>
        </w:rPr>
        <w:t xml:space="preserve">Il-valutazzjoni tal-impatt eżaminat diversi għażliet ta’ politika għal kull objettiv speċifiku b’firxa ta’ miżuri potenzjali biex jiġu indirizzati l-problemi. </w:t>
      </w:r>
    </w:p>
    <w:p w14:paraId="76CAE7BB" w14:textId="1E796F2B" w:rsidR="00861C31" w:rsidRPr="00D04088" w:rsidRDefault="00861C31" w:rsidP="00582229">
      <w:pPr>
        <w:spacing w:before="0" w:after="240"/>
        <w:rPr>
          <w:noProof/>
        </w:rPr>
      </w:pPr>
      <w:r w:rsidRPr="00D04088">
        <w:rPr>
          <w:noProof/>
        </w:rPr>
        <w:lastRenderedPageBreak/>
        <w:t xml:space="preserve">L-għażliet ikkunsidrati skont l-ewwel objettiv ifittxu li jiżguraw li d-definizzjoni ta’ “ċittadin mhux rappreżentat” tiġi ċċarata u mtejba biex jiġi evitat li ċ-ċittadini mhux rappreżentati ma jiġux megħjuna abbażi ta’ interpretazzjoni jew valutazzjoni ħażina tas-sitwazzjoni mill-Istati Membri jew mid-delegazzjonijiet tal-Unjoni. L-għażla ta’ politika 1(a) tikkonsisti f’miżuri mhux vinkolanti, filwaqt li l-għażla ta’ politika 1(b) tikkonsisti f’bidliet leġiżlattivi biex jiġu ċċarati d-definizzjoni u l-kamp ta’ applikazzjoni </w:t>
      </w:r>
      <w:r w:rsidRPr="00D04088">
        <w:rPr>
          <w:i/>
          <w:iCs/>
          <w:noProof/>
        </w:rPr>
        <w:t>ratione personae</w:t>
      </w:r>
      <w:r w:rsidRPr="00D04088">
        <w:rPr>
          <w:noProof/>
        </w:rPr>
        <w:t xml:space="preserve"> tad-Direttiva (UE) 2015/637. L-għażla ta’ politika 1(c) tikkonsisti mill-introduzzjoni ta’ “preżunzjoni ta’ nuqqas ta’ rappreżentanza” ġdida. </w:t>
      </w:r>
    </w:p>
    <w:p w14:paraId="6128E66B" w14:textId="5D7D0519" w:rsidR="00FE7189" w:rsidRPr="00D04088" w:rsidRDefault="00861C31" w:rsidP="0089641C">
      <w:pPr>
        <w:pStyle w:val="Text2"/>
        <w:spacing w:before="0" w:after="240"/>
        <w:ind w:left="0"/>
        <w:rPr>
          <w:noProof/>
        </w:rPr>
      </w:pPr>
      <w:r w:rsidRPr="00D04088">
        <w:rPr>
          <w:noProof/>
        </w:rPr>
        <w:t>Skont it-tieni objettiv speċifiku, il-valutazzjoni tal-impatt eżaminat għażliet li jindirizzaw il-problemi relatati mal-kunċetti u l-proċessi ewlenin li permezz tagħhom l-Istati Membri u d-delegazzjonijiet tal-Unjoni jinteraġixxu sabiex jipprovdu assistenza konsulari liċ-ċittadini mhux rappreżentati. Fir-rigward tan-networks ta’ kooperazzjoni konsulari lokali, l-għażla ta’ politika 2(a) tikkonsisti minn miżuri mhux vinkolanti li jistrutturaw aħjar ir-responsabbiltajiet differenti f’dawn in-networks. L-għażla ta’ politika 2(b) tipproponi li r-rwol tal-President fil-laqgħat ta’ kooperazzjoni lokali jiġi assenjat lid-delegazzjonijiet tal-Unjoni. L-għażla ta’ politika 2(c) tikkonsisti minn emendi leġiżlattivi li jiddefinixxu l-assenjazzjoni ta’ kompiti ċari, fil-pjanijiet ta’ kontinġenza konsulari konġunti, lill-atturi differenti involuti, u rieżami tal-kunċett ta’ “Stat Mexxej”. Tipproponi wkoll li</w:t>
      </w:r>
      <w:r w:rsidRPr="00D04088">
        <w:rPr>
          <w:rStyle w:val="fw-bold"/>
          <w:noProof/>
        </w:rPr>
        <w:t xml:space="preserve"> </w:t>
      </w:r>
      <w:r w:rsidRPr="00D04088">
        <w:rPr>
          <w:noProof/>
        </w:rPr>
        <w:t xml:space="preserve">tali pjanijiet u l-hekk imsejħa timijiet konsulari konġunti jiġu inklużi </w:t>
      </w:r>
      <w:r w:rsidRPr="00D04088">
        <w:rPr>
          <w:rStyle w:val="fw-bold"/>
          <w:noProof/>
        </w:rPr>
        <w:t>fid-</w:t>
      </w:r>
      <w:r w:rsidRPr="00D04088">
        <w:rPr>
          <w:noProof/>
        </w:rPr>
        <w:t>Direttiva (UE) 2015/637. L-għażla ta’ politika 2(d) tikkonsisti f’emendi legali biex jiġi ċċarat ir-rwol ta’ appoġġ tad-delegazzjonijiet tal-Unjoni, b’mod partikolari billi jiġi allinjat mad-Deċiżjoni dwar is-SEAE. L-għażla 2(e) tikkonsisti minn emendi legali li jagħtu lid-delegazzjonijiet tal-Unjoni kompetenzi ġodda li jippermettulhom jipprovdu protezzjoni konsulari diretta liċ-ċittadini mhux rappreżentati f’pajjiżi terzi mhux koperti fuq talba ta’ dawn tal-aħħar.</w:t>
      </w:r>
    </w:p>
    <w:p w14:paraId="791C8FE1" w14:textId="2F693643" w:rsidR="00E22AF9" w:rsidRPr="00D04088" w:rsidRDefault="00861C31" w:rsidP="0089641C">
      <w:pPr>
        <w:pStyle w:val="Text2"/>
        <w:spacing w:before="0" w:after="240"/>
        <w:ind w:left="0"/>
        <w:rPr>
          <w:noProof/>
        </w:rPr>
      </w:pPr>
      <w:r w:rsidRPr="00D04088">
        <w:rPr>
          <w:noProof/>
        </w:rPr>
        <w:t>Għażliet li jsegwu t-tielet objettiv speċifiku jindirizzaw l-kawżi ewlenin tal-problemi ta’ komunikazzjoni maċ-ċittadini: i) il-problemi bl-għoti ta’ informazzjoni mill-Istati Membri u mill-Unjoni u ii) in-nuqqas ta’ informazzjoni dwar iċ-ċittadini li jivvjaġġaw jew li jirrisjedu barra mill-pajjiż. Dwar l-ewwel kwistjoni, l-għażla ta’ politika 3(a) tikkonsisti f’emendi legali b’rekwiżiti ġodda dwar l-għoti ta’ informazzjoni, filwaqt li l-għażla ta’ politika 3(b) tikkonsisti fl-istabbiliment ta’ portal tal-Unjoni għall-pariri dwar l-ivvjaġġar. Dwar it-tieni kwistjoni, l-għażla ta’ politika 3(c) tirrakkomanda kampanja ta’ komunikazzjoni għall-Unjoni kollha u l-għażla ta’ politika 3(d) tkun tirrikjedi li l-Istati Membri jippromwovu miżuri li jippermettu liċ-ċittadini tal-Unjoni jinfurmaw dwar/jirreġistraw il-vjaġġi jew ir-residenza tagħhom barra mill-pajjiż.</w:t>
      </w:r>
    </w:p>
    <w:p w14:paraId="57C891FD" w14:textId="133B0668" w:rsidR="00861C31" w:rsidRPr="00D04088" w:rsidRDefault="00861C31" w:rsidP="0089641C">
      <w:pPr>
        <w:pStyle w:val="Text2"/>
        <w:spacing w:before="0" w:after="240"/>
        <w:ind w:left="0"/>
        <w:rPr>
          <w:noProof/>
        </w:rPr>
      </w:pPr>
      <w:r w:rsidRPr="00D04088">
        <w:rPr>
          <w:noProof/>
        </w:rPr>
        <w:t xml:space="preserve">Fl-aħħar nett, l-għażliet taħt l-objettiv speċifiku erbgħa għandhom l-għan li jnaqqsu l-kumplessità u l-ineffettività tal-proċeduri ta’ rimborżi finanzjarji bil-għan li jżidu l-użu tagħhom u jaċċelleraw il-proċessi għall-benefiċċju taċ-ċittadini tal-Unjoni u tal-Istati Membri. L-għażla ta’ politika 4(a) tikkonsisti minn miżuri mhux vinkolanti biex jiġi ċċarat il-proċess u jiġi pprovdut taħriġ lill-Istati Membri filwaqt li l-għażla ta’ politika 4(b) tikkonsisti minn emendi legali biex jittejbu l-proċeduri u biex dawn jiġu estiżi għad-delegazzjonijiet tal-Unjoni biex tiġi żgurata l-konformità mar-rekwiżit tan-newtralità tal-kostijiet previst fid-Deċiżjoni dwar is-SEAE. </w:t>
      </w:r>
    </w:p>
    <w:p w14:paraId="44957C70" w14:textId="36566776" w:rsidR="008669AC" w:rsidRPr="00D04088" w:rsidRDefault="00B76B0F" w:rsidP="00582229">
      <w:pPr>
        <w:pStyle w:val="Text2"/>
        <w:spacing w:before="0" w:after="240"/>
        <w:ind w:left="0"/>
        <w:rPr>
          <w:noProof/>
        </w:rPr>
      </w:pPr>
      <w:r w:rsidRPr="00D04088">
        <w:rPr>
          <w:noProof/>
        </w:rPr>
        <w:t xml:space="preserve">Abbażi tal-analiżi deskritta fil-valutazzjoni tal-impatt, il-kombinazzjoni ta’ għażliet preferuta hija magħmula mill-għażliet ta’ politika speċifiċi li ġejjin: 1(b), li tiċċara d-definizzjoni u l-kamp ta’ applikazzjoni </w:t>
      </w:r>
      <w:r w:rsidRPr="00D04088">
        <w:rPr>
          <w:i/>
          <w:iCs/>
          <w:noProof/>
        </w:rPr>
        <w:t>ratione personae</w:t>
      </w:r>
      <w:r w:rsidRPr="00D04088">
        <w:rPr>
          <w:noProof/>
        </w:rPr>
        <w:t xml:space="preserve"> tad-Direttiva (UE) 2015/637, 2(b), li tassenja r-rwol tal-presidenza tal-laqgħat ta’ kooperazzjoni lokali lid-delegazzjonijiet tal-Unjoni, 2(c), li tassenja kompiti ċari, fil-pjanijiet ta’ kontinġenza konsulari konġunti, lid-diversi atturi </w:t>
      </w:r>
      <w:r w:rsidRPr="00D04088">
        <w:rPr>
          <w:noProof/>
        </w:rPr>
        <w:lastRenderedPageBreak/>
        <w:t>involuti, u li tirrieżamina l-kunċett ta’ “Stat Mexxej”, 2(d), li tiċċara dan ir-rwol ta’ appoġġ tad-delegazzjonijiet tal-Unjoni, 3(a), dwar l-għoti ta’ informazzjoni, 3(d), dwar il-promozzjoni ta’ miżuri li jippermettu liċ-ċittadini tal-Unjoni biex jagħtu informazzjoni dwar il-vjaġġi tagħhom jew jirreġistrawhom jew residenza f’pajjiż barrani, u 4(b), li ttejjeb il-proċeduri finanzjarji.</w:t>
      </w:r>
    </w:p>
    <w:p w14:paraId="35D3B33F" w14:textId="00F15C21" w:rsidR="00861C31" w:rsidRPr="00D04088" w:rsidRDefault="00861C31" w:rsidP="00582229">
      <w:pPr>
        <w:spacing w:before="0" w:after="240"/>
        <w:rPr>
          <w:noProof/>
        </w:rPr>
      </w:pPr>
      <w:r w:rsidRPr="00D04088">
        <w:rPr>
          <w:noProof/>
        </w:rPr>
        <w:t xml:space="preserve">Il-benefiċċji ewlenin tal-kombinazzjoni ta’ għażliet preferuta huma s-salvagwardja u l-effettività mtejba tad-dritt fundamentali taċ-ċittadini tal-Unjoni għall-protezzjoni konsulari bl-istess kundizzjonijiet bħan-nazzjonali tal-Istat Membru li jipprovdi l-assistenza. Dan jinkiseb permezz ta’ kjarifika tal-proċeduri u ċertezza legali mtejba għall-Istati Membri u għad-delegazzjonijiet tal-Unjoni. Benefiċċji oħra jinkludu komunikazzjoni mtejba maċ-ċittadini tal-Unjoni permezz ta’ aċċess iffaċilitat għal informazzjoni affidabbli u ta’ żieda fir-reġistrazzjoni tal-vjaġġi u r-residenza tagħhom barra mill-pajjiż. Il-miżuri preferuti jinvolvu wkoll iffrankar u effiċjenzi żgħar għall-amministrazzjonijiet nazzjonali u ffrankar ta’ ħin u inqas piż għaċ-ċittadini tal-Unjoni. </w:t>
      </w:r>
    </w:p>
    <w:p w14:paraId="15905A92" w14:textId="77777777" w:rsidR="006836BB" w:rsidRPr="00D04088" w:rsidRDefault="00861C31" w:rsidP="0089641C">
      <w:pPr>
        <w:keepNext/>
        <w:numPr>
          <w:ilvl w:val="1"/>
          <w:numId w:val="0"/>
        </w:numPr>
        <w:tabs>
          <w:tab w:val="num" w:pos="1202"/>
        </w:tabs>
        <w:spacing w:before="0" w:after="240"/>
        <w:outlineLvl w:val="1"/>
        <w:rPr>
          <w:noProof/>
        </w:rPr>
      </w:pPr>
      <w:r w:rsidRPr="00D04088">
        <w:rPr>
          <w:noProof/>
        </w:rPr>
        <w:t>Il-kostijiet tal-għażla ppreferuta huma limitati ħafna u jinġarru mill-Istati Membri u mill-Unjoni, inklużi d-delegazzjonijiet tal-Unjoni.</w:t>
      </w:r>
    </w:p>
    <w:p w14:paraId="5DEF4EFB" w14:textId="77777777" w:rsidR="001F2FF3" w:rsidRPr="00D04088" w:rsidRDefault="006836BB" w:rsidP="00582229">
      <w:pPr>
        <w:keepNext/>
        <w:numPr>
          <w:ilvl w:val="1"/>
          <w:numId w:val="0"/>
        </w:numPr>
        <w:tabs>
          <w:tab w:val="num" w:pos="1202"/>
        </w:tabs>
        <w:spacing w:before="0" w:after="240"/>
        <w:outlineLvl w:val="1"/>
        <w:rPr>
          <w:noProof/>
        </w:rPr>
      </w:pPr>
      <w:r w:rsidRPr="00D04088">
        <w:rPr>
          <w:noProof/>
        </w:rPr>
        <w:t>Fis-6 ta’ Lulju 2023, il-Bord tal-Iskrutinju Regolatorju ħareġ “opinjoni pożittiva b’riżervi” dwar l-abbozz tal-valutazzjoni tal-impatt sottomess mill-ġdid</w:t>
      </w:r>
      <w:r w:rsidRPr="00D04088">
        <w:rPr>
          <w:rStyle w:val="FootnoteReference0"/>
          <w:noProof/>
        </w:rPr>
        <w:footnoteReference w:id="23"/>
      </w:r>
      <w:r w:rsidRPr="00D04088">
        <w:rPr>
          <w:noProof/>
        </w:rPr>
        <w:t>.</w:t>
      </w:r>
    </w:p>
    <w:p w14:paraId="40B5D903"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Idoneità regolatorja u simplifikazzjoni</w:t>
      </w:r>
    </w:p>
    <w:p w14:paraId="1B531C29" w14:textId="77777777" w:rsidR="000256FF" w:rsidRPr="00D04088" w:rsidRDefault="0048288A">
      <w:pPr>
        <w:pBdr>
          <w:top w:val="nil"/>
          <w:left w:val="nil"/>
          <w:bottom w:val="nil"/>
          <w:right w:val="nil"/>
          <w:between w:val="nil"/>
          <w:bar w:val="nil"/>
        </w:pBdr>
        <w:spacing w:before="0" w:after="240"/>
        <w:rPr>
          <w:noProof/>
        </w:rPr>
      </w:pPr>
      <w:r w:rsidRPr="00D04088">
        <w:rPr>
          <w:noProof/>
        </w:rPr>
        <w:t>Ma ġie identifikat l-ebda impatt speċifiku fuq l-intrapriżi żgħar u ta’ daqs medju fit-tħejjija ta’ din il-proposta. F’konformità mal-prinċipju “diġitali b’mod awtomatiku”, il-proposta tipprevedi l-għoti ta’ informazzjoni f’forma li tinqara mill-magni biex jiġi ffaċilitat l-ipproċessar awtomatizzat.</w:t>
      </w:r>
    </w:p>
    <w:p w14:paraId="5E6C2317"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Drittijiet fundamentali</w:t>
      </w:r>
    </w:p>
    <w:p w14:paraId="758B0D28" w14:textId="77777777" w:rsidR="00376D77" w:rsidRPr="00D04088" w:rsidRDefault="00376D77" w:rsidP="00376D77">
      <w:pPr>
        <w:rPr>
          <w:noProof/>
        </w:rPr>
      </w:pPr>
      <w:r w:rsidRPr="00D04088">
        <w:rPr>
          <w:noProof/>
        </w:rPr>
        <w:t xml:space="preserve">Din il-proposta timplimenta d-dritt fundamentali taċ-ċittadini tal-Unjoni għall-protezzjoni diplomatika u konsulari, garantit mill-Artikoli 20(2)(c) u 23 tat-TFUE u mill-Artikolu 46 tal-Karta. </w:t>
      </w:r>
    </w:p>
    <w:p w14:paraId="7284B5A2" w14:textId="350D501D" w:rsidR="00CE39A7" w:rsidRPr="00D04088" w:rsidRDefault="004315C3" w:rsidP="00376D77">
      <w:pPr>
        <w:rPr>
          <w:noProof/>
        </w:rPr>
      </w:pPr>
      <w:r w:rsidRPr="00D04088">
        <w:rPr>
          <w:noProof/>
        </w:rPr>
        <w:t>Sa fejn issaħħaħ ir-rwol u l-funzjonament tad-delegazzjonijiet tal-Unjoni fl-appoġġ għall-għoti ta’ protezzjoni konsulari, din il-proposta għandha impatt dirett u benefiku fuq l-applikazzjoni tal-Artikolu 41 tal-Karta, li fih id-dritt fundamentali taċ-ċittadini tal-Unjoni li l-affarijiet tagħhom jiġu ttrattati b’mod ġust, trasparenti u effiċjenti mill-istituzzjonijiet tal-Unjoni u minn korpi oħra tal-Unjoni.</w:t>
      </w:r>
    </w:p>
    <w:p w14:paraId="6D41E67D" w14:textId="0291C9E3" w:rsidR="00536CAF" w:rsidRPr="00D04088" w:rsidRDefault="00376D77" w:rsidP="00376D77">
      <w:pPr>
        <w:rPr>
          <w:noProof/>
        </w:rPr>
      </w:pPr>
      <w:r w:rsidRPr="00D04088">
        <w:rPr>
          <w:noProof/>
        </w:rPr>
        <w:t>Il-proposta taffettwa wkoll l-Artikolu 7 tal-Karta dwar ir-rispett tal-ħajja privata u l-Artikolu 8 dwar id-dritt għall-protezzjoni tad-</w:t>
      </w:r>
      <w:r w:rsidRPr="00D04088">
        <w:rPr>
          <w:i/>
          <w:iCs/>
          <w:noProof/>
        </w:rPr>
        <w:t>data</w:t>
      </w:r>
      <w:r w:rsidRPr="00D04088">
        <w:rPr>
          <w:noProof/>
        </w:rPr>
        <w:t xml:space="preserve"> personali. L-ipproċessar ta’ </w:t>
      </w:r>
      <w:r w:rsidRPr="00D04088">
        <w:rPr>
          <w:i/>
          <w:iCs/>
          <w:noProof/>
        </w:rPr>
        <w:t>data</w:t>
      </w:r>
      <w:r w:rsidRPr="00D04088">
        <w:rPr>
          <w:noProof/>
        </w:rPr>
        <w:t xml:space="preserve"> personali taċ-ċittadini, inklużi l-ġbir, l-aċċess għad-</w:t>
      </w:r>
      <w:r w:rsidRPr="00D04088">
        <w:rPr>
          <w:i/>
          <w:iCs/>
          <w:noProof/>
        </w:rPr>
        <w:t>data</w:t>
      </w:r>
      <w:r w:rsidRPr="00D04088">
        <w:rPr>
          <w:noProof/>
        </w:rPr>
        <w:t xml:space="preserve"> personali u l-użu tagħha, jaffettwa d-dritt għall-privatezza u d-dritt għall-protezzjoni ta’ </w:t>
      </w:r>
      <w:r w:rsidRPr="00D04088">
        <w:rPr>
          <w:i/>
          <w:iCs/>
          <w:noProof/>
        </w:rPr>
        <w:t>data</w:t>
      </w:r>
      <w:r w:rsidRPr="00D04088">
        <w:rPr>
          <w:noProof/>
        </w:rPr>
        <w:t xml:space="preserve"> personali skont il-Karta. L-interferenza ma’ dawn id-drittijiet fundamentali trid tkun ġustifikata</w:t>
      </w:r>
      <w:r w:rsidRPr="00D04088">
        <w:rPr>
          <w:rStyle w:val="FootnoteReference0"/>
          <w:noProof/>
        </w:rPr>
        <w:footnoteReference w:id="24"/>
      </w:r>
      <w:r w:rsidRPr="00D04088">
        <w:rPr>
          <w:noProof/>
        </w:rPr>
        <w:t>. Fir-rigward tad-dritt għall-protezzjoni tad-</w:t>
      </w:r>
      <w:r w:rsidRPr="00D04088">
        <w:rPr>
          <w:i/>
          <w:iCs/>
          <w:noProof/>
        </w:rPr>
        <w:t>data</w:t>
      </w:r>
      <w:r w:rsidRPr="00D04088">
        <w:rPr>
          <w:noProof/>
        </w:rPr>
        <w:t xml:space="preserve"> personali, inkluża s-sigurtà tad-</w:t>
      </w:r>
      <w:r w:rsidRPr="00D04088">
        <w:rPr>
          <w:i/>
          <w:iCs/>
          <w:noProof/>
        </w:rPr>
        <w:t>data</w:t>
      </w:r>
      <w:r w:rsidRPr="00D04088">
        <w:rPr>
          <w:noProof/>
        </w:rPr>
        <w:t>, japplikaw ir-regoli rilevanti tal-Unjoni</w:t>
      </w:r>
      <w:r w:rsidRPr="00D04088">
        <w:rPr>
          <w:rStyle w:val="footnotereference"/>
          <w:noProof/>
        </w:rPr>
        <w:t xml:space="preserve"> </w:t>
      </w:r>
      <w:r w:rsidRPr="00D04088">
        <w:rPr>
          <w:rStyle w:val="FootnoteReference0"/>
          <w:noProof/>
        </w:rPr>
        <w:footnoteReference w:id="25"/>
      </w:r>
      <w:r w:rsidRPr="00D04088">
        <w:rPr>
          <w:noProof/>
        </w:rPr>
        <w:t xml:space="preserve">. Ma hi </w:t>
      </w:r>
      <w:r w:rsidRPr="00D04088">
        <w:rPr>
          <w:noProof/>
        </w:rPr>
        <w:lastRenderedPageBreak/>
        <w:t>prevista ebda deroga mir-reġim ta’ protezzjoni tad-</w:t>
      </w:r>
      <w:r w:rsidRPr="00D04088">
        <w:rPr>
          <w:i/>
          <w:iCs/>
          <w:noProof/>
        </w:rPr>
        <w:t>data</w:t>
      </w:r>
      <w:r w:rsidRPr="00D04088">
        <w:rPr>
          <w:noProof/>
        </w:rPr>
        <w:t>. L-Istati Membri jeħtiġilhom jimplimentaw regoli, kundizzjonijiet u salvagwardji ċari f’konformità mar-regoli tal-Unjoni dwar il-protezzjoni tad-</w:t>
      </w:r>
      <w:r w:rsidRPr="00D04088">
        <w:rPr>
          <w:i/>
          <w:iCs/>
          <w:noProof/>
        </w:rPr>
        <w:t>data</w:t>
      </w:r>
      <w:r w:rsidRPr="00D04088">
        <w:rPr>
          <w:noProof/>
        </w:rPr>
        <w:t>.</w:t>
      </w:r>
    </w:p>
    <w:p w14:paraId="1434365C" w14:textId="2DFAB9F2" w:rsidR="00376D77" w:rsidRPr="00D04088" w:rsidRDefault="00AA6E87" w:rsidP="00376D77">
      <w:pPr>
        <w:rPr>
          <w:noProof/>
        </w:rPr>
      </w:pPr>
      <w:r w:rsidRPr="00D04088">
        <w:rPr>
          <w:noProof/>
        </w:rPr>
        <w:t xml:space="preserve">Biż-żieda ta’ dispożizzjoni ddedikata, il-proposta tiżgura wkoll id-dritt għal rimedju effettiv (l-Artikolu 47 tal-Karta). </w:t>
      </w:r>
    </w:p>
    <w:p w14:paraId="32161F18" w14:textId="77777777" w:rsidR="00304682" w:rsidRPr="00D04088" w:rsidRDefault="00304682">
      <w:pPr>
        <w:pStyle w:val="ManualHeading1"/>
        <w:rPr>
          <w:noProof/>
        </w:rPr>
      </w:pPr>
      <w:r w:rsidRPr="00D04088">
        <w:rPr>
          <w:noProof/>
        </w:rPr>
        <w:t>4.</w:t>
      </w:r>
      <w:r w:rsidRPr="00D04088">
        <w:rPr>
          <w:noProof/>
        </w:rPr>
        <w:tab/>
        <w:t>IMPLIKAZZJONIJIET BAĠITARJI</w:t>
      </w:r>
    </w:p>
    <w:p w14:paraId="15B3B3FD" w14:textId="7EFF5E78" w:rsidR="00205442" w:rsidRPr="00D04088" w:rsidRDefault="00205442" w:rsidP="00205442">
      <w:pPr>
        <w:pBdr>
          <w:top w:val="nil"/>
          <w:left w:val="nil"/>
          <w:bottom w:val="nil"/>
          <w:right w:val="nil"/>
          <w:between w:val="nil"/>
          <w:bar w:val="nil"/>
        </w:pBdr>
        <w:spacing w:before="0" w:after="240"/>
        <w:rPr>
          <w:noProof/>
        </w:rPr>
      </w:pPr>
      <w:r w:rsidRPr="00D04088">
        <w:rPr>
          <w:noProof/>
        </w:rPr>
        <w:t>Din il-proposta għandha implikazzjonijiet f’termini ta’ kostijiet amministrattivi għad-delegazzjonijiet tal-Kummissjoni u tal-Unjoni. Il-kostijiet rikorrenti limitati tal-persunal u nfiq amministrattiv ieħor ikunu koperti taħt l-intestatura baġitarja “Nefqa amministrattiva”.</w:t>
      </w:r>
    </w:p>
    <w:p w14:paraId="2A0CA357" w14:textId="77777777" w:rsidR="00205442" w:rsidRPr="00D04088" w:rsidRDefault="00205442" w:rsidP="00205442">
      <w:pPr>
        <w:pBdr>
          <w:top w:val="nil"/>
          <w:left w:val="nil"/>
          <w:bottom w:val="nil"/>
          <w:right w:val="nil"/>
          <w:between w:val="nil"/>
          <w:bar w:val="nil"/>
        </w:pBdr>
        <w:spacing w:before="0" w:after="240"/>
        <w:rPr>
          <w:noProof/>
        </w:rPr>
      </w:pPr>
      <w:r w:rsidRPr="00D04088">
        <w:rPr>
          <w:noProof/>
        </w:rPr>
        <w:t>L-impatti finanzjarji u baġitarji huma spjegati fid-dettall fid-dikjarazzjoni finanzjarja leġiżlattiva annessa ma’ din il-proposta.</w:t>
      </w:r>
    </w:p>
    <w:p w14:paraId="41E2FD73" w14:textId="77777777" w:rsidR="00304682" w:rsidRPr="00D04088" w:rsidRDefault="00304682">
      <w:pPr>
        <w:pStyle w:val="ManualHeading1"/>
        <w:rPr>
          <w:noProof/>
        </w:rPr>
      </w:pPr>
      <w:r w:rsidRPr="00D04088">
        <w:rPr>
          <w:noProof/>
        </w:rPr>
        <w:t>5.</w:t>
      </w:r>
      <w:r w:rsidRPr="00D04088">
        <w:rPr>
          <w:noProof/>
        </w:rPr>
        <w:tab/>
        <w:t>ELEMENTI OĦRA</w:t>
      </w:r>
    </w:p>
    <w:p w14:paraId="3C21EB23"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Pjanijiet ta’ implimentazzjoni u arranġamenti dwar il-monitoraġġ, l-evalwazzjoni u r-rapportar</w:t>
      </w:r>
    </w:p>
    <w:p w14:paraId="7C4666B1" w14:textId="1FB01D11" w:rsidR="00430AC1" w:rsidRPr="00D04088" w:rsidRDefault="00E76C68" w:rsidP="00746C99">
      <w:pPr>
        <w:spacing w:before="0" w:after="240"/>
        <w:rPr>
          <w:noProof/>
        </w:rPr>
      </w:pPr>
      <w:r w:rsidRPr="00D04088">
        <w:rPr>
          <w:noProof/>
        </w:rPr>
        <w:t>Huwa importanti li jiġi adottat approċċ realistiku għall-monitoraġġ tal-implimentazzjoni tad-Direttiva (UE) 2015/637 kif emendata u li l-awtoritajiet konsulari nazzjonali ma jitgħabbux iżżejjed. L-Istati Membri huma mitluba jipprovdu lill-Kummissjoni b’informazzjoni fuq għadd limitat ta’ indikaturi ewlenin fuq bażi annwali.</w:t>
      </w:r>
    </w:p>
    <w:p w14:paraId="33DE915B" w14:textId="16F8C728" w:rsidR="00B07080" w:rsidRPr="00D04088" w:rsidRDefault="00B07080" w:rsidP="00746C99">
      <w:pPr>
        <w:spacing w:before="0" w:after="240"/>
        <w:rPr>
          <w:noProof/>
        </w:rPr>
      </w:pPr>
      <w:r w:rsidRPr="00D04088">
        <w:rPr>
          <w:noProof/>
        </w:rPr>
        <w:t xml:space="preserve">Wara 8 snin, il-Kummissjoni se twettaq evalwazzjoni tad-Direttiva (UE) 2015/637 kif emendata mill-proposta u tippubblika rapport dwar is-sejbiet ewlenin. </w:t>
      </w:r>
    </w:p>
    <w:p w14:paraId="7C7B300A"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Dokumenti ta’ spjegazzjoni</w:t>
      </w:r>
    </w:p>
    <w:p w14:paraId="1CEEE3A0" w14:textId="25D8247F" w:rsidR="00341FE4" w:rsidRPr="00D04088" w:rsidRDefault="00341FE4" w:rsidP="00746C99">
      <w:pPr>
        <w:spacing w:before="0" w:after="240"/>
        <w:rPr>
          <w:noProof/>
        </w:rPr>
      </w:pPr>
      <w:r w:rsidRPr="00D04088">
        <w:rPr>
          <w:noProof/>
        </w:rPr>
        <w:t>Sabiex tiġi żgurata l-implimentazzjoni xierqa ta’ din id-direttiva, huma meħtieġa dokumenti ta’ spjegazzjoni fil-forma ta’ tabelli ta’ korrelazzjoni.</w:t>
      </w:r>
    </w:p>
    <w:p w14:paraId="139F2B7F" w14:textId="77777777" w:rsidR="00304682" w:rsidRPr="00D04088" w:rsidRDefault="00304682">
      <w:pPr>
        <w:pStyle w:val="ManualHeading2"/>
        <w:rPr>
          <w:noProof/>
          <w:u w:color="000000"/>
          <w:bdr w:val="nil"/>
        </w:rPr>
      </w:pPr>
      <w:r w:rsidRPr="00D04088">
        <w:rPr>
          <w:noProof/>
          <w:u w:color="000000"/>
          <w:bdr w:val="nil"/>
        </w:rPr>
        <w:t>•</w:t>
      </w:r>
      <w:r w:rsidRPr="00D04088">
        <w:rPr>
          <w:noProof/>
        </w:rPr>
        <w:tab/>
      </w:r>
      <w:r w:rsidRPr="00D04088">
        <w:rPr>
          <w:noProof/>
          <w:u w:color="000000"/>
          <w:bdr w:val="nil"/>
        </w:rPr>
        <w:t>Spjegazzjoni fid-dettall tad-dispożizzjonijiet speċifiċi tal-proposta</w:t>
      </w:r>
    </w:p>
    <w:p w14:paraId="5C546DB8" w14:textId="195B3DB4" w:rsidR="000C01EE" w:rsidRPr="00D04088" w:rsidRDefault="000C01EE">
      <w:pPr>
        <w:pBdr>
          <w:top w:val="nil"/>
          <w:left w:val="nil"/>
          <w:bottom w:val="nil"/>
          <w:right w:val="nil"/>
          <w:between w:val="nil"/>
          <w:bar w:val="nil"/>
        </w:pBdr>
        <w:spacing w:before="0" w:after="240"/>
        <w:rPr>
          <w:noProof/>
        </w:rPr>
      </w:pPr>
      <w:r w:rsidRPr="00D04088">
        <w:rPr>
          <w:noProof/>
        </w:rPr>
        <w:t>L-</w:t>
      </w:r>
      <w:r w:rsidRPr="00D04088">
        <w:rPr>
          <w:b/>
          <w:noProof/>
        </w:rPr>
        <w:t xml:space="preserve">Artikolu 1 </w:t>
      </w:r>
      <w:r w:rsidRPr="00D04088">
        <w:rPr>
          <w:b/>
          <w:bCs/>
          <w:noProof/>
        </w:rPr>
        <w:t>fih l-emendi li ġejjin għad-Direttiva (UE) 2015/637</w:t>
      </w:r>
      <w:r w:rsidRPr="00D04088">
        <w:rPr>
          <w:noProof/>
        </w:rPr>
        <w:t xml:space="preserve"> (id-dispożizzjonijiet li jifdal jibqgħu l-istess):</w:t>
      </w:r>
    </w:p>
    <w:p w14:paraId="26C0D781" w14:textId="5C5AD9D6" w:rsidR="004C5205" w:rsidRPr="00D04088" w:rsidRDefault="0053308B" w:rsidP="206CD7EA">
      <w:pPr>
        <w:pBdr>
          <w:top w:val="nil"/>
          <w:left w:val="nil"/>
          <w:bottom w:val="nil"/>
          <w:right w:val="nil"/>
          <w:between w:val="nil"/>
          <w:bar w:val="nil"/>
        </w:pBdr>
        <w:spacing w:before="0" w:after="240"/>
        <w:rPr>
          <w:noProof/>
        </w:rPr>
      </w:pPr>
      <w:r w:rsidRPr="00D04088">
        <w:rPr>
          <w:i/>
          <w:iCs/>
          <w:noProof/>
        </w:rPr>
        <w:t>Artikolu 6</w:t>
      </w:r>
      <w:r w:rsidRPr="00D04088">
        <w:rPr>
          <w:noProof/>
        </w:rPr>
        <w:t>: Il-bidliet f’dan l-Artikolu jfittxu li jiċċaraw meta Stat Membru ma għandux jitqies bħala rappreżentat f’pajjiż terz minħabba l-fatt li ma għandu l-ebda ambaxxata jew konsulat effettivament f’pożizzjoni li jipprovdi protezzjoni konsulari. Għal dan il-għan, ġie introdott paragrafu ġdid, li jistabbilixxi l-kriterji li għandhom jitqiesu mill-ambaxxati jew mill-konsulat li minnhom iċ-ċittadin mhux rappreżentat ifittex protezzjoni konsulari biex jiġi ddeterminat jekk Stat Membru effettivament għandux ambaxxata jew konsulat f’pożizzjoni li jipprovdi protezzjoni konsulari f’każ partikolari. Dawk il-kriterji għandhom jiġu applikati fid-dawl taċ-ċirkostanzi lokali.</w:t>
      </w:r>
    </w:p>
    <w:p w14:paraId="2E0209BB" w14:textId="6C95D17F" w:rsidR="004948C5" w:rsidRPr="00D04088" w:rsidRDefault="00176EE7" w:rsidP="206CD7EA">
      <w:pPr>
        <w:pBdr>
          <w:top w:val="nil"/>
          <w:left w:val="nil"/>
          <w:bottom w:val="nil"/>
          <w:right w:val="nil"/>
          <w:between w:val="nil"/>
          <w:bar w:val="nil"/>
        </w:pBdr>
        <w:spacing w:before="0" w:after="240"/>
        <w:rPr>
          <w:noProof/>
        </w:rPr>
      </w:pPr>
      <w:r w:rsidRPr="00D04088">
        <w:rPr>
          <w:noProof/>
        </w:rPr>
        <w:lastRenderedPageBreak/>
        <w:t>Paragrafu ġdid ieħor jiċċara li l-preżenza ta’ konslu onorarju tal-Istat Membru tan-nazzjonalità taċ-ċittadin tista’ titqies biss jekk l-assistenza mitluba miċ-ċittadin tkun koperta mill-kompetenzi tal-konslu onorarju. Dan sabiex jiġi evitat li ċ-ċittadini jiġu miċħuda l-għajnuna b’referenza għal konslu onorarju li ma jkunx kompetenti biex jassistihom.</w:t>
      </w:r>
    </w:p>
    <w:p w14:paraId="1AFA7205" w14:textId="3DF2F5ED" w:rsidR="004C5205" w:rsidRPr="00D04088" w:rsidRDefault="00435645" w:rsidP="206CD7EA">
      <w:pPr>
        <w:pBdr>
          <w:top w:val="nil"/>
          <w:left w:val="nil"/>
          <w:bottom w:val="nil"/>
          <w:right w:val="nil"/>
          <w:between w:val="nil"/>
          <w:bar w:val="nil"/>
        </w:pBdr>
        <w:spacing w:before="0" w:after="240"/>
        <w:rPr>
          <w:noProof/>
        </w:rPr>
      </w:pPr>
      <w:r w:rsidRPr="00D04088">
        <w:rPr>
          <w:i/>
          <w:iCs/>
          <w:noProof/>
        </w:rPr>
        <w:t>Artikolu 7</w:t>
      </w:r>
      <w:r w:rsidRPr="00D04088">
        <w:rPr>
          <w:noProof/>
        </w:rPr>
        <w:t>: Id-dispożizzjonijiet dwar in-notifika ta’ arranġamenti bejn l-Istati Membri jiġu ttrasferiti għall-Artikolu 13b li qed jiġi introdott, u b’hekk jinġabru flimkien ma’ rekwiżiti oħra ta’ notifika. Qed jiġi introdott paragrafu ġdid li jippermetti lill-Istati Membri rappreżentati jittrasferixxu talbiet għal għajnuna skont il-kapaċità disponibbli f’sitwazzjonijiet ta’ kriżi. Dan sabiex jiġi żgurat l-użu effiċjenti tar-riżorsi disponibbli f’sitwazzjonijiet bħal dawn.</w:t>
      </w:r>
    </w:p>
    <w:p w14:paraId="1F3C1544" w14:textId="757C22A5" w:rsidR="00435645" w:rsidRPr="00D04088" w:rsidRDefault="006873F1" w:rsidP="206CD7EA">
      <w:pPr>
        <w:pBdr>
          <w:top w:val="nil"/>
          <w:left w:val="nil"/>
          <w:bottom w:val="nil"/>
          <w:right w:val="nil"/>
          <w:between w:val="nil"/>
          <w:bar w:val="nil"/>
        </w:pBdr>
        <w:spacing w:before="0" w:after="240"/>
        <w:rPr>
          <w:noProof/>
        </w:rPr>
      </w:pPr>
      <w:r w:rsidRPr="00D04088">
        <w:rPr>
          <w:noProof/>
        </w:rPr>
        <w:t>Fl-aħħar nett, il-bidliet ifittxu li jiċċaraw li l-applikazzjonijiet għandhom jiġu ttrasferiti mill-awtoritajiet konsulari li jiġu avviċinati. Iċ-ċittadini mhux rappreżentati li jfittxu l-għajnuna ma għandhomx jintalbu javviċinaw Stat Membru ieħor huma stess. Barra minn hekk, iċ-ċittadini jenħtieġ li jinżammu informati dwar it-trasferiment tal-applikazzjonijiet.</w:t>
      </w:r>
    </w:p>
    <w:p w14:paraId="5F088C5F" w14:textId="5454A92E" w:rsidR="00224625" w:rsidRPr="00D04088" w:rsidRDefault="00224625" w:rsidP="206CD7EA">
      <w:pPr>
        <w:pBdr>
          <w:top w:val="nil"/>
          <w:left w:val="nil"/>
          <w:bottom w:val="nil"/>
          <w:right w:val="nil"/>
          <w:between w:val="nil"/>
          <w:bar w:val="nil"/>
        </w:pBdr>
        <w:spacing w:before="0" w:after="240"/>
        <w:rPr>
          <w:noProof/>
        </w:rPr>
      </w:pPr>
      <w:r w:rsidRPr="00D04088">
        <w:rPr>
          <w:i/>
          <w:iCs/>
          <w:noProof/>
        </w:rPr>
        <w:t>Artikolu 9</w:t>
      </w:r>
      <w:r w:rsidRPr="00D04088">
        <w:rPr>
          <w:noProof/>
        </w:rPr>
        <w:t>: Qed tiġi miżjuda referenza għall-“evakwazzjoni” ma’ dan l-Artikolu biex tkopri b’mod komprensiv sitwazzjonijiet fejn iċ-ċittadini tal-Unjoni jiġu salvati u mċaqalqa minn żoni affettwati minn emerġenza għal post sikur, li mhux bilfors irid ikun it-territorju ta’ Stat Membru, kif ukoll sitwazzjonijiet fejn iċ-ċittadini tal-Unjoni jiġu rimpatrijati lejn it-territorju tal-Unjoni. Barra minn hekk, ir-referenza għad-Deċiżjoni 96/409/PESK</w:t>
      </w:r>
      <w:r w:rsidRPr="00D04088">
        <w:rPr>
          <w:rStyle w:val="FootnoteReference0"/>
          <w:noProof/>
        </w:rPr>
        <w:footnoteReference w:id="26"/>
      </w:r>
      <w:r w:rsidRPr="00D04088">
        <w:rPr>
          <w:noProof/>
        </w:rPr>
        <w:t xml:space="preserve"> qed tiġi ssostitwita b’referenza għad-Direttiva (UE) 2019/997, minħabba li din tal-aħħar ħassret dik tal-ewwel.</w:t>
      </w:r>
    </w:p>
    <w:p w14:paraId="51DDE5AC" w14:textId="3495FAD7" w:rsidR="00ED4E36" w:rsidRPr="00D04088" w:rsidRDefault="00ED4E36" w:rsidP="006C658B">
      <w:pPr>
        <w:pBdr>
          <w:top w:val="nil"/>
          <w:left w:val="nil"/>
          <w:bottom w:val="nil"/>
          <w:right w:val="nil"/>
          <w:between w:val="nil"/>
          <w:bar w:val="nil"/>
        </w:pBdr>
        <w:spacing w:before="0" w:after="240"/>
        <w:rPr>
          <w:noProof/>
        </w:rPr>
      </w:pPr>
      <w:r w:rsidRPr="00D04088">
        <w:rPr>
          <w:i/>
          <w:iCs/>
          <w:noProof/>
        </w:rPr>
        <w:t>Artikolu 10</w:t>
      </w:r>
      <w:r w:rsidRPr="00D04088">
        <w:rPr>
          <w:noProof/>
        </w:rPr>
        <w:t xml:space="preserve">: Qed jiżdied paragrafu ġdid biex jiċċara li, fil-miżuri ta’ koordinazzjoni u kooperazzjoni tagħhom, l-Istati Membri jistgħu jinvolvu persunal tas-sigurtà u dak militari, konsli onorarji, organizzazzjonijiet internazzjonali jew awtoritajiet diplomatiċi u konsulari ta’ pajjiżi terzi. Barra minn hekk, l-abbrevjazzjoni ta’ “SEAE” qed tiġi introdotta fil-paragrafu 4 minħabba l-bidliet fl-Artikolu 7.   </w:t>
      </w:r>
    </w:p>
    <w:p w14:paraId="65FDFAF7" w14:textId="790837E4" w:rsidR="00812F88" w:rsidRPr="00D04088" w:rsidRDefault="00812F88" w:rsidP="206CD7EA">
      <w:pPr>
        <w:pBdr>
          <w:top w:val="nil"/>
          <w:left w:val="nil"/>
          <w:bottom w:val="nil"/>
          <w:right w:val="nil"/>
          <w:between w:val="nil"/>
          <w:bar w:val="nil"/>
        </w:pBdr>
        <w:spacing w:before="0" w:after="240"/>
        <w:rPr>
          <w:noProof/>
        </w:rPr>
      </w:pPr>
      <w:r w:rsidRPr="00D04088">
        <w:rPr>
          <w:i/>
          <w:iCs/>
          <w:noProof/>
        </w:rPr>
        <w:t>Artikolu 11</w:t>
      </w:r>
      <w:r w:rsidRPr="00D04088">
        <w:rPr>
          <w:noProof/>
        </w:rPr>
        <w:t>: Il-bidliet f’dan l-Artikolu jiċċaraw ir-rwol ta’ appoġġ tad-delegazzjonijiet tal-Unjoni, b’mod partikolari billi jelenkaw l-aktar kompiti rilevanti f’dan il-kuntest. Il-paragrafu 2 li qed jiġi introdott jistabbilixxi li d-delegazzjonijiet tal-Unjoni għandhom jappoġġaw lill-Istati Membri fl-għoti ta’ protezzjoni konsulari f’konformità mal-Artikolu 5(10) tad-Deċiżjoni dwar is-SEAE, jiġifieri, fuq talba mill-Istati Membri u fuq bażi newtrali fir-rigward tar-riżorsi, fosthom billi jipprovdu kompiti speċifiċi ta’ assistenza konsulari.</w:t>
      </w:r>
    </w:p>
    <w:p w14:paraId="5B91C97E" w14:textId="77777777" w:rsidR="00114815" w:rsidRPr="00D04088" w:rsidRDefault="008F7727">
      <w:pPr>
        <w:pBdr>
          <w:top w:val="nil"/>
          <w:left w:val="nil"/>
          <w:bottom w:val="nil"/>
          <w:right w:val="nil"/>
          <w:between w:val="nil"/>
          <w:bar w:val="nil"/>
        </w:pBdr>
        <w:spacing w:before="0" w:after="240"/>
        <w:rPr>
          <w:noProof/>
        </w:rPr>
      </w:pPr>
      <w:r w:rsidRPr="00D04088">
        <w:rPr>
          <w:i/>
          <w:iCs/>
          <w:noProof/>
        </w:rPr>
        <w:t>Artikolu 12</w:t>
      </w:r>
      <w:r w:rsidRPr="00D04088">
        <w:rPr>
          <w:noProof/>
        </w:rPr>
        <w:t>: Ir-regoli dwar il-kooperazzjoni konsulari lokali jiġu ċċarati, b’mod partikolari billi jiġu elenkati s-suġġetti li għandhom jiġu indirizzati mil-laqgħat ta’ kooperazzjoni konsulari lokali.</w:t>
      </w:r>
    </w:p>
    <w:p w14:paraId="65C4E166" w14:textId="6779DC64" w:rsidR="00873910" w:rsidRPr="00D04088" w:rsidRDefault="009E2754" w:rsidP="46EEE3AE">
      <w:pPr>
        <w:pBdr>
          <w:top w:val="nil"/>
          <w:left w:val="nil"/>
          <w:bottom w:val="nil"/>
          <w:right w:val="nil"/>
          <w:between w:val="nil"/>
          <w:bar w:val="nil"/>
        </w:pBdr>
        <w:spacing w:before="0" w:after="240"/>
        <w:rPr>
          <w:noProof/>
        </w:rPr>
      </w:pPr>
      <w:r w:rsidRPr="00D04088">
        <w:rPr>
          <w:i/>
          <w:iCs/>
          <w:noProof/>
        </w:rPr>
        <w:t>Artikolu 13</w:t>
      </w:r>
      <w:r w:rsidRPr="00D04088">
        <w:rPr>
          <w:noProof/>
        </w:rPr>
        <w:t>: Dan l-Artikolu jinqasam fi tnejn, bl-Artikolu 13 jiffoka fuq it-tħejjija għall-kriżijiet u l-Artikolu 13a miżjud ġdid jiffoka fuq ir-rispons għall-kriżijiet. Fl-Artikolu 13, il-pjanijiet ta’ kontinġenza konsulari konġunti huma stabbiliti bħala l-istrument ewlieni għat-tħejjija għall-kriżijiet, flimkien ma’ eżerċizzji konsulari annwali biex il-pjanijiet jiġu ttestjati.</w:t>
      </w:r>
    </w:p>
    <w:p w14:paraId="709A4CD4" w14:textId="2A51F74B" w:rsidR="00873910" w:rsidRPr="00D04088" w:rsidRDefault="000B004E" w:rsidP="46EEE3AE">
      <w:pPr>
        <w:pBdr>
          <w:top w:val="nil"/>
          <w:left w:val="nil"/>
          <w:bottom w:val="nil"/>
          <w:right w:val="nil"/>
          <w:between w:val="nil"/>
          <w:bar w:val="nil"/>
        </w:pBdr>
        <w:spacing w:before="0" w:after="240"/>
        <w:rPr>
          <w:noProof/>
        </w:rPr>
      </w:pPr>
      <w:r w:rsidRPr="00D04088">
        <w:rPr>
          <w:noProof/>
        </w:rPr>
        <w:lastRenderedPageBreak/>
        <w:t>Paragrafu ġdid ikun jeħtieġ li l-Istati Membri joffru liċ-ċittadini tagħhom il-possibbiltà li jirreġistraw mal-awtoritajiet nazzjonali kompetenti jew jinfurmawhom dwar il-vjaġġi tagħhom f’pajjiżi terzi jew dwar ir-residenza tagħhom hemmhekk. Dan huwa maħsub biex itejjeb l-informazzjoni disponibbli dwar l-għadd stmat u l-lokalizzazzjoni taċ-ċittadini tal-Unjoni preżenti f’pajjiż terz għall-finijiet ta’ tħejjija għall-kriżijiet u ta’ rispons għall-kriżijiet. Dan jagħmilha wkoll aktar faċli li ċ-ċittadini affettwati minn sitwazzjoni ta’ kriżi jiġu kkuntattjati.</w:t>
      </w:r>
    </w:p>
    <w:p w14:paraId="02EBD8F8" w14:textId="3057E7F7" w:rsidR="009E2754" w:rsidRPr="00D04088" w:rsidRDefault="00A94306">
      <w:pPr>
        <w:pBdr>
          <w:top w:val="nil"/>
          <w:left w:val="nil"/>
          <w:bottom w:val="nil"/>
          <w:right w:val="nil"/>
          <w:between w:val="nil"/>
          <w:bar w:val="nil"/>
        </w:pBdr>
        <w:spacing w:before="0" w:after="240"/>
        <w:rPr>
          <w:noProof/>
        </w:rPr>
      </w:pPr>
      <w:r w:rsidRPr="00D04088">
        <w:rPr>
          <w:noProof/>
        </w:rPr>
        <w:t xml:space="preserve">Fl-aħħar nett, l-Istati Membri jkollhom jagħmlu sforzi biex jikkoordinaw il-bidliet fil-pariri tagħhom dwar l-ivvjaġġar fi stadju bikri, b’mod partikolari fil-kuntest ta’ sitwazzjonijiet ta’ kriżi.   </w:t>
      </w:r>
    </w:p>
    <w:p w14:paraId="2CEF4EAD" w14:textId="77777777" w:rsidR="00D53B87" w:rsidRPr="00D04088" w:rsidRDefault="00BB79A0">
      <w:pPr>
        <w:pBdr>
          <w:top w:val="nil"/>
          <w:left w:val="nil"/>
          <w:bottom w:val="nil"/>
          <w:right w:val="nil"/>
          <w:between w:val="nil"/>
          <w:bar w:val="nil"/>
        </w:pBdr>
        <w:spacing w:before="0" w:after="240"/>
        <w:rPr>
          <w:noProof/>
        </w:rPr>
      </w:pPr>
      <w:r w:rsidRPr="00D04088">
        <w:rPr>
          <w:i/>
          <w:noProof/>
        </w:rPr>
        <w:t>Artikolu 13a</w:t>
      </w:r>
      <w:r w:rsidRPr="00D04088">
        <w:rPr>
          <w:noProof/>
        </w:rPr>
        <w:t>: Dan l-Artikolu l-ġdid huwa bbażat fuq il-paragrafi minn 2 sa 4 tal-Artikolu 13 tad-Direttiva (UE) 2015/637. Id-dispożizzjonijiet dwar “il-gruppi ta’ intervent fil-livell tal-Unjoni”, li qabel kienu jinsabu fl-Artikolu 13(2), huma estiżi biex jindirizzaw l-użu possibbli ta’ timijiet konsulari konġunti, li l-parteċipazzjoni fihom għandha tkun volontarja għall-Istati Membri.</w:t>
      </w:r>
    </w:p>
    <w:p w14:paraId="73AA1F9C" w14:textId="77777777" w:rsidR="00C656F0" w:rsidRPr="00D04088" w:rsidRDefault="0057148F" w:rsidP="206CD7EA">
      <w:pPr>
        <w:pBdr>
          <w:top w:val="nil"/>
          <w:left w:val="nil"/>
          <w:bottom w:val="nil"/>
          <w:right w:val="nil"/>
          <w:between w:val="nil"/>
          <w:bar w:val="nil"/>
        </w:pBdr>
        <w:spacing w:before="0" w:after="240"/>
        <w:rPr>
          <w:noProof/>
        </w:rPr>
      </w:pPr>
      <w:r w:rsidRPr="00D04088">
        <w:rPr>
          <w:i/>
          <w:iCs/>
          <w:noProof/>
        </w:rPr>
        <w:t>Artikolu 13b</w:t>
      </w:r>
      <w:r w:rsidRPr="00D04088">
        <w:rPr>
          <w:noProof/>
        </w:rPr>
        <w:t xml:space="preserve">: Dan l-Artikolu l-ġdid jikkonsolida r-rekwiżiti differenti ta’ notifika li diġà jinsabu fid-Direttiva (UE) 2015/637. Barra minn hekk, l-Istati Membri jkunu meħtieġa jipprovdu </w:t>
      </w:r>
      <w:r w:rsidRPr="00D04088">
        <w:rPr>
          <w:i/>
          <w:iCs/>
          <w:noProof/>
        </w:rPr>
        <w:t>data</w:t>
      </w:r>
      <w:r w:rsidRPr="00D04088">
        <w:rPr>
          <w:noProof/>
        </w:rPr>
        <w:t xml:space="preserve"> statistika limitata biex itejbu l-monitoraġġ tad-Direttiva. Fejn ikun meħtieġ, dik id-</w:t>
      </w:r>
      <w:r w:rsidRPr="00D04088">
        <w:rPr>
          <w:i/>
          <w:iCs/>
          <w:noProof/>
        </w:rPr>
        <w:t>data</w:t>
      </w:r>
      <w:r w:rsidRPr="00D04088">
        <w:rPr>
          <w:noProof/>
        </w:rPr>
        <w:t xml:space="preserve"> għandha tiġi pprovduta f’format li jinqara minn magna.</w:t>
      </w:r>
    </w:p>
    <w:p w14:paraId="608B8F91" w14:textId="1677FC65" w:rsidR="00AB7B2A" w:rsidRPr="00D04088" w:rsidRDefault="00386603">
      <w:pPr>
        <w:pBdr>
          <w:top w:val="nil"/>
          <w:left w:val="nil"/>
          <w:bottom w:val="nil"/>
          <w:right w:val="nil"/>
          <w:between w:val="nil"/>
          <w:bar w:val="nil"/>
        </w:pBdr>
        <w:spacing w:before="0" w:after="240"/>
        <w:rPr>
          <w:noProof/>
        </w:rPr>
      </w:pPr>
      <w:r w:rsidRPr="00D04088">
        <w:rPr>
          <w:i/>
          <w:iCs/>
          <w:noProof/>
        </w:rPr>
        <w:t>Artikolu 13c</w:t>
      </w:r>
      <w:r w:rsidRPr="00D04088">
        <w:rPr>
          <w:noProof/>
        </w:rPr>
        <w:t>: Dan l-Artikolu l-ġdid jipprevedi li l-Istati Membri għandhom jieħdu miżuri biex jinfurmaw liċ-ċittadini bid-dritt tagħhom għall-protezzjoni konsulari kif stabbilit fl-Artikolu 20(2), il-punt (c), tat-TFUE. Għal dan il-għan, l-Artikolu jelenka eżempji ta’ miżuri possibbli li jistgħu jittieħdu f’dan il-kuntest, bħar-riproduzzjoni tal-ewwel sentenza tal-Artikolu 23 tat-TFUE fuq il-passaporti nazzjonali kif diġà ġie rrakkomandat mir-Rakkomandazzjoni tal-Kummissjoni C(2007) 5841</w:t>
      </w:r>
      <w:r w:rsidRPr="00D04088">
        <w:rPr>
          <w:rStyle w:val="FootnoteReference0"/>
          <w:noProof/>
        </w:rPr>
        <w:footnoteReference w:id="27"/>
      </w:r>
      <w:r w:rsidRPr="00D04088">
        <w:rPr>
          <w:noProof/>
        </w:rPr>
        <w:t>. Is-servizzi tal-Kummissjoni u s-SEAE għandhom jikkontribwixxu f’dawn l-isforzi.</w:t>
      </w:r>
    </w:p>
    <w:p w14:paraId="650F9D18" w14:textId="77777777" w:rsidR="00765C71" w:rsidRPr="00D04088" w:rsidRDefault="00FE6538">
      <w:pPr>
        <w:pBdr>
          <w:top w:val="nil"/>
          <w:left w:val="nil"/>
          <w:bottom w:val="nil"/>
          <w:right w:val="nil"/>
          <w:between w:val="nil"/>
          <w:bar w:val="nil"/>
        </w:pBdr>
        <w:spacing w:before="0" w:after="240"/>
        <w:rPr>
          <w:noProof/>
        </w:rPr>
      </w:pPr>
      <w:r w:rsidRPr="00D04088">
        <w:rPr>
          <w:i/>
          <w:iCs/>
          <w:noProof/>
        </w:rPr>
        <w:t>Artikolu 14</w:t>
      </w:r>
      <w:r w:rsidRPr="00D04088">
        <w:rPr>
          <w:noProof/>
        </w:rPr>
        <w:t>: Ir-regoli dwar ir-rimborż tal-kostijiet għall-protezzjoni konsulari jiġu adattati biex jipprevedu li dawn il-kostijiet għandhom jiġu rimborżati primarjament miċ-ċittadin mhux rappreżentat assistit direttament, jew meta ssir it-talba jew fi stadju aktar tard. Huwa biss jekk tali rimborż ma jseħħx, li l-Istat Membru li jassisti għandu javviċina lill-Istat Membru tan-nazzjonalità għar-rimborż. Fl-aħħar nett, qed jiżdied paragrafu dedikat biex jiġu stabbiliti r-regoli għar-rimborż tal-kostijiet imġarrba mid-delegazzjonijiet tal-Unjoni li jappoġġaw lill-Istati Membri.</w:t>
      </w:r>
    </w:p>
    <w:p w14:paraId="230A7F62" w14:textId="4020A815" w:rsidR="00386603" w:rsidRPr="00D04088" w:rsidRDefault="00765C71">
      <w:pPr>
        <w:pBdr>
          <w:top w:val="nil"/>
          <w:left w:val="nil"/>
          <w:bottom w:val="nil"/>
          <w:right w:val="nil"/>
          <w:between w:val="nil"/>
          <w:bar w:val="nil"/>
        </w:pBdr>
        <w:spacing w:before="0" w:after="240"/>
        <w:rPr>
          <w:noProof/>
        </w:rPr>
      </w:pPr>
      <w:r w:rsidRPr="00D04088">
        <w:rPr>
          <w:i/>
          <w:iCs/>
          <w:noProof/>
        </w:rPr>
        <w:t>Artikolu 15</w:t>
      </w:r>
      <w:r w:rsidRPr="00D04088">
        <w:rPr>
          <w:noProof/>
        </w:rPr>
        <w:t xml:space="preserve">: Il-bidliet f’dan l-Artikolu jiżguraw allinjament mal-bidliet fl-Artikolu 14. Barra minn hekk, paragrafu ġdid jipprevedi li l-Istati Membri li jassistu liċ-ċittadini rappreżentati f’sitwazzjonijiet ta’ kriżi jistgħu wkoll jitolbu ir-rimborż tal-kostijiet, minħabba li jista’ ma jkunx possibbli jew fattibbli fil-prattika li jiddistingwuhom minn ċittadini mhux rappreżentati f’sitwazzjonijiet ta’ kriżi. Dan sabiex jitnaqqas il-piż amministrattiv li jirriżulta mill-ħtieġa li jiġu applikati żewġ proċeduri differenti. L-aħħar paragrafu huwa adattat biex jiġi żgurat li r-rimborżi skont id-Direttiva (UE) 2015/637 jitqiesu fid-determinazzjoni ta’ kwalunkwe </w:t>
      </w:r>
      <w:r w:rsidRPr="00D04088">
        <w:rPr>
          <w:noProof/>
        </w:rPr>
        <w:lastRenderedPageBreak/>
        <w:t xml:space="preserve">kontribuzzjoni tal-Mekkaniżmu tal-Unjoni għall-Protezzjoni Ċivili, f’konformità mad-dispożizzjonijiet finanzjarji applikabbli għal tali kontribuzzjonijiet. </w:t>
      </w:r>
    </w:p>
    <w:p w14:paraId="64C58806" w14:textId="6431262B" w:rsidR="004F6F21" w:rsidRPr="00D04088" w:rsidRDefault="004F6F21">
      <w:pPr>
        <w:pBdr>
          <w:top w:val="nil"/>
          <w:left w:val="nil"/>
          <w:bottom w:val="nil"/>
          <w:right w:val="nil"/>
          <w:between w:val="nil"/>
          <w:bar w:val="nil"/>
        </w:pBdr>
        <w:spacing w:before="0" w:after="240"/>
        <w:rPr>
          <w:noProof/>
        </w:rPr>
      </w:pPr>
      <w:r w:rsidRPr="00D04088">
        <w:rPr>
          <w:i/>
          <w:noProof/>
        </w:rPr>
        <w:t>Artikolu 15a</w:t>
      </w:r>
      <w:r w:rsidRPr="00D04088">
        <w:rPr>
          <w:noProof/>
        </w:rPr>
        <w:t>: Dan l-Artikolu l-ġdid jikkonċerna l-proċedura ta’ kumitat applikabbli għall-adozzjoni ta’ atti ta’ implimentazzjoni kif previst mill-Artikoli 13b(4) u 14(6).</w:t>
      </w:r>
    </w:p>
    <w:p w14:paraId="09003B94" w14:textId="2D6ABDBA" w:rsidR="00BD7654" w:rsidRPr="00D04088" w:rsidRDefault="00BD7654" w:rsidP="206CD7EA">
      <w:pPr>
        <w:pBdr>
          <w:top w:val="nil"/>
          <w:left w:val="nil"/>
          <w:bottom w:val="nil"/>
          <w:right w:val="nil"/>
          <w:between w:val="nil"/>
          <w:bar w:val="nil"/>
        </w:pBdr>
        <w:spacing w:before="0" w:after="240"/>
        <w:rPr>
          <w:noProof/>
        </w:rPr>
      </w:pPr>
      <w:r w:rsidRPr="00D04088">
        <w:rPr>
          <w:i/>
          <w:noProof/>
        </w:rPr>
        <w:t>Artikolu 16a</w:t>
      </w:r>
      <w:r w:rsidRPr="00D04088">
        <w:rPr>
          <w:noProof/>
        </w:rPr>
        <w:t xml:space="preserve">: Dan l-Artikolu l-ġdid fih ir-regoli applikabbli għall-ipproċessar ta’ </w:t>
      </w:r>
      <w:r w:rsidRPr="00D04088">
        <w:rPr>
          <w:i/>
          <w:iCs/>
          <w:noProof/>
        </w:rPr>
        <w:t>data</w:t>
      </w:r>
      <w:r w:rsidRPr="00D04088">
        <w:rPr>
          <w:noProof/>
        </w:rPr>
        <w:t xml:space="preserve"> personali għall-finijiet tal-għoti ta’ protezzjoni konsulari, inkluż, fejn meħtieġ minħabba n-natura tal-każ konsulari, kategoriji speċjali ta’ </w:t>
      </w:r>
      <w:r w:rsidRPr="00D04088">
        <w:rPr>
          <w:i/>
          <w:iCs/>
          <w:noProof/>
        </w:rPr>
        <w:t>data</w:t>
      </w:r>
      <w:r w:rsidRPr="00D04088">
        <w:rPr>
          <w:noProof/>
        </w:rPr>
        <w:t xml:space="preserve"> personali, u t-trasferiment ta’ </w:t>
      </w:r>
      <w:r w:rsidRPr="00D04088">
        <w:rPr>
          <w:i/>
          <w:iCs/>
          <w:noProof/>
        </w:rPr>
        <w:t>data</w:t>
      </w:r>
      <w:r w:rsidRPr="00D04088">
        <w:rPr>
          <w:noProof/>
        </w:rPr>
        <w:t xml:space="preserve"> personali lil pajjiżi terzi u organizzazzjonijiet internazzjonali, bħal meta jiġu organizzati titjiriet ta’ evakwazzjoni. </w:t>
      </w:r>
    </w:p>
    <w:p w14:paraId="68FA57BB" w14:textId="77777777" w:rsidR="00793364" w:rsidRPr="00D04088" w:rsidRDefault="00793364">
      <w:pPr>
        <w:pBdr>
          <w:top w:val="nil"/>
          <w:left w:val="nil"/>
          <w:bottom w:val="nil"/>
          <w:right w:val="nil"/>
          <w:between w:val="nil"/>
          <w:bar w:val="nil"/>
        </w:pBdr>
        <w:spacing w:before="0" w:after="240"/>
        <w:rPr>
          <w:noProof/>
        </w:rPr>
      </w:pPr>
      <w:r w:rsidRPr="00D04088">
        <w:rPr>
          <w:i/>
          <w:iCs/>
          <w:noProof/>
        </w:rPr>
        <w:t>Artikolu 16b</w:t>
      </w:r>
      <w:r w:rsidRPr="00D04088">
        <w:rPr>
          <w:noProof/>
        </w:rPr>
        <w:t>: Dan l-Artikolu l-ġdid jimplimenta d-dritt fundamentali għal rimedju effettiv fil-kuntest tal-protezzjoni konsulari.</w:t>
      </w:r>
    </w:p>
    <w:p w14:paraId="67049F43" w14:textId="0D786CE0" w:rsidR="008C3A55" w:rsidRPr="00D04088" w:rsidRDefault="008C3A55">
      <w:pPr>
        <w:pBdr>
          <w:top w:val="nil"/>
          <w:left w:val="nil"/>
          <w:bottom w:val="nil"/>
          <w:right w:val="nil"/>
          <w:between w:val="nil"/>
          <w:bar w:val="nil"/>
        </w:pBdr>
        <w:spacing w:before="0" w:after="240"/>
        <w:rPr>
          <w:noProof/>
        </w:rPr>
      </w:pPr>
      <w:r w:rsidRPr="00D04088">
        <w:rPr>
          <w:i/>
          <w:iCs/>
          <w:noProof/>
        </w:rPr>
        <w:t>Artikolu 19</w:t>
      </w:r>
      <w:r w:rsidRPr="00D04088">
        <w:rPr>
          <w:noProof/>
        </w:rPr>
        <w:t>: Paragrafu ġdid qed jiġi miżjud ma’ dan l-Artikolu biex jipprevedi evalwazzjoni tad-Direttiva (UE) 2015/637 8 snin wara t-traspożizzjoni tal-emendi.</w:t>
      </w:r>
    </w:p>
    <w:p w14:paraId="375EB09F" w14:textId="77777777" w:rsidR="0053308B" w:rsidRPr="00D04088" w:rsidRDefault="00EA3BC8">
      <w:pPr>
        <w:pBdr>
          <w:top w:val="nil"/>
          <w:left w:val="nil"/>
          <w:bottom w:val="nil"/>
          <w:right w:val="nil"/>
          <w:between w:val="nil"/>
          <w:bar w:val="nil"/>
        </w:pBdr>
        <w:spacing w:before="0" w:after="240"/>
        <w:rPr>
          <w:noProof/>
        </w:rPr>
      </w:pPr>
      <w:r w:rsidRPr="00D04088">
        <w:rPr>
          <w:b/>
          <w:bCs/>
          <w:noProof/>
        </w:rPr>
        <w:t>L-Artikolu 2 fih l-emendi li ġejjin għad-Direttiva (UE) 2019/997:</w:t>
      </w:r>
    </w:p>
    <w:p w14:paraId="46AA9116" w14:textId="77777777" w:rsidR="001A07A5" w:rsidRPr="00D04088" w:rsidRDefault="001A07A5">
      <w:pPr>
        <w:pBdr>
          <w:top w:val="nil"/>
          <w:left w:val="nil"/>
          <w:bottom w:val="nil"/>
          <w:right w:val="nil"/>
          <w:between w:val="nil"/>
          <w:bar w:val="nil"/>
        </w:pBdr>
        <w:spacing w:before="0" w:after="240"/>
        <w:rPr>
          <w:noProof/>
        </w:rPr>
      </w:pPr>
      <w:r w:rsidRPr="00D04088">
        <w:rPr>
          <w:i/>
          <w:iCs/>
          <w:noProof/>
        </w:rPr>
        <w:t>Artikolu 5</w:t>
      </w:r>
      <w:r w:rsidRPr="00D04088">
        <w:rPr>
          <w:noProof/>
        </w:rPr>
        <w:t xml:space="preserve">: Ir-referenza f’dan l-Artikolu għad-dispożizzjonijiet finanzjarji tad-Direttiva (UE) 2015/637 ġiet adattata minħabba li din il-proposta tadatta n-numerazzjoni tal-paragrafi fl-Artikolu 14 tad-Direttiva (UE) 2015/637. </w:t>
      </w:r>
    </w:p>
    <w:p w14:paraId="701BE90B" w14:textId="77777777" w:rsidR="00304682" w:rsidRPr="00D04088" w:rsidRDefault="00304682">
      <w:pPr>
        <w:spacing w:before="0" w:after="0"/>
        <w:jc w:val="left"/>
        <w:rPr>
          <w:noProof/>
        </w:rPr>
        <w:sectPr w:rsidR="00304682" w:rsidRPr="00D04088" w:rsidSect="006C097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C740772" w14:textId="18A97652" w:rsidR="00750C94" w:rsidRPr="00D04088" w:rsidRDefault="00D04088" w:rsidP="00D04088">
      <w:pPr>
        <w:pStyle w:val="Rfrenceinterinstitutionnelle"/>
        <w:rPr>
          <w:noProof/>
        </w:rPr>
      </w:pPr>
      <w:r>
        <w:rPr>
          <w:noProof/>
        </w:rPr>
        <w:lastRenderedPageBreak/>
        <w:t>2023/0441 (CNS)</w:t>
      </w:r>
    </w:p>
    <w:p w14:paraId="79C84DBE" w14:textId="2F9646D4" w:rsidR="00304682" w:rsidRPr="00D04088" w:rsidRDefault="00D04088" w:rsidP="00D04088">
      <w:pPr>
        <w:pStyle w:val="Statut"/>
        <w:rPr>
          <w:noProof/>
        </w:rPr>
      </w:pPr>
      <w:r w:rsidRPr="00D04088">
        <w:rPr>
          <w:noProof/>
        </w:rPr>
        <w:t>Proposta għal</w:t>
      </w:r>
    </w:p>
    <w:p w14:paraId="145B70E1" w14:textId="2079B6A4" w:rsidR="00304682" w:rsidRPr="00D04088" w:rsidRDefault="00D04088" w:rsidP="00D04088">
      <w:pPr>
        <w:pStyle w:val="Typedudocument"/>
        <w:rPr>
          <w:noProof/>
        </w:rPr>
      </w:pPr>
      <w:r w:rsidRPr="00D04088">
        <w:rPr>
          <w:noProof/>
        </w:rPr>
        <w:t>DIRETTIVA TAL-KUNSILL</w:t>
      </w:r>
    </w:p>
    <w:p w14:paraId="13062F26" w14:textId="625AA4C7" w:rsidR="00304682" w:rsidRPr="00D04088" w:rsidRDefault="00D04088" w:rsidP="00D04088">
      <w:pPr>
        <w:pStyle w:val="Titreobjet"/>
        <w:rPr>
          <w:noProof/>
        </w:rPr>
      </w:pPr>
      <w:r w:rsidRPr="00D04088">
        <w:rPr>
          <w:noProof/>
        </w:rPr>
        <w:t>li temenda d-Direttiva (UE) 2015/637 dwar il-miżuri ta’ koordinazzjoni u kooperazzjoni biex tiġi ffaċilitata l-protezzjoni konsulari għal ċittadini mhux rappreżentati tal-Unjoni f’pajjiżi terzi u d-Direttiva (UE) 2019/997 li tistabbilixxi Dokument Provviżorju tal-Ivvjaġġar tal-UE</w:t>
      </w:r>
    </w:p>
    <w:p w14:paraId="6F4B7C40" w14:textId="77777777" w:rsidR="00304682" w:rsidRPr="00D04088" w:rsidRDefault="00304682">
      <w:pPr>
        <w:pStyle w:val="Institutionquiagit"/>
        <w:rPr>
          <w:noProof/>
        </w:rPr>
      </w:pPr>
      <w:r w:rsidRPr="00D04088">
        <w:rPr>
          <w:noProof/>
        </w:rPr>
        <w:t>IL-KUNSILL TAL-UNJONI EWROPEA,</w:t>
      </w:r>
    </w:p>
    <w:p w14:paraId="3DEA8CF9" w14:textId="5FF591C8" w:rsidR="00304682" w:rsidRPr="00D04088" w:rsidRDefault="00304682">
      <w:pPr>
        <w:rPr>
          <w:noProof/>
        </w:rPr>
      </w:pPr>
      <w:r w:rsidRPr="00D04088">
        <w:rPr>
          <w:noProof/>
        </w:rPr>
        <w:t>Wara li kkunsidra t-Trattat dwar il-Funzjonament tal-Unjoni Ewropea, u b’mod partikolari l-Artikolu 23, it-tieni paragrafu, tiegħu,</w:t>
      </w:r>
    </w:p>
    <w:p w14:paraId="6A2F11AF" w14:textId="77777777" w:rsidR="00304682" w:rsidRPr="00D04088" w:rsidRDefault="00304682">
      <w:pPr>
        <w:rPr>
          <w:noProof/>
        </w:rPr>
      </w:pPr>
      <w:r w:rsidRPr="00D04088">
        <w:rPr>
          <w:noProof/>
        </w:rPr>
        <w:t>Wara li kkunsidra l-proposta tal-Kummissjoni Ewropea,</w:t>
      </w:r>
    </w:p>
    <w:p w14:paraId="2AC64FA0" w14:textId="77777777" w:rsidR="00304682" w:rsidRPr="00D04088" w:rsidRDefault="00304682">
      <w:pPr>
        <w:rPr>
          <w:noProof/>
        </w:rPr>
      </w:pPr>
      <w:r w:rsidRPr="00D04088">
        <w:rPr>
          <w:noProof/>
        </w:rPr>
        <w:t>Wara li l-abbozz tal-att leġiżlattiv intbagħat lill-parlamenti nazzjonali,</w:t>
      </w:r>
    </w:p>
    <w:p w14:paraId="14E979EE" w14:textId="77777777" w:rsidR="00304682" w:rsidRPr="00D04088" w:rsidRDefault="00304682">
      <w:pPr>
        <w:rPr>
          <w:noProof/>
        </w:rPr>
      </w:pPr>
      <w:r w:rsidRPr="00D04088">
        <w:rPr>
          <w:noProof/>
        </w:rPr>
        <w:t>Wara li kkunsidra l-opinjoni tal-Parlament Ewropew</w:t>
      </w:r>
      <w:r w:rsidRPr="00D04088">
        <w:rPr>
          <w:rStyle w:val="FootnoteReference0"/>
          <w:noProof/>
        </w:rPr>
        <w:footnoteReference w:id="28"/>
      </w:r>
      <w:r w:rsidRPr="00D04088">
        <w:rPr>
          <w:noProof/>
        </w:rPr>
        <w:t>,</w:t>
      </w:r>
    </w:p>
    <w:p w14:paraId="5BF759E7" w14:textId="77777777" w:rsidR="00304682" w:rsidRPr="00D04088" w:rsidRDefault="00304682">
      <w:pPr>
        <w:rPr>
          <w:noProof/>
        </w:rPr>
      </w:pPr>
      <w:r w:rsidRPr="00D04088">
        <w:rPr>
          <w:noProof/>
        </w:rPr>
        <w:t>Filwaqt li jaġixxi skont proċedura leġiżlattiva speċjali,</w:t>
      </w:r>
    </w:p>
    <w:p w14:paraId="3B40E6D5" w14:textId="77777777" w:rsidR="00304682" w:rsidRPr="00D04088" w:rsidRDefault="00304682">
      <w:pPr>
        <w:rPr>
          <w:noProof/>
        </w:rPr>
      </w:pPr>
      <w:r w:rsidRPr="00D04088">
        <w:rPr>
          <w:noProof/>
        </w:rPr>
        <w:t>Billi:</w:t>
      </w:r>
    </w:p>
    <w:p w14:paraId="29567D26" w14:textId="79136FB9" w:rsidR="00B317D6" w:rsidRPr="00D04088" w:rsidRDefault="1F5CD073" w:rsidP="008C1DC5">
      <w:pPr>
        <w:pStyle w:val="ManualConsidrant"/>
        <w:rPr>
          <w:noProof/>
        </w:rPr>
      </w:pPr>
      <w:r>
        <w:rPr>
          <w:noProof/>
        </w:rPr>
        <w:t>(1)</w:t>
      </w:r>
      <w:r>
        <w:rPr>
          <w:noProof/>
        </w:rPr>
        <w:tab/>
      </w:r>
      <w:r w:rsidRPr="00D04088">
        <w:rPr>
          <w:noProof/>
        </w:rPr>
        <w:t>Id-Direttiva tal-Kunsill (UE) 2015/637</w:t>
      </w:r>
      <w:r w:rsidRPr="00D04088">
        <w:rPr>
          <w:rStyle w:val="FootnoteReference0"/>
          <w:noProof/>
        </w:rPr>
        <w:footnoteReference w:id="29"/>
      </w:r>
      <w:r w:rsidRPr="00D04088">
        <w:rPr>
          <w:rStyle w:val="footnotereference"/>
          <w:noProof/>
        </w:rPr>
        <w:t xml:space="preserve"> </w:t>
      </w:r>
      <w:r w:rsidRPr="00D04088">
        <w:rPr>
          <w:noProof/>
        </w:rPr>
        <w:t xml:space="preserve"> tagħti effett lid-dritt stabbilit fl-Artikolu 23, l-ewwel paragrafu, tat-Trattat dwar il-Funzjonament tal-Unjoni Ewropea (TFUE) u mtenni fl-Artikolu 46 tal-Karta tad-Drittijiet Fundamentali tal-Unjoni Ewropea (il-Karta) billi tistabbilixxi l-miżuri ta’ kooperazzjoni u koordinazzjoni meħtieġa biex tiġi ffaċilitata l-protezzjoni konsulari għaċ-ċittadini mhux rappreżentati tal-Unjoni.</w:t>
      </w:r>
    </w:p>
    <w:p w14:paraId="760BD1F3" w14:textId="3B1CEBE5" w:rsidR="00C23C91" w:rsidRPr="00D04088" w:rsidRDefault="24A675E4" w:rsidP="003408C0">
      <w:pPr>
        <w:pStyle w:val="ManualConsidrant"/>
        <w:rPr>
          <w:noProof/>
        </w:rPr>
      </w:pPr>
      <w:r>
        <w:rPr>
          <w:noProof/>
        </w:rPr>
        <w:t>(2)</w:t>
      </w:r>
      <w:r>
        <w:rPr>
          <w:noProof/>
        </w:rPr>
        <w:tab/>
      </w:r>
      <w:r w:rsidRPr="00D04088">
        <w:rPr>
          <w:noProof/>
        </w:rPr>
        <w:t>Il-kriżijiet li jirriżultaw f’talbiet għall-protezzjoni konsulari qegħdin jiżdiedu fl-għadd u fl-iskala tagħhom. Il-pandemija tal-COVID-19, il-kriżi fl-Afganistan, il-gwerra ta’ aggressjoni tar-Russja kontra l-Ukrajna, il-kunflitt fis-Sudan, ir-ripatrijazzjonijiet mill-Iżrael u minn Gaża u kriżijiet simili oħrajn pprovdew kuntest biex jiġu identifikati l-lakuni u biex issir riflessjoni dwar kif għandu jiġi ffaċilitat aktar id-dritt taċ-ċittadini tal-Unjoni għall-protezzjoni konsulari. B’riżultat tat-tagħlimiet minn dawk l-esperjenzi, u sabiex jiġu ssimplifikati l-proċeduri għaċ-ċittadini u għall-awtoritajiet konsulari, ir-regoli u l-proċeduri tad-Direttiva (UE) 2015/637 jenħtieġ li jiġu ċċarati u ssimplifikati sabiex tittejjeb l-effettività tal-għoti ta’ protezzjoni konsulari liċ-ċittadini mhux rappreżentati tal-Unjoni, b’mod partikolari f’sitwazzjonijiet ta’ kriżi. Jenħtieġ li jsir l-aħjar użu mir-riżorsi disponibbli fil-livell tal-Istati Membri u tal-Unjoni, kemm lokalment f’pajjiżi terzi kif ukoll fil-livell kapitali.</w:t>
      </w:r>
    </w:p>
    <w:p w14:paraId="2796F020" w14:textId="4CCAB389" w:rsidR="00BC7CCC" w:rsidRPr="00D04088" w:rsidRDefault="748F2BFD" w:rsidP="00816FCA">
      <w:pPr>
        <w:pStyle w:val="ManualConsidrant"/>
        <w:rPr>
          <w:noProof/>
        </w:rPr>
      </w:pPr>
      <w:r>
        <w:rPr>
          <w:noProof/>
        </w:rPr>
        <w:t>(3)</w:t>
      </w:r>
      <w:r>
        <w:rPr>
          <w:noProof/>
        </w:rPr>
        <w:tab/>
      </w:r>
      <w:r w:rsidRPr="00D04088">
        <w:rPr>
          <w:noProof/>
        </w:rPr>
        <w:t xml:space="preserve">Id-Direttiva (UE) 2015/637 tiddefinixxi “ċittadin mhux rappreżentat” bħala kull ċittadin li jkollu n-nazzjonalità ta’ Stat Membru li ma jkunx rappreżentat f’pajjiż terz. </w:t>
      </w:r>
      <w:r w:rsidRPr="00D04088">
        <w:rPr>
          <w:noProof/>
        </w:rPr>
        <w:lastRenderedPageBreak/>
        <w:t>Skont dik id-Direttiva, Stat Membru ma jkunx rappreżentat f’pajjiż terz jekk huwa ma jkollux ambaxxata jew konsulat stabbilit fuq bażi permanenti jew jekk huwa ma jkollux ambaxxata, konsulat jew konslu onorarju hemmhekk li jkun effettivament f’pożizzjoni li jagħti protezzjoni konsulari f’każ partikolari. Minħabba n-nuqqas ta’ kriterji aktar dettaljati fid-Direttiva (UE) 2015/637, l-esperjenzi tal-passat urew li jista’ jkun diffiċli li jiġi ddeterminat jekk dan il-kriterju tal-aħħar ikunx issodisfat. Dan jista’ jwassal biex iċ-ċittadini jiġu kkunsidrati b’mod żbaljat li huma rappreżentati mill-Istat Membru tan-nazzjonalità tagħhom, mill-awtoritajiet konsulari li jkunu avviċinaw, u b’hekk jiġu miċħuda l-protezzjoni konsulari.</w:t>
      </w:r>
    </w:p>
    <w:p w14:paraId="6486BCD0" w14:textId="5DD9677B" w:rsidR="00251A6E" w:rsidRPr="00D04088" w:rsidRDefault="7B87E7C5" w:rsidP="00251A6E">
      <w:pPr>
        <w:pStyle w:val="ManualConsidrant"/>
        <w:rPr>
          <w:noProof/>
        </w:rPr>
      </w:pPr>
      <w:r>
        <w:rPr>
          <w:noProof/>
        </w:rPr>
        <w:t>(4)</w:t>
      </w:r>
      <w:r>
        <w:rPr>
          <w:noProof/>
        </w:rPr>
        <w:tab/>
      </w:r>
      <w:r w:rsidRPr="00D04088">
        <w:rPr>
          <w:noProof/>
        </w:rPr>
        <w:t>Sabiex tittejjeb iċ-ċertezza legali għall-awtoritajiet konsulari u għaċ-ċittadini, huwa xieraq li jiġu stabbiliti kriterji aktar dettaljati li jgħinu fil-valutazzjoni ta’ jekk ċittadin tal-Unjoni għandux jitqies bħala mhux rappreżentat u għalhekk eliġibbli li jirċievi protezzjoni konsulari mill-Istat Membru li l-awtoritajiet konsulari tiegħu jkunu ġew avviċinati. Dawk il-kriterji jenħtieġ li jkunu flessibbli biżżejjed u applikati fid-dawl taċ-ċirkostanzi lokali, bħall-faċilità tal-ivvjaġġar jew is-sitwazzjoni tas-sigurtà fil-pajjiż terz ikkonċernat. F’dan il-kuntest, l-aċċessibbiltà u l-prossimità jenħtieġ li jibqgħu kunsiderazzjonijiet importanti.</w:t>
      </w:r>
    </w:p>
    <w:p w14:paraId="20065274" w14:textId="78C2CD48" w:rsidR="006E0617" w:rsidRPr="00D04088" w:rsidRDefault="0E41B204" w:rsidP="002F34F2">
      <w:pPr>
        <w:pStyle w:val="ManualConsidrant"/>
        <w:rPr>
          <w:noProof/>
        </w:rPr>
      </w:pPr>
      <w:r>
        <w:rPr>
          <w:noProof/>
        </w:rPr>
        <w:t>(5)</w:t>
      </w:r>
      <w:r>
        <w:rPr>
          <w:noProof/>
        </w:rPr>
        <w:tab/>
      </w:r>
      <w:r w:rsidRPr="00D04088">
        <w:rPr>
          <w:noProof/>
        </w:rPr>
        <w:t>Bħala l-ewwel kriterju, l-awtoritajiet konsulari jenħtieġ li jqisu d-diffikultà għaċ-ċittadini biex jaslu b’mod sikur fl-ambaxxata jew fil-konsulat tal-Istat Membru tan-nazzjonalità tagħhom, jew biex jintlaħqu minn dawn tal-aħħar f’perjodu ta’ żmien raġonevoli, filwaqt li jqisu n-natura u l-urġenza tal-assistenza mitluba u l-mezzi, b’mod partikolari r-riżorsi finanzjarji, li jkollhom għad-dispożizzjoni tagħhom. Pereżempju, meta ċittadin ikun jeħtieġ Dokument Provviżorju tal-Ivvjaġġar tal-UE minħabba li jkun tilef id-dokumenti tal-ivvjaġġar tiegħu, jenħtieġ li, fil-prinċipju, dak iċ-ċittadin jitqies li ma huwiex rappreżentat jekk biex imur l-ambaxxata jew il-konsulat tal-Istat Membru tan-nazzjonalità tiegħu jkun meħtieġ li jivvjaġġa matul il-lejl jew bl-ajru, minħabba li ma jistax ikun mistenni li jivvjaġġa f’ċirkostanzi bħal dawn.</w:t>
      </w:r>
    </w:p>
    <w:p w14:paraId="2D95EC48" w14:textId="77777777" w:rsidR="002A5B15" w:rsidRPr="00D04088" w:rsidRDefault="7C2CC22A" w:rsidP="002F34F2">
      <w:pPr>
        <w:pStyle w:val="ManualConsidrant"/>
        <w:rPr>
          <w:noProof/>
        </w:rPr>
      </w:pPr>
      <w:r>
        <w:rPr>
          <w:noProof/>
        </w:rPr>
        <w:t>(6)</w:t>
      </w:r>
      <w:r>
        <w:rPr>
          <w:noProof/>
        </w:rPr>
        <w:tab/>
      </w:r>
      <w:r w:rsidRPr="00D04088">
        <w:rPr>
          <w:noProof/>
        </w:rPr>
        <w:t>Jenħtieġ li tiġi kkunsidrata wkoll il-possibbiltà li l-ambaxxata jew il-konsulat tal-Istat Membru tan-nazzjonalità taċ-ċittadin ikun magħluq, b’mod partikolari waqt sitwazzjonijiet ta’ kriżi. Meta l-ambaxxata jew il-konsulat li minnu ċ-ċittadin mhux rappreżentat jitlob protezzjoni konsulari ma jkunx jista’ jikkonferma, fil-ħin, li l-ambaxxata jew il-konsulat tal-Istat Membru tan-nazzjonalità taċ-ċittadin ikun qed jopera u jkun aċċessibbli, iċ-ċittadin għandu jitqies bħala mhux rappreżentat.</w:t>
      </w:r>
    </w:p>
    <w:p w14:paraId="6B964C36" w14:textId="77777777" w:rsidR="00E87CA6" w:rsidRPr="00D04088" w:rsidRDefault="41335E97" w:rsidP="002F34F2">
      <w:pPr>
        <w:pStyle w:val="ManualConsidrant"/>
        <w:rPr>
          <w:noProof/>
        </w:rPr>
      </w:pPr>
      <w:r>
        <w:rPr>
          <w:noProof/>
        </w:rPr>
        <w:t>(7)</w:t>
      </w:r>
      <w:r>
        <w:rPr>
          <w:noProof/>
        </w:rPr>
        <w:tab/>
      </w:r>
      <w:r w:rsidRPr="00D04088">
        <w:rPr>
          <w:noProof/>
        </w:rPr>
        <w:t>Il-kunċett ta’ nuqqas ta’ rappreżentanza jenħtieġ li jiġi interpretat bil-ħsieb li tiġi żgurata l-effettività tad-dritt għall-protezzjoni konsulari. Meta l-fatt li ċittadin jerġa’ jintbagħat fl-ambaxxata jew fil-konsulat tal-Istat Membru tan-nazzjonalità tiegħu, aktarx iwassal biex il-protezzjoni konsulari tiġi kompromessa, b’mod partikolari meta l-urġenza tal-kwistjoni tkun tirrikjedi azzjoni immedjata mill-ambaxxata jew mill-konsulat rikjest, iċ-ċittadin jenħtieġ li jitqies ukoll bħala mhux rappreżentat. Dan huwa partikolarment rilevanti f’sitwazzjonijiet ta’ kriżi, fejn in-nuqqas ta’ assistenza f’waqtha jista’ jkollu impatti partikolarment negattivi fuq iċ-ċittadin.</w:t>
      </w:r>
    </w:p>
    <w:p w14:paraId="7FF6AD72" w14:textId="77777777" w:rsidR="00D37486" w:rsidRPr="00D04088" w:rsidRDefault="0FA7DE84" w:rsidP="002F34F2">
      <w:pPr>
        <w:pStyle w:val="ManualConsidrant"/>
        <w:rPr>
          <w:noProof/>
        </w:rPr>
      </w:pPr>
      <w:r>
        <w:rPr>
          <w:noProof/>
        </w:rPr>
        <w:t>(8)</w:t>
      </w:r>
      <w:r>
        <w:rPr>
          <w:noProof/>
        </w:rPr>
        <w:tab/>
      </w:r>
      <w:r w:rsidRPr="00D04088">
        <w:rPr>
          <w:noProof/>
        </w:rPr>
        <w:t>Peress li l-konsli onorarji normalment ma joffrux l-istess firxa ta’ servizzi bħall-ambaxxati jew il-konsulati, il-preżenza ta’ konslu onorarju tal-Istat Membru tan-nazzjonalità taċ-ċittadin jenħtieġ li titqies biss biex jiġi ddeterminat jekk ċittadin ma huwiex rappreżentat jekk l-assistenza mitluba miċ-ċittadin tkun koperta mill-kompetenzi tal-konslu onorarju.</w:t>
      </w:r>
    </w:p>
    <w:p w14:paraId="179C5DDF" w14:textId="6D6D374B" w:rsidR="00026F16" w:rsidRPr="00D04088" w:rsidRDefault="57EF75B8" w:rsidP="00026F16">
      <w:pPr>
        <w:pStyle w:val="ManualConsidrant"/>
        <w:rPr>
          <w:noProof/>
        </w:rPr>
      </w:pPr>
      <w:r>
        <w:rPr>
          <w:noProof/>
        </w:rPr>
        <w:lastRenderedPageBreak/>
        <w:t>(9)</w:t>
      </w:r>
      <w:r>
        <w:rPr>
          <w:noProof/>
        </w:rPr>
        <w:tab/>
      </w:r>
      <w:r w:rsidRPr="00D04088">
        <w:rPr>
          <w:noProof/>
        </w:rPr>
        <w:t>Iċ-ċittadini mhux rappreżentati huma intitolati li jitolbu protezzjoni mill-ambaxxata jew mill-konsulat ta’ kwalunkwe Stat Membru. Fl-istess ħin, id-Direttiva (UE) 2015/637 toffri lill-Istati Membri l-possibbiltà li jidħlu f’arranġamenti bilaterali bil-għan li tiġi żgurata l-protezzjoni effettiva taċ-ċittadini mhux rappreżentati. Tali arranġamenti, madankollu, ma humiex prekundizzjoni għall-għoti ta’ protezzjoni konsulari liċ-ċittadini mhux rappreżentati. Jenħtieġ li jiġi ċċarat li, f’każijiet fejn ikunu ġew konklużi arranġamenti bħal dawn, hija r-responsabbiltà tal-awtoritajiet tal-Istat Membru avviċinat, mhux taċ-ċittadin ikkonċernat, li jibagħtu l-applikazzjoni lill-ambaxxata jew lill-konsulat rilevanti.</w:t>
      </w:r>
    </w:p>
    <w:p w14:paraId="64C9E11E" w14:textId="18AE1AF2" w:rsidR="00B659E3" w:rsidRPr="00D04088" w:rsidRDefault="2B42BB0C" w:rsidP="00B659E3">
      <w:pPr>
        <w:pStyle w:val="ManualConsidrant"/>
        <w:rPr>
          <w:noProof/>
        </w:rPr>
      </w:pPr>
      <w:r>
        <w:rPr>
          <w:noProof/>
        </w:rPr>
        <w:t>(10)</w:t>
      </w:r>
      <w:r>
        <w:rPr>
          <w:noProof/>
        </w:rPr>
        <w:tab/>
      </w:r>
      <w:r w:rsidRPr="00D04088">
        <w:rPr>
          <w:noProof/>
        </w:rPr>
        <w:t>Meta sitwazzjoni ta’ kriżi tirriżulta f’għadd kbir ta’ applikazzjonijiet għall-protezzjoni konsulari, l-ambaxxati u l-konsulati tal-Istati Membri rappreżentati fil-pajjiż terz ikkonċernat jenħtieġ li jingħataw il-possibbiltà li jaqblu li jqassmu l-applikazzjonijiet abbażi tal-kapaċità disponibbli bil-għan li jsir l-aħjar użu minnha. Għal dak il-għan, dawn jistgħu jiġu assistiti mid-delegazzjonijiet tal-Unjoni.</w:t>
      </w:r>
    </w:p>
    <w:p w14:paraId="2FCE2313" w14:textId="03D0401A" w:rsidR="00B659E3" w:rsidRPr="00D04088" w:rsidRDefault="2B42BB0C" w:rsidP="00B659E3">
      <w:pPr>
        <w:pStyle w:val="ManualConsidrant"/>
        <w:rPr>
          <w:noProof/>
        </w:rPr>
      </w:pPr>
      <w:r>
        <w:rPr>
          <w:noProof/>
        </w:rPr>
        <w:t>(11)</w:t>
      </w:r>
      <w:r>
        <w:rPr>
          <w:noProof/>
        </w:rPr>
        <w:tab/>
      </w:r>
      <w:r w:rsidRPr="00D04088">
        <w:rPr>
          <w:noProof/>
        </w:rPr>
        <w:t>Jenħtieġ li l-applikazzjonijiet ma jiġux ittrasferiti jekk b’dan il-protezzjoni konsulari tiġi kompromessa, b’mod partikolari jekk l-urġenza tal-kwistjoni tkun tirrikjedi azzjoni immedjata mill-ambaxxati jew mill-konsulat tal-Istat Membru avviċinat. Dan jista’ jkun il-każ, pereżempju, f’każijiet ta’ emerġenzi mediċi serji jew arresti apparentement arbitrarji. Barra minn hekk, iċ-ċittadini mhux rappreżentati jenħtieġ li jinżammu informati dwar kwalunkwe trasferiment bħal dan.</w:t>
      </w:r>
    </w:p>
    <w:p w14:paraId="1AA8C7CF" w14:textId="6A3884D5" w:rsidR="00E819AC" w:rsidRPr="00D04088" w:rsidRDefault="77911236" w:rsidP="00E819AC">
      <w:pPr>
        <w:pStyle w:val="ManualConsidrant"/>
        <w:rPr>
          <w:noProof/>
        </w:rPr>
      </w:pPr>
      <w:r>
        <w:rPr>
          <w:noProof/>
        </w:rPr>
        <w:t>(12)</w:t>
      </w:r>
      <w:r>
        <w:rPr>
          <w:noProof/>
        </w:rPr>
        <w:tab/>
      </w:r>
      <w:r w:rsidRPr="00D04088">
        <w:rPr>
          <w:noProof/>
        </w:rPr>
        <w:t>L-Artikolu 9 tad-Direttiva (UE) 2015/637 jelenka, b’mod mhux eżawrjenti, l-aktar sitwazzjonijiet komuni li fihom iċ-ċittadini tal-UE mhux rappreżentati jistgħu jfittxu assistenza konsulari mill-Istati Membri rappreżentati. Għal raġunijiet ta’ ċarezza legali, jenħtieġ li jiġi ċċarat, madankollu, li t-tipi ta’ għajnuna jkopru kemm l-evakwazzjonijiet, jiġifieri s-salvataġġ u t-trasferiment ta’ persuni miż-żoni affettwati minn emerġenza lejn post sikur, li jista’ jkun fl-istess pajjiż jew f’pajjiż terz ieħor, kif ukoll ir-ripatrijazzjonijiet, jiġifieri t-trasferiment ta’ persuni lejn it-territorju tal-Istati Membri.</w:t>
      </w:r>
    </w:p>
    <w:p w14:paraId="58061462" w14:textId="77777777" w:rsidR="00E819AC" w:rsidRPr="00D04088" w:rsidRDefault="785D0C0A" w:rsidP="00E819AC">
      <w:pPr>
        <w:pStyle w:val="ManualConsidrant"/>
        <w:rPr>
          <w:noProof/>
        </w:rPr>
      </w:pPr>
      <w:r>
        <w:rPr>
          <w:noProof/>
        </w:rPr>
        <w:t>(13)</w:t>
      </w:r>
      <w:r>
        <w:rPr>
          <w:noProof/>
        </w:rPr>
        <w:tab/>
      </w:r>
      <w:r w:rsidRPr="00D04088">
        <w:rPr>
          <w:noProof/>
        </w:rPr>
        <w:t>Meta jipprovdu protezzjoni konsulari lil ċittadini mhux rappreżentati, l-Istati Membri jenħtieġ li jqisu l-ħtiġijiet speċifiċi ta’ gruppi vulnerabbli, bħal minorenni mhux akkumpanjati, nisa tqal, persuni b’mobbiltà mnaqqsa, persuni b’diżabilità jew individwi f’riskju ta’ diskriminazzjoni fuq kwalunkwe bażi bħal dawk imsemmija fl-Artikolu 21 tal-Karta.</w:t>
      </w:r>
    </w:p>
    <w:p w14:paraId="7C48D8AD" w14:textId="21DE20EA" w:rsidR="00E819AC" w:rsidRPr="00D04088" w:rsidRDefault="00BA0965" w:rsidP="00E819AC">
      <w:pPr>
        <w:pStyle w:val="ManualConsidrant"/>
        <w:rPr>
          <w:noProof/>
        </w:rPr>
      </w:pPr>
      <w:r>
        <w:rPr>
          <w:noProof/>
        </w:rPr>
        <w:t>(14)</w:t>
      </w:r>
      <w:r>
        <w:rPr>
          <w:noProof/>
        </w:rPr>
        <w:tab/>
      </w:r>
      <w:r w:rsidRPr="00D04088">
        <w:rPr>
          <w:noProof/>
        </w:rPr>
        <w:t xml:space="preserve">Huwa meħtieġ li jiġi żgurat l-aħjar aċċess għall-ġustizzja għaċ-ċittadini tal-Unjoni li jiġu vittimizzati f’pajjiżi terzi, li jirrikjedi kuntatt u kooperazzjoni aktar mill-qrib bejn l-awtoritajiet u l-organizzazzjonijiet ta’ appoġġ ta’ pajjiżi terzi u l-awtoritajiet konsulari u l-organizzazzjonijiet ta’ appoġġ tal-Istati Membri. </w:t>
      </w:r>
    </w:p>
    <w:p w14:paraId="11AD6654" w14:textId="0C13A71F" w:rsidR="005F45E1" w:rsidRPr="00D04088" w:rsidRDefault="00D84E0A" w:rsidP="00304682">
      <w:pPr>
        <w:pStyle w:val="ManualConsidrant"/>
        <w:rPr>
          <w:noProof/>
        </w:rPr>
      </w:pPr>
      <w:r>
        <w:rPr>
          <w:noProof/>
        </w:rPr>
        <w:t>(15)</w:t>
      </w:r>
      <w:r>
        <w:rPr>
          <w:noProof/>
        </w:rPr>
        <w:tab/>
      </w:r>
      <w:r w:rsidRPr="00D04088">
        <w:rPr>
          <w:noProof/>
        </w:rPr>
        <w:t>Għal raġunijiet ta’ ċarezza legali, ir-referenza għad-dokumenti provviżorji tal-ivvjaġġar jenħtieġ li tiġi aġġornata wara l-adozzjoni tad-Direttiva tal-Kunsill (UE) 2019/997</w:t>
      </w:r>
      <w:r w:rsidRPr="00D04088">
        <w:rPr>
          <w:rStyle w:val="FootnoteReference0"/>
          <w:noProof/>
        </w:rPr>
        <w:footnoteReference w:id="30"/>
      </w:r>
      <w:r w:rsidRPr="00D04088">
        <w:rPr>
          <w:noProof/>
        </w:rPr>
        <w:t>.</w:t>
      </w:r>
    </w:p>
    <w:p w14:paraId="32F38539" w14:textId="419E33E5" w:rsidR="00C121A7" w:rsidRPr="00D04088" w:rsidRDefault="00C121A7" w:rsidP="00DC661F">
      <w:pPr>
        <w:pStyle w:val="ManualConsidrant"/>
        <w:rPr>
          <w:noProof/>
        </w:rPr>
      </w:pPr>
      <w:r>
        <w:rPr>
          <w:noProof/>
        </w:rPr>
        <w:t>(16)</w:t>
      </w:r>
      <w:r>
        <w:rPr>
          <w:noProof/>
        </w:rPr>
        <w:tab/>
      </w:r>
      <w:r w:rsidRPr="00D04088">
        <w:rPr>
          <w:noProof/>
        </w:rPr>
        <w:t xml:space="preserve">Fejn ikun xieraq u meħtieġ biex tingħata protezzjoni konsulari, l-Istati Membri jenħtieġ li jkunu intitolati wkoll li jinvolvu l-persunal tas-sigurtà u militari tagħhom, il-konsli onorarji, l-organizzazzjonijiet internazzjonali jew l-awtoritajiet diplomatiċi u </w:t>
      </w:r>
      <w:r w:rsidRPr="00D04088">
        <w:rPr>
          <w:noProof/>
        </w:rPr>
        <w:lastRenderedPageBreak/>
        <w:t xml:space="preserve">konsulari ta’ pajjiżi terzi fil-miżuri ta’ koordinazzjoni u kooperazzjoni tagħhom. Dan jista’ jkun partikolarment rilevanti f’sitwazzjonijiet ta’ kriżi.  </w:t>
      </w:r>
    </w:p>
    <w:p w14:paraId="235A5696" w14:textId="67C2B150" w:rsidR="00A84727" w:rsidRPr="00D04088" w:rsidRDefault="496A2CC3" w:rsidP="00350DCC">
      <w:pPr>
        <w:pStyle w:val="ManualConsidrant"/>
        <w:rPr>
          <w:noProof/>
        </w:rPr>
      </w:pPr>
      <w:r>
        <w:rPr>
          <w:noProof/>
        </w:rPr>
        <w:t>(17)</w:t>
      </w:r>
      <w:r>
        <w:rPr>
          <w:noProof/>
        </w:rPr>
        <w:tab/>
      </w:r>
      <w:r w:rsidRPr="00D04088">
        <w:rPr>
          <w:noProof/>
        </w:rPr>
        <w:t>Avvenimenti reċenti enfasizzaw il-kontribut importanti tad-delegazzjonijiet tal-Unjoni, f’kooperazzjoni mill-qrib mal-Istati Membri, għall-implimentazzjoni tad-dritt għall-protezzjoni konsulari. Dan kien il-każ b’mod partikolari f’pajjiżi terzi fejn ftit Stati Membri huma rrappreżentati, f’sitwazzjonijiet ta’ kriżi, u fir-rigward tal-iskambju ta’ informazzjoni. F’dan l-isfond, huwa xieraq li jiġi ċċarat ir-rwol ta’ appoġġ tad-delegazzjonijiet tal-Unjoni fl-implimentazzjoni tad-dritt għall-protezzjoni konsulari. Għal raġunijiet ta’ konsistenza u ta’ kontinwità tan-negozju, jenħtieġ li d-delegazzjonijiet tal-Unjoni normalment jippresjedu l-laqgħat ta’ kooperazzjoni konsulari lokali u jmexxu l-ħolqien ta’ pjanijiet ta’ kontinġenza konsulari konġunti u l-ftehim dwarhom. Sabiex jiġu żgurati l-koordinazzjoni u l-protezzjoni effettiva taċ-ċittadini mhux rappreżentati, jenħtieġ li d-delegazzjonijiet tal-Unjoni jieħdu sehem ukoll fil-koordinazzjoni tar-rispons għall-kriżijiet f’kooperazzjoni mill-qrib mal-Istati Membri.</w:t>
      </w:r>
    </w:p>
    <w:p w14:paraId="5BB87F73" w14:textId="6FB58396" w:rsidR="00655992" w:rsidRPr="00D04088" w:rsidRDefault="449261C5">
      <w:pPr>
        <w:pStyle w:val="ManualConsidrant"/>
        <w:rPr>
          <w:noProof/>
        </w:rPr>
      </w:pPr>
      <w:r>
        <w:rPr>
          <w:noProof/>
        </w:rPr>
        <w:t>(18)</w:t>
      </w:r>
      <w:r>
        <w:rPr>
          <w:noProof/>
        </w:rPr>
        <w:tab/>
      </w:r>
      <w:r w:rsidRPr="00D04088">
        <w:rPr>
          <w:noProof/>
        </w:rPr>
        <w:t>Id-Direttiva (UE) 2015/637 tistabbilixxi mezzi prattiċi li permezz tagħhom id-delegazzjonijiet tal-Unjoni jistgħu, skont l-Artikolu 35 tat-Trattat dwar l-Unjoni Ewropea (TUE), jikkontribwixxu għall-implimentazzjoni tad-dritt ta’ protezzjoni konsulari. Meta jappoġġaw lill-Istati Membri fl-għoti ta’ protezzjoni konsulari liċ-ċittadini mhux rappreżentati, id-delegazzjonijiet tal-Unjoni jenħtieġ li jagħmlu dan fuq talba mill-Istati Membri u fuq bażi newtrali fir-rigward tar-riżorsi, kif previst fl-Artikolu 5(10) tad-Deċiżjoni tal-Kunsill 2010/427/UE</w:t>
      </w:r>
      <w:r w:rsidRPr="00D04088">
        <w:rPr>
          <w:rStyle w:val="FootnoteReference0"/>
          <w:noProof/>
        </w:rPr>
        <w:footnoteReference w:id="31"/>
      </w:r>
      <w:r w:rsidRPr="00D04088">
        <w:rPr>
          <w:noProof/>
        </w:rPr>
        <w:t>. F’dan il-kuntest, jenħtieġ li l-Istati Membri jkunu jistgħu jitolbu wkoll lid-delegazzjonijiet tal-Unjoni jwettqu kompiti speċifiċi ta’ għajnuna konsulari, inklużi dawk imsemmija fl-Artikolu 9 tad-Direttiva (UE) 2015/637. Sabiex ikunu jistgħu jwettqu l-kompiti ta’ appoġġ tagħhom, id-delegazzjonijiet tal-Unjoni jenħtieġ li jingħataw l-informazzjoni rilevanti kollha mill-Istat Membru li jassisti jew, skont il-każ, mill-Istat Membru tan-nazzjonalità.</w:t>
      </w:r>
    </w:p>
    <w:p w14:paraId="099F5BD8" w14:textId="7C846AAD" w:rsidR="00AC57FE" w:rsidRPr="00D04088" w:rsidRDefault="00BF4028" w:rsidP="00E1080B">
      <w:pPr>
        <w:pStyle w:val="ManualConsidrant"/>
        <w:rPr>
          <w:noProof/>
        </w:rPr>
      </w:pPr>
      <w:r>
        <w:rPr>
          <w:noProof/>
        </w:rPr>
        <w:t>(19)</w:t>
      </w:r>
      <w:r>
        <w:rPr>
          <w:noProof/>
        </w:rPr>
        <w:tab/>
      </w:r>
      <w:r w:rsidRPr="00D04088">
        <w:rPr>
          <w:noProof/>
        </w:rPr>
        <w:t xml:space="preserve">Sabiex tiġi żgurata t-tħejjija rigward kriżijiet konsulari possibbli li jirrikjedu l-għoti ta’ għajnuna lil ċittadini mhux rappreżentati, jenħtieġ li l-kooperazzjoni konsulari lokali fost l-Istati Membri u d-delegazzjonijiet tal-Unjoni f’pajjiżi terzi tinkludi skambji dwar kwistjonijiet rilevanti għal tali ċittadini, inklużi s-sigurtà u s-sikurezza tagħhom, l-istabbiliment ta’ pjanijiet ta’ kontinġenza konsulari konġunti u l-organizzazzjoni ta’ eżerċizzji konsulari. F’dan il-kuntest, jista’ jkun partikolarment rilevanti li l-awtoritajiet konsulari tal-Istati Membri mhux rappreżentati jiġu inklużi f’tali kooperazzjoni konsulari lokali meta jkunu qed jiġu kkoordinati t-tħejjija u r-rispons konsulari għall-kriżijiet. </w:t>
      </w:r>
    </w:p>
    <w:p w14:paraId="2BAFF81B" w14:textId="7F61D108" w:rsidR="55E197F6" w:rsidRPr="00D04088" w:rsidRDefault="55E197F6" w:rsidP="007643DB">
      <w:pPr>
        <w:pStyle w:val="ManualConsidrant"/>
        <w:rPr>
          <w:noProof/>
        </w:rPr>
      </w:pPr>
      <w:r>
        <w:rPr>
          <w:noProof/>
        </w:rPr>
        <w:t>(20)</w:t>
      </w:r>
      <w:r>
        <w:rPr>
          <w:noProof/>
        </w:rPr>
        <w:tab/>
      </w:r>
      <w:r w:rsidRPr="00D04088">
        <w:rPr>
          <w:noProof/>
        </w:rPr>
        <w:t xml:space="preserve">It-tħejjija konsulari għall-kriżijiet hija rekwiżit essenzjali biex jiġi żgurat rispons effettiv konsulari għall-kriżijiet. Għalhekk, jenħtieġ li l-Istati Membri, appoġġati mis-Servizz Ewropew għall-Azzjoni Esterna (SEAE), jiżguraw li jiġu diskussi u implimentati miżuri ta’ tħejjija konsulari adegwati għall-protezzjoni taċ-ċittadini mhux rappreżentati fil-pajjiżi terzi kollha.   </w:t>
      </w:r>
    </w:p>
    <w:p w14:paraId="18CDFD47" w14:textId="7609C9AC" w:rsidR="7101BE33" w:rsidRPr="00D04088" w:rsidRDefault="00C80770" w:rsidP="007643DB">
      <w:pPr>
        <w:pStyle w:val="ManualConsidrant"/>
        <w:rPr>
          <w:noProof/>
        </w:rPr>
      </w:pPr>
      <w:r>
        <w:rPr>
          <w:noProof/>
        </w:rPr>
        <w:t>(21)</w:t>
      </w:r>
      <w:r>
        <w:rPr>
          <w:noProof/>
        </w:rPr>
        <w:tab/>
      </w:r>
      <w:r w:rsidRPr="00D04088">
        <w:rPr>
          <w:noProof/>
        </w:rPr>
        <w:t>Kriżijiet tal-passat urew ir-rilevanza tal-ippjanar ta’ kontinġenza u l-utilità ta’ pjanijiet ta’ kontinġenza konsulari konġunti, magħrufa bħala “Oqfsa Konġunti tal-UE għat-Tħejjija Konsulari għall-Kriżijiet”, f’pajjiżi terzi, li jinvolvu l-parteċipazzjoni tal-</w:t>
      </w:r>
      <w:r w:rsidRPr="00D04088">
        <w:rPr>
          <w:noProof/>
        </w:rPr>
        <w:lastRenderedPageBreak/>
        <w:t xml:space="preserve">awtoritajiet diplomatiċi u konsulari tal-Istati Membri kollha, kif ukoll tad-delegazzjoni lokali tal-Unjoni. Tali pjanijiet jenħtieġ li jitfasslu skont iċ-ċirkostanzi lokali, jistabbilixxu diviżjoni ċara tar-responsabbiltajiet bejn l-Istati Membri rappreżentati u dawk mhux rappreżentati u d-delegazzjoni tal-Unjoni u jinkludu sett ta’ proċeduri u attivitajiet li għandhom jitwettqu fil-livell lokali f’każ ta’ kriżi, b’attenzjoni speċifika għall-protezzjoni konsulari taċ-ċittadini mhux rappreżentati. </w:t>
      </w:r>
    </w:p>
    <w:p w14:paraId="317A3BA0" w14:textId="66A39BA9" w:rsidR="008128F8" w:rsidRPr="00D04088" w:rsidRDefault="4CC24EF9" w:rsidP="00C107C4">
      <w:pPr>
        <w:pStyle w:val="ManualConsidrant"/>
        <w:rPr>
          <w:noProof/>
        </w:rPr>
      </w:pPr>
      <w:r>
        <w:rPr>
          <w:noProof/>
        </w:rPr>
        <w:t>(22)</w:t>
      </w:r>
      <w:r>
        <w:rPr>
          <w:noProof/>
        </w:rPr>
        <w:tab/>
      </w:r>
      <w:r w:rsidRPr="00D04088">
        <w:rPr>
          <w:noProof/>
        </w:rPr>
        <w:t>L-effettività tal-miżuri ta’ koordinazzjoni eżistenti stabbiliti fid-Direttiva (UE) 2015/637 jenħtieġ li tissaħħaħ billi t-tħejjija u l-aġġornament annwali tal-pjanijiet ta’ kontinġenza konsulari konġunti jsiru obbligatorji għall-pajjiżi terzi kollha, anke jekk il-livell ta’ dettall tagħhom jista’ jvarja skont iċ-ċirkostanzi lokali. Għal dak il-għan, jenħtieġ li jiġu stabbiliti l-elementi essenzjali ta’ tali pjanijiet, bħal analiżi tas-sitwazzjoni konsulari fil-pajjiż terz ikkonċernat, inkluża valutazzjoni tar-riskju tax-xenarji l-aktar plawżibbli li jaffettwaw liċ-ċittadini mhux rappreżentati, arranġamenti għat-tħejjija konsulari għall-kriżijiet, il-komunikazzjoni fi ħdan il-kooperazzjoni konsulari lokali u maċ-ċittadini tal-Unjoni, u l-kooperazzjoni mal-awtoritajiet lokali u mal-pajjiżi terzi rilevanti.</w:t>
      </w:r>
    </w:p>
    <w:p w14:paraId="07B14ED5" w14:textId="22001EB2" w:rsidR="006658C7" w:rsidRPr="00D04088" w:rsidRDefault="65E4D3A0">
      <w:pPr>
        <w:pStyle w:val="ManualConsidrant"/>
        <w:rPr>
          <w:noProof/>
        </w:rPr>
      </w:pPr>
      <w:r>
        <w:rPr>
          <w:noProof/>
        </w:rPr>
        <w:t>(23)</w:t>
      </w:r>
      <w:r>
        <w:rPr>
          <w:noProof/>
        </w:rPr>
        <w:tab/>
      </w:r>
      <w:r w:rsidRPr="00D04088">
        <w:rPr>
          <w:noProof/>
        </w:rPr>
        <w:t>Il-pjanijiet ta’ kontinġenza konsulari konġunti jenħtieġ li jqisu wkoll, fejn xieraq, ir-rwoli u r-responsabbiltajiet tal-Istati Mexxejja, jiġifieri, l-Istati Membri rappreżentati f’pajjiż terz partikolari li huma responsabbli għall-koordinazzjoni u t-tmexxija tal-għajnuna lil ċittadini mhux rappreżentati waqt il-kriżijiet, biex tiġi żgurata l-koordinazzjoni effettiva tal-għajnuna konsulari. Barra minn hekk, jenħtieġ li l-pjanijiet ta’ kontinġenza konsulari konġunti jiġu evalwati kull sena fil-kuntest ta’ eżerċizzji konsulari biex tiġi żgurata r-rilevanza kontinwa tagħhom. Fl-istess ħin, jenħtieġ li l-pjanijiet ta’ kontinġenza konsulari konġunti ma jinftiehmux li qed jissostitwixxu l-pjanijiet nazzjonali eżistenti tal-Istati Membri għall-kriżijiet jew li qed jaffettwaw ir-responsabbiltà tagħhom li jipprovdu għajnuna konsulari lin-nazzjonali tagħhom stess.</w:t>
      </w:r>
    </w:p>
    <w:p w14:paraId="3D2A6127" w14:textId="52F783B4" w:rsidR="7101BE33" w:rsidRPr="00D04088" w:rsidRDefault="22C9D8FF" w:rsidP="00C107C4">
      <w:pPr>
        <w:pStyle w:val="ManualConsidrant"/>
        <w:rPr>
          <w:noProof/>
        </w:rPr>
      </w:pPr>
      <w:r>
        <w:rPr>
          <w:noProof/>
        </w:rPr>
        <w:t>(24)</w:t>
      </w:r>
      <w:r>
        <w:rPr>
          <w:noProof/>
        </w:rPr>
        <w:tab/>
      </w:r>
      <w:r w:rsidRPr="00D04088">
        <w:rPr>
          <w:noProof/>
        </w:rPr>
        <w:t>L-għadd stmat u l-lokalizzazzjoni taċ-ċittadini tal-Unjoni preżenti f’pajjiż terz huma informazzjoni kruċjali għat-tħejjija ta’ pjan ta’ kontinġenza konsulari konġunt, b’mod partikolari meta ssir neċessarja evakwazzjoni jew ripatrijazzjoni. Barra minn hekk, iċ-ċittadini tal-Unjoni jenħtieġ li jkunu jistgħu jirċievu informazzjoni rilevanti mill-Istat Membru tan-nazzjonalità tagħhom f’każ ta’ kriżi. Għalhekk huwa importanti li l-Istati Membri jipprovdu liċ-ċittadini tagħhom il-possibbiltà li jirreġistraw mal-awtoritajiet nazzjonali kompetenti jew jinfurmawhom, b’mezzi u għodod xierqa, dwar il-vjaġġi tagħhom f’pajjiżi terzi jew dwar ir-residenza tagħhom hemmhekk. Għal dak il-għan, jenħtieġ li l-Istati Membri, f’konformità mal-liġi tal-Unjoni u dik nazzjonali dwar il-protezzjoni tad-</w:t>
      </w:r>
      <w:r w:rsidRPr="00D04088">
        <w:rPr>
          <w:i/>
          <w:iCs/>
          <w:noProof/>
        </w:rPr>
        <w:t>data</w:t>
      </w:r>
      <w:r w:rsidRPr="00D04088">
        <w:rPr>
          <w:noProof/>
        </w:rPr>
        <w:t xml:space="preserve"> personali, jistabbilixxu l-kategoriji ta’ </w:t>
      </w:r>
      <w:r w:rsidRPr="00D04088">
        <w:rPr>
          <w:i/>
          <w:iCs/>
          <w:noProof/>
        </w:rPr>
        <w:t>data</w:t>
      </w:r>
      <w:r w:rsidRPr="00D04088">
        <w:rPr>
          <w:noProof/>
        </w:rPr>
        <w:t xml:space="preserve"> personali meħtieġa u l-perjodi ta’ żamma ta’ tali </w:t>
      </w:r>
      <w:r w:rsidRPr="00D04088">
        <w:rPr>
          <w:i/>
          <w:iCs/>
          <w:noProof/>
        </w:rPr>
        <w:t>data</w:t>
      </w:r>
      <w:r w:rsidRPr="00D04088">
        <w:rPr>
          <w:noProof/>
        </w:rPr>
        <w:t>.</w:t>
      </w:r>
    </w:p>
    <w:p w14:paraId="1DDDECB0" w14:textId="38005F0E" w:rsidR="7101BE33" w:rsidRPr="00D04088" w:rsidRDefault="73F7C051" w:rsidP="00C107C4">
      <w:pPr>
        <w:pStyle w:val="ManualConsidrant"/>
        <w:rPr>
          <w:noProof/>
        </w:rPr>
      </w:pPr>
      <w:r>
        <w:rPr>
          <w:noProof/>
        </w:rPr>
        <w:t>(25)</w:t>
      </w:r>
      <w:r>
        <w:rPr>
          <w:noProof/>
        </w:rPr>
        <w:tab/>
      </w:r>
      <w:r w:rsidRPr="00D04088">
        <w:rPr>
          <w:noProof/>
        </w:rPr>
        <w:t xml:space="preserve">Il-pariri dwar l-ivvjaġġar, jiġifieri, l-informazzjoni maħruġa mill-Istati Membri dwar is-sikurezza relattiva tal-ivvjaġġar lejn pajjiżi terzi speċifiċi, jippermettu lill-vjaġġaturi jieħdu deċiżjoni infurmata dwar destinazzjoni partikolari tal-ivvjaġġar, inklużi pajjiżi terzi fejn l-Istat Membru tan-nazzjonalità tagħhom ma jkunx rappreżentat. Filwaqt li l-ħruġ ta’ pariri dwar l-ivvjaġġar huwa r-responsabbiltà tal-Istati Membri, huwa xieraq li dawn jikkoordinaw fuq dak is-suġġett, b’mod partikolari fil-kuntest ta’ sitwazzjonijiet ta’ kriżi, bil-ħsieb li tiġi żgurata, sa fejn ikun possibbli, konsistenza fil-livell tal-pariri mogħtija. Dan jista’ jinkludi qbil dwar struttura komuni tal-livelli ta’ riskju indikati fil-pariri dwar l-ivvjaġġar, bl-użu tal-pjattaforma sigura tas-SEAE. Fejn ikun possibbli, tali koordinazzjoni jenħtieġ li sseħħ </w:t>
      </w:r>
      <w:r w:rsidRPr="00D04088">
        <w:rPr>
          <w:noProof/>
          <w:color w:val="000000" w:themeColor="text1"/>
        </w:rPr>
        <w:t>fi stadju bikri meta l-Istati Membri jkunu qed jippjanaw li jibdlu l-livell tal-parir tagħhom dwar l-ivvjaġġar</w:t>
      </w:r>
      <w:r w:rsidRPr="00D04088">
        <w:rPr>
          <w:noProof/>
        </w:rPr>
        <w:t>.</w:t>
      </w:r>
    </w:p>
    <w:p w14:paraId="2480DCD6" w14:textId="4C73117A" w:rsidR="00477C13" w:rsidRPr="00D04088" w:rsidRDefault="0D71EE05" w:rsidP="00C107C4">
      <w:pPr>
        <w:pStyle w:val="ManualConsidrant"/>
        <w:rPr>
          <w:noProof/>
        </w:rPr>
      </w:pPr>
      <w:r>
        <w:rPr>
          <w:noProof/>
        </w:rPr>
        <w:lastRenderedPageBreak/>
        <w:t>(26)</w:t>
      </w:r>
      <w:r>
        <w:rPr>
          <w:noProof/>
        </w:rPr>
        <w:tab/>
      </w:r>
      <w:r w:rsidRPr="00D04088">
        <w:rPr>
          <w:noProof/>
        </w:rPr>
        <w:t>Il-koordinazzjoni effiċjenti hija vitali biex jiġi żgurat rispons effettiv għall-kriżijiet. Sabiex tiġi żgurata tali koordinazzjoni, l-Istati Membri jenħtieġ li jiġu appoġġati miċ-Ċentru ta’ Rispons għall-Kriżijiet tas-SEAE u miċ-Ċentru ta’ Koordinazzjoni tar-Reazzjoni f’każ ta’ Emerġenza tal-Kummissjoni. Ir-rispons koordinat tal-Unjoni għall-kriżijiet huwa partikolarment importanti f’każijiet li jirrikjedu l-evakwazzjonijiet biex jiġi żgurat li l-appoġġ disponibbli jiġi pprovdut b’mod effiċjenti, u li jsir l-aħjar użu mill-kapaċitajiet ta’ evakwazzjoni disponibbli. Għal dik ir-raġuni, jenħtieġ li l-informazzjoni dwar il-kapaċità ta’ evakwazzjoni disponibbli tiġi kondiviża fil-ħin, inkluż fil-każ ta’ operazzjonijiet ta’ salvataġġ u ta’ evakwazzjoni bl-użu ta’ assi militari.</w:t>
      </w:r>
    </w:p>
    <w:p w14:paraId="7EA4C05A" w14:textId="77777777" w:rsidR="00503114" w:rsidRPr="00D04088" w:rsidRDefault="65EE0206" w:rsidP="00C107C4">
      <w:pPr>
        <w:pStyle w:val="ManualConsidrant"/>
        <w:rPr>
          <w:noProof/>
        </w:rPr>
      </w:pPr>
      <w:r>
        <w:rPr>
          <w:noProof/>
        </w:rPr>
        <w:t>(27)</w:t>
      </w:r>
      <w:r>
        <w:rPr>
          <w:noProof/>
        </w:rPr>
        <w:tab/>
      </w:r>
      <w:r w:rsidRPr="00D04088">
        <w:rPr>
          <w:noProof/>
        </w:rPr>
        <w:t>Il-pandemija tal-COVID-19 enfasizzat il-ħtieġa li l-Istati Membri jaħdmu flimkien u jappoġġaw lil xulxin fil-kuntest ta’ timijiet ta’ kriżi multidixxiplinari magħrufa bħala timijiet konsulari konġunti. L-iskjerament ta’ tim konsulari konġunt lejn pajjiż terz f’sitwazzjonijiet ta’ kriżi jista’ jkun kritiku biex jgħin biex jiġi evitat li l-awtoritajiet konsulari tal-Istati Membri rappreżentati jispiċċaw mgħobbija bil-ħtiġijiet tas-sitwazzjoni.</w:t>
      </w:r>
    </w:p>
    <w:p w14:paraId="117428E5" w14:textId="49D22B7F" w:rsidR="00503114" w:rsidRPr="00D04088" w:rsidRDefault="00CC37EE" w:rsidP="00C107C4">
      <w:pPr>
        <w:pStyle w:val="ManualConsidrant"/>
        <w:rPr>
          <w:noProof/>
        </w:rPr>
      </w:pPr>
      <w:r>
        <w:rPr>
          <w:noProof/>
        </w:rPr>
        <w:t>(28)</w:t>
      </w:r>
      <w:r>
        <w:rPr>
          <w:noProof/>
        </w:rPr>
        <w:tab/>
      </w:r>
      <w:r w:rsidRPr="00D04088">
        <w:rPr>
          <w:noProof/>
        </w:rPr>
        <w:t>It-timijiet konsulari konġunti jenħtieġ li jkunu bbażati fuq il-prinċipji ta’ parteċipazzjoni volontarja, solidarjetà mal-Istati Membri rappreżentati, ugwaljanza fir-rigward ta’ deċiżjonijiet dwar strutturi ta’ ħidma interni, sempliċità fir-rigward tal-kompożizzjoni tat-timijiet, kondiviżjoni tal-kostijiet – ma’ kull Stat Membru, istituzzjoni jew korp tal-Unjoni li jkollu l-kostijiet operazzjonali tiegħu stess – flessibbiltà, viżibbiltà tar-rispons koordinat tal-Unjoni u ftuħ għall-pajjiżi terzi rilevanti.</w:t>
      </w:r>
    </w:p>
    <w:p w14:paraId="305197C2" w14:textId="6A16006C" w:rsidR="003F1F7B" w:rsidRPr="00D04088" w:rsidRDefault="2B993514" w:rsidP="00C107C4">
      <w:pPr>
        <w:pStyle w:val="ManualConsidrant"/>
        <w:rPr>
          <w:noProof/>
        </w:rPr>
      </w:pPr>
      <w:r>
        <w:rPr>
          <w:noProof/>
        </w:rPr>
        <w:t>(29)</w:t>
      </w:r>
      <w:r>
        <w:rPr>
          <w:noProof/>
        </w:rPr>
        <w:tab/>
      </w:r>
      <w:r w:rsidRPr="00D04088">
        <w:rPr>
          <w:noProof/>
        </w:rPr>
        <w:t xml:space="preserve">Sabiex isir l-aħjar użu mill-kapaċità disponibbli f’sitwazzjonijiet ta’ kriżi, l-iskjerament ta’ timijiet konsulari konġunti jenħtieġ li jiżgura sinerġiji ma’ miżuri oħra ta’ rispons għall-kriżijiet, pereżempju billi jittieħed vantaġġ minn titjiriet ta’ ripatrijazzjoni li jkunu ħerġin jew titjiriet li jittrasportaw assistenza umanitarja. </w:t>
      </w:r>
    </w:p>
    <w:p w14:paraId="060075F5" w14:textId="669960DC" w:rsidR="00BD6B02" w:rsidRPr="00D04088" w:rsidRDefault="008B4F85" w:rsidP="00C107C4">
      <w:pPr>
        <w:pStyle w:val="ManualConsidrant"/>
        <w:rPr>
          <w:noProof/>
        </w:rPr>
      </w:pPr>
      <w:r>
        <w:rPr>
          <w:noProof/>
        </w:rPr>
        <w:t>(30)</w:t>
      </w:r>
      <w:r>
        <w:rPr>
          <w:noProof/>
        </w:rPr>
        <w:tab/>
      </w:r>
      <w:r w:rsidRPr="00D04088">
        <w:rPr>
          <w:noProof/>
        </w:rPr>
        <w:t xml:space="preserve">Sabiex jingħata appoġġ liċ-ċittadini tal-Unjoni fil-bżonn, huwa importanti li dawn jingħataw informazzjoni affidabbli dwar kif jagħmlu użu mill-għajnuna konsulari f’pajjiżi terzi. Is-servizzi tal-Kummissjoni u s-SEAE jenħtieġ li jikkontribwixxu għal dak l-objettiv billi jxerrdu informazzjoni rilevanti, inkluża informazzjoni li għandha tiġi pprovduta mill-Istati Membri fuq in-networks konsulari tagħhom u minn pajjiżi terzi meta dawn ikunu kkonkludew arranġamenti prattiċi dwar il-kondiviżjoni tar-responsabbiltajiet għall-għoti ta’ protezzjoni konsulari liċ-ċittadini mhux rappreżentati. Sabiex jiġi ffaċilitat l-ipproċessar ta’ tali informazzjoni, jenħtieġ li din tiġi pprovduta f’format li jinqara minn magna. </w:t>
      </w:r>
    </w:p>
    <w:p w14:paraId="2A5D75EB" w14:textId="54F33202" w:rsidR="002452E5" w:rsidRPr="00D04088" w:rsidRDefault="007E66C8" w:rsidP="00C107C4">
      <w:pPr>
        <w:pStyle w:val="ManualConsidrant"/>
        <w:rPr>
          <w:noProof/>
        </w:rPr>
      </w:pPr>
      <w:r>
        <w:rPr>
          <w:noProof/>
        </w:rPr>
        <w:t>(31)</w:t>
      </w:r>
      <w:r>
        <w:rPr>
          <w:noProof/>
        </w:rPr>
        <w:tab/>
      </w:r>
      <w:r w:rsidRPr="00D04088">
        <w:rPr>
          <w:noProof/>
        </w:rPr>
        <w:t>L-Istati Membri jenħtieġ li jieħdu miżuri addizzjonali biex jikkontribwixxu aktar għas-sensibilizzazzjoni taċ-ċittadini tal-Unjoni dwar id-dritt tagħhom għall-protezzjoni konsulari, filwaqt li jqisu wkoll il-ħtiġijiet speċifiċi tal-persuni b’diżabilità. Minħabba li dan jinvolvi kostijiet limitati għall-Istati Membri, mod wieħed possibbli biex dan isir ikun li jiġi riprodott il-kliem tal-Artikolu 23 tat-TFUE fil-passaporti maħruġa mill-Istati Membri bħala mod kif tissaħħaħ is-sensibilizzazzjoni taċ-ċittadini dwar id-dritt għall-protezzjoni mill-awtoritajiet diplomatiċi u konsulari, kif diġà ġie rrakkomandat mir-Rakkomandazzjoni tal-Kummissjoni C(2007) 5841</w:t>
      </w:r>
      <w:r w:rsidRPr="00D04088">
        <w:rPr>
          <w:rStyle w:val="FootnoteReference0"/>
          <w:noProof/>
        </w:rPr>
        <w:footnoteReference w:id="32"/>
      </w:r>
      <w:r w:rsidRPr="00D04088">
        <w:rPr>
          <w:noProof/>
        </w:rPr>
        <w:t xml:space="preserve">. L-Istati Membri jistgħu </w:t>
      </w:r>
      <w:r w:rsidRPr="00D04088">
        <w:rPr>
          <w:noProof/>
        </w:rPr>
        <w:lastRenderedPageBreak/>
        <w:t>jinkludu wkoll informazzjoni dwar id-dritt għall-protezzjoni konsulari li jgawdu ċ-ċittadini mhux rappreżentati fil-pariri u fil-kampanji dwar l-ivvjaġġar relatati mal-għajnuna konsulari. Huma jistgħu jikkooperaw ukoll mal-fornituri tas-servizzi tat-trasport tal-passiġġieri u maċ-ċentri tat-trasport li joffru vjaġġi lejn pajjiżi terzi, pereżempju billi jistidnuhom iżidu informazzjoni rilevanti dwar id-dritt għall-protezzjoni konsulari mal-materjal ta’ informazzjoni magħmul disponibbli għall-klijenti.</w:t>
      </w:r>
    </w:p>
    <w:p w14:paraId="26EACBCE" w14:textId="103BE974" w:rsidR="00086700" w:rsidRPr="00D04088" w:rsidRDefault="436A94EE" w:rsidP="00C107C4">
      <w:pPr>
        <w:pStyle w:val="ManualConsidrant"/>
        <w:rPr>
          <w:noProof/>
        </w:rPr>
      </w:pPr>
      <w:r>
        <w:rPr>
          <w:noProof/>
        </w:rPr>
        <w:t>(32)</w:t>
      </w:r>
      <w:r>
        <w:rPr>
          <w:noProof/>
        </w:rPr>
        <w:tab/>
      </w:r>
      <w:r w:rsidRPr="00D04088">
        <w:rPr>
          <w:noProof/>
        </w:rPr>
        <w:t xml:space="preserve">Id-dispożizzjonijiet finanzjarji tad-Direttiva (UE) 2015/637 jenħtieġ li jiġu adattati biex jissimplifikaw ir-rimborżi u jkomplu jiżguraw il-kondiviżjoni tal-piżijiet finanzjarji. B’mod partikolari, jenħtieġ li jkun possibbli għaċ-ċittadini mhux rappreżentati li jirrimborżaw direttament il-kostijiet, bl-istess kundizzjonijiet bħan-nazzjonali tal-Istat Membru li jassisti, għas-servizz ipprovdut minn dak l-Istat Membru biex jiġi evitat il-piż amministrattiv li jirriżulta meta jintalbu r-rimborżi mill-Istat Membru tan-nazzjonalità taċ-ċittadin. Barra minn hekk, jenħtieġ li l-Istati Membri jitħallew ukoll jirrinunzjaw għall-ħlas ta’ tali kostijiet. Billi, f’ċerti sitwazzjonijiet, iċ-ċittadini mhux rappreżentati jistgħu ma jkunux kapaċi jħallsu meta jagħmlu t-talba għall-għajnuna, b’mod partikolari meta l-flus u l-mezzi tagħhom għall-aċċess għall-fondi jkunu nsterqu, huwa meħtieġ li jiġi previst li dawn jistgħu jintalbu jiffirmaw impenn li jħallsu lura mill-awtoritajiet konsulari tal-Istat Membru li jassisti. Fuq il-bażi ta’ tali impenn, l-awtoritajiet tal-Istat Membru li jassisti jistgħu jitolbu r-rimborż tal-kostijiet ladarba jkunu għaddew 4 ġimgħat minn meta tkun ġiet ipprovduta l-assistenza. </w:t>
      </w:r>
    </w:p>
    <w:p w14:paraId="1899750E" w14:textId="6577D1FE" w:rsidR="00CC3AB9" w:rsidRPr="00D04088" w:rsidRDefault="361D2656" w:rsidP="00C107C4">
      <w:pPr>
        <w:pStyle w:val="ManualConsidrant"/>
        <w:rPr>
          <w:noProof/>
        </w:rPr>
      </w:pPr>
      <w:r>
        <w:rPr>
          <w:noProof/>
        </w:rPr>
        <w:t>(33)</w:t>
      </w:r>
      <w:r>
        <w:rPr>
          <w:noProof/>
        </w:rPr>
        <w:tab/>
      </w:r>
      <w:r w:rsidRPr="00D04088">
        <w:rPr>
          <w:noProof/>
        </w:rPr>
        <w:t>F’każijiet fejn il-kostijiet ma jkunux tħallsu lura direttament miċ-ċittadin, jiġifieri, la immedjatament meta ssir it-talba u lanqas fi stadju aktar tard meta jintalab jagħmel dan mill-Istat Membru li jassisti abbażi tal-impenn li jħallas lura, l-Istat Membru li jassisti jenħtieġ li jkun intitolat jitlob ir-rimborż tal-kostijiet dovuti mingħand l-Istat Membru tan-nazzjonalità taċ-ċittadin mhux rappreżentat. Sabiex jiġi evitat li jiġu ffaċċjati b’talbiet għal rimborż wara perjodi twal, l-Istat Membru li jassisti u l-Istat Membru tan-nazzjonalità jenħtieġ li jingħataw skadenza raġonevoli biex, rispettivament, jagħmlu t-talba u r-rimborż.</w:t>
      </w:r>
    </w:p>
    <w:p w14:paraId="522C5E0C" w14:textId="4AEBFFC8" w:rsidR="005C1294" w:rsidRPr="00D04088" w:rsidRDefault="00174109" w:rsidP="00174109">
      <w:pPr>
        <w:pStyle w:val="ManualConsidrant"/>
        <w:rPr>
          <w:noProof/>
        </w:rPr>
      </w:pPr>
      <w:r>
        <w:rPr>
          <w:noProof/>
        </w:rPr>
        <w:t>(34)</w:t>
      </w:r>
      <w:r>
        <w:rPr>
          <w:noProof/>
        </w:rPr>
        <w:tab/>
      </w:r>
      <w:r w:rsidRPr="00D04088">
        <w:rPr>
          <w:noProof/>
        </w:rPr>
        <w:t xml:space="preserve">L-Istati Membri jenħtieġ li jirrimborżaw lid-delegazzjonijiet tal-Unjoni għall-appoġġ tagħhom fl-għoti ta’ protezzjoni konsulari liċ-ċittadini mhux rappreżentati biex jiżguraw li tali appoġġ jiġi pprovdut fuq bażi newtrali fir-rigward tar-riżorsi, kif meħtieġ mill-Artikolu 5(10) tad-Deċiżjoni 2010/427/UE. </w:t>
      </w:r>
    </w:p>
    <w:p w14:paraId="0B20C289" w14:textId="4A5CF3AC" w:rsidR="00CA4875" w:rsidRPr="00D04088" w:rsidRDefault="732EF1DC" w:rsidP="00C107C4">
      <w:pPr>
        <w:pStyle w:val="ManualConsidrant"/>
        <w:rPr>
          <w:noProof/>
        </w:rPr>
      </w:pPr>
      <w:r>
        <w:rPr>
          <w:noProof/>
        </w:rPr>
        <w:t>(35)</w:t>
      </w:r>
      <w:r>
        <w:rPr>
          <w:noProof/>
        </w:rPr>
        <w:tab/>
      </w:r>
      <w:r w:rsidRPr="00D04088">
        <w:rPr>
          <w:noProof/>
        </w:rPr>
        <w:t>Il-formoli inklużi fl-Annessi I u II tad-Direttiva (UE) 2015/637 huma skaduti u għalhekk jenħtieġ li jitħassru. Dan jenħtieġ li ma jwaqqafx lill-Istati Membri li bħalissa jipprevedu l-użu ta’ dawk il-formoli fil-liġijiet nazzjonali tagħhom milli jkomplu jużawhom wara l-adozzjoni ta’ din id-Direttiva.</w:t>
      </w:r>
    </w:p>
    <w:p w14:paraId="10E82C06" w14:textId="5F8C74C0" w:rsidR="005350F8" w:rsidRPr="00D04088" w:rsidRDefault="00977848" w:rsidP="00C107C4">
      <w:pPr>
        <w:pStyle w:val="ManualConsidrant"/>
        <w:rPr>
          <w:noProof/>
        </w:rPr>
      </w:pPr>
      <w:r>
        <w:rPr>
          <w:noProof/>
        </w:rPr>
        <w:t>(36)</w:t>
      </w:r>
      <w:r>
        <w:rPr>
          <w:noProof/>
        </w:rPr>
        <w:tab/>
      </w:r>
      <w:r w:rsidRPr="00D04088">
        <w:rPr>
          <w:noProof/>
        </w:rPr>
        <w:t>Meta tingħata għajnuna f’sitwazzjonijiet ta’ kriżi, jista’ ma jkunx possibbli jew fattibbli fil-prattika li ssir distinzjoni bejn ċittadini mhux rappreżentati u dawk rrappreżentati u l-possibbiltà li tingħata għajnuna lil persuni mhux rappreżentati tista’ tirrikjedi jew timplika l-għajnuna liċ-ċittadini tal-Unjoni li jistgħu jkunu rappreżentati wkoll. Jenħtieġ li jiġi ċċarat li f’sitwazzjonijiet bħal dawn, id-dispożizzjonijiet tad-Direttiva (UE) 2015/637 dwar ir-rimborż tal-kostijiet jenħtieġ li japplikaw ukoll għall-protezzjoni konsulari pprovduta mill-Istat Membru li jassisti liċ-ċittadini rappreżentati ta’ Stat Membru ieħor. Dan jenħtieġ li jevita li jkun hemm żewġ proċeduri separati ta’ rimborż skont jekk iċ-ċittadin assistit għandux jitqies bħala rappreżentat jew mhux rappreżentat.</w:t>
      </w:r>
    </w:p>
    <w:p w14:paraId="70705A90" w14:textId="2A67CD2E" w:rsidR="00FC7892" w:rsidRPr="00D04088" w:rsidRDefault="00A36485" w:rsidP="00C107C4">
      <w:pPr>
        <w:pStyle w:val="ManualConsidrant"/>
        <w:rPr>
          <w:noProof/>
        </w:rPr>
      </w:pPr>
      <w:r>
        <w:rPr>
          <w:noProof/>
        </w:rPr>
        <w:lastRenderedPageBreak/>
        <w:t>(37)</w:t>
      </w:r>
      <w:r>
        <w:rPr>
          <w:noProof/>
        </w:rPr>
        <w:tab/>
      </w:r>
      <w:r w:rsidRPr="00D04088">
        <w:rPr>
          <w:noProof/>
        </w:rPr>
        <w:t>Meta jintuża l-Mekkaniżmu tal-Unjoni għall-Protezzjoni Ċivili, f’konformità mal-Artikolu 16(7) tad-Deċiżjoni Nru 1313/2013/UE tal-Parlament Ewropew u tal-Kunsill</w:t>
      </w:r>
      <w:r w:rsidRPr="00D04088">
        <w:rPr>
          <w:rStyle w:val="FootnoteReference0"/>
          <w:noProof/>
        </w:rPr>
        <w:footnoteReference w:id="33"/>
      </w:r>
      <w:r w:rsidRPr="00D04088">
        <w:rPr>
          <w:noProof/>
        </w:rPr>
        <w:t xml:space="preserve">, biex jingħata appoġġ għall-protezzjoni ċivili għall-għajnuna konsulari liċ-ċittadini tal-Unjoni waqt diżastri f’pajjiżi terzi, japplikaw id-dispożizzjonijiet finanzjarji f’dik id-Deċiżjoni. B’mod partikolari, l-Istati Membri li japplikaw għall-għajnuna finanzjarja u li jibbenefikaw minn tali għajnuna għandhom jipprovdu lill-Kummissjoni b’informazzjoni dwar il-kontribuzzjonijiet finanzjarji miġbura minn sorsi oħra, inklużi l-Istati Membri u ċ-ċittadini megħjuna, u jiżguraw li ma jkun hemm l-ebda finanzjament doppju riċevut minn sorsi oħra. </w:t>
      </w:r>
    </w:p>
    <w:p w14:paraId="791719BC" w14:textId="4268ADB1" w:rsidR="00304682" w:rsidRPr="00D04088" w:rsidRDefault="14888A3E" w:rsidP="00C107C4">
      <w:pPr>
        <w:pStyle w:val="ManualConsidrant"/>
        <w:rPr>
          <w:noProof/>
        </w:rPr>
      </w:pPr>
      <w:r>
        <w:rPr>
          <w:noProof/>
        </w:rPr>
        <w:t>(38)</w:t>
      </w:r>
      <w:r>
        <w:rPr>
          <w:noProof/>
        </w:rPr>
        <w:tab/>
      </w:r>
      <w:r w:rsidRPr="00D04088">
        <w:rPr>
          <w:noProof/>
        </w:rPr>
        <w:t xml:space="preserve">Sabiex jiġu żgurati kundizzjonijiet uniformi għall-implimentazzjoni ta’ din id-Direttiva rigward il-format li jinqara minn magna li għandu jintuża mill-Istati Membri biex jipprovdu informazzjoni u l-formoli li għandhom jintużaw fil-kuntest tal-proċeduri finanzjarji, jenħtieġ li l-Kummissjoni tingħata setgħat ta’ implimentazzjoni. Dawk is-setgħat jenħtieġ li jiġu </w:t>
      </w:r>
      <w:r w:rsidRPr="00D04088">
        <w:rPr>
          <w:rStyle w:val="italic1"/>
          <w:i w:val="0"/>
          <w:noProof/>
        </w:rPr>
        <w:t xml:space="preserve"> eżerċitati </w:t>
      </w:r>
      <w:r w:rsidRPr="00D04088">
        <w:rPr>
          <w:noProof/>
        </w:rPr>
        <w:t>f’konformità mar-Regolament (UE) Nru 182/2011 tal-Parlament Ewropew u tal-Kunsill</w:t>
      </w:r>
      <w:r w:rsidRPr="00D04088">
        <w:rPr>
          <w:rStyle w:val="FootnoteReference0"/>
          <w:noProof/>
        </w:rPr>
        <w:footnoteReference w:id="34"/>
      </w:r>
      <w:r w:rsidRPr="00D04088">
        <w:rPr>
          <w:noProof/>
        </w:rPr>
        <w:t xml:space="preserve">. </w:t>
      </w:r>
    </w:p>
    <w:p w14:paraId="58C28956" w14:textId="3C0C6071" w:rsidR="007F3DC6" w:rsidRPr="00D04088" w:rsidRDefault="64D39A99" w:rsidP="00C42E66">
      <w:pPr>
        <w:pStyle w:val="ManualConsidrant"/>
        <w:rPr>
          <w:noProof/>
        </w:rPr>
      </w:pPr>
      <w:r>
        <w:rPr>
          <w:noProof/>
        </w:rPr>
        <w:t>(39)</w:t>
      </w:r>
      <w:r>
        <w:rPr>
          <w:noProof/>
        </w:rPr>
        <w:tab/>
      </w:r>
      <w:r w:rsidRPr="00D04088">
        <w:rPr>
          <w:noProof/>
        </w:rPr>
        <w:t xml:space="preserve">L-għoti ta’ protezzjoni konsulari liċ-ċittadini mhux rappreżentati jirrikjedi l-ipproċessar ta’ </w:t>
      </w:r>
      <w:r w:rsidRPr="00D04088">
        <w:rPr>
          <w:i/>
          <w:iCs/>
          <w:noProof/>
        </w:rPr>
        <w:t>data</w:t>
      </w:r>
      <w:r w:rsidRPr="00D04088">
        <w:rPr>
          <w:noProof/>
        </w:rPr>
        <w:t xml:space="preserve"> personali għall-fini tal-verifika tal-identità tal-persuna li tfittex protezzjoni konsulari, tal-kooperazzjoni u l-koordinazzjoni fost l-awtoritajiet tal-Istat Membru li jassisti u l-Istat Membru tan-nazzjonalità, tat-twettiq tal-għajnuna mitluba, tal-ipproċessar ta’ talbiet għal rimborż finanzjarju, u tal-iskambju ta’ informazzjoni ta’ kuntatt rilevanti. Kwalunkwe pproċessar ta’ </w:t>
      </w:r>
      <w:r w:rsidRPr="00D04088">
        <w:rPr>
          <w:i/>
          <w:iCs/>
          <w:noProof/>
        </w:rPr>
        <w:t>data</w:t>
      </w:r>
      <w:r w:rsidRPr="00D04088">
        <w:rPr>
          <w:noProof/>
        </w:rPr>
        <w:t xml:space="preserve"> personali mill-Istati Membri jenħtieġ li jikkonforma mar-Regolament (UE) 2016/679 tal-Parlament Ewropew u tal-Kunsill</w:t>
      </w:r>
      <w:r w:rsidRPr="00D04088">
        <w:rPr>
          <w:rStyle w:val="FootnoteReference0"/>
          <w:noProof/>
        </w:rPr>
        <w:footnoteReference w:id="35"/>
      </w:r>
      <w:r w:rsidRPr="00D04088">
        <w:rPr>
          <w:noProof/>
        </w:rPr>
        <w:t>, inklużi l-prinċipji tal-limitazzjoni tal-iskop u l-minimizzazzjoni tad-</w:t>
      </w:r>
      <w:r w:rsidRPr="00D04088">
        <w:rPr>
          <w:i/>
          <w:iCs/>
          <w:noProof/>
        </w:rPr>
        <w:t>data</w:t>
      </w:r>
      <w:r w:rsidRPr="00D04088">
        <w:rPr>
          <w:noProof/>
        </w:rPr>
        <w:t xml:space="preserve">. Bl-istess mod, l-ipproċessar ta’ </w:t>
      </w:r>
      <w:r w:rsidRPr="00D04088">
        <w:rPr>
          <w:i/>
          <w:iCs/>
          <w:noProof/>
        </w:rPr>
        <w:t>data</w:t>
      </w:r>
      <w:r w:rsidRPr="00D04088">
        <w:rPr>
          <w:noProof/>
        </w:rPr>
        <w:t xml:space="preserve"> personali mill-istituzzjonijiet u l-korpi tal-Unjoni skont it-tifsira tar-Regolament (UE) 2018/1725 tal-Parlament Ewropew u tal-Kunsill</w:t>
      </w:r>
      <w:r w:rsidRPr="00D04088">
        <w:rPr>
          <w:rStyle w:val="FootnoteReference0"/>
          <w:noProof/>
        </w:rPr>
        <w:footnoteReference w:id="36"/>
      </w:r>
      <w:r w:rsidRPr="00D04088">
        <w:rPr>
          <w:noProof/>
        </w:rPr>
        <w:t xml:space="preserve"> jenħtieġ li jikkonforma mar-regoli stabbiliti f’dak ir-Regolament.</w:t>
      </w:r>
    </w:p>
    <w:p w14:paraId="48C2B5C2" w14:textId="05D553C5" w:rsidR="008A1FFE" w:rsidRPr="00D04088" w:rsidRDefault="008A1FFE" w:rsidP="001A14C2">
      <w:pPr>
        <w:pStyle w:val="ManualConsidrant"/>
        <w:rPr>
          <w:noProof/>
        </w:rPr>
      </w:pPr>
      <w:r>
        <w:rPr>
          <w:noProof/>
        </w:rPr>
        <w:t>(40)</w:t>
      </w:r>
      <w:r>
        <w:rPr>
          <w:noProof/>
        </w:rPr>
        <w:tab/>
      </w:r>
      <w:r w:rsidRPr="00D04088">
        <w:rPr>
          <w:noProof/>
        </w:rPr>
        <w:t xml:space="preserve">Minħabba li l-kompiti konsulari jistgħu jvarjaw b’mod sinifikanti, u jkopru sitwazzjonijiet sensittivi bħall-arrest, il-priġunerija, il-korriment jew li persuna tkun vittma ta’ reat, huwa meħtieġ li jiġi żgurat li l-awtoritajiet kompetenti tal-Istati Membri u l-istituzzjonijiet u l-korpi rilevanti tal-Unjoni jkollhom aċċess għall-informazzjoni kollha meħtieġa u jkunu jistgħu jiskambjaw din l-informazzjoni, inkluża </w:t>
      </w:r>
      <w:r w:rsidRPr="00D04088">
        <w:rPr>
          <w:i/>
          <w:iCs/>
          <w:noProof/>
        </w:rPr>
        <w:t>data</w:t>
      </w:r>
      <w:r w:rsidRPr="00D04088">
        <w:rPr>
          <w:noProof/>
        </w:rPr>
        <w:t xml:space="preserve"> personali, li tkun meħtieġa biex tipprovdi protezzjoni konsulari liċ-ċittadini tal-Unjoni. F’dak il-kuntest, l-awtoritajiet kompetenti tal-Istati Membri u, fejn jipprovdu appoġġ, l-istituzzjonijiet u l-korpi tal-Unjoni jenħtieġ li jkunu intitolati li jipproċessaw </w:t>
      </w:r>
      <w:r w:rsidRPr="00D04088">
        <w:rPr>
          <w:noProof/>
        </w:rPr>
        <w:lastRenderedPageBreak/>
        <w:t xml:space="preserve">kategoriji speċjali ta’ </w:t>
      </w:r>
      <w:r w:rsidRPr="00D04088">
        <w:rPr>
          <w:i/>
          <w:iCs/>
          <w:noProof/>
        </w:rPr>
        <w:t>data</w:t>
      </w:r>
      <w:r w:rsidRPr="00D04088">
        <w:rPr>
          <w:noProof/>
        </w:rPr>
        <w:t xml:space="preserve"> personali, meta dan ikun strettament meħtieġ biex tiġi pprovduta protezzjoni konsulari lill-persuna kkonċernata. Dan jenħtieġ li jkopri d-</w:t>
      </w:r>
      <w:r w:rsidRPr="00D04088">
        <w:rPr>
          <w:i/>
          <w:iCs/>
          <w:noProof/>
        </w:rPr>
        <w:t>data</w:t>
      </w:r>
      <w:r w:rsidRPr="00D04088">
        <w:rPr>
          <w:noProof/>
        </w:rPr>
        <w:t xml:space="preserve"> dwar is-saħħa, li jista’ jkun meħtieġ li tiġi pproċessata sabiex tiġi pprovduta protezzjoni konsulari lil ċittadin mhux rappreżentat li jkun indarab serjament jew li jkun marad serjament. L-immaġnijiet tal-wiċċ tal-persuni jridu jiġu pproċessati b’mod partikolari f’każijiet fejn ikun irid jinħareġ Dokument Provviżorju tal-Ivvjaġġar tal-UE. L-għoti ta’ għajnuna lil ċittadin mhux rappreżentat, inkluż fid-difiża ta’ talbiet legali, jista’ wkoll jirrikjedi b’mod eċċezzjonali l-ipproċessar ta’ </w:t>
      </w:r>
      <w:r w:rsidRPr="00D04088">
        <w:rPr>
          <w:i/>
          <w:iCs/>
          <w:noProof/>
        </w:rPr>
        <w:t>data</w:t>
      </w:r>
      <w:r w:rsidRPr="00D04088">
        <w:rPr>
          <w:noProof/>
        </w:rPr>
        <w:t xml:space="preserve"> personali li tiżvela oriġini razzjali jew etnika, opinjonijiet politiċi, twemmin reliġjuż jew filosofiku, jew sħubija fi trade union, jew </w:t>
      </w:r>
      <w:r w:rsidRPr="00D04088">
        <w:rPr>
          <w:i/>
          <w:iCs/>
          <w:noProof/>
        </w:rPr>
        <w:t>data</w:t>
      </w:r>
      <w:r w:rsidRPr="00D04088">
        <w:rPr>
          <w:noProof/>
        </w:rPr>
        <w:t xml:space="preserve"> dwar l-orjentazzjoni sesswali. F’ċerti każijiet, l-għoti ta’ għajnuna konsulari jista’ jirrikjedi wkoll l-ipproċessar ta’ </w:t>
      </w:r>
      <w:r w:rsidRPr="00D04088">
        <w:rPr>
          <w:i/>
          <w:iCs/>
          <w:noProof/>
        </w:rPr>
        <w:t>data</w:t>
      </w:r>
      <w:r w:rsidRPr="00D04088">
        <w:rPr>
          <w:noProof/>
        </w:rPr>
        <w:t xml:space="preserve"> ġenetika, bħal meta tingħata għajnuna fil-kuntest ta’ inċidenti serji li jeħtieġu l-identifikazzjoni unika ta’ persuna inabilitata jew fil-kuntest tad-determinazzjoni tal-paternità. Fl-aħħar nett, il-każijiet konsulari marbuta mal-arrest jew mad-detenzjoni x’aktarx jirrikjedu li l-awtoritajiet kompetenti jipproċessaw </w:t>
      </w:r>
      <w:r w:rsidRPr="00D04088">
        <w:rPr>
          <w:i/>
          <w:iCs/>
          <w:noProof/>
        </w:rPr>
        <w:t>data</w:t>
      </w:r>
      <w:r w:rsidRPr="00D04088">
        <w:rPr>
          <w:noProof/>
        </w:rPr>
        <w:t xml:space="preserve"> personali relatata ma’ kundanni u reati kriminali.</w:t>
      </w:r>
    </w:p>
    <w:p w14:paraId="70C3B2DC" w14:textId="0C054C55" w:rsidR="00EA1EC6" w:rsidRPr="00D04088" w:rsidRDefault="00EA1EC6" w:rsidP="0029161D">
      <w:pPr>
        <w:pStyle w:val="ManualConsidrant"/>
        <w:rPr>
          <w:noProof/>
        </w:rPr>
      </w:pPr>
      <w:r>
        <w:rPr>
          <w:noProof/>
        </w:rPr>
        <w:t>(41)</w:t>
      </w:r>
      <w:r>
        <w:rPr>
          <w:noProof/>
        </w:rPr>
        <w:tab/>
      </w:r>
      <w:r w:rsidRPr="00D04088">
        <w:rPr>
          <w:noProof/>
        </w:rPr>
        <w:t xml:space="preserve">Meta jipproċessaw tali kategoriji speċjali ta’ </w:t>
      </w:r>
      <w:r w:rsidRPr="00D04088">
        <w:rPr>
          <w:i/>
          <w:iCs/>
          <w:noProof/>
        </w:rPr>
        <w:t>data</w:t>
      </w:r>
      <w:r w:rsidRPr="00D04088">
        <w:rPr>
          <w:noProof/>
        </w:rPr>
        <w:t xml:space="preserve"> personali, l-awtoritajiet kompetenti tal-Istati Membri u l-istituzzjonijiet u l-korpi tal-Unjoni jenħtieġ li jiżguraw miżuri xierqa u speċifiċi għas-salvagwardja tal-interessi tas-suġġetti tad-</w:t>
      </w:r>
      <w:r w:rsidRPr="00D04088">
        <w:rPr>
          <w:i/>
          <w:iCs/>
          <w:noProof/>
        </w:rPr>
        <w:t>data</w:t>
      </w:r>
      <w:r w:rsidRPr="00D04088">
        <w:rPr>
          <w:noProof/>
        </w:rPr>
        <w:t xml:space="preserve">. Dan jenħtieġ li jinkludi, fejn possibbli, il-kriptaġġ ta’ tali </w:t>
      </w:r>
      <w:r w:rsidRPr="00D04088">
        <w:rPr>
          <w:i/>
          <w:iCs/>
          <w:noProof/>
        </w:rPr>
        <w:t>data</w:t>
      </w:r>
      <w:r w:rsidRPr="00D04088">
        <w:rPr>
          <w:noProof/>
        </w:rPr>
        <w:t xml:space="preserve"> personali u l-attribuzzjoni speċifika tad-drittijiet ta’ aċċess għall-persunal li jkollu aċċess għat-tipi speċifikati ta’ kategoriji speċjali ta’ </w:t>
      </w:r>
      <w:r w:rsidRPr="00D04088">
        <w:rPr>
          <w:i/>
          <w:iCs/>
          <w:noProof/>
        </w:rPr>
        <w:t>data</w:t>
      </w:r>
      <w:r w:rsidRPr="00D04088">
        <w:rPr>
          <w:noProof/>
        </w:rPr>
        <w:t xml:space="preserve"> personali.</w:t>
      </w:r>
    </w:p>
    <w:p w14:paraId="1EB18488" w14:textId="673F5589" w:rsidR="009D72FA" w:rsidRPr="00D04088" w:rsidRDefault="1E1481EB" w:rsidP="00C107C4">
      <w:pPr>
        <w:pStyle w:val="ManualConsidrant"/>
        <w:rPr>
          <w:noProof/>
        </w:rPr>
      </w:pPr>
      <w:r>
        <w:rPr>
          <w:noProof/>
        </w:rPr>
        <w:t>(42)</w:t>
      </w:r>
      <w:r>
        <w:rPr>
          <w:noProof/>
        </w:rPr>
        <w:tab/>
      </w:r>
      <w:r w:rsidRPr="00D04088">
        <w:rPr>
          <w:noProof/>
        </w:rPr>
        <w:t xml:space="preserve">Meta l-għoti ta’ protezzjoni konsulari jkun jeħtieġ it-trasferiment ta’ </w:t>
      </w:r>
      <w:r w:rsidRPr="00D04088">
        <w:rPr>
          <w:i/>
          <w:iCs/>
          <w:noProof/>
        </w:rPr>
        <w:t>data</w:t>
      </w:r>
      <w:r w:rsidRPr="00D04088">
        <w:rPr>
          <w:noProof/>
        </w:rPr>
        <w:t xml:space="preserve"> personali taċ-ċittadini tal-Unjoni lil pajjiżi terzi jew organizzazzjonijiet internazzjonali, bħan-Nazzjonijiet Uniti, li jkunu qegħdin jikkollaboraw fil-miżuri ta’ rispons għall-kriżijiet, tali trasferimenti jenħtieġ li jikkonformaw mal-Kapitolu V tar-Regolament (UE) 2016/679 u mal-Kapitolu V tar-Regolament (UE) 2018/1725.</w:t>
      </w:r>
    </w:p>
    <w:p w14:paraId="1B360A62" w14:textId="33C2E3FE" w:rsidR="00EE53F5" w:rsidRPr="00D04088" w:rsidRDefault="2A51E64B" w:rsidP="00C107C4">
      <w:pPr>
        <w:pStyle w:val="ManualConsidrant"/>
        <w:rPr>
          <w:noProof/>
        </w:rPr>
      </w:pPr>
      <w:r>
        <w:rPr>
          <w:noProof/>
        </w:rPr>
        <w:t>(43)</w:t>
      </w:r>
      <w:r>
        <w:rPr>
          <w:noProof/>
        </w:rPr>
        <w:tab/>
      </w:r>
      <w:r w:rsidRPr="00D04088">
        <w:rPr>
          <w:noProof/>
        </w:rPr>
        <w:t>Huwa meħtieġ li jiġu speċifikati aktar is-salvagwardji applikabbli għad-</w:t>
      </w:r>
      <w:r w:rsidRPr="00D04088">
        <w:rPr>
          <w:i/>
          <w:iCs/>
          <w:noProof/>
        </w:rPr>
        <w:t>data</w:t>
      </w:r>
      <w:r w:rsidRPr="00D04088">
        <w:rPr>
          <w:noProof/>
        </w:rPr>
        <w:t xml:space="preserve"> personali pproċessata, bħall-perjodu massimu taż-żamma tad-</w:t>
      </w:r>
      <w:r w:rsidRPr="00D04088">
        <w:rPr>
          <w:i/>
          <w:iCs/>
          <w:noProof/>
        </w:rPr>
        <w:t>data</w:t>
      </w:r>
      <w:r w:rsidRPr="00D04088">
        <w:rPr>
          <w:noProof/>
        </w:rPr>
        <w:t xml:space="preserve"> personali miġbura. Sabiex jiġi żgurat il-ġbir ta’ kwalunkwe kost applikabbli, huwa meħtieġ perjodu massimu ta’ żamma ta’ 12-il xahar għall-Istat Membru li jassisti jew l-istituzzjonijiet u l-korpi tal-Unjoni u ta’ 24 xahar għall-Istat Membru tan-nazzjonalità. Il-perjodu itwal ta’ żamma applikabbli għall-Istat Membru tan-nazzjonalità huwa meħtieġ ukoll biex jiġu evitati abbużi possibbli jew attivitajiet frawdolenti oħra, inkluż minn persuni li ripetutament ifittxu protezzjoni konsulari u jippruvaw jaħbu tali mġiba billi javviċinaw lill-awtoritajiet konsulari ta’ Stati Membri differenti. Fl-aħħar nett, meta d-</w:t>
      </w:r>
      <w:r w:rsidRPr="00D04088">
        <w:rPr>
          <w:i/>
          <w:iCs/>
          <w:noProof/>
        </w:rPr>
        <w:t>data</w:t>
      </w:r>
      <w:r w:rsidRPr="00D04088">
        <w:rPr>
          <w:noProof/>
        </w:rPr>
        <w:t xml:space="preserve"> personali tikkonċerna d-dettalji ta’ kuntatt tal-uffiċjali pubbliċi bħal konsli onorarji, id-</w:t>
      </w:r>
      <w:r w:rsidRPr="00D04088">
        <w:rPr>
          <w:i/>
          <w:iCs/>
          <w:noProof/>
        </w:rPr>
        <w:t>data</w:t>
      </w:r>
      <w:r w:rsidRPr="00D04088">
        <w:rPr>
          <w:noProof/>
        </w:rPr>
        <w:t xml:space="preserve"> personali jenħtieġ li tinżamm sakemm il-persuna tibqa’ l-kuntatt rilevanti. Jenħtieġ li t-tħassir ta’ </w:t>
      </w:r>
      <w:r w:rsidRPr="00D04088">
        <w:rPr>
          <w:i/>
          <w:iCs/>
          <w:noProof/>
        </w:rPr>
        <w:t>data</w:t>
      </w:r>
      <w:r w:rsidRPr="00D04088">
        <w:rPr>
          <w:noProof/>
        </w:rPr>
        <w:t xml:space="preserve"> personali tal-applikanti ma jaffettwax il-kapaċità tal-Istati Membri li jimmonitorjaw l-applikazzjoni ta’ din id-Direttiva.</w:t>
      </w:r>
    </w:p>
    <w:p w14:paraId="56D56796" w14:textId="09A91461" w:rsidR="005A67E7" w:rsidRPr="00D04088" w:rsidRDefault="005A67E7" w:rsidP="00C107C4">
      <w:pPr>
        <w:pStyle w:val="ManualConsidrant"/>
        <w:rPr>
          <w:noProof/>
        </w:rPr>
      </w:pPr>
      <w:r>
        <w:rPr>
          <w:noProof/>
        </w:rPr>
        <w:t>(44)</w:t>
      </w:r>
      <w:r>
        <w:rPr>
          <w:noProof/>
        </w:rPr>
        <w:tab/>
      </w:r>
      <w:r w:rsidRPr="00D04088">
        <w:rPr>
          <w:noProof/>
        </w:rPr>
        <w:t xml:space="preserve">Skont l-Artikolu 47 tal-Karta, kull persuna li d-drittijiet tagħha garantiti mid-dritt tal-Unjoni jiġu miksura jeħtiġilha jkollha d-dritt għal rimedju effettiv. Sabiex jiġi implimentat dan id-dritt fundamentali fil-kuntest tal-protezzjoni konsulari, jenħtieġ li tiżdied dispożizzjoni dwar ir-rimedju legali mad-Direttiva (UE) 2015/637. </w:t>
      </w:r>
    </w:p>
    <w:p w14:paraId="4CCB85D7" w14:textId="56B149F5" w:rsidR="009F79D0" w:rsidRPr="00D04088" w:rsidRDefault="2F1A3BA5" w:rsidP="00C107C4">
      <w:pPr>
        <w:pStyle w:val="ManualConsidrant"/>
        <w:rPr>
          <w:noProof/>
        </w:rPr>
      </w:pPr>
      <w:r>
        <w:rPr>
          <w:noProof/>
        </w:rPr>
        <w:t>(45)</w:t>
      </w:r>
      <w:r>
        <w:rPr>
          <w:noProof/>
        </w:rPr>
        <w:tab/>
      </w:r>
      <w:r w:rsidRPr="00D04088">
        <w:rPr>
          <w:noProof/>
        </w:rPr>
        <w:t>Għalhekk jenħtieġ li d-Direttiva (UE) 2015/637 tiġi emendata skont dan.</w:t>
      </w:r>
    </w:p>
    <w:p w14:paraId="36DA56A8" w14:textId="367F7181" w:rsidR="00E617A0" w:rsidRPr="00D04088" w:rsidRDefault="53FE58CB" w:rsidP="00C107C4">
      <w:pPr>
        <w:pStyle w:val="ManualConsidrant"/>
        <w:rPr>
          <w:noProof/>
        </w:rPr>
      </w:pPr>
      <w:r>
        <w:rPr>
          <w:noProof/>
        </w:rPr>
        <w:t>(46)</w:t>
      </w:r>
      <w:r>
        <w:rPr>
          <w:noProof/>
        </w:rPr>
        <w:tab/>
      </w:r>
      <w:r w:rsidRPr="00D04088">
        <w:rPr>
          <w:noProof/>
        </w:rPr>
        <w:t xml:space="preserve">Billi l-objettivi ta’ din id-Direttiva ma jistgħux jinkisbu suffiċjentement mill-Istati Membri iżda, minħabba l-ħtieġa ta’ adattament tar-regoli eżistenti fil-livell tal-Unjoni, jistgħu pjuttost jinkisbu aħjar fil-livell tal-Unjoni, l-Unjoni tista’ tadotta miżuri, </w:t>
      </w:r>
      <w:r w:rsidRPr="00D04088">
        <w:rPr>
          <w:noProof/>
        </w:rPr>
        <w:lastRenderedPageBreak/>
        <w:t>f’konformità mal-prinċipju tas-sussidjarjetà kif stabbilit fl-Artikolu 5 TUE. F’konformità mal-prinċipju tal-proporzjonalità kif stabbilit f’dak l-Artikolu, din id-Direttiva ma tmurx lil hinn minn dak li hu meħtieġ biex jintlaħqu dawk l-objettivi.</w:t>
      </w:r>
    </w:p>
    <w:p w14:paraId="713B44CB" w14:textId="77777777" w:rsidR="00304682" w:rsidRPr="00D04088" w:rsidRDefault="0DEECCB8" w:rsidP="00C107C4">
      <w:pPr>
        <w:pStyle w:val="ManualConsidrant"/>
        <w:rPr>
          <w:noProof/>
        </w:rPr>
      </w:pPr>
      <w:r>
        <w:rPr>
          <w:noProof/>
        </w:rPr>
        <w:t>(47)</w:t>
      </w:r>
      <w:r>
        <w:rPr>
          <w:noProof/>
        </w:rPr>
        <w:tab/>
      </w:r>
      <w:r w:rsidRPr="00D04088">
        <w:rPr>
          <w:noProof/>
        </w:rPr>
        <w:t>Skont id-Dikjarazzjoni Politika Konġunta tat-28 ta’ Settembru 2011 tal-Istati Membri u l-Kummissjoni dwar id-dokumenti ta’ spjegazzjoni</w:t>
      </w:r>
      <w:r w:rsidRPr="00D04088">
        <w:rPr>
          <w:rStyle w:val="FootnoteReference0"/>
          <w:noProof/>
        </w:rPr>
        <w:footnoteReference w:id="37"/>
      </w:r>
      <w:r w:rsidRPr="00D04088">
        <w:rPr>
          <w:noProof/>
        </w:rPr>
        <w:t>, l-Istati Membri impenjaw ruħhom li, f’każijiet ġustifikati, in-notifika tal-miżuri ta’ traspożizzjoni tagħhom tkun akkumpanjata minn dokument wieħed jew iktar, fejn tiġi spjegata l-korrelazzjoni bejn il-komponenti ta’ direttiva u l-partijiet ekwivalenti tal-istrumenti nazzjonali ta’ traspożizzjoni. Fir-rigward ta’ din id-Direttiva, il-leġiżlatur iqis li t-trażmissjoni ta’ dawk id-dokumenti hija ġustifikata.</w:t>
      </w:r>
    </w:p>
    <w:p w14:paraId="4E50D926" w14:textId="77777777" w:rsidR="008542D1" w:rsidRPr="00D04088" w:rsidRDefault="081E440C" w:rsidP="00C107C4">
      <w:pPr>
        <w:pStyle w:val="ManualConsidrant"/>
        <w:rPr>
          <w:noProof/>
        </w:rPr>
      </w:pPr>
      <w:r>
        <w:rPr>
          <w:noProof/>
        </w:rPr>
        <w:t>(48)</w:t>
      </w:r>
      <w:r>
        <w:rPr>
          <w:noProof/>
        </w:rPr>
        <w:tab/>
      </w:r>
      <w:r w:rsidRPr="00D04088">
        <w:rPr>
          <w:noProof/>
        </w:rPr>
        <w:t>Il-Kontrollur Ewropew għall-Protezzjoni tad-</w:t>
      </w:r>
      <w:r w:rsidRPr="00D04088">
        <w:rPr>
          <w:i/>
          <w:iCs/>
          <w:noProof/>
        </w:rPr>
        <w:t>Data</w:t>
      </w:r>
      <w:r w:rsidRPr="00D04088">
        <w:rPr>
          <w:noProof/>
        </w:rPr>
        <w:t xml:space="preserve"> ġie konsultat f’konformità mal-Artikolu 42(1) tar-Regolament (UE) Nru 2018/1725 u ta opinjoni fil-XXXX</w:t>
      </w:r>
      <w:r w:rsidRPr="00D04088">
        <w:rPr>
          <w:rStyle w:val="FootnoteReference0"/>
          <w:noProof/>
        </w:rPr>
        <w:footnoteReference w:id="38"/>
      </w:r>
      <w:r w:rsidRPr="00D04088">
        <w:rPr>
          <w:noProof/>
        </w:rPr>
        <w:t>,</w:t>
      </w:r>
    </w:p>
    <w:p w14:paraId="0EA75BA0" w14:textId="77777777" w:rsidR="00304682" w:rsidRPr="00D04088" w:rsidRDefault="00304682">
      <w:pPr>
        <w:pStyle w:val="Formuledadoption"/>
        <w:rPr>
          <w:noProof/>
        </w:rPr>
      </w:pPr>
      <w:r w:rsidRPr="00D04088">
        <w:rPr>
          <w:noProof/>
        </w:rPr>
        <w:t>ADOTTA DIN ID-DIRETTIVA:</w:t>
      </w:r>
    </w:p>
    <w:p w14:paraId="4572D447" w14:textId="77777777" w:rsidR="00304682" w:rsidRPr="00D04088" w:rsidRDefault="00304682">
      <w:pPr>
        <w:pStyle w:val="Titrearticle"/>
        <w:rPr>
          <w:noProof/>
        </w:rPr>
      </w:pPr>
      <w:r w:rsidRPr="00D04088">
        <w:rPr>
          <w:noProof/>
        </w:rPr>
        <w:t>Artikolu 1</w:t>
      </w:r>
    </w:p>
    <w:p w14:paraId="614688C0" w14:textId="77777777" w:rsidR="00304682" w:rsidRPr="00D04088" w:rsidRDefault="002710FB" w:rsidP="002710FB">
      <w:pPr>
        <w:rPr>
          <w:noProof/>
        </w:rPr>
      </w:pPr>
      <w:r w:rsidRPr="00D04088">
        <w:rPr>
          <w:noProof/>
        </w:rPr>
        <w:t>Id-Direttiva (UE) 2015/637 hija emendata kif ġej:</w:t>
      </w:r>
    </w:p>
    <w:p w14:paraId="69F9093C" w14:textId="77777777" w:rsidR="002710FB" w:rsidRPr="00D04088" w:rsidRDefault="00C61736" w:rsidP="00E76033">
      <w:pPr>
        <w:pStyle w:val="Point0"/>
        <w:rPr>
          <w:noProof/>
        </w:rPr>
      </w:pPr>
      <w:r>
        <w:rPr>
          <w:noProof/>
        </w:rPr>
        <w:t>(1)</w:t>
      </w:r>
      <w:r>
        <w:rPr>
          <w:noProof/>
        </w:rPr>
        <w:tab/>
      </w:r>
      <w:r w:rsidRPr="00D04088">
        <w:rPr>
          <w:noProof/>
        </w:rPr>
        <w:t>l-Artikoli 6 u 7 huma sostitwiti b’dan li ġej:</w:t>
      </w:r>
    </w:p>
    <w:p w14:paraId="11E43AAF" w14:textId="77777777" w:rsidR="00507EBB" w:rsidRPr="00D04088" w:rsidRDefault="00B527B6" w:rsidP="00087922">
      <w:pPr>
        <w:pStyle w:val="Titrearticle"/>
        <w:rPr>
          <w:noProof/>
        </w:rPr>
      </w:pPr>
      <w:r w:rsidRPr="00D04088">
        <w:rPr>
          <w:noProof/>
        </w:rPr>
        <w:t xml:space="preserve">“Artikolu 6 </w:t>
      </w:r>
      <w:r w:rsidRPr="00D04088">
        <w:rPr>
          <w:noProof/>
        </w:rPr>
        <w:cr/>
      </w:r>
      <w:r w:rsidRPr="00D04088">
        <w:rPr>
          <w:noProof/>
        </w:rPr>
        <w:br/>
        <w:t>Nuqqas ta’ rappreżentanza</w:t>
      </w:r>
    </w:p>
    <w:p w14:paraId="7BAC1706" w14:textId="77777777" w:rsidR="00B527B6" w:rsidRPr="00D04088" w:rsidRDefault="006D4A93" w:rsidP="006D4A93">
      <w:pPr>
        <w:pStyle w:val="Point1"/>
        <w:rPr>
          <w:noProof/>
        </w:rPr>
      </w:pPr>
      <w:r w:rsidRPr="00D04088">
        <w:rPr>
          <w:noProof/>
        </w:rPr>
        <w:t>1.</w:t>
      </w:r>
      <w:r w:rsidRPr="00D04088">
        <w:rPr>
          <w:noProof/>
        </w:rPr>
        <w:tab/>
        <w:t>Għall-finijiet ta’ din id-Direttiva, Stat Membru ma jkunx rappreżentat f’pajjiż terz jekk huwa ma jkollux ambaxxata jew konsulat stabbilit fuq bażi permanenti jew jekk huwa ma jkollux ambaxxata jew konsulat hemmhekk li jkun effettivament f’pożizzjoni li jagħti protezzjoni konsulari f’każ partikolari.</w:t>
      </w:r>
    </w:p>
    <w:p w14:paraId="13FC3E03" w14:textId="77777777" w:rsidR="002F5D25" w:rsidRPr="00D04088" w:rsidRDefault="006D4A93" w:rsidP="006D4A93">
      <w:pPr>
        <w:pStyle w:val="Point1"/>
        <w:rPr>
          <w:noProof/>
        </w:rPr>
      </w:pPr>
      <w:r w:rsidRPr="00D04088">
        <w:rPr>
          <w:noProof/>
        </w:rPr>
        <w:t>2.</w:t>
      </w:r>
      <w:r w:rsidRPr="00D04088">
        <w:rPr>
          <w:noProof/>
        </w:rPr>
        <w:tab/>
        <w:t>Sabiex jiġi ddeterminat jekk Stat Membru għandux ambaxxata jew konsulat li jkun effettivament f’pożizzjoni li jipprovdi protezzjoni konsulari f’każ partikolari, l-ambaxxata jew il-konsulat li minnu ċ-ċittadin mhux rappreżentat ifittex protezzjoni konsulari għandu jqis il-kriterji li ġejjin, fid-dawl taċ-ċirkostanzi lokali:</w:t>
      </w:r>
    </w:p>
    <w:p w14:paraId="4EE3C43E" w14:textId="65CDEA6A" w:rsidR="002F5D25" w:rsidRPr="00D04088" w:rsidRDefault="00911E33" w:rsidP="006D4A93">
      <w:pPr>
        <w:pStyle w:val="Point2"/>
        <w:rPr>
          <w:noProof/>
        </w:rPr>
      </w:pPr>
      <w:r>
        <w:rPr>
          <w:noProof/>
        </w:rPr>
        <w:t>(a)</w:t>
      </w:r>
      <w:r>
        <w:rPr>
          <w:noProof/>
        </w:rPr>
        <w:tab/>
      </w:r>
      <w:r w:rsidRPr="00D04088">
        <w:rPr>
          <w:noProof/>
        </w:rPr>
        <w:t>id-diffikultà għaċ-ċittadin ikkonċernat biex imur l-ambaxxata jew il-konsulat tal-Istat Membru tan-nazzjonalità tiegħu jew biex jiġi kkuntattjat minnu b’mod sikur f’perjodu ta’ żmien raġonevoli, filwaqt li jitqiesu n-natura u l-urġenza tal-għajnuna mitluba u l-mezzi disponibbli għaċ-ċittadin;</w:t>
      </w:r>
    </w:p>
    <w:p w14:paraId="12EC5F7C" w14:textId="77777777" w:rsidR="002F5D25" w:rsidRPr="00D04088" w:rsidRDefault="00273CFE" w:rsidP="006D4A93">
      <w:pPr>
        <w:pStyle w:val="Point2"/>
        <w:rPr>
          <w:noProof/>
        </w:rPr>
      </w:pPr>
      <w:r>
        <w:rPr>
          <w:noProof/>
        </w:rPr>
        <w:t>(b)</w:t>
      </w:r>
      <w:r>
        <w:rPr>
          <w:noProof/>
        </w:rPr>
        <w:tab/>
      </w:r>
      <w:r w:rsidRPr="00D04088">
        <w:rPr>
          <w:noProof/>
        </w:rPr>
        <w:t>il-possibbiltà li l-ambaxxata jew il-konsulat tal-Istat Membru tan-nazzjonalità tiegħu jkun magħluq, anki meta ma jkunx jista’ jiġi kkonfermat li dan ikun operazzjonali u aċċessibbli f’perjodu ta’ żmien raġonevoli;</w:t>
      </w:r>
    </w:p>
    <w:p w14:paraId="1117CD2D" w14:textId="77777777" w:rsidR="002F5D25" w:rsidRPr="00D04088" w:rsidRDefault="00360205" w:rsidP="006D4A93">
      <w:pPr>
        <w:pStyle w:val="Point2"/>
        <w:rPr>
          <w:noProof/>
        </w:rPr>
      </w:pPr>
      <w:r>
        <w:rPr>
          <w:noProof/>
        </w:rPr>
        <w:t>(c)</w:t>
      </w:r>
      <w:r>
        <w:rPr>
          <w:noProof/>
        </w:rPr>
        <w:tab/>
      </w:r>
      <w:r w:rsidRPr="00D04088">
        <w:rPr>
          <w:noProof/>
        </w:rPr>
        <w:t>jekk il-protezzjoni konsulari aktarx tiġi kompromessa meta ċ-ċittadin jerġa’ jintbagħat fl-ambaxxata jew fil-konsulat tal-Istat Membru tan-</w:t>
      </w:r>
      <w:r w:rsidRPr="00D04088">
        <w:rPr>
          <w:noProof/>
        </w:rPr>
        <w:lastRenderedPageBreak/>
        <w:t>nazzjonalità tiegħu, b’mod partikolari meta l-urġenza tal-kwistjoni tkun tirrikjedi azzjoni immedjata mill-ambaxxata jew mill-konsulat rikjest.</w:t>
      </w:r>
    </w:p>
    <w:p w14:paraId="5926E281" w14:textId="6E9431FF" w:rsidR="00F2526D" w:rsidRPr="00D04088" w:rsidRDefault="00585433" w:rsidP="006D4A93">
      <w:pPr>
        <w:pStyle w:val="Point1"/>
        <w:rPr>
          <w:noProof/>
        </w:rPr>
      </w:pPr>
      <w:r w:rsidRPr="00D04088">
        <w:rPr>
          <w:noProof/>
        </w:rPr>
        <w:t>3.</w:t>
      </w:r>
      <w:r w:rsidRPr="00D04088">
        <w:rPr>
          <w:noProof/>
        </w:rPr>
        <w:tab/>
        <w:t>Għall-fini li jiġi ddeterminat, f’konformità mal-paragrafu 2, jekk Stat Membru għandux ambaxxata jew konsulat li jkun effettivament f’pożizzjoni li jipprovdi protezzjoni konsulari f’każ partikolari, il-preżenza ta’ konslu onorarju tal-Istat Membru tan-nazzjonalità taċ-ċittadin tista’ titqies biss jekk l-għajnuna mitluba miċ-ċittadin tkun koperta mill-kompetenzi tal-konslu onorarju.</w:t>
      </w:r>
    </w:p>
    <w:p w14:paraId="43CC60AE" w14:textId="77777777" w:rsidR="00507EBB" w:rsidRPr="00D04088" w:rsidRDefault="00F2526D" w:rsidP="00087922">
      <w:pPr>
        <w:pStyle w:val="Titrearticle"/>
        <w:rPr>
          <w:noProof/>
        </w:rPr>
      </w:pPr>
      <w:r w:rsidRPr="00D04088">
        <w:rPr>
          <w:noProof/>
        </w:rPr>
        <w:t xml:space="preserve">Artikolu 7 </w:t>
      </w:r>
      <w:r w:rsidRPr="00D04088">
        <w:rPr>
          <w:noProof/>
        </w:rPr>
        <w:cr/>
      </w:r>
      <w:r w:rsidRPr="00D04088">
        <w:rPr>
          <w:noProof/>
        </w:rPr>
        <w:br/>
        <w:t>Aċċess għall-protezzjoni konsulari u arranġamenti oħra</w:t>
      </w:r>
    </w:p>
    <w:p w14:paraId="12A5C9AE" w14:textId="77777777" w:rsidR="00507EBB" w:rsidRPr="00D04088" w:rsidRDefault="00507EBB" w:rsidP="00507EBB">
      <w:pPr>
        <w:pStyle w:val="Point1"/>
        <w:rPr>
          <w:noProof/>
        </w:rPr>
      </w:pPr>
      <w:r w:rsidRPr="00D04088">
        <w:rPr>
          <w:noProof/>
        </w:rPr>
        <w:t>1.</w:t>
      </w:r>
      <w:r w:rsidRPr="00D04088">
        <w:rPr>
          <w:noProof/>
        </w:rPr>
        <w:tab/>
        <w:t>Iċ-ċittadini mhux rappreżentati għandu jkollhom id-dritt li jitolbu protezzjoni mill-ambaxxata jew mill-konsulat ta’ kwalunkwe Stat Membru.</w:t>
      </w:r>
    </w:p>
    <w:p w14:paraId="7D36E336" w14:textId="77777777" w:rsidR="00507EBB" w:rsidRPr="00D04088" w:rsidRDefault="00507EBB" w:rsidP="00507EBB">
      <w:pPr>
        <w:pStyle w:val="Point1"/>
        <w:rPr>
          <w:noProof/>
        </w:rPr>
      </w:pPr>
      <w:r w:rsidRPr="00D04088">
        <w:rPr>
          <w:noProof/>
        </w:rPr>
        <w:t>2.</w:t>
      </w:r>
      <w:r w:rsidRPr="00D04088">
        <w:rPr>
          <w:noProof/>
        </w:rPr>
        <w:tab/>
        <w:t>Mingħajr preġudizzju għall-Artikolu 2, Stat Membru jista’ jirrappreżenta Stat Membru ieħor fuq bażi permanenti u l-ambaxxati jew il-konsulati tal-Istati Membri jistgħu, kull fejn ikun possibbli, jiftiehmu dwar arranġamenti prattiċi dwar it-tqassim tar-responsabbiltajiet għall-għoti ta’ protezzjoni konsulari lil ċittadini mhux rappreżentati.</w:t>
      </w:r>
    </w:p>
    <w:p w14:paraId="3DB78800" w14:textId="4D095E8C" w:rsidR="00F2156E" w:rsidRPr="00D04088" w:rsidRDefault="00793158" w:rsidP="005C65B7">
      <w:pPr>
        <w:pStyle w:val="Text2"/>
        <w:rPr>
          <w:noProof/>
        </w:rPr>
      </w:pPr>
      <w:r w:rsidRPr="00D04088">
        <w:rPr>
          <w:noProof/>
        </w:rPr>
        <w:t>F’każijiet bħal dawn, ambaxxata jew konsulat li minnu ċ-ċittadin mhux rappreżentat jitlob protezzjoni konsulari, u li ma jkunx indikat bħala kompetenti skont l-arranġament speċifiku fis-seħħ, għandu jittrasferixxi l-applikazzjoni taċ-ċittadin lill-ambaxxata jew lill-konsulat rilevanti, sakemm dan ma jikkompromettix il-protezzjoni konsulari, b’mod partikolari jekk l-urġenza tal-kwistjoni tkun tirrikjedi azzjoni immedjata mill-ambaxxata mitluba jew mill-konsulat mitlub.</w:t>
      </w:r>
    </w:p>
    <w:p w14:paraId="44E94BBB" w14:textId="17FDAC62" w:rsidR="00F2156E" w:rsidRPr="00D04088" w:rsidRDefault="00654682" w:rsidP="00F2156E">
      <w:pPr>
        <w:pStyle w:val="Point1"/>
        <w:rPr>
          <w:noProof/>
        </w:rPr>
      </w:pPr>
      <w:r w:rsidRPr="00D04088">
        <w:rPr>
          <w:noProof/>
        </w:rPr>
        <w:t>3.</w:t>
      </w:r>
      <w:r w:rsidRPr="00D04088">
        <w:rPr>
          <w:noProof/>
        </w:rPr>
        <w:tab/>
        <w:t>Meta sitwazzjoni ta’ kriżi tirriżulta f’għadd kbir ta’ applikazzjonijiet għall-protezzjoni konsulari, l-ambaxxati u l-konsulati tal-Istati Membri rrappreżentati fil-pajjiż terz ikkonċernat jistgħu, appoġġati mid-delegazzjoni tal-Unjoni, jaqblu li jqassmu applikazzjonijiet ibbażati fuq il-kapaċità disponibbli, sakemm il-protezzjoni konsulari ma tkunx b’hekk kompromessa, b’mod partikolari jekk l-urġenza tal-kwistjoni tkun tirrikjedi azzjoni immedjata mill-ambaxxati jew mill-konsulat mitluba. Dan it-tqassim jista’ wkoll jiġi miftiehem minn qabel fil-kuntest ta’ pjan ta’ kontinġenza konsulari konġunt imsemmi fl-Artikolu 13 u jista’ jidderoga minn arranġamenti prattiċi li jkunu ġew konklużi f’konformità mal-paragrafu 2.</w:t>
      </w:r>
    </w:p>
    <w:p w14:paraId="450B15B5" w14:textId="76590E08" w:rsidR="001A1700" w:rsidRPr="00D04088" w:rsidRDefault="00654682" w:rsidP="001A1700">
      <w:pPr>
        <w:pStyle w:val="Point1"/>
        <w:rPr>
          <w:noProof/>
        </w:rPr>
      </w:pPr>
      <w:r w:rsidRPr="00D04088">
        <w:rPr>
          <w:noProof/>
        </w:rPr>
        <w:t>4.</w:t>
      </w:r>
      <w:r w:rsidRPr="00D04088">
        <w:rPr>
          <w:noProof/>
        </w:rPr>
        <w:tab/>
        <w:t>Iċ-ċittadini mhux rappreżentati li jfittxu protezzjoni skont il-paragrafu 1 għandhom jinżammu informati bi kwalunkwe trasferiment skont il-paragrafi 2 jew 3.”;</w:t>
      </w:r>
    </w:p>
    <w:p w14:paraId="554C9340" w14:textId="77777777" w:rsidR="00F2526D" w:rsidRPr="00D04088" w:rsidRDefault="00BA388E" w:rsidP="00F2526D">
      <w:pPr>
        <w:pStyle w:val="Point0"/>
        <w:rPr>
          <w:noProof/>
        </w:rPr>
      </w:pPr>
      <w:r>
        <w:rPr>
          <w:noProof/>
        </w:rPr>
        <w:t>(2)</w:t>
      </w:r>
      <w:r>
        <w:rPr>
          <w:noProof/>
        </w:rPr>
        <w:tab/>
      </w:r>
      <w:r w:rsidRPr="00D04088">
        <w:rPr>
          <w:noProof/>
        </w:rPr>
        <w:t>fl-Artikolu 9, il-punti (e) u (f) huma sostitwiti b’dan li ġej:</w:t>
      </w:r>
    </w:p>
    <w:p w14:paraId="75B9D790" w14:textId="77777777" w:rsidR="00EB02AB" w:rsidRPr="00D04088" w:rsidRDefault="00EB02AB" w:rsidP="00EB02AB">
      <w:pPr>
        <w:pStyle w:val="Text1"/>
        <w:rPr>
          <w:noProof/>
        </w:rPr>
      </w:pPr>
      <w:r w:rsidRPr="00D04088">
        <w:rPr>
          <w:noProof/>
        </w:rPr>
        <w:t>“(e) sokkors, evakwazzjoni u ripatrijazzjoni f’każ ta’ emerġenza;</w:t>
      </w:r>
    </w:p>
    <w:p w14:paraId="28943519" w14:textId="77777777" w:rsidR="00A467EC" w:rsidRPr="00D04088" w:rsidRDefault="00FC415E" w:rsidP="00EB02AB">
      <w:pPr>
        <w:pStyle w:val="Text1"/>
        <w:rPr>
          <w:noProof/>
        </w:rPr>
      </w:pPr>
      <w:r w:rsidRPr="00D04088">
        <w:rPr>
          <w:noProof/>
        </w:rPr>
        <w:t>(f) ħtieġa ta’ Dokument Provviżorju tal-Ivvjaġġar tal-UE stabbilit bid-Direttiva (UE) 2019/997*.</w:t>
      </w:r>
    </w:p>
    <w:p w14:paraId="06444ABE" w14:textId="77777777" w:rsidR="00A467EC" w:rsidRPr="00D04088" w:rsidRDefault="00A467EC" w:rsidP="00A467EC">
      <w:pPr>
        <w:pStyle w:val="Text1"/>
        <w:rPr>
          <w:noProof/>
        </w:rPr>
      </w:pPr>
      <w:r w:rsidRPr="00D04088">
        <w:rPr>
          <w:noProof/>
        </w:rPr>
        <w:t>_______________</w:t>
      </w:r>
    </w:p>
    <w:p w14:paraId="758F9CEE" w14:textId="21AE4EEF" w:rsidR="00FC415E" w:rsidRPr="00D04088" w:rsidRDefault="00A467EC" w:rsidP="00A467EC">
      <w:pPr>
        <w:pStyle w:val="Text1"/>
        <w:rPr>
          <w:noProof/>
        </w:rPr>
      </w:pPr>
      <w:r w:rsidRPr="00D04088">
        <w:rPr>
          <w:noProof/>
        </w:rPr>
        <w:lastRenderedPageBreak/>
        <w:t xml:space="preserve">*  Id-Direttiva tal-Kunsill (UE) 2019/997 tat-18 ta’ Ġunju 2019 li tistabbilixxi Dokument Provviżorju tal-Ivvjaġġar tal-UE u li tħassar id-Deċiżjoni 96/409/PESK (ĠU L 163, 20.6.2019, p. 1, ELI: </w:t>
      </w:r>
      <w:hyperlink r:id="rId19" w:history="1">
        <w:r w:rsidRPr="00D04088">
          <w:rPr>
            <w:rStyle w:val="Hyperlink"/>
            <w:noProof/>
          </w:rPr>
          <w:t>http://data.europa.eu/eli/dir/2019/997/oj</w:t>
        </w:r>
      </w:hyperlink>
      <w:r w:rsidRPr="00D04088">
        <w:rPr>
          <w:noProof/>
        </w:rPr>
        <w:t>).’;</w:t>
      </w:r>
    </w:p>
    <w:p w14:paraId="0282CC33" w14:textId="2C2BA4AC" w:rsidR="00DE2D03" w:rsidRPr="00D04088" w:rsidRDefault="007377C0">
      <w:pPr>
        <w:pStyle w:val="Point0"/>
        <w:rPr>
          <w:noProof/>
        </w:rPr>
      </w:pPr>
      <w:r>
        <w:rPr>
          <w:noProof/>
        </w:rPr>
        <w:t>(3)</w:t>
      </w:r>
      <w:r>
        <w:rPr>
          <w:noProof/>
        </w:rPr>
        <w:tab/>
      </w:r>
      <w:r w:rsidRPr="00D04088">
        <w:rPr>
          <w:noProof/>
        </w:rPr>
        <w:t>L-Artikolu 10 huwa emendat kif ġej:</w:t>
      </w:r>
    </w:p>
    <w:p w14:paraId="12A3DEE8" w14:textId="7F7EA518" w:rsidR="0041753B" w:rsidRPr="00D04088" w:rsidRDefault="00074DB7" w:rsidP="0041753B">
      <w:pPr>
        <w:pStyle w:val="Point1"/>
        <w:rPr>
          <w:noProof/>
        </w:rPr>
      </w:pPr>
      <w:r>
        <w:rPr>
          <w:noProof/>
        </w:rPr>
        <w:t>(a)</w:t>
      </w:r>
      <w:r>
        <w:rPr>
          <w:noProof/>
        </w:rPr>
        <w:tab/>
      </w:r>
      <w:r w:rsidRPr="00D04088">
        <w:rPr>
          <w:noProof/>
        </w:rPr>
        <w:t>il-paragrafu 4 huwa sostitwit b’dan li ġej:</w:t>
      </w:r>
    </w:p>
    <w:p w14:paraId="66BC6CA4" w14:textId="5F3A6CA4" w:rsidR="00074DB7" w:rsidRPr="00D04088" w:rsidRDefault="00074DB7" w:rsidP="00587507">
      <w:pPr>
        <w:pStyle w:val="Text2"/>
        <w:rPr>
          <w:noProof/>
        </w:rPr>
      </w:pPr>
      <w:r w:rsidRPr="00D04088">
        <w:rPr>
          <w:noProof/>
        </w:rPr>
        <w:t>“4. L-Istati Membri għandhom jinnotifikaw lis-Servizz Ewropew għall-Azzjoni Esterna (SEAE) permezz tas-sit web sikur tiegħu bil-punt jew punti ta’ kuntatt rilevanti fil-Ministeri għall-Affarijiet Barranin.”;</w:t>
      </w:r>
    </w:p>
    <w:p w14:paraId="4E20934B" w14:textId="372E9F59" w:rsidR="00674F59" w:rsidRPr="00D04088" w:rsidRDefault="0041753B" w:rsidP="0041753B">
      <w:pPr>
        <w:pStyle w:val="Point1"/>
        <w:rPr>
          <w:noProof/>
        </w:rPr>
      </w:pPr>
      <w:r>
        <w:rPr>
          <w:noProof/>
        </w:rPr>
        <w:t>(b)</w:t>
      </w:r>
      <w:r>
        <w:rPr>
          <w:noProof/>
        </w:rPr>
        <w:tab/>
      </w:r>
      <w:r w:rsidRPr="00D04088">
        <w:rPr>
          <w:noProof/>
        </w:rPr>
        <w:t>jiżdied il-paragrafu 5 li ġej:</w:t>
      </w:r>
    </w:p>
    <w:p w14:paraId="6EE078CC" w14:textId="7B7F1E37" w:rsidR="00396076" w:rsidRPr="00D04088" w:rsidRDefault="00396076" w:rsidP="00587507">
      <w:pPr>
        <w:pStyle w:val="Text2"/>
        <w:rPr>
          <w:noProof/>
        </w:rPr>
      </w:pPr>
      <w:r w:rsidRPr="00D04088">
        <w:rPr>
          <w:noProof/>
        </w:rPr>
        <w:t>“5. Fejn ikun xieraq u meħtieġ biex tiġi pprovduta protezzjoni konsulari, l-Istati Membri jistgħu jinvolvu wkoll, fil-miżuri ta’ koordinazzjoni u kooperazzjoni tagħhom, lill-konsli onorarji u lill-persunal militari u tas-sigurtà tagħhom, lil organizzazzjonijiet internazzjonali jew lill-awtoritajiet diplomatiċi u konsulari ta’ pajjiżi terzi.”;</w:t>
      </w:r>
    </w:p>
    <w:p w14:paraId="348713C3" w14:textId="56B70FA7" w:rsidR="00037296" w:rsidRPr="00D04088" w:rsidRDefault="00037296" w:rsidP="00037296">
      <w:pPr>
        <w:pStyle w:val="Point0"/>
        <w:rPr>
          <w:noProof/>
        </w:rPr>
      </w:pPr>
      <w:r>
        <w:rPr>
          <w:noProof/>
        </w:rPr>
        <w:t>(4)</w:t>
      </w:r>
      <w:r>
        <w:rPr>
          <w:noProof/>
        </w:rPr>
        <w:tab/>
      </w:r>
      <w:r w:rsidRPr="00D04088">
        <w:rPr>
          <w:noProof/>
        </w:rPr>
        <w:t>l-Artikoli 11, 12 u 13 huma sostitwiti b’dan li ġej:</w:t>
      </w:r>
    </w:p>
    <w:p w14:paraId="3D0DEEBD" w14:textId="77777777" w:rsidR="00687E90" w:rsidRPr="00D04088" w:rsidRDefault="00687E90" w:rsidP="00087922">
      <w:pPr>
        <w:pStyle w:val="Titrearticle"/>
        <w:rPr>
          <w:noProof/>
        </w:rPr>
      </w:pPr>
      <w:r w:rsidRPr="00D04088">
        <w:rPr>
          <w:noProof/>
        </w:rPr>
        <w:t xml:space="preserve">“Artikolu 11 </w:t>
      </w:r>
      <w:r w:rsidRPr="00D04088">
        <w:rPr>
          <w:noProof/>
        </w:rPr>
        <w:cr/>
      </w:r>
      <w:r w:rsidRPr="00D04088">
        <w:rPr>
          <w:noProof/>
        </w:rPr>
        <w:br/>
        <w:t>Ir-rwol tad-delegazzjonijiet tal-Unjoni</w:t>
      </w:r>
    </w:p>
    <w:p w14:paraId="5A8CACC3" w14:textId="1091F75F" w:rsidR="00FA14BF" w:rsidRPr="00D04088" w:rsidRDefault="00FA14BF" w:rsidP="00FA14BF">
      <w:pPr>
        <w:pStyle w:val="Point1"/>
        <w:rPr>
          <w:noProof/>
        </w:rPr>
      </w:pPr>
      <w:r w:rsidRPr="00D04088">
        <w:rPr>
          <w:noProof/>
        </w:rPr>
        <w:t xml:space="preserve">1. </w:t>
      </w:r>
      <w:r w:rsidRPr="00D04088">
        <w:rPr>
          <w:noProof/>
        </w:rPr>
        <w:tab/>
        <w:t>Id-delegazzjonijiet tal-Unjoni għandhom jikkooperaw u jikkoordinaw mill-qrib mal-ambaxxati u l-konsulati tal-Istati Membri biex jikkontribwixxu għall-kooperazzjoni konsulari lokali, għat-tħejjija għall-kriżijiet u għar-rispons għall-kriżijiet, b’mod partikolari billi:</w:t>
      </w:r>
    </w:p>
    <w:p w14:paraId="61CCA874" w14:textId="77777777" w:rsidR="00FA14BF" w:rsidRPr="00D04088" w:rsidRDefault="00FA14BF" w:rsidP="00FA14BF">
      <w:pPr>
        <w:pStyle w:val="Point2"/>
        <w:rPr>
          <w:noProof/>
        </w:rPr>
      </w:pPr>
      <w:r>
        <w:rPr>
          <w:noProof/>
        </w:rPr>
        <w:t>(a)</w:t>
      </w:r>
      <w:r>
        <w:rPr>
          <w:noProof/>
        </w:rPr>
        <w:tab/>
      </w:r>
      <w:r w:rsidRPr="00D04088">
        <w:rPr>
          <w:noProof/>
        </w:rPr>
        <w:t>jipprovdu appoġġ loġistiku disponibbli, inkluż akkomodazzjoni fl-uffiċċji u faċilitajiet organizzazzjonali, bħal akkomodazzjoni temporanja għall-persunal konsulari u għat-timijiet konsulari konġunti msemmija fl-Artikolu 13a(2);</w:t>
      </w:r>
    </w:p>
    <w:p w14:paraId="03674E66" w14:textId="77777777" w:rsidR="00FA14BF" w:rsidRPr="00D04088" w:rsidRDefault="00FA14BF" w:rsidP="00FA14BF">
      <w:pPr>
        <w:pStyle w:val="Point2"/>
        <w:rPr>
          <w:noProof/>
        </w:rPr>
      </w:pPr>
      <w:r>
        <w:rPr>
          <w:noProof/>
        </w:rPr>
        <w:t>(b)</w:t>
      </w:r>
      <w:r>
        <w:rPr>
          <w:noProof/>
        </w:rPr>
        <w:tab/>
      </w:r>
      <w:r w:rsidRPr="00D04088">
        <w:rPr>
          <w:noProof/>
        </w:rPr>
        <w:t>jiffaċilitaw l-iskambju ta’ informazzjoni bejn l-ambaxxati u l-konsulati tal-Istati Membri;</w:t>
      </w:r>
    </w:p>
    <w:p w14:paraId="2D3753E1" w14:textId="77777777" w:rsidR="00FA14BF" w:rsidRPr="00D04088" w:rsidRDefault="00FA14BF" w:rsidP="00FA14BF">
      <w:pPr>
        <w:pStyle w:val="Point2"/>
        <w:rPr>
          <w:noProof/>
        </w:rPr>
      </w:pPr>
      <w:r>
        <w:rPr>
          <w:noProof/>
        </w:rPr>
        <w:t>(c)</w:t>
      </w:r>
      <w:r>
        <w:rPr>
          <w:noProof/>
        </w:rPr>
        <w:tab/>
      </w:r>
      <w:r w:rsidRPr="00D04088">
        <w:rPr>
          <w:noProof/>
        </w:rPr>
        <w:t>jiffaċilitaw, fejn xieraq, l-iskambju ta’ informazzjoni mal-awtoritajiet lokali, mal-awtoritajiet diplomatiċi u konsulari ta’ pajjiżi terzi u ma’ organizzazzjonijiet internazzjonali;</w:t>
      </w:r>
    </w:p>
    <w:p w14:paraId="3E99BAC0" w14:textId="77777777" w:rsidR="00FA14BF" w:rsidRPr="00D04088" w:rsidRDefault="00FA14BF" w:rsidP="00FA14BF">
      <w:pPr>
        <w:pStyle w:val="Point2"/>
        <w:rPr>
          <w:noProof/>
        </w:rPr>
      </w:pPr>
      <w:r>
        <w:rPr>
          <w:noProof/>
        </w:rPr>
        <w:t>(d)</w:t>
      </w:r>
      <w:r>
        <w:rPr>
          <w:noProof/>
        </w:rPr>
        <w:tab/>
      </w:r>
      <w:r w:rsidRPr="00D04088">
        <w:rPr>
          <w:noProof/>
        </w:rPr>
        <w:t>jagħmlu disponibbli informazzjoni ġenerali dwar l-għajnuna li ċ-ċittadini mhux rappreżentati jistgħu jkunu intitolati għaliha, b’mod partikolari dwar l-arranġamenti prattiċi miftiehma, jekk applikabbli;</w:t>
      </w:r>
    </w:p>
    <w:p w14:paraId="2A9E33B0" w14:textId="2DC7A781" w:rsidR="00FA14BF" w:rsidRPr="00D04088" w:rsidRDefault="00FA14BF" w:rsidP="00FA14BF">
      <w:pPr>
        <w:pStyle w:val="Point2"/>
        <w:rPr>
          <w:noProof/>
        </w:rPr>
      </w:pPr>
      <w:r>
        <w:rPr>
          <w:noProof/>
        </w:rPr>
        <w:t>(e)</w:t>
      </w:r>
      <w:r>
        <w:rPr>
          <w:noProof/>
        </w:rPr>
        <w:tab/>
      </w:r>
      <w:r w:rsidRPr="00D04088">
        <w:rPr>
          <w:noProof/>
        </w:rPr>
        <w:t>jippresjedu l-laqgħat ta’ kooperazzjoni konsulari lokali msemmija fl-Artikolu 12(2);</w:t>
      </w:r>
    </w:p>
    <w:p w14:paraId="1231BBE9" w14:textId="77777777" w:rsidR="00FA14BF" w:rsidRPr="00D04088" w:rsidRDefault="004738D9" w:rsidP="00FA14BF">
      <w:pPr>
        <w:pStyle w:val="Point2"/>
        <w:rPr>
          <w:noProof/>
        </w:rPr>
      </w:pPr>
      <w:r>
        <w:rPr>
          <w:noProof/>
        </w:rPr>
        <w:t>(f)</w:t>
      </w:r>
      <w:r>
        <w:rPr>
          <w:noProof/>
        </w:rPr>
        <w:tab/>
      </w:r>
      <w:r w:rsidRPr="00D04088">
        <w:rPr>
          <w:noProof/>
        </w:rPr>
        <w:t>jikkoordinaw l-istabbiliment tal-pjanijiet ta’ kontinġenza konsulari konġunti msemmija fl-Artikolu 13 u l-qbil dwarhom;</w:t>
      </w:r>
    </w:p>
    <w:p w14:paraId="19028C60" w14:textId="77777777" w:rsidR="00FA14BF" w:rsidRPr="00D04088" w:rsidRDefault="00F159A3" w:rsidP="00FA14BF">
      <w:pPr>
        <w:pStyle w:val="Point2"/>
        <w:rPr>
          <w:noProof/>
        </w:rPr>
      </w:pPr>
      <w:r>
        <w:rPr>
          <w:noProof/>
        </w:rPr>
        <w:t>(g)</w:t>
      </w:r>
      <w:r>
        <w:rPr>
          <w:noProof/>
        </w:rPr>
        <w:tab/>
      </w:r>
      <w:r w:rsidRPr="00D04088">
        <w:rPr>
          <w:noProof/>
        </w:rPr>
        <w:t xml:space="preserve">jipparteċipaw f’attivitajiet ta’ rispons għall-kriżijiet f’konformità mal-Artikolu 13a, inkluż, fejn rilevanti u xieraq, billi jipprovdu appoġġ lill-Istat Mexxej. </w:t>
      </w:r>
    </w:p>
    <w:p w14:paraId="11CFF13B" w14:textId="095B3ADB" w:rsidR="001F0985" w:rsidRPr="00D04088" w:rsidRDefault="00FA14BF" w:rsidP="00FA14BF">
      <w:pPr>
        <w:pStyle w:val="Point1"/>
        <w:rPr>
          <w:noProof/>
        </w:rPr>
      </w:pPr>
      <w:r w:rsidRPr="00D04088">
        <w:rPr>
          <w:noProof/>
        </w:rPr>
        <w:t xml:space="preserve">2. </w:t>
      </w:r>
      <w:r w:rsidRPr="00D04088">
        <w:rPr>
          <w:noProof/>
        </w:rPr>
        <w:tab/>
        <w:t>Id-delegazzjonijiet tal-Unjoni għandhom jappoġġaw lill-Istati Membri fl-għoti ta’ protezzjoni konsulari liċ-ċittadini mhux rappreżentati f’konformità mal-</w:t>
      </w:r>
      <w:r w:rsidRPr="00D04088">
        <w:rPr>
          <w:noProof/>
        </w:rPr>
        <w:lastRenderedPageBreak/>
        <w:t>Artikolu 5(10) tad-Deċiżjoni 2010/427/UE. Tali appoġġ jista’ jinkludi t-twettiq ta’ kompiti speċifiċi ta’ għajnuna konsulari, fuq talba tal-Istati Membri u f’isimhom. L-Istat Membru li jassisti u l-Istat Membru tan-nazzjonalità għandhom jipprovdu lid-delegazzjoni tal-Unjoni bl-informazzjoni rilevanti kollha fil-każ ikkonċernat.</w:t>
      </w:r>
    </w:p>
    <w:p w14:paraId="71661A4E" w14:textId="57A6D19D" w:rsidR="001D020E" w:rsidRPr="00D04088" w:rsidRDefault="001D020E" w:rsidP="00BA095F">
      <w:pPr>
        <w:pStyle w:val="Titrearticle"/>
        <w:rPr>
          <w:noProof/>
        </w:rPr>
      </w:pPr>
      <w:r w:rsidRPr="00D04088">
        <w:rPr>
          <w:noProof/>
        </w:rPr>
        <w:t xml:space="preserve">Artikolu 12 </w:t>
      </w:r>
      <w:r w:rsidRPr="00D04088">
        <w:rPr>
          <w:noProof/>
        </w:rPr>
        <w:cr/>
      </w:r>
      <w:r w:rsidRPr="00D04088">
        <w:rPr>
          <w:noProof/>
        </w:rPr>
        <w:br/>
        <w:t>Kooperazzjoni konsulari lokali</w:t>
      </w:r>
    </w:p>
    <w:p w14:paraId="3A545AE1" w14:textId="3DB7596C" w:rsidR="004B3C56" w:rsidRPr="00D04088" w:rsidRDefault="0065353A" w:rsidP="0065353A">
      <w:pPr>
        <w:pStyle w:val="Point1"/>
        <w:rPr>
          <w:noProof/>
        </w:rPr>
      </w:pPr>
      <w:r w:rsidRPr="00D04088">
        <w:rPr>
          <w:noProof/>
        </w:rPr>
        <w:t xml:space="preserve">1.  </w:t>
      </w:r>
      <w:r w:rsidRPr="00D04088">
        <w:rPr>
          <w:noProof/>
        </w:rPr>
        <w:tab/>
        <w:t>L-awtoritajiet konsulari tal-Istati Membri u d-delegazzjoni tal-Unjoni għandhom jinvolvu ruħhom f’kooperazzjoni konsulari lokali f’kull pajjiż terz.</w:t>
      </w:r>
    </w:p>
    <w:p w14:paraId="6B489477" w14:textId="77777777" w:rsidR="0065353A" w:rsidRPr="00D04088" w:rsidRDefault="0065353A" w:rsidP="0065353A">
      <w:pPr>
        <w:pStyle w:val="Point1"/>
        <w:rPr>
          <w:noProof/>
        </w:rPr>
      </w:pPr>
      <w:r w:rsidRPr="00D04088">
        <w:rPr>
          <w:noProof/>
        </w:rPr>
        <w:t xml:space="preserve">2. </w:t>
      </w:r>
      <w:r w:rsidRPr="00D04088">
        <w:rPr>
          <w:noProof/>
        </w:rPr>
        <w:tab/>
        <w:t xml:space="preserve">Il-laqgħat ta’ kooperazzjoni konsulari lokali għandhom jinkludu skambji regolari dwar: </w:t>
      </w:r>
    </w:p>
    <w:p w14:paraId="5A748174" w14:textId="521E4B17" w:rsidR="0065353A" w:rsidRPr="00D04088" w:rsidRDefault="0065353A" w:rsidP="00E76033">
      <w:pPr>
        <w:pStyle w:val="Point2"/>
        <w:rPr>
          <w:noProof/>
        </w:rPr>
      </w:pPr>
      <w:r>
        <w:rPr>
          <w:noProof/>
        </w:rPr>
        <w:t>(a)</w:t>
      </w:r>
      <w:r>
        <w:rPr>
          <w:noProof/>
        </w:rPr>
        <w:tab/>
      </w:r>
      <w:r w:rsidRPr="00D04088">
        <w:rPr>
          <w:noProof/>
        </w:rPr>
        <w:t>is-sigurtà u s-sikurezza taċ-ċittadini tal-Unjoni u dwar kwistjonijiet oħra rilevanti għalihom;</w:t>
      </w:r>
    </w:p>
    <w:p w14:paraId="42973275" w14:textId="77777777" w:rsidR="0065353A" w:rsidRPr="00D04088" w:rsidRDefault="0065353A" w:rsidP="0065353A">
      <w:pPr>
        <w:pStyle w:val="Point2"/>
        <w:rPr>
          <w:noProof/>
        </w:rPr>
      </w:pPr>
      <w:r>
        <w:rPr>
          <w:noProof/>
        </w:rPr>
        <w:t>(b)</w:t>
      </w:r>
      <w:r>
        <w:rPr>
          <w:noProof/>
        </w:rPr>
        <w:tab/>
      </w:r>
      <w:r w:rsidRPr="00D04088">
        <w:rPr>
          <w:noProof/>
        </w:rPr>
        <w:t>l-abbozzar u t-twassil ta’ démarches konsulari konġunti lil awtoritajiet ta’ pajjiżi terzi, fejn rilevanti;</w:t>
      </w:r>
    </w:p>
    <w:p w14:paraId="3D777AE3" w14:textId="77777777" w:rsidR="0065353A" w:rsidRPr="00D04088" w:rsidRDefault="0065353A" w:rsidP="0065353A">
      <w:pPr>
        <w:pStyle w:val="Point2"/>
        <w:rPr>
          <w:noProof/>
        </w:rPr>
      </w:pPr>
      <w:r>
        <w:rPr>
          <w:noProof/>
        </w:rPr>
        <w:t>(c)</w:t>
      </w:r>
      <w:r>
        <w:rPr>
          <w:noProof/>
        </w:rPr>
        <w:tab/>
      </w:r>
      <w:r w:rsidRPr="00D04088">
        <w:rPr>
          <w:noProof/>
        </w:rPr>
        <w:t>l-istabbiliment, il-ftehim u r-rieżami tal-pjanijiet ta’ kontinġenza konsulari konġunti msemmija fl-Artikolu 13;</w:t>
      </w:r>
    </w:p>
    <w:p w14:paraId="2BB21BC6" w14:textId="77777777" w:rsidR="0065353A" w:rsidRPr="00D04088" w:rsidRDefault="0065353A" w:rsidP="0065353A">
      <w:pPr>
        <w:pStyle w:val="Point2"/>
        <w:rPr>
          <w:noProof/>
        </w:rPr>
      </w:pPr>
      <w:r>
        <w:rPr>
          <w:noProof/>
        </w:rPr>
        <w:t>(d)</w:t>
      </w:r>
      <w:r>
        <w:rPr>
          <w:noProof/>
        </w:rPr>
        <w:tab/>
      </w:r>
      <w:r w:rsidRPr="00D04088">
        <w:rPr>
          <w:noProof/>
        </w:rPr>
        <w:t>l-organizzazzjoni ta’ eżerċizzji konsulari konġunti;</w:t>
      </w:r>
    </w:p>
    <w:p w14:paraId="6AE05571" w14:textId="6F338233" w:rsidR="0065353A" w:rsidRPr="00D04088" w:rsidRDefault="0065353A" w:rsidP="0065353A">
      <w:pPr>
        <w:pStyle w:val="Point2"/>
        <w:rPr>
          <w:noProof/>
        </w:rPr>
      </w:pPr>
      <w:r>
        <w:rPr>
          <w:noProof/>
        </w:rPr>
        <w:t>(e)</w:t>
      </w:r>
      <w:r>
        <w:rPr>
          <w:noProof/>
        </w:rPr>
        <w:tab/>
      </w:r>
      <w:r w:rsidRPr="00D04088">
        <w:rPr>
          <w:noProof/>
        </w:rPr>
        <w:t xml:space="preserve">l-arranġamenti prattiċi msemmija fl-Artikolu 7(2) biex jiġi żgurat li ċ-ċittadini mhux rappreżentati jkunu protetti b’mod effettiv fil-pajjiż terz ikkonċernat. </w:t>
      </w:r>
    </w:p>
    <w:p w14:paraId="3B3ABA13" w14:textId="74116273" w:rsidR="00687E90" w:rsidRPr="00D04088" w:rsidRDefault="00630CB2" w:rsidP="00630CB2">
      <w:pPr>
        <w:pStyle w:val="Point1"/>
        <w:rPr>
          <w:noProof/>
        </w:rPr>
      </w:pPr>
      <w:r w:rsidRPr="00D04088">
        <w:rPr>
          <w:noProof/>
        </w:rPr>
        <w:t xml:space="preserve">3. </w:t>
      </w:r>
      <w:r w:rsidRPr="00D04088">
        <w:rPr>
          <w:noProof/>
        </w:rPr>
        <w:tab/>
        <w:t>Sakemm ma jkunx miftiehem mod ieħor mill-awtoritajiet konsulari tal-Istati Membri, il-President għandu jkun rappreżentant tad-delegazzjoni tal-Unjoni. Meta ma tkun preżenti l-ebda delegazzjoni tal-Unjoni, il-laqgħat għandhom ikunu ppreseduti minn rappreżentant ta’ Stat Membru.</w:t>
      </w:r>
    </w:p>
    <w:p w14:paraId="570145A4" w14:textId="77777777" w:rsidR="00630CB2" w:rsidRPr="00D04088" w:rsidRDefault="00630CB2" w:rsidP="00630CB2">
      <w:pPr>
        <w:pStyle w:val="Titrearticle"/>
        <w:rPr>
          <w:noProof/>
        </w:rPr>
      </w:pPr>
      <w:r w:rsidRPr="00D04088">
        <w:rPr>
          <w:noProof/>
        </w:rPr>
        <w:t xml:space="preserve">Artikolu 13 </w:t>
      </w:r>
      <w:r w:rsidRPr="00D04088">
        <w:rPr>
          <w:noProof/>
        </w:rPr>
        <w:cr/>
      </w:r>
      <w:r w:rsidRPr="00D04088">
        <w:rPr>
          <w:noProof/>
        </w:rPr>
        <w:br/>
        <w:t>Tħejjija għall-kriżijiet</w:t>
      </w:r>
    </w:p>
    <w:p w14:paraId="66D97D24" w14:textId="16D1F006" w:rsidR="0035070C" w:rsidRPr="00D04088" w:rsidRDefault="0035070C" w:rsidP="0035070C">
      <w:pPr>
        <w:pStyle w:val="Point1"/>
        <w:rPr>
          <w:noProof/>
        </w:rPr>
      </w:pPr>
      <w:r w:rsidRPr="00D04088">
        <w:rPr>
          <w:noProof/>
        </w:rPr>
        <w:t xml:space="preserve">1. </w:t>
      </w:r>
      <w:r w:rsidRPr="00D04088">
        <w:rPr>
          <w:noProof/>
        </w:rPr>
        <w:tab/>
        <w:t>Fil-kuntest tal-kooperazzjoni konsulari lokali msemmija fl-Artikolu 12, l-Istati Membri u s-SEAE għandhom jistabbilixxu u jaqblu dwar pjan ta’ kontinġenza konsulari konġunt għal kull pajjiż terz. Il-pjan ta’ kontinġenza konsulari konġunt għandu jiġi aġġornat kull sena u jkun fih:</w:t>
      </w:r>
    </w:p>
    <w:p w14:paraId="40A2C2BE" w14:textId="0EF1CDEE" w:rsidR="0035070C" w:rsidRPr="00D04088" w:rsidRDefault="0035070C" w:rsidP="00E76033">
      <w:pPr>
        <w:pStyle w:val="Point2"/>
        <w:rPr>
          <w:noProof/>
        </w:rPr>
      </w:pPr>
      <w:r>
        <w:rPr>
          <w:noProof/>
        </w:rPr>
        <w:t>(a)</w:t>
      </w:r>
      <w:r>
        <w:rPr>
          <w:noProof/>
        </w:rPr>
        <w:tab/>
      </w:r>
      <w:r w:rsidRPr="00D04088">
        <w:rPr>
          <w:noProof/>
        </w:rPr>
        <w:t>analiżi tas-sitwazzjoni konsulari fil-pajjiż, inkluża ħarsa ġenerali lejn l-ambaxxati jew il-konsulati tal-Istati Membri, estimu tal-għadd ta’ ċittadini tal-Unjoni u fejn jinsabu, u valutazzjoni tar-riskju tal-aktar xenarji plawżibbli li jaffettwaw liċ-ċittadini tal-Unjoni;</w:t>
      </w:r>
    </w:p>
    <w:p w14:paraId="3F15C5BF" w14:textId="6D75DC54" w:rsidR="0035070C" w:rsidRPr="00D04088" w:rsidRDefault="003C31FF" w:rsidP="0035070C">
      <w:pPr>
        <w:pStyle w:val="Point2"/>
        <w:rPr>
          <w:noProof/>
        </w:rPr>
      </w:pPr>
      <w:r>
        <w:rPr>
          <w:noProof/>
        </w:rPr>
        <w:t>(b)</w:t>
      </w:r>
      <w:r>
        <w:rPr>
          <w:noProof/>
        </w:rPr>
        <w:tab/>
      </w:r>
      <w:r w:rsidRPr="00D04088">
        <w:rPr>
          <w:noProof/>
        </w:rPr>
        <w:t>arranġamenti ta’ tħejjija konsulari konġunta għall-kriżijiet, inklużi mezzi ta’ komunikazzjoni u kuntatti fi ħdan il-kooperazzjoni konsulari lokali u mal-awtoritajiet lokali u l-pajjiżi terzi rilevanti;</w:t>
      </w:r>
    </w:p>
    <w:p w14:paraId="414FF83E" w14:textId="5D927D8C" w:rsidR="0035070C" w:rsidRPr="00D04088" w:rsidRDefault="008A681B" w:rsidP="0035070C">
      <w:pPr>
        <w:pStyle w:val="Point2"/>
        <w:rPr>
          <w:noProof/>
        </w:rPr>
      </w:pPr>
      <w:r>
        <w:rPr>
          <w:noProof/>
        </w:rPr>
        <w:t>(c)</w:t>
      </w:r>
      <w:r>
        <w:rPr>
          <w:noProof/>
        </w:rPr>
        <w:tab/>
      </w:r>
      <w:r w:rsidRPr="00D04088">
        <w:rPr>
          <w:noProof/>
        </w:rPr>
        <w:t xml:space="preserve">arranġamenti konġunti konsulari ta’ rispons għall-kriżijiet, inklużi proċessi ta’ kondiviżjoni tal-informazzjoni u ta’ komunikazzjoni fi ħdan il-kooperazzjoni konsulari lokali u maċ-ċittadini tal-Unjoni, laqgħat dwar </w:t>
      </w:r>
      <w:r w:rsidRPr="00D04088">
        <w:rPr>
          <w:noProof/>
        </w:rPr>
        <w:lastRenderedPageBreak/>
        <w:t xml:space="preserve">il-kriżijiet, kooperazzjoni mal-awtoritajiet lokali u ma’ pajjiżi terzi rilevanti u azzjonijiet waqt il-kriżijiet u ta’ wara l-kriżijiet; </w:t>
      </w:r>
    </w:p>
    <w:p w14:paraId="2881EBC4" w14:textId="57E74796" w:rsidR="008E6F9F" w:rsidRPr="00D04088" w:rsidRDefault="0035070C" w:rsidP="0035070C">
      <w:pPr>
        <w:pStyle w:val="Point2"/>
        <w:rPr>
          <w:noProof/>
        </w:rPr>
      </w:pPr>
      <w:r>
        <w:rPr>
          <w:noProof/>
        </w:rPr>
        <w:t>(d)</w:t>
      </w:r>
      <w:r>
        <w:rPr>
          <w:noProof/>
        </w:rPr>
        <w:tab/>
      </w:r>
      <w:r w:rsidRPr="00D04088">
        <w:rPr>
          <w:noProof/>
        </w:rPr>
        <w:t>deskrizzjoni tar-responsabbiltajiet ta’ Stat Membru meta dan jassumi r-rwol ta’ Stat Mexxej f’pajjiż terz partikolari kif imsemmi fl-Artikolu 13a(3);</w:t>
      </w:r>
    </w:p>
    <w:p w14:paraId="167C20A8" w14:textId="505358C9" w:rsidR="0035070C" w:rsidRPr="00D04088" w:rsidRDefault="008E6F9F" w:rsidP="0035070C">
      <w:pPr>
        <w:pStyle w:val="Point2"/>
        <w:rPr>
          <w:noProof/>
        </w:rPr>
      </w:pPr>
      <w:r>
        <w:rPr>
          <w:noProof/>
        </w:rPr>
        <w:t>(e)</w:t>
      </w:r>
      <w:r>
        <w:rPr>
          <w:noProof/>
        </w:rPr>
        <w:tab/>
      </w:r>
      <w:r w:rsidRPr="00D04088">
        <w:rPr>
          <w:noProof/>
        </w:rPr>
        <w:t>informazzjoni rilevanti oħra.</w:t>
      </w:r>
    </w:p>
    <w:p w14:paraId="74E3B6DB" w14:textId="2BF02BD5" w:rsidR="006516B3" w:rsidRPr="00D04088" w:rsidRDefault="00767297" w:rsidP="0035070C">
      <w:pPr>
        <w:pStyle w:val="Point1"/>
        <w:rPr>
          <w:noProof/>
        </w:rPr>
      </w:pPr>
      <w:r w:rsidRPr="00D04088">
        <w:rPr>
          <w:noProof/>
        </w:rPr>
        <w:t>2.</w:t>
      </w:r>
      <w:r w:rsidRPr="00D04088">
        <w:rPr>
          <w:noProof/>
        </w:rPr>
        <w:tab/>
        <w:t>Fejn ikunu preżenti, id-delegazzjonijiet tal-Unjoni għandhom jikkoordinaw l-istabbiliment ta’ pjanijiet ta’ kontinġenza konsulari konġunti u l-qbil dwarhom, abbażi ta’ kontributi magħmula mill-ambaxxati jew mill-konsulati tal-Istati Membri rrappreżentati fil-pajjiż terz ikkonċernat u l-awtoritajiet konsulari tal-Istati Membri mhux rappreżentati. Il-pjanijiet ta’ kontinġenza konsulari konġunti għandhom ikunu disponibbli għall-Istati Membri kollha, għas-SEAE u għas-servizzi tal-Kummissjoni.</w:t>
      </w:r>
    </w:p>
    <w:p w14:paraId="32FD8E12" w14:textId="0454DC1C" w:rsidR="0035070C" w:rsidRPr="00D04088" w:rsidRDefault="008803CF" w:rsidP="006516B3">
      <w:pPr>
        <w:pStyle w:val="Text2"/>
        <w:rPr>
          <w:noProof/>
        </w:rPr>
      </w:pPr>
      <w:r w:rsidRPr="00D04088">
        <w:rPr>
          <w:noProof/>
        </w:rPr>
        <w:t>F’pajjiżi terzi fejn ma tkun preżenti l-ebda delegazzjoni tal-Unjoni, il-koordinazzjoni għandha ssir mill-President tal-kooperazzjoni konsulari lokali miftiehem skont l-Artikolu 12(3), appoġġat mis-SEAE.</w:t>
      </w:r>
    </w:p>
    <w:p w14:paraId="4440157E" w14:textId="77777777" w:rsidR="0035070C" w:rsidRPr="00D04088" w:rsidRDefault="00767297" w:rsidP="0035070C">
      <w:pPr>
        <w:pStyle w:val="Point1"/>
        <w:rPr>
          <w:noProof/>
        </w:rPr>
      </w:pPr>
      <w:r w:rsidRPr="00D04088">
        <w:rPr>
          <w:noProof/>
        </w:rPr>
        <w:t>3.</w:t>
      </w:r>
      <w:r w:rsidRPr="00D04088">
        <w:rPr>
          <w:noProof/>
        </w:rPr>
        <w:tab/>
        <w:t xml:space="preserve">Kull sena, l-Istati Membri u d-delegazzjonijiet tal-Unjoni għandhom iwettqu eżerċizzji konsulari biex jaġġornaw u jtejbu t-tħejjija u r-rispons konsulari konġunti lokali għall-kriżijiet. </w:t>
      </w:r>
    </w:p>
    <w:p w14:paraId="69854B27" w14:textId="468CC4FC" w:rsidR="0035070C" w:rsidRPr="00D04088" w:rsidRDefault="04666A6D" w:rsidP="0035070C">
      <w:pPr>
        <w:pStyle w:val="Point1"/>
        <w:rPr>
          <w:noProof/>
        </w:rPr>
      </w:pPr>
      <w:r w:rsidRPr="00D04088">
        <w:rPr>
          <w:noProof/>
        </w:rPr>
        <w:t>4.</w:t>
      </w:r>
      <w:r w:rsidRPr="00D04088">
        <w:rPr>
          <w:noProof/>
        </w:rPr>
        <w:tab/>
        <w:t>L-Istati Membri għandhom, f’konformità mal-liġi nazzjonali, jipprovdu liċ-ċittadini tagħhom il-possibbiltà li jirreġistraw mal-awtoritajiet nazzjonali kompetenti jew jinfurmawhom, b’mezzi u għodod xierqa, dwar il-vjaġġi tagħhom f’pajjiżi terzi jew dwar ir-residenza tagħhom hemmhekk.</w:t>
      </w:r>
    </w:p>
    <w:p w14:paraId="39A102D7" w14:textId="723B11DD" w:rsidR="00A93DAF" w:rsidRPr="00D04088" w:rsidRDefault="5D617959" w:rsidP="0035070C">
      <w:pPr>
        <w:pStyle w:val="Point1"/>
        <w:rPr>
          <w:noProof/>
        </w:rPr>
      </w:pPr>
      <w:r w:rsidRPr="00D04088">
        <w:rPr>
          <w:noProof/>
        </w:rPr>
        <w:t>5.</w:t>
      </w:r>
      <w:r w:rsidRPr="00D04088">
        <w:rPr>
          <w:noProof/>
        </w:rPr>
        <w:tab/>
        <w:t>L-Istati Membri għandhom jiskambjaw informazzjoni dwar il-bidliet fil-pariri tagħhom dwar l-ivvjaġġar liċ-ċittadini minn kmieni, b’mod partikolari fil-kuntest ta’ sitwazzjonijiet ta’ kriżi, u għandhom jaraw li jiżguraw konsistenza fil-livell ta’ pariri dwar l-ivvjaġġar mogħtija.”;</w:t>
      </w:r>
    </w:p>
    <w:p w14:paraId="70F6CC9E" w14:textId="22C17734" w:rsidR="005C1A8B" w:rsidRPr="00D04088" w:rsidRDefault="009252F3" w:rsidP="005C1A8B">
      <w:pPr>
        <w:pStyle w:val="Point0"/>
        <w:rPr>
          <w:noProof/>
        </w:rPr>
      </w:pPr>
      <w:r>
        <w:rPr>
          <w:noProof/>
        </w:rPr>
        <w:t>(5)</w:t>
      </w:r>
      <w:r>
        <w:rPr>
          <w:noProof/>
        </w:rPr>
        <w:tab/>
      </w:r>
      <w:r w:rsidRPr="00D04088">
        <w:rPr>
          <w:noProof/>
        </w:rPr>
        <w:t>fil-Kapitolu 2, jiddaħħal l-Artikolu 13a li ġej:</w:t>
      </w:r>
    </w:p>
    <w:p w14:paraId="4714B36C" w14:textId="77777777" w:rsidR="00C548E6" w:rsidRPr="00D04088" w:rsidRDefault="00C548E6" w:rsidP="00C548E6">
      <w:pPr>
        <w:pStyle w:val="Titrearticle"/>
        <w:rPr>
          <w:b/>
          <w:noProof/>
        </w:rPr>
      </w:pPr>
      <w:r w:rsidRPr="00D04088">
        <w:rPr>
          <w:noProof/>
        </w:rPr>
        <w:t xml:space="preserve">“Artikolu 13a </w:t>
      </w:r>
      <w:r w:rsidRPr="00D04088">
        <w:rPr>
          <w:noProof/>
        </w:rPr>
        <w:cr/>
      </w:r>
      <w:r w:rsidRPr="00D04088">
        <w:rPr>
          <w:noProof/>
        </w:rPr>
        <w:br/>
        <w:t>Rispons għall-kriżijiet</w:t>
      </w:r>
      <w:r w:rsidRPr="00D04088">
        <w:rPr>
          <w:b/>
          <w:noProof/>
        </w:rPr>
        <w:t xml:space="preserve"> </w:t>
      </w:r>
    </w:p>
    <w:p w14:paraId="003410FA" w14:textId="77777777" w:rsidR="00C548E6" w:rsidRPr="00D04088" w:rsidRDefault="00C548E6" w:rsidP="00C548E6">
      <w:pPr>
        <w:pStyle w:val="Point1"/>
        <w:rPr>
          <w:noProof/>
        </w:rPr>
      </w:pPr>
      <w:r w:rsidRPr="00D04088">
        <w:rPr>
          <w:noProof/>
        </w:rPr>
        <w:t>1.</w:t>
      </w:r>
      <w:r w:rsidRPr="00D04088">
        <w:rPr>
          <w:noProof/>
        </w:rPr>
        <w:tab/>
        <w:t>F’każ ta’ kriżi, l-Unjoni u l-Istati Membri għandhom jikkooperaw mill-qrib sabiex jiżguraw għajnuna effiċjenti liċ-ċittadini mhux rappreżentati. Huma għandhom, meta jkun possibbli, jinfurmaw lil xulxin dwar il-kapaċitajiet ta’ evakwazzjoni disponibbli fil-ħin, inkluż fil-każ ta’ operazzjonijiet fejn jintużaw assi militari.</w:t>
      </w:r>
    </w:p>
    <w:p w14:paraId="687BF905" w14:textId="7D1312C9" w:rsidR="00C548E6" w:rsidRPr="00D04088" w:rsidRDefault="00C548E6" w:rsidP="240181A2">
      <w:pPr>
        <w:pStyle w:val="Point1"/>
        <w:rPr>
          <w:noProof/>
        </w:rPr>
      </w:pPr>
      <w:r w:rsidRPr="00D04088">
        <w:rPr>
          <w:noProof/>
        </w:rPr>
        <w:t>2.</w:t>
      </w:r>
      <w:r w:rsidRPr="00D04088">
        <w:rPr>
          <w:noProof/>
        </w:rPr>
        <w:tab/>
        <w:t>Fejn meħtieġ, l-Istati Membri jistgħu jiġu appoġġati minn timijiet konsulari konġunti magħmula minn esperti mill-Istati Membri, b’mod partikolari minn Stati Membri mhux rappreżentati fil-pajjiż terz affettwat mill-kriżi, mis-servizzi tas-SEAE u tal-Kummissjoni. It-timijiet konsulari konġunti għandhom ikunu disponibbli għal skjerament rapidu f’pajjiżi terzi affettwati minn kriżi konsulari. Il-parteċipazzjoni f’timijiet konsulari konġunti għandha tkun volontarja.</w:t>
      </w:r>
    </w:p>
    <w:p w14:paraId="770D297A" w14:textId="76475C66" w:rsidR="00C548E6" w:rsidRPr="00D04088" w:rsidRDefault="00C548E6" w:rsidP="00C548E6">
      <w:pPr>
        <w:pStyle w:val="Point1"/>
        <w:rPr>
          <w:noProof/>
        </w:rPr>
      </w:pPr>
      <w:r w:rsidRPr="00D04088">
        <w:rPr>
          <w:noProof/>
        </w:rPr>
        <w:lastRenderedPageBreak/>
        <w:t>3.</w:t>
      </w:r>
      <w:r w:rsidRPr="00D04088">
        <w:rPr>
          <w:noProof/>
        </w:rPr>
        <w:tab/>
        <w:t xml:space="preserve">Fejn applikabbli, l-Istat Mexxej jew l-Istat Membru jew Stati Membri li jikkoordinaw l-għajnuna għandu jkollhom il-kontroll tal-koordinazzjoni ta’ kwalunkwe appoġġ ipprovdut liċ-ċittadini mhux rappreżentati, bl-appoġġ tal-Istati Membri l-oħra kkonċernati, id-delegazzjoni tal-Unjoni u l-amministrazzjoni ċentrali tas-SEAE. L-Istati Membri għandhom jipprovdu lill-Istat Mexxej jew lill-Istat Membru jew Stati Membri li jikkoordinaw l-għajnuna bl-informazzjoni kollha rilevanti dwar iċ-ċittadini mhux rappreżentati tagħhom li jkunu jinsabu f’sitwazzjoni ta’ kriżi. </w:t>
      </w:r>
    </w:p>
    <w:p w14:paraId="4EFD34CA" w14:textId="2BD8255D" w:rsidR="00E01E34" w:rsidRPr="00D04088" w:rsidRDefault="00C548E6" w:rsidP="00C548E6">
      <w:pPr>
        <w:pStyle w:val="Point1"/>
        <w:rPr>
          <w:noProof/>
        </w:rPr>
      </w:pPr>
      <w:r w:rsidRPr="00D04088">
        <w:rPr>
          <w:noProof/>
        </w:rPr>
        <w:t>4.</w:t>
      </w:r>
      <w:r w:rsidRPr="00D04088">
        <w:rPr>
          <w:noProof/>
        </w:rPr>
        <w:tab/>
        <w:t>Meta jipprovdu għajnuna, l-Istati Membri jistgħu jitolbu appoġġ, jekk ikun xieraq, minn strumenti tal-Unjoni bħall-istrutturi tal-ġestjoni tal-kriżijiet tas-SEAE u ċ-Ċentru ta’ Rispons għall-Kriżijiet tiegħu u l-Mekkaniżmu tal-Unjoni għall-Protezzjoni Ċivili, permezz taċ-Ċentru ta’ Koordinazzjoni tar-Reazzjoni f’każ ta’ Emerġenza stabbilit mill-Artikolu 7 tad-Deċiżjoni Nru 1313/2013/UE.”;</w:t>
      </w:r>
    </w:p>
    <w:p w14:paraId="62DF12CE" w14:textId="77777777" w:rsidR="00E01E34" w:rsidRPr="00D04088" w:rsidRDefault="00C548E6" w:rsidP="00E01E34">
      <w:pPr>
        <w:pStyle w:val="Point0"/>
        <w:rPr>
          <w:noProof/>
        </w:rPr>
      </w:pPr>
      <w:r>
        <w:rPr>
          <w:noProof/>
        </w:rPr>
        <w:t>(6)</w:t>
      </w:r>
      <w:r>
        <w:rPr>
          <w:noProof/>
        </w:rPr>
        <w:tab/>
      </w:r>
      <w:r w:rsidRPr="00D04088">
        <w:rPr>
          <w:noProof/>
        </w:rPr>
        <w:t xml:space="preserve"> jiddaħħal il-Kapitolu 2a li ġej:</w:t>
      </w:r>
    </w:p>
    <w:p w14:paraId="3A0C32E3" w14:textId="77777777" w:rsidR="00C548E6" w:rsidRPr="00D04088" w:rsidRDefault="00E01E34" w:rsidP="00E01E34">
      <w:pPr>
        <w:pStyle w:val="ChapterTitle"/>
        <w:rPr>
          <w:noProof/>
        </w:rPr>
      </w:pPr>
      <w:r w:rsidRPr="00D04088">
        <w:rPr>
          <w:noProof/>
        </w:rPr>
        <w:t xml:space="preserve">“KAPITOLU 2a </w:t>
      </w:r>
      <w:r w:rsidRPr="00D04088">
        <w:rPr>
          <w:noProof/>
        </w:rPr>
        <w:cr/>
      </w:r>
      <w:r w:rsidRPr="00D04088">
        <w:rPr>
          <w:noProof/>
        </w:rPr>
        <w:br/>
        <w:t>GĦOTI TA’ INFORMAZZJONI</w:t>
      </w:r>
    </w:p>
    <w:p w14:paraId="0108FDE5" w14:textId="77777777" w:rsidR="00C548E6" w:rsidRPr="00D04088" w:rsidRDefault="00C548E6" w:rsidP="00E01E34">
      <w:pPr>
        <w:pStyle w:val="Titrearticle"/>
        <w:rPr>
          <w:noProof/>
        </w:rPr>
      </w:pPr>
      <w:r w:rsidRPr="00D04088">
        <w:rPr>
          <w:noProof/>
        </w:rPr>
        <w:t xml:space="preserve">Artikolu 13b </w:t>
      </w:r>
      <w:r w:rsidRPr="00D04088">
        <w:rPr>
          <w:noProof/>
        </w:rPr>
        <w:cr/>
      </w:r>
      <w:r w:rsidRPr="00D04088">
        <w:rPr>
          <w:noProof/>
        </w:rPr>
        <w:br/>
        <w:t>Għoti u tixrid ta’ informazzjoni</w:t>
      </w:r>
    </w:p>
    <w:p w14:paraId="5100DBFC" w14:textId="4638F704" w:rsidR="00C548E6" w:rsidRPr="00D04088" w:rsidRDefault="00D22659" w:rsidP="00D22659">
      <w:pPr>
        <w:pStyle w:val="Point1"/>
        <w:rPr>
          <w:noProof/>
        </w:rPr>
      </w:pPr>
      <w:r w:rsidRPr="00D04088">
        <w:rPr>
          <w:noProof/>
        </w:rPr>
        <w:t>1.</w:t>
      </w:r>
      <w:r w:rsidRPr="00D04088">
        <w:rPr>
          <w:noProof/>
        </w:rPr>
        <w:tab/>
        <w:t>Mill-inqas darba fis-sena, l-Istati Membri għandhom jipprovdu lill-Kummissjoni u lir-Rappreżentant Għoli tal-Unjoni għall-Affarijiet Barranin u l-Politika ta’ Sigurtà l-informazzjoni li ġejja:</w:t>
      </w:r>
    </w:p>
    <w:p w14:paraId="29042951" w14:textId="22DA6686" w:rsidR="00C548E6" w:rsidRPr="00D04088" w:rsidRDefault="00C548E6" w:rsidP="00D22659">
      <w:pPr>
        <w:pStyle w:val="Point2"/>
        <w:rPr>
          <w:noProof/>
        </w:rPr>
      </w:pPr>
      <w:r>
        <w:rPr>
          <w:noProof/>
        </w:rPr>
        <w:t>(a)</w:t>
      </w:r>
      <w:r>
        <w:rPr>
          <w:noProof/>
        </w:rPr>
        <w:tab/>
      </w:r>
      <w:r w:rsidRPr="00D04088">
        <w:rPr>
          <w:noProof/>
        </w:rPr>
        <w:t>listi aġġornati ta’ kuntatti għan-networks konsulari tagħhom;</w:t>
      </w:r>
    </w:p>
    <w:p w14:paraId="1FB1D468" w14:textId="2F9BF853" w:rsidR="00C548E6" w:rsidRPr="00D04088" w:rsidRDefault="00C548E6" w:rsidP="00D22659">
      <w:pPr>
        <w:pStyle w:val="Point2"/>
        <w:rPr>
          <w:noProof/>
        </w:rPr>
      </w:pPr>
      <w:r>
        <w:rPr>
          <w:noProof/>
        </w:rPr>
        <w:t>(b)</w:t>
      </w:r>
      <w:r>
        <w:rPr>
          <w:noProof/>
        </w:rPr>
        <w:tab/>
      </w:r>
      <w:r w:rsidRPr="00D04088">
        <w:rPr>
          <w:noProof/>
        </w:rPr>
        <w:t>listi ta’ pajjiżi terzi meta jkunu rappreżentati minn Stat Membru ieħor jew meta jirrappreżentaw Stat Membru ieħor fuq bażi permanenti f’konformità mal-Artikolu 7(2);</w:t>
      </w:r>
    </w:p>
    <w:p w14:paraId="042E544E" w14:textId="77777777" w:rsidR="00C548E6" w:rsidRPr="00D04088" w:rsidRDefault="00C548E6" w:rsidP="00D22659">
      <w:pPr>
        <w:pStyle w:val="Point2"/>
        <w:rPr>
          <w:noProof/>
        </w:rPr>
      </w:pPr>
      <w:r>
        <w:rPr>
          <w:noProof/>
        </w:rPr>
        <w:t>(c)</w:t>
      </w:r>
      <w:r>
        <w:rPr>
          <w:noProof/>
        </w:rPr>
        <w:tab/>
      </w:r>
      <w:r w:rsidRPr="00D04088">
        <w:rPr>
          <w:noProof/>
        </w:rPr>
        <w:t>arranġamenti prattiċi konklużi skont l-Artikolu 7(2);</w:t>
      </w:r>
    </w:p>
    <w:p w14:paraId="0064E27F" w14:textId="77777777" w:rsidR="00C548E6" w:rsidRPr="00D04088" w:rsidRDefault="00C548E6" w:rsidP="00D22659">
      <w:pPr>
        <w:pStyle w:val="Point2"/>
        <w:rPr>
          <w:noProof/>
        </w:rPr>
      </w:pPr>
      <w:r>
        <w:rPr>
          <w:noProof/>
        </w:rPr>
        <w:t>(d)</w:t>
      </w:r>
      <w:r>
        <w:rPr>
          <w:noProof/>
        </w:rPr>
        <w:tab/>
      </w:r>
      <w:r w:rsidRPr="00D04088">
        <w:rPr>
          <w:noProof/>
        </w:rPr>
        <w:t>l-għadd ta’ ċittadini mhux rappreżentati li jkunu ngħataw il-protezzjoni konsulari msemmija fl-Artikolu 2 matul is-sena ta’ qabel, imqassma skont iċ-ċittadinanza u l-pajjiż terz;</w:t>
      </w:r>
    </w:p>
    <w:p w14:paraId="3951D16B" w14:textId="77777777" w:rsidR="00C548E6" w:rsidRPr="00D04088" w:rsidRDefault="00C548E6" w:rsidP="00D22659">
      <w:pPr>
        <w:pStyle w:val="Point2"/>
        <w:rPr>
          <w:noProof/>
        </w:rPr>
      </w:pPr>
      <w:r>
        <w:rPr>
          <w:noProof/>
        </w:rPr>
        <w:t>(e)</w:t>
      </w:r>
      <w:r>
        <w:rPr>
          <w:noProof/>
        </w:rPr>
        <w:tab/>
      </w:r>
      <w:r w:rsidRPr="00D04088">
        <w:rPr>
          <w:noProof/>
        </w:rPr>
        <w:t>l-għadd ta’ talbiet għal rimborż sottomessi u riċevuti skont l-Artikoli 14 u 15 matul is-sena preċedenti.</w:t>
      </w:r>
    </w:p>
    <w:p w14:paraId="5157EACF" w14:textId="7FF328A2" w:rsidR="00231D8C" w:rsidRPr="00D04088" w:rsidRDefault="00231D8C" w:rsidP="00BF6873">
      <w:pPr>
        <w:pStyle w:val="Text2"/>
        <w:rPr>
          <w:noProof/>
        </w:rPr>
      </w:pPr>
      <w:r w:rsidRPr="00D04088">
        <w:rPr>
          <w:noProof/>
        </w:rPr>
        <w:t>Meta Stat Membru jkun iddeċieda, skont l-Artikolu 2(2), li japplika din id-Direttiva għall-protezzjoni konsulari pprovduta minn konsli onorarji, il-lista msemmija fil-punt (a) għandha tinkludi konsli onorarji kif ukoll informazzjoni dwar sa liema punt il-konsli onorarji huma kompetenti biex jipprovdu protezzjoni f’każ partikolari, b’mod partikolari jekk għandhomx is-setgħa li joħorġu Dokumenti Provviżorji tal-Ivvjaġġar tal-UE.</w:t>
      </w:r>
    </w:p>
    <w:p w14:paraId="12DBC0F4" w14:textId="1937DD9E" w:rsidR="00C548E6" w:rsidRPr="00D04088" w:rsidRDefault="00D22659" w:rsidP="00D22659">
      <w:pPr>
        <w:pStyle w:val="Point1"/>
        <w:rPr>
          <w:noProof/>
        </w:rPr>
      </w:pPr>
      <w:r w:rsidRPr="00D04088">
        <w:rPr>
          <w:noProof/>
        </w:rPr>
        <w:t>2.</w:t>
      </w:r>
      <w:r w:rsidRPr="00D04088">
        <w:rPr>
          <w:noProof/>
        </w:rPr>
        <w:tab/>
        <w:t xml:space="preserve">L-Istati Membri, is-servizzi tal-Kummissjoni u s-SEAE għandhom jagħmlu l-informazzjoni msemmija fil-punti (a), (b) u (c) tal-ewwel paragrafu, </w:t>
      </w:r>
      <w:r w:rsidRPr="00D04088">
        <w:rPr>
          <w:noProof/>
        </w:rPr>
        <w:lastRenderedPageBreak/>
        <w:t xml:space="preserve">disponibbli għall-pubbliku </w:t>
      </w:r>
      <w:bookmarkStart w:id="4" w:name="_Hlk144126924"/>
      <w:r w:rsidRPr="00D04088">
        <w:rPr>
          <w:noProof/>
        </w:rPr>
        <w:t>b’mod li jiżgura l-koerenza tal-informazzjoni pprovduta</w:t>
      </w:r>
      <w:bookmarkEnd w:id="4"/>
      <w:r w:rsidRPr="00D04088">
        <w:rPr>
          <w:noProof/>
        </w:rPr>
        <w:t xml:space="preserve">. </w:t>
      </w:r>
    </w:p>
    <w:p w14:paraId="138612A8" w14:textId="77777777" w:rsidR="00C548E6" w:rsidRPr="00D04088" w:rsidRDefault="00D22659" w:rsidP="00D22659">
      <w:pPr>
        <w:pStyle w:val="Point1"/>
        <w:rPr>
          <w:noProof/>
        </w:rPr>
      </w:pPr>
      <w:r w:rsidRPr="00D04088">
        <w:rPr>
          <w:noProof/>
        </w:rPr>
        <w:t>3.</w:t>
      </w:r>
      <w:r w:rsidRPr="00D04088">
        <w:rPr>
          <w:noProof/>
        </w:rPr>
        <w:tab/>
        <w:t>Meta jintalbu mill-Kummissjoni, l-Istati Membri għandhom jipprovdu l-informazzjoni msemmija fil-paragrafu 1 f’format li jinqara minn magna.</w:t>
      </w:r>
    </w:p>
    <w:p w14:paraId="19866B7C" w14:textId="77777777" w:rsidR="00C548E6" w:rsidRPr="00D04088" w:rsidRDefault="00D22659" w:rsidP="00D22659">
      <w:pPr>
        <w:pStyle w:val="Point1"/>
        <w:rPr>
          <w:noProof/>
        </w:rPr>
      </w:pPr>
      <w:r w:rsidRPr="00D04088">
        <w:rPr>
          <w:noProof/>
        </w:rPr>
        <w:t>4.</w:t>
      </w:r>
      <w:r w:rsidRPr="00D04088">
        <w:rPr>
          <w:noProof/>
        </w:rPr>
        <w:tab/>
        <w:t>Il-Kummissjoni tista’ tadotta atti ta’ implimentazzjoni li jistabbilixxu l-format speċifiku li jinqara minn magna li fih għandha tiġi pprovduta l-informazzjoni msemmija fil-paragrafu 1. Dawk l-atti ta’ implimentazzjoni għandhom jiġu adottati f’konformità mal-proċedura ta’ eżami msemmija fl-Artikolu 15a(2).</w:t>
      </w:r>
    </w:p>
    <w:p w14:paraId="54D62D37" w14:textId="77777777" w:rsidR="00C548E6" w:rsidRPr="00D04088" w:rsidRDefault="00C548E6" w:rsidP="00D22659">
      <w:pPr>
        <w:pStyle w:val="Titrearticle"/>
        <w:rPr>
          <w:noProof/>
        </w:rPr>
      </w:pPr>
      <w:r w:rsidRPr="00D04088">
        <w:rPr>
          <w:noProof/>
        </w:rPr>
        <w:t xml:space="preserve">Artikolu 13c </w:t>
      </w:r>
      <w:r w:rsidRPr="00D04088">
        <w:rPr>
          <w:noProof/>
        </w:rPr>
        <w:cr/>
      </w:r>
      <w:r w:rsidRPr="00D04088">
        <w:rPr>
          <w:noProof/>
        </w:rPr>
        <w:br/>
        <w:t>Informazzjoni liċ-ċittadini tal-Unjoni</w:t>
      </w:r>
    </w:p>
    <w:p w14:paraId="37918786" w14:textId="0D1F8765" w:rsidR="00C548E6" w:rsidRPr="00D04088" w:rsidRDefault="00CD055E" w:rsidP="00CD055E">
      <w:pPr>
        <w:pStyle w:val="Point1"/>
        <w:rPr>
          <w:noProof/>
        </w:rPr>
      </w:pPr>
      <w:r w:rsidRPr="00D04088">
        <w:rPr>
          <w:noProof/>
        </w:rPr>
        <w:t>1.</w:t>
      </w:r>
      <w:r w:rsidRPr="00D04088">
        <w:rPr>
          <w:noProof/>
        </w:rPr>
        <w:tab/>
        <w:t>L-Istati Membri għandhom jieħdu miżuri biex jinfurmaw liċ-ċittadini tagħhom bid-dritt tagħhom stabbilit fl-Artikolu 20(2), il-punt (c), tat-TFUE. Dan jista’ jinkludi b’mod partikolari l-miżuri li ġejjin:</w:t>
      </w:r>
    </w:p>
    <w:p w14:paraId="6508F2C6" w14:textId="200B5F0A" w:rsidR="00C548E6" w:rsidRPr="00D04088" w:rsidRDefault="00C548E6" w:rsidP="00E76033">
      <w:pPr>
        <w:pStyle w:val="Point2"/>
        <w:rPr>
          <w:noProof/>
        </w:rPr>
      </w:pPr>
      <w:r>
        <w:rPr>
          <w:noProof/>
        </w:rPr>
        <w:t>(a)</w:t>
      </w:r>
      <w:r>
        <w:rPr>
          <w:noProof/>
        </w:rPr>
        <w:tab/>
      </w:r>
      <w:r w:rsidRPr="00D04088">
        <w:rPr>
          <w:noProof/>
        </w:rPr>
        <w:t>ir-riproduzzjoni tal-Artikolu 23, l-ewwel sentenza, tat-TFUE fuq il-passaporti nazzjonali;</w:t>
      </w:r>
    </w:p>
    <w:p w14:paraId="235680A1" w14:textId="77777777" w:rsidR="00C548E6" w:rsidRPr="00D04088" w:rsidRDefault="00C548E6" w:rsidP="00CD055E">
      <w:pPr>
        <w:pStyle w:val="Point2"/>
        <w:rPr>
          <w:noProof/>
        </w:rPr>
      </w:pPr>
      <w:r>
        <w:rPr>
          <w:noProof/>
        </w:rPr>
        <w:t>(b)</w:t>
      </w:r>
      <w:r>
        <w:rPr>
          <w:noProof/>
        </w:rPr>
        <w:tab/>
      </w:r>
      <w:r w:rsidRPr="00D04088">
        <w:rPr>
          <w:noProof/>
        </w:rPr>
        <w:t>l-inklużjoni ta’ informazzjoni dwar id-dritt għall-protezzjoni konsulari fil-pariri dwar l-ivvjaġġar u fil-kampanji relatati mal-protezzjoni konsulari;</w:t>
      </w:r>
    </w:p>
    <w:p w14:paraId="48916D24" w14:textId="77777777" w:rsidR="00C548E6" w:rsidRPr="00D04088" w:rsidRDefault="00C548E6" w:rsidP="00CD055E">
      <w:pPr>
        <w:pStyle w:val="Point2"/>
        <w:rPr>
          <w:noProof/>
        </w:rPr>
      </w:pPr>
      <w:r>
        <w:rPr>
          <w:noProof/>
        </w:rPr>
        <w:t>(c)</w:t>
      </w:r>
      <w:r>
        <w:rPr>
          <w:noProof/>
        </w:rPr>
        <w:tab/>
      </w:r>
      <w:r w:rsidRPr="00D04088">
        <w:rPr>
          <w:noProof/>
        </w:rPr>
        <w:t>kooperazzjoni dwar kampanji ta’ informazzjoni ma’ fornituri ta’ servizzi tat-trasport tal-passiġġieri u ċentri tat-trasport li joffru vjaġġar lejn pajjiżi terzi.</w:t>
      </w:r>
    </w:p>
    <w:p w14:paraId="0E14D0F4" w14:textId="630CA40B" w:rsidR="005E145D" w:rsidRPr="00D04088" w:rsidRDefault="00CD055E" w:rsidP="00CD055E">
      <w:pPr>
        <w:pStyle w:val="Point1"/>
        <w:rPr>
          <w:noProof/>
        </w:rPr>
      </w:pPr>
      <w:r w:rsidRPr="00D04088">
        <w:rPr>
          <w:noProof/>
        </w:rPr>
        <w:t>2.</w:t>
      </w:r>
      <w:r w:rsidRPr="00D04088">
        <w:rPr>
          <w:noProof/>
        </w:rPr>
        <w:tab/>
        <w:t>Is-servizzi tal-Kummissjoni u s-SEAE għandhom jikkontribwixxu biex jinfurmaw liċ-ċittadini tal-Unjoni dwar id-dritt tagħhom għall-protezzjoni konsulari.”;</w:t>
      </w:r>
    </w:p>
    <w:p w14:paraId="4FA0D012" w14:textId="77777777" w:rsidR="001474F2" w:rsidRPr="00D04088" w:rsidRDefault="001474F2" w:rsidP="001474F2">
      <w:pPr>
        <w:pStyle w:val="Point0"/>
        <w:rPr>
          <w:noProof/>
        </w:rPr>
      </w:pPr>
      <w:r>
        <w:rPr>
          <w:noProof/>
        </w:rPr>
        <w:t>(7)</w:t>
      </w:r>
      <w:r>
        <w:rPr>
          <w:noProof/>
        </w:rPr>
        <w:tab/>
      </w:r>
      <w:r w:rsidRPr="00D04088">
        <w:rPr>
          <w:noProof/>
        </w:rPr>
        <w:t>L-Artikoli 14 u 15 huma sostitwiti b’dan li ġej:</w:t>
      </w:r>
    </w:p>
    <w:p w14:paraId="675B1B8D" w14:textId="77777777" w:rsidR="00792772" w:rsidRPr="00D04088" w:rsidRDefault="00792772" w:rsidP="00792772">
      <w:pPr>
        <w:pStyle w:val="Titrearticle"/>
        <w:rPr>
          <w:noProof/>
        </w:rPr>
      </w:pPr>
      <w:r w:rsidRPr="00D04088">
        <w:rPr>
          <w:noProof/>
        </w:rPr>
        <w:t xml:space="preserve">“Artikolu 14 </w:t>
      </w:r>
      <w:r w:rsidRPr="00D04088">
        <w:rPr>
          <w:noProof/>
        </w:rPr>
        <w:cr/>
      </w:r>
      <w:r w:rsidRPr="00D04088">
        <w:rPr>
          <w:noProof/>
        </w:rPr>
        <w:br/>
        <w:t xml:space="preserve">Regoli ġenerali </w:t>
      </w:r>
    </w:p>
    <w:p w14:paraId="14A9E53D" w14:textId="7A4B0151" w:rsidR="00792772" w:rsidRPr="00D04088" w:rsidRDefault="00C62C91" w:rsidP="00CA59B5">
      <w:pPr>
        <w:pStyle w:val="Point1"/>
        <w:rPr>
          <w:noProof/>
        </w:rPr>
      </w:pPr>
      <w:r w:rsidRPr="00D04088">
        <w:rPr>
          <w:noProof/>
        </w:rPr>
        <w:t>1.</w:t>
      </w:r>
      <w:r w:rsidRPr="00D04088">
        <w:rPr>
          <w:noProof/>
        </w:rPr>
        <w:tab/>
        <w:t>Kwalunkwe kost impost minn Stat Membru li jassisti għall-għoti ta’ protezzjoni konsulari liċ-ċittadini mhux rappreżentati għandha tkun l-istess bħall-kostijiet li jitlob lin-nazzjonali tiegħu stess.</w:t>
      </w:r>
    </w:p>
    <w:p w14:paraId="54CC1F43" w14:textId="0F835D22" w:rsidR="00792772" w:rsidRPr="00D04088" w:rsidRDefault="00E3323F" w:rsidP="00C62C91">
      <w:pPr>
        <w:pStyle w:val="Point1"/>
        <w:rPr>
          <w:noProof/>
        </w:rPr>
      </w:pPr>
      <w:r w:rsidRPr="00D04088">
        <w:rPr>
          <w:noProof/>
        </w:rPr>
        <w:t>2.</w:t>
      </w:r>
      <w:r w:rsidRPr="00D04088">
        <w:rPr>
          <w:noProof/>
        </w:rPr>
        <w:tab/>
        <w:t xml:space="preserve">Jekk ċittadin mhux rappreżentat ma jkunx jista’ jħallas il-kostijiet imsemmija fil-paragrafu 1 lill-Istat Membru li jassisti meta jagħmel talba għal għajnuna, l-Istat Membru li jassisti jista’ jitlob liċ-ċittadin mhux rappreżentat jiffirma impenn li jħallas lura. Fuq dik il-bażi, l-Istat Membru li jassisti jista’ jitlob liċ-ċittadin mhux rappreżentat ikkonċernat biex iħallas dawn il-kostijiet ladarba jkunu għaddew 4 ġimgħat minn meta tkun ġiet ipprovduta l-għajnuna. </w:t>
      </w:r>
    </w:p>
    <w:p w14:paraId="35D83FD5" w14:textId="77777777" w:rsidR="00792772" w:rsidRPr="00D04088" w:rsidRDefault="00792772" w:rsidP="008A62E4">
      <w:pPr>
        <w:pStyle w:val="Text2"/>
        <w:rPr>
          <w:noProof/>
        </w:rPr>
      </w:pPr>
      <w:r w:rsidRPr="00D04088">
        <w:rPr>
          <w:noProof/>
        </w:rPr>
        <w:t>Il-fatt li ċittadin mhux rappreżentat ma jkunx jista’ jħallas il-kostijiet imsemmija fil-paragrafu 1 meta jagħmel talba għal għajnuna ma għandux jaffettwa d-dritt tiegħu li jirċievi protezzjoni konsulari.</w:t>
      </w:r>
    </w:p>
    <w:p w14:paraId="441596D6" w14:textId="32391C3B" w:rsidR="00792772" w:rsidRPr="00D04088" w:rsidRDefault="00E3323F" w:rsidP="00C62C91">
      <w:pPr>
        <w:pStyle w:val="Point1"/>
        <w:rPr>
          <w:noProof/>
        </w:rPr>
      </w:pPr>
      <w:r w:rsidRPr="00D04088">
        <w:rPr>
          <w:noProof/>
        </w:rPr>
        <w:t>3.</w:t>
      </w:r>
      <w:r w:rsidRPr="00D04088">
        <w:rPr>
          <w:noProof/>
        </w:rPr>
        <w:tab/>
        <w:t xml:space="preserve">Jekk ċittadin mhux rappreżentat li lilu tkun ingħatat protezzjoni konsulari ma jkunx ħallas il-kostijiet imsemmija fil-paragrafu 1, la meta jagħmel talba għal </w:t>
      </w:r>
      <w:r w:rsidRPr="00D04088">
        <w:rPr>
          <w:noProof/>
        </w:rPr>
        <w:lastRenderedPageBreak/>
        <w:t>għajnuna u lanqas meta jkun intalab jagħmel dan mill-Istat Membru li jassisti skont il-paragrafu 2, l-Istat Membru li jassisti jista’, fi żmien 12-il xahar mid-data tal-iffirmar tal-impenn ta’ ħlas lura tal-kostijiet imsemmija fil-paragrafu 2, jitlob il-ħlas tal-kostijiet mill-Istat Membru tan-nazzjonalità taċ-ċittadin mhux rappreżentat.</w:t>
      </w:r>
    </w:p>
    <w:p w14:paraId="0B485C06" w14:textId="45D39A7C" w:rsidR="00792772" w:rsidRPr="00D04088" w:rsidRDefault="00792772" w:rsidP="008A62E4">
      <w:pPr>
        <w:pStyle w:val="Text2"/>
        <w:rPr>
          <w:noProof/>
        </w:rPr>
      </w:pPr>
      <w:r w:rsidRPr="00D04088">
        <w:rPr>
          <w:noProof/>
        </w:rPr>
        <w:t xml:space="preserve">L-Istat Membru taċ-ċittadinanza taċ-ċittadin mhux rappreżentat għandu jirrimborża dawk il-kostijiet f’perjodu raġonevoli ta’ żmien li ma jkunx aktar minn 12-il xahar mid-data tat-talba. L-Istat Membru taċ-ċittadinanza taċ-ċittadin mhux rappreżentat jista’ jitlob liċ-ċittadin ikkonċernat iħallas lura dawn il-kostijiet. </w:t>
      </w:r>
    </w:p>
    <w:p w14:paraId="71FF0235" w14:textId="53FCCBD0" w:rsidR="00792772" w:rsidRPr="00D04088" w:rsidRDefault="00E3323F" w:rsidP="00C62C91">
      <w:pPr>
        <w:pStyle w:val="Point1"/>
        <w:rPr>
          <w:noProof/>
        </w:rPr>
      </w:pPr>
      <w:r w:rsidRPr="00D04088">
        <w:rPr>
          <w:noProof/>
        </w:rPr>
        <w:t>4.</w:t>
      </w:r>
      <w:r w:rsidRPr="00D04088">
        <w:rPr>
          <w:noProof/>
        </w:rPr>
        <w:tab/>
        <w:t>Meta l-protezzjoni konsulari pprovduta lil ċittadin mhux rappreżentat tkun tinvolvi kostijiet relatati mal-ivvjaġġar, l-akkomodazzjoni jew it-traduzzjoni għall-awtoritajiet diplomatiċi jew konsulari, li jkunu ogħla mis-soltu iżda essenzjali u ġustifikati, l-Istat Membru li jassisti jista’ jitlob ir-rimborż ta’ dawn il-kostijiet, fi żmien 12-il xahar mill-għajnuna pprovduta, direttament mill-Istat Membru tan-nazzjonalità taċ-ċittadin mhux rappreżentat, li għandu jirrimborżahom f’perjodu ta’ żmien raġonevoli, li ma jaqbiżx it-12-il xahar.</w:t>
      </w:r>
    </w:p>
    <w:p w14:paraId="5F0495A7" w14:textId="558DD68D" w:rsidR="00792772" w:rsidRPr="00D04088" w:rsidRDefault="00E3323F" w:rsidP="00C62C91">
      <w:pPr>
        <w:pStyle w:val="Point1"/>
        <w:rPr>
          <w:noProof/>
        </w:rPr>
      </w:pPr>
      <w:r w:rsidRPr="00D04088">
        <w:rPr>
          <w:noProof/>
        </w:rPr>
        <w:t>5.</w:t>
      </w:r>
      <w:r w:rsidRPr="00D04088">
        <w:rPr>
          <w:noProof/>
        </w:rPr>
        <w:tab/>
        <w:t>L-Istati Membri għandhom jirrimborżaw lid-delegazzjonijiet tal-Unjoni għall-appoġġ tagħhom fl-għoti ta’ protezzjoni konsulari liċ-ċittadini mhux rappreżentati. F’dak il-każ, ir-rimborż tal-kostijiet mill-Istat Membru tan-nazzjonalità taċ-ċittadin għandu jiżgura li l-appoġġ ipprovdut mid-delegazzjonijiet tal-Unjoni jkun fuq bażi newtrali fir-rigward ta’ riżorsi.</w:t>
      </w:r>
    </w:p>
    <w:p w14:paraId="4DEDFECF" w14:textId="52A15D8B" w:rsidR="00792772" w:rsidRPr="00D04088" w:rsidRDefault="00E3323F" w:rsidP="00C62C91">
      <w:pPr>
        <w:pStyle w:val="Point1"/>
        <w:rPr>
          <w:noProof/>
        </w:rPr>
      </w:pPr>
      <w:r w:rsidRPr="00D04088">
        <w:rPr>
          <w:noProof/>
        </w:rPr>
        <w:t>6.</w:t>
      </w:r>
      <w:r w:rsidRPr="00D04088">
        <w:rPr>
          <w:noProof/>
        </w:rPr>
        <w:tab/>
        <w:t>Il-Kummissjoni tista’ tadotta atti ta’ implimentazzjoni li jistabbilixxu formoli standard li għandhom jintużaw għall-impenn ta’ ħlas lura imsemmi fil-paragrafu 2 u għall-ħlas lura tal-kostijiet mill-Istat Membru tan-nazzjonalità msemmi fil-paragrafu 3. Dawk l-atti ta’ implimentazzjoni għandhom jiġu adottati f’konformità mal-proċedura ta’ eżami msemmija fl-Artikolu 15a(2).</w:t>
      </w:r>
    </w:p>
    <w:p w14:paraId="3E552E8E" w14:textId="77777777" w:rsidR="00792772" w:rsidRPr="00D04088" w:rsidRDefault="00792772" w:rsidP="004F5FD1">
      <w:pPr>
        <w:pStyle w:val="Titrearticle"/>
        <w:rPr>
          <w:noProof/>
        </w:rPr>
      </w:pPr>
      <w:r w:rsidRPr="00D04088">
        <w:rPr>
          <w:noProof/>
        </w:rPr>
        <w:t xml:space="preserve">Artikolu 15 </w:t>
      </w:r>
      <w:r w:rsidRPr="00D04088">
        <w:rPr>
          <w:noProof/>
        </w:rPr>
        <w:cr/>
      </w:r>
      <w:r w:rsidRPr="00D04088">
        <w:rPr>
          <w:noProof/>
        </w:rPr>
        <w:br/>
        <w:t xml:space="preserve">Proċedura ffaċilitata f’sitwazzjonijiet ta’ kriżi </w:t>
      </w:r>
    </w:p>
    <w:p w14:paraId="64E7D1E1" w14:textId="138E84C0" w:rsidR="00792772" w:rsidRPr="00D04088" w:rsidRDefault="004F5FD1" w:rsidP="004F5FD1">
      <w:pPr>
        <w:pStyle w:val="Point1"/>
        <w:rPr>
          <w:noProof/>
        </w:rPr>
      </w:pPr>
      <w:r w:rsidRPr="00D04088">
        <w:rPr>
          <w:noProof/>
        </w:rPr>
        <w:t>1.</w:t>
      </w:r>
      <w:r w:rsidRPr="00D04088">
        <w:rPr>
          <w:noProof/>
        </w:rPr>
        <w:tab/>
        <w:t xml:space="preserve">F’sitwazzjonijiet ta’ kriżi, u sakemm il-kostijiet tal-appoġġ ipprovdut ma jkunux diġà tħallsu lura direttament miċ-ċittadin mhux rappreżentat, l-Istat Membru li jassisti jista’ jitlob rimborż tal-kostijiet mill-Istat Membru tan-nazzjonalità taċ-ċittadin mhux rappreżentat anke jekk iċ-ċittadin mhux rappreżentat ma jkunx iffirma impenn ta’ ħlas lura skont l-Artikolu 14(2). Dan ma għandux iwaqqaf lill-Istat Membru tan-nazzjonalità taċ-ċittadin mhux rappreżentat milli jitlob ħlas lura miċ-ċittadin mhux rappreżentat ikkonċernat fuq il-bażi tar-regoli nazzjonali. </w:t>
      </w:r>
    </w:p>
    <w:p w14:paraId="2C6B8BD7" w14:textId="1EC054A8" w:rsidR="00D40F93" w:rsidRPr="00D04088" w:rsidRDefault="004F5FD1" w:rsidP="004F5FD1">
      <w:pPr>
        <w:pStyle w:val="Point1"/>
        <w:rPr>
          <w:noProof/>
        </w:rPr>
      </w:pPr>
      <w:r w:rsidRPr="00D04088">
        <w:rPr>
          <w:noProof/>
        </w:rPr>
        <w:t>2.</w:t>
      </w:r>
      <w:r w:rsidRPr="00D04088">
        <w:rPr>
          <w:noProof/>
        </w:rPr>
        <w:tab/>
        <w:t>L-Istat Membru li jassisti jista’ jitlob lill-Istat Membru tan-nazzjonalità taċ-ċittadin mhux rappreżentat biex jirrimborża l-kostijiet imsemmija fl-ewwel paragrafu fuq bażi prorata, billi jiddividi l-valur sħiħ tal-kostijiet effettivi mġarrba bl-għadd ta’ ċittadini assistiti.</w:t>
      </w:r>
    </w:p>
    <w:p w14:paraId="34E08E8C" w14:textId="5D8778C3" w:rsidR="00792772" w:rsidRPr="00D04088" w:rsidRDefault="004F5FD1" w:rsidP="004F5FD1">
      <w:pPr>
        <w:pStyle w:val="Point1"/>
        <w:rPr>
          <w:noProof/>
        </w:rPr>
      </w:pPr>
      <w:r w:rsidRPr="00D04088">
        <w:rPr>
          <w:noProof/>
        </w:rPr>
        <w:t>3.</w:t>
      </w:r>
      <w:r w:rsidRPr="00D04088">
        <w:rPr>
          <w:noProof/>
        </w:rPr>
        <w:tab/>
        <w:t xml:space="preserve">Meta, fis-sitwazzjonijiet ta’ kriżi msemmija fl-ewwel paragrafu, ma jkunx possibbli jew fattibbli fil-prattika li ssir distinzjoni bejn ċittadini rappreżentati u mhux rappreżentati, u meta l-possibbiltà li tingħata għajnuna liċ-ċittadini mhux rappreżentati teħtieġ jew timplika għajnuna wkoll liċ-ċittadini li jistgħu jkunu </w:t>
      </w:r>
      <w:r w:rsidRPr="00D04088">
        <w:rPr>
          <w:noProof/>
        </w:rPr>
        <w:lastRenderedPageBreak/>
        <w:t>rappreżentati, il-proċedura fil-paragrafi 1 u 2 għandha tapplika wkoll għall-protezzjoni konsulari pprovduta mill-Istat Membru li jassisti liċ-ċittadini rappreżentati ta’ Stat Membru ieħor f’sitwazzjonijiet ta’ kriżi.</w:t>
      </w:r>
    </w:p>
    <w:p w14:paraId="12B1E912" w14:textId="13939BD3" w:rsidR="00FD7DD7" w:rsidRPr="00D04088" w:rsidRDefault="00393534" w:rsidP="000074C4">
      <w:pPr>
        <w:pStyle w:val="Point1"/>
        <w:rPr>
          <w:noProof/>
        </w:rPr>
      </w:pPr>
      <w:r w:rsidRPr="00D04088">
        <w:rPr>
          <w:noProof/>
        </w:rPr>
        <w:t>4.</w:t>
      </w:r>
      <w:r w:rsidRPr="00D04088">
        <w:rPr>
          <w:noProof/>
        </w:rPr>
        <w:tab/>
        <w:t>Il-paragrafi 1, 2 u 3 għandhom japplikaw ukoll għal sitwazzjonijiet fejn delegazzjoni tal-Unjoni tkun appoġġat lil Stat Membru fl-għoti ta’ protezzjoni konsulari. F’dak il-każ, ir-rimborż tal-kostijiet mill-Istat Membru tan-nazzjonalità taċ-ċittadin għandu jiżgura li l-appoġġ ipprovdut mid-delegazzjonijiet tal-Unjoni jkun fuq bażi newtrali fir-rigward ta’ riżorsi.</w:t>
      </w:r>
    </w:p>
    <w:p w14:paraId="3AE9C862" w14:textId="470EA6ED" w:rsidR="005C1A8B" w:rsidRPr="00D04088" w:rsidRDefault="00FD7DD7" w:rsidP="000074C4">
      <w:pPr>
        <w:pStyle w:val="Point1"/>
        <w:rPr>
          <w:noProof/>
        </w:rPr>
      </w:pPr>
      <w:r w:rsidRPr="00D04088">
        <w:rPr>
          <w:noProof/>
        </w:rPr>
        <w:t xml:space="preserve">5. </w:t>
      </w:r>
      <w:r w:rsidRPr="00D04088">
        <w:rPr>
          <w:noProof/>
        </w:rPr>
        <w:tab/>
        <w:t>Ir-rimborżi mitluba skont il-paragrafi 1, 2 u 3 għandhom jitqiesu fid-determinazzjoni ta’ kwalunkwe kontribuzzjoni tal-Mekkaniżmu tal-Unjoni għall-Protezzjoni Ċivili, f’konformità mad-Deċiżjoni Nru 1313/2013/UE, għall-għoti ta’ appoġġ għall-protezzjoni ċivili għall-għajnuna konsulari liċ-ċittadini tal-Unjoni f’diżastri f’pajjiżi terzi.”;</w:t>
      </w:r>
    </w:p>
    <w:p w14:paraId="35B919D7" w14:textId="2B99B2CC" w:rsidR="008F0084" w:rsidRPr="00D04088" w:rsidRDefault="003540A9" w:rsidP="008F0084">
      <w:pPr>
        <w:pStyle w:val="Point0"/>
        <w:rPr>
          <w:noProof/>
        </w:rPr>
      </w:pPr>
      <w:r>
        <w:rPr>
          <w:noProof/>
        </w:rPr>
        <w:t>(8)</w:t>
      </w:r>
      <w:r>
        <w:rPr>
          <w:noProof/>
        </w:rPr>
        <w:tab/>
      </w:r>
      <w:r w:rsidRPr="00D04088">
        <w:rPr>
          <w:noProof/>
        </w:rPr>
        <w:t>fil-Kapitolu 4, jiddaħħal l-Artikolu 15a li ġej:</w:t>
      </w:r>
    </w:p>
    <w:p w14:paraId="19211677" w14:textId="77777777" w:rsidR="00916CF8" w:rsidRPr="00D04088" w:rsidRDefault="00DE04BA" w:rsidP="00916CF8">
      <w:pPr>
        <w:pStyle w:val="Titrearticle"/>
        <w:rPr>
          <w:noProof/>
        </w:rPr>
      </w:pPr>
      <w:r w:rsidRPr="00D04088">
        <w:rPr>
          <w:noProof/>
        </w:rPr>
        <w:t xml:space="preserve">“Artikolu 15a </w:t>
      </w:r>
      <w:r w:rsidRPr="00D04088">
        <w:rPr>
          <w:noProof/>
        </w:rPr>
        <w:cr/>
      </w:r>
      <w:r w:rsidRPr="00D04088">
        <w:rPr>
          <w:noProof/>
        </w:rPr>
        <w:br/>
        <w:t>Proċedura ta’ Kumitat</w:t>
      </w:r>
    </w:p>
    <w:p w14:paraId="2567800A" w14:textId="7CDE4C24" w:rsidR="00916CF8" w:rsidRPr="00D04088" w:rsidRDefault="00D94AE0" w:rsidP="00D94AE0">
      <w:pPr>
        <w:pStyle w:val="Point1"/>
        <w:rPr>
          <w:noProof/>
        </w:rPr>
      </w:pPr>
      <w:r w:rsidRPr="00D04088">
        <w:rPr>
          <w:noProof/>
        </w:rPr>
        <w:t>1.</w:t>
      </w:r>
      <w:r w:rsidRPr="00D04088">
        <w:rPr>
          <w:noProof/>
        </w:rPr>
        <w:tab/>
        <w:t>Il-Kummissjoni għandha tkun assistita minn kumitat. Dak il-kumitat għandu jkun kumitat skont it-tifsira tar-Regolament (UE) Nru 182/2011 tal-Parlament Ewropew u tal-Kunsill*.</w:t>
      </w:r>
    </w:p>
    <w:p w14:paraId="1D877001" w14:textId="77777777" w:rsidR="009E4929" w:rsidRPr="00D04088" w:rsidRDefault="00D94AE0" w:rsidP="00916CF8">
      <w:pPr>
        <w:pStyle w:val="Point1"/>
        <w:rPr>
          <w:noProof/>
        </w:rPr>
      </w:pPr>
      <w:r w:rsidRPr="00D04088">
        <w:rPr>
          <w:noProof/>
        </w:rPr>
        <w:t>2.</w:t>
      </w:r>
      <w:r w:rsidRPr="00D04088">
        <w:rPr>
          <w:noProof/>
        </w:rPr>
        <w:tab/>
        <w:t>Fejn issir referenza għal dan il-paragrafu, għandu japplika l-Artikolu 5 tar-Regolament (UE) Nru 182/2011.</w:t>
      </w:r>
    </w:p>
    <w:p w14:paraId="5099F89D" w14:textId="77777777" w:rsidR="009E4929" w:rsidRPr="00D04088" w:rsidRDefault="009E4929" w:rsidP="00670006">
      <w:pPr>
        <w:pStyle w:val="Text1"/>
        <w:rPr>
          <w:noProof/>
        </w:rPr>
      </w:pPr>
      <w:r w:rsidRPr="00D04088">
        <w:rPr>
          <w:noProof/>
        </w:rPr>
        <w:t>____________</w:t>
      </w:r>
    </w:p>
    <w:p w14:paraId="0EA7CAF0" w14:textId="7B879819" w:rsidR="00916CF8" w:rsidRPr="00D04088" w:rsidRDefault="009E4929" w:rsidP="00670006">
      <w:pPr>
        <w:pStyle w:val="Text1"/>
        <w:rPr>
          <w:noProof/>
        </w:rPr>
      </w:pPr>
      <w:r w:rsidRPr="00D04088">
        <w:rPr>
          <w:noProof/>
        </w:rPr>
        <w:t xml:space="preserve">* Ir-Regolament (UE) Nru 182/2011 tal-Parlament Ewropew u tal-Kunsill tas-16 ta’ Frar 2011 li jistabbilixxi r-regoli u l-prinċipji ġenerali dwar il-modalitajiet ta’ kontroll mill-Istati Membri tal-eżerċizzju mill-Kummissjoni tas-setgħat ta’ implimentazzjoni (ĠU L 55, 28.2.2011, p. 13, ELI: </w:t>
      </w:r>
      <w:hyperlink r:id="rId20" w:history="1">
        <w:r w:rsidRPr="00D04088">
          <w:rPr>
            <w:rStyle w:val="Hyperlink"/>
            <w:noProof/>
          </w:rPr>
          <w:t>http://data.europa.eu/eli/reg/2011/182/oj</w:t>
        </w:r>
      </w:hyperlink>
      <w:r w:rsidRPr="00D04088">
        <w:rPr>
          <w:noProof/>
        </w:rPr>
        <w:t>).’;</w:t>
      </w:r>
    </w:p>
    <w:p w14:paraId="562121B8" w14:textId="77777777" w:rsidR="00DE04BA" w:rsidRPr="00D04088" w:rsidRDefault="00DE04BA" w:rsidP="00DE04BA">
      <w:pPr>
        <w:pStyle w:val="Point0"/>
        <w:rPr>
          <w:noProof/>
        </w:rPr>
      </w:pPr>
      <w:r>
        <w:rPr>
          <w:noProof/>
        </w:rPr>
        <w:t>(9)</w:t>
      </w:r>
      <w:r>
        <w:rPr>
          <w:noProof/>
        </w:rPr>
        <w:tab/>
      </w:r>
      <w:r w:rsidRPr="00D04088">
        <w:rPr>
          <w:noProof/>
        </w:rPr>
        <w:t>jiddaħħlu l-Artikoli 16a u 16b li ġejjin:</w:t>
      </w:r>
    </w:p>
    <w:p w14:paraId="50176317" w14:textId="1B291425" w:rsidR="00DE04BA" w:rsidRPr="00D04088" w:rsidRDefault="00DE04BA" w:rsidP="00DE04BA">
      <w:pPr>
        <w:pStyle w:val="Titrearticle"/>
        <w:rPr>
          <w:noProof/>
        </w:rPr>
      </w:pPr>
      <w:r w:rsidRPr="00D04088">
        <w:rPr>
          <w:noProof/>
        </w:rPr>
        <w:t xml:space="preserve">“Artikolu 16a </w:t>
      </w:r>
      <w:r w:rsidRPr="00D04088">
        <w:rPr>
          <w:noProof/>
        </w:rPr>
        <w:cr/>
      </w:r>
      <w:r w:rsidRPr="00D04088">
        <w:rPr>
          <w:noProof/>
        </w:rPr>
        <w:br/>
        <w:t>Protezzjoni tad-data personali</w:t>
      </w:r>
    </w:p>
    <w:p w14:paraId="2C413BA1" w14:textId="28ACE333" w:rsidR="00541E1E" w:rsidRPr="00D04088" w:rsidRDefault="00551837" w:rsidP="00541E1E">
      <w:pPr>
        <w:pStyle w:val="Point1"/>
        <w:rPr>
          <w:noProof/>
        </w:rPr>
      </w:pPr>
      <w:r w:rsidRPr="00D04088">
        <w:rPr>
          <w:noProof/>
        </w:rPr>
        <w:t>1.</w:t>
      </w:r>
      <w:r w:rsidRPr="00D04088">
        <w:rPr>
          <w:noProof/>
        </w:rPr>
        <w:tab/>
        <w:t xml:space="preserve">Għall-finijiet ta’ din id-Direttiva, l-awtoritajiet kompetenti tal-Istati Membri għandhom jipproċessaw </w:t>
      </w:r>
      <w:r w:rsidRPr="00D04088">
        <w:rPr>
          <w:i/>
          <w:iCs/>
          <w:noProof/>
        </w:rPr>
        <w:t>data</w:t>
      </w:r>
      <w:r w:rsidRPr="00D04088">
        <w:rPr>
          <w:noProof/>
        </w:rPr>
        <w:t xml:space="preserve"> personali biss biex:</w:t>
      </w:r>
    </w:p>
    <w:p w14:paraId="5D9953E5" w14:textId="16420BE4" w:rsidR="00541E1E" w:rsidRPr="00D04088" w:rsidRDefault="00541E1E" w:rsidP="00551837">
      <w:pPr>
        <w:pStyle w:val="Point2"/>
        <w:rPr>
          <w:noProof/>
        </w:rPr>
      </w:pPr>
      <w:r>
        <w:rPr>
          <w:noProof/>
        </w:rPr>
        <w:t>(a)</w:t>
      </w:r>
      <w:r>
        <w:rPr>
          <w:noProof/>
        </w:rPr>
        <w:tab/>
      </w:r>
      <w:r w:rsidRPr="00D04088">
        <w:rPr>
          <w:noProof/>
        </w:rPr>
        <w:t>jittrażmettu l-applikazzjoni ta’ persuna li tkun qed titlob protezzjoni konsulari f’konformità mal-Artikolu 3 jew l-Artikolu 7;</w:t>
      </w:r>
    </w:p>
    <w:p w14:paraId="5E34722C" w14:textId="77777777" w:rsidR="00541E1E" w:rsidRPr="00D04088" w:rsidRDefault="00541E1E" w:rsidP="00551837">
      <w:pPr>
        <w:pStyle w:val="Point2"/>
        <w:rPr>
          <w:noProof/>
        </w:rPr>
      </w:pPr>
      <w:r>
        <w:rPr>
          <w:noProof/>
        </w:rPr>
        <w:t>(b)</w:t>
      </w:r>
      <w:r>
        <w:rPr>
          <w:noProof/>
        </w:rPr>
        <w:tab/>
      </w:r>
      <w:r w:rsidRPr="00D04088">
        <w:rPr>
          <w:noProof/>
        </w:rPr>
        <w:t>jivverifikaw l-identità ta’ persuna li tkun qed titlob protezzjoni konsulari f’konformità mal-proċedura stabbilita fl-Artikolu 8;</w:t>
      </w:r>
    </w:p>
    <w:p w14:paraId="1D0CF71A" w14:textId="77777777" w:rsidR="00541E1E" w:rsidRPr="00D04088" w:rsidRDefault="00541E1E" w:rsidP="00551837">
      <w:pPr>
        <w:pStyle w:val="Point2"/>
        <w:rPr>
          <w:noProof/>
        </w:rPr>
      </w:pPr>
      <w:r>
        <w:rPr>
          <w:noProof/>
        </w:rPr>
        <w:t>(c)</w:t>
      </w:r>
      <w:r>
        <w:rPr>
          <w:noProof/>
        </w:rPr>
        <w:tab/>
      </w:r>
      <w:r w:rsidRPr="00D04088">
        <w:rPr>
          <w:noProof/>
        </w:rPr>
        <w:t>jipprovdu protezzjoni konsulari lil dik il-persuna, b’mod partikolari billi jipprovdu t-tipi ta’ għajnuna msemmija fl-Artikolu 9;</w:t>
      </w:r>
    </w:p>
    <w:p w14:paraId="15705041" w14:textId="0843EA20" w:rsidR="00541E1E" w:rsidRPr="00D04088" w:rsidRDefault="00541E1E" w:rsidP="00551837">
      <w:pPr>
        <w:pStyle w:val="Point2"/>
        <w:rPr>
          <w:noProof/>
        </w:rPr>
      </w:pPr>
      <w:r>
        <w:rPr>
          <w:noProof/>
        </w:rPr>
        <w:t>(d)</w:t>
      </w:r>
      <w:r>
        <w:rPr>
          <w:noProof/>
        </w:rPr>
        <w:tab/>
      </w:r>
      <w:r w:rsidRPr="00D04088">
        <w:rPr>
          <w:noProof/>
        </w:rPr>
        <w:t>jikkooperaw, jikkoordinaw u jipprovdu appoġġ f’konformità mal-Artikolu 10, l-Artikolu 11, l-Artikolu 13(1) u l-Artikolu 13a;</w:t>
      </w:r>
    </w:p>
    <w:p w14:paraId="38EB6338" w14:textId="30BB6E24" w:rsidR="005113A2" w:rsidRPr="00D04088" w:rsidRDefault="005113A2" w:rsidP="005113A2">
      <w:pPr>
        <w:pStyle w:val="Point2"/>
        <w:rPr>
          <w:noProof/>
        </w:rPr>
      </w:pPr>
      <w:r>
        <w:rPr>
          <w:noProof/>
        </w:rPr>
        <w:lastRenderedPageBreak/>
        <w:t>(e)</w:t>
      </w:r>
      <w:r>
        <w:rPr>
          <w:noProof/>
        </w:rPr>
        <w:tab/>
      </w:r>
      <w:r w:rsidRPr="00D04088">
        <w:rPr>
          <w:noProof/>
        </w:rPr>
        <w:t>jipprovdu l-informazzjoni ta’ kuntatt imsemmija fl-Artikolu 10(4) u fl-Artikolu 13b(1);</w:t>
      </w:r>
    </w:p>
    <w:p w14:paraId="10C37CBF" w14:textId="00D99CF5" w:rsidR="00541E1E" w:rsidRPr="00D04088" w:rsidRDefault="00541E1E" w:rsidP="00551837">
      <w:pPr>
        <w:pStyle w:val="Point2"/>
        <w:rPr>
          <w:noProof/>
        </w:rPr>
      </w:pPr>
      <w:r>
        <w:rPr>
          <w:noProof/>
        </w:rPr>
        <w:t>(f)</w:t>
      </w:r>
      <w:r>
        <w:rPr>
          <w:noProof/>
        </w:rPr>
        <w:tab/>
      </w:r>
      <w:r w:rsidRPr="00D04088">
        <w:rPr>
          <w:noProof/>
        </w:rPr>
        <w:t>jipproċessaw talbiet għal rimborż finanzjarju fir-rigward tal-protezzjoni konsulari pprovduta f’konformità mal-Artikolu 14 u l-Artikolu 15.</w:t>
      </w:r>
    </w:p>
    <w:p w14:paraId="1B77C243" w14:textId="5F3EBD60" w:rsidR="00C31A2D" w:rsidRPr="00D04088" w:rsidRDefault="00D817C2" w:rsidP="00DF0999">
      <w:pPr>
        <w:pStyle w:val="Point1"/>
        <w:rPr>
          <w:noProof/>
        </w:rPr>
      </w:pPr>
      <w:r w:rsidRPr="00D04088">
        <w:rPr>
          <w:noProof/>
        </w:rPr>
        <w:t>2.</w:t>
      </w:r>
      <w:r w:rsidRPr="00D04088">
        <w:rPr>
          <w:noProof/>
        </w:rPr>
        <w:tab/>
        <w:t xml:space="preserve">L-ipproċessar ta’ </w:t>
      </w:r>
      <w:r w:rsidRPr="00D04088">
        <w:rPr>
          <w:i/>
          <w:iCs/>
          <w:noProof/>
        </w:rPr>
        <w:t>data</w:t>
      </w:r>
      <w:r w:rsidRPr="00D04088">
        <w:rPr>
          <w:noProof/>
        </w:rPr>
        <w:t xml:space="preserve"> personali mill-istituzzjonijiet u l-korpi tal-Unjoni skont it-tifsira tar-Regolament (UE) 2018/1725 tal-Parlament Ewropew u tal-Kunsill* għall-finijiet ta’ din id-Direttiva għandu jsir biss fejn ikun meħtieġ biex jitwettqu l-kompiti msemmija fl-Artikolu 10(1), l-Artikolu 11, l-Artikolu 13 u l-Artikolu 13a, biex tiġi pproċessata l-informazzjoni riċevuta skont l-Artikolu 10(4) u l-Artikolu 13b(1), jew biex jiġu pproċessati talbiet għal rimborż finanzjarju skont l-Artikolu 14(5) u l-Artikolu 15(4).</w:t>
      </w:r>
    </w:p>
    <w:p w14:paraId="1CD7E547" w14:textId="7E24A2C1" w:rsidR="00541E1E" w:rsidRPr="00D04088" w:rsidRDefault="00F65417" w:rsidP="00541E1E">
      <w:pPr>
        <w:pStyle w:val="Point1"/>
        <w:rPr>
          <w:noProof/>
        </w:rPr>
      </w:pPr>
      <w:r w:rsidRPr="00D04088">
        <w:rPr>
          <w:noProof/>
        </w:rPr>
        <w:t>3.</w:t>
      </w:r>
      <w:r w:rsidRPr="00D04088">
        <w:rPr>
          <w:noProof/>
        </w:rPr>
        <w:tab/>
        <w:t xml:space="preserve">Meta jipproċessaw </w:t>
      </w:r>
      <w:r w:rsidRPr="00D04088">
        <w:rPr>
          <w:i/>
          <w:iCs/>
          <w:noProof/>
        </w:rPr>
        <w:t>data</w:t>
      </w:r>
      <w:r w:rsidRPr="00D04088">
        <w:rPr>
          <w:noProof/>
        </w:rPr>
        <w:t xml:space="preserve"> personali skont il-paragrafi 1 u 2, l-awtoritajiet kompetenti tal-Istati Membri u l-istituzzjonijiet u l-korpi tal-Unjoni għandhom jitqiesu, fil-kamp ta’ applikazzjoni tal-attivitajiet rispettivi tagħhom skont din id-Direttiva, bħala l-kontrollur imsemmi, rispettivament, fl-Artikolu 4(7) tar-Regolament (UE) 2016/679 tal-Parlament Ewropew u tal-Kunsill** u fl-Artikolu 3(8) tar-Regolament (UE) 2018/1725.</w:t>
      </w:r>
    </w:p>
    <w:p w14:paraId="21838D4B" w14:textId="752BC65A" w:rsidR="00541E1E" w:rsidRPr="00D04088" w:rsidRDefault="009B6F32" w:rsidP="00541E1E">
      <w:pPr>
        <w:pStyle w:val="Point1"/>
        <w:rPr>
          <w:noProof/>
        </w:rPr>
      </w:pPr>
      <w:r w:rsidRPr="00D04088">
        <w:rPr>
          <w:noProof/>
        </w:rPr>
        <w:t>4.</w:t>
      </w:r>
      <w:r w:rsidRPr="00D04088">
        <w:rPr>
          <w:noProof/>
        </w:rPr>
        <w:tab/>
        <w:t>Id-</w:t>
      </w:r>
      <w:r w:rsidRPr="00D04088">
        <w:rPr>
          <w:i/>
          <w:iCs/>
          <w:noProof/>
        </w:rPr>
        <w:t>data</w:t>
      </w:r>
      <w:r w:rsidRPr="00D04088">
        <w:rPr>
          <w:noProof/>
        </w:rPr>
        <w:t xml:space="preserve"> personali pproċessata skont il-paragrafi 1 u 2 għandha tkun limitata għal dak li huwa meħtieġ biex jitwettqu l-kompiti msemmija fihom, bħall-identità tal-persuna li tkun teħtieġ protezzjoni konsulari u ċ-ċirkostanzi tal-każ konsulari.</w:t>
      </w:r>
    </w:p>
    <w:p w14:paraId="4ED02813" w14:textId="636E039C" w:rsidR="00541E1E" w:rsidRPr="00D04088" w:rsidRDefault="009B6F32" w:rsidP="005D7104">
      <w:pPr>
        <w:pStyle w:val="Point1"/>
        <w:rPr>
          <w:noProof/>
        </w:rPr>
      </w:pPr>
      <w:bookmarkStart w:id="5" w:name="_Hlk144301404"/>
      <w:r w:rsidRPr="00D04088">
        <w:rPr>
          <w:noProof/>
        </w:rPr>
        <w:t>5.</w:t>
      </w:r>
      <w:r w:rsidRPr="00D04088">
        <w:rPr>
          <w:noProof/>
        </w:rPr>
        <w:tab/>
      </w:r>
      <w:bookmarkEnd w:id="5"/>
      <w:r w:rsidRPr="00D04088">
        <w:rPr>
          <w:noProof/>
        </w:rPr>
        <w:t xml:space="preserve">L-awtoritajiet kompetenti tal-Istati Membri u l-istituzzjonijiet u l-korpi tal-Unjoni jistgħu jipproċessaw </w:t>
      </w:r>
      <w:r w:rsidRPr="00D04088">
        <w:rPr>
          <w:i/>
          <w:iCs/>
          <w:noProof/>
        </w:rPr>
        <w:t>data</w:t>
      </w:r>
      <w:r w:rsidRPr="00D04088">
        <w:rPr>
          <w:noProof/>
        </w:rPr>
        <w:t xml:space="preserve"> personali li tiżvela l-oriġini razzjali jew etnika, l-opinjonijiet politiċi, it-twemmin reliġjuż jew filosofiku, jew is-sħubija fi trade union, </w:t>
      </w:r>
      <w:r w:rsidRPr="00D04088">
        <w:rPr>
          <w:i/>
          <w:iCs/>
          <w:noProof/>
        </w:rPr>
        <w:t>data</w:t>
      </w:r>
      <w:r w:rsidRPr="00D04088">
        <w:rPr>
          <w:noProof/>
        </w:rPr>
        <w:t xml:space="preserve"> ġenetika, </w:t>
      </w:r>
      <w:r w:rsidRPr="00D04088">
        <w:rPr>
          <w:i/>
          <w:iCs/>
          <w:noProof/>
        </w:rPr>
        <w:t>data</w:t>
      </w:r>
      <w:r w:rsidRPr="00D04088">
        <w:rPr>
          <w:noProof/>
        </w:rPr>
        <w:t xml:space="preserve"> bijometrika bl-iskop li tiġi identifikata b’mod uniku persuna fiżika, </w:t>
      </w:r>
      <w:r w:rsidRPr="00D04088">
        <w:rPr>
          <w:i/>
          <w:iCs/>
          <w:noProof/>
        </w:rPr>
        <w:t>data</w:t>
      </w:r>
      <w:r w:rsidRPr="00D04088">
        <w:rPr>
          <w:noProof/>
        </w:rPr>
        <w:t xml:space="preserve"> dwar is-saħħa, </w:t>
      </w:r>
      <w:r w:rsidRPr="00D04088">
        <w:rPr>
          <w:i/>
          <w:iCs/>
          <w:noProof/>
        </w:rPr>
        <w:t>data</w:t>
      </w:r>
      <w:r w:rsidRPr="00D04088">
        <w:rPr>
          <w:noProof/>
        </w:rPr>
        <w:t xml:space="preserve"> dwar il-ħajja sesswali jew l-orjentazzjoni sesswali jew </w:t>
      </w:r>
      <w:r w:rsidRPr="00D04088">
        <w:rPr>
          <w:i/>
          <w:iCs/>
          <w:noProof/>
        </w:rPr>
        <w:t>data</w:t>
      </w:r>
      <w:r w:rsidRPr="00D04088">
        <w:rPr>
          <w:noProof/>
        </w:rPr>
        <w:t xml:space="preserve"> personali relatata ma’ kundanni kriminali u reati ta’ persuna li tkun teħtieġ protezzjoni konsulari fejn dan ikun strettament meħtieġ biex ikunu jistgħu jitwettqu l-kompiti msemmija fl-Artikolu 9, l-Artikolu 10, l-Artikolu 11 u l-Artikolu 13a fir-rigward ta’ dik il-persuna.</w:t>
      </w:r>
    </w:p>
    <w:p w14:paraId="229E32BA" w14:textId="344CC02E" w:rsidR="00541E1E" w:rsidRPr="00D04088" w:rsidRDefault="0051528D" w:rsidP="00541E1E">
      <w:pPr>
        <w:pStyle w:val="Point1"/>
        <w:rPr>
          <w:noProof/>
        </w:rPr>
      </w:pPr>
      <w:r w:rsidRPr="00D04088">
        <w:rPr>
          <w:noProof/>
        </w:rPr>
        <w:t>6.</w:t>
      </w:r>
      <w:r w:rsidRPr="00D04088">
        <w:rPr>
          <w:noProof/>
        </w:rPr>
        <w:tab/>
        <w:t>Meta jipproċessaw id-</w:t>
      </w:r>
      <w:r w:rsidRPr="00D04088">
        <w:rPr>
          <w:i/>
          <w:iCs/>
          <w:noProof/>
        </w:rPr>
        <w:t>data</w:t>
      </w:r>
      <w:r w:rsidRPr="00D04088">
        <w:rPr>
          <w:noProof/>
        </w:rPr>
        <w:t xml:space="preserve"> personali msemmija fil-paragrafu 5, l-awtoritajiet kompetenti tal-Istati Membri u l-istituzzjonijiet u l-korpi tal-Unjoni għandhom jiżguraw miżuri xierqa u speċifiċi għas-salvagwardja tal-interessi tas-suġġetti tad-</w:t>
      </w:r>
      <w:r w:rsidRPr="00D04088">
        <w:rPr>
          <w:i/>
          <w:iCs/>
          <w:noProof/>
        </w:rPr>
        <w:t>data</w:t>
      </w:r>
      <w:r w:rsidRPr="00D04088">
        <w:rPr>
          <w:noProof/>
        </w:rPr>
        <w:t xml:space="preserve">. Huma għandhom jintroduċu wkoll politiki interni u jieħdu l-miżuri tekniċi u organizzazzjonali meħtieġa biex jipprevjenu l-aċċess għal tali </w:t>
      </w:r>
      <w:r w:rsidRPr="00D04088">
        <w:rPr>
          <w:i/>
          <w:iCs/>
          <w:noProof/>
        </w:rPr>
        <w:t>data</w:t>
      </w:r>
      <w:r w:rsidRPr="00D04088">
        <w:rPr>
          <w:noProof/>
        </w:rPr>
        <w:t xml:space="preserve"> personali u t-trażmissjoni tagħha mingħajr awtorizzazzjoni.</w:t>
      </w:r>
    </w:p>
    <w:p w14:paraId="2A0CCA89" w14:textId="7ECCEB9B" w:rsidR="00541E1E" w:rsidRPr="00D04088" w:rsidRDefault="0051528D" w:rsidP="00541E1E">
      <w:pPr>
        <w:pStyle w:val="Point1"/>
        <w:rPr>
          <w:noProof/>
        </w:rPr>
      </w:pPr>
      <w:r w:rsidRPr="00D04088">
        <w:rPr>
          <w:noProof/>
        </w:rPr>
        <w:t>7.</w:t>
      </w:r>
      <w:r w:rsidRPr="00D04088">
        <w:rPr>
          <w:noProof/>
        </w:rPr>
        <w:tab/>
        <w:t xml:space="preserve">Għall-finijiet ta’ din id-Direttiva, l-awtoritajiet kompetenti tal-Istati Membri għandhom jittrasferixxu </w:t>
      </w:r>
      <w:r w:rsidRPr="00D04088">
        <w:rPr>
          <w:i/>
          <w:iCs/>
          <w:noProof/>
        </w:rPr>
        <w:t>data</w:t>
      </w:r>
      <w:r w:rsidRPr="00D04088">
        <w:rPr>
          <w:noProof/>
        </w:rPr>
        <w:t xml:space="preserve"> personali lil pajjiż terz jew lil organizzazzjoni internazzjonali biss biex iwettqu l-kompiti msemmija fl-Artikolu 9, fl-Artikolu 10 u fl-Artikolu 13a u f’konformità mal-Kapitolu V tar-Regolament (UE) 2016/679.</w:t>
      </w:r>
    </w:p>
    <w:p w14:paraId="47C2AFC1" w14:textId="5C043176" w:rsidR="00541E1E" w:rsidRPr="00D04088" w:rsidRDefault="00923384" w:rsidP="009B6F32">
      <w:pPr>
        <w:pStyle w:val="Text2"/>
        <w:rPr>
          <w:noProof/>
        </w:rPr>
      </w:pPr>
      <w:r w:rsidRPr="00D04088">
        <w:rPr>
          <w:noProof/>
        </w:rPr>
        <w:t xml:space="preserve">Għall-finijiet ta’ din id-Direttiva, l-istituzzjonijiet u l-korpi tal-Unjoni għandhom jittrasferixxu </w:t>
      </w:r>
      <w:r w:rsidRPr="00D04088">
        <w:rPr>
          <w:i/>
          <w:iCs/>
          <w:noProof/>
        </w:rPr>
        <w:t>data</w:t>
      </w:r>
      <w:r w:rsidRPr="00D04088">
        <w:rPr>
          <w:noProof/>
        </w:rPr>
        <w:t xml:space="preserve"> personali lil pajjiż terz jew lil organizzazzjoni internazzjonali biss biex iwettqu l-kompiti msemmija fl-Artikolu 10(1), fl-Artikolu 11 u fl-Artikolu 13a u f’konformità mal-Kapitolu V tar-Regolament (UE) 2018/1725.</w:t>
      </w:r>
    </w:p>
    <w:p w14:paraId="5D84C669" w14:textId="655ACA04" w:rsidR="00911EEC" w:rsidRPr="00D04088" w:rsidRDefault="00203193" w:rsidP="00541E1E">
      <w:pPr>
        <w:pStyle w:val="Point1"/>
        <w:rPr>
          <w:noProof/>
        </w:rPr>
      </w:pPr>
      <w:r w:rsidRPr="00D04088">
        <w:rPr>
          <w:noProof/>
        </w:rPr>
        <w:lastRenderedPageBreak/>
        <w:t>8.</w:t>
      </w:r>
      <w:r w:rsidRPr="00D04088">
        <w:rPr>
          <w:noProof/>
        </w:rPr>
        <w:tab/>
        <w:t>L-Istat Membru li jassisti, l-Istat Membru tan-nazzjonalità u, fejn applikabbli, l-istituzzjonijiet u l-korpi tal-Unjoni għandhom iżommu d-</w:t>
      </w:r>
      <w:r w:rsidRPr="00D04088">
        <w:rPr>
          <w:i/>
          <w:iCs/>
          <w:noProof/>
        </w:rPr>
        <w:t>data</w:t>
      </w:r>
      <w:r w:rsidRPr="00D04088">
        <w:rPr>
          <w:noProof/>
        </w:rPr>
        <w:t xml:space="preserve"> personali ta’ persuna assistita biss sakemm ikun meħtieġ biex jitwettqu l-kompiti msemmija fil-paragrafi 1 u 2. Fl-ebda każ ma għandha dik id-</w:t>
      </w:r>
      <w:r w:rsidRPr="00D04088">
        <w:rPr>
          <w:i/>
          <w:iCs/>
          <w:noProof/>
        </w:rPr>
        <w:t>data</w:t>
      </w:r>
      <w:r w:rsidRPr="00D04088">
        <w:rPr>
          <w:noProof/>
        </w:rPr>
        <w:t xml:space="preserve"> personali tinżamm għal aktar minn 12-il xahar mid-data tal-ġbir mill-Istat Membru li jassisti u mill-istituzzjonijiet u l-korpi tal-Unjoni, jew għal aktar minn 24 xahar mid-data tal-ġbir mill-Istat Membru tan-nazzjonalità. Id-dettalji ta’ kuntatt skambjati f’konformità mal-Artikolu 10(4) u l-Artikolu 13b(1) għandhom jinżammu biss sakemm il-persuni jeżerċitaw il-funzjoni rilevanti.</w:t>
      </w:r>
    </w:p>
    <w:p w14:paraId="12DD4B9E" w14:textId="42DE68BB" w:rsidR="00541E1E" w:rsidRPr="00D04088" w:rsidRDefault="00541E1E" w:rsidP="0017010D">
      <w:pPr>
        <w:pStyle w:val="Text2"/>
        <w:rPr>
          <w:noProof/>
        </w:rPr>
      </w:pPr>
      <w:r w:rsidRPr="00D04088">
        <w:rPr>
          <w:noProof/>
        </w:rPr>
        <w:t>Id-</w:t>
      </w:r>
      <w:r w:rsidRPr="00D04088">
        <w:rPr>
          <w:i/>
          <w:iCs/>
          <w:noProof/>
        </w:rPr>
        <w:t>data</w:t>
      </w:r>
      <w:r w:rsidRPr="00D04088">
        <w:rPr>
          <w:noProof/>
        </w:rPr>
        <w:t xml:space="preserve"> personali għandha titħassar mill-aktar fis possibbli wara li jkunu tlestew il-kompiti msemmija fil-paragrafu 1 jew 2 u mhux aktar tard mill-iskadenza tal-perjodi ta’ żamma msemmija fl-ewwel subparagrafu.</w:t>
      </w:r>
    </w:p>
    <w:p w14:paraId="4EAAB155" w14:textId="77777777" w:rsidR="00462162" w:rsidRPr="00D04088" w:rsidDel="00BE6840" w:rsidRDefault="00462162" w:rsidP="00462162">
      <w:pPr>
        <w:pStyle w:val="Titrearticle"/>
        <w:rPr>
          <w:noProof/>
        </w:rPr>
      </w:pPr>
      <w:r w:rsidRPr="00D04088">
        <w:rPr>
          <w:noProof/>
        </w:rPr>
        <w:t xml:space="preserve">Artikolu 16b </w:t>
      </w:r>
      <w:r w:rsidRPr="00D04088">
        <w:rPr>
          <w:noProof/>
        </w:rPr>
        <w:cr/>
      </w:r>
      <w:r w:rsidRPr="00D04088">
        <w:rPr>
          <w:noProof/>
        </w:rPr>
        <w:br/>
        <w:t>Rimedji</w:t>
      </w:r>
    </w:p>
    <w:p w14:paraId="78D27074" w14:textId="77777777" w:rsidR="0053693A" w:rsidRPr="00D04088" w:rsidRDefault="00462162" w:rsidP="00462162">
      <w:pPr>
        <w:pStyle w:val="Text1"/>
        <w:rPr>
          <w:noProof/>
        </w:rPr>
      </w:pPr>
      <w:r w:rsidRPr="00D04088">
        <w:rPr>
          <w:noProof/>
        </w:rPr>
        <w:t>L-Istati Membri għandhom jiżguraw li ċ-ċittadini mhux rappreżentati jkollhom rimedju effettiv fid-dritt nazzjonali f’każ ta’ ksur ta’ drittijiethom skont din id-Direttiva.</w:t>
      </w:r>
    </w:p>
    <w:p w14:paraId="708E5B27" w14:textId="77777777" w:rsidR="0053693A" w:rsidRPr="00D04088" w:rsidRDefault="0053693A" w:rsidP="0053693A">
      <w:pPr>
        <w:pStyle w:val="Text1"/>
        <w:rPr>
          <w:noProof/>
        </w:rPr>
      </w:pPr>
      <w:r w:rsidRPr="00D04088">
        <w:rPr>
          <w:noProof/>
        </w:rPr>
        <w:t>______________</w:t>
      </w:r>
    </w:p>
    <w:p w14:paraId="6F24EC7E" w14:textId="73BFC1C3" w:rsidR="00366745" w:rsidRPr="00D04088" w:rsidRDefault="0053693A" w:rsidP="0053693A">
      <w:pPr>
        <w:pStyle w:val="Text1"/>
        <w:rPr>
          <w:noProof/>
        </w:rPr>
      </w:pPr>
      <w:r w:rsidRPr="00D04088">
        <w:rPr>
          <w:noProof/>
        </w:rPr>
        <w:t>*</w:t>
      </w:r>
      <w:r w:rsidRPr="00D04088">
        <w:rPr>
          <w:noProof/>
        </w:rPr>
        <w:tab/>
        <w:t xml:space="preserve">Ir-Regolament (UE) 2018/1725 tal-Parlament Ewropew u tal-Kunsill tat-23 ta’ Ottubru 2018 dwar il-protezzjoni ta’ persuni fiżiċi fir-rigward tal-ipproċessar ta’ </w:t>
      </w:r>
      <w:r w:rsidRPr="00D04088">
        <w:rPr>
          <w:i/>
          <w:iCs/>
          <w:noProof/>
        </w:rPr>
        <w:t>data</w:t>
      </w:r>
      <w:r w:rsidRPr="00D04088">
        <w:rPr>
          <w:noProof/>
        </w:rPr>
        <w:t xml:space="preserve"> personali mill-istituzzjonijiet, korpi, uffiċċji u aġenziji tal-Unjoni u dwar il-moviment liberu ta’ tali </w:t>
      </w:r>
      <w:r w:rsidRPr="00D04088">
        <w:rPr>
          <w:i/>
          <w:iCs/>
          <w:noProof/>
        </w:rPr>
        <w:t>data</w:t>
      </w:r>
      <w:r w:rsidRPr="00D04088">
        <w:rPr>
          <w:noProof/>
        </w:rPr>
        <w:t xml:space="preserve">, u li jħassar ir-Regolament (KE) Nru 45/2001 u d-Deċiżjoni Nru 1247/2002/KE (ĠU L 295, 21.11.2018, p. 39, ELI: </w:t>
      </w:r>
      <w:hyperlink r:id="rId21" w:history="1">
        <w:r w:rsidRPr="00D04088">
          <w:rPr>
            <w:rStyle w:val="Hyperlink"/>
            <w:noProof/>
          </w:rPr>
          <w:t>http://data.europa.eu/eli/reg/2018/1725/oj</w:t>
        </w:r>
      </w:hyperlink>
      <w:r w:rsidRPr="00D04088">
        <w:rPr>
          <w:noProof/>
        </w:rPr>
        <w:t>).</w:t>
      </w:r>
    </w:p>
    <w:p w14:paraId="0561E7EB" w14:textId="20BF0659" w:rsidR="00630CB2" w:rsidRPr="00D04088" w:rsidRDefault="00366745" w:rsidP="00366745">
      <w:pPr>
        <w:pStyle w:val="Text1"/>
        <w:rPr>
          <w:noProof/>
        </w:rPr>
      </w:pPr>
      <w:r w:rsidRPr="00D04088">
        <w:rPr>
          <w:noProof/>
        </w:rPr>
        <w:t xml:space="preserve">**Ir-Regolament (UE) 2016/679 tal-Parlament Ewropew u tal-Kunsill tas-27 ta’ April 2016 dwar il-protezzjoni tal-persuni fiżiċi fir-rigward tal-ipproċessar ta’ </w:t>
      </w:r>
      <w:r w:rsidRPr="00D04088">
        <w:rPr>
          <w:i/>
          <w:iCs/>
          <w:noProof/>
        </w:rPr>
        <w:t>data</w:t>
      </w:r>
      <w:r w:rsidRPr="00D04088">
        <w:rPr>
          <w:noProof/>
        </w:rPr>
        <w:t xml:space="preserve"> personali u dwar il-moviment liberu ta’ tali </w:t>
      </w:r>
      <w:r w:rsidRPr="00D04088">
        <w:rPr>
          <w:i/>
          <w:iCs/>
          <w:noProof/>
        </w:rPr>
        <w:t>data</w:t>
      </w:r>
      <w:r w:rsidRPr="00D04088">
        <w:rPr>
          <w:noProof/>
        </w:rPr>
        <w:t>, u li jħassar id-Direttiva 95/46/KE (Regolament Ġenerali dwar il-Protezzjoni tad-</w:t>
      </w:r>
      <w:r w:rsidRPr="00D04088">
        <w:rPr>
          <w:i/>
          <w:iCs/>
          <w:noProof/>
        </w:rPr>
        <w:t>Data</w:t>
      </w:r>
      <w:r w:rsidRPr="00D04088">
        <w:rPr>
          <w:noProof/>
        </w:rPr>
        <w:t xml:space="preserve">) (ĠU L 119, 4.5.2016, p. 1, ELI: </w:t>
      </w:r>
      <w:hyperlink r:id="rId22" w:history="1">
        <w:r w:rsidRPr="00D04088">
          <w:rPr>
            <w:rStyle w:val="Hyperlink"/>
            <w:noProof/>
          </w:rPr>
          <w:t>http://data.europa.eu/eli/reg/2016/679/oj</w:t>
        </w:r>
      </w:hyperlink>
      <w:r w:rsidRPr="00D04088">
        <w:rPr>
          <w:noProof/>
        </w:rPr>
        <w:t>).’;</w:t>
      </w:r>
    </w:p>
    <w:p w14:paraId="7835C80E" w14:textId="4094F574" w:rsidR="0054499F" w:rsidRPr="00D04088" w:rsidRDefault="0054499F" w:rsidP="00741619">
      <w:pPr>
        <w:pStyle w:val="Point0"/>
        <w:rPr>
          <w:noProof/>
        </w:rPr>
      </w:pPr>
      <w:r>
        <w:rPr>
          <w:noProof/>
        </w:rPr>
        <w:t>(10)</w:t>
      </w:r>
      <w:r>
        <w:rPr>
          <w:noProof/>
        </w:rPr>
        <w:tab/>
      </w:r>
      <w:r w:rsidRPr="00D04088">
        <w:rPr>
          <w:noProof/>
        </w:rPr>
        <w:t>fl-Artikolu 19, jiżdied il-paragrafu 3 li ġej:</w:t>
      </w:r>
    </w:p>
    <w:p w14:paraId="7457F98C" w14:textId="0140DBEF" w:rsidR="00DA064C" w:rsidRPr="00D04088" w:rsidRDefault="00EF13D4" w:rsidP="00844C75">
      <w:pPr>
        <w:pStyle w:val="Text1"/>
        <w:rPr>
          <w:noProof/>
        </w:rPr>
      </w:pPr>
      <w:r w:rsidRPr="00D04088">
        <w:rPr>
          <w:noProof/>
        </w:rPr>
        <w:t xml:space="preserve">“3. Mhux qabel </w:t>
      </w:r>
      <w:r w:rsidRPr="00D04088">
        <w:rPr>
          <w:i/>
          <w:iCs/>
          <w:noProof/>
        </w:rPr>
        <w:t>[8 snin wara l-iskadenza tat-traspożizzjoni tad-Direttiva emendatorja]</w:t>
      </w:r>
      <w:r w:rsidRPr="00D04088">
        <w:rPr>
          <w:noProof/>
        </w:rPr>
        <w:t>, il-Kummissjoni għandha tagħmel evalwazzjoni ta’ din id-Direttiva u tippreżenta rapport dwar il-konklużjonijiet ewlenin lill-Parlament Ewropew u lill-Kunsill.</w:t>
      </w:r>
    </w:p>
    <w:p w14:paraId="6E0D5C94" w14:textId="4F386721" w:rsidR="00A03F28" w:rsidRPr="00D04088" w:rsidRDefault="00622C2A" w:rsidP="00844C75">
      <w:pPr>
        <w:pStyle w:val="Text1"/>
        <w:rPr>
          <w:noProof/>
        </w:rPr>
      </w:pPr>
      <w:r w:rsidRPr="00D04088">
        <w:rPr>
          <w:noProof/>
        </w:rPr>
        <w:t>L-Istati Membri għandhom jipprovdu l-informazzjoni meħtieġa lill-Kummissjoni għat-tħejjija ta’ dak ir-rapport.”;</w:t>
      </w:r>
    </w:p>
    <w:p w14:paraId="11A58930" w14:textId="77777777" w:rsidR="00E405C8" w:rsidRPr="00D04088" w:rsidRDefault="00E405C8" w:rsidP="00E405C8">
      <w:pPr>
        <w:pStyle w:val="Point0"/>
        <w:rPr>
          <w:noProof/>
        </w:rPr>
      </w:pPr>
      <w:r>
        <w:rPr>
          <w:noProof/>
        </w:rPr>
        <w:t>(11)</w:t>
      </w:r>
      <w:r>
        <w:rPr>
          <w:noProof/>
        </w:rPr>
        <w:tab/>
      </w:r>
      <w:r w:rsidRPr="00D04088">
        <w:rPr>
          <w:noProof/>
        </w:rPr>
        <w:t>Jitħassru l-Annessi I u II.</w:t>
      </w:r>
    </w:p>
    <w:p w14:paraId="168CADD0" w14:textId="77777777" w:rsidR="00B92903" w:rsidRPr="00D04088" w:rsidRDefault="00B92903" w:rsidP="00B92903">
      <w:pPr>
        <w:pStyle w:val="Titrearticle"/>
        <w:rPr>
          <w:noProof/>
        </w:rPr>
      </w:pPr>
      <w:r w:rsidRPr="00D04088">
        <w:rPr>
          <w:noProof/>
        </w:rPr>
        <w:t>Artikolu 2</w:t>
      </w:r>
    </w:p>
    <w:p w14:paraId="219B39EB" w14:textId="45722772" w:rsidR="00522545" w:rsidRPr="00D04088" w:rsidRDefault="00350AC6" w:rsidP="00587507">
      <w:pPr>
        <w:rPr>
          <w:noProof/>
        </w:rPr>
      </w:pPr>
      <w:r w:rsidRPr="00D04088">
        <w:rPr>
          <w:noProof/>
        </w:rPr>
        <w:t>L-Artikolu 5(3) tad-Direttiva (UE) 2019/997 huwa sostitwit b’dan li ġej:</w:t>
      </w:r>
    </w:p>
    <w:p w14:paraId="5B09A7B7" w14:textId="4CA283DF" w:rsidR="009311BE" w:rsidRPr="00D04088" w:rsidRDefault="00925A12" w:rsidP="009311BE">
      <w:pPr>
        <w:pStyle w:val="Text1"/>
        <w:rPr>
          <w:noProof/>
        </w:rPr>
      </w:pPr>
      <w:r w:rsidRPr="00D04088">
        <w:rPr>
          <w:noProof/>
        </w:rPr>
        <w:t>“3. Meta l-applikanti ma jkunux jistgħu jħallsu kwalunkwe tariffa applikabbli lill-Istat Membru li jassisti meta jissottomettu l-applikazzjoni tagħhom, għandhom japplikaw l-Artikolu 14(2) u (3) u l-Artikolu 15 tad-Direttiva (UE) 2015/637.”.</w:t>
      </w:r>
    </w:p>
    <w:p w14:paraId="1C73EBED" w14:textId="77777777" w:rsidR="00304682" w:rsidRPr="00D04088" w:rsidRDefault="00304682" w:rsidP="002710FB">
      <w:pPr>
        <w:pStyle w:val="Titrearticle"/>
        <w:rPr>
          <w:noProof/>
        </w:rPr>
      </w:pPr>
      <w:r w:rsidRPr="00D04088">
        <w:rPr>
          <w:noProof/>
        </w:rPr>
        <w:lastRenderedPageBreak/>
        <w:t>Artikolu 3</w:t>
      </w:r>
    </w:p>
    <w:p w14:paraId="262EB1C6" w14:textId="77777777" w:rsidR="00304682" w:rsidRPr="00D04088" w:rsidRDefault="00304682" w:rsidP="00E76033">
      <w:pPr>
        <w:pStyle w:val="ManualNumPar1"/>
        <w:rPr>
          <w:noProof/>
        </w:rPr>
      </w:pPr>
      <w:r>
        <w:rPr>
          <w:noProof/>
        </w:rPr>
        <w:t>1.</w:t>
      </w:r>
      <w:r>
        <w:rPr>
          <w:noProof/>
        </w:rPr>
        <w:tab/>
      </w:r>
      <w:r w:rsidRPr="00D04088">
        <w:rPr>
          <w:noProof/>
        </w:rPr>
        <w:t>L-Istati Membri għandhom idaħħlu fis-seħħ il-liġijiet, ir-regolamenti u d-dispożizzjonijiet amministrattivi meħtieġa sabiex jikkonformaw ma’ din id-Direttiva sa mhux aktar tard minn [</w:t>
      </w:r>
      <w:r w:rsidRPr="00D04088">
        <w:rPr>
          <w:i/>
          <w:noProof/>
        </w:rPr>
        <w:t>sentejn wara d-dħul fis-seħħ</w:t>
      </w:r>
      <w:r w:rsidRPr="00D04088">
        <w:rPr>
          <w:noProof/>
        </w:rPr>
        <w:t>]. Huma għandhom jikkomunikaw minnufih it-test ta’ dawk id-dispożizzjonijiet lill-Kummissjoni.</w:t>
      </w:r>
    </w:p>
    <w:p w14:paraId="6866C820" w14:textId="77777777" w:rsidR="00304682" w:rsidRPr="00D04088" w:rsidRDefault="00304682">
      <w:pPr>
        <w:pStyle w:val="Text1"/>
        <w:rPr>
          <w:noProof/>
        </w:rPr>
      </w:pPr>
      <w:r w:rsidRPr="00D04088">
        <w:rPr>
          <w:noProof/>
        </w:rPr>
        <w:t>Meta l-Istati Membri jadottaw dawk id-dispożizzjonijiet, fihom għandu jkun hemm referenza għal din id-Direttiva jew għandhom ikunu akkumpanjati minn dik ir-referenza meta ssir il-pubblikazzjoni uffiċjali tagħhom. Huma l-Istati Membri li għandhom jiddeċiedu kif issir dik ir-referenza.</w:t>
      </w:r>
    </w:p>
    <w:p w14:paraId="4A18739A" w14:textId="77777777" w:rsidR="00304682" w:rsidRPr="00D04088" w:rsidRDefault="00304682" w:rsidP="00A23F00">
      <w:pPr>
        <w:pStyle w:val="ManualNumPar1"/>
        <w:rPr>
          <w:noProof/>
        </w:rPr>
      </w:pPr>
      <w:r>
        <w:rPr>
          <w:noProof/>
        </w:rPr>
        <w:t>2.</w:t>
      </w:r>
      <w:r>
        <w:rPr>
          <w:noProof/>
        </w:rPr>
        <w:tab/>
      </w:r>
      <w:r w:rsidRPr="00D04088">
        <w:rPr>
          <w:noProof/>
        </w:rPr>
        <w:t>L-Istati Membri għandhom jikkomunikaw lill-Kummissjoni t-test tad-dispożizzjonijiet prinċipali tad-dritt nazzjonali li jadottaw fil-qasam kopert minn din id-Direttiva.</w:t>
      </w:r>
    </w:p>
    <w:p w14:paraId="2717BE14" w14:textId="77777777" w:rsidR="00304682" w:rsidRPr="00D04088" w:rsidRDefault="00304682" w:rsidP="002710FB">
      <w:pPr>
        <w:pStyle w:val="Titrearticle"/>
        <w:rPr>
          <w:noProof/>
        </w:rPr>
      </w:pPr>
      <w:r w:rsidRPr="00D04088">
        <w:rPr>
          <w:noProof/>
        </w:rPr>
        <w:t>Artikolu 4</w:t>
      </w:r>
    </w:p>
    <w:p w14:paraId="54E3C4A7" w14:textId="77777777" w:rsidR="00304682" w:rsidRPr="00D04088" w:rsidRDefault="00304682">
      <w:pPr>
        <w:rPr>
          <w:noProof/>
        </w:rPr>
      </w:pPr>
      <w:r w:rsidRPr="00D04088">
        <w:rPr>
          <w:noProof/>
        </w:rPr>
        <w:t>Din id-Direttiva għandha tidħol fis-seħħ fl-20 jum wara dak tal-pubblikazzjoni tagħha f’</w:t>
      </w:r>
      <w:r w:rsidRPr="00D04088">
        <w:rPr>
          <w:i/>
          <w:iCs/>
          <w:noProof/>
        </w:rPr>
        <w:t>Il-Ġurnal Uffiċjali tal-Unjoni Ewropea.</w:t>
      </w:r>
    </w:p>
    <w:p w14:paraId="40FC2E22" w14:textId="77777777" w:rsidR="00304682" w:rsidRPr="00D04088" w:rsidRDefault="00304682" w:rsidP="00894374">
      <w:pPr>
        <w:pStyle w:val="Titrearticle"/>
        <w:rPr>
          <w:noProof/>
        </w:rPr>
      </w:pPr>
      <w:r w:rsidRPr="00D04088">
        <w:rPr>
          <w:noProof/>
        </w:rPr>
        <w:t>Artikolu 5</w:t>
      </w:r>
    </w:p>
    <w:p w14:paraId="2582A4AC" w14:textId="77777777" w:rsidR="00304682" w:rsidRPr="00D04088" w:rsidRDefault="00304682">
      <w:pPr>
        <w:rPr>
          <w:noProof/>
        </w:rPr>
      </w:pPr>
      <w:r w:rsidRPr="00D04088">
        <w:rPr>
          <w:noProof/>
        </w:rPr>
        <w:t>Din id-Direttiva hija indirizzata lill-Istati Membri.</w:t>
      </w:r>
    </w:p>
    <w:p w14:paraId="1FF4178E" w14:textId="51704261" w:rsidR="00304682" w:rsidRPr="00D04088" w:rsidRDefault="00D04088" w:rsidP="00894374">
      <w:pPr>
        <w:pStyle w:val="Fait"/>
        <w:rPr>
          <w:noProof/>
        </w:rPr>
      </w:pPr>
      <w:r>
        <w:rPr>
          <w:noProof/>
        </w:rPr>
        <w:t>Magħmul fi Brussell,</w:t>
      </w:r>
    </w:p>
    <w:p w14:paraId="7238577C" w14:textId="77777777" w:rsidR="00304682" w:rsidRPr="00D04088" w:rsidRDefault="00304682" w:rsidP="00894374">
      <w:pPr>
        <w:pStyle w:val="Institutionquisigne"/>
        <w:rPr>
          <w:noProof/>
        </w:rPr>
      </w:pPr>
      <w:r w:rsidRPr="00D04088">
        <w:rPr>
          <w:noProof/>
        </w:rPr>
        <w:tab/>
        <w:t>Għall-Kunsill</w:t>
      </w:r>
    </w:p>
    <w:p w14:paraId="76811306" w14:textId="77777777" w:rsidR="004515FC" w:rsidRPr="00D04088" w:rsidRDefault="00304682" w:rsidP="00304682">
      <w:pPr>
        <w:pStyle w:val="Personnequisigne"/>
        <w:rPr>
          <w:noProof/>
        </w:rPr>
      </w:pPr>
      <w:r w:rsidRPr="00D04088">
        <w:rPr>
          <w:noProof/>
        </w:rPr>
        <w:tab/>
        <w:t>Il-President</w:t>
      </w:r>
    </w:p>
    <w:p w14:paraId="50C3CB6F" w14:textId="77777777" w:rsidR="004515FC" w:rsidRPr="00D04088" w:rsidRDefault="004515FC">
      <w:pPr>
        <w:spacing w:before="0" w:after="200" w:line="276" w:lineRule="auto"/>
        <w:jc w:val="left"/>
        <w:rPr>
          <w:i/>
          <w:noProof/>
        </w:rPr>
      </w:pPr>
      <w:r w:rsidRPr="00D04088">
        <w:rPr>
          <w:noProof/>
        </w:rPr>
        <w:br w:type="page"/>
      </w:r>
    </w:p>
    <w:p w14:paraId="02603DB7" w14:textId="77777777" w:rsidR="004515FC" w:rsidRPr="00D04088" w:rsidRDefault="004515FC" w:rsidP="004515FC">
      <w:pPr>
        <w:pStyle w:val="Fichefinanciretitre"/>
        <w:keepNext/>
        <w:rPr>
          <w:noProof/>
        </w:rPr>
      </w:pPr>
      <w:bookmarkStart w:id="6" w:name="_TocB7751C055C4744A28A002AAF436526DF"/>
      <w:r w:rsidRPr="00D04088">
        <w:rPr>
          <w:noProof/>
        </w:rPr>
        <w:lastRenderedPageBreak/>
        <w:t>DIKJARAZZJONI FINANZJARJA LEĠIŻLATTIVA</w:t>
      </w:r>
      <w:bookmarkEnd w:id="6"/>
    </w:p>
    <w:p w14:paraId="412C4788" w14:textId="77777777" w:rsidR="004515FC" w:rsidRPr="00D04088" w:rsidRDefault="004515FC" w:rsidP="004515FC">
      <w:pPr>
        <w:pStyle w:val="ManualHeading1"/>
        <w:rPr>
          <w:noProof/>
        </w:rPr>
      </w:pPr>
      <w:r w:rsidRPr="00D04088">
        <w:rPr>
          <w:noProof/>
        </w:rPr>
        <w:t>1.</w:t>
      </w:r>
      <w:r w:rsidRPr="00D04088">
        <w:rPr>
          <w:noProof/>
        </w:rPr>
        <w:tab/>
        <w:t>QAFAS TAL-PROPOSTA/TAL-INIZJATTIVA</w:t>
      </w:r>
    </w:p>
    <w:p w14:paraId="5AC11322" w14:textId="77777777" w:rsidR="004515FC" w:rsidRPr="00D04088" w:rsidRDefault="004515FC" w:rsidP="004515FC">
      <w:pPr>
        <w:pStyle w:val="ManualHeading2"/>
        <w:rPr>
          <w:noProof/>
        </w:rPr>
      </w:pPr>
      <w:r w:rsidRPr="00D04088">
        <w:rPr>
          <w:noProof/>
        </w:rPr>
        <w:t>1.1.</w:t>
      </w:r>
      <w:r w:rsidRPr="00D04088">
        <w:rPr>
          <w:noProof/>
        </w:rPr>
        <w:tab/>
        <w:t>Titolu tal-proposta/tal-inizjattiva</w:t>
      </w:r>
    </w:p>
    <w:p w14:paraId="3C07F151" w14:textId="77777777" w:rsidR="004515FC" w:rsidRPr="00D04088" w:rsidRDefault="004515FC" w:rsidP="004515FC">
      <w:pPr>
        <w:pStyle w:val="ManualHeading2"/>
        <w:rPr>
          <w:noProof/>
        </w:rPr>
      </w:pPr>
      <w:r w:rsidRPr="00D04088">
        <w:rPr>
          <w:noProof/>
        </w:rPr>
        <w:t>1.2.</w:t>
      </w:r>
      <w:r w:rsidRPr="00D04088">
        <w:rPr>
          <w:noProof/>
        </w:rPr>
        <w:tab/>
        <w:t>Qasam/Oqsma ta’ politika kkonċernat(i)</w:t>
      </w:r>
    </w:p>
    <w:p w14:paraId="17C194D5" w14:textId="77777777" w:rsidR="004515FC" w:rsidRPr="00D04088" w:rsidRDefault="004515FC" w:rsidP="004515FC">
      <w:pPr>
        <w:pStyle w:val="ManualHeading2"/>
        <w:rPr>
          <w:noProof/>
        </w:rPr>
      </w:pPr>
      <w:r w:rsidRPr="00D04088">
        <w:rPr>
          <w:noProof/>
        </w:rPr>
        <w:t>1.3.</w:t>
      </w:r>
      <w:r w:rsidRPr="00D04088">
        <w:rPr>
          <w:noProof/>
        </w:rPr>
        <w:tab/>
        <w:t>Il-proposta/l-inizjattiva hija relatata ma’:</w:t>
      </w:r>
    </w:p>
    <w:p w14:paraId="78777223" w14:textId="77777777" w:rsidR="004515FC" w:rsidRPr="00D04088" w:rsidRDefault="004515FC" w:rsidP="004515FC">
      <w:pPr>
        <w:pStyle w:val="ManualHeading2"/>
        <w:rPr>
          <w:noProof/>
        </w:rPr>
      </w:pPr>
      <w:r w:rsidRPr="00D04088">
        <w:rPr>
          <w:noProof/>
        </w:rPr>
        <w:t>1.4.</w:t>
      </w:r>
      <w:r w:rsidRPr="00D04088">
        <w:rPr>
          <w:noProof/>
        </w:rPr>
        <w:tab/>
        <w:t>Objettiv(i)</w:t>
      </w:r>
    </w:p>
    <w:p w14:paraId="1962A2DA" w14:textId="77777777" w:rsidR="004515FC" w:rsidRPr="00D04088" w:rsidRDefault="004515FC" w:rsidP="004515FC">
      <w:pPr>
        <w:pStyle w:val="ManualHeading3"/>
        <w:rPr>
          <w:noProof/>
        </w:rPr>
      </w:pPr>
      <w:r w:rsidRPr="00D04088">
        <w:rPr>
          <w:noProof/>
        </w:rPr>
        <w:t>1.4.1.</w:t>
      </w:r>
      <w:r w:rsidRPr="00D04088">
        <w:rPr>
          <w:noProof/>
        </w:rPr>
        <w:tab/>
        <w:t>Objettiv(i) ġenerali</w:t>
      </w:r>
    </w:p>
    <w:p w14:paraId="780E3BAA" w14:textId="77777777" w:rsidR="004515FC" w:rsidRPr="00D04088" w:rsidRDefault="004515FC" w:rsidP="004515FC">
      <w:pPr>
        <w:pStyle w:val="ManualHeading3"/>
        <w:rPr>
          <w:noProof/>
        </w:rPr>
      </w:pPr>
      <w:r w:rsidRPr="00D04088">
        <w:rPr>
          <w:noProof/>
        </w:rPr>
        <w:t>1.4.2.</w:t>
      </w:r>
      <w:r w:rsidRPr="00D04088">
        <w:rPr>
          <w:noProof/>
        </w:rPr>
        <w:tab/>
        <w:t>Objettiv(i) speċifiku/speċifiċi</w:t>
      </w:r>
    </w:p>
    <w:p w14:paraId="5513EAFB" w14:textId="77777777" w:rsidR="004515FC" w:rsidRPr="00D04088" w:rsidRDefault="004515FC" w:rsidP="004515FC">
      <w:pPr>
        <w:pStyle w:val="ManualHeading3"/>
        <w:rPr>
          <w:noProof/>
        </w:rPr>
      </w:pPr>
      <w:r w:rsidRPr="00D04088">
        <w:rPr>
          <w:noProof/>
        </w:rPr>
        <w:t>1.4.3.</w:t>
      </w:r>
      <w:r w:rsidRPr="00D04088">
        <w:rPr>
          <w:noProof/>
        </w:rPr>
        <w:tab/>
        <w:t>Riżultat(i) u impatt mistennija</w:t>
      </w:r>
    </w:p>
    <w:p w14:paraId="782A93B2" w14:textId="77777777" w:rsidR="004515FC" w:rsidRPr="00D04088" w:rsidRDefault="004515FC" w:rsidP="004515FC">
      <w:pPr>
        <w:pStyle w:val="ManualHeading3"/>
        <w:rPr>
          <w:noProof/>
        </w:rPr>
      </w:pPr>
      <w:r w:rsidRPr="00D04088">
        <w:rPr>
          <w:noProof/>
        </w:rPr>
        <w:t>1.4.4.</w:t>
      </w:r>
      <w:r w:rsidRPr="00D04088">
        <w:rPr>
          <w:noProof/>
        </w:rPr>
        <w:tab/>
        <w:t>Indikaturi tal-prestazzjoni</w:t>
      </w:r>
    </w:p>
    <w:p w14:paraId="1470FED1" w14:textId="77777777" w:rsidR="004515FC" w:rsidRPr="00D04088" w:rsidRDefault="004515FC" w:rsidP="004515FC">
      <w:pPr>
        <w:pStyle w:val="ManualHeading2"/>
        <w:rPr>
          <w:noProof/>
        </w:rPr>
      </w:pPr>
      <w:r w:rsidRPr="00D04088">
        <w:rPr>
          <w:noProof/>
        </w:rPr>
        <w:t>1.5.</w:t>
      </w:r>
      <w:r w:rsidRPr="00D04088">
        <w:rPr>
          <w:noProof/>
        </w:rPr>
        <w:tab/>
        <w:t>Raġunijiet għall-proposta/għall-inizjattiva</w:t>
      </w:r>
    </w:p>
    <w:p w14:paraId="4DEC41CF" w14:textId="77777777" w:rsidR="004515FC" w:rsidRPr="00D04088" w:rsidRDefault="004515FC" w:rsidP="004515FC">
      <w:pPr>
        <w:pStyle w:val="ManualHeading3"/>
        <w:rPr>
          <w:noProof/>
        </w:rPr>
      </w:pPr>
      <w:r w:rsidRPr="00D04088">
        <w:rPr>
          <w:noProof/>
        </w:rPr>
        <w:t>1.5.1.</w:t>
      </w:r>
      <w:r w:rsidRPr="00D04088">
        <w:rPr>
          <w:noProof/>
        </w:rPr>
        <w:tab/>
        <w:t>Rekwiżit(i) li jrid(u) jiġi/u ssodisfat(i) fuq terminu qasir jew twil inkluża kronoloġija dettaljata għat-tnedija tal-implimentazzjoni tal-inizjattiva</w:t>
      </w:r>
    </w:p>
    <w:p w14:paraId="7BA590A4" w14:textId="77777777" w:rsidR="004515FC" w:rsidRPr="00D04088" w:rsidRDefault="004515FC" w:rsidP="004515FC">
      <w:pPr>
        <w:pStyle w:val="ManualHeading3"/>
        <w:rPr>
          <w:noProof/>
        </w:rPr>
      </w:pPr>
      <w:r w:rsidRPr="00D04088">
        <w:rPr>
          <w:noProof/>
        </w:rPr>
        <w:t>1.5.2.</w:t>
      </w:r>
      <w:r w:rsidRPr="00D04088">
        <w:rPr>
          <w:noProof/>
        </w:rPr>
        <w:tab/>
        <w:t>Valur miżjud tal-involviment tal-Unjoni (dan jista’ jirriżulta minn fatturi differenti, eż. il-gwadanji mill-koordinazzjoni, iċ-ċertezza legali, effettività akbar jew il-komplementarjetajiet). Għall-finijiet ta’ dan il-punt, il-“valur miżjud tal-involviment tal-Unjoni” huwa l-valur li jirriżulta mill-intervent tal-Unjoni li jkun addizzjonali għall-valur illi kieku kien jinħoloq mill-Istati Membri waħedhom.</w:t>
      </w:r>
    </w:p>
    <w:p w14:paraId="19AAD9BE" w14:textId="77777777" w:rsidR="004515FC" w:rsidRPr="00D04088" w:rsidRDefault="004515FC" w:rsidP="004515FC">
      <w:pPr>
        <w:pStyle w:val="ManualHeading3"/>
        <w:rPr>
          <w:noProof/>
        </w:rPr>
      </w:pPr>
      <w:r w:rsidRPr="00D04088">
        <w:rPr>
          <w:noProof/>
        </w:rPr>
        <w:t>1.5.3.</w:t>
      </w:r>
      <w:r w:rsidRPr="00D04088">
        <w:rPr>
          <w:noProof/>
        </w:rPr>
        <w:tab/>
        <w:t>Tagħlimiet meħuda minn esperjenzi simili fl-imgħoddi</w:t>
      </w:r>
    </w:p>
    <w:p w14:paraId="4A7012BB" w14:textId="77777777" w:rsidR="004515FC" w:rsidRPr="00D04088" w:rsidRDefault="004515FC" w:rsidP="004515FC">
      <w:pPr>
        <w:pStyle w:val="ManualHeading3"/>
        <w:rPr>
          <w:noProof/>
        </w:rPr>
      </w:pPr>
      <w:r w:rsidRPr="00D04088">
        <w:rPr>
          <w:noProof/>
        </w:rPr>
        <w:t>1.5.4.</w:t>
      </w:r>
      <w:r w:rsidRPr="00D04088">
        <w:rPr>
          <w:noProof/>
        </w:rPr>
        <w:tab/>
        <w:t>Kompatibbiltà mal-Qafas Finanzjarju Pluriennali u sinerġiji possibbli ma’ strumenti xierqa oħra</w:t>
      </w:r>
    </w:p>
    <w:p w14:paraId="488B7F6D" w14:textId="77777777" w:rsidR="004515FC" w:rsidRPr="00D04088" w:rsidRDefault="004515FC" w:rsidP="004515FC">
      <w:pPr>
        <w:pStyle w:val="ManualHeading3"/>
        <w:rPr>
          <w:noProof/>
        </w:rPr>
      </w:pPr>
      <w:r w:rsidRPr="00D04088">
        <w:rPr>
          <w:noProof/>
        </w:rPr>
        <w:t>1.5.5.</w:t>
      </w:r>
      <w:r w:rsidRPr="00D04088">
        <w:rPr>
          <w:noProof/>
        </w:rPr>
        <w:tab/>
        <w:t>Valutazzjoni tal-għażliet differenti ta’ finanzjament disponibbli, inkluż l-ambitu għar-riallokazzjoni</w:t>
      </w:r>
    </w:p>
    <w:p w14:paraId="2AA45D3A" w14:textId="77777777" w:rsidR="004515FC" w:rsidRPr="00D04088" w:rsidRDefault="004515FC" w:rsidP="004515FC">
      <w:pPr>
        <w:pStyle w:val="ManualHeading2"/>
        <w:rPr>
          <w:noProof/>
        </w:rPr>
      </w:pPr>
      <w:r w:rsidRPr="00D04088">
        <w:rPr>
          <w:noProof/>
        </w:rPr>
        <w:t>1.6.</w:t>
      </w:r>
      <w:r w:rsidRPr="00D04088">
        <w:rPr>
          <w:noProof/>
        </w:rPr>
        <w:tab/>
        <w:t>Durata u impatt finanzjarju tal-proposta/tal-inizjattiva</w:t>
      </w:r>
    </w:p>
    <w:p w14:paraId="7E9951BC" w14:textId="77777777" w:rsidR="004515FC" w:rsidRPr="00D04088" w:rsidRDefault="004515FC" w:rsidP="004515FC">
      <w:pPr>
        <w:pStyle w:val="ManualHeading2"/>
        <w:rPr>
          <w:noProof/>
        </w:rPr>
      </w:pPr>
      <w:r w:rsidRPr="00D04088">
        <w:rPr>
          <w:noProof/>
        </w:rPr>
        <w:t>1.7.</w:t>
      </w:r>
      <w:r w:rsidRPr="00D04088">
        <w:rPr>
          <w:noProof/>
        </w:rPr>
        <w:tab/>
        <w:t>Metodu/i ta’ implimentazzjoni tal-baġit pjanat(i)</w:t>
      </w:r>
    </w:p>
    <w:p w14:paraId="5AE18711" w14:textId="77777777" w:rsidR="004515FC" w:rsidRPr="00D04088" w:rsidRDefault="004515FC" w:rsidP="004515FC">
      <w:pPr>
        <w:pStyle w:val="ManualHeading1"/>
        <w:rPr>
          <w:noProof/>
        </w:rPr>
      </w:pPr>
      <w:r w:rsidRPr="00D04088">
        <w:rPr>
          <w:noProof/>
        </w:rPr>
        <w:t>2.</w:t>
      </w:r>
      <w:r w:rsidRPr="00D04088">
        <w:rPr>
          <w:noProof/>
        </w:rPr>
        <w:tab/>
        <w:t>MIŻURI TA’ ĠESTJONI</w:t>
      </w:r>
    </w:p>
    <w:p w14:paraId="19077510" w14:textId="77777777" w:rsidR="004515FC" w:rsidRPr="00D04088" w:rsidRDefault="004515FC" w:rsidP="004515FC">
      <w:pPr>
        <w:pStyle w:val="ManualHeading2"/>
        <w:rPr>
          <w:noProof/>
        </w:rPr>
      </w:pPr>
      <w:r w:rsidRPr="00D04088">
        <w:rPr>
          <w:noProof/>
        </w:rPr>
        <w:t>2.1.</w:t>
      </w:r>
      <w:r w:rsidRPr="00D04088">
        <w:rPr>
          <w:noProof/>
        </w:rPr>
        <w:tab/>
        <w:t>Regoli ta’ monitoraġġ u ta’ rapportar</w:t>
      </w:r>
    </w:p>
    <w:p w14:paraId="4E22B124" w14:textId="77777777" w:rsidR="004515FC" w:rsidRPr="00D04088" w:rsidRDefault="004515FC" w:rsidP="004515FC">
      <w:pPr>
        <w:pStyle w:val="ManualHeading2"/>
        <w:rPr>
          <w:noProof/>
        </w:rPr>
      </w:pPr>
      <w:r w:rsidRPr="00D04088">
        <w:rPr>
          <w:noProof/>
        </w:rPr>
        <w:t>2.2.</w:t>
      </w:r>
      <w:r w:rsidRPr="00D04088">
        <w:rPr>
          <w:noProof/>
        </w:rPr>
        <w:tab/>
        <w:t>Sistema/i ta’ ġestjoni u ta’ kontroll</w:t>
      </w:r>
    </w:p>
    <w:p w14:paraId="23F2931D" w14:textId="77777777" w:rsidR="004515FC" w:rsidRPr="00D04088" w:rsidRDefault="004515FC" w:rsidP="004515FC">
      <w:pPr>
        <w:pStyle w:val="ManualHeading3"/>
        <w:rPr>
          <w:noProof/>
        </w:rPr>
      </w:pPr>
      <w:r w:rsidRPr="00D04088">
        <w:rPr>
          <w:noProof/>
        </w:rPr>
        <w:t>2.2.1.</w:t>
      </w:r>
      <w:r w:rsidRPr="00D04088">
        <w:rPr>
          <w:noProof/>
        </w:rPr>
        <w:tab/>
        <w:t>Ġustifikazzjoni tal-mod(i) ta’ ġestjoni, tal-mekkaniżmu/i għall-implimentazzjoni tal-finanzjament, tal-modalitajiet ta’ pagament u tal-istrateġija ta’ kontroll proposta</w:t>
      </w:r>
    </w:p>
    <w:p w14:paraId="2C027BA1" w14:textId="77777777" w:rsidR="004515FC" w:rsidRPr="00D04088" w:rsidRDefault="004515FC" w:rsidP="004515FC">
      <w:pPr>
        <w:pStyle w:val="ManualHeading3"/>
        <w:rPr>
          <w:noProof/>
        </w:rPr>
      </w:pPr>
      <w:r w:rsidRPr="00D04088">
        <w:rPr>
          <w:noProof/>
        </w:rPr>
        <w:t>2.2.2.</w:t>
      </w:r>
      <w:r w:rsidRPr="00D04088">
        <w:rPr>
          <w:noProof/>
        </w:rPr>
        <w:tab/>
        <w:t>Informazzjoni dwar ir-riskji identifikati u s-sistema/i ta’ kontroll intern stabbilita/i għall-mitigazzjoni tagħhom</w:t>
      </w:r>
    </w:p>
    <w:p w14:paraId="764D9CE3" w14:textId="77777777" w:rsidR="004515FC" w:rsidRPr="00D04088" w:rsidRDefault="004515FC" w:rsidP="004515FC">
      <w:pPr>
        <w:pStyle w:val="ManualHeading3"/>
        <w:rPr>
          <w:noProof/>
        </w:rPr>
      </w:pPr>
      <w:r w:rsidRPr="00D04088">
        <w:rPr>
          <w:noProof/>
        </w:rPr>
        <w:t>2.2.3.</w:t>
      </w:r>
      <w:r w:rsidRPr="00D04088">
        <w:rPr>
          <w:noProof/>
        </w:rPr>
        <w:tab/>
        <w:t>Estimu u ġustifikazzjoni tal-kosteffettività tal-kontrolli (proporzjon tal-“kostijiet tal-kontroll ÷ il-valur tal-fondi relatati ġestiti”) u valutazzjoni tal-livelli mistennija tar-riskju ta’ errur (mal-ħlas u fl-għeluq)</w:t>
      </w:r>
    </w:p>
    <w:p w14:paraId="1A88A2A8" w14:textId="77777777" w:rsidR="004515FC" w:rsidRPr="00D04088" w:rsidRDefault="004515FC" w:rsidP="004515FC">
      <w:pPr>
        <w:pStyle w:val="ManualHeading2"/>
        <w:rPr>
          <w:noProof/>
        </w:rPr>
      </w:pPr>
      <w:r w:rsidRPr="00D04088">
        <w:rPr>
          <w:noProof/>
        </w:rPr>
        <w:t>2.3.</w:t>
      </w:r>
      <w:r w:rsidRPr="00D04088">
        <w:rPr>
          <w:noProof/>
        </w:rPr>
        <w:tab/>
        <w:t>Miżuri għall-prevenzjoni ta’ frodi u ta’ irregolaritajiet</w:t>
      </w:r>
    </w:p>
    <w:p w14:paraId="06D4D9FB" w14:textId="77777777" w:rsidR="004515FC" w:rsidRPr="00D04088" w:rsidRDefault="004515FC" w:rsidP="004515FC">
      <w:pPr>
        <w:pStyle w:val="ManualHeading1"/>
        <w:rPr>
          <w:noProof/>
        </w:rPr>
      </w:pPr>
      <w:r w:rsidRPr="00D04088">
        <w:rPr>
          <w:noProof/>
        </w:rPr>
        <w:t>3.</w:t>
      </w:r>
      <w:r w:rsidRPr="00D04088">
        <w:rPr>
          <w:noProof/>
        </w:rPr>
        <w:tab/>
        <w:t>IMPATT FINANZJARJU STMAT TAL-PROPOSTA/TAL-INIZJATTIVA</w:t>
      </w:r>
    </w:p>
    <w:p w14:paraId="2EBB2895" w14:textId="77777777" w:rsidR="004515FC" w:rsidRPr="00D04088" w:rsidRDefault="004515FC" w:rsidP="004515FC">
      <w:pPr>
        <w:pStyle w:val="ManualHeading2"/>
        <w:rPr>
          <w:noProof/>
        </w:rPr>
      </w:pPr>
      <w:r w:rsidRPr="00D04088">
        <w:rPr>
          <w:noProof/>
        </w:rPr>
        <w:t>3.1.</w:t>
      </w:r>
      <w:r w:rsidRPr="00D04088">
        <w:rPr>
          <w:noProof/>
        </w:rPr>
        <w:tab/>
        <w:t>Intestatura/i tal-qafas finanzjarju pluriennali u l-linja/i baġitarja/i tan-nefqa affettwata/i</w:t>
      </w:r>
    </w:p>
    <w:p w14:paraId="5D10B105" w14:textId="77777777" w:rsidR="004515FC" w:rsidRPr="00D04088" w:rsidRDefault="004515FC" w:rsidP="004515FC">
      <w:pPr>
        <w:pStyle w:val="ManualHeading2"/>
        <w:rPr>
          <w:noProof/>
        </w:rPr>
      </w:pPr>
      <w:r w:rsidRPr="00D04088">
        <w:rPr>
          <w:noProof/>
        </w:rPr>
        <w:t>3.2.</w:t>
      </w:r>
      <w:r w:rsidRPr="00D04088">
        <w:rPr>
          <w:noProof/>
        </w:rPr>
        <w:tab/>
        <w:t>Impatt finanzjarju stmat tal-proposta fuq l-approprjazzjonijiet</w:t>
      </w:r>
    </w:p>
    <w:p w14:paraId="6464054D" w14:textId="77777777" w:rsidR="004515FC" w:rsidRPr="00D04088" w:rsidRDefault="004515FC" w:rsidP="004515FC">
      <w:pPr>
        <w:pStyle w:val="ManualHeading3"/>
        <w:rPr>
          <w:noProof/>
        </w:rPr>
      </w:pPr>
      <w:r w:rsidRPr="00D04088">
        <w:rPr>
          <w:noProof/>
        </w:rPr>
        <w:t>3.2.1.</w:t>
      </w:r>
      <w:r w:rsidRPr="00D04088">
        <w:rPr>
          <w:noProof/>
        </w:rPr>
        <w:tab/>
        <w:t>Sommarju tal-impatt stmat fuq l-approprjazzjonijiet operazzjonali</w:t>
      </w:r>
    </w:p>
    <w:p w14:paraId="6C2C37CE" w14:textId="77777777" w:rsidR="004515FC" w:rsidRPr="00D04088" w:rsidRDefault="004515FC" w:rsidP="004515FC">
      <w:pPr>
        <w:pStyle w:val="ManualHeading3"/>
        <w:rPr>
          <w:noProof/>
        </w:rPr>
      </w:pPr>
      <w:r w:rsidRPr="00D04088">
        <w:rPr>
          <w:noProof/>
        </w:rPr>
        <w:t>3.2.2.</w:t>
      </w:r>
      <w:r w:rsidRPr="00D04088">
        <w:rPr>
          <w:noProof/>
        </w:rPr>
        <w:tab/>
        <w:t>Output stmat iffinanzjat bl-approprjazzjonijiet operazzjonali</w:t>
      </w:r>
    </w:p>
    <w:p w14:paraId="7765DC0F" w14:textId="77777777" w:rsidR="004515FC" w:rsidRPr="00D04088" w:rsidRDefault="004515FC" w:rsidP="004515FC">
      <w:pPr>
        <w:pStyle w:val="ManualHeading3"/>
        <w:rPr>
          <w:noProof/>
        </w:rPr>
      </w:pPr>
      <w:r w:rsidRPr="00D04088">
        <w:rPr>
          <w:noProof/>
        </w:rPr>
        <w:t>3.2.3.</w:t>
      </w:r>
      <w:r w:rsidRPr="00D04088">
        <w:rPr>
          <w:noProof/>
        </w:rPr>
        <w:tab/>
        <w:t>Sommarju tal-impatt stmat fuq l-approprjazzjonijiet amministrattivi</w:t>
      </w:r>
    </w:p>
    <w:p w14:paraId="19B81FF7" w14:textId="77777777" w:rsidR="004515FC" w:rsidRPr="00D04088" w:rsidRDefault="004515FC" w:rsidP="004515FC">
      <w:pPr>
        <w:pStyle w:val="ManualHeading3"/>
        <w:rPr>
          <w:noProof/>
        </w:rPr>
      </w:pPr>
      <w:r w:rsidRPr="00D04088">
        <w:rPr>
          <w:noProof/>
        </w:rPr>
        <w:t>3.2.3.1.</w:t>
      </w:r>
      <w:r w:rsidRPr="00D04088">
        <w:rPr>
          <w:noProof/>
        </w:rPr>
        <w:tab/>
        <w:t>Rekwiżiti stmati ta’ riżorsi umani</w:t>
      </w:r>
    </w:p>
    <w:p w14:paraId="47AF0B97" w14:textId="77777777" w:rsidR="004515FC" w:rsidRPr="00D04088" w:rsidRDefault="004515FC" w:rsidP="004515FC">
      <w:pPr>
        <w:pStyle w:val="ManualHeading3"/>
        <w:rPr>
          <w:noProof/>
        </w:rPr>
      </w:pPr>
      <w:r w:rsidRPr="00D04088">
        <w:rPr>
          <w:noProof/>
        </w:rPr>
        <w:t>3.2.4.</w:t>
      </w:r>
      <w:r w:rsidRPr="00D04088">
        <w:rPr>
          <w:noProof/>
        </w:rPr>
        <w:tab/>
        <w:t>Kompatibbiltà mal-qafas finanzjarju pluriennali kurrenti</w:t>
      </w:r>
    </w:p>
    <w:p w14:paraId="215C76ED" w14:textId="77777777" w:rsidR="004515FC" w:rsidRPr="00D04088" w:rsidRDefault="004515FC" w:rsidP="004515FC">
      <w:pPr>
        <w:pStyle w:val="ManualHeading3"/>
        <w:rPr>
          <w:noProof/>
        </w:rPr>
      </w:pPr>
      <w:r w:rsidRPr="00D04088">
        <w:rPr>
          <w:noProof/>
        </w:rPr>
        <w:t>3.2.5.</w:t>
      </w:r>
      <w:r w:rsidRPr="00D04088">
        <w:rPr>
          <w:noProof/>
        </w:rPr>
        <w:tab/>
        <w:t>Kontribuzzjonijiet ta’ partijiet terzi</w:t>
      </w:r>
    </w:p>
    <w:p w14:paraId="734B181E" w14:textId="77777777" w:rsidR="004515FC" w:rsidRPr="00D04088" w:rsidRDefault="004515FC" w:rsidP="004515FC">
      <w:pPr>
        <w:pStyle w:val="ManualHeading2"/>
        <w:rPr>
          <w:noProof/>
        </w:rPr>
      </w:pPr>
      <w:r w:rsidRPr="00D04088">
        <w:rPr>
          <w:noProof/>
        </w:rPr>
        <w:t>3.3.</w:t>
      </w:r>
      <w:r w:rsidRPr="00D04088">
        <w:rPr>
          <w:noProof/>
        </w:rPr>
        <w:tab/>
        <w:t>Impatt stmat fuq id-dħul</w:t>
      </w:r>
    </w:p>
    <w:p w14:paraId="22E935AE" w14:textId="77777777" w:rsidR="004515FC" w:rsidRPr="00D04088" w:rsidRDefault="004515FC" w:rsidP="004515FC">
      <w:pPr>
        <w:rPr>
          <w:noProof/>
        </w:rPr>
        <w:sectPr w:rsidR="004515FC" w:rsidRPr="00D04088" w:rsidSect="006C0976">
          <w:footnotePr>
            <w:numRestart w:val="eachSect"/>
          </w:footnotePr>
          <w:pgSz w:w="11907" w:h="16840" w:code="9"/>
          <w:pgMar w:top="1134" w:right="1418" w:bottom="1134" w:left="1418" w:header="709" w:footer="709" w:gutter="0"/>
          <w:pgNumType w:start="1"/>
          <w:cols w:space="720"/>
          <w:docGrid w:linePitch="360"/>
        </w:sectPr>
      </w:pPr>
    </w:p>
    <w:p w14:paraId="67BD1492" w14:textId="77777777" w:rsidR="004515FC" w:rsidRPr="00D04088" w:rsidRDefault="004515FC" w:rsidP="004515FC">
      <w:pPr>
        <w:pStyle w:val="ManualHeading1"/>
        <w:rPr>
          <w:noProof/>
        </w:rPr>
      </w:pPr>
      <w:bookmarkStart w:id="7" w:name="_Toc514938007"/>
      <w:bookmarkStart w:id="8" w:name="_Toc520485025"/>
      <w:r w:rsidRPr="00D04088">
        <w:rPr>
          <w:noProof/>
        </w:rPr>
        <w:t>1.</w:t>
      </w:r>
      <w:r w:rsidRPr="00D04088">
        <w:rPr>
          <w:noProof/>
        </w:rPr>
        <w:tab/>
        <w:t>QAFAS TAL-PROPOSTA/TAL-INIZJATTIVA</w:t>
      </w:r>
      <w:bookmarkEnd w:id="7"/>
      <w:bookmarkEnd w:id="8"/>
      <w:r w:rsidRPr="00D04088">
        <w:rPr>
          <w:noProof/>
        </w:rPr>
        <w:t xml:space="preserve"> </w:t>
      </w:r>
    </w:p>
    <w:p w14:paraId="5BCB265D" w14:textId="77777777" w:rsidR="004515FC" w:rsidRPr="00D04088" w:rsidRDefault="004515FC" w:rsidP="004515FC">
      <w:pPr>
        <w:pStyle w:val="ManualHeading2"/>
        <w:rPr>
          <w:noProof/>
        </w:rPr>
      </w:pPr>
      <w:bookmarkStart w:id="9" w:name="_Toc514938008"/>
      <w:bookmarkStart w:id="10" w:name="_Toc520485026"/>
      <w:r w:rsidRPr="00D04088">
        <w:rPr>
          <w:noProof/>
        </w:rPr>
        <w:t>1.1.</w:t>
      </w:r>
      <w:r w:rsidRPr="00D04088">
        <w:rPr>
          <w:noProof/>
        </w:rPr>
        <w:tab/>
        <w:t>Titolu tal-proposta/tal-inizjattiva</w:t>
      </w:r>
      <w:bookmarkEnd w:id="9"/>
      <w:bookmarkEnd w:id="10"/>
    </w:p>
    <w:p w14:paraId="1B8BAB42" w14:textId="11A9E119"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D04088">
        <w:rPr>
          <w:noProof/>
        </w:rPr>
        <w:t>Proposta għal Direttiva tal-Kunsill li temenda d-Direttiva (UE) 2015/637 dwar il-miżuri ta’ koordinazzjoni u kooperazzjoni biex tiġi ffaċilitata l-protezzjoni konsulari għal ċittadini mhux rappreżentati tal-Unjoni f’pajjiżi terzi u d-Direttiva (UE) 2019/997 li tistabbilixxi Dokument Provviżorju tal-Ivvjaġġar tal-UE</w:t>
      </w:r>
    </w:p>
    <w:p w14:paraId="5835C4EA" w14:textId="77777777" w:rsidR="004515FC" w:rsidRPr="00D04088" w:rsidRDefault="004515FC" w:rsidP="004515FC">
      <w:pPr>
        <w:pStyle w:val="ManualHeading2"/>
        <w:rPr>
          <w:i/>
          <w:noProof/>
        </w:rPr>
      </w:pPr>
      <w:bookmarkStart w:id="11" w:name="_Toc514938011"/>
      <w:bookmarkStart w:id="12" w:name="_Toc520485027"/>
      <w:r w:rsidRPr="00D04088">
        <w:rPr>
          <w:noProof/>
        </w:rPr>
        <w:t>1.2.</w:t>
      </w:r>
      <w:r w:rsidRPr="00D04088">
        <w:rPr>
          <w:noProof/>
        </w:rPr>
        <w:tab/>
        <w:t>Qasam/Oqsma ta’ politika kkonċernat(i)</w:t>
      </w:r>
      <w:bookmarkEnd w:id="11"/>
      <w:bookmarkEnd w:id="12"/>
      <w:r w:rsidRPr="00D04088">
        <w:rPr>
          <w:i/>
          <w:noProof/>
        </w:rPr>
        <w:t xml:space="preserve"> </w:t>
      </w:r>
    </w:p>
    <w:p w14:paraId="21D018DB"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D04088">
        <w:rPr>
          <w:noProof/>
        </w:rPr>
        <w:t>Protezzjoni konsulari</w:t>
      </w:r>
    </w:p>
    <w:p w14:paraId="475646DA" w14:textId="77777777" w:rsidR="004515FC" w:rsidRPr="00D04088" w:rsidRDefault="004515FC" w:rsidP="004515FC">
      <w:pPr>
        <w:pStyle w:val="ManualHeading2"/>
        <w:rPr>
          <w:noProof/>
        </w:rPr>
      </w:pPr>
      <w:bookmarkStart w:id="13" w:name="_Toc514938014"/>
      <w:bookmarkStart w:id="14" w:name="_Toc520485028"/>
      <w:r w:rsidRPr="00D04088">
        <w:rPr>
          <w:noProof/>
        </w:rPr>
        <w:t>1.3.</w:t>
      </w:r>
      <w:r w:rsidRPr="00D04088">
        <w:rPr>
          <w:noProof/>
        </w:rPr>
        <w:tab/>
        <w:t>Il-proposta/l-inizjattiva hija relatata ma’:</w:t>
      </w:r>
      <w:bookmarkEnd w:id="13"/>
      <w:bookmarkEnd w:id="14"/>
      <w:r w:rsidRPr="00D04088">
        <w:rPr>
          <w:noProof/>
        </w:rPr>
        <w:t xml:space="preserve"> </w:t>
      </w:r>
    </w:p>
    <w:p w14:paraId="53E8E300" w14:textId="77777777" w:rsidR="004515FC" w:rsidRPr="00D04088" w:rsidRDefault="004515FC" w:rsidP="004515FC">
      <w:pPr>
        <w:pStyle w:val="Text1"/>
        <w:rPr>
          <w:b/>
          <w:noProof/>
          <w:sz w:val="22"/>
        </w:rPr>
      </w:pPr>
      <w:r w:rsidRPr="00D04088">
        <w:rPr>
          <w:rFonts w:ascii="Wingdings" w:hAnsi="Wingdings"/>
          <w:noProof/>
          <w:sz w:val="22"/>
        </w:rPr>
        <w:t></w:t>
      </w:r>
      <w:r w:rsidRPr="00D04088">
        <w:rPr>
          <w:b/>
          <w:i/>
          <w:noProof/>
          <w:sz w:val="22"/>
        </w:rPr>
        <w:t xml:space="preserve"> </w:t>
      </w:r>
      <w:r w:rsidRPr="00D04088">
        <w:rPr>
          <w:b/>
          <w:noProof/>
        </w:rPr>
        <w:t>azzjoni ġdida</w:t>
      </w:r>
      <w:r w:rsidRPr="00D04088">
        <w:rPr>
          <w:b/>
          <w:noProof/>
          <w:sz w:val="22"/>
        </w:rPr>
        <w:t xml:space="preserve"> </w:t>
      </w:r>
    </w:p>
    <w:p w14:paraId="28594D9E" w14:textId="77777777" w:rsidR="004515FC" w:rsidRPr="00D04088" w:rsidRDefault="004515FC" w:rsidP="004515FC">
      <w:pPr>
        <w:pStyle w:val="Text1"/>
        <w:rPr>
          <w:noProof/>
          <w:sz w:val="22"/>
        </w:rPr>
      </w:pPr>
      <w:r w:rsidRPr="00D04088">
        <w:rPr>
          <w:rFonts w:ascii="Wingdings" w:hAnsi="Wingdings"/>
          <w:noProof/>
          <w:sz w:val="22"/>
        </w:rPr>
        <w:t></w:t>
      </w:r>
      <w:r w:rsidRPr="00D04088">
        <w:rPr>
          <w:i/>
          <w:noProof/>
          <w:sz w:val="22"/>
        </w:rPr>
        <w:t xml:space="preserve"> </w:t>
      </w:r>
      <w:r w:rsidRPr="00D04088">
        <w:rPr>
          <w:b/>
          <w:noProof/>
        </w:rPr>
        <w:t>azzjoni ġdida b’segwitu għal proġett pilota/azzjoni preparatorja</w:t>
      </w:r>
      <w:r w:rsidRPr="00D04088">
        <w:rPr>
          <w:rStyle w:val="FootnoteReference0"/>
          <w:b/>
          <w:noProof/>
        </w:rPr>
        <w:footnoteReference w:id="39"/>
      </w:r>
      <w:r w:rsidRPr="00D04088">
        <w:rPr>
          <w:noProof/>
          <w:sz w:val="22"/>
        </w:rPr>
        <w:t xml:space="preserve"> </w:t>
      </w:r>
    </w:p>
    <w:p w14:paraId="05037F58" w14:textId="77777777" w:rsidR="004515FC" w:rsidRPr="00D04088" w:rsidRDefault="004515FC" w:rsidP="004515FC">
      <w:pPr>
        <w:pStyle w:val="Text1"/>
        <w:rPr>
          <w:noProof/>
          <w:sz w:val="22"/>
        </w:rPr>
      </w:pPr>
      <w:r w:rsidRPr="00D04088">
        <w:rPr>
          <w:rFonts w:ascii="Wingdings" w:hAnsi="Wingdings"/>
          <w:noProof/>
          <w:sz w:val="22"/>
        </w:rPr>
        <w:t></w:t>
      </w:r>
      <w:r w:rsidRPr="00D04088">
        <w:rPr>
          <w:i/>
          <w:noProof/>
          <w:sz w:val="22"/>
        </w:rPr>
        <w:t xml:space="preserve"> </w:t>
      </w:r>
      <w:r w:rsidRPr="00D04088">
        <w:rPr>
          <w:b/>
          <w:noProof/>
        </w:rPr>
        <w:t>l-estensjoni ta’ azzjoni eżistenti</w:t>
      </w:r>
      <w:r w:rsidRPr="00D04088">
        <w:rPr>
          <w:noProof/>
          <w:sz w:val="22"/>
        </w:rPr>
        <w:t xml:space="preserve"> </w:t>
      </w:r>
    </w:p>
    <w:p w14:paraId="7238F762" w14:textId="77777777" w:rsidR="004515FC" w:rsidRPr="00D04088" w:rsidRDefault="004515FC" w:rsidP="004515FC">
      <w:pPr>
        <w:pStyle w:val="Text1"/>
        <w:rPr>
          <w:noProof/>
        </w:rPr>
      </w:pPr>
      <w:r w:rsidRPr="00D04088">
        <w:rPr>
          <w:rFonts w:ascii="Wingdings" w:hAnsi="Wingdings"/>
          <w:noProof/>
          <w:sz w:val="22"/>
        </w:rPr>
        <w:t></w:t>
      </w:r>
      <w:r w:rsidRPr="00D04088">
        <w:rPr>
          <w:i/>
          <w:noProof/>
          <w:sz w:val="22"/>
        </w:rPr>
        <w:t xml:space="preserve"> </w:t>
      </w:r>
      <w:r w:rsidRPr="00D04088">
        <w:rPr>
          <w:b/>
          <w:noProof/>
        </w:rPr>
        <w:t>fużjoni jew ridirezzjonar ta’ azzjoni waħda jew aktar lejn azzjoni oħra/ġdida</w:t>
      </w:r>
      <w:r w:rsidRPr="00D04088">
        <w:rPr>
          <w:noProof/>
        </w:rPr>
        <w:t xml:space="preserve"> </w:t>
      </w:r>
    </w:p>
    <w:p w14:paraId="0E774F15" w14:textId="77777777" w:rsidR="004515FC" w:rsidRPr="00D04088" w:rsidRDefault="004515FC" w:rsidP="004515FC">
      <w:pPr>
        <w:pStyle w:val="ManualHeading2"/>
        <w:rPr>
          <w:noProof/>
        </w:rPr>
      </w:pPr>
      <w:bookmarkStart w:id="15" w:name="_Toc514938015"/>
      <w:bookmarkStart w:id="16" w:name="_Toc520485029"/>
      <w:r w:rsidRPr="00D04088">
        <w:rPr>
          <w:noProof/>
        </w:rPr>
        <w:t>1.4.</w:t>
      </w:r>
      <w:r w:rsidRPr="00D04088">
        <w:rPr>
          <w:noProof/>
        </w:rPr>
        <w:tab/>
        <w:t>Objettiv(i)</w:t>
      </w:r>
      <w:bookmarkEnd w:id="15"/>
      <w:bookmarkEnd w:id="16"/>
    </w:p>
    <w:p w14:paraId="1221A270" w14:textId="77777777" w:rsidR="004515FC" w:rsidRPr="00D04088" w:rsidRDefault="004515FC" w:rsidP="004515FC">
      <w:pPr>
        <w:pStyle w:val="ManualHeading3"/>
        <w:rPr>
          <w:noProof/>
        </w:rPr>
      </w:pPr>
      <w:bookmarkStart w:id="17" w:name="_Toc514938016"/>
      <w:bookmarkStart w:id="18" w:name="_Toc520485030"/>
      <w:r w:rsidRPr="00D04088">
        <w:rPr>
          <w:noProof/>
        </w:rPr>
        <w:t>1.4.1.</w:t>
      </w:r>
      <w:r w:rsidRPr="00D04088">
        <w:rPr>
          <w:noProof/>
        </w:rPr>
        <w:tab/>
        <w:t>Objettiv ġenerali</w:t>
      </w:r>
      <w:bookmarkEnd w:id="17"/>
      <w:bookmarkEnd w:id="18"/>
    </w:p>
    <w:p w14:paraId="2F6152F1"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L-objettiv ġenerali tal-inizjattiva ta’ politika huwa li ttejjeb l-eżerċizzju tad-dritt għall-protezzjoni konsulari.</w:t>
      </w:r>
    </w:p>
    <w:p w14:paraId="43B7C07E" w14:textId="77777777" w:rsidR="004515FC" w:rsidRPr="00D04088" w:rsidRDefault="004515FC" w:rsidP="004515FC">
      <w:pPr>
        <w:pStyle w:val="ManualHeading3"/>
        <w:rPr>
          <w:noProof/>
        </w:rPr>
      </w:pPr>
      <w:bookmarkStart w:id="19" w:name="_Toc514938018"/>
      <w:bookmarkStart w:id="20" w:name="_Toc520485031"/>
      <w:r w:rsidRPr="00D04088">
        <w:rPr>
          <w:noProof/>
        </w:rPr>
        <w:t>1.4.2.</w:t>
      </w:r>
      <w:r w:rsidRPr="00D04088">
        <w:rPr>
          <w:noProof/>
        </w:rPr>
        <w:tab/>
        <w:t>Objettiv(i) speċifiku/speċifiċi</w:t>
      </w:r>
      <w:bookmarkEnd w:id="19"/>
      <w:bookmarkEnd w:id="20"/>
    </w:p>
    <w:p w14:paraId="7B606C8C"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D04088">
        <w:rPr>
          <w:noProof/>
          <w:u w:val="single"/>
        </w:rPr>
        <w:t>Objettiv speċifiku Nru 1</w:t>
      </w:r>
    </w:p>
    <w:p w14:paraId="3D3141B4"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It-tisħiħ taċ-ċertezza legali għaċ-ċittadini tal-Unjoni fir-rigward tal-kamp ta’ applikazzjoni tad-dritt għall-protezzjoni konsulari.</w:t>
      </w:r>
    </w:p>
    <w:p w14:paraId="25B26032"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D04088">
        <w:rPr>
          <w:noProof/>
          <w:u w:val="single"/>
        </w:rPr>
        <w:t>Objettiv speċifiku Nru 2</w:t>
      </w:r>
    </w:p>
    <w:p w14:paraId="472134C8"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L-iżgurar ta’ rwoli u mekkaniżmi ta’ koordinazzjoni u kooperazzjoni ċari bejn l-Istati Membri u d-delegazzjonijiet tal-Unjoni, inkluż fi żminijiet ta’ kriżi.</w:t>
      </w:r>
    </w:p>
    <w:p w14:paraId="5FF2B598"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D04088">
        <w:rPr>
          <w:noProof/>
          <w:u w:val="single"/>
        </w:rPr>
        <w:t>Objettiv speċifiku Nru 3</w:t>
      </w:r>
    </w:p>
    <w:p w14:paraId="7D2D795B" w14:textId="0C691163"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It-titjib tal-għoti ta’ informazzjoni u tal-komunikazzjoni maċ-ċittadini tal-Unjoni mhux rappreżentati.</w:t>
      </w:r>
    </w:p>
    <w:p w14:paraId="5495A2E6"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D04088">
        <w:rPr>
          <w:noProof/>
          <w:u w:val="single"/>
        </w:rPr>
        <w:t>Objettiv speċifiku Nru 4</w:t>
      </w:r>
    </w:p>
    <w:p w14:paraId="0B9741BA"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Iż-żieda fl-effiċjenza u l-użu tal-proċeduri ta’ rimborż finanzjarju.</w:t>
      </w:r>
    </w:p>
    <w:p w14:paraId="44C12CD3" w14:textId="77777777" w:rsidR="004515FC" w:rsidRPr="00D04088" w:rsidRDefault="004515FC" w:rsidP="004515FC">
      <w:pPr>
        <w:pStyle w:val="ManualHeading3"/>
        <w:ind w:left="0" w:firstLine="0"/>
        <w:rPr>
          <w:noProof/>
        </w:rPr>
      </w:pPr>
      <w:bookmarkStart w:id="21" w:name="_Toc514938019"/>
      <w:bookmarkStart w:id="22" w:name="_Toc520485032"/>
      <w:r w:rsidRPr="00D04088">
        <w:rPr>
          <w:noProof/>
        </w:rPr>
        <w:t>1.4.3.</w:t>
      </w:r>
      <w:r w:rsidRPr="00D04088">
        <w:rPr>
          <w:noProof/>
        </w:rPr>
        <w:tab/>
        <w:t>Riżultat(i) u impatt mistennija</w:t>
      </w:r>
      <w:bookmarkEnd w:id="21"/>
      <w:bookmarkEnd w:id="22"/>
    </w:p>
    <w:p w14:paraId="41E17398" w14:textId="77777777" w:rsidR="004515FC" w:rsidRPr="00D04088" w:rsidRDefault="004515FC" w:rsidP="004515FC">
      <w:pPr>
        <w:pStyle w:val="Text1"/>
        <w:rPr>
          <w:i/>
          <w:noProof/>
          <w:sz w:val="20"/>
        </w:rPr>
      </w:pPr>
      <w:r w:rsidRPr="00D04088">
        <w:rPr>
          <w:i/>
          <w:noProof/>
          <w:sz w:val="20"/>
        </w:rPr>
        <w:t>Speċifika l-effetti li l-proposta/l-inizjattiva jenħtieġ li jkollha fuq il-benefiċjarji/il-gruppi fil-mira.</w:t>
      </w:r>
    </w:p>
    <w:p w14:paraId="011C5900" w14:textId="35CCC50D" w:rsidR="003B30E4"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L-impatti ta’ din il-proposta huma mistennija li jadattaw il-qafas ta’ protezzjoni konsulari għall-isfidi preżenti u futuri u għalhekk ikunu pożittivi meta mqabbla mal-i</w:t>
      </w:r>
      <w:r w:rsidRPr="00D04088">
        <w:rPr>
          <w:i/>
          <w:iCs/>
          <w:noProof/>
        </w:rPr>
        <w:t>status quo</w:t>
      </w:r>
      <w:r w:rsidRPr="00D04088">
        <w:rPr>
          <w:noProof/>
        </w:rPr>
        <w:t>. Kjarifika tad-definizzjoni ta’ “ċittadin mhux rappreżentat” se ġġib ċertezza legali akbar, li twassal għal għajnuna konsulari aktar effettiva liċ-ċittadini tal-Unjoni.</w:t>
      </w:r>
      <w:r w:rsidRPr="00D04088">
        <w:rPr>
          <w:noProof/>
          <w:color w:val="0000FF"/>
        </w:rPr>
        <w:t xml:space="preserve"> </w:t>
      </w:r>
      <w:r w:rsidRPr="00D04088">
        <w:rPr>
          <w:noProof/>
        </w:rPr>
        <w:t>Rwol ta’ appoġġ imsaħħaħ tad-delegazzjonijiet tal-Unjoni u diviżjoni aktar ċara tal-kompiti bejn l-Istati Membri u d-delegazzjonijiet tal-Unjoni f’laqgħat ta’ kooperazzjoni lokali huma mistennija li jirriżultaw f’ċertezza legali u effettività akbar tar-regoli tad-Direttiva applikabbli għal sitwazzjonijiet ta’ kriżi u ta’ nuqqas ta’ kriżi. Koordinazzjoni aktar effiċjenti u bla xkiel ikollha l-effett ta’ għajnuna aħjar għaċ-ċittadini tal-Unjoni, speċjalment f’sitwazzjonijiet ta’ kriżi, billi jsir l-aħjar użu mir-riżorsi kollha tal-Unjoni allokati għal dak il-kompitu. Barra minn hekk, komunikazzjoni aktar effettiva u konsistenti maċ-ċittadini tal-Unjoni dwar kwistjonijiet konsulari tirriżulta minn kooperazzjoni msaħħa bejn in-networks konsulari tal-Istati Membri u l-Unjoni. Aktar reġistrazzjonijiet ta’ ċittadini msiefrin jippermettu lill-Istati Membri jassistuhom aħjar.</w:t>
      </w:r>
    </w:p>
    <w:p w14:paraId="378F131E" w14:textId="0BB06582"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Fl-aħħar nett, is-simplifikazzjoni u t-tnaqqis tal-piż amministrattiv li jeżisti bħalissa kemm għall-Istat Membru li jassisti kif ukoll għal dak tan-nazzjonalità se jżidu l-utilità tal-proċeduri ta’ rimborż finanzjarju. Barra minn hekk, l-estensjoni tal-mekkaniżmu ta’ rimborż għad-delegazzjonijiet tal-Unjoni tindirizza nuqqas li jxekkel l-appoġġ prattiku tagħhom lill-Istati Membri dwar l-għoti ta’ assistenza liċ-ċittadini tal-Unjoni.</w:t>
      </w:r>
    </w:p>
    <w:p w14:paraId="06DD2FA2"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Ħarsa ġenerali aktar komprensiva tal-implikazzjonijiet tal-inizjattiva hija disponibbli fil-valutazzjoni tal-impatt li takkumpanja l-proposta.</w:t>
      </w:r>
    </w:p>
    <w:p w14:paraId="6E790E99" w14:textId="77777777" w:rsidR="004515FC" w:rsidRPr="00D04088" w:rsidRDefault="004515FC" w:rsidP="004515FC">
      <w:pPr>
        <w:pStyle w:val="ManualHeading3"/>
        <w:rPr>
          <w:noProof/>
        </w:rPr>
      </w:pPr>
      <w:bookmarkStart w:id="23" w:name="_Toc514938023"/>
      <w:bookmarkStart w:id="24" w:name="_Toc520485033"/>
      <w:r w:rsidRPr="00D04088">
        <w:rPr>
          <w:noProof/>
        </w:rPr>
        <w:t>1.4.4.</w:t>
      </w:r>
      <w:r w:rsidRPr="00D04088">
        <w:rPr>
          <w:noProof/>
        </w:rPr>
        <w:tab/>
        <w:t>Indikaturi tal-prestazzjoni</w:t>
      </w:r>
      <w:bookmarkEnd w:id="23"/>
      <w:bookmarkEnd w:id="24"/>
    </w:p>
    <w:p w14:paraId="3531FEFD" w14:textId="77777777" w:rsidR="004515FC" w:rsidRPr="00D04088" w:rsidRDefault="004515FC" w:rsidP="004515FC">
      <w:pPr>
        <w:pStyle w:val="Text1"/>
        <w:rPr>
          <w:i/>
          <w:noProof/>
          <w:sz w:val="20"/>
        </w:rPr>
      </w:pPr>
      <w:r w:rsidRPr="00D04088">
        <w:rPr>
          <w:i/>
          <w:noProof/>
          <w:sz w:val="20"/>
        </w:rPr>
        <w:t>Speċifika l-indikaturi għall-monitoraġġ tal-progress u tal-kisbiet.</w:t>
      </w:r>
    </w:p>
    <w:p w14:paraId="5A10100B"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D04088">
        <w:rPr>
          <w:noProof/>
          <w:u w:val="single"/>
        </w:rPr>
        <w:t>Objettiv speċifiku Nru 1</w:t>
      </w:r>
    </w:p>
    <w:p w14:paraId="3544518F" w14:textId="77777777" w:rsidR="004515FC" w:rsidRPr="00D04088" w:rsidRDefault="004515FC" w:rsidP="00E76033">
      <w:pPr>
        <w:pStyle w:val="Tiret1"/>
        <w:numPr>
          <w:ilvl w:val="0"/>
          <w:numId w:val="21"/>
        </w:numPr>
        <w:rPr>
          <w:noProof/>
        </w:rPr>
      </w:pPr>
      <w:r w:rsidRPr="00D04088">
        <w:rPr>
          <w:noProof/>
        </w:rPr>
        <w:t>L-għadd ta’ ċittadini tal-Unjoni mhux rappreżentati assistiti.</w:t>
      </w:r>
    </w:p>
    <w:p w14:paraId="18F9B371" w14:textId="77777777" w:rsidR="004515FC" w:rsidRPr="00D04088" w:rsidRDefault="004515FC" w:rsidP="00DC1C05">
      <w:pPr>
        <w:pStyle w:val="Tiret1"/>
        <w:rPr>
          <w:noProof/>
        </w:rPr>
      </w:pPr>
      <w:r w:rsidRPr="00D04088">
        <w:rPr>
          <w:noProof/>
        </w:rPr>
        <w:t>L-għadd ta’ lmenti riċevuti, u l-kawżi mnedija minn ċittadini tal-Unjoni mhux rappreżentati fir-rigward ta’ ksur tad-dritt tagħhom għall-protezzjoni konsulari.</w:t>
      </w:r>
    </w:p>
    <w:p w14:paraId="3E65BD62"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D04088">
        <w:rPr>
          <w:noProof/>
          <w:u w:val="single"/>
        </w:rPr>
        <w:t>Objettiv speċifiku Nru 2</w:t>
      </w:r>
    </w:p>
    <w:p w14:paraId="601F2F71" w14:textId="77777777" w:rsidR="004515FC" w:rsidRPr="00D04088" w:rsidRDefault="004515FC" w:rsidP="00DC1C05">
      <w:pPr>
        <w:pStyle w:val="Tiret1"/>
        <w:rPr>
          <w:noProof/>
        </w:rPr>
      </w:pPr>
      <w:r w:rsidRPr="00D04088">
        <w:rPr>
          <w:noProof/>
        </w:rPr>
        <w:t>L-għadd ta’ eżerċizzji ta’ koordinazzjoni konsulari lokali organizzati.</w:t>
      </w:r>
    </w:p>
    <w:p w14:paraId="276BEFE6" w14:textId="77777777" w:rsidR="004515FC" w:rsidRPr="00D04088" w:rsidRDefault="004515FC" w:rsidP="00DC1C05">
      <w:pPr>
        <w:pStyle w:val="Tiret1"/>
        <w:rPr>
          <w:noProof/>
        </w:rPr>
      </w:pPr>
      <w:r w:rsidRPr="00D04088">
        <w:rPr>
          <w:noProof/>
        </w:rPr>
        <w:t>L-għadd u t-tip ta’ talbiet ta’ appoġġ mill-awtoritajiet tal-Istati Membri lid-delegazzjonijiet tal-Unjoni.</w:t>
      </w:r>
    </w:p>
    <w:p w14:paraId="72DF08F8"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D04088">
        <w:rPr>
          <w:noProof/>
          <w:u w:val="single"/>
        </w:rPr>
        <w:t>Objettiv speċifiku Nru 3</w:t>
      </w:r>
    </w:p>
    <w:p w14:paraId="7167F7B2" w14:textId="77777777" w:rsidR="004515FC" w:rsidRPr="00D04088" w:rsidRDefault="004515FC" w:rsidP="00DC1C05">
      <w:pPr>
        <w:pStyle w:val="Tiret1"/>
        <w:rPr>
          <w:noProof/>
        </w:rPr>
      </w:pPr>
      <w:r w:rsidRPr="00D04088">
        <w:rPr>
          <w:noProof/>
        </w:rPr>
        <w:t>Il-livell ta’ sensibilizzazzjoni taċ-ċittadini tal-Unjoni dwar id-dritt tagħhom għal protezzjoni konsulari.</w:t>
      </w:r>
    </w:p>
    <w:p w14:paraId="3C964D31" w14:textId="1500C4E9" w:rsidR="004515FC" w:rsidRPr="00D04088" w:rsidRDefault="004515FC" w:rsidP="00DC1C05">
      <w:pPr>
        <w:pStyle w:val="Tiret1"/>
        <w:rPr>
          <w:noProof/>
        </w:rPr>
      </w:pPr>
      <w:r w:rsidRPr="00D04088">
        <w:rPr>
          <w:noProof/>
        </w:rPr>
        <w:t>L-għadd ta’ ċittadini li jirreġistraw  li qed jgħixu jew qed jivvjaġġaw barra mill-pajjiż.</w:t>
      </w:r>
    </w:p>
    <w:p w14:paraId="6D1C2F6F" w14:textId="77777777" w:rsidR="004515FC" w:rsidRPr="00D04088" w:rsidRDefault="004515FC" w:rsidP="00DC1C05">
      <w:pPr>
        <w:pStyle w:val="Tiret1"/>
        <w:rPr>
          <w:noProof/>
        </w:rPr>
      </w:pPr>
      <w:r w:rsidRPr="00D04088">
        <w:rPr>
          <w:noProof/>
        </w:rPr>
        <w:t>L-għadd ta’ kampanji ta’ sensibilizzazzjoni u miżuri oħra bi skop simili organizzati fil-livell nazzjonali.</w:t>
      </w:r>
    </w:p>
    <w:p w14:paraId="6D549EF8"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D04088">
        <w:rPr>
          <w:noProof/>
          <w:u w:val="single"/>
        </w:rPr>
        <w:t>Objettiv speċifiku Nru 4</w:t>
      </w:r>
    </w:p>
    <w:p w14:paraId="626394CA" w14:textId="77777777" w:rsidR="004515FC" w:rsidRPr="00D04088" w:rsidRDefault="004515FC" w:rsidP="00DC1C05">
      <w:pPr>
        <w:pStyle w:val="Tiret1"/>
        <w:rPr>
          <w:noProof/>
        </w:rPr>
      </w:pPr>
      <w:r w:rsidRPr="00D04088">
        <w:rPr>
          <w:noProof/>
        </w:rPr>
        <w:t>L-għadd ta’ talbiet għal rimborż sottomessi u riċevuti.</w:t>
      </w:r>
    </w:p>
    <w:p w14:paraId="214FFD99" w14:textId="77777777" w:rsidR="004515FC" w:rsidRPr="00D04088" w:rsidRDefault="004515FC" w:rsidP="00DC1C05">
      <w:pPr>
        <w:pStyle w:val="Tiret1"/>
        <w:rPr>
          <w:noProof/>
        </w:rPr>
      </w:pPr>
      <w:r w:rsidRPr="00D04088">
        <w:rPr>
          <w:noProof/>
        </w:rPr>
        <w:t>Żmien medju mis-sottomissjoni sat-talba sal-ħlas.</w:t>
      </w:r>
    </w:p>
    <w:p w14:paraId="14C0A5DC" w14:textId="77777777" w:rsidR="004515FC" w:rsidRPr="00D04088" w:rsidRDefault="004515FC" w:rsidP="00DC1C05">
      <w:pPr>
        <w:pStyle w:val="Tiret1"/>
        <w:rPr>
          <w:noProof/>
        </w:rPr>
      </w:pPr>
      <w:r w:rsidRPr="00D04088">
        <w:rPr>
          <w:noProof/>
        </w:rPr>
        <w:t>L-għadd ta’ każijiet fejn ir-rimborż ma jsirx.</w:t>
      </w:r>
    </w:p>
    <w:p w14:paraId="3DA7A324" w14:textId="77777777" w:rsidR="004515FC" w:rsidRPr="00D04088" w:rsidRDefault="004515FC" w:rsidP="004515FC">
      <w:pPr>
        <w:pStyle w:val="ManualHeading2"/>
        <w:rPr>
          <w:noProof/>
        </w:rPr>
      </w:pPr>
      <w:bookmarkStart w:id="25" w:name="_Toc514938025"/>
      <w:bookmarkStart w:id="26" w:name="_Toc520485034"/>
      <w:r w:rsidRPr="00D04088">
        <w:rPr>
          <w:noProof/>
        </w:rPr>
        <w:t>1.5.</w:t>
      </w:r>
      <w:r w:rsidRPr="00D04088">
        <w:rPr>
          <w:noProof/>
        </w:rPr>
        <w:tab/>
        <w:t>Raġunijiet għall-proposta/għall-inizjattiva</w:t>
      </w:r>
      <w:bookmarkEnd w:id="25"/>
      <w:bookmarkEnd w:id="26"/>
      <w:r w:rsidRPr="00D04088">
        <w:rPr>
          <w:noProof/>
        </w:rPr>
        <w:t xml:space="preserve"> </w:t>
      </w:r>
    </w:p>
    <w:p w14:paraId="632A7B16" w14:textId="77777777" w:rsidR="004515FC" w:rsidRPr="00D04088" w:rsidRDefault="004515FC" w:rsidP="004515FC">
      <w:pPr>
        <w:pStyle w:val="ManualHeading3"/>
        <w:rPr>
          <w:noProof/>
        </w:rPr>
      </w:pPr>
      <w:bookmarkStart w:id="27" w:name="_Toc514938026"/>
      <w:bookmarkStart w:id="28" w:name="_Toc520485035"/>
      <w:r w:rsidRPr="00D04088">
        <w:rPr>
          <w:noProof/>
        </w:rPr>
        <w:t>1.5.1.</w:t>
      </w:r>
      <w:r w:rsidRPr="00D04088">
        <w:rPr>
          <w:noProof/>
        </w:rPr>
        <w:tab/>
        <w:t>Rekwiżit(i) li jrid(u) jiġi/u ssodisfat(i) fuq terminu qasir jew twil inkluża kronoloġija dettaljata għat-tnedija tal-implimentazzjoni tal-inizjattiva</w:t>
      </w:r>
      <w:bookmarkEnd w:id="27"/>
      <w:bookmarkEnd w:id="28"/>
    </w:p>
    <w:p w14:paraId="6FC0E11E"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Skeda ta’ żmien ta’ implimentazzjoni provviżorja tista’ tiġi spjegata kif ġej:</w:t>
      </w:r>
    </w:p>
    <w:p w14:paraId="55892BD7"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2024: Dħul fis-seħħ tad-Direttiva.</w:t>
      </w:r>
    </w:p>
    <w:p w14:paraId="0A63BF56"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2026: Traspożizzjoni u applikazzjoni mill-Istati Membri.</w:t>
      </w:r>
    </w:p>
    <w:p w14:paraId="2FAFECC2" w14:textId="77777777" w:rsidR="004515FC" w:rsidRPr="00D04088" w:rsidRDefault="004515FC" w:rsidP="004515FC">
      <w:pPr>
        <w:pStyle w:val="ManualHeading3"/>
        <w:rPr>
          <w:noProof/>
        </w:rPr>
      </w:pPr>
      <w:bookmarkStart w:id="29" w:name="_Toc514938029"/>
      <w:bookmarkStart w:id="30" w:name="_Toc520485036"/>
      <w:r w:rsidRPr="00D04088">
        <w:rPr>
          <w:noProof/>
        </w:rPr>
        <w:t>1.5.2.</w:t>
      </w:r>
      <w:r w:rsidRPr="00D04088">
        <w:rPr>
          <w:noProof/>
        </w:rPr>
        <w:tab/>
        <w:t>Valur miżjud tal-involviment tal-Unjoni (dan jista’ jirriżulta minn fatturi differenti, eż. il-gwadanji mill-koordinazzjoni, iċ-ċertezza legali, effettività akbar jew il-komplementarjetajiet). Għall-finijiet ta’ dan il-punt, il-“valur miżjud tal-involviment tal-Unjoni” huwa l-valur li jirriżulta mill-intervent tal-Unjoni li jkun addizzjonali għall-valur illi kieku kien jinħoloq mill-Istati Membri waħedhom.</w:t>
      </w:r>
      <w:bookmarkEnd w:id="29"/>
      <w:bookmarkEnd w:id="30"/>
    </w:p>
    <w:p w14:paraId="0B1A8FE4" w14:textId="598ECE86"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Kif diġà deskritt fil-valutazzjoni tal-impatt li takkumpanja l-proposta tal-Kummissjoni għal dik li se tkun id-Direttiva (UE) 2015/637</w:t>
      </w:r>
      <w:r w:rsidRPr="00D04088">
        <w:rPr>
          <w:rStyle w:val="FootnoteReference0"/>
          <w:noProof/>
        </w:rPr>
        <w:footnoteReference w:id="40"/>
      </w:r>
      <w:r w:rsidRPr="00D04088">
        <w:rPr>
          <w:noProof/>
        </w:rPr>
        <w:t xml:space="preserve">, il-previżjoni ta’ standards komuni tal-Unjoni, salvagwardji u proċeduri ċari għall-kooperazzjoni u l-koordinazzjoni fir-rigward taċ-ċittadini mhux rappreżentati tinkiseb aħjar fil-livell tal-Unjoni. Il-ġustifikazzjonijiet tas-sussidjarjetà stabbiliti f’dik il-valutazzjoni tal-impatt jibqgħu validi. Id-dritt għall-protezzjoni konsulari jibqa’ kwistjoni transfruntiera u parti integrali miċ-ċittadinanza tal-Unjoni, li teħtieġ kooperazzjoni u koordinazzjoni fil-livell tal-Unjoni. </w:t>
      </w:r>
    </w:p>
    <w:p w14:paraId="150EE743"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 xml:space="preserve">Sa mill-iskadenza tat-traspożizzjoni tad-Direttiva (UE) 2015/637 fl-2018, il-Kummissjoni mmonitorjat mill-qrib l-implimentazzjoni tagħha u kkonkludiet li hija meħtieġa aktar azzjoni fil-livell tal-Unjoni. Mingħajr azzjoni f’waqtha u effettiva tal-Unjoni, il-problemi u l-kawżi deskritti fil-valutazzjoni tal-impatt li takkumpanja din il-proposta jkomplu jxekklu l-eżerċizzju effettiv tad-dritt għall-protezzjoni konsulari. </w:t>
      </w:r>
    </w:p>
    <w:p w14:paraId="77CAA91D"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Mingħajr azzjoni fil-livell tal-Unjoni, l-effettività tad-drittijiet taċ-ċittadini tal-Unjoni relatati mal-protezzjoni konsulari tibqa’ tkun ippreġudikata u l-valur miżjud tad-delegazzjonijiet tal-Unjoni f’dan il-kuntest jibqa’ mhux sfruttat.</w:t>
      </w:r>
    </w:p>
    <w:p w14:paraId="34C6AB15" w14:textId="01FBFEFF"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B’mod partikolari, it-trawwim ta’ kooperazzjoni biex jiġu appoġġati ċ-ċittadini tal-Unjoni fil-bżonn barra mill-pajjiż jista’ jinkiseb biss permezz ta’ intervent ikkoordinat tal-Unjoni. L-Unjoni, u b’mod partikolari s-SEAE u l-Kummissjoni (id-Direttorat Ġenerali għall-Protezzjoni Ċivili u l-Operazzjonijiet tal-Għajnuna Umanitarja Ewropej, id-DĠ ECHO), huma f’pożizzjoni tajba biex jassumu tali rwol ta’ koordinazzjoni, b’mod u sa punt mhux possibbli għall-Istati Membri li jaġixxu fuq inizjattiva tagħhom stess.</w:t>
      </w:r>
    </w:p>
    <w:p w14:paraId="449E0DAF" w14:textId="77777777" w:rsidR="004515FC" w:rsidRPr="00D04088" w:rsidRDefault="004515FC" w:rsidP="004515FC">
      <w:pPr>
        <w:pStyle w:val="ManualHeading3"/>
        <w:rPr>
          <w:noProof/>
        </w:rPr>
      </w:pPr>
      <w:bookmarkStart w:id="31" w:name="_Toc514938030"/>
      <w:bookmarkStart w:id="32" w:name="_Toc520485037"/>
      <w:r w:rsidRPr="00D04088">
        <w:rPr>
          <w:noProof/>
        </w:rPr>
        <w:t>1.5.3.</w:t>
      </w:r>
      <w:r w:rsidRPr="00D04088">
        <w:rPr>
          <w:noProof/>
        </w:rPr>
        <w:tab/>
        <w:t>Tagħlimiet meħuda minn esperjenzi simili fl-imgħoddi</w:t>
      </w:r>
      <w:bookmarkEnd w:id="31"/>
      <w:bookmarkEnd w:id="32"/>
    </w:p>
    <w:p w14:paraId="7E7FD03B" w14:textId="3B723668"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 xml:space="preserve">Fit-2 ta’ Settembru 2022, il-Kummissjoni ppubblikat rapport dwar l-implimentazzjoni u l-applikazzjoni tad-Direttiva (UE) 2015/637. </w:t>
      </w:r>
    </w:p>
    <w:p w14:paraId="08646996"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Ir-rapport wera li d-Direttiva (UE) 2015/637 kienet fil-biċċa l-kbira effettiva fl-ilħuq tal-objettiv tagħha li tiffaċilita l-eżerċizzju miċ-ċittadini tal-Unjoni tad-drittijiet tagħhom relatati mal-protezzjoni konsulari f’pajjiżi terzi fejn l-Istat Membru li tiegħu huma nazzjonali ma jkunx rappreżentat.</w:t>
      </w:r>
    </w:p>
    <w:p w14:paraId="0F33669A" w14:textId="2BEE1C20"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Madankollu, ir-rapport innota li l-kriżijiet li jirriżultaw f’talbiet għall-protezzjoni konsulari kienu qed jiżdiedu fl-għadd u fl-iskala. Il-pandemija tal-COVID-19 (mingħajr preċedent fl-iskala u fil-kumplessità tagħha), il-kriżi fl-Afganistan, il-gwerra ta’ aggressjoni tar-Russja kontra l-Ukrajna, il-kunflitt fis-Sudan, ir-ripatrijazzjoni mill-Iżrael u minn Gaża u kriżijiet simili oħra pprovdew kuntest biex jiġu identifikati lakuni u biex issir riflessjoni dwar kif għandu jissaħħaħ id-dritt taċ-ċittadini tal-Unjoni għall-protezzjoni konsulari.</w:t>
      </w:r>
    </w:p>
    <w:p w14:paraId="41F3E3E2"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Ir-rapport innota li kien hemm lok biex jiġu ċċarati u ssimplifikati l-miżuri sabiex jiġi ffaċilitat aktar l-għoti ta’ protezzjoni konsulari liċ-ċittadini mhux rappreżentati, inkluż iż-żieda fiċ-ċertezza legali fir-rigward tal-benefiċjarji u l-iżgurar ta’ tali protezzjoni irrispettivament minn fejn ikunu jinsabu fid-dinja. Barra minn hekk, jistgħu jiġu kkunsidrati t-titjib tal-għoti tal-informazzjoni u l-koordinazzjoni tal-komunikazzjoni. Barra minn hekk, kien meħtieġ użu akbar tal-mekkaniżmi ta’ previżjoni għat-tħejjija għall-kriżijiet, speċjalment minħabba l-prezz uman involut meta ma tingħatax protezzjoni konsulari adegwata. Barra minn hekk, ir-rwol formali tad-delegazzjonijiet tal-Unjoni u l-koordinazzjoni u l-kooperazzjoni tagħhom mal-Istati Membri jistgħu jirriflettu aħjar ir-realtà tal-ħidma tagħhom fil-prattika, u b’hekk jipprovdu ċertezza legali akbar.</w:t>
      </w:r>
    </w:p>
    <w:p w14:paraId="447A28F2" w14:textId="77777777" w:rsidR="004515FC" w:rsidRPr="00D04088" w:rsidRDefault="004515FC" w:rsidP="004515FC">
      <w:pPr>
        <w:pStyle w:val="ManualHeading3"/>
        <w:rPr>
          <w:noProof/>
        </w:rPr>
      </w:pPr>
      <w:bookmarkStart w:id="33" w:name="_Toc514938033"/>
      <w:bookmarkStart w:id="34" w:name="_Toc520485038"/>
      <w:r w:rsidRPr="00D04088">
        <w:rPr>
          <w:noProof/>
        </w:rPr>
        <w:t>1.5.4.</w:t>
      </w:r>
      <w:r w:rsidRPr="00D04088">
        <w:rPr>
          <w:noProof/>
        </w:rPr>
        <w:tab/>
        <w:t>Kompatibbiltà mal-Qafas Finanzjarju Pluriennali u sinerġiji possibbli ma’ strumenti xierqa oħra</w:t>
      </w:r>
      <w:bookmarkEnd w:id="33"/>
      <w:bookmarkEnd w:id="34"/>
    </w:p>
    <w:p w14:paraId="1D81AF92" w14:textId="75BF9276"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Din il-proposta hija allinjata mal-Mekkaniżmu tal-Unjoni għall-Protezzjoni Ċivili (Union Civil Protection Mechanism, UCPM) stabbilit bid-Deċiżjoni Nru 1313/2013/UE.</w:t>
      </w:r>
    </w:p>
    <w:p w14:paraId="13393DD9" w14:textId="77777777" w:rsidR="004515FC" w:rsidRPr="00D04088" w:rsidRDefault="004515FC" w:rsidP="004515FC">
      <w:pPr>
        <w:pStyle w:val="ManualHeading3"/>
        <w:rPr>
          <w:noProof/>
        </w:rPr>
      </w:pPr>
      <w:bookmarkStart w:id="35" w:name="_Toc514938036"/>
      <w:bookmarkStart w:id="36" w:name="_Toc520485039"/>
      <w:r w:rsidRPr="00D04088">
        <w:rPr>
          <w:noProof/>
        </w:rPr>
        <w:t>1.5.5.</w:t>
      </w:r>
      <w:r w:rsidRPr="00D04088">
        <w:rPr>
          <w:noProof/>
        </w:rPr>
        <w:tab/>
        <w:t>Valutazzjoni tal-għażliet differenti ta’ finanzjament disponibbli, inkluż l-ambitu għar-riallokazzjoni</w:t>
      </w:r>
      <w:bookmarkEnd w:id="35"/>
      <w:bookmarkEnd w:id="36"/>
    </w:p>
    <w:p w14:paraId="16065E17"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Il-kostijiet neċessarji jiġu ffinanzjati minn mezzi baġitarji eżistenti.</w:t>
      </w:r>
    </w:p>
    <w:p w14:paraId="0D544AEF" w14:textId="77777777" w:rsidR="004515FC" w:rsidRPr="00D04088" w:rsidRDefault="004515FC" w:rsidP="004515FC">
      <w:pPr>
        <w:pStyle w:val="Text1"/>
        <w:rPr>
          <w:noProof/>
        </w:rPr>
      </w:pPr>
    </w:p>
    <w:p w14:paraId="75CB7D9A" w14:textId="77777777" w:rsidR="004515FC" w:rsidRPr="00D04088" w:rsidRDefault="004515FC" w:rsidP="004515FC">
      <w:pPr>
        <w:pStyle w:val="ManualHeading2"/>
        <w:rPr>
          <w:noProof/>
        </w:rPr>
      </w:pPr>
      <w:r w:rsidRPr="00D04088">
        <w:rPr>
          <w:noProof/>
        </w:rPr>
        <w:br w:type="page"/>
      </w:r>
      <w:bookmarkStart w:id="37" w:name="_Toc514938039"/>
      <w:bookmarkStart w:id="38" w:name="_Toc520485040"/>
      <w:r w:rsidRPr="00D04088">
        <w:rPr>
          <w:noProof/>
        </w:rPr>
        <w:t>1.6.</w:t>
      </w:r>
      <w:r w:rsidRPr="00D04088">
        <w:rPr>
          <w:noProof/>
        </w:rPr>
        <w:tab/>
        <w:t>Durata u impatt finanzjarju tal-proposta/tal-inizjattiva</w:t>
      </w:r>
      <w:bookmarkEnd w:id="37"/>
      <w:bookmarkEnd w:id="38"/>
    </w:p>
    <w:p w14:paraId="1A9E616D" w14:textId="77777777" w:rsidR="004515FC" w:rsidRPr="00D04088" w:rsidRDefault="004515FC" w:rsidP="004515FC">
      <w:pPr>
        <w:pStyle w:val="Text1"/>
        <w:rPr>
          <w:noProof/>
        </w:rPr>
      </w:pPr>
      <w:r w:rsidRPr="00D04088">
        <w:rPr>
          <w:rFonts w:ascii="Wingdings" w:hAnsi="Wingdings"/>
          <w:noProof/>
        </w:rPr>
        <w:t></w:t>
      </w:r>
      <w:r w:rsidRPr="00D04088">
        <w:rPr>
          <w:b/>
          <w:i/>
          <w:noProof/>
        </w:rPr>
        <w:t xml:space="preserve"> </w:t>
      </w:r>
      <w:r w:rsidRPr="00D04088">
        <w:rPr>
          <w:b/>
          <w:noProof/>
        </w:rPr>
        <w:t xml:space="preserve">durata limitata </w:t>
      </w:r>
    </w:p>
    <w:p w14:paraId="490C5C67" w14:textId="77777777" w:rsidR="004515FC" w:rsidRPr="00D04088" w:rsidRDefault="004515FC" w:rsidP="004515FC">
      <w:pPr>
        <w:pStyle w:val="ListDash2"/>
        <w:rPr>
          <w:noProof/>
        </w:rPr>
      </w:pPr>
      <w:r w:rsidRPr="00D04088">
        <w:rPr>
          <w:rFonts w:ascii="Wingdings" w:hAnsi="Wingdings"/>
          <w:noProof/>
        </w:rPr>
        <w:t></w:t>
      </w:r>
      <w:r w:rsidRPr="00D04088">
        <w:rPr>
          <w:noProof/>
        </w:rPr>
        <w:tab/>
        <w:t xml:space="preserve">fis-seħħ minn [JJ/XX]SSSS sa [JJ/XX]SSSS </w:t>
      </w:r>
    </w:p>
    <w:p w14:paraId="7A41B208" w14:textId="77777777" w:rsidR="004515FC" w:rsidRPr="00D04088" w:rsidRDefault="004515FC" w:rsidP="004515FC">
      <w:pPr>
        <w:pStyle w:val="ListDash2"/>
        <w:rPr>
          <w:noProof/>
        </w:rPr>
      </w:pPr>
      <w:r w:rsidRPr="00D04088">
        <w:rPr>
          <w:rFonts w:ascii="Wingdings" w:hAnsi="Wingdings"/>
          <w:noProof/>
        </w:rPr>
        <w:t></w:t>
      </w:r>
      <w:r w:rsidRPr="00D04088">
        <w:rPr>
          <w:noProof/>
        </w:rPr>
        <w:tab/>
        <w:t xml:space="preserve">Impatt finanzjarju minn SSSS sa SSSS għall-approprjazzjonijiet ta’ impenn u minn SSSS sa SSSS għall-approprjazzjonijiet ta’ pagament. </w:t>
      </w:r>
    </w:p>
    <w:p w14:paraId="4557DC36" w14:textId="77777777" w:rsidR="004515FC" w:rsidRPr="00D04088" w:rsidRDefault="004515FC" w:rsidP="004515FC">
      <w:pPr>
        <w:pStyle w:val="Text1"/>
        <w:rPr>
          <w:noProof/>
        </w:rPr>
      </w:pPr>
      <w:r w:rsidRPr="00D04088">
        <w:rPr>
          <w:rFonts w:ascii="Wingdings" w:hAnsi="Wingdings"/>
          <w:noProof/>
        </w:rPr>
        <w:t></w:t>
      </w:r>
      <w:r w:rsidRPr="00D04088">
        <w:rPr>
          <w:b/>
          <w:i/>
          <w:noProof/>
        </w:rPr>
        <w:t xml:space="preserve"> </w:t>
      </w:r>
      <w:r w:rsidRPr="00D04088">
        <w:rPr>
          <w:b/>
          <w:noProof/>
        </w:rPr>
        <w:t>durata mhux limitata</w:t>
      </w:r>
    </w:p>
    <w:p w14:paraId="56A7CE78" w14:textId="77777777" w:rsidR="004515FC" w:rsidRPr="00D04088" w:rsidRDefault="004515FC" w:rsidP="004515FC">
      <w:pPr>
        <w:pStyle w:val="ListDash1"/>
        <w:rPr>
          <w:noProof/>
        </w:rPr>
      </w:pPr>
      <w:r w:rsidRPr="00D04088">
        <w:rPr>
          <w:noProof/>
        </w:rPr>
        <w:t>Implimentazzjoni b’perjodu tal-bidu mill-2024 sal-2026,</w:t>
      </w:r>
    </w:p>
    <w:p w14:paraId="7EA8BD0A" w14:textId="77777777" w:rsidR="004515FC" w:rsidRPr="00D04088" w:rsidRDefault="004515FC" w:rsidP="004515FC">
      <w:pPr>
        <w:pStyle w:val="ListDash1"/>
        <w:rPr>
          <w:noProof/>
        </w:rPr>
      </w:pPr>
      <w:r w:rsidRPr="00D04088">
        <w:rPr>
          <w:noProof/>
        </w:rPr>
        <w:t>segwita b’operazzjoni fuq skala sħiħa.</w:t>
      </w:r>
    </w:p>
    <w:p w14:paraId="2A69149B" w14:textId="51629D7F" w:rsidR="004515FC" w:rsidRPr="00D04088" w:rsidRDefault="004515FC" w:rsidP="004515FC">
      <w:pPr>
        <w:pStyle w:val="ManualHeading2"/>
        <w:rPr>
          <w:noProof/>
        </w:rPr>
      </w:pPr>
      <w:bookmarkStart w:id="39" w:name="_Toc514938040"/>
      <w:bookmarkStart w:id="40" w:name="_Toc520485041"/>
      <w:r w:rsidRPr="00D04088">
        <w:rPr>
          <w:noProof/>
        </w:rPr>
        <w:t>1.7.</w:t>
      </w:r>
      <w:r w:rsidRPr="00D04088">
        <w:rPr>
          <w:noProof/>
        </w:rPr>
        <w:tab/>
        <w:t>Metodu/i ta’ implimentazzjoni tal-baġit pjanat(i)</w:t>
      </w:r>
      <w:bookmarkEnd w:id="39"/>
      <w:bookmarkEnd w:id="40"/>
      <w:r w:rsidRPr="00D04088">
        <w:rPr>
          <w:rStyle w:val="FootnoteReference0"/>
          <w:noProof/>
        </w:rPr>
        <w:t xml:space="preserve"> </w:t>
      </w:r>
    </w:p>
    <w:p w14:paraId="1C484E69" w14:textId="77777777" w:rsidR="004515FC" w:rsidRPr="00D04088" w:rsidRDefault="004515FC" w:rsidP="004515FC">
      <w:pPr>
        <w:pStyle w:val="Text1"/>
        <w:rPr>
          <w:noProof/>
        </w:rPr>
      </w:pPr>
      <w:r w:rsidRPr="00D04088">
        <w:rPr>
          <w:rFonts w:ascii="Wingdings" w:hAnsi="Wingdings"/>
          <w:noProof/>
        </w:rPr>
        <w:t></w:t>
      </w:r>
      <w:r w:rsidRPr="00D04088">
        <w:rPr>
          <w:i/>
          <w:noProof/>
        </w:rPr>
        <w:t xml:space="preserve"> </w:t>
      </w:r>
      <w:r w:rsidRPr="00D04088">
        <w:rPr>
          <w:b/>
          <w:noProof/>
        </w:rPr>
        <w:t>Ġestjoni diretta</w:t>
      </w:r>
      <w:r w:rsidRPr="00D04088">
        <w:rPr>
          <w:noProof/>
        </w:rPr>
        <w:t xml:space="preserve"> mill-Kummissjoni</w:t>
      </w:r>
    </w:p>
    <w:p w14:paraId="1CF4CC4B" w14:textId="77777777" w:rsidR="004515FC" w:rsidRPr="00D04088" w:rsidRDefault="004515FC" w:rsidP="004515FC">
      <w:pPr>
        <w:pStyle w:val="ListDash2"/>
        <w:rPr>
          <w:rFonts w:cs="EUAlbertina"/>
          <w:noProof/>
        </w:rPr>
      </w:pPr>
      <w:r w:rsidRPr="00D04088">
        <w:rPr>
          <w:rFonts w:ascii="Wingdings" w:hAnsi="Wingdings"/>
          <w:noProof/>
        </w:rPr>
        <w:t></w:t>
      </w:r>
      <w:r w:rsidRPr="00D04088">
        <w:rPr>
          <w:noProof/>
        </w:rPr>
        <w:t xml:space="preserve"> mid-dipartimenti tagħha, inkluż mill-persunal tagħha fid-delegazzjonijiet tal-Unjoni; </w:t>
      </w:r>
    </w:p>
    <w:p w14:paraId="764E0AEC" w14:textId="77777777" w:rsidR="004515FC" w:rsidRPr="00D04088" w:rsidRDefault="004515FC" w:rsidP="004515FC">
      <w:pPr>
        <w:pStyle w:val="ListDash2"/>
        <w:rPr>
          <w:noProof/>
        </w:rPr>
      </w:pPr>
      <w:r w:rsidRPr="00D04088">
        <w:rPr>
          <w:rFonts w:ascii="Wingdings" w:hAnsi="Wingdings"/>
          <w:noProof/>
        </w:rPr>
        <w:t></w:t>
      </w:r>
      <w:r w:rsidRPr="00D04088">
        <w:rPr>
          <w:noProof/>
        </w:rPr>
        <w:tab/>
        <w:t xml:space="preserve">mill-aġenziji eżekuttivi </w:t>
      </w:r>
    </w:p>
    <w:p w14:paraId="2B05E9FC" w14:textId="77777777" w:rsidR="004515FC" w:rsidRPr="00D04088" w:rsidRDefault="004515FC" w:rsidP="004515FC">
      <w:pPr>
        <w:pStyle w:val="Text1"/>
        <w:rPr>
          <w:noProof/>
        </w:rPr>
      </w:pPr>
      <w:r w:rsidRPr="00D04088">
        <w:rPr>
          <w:rFonts w:ascii="Wingdings" w:hAnsi="Wingdings"/>
          <w:noProof/>
        </w:rPr>
        <w:t></w:t>
      </w:r>
      <w:r w:rsidRPr="00D04088">
        <w:rPr>
          <w:b/>
          <w:i/>
          <w:noProof/>
        </w:rPr>
        <w:t xml:space="preserve"> </w:t>
      </w:r>
      <w:r w:rsidRPr="00D04088">
        <w:rPr>
          <w:b/>
          <w:noProof/>
        </w:rPr>
        <w:t>Ġestjoni kondiviża</w:t>
      </w:r>
      <w:r w:rsidRPr="00D04088">
        <w:rPr>
          <w:noProof/>
        </w:rPr>
        <w:t xml:space="preserve"> mal-Istati Membri </w:t>
      </w:r>
    </w:p>
    <w:p w14:paraId="1CEE31E7" w14:textId="77777777" w:rsidR="004515FC" w:rsidRPr="00D04088" w:rsidRDefault="004515FC" w:rsidP="004515FC">
      <w:pPr>
        <w:pStyle w:val="Text1"/>
        <w:rPr>
          <w:noProof/>
        </w:rPr>
      </w:pPr>
      <w:r w:rsidRPr="00D04088">
        <w:rPr>
          <w:rFonts w:ascii="Wingdings" w:hAnsi="Wingdings"/>
          <w:noProof/>
        </w:rPr>
        <w:t></w:t>
      </w:r>
      <w:r w:rsidRPr="00D04088">
        <w:rPr>
          <w:i/>
          <w:noProof/>
        </w:rPr>
        <w:t xml:space="preserve"> </w:t>
      </w:r>
      <w:r w:rsidRPr="00D04088">
        <w:rPr>
          <w:b/>
          <w:noProof/>
        </w:rPr>
        <w:t>Ġestjoni indiretta</w:t>
      </w:r>
      <w:r w:rsidRPr="00D04088">
        <w:rPr>
          <w:noProof/>
        </w:rPr>
        <w:t xml:space="preserve"> billi jiġu fdati kompiti ta’ implimentazzjoni baġitarja lil:</w:t>
      </w:r>
    </w:p>
    <w:p w14:paraId="78FD3E16" w14:textId="77777777" w:rsidR="004515FC" w:rsidRPr="00D04088" w:rsidRDefault="004515FC" w:rsidP="004515FC">
      <w:pPr>
        <w:pStyle w:val="ListDash2"/>
        <w:rPr>
          <w:noProof/>
        </w:rPr>
      </w:pPr>
      <w:r w:rsidRPr="00D04088">
        <w:rPr>
          <w:rFonts w:ascii="Wingdings" w:hAnsi="Wingdings"/>
          <w:noProof/>
        </w:rPr>
        <w:t></w:t>
      </w:r>
      <w:r w:rsidRPr="00D04088">
        <w:rPr>
          <w:noProof/>
        </w:rPr>
        <w:t xml:space="preserve"> lill-pajjiżi terzi jew lill-korpi nnominati minnhom;</w:t>
      </w:r>
    </w:p>
    <w:p w14:paraId="2643C3A9" w14:textId="77777777" w:rsidR="004515FC" w:rsidRPr="00D04088" w:rsidRDefault="004515FC" w:rsidP="004515FC">
      <w:pPr>
        <w:pStyle w:val="ListDash2"/>
        <w:rPr>
          <w:noProof/>
        </w:rPr>
      </w:pPr>
      <w:r w:rsidRPr="00D04088">
        <w:rPr>
          <w:rFonts w:ascii="Wingdings" w:hAnsi="Wingdings"/>
          <w:noProof/>
        </w:rPr>
        <w:t></w:t>
      </w:r>
      <w:r w:rsidRPr="00D04088">
        <w:rPr>
          <w:noProof/>
        </w:rPr>
        <w:t xml:space="preserve"> lill-organizzazzjonijiet internazzjonali u lill-aġenziji tagħhom (iridu jiġu speċifikati);</w:t>
      </w:r>
    </w:p>
    <w:p w14:paraId="10B5F301" w14:textId="77777777" w:rsidR="004515FC" w:rsidRPr="00D04088" w:rsidRDefault="004515FC" w:rsidP="004515FC">
      <w:pPr>
        <w:pStyle w:val="ListDash2"/>
        <w:rPr>
          <w:noProof/>
        </w:rPr>
      </w:pPr>
      <w:r w:rsidRPr="00D04088">
        <w:rPr>
          <w:rFonts w:ascii="Wingdings" w:hAnsi="Wingdings"/>
          <w:noProof/>
        </w:rPr>
        <w:t></w:t>
      </w:r>
      <w:r w:rsidRPr="00D04088">
        <w:rPr>
          <w:noProof/>
        </w:rPr>
        <w:t xml:space="preserve"> lill-BEI u lill-Fond Ewropew tal-Investiment;</w:t>
      </w:r>
    </w:p>
    <w:p w14:paraId="2F382137" w14:textId="77777777" w:rsidR="004515FC" w:rsidRPr="00D04088" w:rsidRDefault="004515FC" w:rsidP="004515FC">
      <w:pPr>
        <w:pStyle w:val="ListDash2"/>
        <w:rPr>
          <w:noProof/>
        </w:rPr>
      </w:pPr>
      <w:r w:rsidRPr="00D04088">
        <w:rPr>
          <w:rFonts w:ascii="Wingdings" w:hAnsi="Wingdings"/>
          <w:noProof/>
        </w:rPr>
        <w:t></w:t>
      </w:r>
      <w:r w:rsidRPr="00D04088">
        <w:rPr>
          <w:noProof/>
        </w:rPr>
        <w:t xml:space="preserve"> lill-korpi msemmija fl-Artikoli 70 u 71 tar-Regolament Finanzjarju;</w:t>
      </w:r>
    </w:p>
    <w:p w14:paraId="175F0922" w14:textId="77777777" w:rsidR="004515FC" w:rsidRPr="00D04088" w:rsidRDefault="004515FC" w:rsidP="004515FC">
      <w:pPr>
        <w:pStyle w:val="ListDash2"/>
        <w:rPr>
          <w:noProof/>
        </w:rPr>
      </w:pPr>
      <w:r w:rsidRPr="00D04088">
        <w:rPr>
          <w:rFonts w:ascii="Wingdings" w:hAnsi="Wingdings"/>
          <w:noProof/>
        </w:rPr>
        <w:t></w:t>
      </w:r>
      <w:r w:rsidRPr="00D04088">
        <w:rPr>
          <w:noProof/>
        </w:rPr>
        <w:t xml:space="preserve"> lill-korpi tal-liġi pubblika;</w:t>
      </w:r>
    </w:p>
    <w:p w14:paraId="33EE2223" w14:textId="77777777" w:rsidR="004515FC" w:rsidRPr="00D04088" w:rsidRDefault="004515FC" w:rsidP="004515FC">
      <w:pPr>
        <w:pStyle w:val="ListDash2"/>
        <w:rPr>
          <w:noProof/>
        </w:rPr>
      </w:pPr>
      <w:r w:rsidRPr="00D04088">
        <w:rPr>
          <w:rFonts w:ascii="Wingdings" w:hAnsi="Wingdings"/>
          <w:noProof/>
        </w:rPr>
        <w:t></w:t>
      </w:r>
      <w:r w:rsidRPr="00D04088">
        <w:rPr>
          <w:noProof/>
        </w:rPr>
        <w:t xml:space="preserve"> lill-korpi rregolati mil-liġi privata b’missjoni ta’ servizz pubbliku sakemm dawn ikollhom garanziji finanzjarji adegwati;</w:t>
      </w:r>
    </w:p>
    <w:p w14:paraId="51A068D0" w14:textId="77777777" w:rsidR="004515FC" w:rsidRPr="00D04088" w:rsidRDefault="004515FC" w:rsidP="004515FC">
      <w:pPr>
        <w:pStyle w:val="ListDash2"/>
        <w:rPr>
          <w:noProof/>
        </w:rPr>
      </w:pPr>
      <w:r w:rsidRPr="00D04088">
        <w:rPr>
          <w:rFonts w:ascii="Wingdings" w:hAnsi="Wingdings"/>
          <w:noProof/>
        </w:rPr>
        <w:t></w:t>
      </w:r>
      <w:r w:rsidRPr="00D04088">
        <w:rPr>
          <w:noProof/>
        </w:rPr>
        <w:t xml:space="preserve"> lill-korpi rregolati mil-liġi privata ta’ Stat Membru li jkunu fdati bl-implimentazzjoni ta’ sħubija pubblika-privata u li jkollhom garanziji finanzjarji adegwati;</w:t>
      </w:r>
    </w:p>
    <w:p w14:paraId="11E1D413" w14:textId="77777777" w:rsidR="004515FC" w:rsidRPr="00D04088" w:rsidRDefault="004515FC" w:rsidP="004515FC">
      <w:pPr>
        <w:pStyle w:val="ListDash2"/>
        <w:rPr>
          <w:noProof/>
        </w:rPr>
      </w:pPr>
      <w:r w:rsidRPr="00D04088">
        <w:rPr>
          <w:rFonts w:ascii="Wingdings" w:hAnsi="Wingdings"/>
          <w:noProof/>
        </w:rPr>
        <w:t></w:t>
      </w:r>
      <w:r w:rsidRPr="00D04088">
        <w:rPr>
          <w:noProof/>
        </w:rPr>
        <w:t xml:space="preserve"> lill-korpi jew lill-persuni fdati bl-implimentazzjoni ta’ azzjonijiet speċifiċi fil-PESK skont it-Titolu V tat-TUE, u identifikati fl-att bażiku rilevanti.</w:t>
      </w:r>
    </w:p>
    <w:p w14:paraId="1F918E95" w14:textId="77777777" w:rsidR="004515FC" w:rsidRPr="00D04088" w:rsidRDefault="004515FC" w:rsidP="004515FC">
      <w:pPr>
        <w:pStyle w:val="ListDash2"/>
        <w:rPr>
          <w:i/>
          <w:noProof/>
          <w:sz w:val="18"/>
          <w:u w:val="single"/>
        </w:rPr>
      </w:pPr>
      <w:r w:rsidRPr="00D04088">
        <w:rPr>
          <w:i/>
          <w:noProof/>
          <w:sz w:val="18"/>
        </w:rPr>
        <w:t>Jekk jiġi indikat iżjed minn mod ta’ ġestjoni wieħed, jekk jogħġbok ipprovdi d-dettalji fit-taqsima “Kummenti”.</w:t>
      </w:r>
    </w:p>
    <w:p w14:paraId="2E17AE04" w14:textId="77777777" w:rsidR="004515FC" w:rsidRPr="00D04088" w:rsidRDefault="004515FC" w:rsidP="004515FC">
      <w:pPr>
        <w:rPr>
          <w:noProof/>
        </w:rPr>
      </w:pPr>
      <w:r w:rsidRPr="00D04088">
        <w:rPr>
          <w:noProof/>
        </w:rPr>
        <w:t xml:space="preserve">Kummenti </w:t>
      </w:r>
    </w:p>
    <w:p w14:paraId="5D7B98A8" w14:textId="77777777" w:rsidR="004515FC" w:rsidRPr="00D04088" w:rsidRDefault="004515FC" w:rsidP="004515FC">
      <w:pPr>
        <w:pBdr>
          <w:top w:val="single" w:sz="4" w:space="1" w:color="auto"/>
          <w:left w:val="single" w:sz="4" w:space="4" w:color="auto"/>
          <w:bottom w:val="single" w:sz="4" w:space="1" w:color="auto"/>
          <w:right w:val="single" w:sz="4" w:space="4" w:color="auto"/>
        </w:pBdr>
        <w:rPr>
          <w:noProof/>
        </w:rPr>
        <w:sectPr w:rsidR="004515FC" w:rsidRPr="00D04088" w:rsidSect="006C0976">
          <w:pgSz w:w="11907" w:h="16840" w:code="9"/>
          <w:pgMar w:top="1134" w:right="1418" w:bottom="1134" w:left="1418" w:header="709" w:footer="709" w:gutter="0"/>
          <w:cols w:space="708"/>
          <w:docGrid w:linePitch="360"/>
        </w:sectPr>
      </w:pPr>
      <w:r w:rsidRPr="00D04088">
        <w:rPr>
          <w:noProof/>
        </w:rPr>
        <w:t xml:space="preserve"> </w:t>
      </w:r>
    </w:p>
    <w:p w14:paraId="699C50A0" w14:textId="77777777" w:rsidR="004515FC" w:rsidRPr="00D04088" w:rsidRDefault="004515FC" w:rsidP="004515FC">
      <w:pPr>
        <w:pStyle w:val="ManualHeading1"/>
        <w:rPr>
          <w:noProof/>
        </w:rPr>
      </w:pPr>
      <w:bookmarkStart w:id="41" w:name="_Toc514938041"/>
      <w:bookmarkStart w:id="42" w:name="_Toc520485042"/>
      <w:r w:rsidRPr="00D04088">
        <w:rPr>
          <w:noProof/>
        </w:rPr>
        <w:t>2.</w:t>
      </w:r>
      <w:r w:rsidRPr="00D04088">
        <w:rPr>
          <w:noProof/>
        </w:rPr>
        <w:tab/>
        <w:t>MIŻURI TA’ ĠESTJONI</w:t>
      </w:r>
      <w:bookmarkEnd w:id="41"/>
      <w:bookmarkEnd w:id="42"/>
      <w:r w:rsidRPr="00D04088">
        <w:rPr>
          <w:noProof/>
        </w:rPr>
        <w:t xml:space="preserve"> </w:t>
      </w:r>
    </w:p>
    <w:p w14:paraId="2CCE0409" w14:textId="77777777" w:rsidR="004515FC" w:rsidRPr="00D04088" w:rsidRDefault="004515FC" w:rsidP="004515FC">
      <w:pPr>
        <w:pStyle w:val="ManualHeading2"/>
        <w:rPr>
          <w:noProof/>
        </w:rPr>
      </w:pPr>
      <w:bookmarkStart w:id="43" w:name="_Toc514938042"/>
      <w:bookmarkStart w:id="44" w:name="_Toc520485043"/>
      <w:r w:rsidRPr="00D04088">
        <w:rPr>
          <w:noProof/>
        </w:rPr>
        <w:t>2.1.</w:t>
      </w:r>
      <w:r w:rsidRPr="00D04088">
        <w:rPr>
          <w:noProof/>
        </w:rPr>
        <w:tab/>
        <w:t>Regoli ta’ monitoraġġ u ta’ rapportar</w:t>
      </w:r>
      <w:bookmarkEnd w:id="43"/>
      <w:bookmarkEnd w:id="44"/>
      <w:r w:rsidRPr="00D04088">
        <w:rPr>
          <w:noProof/>
        </w:rPr>
        <w:t xml:space="preserve"> </w:t>
      </w:r>
    </w:p>
    <w:p w14:paraId="767D950C" w14:textId="77777777" w:rsidR="004515FC" w:rsidRPr="00D04088" w:rsidRDefault="004515FC" w:rsidP="004515FC">
      <w:pPr>
        <w:pStyle w:val="Text1"/>
        <w:rPr>
          <w:i/>
          <w:noProof/>
          <w:sz w:val="20"/>
        </w:rPr>
      </w:pPr>
      <w:r w:rsidRPr="00D04088">
        <w:rPr>
          <w:i/>
          <w:noProof/>
          <w:sz w:val="20"/>
        </w:rPr>
        <w:t>Speċifika l-frekwenza u l-kundizzjonijiet.</w:t>
      </w:r>
    </w:p>
    <w:p w14:paraId="4ACBEE03" w14:textId="68CDDF83"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Id-Direttiva se tiġi evalwata 8 snin wara l-iskadenza tat-traspożizzjoni tagħha. Il-Kummissjoni se tirrapporta dwar is-sejbiet lill-Parlament Ewropew u lill-Kunsill.</w:t>
      </w:r>
    </w:p>
    <w:p w14:paraId="0C76BE49" w14:textId="77777777" w:rsidR="004515FC" w:rsidRPr="00D04088" w:rsidRDefault="004515FC" w:rsidP="004515FC">
      <w:pPr>
        <w:pStyle w:val="ManualHeading2"/>
        <w:rPr>
          <w:noProof/>
        </w:rPr>
      </w:pPr>
      <w:bookmarkStart w:id="45" w:name="_Toc514938045"/>
      <w:bookmarkStart w:id="46" w:name="_Toc520485044"/>
      <w:r w:rsidRPr="00D04088">
        <w:rPr>
          <w:noProof/>
        </w:rPr>
        <w:t>2.2.</w:t>
      </w:r>
      <w:r w:rsidRPr="00D04088">
        <w:rPr>
          <w:noProof/>
        </w:rPr>
        <w:tab/>
        <w:t>Sistema/i ta’ ġestjoni u ta’ kontroll</w:t>
      </w:r>
      <w:bookmarkEnd w:id="45"/>
      <w:bookmarkEnd w:id="46"/>
      <w:r w:rsidRPr="00D04088">
        <w:rPr>
          <w:noProof/>
        </w:rPr>
        <w:t xml:space="preserve"> </w:t>
      </w:r>
    </w:p>
    <w:p w14:paraId="426EBE27" w14:textId="77777777" w:rsidR="004515FC" w:rsidRPr="00D04088" w:rsidRDefault="004515FC" w:rsidP="004515FC">
      <w:pPr>
        <w:pStyle w:val="ManualHeading3"/>
        <w:rPr>
          <w:noProof/>
        </w:rPr>
      </w:pPr>
      <w:bookmarkStart w:id="47" w:name="_Toc514938046"/>
      <w:bookmarkStart w:id="48" w:name="_Toc520485045"/>
      <w:r w:rsidRPr="00D04088">
        <w:rPr>
          <w:noProof/>
        </w:rPr>
        <w:t>2.2.1.</w:t>
      </w:r>
      <w:r w:rsidRPr="00D04088">
        <w:rPr>
          <w:noProof/>
        </w:rPr>
        <w:tab/>
        <w:t>Ġustifikazzjoni tal-mod(i) ta’ ġestjoni, tal-mekkaniżmu/i għall-implimentazzjoni tal-finanzjament, tal-modalitajiet ta’ pagament u tal-istrateġija ta’ kontroll proposta</w:t>
      </w:r>
      <w:bookmarkEnd w:id="47"/>
      <w:bookmarkEnd w:id="48"/>
    </w:p>
    <w:p w14:paraId="2D81AA85"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Din il-proposta ma tbiddilx il-mod ta’ ġestjoni, il-mekkaniżmi ta’ implimentazzjoni ta’ finanzjament, il-modalitajiet ta’ pagament jew l-istrateġija ta’ kontroll diġà fis-seħħ u mħaddma mill-Kummissjoni.</w:t>
      </w:r>
    </w:p>
    <w:p w14:paraId="62778DAD" w14:textId="77777777" w:rsidR="004515FC" w:rsidRPr="00D04088" w:rsidRDefault="004515FC" w:rsidP="004515FC">
      <w:pPr>
        <w:pStyle w:val="ManualHeading3"/>
        <w:rPr>
          <w:noProof/>
        </w:rPr>
      </w:pPr>
      <w:bookmarkStart w:id="49" w:name="_Toc514938047"/>
      <w:bookmarkStart w:id="50" w:name="_Toc520485046"/>
      <w:r w:rsidRPr="00D04088">
        <w:rPr>
          <w:noProof/>
        </w:rPr>
        <w:t>2.2.2.</w:t>
      </w:r>
      <w:r w:rsidRPr="00D04088">
        <w:rPr>
          <w:noProof/>
        </w:rPr>
        <w:tab/>
        <w:t>Informazzjoni dwar ir-riskji identifikati u s-sistema/i ta’ kontroll intern stabbilita/i għall-mitigazzjoni tagħhom</w:t>
      </w:r>
      <w:bookmarkEnd w:id="49"/>
      <w:bookmarkEnd w:id="50"/>
    </w:p>
    <w:p w14:paraId="1F830C21"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D04088">
        <w:rPr>
          <w:noProof/>
        </w:rPr>
        <w:t>Din id-dikjarazzjoni finanzjarja leġiżlattiva tikkonċerna n-nefqa tal-persunal. Japplikaw ir-riskji standard u s-sistemi ta’ kontroll għal dan it-tip ta’ nefqa.</w:t>
      </w:r>
    </w:p>
    <w:p w14:paraId="0174FF25" w14:textId="77777777" w:rsidR="004515FC" w:rsidRPr="00D04088" w:rsidRDefault="004515FC" w:rsidP="004515FC">
      <w:pPr>
        <w:pStyle w:val="ManualHeading3"/>
        <w:rPr>
          <w:noProof/>
        </w:rPr>
      </w:pPr>
      <w:bookmarkStart w:id="51" w:name="_Toc514938048"/>
      <w:bookmarkStart w:id="52" w:name="_Toc520485047"/>
      <w:r w:rsidRPr="00D04088">
        <w:rPr>
          <w:noProof/>
        </w:rPr>
        <w:t>2.2.3.</w:t>
      </w:r>
      <w:r w:rsidRPr="00D04088">
        <w:rPr>
          <w:noProof/>
        </w:rPr>
        <w:tab/>
        <w:t>Estimu u ġustifikazzjoni tal-kosteffettività tal-kontrolli (proporzjon tal-“kostijiet tal-kontroll ÷ il-valur tal-fondi relatati ġestiti”) u valutazzjoni tal-livelli mistennija tar-riskju ta’ errur (mal-ħlas u fl-għeluq)</w:t>
      </w:r>
      <w:bookmarkEnd w:id="51"/>
      <w:bookmarkEnd w:id="52"/>
      <w:r w:rsidRPr="00D04088">
        <w:rPr>
          <w:noProof/>
        </w:rPr>
        <w:t xml:space="preserve"> </w:t>
      </w:r>
    </w:p>
    <w:p w14:paraId="006CE7EA"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r w:rsidRPr="00D04088">
        <w:rPr>
          <w:noProof/>
        </w:rPr>
        <w:t>Din l-inizjattiva ma taffettwax il-kosteffettività tal-kontrolli eżistenti tal-Kummissjoni.</w:t>
      </w:r>
    </w:p>
    <w:p w14:paraId="6D09BBB2" w14:textId="77777777" w:rsidR="004515FC" w:rsidRPr="00D04088" w:rsidRDefault="004515FC" w:rsidP="004515FC">
      <w:pPr>
        <w:pStyle w:val="ManualHeading2"/>
        <w:rPr>
          <w:noProof/>
        </w:rPr>
      </w:pPr>
      <w:bookmarkStart w:id="53" w:name="_Toc514938049"/>
      <w:bookmarkStart w:id="54" w:name="_Toc520485048"/>
      <w:r w:rsidRPr="00D04088">
        <w:rPr>
          <w:noProof/>
        </w:rPr>
        <w:t>2.3.</w:t>
      </w:r>
      <w:r w:rsidRPr="00D04088">
        <w:rPr>
          <w:noProof/>
        </w:rPr>
        <w:tab/>
        <w:t>Miżuri għall-prevenzjoni ta’ frodi u ta’ irregolaritajiet</w:t>
      </w:r>
      <w:bookmarkEnd w:id="53"/>
      <w:bookmarkEnd w:id="54"/>
      <w:r w:rsidRPr="00D04088">
        <w:rPr>
          <w:noProof/>
        </w:rPr>
        <w:t xml:space="preserve"> </w:t>
      </w:r>
    </w:p>
    <w:p w14:paraId="29729024" w14:textId="77777777" w:rsidR="004515FC" w:rsidRPr="00D04088" w:rsidRDefault="004515FC" w:rsidP="004515FC">
      <w:pPr>
        <w:pStyle w:val="Text1"/>
        <w:rPr>
          <w:i/>
          <w:noProof/>
          <w:sz w:val="20"/>
        </w:rPr>
      </w:pPr>
      <w:r w:rsidRPr="00D04088">
        <w:rPr>
          <w:i/>
          <w:noProof/>
          <w:sz w:val="20"/>
        </w:rPr>
        <w:t>Speċifika l-miżuri ta’ prevenzjoni u ta’ protezzjoni eżistenti jew previsti, eż. mill-Istrateġija Kontra l-Frodi.</w:t>
      </w:r>
    </w:p>
    <w:p w14:paraId="2B107299"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D04088">
        <w:rPr>
          <w:noProof/>
        </w:rPr>
        <w:t>Din id-dikjarazzjoni finanzjarja leġiżlattiva tikkonċerna n-nefqa tal-persunal. Japplikaw regoli standard għal dan it-tip ta’ nefqa.</w:t>
      </w:r>
    </w:p>
    <w:p w14:paraId="31090FEE" w14:textId="77777777" w:rsidR="004515FC" w:rsidRPr="00D04088" w:rsidRDefault="004515FC" w:rsidP="004515FC">
      <w:pPr>
        <w:rPr>
          <w:noProof/>
        </w:rPr>
        <w:sectPr w:rsidR="004515FC" w:rsidRPr="00D04088" w:rsidSect="006C0976">
          <w:pgSz w:w="11907" w:h="16840" w:code="9"/>
          <w:pgMar w:top="1134" w:right="1418" w:bottom="1134" w:left="1418" w:header="709" w:footer="709" w:gutter="0"/>
          <w:cols w:space="708"/>
          <w:docGrid w:linePitch="360"/>
        </w:sectPr>
      </w:pPr>
    </w:p>
    <w:p w14:paraId="43B4E7B7" w14:textId="77777777" w:rsidR="004515FC" w:rsidRPr="00D04088" w:rsidRDefault="004515FC" w:rsidP="004515FC">
      <w:pPr>
        <w:pStyle w:val="ManualHeading1"/>
        <w:rPr>
          <w:noProof/>
        </w:rPr>
      </w:pPr>
      <w:bookmarkStart w:id="55" w:name="_Toc514938050"/>
      <w:bookmarkStart w:id="56" w:name="_Toc520485049"/>
      <w:r w:rsidRPr="00D04088">
        <w:rPr>
          <w:noProof/>
        </w:rPr>
        <w:t>3.</w:t>
      </w:r>
      <w:r w:rsidRPr="00D04088">
        <w:rPr>
          <w:noProof/>
        </w:rPr>
        <w:tab/>
        <w:t>IMPATT FINANZJARJU STMAT TAL-PROPOSTA/TAL-INIZJATTIVA</w:t>
      </w:r>
      <w:bookmarkEnd w:id="55"/>
      <w:bookmarkEnd w:id="56"/>
      <w:r w:rsidRPr="00D04088">
        <w:rPr>
          <w:noProof/>
        </w:rPr>
        <w:t xml:space="preserve"> </w:t>
      </w:r>
    </w:p>
    <w:p w14:paraId="0E2A318C" w14:textId="77777777" w:rsidR="004515FC" w:rsidRPr="00D04088" w:rsidRDefault="004515FC" w:rsidP="004515FC">
      <w:pPr>
        <w:pStyle w:val="ManualHeading2"/>
        <w:rPr>
          <w:noProof/>
        </w:rPr>
      </w:pPr>
      <w:bookmarkStart w:id="57" w:name="_Toc514938051"/>
      <w:bookmarkStart w:id="58" w:name="_Toc520485050"/>
      <w:r w:rsidRPr="00D04088">
        <w:rPr>
          <w:noProof/>
        </w:rPr>
        <w:t>3.1.</w:t>
      </w:r>
      <w:r w:rsidRPr="00D04088">
        <w:rPr>
          <w:noProof/>
        </w:rPr>
        <w:tab/>
        <w:t>Intestatura/i tal-qafas finanzjarju pluriennali u l-linja/i baġitarja/i tan-nefqa affettwata/i</w:t>
      </w:r>
      <w:bookmarkEnd w:id="57"/>
      <w:bookmarkEnd w:id="58"/>
      <w:r w:rsidRPr="00D04088">
        <w:rPr>
          <w:noProof/>
        </w:rPr>
        <w:t xml:space="preserve"> </w:t>
      </w:r>
    </w:p>
    <w:p w14:paraId="03BB8814" w14:textId="77777777" w:rsidR="004515FC" w:rsidRPr="00D04088" w:rsidRDefault="004515FC" w:rsidP="004515FC">
      <w:pPr>
        <w:pStyle w:val="ListBullet1"/>
        <w:rPr>
          <w:noProof/>
        </w:rPr>
      </w:pPr>
      <w:r w:rsidRPr="00D04088">
        <w:rPr>
          <w:noProof/>
        </w:rPr>
        <w:t xml:space="preserve">Linji baġitarji eżistenti </w:t>
      </w:r>
    </w:p>
    <w:p w14:paraId="4C600DEE" w14:textId="77777777" w:rsidR="004515FC" w:rsidRPr="00D04088" w:rsidRDefault="004515FC" w:rsidP="004515FC">
      <w:pPr>
        <w:pStyle w:val="Text1"/>
        <w:rPr>
          <w:i/>
          <w:noProof/>
        </w:rPr>
      </w:pPr>
      <w:r w:rsidRPr="00D04088">
        <w:rPr>
          <w:i/>
          <w:iCs/>
          <w:noProof/>
          <w:u w:val="single"/>
        </w:rPr>
        <w:t>Skont</w:t>
      </w:r>
      <w:r w:rsidRPr="00D04088">
        <w:rPr>
          <w:i/>
          <w:iCs/>
          <w:noProof/>
        </w:rPr>
        <w:t xml:space="preserve"> l-ordni</w:t>
      </w:r>
      <w:r w:rsidRPr="00D04088">
        <w:rPr>
          <w:i/>
          <w:noProof/>
        </w:rPr>
        <w:t xml:space="preserve"> tal-intestaturi tal-qafas finanzjarju pluriennali u tal-linji baġitarji.</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10369" w:rsidRPr="00D04088" w14:paraId="34CD8DE7" w14:textId="77777777">
        <w:tc>
          <w:tcPr>
            <w:tcW w:w="1080" w:type="dxa"/>
            <w:vMerge w:val="restart"/>
            <w:vAlign w:val="center"/>
          </w:tcPr>
          <w:p w14:paraId="1C0332D0" w14:textId="77777777" w:rsidR="004515FC" w:rsidRPr="00D04088" w:rsidRDefault="004515FC" w:rsidP="0029161D">
            <w:pPr>
              <w:spacing w:before="60" w:after="60"/>
              <w:jc w:val="center"/>
              <w:rPr>
                <w:noProof/>
              </w:rPr>
            </w:pPr>
            <w:r w:rsidRPr="00D04088">
              <w:rPr>
                <w:noProof/>
                <w:sz w:val="18"/>
              </w:rPr>
              <w:t>Intestatura tal-qafas finanzjarju pluriennali</w:t>
            </w:r>
          </w:p>
        </w:tc>
        <w:tc>
          <w:tcPr>
            <w:tcW w:w="3960" w:type="dxa"/>
            <w:vAlign w:val="center"/>
          </w:tcPr>
          <w:p w14:paraId="41C116C0" w14:textId="77777777" w:rsidR="004515FC" w:rsidRPr="00D04088" w:rsidRDefault="004515FC" w:rsidP="0029161D">
            <w:pPr>
              <w:spacing w:before="60" w:after="60"/>
              <w:jc w:val="center"/>
              <w:rPr>
                <w:noProof/>
              </w:rPr>
            </w:pPr>
            <w:r w:rsidRPr="00D04088">
              <w:rPr>
                <w:noProof/>
                <w:sz w:val="20"/>
              </w:rPr>
              <w:t>Linja baġitarja</w:t>
            </w:r>
          </w:p>
        </w:tc>
        <w:tc>
          <w:tcPr>
            <w:tcW w:w="1080" w:type="dxa"/>
            <w:vAlign w:val="center"/>
          </w:tcPr>
          <w:p w14:paraId="27929EA4" w14:textId="77777777" w:rsidR="004515FC" w:rsidRPr="00D04088" w:rsidRDefault="004515FC" w:rsidP="0029161D">
            <w:pPr>
              <w:spacing w:before="60" w:after="60"/>
              <w:jc w:val="center"/>
              <w:rPr>
                <w:noProof/>
              </w:rPr>
            </w:pPr>
            <w:r w:rsidRPr="00D04088">
              <w:rPr>
                <w:noProof/>
                <w:sz w:val="18"/>
              </w:rPr>
              <w:t xml:space="preserve">Tip ta’ </w:t>
            </w:r>
            <w:r w:rsidRPr="00D04088">
              <w:rPr>
                <w:noProof/>
              </w:rPr>
              <w:t xml:space="preserve"> </w:t>
            </w:r>
            <w:r w:rsidRPr="00D04088">
              <w:rPr>
                <w:noProof/>
              </w:rPr>
              <w:cr/>
            </w:r>
            <w:r w:rsidRPr="00D04088">
              <w:rPr>
                <w:noProof/>
              </w:rPr>
              <w:br/>
            </w:r>
            <w:r w:rsidRPr="00D04088">
              <w:rPr>
                <w:noProof/>
                <w:sz w:val="18"/>
              </w:rPr>
              <w:t>nefqa</w:t>
            </w:r>
          </w:p>
        </w:tc>
        <w:tc>
          <w:tcPr>
            <w:tcW w:w="4440" w:type="dxa"/>
            <w:gridSpan w:val="4"/>
            <w:vAlign w:val="center"/>
          </w:tcPr>
          <w:p w14:paraId="3EDCB9B8" w14:textId="77777777" w:rsidR="004515FC" w:rsidRPr="00D04088" w:rsidRDefault="004515FC" w:rsidP="0029161D">
            <w:pPr>
              <w:spacing w:before="60" w:after="60"/>
              <w:jc w:val="center"/>
              <w:rPr>
                <w:noProof/>
              </w:rPr>
            </w:pPr>
            <w:r w:rsidRPr="00D04088">
              <w:rPr>
                <w:noProof/>
                <w:sz w:val="20"/>
              </w:rPr>
              <w:t xml:space="preserve">Kontribuzzjoni </w:t>
            </w:r>
          </w:p>
        </w:tc>
      </w:tr>
      <w:tr w:rsidR="00910369" w:rsidRPr="00D04088" w14:paraId="6AD600CD" w14:textId="77777777">
        <w:tc>
          <w:tcPr>
            <w:tcW w:w="1080" w:type="dxa"/>
            <w:vMerge/>
            <w:vAlign w:val="center"/>
          </w:tcPr>
          <w:p w14:paraId="4CC9AA63" w14:textId="77777777" w:rsidR="004515FC" w:rsidRPr="00D04088" w:rsidRDefault="004515FC" w:rsidP="0029161D">
            <w:pPr>
              <w:jc w:val="center"/>
              <w:rPr>
                <w:noProof/>
              </w:rPr>
            </w:pPr>
          </w:p>
        </w:tc>
        <w:tc>
          <w:tcPr>
            <w:tcW w:w="3960" w:type="dxa"/>
            <w:vAlign w:val="center"/>
          </w:tcPr>
          <w:p w14:paraId="6F9A7F23" w14:textId="77777777" w:rsidR="004515FC" w:rsidRPr="00D04088" w:rsidRDefault="004515FC" w:rsidP="0029161D">
            <w:pPr>
              <w:rPr>
                <w:noProof/>
              </w:rPr>
            </w:pPr>
            <w:r w:rsidRPr="00D04088">
              <w:rPr>
                <w:noProof/>
                <w:sz w:val="20"/>
              </w:rPr>
              <w:t xml:space="preserve">Numru </w:t>
            </w:r>
            <w:r w:rsidRPr="00D04088">
              <w:rPr>
                <w:noProof/>
              </w:rPr>
              <w:t xml:space="preserve"> </w:t>
            </w:r>
            <w:r w:rsidRPr="00D04088">
              <w:rPr>
                <w:noProof/>
              </w:rPr>
              <w:cr/>
            </w:r>
            <w:r w:rsidRPr="00D04088">
              <w:rPr>
                <w:noProof/>
              </w:rPr>
              <w:br/>
            </w:r>
          </w:p>
        </w:tc>
        <w:tc>
          <w:tcPr>
            <w:tcW w:w="1080" w:type="dxa"/>
            <w:vAlign w:val="center"/>
          </w:tcPr>
          <w:p w14:paraId="150C667E" w14:textId="77777777" w:rsidR="004515FC" w:rsidRPr="00D04088" w:rsidRDefault="004515FC" w:rsidP="0029161D">
            <w:pPr>
              <w:jc w:val="center"/>
              <w:rPr>
                <w:noProof/>
              </w:rPr>
            </w:pPr>
            <w:r w:rsidRPr="00D04088">
              <w:rPr>
                <w:noProof/>
                <w:sz w:val="18"/>
              </w:rPr>
              <w:t>Diff./Mhux diff.</w:t>
            </w:r>
            <w:r w:rsidRPr="00D04088">
              <w:rPr>
                <w:rStyle w:val="FootnoteReference0"/>
                <w:noProof/>
                <w:sz w:val="18"/>
              </w:rPr>
              <w:footnoteReference w:id="41"/>
            </w:r>
          </w:p>
        </w:tc>
        <w:tc>
          <w:tcPr>
            <w:tcW w:w="956" w:type="dxa"/>
            <w:vAlign w:val="center"/>
          </w:tcPr>
          <w:p w14:paraId="17C49E28" w14:textId="77777777" w:rsidR="004515FC" w:rsidRPr="00D04088" w:rsidRDefault="004515FC" w:rsidP="0029161D">
            <w:pPr>
              <w:jc w:val="center"/>
              <w:rPr>
                <w:b/>
                <w:noProof/>
                <w:sz w:val="18"/>
              </w:rPr>
            </w:pPr>
            <w:r w:rsidRPr="00D04088">
              <w:rPr>
                <w:noProof/>
                <w:sz w:val="18"/>
              </w:rPr>
              <w:t>mill-pajjiżi tal-EFTA</w:t>
            </w:r>
            <w:r w:rsidRPr="00D04088">
              <w:rPr>
                <w:rStyle w:val="FootnoteReference0"/>
                <w:noProof/>
                <w:sz w:val="18"/>
              </w:rPr>
              <w:footnoteReference w:id="42"/>
            </w:r>
          </w:p>
        </w:tc>
        <w:tc>
          <w:tcPr>
            <w:tcW w:w="1080" w:type="dxa"/>
            <w:vAlign w:val="center"/>
          </w:tcPr>
          <w:p w14:paraId="6CF428B7" w14:textId="77777777" w:rsidR="004515FC" w:rsidRPr="00D04088" w:rsidRDefault="004515FC" w:rsidP="0029161D">
            <w:pPr>
              <w:jc w:val="center"/>
              <w:rPr>
                <w:noProof/>
                <w:sz w:val="18"/>
              </w:rPr>
            </w:pPr>
            <w:r w:rsidRPr="00D04088">
              <w:rPr>
                <w:noProof/>
                <w:sz w:val="18"/>
              </w:rPr>
              <w:t>mill-pajjiżi kandidati u mill-kandidati potenzjali</w:t>
            </w:r>
            <w:r w:rsidRPr="00D04088">
              <w:rPr>
                <w:rStyle w:val="FootnoteReference0"/>
                <w:noProof/>
                <w:sz w:val="18"/>
              </w:rPr>
              <w:footnoteReference w:id="43"/>
            </w:r>
          </w:p>
        </w:tc>
        <w:tc>
          <w:tcPr>
            <w:tcW w:w="956" w:type="dxa"/>
            <w:vAlign w:val="center"/>
          </w:tcPr>
          <w:p w14:paraId="6DCAD98E" w14:textId="77777777" w:rsidR="004515FC" w:rsidRPr="00D04088" w:rsidRDefault="004515FC" w:rsidP="0029161D">
            <w:pPr>
              <w:jc w:val="center"/>
              <w:rPr>
                <w:noProof/>
                <w:sz w:val="18"/>
              </w:rPr>
            </w:pPr>
            <w:r w:rsidRPr="00D04088">
              <w:rPr>
                <w:noProof/>
                <w:sz w:val="18"/>
              </w:rPr>
              <w:t>minn pajjiżi terzi oħrajn</w:t>
            </w:r>
          </w:p>
        </w:tc>
        <w:tc>
          <w:tcPr>
            <w:tcW w:w="1448" w:type="dxa"/>
            <w:vAlign w:val="center"/>
          </w:tcPr>
          <w:p w14:paraId="1A091E24" w14:textId="77777777" w:rsidR="004515FC" w:rsidRPr="00D04088" w:rsidRDefault="004515FC" w:rsidP="0029161D">
            <w:pPr>
              <w:jc w:val="center"/>
              <w:rPr>
                <w:noProof/>
              </w:rPr>
            </w:pPr>
            <w:r w:rsidRPr="00D04088">
              <w:rPr>
                <w:noProof/>
                <w:sz w:val="18"/>
              </w:rPr>
              <w:t>dħul assenjat ieħor</w:t>
            </w:r>
          </w:p>
        </w:tc>
      </w:tr>
      <w:tr w:rsidR="00DB3050" w:rsidRPr="00D04088" w14:paraId="1ABCBDA5" w14:textId="77777777">
        <w:tc>
          <w:tcPr>
            <w:tcW w:w="1080" w:type="dxa"/>
            <w:vAlign w:val="center"/>
          </w:tcPr>
          <w:p w14:paraId="2EE99B61" w14:textId="77777777" w:rsidR="004515FC" w:rsidRPr="00D04088" w:rsidRDefault="004515FC" w:rsidP="0029161D">
            <w:pPr>
              <w:jc w:val="center"/>
              <w:rPr>
                <w:noProof/>
                <w:color w:val="0000FF"/>
              </w:rPr>
            </w:pPr>
          </w:p>
        </w:tc>
        <w:tc>
          <w:tcPr>
            <w:tcW w:w="3960" w:type="dxa"/>
            <w:vAlign w:val="center"/>
          </w:tcPr>
          <w:p w14:paraId="52FAA916" w14:textId="77777777" w:rsidR="004515FC" w:rsidRPr="00D04088" w:rsidRDefault="004515FC" w:rsidP="0029161D">
            <w:pPr>
              <w:spacing w:before="60"/>
              <w:rPr>
                <w:noProof/>
              </w:rPr>
            </w:pPr>
            <w:r w:rsidRPr="00D04088">
              <w:rPr>
                <w:noProof/>
                <w:sz w:val="22"/>
              </w:rPr>
              <w:t>[XX.YY.YY.YY]</w:t>
            </w:r>
          </w:p>
          <w:p w14:paraId="75358A74" w14:textId="77777777" w:rsidR="004515FC" w:rsidRPr="00D04088" w:rsidRDefault="004515FC" w:rsidP="0029161D">
            <w:pPr>
              <w:spacing w:after="60"/>
              <w:rPr>
                <w:noProof/>
              </w:rPr>
            </w:pPr>
          </w:p>
        </w:tc>
        <w:tc>
          <w:tcPr>
            <w:tcW w:w="1080" w:type="dxa"/>
            <w:vAlign w:val="center"/>
          </w:tcPr>
          <w:p w14:paraId="220D7FB3" w14:textId="77777777" w:rsidR="004515FC" w:rsidRPr="00D04088" w:rsidRDefault="004515FC" w:rsidP="0029161D">
            <w:pPr>
              <w:jc w:val="center"/>
              <w:rPr>
                <w:noProof/>
                <w:color w:val="0000FF"/>
              </w:rPr>
            </w:pPr>
            <w:r w:rsidRPr="00D04088">
              <w:rPr>
                <w:noProof/>
                <w:sz w:val="22"/>
              </w:rPr>
              <w:t>Diff./Mhux diff.</w:t>
            </w:r>
          </w:p>
        </w:tc>
        <w:tc>
          <w:tcPr>
            <w:tcW w:w="956" w:type="dxa"/>
            <w:vAlign w:val="center"/>
          </w:tcPr>
          <w:p w14:paraId="7AE8BDBB" w14:textId="77777777" w:rsidR="004515FC" w:rsidRPr="00D04088" w:rsidRDefault="004515FC" w:rsidP="0029161D">
            <w:pPr>
              <w:jc w:val="center"/>
              <w:rPr>
                <w:noProof/>
                <w:sz w:val="20"/>
              </w:rPr>
            </w:pPr>
            <w:r w:rsidRPr="00D04088">
              <w:rPr>
                <w:noProof/>
                <w:sz w:val="20"/>
              </w:rPr>
              <w:t>IVA/LE</w:t>
            </w:r>
          </w:p>
        </w:tc>
        <w:tc>
          <w:tcPr>
            <w:tcW w:w="1080" w:type="dxa"/>
            <w:vAlign w:val="center"/>
          </w:tcPr>
          <w:p w14:paraId="4DC3A89E" w14:textId="77777777" w:rsidR="004515FC" w:rsidRPr="00D04088" w:rsidRDefault="004515FC" w:rsidP="0029161D">
            <w:pPr>
              <w:jc w:val="center"/>
              <w:rPr>
                <w:noProof/>
                <w:sz w:val="20"/>
              </w:rPr>
            </w:pPr>
            <w:r w:rsidRPr="00D04088">
              <w:rPr>
                <w:noProof/>
                <w:sz w:val="20"/>
              </w:rPr>
              <w:t>IVA/LE</w:t>
            </w:r>
          </w:p>
        </w:tc>
        <w:tc>
          <w:tcPr>
            <w:tcW w:w="956" w:type="dxa"/>
            <w:vAlign w:val="center"/>
          </w:tcPr>
          <w:p w14:paraId="66288EA3" w14:textId="77777777" w:rsidR="004515FC" w:rsidRPr="00D04088" w:rsidRDefault="004515FC" w:rsidP="0029161D">
            <w:pPr>
              <w:jc w:val="center"/>
              <w:rPr>
                <w:noProof/>
                <w:sz w:val="20"/>
              </w:rPr>
            </w:pPr>
            <w:r w:rsidRPr="00D04088">
              <w:rPr>
                <w:noProof/>
                <w:sz w:val="20"/>
              </w:rPr>
              <w:t>IVA/LE</w:t>
            </w:r>
          </w:p>
        </w:tc>
        <w:tc>
          <w:tcPr>
            <w:tcW w:w="1448" w:type="dxa"/>
            <w:vAlign w:val="center"/>
          </w:tcPr>
          <w:p w14:paraId="3CF4E9DE" w14:textId="77777777" w:rsidR="004515FC" w:rsidRPr="00D04088" w:rsidRDefault="004515FC" w:rsidP="0029161D">
            <w:pPr>
              <w:jc w:val="center"/>
              <w:rPr>
                <w:noProof/>
                <w:sz w:val="20"/>
              </w:rPr>
            </w:pPr>
            <w:r w:rsidRPr="00D04088">
              <w:rPr>
                <w:noProof/>
                <w:sz w:val="20"/>
              </w:rPr>
              <w:t>IVA/LE</w:t>
            </w:r>
          </w:p>
        </w:tc>
      </w:tr>
    </w:tbl>
    <w:p w14:paraId="55C42E2B" w14:textId="77777777" w:rsidR="004515FC" w:rsidRPr="00D04088" w:rsidRDefault="004515FC" w:rsidP="004515FC">
      <w:pPr>
        <w:pStyle w:val="ListBullet1"/>
        <w:rPr>
          <w:noProof/>
        </w:rPr>
      </w:pPr>
      <w:r w:rsidRPr="00D04088">
        <w:rPr>
          <w:noProof/>
        </w:rPr>
        <w:t xml:space="preserve">Linji baġitarji ġodda mitluba </w:t>
      </w:r>
    </w:p>
    <w:p w14:paraId="622C0F8B" w14:textId="77777777" w:rsidR="004515FC" w:rsidRPr="00D04088" w:rsidRDefault="004515FC" w:rsidP="004515FC">
      <w:pPr>
        <w:pStyle w:val="Text1"/>
        <w:rPr>
          <w:i/>
          <w:noProof/>
          <w:sz w:val="20"/>
        </w:rPr>
      </w:pPr>
      <w:r w:rsidRPr="00D04088">
        <w:rPr>
          <w:i/>
          <w:iCs/>
          <w:noProof/>
          <w:u w:val="single"/>
        </w:rPr>
        <w:t>Skont</w:t>
      </w:r>
      <w:r w:rsidRPr="00D04088">
        <w:rPr>
          <w:i/>
          <w:iCs/>
          <w:noProof/>
        </w:rPr>
        <w:t xml:space="preserve"> l-ordni</w:t>
      </w:r>
      <w:r w:rsidRPr="00D04088">
        <w:rPr>
          <w:i/>
          <w:noProof/>
        </w:rPr>
        <w:t xml:space="preserve"> tal-intestaturi tal-qafas finanzjarju pluriennali u tal-linji baġitarji.</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10369" w:rsidRPr="00D04088" w14:paraId="307919A9" w14:textId="77777777">
        <w:tc>
          <w:tcPr>
            <w:tcW w:w="1080" w:type="dxa"/>
            <w:vMerge w:val="restart"/>
            <w:vAlign w:val="center"/>
          </w:tcPr>
          <w:p w14:paraId="4F5D453A" w14:textId="77777777" w:rsidR="004515FC" w:rsidRPr="00D04088" w:rsidRDefault="004515FC" w:rsidP="0029161D">
            <w:pPr>
              <w:spacing w:before="60" w:after="60"/>
              <w:jc w:val="center"/>
              <w:rPr>
                <w:noProof/>
                <w:sz w:val="18"/>
              </w:rPr>
            </w:pPr>
            <w:r w:rsidRPr="00D04088">
              <w:rPr>
                <w:noProof/>
                <w:sz w:val="18"/>
              </w:rPr>
              <w:t>Intestatura tal-qafas finanzjarju pluriennali</w:t>
            </w:r>
          </w:p>
        </w:tc>
        <w:tc>
          <w:tcPr>
            <w:tcW w:w="3960" w:type="dxa"/>
            <w:vAlign w:val="center"/>
          </w:tcPr>
          <w:p w14:paraId="483593F7" w14:textId="77777777" w:rsidR="004515FC" w:rsidRPr="00D04088" w:rsidRDefault="004515FC" w:rsidP="0029161D">
            <w:pPr>
              <w:spacing w:before="60" w:after="60"/>
              <w:jc w:val="center"/>
              <w:rPr>
                <w:noProof/>
              </w:rPr>
            </w:pPr>
            <w:r w:rsidRPr="00D04088">
              <w:rPr>
                <w:noProof/>
                <w:sz w:val="20"/>
              </w:rPr>
              <w:t>Linja baġitarja</w:t>
            </w:r>
          </w:p>
        </w:tc>
        <w:tc>
          <w:tcPr>
            <w:tcW w:w="1080" w:type="dxa"/>
            <w:vAlign w:val="center"/>
          </w:tcPr>
          <w:p w14:paraId="4A7A5906" w14:textId="77777777" w:rsidR="004515FC" w:rsidRPr="00D04088" w:rsidRDefault="004515FC" w:rsidP="0029161D">
            <w:pPr>
              <w:spacing w:before="60" w:after="60"/>
              <w:jc w:val="center"/>
              <w:rPr>
                <w:noProof/>
              </w:rPr>
            </w:pPr>
            <w:r w:rsidRPr="00D04088">
              <w:rPr>
                <w:noProof/>
                <w:sz w:val="18"/>
              </w:rPr>
              <w:t>Tip ta’</w:t>
            </w:r>
            <w:r w:rsidRPr="00D04088">
              <w:rPr>
                <w:noProof/>
              </w:rPr>
              <w:t xml:space="preserve"> </w:t>
            </w:r>
            <w:r w:rsidRPr="00D04088">
              <w:rPr>
                <w:noProof/>
              </w:rPr>
              <w:cr/>
            </w:r>
            <w:r w:rsidRPr="00D04088">
              <w:rPr>
                <w:noProof/>
              </w:rPr>
              <w:br/>
            </w:r>
            <w:r w:rsidRPr="00D04088">
              <w:rPr>
                <w:noProof/>
                <w:sz w:val="18"/>
              </w:rPr>
              <w:t>nefqa</w:t>
            </w:r>
          </w:p>
        </w:tc>
        <w:tc>
          <w:tcPr>
            <w:tcW w:w="4440" w:type="dxa"/>
            <w:gridSpan w:val="4"/>
            <w:vAlign w:val="center"/>
          </w:tcPr>
          <w:p w14:paraId="52B62367" w14:textId="77777777" w:rsidR="004515FC" w:rsidRPr="00D04088" w:rsidRDefault="004515FC" w:rsidP="0029161D">
            <w:pPr>
              <w:spacing w:before="60" w:after="60"/>
              <w:jc w:val="center"/>
              <w:rPr>
                <w:noProof/>
              </w:rPr>
            </w:pPr>
            <w:r w:rsidRPr="00D04088">
              <w:rPr>
                <w:noProof/>
                <w:sz w:val="20"/>
              </w:rPr>
              <w:t xml:space="preserve">Kontribuzzjoni </w:t>
            </w:r>
          </w:p>
        </w:tc>
      </w:tr>
      <w:tr w:rsidR="00910369" w:rsidRPr="00D04088" w14:paraId="645D0419" w14:textId="77777777">
        <w:tc>
          <w:tcPr>
            <w:tcW w:w="1080" w:type="dxa"/>
            <w:vMerge/>
            <w:vAlign w:val="center"/>
          </w:tcPr>
          <w:p w14:paraId="30DA29CF" w14:textId="77777777" w:rsidR="004515FC" w:rsidRPr="00D04088" w:rsidRDefault="004515FC" w:rsidP="0029161D">
            <w:pPr>
              <w:jc w:val="center"/>
              <w:rPr>
                <w:noProof/>
              </w:rPr>
            </w:pPr>
          </w:p>
        </w:tc>
        <w:tc>
          <w:tcPr>
            <w:tcW w:w="3960" w:type="dxa"/>
            <w:vAlign w:val="center"/>
          </w:tcPr>
          <w:p w14:paraId="3C82B3A1" w14:textId="77777777" w:rsidR="004515FC" w:rsidRPr="00D04088" w:rsidRDefault="004515FC" w:rsidP="0029161D">
            <w:pPr>
              <w:rPr>
                <w:noProof/>
              </w:rPr>
            </w:pPr>
            <w:r w:rsidRPr="00D04088">
              <w:rPr>
                <w:noProof/>
                <w:sz w:val="20"/>
              </w:rPr>
              <w:t xml:space="preserve">Numru </w:t>
            </w:r>
            <w:r w:rsidRPr="00D04088">
              <w:rPr>
                <w:noProof/>
              </w:rPr>
              <w:t xml:space="preserve"> </w:t>
            </w:r>
            <w:r w:rsidRPr="00D04088">
              <w:rPr>
                <w:noProof/>
              </w:rPr>
              <w:cr/>
            </w:r>
            <w:r w:rsidRPr="00D04088">
              <w:rPr>
                <w:noProof/>
              </w:rPr>
              <w:br/>
            </w:r>
          </w:p>
        </w:tc>
        <w:tc>
          <w:tcPr>
            <w:tcW w:w="1080" w:type="dxa"/>
            <w:vAlign w:val="center"/>
          </w:tcPr>
          <w:p w14:paraId="7D3201A0" w14:textId="77777777" w:rsidR="004515FC" w:rsidRPr="00D04088" w:rsidRDefault="004515FC" w:rsidP="0029161D">
            <w:pPr>
              <w:jc w:val="center"/>
              <w:rPr>
                <w:noProof/>
              </w:rPr>
            </w:pPr>
            <w:r w:rsidRPr="00D04088">
              <w:rPr>
                <w:noProof/>
                <w:sz w:val="18"/>
              </w:rPr>
              <w:t>Diff./Mhux diff.</w:t>
            </w:r>
          </w:p>
        </w:tc>
        <w:tc>
          <w:tcPr>
            <w:tcW w:w="956" w:type="dxa"/>
            <w:vAlign w:val="center"/>
          </w:tcPr>
          <w:p w14:paraId="027544AD" w14:textId="77777777" w:rsidR="004515FC" w:rsidRPr="00D04088" w:rsidRDefault="004515FC" w:rsidP="0029161D">
            <w:pPr>
              <w:jc w:val="center"/>
              <w:rPr>
                <w:noProof/>
                <w:sz w:val="18"/>
              </w:rPr>
            </w:pPr>
            <w:r w:rsidRPr="00D04088">
              <w:rPr>
                <w:noProof/>
                <w:sz w:val="18"/>
              </w:rPr>
              <w:t>mill-pajjiżi tal-EFTA</w:t>
            </w:r>
          </w:p>
        </w:tc>
        <w:tc>
          <w:tcPr>
            <w:tcW w:w="1080" w:type="dxa"/>
            <w:vAlign w:val="center"/>
          </w:tcPr>
          <w:p w14:paraId="67D8438A" w14:textId="77777777" w:rsidR="004515FC" w:rsidRPr="00D04088" w:rsidRDefault="004515FC" w:rsidP="0029161D">
            <w:pPr>
              <w:jc w:val="center"/>
              <w:rPr>
                <w:noProof/>
                <w:sz w:val="18"/>
              </w:rPr>
            </w:pPr>
            <w:r w:rsidRPr="00D04088">
              <w:rPr>
                <w:noProof/>
                <w:sz w:val="18"/>
              </w:rPr>
              <w:t>mill-pajjiżi kandidati u mill-kandidati potenzjali</w:t>
            </w:r>
          </w:p>
        </w:tc>
        <w:tc>
          <w:tcPr>
            <w:tcW w:w="956" w:type="dxa"/>
            <w:vAlign w:val="center"/>
          </w:tcPr>
          <w:p w14:paraId="6EA3E2CB" w14:textId="75A6DBAF" w:rsidR="004515FC" w:rsidRPr="00D04088" w:rsidRDefault="004515FC" w:rsidP="0029161D">
            <w:pPr>
              <w:jc w:val="center"/>
              <w:rPr>
                <w:noProof/>
                <w:sz w:val="18"/>
              </w:rPr>
            </w:pPr>
            <w:r w:rsidRPr="00D04088">
              <w:rPr>
                <w:noProof/>
                <w:sz w:val="18"/>
              </w:rPr>
              <w:t>minn pajjiżi terzi oħra</w:t>
            </w:r>
          </w:p>
        </w:tc>
        <w:tc>
          <w:tcPr>
            <w:tcW w:w="1448" w:type="dxa"/>
            <w:vAlign w:val="center"/>
          </w:tcPr>
          <w:p w14:paraId="2040788A" w14:textId="77777777" w:rsidR="004515FC" w:rsidRPr="00D04088" w:rsidRDefault="004515FC" w:rsidP="0029161D">
            <w:pPr>
              <w:jc w:val="center"/>
              <w:rPr>
                <w:noProof/>
              </w:rPr>
            </w:pPr>
            <w:r w:rsidRPr="00D04088">
              <w:rPr>
                <w:noProof/>
                <w:sz w:val="18"/>
              </w:rPr>
              <w:t xml:space="preserve">dħul assenjat ieħor </w:t>
            </w:r>
          </w:p>
        </w:tc>
      </w:tr>
      <w:tr w:rsidR="00DB3050" w:rsidRPr="00D04088" w14:paraId="2AA0A868" w14:textId="77777777">
        <w:tc>
          <w:tcPr>
            <w:tcW w:w="1080" w:type="dxa"/>
            <w:vAlign w:val="center"/>
          </w:tcPr>
          <w:p w14:paraId="5F73153D" w14:textId="77777777" w:rsidR="004515FC" w:rsidRPr="00D04088" w:rsidRDefault="004515FC" w:rsidP="0029161D">
            <w:pPr>
              <w:jc w:val="center"/>
              <w:rPr>
                <w:noProof/>
                <w:color w:val="0000FF"/>
              </w:rPr>
            </w:pPr>
          </w:p>
        </w:tc>
        <w:tc>
          <w:tcPr>
            <w:tcW w:w="3960" w:type="dxa"/>
            <w:vAlign w:val="center"/>
          </w:tcPr>
          <w:p w14:paraId="5D029D0D" w14:textId="77777777" w:rsidR="004515FC" w:rsidRPr="00D04088" w:rsidRDefault="004515FC" w:rsidP="0029161D">
            <w:pPr>
              <w:spacing w:before="60"/>
              <w:rPr>
                <w:noProof/>
              </w:rPr>
            </w:pPr>
            <w:r w:rsidRPr="00D04088">
              <w:rPr>
                <w:noProof/>
                <w:sz w:val="22"/>
              </w:rPr>
              <w:t>[XX.YY.YY.YY]</w:t>
            </w:r>
          </w:p>
          <w:p w14:paraId="484FD809" w14:textId="77777777" w:rsidR="004515FC" w:rsidRPr="00D04088" w:rsidRDefault="004515FC" w:rsidP="0029161D">
            <w:pPr>
              <w:spacing w:after="60"/>
              <w:rPr>
                <w:noProof/>
                <w:color w:val="0000FF"/>
              </w:rPr>
            </w:pPr>
          </w:p>
        </w:tc>
        <w:tc>
          <w:tcPr>
            <w:tcW w:w="1080" w:type="dxa"/>
            <w:vAlign w:val="center"/>
          </w:tcPr>
          <w:p w14:paraId="3A1FA2B8" w14:textId="77777777" w:rsidR="004515FC" w:rsidRPr="00D04088" w:rsidRDefault="004515FC" w:rsidP="0029161D">
            <w:pPr>
              <w:jc w:val="center"/>
              <w:rPr>
                <w:noProof/>
                <w:color w:val="0000FF"/>
              </w:rPr>
            </w:pPr>
          </w:p>
        </w:tc>
        <w:tc>
          <w:tcPr>
            <w:tcW w:w="956" w:type="dxa"/>
            <w:vAlign w:val="center"/>
          </w:tcPr>
          <w:p w14:paraId="6AB23153" w14:textId="77777777" w:rsidR="004515FC" w:rsidRPr="00D04088" w:rsidRDefault="004515FC" w:rsidP="0029161D">
            <w:pPr>
              <w:jc w:val="center"/>
              <w:rPr>
                <w:noProof/>
                <w:sz w:val="20"/>
              </w:rPr>
            </w:pPr>
            <w:r w:rsidRPr="00D04088">
              <w:rPr>
                <w:noProof/>
                <w:sz w:val="20"/>
              </w:rPr>
              <w:t>IVA/LE</w:t>
            </w:r>
          </w:p>
        </w:tc>
        <w:tc>
          <w:tcPr>
            <w:tcW w:w="1080" w:type="dxa"/>
            <w:vAlign w:val="center"/>
          </w:tcPr>
          <w:p w14:paraId="511B3E1A" w14:textId="77777777" w:rsidR="004515FC" w:rsidRPr="00D04088" w:rsidRDefault="004515FC" w:rsidP="0029161D">
            <w:pPr>
              <w:jc w:val="center"/>
              <w:rPr>
                <w:noProof/>
                <w:color w:val="0000FF"/>
                <w:sz w:val="20"/>
              </w:rPr>
            </w:pPr>
            <w:r w:rsidRPr="00D04088">
              <w:rPr>
                <w:noProof/>
                <w:sz w:val="20"/>
              </w:rPr>
              <w:t>IVA/LE</w:t>
            </w:r>
          </w:p>
        </w:tc>
        <w:tc>
          <w:tcPr>
            <w:tcW w:w="956" w:type="dxa"/>
            <w:vAlign w:val="center"/>
          </w:tcPr>
          <w:p w14:paraId="1D2A5C71" w14:textId="77777777" w:rsidR="004515FC" w:rsidRPr="00D04088" w:rsidRDefault="004515FC" w:rsidP="0029161D">
            <w:pPr>
              <w:jc w:val="center"/>
              <w:rPr>
                <w:noProof/>
                <w:color w:val="0000FF"/>
                <w:sz w:val="20"/>
              </w:rPr>
            </w:pPr>
            <w:r w:rsidRPr="00D04088">
              <w:rPr>
                <w:noProof/>
                <w:sz w:val="20"/>
              </w:rPr>
              <w:t>IVA/LE</w:t>
            </w:r>
          </w:p>
        </w:tc>
        <w:tc>
          <w:tcPr>
            <w:tcW w:w="1448" w:type="dxa"/>
            <w:vAlign w:val="center"/>
          </w:tcPr>
          <w:p w14:paraId="7D290B3A" w14:textId="77777777" w:rsidR="004515FC" w:rsidRPr="00D04088" w:rsidRDefault="004515FC" w:rsidP="0029161D">
            <w:pPr>
              <w:jc w:val="center"/>
              <w:rPr>
                <w:noProof/>
                <w:sz w:val="20"/>
              </w:rPr>
            </w:pPr>
            <w:r w:rsidRPr="00D04088">
              <w:rPr>
                <w:noProof/>
                <w:sz w:val="20"/>
              </w:rPr>
              <w:t>IVA/LE</w:t>
            </w:r>
          </w:p>
        </w:tc>
      </w:tr>
    </w:tbl>
    <w:p w14:paraId="70696CD4" w14:textId="77777777" w:rsidR="004515FC" w:rsidRPr="00D04088" w:rsidRDefault="004515FC" w:rsidP="004515FC">
      <w:pPr>
        <w:rPr>
          <w:noProof/>
        </w:rPr>
        <w:sectPr w:rsidR="004515FC" w:rsidRPr="00D04088" w:rsidSect="006C0976">
          <w:pgSz w:w="11907" w:h="16840" w:code="1"/>
          <w:pgMar w:top="1134" w:right="1418" w:bottom="1134" w:left="1418" w:header="709" w:footer="709" w:gutter="0"/>
          <w:cols w:space="708"/>
          <w:docGrid w:linePitch="360"/>
        </w:sectPr>
      </w:pPr>
    </w:p>
    <w:p w14:paraId="1780F30F" w14:textId="77777777" w:rsidR="004515FC" w:rsidRPr="00D04088" w:rsidRDefault="004515FC" w:rsidP="004515FC">
      <w:pPr>
        <w:pStyle w:val="ManualHeading2"/>
        <w:rPr>
          <w:noProof/>
        </w:rPr>
      </w:pPr>
      <w:bookmarkStart w:id="59" w:name="_Toc514938052"/>
      <w:bookmarkStart w:id="60" w:name="_Toc520485051"/>
      <w:r w:rsidRPr="00D04088">
        <w:rPr>
          <w:noProof/>
        </w:rPr>
        <w:t>3.2.</w:t>
      </w:r>
      <w:r w:rsidRPr="00D04088">
        <w:rPr>
          <w:noProof/>
        </w:rPr>
        <w:tab/>
        <w:t>Impatt finanzjarju stmat tal-proposta fuq l-approprjazzjonijiet</w:t>
      </w:r>
      <w:bookmarkEnd w:id="59"/>
      <w:bookmarkEnd w:id="60"/>
      <w:r w:rsidRPr="00D04088">
        <w:rPr>
          <w:noProof/>
        </w:rPr>
        <w:t xml:space="preserve"> </w:t>
      </w:r>
    </w:p>
    <w:p w14:paraId="48F94B9C" w14:textId="77777777" w:rsidR="004515FC" w:rsidRPr="00D04088" w:rsidRDefault="004515FC" w:rsidP="004515FC">
      <w:pPr>
        <w:pStyle w:val="ManualHeading3"/>
        <w:rPr>
          <w:noProof/>
        </w:rPr>
      </w:pPr>
      <w:bookmarkStart w:id="61" w:name="_Toc514938053"/>
      <w:bookmarkStart w:id="62" w:name="_Toc520485052"/>
      <w:r w:rsidRPr="00D04088">
        <w:rPr>
          <w:noProof/>
        </w:rPr>
        <w:t>3.2.1.</w:t>
      </w:r>
      <w:r w:rsidRPr="00D04088">
        <w:rPr>
          <w:noProof/>
        </w:rPr>
        <w:tab/>
        <w:t>Sommarju tal-impatt stmat fuq l-approprjazzjonijiet operazzjonali</w:t>
      </w:r>
      <w:bookmarkEnd w:id="61"/>
      <w:bookmarkEnd w:id="62"/>
      <w:r w:rsidRPr="00D04088">
        <w:rPr>
          <w:noProof/>
        </w:rPr>
        <w:t xml:space="preserve"> </w:t>
      </w:r>
    </w:p>
    <w:p w14:paraId="1ED66C40" w14:textId="77777777" w:rsidR="004515FC" w:rsidRPr="00D04088" w:rsidRDefault="004515FC" w:rsidP="004515FC">
      <w:pPr>
        <w:pStyle w:val="ListDash1"/>
        <w:rPr>
          <w:noProof/>
        </w:rPr>
      </w:pPr>
      <w:r w:rsidRPr="00D04088">
        <w:rPr>
          <w:rFonts w:ascii="Wingdings" w:hAnsi="Wingdings"/>
          <w:noProof/>
        </w:rPr>
        <w:t></w:t>
      </w:r>
      <w:r w:rsidRPr="00D04088">
        <w:rPr>
          <w:noProof/>
        </w:rPr>
        <w:tab/>
        <w:t xml:space="preserve">Il-proposta/l-inizjattiva ma teħtieġx l-użu ta’ approprjazzjonijiet operazzjonali </w:t>
      </w:r>
    </w:p>
    <w:p w14:paraId="23039F28" w14:textId="77777777" w:rsidR="004515FC" w:rsidRPr="00D04088" w:rsidRDefault="004515FC" w:rsidP="004515FC">
      <w:pPr>
        <w:pStyle w:val="ListDash1"/>
        <w:rPr>
          <w:noProof/>
        </w:rPr>
      </w:pPr>
      <w:r w:rsidRPr="00D04088">
        <w:rPr>
          <w:rFonts w:ascii="Wingdings" w:hAnsi="Wingdings"/>
          <w:noProof/>
        </w:rPr>
        <w:t></w:t>
      </w:r>
      <w:r w:rsidRPr="00D04088">
        <w:rPr>
          <w:noProof/>
        </w:rPr>
        <w:tab/>
        <w:t>Il-proposta/inizjattiva teħtieġ l-użu ta’ approprjazzjonijiet operazzjonali, kif spjegat hawn taħt:</w:t>
      </w:r>
    </w:p>
    <w:p w14:paraId="5CFD7515" w14:textId="77777777" w:rsidR="004515FC" w:rsidRPr="00D04088" w:rsidRDefault="004515FC" w:rsidP="004515FC">
      <w:pPr>
        <w:jc w:val="right"/>
        <w:rPr>
          <w:noProof/>
          <w:sz w:val="18"/>
        </w:rPr>
      </w:pPr>
      <w:r w:rsidRPr="00D04088">
        <w:rPr>
          <w:noProof/>
          <w:sz w:val="18"/>
        </w:rPr>
        <w:t>miljuni ta’ EUR (għal tliet pożizzjonijiet deċimali)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D04088" w14:paraId="5D3591B3" w14:textId="77777777" w:rsidTr="0029161D">
        <w:trPr>
          <w:jc w:val="center"/>
        </w:trPr>
        <w:tc>
          <w:tcPr>
            <w:tcW w:w="4744" w:type="dxa"/>
            <w:shd w:val="thinDiagStripe" w:color="C0C0C0" w:fill="auto"/>
            <w:vAlign w:val="center"/>
          </w:tcPr>
          <w:p w14:paraId="02817F46" w14:textId="77777777" w:rsidR="004515FC" w:rsidRPr="00D04088" w:rsidRDefault="004515FC" w:rsidP="0029161D">
            <w:pPr>
              <w:spacing w:before="60" w:after="60"/>
              <w:jc w:val="center"/>
              <w:rPr>
                <w:b/>
                <w:noProof/>
              </w:rPr>
            </w:pPr>
            <w:r w:rsidRPr="00D04088">
              <w:rPr>
                <w:b/>
                <w:bCs/>
                <w:noProof/>
              </w:rPr>
              <w:t>Intestatura tal-qafas finanzjarju</w:t>
            </w:r>
            <w:r w:rsidRPr="00D04088">
              <w:rPr>
                <w:noProof/>
              </w:rPr>
              <w:t xml:space="preserve"> </w:t>
            </w:r>
            <w:r w:rsidRPr="00D04088">
              <w:rPr>
                <w:noProof/>
              </w:rPr>
              <w:cr/>
            </w:r>
            <w:r w:rsidRPr="00D04088">
              <w:rPr>
                <w:noProof/>
              </w:rPr>
              <w:br/>
            </w:r>
            <w:r w:rsidRPr="00D04088">
              <w:rPr>
                <w:b/>
                <w:bCs/>
                <w:noProof/>
              </w:rPr>
              <w:t>pluriennali</w:t>
            </w:r>
            <w:r w:rsidRPr="00D04088">
              <w:rPr>
                <w:b/>
                <w:noProof/>
                <w:sz w:val="22"/>
              </w:rPr>
              <w:t xml:space="preserve"> </w:t>
            </w:r>
          </w:p>
        </w:tc>
        <w:tc>
          <w:tcPr>
            <w:tcW w:w="1080" w:type="dxa"/>
            <w:vAlign w:val="center"/>
          </w:tcPr>
          <w:p w14:paraId="3CFC4F56" w14:textId="77777777" w:rsidR="004515FC" w:rsidRPr="00D04088" w:rsidRDefault="004515FC" w:rsidP="0029161D">
            <w:pPr>
              <w:spacing w:before="60" w:after="60"/>
              <w:jc w:val="center"/>
              <w:rPr>
                <w:noProof/>
              </w:rPr>
            </w:pPr>
            <w:r w:rsidRPr="00D04088">
              <w:rPr>
                <w:noProof/>
                <w:sz w:val="22"/>
              </w:rPr>
              <w:t>Numru</w:t>
            </w:r>
          </w:p>
        </w:tc>
        <w:tc>
          <w:tcPr>
            <w:tcW w:w="7817" w:type="dxa"/>
            <w:vAlign w:val="center"/>
          </w:tcPr>
          <w:p w14:paraId="367C64D8" w14:textId="77777777" w:rsidR="004515FC" w:rsidRPr="00D04088" w:rsidRDefault="004515FC" w:rsidP="0029161D">
            <w:pPr>
              <w:spacing w:before="60" w:after="60"/>
              <w:rPr>
                <w:noProof/>
              </w:rPr>
            </w:pPr>
          </w:p>
        </w:tc>
      </w:tr>
    </w:tbl>
    <w:p w14:paraId="6B237B0F" w14:textId="77777777" w:rsidR="004515FC" w:rsidRPr="00D04088" w:rsidRDefault="004515FC" w:rsidP="004515F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BF55D6" w:rsidRPr="00D04088" w14:paraId="5878CC69" w14:textId="77777777">
        <w:tc>
          <w:tcPr>
            <w:tcW w:w="3960" w:type="dxa"/>
            <w:vAlign w:val="center"/>
          </w:tcPr>
          <w:p w14:paraId="4B34D207" w14:textId="647D422E" w:rsidR="00BF55D6" w:rsidRPr="00D04088" w:rsidRDefault="00BF55D6" w:rsidP="00BF55D6">
            <w:pPr>
              <w:jc w:val="center"/>
              <w:rPr>
                <w:noProof/>
              </w:rPr>
            </w:pPr>
            <w:r>
              <w:rPr>
                <w:noProof/>
                <w:sz w:val="22"/>
              </w:rPr>
              <w:t>DĠ: &lt;…….&gt;</w:t>
            </w:r>
          </w:p>
        </w:tc>
        <w:tc>
          <w:tcPr>
            <w:tcW w:w="1560" w:type="dxa"/>
            <w:gridSpan w:val="2"/>
          </w:tcPr>
          <w:p w14:paraId="446A3FD1" w14:textId="77777777" w:rsidR="00BF55D6" w:rsidRPr="00D04088" w:rsidRDefault="00BF55D6" w:rsidP="00BF55D6">
            <w:pPr>
              <w:rPr>
                <w:noProof/>
                <w:sz w:val="20"/>
              </w:rPr>
            </w:pPr>
          </w:p>
        </w:tc>
        <w:tc>
          <w:tcPr>
            <w:tcW w:w="534" w:type="dxa"/>
          </w:tcPr>
          <w:p w14:paraId="3B1F16A2" w14:textId="77777777" w:rsidR="00BF55D6" w:rsidRPr="00D04088" w:rsidRDefault="00BF55D6" w:rsidP="00BF55D6">
            <w:pPr>
              <w:jc w:val="center"/>
              <w:rPr>
                <w:noProof/>
                <w:sz w:val="20"/>
              </w:rPr>
            </w:pPr>
          </w:p>
        </w:tc>
        <w:tc>
          <w:tcPr>
            <w:tcW w:w="868" w:type="dxa"/>
            <w:vAlign w:val="center"/>
          </w:tcPr>
          <w:p w14:paraId="32B4194C" w14:textId="14AFCCC0" w:rsidR="00BF55D6" w:rsidRPr="00D04088" w:rsidRDefault="00BF55D6" w:rsidP="00BF55D6">
            <w:pPr>
              <w:jc w:val="center"/>
              <w:rPr>
                <w:noProof/>
                <w:sz w:val="20"/>
              </w:rPr>
            </w:pPr>
            <w:r w:rsidRPr="00D04088">
              <w:rPr>
                <w:noProof/>
                <w:sz w:val="20"/>
              </w:rPr>
              <w:t>Sena</w:t>
            </w:r>
            <w:r w:rsidRPr="00D04088">
              <w:rPr>
                <w:noProof/>
              </w:rPr>
              <w:br/>
            </w:r>
            <w:r w:rsidRPr="00D04088">
              <w:rPr>
                <w:b/>
                <w:noProof/>
                <w:sz w:val="20"/>
              </w:rPr>
              <w:t>N</w:t>
            </w:r>
            <w:r w:rsidRPr="00D04088">
              <w:rPr>
                <w:rStyle w:val="FootnoteReference0"/>
                <w:b/>
                <w:noProof/>
                <w:sz w:val="20"/>
              </w:rPr>
              <w:footnoteReference w:id="44"/>
            </w:r>
          </w:p>
        </w:tc>
        <w:tc>
          <w:tcPr>
            <w:tcW w:w="868" w:type="dxa"/>
            <w:vAlign w:val="center"/>
          </w:tcPr>
          <w:p w14:paraId="423B4749" w14:textId="2E3DBF94" w:rsidR="00BF55D6" w:rsidRPr="00D85C9B" w:rsidRDefault="00BF55D6" w:rsidP="00BF55D6">
            <w:pPr>
              <w:jc w:val="center"/>
              <w:rPr>
                <w:noProof/>
              </w:rPr>
            </w:pPr>
            <w:r w:rsidRPr="00D04088">
              <w:rPr>
                <w:noProof/>
                <w:sz w:val="20"/>
              </w:rPr>
              <w:t>Sena</w:t>
            </w:r>
            <w:r w:rsidRPr="00D04088">
              <w:rPr>
                <w:noProof/>
              </w:rPr>
              <w:br/>
            </w:r>
            <w:r w:rsidRPr="00D04088">
              <w:rPr>
                <w:b/>
                <w:noProof/>
                <w:sz w:val="20"/>
              </w:rPr>
              <w:t>N+1</w:t>
            </w:r>
          </w:p>
        </w:tc>
        <w:tc>
          <w:tcPr>
            <w:tcW w:w="868" w:type="dxa"/>
            <w:vAlign w:val="center"/>
          </w:tcPr>
          <w:p w14:paraId="772A8AB7" w14:textId="0EDE7410" w:rsidR="00BF55D6" w:rsidRPr="00D04088" w:rsidRDefault="00BF55D6" w:rsidP="00BF55D6">
            <w:pPr>
              <w:jc w:val="center"/>
              <w:rPr>
                <w:noProof/>
                <w:sz w:val="20"/>
              </w:rPr>
            </w:pPr>
            <w:r w:rsidRPr="00D04088">
              <w:rPr>
                <w:noProof/>
                <w:sz w:val="20"/>
              </w:rPr>
              <w:t>Sena</w:t>
            </w:r>
            <w:r w:rsidRPr="00D04088">
              <w:rPr>
                <w:noProof/>
              </w:rPr>
              <w:br/>
            </w:r>
            <w:r w:rsidRPr="00D04088">
              <w:rPr>
                <w:b/>
                <w:noProof/>
                <w:sz w:val="20"/>
              </w:rPr>
              <w:t>N+2</w:t>
            </w:r>
          </w:p>
        </w:tc>
        <w:tc>
          <w:tcPr>
            <w:tcW w:w="868" w:type="dxa"/>
            <w:vAlign w:val="center"/>
          </w:tcPr>
          <w:p w14:paraId="36188E75" w14:textId="07173EB7" w:rsidR="00BF55D6" w:rsidRPr="00D04088" w:rsidRDefault="00BF55D6" w:rsidP="00BF55D6">
            <w:pPr>
              <w:jc w:val="center"/>
              <w:rPr>
                <w:noProof/>
                <w:sz w:val="20"/>
              </w:rPr>
            </w:pPr>
            <w:r w:rsidRPr="00D04088">
              <w:rPr>
                <w:noProof/>
                <w:sz w:val="20"/>
              </w:rPr>
              <w:t>Sena</w:t>
            </w:r>
            <w:r w:rsidRPr="00D04088">
              <w:rPr>
                <w:noProof/>
              </w:rPr>
              <w:br/>
            </w:r>
            <w:r w:rsidRPr="00D04088">
              <w:rPr>
                <w:b/>
                <w:noProof/>
                <w:sz w:val="20"/>
              </w:rPr>
              <w:t>N+3</w:t>
            </w:r>
          </w:p>
        </w:tc>
        <w:tc>
          <w:tcPr>
            <w:tcW w:w="2604" w:type="dxa"/>
            <w:gridSpan w:val="3"/>
            <w:vAlign w:val="center"/>
          </w:tcPr>
          <w:p w14:paraId="671E01A2" w14:textId="77777777" w:rsidR="00BF55D6" w:rsidRPr="00D04088" w:rsidRDefault="00BF55D6" w:rsidP="00BF55D6">
            <w:pPr>
              <w:jc w:val="center"/>
              <w:rPr>
                <w:b/>
                <w:noProof/>
                <w:sz w:val="18"/>
              </w:rPr>
            </w:pPr>
            <w:r w:rsidRPr="00D04088">
              <w:rPr>
                <w:noProof/>
                <w:sz w:val="18"/>
              </w:rPr>
              <w:t>Daħħal is-snin kollha li hemm bżonn biex turi d-durata tal-impatt (ara l-punt 1.6)</w:t>
            </w:r>
          </w:p>
        </w:tc>
        <w:tc>
          <w:tcPr>
            <w:tcW w:w="1777" w:type="dxa"/>
            <w:vAlign w:val="center"/>
          </w:tcPr>
          <w:p w14:paraId="0531899C" w14:textId="77777777" w:rsidR="00BF55D6" w:rsidRPr="00D04088" w:rsidRDefault="00BF55D6" w:rsidP="00BF55D6">
            <w:pPr>
              <w:jc w:val="center"/>
              <w:rPr>
                <w:b/>
                <w:noProof/>
                <w:sz w:val="20"/>
              </w:rPr>
            </w:pPr>
            <w:r w:rsidRPr="00D04088">
              <w:rPr>
                <w:b/>
                <w:noProof/>
                <w:sz w:val="20"/>
              </w:rPr>
              <w:t>TOTAL</w:t>
            </w:r>
          </w:p>
        </w:tc>
      </w:tr>
      <w:tr w:rsidR="00DB3050" w:rsidRPr="00D04088" w14:paraId="6CCA5260" w14:textId="77777777">
        <w:trPr>
          <w:trHeight w:val="213"/>
        </w:trPr>
        <w:tc>
          <w:tcPr>
            <w:tcW w:w="6054" w:type="dxa"/>
            <w:gridSpan w:val="4"/>
            <w:vAlign w:val="center"/>
          </w:tcPr>
          <w:p w14:paraId="2D46AE77" w14:textId="77777777" w:rsidR="004515FC" w:rsidRPr="00D04088" w:rsidRDefault="004515FC" w:rsidP="0029161D">
            <w:pPr>
              <w:spacing w:before="20" w:after="20"/>
              <w:rPr>
                <w:noProof/>
                <w:sz w:val="21"/>
              </w:rPr>
            </w:pPr>
            <w:r w:rsidRPr="00D04088">
              <w:rPr>
                <w:rFonts w:ascii="Wingdings" w:hAnsi="Wingdings"/>
                <w:noProof/>
                <w:sz w:val="21"/>
              </w:rPr>
              <w:t>□</w:t>
            </w:r>
            <w:r w:rsidRPr="00D04088">
              <w:rPr>
                <w:noProof/>
                <w:sz w:val="21"/>
              </w:rPr>
              <w:t xml:space="preserve"> </w:t>
            </w:r>
            <w:r w:rsidRPr="00D04088">
              <w:rPr>
                <w:noProof/>
              </w:rPr>
              <w:t>Approprjazzjonijiet operazzjonali</w:t>
            </w:r>
            <w:r w:rsidRPr="00D04088">
              <w:rPr>
                <w:noProof/>
                <w:sz w:val="21"/>
              </w:rPr>
              <w:t xml:space="preserve"> </w:t>
            </w:r>
          </w:p>
        </w:tc>
        <w:tc>
          <w:tcPr>
            <w:tcW w:w="868" w:type="dxa"/>
            <w:vAlign w:val="center"/>
          </w:tcPr>
          <w:p w14:paraId="0B9FC84D" w14:textId="77777777" w:rsidR="004515FC" w:rsidRPr="00D04088" w:rsidRDefault="004515FC" w:rsidP="0029161D">
            <w:pPr>
              <w:rPr>
                <w:noProof/>
                <w:sz w:val="20"/>
              </w:rPr>
            </w:pPr>
          </w:p>
        </w:tc>
        <w:tc>
          <w:tcPr>
            <w:tcW w:w="868" w:type="dxa"/>
            <w:vAlign w:val="center"/>
          </w:tcPr>
          <w:p w14:paraId="0BD3E6E0" w14:textId="77777777" w:rsidR="004515FC" w:rsidRPr="00D04088" w:rsidRDefault="004515FC" w:rsidP="0029161D">
            <w:pPr>
              <w:rPr>
                <w:noProof/>
                <w:sz w:val="20"/>
              </w:rPr>
            </w:pPr>
          </w:p>
        </w:tc>
        <w:tc>
          <w:tcPr>
            <w:tcW w:w="868" w:type="dxa"/>
            <w:vAlign w:val="center"/>
          </w:tcPr>
          <w:p w14:paraId="5B4CDBFE" w14:textId="77777777" w:rsidR="004515FC" w:rsidRPr="00D04088" w:rsidRDefault="004515FC" w:rsidP="0029161D">
            <w:pPr>
              <w:rPr>
                <w:noProof/>
                <w:sz w:val="20"/>
              </w:rPr>
            </w:pPr>
          </w:p>
        </w:tc>
        <w:tc>
          <w:tcPr>
            <w:tcW w:w="868" w:type="dxa"/>
            <w:vAlign w:val="center"/>
          </w:tcPr>
          <w:p w14:paraId="2EA07717" w14:textId="77777777" w:rsidR="004515FC" w:rsidRPr="00D04088" w:rsidRDefault="004515FC" w:rsidP="0029161D">
            <w:pPr>
              <w:rPr>
                <w:noProof/>
                <w:sz w:val="20"/>
              </w:rPr>
            </w:pPr>
          </w:p>
        </w:tc>
        <w:tc>
          <w:tcPr>
            <w:tcW w:w="868" w:type="dxa"/>
            <w:vAlign w:val="center"/>
          </w:tcPr>
          <w:p w14:paraId="5D0582B3" w14:textId="77777777" w:rsidR="004515FC" w:rsidRPr="00D04088" w:rsidRDefault="004515FC" w:rsidP="0029161D">
            <w:pPr>
              <w:rPr>
                <w:noProof/>
                <w:sz w:val="20"/>
              </w:rPr>
            </w:pPr>
          </w:p>
        </w:tc>
        <w:tc>
          <w:tcPr>
            <w:tcW w:w="868" w:type="dxa"/>
            <w:vAlign w:val="center"/>
          </w:tcPr>
          <w:p w14:paraId="3773E299" w14:textId="77777777" w:rsidR="004515FC" w:rsidRPr="00D04088" w:rsidRDefault="004515FC" w:rsidP="0029161D">
            <w:pPr>
              <w:rPr>
                <w:noProof/>
                <w:sz w:val="20"/>
              </w:rPr>
            </w:pPr>
          </w:p>
        </w:tc>
        <w:tc>
          <w:tcPr>
            <w:tcW w:w="868" w:type="dxa"/>
            <w:vAlign w:val="center"/>
          </w:tcPr>
          <w:p w14:paraId="73C8CBB0" w14:textId="77777777" w:rsidR="004515FC" w:rsidRPr="00D04088" w:rsidRDefault="004515FC" w:rsidP="0029161D">
            <w:pPr>
              <w:rPr>
                <w:b/>
                <w:noProof/>
                <w:sz w:val="20"/>
              </w:rPr>
            </w:pPr>
          </w:p>
        </w:tc>
        <w:tc>
          <w:tcPr>
            <w:tcW w:w="1777" w:type="dxa"/>
            <w:vAlign w:val="center"/>
          </w:tcPr>
          <w:p w14:paraId="793B2368" w14:textId="77777777" w:rsidR="004515FC" w:rsidRPr="00D04088" w:rsidRDefault="004515FC" w:rsidP="0029161D">
            <w:pPr>
              <w:rPr>
                <w:b/>
                <w:noProof/>
                <w:sz w:val="20"/>
              </w:rPr>
            </w:pPr>
          </w:p>
        </w:tc>
      </w:tr>
      <w:tr w:rsidR="00910369" w:rsidRPr="00D04088" w14:paraId="2858D85D" w14:textId="77777777">
        <w:trPr>
          <w:trHeight w:val="277"/>
        </w:trPr>
        <w:tc>
          <w:tcPr>
            <w:tcW w:w="3960" w:type="dxa"/>
            <w:vMerge w:val="restart"/>
            <w:vAlign w:val="center"/>
          </w:tcPr>
          <w:p w14:paraId="28C727FC" w14:textId="77777777" w:rsidR="004515FC" w:rsidRPr="00D04088" w:rsidRDefault="004515FC" w:rsidP="0029161D">
            <w:pPr>
              <w:rPr>
                <w:noProof/>
              </w:rPr>
            </w:pPr>
            <w:r w:rsidRPr="00D04088">
              <w:rPr>
                <w:noProof/>
                <w:sz w:val="20"/>
              </w:rPr>
              <w:t>Linja baġitarja</w:t>
            </w:r>
            <w:r w:rsidRPr="00D04088">
              <w:rPr>
                <w:rStyle w:val="FootnoteReference0"/>
                <w:noProof/>
                <w:sz w:val="20"/>
              </w:rPr>
              <w:footnoteReference w:id="45"/>
            </w:r>
          </w:p>
        </w:tc>
        <w:tc>
          <w:tcPr>
            <w:tcW w:w="1440" w:type="dxa"/>
            <w:vAlign w:val="center"/>
          </w:tcPr>
          <w:p w14:paraId="7B55B2CE" w14:textId="77777777" w:rsidR="004515FC" w:rsidRPr="00D04088" w:rsidRDefault="004515FC" w:rsidP="0029161D">
            <w:pPr>
              <w:spacing w:before="20" w:after="20"/>
              <w:rPr>
                <w:noProof/>
                <w:sz w:val="18"/>
              </w:rPr>
            </w:pPr>
            <w:r w:rsidRPr="00D04088">
              <w:rPr>
                <w:noProof/>
                <w:sz w:val="18"/>
              </w:rPr>
              <w:t>Impenji</w:t>
            </w:r>
          </w:p>
        </w:tc>
        <w:tc>
          <w:tcPr>
            <w:tcW w:w="654" w:type="dxa"/>
            <w:gridSpan w:val="2"/>
            <w:vAlign w:val="center"/>
          </w:tcPr>
          <w:p w14:paraId="21B974E2" w14:textId="77777777" w:rsidR="004515FC" w:rsidRPr="00D04088" w:rsidRDefault="004515FC" w:rsidP="0029161D">
            <w:pPr>
              <w:spacing w:before="20" w:after="20"/>
              <w:jc w:val="center"/>
              <w:rPr>
                <w:noProof/>
                <w:sz w:val="14"/>
              </w:rPr>
            </w:pPr>
            <w:r w:rsidRPr="00D04088">
              <w:rPr>
                <w:noProof/>
                <w:sz w:val="14"/>
              </w:rPr>
              <w:t>(1a)</w:t>
            </w:r>
          </w:p>
        </w:tc>
        <w:tc>
          <w:tcPr>
            <w:tcW w:w="868" w:type="dxa"/>
            <w:vAlign w:val="center"/>
          </w:tcPr>
          <w:p w14:paraId="62C5D93E" w14:textId="77777777" w:rsidR="004515FC" w:rsidRPr="00D04088" w:rsidRDefault="004515FC" w:rsidP="0029161D">
            <w:pPr>
              <w:spacing w:before="20" w:after="20"/>
              <w:jc w:val="right"/>
              <w:rPr>
                <w:noProof/>
                <w:sz w:val="20"/>
              </w:rPr>
            </w:pPr>
          </w:p>
        </w:tc>
        <w:tc>
          <w:tcPr>
            <w:tcW w:w="868" w:type="dxa"/>
            <w:vAlign w:val="center"/>
          </w:tcPr>
          <w:p w14:paraId="5B2C02E1" w14:textId="77777777" w:rsidR="004515FC" w:rsidRPr="00D04088" w:rsidRDefault="004515FC" w:rsidP="0029161D">
            <w:pPr>
              <w:spacing w:before="20" w:after="20"/>
              <w:jc w:val="right"/>
              <w:rPr>
                <w:noProof/>
                <w:sz w:val="20"/>
              </w:rPr>
            </w:pPr>
          </w:p>
        </w:tc>
        <w:tc>
          <w:tcPr>
            <w:tcW w:w="868" w:type="dxa"/>
            <w:vAlign w:val="center"/>
          </w:tcPr>
          <w:p w14:paraId="42774608" w14:textId="77777777" w:rsidR="004515FC" w:rsidRPr="00D04088" w:rsidRDefault="004515FC" w:rsidP="0029161D">
            <w:pPr>
              <w:spacing w:before="20" w:after="20"/>
              <w:jc w:val="right"/>
              <w:rPr>
                <w:noProof/>
                <w:sz w:val="20"/>
              </w:rPr>
            </w:pPr>
          </w:p>
        </w:tc>
        <w:tc>
          <w:tcPr>
            <w:tcW w:w="868" w:type="dxa"/>
            <w:vAlign w:val="center"/>
          </w:tcPr>
          <w:p w14:paraId="74C68801" w14:textId="77777777" w:rsidR="004515FC" w:rsidRPr="00D04088" w:rsidRDefault="004515FC" w:rsidP="0029161D">
            <w:pPr>
              <w:spacing w:before="20" w:after="20"/>
              <w:jc w:val="right"/>
              <w:rPr>
                <w:noProof/>
                <w:sz w:val="20"/>
              </w:rPr>
            </w:pPr>
          </w:p>
        </w:tc>
        <w:tc>
          <w:tcPr>
            <w:tcW w:w="868" w:type="dxa"/>
            <w:vAlign w:val="center"/>
          </w:tcPr>
          <w:p w14:paraId="7F5C8C2A" w14:textId="77777777" w:rsidR="004515FC" w:rsidRPr="00D04088" w:rsidRDefault="004515FC" w:rsidP="0029161D">
            <w:pPr>
              <w:spacing w:before="20" w:after="20"/>
              <w:jc w:val="right"/>
              <w:rPr>
                <w:noProof/>
                <w:sz w:val="20"/>
              </w:rPr>
            </w:pPr>
          </w:p>
        </w:tc>
        <w:tc>
          <w:tcPr>
            <w:tcW w:w="868" w:type="dxa"/>
            <w:vAlign w:val="center"/>
          </w:tcPr>
          <w:p w14:paraId="1C7A2690" w14:textId="77777777" w:rsidR="004515FC" w:rsidRPr="00D04088" w:rsidRDefault="004515FC" w:rsidP="0029161D">
            <w:pPr>
              <w:spacing w:before="20" w:after="20"/>
              <w:jc w:val="right"/>
              <w:rPr>
                <w:noProof/>
                <w:sz w:val="20"/>
              </w:rPr>
            </w:pPr>
          </w:p>
        </w:tc>
        <w:tc>
          <w:tcPr>
            <w:tcW w:w="868" w:type="dxa"/>
            <w:vAlign w:val="center"/>
          </w:tcPr>
          <w:p w14:paraId="15262D2B" w14:textId="77777777" w:rsidR="004515FC" w:rsidRPr="00D04088" w:rsidRDefault="004515FC" w:rsidP="0029161D">
            <w:pPr>
              <w:spacing w:before="20" w:after="20"/>
              <w:jc w:val="right"/>
              <w:rPr>
                <w:b/>
                <w:noProof/>
                <w:sz w:val="20"/>
              </w:rPr>
            </w:pPr>
          </w:p>
        </w:tc>
        <w:tc>
          <w:tcPr>
            <w:tcW w:w="1777" w:type="dxa"/>
            <w:vAlign w:val="center"/>
          </w:tcPr>
          <w:p w14:paraId="749F8FB4" w14:textId="77777777" w:rsidR="004515FC" w:rsidRPr="00D04088" w:rsidRDefault="004515FC" w:rsidP="0029161D">
            <w:pPr>
              <w:spacing w:before="20" w:after="20"/>
              <w:jc w:val="right"/>
              <w:rPr>
                <w:b/>
                <w:noProof/>
                <w:sz w:val="20"/>
              </w:rPr>
            </w:pPr>
          </w:p>
        </w:tc>
      </w:tr>
      <w:tr w:rsidR="00910369" w:rsidRPr="00D04088" w14:paraId="36720442" w14:textId="77777777">
        <w:tc>
          <w:tcPr>
            <w:tcW w:w="3960" w:type="dxa"/>
            <w:vMerge/>
          </w:tcPr>
          <w:p w14:paraId="737137E1" w14:textId="77777777" w:rsidR="004515FC" w:rsidRPr="00D04088" w:rsidRDefault="004515FC" w:rsidP="0029161D">
            <w:pPr>
              <w:jc w:val="center"/>
              <w:rPr>
                <w:noProof/>
                <w:sz w:val="20"/>
              </w:rPr>
            </w:pPr>
          </w:p>
        </w:tc>
        <w:tc>
          <w:tcPr>
            <w:tcW w:w="1440" w:type="dxa"/>
            <w:vAlign w:val="center"/>
          </w:tcPr>
          <w:p w14:paraId="5979B99C" w14:textId="77777777" w:rsidR="004515FC" w:rsidRPr="00D04088" w:rsidRDefault="004515FC" w:rsidP="0029161D">
            <w:pPr>
              <w:spacing w:before="20" w:after="20"/>
              <w:rPr>
                <w:noProof/>
                <w:sz w:val="18"/>
              </w:rPr>
            </w:pPr>
            <w:r w:rsidRPr="00D04088">
              <w:rPr>
                <w:noProof/>
                <w:sz w:val="18"/>
              </w:rPr>
              <w:t>Pagamenti</w:t>
            </w:r>
          </w:p>
        </w:tc>
        <w:tc>
          <w:tcPr>
            <w:tcW w:w="654" w:type="dxa"/>
            <w:gridSpan w:val="2"/>
            <w:vAlign w:val="center"/>
          </w:tcPr>
          <w:p w14:paraId="2DD26DB7" w14:textId="77777777" w:rsidR="004515FC" w:rsidRPr="00D04088" w:rsidRDefault="004515FC" w:rsidP="0029161D">
            <w:pPr>
              <w:spacing w:before="20" w:after="20"/>
              <w:jc w:val="center"/>
              <w:rPr>
                <w:noProof/>
                <w:sz w:val="14"/>
              </w:rPr>
            </w:pPr>
            <w:r w:rsidRPr="00D04088">
              <w:rPr>
                <w:noProof/>
                <w:sz w:val="14"/>
              </w:rPr>
              <w:t>(2a)</w:t>
            </w:r>
          </w:p>
        </w:tc>
        <w:tc>
          <w:tcPr>
            <w:tcW w:w="868" w:type="dxa"/>
            <w:vAlign w:val="center"/>
          </w:tcPr>
          <w:p w14:paraId="7CC7C95D" w14:textId="77777777" w:rsidR="004515FC" w:rsidRPr="00D04088" w:rsidRDefault="004515FC" w:rsidP="0029161D">
            <w:pPr>
              <w:spacing w:before="20" w:after="20"/>
              <w:jc w:val="right"/>
              <w:rPr>
                <w:noProof/>
                <w:sz w:val="20"/>
              </w:rPr>
            </w:pPr>
          </w:p>
        </w:tc>
        <w:tc>
          <w:tcPr>
            <w:tcW w:w="868" w:type="dxa"/>
            <w:vAlign w:val="center"/>
          </w:tcPr>
          <w:p w14:paraId="1784E45B" w14:textId="77777777" w:rsidR="004515FC" w:rsidRPr="00D04088" w:rsidRDefault="004515FC" w:rsidP="0029161D">
            <w:pPr>
              <w:spacing w:before="20" w:after="20"/>
              <w:jc w:val="right"/>
              <w:rPr>
                <w:noProof/>
                <w:sz w:val="20"/>
              </w:rPr>
            </w:pPr>
          </w:p>
        </w:tc>
        <w:tc>
          <w:tcPr>
            <w:tcW w:w="868" w:type="dxa"/>
            <w:vAlign w:val="center"/>
          </w:tcPr>
          <w:p w14:paraId="60393C5E" w14:textId="77777777" w:rsidR="004515FC" w:rsidRPr="00D04088" w:rsidRDefault="004515FC" w:rsidP="0029161D">
            <w:pPr>
              <w:spacing w:before="20" w:after="20"/>
              <w:jc w:val="right"/>
              <w:rPr>
                <w:noProof/>
                <w:sz w:val="20"/>
              </w:rPr>
            </w:pPr>
          </w:p>
        </w:tc>
        <w:tc>
          <w:tcPr>
            <w:tcW w:w="868" w:type="dxa"/>
            <w:vAlign w:val="center"/>
          </w:tcPr>
          <w:p w14:paraId="0ECDBCAA" w14:textId="77777777" w:rsidR="004515FC" w:rsidRPr="00D04088" w:rsidRDefault="004515FC" w:rsidP="0029161D">
            <w:pPr>
              <w:spacing w:before="20" w:after="20"/>
              <w:jc w:val="right"/>
              <w:rPr>
                <w:noProof/>
                <w:sz w:val="20"/>
              </w:rPr>
            </w:pPr>
          </w:p>
        </w:tc>
        <w:tc>
          <w:tcPr>
            <w:tcW w:w="868" w:type="dxa"/>
            <w:vAlign w:val="center"/>
          </w:tcPr>
          <w:p w14:paraId="05CB896C" w14:textId="77777777" w:rsidR="004515FC" w:rsidRPr="00D04088" w:rsidRDefault="004515FC" w:rsidP="0029161D">
            <w:pPr>
              <w:spacing w:before="20" w:after="20"/>
              <w:jc w:val="right"/>
              <w:rPr>
                <w:noProof/>
                <w:sz w:val="20"/>
              </w:rPr>
            </w:pPr>
          </w:p>
        </w:tc>
        <w:tc>
          <w:tcPr>
            <w:tcW w:w="868" w:type="dxa"/>
            <w:vAlign w:val="center"/>
          </w:tcPr>
          <w:p w14:paraId="6C63A888" w14:textId="77777777" w:rsidR="004515FC" w:rsidRPr="00D04088" w:rsidRDefault="004515FC" w:rsidP="0029161D">
            <w:pPr>
              <w:spacing w:before="20" w:after="20"/>
              <w:jc w:val="right"/>
              <w:rPr>
                <w:noProof/>
                <w:sz w:val="20"/>
              </w:rPr>
            </w:pPr>
          </w:p>
        </w:tc>
        <w:tc>
          <w:tcPr>
            <w:tcW w:w="868" w:type="dxa"/>
            <w:vAlign w:val="center"/>
          </w:tcPr>
          <w:p w14:paraId="4645615E" w14:textId="77777777" w:rsidR="004515FC" w:rsidRPr="00D04088" w:rsidRDefault="004515FC" w:rsidP="0029161D">
            <w:pPr>
              <w:spacing w:before="20" w:after="20"/>
              <w:jc w:val="right"/>
              <w:rPr>
                <w:b/>
                <w:noProof/>
                <w:sz w:val="20"/>
              </w:rPr>
            </w:pPr>
          </w:p>
        </w:tc>
        <w:tc>
          <w:tcPr>
            <w:tcW w:w="1777" w:type="dxa"/>
            <w:vAlign w:val="center"/>
          </w:tcPr>
          <w:p w14:paraId="6EB525A4" w14:textId="77777777" w:rsidR="004515FC" w:rsidRPr="00D04088" w:rsidRDefault="004515FC" w:rsidP="0029161D">
            <w:pPr>
              <w:spacing w:before="20" w:after="20"/>
              <w:jc w:val="right"/>
              <w:rPr>
                <w:b/>
                <w:noProof/>
                <w:sz w:val="20"/>
              </w:rPr>
            </w:pPr>
          </w:p>
        </w:tc>
      </w:tr>
      <w:tr w:rsidR="00910369" w:rsidRPr="00D04088" w14:paraId="0228EF28" w14:textId="77777777">
        <w:tc>
          <w:tcPr>
            <w:tcW w:w="3960" w:type="dxa"/>
            <w:vMerge w:val="restart"/>
            <w:vAlign w:val="center"/>
          </w:tcPr>
          <w:p w14:paraId="4F1A1F3C" w14:textId="77777777" w:rsidR="004515FC" w:rsidRPr="00D04088" w:rsidRDefault="004515FC" w:rsidP="0029161D">
            <w:pPr>
              <w:rPr>
                <w:noProof/>
              </w:rPr>
            </w:pPr>
            <w:r w:rsidRPr="00D04088">
              <w:rPr>
                <w:noProof/>
                <w:sz w:val="20"/>
              </w:rPr>
              <w:t>Linja baġitarja</w:t>
            </w:r>
          </w:p>
        </w:tc>
        <w:tc>
          <w:tcPr>
            <w:tcW w:w="1440" w:type="dxa"/>
            <w:vAlign w:val="center"/>
          </w:tcPr>
          <w:p w14:paraId="382D10AC" w14:textId="77777777" w:rsidR="004515FC" w:rsidRPr="00D04088" w:rsidRDefault="004515FC" w:rsidP="0029161D">
            <w:pPr>
              <w:spacing w:before="20" w:after="20"/>
              <w:rPr>
                <w:noProof/>
                <w:sz w:val="18"/>
              </w:rPr>
            </w:pPr>
            <w:r w:rsidRPr="00D04088">
              <w:rPr>
                <w:noProof/>
                <w:sz w:val="18"/>
              </w:rPr>
              <w:t>Impenji</w:t>
            </w:r>
          </w:p>
        </w:tc>
        <w:tc>
          <w:tcPr>
            <w:tcW w:w="654" w:type="dxa"/>
            <w:gridSpan w:val="2"/>
            <w:vAlign w:val="center"/>
          </w:tcPr>
          <w:p w14:paraId="33E56217" w14:textId="77777777" w:rsidR="004515FC" w:rsidRPr="00D04088" w:rsidRDefault="004515FC" w:rsidP="0029161D">
            <w:pPr>
              <w:spacing w:before="20" w:after="20"/>
              <w:jc w:val="center"/>
              <w:rPr>
                <w:noProof/>
                <w:sz w:val="14"/>
              </w:rPr>
            </w:pPr>
            <w:r w:rsidRPr="00D04088">
              <w:rPr>
                <w:noProof/>
                <w:sz w:val="14"/>
              </w:rPr>
              <w:t>(1b)</w:t>
            </w:r>
          </w:p>
        </w:tc>
        <w:tc>
          <w:tcPr>
            <w:tcW w:w="868" w:type="dxa"/>
            <w:vAlign w:val="center"/>
          </w:tcPr>
          <w:p w14:paraId="01F0CA66" w14:textId="77777777" w:rsidR="004515FC" w:rsidRPr="00D04088" w:rsidRDefault="004515FC" w:rsidP="0029161D">
            <w:pPr>
              <w:spacing w:before="20" w:after="20"/>
              <w:jc w:val="right"/>
              <w:rPr>
                <w:noProof/>
                <w:sz w:val="20"/>
              </w:rPr>
            </w:pPr>
          </w:p>
        </w:tc>
        <w:tc>
          <w:tcPr>
            <w:tcW w:w="868" w:type="dxa"/>
            <w:vAlign w:val="center"/>
          </w:tcPr>
          <w:p w14:paraId="0D916DD2" w14:textId="77777777" w:rsidR="004515FC" w:rsidRPr="00D04088" w:rsidRDefault="004515FC" w:rsidP="0029161D">
            <w:pPr>
              <w:spacing w:before="20" w:after="20"/>
              <w:jc w:val="right"/>
              <w:rPr>
                <w:noProof/>
                <w:sz w:val="20"/>
              </w:rPr>
            </w:pPr>
          </w:p>
        </w:tc>
        <w:tc>
          <w:tcPr>
            <w:tcW w:w="868" w:type="dxa"/>
            <w:vAlign w:val="center"/>
          </w:tcPr>
          <w:p w14:paraId="1F2EBEB3" w14:textId="77777777" w:rsidR="004515FC" w:rsidRPr="00D04088" w:rsidRDefault="004515FC" w:rsidP="0029161D">
            <w:pPr>
              <w:spacing w:before="20" w:after="20"/>
              <w:jc w:val="right"/>
              <w:rPr>
                <w:noProof/>
                <w:sz w:val="20"/>
              </w:rPr>
            </w:pPr>
          </w:p>
        </w:tc>
        <w:tc>
          <w:tcPr>
            <w:tcW w:w="868" w:type="dxa"/>
            <w:vAlign w:val="center"/>
          </w:tcPr>
          <w:p w14:paraId="5F56A65A" w14:textId="77777777" w:rsidR="004515FC" w:rsidRPr="00D04088" w:rsidRDefault="004515FC" w:rsidP="0029161D">
            <w:pPr>
              <w:spacing w:before="20" w:after="20"/>
              <w:jc w:val="right"/>
              <w:rPr>
                <w:noProof/>
                <w:sz w:val="20"/>
              </w:rPr>
            </w:pPr>
          </w:p>
        </w:tc>
        <w:tc>
          <w:tcPr>
            <w:tcW w:w="868" w:type="dxa"/>
            <w:vAlign w:val="center"/>
          </w:tcPr>
          <w:p w14:paraId="1A38B5EC" w14:textId="77777777" w:rsidR="004515FC" w:rsidRPr="00D04088" w:rsidRDefault="004515FC" w:rsidP="0029161D">
            <w:pPr>
              <w:spacing w:before="20" w:after="20"/>
              <w:jc w:val="right"/>
              <w:rPr>
                <w:noProof/>
                <w:sz w:val="20"/>
              </w:rPr>
            </w:pPr>
          </w:p>
        </w:tc>
        <w:tc>
          <w:tcPr>
            <w:tcW w:w="868" w:type="dxa"/>
            <w:vAlign w:val="center"/>
          </w:tcPr>
          <w:p w14:paraId="0CA7CF71" w14:textId="77777777" w:rsidR="004515FC" w:rsidRPr="00D04088" w:rsidRDefault="004515FC" w:rsidP="0029161D">
            <w:pPr>
              <w:spacing w:before="20" w:after="20"/>
              <w:jc w:val="right"/>
              <w:rPr>
                <w:noProof/>
                <w:sz w:val="20"/>
              </w:rPr>
            </w:pPr>
          </w:p>
        </w:tc>
        <w:tc>
          <w:tcPr>
            <w:tcW w:w="868" w:type="dxa"/>
            <w:vAlign w:val="center"/>
          </w:tcPr>
          <w:p w14:paraId="1CCDD814" w14:textId="77777777" w:rsidR="004515FC" w:rsidRPr="00D04088" w:rsidRDefault="004515FC" w:rsidP="0029161D">
            <w:pPr>
              <w:spacing w:before="20" w:after="20"/>
              <w:jc w:val="right"/>
              <w:rPr>
                <w:b/>
                <w:noProof/>
                <w:sz w:val="20"/>
              </w:rPr>
            </w:pPr>
          </w:p>
        </w:tc>
        <w:tc>
          <w:tcPr>
            <w:tcW w:w="1777" w:type="dxa"/>
            <w:vAlign w:val="center"/>
          </w:tcPr>
          <w:p w14:paraId="1FE72952" w14:textId="77777777" w:rsidR="004515FC" w:rsidRPr="00D04088" w:rsidRDefault="004515FC" w:rsidP="0029161D">
            <w:pPr>
              <w:spacing w:before="20" w:after="20"/>
              <w:jc w:val="right"/>
              <w:rPr>
                <w:b/>
                <w:noProof/>
                <w:sz w:val="20"/>
              </w:rPr>
            </w:pPr>
          </w:p>
        </w:tc>
      </w:tr>
      <w:tr w:rsidR="00910369" w:rsidRPr="00D04088" w14:paraId="55E6B226" w14:textId="77777777">
        <w:tc>
          <w:tcPr>
            <w:tcW w:w="3960" w:type="dxa"/>
            <w:vMerge/>
          </w:tcPr>
          <w:p w14:paraId="776B8621" w14:textId="77777777" w:rsidR="004515FC" w:rsidRPr="00D04088" w:rsidRDefault="004515FC" w:rsidP="0029161D">
            <w:pPr>
              <w:jc w:val="center"/>
              <w:rPr>
                <w:noProof/>
                <w:sz w:val="20"/>
              </w:rPr>
            </w:pPr>
          </w:p>
        </w:tc>
        <w:tc>
          <w:tcPr>
            <w:tcW w:w="1440" w:type="dxa"/>
            <w:vAlign w:val="center"/>
          </w:tcPr>
          <w:p w14:paraId="73058D75" w14:textId="77777777" w:rsidR="004515FC" w:rsidRPr="00D04088" w:rsidRDefault="004515FC" w:rsidP="0029161D">
            <w:pPr>
              <w:spacing w:before="20" w:after="20"/>
              <w:rPr>
                <w:noProof/>
                <w:sz w:val="18"/>
              </w:rPr>
            </w:pPr>
            <w:r w:rsidRPr="00D04088">
              <w:rPr>
                <w:noProof/>
                <w:sz w:val="18"/>
              </w:rPr>
              <w:t>Pagamenti</w:t>
            </w:r>
          </w:p>
        </w:tc>
        <w:tc>
          <w:tcPr>
            <w:tcW w:w="654" w:type="dxa"/>
            <w:gridSpan w:val="2"/>
            <w:vAlign w:val="center"/>
          </w:tcPr>
          <w:p w14:paraId="3710C0CF" w14:textId="77777777" w:rsidR="004515FC" w:rsidRPr="00D04088" w:rsidRDefault="004515FC" w:rsidP="0029161D">
            <w:pPr>
              <w:spacing w:before="20" w:after="20"/>
              <w:jc w:val="center"/>
              <w:rPr>
                <w:noProof/>
                <w:sz w:val="14"/>
              </w:rPr>
            </w:pPr>
            <w:r w:rsidRPr="00D04088">
              <w:rPr>
                <w:noProof/>
                <w:sz w:val="14"/>
              </w:rPr>
              <w:t>(2b)</w:t>
            </w:r>
          </w:p>
        </w:tc>
        <w:tc>
          <w:tcPr>
            <w:tcW w:w="868" w:type="dxa"/>
            <w:vAlign w:val="center"/>
          </w:tcPr>
          <w:p w14:paraId="18C1900E" w14:textId="77777777" w:rsidR="004515FC" w:rsidRPr="00D04088" w:rsidRDefault="004515FC" w:rsidP="0029161D">
            <w:pPr>
              <w:spacing w:before="20" w:after="20"/>
              <w:jc w:val="right"/>
              <w:rPr>
                <w:noProof/>
                <w:sz w:val="20"/>
              </w:rPr>
            </w:pPr>
          </w:p>
        </w:tc>
        <w:tc>
          <w:tcPr>
            <w:tcW w:w="868" w:type="dxa"/>
            <w:vAlign w:val="center"/>
          </w:tcPr>
          <w:p w14:paraId="54C02E2B" w14:textId="77777777" w:rsidR="004515FC" w:rsidRPr="00D04088" w:rsidRDefault="004515FC" w:rsidP="0029161D">
            <w:pPr>
              <w:spacing w:before="20" w:after="20"/>
              <w:jc w:val="right"/>
              <w:rPr>
                <w:noProof/>
                <w:sz w:val="20"/>
              </w:rPr>
            </w:pPr>
          </w:p>
        </w:tc>
        <w:tc>
          <w:tcPr>
            <w:tcW w:w="868" w:type="dxa"/>
            <w:vAlign w:val="center"/>
          </w:tcPr>
          <w:p w14:paraId="6BB81397" w14:textId="77777777" w:rsidR="004515FC" w:rsidRPr="00D04088" w:rsidRDefault="004515FC" w:rsidP="0029161D">
            <w:pPr>
              <w:spacing w:before="20" w:after="20"/>
              <w:jc w:val="right"/>
              <w:rPr>
                <w:noProof/>
                <w:sz w:val="20"/>
              </w:rPr>
            </w:pPr>
          </w:p>
        </w:tc>
        <w:tc>
          <w:tcPr>
            <w:tcW w:w="868" w:type="dxa"/>
            <w:vAlign w:val="center"/>
          </w:tcPr>
          <w:p w14:paraId="0FD47E3F" w14:textId="77777777" w:rsidR="004515FC" w:rsidRPr="00D04088" w:rsidRDefault="004515FC" w:rsidP="0029161D">
            <w:pPr>
              <w:spacing w:before="20" w:after="20"/>
              <w:jc w:val="right"/>
              <w:rPr>
                <w:noProof/>
                <w:sz w:val="20"/>
              </w:rPr>
            </w:pPr>
          </w:p>
        </w:tc>
        <w:tc>
          <w:tcPr>
            <w:tcW w:w="868" w:type="dxa"/>
            <w:vAlign w:val="center"/>
          </w:tcPr>
          <w:p w14:paraId="65FBEA10" w14:textId="77777777" w:rsidR="004515FC" w:rsidRPr="00D04088" w:rsidRDefault="004515FC" w:rsidP="0029161D">
            <w:pPr>
              <w:spacing w:before="20" w:after="20"/>
              <w:jc w:val="right"/>
              <w:rPr>
                <w:noProof/>
                <w:sz w:val="20"/>
              </w:rPr>
            </w:pPr>
          </w:p>
        </w:tc>
        <w:tc>
          <w:tcPr>
            <w:tcW w:w="868" w:type="dxa"/>
            <w:vAlign w:val="center"/>
          </w:tcPr>
          <w:p w14:paraId="0C4F43FA" w14:textId="77777777" w:rsidR="004515FC" w:rsidRPr="00D04088" w:rsidRDefault="004515FC" w:rsidP="0029161D">
            <w:pPr>
              <w:spacing w:before="20" w:after="20"/>
              <w:jc w:val="right"/>
              <w:rPr>
                <w:noProof/>
                <w:sz w:val="20"/>
              </w:rPr>
            </w:pPr>
          </w:p>
        </w:tc>
        <w:tc>
          <w:tcPr>
            <w:tcW w:w="868" w:type="dxa"/>
            <w:vAlign w:val="center"/>
          </w:tcPr>
          <w:p w14:paraId="57EF9154" w14:textId="77777777" w:rsidR="004515FC" w:rsidRPr="00D04088" w:rsidRDefault="004515FC" w:rsidP="0029161D">
            <w:pPr>
              <w:spacing w:before="20" w:after="20"/>
              <w:jc w:val="right"/>
              <w:rPr>
                <w:b/>
                <w:noProof/>
                <w:sz w:val="20"/>
              </w:rPr>
            </w:pPr>
          </w:p>
        </w:tc>
        <w:tc>
          <w:tcPr>
            <w:tcW w:w="1777" w:type="dxa"/>
            <w:vAlign w:val="center"/>
          </w:tcPr>
          <w:p w14:paraId="1CA7369C" w14:textId="77777777" w:rsidR="004515FC" w:rsidRPr="00D04088" w:rsidRDefault="004515FC" w:rsidP="0029161D">
            <w:pPr>
              <w:spacing w:before="20" w:after="20"/>
              <w:jc w:val="right"/>
              <w:rPr>
                <w:b/>
                <w:noProof/>
                <w:sz w:val="20"/>
              </w:rPr>
            </w:pPr>
          </w:p>
        </w:tc>
      </w:tr>
      <w:tr w:rsidR="00DB3050" w:rsidRPr="00D04088" w14:paraId="3121990B" w14:textId="77777777">
        <w:trPr>
          <w:trHeight w:val="231"/>
        </w:trPr>
        <w:tc>
          <w:tcPr>
            <w:tcW w:w="6054" w:type="dxa"/>
            <w:gridSpan w:val="4"/>
            <w:vAlign w:val="center"/>
          </w:tcPr>
          <w:p w14:paraId="68F22169" w14:textId="77777777" w:rsidR="00BF55D6" w:rsidRPr="00C61456" w:rsidRDefault="004515FC" w:rsidP="00BF55D6">
            <w:pPr>
              <w:spacing w:before="20" w:after="20"/>
              <w:rPr>
                <w:noProof/>
                <w:lang w:val="fr-FR"/>
              </w:rPr>
            </w:pPr>
            <w:r w:rsidRPr="00D04088">
              <w:rPr>
                <w:noProof/>
                <w:sz w:val="21"/>
              </w:rPr>
              <w:t>Approprjazzjonijiet ta’ natura amministrattiva ffinanzjati mill-pakkett ta’ programmi speċifiċi</w:t>
            </w:r>
            <w:r w:rsidRPr="00D04088">
              <w:rPr>
                <w:rStyle w:val="FootnoteReference0"/>
                <w:noProof/>
                <w:sz w:val="21"/>
              </w:rPr>
              <w:footnoteReference w:id="46"/>
            </w:r>
            <w:r w:rsidRPr="00D04088">
              <w:rPr>
                <w:noProof/>
                <w:sz w:val="21"/>
              </w:rPr>
              <w:t xml:space="preserve"> </w:t>
            </w:r>
          </w:p>
          <w:p w14:paraId="41D67AB6" w14:textId="2BF89D41" w:rsidR="004515FC" w:rsidRPr="00D04088" w:rsidRDefault="004515FC" w:rsidP="00BF55D6">
            <w:pPr>
              <w:spacing w:before="20" w:after="20"/>
              <w:rPr>
                <w:noProof/>
              </w:rPr>
            </w:pPr>
          </w:p>
        </w:tc>
        <w:tc>
          <w:tcPr>
            <w:tcW w:w="868" w:type="dxa"/>
            <w:vAlign w:val="center"/>
          </w:tcPr>
          <w:p w14:paraId="5C2E6657" w14:textId="77777777" w:rsidR="004515FC" w:rsidRPr="00D04088" w:rsidRDefault="004515FC" w:rsidP="0029161D">
            <w:pPr>
              <w:rPr>
                <w:b/>
                <w:noProof/>
                <w:sz w:val="20"/>
              </w:rPr>
            </w:pPr>
          </w:p>
        </w:tc>
        <w:tc>
          <w:tcPr>
            <w:tcW w:w="868" w:type="dxa"/>
            <w:vAlign w:val="center"/>
          </w:tcPr>
          <w:p w14:paraId="7B1909B8" w14:textId="77777777" w:rsidR="004515FC" w:rsidRPr="00D04088" w:rsidRDefault="004515FC" w:rsidP="0029161D">
            <w:pPr>
              <w:rPr>
                <w:b/>
                <w:noProof/>
                <w:sz w:val="20"/>
              </w:rPr>
            </w:pPr>
          </w:p>
        </w:tc>
        <w:tc>
          <w:tcPr>
            <w:tcW w:w="868" w:type="dxa"/>
            <w:vAlign w:val="center"/>
          </w:tcPr>
          <w:p w14:paraId="0A96CA30" w14:textId="77777777" w:rsidR="004515FC" w:rsidRPr="00D04088" w:rsidRDefault="004515FC" w:rsidP="0029161D">
            <w:pPr>
              <w:rPr>
                <w:b/>
                <w:noProof/>
                <w:sz w:val="20"/>
              </w:rPr>
            </w:pPr>
          </w:p>
        </w:tc>
        <w:tc>
          <w:tcPr>
            <w:tcW w:w="868" w:type="dxa"/>
            <w:vAlign w:val="center"/>
          </w:tcPr>
          <w:p w14:paraId="55D74E1B" w14:textId="77777777" w:rsidR="004515FC" w:rsidRPr="00D04088" w:rsidRDefault="004515FC" w:rsidP="0029161D">
            <w:pPr>
              <w:rPr>
                <w:b/>
                <w:noProof/>
                <w:sz w:val="20"/>
              </w:rPr>
            </w:pPr>
          </w:p>
        </w:tc>
        <w:tc>
          <w:tcPr>
            <w:tcW w:w="868" w:type="dxa"/>
            <w:vAlign w:val="center"/>
          </w:tcPr>
          <w:p w14:paraId="3FDC4444" w14:textId="77777777" w:rsidR="004515FC" w:rsidRPr="00D04088" w:rsidRDefault="004515FC" w:rsidP="0029161D">
            <w:pPr>
              <w:rPr>
                <w:b/>
                <w:noProof/>
                <w:sz w:val="20"/>
              </w:rPr>
            </w:pPr>
          </w:p>
        </w:tc>
        <w:tc>
          <w:tcPr>
            <w:tcW w:w="868" w:type="dxa"/>
            <w:vAlign w:val="center"/>
          </w:tcPr>
          <w:p w14:paraId="0033B21C" w14:textId="77777777" w:rsidR="004515FC" w:rsidRPr="00D04088" w:rsidRDefault="004515FC" w:rsidP="0029161D">
            <w:pPr>
              <w:rPr>
                <w:b/>
                <w:noProof/>
                <w:sz w:val="20"/>
              </w:rPr>
            </w:pPr>
          </w:p>
        </w:tc>
        <w:tc>
          <w:tcPr>
            <w:tcW w:w="868" w:type="dxa"/>
            <w:vAlign w:val="center"/>
          </w:tcPr>
          <w:p w14:paraId="5A4481A2" w14:textId="77777777" w:rsidR="004515FC" w:rsidRPr="00D04088" w:rsidRDefault="004515FC" w:rsidP="0029161D">
            <w:pPr>
              <w:rPr>
                <w:b/>
                <w:noProof/>
                <w:sz w:val="20"/>
              </w:rPr>
            </w:pPr>
          </w:p>
        </w:tc>
        <w:tc>
          <w:tcPr>
            <w:tcW w:w="1777" w:type="dxa"/>
            <w:vAlign w:val="center"/>
          </w:tcPr>
          <w:p w14:paraId="112E1D2A" w14:textId="77777777" w:rsidR="004515FC" w:rsidRPr="00D04088" w:rsidRDefault="004515FC" w:rsidP="0029161D">
            <w:pPr>
              <w:rPr>
                <w:b/>
                <w:noProof/>
                <w:sz w:val="20"/>
              </w:rPr>
            </w:pPr>
          </w:p>
        </w:tc>
      </w:tr>
      <w:tr w:rsidR="00DB3050" w:rsidRPr="00D04088" w14:paraId="5D9FED2E" w14:textId="77777777">
        <w:trPr>
          <w:trHeight w:val="319"/>
        </w:trPr>
        <w:tc>
          <w:tcPr>
            <w:tcW w:w="3960" w:type="dxa"/>
            <w:vAlign w:val="center"/>
          </w:tcPr>
          <w:p w14:paraId="70F90B17" w14:textId="77777777" w:rsidR="004515FC" w:rsidRPr="00D04088" w:rsidRDefault="004515FC" w:rsidP="0029161D">
            <w:pPr>
              <w:spacing w:before="60" w:after="60"/>
              <w:rPr>
                <w:noProof/>
              </w:rPr>
            </w:pPr>
            <w:r w:rsidRPr="00D04088">
              <w:rPr>
                <w:noProof/>
                <w:sz w:val="20"/>
              </w:rPr>
              <w:t>Linja baġitarja</w:t>
            </w:r>
          </w:p>
        </w:tc>
        <w:tc>
          <w:tcPr>
            <w:tcW w:w="1440" w:type="dxa"/>
            <w:vAlign w:val="center"/>
          </w:tcPr>
          <w:p w14:paraId="1D2B783B" w14:textId="77777777" w:rsidR="004515FC" w:rsidRPr="00D04088" w:rsidRDefault="004515FC" w:rsidP="0029161D">
            <w:pPr>
              <w:spacing w:before="40" w:after="40"/>
              <w:jc w:val="right"/>
              <w:rPr>
                <w:noProof/>
                <w:sz w:val="18"/>
              </w:rPr>
            </w:pPr>
          </w:p>
        </w:tc>
        <w:tc>
          <w:tcPr>
            <w:tcW w:w="654" w:type="dxa"/>
            <w:gridSpan w:val="2"/>
            <w:vAlign w:val="center"/>
          </w:tcPr>
          <w:p w14:paraId="27B0211D" w14:textId="77777777" w:rsidR="004515FC" w:rsidRPr="00D04088" w:rsidRDefault="004515FC" w:rsidP="0029161D">
            <w:pPr>
              <w:spacing w:before="40" w:after="40"/>
              <w:jc w:val="center"/>
              <w:rPr>
                <w:noProof/>
                <w:sz w:val="14"/>
              </w:rPr>
            </w:pPr>
            <w:r w:rsidRPr="00D04088">
              <w:rPr>
                <w:noProof/>
                <w:sz w:val="14"/>
              </w:rPr>
              <w:t>(3)</w:t>
            </w:r>
          </w:p>
        </w:tc>
        <w:tc>
          <w:tcPr>
            <w:tcW w:w="868" w:type="dxa"/>
            <w:vAlign w:val="center"/>
          </w:tcPr>
          <w:p w14:paraId="2AF3196C" w14:textId="77777777" w:rsidR="004515FC" w:rsidRPr="00D04088" w:rsidRDefault="004515FC" w:rsidP="0029161D">
            <w:pPr>
              <w:spacing w:before="40" w:after="40"/>
              <w:jc w:val="right"/>
              <w:rPr>
                <w:b/>
                <w:noProof/>
                <w:sz w:val="20"/>
              </w:rPr>
            </w:pPr>
          </w:p>
        </w:tc>
        <w:tc>
          <w:tcPr>
            <w:tcW w:w="868" w:type="dxa"/>
            <w:vAlign w:val="center"/>
          </w:tcPr>
          <w:p w14:paraId="4B230D70" w14:textId="77777777" w:rsidR="004515FC" w:rsidRPr="00D04088" w:rsidRDefault="004515FC" w:rsidP="0029161D">
            <w:pPr>
              <w:spacing w:before="40" w:after="40"/>
              <w:jc w:val="right"/>
              <w:rPr>
                <w:b/>
                <w:noProof/>
                <w:sz w:val="20"/>
              </w:rPr>
            </w:pPr>
          </w:p>
        </w:tc>
        <w:tc>
          <w:tcPr>
            <w:tcW w:w="868" w:type="dxa"/>
            <w:vAlign w:val="center"/>
          </w:tcPr>
          <w:p w14:paraId="1AC76D4A" w14:textId="77777777" w:rsidR="004515FC" w:rsidRPr="00D04088" w:rsidRDefault="004515FC" w:rsidP="0029161D">
            <w:pPr>
              <w:spacing w:before="40" w:after="40"/>
              <w:jc w:val="right"/>
              <w:rPr>
                <w:b/>
                <w:noProof/>
                <w:sz w:val="20"/>
              </w:rPr>
            </w:pPr>
          </w:p>
        </w:tc>
        <w:tc>
          <w:tcPr>
            <w:tcW w:w="868" w:type="dxa"/>
            <w:vAlign w:val="center"/>
          </w:tcPr>
          <w:p w14:paraId="6FB85D10" w14:textId="77777777" w:rsidR="004515FC" w:rsidRPr="00D04088" w:rsidRDefault="004515FC" w:rsidP="0029161D">
            <w:pPr>
              <w:spacing w:before="40" w:after="40"/>
              <w:jc w:val="right"/>
              <w:rPr>
                <w:b/>
                <w:noProof/>
                <w:sz w:val="20"/>
              </w:rPr>
            </w:pPr>
          </w:p>
        </w:tc>
        <w:tc>
          <w:tcPr>
            <w:tcW w:w="868" w:type="dxa"/>
            <w:vAlign w:val="center"/>
          </w:tcPr>
          <w:p w14:paraId="0ED71CF6" w14:textId="77777777" w:rsidR="004515FC" w:rsidRPr="00D04088" w:rsidRDefault="004515FC" w:rsidP="0029161D">
            <w:pPr>
              <w:spacing w:before="40" w:after="40"/>
              <w:jc w:val="right"/>
              <w:rPr>
                <w:b/>
                <w:noProof/>
                <w:sz w:val="20"/>
              </w:rPr>
            </w:pPr>
          </w:p>
        </w:tc>
        <w:tc>
          <w:tcPr>
            <w:tcW w:w="868" w:type="dxa"/>
            <w:vAlign w:val="center"/>
          </w:tcPr>
          <w:p w14:paraId="6D7EBD71" w14:textId="77777777" w:rsidR="004515FC" w:rsidRPr="00D04088" w:rsidRDefault="004515FC" w:rsidP="0029161D">
            <w:pPr>
              <w:spacing w:before="40" w:after="40"/>
              <w:jc w:val="right"/>
              <w:rPr>
                <w:b/>
                <w:noProof/>
                <w:sz w:val="20"/>
              </w:rPr>
            </w:pPr>
          </w:p>
        </w:tc>
        <w:tc>
          <w:tcPr>
            <w:tcW w:w="868" w:type="dxa"/>
            <w:vAlign w:val="center"/>
          </w:tcPr>
          <w:p w14:paraId="32367B1B" w14:textId="77777777" w:rsidR="004515FC" w:rsidRPr="00D04088" w:rsidRDefault="004515FC" w:rsidP="0029161D">
            <w:pPr>
              <w:spacing w:before="40" w:after="40"/>
              <w:jc w:val="right"/>
              <w:rPr>
                <w:b/>
                <w:noProof/>
                <w:sz w:val="20"/>
              </w:rPr>
            </w:pPr>
          </w:p>
        </w:tc>
        <w:tc>
          <w:tcPr>
            <w:tcW w:w="1777" w:type="dxa"/>
            <w:vAlign w:val="center"/>
          </w:tcPr>
          <w:p w14:paraId="6F1D99BD" w14:textId="77777777" w:rsidR="004515FC" w:rsidRPr="00D04088" w:rsidRDefault="004515FC" w:rsidP="0029161D">
            <w:pPr>
              <w:spacing w:before="40" w:after="40"/>
              <w:jc w:val="right"/>
              <w:rPr>
                <w:b/>
                <w:noProof/>
                <w:sz w:val="20"/>
              </w:rPr>
            </w:pPr>
          </w:p>
        </w:tc>
      </w:tr>
      <w:tr w:rsidR="00910369" w:rsidRPr="00D04088" w14:paraId="68EB59C0" w14:textId="77777777">
        <w:tc>
          <w:tcPr>
            <w:tcW w:w="3960" w:type="dxa"/>
            <w:vMerge w:val="restart"/>
            <w:vAlign w:val="center"/>
          </w:tcPr>
          <w:p w14:paraId="5B5AF1EC" w14:textId="04A606DB" w:rsidR="004515FC" w:rsidRPr="00D04088" w:rsidRDefault="004515FC" w:rsidP="0029161D">
            <w:pPr>
              <w:jc w:val="center"/>
              <w:rPr>
                <w:b/>
                <w:noProof/>
              </w:rPr>
            </w:pPr>
            <w:r w:rsidRPr="00D04088">
              <w:rPr>
                <w:b/>
                <w:noProof/>
                <w:sz w:val="22"/>
              </w:rPr>
              <w:t>TOTAL tal-approprjazzjonijiet</w:t>
            </w:r>
            <w:r w:rsidRPr="00D04088">
              <w:rPr>
                <w:noProof/>
              </w:rPr>
              <w:t xml:space="preserve"> </w:t>
            </w:r>
            <w:r w:rsidRPr="00D04088">
              <w:rPr>
                <w:noProof/>
              </w:rPr>
              <w:br/>
            </w:r>
            <w:r w:rsidRPr="00D04088">
              <w:rPr>
                <w:b/>
                <w:noProof/>
                <w:sz w:val="22"/>
              </w:rPr>
              <w:t xml:space="preserve">għad-DĠ </w:t>
            </w:r>
            <w:r w:rsidRPr="00D04088">
              <w:rPr>
                <w:noProof/>
                <w:sz w:val="22"/>
              </w:rPr>
              <w:t>&lt;…….&gt;</w:t>
            </w:r>
          </w:p>
        </w:tc>
        <w:tc>
          <w:tcPr>
            <w:tcW w:w="1440" w:type="dxa"/>
            <w:vAlign w:val="center"/>
          </w:tcPr>
          <w:p w14:paraId="4AFFE05F" w14:textId="77777777" w:rsidR="004515FC" w:rsidRPr="00D04088" w:rsidRDefault="004515FC" w:rsidP="0029161D">
            <w:pPr>
              <w:rPr>
                <w:noProof/>
                <w:sz w:val="18"/>
              </w:rPr>
            </w:pPr>
            <w:r w:rsidRPr="00D04088">
              <w:rPr>
                <w:noProof/>
                <w:sz w:val="18"/>
              </w:rPr>
              <w:t>Impenji</w:t>
            </w:r>
          </w:p>
        </w:tc>
        <w:tc>
          <w:tcPr>
            <w:tcW w:w="654" w:type="dxa"/>
            <w:gridSpan w:val="2"/>
            <w:vAlign w:val="center"/>
          </w:tcPr>
          <w:p w14:paraId="554F7D18" w14:textId="77777777" w:rsidR="004515FC" w:rsidRPr="00D04088" w:rsidRDefault="004515FC" w:rsidP="0029161D">
            <w:pPr>
              <w:jc w:val="center"/>
              <w:rPr>
                <w:noProof/>
                <w:sz w:val="14"/>
              </w:rPr>
            </w:pPr>
            <w:r w:rsidRPr="00D04088">
              <w:rPr>
                <w:noProof/>
                <w:sz w:val="14"/>
              </w:rPr>
              <w:t>=1a+1b +3</w:t>
            </w:r>
          </w:p>
        </w:tc>
        <w:tc>
          <w:tcPr>
            <w:tcW w:w="868" w:type="dxa"/>
            <w:vAlign w:val="center"/>
          </w:tcPr>
          <w:p w14:paraId="657EE0BA" w14:textId="77777777" w:rsidR="004515FC" w:rsidRPr="00D04088" w:rsidRDefault="004515FC" w:rsidP="0029161D">
            <w:pPr>
              <w:spacing w:before="20" w:after="20"/>
              <w:jc w:val="right"/>
              <w:rPr>
                <w:noProof/>
                <w:sz w:val="20"/>
              </w:rPr>
            </w:pPr>
          </w:p>
        </w:tc>
        <w:tc>
          <w:tcPr>
            <w:tcW w:w="868" w:type="dxa"/>
            <w:vAlign w:val="center"/>
          </w:tcPr>
          <w:p w14:paraId="4F8025B2" w14:textId="77777777" w:rsidR="004515FC" w:rsidRPr="00D04088" w:rsidRDefault="004515FC" w:rsidP="0029161D">
            <w:pPr>
              <w:spacing w:before="20" w:after="20"/>
              <w:jc w:val="right"/>
              <w:rPr>
                <w:noProof/>
                <w:sz w:val="20"/>
              </w:rPr>
            </w:pPr>
          </w:p>
        </w:tc>
        <w:tc>
          <w:tcPr>
            <w:tcW w:w="868" w:type="dxa"/>
            <w:vAlign w:val="center"/>
          </w:tcPr>
          <w:p w14:paraId="02330D9C" w14:textId="77777777" w:rsidR="004515FC" w:rsidRPr="00D04088" w:rsidRDefault="004515FC" w:rsidP="0029161D">
            <w:pPr>
              <w:spacing w:before="20" w:after="20"/>
              <w:jc w:val="right"/>
              <w:rPr>
                <w:noProof/>
                <w:sz w:val="20"/>
              </w:rPr>
            </w:pPr>
          </w:p>
        </w:tc>
        <w:tc>
          <w:tcPr>
            <w:tcW w:w="868" w:type="dxa"/>
            <w:vAlign w:val="center"/>
          </w:tcPr>
          <w:p w14:paraId="7B9DDB61" w14:textId="77777777" w:rsidR="004515FC" w:rsidRPr="00D04088" w:rsidRDefault="004515FC" w:rsidP="0029161D">
            <w:pPr>
              <w:spacing w:before="20" w:after="20"/>
              <w:jc w:val="right"/>
              <w:rPr>
                <w:noProof/>
                <w:sz w:val="20"/>
              </w:rPr>
            </w:pPr>
          </w:p>
        </w:tc>
        <w:tc>
          <w:tcPr>
            <w:tcW w:w="868" w:type="dxa"/>
            <w:vAlign w:val="center"/>
          </w:tcPr>
          <w:p w14:paraId="71F623E7" w14:textId="77777777" w:rsidR="004515FC" w:rsidRPr="00D04088" w:rsidRDefault="004515FC" w:rsidP="0029161D">
            <w:pPr>
              <w:spacing w:before="20" w:after="20"/>
              <w:jc w:val="right"/>
              <w:rPr>
                <w:noProof/>
                <w:sz w:val="20"/>
              </w:rPr>
            </w:pPr>
          </w:p>
        </w:tc>
        <w:tc>
          <w:tcPr>
            <w:tcW w:w="868" w:type="dxa"/>
            <w:vAlign w:val="center"/>
          </w:tcPr>
          <w:p w14:paraId="0ACC5C04" w14:textId="77777777" w:rsidR="004515FC" w:rsidRPr="00D04088" w:rsidRDefault="004515FC" w:rsidP="0029161D">
            <w:pPr>
              <w:spacing w:before="20" w:after="20"/>
              <w:jc w:val="right"/>
              <w:rPr>
                <w:noProof/>
                <w:sz w:val="20"/>
              </w:rPr>
            </w:pPr>
          </w:p>
        </w:tc>
        <w:tc>
          <w:tcPr>
            <w:tcW w:w="868" w:type="dxa"/>
            <w:vAlign w:val="center"/>
          </w:tcPr>
          <w:p w14:paraId="5CF2CC1C" w14:textId="77777777" w:rsidR="004515FC" w:rsidRPr="00D04088" w:rsidRDefault="004515FC" w:rsidP="0029161D">
            <w:pPr>
              <w:spacing w:before="20" w:after="20"/>
              <w:jc w:val="right"/>
              <w:rPr>
                <w:b/>
                <w:noProof/>
                <w:sz w:val="20"/>
              </w:rPr>
            </w:pPr>
          </w:p>
        </w:tc>
        <w:tc>
          <w:tcPr>
            <w:tcW w:w="1777" w:type="dxa"/>
            <w:vAlign w:val="center"/>
          </w:tcPr>
          <w:p w14:paraId="698D3306" w14:textId="77777777" w:rsidR="004515FC" w:rsidRPr="00D04088" w:rsidRDefault="004515FC" w:rsidP="0029161D">
            <w:pPr>
              <w:spacing w:before="20" w:after="20"/>
              <w:jc w:val="right"/>
              <w:rPr>
                <w:b/>
                <w:noProof/>
                <w:sz w:val="20"/>
              </w:rPr>
            </w:pPr>
          </w:p>
        </w:tc>
      </w:tr>
      <w:tr w:rsidR="00910369" w:rsidRPr="00D04088" w14:paraId="458B0BBB" w14:textId="77777777">
        <w:tc>
          <w:tcPr>
            <w:tcW w:w="3960" w:type="dxa"/>
            <w:vMerge/>
          </w:tcPr>
          <w:p w14:paraId="27DEFC29" w14:textId="77777777" w:rsidR="004515FC" w:rsidRPr="00D04088" w:rsidRDefault="004515FC" w:rsidP="0029161D">
            <w:pPr>
              <w:rPr>
                <w:noProof/>
                <w:sz w:val="20"/>
              </w:rPr>
            </w:pPr>
          </w:p>
        </w:tc>
        <w:tc>
          <w:tcPr>
            <w:tcW w:w="1440" w:type="dxa"/>
            <w:vAlign w:val="center"/>
          </w:tcPr>
          <w:p w14:paraId="307C6977" w14:textId="77777777" w:rsidR="004515FC" w:rsidRPr="00D04088" w:rsidRDefault="004515FC" w:rsidP="0029161D">
            <w:pPr>
              <w:rPr>
                <w:noProof/>
                <w:sz w:val="18"/>
              </w:rPr>
            </w:pPr>
            <w:r w:rsidRPr="00D04088">
              <w:rPr>
                <w:noProof/>
                <w:sz w:val="18"/>
              </w:rPr>
              <w:t>Pagamenti</w:t>
            </w:r>
          </w:p>
        </w:tc>
        <w:tc>
          <w:tcPr>
            <w:tcW w:w="654" w:type="dxa"/>
            <w:gridSpan w:val="2"/>
            <w:vAlign w:val="center"/>
          </w:tcPr>
          <w:p w14:paraId="2FE6D964" w14:textId="77777777" w:rsidR="004515FC" w:rsidRPr="00D04088" w:rsidRDefault="004515FC" w:rsidP="0029161D">
            <w:pPr>
              <w:jc w:val="center"/>
              <w:rPr>
                <w:noProof/>
                <w:sz w:val="14"/>
              </w:rPr>
            </w:pPr>
            <w:r w:rsidRPr="00D04088">
              <w:rPr>
                <w:noProof/>
                <w:sz w:val="14"/>
              </w:rPr>
              <w:t>=2a+2b</w:t>
            </w:r>
          </w:p>
          <w:p w14:paraId="462E9F07" w14:textId="77777777" w:rsidR="004515FC" w:rsidRPr="00D04088" w:rsidRDefault="004515FC" w:rsidP="0029161D">
            <w:pPr>
              <w:jc w:val="center"/>
              <w:rPr>
                <w:noProof/>
                <w:sz w:val="14"/>
              </w:rPr>
            </w:pPr>
            <w:r w:rsidRPr="00D04088">
              <w:rPr>
                <w:noProof/>
                <w:sz w:val="14"/>
              </w:rPr>
              <w:t>+3</w:t>
            </w:r>
          </w:p>
        </w:tc>
        <w:tc>
          <w:tcPr>
            <w:tcW w:w="868" w:type="dxa"/>
            <w:vAlign w:val="center"/>
          </w:tcPr>
          <w:p w14:paraId="0597B73F" w14:textId="77777777" w:rsidR="004515FC" w:rsidRPr="00D04088" w:rsidRDefault="004515FC" w:rsidP="0029161D">
            <w:pPr>
              <w:spacing w:before="20" w:after="20"/>
              <w:jc w:val="right"/>
              <w:rPr>
                <w:noProof/>
                <w:sz w:val="20"/>
              </w:rPr>
            </w:pPr>
          </w:p>
        </w:tc>
        <w:tc>
          <w:tcPr>
            <w:tcW w:w="868" w:type="dxa"/>
            <w:vAlign w:val="center"/>
          </w:tcPr>
          <w:p w14:paraId="285DAE5A" w14:textId="77777777" w:rsidR="004515FC" w:rsidRPr="00D04088" w:rsidRDefault="004515FC" w:rsidP="0029161D">
            <w:pPr>
              <w:spacing w:before="20" w:after="20"/>
              <w:jc w:val="right"/>
              <w:rPr>
                <w:noProof/>
                <w:sz w:val="20"/>
              </w:rPr>
            </w:pPr>
          </w:p>
        </w:tc>
        <w:tc>
          <w:tcPr>
            <w:tcW w:w="868" w:type="dxa"/>
            <w:vAlign w:val="center"/>
          </w:tcPr>
          <w:p w14:paraId="2CF66A98" w14:textId="77777777" w:rsidR="004515FC" w:rsidRPr="00D04088" w:rsidRDefault="004515FC" w:rsidP="0029161D">
            <w:pPr>
              <w:spacing w:before="20" w:after="20"/>
              <w:jc w:val="right"/>
              <w:rPr>
                <w:noProof/>
                <w:sz w:val="20"/>
              </w:rPr>
            </w:pPr>
          </w:p>
        </w:tc>
        <w:tc>
          <w:tcPr>
            <w:tcW w:w="868" w:type="dxa"/>
            <w:vAlign w:val="center"/>
          </w:tcPr>
          <w:p w14:paraId="04641008" w14:textId="77777777" w:rsidR="004515FC" w:rsidRPr="00D04088" w:rsidRDefault="004515FC" w:rsidP="0029161D">
            <w:pPr>
              <w:spacing w:before="20" w:after="20"/>
              <w:jc w:val="right"/>
              <w:rPr>
                <w:noProof/>
                <w:sz w:val="20"/>
              </w:rPr>
            </w:pPr>
          </w:p>
        </w:tc>
        <w:tc>
          <w:tcPr>
            <w:tcW w:w="868" w:type="dxa"/>
            <w:vAlign w:val="center"/>
          </w:tcPr>
          <w:p w14:paraId="0DC7A8F9" w14:textId="77777777" w:rsidR="004515FC" w:rsidRPr="00D04088" w:rsidRDefault="004515FC" w:rsidP="0029161D">
            <w:pPr>
              <w:spacing w:before="20" w:after="20"/>
              <w:jc w:val="right"/>
              <w:rPr>
                <w:noProof/>
                <w:sz w:val="20"/>
              </w:rPr>
            </w:pPr>
          </w:p>
        </w:tc>
        <w:tc>
          <w:tcPr>
            <w:tcW w:w="868" w:type="dxa"/>
            <w:vAlign w:val="center"/>
          </w:tcPr>
          <w:p w14:paraId="3FAA166C" w14:textId="77777777" w:rsidR="004515FC" w:rsidRPr="00D04088" w:rsidRDefault="004515FC" w:rsidP="0029161D">
            <w:pPr>
              <w:spacing w:before="20" w:after="20"/>
              <w:jc w:val="right"/>
              <w:rPr>
                <w:noProof/>
                <w:sz w:val="20"/>
              </w:rPr>
            </w:pPr>
          </w:p>
        </w:tc>
        <w:tc>
          <w:tcPr>
            <w:tcW w:w="868" w:type="dxa"/>
            <w:vAlign w:val="center"/>
          </w:tcPr>
          <w:p w14:paraId="7B2B0F63" w14:textId="77777777" w:rsidR="004515FC" w:rsidRPr="00D04088" w:rsidRDefault="004515FC" w:rsidP="0029161D">
            <w:pPr>
              <w:spacing w:before="20" w:after="20"/>
              <w:jc w:val="right"/>
              <w:rPr>
                <w:b/>
                <w:noProof/>
                <w:sz w:val="20"/>
              </w:rPr>
            </w:pPr>
          </w:p>
        </w:tc>
        <w:tc>
          <w:tcPr>
            <w:tcW w:w="1777" w:type="dxa"/>
            <w:vAlign w:val="center"/>
          </w:tcPr>
          <w:p w14:paraId="3DFA4738" w14:textId="77777777" w:rsidR="004515FC" w:rsidRPr="00D04088" w:rsidRDefault="004515FC" w:rsidP="0029161D">
            <w:pPr>
              <w:spacing w:before="20" w:after="20"/>
              <w:jc w:val="right"/>
              <w:rPr>
                <w:b/>
                <w:noProof/>
                <w:sz w:val="20"/>
              </w:rPr>
            </w:pPr>
          </w:p>
        </w:tc>
      </w:tr>
    </w:tbl>
    <w:p w14:paraId="024DDD5A" w14:textId="77777777" w:rsidR="004515FC" w:rsidRPr="00D04088" w:rsidRDefault="004515FC" w:rsidP="004515FC">
      <w:pPr>
        <w:rPr>
          <w:noProof/>
        </w:rPr>
      </w:pPr>
      <w:r w:rsidRPr="00D04088">
        <w:rPr>
          <w:noProof/>
        </w:rPr>
        <w:t xml:space="preserve"> </w:t>
      </w:r>
      <w:r w:rsidRPr="00D04088">
        <w:rPr>
          <w:noProof/>
        </w:rPr>
        <w:cr/>
      </w:r>
      <w:r w:rsidRPr="00D04088">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910369" w:rsidRPr="00D04088" w14:paraId="66063813" w14:textId="77777777">
        <w:trPr>
          <w:trHeight w:val="277"/>
        </w:trPr>
        <w:tc>
          <w:tcPr>
            <w:tcW w:w="3960" w:type="dxa"/>
            <w:vMerge w:val="restart"/>
            <w:vAlign w:val="center"/>
          </w:tcPr>
          <w:p w14:paraId="00318610" w14:textId="77777777" w:rsidR="004515FC" w:rsidRPr="00D04088" w:rsidRDefault="004515FC" w:rsidP="0029161D">
            <w:pPr>
              <w:spacing w:before="20" w:after="20"/>
              <w:rPr>
                <w:noProof/>
              </w:rPr>
            </w:pPr>
            <w:r w:rsidRPr="00D04088">
              <w:rPr>
                <w:noProof/>
              </w:rPr>
              <w:br w:type="page"/>
            </w:r>
            <w:r w:rsidRPr="00D04088">
              <w:rPr>
                <w:rFonts w:ascii="Wingdings" w:hAnsi="Wingdings"/>
                <w:noProof/>
                <w:sz w:val="21"/>
              </w:rPr>
              <w:t>□</w:t>
            </w:r>
            <w:r w:rsidRPr="00D04088">
              <w:rPr>
                <w:noProof/>
              </w:rPr>
              <w:t xml:space="preserve"> TOTAL tal-approprjazzjonijiet operazzjonali</w:t>
            </w:r>
            <w:r w:rsidRPr="00D04088">
              <w:rPr>
                <w:noProof/>
                <w:sz w:val="21"/>
              </w:rPr>
              <w:t xml:space="preserve"> </w:t>
            </w:r>
          </w:p>
        </w:tc>
        <w:tc>
          <w:tcPr>
            <w:tcW w:w="1440" w:type="dxa"/>
            <w:vAlign w:val="center"/>
          </w:tcPr>
          <w:p w14:paraId="06F0C86B" w14:textId="77777777" w:rsidR="004515FC" w:rsidRPr="00D04088" w:rsidRDefault="004515FC" w:rsidP="0029161D">
            <w:pPr>
              <w:spacing w:beforeLines="20" w:before="48" w:afterLines="20" w:after="48"/>
              <w:rPr>
                <w:noProof/>
                <w:sz w:val="18"/>
              </w:rPr>
            </w:pPr>
            <w:r w:rsidRPr="00D04088">
              <w:rPr>
                <w:noProof/>
                <w:sz w:val="18"/>
              </w:rPr>
              <w:t>Impenji</w:t>
            </w:r>
          </w:p>
        </w:tc>
        <w:tc>
          <w:tcPr>
            <w:tcW w:w="654" w:type="dxa"/>
            <w:vAlign w:val="center"/>
          </w:tcPr>
          <w:p w14:paraId="5E45689C" w14:textId="77777777" w:rsidR="004515FC" w:rsidRPr="00D04088" w:rsidRDefault="004515FC" w:rsidP="0029161D">
            <w:pPr>
              <w:spacing w:beforeLines="20" w:before="48" w:afterLines="20" w:after="48"/>
              <w:jc w:val="center"/>
              <w:rPr>
                <w:noProof/>
                <w:sz w:val="14"/>
              </w:rPr>
            </w:pPr>
            <w:r w:rsidRPr="00D04088">
              <w:rPr>
                <w:noProof/>
                <w:sz w:val="14"/>
              </w:rPr>
              <w:t>(4)</w:t>
            </w:r>
          </w:p>
        </w:tc>
        <w:tc>
          <w:tcPr>
            <w:tcW w:w="868" w:type="dxa"/>
            <w:vAlign w:val="center"/>
          </w:tcPr>
          <w:p w14:paraId="27CB1E05" w14:textId="77777777" w:rsidR="004515FC" w:rsidRPr="00D04088" w:rsidRDefault="004515FC" w:rsidP="0029161D">
            <w:pPr>
              <w:spacing w:before="20" w:after="20"/>
              <w:jc w:val="right"/>
              <w:rPr>
                <w:noProof/>
                <w:sz w:val="20"/>
              </w:rPr>
            </w:pPr>
          </w:p>
        </w:tc>
        <w:tc>
          <w:tcPr>
            <w:tcW w:w="868" w:type="dxa"/>
            <w:vAlign w:val="center"/>
          </w:tcPr>
          <w:p w14:paraId="364B79D0" w14:textId="77777777" w:rsidR="004515FC" w:rsidRPr="00D04088" w:rsidRDefault="004515FC" w:rsidP="0029161D">
            <w:pPr>
              <w:spacing w:before="20" w:after="20"/>
              <w:jc w:val="right"/>
              <w:rPr>
                <w:noProof/>
                <w:sz w:val="20"/>
              </w:rPr>
            </w:pPr>
          </w:p>
        </w:tc>
        <w:tc>
          <w:tcPr>
            <w:tcW w:w="868" w:type="dxa"/>
            <w:vAlign w:val="center"/>
          </w:tcPr>
          <w:p w14:paraId="088CEBCB" w14:textId="77777777" w:rsidR="004515FC" w:rsidRPr="00D04088" w:rsidRDefault="004515FC" w:rsidP="0029161D">
            <w:pPr>
              <w:spacing w:before="20" w:after="20"/>
              <w:jc w:val="right"/>
              <w:rPr>
                <w:noProof/>
                <w:sz w:val="20"/>
              </w:rPr>
            </w:pPr>
          </w:p>
        </w:tc>
        <w:tc>
          <w:tcPr>
            <w:tcW w:w="868" w:type="dxa"/>
            <w:vAlign w:val="center"/>
          </w:tcPr>
          <w:p w14:paraId="213E8C50" w14:textId="77777777" w:rsidR="004515FC" w:rsidRPr="00D04088" w:rsidRDefault="004515FC" w:rsidP="0029161D">
            <w:pPr>
              <w:spacing w:before="20" w:after="20"/>
              <w:jc w:val="right"/>
              <w:rPr>
                <w:noProof/>
                <w:sz w:val="20"/>
              </w:rPr>
            </w:pPr>
          </w:p>
        </w:tc>
        <w:tc>
          <w:tcPr>
            <w:tcW w:w="868" w:type="dxa"/>
            <w:vAlign w:val="center"/>
          </w:tcPr>
          <w:p w14:paraId="77998A10" w14:textId="77777777" w:rsidR="004515FC" w:rsidRPr="00D04088" w:rsidRDefault="004515FC" w:rsidP="0029161D">
            <w:pPr>
              <w:spacing w:before="20" w:after="20"/>
              <w:jc w:val="right"/>
              <w:rPr>
                <w:noProof/>
                <w:sz w:val="20"/>
              </w:rPr>
            </w:pPr>
          </w:p>
        </w:tc>
        <w:tc>
          <w:tcPr>
            <w:tcW w:w="868" w:type="dxa"/>
            <w:vAlign w:val="center"/>
          </w:tcPr>
          <w:p w14:paraId="58528012" w14:textId="77777777" w:rsidR="004515FC" w:rsidRPr="00D04088" w:rsidRDefault="004515FC" w:rsidP="0029161D">
            <w:pPr>
              <w:spacing w:before="20" w:after="20"/>
              <w:jc w:val="right"/>
              <w:rPr>
                <w:noProof/>
                <w:sz w:val="20"/>
              </w:rPr>
            </w:pPr>
          </w:p>
        </w:tc>
        <w:tc>
          <w:tcPr>
            <w:tcW w:w="868" w:type="dxa"/>
            <w:vAlign w:val="center"/>
          </w:tcPr>
          <w:p w14:paraId="700820E8" w14:textId="77777777" w:rsidR="004515FC" w:rsidRPr="00D04088" w:rsidRDefault="004515FC" w:rsidP="0029161D">
            <w:pPr>
              <w:spacing w:before="20" w:after="20"/>
              <w:jc w:val="right"/>
              <w:rPr>
                <w:b/>
                <w:noProof/>
                <w:sz w:val="20"/>
              </w:rPr>
            </w:pPr>
          </w:p>
        </w:tc>
        <w:tc>
          <w:tcPr>
            <w:tcW w:w="1777" w:type="dxa"/>
            <w:vAlign w:val="center"/>
          </w:tcPr>
          <w:p w14:paraId="02E3537B" w14:textId="77777777" w:rsidR="004515FC" w:rsidRPr="00D04088" w:rsidRDefault="004515FC" w:rsidP="0029161D">
            <w:pPr>
              <w:spacing w:before="20" w:after="20"/>
              <w:jc w:val="right"/>
              <w:rPr>
                <w:b/>
                <w:noProof/>
                <w:sz w:val="20"/>
              </w:rPr>
            </w:pPr>
          </w:p>
        </w:tc>
      </w:tr>
      <w:tr w:rsidR="00910369" w:rsidRPr="00D04088" w14:paraId="4805C34C" w14:textId="77777777">
        <w:tc>
          <w:tcPr>
            <w:tcW w:w="3960" w:type="dxa"/>
            <w:vMerge/>
          </w:tcPr>
          <w:p w14:paraId="17A2190F" w14:textId="77777777" w:rsidR="004515FC" w:rsidRPr="00D04088" w:rsidRDefault="004515FC" w:rsidP="0029161D">
            <w:pPr>
              <w:jc w:val="center"/>
              <w:rPr>
                <w:noProof/>
                <w:sz w:val="20"/>
              </w:rPr>
            </w:pPr>
          </w:p>
        </w:tc>
        <w:tc>
          <w:tcPr>
            <w:tcW w:w="1440" w:type="dxa"/>
            <w:vAlign w:val="center"/>
          </w:tcPr>
          <w:p w14:paraId="40A80AFF" w14:textId="77777777" w:rsidR="004515FC" w:rsidRPr="00D04088" w:rsidRDefault="004515FC" w:rsidP="0029161D">
            <w:pPr>
              <w:spacing w:beforeLines="20" w:before="48" w:afterLines="20" w:after="48"/>
              <w:rPr>
                <w:noProof/>
                <w:sz w:val="18"/>
              </w:rPr>
            </w:pPr>
            <w:r w:rsidRPr="00D04088">
              <w:rPr>
                <w:noProof/>
                <w:sz w:val="18"/>
              </w:rPr>
              <w:t>Pagamenti</w:t>
            </w:r>
          </w:p>
        </w:tc>
        <w:tc>
          <w:tcPr>
            <w:tcW w:w="654" w:type="dxa"/>
            <w:vAlign w:val="center"/>
          </w:tcPr>
          <w:p w14:paraId="09BABB79" w14:textId="77777777" w:rsidR="004515FC" w:rsidRPr="00D04088" w:rsidRDefault="004515FC" w:rsidP="0029161D">
            <w:pPr>
              <w:spacing w:beforeLines="20" w:before="48" w:afterLines="20" w:after="48"/>
              <w:jc w:val="center"/>
              <w:rPr>
                <w:noProof/>
                <w:sz w:val="14"/>
              </w:rPr>
            </w:pPr>
            <w:r w:rsidRPr="00D04088">
              <w:rPr>
                <w:noProof/>
                <w:sz w:val="14"/>
              </w:rPr>
              <w:t>(5)</w:t>
            </w:r>
          </w:p>
        </w:tc>
        <w:tc>
          <w:tcPr>
            <w:tcW w:w="868" w:type="dxa"/>
            <w:vAlign w:val="center"/>
          </w:tcPr>
          <w:p w14:paraId="5BB6B479" w14:textId="77777777" w:rsidR="004515FC" w:rsidRPr="00D04088" w:rsidRDefault="004515FC" w:rsidP="0029161D">
            <w:pPr>
              <w:spacing w:before="20" w:after="20"/>
              <w:jc w:val="right"/>
              <w:rPr>
                <w:noProof/>
                <w:sz w:val="20"/>
              </w:rPr>
            </w:pPr>
          </w:p>
        </w:tc>
        <w:tc>
          <w:tcPr>
            <w:tcW w:w="868" w:type="dxa"/>
            <w:vAlign w:val="center"/>
          </w:tcPr>
          <w:p w14:paraId="0B36638C" w14:textId="77777777" w:rsidR="004515FC" w:rsidRPr="00D04088" w:rsidRDefault="004515FC" w:rsidP="0029161D">
            <w:pPr>
              <w:spacing w:before="20" w:after="20"/>
              <w:jc w:val="right"/>
              <w:rPr>
                <w:noProof/>
                <w:sz w:val="20"/>
              </w:rPr>
            </w:pPr>
          </w:p>
        </w:tc>
        <w:tc>
          <w:tcPr>
            <w:tcW w:w="868" w:type="dxa"/>
            <w:vAlign w:val="center"/>
          </w:tcPr>
          <w:p w14:paraId="4095A051" w14:textId="77777777" w:rsidR="004515FC" w:rsidRPr="00D04088" w:rsidRDefault="004515FC" w:rsidP="0029161D">
            <w:pPr>
              <w:spacing w:before="20" w:after="20"/>
              <w:jc w:val="right"/>
              <w:rPr>
                <w:noProof/>
                <w:sz w:val="20"/>
              </w:rPr>
            </w:pPr>
          </w:p>
        </w:tc>
        <w:tc>
          <w:tcPr>
            <w:tcW w:w="868" w:type="dxa"/>
            <w:vAlign w:val="center"/>
          </w:tcPr>
          <w:p w14:paraId="47340E94" w14:textId="77777777" w:rsidR="004515FC" w:rsidRPr="00D04088" w:rsidRDefault="004515FC" w:rsidP="0029161D">
            <w:pPr>
              <w:spacing w:before="20" w:after="20"/>
              <w:jc w:val="right"/>
              <w:rPr>
                <w:noProof/>
                <w:sz w:val="20"/>
              </w:rPr>
            </w:pPr>
          </w:p>
        </w:tc>
        <w:tc>
          <w:tcPr>
            <w:tcW w:w="868" w:type="dxa"/>
            <w:vAlign w:val="center"/>
          </w:tcPr>
          <w:p w14:paraId="332024B9" w14:textId="77777777" w:rsidR="004515FC" w:rsidRPr="00D04088" w:rsidRDefault="004515FC" w:rsidP="0029161D">
            <w:pPr>
              <w:spacing w:before="20" w:after="20"/>
              <w:jc w:val="right"/>
              <w:rPr>
                <w:noProof/>
                <w:sz w:val="20"/>
              </w:rPr>
            </w:pPr>
          </w:p>
        </w:tc>
        <w:tc>
          <w:tcPr>
            <w:tcW w:w="868" w:type="dxa"/>
            <w:vAlign w:val="center"/>
          </w:tcPr>
          <w:p w14:paraId="732DA8B1" w14:textId="77777777" w:rsidR="004515FC" w:rsidRPr="00D04088" w:rsidRDefault="004515FC" w:rsidP="0029161D">
            <w:pPr>
              <w:spacing w:before="20" w:after="20"/>
              <w:jc w:val="right"/>
              <w:rPr>
                <w:noProof/>
                <w:sz w:val="20"/>
              </w:rPr>
            </w:pPr>
          </w:p>
        </w:tc>
        <w:tc>
          <w:tcPr>
            <w:tcW w:w="868" w:type="dxa"/>
            <w:vAlign w:val="center"/>
          </w:tcPr>
          <w:p w14:paraId="39AD8630" w14:textId="77777777" w:rsidR="004515FC" w:rsidRPr="00D04088" w:rsidRDefault="004515FC" w:rsidP="0029161D">
            <w:pPr>
              <w:spacing w:before="20" w:after="20"/>
              <w:jc w:val="right"/>
              <w:rPr>
                <w:b/>
                <w:noProof/>
                <w:sz w:val="20"/>
              </w:rPr>
            </w:pPr>
          </w:p>
        </w:tc>
        <w:tc>
          <w:tcPr>
            <w:tcW w:w="1777" w:type="dxa"/>
            <w:vAlign w:val="center"/>
          </w:tcPr>
          <w:p w14:paraId="5101AAE4" w14:textId="77777777" w:rsidR="004515FC" w:rsidRPr="00D04088" w:rsidRDefault="004515FC" w:rsidP="0029161D">
            <w:pPr>
              <w:spacing w:before="20" w:after="20"/>
              <w:jc w:val="right"/>
              <w:rPr>
                <w:b/>
                <w:noProof/>
                <w:sz w:val="20"/>
              </w:rPr>
            </w:pPr>
          </w:p>
        </w:tc>
      </w:tr>
      <w:tr w:rsidR="00DB3050" w:rsidRPr="00D04088" w14:paraId="448C183D" w14:textId="77777777">
        <w:trPr>
          <w:trHeight w:val="533"/>
        </w:trPr>
        <w:tc>
          <w:tcPr>
            <w:tcW w:w="5400" w:type="dxa"/>
            <w:gridSpan w:val="2"/>
            <w:vAlign w:val="center"/>
          </w:tcPr>
          <w:p w14:paraId="2022059D" w14:textId="77777777" w:rsidR="004515FC" w:rsidRPr="00D04088" w:rsidRDefault="004515FC" w:rsidP="0029161D">
            <w:pPr>
              <w:spacing w:beforeLines="20" w:before="48" w:afterLines="20" w:after="48"/>
              <w:rPr>
                <w:noProof/>
              </w:rPr>
            </w:pPr>
            <w:r w:rsidRPr="00D04088">
              <w:rPr>
                <w:rFonts w:ascii="Wingdings" w:hAnsi="Wingdings"/>
                <w:noProof/>
                <w:sz w:val="21"/>
              </w:rPr>
              <w:t>□</w:t>
            </w:r>
            <w:r w:rsidRPr="00D04088">
              <w:rPr>
                <w:noProof/>
                <w:sz w:val="21"/>
              </w:rPr>
              <w:t xml:space="preserve"> </w:t>
            </w:r>
            <w:r w:rsidRPr="00D04088">
              <w:rPr>
                <w:noProof/>
              </w:rPr>
              <w:t>TOTAL tal-approprjazzjonijiet ta’ natura amministrattiva ffinanzjati mill-pakkett ta’ programmi speċifiċi</w:t>
            </w:r>
            <w:r w:rsidRPr="00D04088">
              <w:rPr>
                <w:noProof/>
                <w:sz w:val="21"/>
              </w:rPr>
              <w:t xml:space="preserve"> </w:t>
            </w:r>
          </w:p>
        </w:tc>
        <w:tc>
          <w:tcPr>
            <w:tcW w:w="654" w:type="dxa"/>
            <w:vAlign w:val="center"/>
          </w:tcPr>
          <w:p w14:paraId="543E2B0E" w14:textId="77777777" w:rsidR="004515FC" w:rsidRPr="00D04088" w:rsidRDefault="004515FC" w:rsidP="0029161D">
            <w:pPr>
              <w:spacing w:beforeLines="20" w:before="48" w:afterLines="20" w:after="48"/>
              <w:jc w:val="center"/>
              <w:rPr>
                <w:noProof/>
                <w:sz w:val="14"/>
              </w:rPr>
            </w:pPr>
            <w:r w:rsidRPr="00D04088">
              <w:rPr>
                <w:noProof/>
                <w:sz w:val="14"/>
              </w:rPr>
              <w:t>(6)</w:t>
            </w:r>
          </w:p>
        </w:tc>
        <w:tc>
          <w:tcPr>
            <w:tcW w:w="868" w:type="dxa"/>
            <w:vAlign w:val="center"/>
          </w:tcPr>
          <w:p w14:paraId="70069BD0" w14:textId="77777777" w:rsidR="004515FC" w:rsidRPr="00D04088" w:rsidRDefault="004515FC" w:rsidP="0029161D">
            <w:pPr>
              <w:spacing w:before="20" w:after="20"/>
              <w:jc w:val="right"/>
              <w:rPr>
                <w:b/>
                <w:noProof/>
                <w:sz w:val="20"/>
              </w:rPr>
            </w:pPr>
          </w:p>
        </w:tc>
        <w:tc>
          <w:tcPr>
            <w:tcW w:w="868" w:type="dxa"/>
            <w:vAlign w:val="center"/>
          </w:tcPr>
          <w:p w14:paraId="489471B3" w14:textId="77777777" w:rsidR="004515FC" w:rsidRPr="00D04088" w:rsidRDefault="004515FC" w:rsidP="0029161D">
            <w:pPr>
              <w:spacing w:before="20" w:after="20"/>
              <w:jc w:val="right"/>
              <w:rPr>
                <w:b/>
                <w:noProof/>
                <w:sz w:val="20"/>
              </w:rPr>
            </w:pPr>
          </w:p>
        </w:tc>
        <w:tc>
          <w:tcPr>
            <w:tcW w:w="868" w:type="dxa"/>
            <w:vAlign w:val="center"/>
          </w:tcPr>
          <w:p w14:paraId="01DAB2AD" w14:textId="77777777" w:rsidR="004515FC" w:rsidRPr="00D04088" w:rsidRDefault="004515FC" w:rsidP="0029161D">
            <w:pPr>
              <w:spacing w:before="20" w:after="20"/>
              <w:jc w:val="right"/>
              <w:rPr>
                <w:b/>
                <w:noProof/>
                <w:sz w:val="20"/>
              </w:rPr>
            </w:pPr>
          </w:p>
        </w:tc>
        <w:tc>
          <w:tcPr>
            <w:tcW w:w="868" w:type="dxa"/>
            <w:vAlign w:val="center"/>
          </w:tcPr>
          <w:p w14:paraId="3E0557BC" w14:textId="77777777" w:rsidR="004515FC" w:rsidRPr="00D04088" w:rsidRDefault="004515FC" w:rsidP="0029161D">
            <w:pPr>
              <w:spacing w:before="20" w:after="20"/>
              <w:jc w:val="right"/>
              <w:rPr>
                <w:b/>
                <w:noProof/>
                <w:sz w:val="20"/>
              </w:rPr>
            </w:pPr>
          </w:p>
        </w:tc>
        <w:tc>
          <w:tcPr>
            <w:tcW w:w="868" w:type="dxa"/>
            <w:vAlign w:val="center"/>
          </w:tcPr>
          <w:p w14:paraId="6E03ACAD" w14:textId="77777777" w:rsidR="004515FC" w:rsidRPr="00D04088" w:rsidRDefault="004515FC" w:rsidP="0029161D">
            <w:pPr>
              <w:spacing w:before="20" w:after="20"/>
              <w:jc w:val="right"/>
              <w:rPr>
                <w:b/>
                <w:noProof/>
                <w:sz w:val="20"/>
              </w:rPr>
            </w:pPr>
          </w:p>
        </w:tc>
        <w:tc>
          <w:tcPr>
            <w:tcW w:w="868" w:type="dxa"/>
            <w:vAlign w:val="center"/>
          </w:tcPr>
          <w:p w14:paraId="1E04507A" w14:textId="77777777" w:rsidR="004515FC" w:rsidRPr="00D04088" w:rsidRDefault="004515FC" w:rsidP="0029161D">
            <w:pPr>
              <w:spacing w:before="20" w:after="20"/>
              <w:jc w:val="right"/>
              <w:rPr>
                <w:b/>
                <w:noProof/>
                <w:sz w:val="20"/>
              </w:rPr>
            </w:pPr>
          </w:p>
        </w:tc>
        <w:tc>
          <w:tcPr>
            <w:tcW w:w="868" w:type="dxa"/>
            <w:vAlign w:val="center"/>
          </w:tcPr>
          <w:p w14:paraId="269013E4" w14:textId="77777777" w:rsidR="004515FC" w:rsidRPr="00D04088" w:rsidRDefault="004515FC" w:rsidP="0029161D">
            <w:pPr>
              <w:spacing w:before="20" w:after="20"/>
              <w:jc w:val="right"/>
              <w:rPr>
                <w:b/>
                <w:noProof/>
                <w:sz w:val="20"/>
              </w:rPr>
            </w:pPr>
          </w:p>
        </w:tc>
        <w:tc>
          <w:tcPr>
            <w:tcW w:w="1777" w:type="dxa"/>
            <w:vAlign w:val="center"/>
          </w:tcPr>
          <w:p w14:paraId="0057D4D1" w14:textId="77777777" w:rsidR="004515FC" w:rsidRPr="00D04088" w:rsidRDefault="004515FC" w:rsidP="0029161D">
            <w:pPr>
              <w:spacing w:before="20" w:after="20"/>
              <w:jc w:val="right"/>
              <w:rPr>
                <w:b/>
                <w:noProof/>
                <w:sz w:val="20"/>
              </w:rPr>
            </w:pPr>
          </w:p>
        </w:tc>
      </w:tr>
      <w:tr w:rsidR="00291B69" w:rsidRPr="00D04088" w14:paraId="3540CB3D" w14:textId="77777777">
        <w:tc>
          <w:tcPr>
            <w:tcW w:w="3960" w:type="dxa"/>
            <w:vMerge w:val="restart"/>
            <w:shd w:val="thinDiagStripe" w:color="C0C0C0" w:fill="auto"/>
            <w:vAlign w:val="center"/>
          </w:tcPr>
          <w:p w14:paraId="4D8AAC7C" w14:textId="77777777" w:rsidR="004515FC" w:rsidRPr="00D04088" w:rsidRDefault="004515FC" w:rsidP="0029161D">
            <w:pPr>
              <w:jc w:val="center"/>
              <w:rPr>
                <w:b/>
                <w:noProof/>
              </w:rPr>
            </w:pPr>
            <w:r w:rsidRPr="00D04088">
              <w:rPr>
                <w:b/>
                <w:noProof/>
                <w:sz w:val="22"/>
              </w:rPr>
              <w:t>TOTAL tal-approprjazzjonijiet</w:t>
            </w:r>
            <w:r w:rsidRPr="00D04088">
              <w:rPr>
                <w:noProof/>
              </w:rPr>
              <w:cr/>
            </w:r>
            <w:r w:rsidRPr="00D04088">
              <w:rPr>
                <w:noProof/>
              </w:rPr>
              <w:br/>
            </w:r>
            <w:r w:rsidRPr="00D04088">
              <w:rPr>
                <w:b/>
                <w:noProof/>
                <w:sz w:val="22"/>
              </w:rPr>
              <w:t>skont L-INTESTATURA &lt;….&gt;</w:t>
            </w:r>
            <w:r w:rsidRPr="00D04088">
              <w:rPr>
                <w:noProof/>
              </w:rPr>
              <w:cr/>
            </w:r>
            <w:r w:rsidRPr="00D04088">
              <w:rPr>
                <w:noProof/>
              </w:rPr>
              <w:br/>
              <w:t>tal-qafas finanzjarju pluriennali</w:t>
            </w:r>
          </w:p>
        </w:tc>
        <w:tc>
          <w:tcPr>
            <w:tcW w:w="1440" w:type="dxa"/>
            <w:vAlign w:val="center"/>
          </w:tcPr>
          <w:p w14:paraId="5C07EE7B" w14:textId="77777777" w:rsidR="004515FC" w:rsidRPr="00D04088" w:rsidRDefault="004515FC" w:rsidP="0029161D">
            <w:pPr>
              <w:rPr>
                <w:noProof/>
                <w:sz w:val="18"/>
              </w:rPr>
            </w:pPr>
            <w:r w:rsidRPr="00D04088">
              <w:rPr>
                <w:noProof/>
                <w:sz w:val="18"/>
              </w:rPr>
              <w:t>Impenji</w:t>
            </w:r>
          </w:p>
        </w:tc>
        <w:tc>
          <w:tcPr>
            <w:tcW w:w="654" w:type="dxa"/>
            <w:vAlign w:val="center"/>
          </w:tcPr>
          <w:p w14:paraId="3754D1EE" w14:textId="77777777" w:rsidR="004515FC" w:rsidRPr="00D04088" w:rsidRDefault="004515FC" w:rsidP="0029161D">
            <w:pPr>
              <w:jc w:val="center"/>
              <w:rPr>
                <w:noProof/>
                <w:sz w:val="14"/>
              </w:rPr>
            </w:pPr>
            <w:r w:rsidRPr="00D04088">
              <w:rPr>
                <w:noProof/>
                <w:sz w:val="14"/>
              </w:rPr>
              <w:t>=4+ 6</w:t>
            </w:r>
          </w:p>
        </w:tc>
        <w:tc>
          <w:tcPr>
            <w:tcW w:w="868" w:type="dxa"/>
            <w:vAlign w:val="center"/>
          </w:tcPr>
          <w:p w14:paraId="4C066ADB" w14:textId="77777777" w:rsidR="004515FC" w:rsidRPr="00D04088" w:rsidRDefault="004515FC" w:rsidP="0029161D">
            <w:pPr>
              <w:spacing w:before="20" w:after="20"/>
              <w:jc w:val="right"/>
              <w:rPr>
                <w:noProof/>
                <w:sz w:val="20"/>
              </w:rPr>
            </w:pPr>
          </w:p>
        </w:tc>
        <w:tc>
          <w:tcPr>
            <w:tcW w:w="868" w:type="dxa"/>
            <w:vAlign w:val="center"/>
          </w:tcPr>
          <w:p w14:paraId="2D3E33C5" w14:textId="77777777" w:rsidR="004515FC" w:rsidRPr="00D04088" w:rsidRDefault="004515FC" w:rsidP="0029161D">
            <w:pPr>
              <w:spacing w:before="20" w:after="20"/>
              <w:jc w:val="right"/>
              <w:rPr>
                <w:noProof/>
                <w:sz w:val="20"/>
              </w:rPr>
            </w:pPr>
          </w:p>
        </w:tc>
        <w:tc>
          <w:tcPr>
            <w:tcW w:w="868" w:type="dxa"/>
            <w:vAlign w:val="center"/>
          </w:tcPr>
          <w:p w14:paraId="4654C8BC" w14:textId="77777777" w:rsidR="004515FC" w:rsidRPr="00D04088" w:rsidRDefault="004515FC" w:rsidP="0029161D">
            <w:pPr>
              <w:spacing w:before="20" w:after="20"/>
              <w:jc w:val="right"/>
              <w:rPr>
                <w:noProof/>
                <w:sz w:val="20"/>
              </w:rPr>
            </w:pPr>
          </w:p>
        </w:tc>
        <w:tc>
          <w:tcPr>
            <w:tcW w:w="868" w:type="dxa"/>
            <w:vAlign w:val="center"/>
          </w:tcPr>
          <w:p w14:paraId="3DA5A8AB" w14:textId="77777777" w:rsidR="004515FC" w:rsidRPr="00D04088" w:rsidRDefault="004515FC" w:rsidP="0029161D">
            <w:pPr>
              <w:spacing w:before="20" w:after="20"/>
              <w:jc w:val="right"/>
              <w:rPr>
                <w:noProof/>
                <w:sz w:val="20"/>
              </w:rPr>
            </w:pPr>
          </w:p>
        </w:tc>
        <w:tc>
          <w:tcPr>
            <w:tcW w:w="868" w:type="dxa"/>
            <w:vAlign w:val="center"/>
          </w:tcPr>
          <w:p w14:paraId="17446FD5" w14:textId="77777777" w:rsidR="004515FC" w:rsidRPr="00D04088" w:rsidRDefault="004515FC" w:rsidP="0029161D">
            <w:pPr>
              <w:spacing w:before="20" w:after="20"/>
              <w:jc w:val="right"/>
              <w:rPr>
                <w:noProof/>
                <w:sz w:val="20"/>
              </w:rPr>
            </w:pPr>
          </w:p>
        </w:tc>
        <w:tc>
          <w:tcPr>
            <w:tcW w:w="868" w:type="dxa"/>
            <w:vAlign w:val="center"/>
          </w:tcPr>
          <w:p w14:paraId="3782EB56" w14:textId="77777777" w:rsidR="004515FC" w:rsidRPr="00D04088" w:rsidRDefault="004515FC" w:rsidP="0029161D">
            <w:pPr>
              <w:spacing w:before="20" w:after="20"/>
              <w:jc w:val="right"/>
              <w:rPr>
                <w:noProof/>
                <w:sz w:val="20"/>
              </w:rPr>
            </w:pPr>
          </w:p>
        </w:tc>
        <w:tc>
          <w:tcPr>
            <w:tcW w:w="868" w:type="dxa"/>
            <w:vAlign w:val="center"/>
          </w:tcPr>
          <w:p w14:paraId="348B1B7C" w14:textId="77777777" w:rsidR="004515FC" w:rsidRPr="00D04088" w:rsidRDefault="004515FC" w:rsidP="0029161D">
            <w:pPr>
              <w:spacing w:before="20" w:after="20"/>
              <w:jc w:val="right"/>
              <w:rPr>
                <w:b/>
                <w:noProof/>
                <w:sz w:val="20"/>
              </w:rPr>
            </w:pPr>
          </w:p>
        </w:tc>
        <w:tc>
          <w:tcPr>
            <w:tcW w:w="1777" w:type="dxa"/>
            <w:vAlign w:val="center"/>
          </w:tcPr>
          <w:p w14:paraId="57AA2456" w14:textId="77777777" w:rsidR="004515FC" w:rsidRPr="00D04088" w:rsidRDefault="004515FC" w:rsidP="0029161D">
            <w:pPr>
              <w:spacing w:before="20" w:after="20"/>
              <w:jc w:val="right"/>
              <w:rPr>
                <w:b/>
                <w:noProof/>
                <w:sz w:val="20"/>
              </w:rPr>
            </w:pPr>
          </w:p>
        </w:tc>
      </w:tr>
      <w:tr w:rsidR="00291B69" w:rsidRPr="00D04088" w14:paraId="02EC73A3" w14:textId="77777777">
        <w:tc>
          <w:tcPr>
            <w:tcW w:w="3960" w:type="dxa"/>
            <w:vMerge/>
            <w:shd w:val="thinDiagStripe" w:color="C0C0C0" w:fill="auto"/>
          </w:tcPr>
          <w:p w14:paraId="11C1AE64" w14:textId="77777777" w:rsidR="004515FC" w:rsidRPr="00D04088" w:rsidRDefault="004515FC" w:rsidP="0029161D">
            <w:pPr>
              <w:rPr>
                <w:noProof/>
                <w:sz w:val="20"/>
              </w:rPr>
            </w:pPr>
          </w:p>
        </w:tc>
        <w:tc>
          <w:tcPr>
            <w:tcW w:w="1440" w:type="dxa"/>
            <w:vAlign w:val="center"/>
          </w:tcPr>
          <w:p w14:paraId="4E4BF3E4" w14:textId="77777777" w:rsidR="004515FC" w:rsidRPr="00D04088" w:rsidRDefault="004515FC" w:rsidP="0029161D">
            <w:pPr>
              <w:rPr>
                <w:noProof/>
                <w:sz w:val="18"/>
              </w:rPr>
            </w:pPr>
            <w:r w:rsidRPr="00D04088">
              <w:rPr>
                <w:noProof/>
                <w:sz w:val="18"/>
              </w:rPr>
              <w:t>Pagamenti</w:t>
            </w:r>
          </w:p>
        </w:tc>
        <w:tc>
          <w:tcPr>
            <w:tcW w:w="654" w:type="dxa"/>
            <w:vAlign w:val="center"/>
          </w:tcPr>
          <w:p w14:paraId="52D84932" w14:textId="77777777" w:rsidR="004515FC" w:rsidRPr="00D04088" w:rsidRDefault="004515FC" w:rsidP="0029161D">
            <w:pPr>
              <w:jc w:val="center"/>
              <w:rPr>
                <w:noProof/>
                <w:sz w:val="14"/>
              </w:rPr>
            </w:pPr>
            <w:r w:rsidRPr="00D04088">
              <w:rPr>
                <w:noProof/>
                <w:sz w:val="14"/>
              </w:rPr>
              <w:t>=5+ 6</w:t>
            </w:r>
          </w:p>
        </w:tc>
        <w:tc>
          <w:tcPr>
            <w:tcW w:w="868" w:type="dxa"/>
            <w:vAlign w:val="center"/>
          </w:tcPr>
          <w:p w14:paraId="4E7CD50F" w14:textId="77777777" w:rsidR="004515FC" w:rsidRPr="00D04088" w:rsidRDefault="004515FC" w:rsidP="0029161D">
            <w:pPr>
              <w:spacing w:before="20" w:after="20"/>
              <w:jc w:val="right"/>
              <w:rPr>
                <w:noProof/>
                <w:sz w:val="20"/>
              </w:rPr>
            </w:pPr>
          </w:p>
        </w:tc>
        <w:tc>
          <w:tcPr>
            <w:tcW w:w="868" w:type="dxa"/>
            <w:vAlign w:val="center"/>
          </w:tcPr>
          <w:p w14:paraId="26068EBF" w14:textId="77777777" w:rsidR="004515FC" w:rsidRPr="00D04088" w:rsidRDefault="004515FC" w:rsidP="0029161D">
            <w:pPr>
              <w:spacing w:before="20" w:after="20"/>
              <w:jc w:val="right"/>
              <w:rPr>
                <w:noProof/>
                <w:sz w:val="20"/>
              </w:rPr>
            </w:pPr>
          </w:p>
        </w:tc>
        <w:tc>
          <w:tcPr>
            <w:tcW w:w="868" w:type="dxa"/>
            <w:vAlign w:val="center"/>
          </w:tcPr>
          <w:p w14:paraId="649EF73F" w14:textId="77777777" w:rsidR="004515FC" w:rsidRPr="00D04088" w:rsidRDefault="004515FC" w:rsidP="0029161D">
            <w:pPr>
              <w:spacing w:before="20" w:after="20"/>
              <w:jc w:val="right"/>
              <w:rPr>
                <w:noProof/>
                <w:sz w:val="20"/>
              </w:rPr>
            </w:pPr>
          </w:p>
        </w:tc>
        <w:tc>
          <w:tcPr>
            <w:tcW w:w="868" w:type="dxa"/>
            <w:vAlign w:val="center"/>
          </w:tcPr>
          <w:p w14:paraId="41801F20" w14:textId="77777777" w:rsidR="004515FC" w:rsidRPr="00D04088" w:rsidRDefault="004515FC" w:rsidP="0029161D">
            <w:pPr>
              <w:spacing w:before="20" w:after="20"/>
              <w:jc w:val="right"/>
              <w:rPr>
                <w:noProof/>
                <w:sz w:val="20"/>
              </w:rPr>
            </w:pPr>
          </w:p>
        </w:tc>
        <w:tc>
          <w:tcPr>
            <w:tcW w:w="868" w:type="dxa"/>
            <w:vAlign w:val="center"/>
          </w:tcPr>
          <w:p w14:paraId="6B36F666" w14:textId="77777777" w:rsidR="004515FC" w:rsidRPr="00D04088" w:rsidRDefault="004515FC" w:rsidP="0029161D">
            <w:pPr>
              <w:spacing w:before="20" w:after="20"/>
              <w:jc w:val="right"/>
              <w:rPr>
                <w:noProof/>
                <w:sz w:val="20"/>
              </w:rPr>
            </w:pPr>
          </w:p>
        </w:tc>
        <w:tc>
          <w:tcPr>
            <w:tcW w:w="868" w:type="dxa"/>
            <w:vAlign w:val="center"/>
          </w:tcPr>
          <w:p w14:paraId="369796D9" w14:textId="77777777" w:rsidR="004515FC" w:rsidRPr="00D04088" w:rsidRDefault="004515FC" w:rsidP="0029161D">
            <w:pPr>
              <w:spacing w:before="20" w:after="20"/>
              <w:jc w:val="right"/>
              <w:rPr>
                <w:noProof/>
                <w:sz w:val="20"/>
              </w:rPr>
            </w:pPr>
          </w:p>
        </w:tc>
        <w:tc>
          <w:tcPr>
            <w:tcW w:w="868" w:type="dxa"/>
            <w:vAlign w:val="center"/>
          </w:tcPr>
          <w:p w14:paraId="7082DCF8" w14:textId="77777777" w:rsidR="004515FC" w:rsidRPr="00D04088" w:rsidRDefault="004515FC" w:rsidP="0029161D">
            <w:pPr>
              <w:spacing w:before="20" w:after="20"/>
              <w:jc w:val="right"/>
              <w:rPr>
                <w:b/>
                <w:noProof/>
                <w:sz w:val="20"/>
              </w:rPr>
            </w:pPr>
          </w:p>
        </w:tc>
        <w:tc>
          <w:tcPr>
            <w:tcW w:w="1777" w:type="dxa"/>
            <w:vAlign w:val="center"/>
          </w:tcPr>
          <w:p w14:paraId="676403A3" w14:textId="77777777" w:rsidR="004515FC" w:rsidRPr="00D04088" w:rsidRDefault="004515FC" w:rsidP="0029161D">
            <w:pPr>
              <w:spacing w:before="20" w:after="20"/>
              <w:jc w:val="right"/>
              <w:rPr>
                <w:b/>
                <w:noProof/>
                <w:sz w:val="20"/>
              </w:rPr>
            </w:pPr>
          </w:p>
        </w:tc>
      </w:tr>
    </w:tbl>
    <w:p w14:paraId="441CEB83" w14:textId="77777777" w:rsidR="004515FC" w:rsidRPr="00D04088" w:rsidRDefault="004515FC" w:rsidP="004515FC">
      <w:pPr>
        <w:spacing w:after="40"/>
        <w:rPr>
          <w:b/>
          <w:noProof/>
          <w:sz w:val="22"/>
          <w:u w:val="single"/>
        </w:rPr>
      </w:pPr>
      <w:r w:rsidRPr="00D04088">
        <w:rPr>
          <w:b/>
          <w:noProof/>
          <w:sz w:val="22"/>
          <w:u w:val="single"/>
        </w:rPr>
        <w:t>Jekk il-proposta/l-inizjattiva taffettwa iżjed minn intestatura operazzjonali waħda, irrepeti t-taqsima ta’ hawn fuq:</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3C6DC3" w:rsidRPr="00D04088" w14:paraId="70C93CE2" w14:textId="77777777">
        <w:trPr>
          <w:trHeight w:val="277"/>
        </w:trPr>
        <w:tc>
          <w:tcPr>
            <w:tcW w:w="3960" w:type="dxa"/>
            <w:vMerge w:val="restart"/>
            <w:tcBorders>
              <w:top w:val="single" w:sz="4" w:space="0" w:color="auto"/>
              <w:left w:val="single" w:sz="4" w:space="0" w:color="auto"/>
              <w:bottom w:val="single" w:sz="4" w:space="0" w:color="FF0000"/>
            </w:tcBorders>
            <w:vAlign w:val="center"/>
          </w:tcPr>
          <w:p w14:paraId="2483DC62" w14:textId="77777777" w:rsidR="004515FC" w:rsidRPr="00D04088" w:rsidRDefault="004515FC" w:rsidP="0029161D">
            <w:pPr>
              <w:spacing w:before="20" w:after="20"/>
              <w:rPr>
                <w:noProof/>
              </w:rPr>
            </w:pPr>
            <w:r w:rsidRPr="00D04088">
              <w:rPr>
                <w:rFonts w:ascii="Wingdings" w:hAnsi="Wingdings"/>
                <w:noProof/>
                <w:sz w:val="21"/>
              </w:rPr>
              <w:t>□</w:t>
            </w:r>
            <w:r w:rsidRPr="00D04088">
              <w:rPr>
                <w:noProof/>
              </w:rPr>
              <w:t>TOTAL tal-approprjazzjonijiet operazzjonali (l-intestaturi operazzjonali kollha)</w:t>
            </w:r>
          </w:p>
        </w:tc>
        <w:tc>
          <w:tcPr>
            <w:tcW w:w="1440" w:type="dxa"/>
            <w:tcBorders>
              <w:top w:val="single" w:sz="4" w:space="0" w:color="auto"/>
            </w:tcBorders>
            <w:vAlign w:val="center"/>
          </w:tcPr>
          <w:p w14:paraId="71AA5345" w14:textId="77777777" w:rsidR="004515FC" w:rsidRPr="00D04088" w:rsidRDefault="004515FC" w:rsidP="0029161D">
            <w:pPr>
              <w:spacing w:beforeLines="20" w:before="48" w:afterLines="20" w:after="48"/>
              <w:rPr>
                <w:noProof/>
                <w:sz w:val="18"/>
              </w:rPr>
            </w:pPr>
            <w:r w:rsidRPr="00D04088">
              <w:rPr>
                <w:noProof/>
                <w:sz w:val="18"/>
              </w:rPr>
              <w:t>Impenji</w:t>
            </w:r>
          </w:p>
        </w:tc>
        <w:tc>
          <w:tcPr>
            <w:tcW w:w="654" w:type="dxa"/>
            <w:tcBorders>
              <w:top w:val="single" w:sz="4" w:space="0" w:color="auto"/>
            </w:tcBorders>
            <w:vAlign w:val="center"/>
          </w:tcPr>
          <w:p w14:paraId="2E497CB2" w14:textId="77777777" w:rsidR="004515FC" w:rsidRPr="00D04088" w:rsidRDefault="004515FC" w:rsidP="0029161D">
            <w:pPr>
              <w:spacing w:beforeLines="20" w:before="48" w:afterLines="20" w:after="48"/>
              <w:jc w:val="center"/>
              <w:rPr>
                <w:noProof/>
                <w:sz w:val="14"/>
              </w:rPr>
            </w:pPr>
            <w:r w:rsidRPr="00D04088">
              <w:rPr>
                <w:noProof/>
                <w:sz w:val="14"/>
              </w:rPr>
              <w:t>(4)</w:t>
            </w:r>
          </w:p>
        </w:tc>
        <w:tc>
          <w:tcPr>
            <w:tcW w:w="868" w:type="dxa"/>
            <w:tcBorders>
              <w:top w:val="single" w:sz="4" w:space="0" w:color="auto"/>
            </w:tcBorders>
            <w:vAlign w:val="center"/>
          </w:tcPr>
          <w:p w14:paraId="5441919A" w14:textId="77777777" w:rsidR="004515FC" w:rsidRPr="00D04088" w:rsidRDefault="004515FC" w:rsidP="0029161D">
            <w:pPr>
              <w:spacing w:before="20" w:after="20"/>
              <w:jc w:val="right"/>
              <w:rPr>
                <w:noProof/>
                <w:sz w:val="20"/>
              </w:rPr>
            </w:pPr>
          </w:p>
        </w:tc>
        <w:tc>
          <w:tcPr>
            <w:tcW w:w="868" w:type="dxa"/>
            <w:tcBorders>
              <w:top w:val="single" w:sz="4" w:space="0" w:color="auto"/>
            </w:tcBorders>
            <w:vAlign w:val="center"/>
          </w:tcPr>
          <w:p w14:paraId="727BB216" w14:textId="77777777" w:rsidR="004515FC" w:rsidRPr="00D04088" w:rsidRDefault="004515FC" w:rsidP="0029161D">
            <w:pPr>
              <w:spacing w:before="20" w:after="20"/>
              <w:jc w:val="right"/>
              <w:rPr>
                <w:noProof/>
                <w:sz w:val="20"/>
              </w:rPr>
            </w:pPr>
          </w:p>
        </w:tc>
        <w:tc>
          <w:tcPr>
            <w:tcW w:w="868" w:type="dxa"/>
            <w:tcBorders>
              <w:top w:val="single" w:sz="4" w:space="0" w:color="auto"/>
            </w:tcBorders>
            <w:vAlign w:val="center"/>
          </w:tcPr>
          <w:p w14:paraId="0E6BDA79" w14:textId="77777777" w:rsidR="004515FC" w:rsidRPr="00D04088" w:rsidRDefault="004515FC" w:rsidP="0029161D">
            <w:pPr>
              <w:spacing w:before="20" w:after="20"/>
              <w:jc w:val="right"/>
              <w:rPr>
                <w:noProof/>
                <w:sz w:val="20"/>
              </w:rPr>
            </w:pPr>
          </w:p>
        </w:tc>
        <w:tc>
          <w:tcPr>
            <w:tcW w:w="868" w:type="dxa"/>
            <w:tcBorders>
              <w:top w:val="single" w:sz="4" w:space="0" w:color="auto"/>
            </w:tcBorders>
            <w:vAlign w:val="center"/>
          </w:tcPr>
          <w:p w14:paraId="5AA91DC3" w14:textId="77777777" w:rsidR="004515FC" w:rsidRPr="00D04088" w:rsidRDefault="004515FC" w:rsidP="0029161D">
            <w:pPr>
              <w:spacing w:before="20" w:after="20"/>
              <w:jc w:val="right"/>
              <w:rPr>
                <w:noProof/>
                <w:sz w:val="20"/>
              </w:rPr>
            </w:pPr>
          </w:p>
        </w:tc>
        <w:tc>
          <w:tcPr>
            <w:tcW w:w="868" w:type="dxa"/>
            <w:tcBorders>
              <w:top w:val="single" w:sz="4" w:space="0" w:color="auto"/>
            </w:tcBorders>
            <w:vAlign w:val="center"/>
          </w:tcPr>
          <w:p w14:paraId="24E79875" w14:textId="77777777" w:rsidR="004515FC" w:rsidRPr="00D04088" w:rsidRDefault="004515FC" w:rsidP="0029161D">
            <w:pPr>
              <w:spacing w:before="20" w:after="20"/>
              <w:jc w:val="right"/>
              <w:rPr>
                <w:noProof/>
                <w:sz w:val="20"/>
              </w:rPr>
            </w:pPr>
          </w:p>
        </w:tc>
        <w:tc>
          <w:tcPr>
            <w:tcW w:w="868" w:type="dxa"/>
            <w:tcBorders>
              <w:top w:val="single" w:sz="4" w:space="0" w:color="auto"/>
            </w:tcBorders>
            <w:vAlign w:val="center"/>
          </w:tcPr>
          <w:p w14:paraId="63D09971" w14:textId="77777777" w:rsidR="004515FC" w:rsidRPr="00D04088" w:rsidRDefault="004515FC" w:rsidP="0029161D">
            <w:pPr>
              <w:spacing w:before="20" w:after="20"/>
              <w:jc w:val="right"/>
              <w:rPr>
                <w:noProof/>
                <w:sz w:val="20"/>
              </w:rPr>
            </w:pPr>
          </w:p>
        </w:tc>
        <w:tc>
          <w:tcPr>
            <w:tcW w:w="868" w:type="dxa"/>
            <w:tcBorders>
              <w:top w:val="single" w:sz="4" w:space="0" w:color="auto"/>
            </w:tcBorders>
            <w:vAlign w:val="center"/>
          </w:tcPr>
          <w:p w14:paraId="549B7531" w14:textId="77777777" w:rsidR="004515FC" w:rsidRPr="00D04088" w:rsidRDefault="004515FC" w:rsidP="0029161D">
            <w:pPr>
              <w:spacing w:before="20" w:after="20"/>
              <w:jc w:val="right"/>
              <w:rPr>
                <w:b/>
                <w:noProof/>
                <w:sz w:val="20"/>
              </w:rPr>
            </w:pPr>
          </w:p>
        </w:tc>
        <w:tc>
          <w:tcPr>
            <w:tcW w:w="1777" w:type="dxa"/>
            <w:tcBorders>
              <w:top w:val="single" w:sz="4" w:space="0" w:color="auto"/>
              <w:right w:val="single" w:sz="4" w:space="0" w:color="auto"/>
            </w:tcBorders>
            <w:vAlign w:val="center"/>
          </w:tcPr>
          <w:p w14:paraId="6AEBBD47" w14:textId="77777777" w:rsidR="004515FC" w:rsidRPr="00D04088" w:rsidRDefault="004515FC" w:rsidP="0029161D">
            <w:pPr>
              <w:spacing w:before="20" w:after="20"/>
              <w:jc w:val="right"/>
              <w:rPr>
                <w:b/>
                <w:noProof/>
                <w:sz w:val="20"/>
              </w:rPr>
            </w:pPr>
          </w:p>
        </w:tc>
      </w:tr>
      <w:tr w:rsidR="003C6DC3" w:rsidRPr="00D04088" w14:paraId="445CA6CE" w14:textId="77777777">
        <w:tc>
          <w:tcPr>
            <w:tcW w:w="3960" w:type="dxa"/>
            <w:vMerge/>
            <w:tcBorders>
              <w:top w:val="single" w:sz="4" w:space="0" w:color="FF0000"/>
              <w:left w:val="single" w:sz="4" w:space="0" w:color="auto"/>
              <w:bottom w:val="single" w:sz="4" w:space="0" w:color="FF0000"/>
            </w:tcBorders>
          </w:tcPr>
          <w:p w14:paraId="7331A01C" w14:textId="77777777" w:rsidR="004515FC" w:rsidRPr="00D04088" w:rsidRDefault="004515FC" w:rsidP="0029161D">
            <w:pPr>
              <w:jc w:val="center"/>
              <w:rPr>
                <w:noProof/>
                <w:sz w:val="20"/>
              </w:rPr>
            </w:pPr>
          </w:p>
        </w:tc>
        <w:tc>
          <w:tcPr>
            <w:tcW w:w="1440" w:type="dxa"/>
            <w:vAlign w:val="center"/>
          </w:tcPr>
          <w:p w14:paraId="51D855AC" w14:textId="77777777" w:rsidR="004515FC" w:rsidRPr="00D04088" w:rsidRDefault="004515FC" w:rsidP="0029161D">
            <w:pPr>
              <w:spacing w:beforeLines="20" w:before="48" w:afterLines="20" w:after="48"/>
              <w:rPr>
                <w:noProof/>
                <w:sz w:val="18"/>
              </w:rPr>
            </w:pPr>
            <w:r w:rsidRPr="00D04088">
              <w:rPr>
                <w:noProof/>
                <w:sz w:val="18"/>
              </w:rPr>
              <w:t>Pagamenti</w:t>
            </w:r>
          </w:p>
        </w:tc>
        <w:tc>
          <w:tcPr>
            <w:tcW w:w="654" w:type="dxa"/>
            <w:vAlign w:val="center"/>
          </w:tcPr>
          <w:p w14:paraId="735B78EE" w14:textId="77777777" w:rsidR="004515FC" w:rsidRPr="00D04088" w:rsidRDefault="004515FC" w:rsidP="0029161D">
            <w:pPr>
              <w:spacing w:beforeLines="20" w:before="48" w:afterLines="20" w:after="48"/>
              <w:jc w:val="center"/>
              <w:rPr>
                <w:noProof/>
                <w:sz w:val="14"/>
              </w:rPr>
            </w:pPr>
            <w:r w:rsidRPr="00D04088">
              <w:rPr>
                <w:noProof/>
                <w:sz w:val="14"/>
              </w:rPr>
              <w:t>(5)</w:t>
            </w:r>
          </w:p>
        </w:tc>
        <w:tc>
          <w:tcPr>
            <w:tcW w:w="868" w:type="dxa"/>
            <w:vAlign w:val="center"/>
          </w:tcPr>
          <w:p w14:paraId="173B2D50" w14:textId="77777777" w:rsidR="004515FC" w:rsidRPr="00D04088" w:rsidRDefault="004515FC" w:rsidP="0029161D">
            <w:pPr>
              <w:spacing w:before="20" w:after="20"/>
              <w:jc w:val="right"/>
              <w:rPr>
                <w:noProof/>
                <w:sz w:val="20"/>
              </w:rPr>
            </w:pPr>
          </w:p>
        </w:tc>
        <w:tc>
          <w:tcPr>
            <w:tcW w:w="868" w:type="dxa"/>
            <w:vAlign w:val="center"/>
          </w:tcPr>
          <w:p w14:paraId="54460A70" w14:textId="77777777" w:rsidR="004515FC" w:rsidRPr="00D04088" w:rsidRDefault="004515FC" w:rsidP="0029161D">
            <w:pPr>
              <w:spacing w:before="20" w:after="20"/>
              <w:jc w:val="right"/>
              <w:rPr>
                <w:noProof/>
                <w:sz w:val="20"/>
              </w:rPr>
            </w:pPr>
          </w:p>
        </w:tc>
        <w:tc>
          <w:tcPr>
            <w:tcW w:w="868" w:type="dxa"/>
            <w:vAlign w:val="center"/>
          </w:tcPr>
          <w:p w14:paraId="1E0B4341" w14:textId="77777777" w:rsidR="004515FC" w:rsidRPr="00D04088" w:rsidRDefault="004515FC" w:rsidP="0029161D">
            <w:pPr>
              <w:spacing w:before="20" w:after="20"/>
              <w:jc w:val="right"/>
              <w:rPr>
                <w:noProof/>
                <w:sz w:val="20"/>
              </w:rPr>
            </w:pPr>
          </w:p>
        </w:tc>
        <w:tc>
          <w:tcPr>
            <w:tcW w:w="868" w:type="dxa"/>
            <w:vAlign w:val="center"/>
          </w:tcPr>
          <w:p w14:paraId="311FE2EA" w14:textId="77777777" w:rsidR="004515FC" w:rsidRPr="00D04088" w:rsidRDefault="004515FC" w:rsidP="0029161D">
            <w:pPr>
              <w:spacing w:before="20" w:after="20"/>
              <w:jc w:val="right"/>
              <w:rPr>
                <w:noProof/>
                <w:sz w:val="20"/>
              </w:rPr>
            </w:pPr>
          </w:p>
        </w:tc>
        <w:tc>
          <w:tcPr>
            <w:tcW w:w="868" w:type="dxa"/>
            <w:vAlign w:val="center"/>
          </w:tcPr>
          <w:p w14:paraId="2F50FDBB" w14:textId="77777777" w:rsidR="004515FC" w:rsidRPr="00D04088" w:rsidRDefault="004515FC" w:rsidP="0029161D">
            <w:pPr>
              <w:spacing w:before="20" w:after="20"/>
              <w:jc w:val="right"/>
              <w:rPr>
                <w:noProof/>
                <w:sz w:val="20"/>
              </w:rPr>
            </w:pPr>
          </w:p>
        </w:tc>
        <w:tc>
          <w:tcPr>
            <w:tcW w:w="868" w:type="dxa"/>
            <w:vAlign w:val="center"/>
          </w:tcPr>
          <w:p w14:paraId="5122B6CA" w14:textId="77777777" w:rsidR="004515FC" w:rsidRPr="00D04088" w:rsidRDefault="004515FC" w:rsidP="0029161D">
            <w:pPr>
              <w:spacing w:before="20" w:after="20"/>
              <w:jc w:val="right"/>
              <w:rPr>
                <w:noProof/>
                <w:sz w:val="20"/>
              </w:rPr>
            </w:pPr>
          </w:p>
        </w:tc>
        <w:tc>
          <w:tcPr>
            <w:tcW w:w="868" w:type="dxa"/>
            <w:vAlign w:val="center"/>
          </w:tcPr>
          <w:p w14:paraId="3BCB44A4" w14:textId="77777777" w:rsidR="004515FC" w:rsidRPr="00D04088" w:rsidRDefault="004515FC" w:rsidP="0029161D">
            <w:pPr>
              <w:spacing w:before="20" w:after="20"/>
              <w:jc w:val="right"/>
              <w:rPr>
                <w:b/>
                <w:noProof/>
                <w:sz w:val="20"/>
              </w:rPr>
            </w:pPr>
          </w:p>
        </w:tc>
        <w:tc>
          <w:tcPr>
            <w:tcW w:w="1777" w:type="dxa"/>
            <w:tcBorders>
              <w:right w:val="single" w:sz="4" w:space="0" w:color="auto"/>
            </w:tcBorders>
            <w:vAlign w:val="center"/>
          </w:tcPr>
          <w:p w14:paraId="00151894" w14:textId="77777777" w:rsidR="004515FC" w:rsidRPr="00D04088" w:rsidRDefault="004515FC" w:rsidP="0029161D">
            <w:pPr>
              <w:spacing w:before="20" w:after="20"/>
              <w:jc w:val="right"/>
              <w:rPr>
                <w:b/>
                <w:noProof/>
                <w:sz w:val="20"/>
              </w:rPr>
            </w:pPr>
          </w:p>
        </w:tc>
      </w:tr>
      <w:tr w:rsidR="00DB3050" w:rsidRPr="00D04088" w14:paraId="19D575E8" w14:textId="7777777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3177F9CA" w14:textId="77777777" w:rsidR="004515FC" w:rsidRPr="00D04088" w:rsidRDefault="004515FC" w:rsidP="0029161D">
            <w:pPr>
              <w:spacing w:beforeLines="20" w:before="48" w:afterLines="20" w:after="48"/>
              <w:rPr>
                <w:noProof/>
              </w:rPr>
            </w:pPr>
            <w:r w:rsidRPr="00D04088">
              <w:rPr>
                <w:noProof/>
                <w:sz w:val="21"/>
              </w:rPr>
              <w:t xml:space="preserve"> TOTAL tal-approprjazzjonijiet ta’ natura amministrattiva ffinanzjati mill-pakkett għal programmi speċifiċi (l-intestaturi operazzjonali kollha)</w:t>
            </w:r>
          </w:p>
        </w:tc>
        <w:tc>
          <w:tcPr>
            <w:tcW w:w="654" w:type="dxa"/>
            <w:vAlign w:val="center"/>
          </w:tcPr>
          <w:p w14:paraId="62B69066" w14:textId="77777777" w:rsidR="004515FC" w:rsidRPr="00D04088" w:rsidRDefault="004515FC" w:rsidP="0029161D">
            <w:pPr>
              <w:rPr>
                <w:noProof/>
              </w:rPr>
            </w:pPr>
          </w:p>
          <w:p w14:paraId="10CE86FA" w14:textId="77777777" w:rsidR="004515FC" w:rsidRPr="00D04088" w:rsidRDefault="004515FC" w:rsidP="0029161D">
            <w:pPr>
              <w:spacing w:beforeLines="20" w:before="48" w:afterLines="20" w:after="48"/>
              <w:jc w:val="center"/>
              <w:rPr>
                <w:noProof/>
                <w:sz w:val="14"/>
              </w:rPr>
            </w:pPr>
            <w:r w:rsidRPr="00D04088">
              <w:rPr>
                <w:noProof/>
                <w:sz w:val="14"/>
              </w:rPr>
              <w:t>(6)</w:t>
            </w:r>
          </w:p>
        </w:tc>
        <w:tc>
          <w:tcPr>
            <w:tcW w:w="868" w:type="dxa"/>
            <w:vAlign w:val="center"/>
          </w:tcPr>
          <w:p w14:paraId="5E1CEA34" w14:textId="77777777" w:rsidR="004515FC" w:rsidRPr="00D04088" w:rsidRDefault="004515FC" w:rsidP="0029161D">
            <w:pPr>
              <w:spacing w:before="20" w:after="20"/>
              <w:jc w:val="right"/>
              <w:rPr>
                <w:b/>
                <w:noProof/>
                <w:sz w:val="20"/>
              </w:rPr>
            </w:pPr>
          </w:p>
        </w:tc>
        <w:tc>
          <w:tcPr>
            <w:tcW w:w="868" w:type="dxa"/>
            <w:vAlign w:val="center"/>
          </w:tcPr>
          <w:p w14:paraId="1651AE60" w14:textId="77777777" w:rsidR="004515FC" w:rsidRPr="00D04088" w:rsidRDefault="004515FC" w:rsidP="0029161D">
            <w:pPr>
              <w:spacing w:before="20" w:after="20"/>
              <w:jc w:val="right"/>
              <w:rPr>
                <w:b/>
                <w:noProof/>
                <w:sz w:val="20"/>
              </w:rPr>
            </w:pPr>
          </w:p>
        </w:tc>
        <w:tc>
          <w:tcPr>
            <w:tcW w:w="868" w:type="dxa"/>
            <w:vAlign w:val="center"/>
          </w:tcPr>
          <w:p w14:paraId="569B586A" w14:textId="77777777" w:rsidR="004515FC" w:rsidRPr="00D04088" w:rsidRDefault="004515FC" w:rsidP="0029161D">
            <w:pPr>
              <w:spacing w:before="20" w:after="20"/>
              <w:jc w:val="right"/>
              <w:rPr>
                <w:b/>
                <w:noProof/>
                <w:sz w:val="20"/>
              </w:rPr>
            </w:pPr>
          </w:p>
        </w:tc>
        <w:tc>
          <w:tcPr>
            <w:tcW w:w="868" w:type="dxa"/>
            <w:vAlign w:val="center"/>
          </w:tcPr>
          <w:p w14:paraId="209BB58C" w14:textId="77777777" w:rsidR="004515FC" w:rsidRPr="00D04088" w:rsidRDefault="004515FC" w:rsidP="0029161D">
            <w:pPr>
              <w:spacing w:before="20" w:after="20"/>
              <w:jc w:val="right"/>
              <w:rPr>
                <w:b/>
                <w:noProof/>
                <w:sz w:val="20"/>
              </w:rPr>
            </w:pPr>
          </w:p>
        </w:tc>
        <w:tc>
          <w:tcPr>
            <w:tcW w:w="868" w:type="dxa"/>
            <w:vAlign w:val="center"/>
          </w:tcPr>
          <w:p w14:paraId="109089F0" w14:textId="77777777" w:rsidR="004515FC" w:rsidRPr="00D04088" w:rsidRDefault="004515FC" w:rsidP="0029161D">
            <w:pPr>
              <w:spacing w:before="20" w:after="20"/>
              <w:jc w:val="right"/>
              <w:rPr>
                <w:b/>
                <w:noProof/>
                <w:sz w:val="20"/>
              </w:rPr>
            </w:pPr>
          </w:p>
        </w:tc>
        <w:tc>
          <w:tcPr>
            <w:tcW w:w="868" w:type="dxa"/>
            <w:vAlign w:val="center"/>
          </w:tcPr>
          <w:p w14:paraId="14087A02" w14:textId="77777777" w:rsidR="004515FC" w:rsidRPr="00D04088" w:rsidRDefault="004515FC" w:rsidP="0029161D">
            <w:pPr>
              <w:spacing w:before="20" w:after="20"/>
              <w:jc w:val="right"/>
              <w:rPr>
                <w:b/>
                <w:noProof/>
                <w:sz w:val="20"/>
              </w:rPr>
            </w:pPr>
          </w:p>
        </w:tc>
        <w:tc>
          <w:tcPr>
            <w:tcW w:w="868" w:type="dxa"/>
            <w:vAlign w:val="center"/>
          </w:tcPr>
          <w:p w14:paraId="243D4C96" w14:textId="77777777" w:rsidR="004515FC" w:rsidRPr="00D04088" w:rsidRDefault="004515FC" w:rsidP="0029161D">
            <w:pPr>
              <w:spacing w:before="20" w:after="20"/>
              <w:jc w:val="right"/>
              <w:rPr>
                <w:b/>
                <w:noProof/>
                <w:sz w:val="20"/>
              </w:rPr>
            </w:pPr>
          </w:p>
        </w:tc>
        <w:tc>
          <w:tcPr>
            <w:tcW w:w="1777" w:type="dxa"/>
            <w:vAlign w:val="center"/>
          </w:tcPr>
          <w:p w14:paraId="5EAFD043" w14:textId="77777777" w:rsidR="004515FC" w:rsidRPr="00D04088" w:rsidRDefault="004515FC" w:rsidP="0029161D">
            <w:pPr>
              <w:spacing w:before="20" w:after="20"/>
              <w:jc w:val="right"/>
              <w:rPr>
                <w:b/>
                <w:noProof/>
                <w:sz w:val="20"/>
              </w:rPr>
            </w:pPr>
          </w:p>
        </w:tc>
      </w:tr>
      <w:tr w:rsidR="00291B69" w:rsidRPr="00D04088" w14:paraId="78973F91" w14:textId="77777777">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D18F769" w14:textId="77777777" w:rsidR="004515FC" w:rsidRPr="00D04088" w:rsidRDefault="004515FC" w:rsidP="0029161D">
            <w:pPr>
              <w:jc w:val="center"/>
              <w:rPr>
                <w:b/>
                <w:noProof/>
              </w:rPr>
            </w:pPr>
            <w:r w:rsidRPr="00D04088">
              <w:rPr>
                <w:b/>
                <w:noProof/>
                <w:sz w:val="22"/>
              </w:rPr>
              <w:t xml:space="preserve">TOTAL tal-approprjazzjonijiet </w:t>
            </w:r>
            <w:r w:rsidRPr="00D04088">
              <w:rPr>
                <w:noProof/>
              </w:rPr>
              <w:t xml:space="preserve"> </w:t>
            </w:r>
            <w:r w:rsidRPr="00D04088">
              <w:rPr>
                <w:noProof/>
              </w:rPr>
              <w:cr/>
            </w:r>
            <w:r w:rsidRPr="00D04088">
              <w:rPr>
                <w:noProof/>
              </w:rPr>
              <w:br/>
            </w:r>
            <w:r w:rsidRPr="00D04088">
              <w:rPr>
                <w:b/>
                <w:noProof/>
                <w:sz w:val="22"/>
              </w:rPr>
              <w:t>taħt l-INTESTATURI minn 1 sa 6</w:t>
            </w:r>
            <w:r w:rsidRPr="00D04088">
              <w:rPr>
                <w:noProof/>
              </w:rPr>
              <w:t xml:space="preserve"> </w:t>
            </w:r>
            <w:r w:rsidRPr="00D04088">
              <w:rPr>
                <w:noProof/>
              </w:rPr>
              <w:cr/>
            </w:r>
            <w:r w:rsidRPr="00D04088">
              <w:rPr>
                <w:noProof/>
              </w:rPr>
              <w:br/>
            </w:r>
            <w:r w:rsidRPr="00D04088">
              <w:rPr>
                <w:noProof/>
                <w:sz w:val="22"/>
              </w:rPr>
              <w:t>tal-qafas finanzjarju pluriennali</w:t>
            </w:r>
            <w:r w:rsidRPr="00D04088">
              <w:rPr>
                <w:noProof/>
              </w:rPr>
              <w:t xml:space="preserve"> </w:t>
            </w:r>
            <w:r w:rsidRPr="00D04088">
              <w:rPr>
                <w:noProof/>
              </w:rPr>
              <w:cr/>
            </w:r>
            <w:r w:rsidRPr="00D04088">
              <w:rPr>
                <w:noProof/>
              </w:rPr>
              <w:br/>
            </w:r>
            <w:r w:rsidRPr="00D04088">
              <w:rPr>
                <w:noProof/>
                <w:sz w:val="20"/>
              </w:rPr>
              <w:t>(Ammont ta’ referenza)</w:t>
            </w:r>
          </w:p>
        </w:tc>
        <w:tc>
          <w:tcPr>
            <w:tcW w:w="1440" w:type="dxa"/>
            <w:vAlign w:val="center"/>
          </w:tcPr>
          <w:p w14:paraId="31D83E7A" w14:textId="77777777" w:rsidR="004515FC" w:rsidRPr="00D04088" w:rsidRDefault="004515FC" w:rsidP="0029161D">
            <w:pPr>
              <w:rPr>
                <w:noProof/>
                <w:sz w:val="18"/>
              </w:rPr>
            </w:pPr>
            <w:r w:rsidRPr="00D04088">
              <w:rPr>
                <w:noProof/>
                <w:sz w:val="18"/>
              </w:rPr>
              <w:t>Impenji</w:t>
            </w:r>
          </w:p>
        </w:tc>
        <w:tc>
          <w:tcPr>
            <w:tcW w:w="654" w:type="dxa"/>
            <w:vAlign w:val="center"/>
          </w:tcPr>
          <w:p w14:paraId="4FE1A529" w14:textId="77777777" w:rsidR="004515FC" w:rsidRPr="00D04088" w:rsidRDefault="004515FC" w:rsidP="0029161D">
            <w:pPr>
              <w:jc w:val="center"/>
              <w:rPr>
                <w:noProof/>
                <w:sz w:val="14"/>
              </w:rPr>
            </w:pPr>
            <w:r w:rsidRPr="00D04088">
              <w:rPr>
                <w:noProof/>
                <w:sz w:val="14"/>
              </w:rPr>
              <w:t>=4+ 6</w:t>
            </w:r>
          </w:p>
        </w:tc>
        <w:tc>
          <w:tcPr>
            <w:tcW w:w="868" w:type="dxa"/>
            <w:vAlign w:val="center"/>
          </w:tcPr>
          <w:p w14:paraId="1E8A03BE" w14:textId="77777777" w:rsidR="004515FC" w:rsidRPr="00D04088" w:rsidRDefault="004515FC" w:rsidP="0029161D">
            <w:pPr>
              <w:spacing w:before="20" w:after="20"/>
              <w:jc w:val="right"/>
              <w:rPr>
                <w:noProof/>
                <w:sz w:val="20"/>
              </w:rPr>
            </w:pPr>
          </w:p>
        </w:tc>
        <w:tc>
          <w:tcPr>
            <w:tcW w:w="868" w:type="dxa"/>
            <w:vAlign w:val="center"/>
          </w:tcPr>
          <w:p w14:paraId="2FBE4E71" w14:textId="77777777" w:rsidR="004515FC" w:rsidRPr="00D04088" w:rsidRDefault="004515FC" w:rsidP="0029161D">
            <w:pPr>
              <w:spacing w:before="20" w:after="20"/>
              <w:jc w:val="right"/>
              <w:rPr>
                <w:noProof/>
                <w:sz w:val="20"/>
              </w:rPr>
            </w:pPr>
          </w:p>
        </w:tc>
        <w:tc>
          <w:tcPr>
            <w:tcW w:w="868" w:type="dxa"/>
            <w:vAlign w:val="center"/>
          </w:tcPr>
          <w:p w14:paraId="32D4044B" w14:textId="77777777" w:rsidR="004515FC" w:rsidRPr="00D04088" w:rsidRDefault="004515FC" w:rsidP="0029161D">
            <w:pPr>
              <w:spacing w:before="20" w:after="20"/>
              <w:jc w:val="right"/>
              <w:rPr>
                <w:noProof/>
                <w:sz w:val="20"/>
              </w:rPr>
            </w:pPr>
          </w:p>
        </w:tc>
        <w:tc>
          <w:tcPr>
            <w:tcW w:w="868" w:type="dxa"/>
            <w:vAlign w:val="center"/>
          </w:tcPr>
          <w:p w14:paraId="0AB5706A" w14:textId="77777777" w:rsidR="004515FC" w:rsidRPr="00D04088" w:rsidRDefault="004515FC" w:rsidP="0029161D">
            <w:pPr>
              <w:spacing w:before="20" w:after="20"/>
              <w:jc w:val="right"/>
              <w:rPr>
                <w:noProof/>
                <w:sz w:val="20"/>
              </w:rPr>
            </w:pPr>
          </w:p>
        </w:tc>
        <w:tc>
          <w:tcPr>
            <w:tcW w:w="868" w:type="dxa"/>
            <w:vAlign w:val="center"/>
          </w:tcPr>
          <w:p w14:paraId="6DA64AB4" w14:textId="77777777" w:rsidR="004515FC" w:rsidRPr="00D04088" w:rsidRDefault="004515FC" w:rsidP="0029161D">
            <w:pPr>
              <w:spacing w:before="20" w:after="20"/>
              <w:jc w:val="right"/>
              <w:rPr>
                <w:noProof/>
                <w:sz w:val="20"/>
              </w:rPr>
            </w:pPr>
          </w:p>
        </w:tc>
        <w:tc>
          <w:tcPr>
            <w:tcW w:w="868" w:type="dxa"/>
            <w:vAlign w:val="center"/>
          </w:tcPr>
          <w:p w14:paraId="1F8CBE13" w14:textId="77777777" w:rsidR="004515FC" w:rsidRPr="00D04088" w:rsidRDefault="004515FC" w:rsidP="0029161D">
            <w:pPr>
              <w:spacing w:before="20" w:after="20"/>
              <w:jc w:val="right"/>
              <w:rPr>
                <w:noProof/>
                <w:sz w:val="20"/>
              </w:rPr>
            </w:pPr>
          </w:p>
        </w:tc>
        <w:tc>
          <w:tcPr>
            <w:tcW w:w="868" w:type="dxa"/>
            <w:vAlign w:val="center"/>
          </w:tcPr>
          <w:p w14:paraId="75649AEB" w14:textId="77777777" w:rsidR="004515FC" w:rsidRPr="00D04088" w:rsidRDefault="004515FC" w:rsidP="0029161D">
            <w:pPr>
              <w:spacing w:before="20" w:after="20"/>
              <w:jc w:val="right"/>
              <w:rPr>
                <w:b/>
                <w:noProof/>
                <w:sz w:val="20"/>
              </w:rPr>
            </w:pPr>
          </w:p>
        </w:tc>
        <w:tc>
          <w:tcPr>
            <w:tcW w:w="1777" w:type="dxa"/>
            <w:tcBorders>
              <w:right w:val="single" w:sz="4" w:space="0" w:color="auto"/>
            </w:tcBorders>
            <w:vAlign w:val="center"/>
          </w:tcPr>
          <w:p w14:paraId="2F98162B" w14:textId="77777777" w:rsidR="004515FC" w:rsidRPr="00D04088" w:rsidRDefault="004515FC" w:rsidP="0029161D">
            <w:pPr>
              <w:spacing w:before="20" w:after="20"/>
              <w:jc w:val="right"/>
              <w:rPr>
                <w:b/>
                <w:noProof/>
                <w:sz w:val="20"/>
              </w:rPr>
            </w:pPr>
          </w:p>
        </w:tc>
      </w:tr>
      <w:tr w:rsidR="00291B69" w:rsidRPr="00D04088" w14:paraId="0B3C05E9" w14:textId="77777777">
        <w:tc>
          <w:tcPr>
            <w:tcW w:w="3960" w:type="dxa"/>
            <w:vMerge/>
            <w:tcBorders>
              <w:top w:val="single" w:sz="4" w:space="0" w:color="FF0000"/>
              <w:left w:val="single" w:sz="4" w:space="0" w:color="auto"/>
              <w:bottom w:val="single" w:sz="4" w:space="0" w:color="auto"/>
            </w:tcBorders>
            <w:shd w:val="thinDiagStripe" w:color="C0C0C0" w:fill="auto"/>
          </w:tcPr>
          <w:p w14:paraId="5D6E969C" w14:textId="77777777" w:rsidR="004515FC" w:rsidRPr="00D04088" w:rsidRDefault="004515FC" w:rsidP="0029161D">
            <w:pPr>
              <w:rPr>
                <w:noProof/>
                <w:sz w:val="20"/>
              </w:rPr>
            </w:pPr>
          </w:p>
        </w:tc>
        <w:tc>
          <w:tcPr>
            <w:tcW w:w="1440" w:type="dxa"/>
            <w:tcBorders>
              <w:bottom w:val="single" w:sz="4" w:space="0" w:color="auto"/>
            </w:tcBorders>
            <w:vAlign w:val="center"/>
          </w:tcPr>
          <w:p w14:paraId="7694BF1A" w14:textId="77777777" w:rsidR="004515FC" w:rsidRPr="00D04088" w:rsidRDefault="004515FC" w:rsidP="0029161D">
            <w:pPr>
              <w:rPr>
                <w:noProof/>
                <w:sz w:val="18"/>
              </w:rPr>
            </w:pPr>
            <w:r w:rsidRPr="00D04088">
              <w:rPr>
                <w:noProof/>
                <w:sz w:val="18"/>
              </w:rPr>
              <w:t>Pagamenti</w:t>
            </w:r>
          </w:p>
        </w:tc>
        <w:tc>
          <w:tcPr>
            <w:tcW w:w="654" w:type="dxa"/>
            <w:tcBorders>
              <w:bottom w:val="single" w:sz="4" w:space="0" w:color="auto"/>
            </w:tcBorders>
            <w:vAlign w:val="center"/>
          </w:tcPr>
          <w:p w14:paraId="43743FE2" w14:textId="77777777" w:rsidR="004515FC" w:rsidRPr="00D04088" w:rsidRDefault="004515FC" w:rsidP="0029161D">
            <w:pPr>
              <w:jc w:val="center"/>
              <w:rPr>
                <w:noProof/>
                <w:sz w:val="14"/>
              </w:rPr>
            </w:pPr>
            <w:r w:rsidRPr="00D04088">
              <w:rPr>
                <w:noProof/>
                <w:sz w:val="14"/>
              </w:rPr>
              <w:t>=5+ 6</w:t>
            </w:r>
          </w:p>
        </w:tc>
        <w:tc>
          <w:tcPr>
            <w:tcW w:w="868" w:type="dxa"/>
            <w:tcBorders>
              <w:bottom w:val="single" w:sz="4" w:space="0" w:color="auto"/>
            </w:tcBorders>
            <w:vAlign w:val="center"/>
          </w:tcPr>
          <w:p w14:paraId="5DC38942" w14:textId="77777777" w:rsidR="004515FC" w:rsidRPr="00D04088" w:rsidRDefault="004515FC" w:rsidP="0029161D">
            <w:pPr>
              <w:spacing w:before="20" w:after="20"/>
              <w:jc w:val="right"/>
              <w:rPr>
                <w:noProof/>
                <w:sz w:val="20"/>
              </w:rPr>
            </w:pPr>
          </w:p>
        </w:tc>
        <w:tc>
          <w:tcPr>
            <w:tcW w:w="868" w:type="dxa"/>
            <w:tcBorders>
              <w:bottom w:val="single" w:sz="4" w:space="0" w:color="auto"/>
            </w:tcBorders>
            <w:vAlign w:val="center"/>
          </w:tcPr>
          <w:p w14:paraId="31757FBF" w14:textId="77777777" w:rsidR="004515FC" w:rsidRPr="00D04088" w:rsidRDefault="004515FC" w:rsidP="0029161D">
            <w:pPr>
              <w:spacing w:before="20" w:after="20"/>
              <w:jc w:val="right"/>
              <w:rPr>
                <w:noProof/>
                <w:sz w:val="20"/>
              </w:rPr>
            </w:pPr>
          </w:p>
        </w:tc>
        <w:tc>
          <w:tcPr>
            <w:tcW w:w="868" w:type="dxa"/>
            <w:tcBorders>
              <w:bottom w:val="single" w:sz="4" w:space="0" w:color="auto"/>
            </w:tcBorders>
            <w:vAlign w:val="center"/>
          </w:tcPr>
          <w:p w14:paraId="03B282E7" w14:textId="77777777" w:rsidR="004515FC" w:rsidRPr="00D04088" w:rsidRDefault="004515FC" w:rsidP="0029161D">
            <w:pPr>
              <w:spacing w:before="20" w:after="20"/>
              <w:jc w:val="right"/>
              <w:rPr>
                <w:noProof/>
                <w:sz w:val="20"/>
              </w:rPr>
            </w:pPr>
          </w:p>
        </w:tc>
        <w:tc>
          <w:tcPr>
            <w:tcW w:w="868" w:type="dxa"/>
            <w:tcBorders>
              <w:bottom w:val="single" w:sz="4" w:space="0" w:color="auto"/>
            </w:tcBorders>
            <w:vAlign w:val="center"/>
          </w:tcPr>
          <w:p w14:paraId="72549A74" w14:textId="77777777" w:rsidR="004515FC" w:rsidRPr="00D04088" w:rsidRDefault="004515FC" w:rsidP="0029161D">
            <w:pPr>
              <w:spacing w:before="20" w:after="20"/>
              <w:jc w:val="right"/>
              <w:rPr>
                <w:noProof/>
                <w:sz w:val="20"/>
              </w:rPr>
            </w:pPr>
          </w:p>
        </w:tc>
        <w:tc>
          <w:tcPr>
            <w:tcW w:w="868" w:type="dxa"/>
            <w:tcBorders>
              <w:bottom w:val="single" w:sz="4" w:space="0" w:color="auto"/>
            </w:tcBorders>
            <w:vAlign w:val="center"/>
          </w:tcPr>
          <w:p w14:paraId="32B6395F" w14:textId="77777777" w:rsidR="004515FC" w:rsidRPr="00D04088" w:rsidRDefault="004515FC" w:rsidP="0029161D">
            <w:pPr>
              <w:spacing w:before="20" w:after="20"/>
              <w:jc w:val="right"/>
              <w:rPr>
                <w:noProof/>
                <w:sz w:val="20"/>
              </w:rPr>
            </w:pPr>
          </w:p>
        </w:tc>
        <w:tc>
          <w:tcPr>
            <w:tcW w:w="868" w:type="dxa"/>
            <w:tcBorders>
              <w:bottom w:val="single" w:sz="4" w:space="0" w:color="auto"/>
            </w:tcBorders>
            <w:vAlign w:val="center"/>
          </w:tcPr>
          <w:p w14:paraId="13C3B447" w14:textId="77777777" w:rsidR="004515FC" w:rsidRPr="00D04088" w:rsidRDefault="004515FC" w:rsidP="0029161D">
            <w:pPr>
              <w:spacing w:before="20" w:after="20"/>
              <w:jc w:val="right"/>
              <w:rPr>
                <w:noProof/>
                <w:sz w:val="20"/>
              </w:rPr>
            </w:pPr>
          </w:p>
        </w:tc>
        <w:tc>
          <w:tcPr>
            <w:tcW w:w="868" w:type="dxa"/>
            <w:tcBorders>
              <w:bottom w:val="single" w:sz="4" w:space="0" w:color="auto"/>
            </w:tcBorders>
            <w:vAlign w:val="center"/>
          </w:tcPr>
          <w:p w14:paraId="55E7B533" w14:textId="77777777" w:rsidR="004515FC" w:rsidRPr="00D04088" w:rsidRDefault="004515FC" w:rsidP="0029161D">
            <w:pPr>
              <w:spacing w:before="20" w:after="20"/>
              <w:jc w:val="right"/>
              <w:rPr>
                <w:b/>
                <w:noProof/>
                <w:sz w:val="20"/>
              </w:rPr>
            </w:pPr>
          </w:p>
        </w:tc>
        <w:tc>
          <w:tcPr>
            <w:tcW w:w="1777" w:type="dxa"/>
            <w:tcBorders>
              <w:bottom w:val="single" w:sz="4" w:space="0" w:color="auto"/>
              <w:right w:val="single" w:sz="4" w:space="0" w:color="auto"/>
            </w:tcBorders>
            <w:vAlign w:val="center"/>
          </w:tcPr>
          <w:p w14:paraId="351F4237" w14:textId="77777777" w:rsidR="004515FC" w:rsidRPr="00D04088" w:rsidRDefault="004515FC" w:rsidP="0029161D">
            <w:pPr>
              <w:spacing w:before="20" w:after="20"/>
              <w:jc w:val="right"/>
              <w:rPr>
                <w:b/>
                <w:noProof/>
                <w:sz w:val="20"/>
              </w:rPr>
            </w:pPr>
          </w:p>
        </w:tc>
      </w:tr>
    </w:tbl>
    <w:p w14:paraId="18BB6B87" w14:textId="77777777" w:rsidR="004515FC" w:rsidRPr="00D04088" w:rsidRDefault="004515FC" w:rsidP="004515FC">
      <w:pPr>
        <w:rPr>
          <w:noProof/>
        </w:rPr>
      </w:pPr>
    </w:p>
    <w:p w14:paraId="6918D024" w14:textId="77777777" w:rsidR="004515FC" w:rsidRPr="00D04088" w:rsidRDefault="004515FC" w:rsidP="004515FC">
      <w:pPr>
        <w:spacing w:before="0" w:after="0"/>
        <w:jc w:val="left"/>
        <w:rPr>
          <w:noProof/>
        </w:rPr>
      </w:pPr>
      <w:r w:rsidRPr="00D04088">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D04088" w14:paraId="3B620D32" w14:textId="77777777" w:rsidTr="0029161D">
        <w:trPr>
          <w:jc w:val="center"/>
        </w:trPr>
        <w:tc>
          <w:tcPr>
            <w:tcW w:w="4744" w:type="dxa"/>
            <w:shd w:val="thinDiagStripe" w:color="C0C0C0" w:fill="auto"/>
            <w:vAlign w:val="center"/>
          </w:tcPr>
          <w:p w14:paraId="77F5D475" w14:textId="77777777" w:rsidR="004515FC" w:rsidRPr="00D04088" w:rsidRDefault="004515FC" w:rsidP="0029161D">
            <w:pPr>
              <w:spacing w:before="60" w:after="60"/>
              <w:jc w:val="center"/>
              <w:rPr>
                <w:b/>
                <w:noProof/>
              </w:rPr>
            </w:pPr>
            <w:r w:rsidRPr="00D04088">
              <w:rPr>
                <w:noProof/>
              </w:rPr>
              <w:br w:type="page"/>
            </w:r>
            <w:r w:rsidRPr="00D04088">
              <w:rPr>
                <w:b/>
                <w:bCs/>
                <w:noProof/>
              </w:rPr>
              <w:t>Intestatura tal-qafas finanzjarju</w:t>
            </w:r>
            <w:r w:rsidRPr="00D04088">
              <w:rPr>
                <w:noProof/>
              </w:rPr>
              <w:t xml:space="preserve"> </w:t>
            </w:r>
            <w:r w:rsidRPr="00D04088">
              <w:rPr>
                <w:noProof/>
              </w:rPr>
              <w:cr/>
            </w:r>
            <w:r w:rsidRPr="00D04088">
              <w:rPr>
                <w:noProof/>
              </w:rPr>
              <w:br/>
            </w:r>
            <w:r w:rsidRPr="00D04088">
              <w:rPr>
                <w:b/>
                <w:bCs/>
                <w:noProof/>
              </w:rPr>
              <w:t>pluriennali</w:t>
            </w:r>
            <w:r w:rsidRPr="00D04088">
              <w:rPr>
                <w:b/>
                <w:noProof/>
                <w:sz w:val="22"/>
              </w:rPr>
              <w:t xml:space="preserve"> </w:t>
            </w:r>
          </w:p>
        </w:tc>
        <w:tc>
          <w:tcPr>
            <w:tcW w:w="1080" w:type="dxa"/>
            <w:shd w:val="thinDiagStripe" w:color="C0C0C0" w:fill="auto"/>
            <w:vAlign w:val="center"/>
          </w:tcPr>
          <w:p w14:paraId="2CE49579" w14:textId="77777777" w:rsidR="004515FC" w:rsidRPr="00D04088" w:rsidRDefault="004515FC" w:rsidP="0029161D">
            <w:pPr>
              <w:spacing w:before="60" w:after="60"/>
              <w:jc w:val="center"/>
              <w:rPr>
                <w:noProof/>
              </w:rPr>
            </w:pPr>
            <w:r w:rsidRPr="00D04088">
              <w:rPr>
                <w:b/>
                <w:noProof/>
                <w:sz w:val="22"/>
              </w:rPr>
              <w:t>7</w:t>
            </w:r>
          </w:p>
        </w:tc>
        <w:tc>
          <w:tcPr>
            <w:tcW w:w="7817" w:type="dxa"/>
            <w:vAlign w:val="center"/>
          </w:tcPr>
          <w:p w14:paraId="58471E4B" w14:textId="77777777" w:rsidR="004515FC" w:rsidRPr="00D04088" w:rsidRDefault="004515FC" w:rsidP="0029161D">
            <w:pPr>
              <w:spacing w:before="60" w:after="60"/>
              <w:rPr>
                <w:noProof/>
              </w:rPr>
            </w:pPr>
            <w:r w:rsidRPr="00D04088">
              <w:rPr>
                <w:noProof/>
                <w:sz w:val="22"/>
              </w:rPr>
              <w:t>“Nefqa amministrattiva”</w:t>
            </w:r>
          </w:p>
        </w:tc>
      </w:tr>
    </w:tbl>
    <w:p w14:paraId="3BA10ADC" w14:textId="77777777" w:rsidR="004515FC" w:rsidRPr="00D04088" w:rsidRDefault="004515FC" w:rsidP="004515FC">
      <w:pPr>
        <w:jc w:val="right"/>
        <w:rPr>
          <w:noProof/>
          <w:sz w:val="20"/>
        </w:rPr>
      </w:pPr>
      <w:r w:rsidRPr="00D04088">
        <w:rPr>
          <w:noProof/>
          <w:sz w:val="20"/>
        </w:rPr>
        <w:t>miljuni ta’ EUR (għal tliet pożizzjonijiet deċimali)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D04088" w14:paraId="17791E47" w14:textId="77777777">
        <w:tc>
          <w:tcPr>
            <w:tcW w:w="3960" w:type="dxa"/>
            <w:tcBorders>
              <w:top w:val="nil"/>
              <w:left w:val="nil"/>
              <w:right w:val="nil"/>
            </w:tcBorders>
            <w:vAlign w:val="center"/>
          </w:tcPr>
          <w:p w14:paraId="2C2A6FA4" w14:textId="77777777" w:rsidR="004515FC" w:rsidRPr="00D04088" w:rsidRDefault="004515FC" w:rsidP="0029161D">
            <w:pPr>
              <w:jc w:val="center"/>
              <w:rPr>
                <w:noProof/>
              </w:rPr>
            </w:pPr>
          </w:p>
        </w:tc>
        <w:tc>
          <w:tcPr>
            <w:tcW w:w="1560" w:type="dxa"/>
            <w:tcBorders>
              <w:top w:val="nil"/>
              <w:left w:val="nil"/>
              <w:right w:val="nil"/>
            </w:tcBorders>
          </w:tcPr>
          <w:p w14:paraId="7309B89F" w14:textId="77777777" w:rsidR="004515FC" w:rsidRPr="00D04088" w:rsidRDefault="004515FC" w:rsidP="0029161D">
            <w:pPr>
              <w:rPr>
                <w:noProof/>
                <w:sz w:val="20"/>
              </w:rPr>
            </w:pPr>
          </w:p>
        </w:tc>
        <w:tc>
          <w:tcPr>
            <w:tcW w:w="534" w:type="dxa"/>
            <w:tcBorders>
              <w:top w:val="nil"/>
              <w:left w:val="nil"/>
            </w:tcBorders>
          </w:tcPr>
          <w:p w14:paraId="56FCA7FE" w14:textId="77777777" w:rsidR="004515FC" w:rsidRPr="00D04088" w:rsidRDefault="004515FC" w:rsidP="0029161D">
            <w:pPr>
              <w:jc w:val="center"/>
              <w:rPr>
                <w:noProof/>
                <w:sz w:val="20"/>
              </w:rPr>
            </w:pPr>
          </w:p>
        </w:tc>
        <w:tc>
          <w:tcPr>
            <w:tcW w:w="868" w:type="dxa"/>
            <w:vAlign w:val="center"/>
          </w:tcPr>
          <w:p w14:paraId="35C59B68" w14:textId="77777777" w:rsidR="004515FC" w:rsidRPr="00D04088" w:rsidRDefault="004515FC" w:rsidP="0029161D">
            <w:pPr>
              <w:jc w:val="center"/>
              <w:rPr>
                <w:noProof/>
                <w:sz w:val="20"/>
              </w:rPr>
            </w:pPr>
            <w:r w:rsidRPr="00D04088">
              <w:rPr>
                <w:noProof/>
                <w:sz w:val="20"/>
              </w:rPr>
              <w:t>Sena</w:t>
            </w:r>
            <w:r w:rsidRPr="00D04088">
              <w:rPr>
                <w:noProof/>
              </w:rPr>
              <w:t xml:space="preserve"> </w:t>
            </w:r>
            <w:r w:rsidRPr="00D04088">
              <w:rPr>
                <w:noProof/>
              </w:rPr>
              <w:cr/>
            </w:r>
            <w:r w:rsidRPr="00D04088">
              <w:rPr>
                <w:noProof/>
              </w:rPr>
              <w:br/>
            </w:r>
            <w:r w:rsidRPr="00D04088">
              <w:rPr>
                <w:b/>
                <w:noProof/>
                <w:sz w:val="20"/>
              </w:rPr>
              <w:t>2026</w:t>
            </w:r>
          </w:p>
        </w:tc>
        <w:tc>
          <w:tcPr>
            <w:tcW w:w="868" w:type="dxa"/>
            <w:vAlign w:val="center"/>
          </w:tcPr>
          <w:p w14:paraId="78E7C057" w14:textId="77777777" w:rsidR="004515FC" w:rsidRPr="00D04088" w:rsidRDefault="004515FC" w:rsidP="0029161D">
            <w:pPr>
              <w:jc w:val="center"/>
              <w:rPr>
                <w:noProof/>
                <w:sz w:val="20"/>
              </w:rPr>
            </w:pPr>
            <w:r w:rsidRPr="00D04088">
              <w:rPr>
                <w:noProof/>
                <w:sz w:val="20"/>
              </w:rPr>
              <w:t>Sena</w:t>
            </w:r>
            <w:r w:rsidRPr="00D04088">
              <w:rPr>
                <w:noProof/>
              </w:rPr>
              <w:t xml:space="preserve"> </w:t>
            </w:r>
            <w:r w:rsidRPr="00D04088">
              <w:rPr>
                <w:noProof/>
              </w:rPr>
              <w:cr/>
            </w:r>
            <w:r w:rsidRPr="00D04088">
              <w:rPr>
                <w:noProof/>
              </w:rPr>
              <w:br/>
            </w:r>
            <w:r w:rsidRPr="00D04088">
              <w:rPr>
                <w:b/>
                <w:noProof/>
                <w:sz w:val="20"/>
              </w:rPr>
              <w:t>2027</w:t>
            </w:r>
          </w:p>
        </w:tc>
        <w:tc>
          <w:tcPr>
            <w:tcW w:w="1777" w:type="dxa"/>
            <w:vAlign w:val="center"/>
          </w:tcPr>
          <w:p w14:paraId="6DCAC875" w14:textId="77777777" w:rsidR="004515FC" w:rsidRPr="00D04088" w:rsidRDefault="004515FC" w:rsidP="0029161D">
            <w:pPr>
              <w:jc w:val="center"/>
              <w:rPr>
                <w:b/>
                <w:noProof/>
                <w:sz w:val="20"/>
              </w:rPr>
            </w:pPr>
            <w:r w:rsidRPr="00D04088">
              <w:rPr>
                <w:b/>
                <w:noProof/>
                <w:sz w:val="20"/>
              </w:rPr>
              <w:t>TOTAL (skont il-QFP kurrenti</w:t>
            </w:r>
            <w:r w:rsidRPr="00D04088">
              <w:rPr>
                <w:rStyle w:val="FootnoteReference0"/>
                <w:b/>
                <w:noProof/>
                <w:sz w:val="20"/>
              </w:rPr>
              <w:footnoteReference w:id="47"/>
            </w:r>
            <w:r w:rsidRPr="00D04088">
              <w:rPr>
                <w:b/>
                <w:noProof/>
                <w:sz w:val="20"/>
              </w:rPr>
              <w:t>)</w:t>
            </w:r>
          </w:p>
        </w:tc>
      </w:tr>
      <w:tr w:rsidR="00910369" w:rsidRPr="00D04088" w14:paraId="25558AC2" w14:textId="77777777">
        <w:trPr>
          <w:gridAfter w:val="5"/>
          <w:wAfter w:w="5607" w:type="dxa"/>
        </w:trPr>
        <w:tc>
          <w:tcPr>
            <w:tcW w:w="3960" w:type="dxa"/>
            <w:vAlign w:val="center"/>
          </w:tcPr>
          <w:p w14:paraId="1C8B4151" w14:textId="77777777" w:rsidR="004515FC" w:rsidRPr="00D04088" w:rsidRDefault="004515FC" w:rsidP="0029161D">
            <w:pPr>
              <w:spacing w:before="60" w:after="60"/>
              <w:jc w:val="center"/>
              <w:rPr>
                <w:noProof/>
              </w:rPr>
            </w:pPr>
            <w:r w:rsidRPr="00D04088">
              <w:rPr>
                <w:noProof/>
                <w:sz w:val="22"/>
              </w:rPr>
              <w:t>DĠ: JUST</w:t>
            </w:r>
          </w:p>
        </w:tc>
      </w:tr>
      <w:tr w:rsidR="00DB3050" w:rsidRPr="00D04088" w14:paraId="5E6D9C53" w14:textId="77777777">
        <w:trPr>
          <w:trHeight w:val="313"/>
        </w:trPr>
        <w:tc>
          <w:tcPr>
            <w:tcW w:w="6054" w:type="dxa"/>
            <w:gridSpan w:val="3"/>
            <w:vAlign w:val="center"/>
          </w:tcPr>
          <w:p w14:paraId="5DB8EF25" w14:textId="77777777" w:rsidR="004515FC" w:rsidRPr="00D04088" w:rsidRDefault="004515FC" w:rsidP="0029161D">
            <w:pPr>
              <w:spacing w:before="20" w:after="20"/>
              <w:rPr>
                <w:noProof/>
              </w:rPr>
            </w:pPr>
            <w:r w:rsidRPr="00D04088">
              <w:rPr>
                <w:rFonts w:ascii="Wingdings" w:hAnsi="Wingdings"/>
                <w:noProof/>
                <w:sz w:val="22"/>
              </w:rPr>
              <w:t>□</w:t>
            </w:r>
            <w:r w:rsidRPr="00D04088">
              <w:rPr>
                <w:noProof/>
              </w:rPr>
              <w:t xml:space="preserve"> Riżorsi umani</w:t>
            </w:r>
            <w:r w:rsidRPr="00D04088">
              <w:rPr>
                <w:noProof/>
                <w:sz w:val="22"/>
              </w:rPr>
              <w:t xml:space="preserve"> </w:t>
            </w:r>
          </w:p>
        </w:tc>
        <w:tc>
          <w:tcPr>
            <w:tcW w:w="868" w:type="dxa"/>
            <w:vAlign w:val="center"/>
          </w:tcPr>
          <w:p w14:paraId="1ABB40E6" w14:textId="77777777" w:rsidR="004515FC" w:rsidRPr="00D04088" w:rsidRDefault="004515FC" w:rsidP="0029161D">
            <w:pPr>
              <w:spacing w:before="20" w:after="20"/>
              <w:jc w:val="right"/>
              <w:rPr>
                <w:noProof/>
                <w:sz w:val="20"/>
              </w:rPr>
            </w:pPr>
            <w:r w:rsidRPr="00D04088">
              <w:rPr>
                <w:noProof/>
                <w:sz w:val="20"/>
              </w:rPr>
              <w:t>0,043</w:t>
            </w:r>
          </w:p>
        </w:tc>
        <w:tc>
          <w:tcPr>
            <w:tcW w:w="868" w:type="dxa"/>
            <w:vAlign w:val="center"/>
          </w:tcPr>
          <w:p w14:paraId="1CB584F5" w14:textId="77777777" w:rsidR="004515FC" w:rsidRPr="00D04088" w:rsidRDefault="004515FC" w:rsidP="0029161D">
            <w:pPr>
              <w:spacing w:before="20" w:after="20"/>
              <w:jc w:val="right"/>
              <w:rPr>
                <w:noProof/>
                <w:sz w:val="20"/>
              </w:rPr>
            </w:pPr>
            <w:r w:rsidRPr="00D04088">
              <w:rPr>
                <w:noProof/>
                <w:sz w:val="20"/>
              </w:rPr>
              <w:t>0,014</w:t>
            </w:r>
          </w:p>
        </w:tc>
        <w:tc>
          <w:tcPr>
            <w:tcW w:w="1777" w:type="dxa"/>
            <w:vAlign w:val="center"/>
          </w:tcPr>
          <w:p w14:paraId="7ABA76D4" w14:textId="77777777" w:rsidR="004515FC" w:rsidRPr="00D04088" w:rsidRDefault="004515FC" w:rsidP="0029161D">
            <w:pPr>
              <w:spacing w:before="20" w:after="20"/>
              <w:jc w:val="right"/>
              <w:rPr>
                <w:b/>
                <w:noProof/>
                <w:sz w:val="20"/>
              </w:rPr>
            </w:pPr>
            <w:r w:rsidRPr="00D04088">
              <w:rPr>
                <w:b/>
                <w:noProof/>
                <w:sz w:val="20"/>
              </w:rPr>
              <w:t>0,057</w:t>
            </w:r>
          </w:p>
        </w:tc>
      </w:tr>
      <w:tr w:rsidR="00DB3050" w:rsidRPr="00D04088" w14:paraId="76A9FBD2" w14:textId="77777777">
        <w:trPr>
          <w:trHeight w:val="351"/>
        </w:trPr>
        <w:tc>
          <w:tcPr>
            <w:tcW w:w="6054" w:type="dxa"/>
            <w:gridSpan w:val="3"/>
            <w:vAlign w:val="center"/>
          </w:tcPr>
          <w:p w14:paraId="2E12F8FD" w14:textId="77777777" w:rsidR="004515FC" w:rsidRPr="00D04088" w:rsidRDefault="004515FC" w:rsidP="0029161D">
            <w:pPr>
              <w:spacing w:before="20" w:after="20"/>
              <w:rPr>
                <w:noProof/>
              </w:rPr>
            </w:pPr>
            <w:r w:rsidRPr="00D04088">
              <w:rPr>
                <w:rFonts w:ascii="Wingdings" w:hAnsi="Wingdings"/>
                <w:noProof/>
                <w:sz w:val="22"/>
              </w:rPr>
              <w:t>□</w:t>
            </w:r>
            <w:r w:rsidRPr="00D04088">
              <w:rPr>
                <w:noProof/>
                <w:sz w:val="22"/>
              </w:rPr>
              <w:t xml:space="preserve"> Nefqa amministrattiva oħra </w:t>
            </w:r>
          </w:p>
        </w:tc>
        <w:tc>
          <w:tcPr>
            <w:tcW w:w="868" w:type="dxa"/>
            <w:vAlign w:val="center"/>
          </w:tcPr>
          <w:p w14:paraId="28E6DDC6" w14:textId="77777777" w:rsidR="004515FC" w:rsidRPr="00D04088" w:rsidRDefault="004515FC" w:rsidP="0029161D">
            <w:pPr>
              <w:spacing w:before="20" w:after="20"/>
              <w:jc w:val="right"/>
              <w:rPr>
                <w:b/>
                <w:noProof/>
                <w:sz w:val="20"/>
              </w:rPr>
            </w:pPr>
          </w:p>
        </w:tc>
        <w:tc>
          <w:tcPr>
            <w:tcW w:w="868" w:type="dxa"/>
            <w:vAlign w:val="center"/>
          </w:tcPr>
          <w:p w14:paraId="3BD6C2EE" w14:textId="77777777" w:rsidR="004515FC" w:rsidRPr="00D04088" w:rsidRDefault="004515FC" w:rsidP="0029161D">
            <w:pPr>
              <w:spacing w:before="20" w:after="20"/>
              <w:jc w:val="right"/>
              <w:rPr>
                <w:b/>
                <w:noProof/>
                <w:sz w:val="20"/>
              </w:rPr>
            </w:pPr>
          </w:p>
        </w:tc>
        <w:tc>
          <w:tcPr>
            <w:tcW w:w="1777" w:type="dxa"/>
            <w:vAlign w:val="center"/>
          </w:tcPr>
          <w:p w14:paraId="390101AC" w14:textId="77777777" w:rsidR="004515FC" w:rsidRPr="00D04088" w:rsidRDefault="004515FC" w:rsidP="0029161D">
            <w:pPr>
              <w:spacing w:before="20" w:after="20"/>
              <w:jc w:val="right"/>
              <w:rPr>
                <w:b/>
                <w:noProof/>
                <w:sz w:val="20"/>
              </w:rPr>
            </w:pPr>
          </w:p>
        </w:tc>
      </w:tr>
      <w:tr w:rsidR="00DB3050" w:rsidRPr="00D04088" w14:paraId="134E3135" w14:textId="77777777">
        <w:tc>
          <w:tcPr>
            <w:tcW w:w="3960" w:type="dxa"/>
            <w:vAlign w:val="center"/>
          </w:tcPr>
          <w:p w14:paraId="722EAD68" w14:textId="77777777" w:rsidR="004515FC" w:rsidRPr="00D04088" w:rsidRDefault="004515FC" w:rsidP="0029161D">
            <w:pPr>
              <w:jc w:val="center"/>
              <w:rPr>
                <w:b/>
                <w:noProof/>
              </w:rPr>
            </w:pPr>
            <w:r w:rsidRPr="00D04088">
              <w:rPr>
                <w:b/>
                <w:noProof/>
                <w:sz w:val="22"/>
              </w:rPr>
              <w:t>TOTAL TAD-DĠ JUST</w:t>
            </w:r>
          </w:p>
        </w:tc>
        <w:tc>
          <w:tcPr>
            <w:tcW w:w="2094" w:type="dxa"/>
            <w:gridSpan w:val="2"/>
            <w:vAlign w:val="center"/>
          </w:tcPr>
          <w:p w14:paraId="03BF7462" w14:textId="77777777" w:rsidR="004515FC" w:rsidRPr="00D04088" w:rsidRDefault="004515FC" w:rsidP="0029161D">
            <w:pPr>
              <w:rPr>
                <w:noProof/>
                <w:sz w:val="14"/>
              </w:rPr>
            </w:pPr>
            <w:r w:rsidRPr="00D04088">
              <w:rPr>
                <w:noProof/>
                <w:sz w:val="18"/>
              </w:rPr>
              <w:t xml:space="preserve">Approprjazzjonijiet </w:t>
            </w:r>
          </w:p>
        </w:tc>
        <w:tc>
          <w:tcPr>
            <w:tcW w:w="868" w:type="dxa"/>
            <w:vAlign w:val="center"/>
          </w:tcPr>
          <w:p w14:paraId="62E081FB" w14:textId="77777777" w:rsidR="004515FC" w:rsidRPr="00D04088" w:rsidRDefault="004515FC" w:rsidP="0029161D">
            <w:pPr>
              <w:spacing w:before="60" w:after="60"/>
              <w:jc w:val="right"/>
              <w:rPr>
                <w:noProof/>
                <w:sz w:val="20"/>
              </w:rPr>
            </w:pPr>
            <w:r w:rsidRPr="00D04088">
              <w:rPr>
                <w:noProof/>
                <w:sz w:val="20"/>
              </w:rPr>
              <w:t>0,043</w:t>
            </w:r>
          </w:p>
        </w:tc>
        <w:tc>
          <w:tcPr>
            <w:tcW w:w="868" w:type="dxa"/>
            <w:vAlign w:val="center"/>
          </w:tcPr>
          <w:p w14:paraId="59E764BB" w14:textId="77777777" w:rsidR="004515FC" w:rsidRPr="00D04088" w:rsidRDefault="004515FC" w:rsidP="0029161D">
            <w:pPr>
              <w:spacing w:before="20" w:after="20"/>
              <w:jc w:val="right"/>
              <w:rPr>
                <w:noProof/>
                <w:sz w:val="20"/>
              </w:rPr>
            </w:pPr>
            <w:r w:rsidRPr="00D04088">
              <w:rPr>
                <w:noProof/>
                <w:sz w:val="20"/>
              </w:rPr>
              <w:t>0,014</w:t>
            </w:r>
          </w:p>
        </w:tc>
        <w:tc>
          <w:tcPr>
            <w:tcW w:w="1777" w:type="dxa"/>
            <w:vAlign w:val="center"/>
          </w:tcPr>
          <w:p w14:paraId="1D103F04" w14:textId="77777777" w:rsidR="004515FC" w:rsidRPr="00D04088" w:rsidRDefault="004515FC" w:rsidP="0029161D">
            <w:pPr>
              <w:spacing w:before="20" w:after="20"/>
              <w:jc w:val="right"/>
              <w:rPr>
                <w:b/>
                <w:noProof/>
                <w:sz w:val="20"/>
              </w:rPr>
            </w:pPr>
            <w:r w:rsidRPr="00D04088">
              <w:rPr>
                <w:b/>
                <w:noProof/>
                <w:sz w:val="20"/>
              </w:rPr>
              <w:t>0,057</w:t>
            </w:r>
          </w:p>
        </w:tc>
      </w:tr>
      <w:tr w:rsidR="00910369" w:rsidRPr="00D04088" w14:paraId="72D9ECE1" w14:textId="77777777">
        <w:trPr>
          <w:gridAfter w:val="5"/>
          <w:wAfter w:w="5607" w:type="dxa"/>
        </w:trPr>
        <w:tc>
          <w:tcPr>
            <w:tcW w:w="3960" w:type="dxa"/>
            <w:vAlign w:val="center"/>
          </w:tcPr>
          <w:p w14:paraId="39C26CEF" w14:textId="77777777" w:rsidR="004515FC" w:rsidRPr="00D04088" w:rsidRDefault="004515FC" w:rsidP="0029161D">
            <w:pPr>
              <w:spacing w:before="60" w:after="60"/>
              <w:jc w:val="center"/>
              <w:rPr>
                <w:noProof/>
              </w:rPr>
            </w:pPr>
            <w:r w:rsidRPr="00D04088">
              <w:rPr>
                <w:noProof/>
                <w:sz w:val="22"/>
              </w:rPr>
              <w:t>DĠ: SEAE</w:t>
            </w:r>
          </w:p>
        </w:tc>
      </w:tr>
      <w:tr w:rsidR="00DB3050" w:rsidRPr="00D04088" w14:paraId="247B59E7" w14:textId="77777777">
        <w:trPr>
          <w:trHeight w:val="313"/>
        </w:trPr>
        <w:tc>
          <w:tcPr>
            <w:tcW w:w="6054" w:type="dxa"/>
            <w:gridSpan w:val="3"/>
            <w:vAlign w:val="center"/>
          </w:tcPr>
          <w:p w14:paraId="2D616EB2" w14:textId="77777777" w:rsidR="004515FC" w:rsidRPr="00D04088" w:rsidRDefault="004515FC" w:rsidP="0029161D">
            <w:pPr>
              <w:spacing w:before="20" w:after="20"/>
              <w:rPr>
                <w:noProof/>
              </w:rPr>
            </w:pPr>
            <w:r w:rsidRPr="00D04088">
              <w:rPr>
                <w:rFonts w:ascii="Wingdings" w:hAnsi="Wingdings"/>
                <w:noProof/>
                <w:sz w:val="22"/>
              </w:rPr>
              <w:t>□</w:t>
            </w:r>
            <w:r w:rsidRPr="00D04088">
              <w:rPr>
                <w:noProof/>
              </w:rPr>
              <w:t xml:space="preserve"> Riżorsi umani</w:t>
            </w:r>
            <w:r w:rsidRPr="00D04088">
              <w:rPr>
                <w:noProof/>
                <w:sz w:val="22"/>
              </w:rPr>
              <w:t xml:space="preserve"> </w:t>
            </w:r>
          </w:p>
        </w:tc>
        <w:tc>
          <w:tcPr>
            <w:tcW w:w="868" w:type="dxa"/>
            <w:vAlign w:val="center"/>
          </w:tcPr>
          <w:p w14:paraId="0DE07F5B" w14:textId="77777777" w:rsidR="004515FC" w:rsidRPr="00D04088" w:rsidRDefault="004515FC" w:rsidP="0029161D">
            <w:pPr>
              <w:spacing w:before="20" w:after="20"/>
              <w:jc w:val="right"/>
              <w:rPr>
                <w:noProof/>
                <w:sz w:val="20"/>
              </w:rPr>
            </w:pPr>
          </w:p>
        </w:tc>
        <w:tc>
          <w:tcPr>
            <w:tcW w:w="868" w:type="dxa"/>
            <w:vAlign w:val="center"/>
          </w:tcPr>
          <w:p w14:paraId="78826D9E" w14:textId="77777777" w:rsidR="004515FC" w:rsidRPr="00D04088" w:rsidRDefault="004515FC" w:rsidP="0029161D">
            <w:pPr>
              <w:spacing w:before="20" w:after="20"/>
              <w:jc w:val="right"/>
              <w:rPr>
                <w:noProof/>
                <w:sz w:val="20"/>
              </w:rPr>
            </w:pPr>
          </w:p>
        </w:tc>
        <w:tc>
          <w:tcPr>
            <w:tcW w:w="1777" w:type="dxa"/>
            <w:vAlign w:val="center"/>
          </w:tcPr>
          <w:p w14:paraId="3EB44301" w14:textId="77777777" w:rsidR="004515FC" w:rsidRPr="00D04088" w:rsidRDefault="004515FC" w:rsidP="0029161D">
            <w:pPr>
              <w:spacing w:before="20" w:after="20"/>
              <w:jc w:val="right"/>
              <w:rPr>
                <w:b/>
                <w:noProof/>
                <w:sz w:val="20"/>
              </w:rPr>
            </w:pPr>
          </w:p>
        </w:tc>
      </w:tr>
      <w:tr w:rsidR="00DB3050" w:rsidRPr="00D04088" w14:paraId="5F4F48C7" w14:textId="77777777" w:rsidTr="00A17546">
        <w:trPr>
          <w:trHeight w:val="351"/>
        </w:trPr>
        <w:tc>
          <w:tcPr>
            <w:tcW w:w="6054" w:type="dxa"/>
            <w:gridSpan w:val="3"/>
            <w:vAlign w:val="center"/>
          </w:tcPr>
          <w:p w14:paraId="2B34B2E9" w14:textId="77777777" w:rsidR="0058038B" w:rsidRPr="00D04088" w:rsidRDefault="0058038B" w:rsidP="0058038B">
            <w:pPr>
              <w:spacing w:before="20" w:after="20"/>
              <w:rPr>
                <w:noProof/>
              </w:rPr>
            </w:pPr>
            <w:r w:rsidRPr="00D04088">
              <w:rPr>
                <w:rFonts w:ascii="Wingdings" w:hAnsi="Wingdings"/>
                <w:noProof/>
                <w:sz w:val="22"/>
              </w:rPr>
              <w:t>□</w:t>
            </w:r>
            <w:r w:rsidRPr="00D04088">
              <w:rPr>
                <w:noProof/>
                <w:sz w:val="22"/>
              </w:rPr>
              <w:t xml:space="preserve"> Nefqa amministrattiva oħra </w:t>
            </w:r>
          </w:p>
        </w:tc>
        <w:tc>
          <w:tcPr>
            <w:tcW w:w="868" w:type="dxa"/>
          </w:tcPr>
          <w:p w14:paraId="1FC04CC5" w14:textId="7ED82B3A" w:rsidR="0058038B" w:rsidRPr="00D04088" w:rsidRDefault="0058038B" w:rsidP="00A17546">
            <w:pPr>
              <w:spacing w:before="60" w:after="60"/>
              <w:jc w:val="right"/>
              <w:rPr>
                <w:noProof/>
                <w:sz w:val="20"/>
              </w:rPr>
            </w:pPr>
            <w:r w:rsidRPr="00D04088">
              <w:rPr>
                <w:noProof/>
                <w:sz w:val="20"/>
              </w:rPr>
              <w:t>0,038</w:t>
            </w:r>
          </w:p>
        </w:tc>
        <w:tc>
          <w:tcPr>
            <w:tcW w:w="868" w:type="dxa"/>
          </w:tcPr>
          <w:p w14:paraId="2F4DD6EB" w14:textId="45FF5E36" w:rsidR="0058038B" w:rsidRPr="00D04088" w:rsidRDefault="0058038B" w:rsidP="00A17546">
            <w:pPr>
              <w:spacing w:before="60" w:after="60"/>
              <w:jc w:val="right"/>
              <w:rPr>
                <w:noProof/>
                <w:sz w:val="20"/>
              </w:rPr>
            </w:pPr>
            <w:r w:rsidRPr="00D04088">
              <w:rPr>
                <w:noProof/>
                <w:sz w:val="20"/>
              </w:rPr>
              <w:t xml:space="preserve"> 0,038</w:t>
            </w:r>
          </w:p>
        </w:tc>
        <w:tc>
          <w:tcPr>
            <w:tcW w:w="1777" w:type="dxa"/>
          </w:tcPr>
          <w:p w14:paraId="583AB56F" w14:textId="70CE12A8" w:rsidR="0058038B" w:rsidRPr="00D04088" w:rsidRDefault="0058038B" w:rsidP="00A17546">
            <w:pPr>
              <w:spacing w:before="60" w:after="60"/>
              <w:jc w:val="right"/>
              <w:rPr>
                <w:b/>
                <w:noProof/>
                <w:sz w:val="20"/>
              </w:rPr>
            </w:pPr>
            <w:r w:rsidRPr="00D04088">
              <w:rPr>
                <w:b/>
                <w:noProof/>
                <w:sz w:val="20"/>
              </w:rPr>
              <w:t>0,076</w:t>
            </w:r>
          </w:p>
        </w:tc>
      </w:tr>
      <w:tr w:rsidR="00DB3050" w:rsidRPr="00D04088" w14:paraId="20AA391B" w14:textId="77777777" w:rsidTr="00A17546">
        <w:tc>
          <w:tcPr>
            <w:tcW w:w="3960" w:type="dxa"/>
            <w:vAlign w:val="center"/>
          </w:tcPr>
          <w:p w14:paraId="7FA7D1E1" w14:textId="77777777" w:rsidR="0058038B" w:rsidRPr="00D04088" w:rsidRDefault="0058038B" w:rsidP="0058038B">
            <w:pPr>
              <w:jc w:val="center"/>
              <w:rPr>
                <w:b/>
                <w:noProof/>
              </w:rPr>
            </w:pPr>
            <w:r w:rsidRPr="00D04088">
              <w:rPr>
                <w:b/>
                <w:noProof/>
                <w:sz w:val="22"/>
              </w:rPr>
              <w:t>Total SEAE</w:t>
            </w:r>
          </w:p>
        </w:tc>
        <w:tc>
          <w:tcPr>
            <w:tcW w:w="2094" w:type="dxa"/>
            <w:gridSpan w:val="2"/>
            <w:vAlign w:val="center"/>
          </w:tcPr>
          <w:p w14:paraId="642BB1E7" w14:textId="77777777" w:rsidR="0058038B" w:rsidRPr="00D04088" w:rsidRDefault="0058038B" w:rsidP="0058038B">
            <w:pPr>
              <w:rPr>
                <w:noProof/>
                <w:sz w:val="14"/>
              </w:rPr>
            </w:pPr>
            <w:r w:rsidRPr="00D04088">
              <w:rPr>
                <w:noProof/>
                <w:sz w:val="18"/>
              </w:rPr>
              <w:t xml:space="preserve">Approprjazzjonijiet </w:t>
            </w:r>
          </w:p>
        </w:tc>
        <w:tc>
          <w:tcPr>
            <w:tcW w:w="868" w:type="dxa"/>
            <w:vAlign w:val="center"/>
          </w:tcPr>
          <w:p w14:paraId="7B54CCD9" w14:textId="2CAEBD74" w:rsidR="0058038B" w:rsidRPr="00D04088" w:rsidRDefault="0058038B" w:rsidP="0058038B">
            <w:pPr>
              <w:spacing w:before="60" w:after="60"/>
              <w:jc w:val="right"/>
              <w:rPr>
                <w:noProof/>
                <w:sz w:val="20"/>
                <w:highlight w:val="yellow"/>
              </w:rPr>
            </w:pPr>
            <w:r w:rsidRPr="00D04088">
              <w:rPr>
                <w:noProof/>
                <w:sz w:val="20"/>
              </w:rPr>
              <w:t>0,038</w:t>
            </w:r>
          </w:p>
        </w:tc>
        <w:tc>
          <w:tcPr>
            <w:tcW w:w="868" w:type="dxa"/>
            <w:vAlign w:val="center"/>
          </w:tcPr>
          <w:p w14:paraId="7F438A2D" w14:textId="46A6DFE2" w:rsidR="0058038B" w:rsidRPr="00D04088" w:rsidRDefault="0058038B" w:rsidP="0058038B">
            <w:pPr>
              <w:spacing w:before="20" w:after="20"/>
              <w:jc w:val="right"/>
              <w:rPr>
                <w:noProof/>
                <w:sz w:val="20"/>
                <w:highlight w:val="yellow"/>
              </w:rPr>
            </w:pPr>
            <w:r w:rsidRPr="00D04088">
              <w:rPr>
                <w:noProof/>
                <w:sz w:val="20"/>
              </w:rPr>
              <w:t xml:space="preserve"> 0,038</w:t>
            </w:r>
          </w:p>
        </w:tc>
        <w:tc>
          <w:tcPr>
            <w:tcW w:w="1777" w:type="dxa"/>
            <w:vAlign w:val="center"/>
          </w:tcPr>
          <w:p w14:paraId="5D18EF89" w14:textId="0AE7CBA7" w:rsidR="0058038B" w:rsidRPr="00D04088" w:rsidRDefault="0058038B" w:rsidP="0058038B">
            <w:pPr>
              <w:spacing w:before="20" w:after="20"/>
              <w:jc w:val="right"/>
              <w:rPr>
                <w:noProof/>
                <w:sz w:val="20"/>
                <w:highlight w:val="yellow"/>
              </w:rPr>
            </w:pPr>
            <w:r w:rsidRPr="00D04088">
              <w:rPr>
                <w:b/>
                <w:noProof/>
                <w:sz w:val="20"/>
              </w:rPr>
              <w:t>0,076</w:t>
            </w:r>
          </w:p>
        </w:tc>
      </w:tr>
      <w:tr w:rsidR="00291B69" w:rsidRPr="00D04088" w14:paraId="2519F4C0" w14:textId="77777777" w:rsidTr="00A17546">
        <w:tc>
          <w:tcPr>
            <w:tcW w:w="3960" w:type="dxa"/>
            <w:shd w:val="thinDiagStripe" w:color="C0C0C0" w:fill="auto"/>
            <w:vAlign w:val="center"/>
          </w:tcPr>
          <w:p w14:paraId="3D5D8E96" w14:textId="77777777" w:rsidR="00723B75" w:rsidRPr="00D04088" w:rsidRDefault="00723B75" w:rsidP="00723B75">
            <w:pPr>
              <w:jc w:val="center"/>
              <w:rPr>
                <w:b/>
                <w:noProof/>
              </w:rPr>
            </w:pPr>
            <w:r w:rsidRPr="00D04088">
              <w:rPr>
                <w:b/>
                <w:noProof/>
                <w:sz w:val="22"/>
              </w:rPr>
              <w:t>TOTAL tal-approprjazzjonijiet</w:t>
            </w:r>
            <w:r w:rsidRPr="00D04088">
              <w:rPr>
                <w:noProof/>
              </w:rPr>
              <w:t xml:space="preserve"> </w:t>
            </w:r>
            <w:r w:rsidRPr="00D04088">
              <w:rPr>
                <w:noProof/>
              </w:rPr>
              <w:cr/>
            </w:r>
            <w:r w:rsidRPr="00D04088">
              <w:rPr>
                <w:noProof/>
              </w:rPr>
              <w:br/>
            </w:r>
            <w:r w:rsidRPr="00D04088">
              <w:rPr>
                <w:b/>
                <w:noProof/>
                <w:sz w:val="22"/>
              </w:rPr>
              <w:t>skont l-INTESTATURA 7</w:t>
            </w:r>
            <w:r w:rsidRPr="00D04088">
              <w:rPr>
                <w:noProof/>
              </w:rPr>
              <w:t xml:space="preserve"> </w:t>
            </w:r>
            <w:r w:rsidRPr="00D04088">
              <w:rPr>
                <w:noProof/>
              </w:rPr>
              <w:cr/>
            </w:r>
            <w:r w:rsidRPr="00D04088">
              <w:rPr>
                <w:noProof/>
              </w:rPr>
              <w:br/>
            </w:r>
            <w:r w:rsidRPr="00D04088">
              <w:rPr>
                <w:noProof/>
                <w:sz w:val="22"/>
              </w:rPr>
              <w:t>tal-qafas finanzjarju pluriennali</w:t>
            </w:r>
            <w:r w:rsidRPr="00D04088">
              <w:rPr>
                <w:b/>
                <w:noProof/>
                <w:sz w:val="22"/>
              </w:rPr>
              <w:t xml:space="preserve"> </w:t>
            </w:r>
          </w:p>
        </w:tc>
        <w:tc>
          <w:tcPr>
            <w:tcW w:w="2094" w:type="dxa"/>
            <w:gridSpan w:val="2"/>
            <w:vAlign w:val="center"/>
          </w:tcPr>
          <w:p w14:paraId="4933D8CC" w14:textId="77777777" w:rsidR="00723B75" w:rsidRPr="00D04088" w:rsidRDefault="00723B75" w:rsidP="00723B75">
            <w:pPr>
              <w:spacing w:before="40" w:after="40"/>
              <w:rPr>
                <w:noProof/>
              </w:rPr>
            </w:pPr>
            <w:r w:rsidRPr="00D04088">
              <w:rPr>
                <w:noProof/>
                <w:sz w:val="18"/>
              </w:rPr>
              <w:t>(Total ta’ impenji = Total ta’ pagamenti)</w:t>
            </w:r>
          </w:p>
        </w:tc>
        <w:tc>
          <w:tcPr>
            <w:tcW w:w="868" w:type="dxa"/>
            <w:vAlign w:val="center"/>
          </w:tcPr>
          <w:p w14:paraId="6510EED0" w14:textId="797C8461" w:rsidR="00723B75" w:rsidRPr="00D04088" w:rsidRDefault="00723B75" w:rsidP="00A17546">
            <w:pPr>
              <w:spacing w:before="60" w:after="60"/>
              <w:jc w:val="right"/>
              <w:rPr>
                <w:b/>
                <w:noProof/>
                <w:sz w:val="20"/>
              </w:rPr>
            </w:pPr>
            <w:r w:rsidRPr="00D04088">
              <w:rPr>
                <w:b/>
                <w:noProof/>
                <w:sz w:val="20"/>
              </w:rPr>
              <w:t>0,081</w:t>
            </w:r>
          </w:p>
        </w:tc>
        <w:tc>
          <w:tcPr>
            <w:tcW w:w="868" w:type="dxa"/>
            <w:vAlign w:val="center"/>
          </w:tcPr>
          <w:p w14:paraId="55A68032" w14:textId="38EF7EB7" w:rsidR="00723B75" w:rsidRPr="00D04088" w:rsidRDefault="00723B75" w:rsidP="00A17546">
            <w:pPr>
              <w:spacing w:before="60" w:after="60"/>
              <w:jc w:val="right"/>
              <w:rPr>
                <w:b/>
                <w:noProof/>
                <w:sz w:val="20"/>
              </w:rPr>
            </w:pPr>
            <w:r w:rsidRPr="00D04088">
              <w:rPr>
                <w:b/>
                <w:noProof/>
                <w:sz w:val="20"/>
              </w:rPr>
              <w:t>0,052</w:t>
            </w:r>
          </w:p>
        </w:tc>
        <w:tc>
          <w:tcPr>
            <w:tcW w:w="1777" w:type="dxa"/>
            <w:vAlign w:val="center"/>
          </w:tcPr>
          <w:p w14:paraId="6F90E7CF" w14:textId="56DD0786" w:rsidR="00723B75" w:rsidRPr="00D04088" w:rsidRDefault="00723B75" w:rsidP="00A17546">
            <w:pPr>
              <w:spacing w:before="60" w:after="60"/>
              <w:jc w:val="right"/>
              <w:rPr>
                <w:b/>
                <w:noProof/>
                <w:sz w:val="20"/>
              </w:rPr>
            </w:pPr>
            <w:r w:rsidRPr="00D04088">
              <w:rPr>
                <w:b/>
                <w:noProof/>
                <w:sz w:val="20"/>
              </w:rPr>
              <w:t xml:space="preserve"> 0,133</w:t>
            </w:r>
          </w:p>
        </w:tc>
      </w:tr>
    </w:tbl>
    <w:p w14:paraId="6FCF29A9" w14:textId="77777777" w:rsidR="004515FC" w:rsidRPr="00D04088" w:rsidRDefault="004515FC" w:rsidP="004515FC">
      <w:pPr>
        <w:jc w:val="right"/>
        <w:rPr>
          <w:noProof/>
          <w:sz w:val="20"/>
        </w:rPr>
      </w:pPr>
      <w:r w:rsidRPr="00D04088">
        <w:rPr>
          <w:noProof/>
          <w:sz w:val="20"/>
        </w:rPr>
        <w:t>miljuni ta’ EUR (għal tliet pożizzjonijiet deċimali)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D04088" w14:paraId="0D09C20D" w14:textId="77777777">
        <w:tc>
          <w:tcPr>
            <w:tcW w:w="3960" w:type="dxa"/>
            <w:tcBorders>
              <w:top w:val="nil"/>
              <w:left w:val="nil"/>
              <w:right w:val="nil"/>
            </w:tcBorders>
            <w:vAlign w:val="center"/>
          </w:tcPr>
          <w:p w14:paraId="797E3645" w14:textId="77777777" w:rsidR="004515FC" w:rsidRPr="00D04088" w:rsidRDefault="004515FC" w:rsidP="0029161D">
            <w:pPr>
              <w:jc w:val="center"/>
              <w:rPr>
                <w:noProof/>
              </w:rPr>
            </w:pPr>
          </w:p>
        </w:tc>
        <w:tc>
          <w:tcPr>
            <w:tcW w:w="1560" w:type="dxa"/>
            <w:tcBorders>
              <w:top w:val="nil"/>
              <w:left w:val="nil"/>
              <w:right w:val="nil"/>
            </w:tcBorders>
          </w:tcPr>
          <w:p w14:paraId="79F4FB43" w14:textId="77777777" w:rsidR="004515FC" w:rsidRPr="00D04088" w:rsidRDefault="004515FC" w:rsidP="0029161D">
            <w:pPr>
              <w:rPr>
                <w:noProof/>
                <w:sz w:val="20"/>
              </w:rPr>
            </w:pPr>
          </w:p>
        </w:tc>
        <w:tc>
          <w:tcPr>
            <w:tcW w:w="534" w:type="dxa"/>
            <w:tcBorders>
              <w:top w:val="nil"/>
              <w:left w:val="nil"/>
            </w:tcBorders>
          </w:tcPr>
          <w:p w14:paraId="46581F78" w14:textId="77777777" w:rsidR="004515FC" w:rsidRPr="00D04088" w:rsidRDefault="004515FC" w:rsidP="0029161D">
            <w:pPr>
              <w:jc w:val="center"/>
              <w:rPr>
                <w:noProof/>
                <w:sz w:val="20"/>
              </w:rPr>
            </w:pPr>
          </w:p>
        </w:tc>
        <w:tc>
          <w:tcPr>
            <w:tcW w:w="868" w:type="dxa"/>
            <w:vAlign w:val="center"/>
          </w:tcPr>
          <w:p w14:paraId="3DBC0840" w14:textId="77777777" w:rsidR="004515FC" w:rsidRPr="00D04088" w:rsidRDefault="004515FC" w:rsidP="0029161D">
            <w:pPr>
              <w:jc w:val="center"/>
              <w:rPr>
                <w:b/>
                <w:noProof/>
                <w:sz w:val="20"/>
              </w:rPr>
            </w:pPr>
            <w:r w:rsidRPr="00D04088">
              <w:rPr>
                <w:b/>
                <w:noProof/>
                <w:sz w:val="20"/>
              </w:rPr>
              <w:t>2026</w:t>
            </w:r>
          </w:p>
        </w:tc>
        <w:tc>
          <w:tcPr>
            <w:tcW w:w="868" w:type="dxa"/>
            <w:vAlign w:val="center"/>
          </w:tcPr>
          <w:p w14:paraId="719547EE" w14:textId="77777777" w:rsidR="004515FC" w:rsidRPr="00D04088" w:rsidRDefault="004515FC" w:rsidP="0029161D">
            <w:pPr>
              <w:jc w:val="center"/>
              <w:rPr>
                <w:b/>
                <w:noProof/>
                <w:sz w:val="20"/>
              </w:rPr>
            </w:pPr>
            <w:r w:rsidRPr="00D04088">
              <w:rPr>
                <w:b/>
                <w:noProof/>
                <w:sz w:val="20"/>
              </w:rPr>
              <w:t>2027</w:t>
            </w:r>
          </w:p>
        </w:tc>
        <w:tc>
          <w:tcPr>
            <w:tcW w:w="1777" w:type="dxa"/>
            <w:vAlign w:val="center"/>
          </w:tcPr>
          <w:p w14:paraId="06F556A6" w14:textId="77777777" w:rsidR="004515FC" w:rsidRPr="00D04088" w:rsidRDefault="004515FC" w:rsidP="0029161D">
            <w:pPr>
              <w:jc w:val="center"/>
              <w:rPr>
                <w:b/>
                <w:noProof/>
                <w:sz w:val="20"/>
              </w:rPr>
            </w:pPr>
            <w:r w:rsidRPr="00D04088">
              <w:rPr>
                <w:b/>
                <w:noProof/>
                <w:sz w:val="20"/>
              </w:rPr>
              <w:t>TOTAL</w:t>
            </w:r>
          </w:p>
        </w:tc>
      </w:tr>
      <w:tr w:rsidR="00291B69" w:rsidRPr="00D04088" w14:paraId="521D6457" w14:textId="77777777">
        <w:tc>
          <w:tcPr>
            <w:tcW w:w="3960" w:type="dxa"/>
            <w:vMerge w:val="restart"/>
            <w:shd w:val="clear" w:color="auto" w:fill="C0C0C0"/>
            <w:vAlign w:val="center"/>
          </w:tcPr>
          <w:p w14:paraId="4A66127C" w14:textId="77777777" w:rsidR="00A17546" w:rsidRPr="00D04088" w:rsidRDefault="00A17546" w:rsidP="00A17546">
            <w:pPr>
              <w:jc w:val="center"/>
              <w:rPr>
                <w:b/>
                <w:noProof/>
              </w:rPr>
            </w:pPr>
            <w:r w:rsidRPr="00D04088">
              <w:rPr>
                <w:b/>
                <w:noProof/>
                <w:sz w:val="22"/>
              </w:rPr>
              <w:t xml:space="preserve">TOTAL tal-approprjazzjonijiet </w:t>
            </w:r>
            <w:r w:rsidRPr="00D04088">
              <w:rPr>
                <w:noProof/>
              </w:rPr>
              <w:t xml:space="preserve"> </w:t>
            </w:r>
            <w:r w:rsidRPr="00D04088">
              <w:rPr>
                <w:noProof/>
              </w:rPr>
              <w:cr/>
            </w:r>
            <w:r w:rsidRPr="00D04088">
              <w:rPr>
                <w:noProof/>
              </w:rPr>
              <w:br/>
            </w:r>
            <w:r w:rsidRPr="00D04088">
              <w:rPr>
                <w:b/>
                <w:noProof/>
                <w:sz w:val="22"/>
              </w:rPr>
              <w:t>taħt l-INTESTATURI minn 1 sa 7</w:t>
            </w:r>
            <w:r w:rsidRPr="00D04088">
              <w:rPr>
                <w:noProof/>
              </w:rPr>
              <w:t xml:space="preserve"> </w:t>
            </w:r>
            <w:r w:rsidRPr="00D04088">
              <w:rPr>
                <w:noProof/>
              </w:rPr>
              <w:cr/>
            </w:r>
            <w:r w:rsidRPr="00D04088">
              <w:rPr>
                <w:noProof/>
              </w:rPr>
              <w:br/>
            </w:r>
            <w:r w:rsidRPr="00D04088">
              <w:rPr>
                <w:noProof/>
                <w:sz w:val="22"/>
              </w:rPr>
              <w:t>tal-qafas finanzjarju pluriennali</w:t>
            </w:r>
            <w:r w:rsidRPr="00D04088">
              <w:rPr>
                <w:b/>
                <w:noProof/>
                <w:sz w:val="22"/>
              </w:rPr>
              <w:t xml:space="preserve"> </w:t>
            </w:r>
          </w:p>
        </w:tc>
        <w:tc>
          <w:tcPr>
            <w:tcW w:w="2094" w:type="dxa"/>
            <w:gridSpan w:val="2"/>
            <w:vAlign w:val="center"/>
          </w:tcPr>
          <w:p w14:paraId="48E00DDE" w14:textId="77777777" w:rsidR="00A17546" w:rsidRPr="00D04088" w:rsidRDefault="00A17546" w:rsidP="00A17546">
            <w:pPr>
              <w:rPr>
                <w:noProof/>
                <w:sz w:val="14"/>
              </w:rPr>
            </w:pPr>
            <w:r w:rsidRPr="00D04088">
              <w:rPr>
                <w:noProof/>
                <w:sz w:val="18"/>
              </w:rPr>
              <w:t>Impenji</w:t>
            </w:r>
          </w:p>
        </w:tc>
        <w:tc>
          <w:tcPr>
            <w:tcW w:w="868" w:type="dxa"/>
            <w:vAlign w:val="center"/>
          </w:tcPr>
          <w:p w14:paraId="5680C9ED" w14:textId="78767FBC" w:rsidR="00A17546" w:rsidRPr="00D04088" w:rsidRDefault="00A17546" w:rsidP="00A17546">
            <w:pPr>
              <w:spacing w:before="60" w:after="60"/>
              <w:jc w:val="right"/>
              <w:rPr>
                <w:noProof/>
                <w:sz w:val="20"/>
              </w:rPr>
            </w:pPr>
            <w:r w:rsidRPr="00D04088">
              <w:rPr>
                <w:b/>
                <w:noProof/>
                <w:sz w:val="20"/>
              </w:rPr>
              <w:t>0,081</w:t>
            </w:r>
          </w:p>
        </w:tc>
        <w:tc>
          <w:tcPr>
            <w:tcW w:w="868" w:type="dxa"/>
            <w:vAlign w:val="center"/>
          </w:tcPr>
          <w:p w14:paraId="25CF5F7E" w14:textId="750F4A40" w:rsidR="00A17546" w:rsidRPr="00D04088" w:rsidRDefault="00A17546" w:rsidP="00A17546">
            <w:pPr>
              <w:spacing w:before="60" w:after="60"/>
              <w:jc w:val="right"/>
              <w:rPr>
                <w:noProof/>
                <w:sz w:val="20"/>
              </w:rPr>
            </w:pPr>
            <w:r w:rsidRPr="00D04088">
              <w:rPr>
                <w:b/>
                <w:noProof/>
                <w:sz w:val="20"/>
              </w:rPr>
              <w:t>0,052</w:t>
            </w:r>
          </w:p>
        </w:tc>
        <w:tc>
          <w:tcPr>
            <w:tcW w:w="1777" w:type="dxa"/>
            <w:vAlign w:val="center"/>
          </w:tcPr>
          <w:p w14:paraId="1F8F28D0" w14:textId="66A07C4C" w:rsidR="00A17546" w:rsidRPr="00D04088" w:rsidRDefault="00A17546" w:rsidP="00A17546">
            <w:pPr>
              <w:spacing w:before="60" w:after="60"/>
              <w:jc w:val="right"/>
              <w:rPr>
                <w:b/>
                <w:noProof/>
                <w:sz w:val="20"/>
              </w:rPr>
            </w:pPr>
            <w:r w:rsidRPr="00D04088">
              <w:rPr>
                <w:b/>
                <w:noProof/>
                <w:sz w:val="20"/>
              </w:rPr>
              <w:t xml:space="preserve"> 0,133</w:t>
            </w:r>
          </w:p>
        </w:tc>
      </w:tr>
      <w:tr w:rsidR="00291B69" w:rsidRPr="00D04088" w14:paraId="45B132A9" w14:textId="77777777">
        <w:tc>
          <w:tcPr>
            <w:tcW w:w="3960" w:type="dxa"/>
            <w:vMerge/>
            <w:shd w:val="clear" w:color="auto" w:fill="C0C0C0"/>
          </w:tcPr>
          <w:p w14:paraId="4C9F40F6" w14:textId="77777777" w:rsidR="00A17546" w:rsidRPr="00D04088" w:rsidRDefault="00A17546" w:rsidP="00A17546">
            <w:pPr>
              <w:rPr>
                <w:noProof/>
                <w:sz w:val="20"/>
              </w:rPr>
            </w:pPr>
          </w:p>
        </w:tc>
        <w:tc>
          <w:tcPr>
            <w:tcW w:w="2094" w:type="dxa"/>
            <w:gridSpan w:val="2"/>
            <w:vAlign w:val="center"/>
          </w:tcPr>
          <w:p w14:paraId="148BF1AA" w14:textId="77777777" w:rsidR="00A17546" w:rsidRPr="00D04088" w:rsidRDefault="00A17546" w:rsidP="00A17546">
            <w:pPr>
              <w:rPr>
                <w:noProof/>
                <w:sz w:val="14"/>
              </w:rPr>
            </w:pPr>
            <w:r w:rsidRPr="00D04088">
              <w:rPr>
                <w:noProof/>
                <w:sz w:val="18"/>
              </w:rPr>
              <w:t>Pagamenti</w:t>
            </w:r>
          </w:p>
        </w:tc>
        <w:tc>
          <w:tcPr>
            <w:tcW w:w="868" w:type="dxa"/>
            <w:vAlign w:val="center"/>
          </w:tcPr>
          <w:p w14:paraId="57C2C77F" w14:textId="35CD63F9" w:rsidR="00A17546" w:rsidRPr="00D04088" w:rsidRDefault="00A17546" w:rsidP="00A17546">
            <w:pPr>
              <w:spacing w:before="60" w:after="60"/>
              <w:jc w:val="right"/>
              <w:rPr>
                <w:noProof/>
                <w:sz w:val="20"/>
              </w:rPr>
            </w:pPr>
            <w:r w:rsidRPr="00D04088">
              <w:rPr>
                <w:b/>
                <w:noProof/>
                <w:sz w:val="20"/>
              </w:rPr>
              <w:t>0,081</w:t>
            </w:r>
          </w:p>
        </w:tc>
        <w:tc>
          <w:tcPr>
            <w:tcW w:w="868" w:type="dxa"/>
            <w:vAlign w:val="center"/>
          </w:tcPr>
          <w:p w14:paraId="666C2A93" w14:textId="238124AB" w:rsidR="00A17546" w:rsidRPr="00D04088" w:rsidRDefault="00A17546" w:rsidP="00A17546">
            <w:pPr>
              <w:spacing w:before="60" w:after="60"/>
              <w:jc w:val="right"/>
              <w:rPr>
                <w:noProof/>
                <w:sz w:val="20"/>
              </w:rPr>
            </w:pPr>
            <w:r w:rsidRPr="00D04088">
              <w:rPr>
                <w:b/>
                <w:noProof/>
                <w:sz w:val="20"/>
              </w:rPr>
              <w:t>0,052</w:t>
            </w:r>
          </w:p>
        </w:tc>
        <w:tc>
          <w:tcPr>
            <w:tcW w:w="1777" w:type="dxa"/>
            <w:vAlign w:val="center"/>
          </w:tcPr>
          <w:p w14:paraId="5EAA48A1" w14:textId="2C688C77" w:rsidR="00A17546" w:rsidRPr="00D04088" w:rsidRDefault="00A17546" w:rsidP="00A17546">
            <w:pPr>
              <w:spacing w:before="60" w:after="60"/>
              <w:jc w:val="right"/>
              <w:rPr>
                <w:b/>
                <w:noProof/>
                <w:sz w:val="20"/>
              </w:rPr>
            </w:pPr>
            <w:r w:rsidRPr="00D04088">
              <w:rPr>
                <w:b/>
                <w:noProof/>
                <w:sz w:val="20"/>
              </w:rPr>
              <w:t xml:space="preserve"> 0,133</w:t>
            </w:r>
          </w:p>
        </w:tc>
      </w:tr>
    </w:tbl>
    <w:p w14:paraId="39F165FF" w14:textId="77777777" w:rsidR="004515FC" w:rsidRPr="00D04088" w:rsidRDefault="004515FC" w:rsidP="004F12CE">
      <w:pPr>
        <w:spacing w:before="0" w:after="200" w:line="276" w:lineRule="auto"/>
        <w:jc w:val="left"/>
        <w:rPr>
          <w:noProof/>
        </w:rPr>
      </w:pPr>
      <w:bookmarkStart w:id="63" w:name="_Toc514938054"/>
      <w:bookmarkStart w:id="64" w:name="_Toc520485053"/>
      <w:r w:rsidRPr="00D04088">
        <w:rPr>
          <w:noProof/>
        </w:rPr>
        <w:t>3.2.2.</w:t>
      </w:r>
      <w:r w:rsidRPr="00D04088">
        <w:rPr>
          <w:noProof/>
        </w:rPr>
        <w:tab/>
        <w:t>Output stmat iffinanzjat bl-approprjazzjonijiet operazzjonali</w:t>
      </w:r>
      <w:bookmarkEnd w:id="63"/>
      <w:bookmarkEnd w:id="64"/>
      <w:r w:rsidRPr="00D04088">
        <w:rPr>
          <w:noProof/>
        </w:rPr>
        <w:t xml:space="preserve"> </w:t>
      </w:r>
    </w:p>
    <w:p w14:paraId="7CE2B0FD" w14:textId="77777777" w:rsidR="004515FC" w:rsidRPr="00D04088" w:rsidRDefault="004515FC" w:rsidP="004515FC">
      <w:pPr>
        <w:jc w:val="right"/>
        <w:rPr>
          <w:noProof/>
          <w:sz w:val="20"/>
        </w:rPr>
      </w:pPr>
      <w:r w:rsidRPr="00D04088">
        <w:rPr>
          <w:noProof/>
          <w:sz w:val="20"/>
        </w:rPr>
        <w:t>Approprjazzjonijiet ta’ impenn f’miljuni ta’ EUR (għal tliet pożizzjonijiet deċimali)</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515FC" w:rsidRPr="00D04088" w14:paraId="558DDD51" w14:textId="77777777" w:rsidTr="0029161D">
        <w:trPr>
          <w:jc w:val="center"/>
        </w:trPr>
        <w:tc>
          <w:tcPr>
            <w:tcW w:w="1423" w:type="dxa"/>
            <w:vMerge w:val="restart"/>
            <w:vAlign w:val="center"/>
          </w:tcPr>
          <w:p w14:paraId="1FACD372" w14:textId="77777777" w:rsidR="004515FC" w:rsidRPr="00D04088" w:rsidRDefault="004515FC" w:rsidP="0029161D">
            <w:pPr>
              <w:ind w:right="-29"/>
              <w:jc w:val="center"/>
              <w:rPr>
                <w:b/>
                <w:noProof/>
                <w:sz w:val="18"/>
              </w:rPr>
            </w:pPr>
            <w:r w:rsidRPr="00D04088">
              <w:rPr>
                <w:b/>
                <w:noProof/>
                <w:sz w:val="18"/>
              </w:rPr>
              <w:t xml:space="preserve">Indika l-objettivi u l-outputs </w:t>
            </w:r>
          </w:p>
          <w:p w14:paraId="443887DE" w14:textId="77777777" w:rsidR="004515FC" w:rsidRPr="00D04088" w:rsidRDefault="004515FC" w:rsidP="0029161D">
            <w:pPr>
              <w:ind w:right="-29"/>
              <w:jc w:val="center"/>
              <w:rPr>
                <w:b/>
                <w:noProof/>
                <w:sz w:val="18"/>
              </w:rPr>
            </w:pPr>
          </w:p>
          <w:p w14:paraId="47C1261E" w14:textId="77777777" w:rsidR="004515FC" w:rsidRPr="00D04088" w:rsidRDefault="004515FC" w:rsidP="0029161D">
            <w:pPr>
              <w:ind w:right="-29"/>
              <w:jc w:val="center"/>
              <w:rPr>
                <w:noProof/>
                <w:sz w:val="18"/>
              </w:rPr>
            </w:pPr>
            <w:r w:rsidRPr="00D04088">
              <w:rPr>
                <w:rFonts w:ascii="Wingdings" w:hAnsi="Wingdings"/>
                <w:noProof/>
                <w:sz w:val="18"/>
              </w:rPr>
              <w:t></w:t>
            </w:r>
          </w:p>
        </w:tc>
        <w:tc>
          <w:tcPr>
            <w:tcW w:w="720" w:type="dxa"/>
            <w:vAlign w:val="center"/>
          </w:tcPr>
          <w:p w14:paraId="57E017E7" w14:textId="77777777" w:rsidR="004515FC" w:rsidRPr="00D04088" w:rsidRDefault="004515FC" w:rsidP="0029161D">
            <w:pPr>
              <w:ind w:right="-29"/>
              <w:jc w:val="center"/>
              <w:rPr>
                <w:noProof/>
                <w:sz w:val="18"/>
              </w:rPr>
            </w:pPr>
          </w:p>
        </w:tc>
        <w:tc>
          <w:tcPr>
            <w:tcW w:w="701" w:type="dxa"/>
            <w:vAlign w:val="center"/>
          </w:tcPr>
          <w:p w14:paraId="4B01CBF0" w14:textId="77777777" w:rsidR="004515FC" w:rsidRPr="00D04088" w:rsidRDefault="004515FC" w:rsidP="0029161D">
            <w:pPr>
              <w:ind w:right="-29"/>
              <w:jc w:val="center"/>
              <w:rPr>
                <w:noProof/>
                <w:sz w:val="18"/>
              </w:rPr>
            </w:pPr>
          </w:p>
        </w:tc>
        <w:tc>
          <w:tcPr>
            <w:tcW w:w="1224" w:type="dxa"/>
            <w:gridSpan w:val="2"/>
            <w:tcBorders>
              <w:left w:val="nil"/>
            </w:tcBorders>
            <w:vAlign w:val="center"/>
          </w:tcPr>
          <w:p w14:paraId="1EF999EB" w14:textId="77777777" w:rsidR="004515FC" w:rsidRPr="00D04088" w:rsidRDefault="004515FC" w:rsidP="0029161D">
            <w:pPr>
              <w:ind w:right="-29"/>
              <w:jc w:val="center"/>
              <w:rPr>
                <w:noProof/>
                <w:sz w:val="18"/>
              </w:rPr>
            </w:pPr>
            <w:r w:rsidRPr="00D04088">
              <w:rPr>
                <w:noProof/>
                <w:sz w:val="18"/>
              </w:rPr>
              <w:t>Sena</w:t>
            </w:r>
            <w:r w:rsidRPr="00D04088">
              <w:rPr>
                <w:noProof/>
              </w:rPr>
              <w:t xml:space="preserve"> </w:t>
            </w:r>
            <w:r w:rsidRPr="00D04088">
              <w:rPr>
                <w:noProof/>
              </w:rPr>
              <w:cr/>
            </w:r>
            <w:r w:rsidRPr="00D04088">
              <w:rPr>
                <w:noProof/>
              </w:rPr>
              <w:br/>
            </w:r>
            <w:r w:rsidRPr="00D04088">
              <w:rPr>
                <w:b/>
                <w:noProof/>
                <w:sz w:val="18"/>
              </w:rPr>
              <w:t>N</w:t>
            </w:r>
          </w:p>
        </w:tc>
        <w:tc>
          <w:tcPr>
            <w:tcW w:w="1260" w:type="dxa"/>
            <w:gridSpan w:val="2"/>
            <w:vAlign w:val="center"/>
          </w:tcPr>
          <w:p w14:paraId="68929D24" w14:textId="77777777" w:rsidR="004515FC" w:rsidRPr="00D04088" w:rsidRDefault="004515FC" w:rsidP="0029161D">
            <w:pPr>
              <w:ind w:right="-29"/>
              <w:jc w:val="center"/>
              <w:rPr>
                <w:noProof/>
                <w:sz w:val="18"/>
              </w:rPr>
            </w:pPr>
            <w:r w:rsidRPr="00D04088">
              <w:rPr>
                <w:noProof/>
                <w:sz w:val="18"/>
              </w:rPr>
              <w:t>Sena</w:t>
            </w:r>
            <w:r w:rsidRPr="00D04088">
              <w:rPr>
                <w:noProof/>
              </w:rPr>
              <w:t xml:space="preserve"> </w:t>
            </w:r>
            <w:r w:rsidRPr="00D04088">
              <w:rPr>
                <w:noProof/>
              </w:rPr>
              <w:cr/>
            </w:r>
            <w:r w:rsidRPr="00D04088">
              <w:rPr>
                <w:noProof/>
              </w:rPr>
              <w:br/>
            </w:r>
            <w:r w:rsidRPr="00D04088">
              <w:rPr>
                <w:b/>
                <w:noProof/>
                <w:sz w:val="18"/>
              </w:rPr>
              <w:t>N+1</w:t>
            </w:r>
          </w:p>
        </w:tc>
        <w:tc>
          <w:tcPr>
            <w:tcW w:w="1440" w:type="dxa"/>
            <w:gridSpan w:val="2"/>
            <w:vAlign w:val="center"/>
          </w:tcPr>
          <w:p w14:paraId="5BA366F0" w14:textId="77777777" w:rsidR="004515FC" w:rsidRPr="00D04088" w:rsidRDefault="004515FC" w:rsidP="0029161D">
            <w:pPr>
              <w:ind w:right="-29"/>
              <w:jc w:val="center"/>
              <w:rPr>
                <w:noProof/>
                <w:sz w:val="18"/>
              </w:rPr>
            </w:pPr>
            <w:r w:rsidRPr="00D04088">
              <w:rPr>
                <w:noProof/>
                <w:sz w:val="18"/>
              </w:rPr>
              <w:t>Sena</w:t>
            </w:r>
            <w:r w:rsidRPr="00D04088">
              <w:rPr>
                <w:noProof/>
              </w:rPr>
              <w:t xml:space="preserve"> </w:t>
            </w:r>
            <w:r w:rsidRPr="00D04088">
              <w:rPr>
                <w:noProof/>
              </w:rPr>
              <w:cr/>
            </w:r>
            <w:r w:rsidRPr="00D04088">
              <w:rPr>
                <w:noProof/>
              </w:rPr>
              <w:br/>
            </w:r>
            <w:r w:rsidRPr="00D04088">
              <w:rPr>
                <w:b/>
                <w:noProof/>
                <w:sz w:val="18"/>
              </w:rPr>
              <w:t>N+2</w:t>
            </w:r>
          </w:p>
        </w:tc>
        <w:tc>
          <w:tcPr>
            <w:tcW w:w="1620" w:type="dxa"/>
            <w:gridSpan w:val="3"/>
            <w:vAlign w:val="center"/>
          </w:tcPr>
          <w:p w14:paraId="26B0DE81" w14:textId="77777777" w:rsidR="004515FC" w:rsidRPr="00D04088" w:rsidRDefault="004515FC" w:rsidP="0029161D">
            <w:pPr>
              <w:ind w:right="-29"/>
              <w:jc w:val="center"/>
              <w:rPr>
                <w:noProof/>
                <w:sz w:val="18"/>
              </w:rPr>
            </w:pPr>
            <w:r w:rsidRPr="00D04088">
              <w:rPr>
                <w:noProof/>
                <w:sz w:val="18"/>
              </w:rPr>
              <w:t>Sena</w:t>
            </w:r>
            <w:r w:rsidRPr="00D04088">
              <w:rPr>
                <w:noProof/>
              </w:rPr>
              <w:t xml:space="preserve"> </w:t>
            </w:r>
            <w:r w:rsidRPr="00D04088">
              <w:rPr>
                <w:noProof/>
              </w:rPr>
              <w:cr/>
            </w:r>
            <w:r w:rsidRPr="00D04088">
              <w:rPr>
                <w:noProof/>
              </w:rPr>
              <w:br/>
            </w:r>
            <w:r w:rsidRPr="00D04088">
              <w:rPr>
                <w:b/>
                <w:noProof/>
                <w:sz w:val="18"/>
              </w:rPr>
              <w:t>N+3</w:t>
            </w:r>
          </w:p>
        </w:tc>
        <w:tc>
          <w:tcPr>
            <w:tcW w:w="3600" w:type="dxa"/>
            <w:gridSpan w:val="6"/>
            <w:vAlign w:val="center"/>
          </w:tcPr>
          <w:p w14:paraId="6A54C21E" w14:textId="77777777" w:rsidR="004515FC" w:rsidRPr="00D04088" w:rsidRDefault="004515FC" w:rsidP="0029161D">
            <w:pPr>
              <w:jc w:val="center"/>
              <w:rPr>
                <w:noProof/>
                <w:sz w:val="18"/>
              </w:rPr>
            </w:pPr>
            <w:r w:rsidRPr="00D04088">
              <w:rPr>
                <w:noProof/>
                <w:sz w:val="18"/>
              </w:rPr>
              <w:t>Daħħal is-snin kollha li hemm bżonn biex turi d-durata tal-impatt (ara l-punt 1.6)</w:t>
            </w:r>
          </w:p>
        </w:tc>
        <w:tc>
          <w:tcPr>
            <w:tcW w:w="1620" w:type="dxa"/>
            <w:gridSpan w:val="2"/>
            <w:tcBorders>
              <w:left w:val="nil"/>
              <w:bottom w:val="nil"/>
            </w:tcBorders>
            <w:vAlign w:val="center"/>
          </w:tcPr>
          <w:p w14:paraId="50A7EF22" w14:textId="77777777" w:rsidR="004515FC" w:rsidRPr="00D04088" w:rsidRDefault="004515FC" w:rsidP="0029161D">
            <w:pPr>
              <w:ind w:right="-29"/>
              <w:jc w:val="center"/>
              <w:rPr>
                <w:noProof/>
                <w:sz w:val="18"/>
              </w:rPr>
            </w:pPr>
            <w:r w:rsidRPr="00D04088">
              <w:rPr>
                <w:b/>
                <w:noProof/>
                <w:sz w:val="18"/>
              </w:rPr>
              <w:t>TOTAL</w:t>
            </w:r>
          </w:p>
        </w:tc>
      </w:tr>
      <w:tr w:rsidR="004515FC" w:rsidRPr="00D04088" w14:paraId="3D603ED9" w14:textId="77777777" w:rsidTr="0029161D">
        <w:trPr>
          <w:jc w:val="center"/>
        </w:trPr>
        <w:tc>
          <w:tcPr>
            <w:tcW w:w="1423" w:type="dxa"/>
            <w:vMerge/>
            <w:vAlign w:val="center"/>
          </w:tcPr>
          <w:p w14:paraId="3E7050D5" w14:textId="77777777" w:rsidR="004515FC" w:rsidRPr="00D04088" w:rsidRDefault="004515FC" w:rsidP="0029161D">
            <w:pPr>
              <w:ind w:right="-29"/>
              <w:jc w:val="center"/>
              <w:rPr>
                <w:noProof/>
                <w:sz w:val="18"/>
              </w:rPr>
            </w:pPr>
          </w:p>
        </w:tc>
        <w:tc>
          <w:tcPr>
            <w:tcW w:w="12185" w:type="dxa"/>
            <w:gridSpan w:val="19"/>
            <w:vAlign w:val="center"/>
          </w:tcPr>
          <w:p w14:paraId="75D9BE23" w14:textId="77777777" w:rsidR="004515FC" w:rsidRPr="00D04088" w:rsidRDefault="004515FC" w:rsidP="0029161D">
            <w:pPr>
              <w:spacing w:before="60" w:after="60"/>
              <w:ind w:right="-29"/>
              <w:jc w:val="center"/>
              <w:rPr>
                <w:noProof/>
                <w:sz w:val="18"/>
              </w:rPr>
            </w:pPr>
            <w:r w:rsidRPr="00D04088">
              <w:rPr>
                <w:b/>
                <w:noProof/>
                <w:sz w:val="18"/>
              </w:rPr>
              <w:t>OUTPUTS</w:t>
            </w:r>
          </w:p>
        </w:tc>
      </w:tr>
      <w:tr w:rsidR="004515FC" w:rsidRPr="00D04088" w14:paraId="2BDAB273" w14:textId="77777777" w:rsidTr="0029161D">
        <w:trPr>
          <w:cantSplit/>
          <w:trHeight w:val="1134"/>
          <w:jc w:val="center"/>
        </w:trPr>
        <w:tc>
          <w:tcPr>
            <w:tcW w:w="1423" w:type="dxa"/>
            <w:vMerge/>
            <w:vAlign w:val="center"/>
          </w:tcPr>
          <w:p w14:paraId="3057E7AB" w14:textId="77777777" w:rsidR="004515FC" w:rsidRPr="00D04088" w:rsidRDefault="004515FC" w:rsidP="0029161D">
            <w:pPr>
              <w:rPr>
                <w:noProof/>
                <w:sz w:val="18"/>
              </w:rPr>
            </w:pPr>
          </w:p>
        </w:tc>
        <w:tc>
          <w:tcPr>
            <w:tcW w:w="720" w:type="dxa"/>
            <w:vAlign w:val="center"/>
          </w:tcPr>
          <w:p w14:paraId="375F66FC" w14:textId="77777777" w:rsidR="004515FC" w:rsidRPr="00D04088" w:rsidRDefault="004515FC" w:rsidP="0029161D">
            <w:pPr>
              <w:jc w:val="center"/>
              <w:rPr>
                <w:noProof/>
                <w:sz w:val="18"/>
              </w:rPr>
            </w:pPr>
            <w:r w:rsidRPr="00D04088">
              <w:rPr>
                <w:noProof/>
                <w:sz w:val="18"/>
              </w:rPr>
              <w:t>Tip</w:t>
            </w:r>
            <w:r w:rsidRPr="00D04088">
              <w:rPr>
                <w:rStyle w:val="FootnoteReference0"/>
                <w:noProof/>
                <w:sz w:val="18"/>
              </w:rPr>
              <w:footnoteReference w:id="48"/>
            </w:r>
          </w:p>
          <w:p w14:paraId="61FE9F8C" w14:textId="77777777" w:rsidR="004515FC" w:rsidRPr="00D04088" w:rsidRDefault="004515FC" w:rsidP="0029161D">
            <w:pPr>
              <w:spacing w:before="0" w:after="0"/>
              <w:jc w:val="center"/>
              <w:rPr>
                <w:noProof/>
                <w:sz w:val="18"/>
              </w:rPr>
            </w:pPr>
          </w:p>
        </w:tc>
        <w:tc>
          <w:tcPr>
            <w:tcW w:w="701" w:type="dxa"/>
            <w:vAlign w:val="center"/>
          </w:tcPr>
          <w:p w14:paraId="003B9B13" w14:textId="77777777" w:rsidR="004515FC" w:rsidRPr="00D04088" w:rsidRDefault="004515FC" w:rsidP="0029161D">
            <w:pPr>
              <w:jc w:val="center"/>
              <w:rPr>
                <w:noProof/>
                <w:sz w:val="18"/>
              </w:rPr>
            </w:pPr>
            <w:r w:rsidRPr="00D04088">
              <w:rPr>
                <w:noProof/>
                <w:sz w:val="18"/>
              </w:rPr>
              <w:t>Kost medju</w:t>
            </w:r>
          </w:p>
        </w:tc>
        <w:tc>
          <w:tcPr>
            <w:tcW w:w="504" w:type="dxa"/>
            <w:tcBorders>
              <w:left w:val="nil"/>
              <w:right w:val="dashSmallGap" w:sz="4" w:space="0" w:color="auto"/>
            </w:tcBorders>
            <w:shd w:val="pct10" w:color="auto" w:fill="auto"/>
            <w:textDirection w:val="btLr"/>
            <w:vAlign w:val="center"/>
          </w:tcPr>
          <w:p w14:paraId="09B8D9E2" w14:textId="77777777" w:rsidR="004515FC" w:rsidRPr="00D04088" w:rsidRDefault="004515FC" w:rsidP="0029161D">
            <w:pPr>
              <w:ind w:left="113" w:right="113"/>
              <w:jc w:val="center"/>
              <w:rPr>
                <w:noProof/>
                <w:sz w:val="18"/>
              </w:rPr>
            </w:pPr>
            <w:r w:rsidRPr="00D04088">
              <w:rPr>
                <w:noProof/>
                <w:sz w:val="18"/>
              </w:rPr>
              <w:t>Le</w:t>
            </w:r>
          </w:p>
        </w:tc>
        <w:tc>
          <w:tcPr>
            <w:tcW w:w="720" w:type="dxa"/>
            <w:tcBorders>
              <w:left w:val="dashSmallGap" w:sz="4" w:space="0" w:color="auto"/>
            </w:tcBorders>
            <w:shd w:val="pct10" w:color="auto" w:fill="auto"/>
            <w:vAlign w:val="center"/>
          </w:tcPr>
          <w:p w14:paraId="138B6C80" w14:textId="77777777" w:rsidR="004515FC" w:rsidRPr="00D04088" w:rsidRDefault="004515FC" w:rsidP="0029161D">
            <w:pPr>
              <w:jc w:val="center"/>
              <w:rPr>
                <w:noProof/>
                <w:sz w:val="18"/>
              </w:rPr>
            </w:pPr>
            <w:r w:rsidRPr="00D04088">
              <w:rPr>
                <w:noProof/>
                <w:sz w:val="18"/>
              </w:rPr>
              <w:t>Kost</w:t>
            </w:r>
          </w:p>
        </w:tc>
        <w:tc>
          <w:tcPr>
            <w:tcW w:w="540" w:type="dxa"/>
            <w:tcBorders>
              <w:right w:val="dashSmallGap" w:sz="4" w:space="0" w:color="auto"/>
            </w:tcBorders>
            <w:shd w:val="pct10" w:color="auto" w:fill="auto"/>
            <w:textDirection w:val="btLr"/>
            <w:vAlign w:val="center"/>
          </w:tcPr>
          <w:p w14:paraId="66CE3198" w14:textId="77777777" w:rsidR="004515FC" w:rsidRPr="00D04088" w:rsidRDefault="004515FC" w:rsidP="0029161D">
            <w:pPr>
              <w:ind w:left="113" w:right="113"/>
              <w:jc w:val="center"/>
              <w:rPr>
                <w:noProof/>
                <w:sz w:val="18"/>
              </w:rPr>
            </w:pPr>
            <w:r w:rsidRPr="00D04088">
              <w:rPr>
                <w:noProof/>
                <w:sz w:val="18"/>
              </w:rPr>
              <w:t>Le</w:t>
            </w:r>
          </w:p>
        </w:tc>
        <w:tc>
          <w:tcPr>
            <w:tcW w:w="720" w:type="dxa"/>
            <w:tcBorders>
              <w:left w:val="dashSmallGap" w:sz="4" w:space="0" w:color="auto"/>
            </w:tcBorders>
            <w:shd w:val="pct10" w:color="auto" w:fill="auto"/>
            <w:vAlign w:val="center"/>
          </w:tcPr>
          <w:p w14:paraId="0F5193A3" w14:textId="77777777" w:rsidR="004515FC" w:rsidRPr="00D04088" w:rsidRDefault="004515FC" w:rsidP="0029161D">
            <w:pPr>
              <w:jc w:val="center"/>
              <w:rPr>
                <w:noProof/>
                <w:sz w:val="18"/>
              </w:rPr>
            </w:pPr>
            <w:r w:rsidRPr="00D04088">
              <w:rPr>
                <w:noProof/>
                <w:sz w:val="18"/>
              </w:rPr>
              <w:t>Kost</w:t>
            </w:r>
          </w:p>
        </w:tc>
        <w:tc>
          <w:tcPr>
            <w:tcW w:w="720" w:type="dxa"/>
            <w:tcBorders>
              <w:right w:val="dashSmallGap" w:sz="4" w:space="0" w:color="auto"/>
            </w:tcBorders>
            <w:shd w:val="pct10" w:color="auto" w:fill="auto"/>
            <w:textDirection w:val="btLr"/>
            <w:vAlign w:val="center"/>
          </w:tcPr>
          <w:p w14:paraId="4799964D" w14:textId="77777777" w:rsidR="004515FC" w:rsidRPr="00D04088" w:rsidRDefault="004515FC" w:rsidP="0029161D">
            <w:pPr>
              <w:ind w:left="113" w:right="113"/>
              <w:jc w:val="center"/>
              <w:rPr>
                <w:noProof/>
                <w:sz w:val="18"/>
              </w:rPr>
            </w:pPr>
            <w:r w:rsidRPr="00D04088">
              <w:rPr>
                <w:noProof/>
                <w:sz w:val="18"/>
              </w:rPr>
              <w:t>Le</w:t>
            </w:r>
          </w:p>
        </w:tc>
        <w:tc>
          <w:tcPr>
            <w:tcW w:w="720" w:type="dxa"/>
            <w:tcBorders>
              <w:left w:val="dashSmallGap" w:sz="4" w:space="0" w:color="auto"/>
            </w:tcBorders>
            <w:shd w:val="pct10" w:color="auto" w:fill="auto"/>
            <w:vAlign w:val="center"/>
          </w:tcPr>
          <w:p w14:paraId="6A27E9C0" w14:textId="77777777" w:rsidR="004515FC" w:rsidRPr="00D04088" w:rsidRDefault="004515FC" w:rsidP="0029161D">
            <w:pPr>
              <w:jc w:val="center"/>
              <w:rPr>
                <w:noProof/>
                <w:sz w:val="18"/>
              </w:rPr>
            </w:pPr>
            <w:r w:rsidRPr="00D04088">
              <w:rPr>
                <w:noProof/>
                <w:sz w:val="18"/>
              </w:rPr>
              <w:t>Kost</w:t>
            </w:r>
          </w:p>
        </w:tc>
        <w:tc>
          <w:tcPr>
            <w:tcW w:w="900" w:type="dxa"/>
            <w:tcBorders>
              <w:right w:val="dashSmallGap" w:sz="4" w:space="0" w:color="auto"/>
            </w:tcBorders>
            <w:shd w:val="pct10" w:color="auto" w:fill="auto"/>
            <w:textDirection w:val="btLr"/>
            <w:vAlign w:val="center"/>
          </w:tcPr>
          <w:p w14:paraId="183F6C87" w14:textId="77777777" w:rsidR="004515FC" w:rsidRPr="00D04088" w:rsidRDefault="004515FC" w:rsidP="0029161D">
            <w:pPr>
              <w:ind w:left="113" w:right="113"/>
              <w:jc w:val="center"/>
              <w:rPr>
                <w:noProof/>
                <w:sz w:val="18"/>
              </w:rPr>
            </w:pPr>
            <w:r w:rsidRPr="00D04088">
              <w:rPr>
                <w:noProof/>
                <w:sz w:val="18"/>
              </w:rPr>
              <w:t>Le</w:t>
            </w:r>
          </w:p>
        </w:tc>
        <w:tc>
          <w:tcPr>
            <w:tcW w:w="720" w:type="dxa"/>
            <w:gridSpan w:val="2"/>
            <w:tcBorders>
              <w:left w:val="dashSmallGap" w:sz="4" w:space="0" w:color="auto"/>
            </w:tcBorders>
            <w:shd w:val="pct10" w:color="auto" w:fill="auto"/>
            <w:vAlign w:val="center"/>
          </w:tcPr>
          <w:p w14:paraId="54334199" w14:textId="77777777" w:rsidR="004515FC" w:rsidRPr="00D04088" w:rsidRDefault="004515FC" w:rsidP="0029161D">
            <w:pPr>
              <w:jc w:val="center"/>
              <w:rPr>
                <w:noProof/>
                <w:sz w:val="18"/>
              </w:rPr>
            </w:pPr>
            <w:r w:rsidRPr="00D04088">
              <w:rPr>
                <w:noProof/>
                <w:sz w:val="18"/>
              </w:rPr>
              <w:t>Kost</w:t>
            </w:r>
          </w:p>
        </w:tc>
        <w:tc>
          <w:tcPr>
            <w:tcW w:w="540" w:type="dxa"/>
            <w:tcBorders>
              <w:right w:val="dashSmallGap" w:sz="4" w:space="0" w:color="auto"/>
            </w:tcBorders>
            <w:shd w:val="pct10" w:color="auto" w:fill="auto"/>
            <w:textDirection w:val="btLr"/>
            <w:vAlign w:val="center"/>
          </w:tcPr>
          <w:p w14:paraId="4D685A28" w14:textId="77777777" w:rsidR="004515FC" w:rsidRPr="00D04088" w:rsidRDefault="004515FC" w:rsidP="0029161D">
            <w:pPr>
              <w:ind w:left="113" w:right="113"/>
              <w:jc w:val="center"/>
              <w:rPr>
                <w:noProof/>
                <w:sz w:val="18"/>
              </w:rPr>
            </w:pPr>
            <w:r w:rsidRPr="00D04088">
              <w:rPr>
                <w:noProof/>
                <w:sz w:val="18"/>
              </w:rPr>
              <w:t>Le</w:t>
            </w:r>
          </w:p>
        </w:tc>
        <w:tc>
          <w:tcPr>
            <w:tcW w:w="648" w:type="dxa"/>
            <w:tcBorders>
              <w:left w:val="dashSmallGap" w:sz="4" w:space="0" w:color="auto"/>
            </w:tcBorders>
            <w:shd w:val="pct10" w:color="auto" w:fill="auto"/>
            <w:vAlign w:val="center"/>
          </w:tcPr>
          <w:p w14:paraId="375786A0" w14:textId="77777777" w:rsidR="004515FC" w:rsidRPr="00D04088" w:rsidRDefault="004515FC" w:rsidP="0029161D">
            <w:pPr>
              <w:jc w:val="center"/>
              <w:rPr>
                <w:noProof/>
                <w:sz w:val="18"/>
              </w:rPr>
            </w:pPr>
            <w:r w:rsidRPr="00D04088">
              <w:rPr>
                <w:noProof/>
                <w:sz w:val="18"/>
              </w:rPr>
              <w:t>Kost</w:t>
            </w:r>
          </w:p>
        </w:tc>
        <w:tc>
          <w:tcPr>
            <w:tcW w:w="432" w:type="dxa"/>
            <w:tcBorders>
              <w:right w:val="dashSmallGap" w:sz="4" w:space="0" w:color="auto"/>
            </w:tcBorders>
            <w:shd w:val="pct10" w:color="auto" w:fill="auto"/>
            <w:textDirection w:val="btLr"/>
            <w:vAlign w:val="center"/>
          </w:tcPr>
          <w:p w14:paraId="33D476A7" w14:textId="77777777" w:rsidR="004515FC" w:rsidRPr="00D04088" w:rsidRDefault="004515FC" w:rsidP="0029161D">
            <w:pPr>
              <w:ind w:left="113" w:right="113"/>
              <w:jc w:val="center"/>
              <w:rPr>
                <w:noProof/>
                <w:sz w:val="18"/>
              </w:rPr>
            </w:pPr>
            <w:r w:rsidRPr="00D04088">
              <w:rPr>
                <w:noProof/>
                <w:sz w:val="18"/>
              </w:rPr>
              <w:t>Le</w:t>
            </w:r>
          </w:p>
        </w:tc>
        <w:tc>
          <w:tcPr>
            <w:tcW w:w="720" w:type="dxa"/>
            <w:tcBorders>
              <w:left w:val="dashSmallGap" w:sz="4" w:space="0" w:color="auto"/>
            </w:tcBorders>
            <w:shd w:val="pct10" w:color="auto" w:fill="auto"/>
            <w:vAlign w:val="center"/>
          </w:tcPr>
          <w:p w14:paraId="78D8A5ED" w14:textId="77777777" w:rsidR="004515FC" w:rsidRPr="00D04088" w:rsidRDefault="004515FC" w:rsidP="0029161D">
            <w:pPr>
              <w:jc w:val="center"/>
              <w:rPr>
                <w:noProof/>
                <w:sz w:val="18"/>
              </w:rPr>
            </w:pPr>
            <w:r w:rsidRPr="00D04088">
              <w:rPr>
                <w:noProof/>
                <w:sz w:val="18"/>
              </w:rPr>
              <w:t>Kost</w:t>
            </w:r>
          </w:p>
        </w:tc>
        <w:tc>
          <w:tcPr>
            <w:tcW w:w="540" w:type="dxa"/>
            <w:tcBorders>
              <w:right w:val="dashSmallGap" w:sz="4" w:space="0" w:color="auto"/>
            </w:tcBorders>
            <w:shd w:val="pct10" w:color="auto" w:fill="auto"/>
            <w:textDirection w:val="btLr"/>
            <w:vAlign w:val="center"/>
          </w:tcPr>
          <w:p w14:paraId="2A627D52" w14:textId="77777777" w:rsidR="004515FC" w:rsidRPr="00D04088" w:rsidRDefault="004515FC" w:rsidP="0029161D">
            <w:pPr>
              <w:ind w:left="113" w:right="113"/>
              <w:jc w:val="center"/>
              <w:rPr>
                <w:noProof/>
                <w:sz w:val="18"/>
              </w:rPr>
            </w:pPr>
            <w:r w:rsidRPr="00D04088">
              <w:rPr>
                <w:noProof/>
                <w:sz w:val="18"/>
              </w:rPr>
              <w:t>Le</w:t>
            </w:r>
          </w:p>
        </w:tc>
        <w:tc>
          <w:tcPr>
            <w:tcW w:w="720" w:type="dxa"/>
            <w:tcBorders>
              <w:left w:val="dashSmallGap" w:sz="4" w:space="0" w:color="auto"/>
            </w:tcBorders>
            <w:shd w:val="pct10" w:color="auto" w:fill="auto"/>
            <w:vAlign w:val="center"/>
          </w:tcPr>
          <w:p w14:paraId="1F6E6EF5" w14:textId="77777777" w:rsidR="004515FC" w:rsidRPr="00D04088" w:rsidRDefault="004515FC" w:rsidP="0029161D">
            <w:pPr>
              <w:jc w:val="center"/>
              <w:rPr>
                <w:noProof/>
                <w:sz w:val="18"/>
              </w:rPr>
            </w:pPr>
            <w:r w:rsidRPr="00D04088">
              <w:rPr>
                <w:noProof/>
                <w:sz w:val="18"/>
              </w:rPr>
              <w:t>Kost</w:t>
            </w:r>
          </w:p>
        </w:tc>
        <w:tc>
          <w:tcPr>
            <w:tcW w:w="720" w:type="dxa"/>
            <w:tcBorders>
              <w:right w:val="dashSmallGap" w:sz="4" w:space="0" w:color="auto"/>
            </w:tcBorders>
            <w:shd w:val="pct10" w:color="auto" w:fill="auto"/>
            <w:vAlign w:val="center"/>
          </w:tcPr>
          <w:p w14:paraId="6AA3815F" w14:textId="77777777" w:rsidR="004515FC" w:rsidRPr="00D04088" w:rsidRDefault="004515FC" w:rsidP="0029161D">
            <w:pPr>
              <w:jc w:val="center"/>
              <w:rPr>
                <w:noProof/>
                <w:sz w:val="18"/>
              </w:rPr>
            </w:pPr>
            <w:r w:rsidRPr="00D04088">
              <w:rPr>
                <w:noProof/>
                <w:sz w:val="18"/>
              </w:rPr>
              <w:t>Nru totali</w:t>
            </w:r>
          </w:p>
        </w:tc>
        <w:tc>
          <w:tcPr>
            <w:tcW w:w="900" w:type="dxa"/>
            <w:tcBorders>
              <w:left w:val="dashSmallGap" w:sz="4" w:space="0" w:color="auto"/>
            </w:tcBorders>
            <w:shd w:val="pct10" w:color="auto" w:fill="auto"/>
            <w:vAlign w:val="center"/>
          </w:tcPr>
          <w:p w14:paraId="1DA70795" w14:textId="77777777" w:rsidR="004515FC" w:rsidRPr="00D04088" w:rsidRDefault="004515FC" w:rsidP="0029161D">
            <w:pPr>
              <w:jc w:val="center"/>
              <w:rPr>
                <w:noProof/>
                <w:sz w:val="18"/>
              </w:rPr>
            </w:pPr>
            <w:r w:rsidRPr="00D04088">
              <w:rPr>
                <w:noProof/>
                <w:sz w:val="18"/>
              </w:rPr>
              <w:t>Kost totali</w:t>
            </w:r>
          </w:p>
        </w:tc>
      </w:tr>
      <w:tr w:rsidR="004515FC" w:rsidRPr="00D04088" w14:paraId="5EE1FCDB" w14:textId="77777777" w:rsidTr="0029161D">
        <w:trPr>
          <w:jc w:val="center"/>
        </w:trPr>
        <w:tc>
          <w:tcPr>
            <w:tcW w:w="2844" w:type="dxa"/>
            <w:gridSpan w:val="3"/>
            <w:vAlign w:val="center"/>
          </w:tcPr>
          <w:p w14:paraId="7FFCBF03" w14:textId="77777777" w:rsidR="004515FC" w:rsidRPr="00D04088" w:rsidRDefault="004515FC" w:rsidP="0029161D">
            <w:pPr>
              <w:spacing w:before="60" w:after="60"/>
              <w:ind w:right="-29"/>
              <w:jc w:val="center"/>
              <w:rPr>
                <w:noProof/>
                <w:sz w:val="18"/>
              </w:rPr>
            </w:pPr>
            <w:r w:rsidRPr="00D04088">
              <w:rPr>
                <w:noProof/>
                <w:sz w:val="18"/>
              </w:rPr>
              <w:t>OBJETTIV SPEĊIFIKU Nru 1</w:t>
            </w:r>
            <w:r w:rsidRPr="00D04088">
              <w:rPr>
                <w:rStyle w:val="FootnoteReference0"/>
                <w:noProof/>
                <w:sz w:val="18"/>
              </w:rPr>
              <w:footnoteReference w:id="49"/>
            </w:r>
            <w:r w:rsidRPr="00D04088">
              <w:rPr>
                <w:noProof/>
                <w:sz w:val="18"/>
              </w:rPr>
              <w:t>…</w:t>
            </w:r>
          </w:p>
        </w:tc>
        <w:tc>
          <w:tcPr>
            <w:tcW w:w="504" w:type="dxa"/>
            <w:tcBorders>
              <w:top w:val="nil"/>
              <w:left w:val="nil"/>
              <w:bottom w:val="nil"/>
              <w:right w:val="nil"/>
            </w:tcBorders>
          </w:tcPr>
          <w:p w14:paraId="1E38E31B"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076D56F5" w14:textId="77777777" w:rsidR="004515FC" w:rsidRPr="00D04088" w:rsidRDefault="004515FC" w:rsidP="0029161D">
            <w:pPr>
              <w:spacing w:before="60" w:after="60"/>
              <w:ind w:right="-29"/>
              <w:jc w:val="center"/>
              <w:rPr>
                <w:noProof/>
                <w:sz w:val="18"/>
              </w:rPr>
            </w:pPr>
          </w:p>
        </w:tc>
        <w:tc>
          <w:tcPr>
            <w:tcW w:w="540" w:type="dxa"/>
            <w:tcBorders>
              <w:top w:val="nil"/>
              <w:left w:val="nil"/>
              <w:bottom w:val="nil"/>
              <w:right w:val="nil"/>
            </w:tcBorders>
          </w:tcPr>
          <w:p w14:paraId="08ADA7CF"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090B6986"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15DBEB6F"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30E3CC2E" w14:textId="77777777" w:rsidR="004515FC" w:rsidRPr="00D04088" w:rsidRDefault="004515FC" w:rsidP="0029161D">
            <w:pPr>
              <w:spacing w:before="60" w:after="60"/>
              <w:ind w:right="-29"/>
              <w:jc w:val="center"/>
              <w:rPr>
                <w:noProof/>
                <w:sz w:val="18"/>
              </w:rPr>
            </w:pPr>
          </w:p>
        </w:tc>
        <w:tc>
          <w:tcPr>
            <w:tcW w:w="900" w:type="dxa"/>
            <w:tcBorders>
              <w:top w:val="nil"/>
              <w:left w:val="nil"/>
              <w:bottom w:val="nil"/>
              <w:right w:val="nil"/>
            </w:tcBorders>
          </w:tcPr>
          <w:p w14:paraId="2E1CC5CC" w14:textId="77777777" w:rsidR="004515FC" w:rsidRPr="00D04088" w:rsidRDefault="004515FC" w:rsidP="0029161D">
            <w:pPr>
              <w:spacing w:before="60" w:after="60"/>
              <w:ind w:right="-29"/>
              <w:jc w:val="center"/>
              <w:rPr>
                <w:noProof/>
                <w:sz w:val="18"/>
              </w:rPr>
            </w:pPr>
          </w:p>
        </w:tc>
        <w:tc>
          <w:tcPr>
            <w:tcW w:w="720" w:type="dxa"/>
            <w:gridSpan w:val="2"/>
            <w:tcBorders>
              <w:top w:val="nil"/>
              <w:left w:val="nil"/>
              <w:bottom w:val="nil"/>
              <w:right w:val="nil"/>
            </w:tcBorders>
          </w:tcPr>
          <w:p w14:paraId="20DCE8B8" w14:textId="77777777" w:rsidR="004515FC" w:rsidRPr="00D04088" w:rsidRDefault="004515FC" w:rsidP="0029161D">
            <w:pPr>
              <w:spacing w:before="60" w:after="60"/>
              <w:ind w:right="-29"/>
              <w:jc w:val="center"/>
              <w:rPr>
                <w:noProof/>
                <w:sz w:val="18"/>
              </w:rPr>
            </w:pPr>
          </w:p>
        </w:tc>
        <w:tc>
          <w:tcPr>
            <w:tcW w:w="540" w:type="dxa"/>
            <w:tcBorders>
              <w:top w:val="nil"/>
              <w:left w:val="nil"/>
              <w:bottom w:val="nil"/>
              <w:right w:val="nil"/>
            </w:tcBorders>
          </w:tcPr>
          <w:p w14:paraId="55D8AADE" w14:textId="77777777" w:rsidR="004515FC" w:rsidRPr="00D04088" w:rsidRDefault="004515FC" w:rsidP="0029161D">
            <w:pPr>
              <w:spacing w:before="60" w:after="60"/>
              <w:ind w:right="-29"/>
              <w:jc w:val="center"/>
              <w:rPr>
                <w:noProof/>
                <w:sz w:val="18"/>
              </w:rPr>
            </w:pPr>
          </w:p>
        </w:tc>
        <w:tc>
          <w:tcPr>
            <w:tcW w:w="648" w:type="dxa"/>
            <w:tcBorders>
              <w:top w:val="nil"/>
              <w:left w:val="nil"/>
              <w:bottom w:val="nil"/>
              <w:right w:val="nil"/>
            </w:tcBorders>
          </w:tcPr>
          <w:p w14:paraId="741FE02F" w14:textId="77777777" w:rsidR="004515FC" w:rsidRPr="00D04088" w:rsidRDefault="004515FC" w:rsidP="0029161D">
            <w:pPr>
              <w:spacing w:before="60" w:after="60"/>
              <w:ind w:right="-29"/>
              <w:jc w:val="center"/>
              <w:rPr>
                <w:noProof/>
                <w:sz w:val="18"/>
              </w:rPr>
            </w:pPr>
          </w:p>
        </w:tc>
        <w:tc>
          <w:tcPr>
            <w:tcW w:w="432" w:type="dxa"/>
            <w:tcBorders>
              <w:top w:val="nil"/>
              <w:left w:val="nil"/>
              <w:bottom w:val="nil"/>
              <w:right w:val="nil"/>
            </w:tcBorders>
          </w:tcPr>
          <w:p w14:paraId="05E86D9A"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40C1709B" w14:textId="77777777" w:rsidR="004515FC" w:rsidRPr="00D04088" w:rsidRDefault="004515FC" w:rsidP="0029161D">
            <w:pPr>
              <w:spacing w:before="60" w:after="60"/>
              <w:ind w:right="-29"/>
              <w:jc w:val="center"/>
              <w:rPr>
                <w:noProof/>
                <w:sz w:val="18"/>
              </w:rPr>
            </w:pPr>
          </w:p>
        </w:tc>
        <w:tc>
          <w:tcPr>
            <w:tcW w:w="540" w:type="dxa"/>
            <w:tcBorders>
              <w:top w:val="nil"/>
              <w:left w:val="nil"/>
              <w:bottom w:val="nil"/>
              <w:right w:val="nil"/>
            </w:tcBorders>
          </w:tcPr>
          <w:p w14:paraId="5809C4F8"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09D6560F"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7EB02981" w14:textId="77777777" w:rsidR="004515FC" w:rsidRPr="00D04088" w:rsidRDefault="004515FC" w:rsidP="0029161D">
            <w:pPr>
              <w:spacing w:before="60" w:after="60"/>
              <w:ind w:right="-29"/>
              <w:jc w:val="center"/>
              <w:rPr>
                <w:noProof/>
                <w:sz w:val="18"/>
              </w:rPr>
            </w:pPr>
          </w:p>
        </w:tc>
        <w:tc>
          <w:tcPr>
            <w:tcW w:w="900" w:type="dxa"/>
            <w:tcBorders>
              <w:top w:val="nil"/>
              <w:left w:val="nil"/>
              <w:bottom w:val="nil"/>
              <w:right w:val="nil"/>
            </w:tcBorders>
          </w:tcPr>
          <w:p w14:paraId="47353293" w14:textId="77777777" w:rsidR="004515FC" w:rsidRPr="00D04088" w:rsidRDefault="004515FC" w:rsidP="0029161D">
            <w:pPr>
              <w:spacing w:before="60" w:after="60"/>
              <w:ind w:right="-29"/>
              <w:jc w:val="center"/>
              <w:rPr>
                <w:noProof/>
                <w:sz w:val="18"/>
              </w:rPr>
            </w:pPr>
          </w:p>
        </w:tc>
      </w:tr>
      <w:tr w:rsidR="004515FC" w:rsidRPr="00D04088" w14:paraId="0056DEC4" w14:textId="77777777" w:rsidTr="0029161D">
        <w:trPr>
          <w:trHeight w:hRule="exact" w:val="369"/>
          <w:jc w:val="center"/>
        </w:trPr>
        <w:tc>
          <w:tcPr>
            <w:tcW w:w="1423" w:type="dxa"/>
          </w:tcPr>
          <w:p w14:paraId="1EAE3407" w14:textId="77777777" w:rsidR="004515FC" w:rsidRPr="00D04088" w:rsidRDefault="004515FC" w:rsidP="0029161D">
            <w:pPr>
              <w:ind w:right="-29"/>
              <w:jc w:val="center"/>
              <w:rPr>
                <w:noProof/>
                <w:sz w:val="18"/>
              </w:rPr>
            </w:pPr>
            <w:r w:rsidRPr="00D04088">
              <w:rPr>
                <w:noProof/>
                <w:sz w:val="18"/>
              </w:rPr>
              <w:t>- Output</w:t>
            </w:r>
          </w:p>
        </w:tc>
        <w:tc>
          <w:tcPr>
            <w:tcW w:w="720" w:type="dxa"/>
          </w:tcPr>
          <w:p w14:paraId="1C0EBB8C" w14:textId="77777777" w:rsidR="004515FC" w:rsidRPr="00D04088" w:rsidRDefault="004515FC" w:rsidP="0029161D">
            <w:pPr>
              <w:ind w:right="-29"/>
              <w:jc w:val="center"/>
              <w:rPr>
                <w:noProof/>
                <w:sz w:val="18"/>
              </w:rPr>
            </w:pPr>
          </w:p>
        </w:tc>
        <w:tc>
          <w:tcPr>
            <w:tcW w:w="701" w:type="dxa"/>
          </w:tcPr>
          <w:p w14:paraId="7C3DBCE0" w14:textId="77777777" w:rsidR="004515FC" w:rsidRPr="00D04088" w:rsidRDefault="004515FC" w:rsidP="0029161D">
            <w:pPr>
              <w:ind w:right="-29"/>
              <w:jc w:val="center"/>
              <w:rPr>
                <w:noProof/>
                <w:sz w:val="18"/>
              </w:rPr>
            </w:pPr>
          </w:p>
        </w:tc>
        <w:tc>
          <w:tcPr>
            <w:tcW w:w="504" w:type="dxa"/>
            <w:tcBorders>
              <w:right w:val="dashSmallGap" w:sz="4" w:space="0" w:color="auto"/>
            </w:tcBorders>
          </w:tcPr>
          <w:p w14:paraId="6783E777"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4A53B771" w14:textId="77777777" w:rsidR="004515FC" w:rsidRPr="00D04088" w:rsidRDefault="004515FC" w:rsidP="0029161D">
            <w:pPr>
              <w:ind w:right="-29"/>
              <w:jc w:val="center"/>
              <w:rPr>
                <w:noProof/>
                <w:sz w:val="18"/>
              </w:rPr>
            </w:pPr>
          </w:p>
        </w:tc>
        <w:tc>
          <w:tcPr>
            <w:tcW w:w="540" w:type="dxa"/>
            <w:tcBorders>
              <w:right w:val="dashSmallGap" w:sz="4" w:space="0" w:color="auto"/>
            </w:tcBorders>
          </w:tcPr>
          <w:p w14:paraId="08B14385"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1377F426" w14:textId="77777777" w:rsidR="004515FC" w:rsidRPr="00D04088" w:rsidRDefault="004515FC" w:rsidP="0029161D">
            <w:pPr>
              <w:ind w:right="-29"/>
              <w:jc w:val="center"/>
              <w:rPr>
                <w:noProof/>
                <w:sz w:val="18"/>
              </w:rPr>
            </w:pPr>
          </w:p>
        </w:tc>
        <w:tc>
          <w:tcPr>
            <w:tcW w:w="720" w:type="dxa"/>
            <w:tcBorders>
              <w:right w:val="dashSmallGap" w:sz="4" w:space="0" w:color="auto"/>
            </w:tcBorders>
          </w:tcPr>
          <w:p w14:paraId="7BDE1D6F"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131C1E0B" w14:textId="77777777" w:rsidR="004515FC" w:rsidRPr="00D04088" w:rsidRDefault="004515FC" w:rsidP="0029161D">
            <w:pPr>
              <w:ind w:right="-29"/>
              <w:jc w:val="center"/>
              <w:rPr>
                <w:noProof/>
                <w:sz w:val="18"/>
              </w:rPr>
            </w:pPr>
          </w:p>
        </w:tc>
        <w:tc>
          <w:tcPr>
            <w:tcW w:w="900" w:type="dxa"/>
            <w:tcBorders>
              <w:right w:val="dashSmallGap" w:sz="4" w:space="0" w:color="auto"/>
            </w:tcBorders>
          </w:tcPr>
          <w:p w14:paraId="38B94312" w14:textId="77777777" w:rsidR="004515FC" w:rsidRPr="00D04088" w:rsidRDefault="004515FC" w:rsidP="0029161D">
            <w:pPr>
              <w:ind w:right="-29"/>
              <w:jc w:val="center"/>
              <w:rPr>
                <w:noProof/>
                <w:sz w:val="18"/>
              </w:rPr>
            </w:pPr>
          </w:p>
        </w:tc>
        <w:tc>
          <w:tcPr>
            <w:tcW w:w="720" w:type="dxa"/>
            <w:gridSpan w:val="2"/>
            <w:tcBorders>
              <w:left w:val="dashSmallGap" w:sz="4" w:space="0" w:color="auto"/>
            </w:tcBorders>
          </w:tcPr>
          <w:p w14:paraId="364ED06C" w14:textId="77777777" w:rsidR="004515FC" w:rsidRPr="00D04088" w:rsidRDefault="004515FC" w:rsidP="0029161D">
            <w:pPr>
              <w:ind w:right="-29"/>
              <w:jc w:val="center"/>
              <w:rPr>
                <w:noProof/>
                <w:sz w:val="18"/>
              </w:rPr>
            </w:pPr>
          </w:p>
        </w:tc>
        <w:tc>
          <w:tcPr>
            <w:tcW w:w="540" w:type="dxa"/>
            <w:tcBorders>
              <w:right w:val="dashSmallGap" w:sz="4" w:space="0" w:color="auto"/>
            </w:tcBorders>
          </w:tcPr>
          <w:p w14:paraId="089E92A2" w14:textId="77777777" w:rsidR="004515FC" w:rsidRPr="00D04088" w:rsidRDefault="004515FC" w:rsidP="0029161D">
            <w:pPr>
              <w:ind w:right="-29"/>
              <w:jc w:val="center"/>
              <w:rPr>
                <w:noProof/>
                <w:sz w:val="18"/>
              </w:rPr>
            </w:pPr>
          </w:p>
        </w:tc>
        <w:tc>
          <w:tcPr>
            <w:tcW w:w="648" w:type="dxa"/>
            <w:tcBorders>
              <w:left w:val="dashSmallGap" w:sz="4" w:space="0" w:color="auto"/>
            </w:tcBorders>
          </w:tcPr>
          <w:p w14:paraId="466C0AB2" w14:textId="77777777" w:rsidR="004515FC" w:rsidRPr="00D04088" w:rsidRDefault="004515FC" w:rsidP="0029161D">
            <w:pPr>
              <w:ind w:right="-29"/>
              <w:jc w:val="center"/>
              <w:rPr>
                <w:noProof/>
                <w:sz w:val="18"/>
              </w:rPr>
            </w:pPr>
          </w:p>
        </w:tc>
        <w:tc>
          <w:tcPr>
            <w:tcW w:w="432" w:type="dxa"/>
            <w:tcBorders>
              <w:right w:val="dashSmallGap" w:sz="4" w:space="0" w:color="auto"/>
            </w:tcBorders>
          </w:tcPr>
          <w:p w14:paraId="39E33132"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5BE31F88" w14:textId="77777777" w:rsidR="004515FC" w:rsidRPr="00D04088" w:rsidRDefault="004515FC" w:rsidP="0029161D">
            <w:pPr>
              <w:ind w:right="-29"/>
              <w:jc w:val="center"/>
              <w:rPr>
                <w:noProof/>
                <w:sz w:val="18"/>
              </w:rPr>
            </w:pPr>
          </w:p>
        </w:tc>
        <w:tc>
          <w:tcPr>
            <w:tcW w:w="540" w:type="dxa"/>
            <w:tcBorders>
              <w:right w:val="dashSmallGap" w:sz="4" w:space="0" w:color="auto"/>
            </w:tcBorders>
          </w:tcPr>
          <w:p w14:paraId="333D927A"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5C2925A4" w14:textId="77777777" w:rsidR="004515FC" w:rsidRPr="00D04088" w:rsidRDefault="004515FC" w:rsidP="0029161D">
            <w:pPr>
              <w:ind w:right="-29"/>
              <w:jc w:val="center"/>
              <w:rPr>
                <w:noProof/>
                <w:sz w:val="18"/>
              </w:rPr>
            </w:pPr>
          </w:p>
        </w:tc>
        <w:tc>
          <w:tcPr>
            <w:tcW w:w="720" w:type="dxa"/>
          </w:tcPr>
          <w:p w14:paraId="3195DDD2" w14:textId="77777777" w:rsidR="004515FC" w:rsidRPr="00D04088" w:rsidRDefault="004515FC" w:rsidP="0029161D">
            <w:pPr>
              <w:ind w:right="-29"/>
              <w:jc w:val="center"/>
              <w:rPr>
                <w:noProof/>
                <w:sz w:val="18"/>
              </w:rPr>
            </w:pPr>
          </w:p>
        </w:tc>
        <w:tc>
          <w:tcPr>
            <w:tcW w:w="900" w:type="dxa"/>
          </w:tcPr>
          <w:p w14:paraId="5D6B8193" w14:textId="77777777" w:rsidR="004515FC" w:rsidRPr="00D04088" w:rsidRDefault="004515FC" w:rsidP="0029161D">
            <w:pPr>
              <w:ind w:right="-29"/>
              <w:jc w:val="center"/>
              <w:rPr>
                <w:noProof/>
                <w:sz w:val="18"/>
              </w:rPr>
            </w:pPr>
          </w:p>
        </w:tc>
      </w:tr>
      <w:tr w:rsidR="004515FC" w:rsidRPr="00D04088" w14:paraId="64A53CDE" w14:textId="77777777" w:rsidTr="0029161D">
        <w:trPr>
          <w:trHeight w:hRule="exact" w:val="369"/>
          <w:jc w:val="center"/>
        </w:trPr>
        <w:tc>
          <w:tcPr>
            <w:tcW w:w="1423" w:type="dxa"/>
          </w:tcPr>
          <w:p w14:paraId="1FACAA12" w14:textId="77777777" w:rsidR="004515FC" w:rsidRPr="00D04088" w:rsidRDefault="004515FC" w:rsidP="0029161D">
            <w:pPr>
              <w:ind w:right="-29"/>
              <w:jc w:val="center"/>
              <w:rPr>
                <w:noProof/>
                <w:sz w:val="18"/>
              </w:rPr>
            </w:pPr>
            <w:r w:rsidRPr="00D04088">
              <w:rPr>
                <w:noProof/>
                <w:sz w:val="18"/>
              </w:rPr>
              <w:t>- Output</w:t>
            </w:r>
          </w:p>
        </w:tc>
        <w:tc>
          <w:tcPr>
            <w:tcW w:w="720" w:type="dxa"/>
          </w:tcPr>
          <w:p w14:paraId="3E05361A" w14:textId="77777777" w:rsidR="004515FC" w:rsidRPr="00D04088" w:rsidRDefault="004515FC" w:rsidP="0029161D">
            <w:pPr>
              <w:ind w:right="-29"/>
              <w:jc w:val="center"/>
              <w:rPr>
                <w:noProof/>
                <w:sz w:val="18"/>
              </w:rPr>
            </w:pPr>
          </w:p>
        </w:tc>
        <w:tc>
          <w:tcPr>
            <w:tcW w:w="701" w:type="dxa"/>
          </w:tcPr>
          <w:p w14:paraId="68F96932" w14:textId="77777777" w:rsidR="004515FC" w:rsidRPr="00D04088" w:rsidRDefault="004515FC" w:rsidP="0029161D">
            <w:pPr>
              <w:ind w:right="-29"/>
              <w:jc w:val="center"/>
              <w:rPr>
                <w:noProof/>
                <w:sz w:val="18"/>
              </w:rPr>
            </w:pPr>
          </w:p>
        </w:tc>
        <w:tc>
          <w:tcPr>
            <w:tcW w:w="504" w:type="dxa"/>
            <w:tcBorders>
              <w:right w:val="dashSmallGap" w:sz="4" w:space="0" w:color="auto"/>
            </w:tcBorders>
          </w:tcPr>
          <w:p w14:paraId="434596A1"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5FB074CE" w14:textId="77777777" w:rsidR="004515FC" w:rsidRPr="00D04088" w:rsidRDefault="004515FC" w:rsidP="0029161D">
            <w:pPr>
              <w:ind w:right="-29"/>
              <w:jc w:val="center"/>
              <w:rPr>
                <w:noProof/>
                <w:sz w:val="18"/>
              </w:rPr>
            </w:pPr>
          </w:p>
        </w:tc>
        <w:tc>
          <w:tcPr>
            <w:tcW w:w="540" w:type="dxa"/>
            <w:tcBorders>
              <w:right w:val="dashSmallGap" w:sz="4" w:space="0" w:color="auto"/>
            </w:tcBorders>
          </w:tcPr>
          <w:p w14:paraId="0F7DE645"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6BF799F7" w14:textId="77777777" w:rsidR="004515FC" w:rsidRPr="00D04088" w:rsidRDefault="004515FC" w:rsidP="0029161D">
            <w:pPr>
              <w:ind w:right="-29"/>
              <w:jc w:val="center"/>
              <w:rPr>
                <w:noProof/>
                <w:sz w:val="18"/>
              </w:rPr>
            </w:pPr>
          </w:p>
        </w:tc>
        <w:tc>
          <w:tcPr>
            <w:tcW w:w="720" w:type="dxa"/>
            <w:tcBorders>
              <w:right w:val="dashSmallGap" w:sz="4" w:space="0" w:color="auto"/>
            </w:tcBorders>
          </w:tcPr>
          <w:p w14:paraId="14DA7BB7"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1CC8CD03" w14:textId="77777777" w:rsidR="004515FC" w:rsidRPr="00D04088" w:rsidRDefault="004515FC" w:rsidP="0029161D">
            <w:pPr>
              <w:ind w:right="-29"/>
              <w:jc w:val="center"/>
              <w:rPr>
                <w:noProof/>
                <w:sz w:val="18"/>
              </w:rPr>
            </w:pPr>
          </w:p>
        </w:tc>
        <w:tc>
          <w:tcPr>
            <w:tcW w:w="900" w:type="dxa"/>
            <w:tcBorders>
              <w:right w:val="dashSmallGap" w:sz="4" w:space="0" w:color="auto"/>
            </w:tcBorders>
          </w:tcPr>
          <w:p w14:paraId="5E6DA209" w14:textId="77777777" w:rsidR="004515FC" w:rsidRPr="00D04088" w:rsidRDefault="004515FC" w:rsidP="0029161D">
            <w:pPr>
              <w:ind w:right="-29"/>
              <w:jc w:val="center"/>
              <w:rPr>
                <w:noProof/>
                <w:sz w:val="18"/>
              </w:rPr>
            </w:pPr>
          </w:p>
        </w:tc>
        <w:tc>
          <w:tcPr>
            <w:tcW w:w="720" w:type="dxa"/>
            <w:gridSpan w:val="2"/>
            <w:tcBorders>
              <w:left w:val="dashSmallGap" w:sz="4" w:space="0" w:color="auto"/>
            </w:tcBorders>
          </w:tcPr>
          <w:p w14:paraId="2EEE2B15" w14:textId="77777777" w:rsidR="004515FC" w:rsidRPr="00D04088" w:rsidRDefault="004515FC" w:rsidP="0029161D">
            <w:pPr>
              <w:ind w:right="-29"/>
              <w:jc w:val="center"/>
              <w:rPr>
                <w:noProof/>
                <w:sz w:val="18"/>
              </w:rPr>
            </w:pPr>
          </w:p>
        </w:tc>
        <w:tc>
          <w:tcPr>
            <w:tcW w:w="540" w:type="dxa"/>
            <w:tcBorders>
              <w:right w:val="dashSmallGap" w:sz="4" w:space="0" w:color="auto"/>
            </w:tcBorders>
          </w:tcPr>
          <w:p w14:paraId="01F7891E" w14:textId="77777777" w:rsidR="004515FC" w:rsidRPr="00D04088" w:rsidRDefault="004515FC" w:rsidP="0029161D">
            <w:pPr>
              <w:ind w:right="-29"/>
              <w:jc w:val="center"/>
              <w:rPr>
                <w:noProof/>
                <w:sz w:val="18"/>
              </w:rPr>
            </w:pPr>
          </w:p>
        </w:tc>
        <w:tc>
          <w:tcPr>
            <w:tcW w:w="648" w:type="dxa"/>
            <w:tcBorders>
              <w:left w:val="dashSmallGap" w:sz="4" w:space="0" w:color="auto"/>
            </w:tcBorders>
          </w:tcPr>
          <w:p w14:paraId="1053F820" w14:textId="77777777" w:rsidR="004515FC" w:rsidRPr="00D04088" w:rsidRDefault="004515FC" w:rsidP="0029161D">
            <w:pPr>
              <w:ind w:right="-29"/>
              <w:jc w:val="center"/>
              <w:rPr>
                <w:noProof/>
                <w:sz w:val="18"/>
              </w:rPr>
            </w:pPr>
          </w:p>
        </w:tc>
        <w:tc>
          <w:tcPr>
            <w:tcW w:w="432" w:type="dxa"/>
            <w:tcBorders>
              <w:right w:val="dashSmallGap" w:sz="4" w:space="0" w:color="auto"/>
            </w:tcBorders>
          </w:tcPr>
          <w:p w14:paraId="0062AE43"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64C3E128" w14:textId="77777777" w:rsidR="004515FC" w:rsidRPr="00D04088" w:rsidRDefault="004515FC" w:rsidP="0029161D">
            <w:pPr>
              <w:ind w:right="-29"/>
              <w:jc w:val="center"/>
              <w:rPr>
                <w:noProof/>
                <w:sz w:val="18"/>
              </w:rPr>
            </w:pPr>
          </w:p>
        </w:tc>
        <w:tc>
          <w:tcPr>
            <w:tcW w:w="540" w:type="dxa"/>
            <w:tcBorders>
              <w:right w:val="dashSmallGap" w:sz="4" w:space="0" w:color="auto"/>
            </w:tcBorders>
          </w:tcPr>
          <w:p w14:paraId="49A1AACD" w14:textId="77777777" w:rsidR="004515FC" w:rsidRPr="00D04088" w:rsidRDefault="004515FC" w:rsidP="0029161D">
            <w:pPr>
              <w:ind w:right="-29"/>
              <w:jc w:val="center"/>
              <w:rPr>
                <w:noProof/>
                <w:sz w:val="18"/>
              </w:rPr>
            </w:pPr>
          </w:p>
        </w:tc>
        <w:tc>
          <w:tcPr>
            <w:tcW w:w="720" w:type="dxa"/>
            <w:tcBorders>
              <w:left w:val="dashSmallGap" w:sz="4" w:space="0" w:color="auto"/>
            </w:tcBorders>
          </w:tcPr>
          <w:p w14:paraId="5A225895" w14:textId="77777777" w:rsidR="004515FC" w:rsidRPr="00D04088" w:rsidRDefault="004515FC" w:rsidP="0029161D">
            <w:pPr>
              <w:ind w:right="-29"/>
              <w:jc w:val="center"/>
              <w:rPr>
                <w:noProof/>
                <w:sz w:val="18"/>
              </w:rPr>
            </w:pPr>
          </w:p>
        </w:tc>
        <w:tc>
          <w:tcPr>
            <w:tcW w:w="720" w:type="dxa"/>
          </w:tcPr>
          <w:p w14:paraId="72AD2B5C" w14:textId="77777777" w:rsidR="004515FC" w:rsidRPr="00D04088" w:rsidRDefault="004515FC" w:rsidP="0029161D">
            <w:pPr>
              <w:ind w:right="-29"/>
              <w:jc w:val="center"/>
              <w:rPr>
                <w:noProof/>
                <w:sz w:val="18"/>
              </w:rPr>
            </w:pPr>
          </w:p>
        </w:tc>
        <w:tc>
          <w:tcPr>
            <w:tcW w:w="900" w:type="dxa"/>
          </w:tcPr>
          <w:p w14:paraId="78656373" w14:textId="77777777" w:rsidR="004515FC" w:rsidRPr="00D04088" w:rsidRDefault="004515FC" w:rsidP="0029161D">
            <w:pPr>
              <w:ind w:right="-29"/>
              <w:jc w:val="center"/>
              <w:rPr>
                <w:noProof/>
                <w:sz w:val="18"/>
              </w:rPr>
            </w:pPr>
          </w:p>
        </w:tc>
      </w:tr>
      <w:tr w:rsidR="004515FC" w:rsidRPr="00D04088" w14:paraId="6A816306" w14:textId="77777777" w:rsidTr="0029161D">
        <w:trPr>
          <w:trHeight w:hRule="exact" w:val="369"/>
          <w:jc w:val="center"/>
        </w:trPr>
        <w:tc>
          <w:tcPr>
            <w:tcW w:w="1423" w:type="dxa"/>
          </w:tcPr>
          <w:p w14:paraId="321D07DC" w14:textId="77777777" w:rsidR="004515FC" w:rsidRPr="00D04088" w:rsidRDefault="004515FC" w:rsidP="0029161D">
            <w:pPr>
              <w:ind w:right="-29"/>
              <w:jc w:val="center"/>
              <w:rPr>
                <w:noProof/>
                <w:sz w:val="18"/>
              </w:rPr>
            </w:pPr>
            <w:r w:rsidRPr="00D04088">
              <w:rPr>
                <w:noProof/>
                <w:sz w:val="18"/>
              </w:rPr>
              <w:t>- Output</w:t>
            </w:r>
          </w:p>
        </w:tc>
        <w:tc>
          <w:tcPr>
            <w:tcW w:w="720" w:type="dxa"/>
          </w:tcPr>
          <w:p w14:paraId="1EC35C63" w14:textId="77777777" w:rsidR="004515FC" w:rsidRPr="00D04088" w:rsidRDefault="004515FC" w:rsidP="0029161D">
            <w:pPr>
              <w:ind w:right="-29"/>
              <w:jc w:val="center"/>
              <w:rPr>
                <w:noProof/>
                <w:sz w:val="18"/>
              </w:rPr>
            </w:pPr>
          </w:p>
        </w:tc>
        <w:tc>
          <w:tcPr>
            <w:tcW w:w="701" w:type="dxa"/>
          </w:tcPr>
          <w:p w14:paraId="47BC1728" w14:textId="77777777" w:rsidR="004515FC" w:rsidRPr="00D04088" w:rsidRDefault="004515FC" w:rsidP="0029161D">
            <w:pPr>
              <w:ind w:right="-29"/>
              <w:jc w:val="center"/>
              <w:rPr>
                <w:noProof/>
                <w:sz w:val="18"/>
              </w:rPr>
            </w:pPr>
          </w:p>
        </w:tc>
        <w:tc>
          <w:tcPr>
            <w:tcW w:w="504" w:type="dxa"/>
          </w:tcPr>
          <w:p w14:paraId="15D14787" w14:textId="77777777" w:rsidR="004515FC" w:rsidRPr="00D04088" w:rsidRDefault="004515FC" w:rsidP="0029161D">
            <w:pPr>
              <w:ind w:right="-29"/>
              <w:jc w:val="center"/>
              <w:rPr>
                <w:noProof/>
                <w:sz w:val="18"/>
              </w:rPr>
            </w:pPr>
          </w:p>
        </w:tc>
        <w:tc>
          <w:tcPr>
            <w:tcW w:w="720" w:type="dxa"/>
          </w:tcPr>
          <w:p w14:paraId="18B1D266" w14:textId="77777777" w:rsidR="004515FC" w:rsidRPr="00D04088" w:rsidRDefault="004515FC" w:rsidP="0029161D">
            <w:pPr>
              <w:ind w:right="-29"/>
              <w:jc w:val="center"/>
              <w:rPr>
                <w:noProof/>
                <w:sz w:val="18"/>
              </w:rPr>
            </w:pPr>
          </w:p>
        </w:tc>
        <w:tc>
          <w:tcPr>
            <w:tcW w:w="540" w:type="dxa"/>
          </w:tcPr>
          <w:p w14:paraId="78E14A0D" w14:textId="77777777" w:rsidR="004515FC" w:rsidRPr="00D04088" w:rsidRDefault="004515FC" w:rsidP="0029161D">
            <w:pPr>
              <w:ind w:right="-29"/>
              <w:jc w:val="center"/>
              <w:rPr>
                <w:noProof/>
                <w:sz w:val="18"/>
              </w:rPr>
            </w:pPr>
          </w:p>
        </w:tc>
        <w:tc>
          <w:tcPr>
            <w:tcW w:w="720" w:type="dxa"/>
          </w:tcPr>
          <w:p w14:paraId="75E2BAFF" w14:textId="77777777" w:rsidR="004515FC" w:rsidRPr="00D04088" w:rsidRDefault="004515FC" w:rsidP="0029161D">
            <w:pPr>
              <w:ind w:right="-29"/>
              <w:jc w:val="center"/>
              <w:rPr>
                <w:noProof/>
                <w:sz w:val="18"/>
              </w:rPr>
            </w:pPr>
          </w:p>
        </w:tc>
        <w:tc>
          <w:tcPr>
            <w:tcW w:w="720" w:type="dxa"/>
          </w:tcPr>
          <w:p w14:paraId="162CC698" w14:textId="77777777" w:rsidR="004515FC" w:rsidRPr="00D04088" w:rsidRDefault="004515FC" w:rsidP="0029161D">
            <w:pPr>
              <w:ind w:right="-29"/>
              <w:jc w:val="center"/>
              <w:rPr>
                <w:noProof/>
                <w:sz w:val="18"/>
              </w:rPr>
            </w:pPr>
          </w:p>
        </w:tc>
        <w:tc>
          <w:tcPr>
            <w:tcW w:w="720" w:type="dxa"/>
          </w:tcPr>
          <w:p w14:paraId="4ECB75BB" w14:textId="77777777" w:rsidR="004515FC" w:rsidRPr="00D04088" w:rsidRDefault="004515FC" w:rsidP="0029161D">
            <w:pPr>
              <w:ind w:right="-29"/>
              <w:jc w:val="center"/>
              <w:rPr>
                <w:noProof/>
                <w:sz w:val="18"/>
              </w:rPr>
            </w:pPr>
          </w:p>
        </w:tc>
        <w:tc>
          <w:tcPr>
            <w:tcW w:w="900" w:type="dxa"/>
          </w:tcPr>
          <w:p w14:paraId="6E706FD5" w14:textId="77777777" w:rsidR="004515FC" w:rsidRPr="00D04088" w:rsidRDefault="004515FC" w:rsidP="0029161D">
            <w:pPr>
              <w:ind w:right="-29"/>
              <w:jc w:val="center"/>
              <w:rPr>
                <w:noProof/>
                <w:sz w:val="18"/>
              </w:rPr>
            </w:pPr>
          </w:p>
        </w:tc>
        <w:tc>
          <w:tcPr>
            <w:tcW w:w="720" w:type="dxa"/>
            <w:gridSpan w:val="2"/>
          </w:tcPr>
          <w:p w14:paraId="6A7F239B" w14:textId="77777777" w:rsidR="004515FC" w:rsidRPr="00D04088" w:rsidRDefault="004515FC" w:rsidP="0029161D">
            <w:pPr>
              <w:ind w:right="-29"/>
              <w:jc w:val="center"/>
              <w:rPr>
                <w:noProof/>
                <w:sz w:val="18"/>
              </w:rPr>
            </w:pPr>
          </w:p>
        </w:tc>
        <w:tc>
          <w:tcPr>
            <w:tcW w:w="540" w:type="dxa"/>
          </w:tcPr>
          <w:p w14:paraId="2A85DA6F" w14:textId="77777777" w:rsidR="004515FC" w:rsidRPr="00D04088" w:rsidRDefault="004515FC" w:rsidP="0029161D">
            <w:pPr>
              <w:ind w:right="-29"/>
              <w:jc w:val="center"/>
              <w:rPr>
                <w:noProof/>
                <w:sz w:val="18"/>
              </w:rPr>
            </w:pPr>
          </w:p>
        </w:tc>
        <w:tc>
          <w:tcPr>
            <w:tcW w:w="648" w:type="dxa"/>
          </w:tcPr>
          <w:p w14:paraId="6C19A817" w14:textId="77777777" w:rsidR="004515FC" w:rsidRPr="00D04088" w:rsidRDefault="004515FC" w:rsidP="0029161D">
            <w:pPr>
              <w:ind w:right="-29"/>
              <w:jc w:val="center"/>
              <w:rPr>
                <w:noProof/>
                <w:sz w:val="18"/>
              </w:rPr>
            </w:pPr>
          </w:p>
        </w:tc>
        <w:tc>
          <w:tcPr>
            <w:tcW w:w="432" w:type="dxa"/>
          </w:tcPr>
          <w:p w14:paraId="2F527D68" w14:textId="77777777" w:rsidR="004515FC" w:rsidRPr="00D04088" w:rsidRDefault="004515FC" w:rsidP="0029161D">
            <w:pPr>
              <w:ind w:right="-29"/>
              <w:jc w:val="center"/>
              <w:rPr>
                <w:noProof/>
                <w:sz w:val="18"/>
              </w:rPr>
            </w:pPr>
          </w:p>
        </w:tc>
        <w:tc>
          <w:tcPr>
            <w:tcW w:w="720" w:type="dxa"/>
          </w:tcPr>
          <w:p w14:paraId="0AA1CCC9" w14:textId="77777777" w:rsidR="004515FC" w:rsidRPr="00D04088" w:rsidRDefault="004515FC" w:rsidP="0029161D">
            <w:pPr>
              <w:ind w:right="-29"/>
              <w:jc w:val="center"/>
              <w:rPr>
                <w:noProof/>
                <w:sz w:val="18"/>
              </w:rPr>
            </w:pPr>
          </w:p>
        </w:tc>
        <w:tc>
          <w:tcPr>
            <w:tcW w:w="540" w:type="dxa"/>
          </w:tcPr>
          <w:p w14:paraId="7C39F1DD" w14:textId="77777777" w:rsidR="004515FC" w:rsidRPr="00D04088" w:rsidRDefault="004515FC" w:rsidP="0029161D">
            <w:pPr>
              <w:ind w:right="-29"/>
              <w:jc w:val="center"/>
              <w:rPr>
                <w:noProof/>
                <w:sz w:val="18"/>
              </w:rPr>
            </w:pPr>
          </w:p>
        </w:tc>
        <w:tc>
          <w:tcPr>
            <w:tcW w:w="720" w:type="dxa"/>
          </w:tcPr>
          <w:p w14:paraId="5600A9FD" w14:textId="77777777" w:rsidR="004515FC" w:rsidRPr="00D04088" w:rsidRDefault="004515FC" w:rsidP="0029161D">
            <w:pPr>
              <w:ind w:right="-29"/>
              <w:jc w:val="center"/>
              <w:rPr>
                <w:noProof/>
                <w:sz w:val="18"/>
              </w:rPr>
            </w:pPr>
          </w:p>
        </w:tc>
        <w:tc>
          <w:tcPr>
            <w:tcW w:w="720" w:type="dxa"/>
          </w:tcPr>
          <w:p w14:paraId="72862EBE" w14:textId="77777777" w:rsidR="004515FC" w:rsidRPr="00D04088" w:rsidRDefault="004515FC" w:rsidP="0029161D">
            <w:pPr>
              <w:ind w:right="-29"/>
              <w:jc w:val="center"/>
              <w:rPr>
                <w:noProof/>
                <w:sz w:val="18"/>
              </w:rPr>
            </w:pPr>
          </w:p>
        </w:tc>
        <w:tc>
          <w:tcPr>
            <w:tcW w:w="900" w:type="dxa"/>
          </w:tcPr>
          <w:p w14:paraId="20BC1514" w14:textId="77777777" w:rsidR="004515FC" w:rsidRPr="00D04088" w:rsidRDefault="004515FC" w:rsidP="0029161D">
            <w:pPr>
              <w:ind w:right="-29"/>
              <w:jc w:val="center"/>
              <w:rPr>
                <w:noProof/>
                <w:sz w:val="18"/>
              </w:rPr>
            </w:pPr>
          </w:p>
        </w:tc>
      </w:tr>
      <w:tr w:rsidR="004515FC" w:rsidRPr="00D04088" w14:paraId="189F2FF2" w14:textId="77777777" w:rsidTr="0029161D">
        <w:trPr>
          <w:trHeight w:val="77"/>
          <w:jc w:val="center"/>
        </w:trPr>
        <w:tc>
          <w:tcPr>
            <w:tcW w:w="2844" w:type="dxa"/>
            <w:gridSpan w:val="3"/>
            <w:tcBorders>
              <w:bottom w:val="single" w:sz="12" w:space="0" w:color="auto"/>
            </w:tcBorders>
            <w:vAlign w:val="center"/>
          </w:tcPr>
          <w:p w14:paraId="00C0D751" w14:textId="77777777" w:rsidR="004515FC" w:rsidRPr="00D04088" w:rsidRDefault="004515FC" w:rsidP="0029161D">
            <w:pPr>
              <w:ind w:right="-29"/>
              <w:jc w:val="center"/>
              <w:rPr>
                <w:noProof/>
                <w:sz w:val="18"/>
              </w:rPr>
            </w:pPr>
            <w:r w:rsidRPr="00D04088">
              <w:rPr>
                <w:noProof/>
                <w:sz w:val="18"/>
              </w:rPr>
              <w:t>Subtotal tal-objettiv speċifiku Nru 1</w:t>
            </w:r>
          </w:p>
        </w:tc>
        <w:tc>
          <w:tcPr>
            <w:tcW w:w="504" w:type="dxa"/>
            <w:tcBorders>
              <w:bottom w:val="single" w:sz="12" w:space="0" w:color="auto"/>
            </w:tcBorders>
          </w:tcPr>
          <w:p w14:paraId="0110F4C1" w14:textId="77777777" w:rsidR="004515FC" w:rsidRPr="00D04088" w:rsidRDefault="004515FC" w:rsidP="0029161D">
            <w:pPr>
              <w:ind w:right="-29"/>
              <w:jc w:val="center"/>
              <w:rPr>
                <w:noProof/>
                <w:sz w:val="18"/>
              </w:rPr>
            </w:pPr>
          </w:p>
        </w:tc>
        <w:tc>
          <w:tcPr>
            <w:tcW w:w="720" w:type="dxa"/>
            <w:tcBorders>
              <w:bottom w:val="single" w:sz="12" w:space="0" w:color="auto"/>
            </w:tcBorders>
          </w:tcPr>
          <w:p w14:paraId="028A37AE" w14:textId="77777777" w:rsidR="004515FC" w:rsidRPr="00D04088" w:rsidRDefault="004515FC" w:rsidP="0029161D">
            <w:pPr>
              <w:ind w:right="-29"/>
              <w:jc w:val="center"/>
              <w:rPr>
                <w:noProof/>
                <w:sz w:val="18"/>
              </w:rPr>
            </w:pPr>
          </w:p>
        </w:tc>
        <w:tc>
          <w:tcPr>
            <w:tcW w:w="540" w:type="dxa"/>
            <w:tcBorders>
              <w:bottom w:val="single" w:sz="12" w:space="0" w:color="auto"/>
            </w:tcBorders>
          </w:tcPr>
          <w:p w14:paraId="0B86C998" w14:textId="77777777" w:rsidR="004515FC" w:rsidRPr="00D04088" w:rsidRDefault="004515FC" w:rsidP="0029161D">
            <w:pPr>
              <w:ind w:right="-29"/>
              <w:jc w:val="center"/>
              <w:rPr>
                <w:noProof/>
                <w:sz w:val="18"/>
              </w:rPr>
            </w:pPr>
          </w:p>
        </w:tc>
        <w:tc>
          <w:tcPr>
            <w:tcW w:w="720" w:type="dxa"/>
            <w:tcBorders>
              <w:bottom w:val="single" w:sz="12" w:space="0" w:color="auto"/>
            </w:tcBorders>
          </w:tcPr>
          <w:p w14:paraId="4CF079F9" w14:textId="77777777" w:rsidR="004515FC" w:rsidRPr="00D04088" w:rsidRDefault="004515FC" w:rsidP="0029161D">
            <w:pPr>
              <w:ind w:right="-29"/>
              <w:jc w:val="center"/>
              <w:rPr>
                <w:noProof/>
                <w:sz w:val="18"/>
              </w:rPr>
            </w:pPr>
          </w:p>
        </w:tc>
        <w:tc>
          <w:tcPr>
            <w:tcW w:w="720" w:type="dxa"/>
            <w:tcBorders>
              <w:bottom w:val="single" w:sz="12" w:space="0" w:color="auto"/>
            </w:tcBorders>
          </w:tcPr>
          <w:p w14:paraId="40841737" w14:textId="77777777" w:rsidR="004515FC" w:rsidRPr="00D04088" w:rsidRDefault="004515FC" w:rsidP="0029161D">
            <w:pPr>
              <w:ind w:right="-29"/>
              <w:jc w:val="center"/>
              <w:rPr>
                <w:noProof/>
                <w:sz w:val="18"/>
              </w:rPr>
            </w:pPr>
          </w:p>
        </w:tc>
        <w:tc>
          <w:tcPr>
            <w:tcW w:w="720" w:type="dxa"/>
            <w:tcBorders>
              <w:bottom w:val="single" w:sz="12" w:space="0" w:color="auto"/>
            </w:tcBorders>
          </w:tcPr>
          <w:p w14:paraId="267B6243" w14:textId="77777777" w:rsidR="004515FC" w:rsidRPr="00D04088" w:rsidRDefault="004515FC" w:rsidP="0029161D">
            <w:pPr>
              <w:ind w:right="-29"/>
              <w:jc w:val="center"/>
              <w:rPr>
                <w:noProof/>
                <w:sz w:val="18"/>
              </w:rPr>
            </w:pPr>
          </w:p>
        </w:tc>
        <w:tc>
          <w:tcPr>
            <w:tcW w:w="900" w:type="dxa"/>
            <w:tcBorders>
              <w:bottom w:val="single" w:sz="12" w:space="0" w:color="auto"/>
            </w:tcBorders>
          </w:tcPr>
          <w:p w14:paraId="6675708A" w14:textId="77777777" w:rsidR="004515FC" w:rsidRPr="00D04088" w:rsidRDefault="004515FC" w:rsidP="0029161D">
            <w:pPr>
              <w:ind w:right="-29"/>
              <w:jc w:val="center"/>
              <w:rPr>
                <w:noProof/>
                <w:sz w:val="18"/>
              </w:rPr>
            </w:pPr>
          </w:p>
        </w:tc>
        <w:tc>
          <w:tcPr>
            <w:tcW w:w="720" w:type="dxa"/>
            <w:gridSpan w:val="2"/>
            <w:tcBorders>
              <w:bottom w:val="single" w:sz="12" w:space="0" w:color="auto"/>
            </w:tcBorders>
          </w:tcPr>
          <w:p w14:paraId="426B53EC" w14:textId="77777777" w:rsidR="004515FC" w:rsidRPr="00D04088" w:rsidRDefault="004515FC" w:rsidP="0029161D">
            <w:pPr>
              <w:ind w:right="-29"/>
              <w:jc w:val="center"/>
              <w:rPr>
                <w:noProof/>
                <w:sz w:val="18"/>
              </w:rPr>
            </w:pPr>
          </w:p>
        </w:tc>
        <w:tc>
          <w:tcPr>
            <w:tcW w:w="540" w:type="dxa"/>
            <w:tcBorders>
              <w:bottom w:val="single" w:sz="12" w:space="0" w:color="auto"/>
            </w:tcBorders>
          </w:tcPr>
          <w:p w14:paraId="2A7F4CE4" w14:textId="77777777" w:rsidR="004515FC" w:rsidRPr="00D04088" w:rsidRDefault="004515FC" w:rsidP="0029161D">
            <w:pPr>
              <w:ind w:right="-29"/>
              <w:jc w:val="center"/>
              <w:rPr>
                <w:noProof/>
                <w:sz w:val="18"/>
              </w:rPr>
            </w:pPr>
          </w:p>
        </w:tc>
        <w:tc>
          <w:tcPr>
            <w:tcW w:w="648" w:type="dxa"/>
            <w:tcBorders>
              <w:bottom w:val="single" w:sz="12" w:space="0" w:color="auto"/>
            </w:tcBorders>
          </w:tcPr>
          <w:p w14:paraId="70B59D98" w14:textId="77777777" w:rsidR="004515FC" w:rsidRPr="00D04088" w:rsidRDefault="004515FC" w:rsidP="0029161D">
            <w:pPr>
              <w:ind w:right="-29"/>
              <w:jc w:val="center"/>
              <w:rPr>
                <w:noProof/>
                <w:sz w:val="18"/>
              </w:rPr>
            </w:pPr>
          </w:p>
        </w:tc>
        <w:tc>
          <w:tcPr>
            <w:tcW w:w="432" w:type="dxa"/>
            <w:tcBorders>
              <w:bottom w:val="single" w:sz="12" w:space="0" w:color="auto"/>
            </w:tcBorders>
          </w:tcPr>
          <w:p w14:paraId="026BB719" w14:textId="77777777" w:rsidR="004515FC" w:rsidRPr="00D04088" w:rsidRDefault="004515FC" w:rsidP="0029161D">
            <w:pPr>
              <w:ind w:right="-29"/>
              <w:jc w:val="center"/>
              <w:rPr>
                <w:noProof/>
                <w:sz w:val="18"/>
              </w:rPr>
            </w:pPr>
          </w:p>
        </w:tc>
        <w:tc>
          <w:tcPr>
            <w:tcW w:w="720" w:type="dxa"/>
            <w:tcBorders>
              <w:bottom w:val="single" w:sz="12" w:space="0" w:color="auto"/>
            </w:tcBorders>
          </w:tcPr>
          <w:p w14:paraId="795BFCB1" w14:textId="77777777" w:rsidR="004515FC" w:rsidRPr="00D04088" w:rsidRDefault="004515FC" w:rsidP="0029161D">
            <w:pPr>
              <w:ind w:right="-29"/>
              <w:jc w:val="center"/>
              <w:rPr>
                <w:noProof/>
                <w:sz w:val="18"/>
              </w:rPr>
            </w:pPr>
          </w:p>
        </w:tc>
        <w:tc>
          <w:tcPr>
            <w:tcW w:w="540" w:type="dxa"/>
            <w:tcBorders>
              <w:bottom w:val="single" w:sz="12" w:space="0" w:color="auto"/>
            </w:tcBorders>
          </w:tcPr>
          <w:p w14:paraId="58F9FE80" w14:textId="77777777" w:rsidR="004515FC" w:rsidRPr="00D04088" w:rsidRDefault="004515FC" w:rsidP="0029161D">
            <w:pPr>
              <w:ind w:right="-29"/>
              <w:jc w:val="center"/>
              <w:rPr>
                <w:noProof/>
                <w:sz w:val="18"/>
              </w:rPr>
            </w:pPr>
          </w:p>
        </w:tc>
        <w:tc>
          <w:tcPr>
            <w:tcW w:w="720" w:type="dxa"/>
            <w:tcBorders>
              <w:bottom w:val="single" w:sz="12" w:space="0" w:color="auto"/>
            </w:tcBorders>
          </w:tcPr>
          <w:p w14:paraId="09A54A26" w14:textId="77777777" w:rsidR="004515FC" w:rsidRPr="00D04088" w:rsidRDefault="004515FC" w:rsidP="0029161D">
            <w:pPr>
              <w:ind w:right="-29"/>
              <w:jc w:val="center"/>
              <w:rPr>
                <w:noProof/>
                <w:sz w:val="18"/>
              </w:rPr>
            </w:pPr>
          </w:p>
        </w:tc>
        <w:tc>
          <w:tcPr>
            <w:tcW w:w="720" w:type="dxa"/>
            <w:tcBorders>
              <w:bottom w:val="single" w:sz="12" w:space="0" w:color="auto"/>
            </w:tcBorders>
          </w:tcPr>
          <w:p w14:paraId="251A3886" w14:textId="77777777" w:rsidR="004515FC" w:rsidRPr="00D04088" w:rsidRDefault="004515FC" w:rsidP="0029161D">
            <w:pPr>
              <w:ind w:right="-29"/>
              <w:jc w:val="center"/>
              <w:rPr>
                <w:noProof/>
                <w:sz w:val="18"/>
              </w:rPr>
            </w:pPr>
          </w:p>
        </w:tc>
        <w:tc>
          <w:tcPr>
            <w:tcW w:w="900" w:type="dxa"/>
            <w:tcBorders>
              <w:bottom w:val="single" w:sz="12" w:space="0" w:color="auto"/>
            </w:tcBorders>
          </w:tcPr>
          <w:p w14:paraId="79F7204D" w14:textId="77777777" w:rsidR="004515FC" w:rsidRPr="00D04088" w:rsidRDefault="004515FC" w:rsidP="0029161D">
            <w:pPr>
              <w:ind w:right="-29"/>
              <w:jc w:val="center"/>
              <w:rPr>
                <w:noProof/>
                <w:sz w:val="18"/>
              </w:rPr>
            </w:pPr>
          </w:p>
        </w:tc>
      </w:tr>
      <w:tr w:rsidR="004515FC" w:rsidRPr="00D04088" w14:paraId="344EDAB2" w14:textId="77777777" w:rsidTr="0029161D">
        <w:trPr>
          <w:jc w:val="center"/>
        </w:trPr>
        <w:tc>
          <w:tcPr>
            <w:tcW w:w="2844" w:type="dxa"/>
            <w:gridSpan w:val="3"/>
            <w:vAlign w:val="center"/>
          </w:tcPr>
          <w:p w14:paraId="2DFF2810" w14:textId="77777777" w:rsidR="004515FC" w:rsidRPr="00D04088" w:rsidRDefault="004515FC" w:rsidP="0029161D">
            <w:pPr>
              <w:spacing w:before="60" w:after="60"/>
              <w:ind w:right="-29"/>
              <w:jc w:val="center"/>
              <w:rPr>
                <w:noProof/>
                <w:sz w:val="18"/>
              </w:rPr>
            </w:pPr>
            <w:r w:rsidRPr="00D04088">
              <w:rPr>
                <w:noProof/>
                <w:sz w:val="18"/>
              </w:rPr>
              <w:t>OBJETTIV SPEĊIFIKU Nru 2 ...</w:t>
            </w:r>
          </w:p>
        </w:tc>
        <w:tc>
          <w:tcPr>
            <w:tcW w:w="504" w:type="dxa"/>
            <w:tcBorders>
              <w:top w:val="nil"/>
              <w:left w:val="nil"/>
              <w:bottom w:val="nil"/>
              <w:right w:val="nil"/>
            </w:tcBorders>
          </w:tcPr>
          <w:p w14:paraId="30B0BCCA"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07475619" w14:textId="77777777" w:rsidR="004515FC" w:rsidRPr="00D04088" w:rsidRDefault="004515FC" w:rsidP="0029161D">
            <w:pPr>
              <w:spacing w:before="60" w:after="60"/>
              <w:ind w:right="-29"/>
              <w:jc w:val="center"/>
              <w:rPr>
                <w:noProof/>
                <w:sz w:val="18"/>
              </w:rPr>
            </w:pPr>
          </w:p>
        </w:tc>
        <w:tc>
          <w:tcPr>
            <w:tcW w:w="540" w:type="dxa"/>
            <w:tcBorders>
              <w:top w:val="nil"/>
              <w:left w:val="nil"/>
              <w:bottom w:val="nil"/>
              <w:right w:val="nil"/>
            </w:tcBorders>
          </w:tcPr>
          <w:p w14:paraId="56BE9FD9"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6A072C75"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30418289"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5C39892D" w14:textId="77777777" w:rsidR="004515FC" w:rsidRPr="00D04088" w:rsidRDefault="004515FC" w:rsidP="0029161D">
            <w:pPr>
              <w:spacing w:before="60" w:after="60"/>
              <w:ind w:right="-29"/>
              <w:jc w:val="center"/>
              <w:rPr>
                <w:noProof/>
                <w:sz w:val="18"/>
              </w:rPr>
            </w:pPr>
          </w:p>
        </w:tc>
        <w:tc>
          <w:tcPr>
            <w:tcW w:w="900" w:type="dxa"/>
            <w:tcBorders>
              <w:top w:val="nil"/>
              <w:left w:val="nil"/>
              <w:bottom w:val="nil"/>
              <w:right w:val="nil"/>
            </w:tcBorders>
          </w:tcPr>
          <w:p w14:paraId="26506129" w14:textId="77777777" w:rsidR="004515FC" w:rsidRPr="00D04088" w:rsidRDefault="004515FC" w:rsidP="0029161D">
            <w:pPr>
              <w:spacing w:before="60" w:after="60"/>
              <w:ind w:right="-29"/>
              <w:jc w:val="center"/>
              <w:rPr>
                <w:noProof/>
                <w:sz w:val="18"/>
              </w:rPr>
            </w:pPr>
          </w:p>
        </w:tc>
        <w:tc>
          <w:tcPr>
            <w:tcW w:w="720" w:type="dxa"/>
            <w:gridSpan w:val="2"/>
            <w:tcBorders>
              <w:top w:val="nil"/>
              <w:left w:val="nil"/>
              <w:bottom w:val="nil"/>
              <w:right w:val="nil"/>
            </w:tcBorders>
          </w:tcPr>
          <w:p w14:paraId="74AC2541" w14:textId="77777777" w:rsidR="004515FC" w:rsidRPr="00D04088" w:rsidRDefault="004515FC" w:rsidP="0029161D">
            <w:pPr>
              <w:spacing w:before="60" w:after="60"/>
              <w:ind w:right="-29"/>
              <w:jc w:val="center"/>
              <w:rPr>
                <w:noProof/>
                <w:sz w:val="18"/>
              </w:rPr>
            </w:pPr>
          </w:p>
        </w:tc>
        <w:tc>
          <w:tcPr>
            <w:tcW w:w="540" w:type="dxa"/>
            <w:tcBorders>
              <w:top w:val="nil"/>
              <w:left w:val="nil"/>
              <w:bottom w:val="nil"/>
              <w:right w:val="nil"/>
            </w:tcBorders>
          </w:tcPr>
          <w:p w14:paraId="0B1E13C5" w14:textId="77777777" w:rsidR="004515FC" w:rsidRPr="00D04088" w:rsidRDefault="004515FC" w:rsidP="0029161D">
            <w:pPr>
              <w:spacing w:before="60" w:after="60"/>
              <w:ind w:right="-29"/>
              <w:jc w:val="center"/>
              <w:rPr>
                <w:noProof/>
                <w:sz w:val="18"/>
              </w:rPr>
            </w:pPr>
          </w:p>
        </w:tc>
        <w:tc>
          <w:tcPr>
            <w:tcW w:w="648" w:type="dxa"/>
            <w:tcBorders>
              <w:top w:val="nil"/>
              <w:left w:val="nil"/>
              <w:bottom w:val="nil"/>
              <w:right w:val="nil"/>
            </w:tcBorders>
          </w:tcPr>
          <w:p w14:paraId="1BE92870" w14:textId="77777777" w:rsidR="004515FC" w:rsidRPr="00D04088" w:rsidRDefault="004515FC" w:rsidP="0029161D">
            <w:pPr>
              <w:spacing w:before="60" w:after="60"/>
              <w:ind w:right="-29"/>
              <w:jc w:val="center"/>
              <w:rPr>
                <w:noProof/>
                <w:sz w:val="18"/>
              </w:rPr>
            </w:pPr>
          </w:p>
        </w:tc>
        <w:tc>
          <w:tcPr>
            <w:tcW w:w="432" w:type="dxa"/>
            <w:tcBorders>
              <w:top w:val="nil"/>
              <w:left w:val="nil"/>
              <w:bottom w:val="nil"/>
              <w:right w:val="nil"/>
            </w:tcBorders>
          </w:tcPr>
          <w:p w14:paraId="5AC1092F"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3A8A2844" w14:textId="77777777" w:rsidR="004515FC" w:rsidRPr="00D04088" w:rsidRDefault="004515FC" w:rsidP="0029161D">
            <w:pPr>
              <w:spacing w:before="60" w:after="60"/>
              <w:ind w:right="-29"/>
              <w:jc w:val="center"/>
              <w:rPr>
                <w:noProof/>
                <w:sz w:val="18"/>
              </w:rPr>
            </w:pPr>
          </w:p>
        </w:tc>
        <w:tc>
          <w:tcPr>
            <w:tcW w:w="540" w:type="dxa"/>
            <w:tcBorders>
              <w:top w:val="nil"/>
              <w:left w:val="nil"/>
              <w:bottom w:val="nil"/>
              <w:right w:val="nil"/>
            </w:tcBorders>
          </w:tcPr>
          <w:p w14:paraId="61378A86"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2ACA1E02" w14:textId="77777777" w:rsidR="004515FC" w:rsidRPr="00D04088" w:rsidRDefault="004515FC" w:rsidP="0029161D">
            <w:pPr>
              <w:spacing w:before="60" w:after="60"/>
              <w:ind w:right="-29"/>
              <w:jc w:val="center"/>
              <w:rPr>
                <w:noProof/>
                <w:sz w:val="18"/>
              </w:rPr>
            </w:pPr>
          </w:p>
        </w:tc>
        <w:tc>
          <w:tcPr>
            <w:tcW w:w="720" w:type="dxa"/>
            <w:tcBorders>
              <w:top w:val="nil"/>
              <w:left w:val="nil"/>
              <w:bottom w:val="nil"/>
              <w:right w:val="nil"/>
            </w:tcBorders>
          </w:tcPr>
          <w:p w14:paraId="26EDF8B6" w14:textId="77777777" w:rsidR="004515FC" w:rsidRPr="00D04088" w:rsidRDefault="004515FC" w:rsidP="0029161D">
            <w:pPr>
              <w:spacing w:before="60" w:after="60"/>
              <w:ind w:right="-29"/>
              <w:jc w:val="center"/>
              <w:rPr>
                <w:noProof/>
                <w:sz w:val="18"/>
              </w:rPr>
            </w:pPr>
          </w:p>
        </w:tc>
        <w:tc>
          <w:tcPr>
            <w:tcW w:w="900" w:type="dxa"/>
            <w:tcBorders>
              <w:top w:val="nil"/>
              <w:left w:val="nil"/>
              <w:bottom w:val="nil"/>
              <w:right w:val="nil"/>
            </w:tcBorders>
          </w:tcPr>
          <w:p w14:paraId="126B2A9F" w14:textId="77777777" w:rsidR="004515FC" w:rsidRPr="00D04088" w:rsidRDefault="004515FC" w:rsidP="0029161D">
            <w:pPr>
              <w:spacing w:before="60" w:after="60"/>
              <w:ind w:right="-29"/>
              <w:jc w:val="center"/>
              <w:rPr>
                <w:noProof/>
                <w:sz w:val="18"/>
              </w:rPr>
            </w:pPr>
          </w:p>
        </w:tc>
      </w:tr>
      <w:tr w:rsidR="004515FC" w:rsidRPr="00D04088" w14:paraId="18003959" w14:textId="77777777" w:rsidTr="0029161D">
        <w:trPr>
          <w:trHeight w:hRule="exact" w:val="369"/>
          <w:jc w:val="center"/>
        </w:trPr>
        <w:tc>
          <w:tcPr>
            <w:tcW w:w="1423" w:type="dxa"/>
          </w:tcPr>
          <w:p w14:paraId="5028BCB3" w14:textId="77777777" w:rsidR="004515FC" w:rsidRPr="00D04088" w:rsidRDefault="004515FC" w:rsidP="0029161D">
            <w:pPr>
              <w:ind w:right="-29"/>
              <w:jc w:val="center"/>
              <w:rPr>
                <w:noProof/>
                <w:sz w:val="18"/>
              </w:rPr>
            </w:pPr>
            <w:r w:rsidRPr="00D04088">
              <w:rPr>
                <w:noProof/>
                <w:sz w:val="18"/>
              </w:rPr>
              <w:t>- Output</w:t>
            </w:r>
          </w:p>
        </w:tc>
        <w:tc>
          <w:tcPr>
            <w:tcW w:w="720" w:type="dxa"/>
          </w:tcPr>
          <w:p w14:paraId="45DBF74B" w14:textId="77777777" w:rsidR="004515FC" w:rsidRPr="00D04088" w:rsidRDefault="004515FC" w:rsidP="0029161D">
            <w:pPr>
              <w:ind w:right="-29"/>
              <w:jc w:val="center"/>
              <w:rPr>
                <w:noProof/>
                <w:sz w:val="18"/>
              </w:rPr>
            </w:pPr>
          </w:p>
        </w:tc>
        <w:tc>
          <w:tcPr>
            <w:tcW w:w="701" w:type="dxa"/>
          </w:tcPr>
          <w:p w14:paraId="22AAD10A" w14:textId="77777777" w:rsidR="004515FC" w:rsidRPr="00D04088" w:rsidRDefault="004515FC" w:rsidP="0029161D">
            <w:pPr>
              <w:ind w:right="-29"/>
              <w:jc w:val="center"/>
              <w:rPr>
                <w:noProof/>
                <w:sz w:val="18"/>
              </w:rPr>
            </w:pPr>
          </w:p>
        </w:tc>
        <w:tc>
          <w:tcPr>
            <w:tcW w:w="504" w:type="dxa"/>
          </w:tcPr>
          <w:p w14:paraId="0E22297A" w14:textId="77777777" w:rsidR="004515FC" w:rsidRPr="00D04088" w:rsidRDefault="004515FC" w:rsidP="0029161D">
            <w:pPr>
              <w:ind w:right="-29"/>
              <w:jc w:val="center"/>
              <w:rPr>
                <w:noProof/>
                <w:sz w:val="18"/>
              </w:rPr>
            </w:pPr>
          </w:p>
        </w:tc>
        <w:tc>
          <w:tcPr>
            <w:tcW w:w="720" w:type="dxa"/>
          </w:tcPr>
          <w:p w14:paraId="4F9DF3AD" w14:textId="77777777" w:rsidR="004515FC" w:rsidRPr="00D04088" w:rsidRDefault="004515FC" w:rsidP="0029161D">
            <w:pPr>
              <w:ind w:right="-29"/>
              <w:jc w:val="center"/>
              <w:rPr>
                <w:noProof/>
                <w:sz w:val="18"/>
              </w:rPr>
            </w:pPr>
          </w:p>
        </w:tc>
        <w:tc>
          <w:tcPr>
            <w:tcW w:w="540" w:type="dxa"/>
          </w:tcPr>
          <w:p w14:paraId="799A2330" w14:textId="77777777" w:rsidR="004515FC" w:rsidRPr="00D04088" w:rsidRDefault="004515FC" w:rsidP="0029161D">
            <w:pPr>
              <w:ind w:right="-29"/>
              <w:jc w:val="center"/>
              <w:rPr>
                <w:noProof/>
                <w:sz w:val="18"/>
              </w:rPr>
            </w:pPr>
          </w:p>
        </w:tc>
        <w:tc>
          <w:tcPr>
            <w:tcW w:w="720" w:type="dxa"/>
          </w:tcPr>
          <w:p w14:paraId="2944E57F" w14:textId="77777777" w:rsidR="004515FC" w:rsidRPr="00D04088" w:rsidRDefault="004515FC" w:rsidP="0029161D">
            <w:pPr>
              <w:ind w:right="-29"/>
              <w:jc w:val="center"/>
              <w:rPr>
                <w:noProof/>
                <w:sz w:val="18"/>
              </w:rPr>
            </w:pPr>
          </w:p>
        </w:tc>
        <w:tc>
          <w:tcPr>
            <w:tcW w:w="720" w:type="dxa"/>
          </w:tcPr>
          <w:p w14:paraId="5324F2C1" w14:textId="77777777" w:rsidR="004515FC" w:rsidRPr="00D04088" w:rsidRDefault="004515FC" w:rsidP="0029161D">
            <w:pPr>
              <w:ind w:right="-29"/>
              <w:jc w:val="center"/>
              <w:rPr>
                <w:noProof/>
                <w:sz w:val="18"/>
              </w:rPr>
            </w:pPr>
          </w:p>
        </w:tc>
        <w:tc>
          <w:tcPr>
            <w:tcW w:w="720" w:type="dxa"/>
          </w:tcPr>
          <w:p w14:paraId="4B81CA1A" w14:textId="77777777" w:rsidR="004515FC" w:rsidRPr="00D04088" w:rsidRDefault="004515FC" w:rsidP="0029161D">
            <w:pPr>
              <w:ind w:right="-29"/>
              <w:jc w:val="center"/>
              <w:rPr>
                <w:noProof/>
                <w:sz w:val="18"/>
              </w:rPr>
            </w:pPr>
          </w:p>
        </w:tc>
        <w:tc>
          <w:tcPr>
            <w:tcW w:w="900" w:type="dxa"/>
          </w:tcPr>
          <w:p w14:paraId="4D33282D" w14:textId="77777777" w:rsidR="004515FC" w:rsidRPr="00D04088" w:rsidRDefault="004515FC" w:rsidP="0029161D">
            <w:pPr>
              <w:ind w:right="-29"/>
              <w:jc w:val="center"/>
              <w:rPr>
                <w:noProof/>
                <w:sz w:val="18"/>
              </w:rPr>
            </w:pPr>
          </w:p>
        </w:tc>
        <w:tc>
          <w:tcPr>
            <w:tcW w:w="720" w:type="dxa"/>
            <w:gridSpan w:val="2"/>
          </w:tcPr>
          <w:p w14:paraId="3E99334B" w14:textId="77777777" w:rsidR="004515FC" w:rsidRPr="00D04088" w:rsidRDefault="004515FC" w:rsidP="0029161D">
            <w:pPr>
              <w:ind w:right="-29"/>
              <w:jc w:val="center"/>
              <w:rPr>
                <w:noProof/>
                <w:sz w:val="18"/>
              </w:rPr>
            </w:pPr>
          </w:p>
        </w:tc>
        <w:tc>
          <w:tcPr>
            <w:tcW w:w="540" w:type="dxa"/>
          </w:tcPr>
          <w:p w14:paraId="1651A222" w14:textId="77777777" w:rsidR="004515FC" w:rsidRPr="00D04088" w:rsidRDefault="004515FC" w:rsidP="0029161D">
            <w:pPr>
              <w:ind w:right="-29"/>
              <w:jc w:val="center"/>
              <w:rPr>
                <w:noProof/>
                <w:sz w:val="18"/>
              </w:rPr>
            </w:pPr>
          </w:p>
        </w:tc>
        <w:tc>
          <w:tcPr>
            <w:tcW w:w="648" w:type="dxa"/>
          </w:tcPr>
          <w:p w14:paraId="54C5BCAE" w14:textId="77777777" w:rsidR="004515FC" w:rsidRPr="00D04088" w:rsidRDefault="004515FC" w:rsidP="0029161D">
            <w:pPr>
              <w:ind w:right="-29"/>
              <w:jc w:val="center"/>
              <w:rPr>
                <w:noProof/>
                <w:sz w:val="18"/>
              </w:rPr>
            </w:pPr>
          </w:p>
        </w:tc>
        <w:tc>
          <w:tcPr>
            <w:tcW w:w="432" w:type="dxa"/>
          </w:tcPr>
          <w:p w14:paraId="40E4403E" w14:textId="77777777" w:rsidR="004515FC" w:rsidRPr="00D04088" w:rsidRDefault="004515FC" w:rsidP="0029161D">
            <w:pPr>
              <w:ind w:right="-29"/>
              <w:jc w:val="center"/>
              <w:rPr>
                <w:noProof/>
                <w:sz w:val="18"/>
              </w:rPr>
            </w:pPr>
          </w:p>
        </w:tc>
        <w:tc>
          <w:tcPr>
            <w:tcW w:w="720" w:type="dxa"/>
          </w:tcPr>
          <w:p w14:paraId="0F816CFC" w14:textId="77777777" w:rsidR="004515FC" w:rsidRPr="00D04088" w:rsidRDefault="004515FC" w:rsidP="0029161D">
            <w:pPr>
              <w:ind w:right="-29"/>
              <w:jc w:val="center"/>
              <w:rPr>
                <w:noProof/>
                <w:sz w:val="18"/>
              </w:rPr>
            </w:pPr>
          </w:p>
        </w:tc>
        <w:tc>
          <w:tcPr>
            <w:tcW w:w="540" w:type="dxa"/>
          </w:tcPr>
          <w:p w14:paraId="733EA695" w14:textId="77777777" w:rsidR="004515FC" w:rsidRPr="00D04088" w:rsidRDefault="004515FC" w:rsidP="0029161D">
            <w:pPr>
              <w:ind w:right="-29"/>
              <w:jc w:val="center"/>
              <w:rPr>
                <w:noProof/>
                <w:sz w:val="18"/>
              </w:rPr>
            </w:pPr>
          </w:p>
        </w:tc>
        <w:tc>
          <w:tcPr>
            <w:tcW w:w="720" w:type="dxa"/>
          </w:tcPr>
          <w:p w14:paraId="45899452" w14:textId="77777777" w:rsidR="004515FC" w:rsidRPr="00D04088" w:rsidRDefault="004515FC" w:rsidP="0029161D">
            <w:pPr>
              <w:ind w:right="-29"/>
              <w:jc w:val="center"/>
              <w:rPr>
                <w:noProof/>
                <w:sz w:val="18"/>
              </w:rPr>
            </w:pPr>
          </w:p>
        </w:tc>
        <w:tc>
          <w:tcPr>
            <w:tcW w:w="720" w:type="dxa"/>
          </w:tcPr>
          <w:p w14:paraId="4A0BE0BC" w14:textId="77777777" w:rsidR="004515FC" w:rsidRPr="00D04088" w:rsidRDefault="004515FC" w:rsidP="0029161D">
            <w:pPr>
              <w:ind w:right="-29"/>
              <w:jc w:val="center"/>
              <w:rPr>
                <w:noProof/>
                <w:sz w:val="18"/>
              </w:rPr>
            </w:pPr>
          </w:p>
        </w:tc>
        <w:tc>
          <w:tcPr>
            <w:tcW w:w="900" w:type="dxa"/>
          </w:tcPr>
          <w:p w14:paraId="44B9690F" w14:textId="77777777" w:rsidR="004515FC" w:rsidRPr="00D04088" w:rsidRDefault="004515FC" w:rsidP="0029161D">
            <w:pPr>
              <w:ind w:right="-29"/>
              <w:jc w:val="center"/>
              <w:rPr>
                <w:noProof/>
                <w:sz w:val="18"/>
              </w:rPr>
            </w:pPr>
          </w:p>
        </w:tc>
      </w:tr>
      <w:tr w:rsidR="004515FC" w:rsidRPr="00D04088" w14:paraId="15DA7894" w14:textId="77777777" w:rsidTr="0029161D">
        <w:trPr>
          <w:jc w:val="center"/>
        </w:trPr>
        <w:tc>
          <w:tcPr>
            <w:tcW w:w="2844" w:type="dxa"/>
            <w:gridSpan w:val="3"/>
            <w:tcBorders>
              <w:bottom w:val="single" w:sz="12" w:space="0" w:color="auto"/>
            </w:tcBorders>
            <w:vAlign w:val="center"/>
          </w:tcPr>
          <w:p w14:paraId="5BA4B717" w14:textId="77777777" w:rsidR="004515FC" w:rsidRPr="00D04088" w:rsidRDefault="004515FC" w:rsidP="0029161D">
            <w:pPr>
              <w:jc w:val="center"/>
              <w:rPr>
                <w:noProof/>
                <w:sz w:val="18"/>
              </w:rPr>
            </w:pPr>
            <w:r w:rsidRPr="00D04088">
              <w:rPr>
                <w:noProof/>
                <w:sz w:val="18"/>
              </w:rPr>
              <w:t>Subtotal tal-objettiv speċifiku Nru 2</w:t>
            </w:r>
          </w:p>
        </w:tc>
        <w:tc>
          <w:tcPr>
            <w:tcW w:w="504" w:type="dxa"/>
            <w:tcBorders>
              <w:bottom w:val="single" w:sz="12" w:space="0" w:color="auto"/>
            </w:tcBorders>
          </w:tcPr>
          <w:p w14:paraId="5910CA31" w14:textId="77777777" w:rsidR="004515FC" w:rsidRPr="00D04088" w:rsidRDefault="004515FC" w:rsidP="0029161D">
            <w:pPr>
              <w:ind w:right="-29"/>
              <w:jc w:val="center"/>
              <w:rPr>
                <w:noProof/>
                <w:sz w:val="18"/>
              </w:rPr>
            </w:pPr>
          </w:p>
        </w:tc>
        <w:tc>
          <w:tcPr>
            <w:tcW w:w="720" w:type="dxa"/>
            <w:tcBorders>
              <w:bottom w:val="single" w:sz="12" w:space="0" w:color="auto"/>
            </w:tcBorders>
          </w:tcPr>
          <w:p w14:paraId="742995A9" w14:textId="77777777" w:rsidR="004515FC" w:rsidRPr="00D04088" w:rsidRDefault="004515FC" w:rsidP="0029161D">
            <w:pPr>
              <w:ind w:right="-29"/>
              <w:jc w:val="center"/>
              <w:rPr>
                <w:noProof/>
                <w:sz w:val="18"/>
              </w:rPr>
            </w:pPr>
          </w:p>
        </w:tc>
        <w:tc>
          <w:tcPr>
            <w:tcW w:w="540" w:type="dxa"/>
            <w:tcBorders>
              <w:bottom w:val="single" w:sz="12" w:space="0" w:color="auto"/>
            </w:tcBorders>
          </w:tcPr>
          <w:p w14:paraId="7A5F68C1" w14:textId="77777777" w:rsidR="004515FC" w:rsidRPr="00D04088" w:rsidRDefault="004515FC" w:rsidP="0029161D">
            <w:pPr>
              <w:ind w:right="-29"/>
              <w:jc w:val="center"/>
              <w:rPr>
                <w:noProof/>
                <w:sz w:val="18"/>
              </w:rPr>
            </w:pPr>
          </w:p>
        </w:tc>
        <w:tc>
          <w:tcPr>
            <w:tcW w:w="720" w:type="dxa"/>
            <w:tcBorders>
              <w:bottom w:val="single" w:sz="12" w:space="0" w:color="auto"/>
            </w:tcBorders>
          </w:tcPr>
          <w:p w14:paraId="3942B7C3" w14:textId="77777777" w:rsidR="004515FC" w:rsidRPr="00D04088" w:rsidRDefault="004515FC" w:rsidP="0029161D">
            <w:pPr>
              <w:ind w:right="-29"/>
              <w:jc w:val="center"/>
              <w:rPr>
                <w:noProof/>
                <w:sz w:val="18"/>
              </w:rPr>
            </w:pPr>
          </w:p>
        </w:tc>
        <w:tc>
          <w:tcPr>
            <w:tcW w:w="720" w:type="dxa"/>
            <w:tcBorders>
              <w:bottom w:val="single" w:sz="12" w:space="0" w:color="auto"/>
            </w:tcBorders>
          </w:tcPr>
          <w:p w14:paraId="4F909339" w14:textId="77777777" w:rsidR="004515FC" w:rsidRPr="00D04088" w:rsidRDefault="004515FC" w:rsidP="0029161D">
            <w:pPr>
              <w:ind w:right="-29"/>
              <w:jc w:val="center"/>
              <w:rPr>
                <w:noProof/>
                <w:sz w:val="18"/>
              </w:rPr>
            </w:pPr>
          </w:p>
        </w:tc>
        <w:tc>
          <w:tcPr>
            <w:tcW w:w="720" w:type="dxa"/>
            <w:tcBorders>
              <w:bottom w:val="single" w:sz="12" w:space="0" w:color="auto"/>
            </w:tcBorders>
          </w:tcPr>
          <w:p w14:paraId="786CD44F" w14:textId="77777777" w:rsidR="004515FC" w:rsidRPr="00D04088" w:rsidRDefault="004515FC" w:rsidP="0029161D">
            <w:pPr>
              <w:ind w:right="-29"/>
              <w:jc w:val="center"/>
              <w:rPr>
                <w:noProof/>
                <w:sz w:val="18"/>
              </w:rPr>
            </w:pPr>
          </w:p>
        </w:tc>
        <w:tc>
          <w:tcPr>
            <w:tcW w:w="951" w:type="dxa"/>
            <w:gridSpan w:val="2"/>
            <w:tcBorders>
              <w:bottom w:val="single" w:sz="12" w:space="0" w:color="auto"/>
            </w:tcBorders>
          </w:tcPr>
          <w:p w14:paraId="0219DC67" w14:textId="77777777" w:rsidR="004515FC" w:rsidRPr="00D04088" w:rsidRDefault="004515FC" w:rsidP="0029161D">
            <w:pPr>
              <w:ind w:right="-29"/>
              <w:jc w:val="center"/>
              <w:rPr>
                <w:noProof/>
                <w:sz w:val="18"/>
              </w:rPr>
            </w:pPr>
          </w:p>
        </w:tc>
        <w:tc>
          <w:tcPr>
            <w:tcW w:w="669" w:type="dxa"/>
            <w:tcBorders>
              <w:bottom w:val="single" w:sz="12" w:space="0" w:color="auto"/>
            </w:tcBorders>
          </w:tcPr>
          <w:p w14:paraId="35291F14" w14:textId="77777777" w:rsidR="004515FC" w:rsidRPr="00D04088" w:rsidRDefault="004515FC" w:rsidP="0029161D">
            <w:pPr>
              <w:ind w:right="-29"/>
              <w:jc w:val="center"/>
              <w:rPr>
                <w:noProof/>
                <w:sz w:val="18"/>
              </w:rPr>
            </w:pPr>
          </w:p>
        </w:tc>
        <w:tc>
          <w:tcPr>
            <w:tcW w:w="540" w:type="dxa"/>
            <w:tcBorders>
              <w:bottom w:val="single" w:sz="12" w:space="0" w:color="auto"/>
            </w:tcBorders>
          </w:tcPr>
          <w:p w14:paraId="059A1CEF" w14:textId="77777777" w:rsidR="004515FC" w:rsidRPr="00D04088" w:rsidRDefault="004515FC" w:rsidP="0029161D">
            <w:pPr>
              <w:ind w:right="-29"/>
              <w:jc w:val="center"/>
              <w:rPr>
                <w:noProof/>
                <w:sz w:val="18"/>
              </w:rPr>
            </w:pPr>
          </w:p>
        </w:tc>
        <w:tc>
          <w:tcPr>
            <w:tcW w:w="648" w:type="dxa"/>
            <w:tcBorders>
              <w:bottom w:val="single" w:sz="12" w:space="0" w:color="auto"/>
            </w:tcBorders>
          </w:tcPr>
          <w:p w14:paraId="0454BF11" w14:textId="77777777" w:rsidR="004515FC" w:rsidRPr="00D04088" w:rsidRDefault="004515FC" w:rsidP="0029161D">
            <w:pPr>
              <w:ind w:right="-29"/>
              <w:jc w:val="center"/>
              <w:rPr>
                <w:noProof/>
                <w:sz w:val="18"/>
              </w:rPr>
            </w:pPr>
          </w:p>
        </w:tc>
        <w:tc>
          <w:tcPr>
            <w:tcW w:w="432" w:type="dxa"/>
            <w:tcBorders>
              <w:bottom w:val="single" w:sz="12" w:space="0" w:color="auto"/>
            </w:tcBorders>
          </w:tcPr>
          <w:p w14:paraId="4232922B" w14:textId="77777777" w:rsidR="004515FC" w:rsidRPr="00D04088" w:rsidRDefault="004515FC" w:rsidP="0029161D">
            <w:pPr>
              <w:ind w:right="-29"/>
              <w:jc w:val="center"/>
              <w:rPr>
                <w:noProof/>
                <w:sz w:val="18"/>
              </w:rPr>
            </w:pPr>
          </w:p>
        </w:tc>
        <w:tc>
          <w:tcPr>
            <w:tcW w:w="720" w:type="dxa"/>
            <w:tcBorders>
              <w:bottom w:val="single" w:sz="12" w:space="0" w:color="auto"/>
            </w:tcBorders>
          </w:tcPr>
          <w:p w14:paraId="291E4ECB" w14:textId="77777777" w:rsidR="004515FC" w:rsidRPr="00D04088" w:rsidRDefault="004515FC" w:rsidP="0029161D">
            <w:pPr>
              <w:ind w:right="-29"/>
              <w:jc w:val="center"/>
              <w:rPr>
                <w:noProof/>
                <w:sz w:val="18"/>
              </w:rPr>
            </w:pPr>
          </w:p>
        </w:tc>
        <w:tc>
          <w:tcPr>
            <w:tcW w:w="540" w:type="dxa"/>
            <w:tcBorders>
              <w:bottom w:val="single" w:sz="12" w:space="0" w:color="auto"/>
            </w:tcBorders>
          </w:tcPr>
          <w:p w14:paraId="0AC18D0D" w14:textId="77777777" w:rsidR="004515FC" w:rsidRPr="00D04088" w:rsidRDefault="004515FC" w:rsidP="0029161D">
            <w:pPr>
              <w:ind w:right="-29"/>
              <w:jc w:val="center"/>
              <w:rPr>
                <w:noProof/>
                <w:sz w:val="18"/>
              </w:rPr>
            </w:pPr>
          </w:p>
        </w:tc>
        <w:tc>
          <w:tcPr>
            <w:tcW w:w="720" w:type="dxa"/>
            <w:tcBorders>
              <w:bottom w:val="single" w:sz="12" w:space="0" w:color="auto"/>
            </w:tcBorders>
          </w:tcPr>
          <w:p w14:paraId="3E4CF441" w14:textId="77777777" w:rsidR="004515FC" w:rsidRPr="00D04088" w:rsidRDefault="004515FC" w:rsidP="0029161D">
            <w:pPr>
              <w:ind w:right="-29"/>
              <w:jc w:val="center"/>
              <w:rPr>
                <w:noProof/>
                <w:sz w:val="18"/>
              </w:rPr>
            </w:pPr>
          </w:p>
        </w:tc>
        <w:tc>
          <w:tcPr>
            <w:tcW w:w="720" w:type="dxa"/>
            <w:tcBorders>
              <w:bottom w:val="single" w:sz="12" w:space="0" w:color="auto"/>
            </w:tcBorders>
          </w:tcPr>
          <w:p w14:paraId="294334DC" w14:textId="77777777" w:rsidR="004515FC" w:rsidRPr="00D04088" w:rsidRDefault="004515FC" w:rsidP="0029161D">
            <w:pPr>
              <w:ind w:right="-29"/>
              <w:jc w:val="center"/>
              <w:rPr>
                <w:noProof/>
                <w:sz w:val="18"/>
              </w:rPr>
            </w:pPr>
          </w:p>
        </w:tc>
        <w:tc>
          <w:tcPr>
            <w:tcW w:w="900" w:type="dxa"/>
            <w:tcBorders>
              <w:bottom w:val="single" w:sz="12" w:space="0" w:color="auto"/>
            </w:tcBorders>
          </w:tcPr>
          <w:p w14:paraId="124FAE32" w14:textId="77777777" w:rsidR="004515FC" w:rsidRPr="00D04088" w:rsidRDefault="004515FC" w:rsidP="0029161D">
            <w:pPr>
              <w:ind w:right="-29"/>
              <w:jc w:val="center"/>
              <w:rPr>
                <w:noProof/>
                <w:sz w:val="18"/>
              </w:rPr>
            </w:pPr>
          </w:p>
        </w:tc>
      </w:tr>
      <w:tr w:rsidR="004515FC" w:rsidRPr="00D04088" w14:paraId="22045630" w14:textId="77777777" w:rsidTr="0029161D">
        <w:trPr>
          <w:jc w:val="center"/>
        </w:trPr>
        <w:tc>
          <w:tcPr>
            <w:tcW w:w="2844" w:type="dxa"/>
            <w:gridSpan w:val="3"/>
            <w:tcBorders>
              <w:top w:val="single" w:sz="12" w:space="0" w:color="auto"/>
              <w:left w:val="single" w:sz="12" w:space="0" w:color="auto"/>
              <w:bottom w:val="single" w:sz="12" w:space="0" w:color="auto"/>
            </w:tcBorders>
            <w:vAlign w:val="center"/>
          </w:tcPr>
          <w:p w14:paraId="79507305" w14:textId="77777777" w:rsidR="004515FC" w:rsidRPr="00D04088" w:rsidRDefault="004515FC" w:rsidP="0029161D">
            <w:pPr>
              <w:ind w:right="-29"/>
              <w:jc w:val="center"/>
              <w:rPr>
                <w:noProof/>
                <w:sz w:val="18"/>
              </w:rPr>
            </w:pPr>
            <w:r w:rsidRPr="00D04088">
              <w:rPr>
                <w:b/>
                <w:noProof/>
                <w:sz w:val="18"/>
              </w:rPr>
              <w:t>TOTALI</w:t>
            </w:r>
          </w:p>
        </w:tc>
        <w:tc>
          <w:tcPr>
            <w:tcW w:w="504" w:type="dxa"/>
            <w:tcBorders>
              <w:top w:val="single" w:sz="12" w:space="0" w:color="auto"/>
              <w:bottom w:val="single" w:sz="12" w:space="0" w:color="auto"/>
            </w:tcBorders>
          </w:tcPr>
          <w:p w14:paraId="1E597BEF" w14:textId="77777777" w:rsidR="004515FC" w:rsidRPr="00D0408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9F42FB3" w14:textId="77777777" w:rsidR="004515FC" w:rsidRPr="00D04088"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57D6E8DA" w14:textId="77777777" w:rsidR="004515FC" w:rsidRPr="00D0408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AAFD294" w14:textId="77777777" w:rsidR="004515FC" w:rsidRPr="00D0408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762E5A5E" w14:textId="77777777" w:rsidR="004515FC" w:rsidRPr="00D0408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6B4DC9D9" w14:textId="77777777" w:rsidR="004515FC" w:rsidRPr="00D04088" w:rsidRDefault="004515FC" w:rsidP="0029161D">
            <w:pPr>
              <w:spacing w:before="180" w:after="180"/>
              <w:ind w:right="-29"/>
              <w:jc w:val="center"/>
              <w:rPr>
                <w:noProof/>
                <w:sz w:val="18"/>
              </w:rPr>
            </w:pPr>
          </w:p>
        </w:tc>
        <w:tc>
          <w:tcPr>
            <w:tcW w:w="900" w:type="dxa"/>
            <w:tcBorders>
              <w:top w:val="single" w:sz="12" w:space="0" w:color="auto"/>
              <w:bottom w:val="single" w:sz="12" w:space="0" w:color="auto"/>
            </w:tcBorders>
          </w:tcPr>
          <w:p w14:paraId="224573DC" w14:textId="77777777" w:rsidR="004515FC" w:rsidRPr="00D04088" w:rsidRDefault="004515FC" w:rsidP="0029161D">
            <w:pPr>
              <w:spacing w:before="180" w:after="180"/>
              <w:ind w:right="-29"/>
              <w:jc w:val="center"/>
              <w:rPr>
                <w:noProof/>
                <w:sz w:val="18"/>
              </w:rPr>
            </w:pPr>
          </w:p>
        </w:tc>
        <w:tc>
          <w:tcPr>
            <w:tcW w:w="720" w:type="dxa"/>
            <w:gridSpan w:val="2"/>
            <w:tcBorders>
              <w:top w:val="single" w:sz="12" w:space="0" w:color="auto"/>
              <w:bottom w:val="single" w:sz="12" w:space="0" w:color="auto"/>
            </w:tcBorders>
          </w:tcPr>
          <w:p w14:paraId="5D7A734C" w14:textId="77777777" w:rsidR="004515FC" w:rsidRPr="00D04088"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3DA6032D" w14:textId="77777777" w:rsidR="004515FC" w:rsidRPr="00D04088" w:rsidRDefault="004515FC" w:rsidP="0029161D">
            <w:pPr>
              <w:spacing w:before="180" w:after="180"/>
              <w:ind w:right="-29"/>
              <w:jc w:val="center"/>
              <w:rPr>
                <w:noProof/>
                <w:sz w:val="18"/>
              </w:rPr>
            </w:pPr>
          </w:p>
        </w:tc>
        <w:tc>
          <w:tcPr>
            <w:tcW w:w="648" w:type="dxa"/>
            <w:tcBorders>
              <w:top w:val="single" w:sz="12" w:space="0" w:color="auto"/>
              <w:bottom w:val="single" w:sz="12" w:space="0" w:color="auto"/>
            </w:tcBorders>
          </w:tcPr>
          <w:p w14:paraId="24D4A3A6" w14:textId="77777777" w:rsidR="004515FC" w:rsidRPr="00D04088" w:rsidRDefault="004515FC" w:rsidP="0029161D">
            <w:pPr>
              <w:spacing w:before="180" w:after="180"/>
              <w:ind w:right="-29"/>
              <w:jc w:val="center"/>
              <w:rPr>
                <w:noProof/>
                <w:sz w:val="18"/>
              </w:rPr>
            </w:pPr>
          </w:p>
        </w:tc>
        <w:tc>
          <w:tcPr>
            <w:tcW w:w="432" w:type="dxa"/>
            <w:tcBorders>
              <w:top w:val="single" w:sz="12" w:space="0" w:color="auto"/>
              <w:bottom w:val="single" w:sz="12" w:space="0" w:color="auto"/>
            </w:tcBorders>
          </w:tcPr>
          <w:p w14:paraId="0C96EA07" w14:textId="77777777" w:rsidR="004515FC" w:rsidRPr="00D0408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149CD667" w14:textId="77777777" w:rsidR="004515FC" w:rsidRPr="00D04088" w:rsidRDefault="004515FC" w:rsidP="0029161D">
            <w:pPr>
              <w:spacing w:before="180" w:after="180"/>
              <w:ind w:right="-29"/>
              <w:jc w:val="center"/>
              <w:rPr>
                <w:noProof/>
                <w:sz w:val="18"/>
              </w:rPr>
            </w:pPr>
          </w:p>
        </w:tc>
        <w:tc>
          <w:tcPr>
            <w:tcW w:w="540" w:type="dxa"/>
            <w:tcBorders>
              <w:top w:val="single" w:sz="12" w:space="0" w:color="auto"/>
              <w:bottom w:val="single" w:sz="12" w:space="0" w:color="auto"/>
            </w:tcBorders>
          </w:tcPr>
          <w:p w14:paraId="5FD9E84F" w14:textId="77777777" w:rsidR="004515FC" w:rsidRPr="00D0408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45B2160F" w14:textId="77777777" w:rsidR="004515FC" w:rsidRPr="00D04088" w:rsidRDefault="004515FC" w:rsidP="0029161D">
            <w:pPr>
              <w:spacing w:before="180" w:after="180"/>
              <w:ind w:right="-29"/>
              <w:jc w:val="center"/>
              <w:rPr>
                <w:noProof/>
                <w:sz w:val="18"/>
              </w:rPr>
            </w:pPr>
          </w:p>
        </w:tc>
        <w:tc>
          <w:tcPr>
            <w:tcW w:w="720" w:type="dxa"/>
            <w:tcBorders>
              <w:top w:val="single" w:sz="12" w:space="0" w:color="auto"/>
              <w:bottom w:val="single" w:sz="12" w:space="0" w:color="auto"/>
            </w:tcBorders>
          </w:tcPr>
          <w:p w14:paraId="5C0524D9" w14:textId="77777777" w:rsidR="004515FC" w:rsidRPr="00D04088" w:rsidRDefault="004515FC" w:rsidP="0029161D">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4C638C25" w14:textId="77777777" w:rsidR="004515FC" w:rsidRPr="00D04088" w:rsidRDefault="004515FC" w:rsidP="0029161D">
            <w:pPr>
              <w:spacing w:before="180" w:after="180"/>
              <w:ind w:right="-29"/>
              <w:jc w:val="center"/>
              <w:rPr>
                <w:noProof/>
                <w:sz w:val="18"/>
              </w:rPr>
            </w:pPr>
          </w:p>
        </w:tc>
      </w:tr>
    </w:tbl>
    <w:p w14:paraId="1B6B34C0" w14:textId="77777777" w:rsidR="004515FC" w:rsidRPr="00D04088" w:rsidRDefault="004515FC" w:rsidP="004515FC">
      <w:pPr>
        <w:rPr>
          <w:noProof/>
        </w:rPr>
        <w:sectPr w:rsidR="004515FC" w:rsidRPr="00D04088" w:rsidSect="006C0976">
          <w:headerReference w:type="default" r:id="rId23"/>
          <w:footerReference w:type="default" r:id="rId24"/>
          <w:pgSz w:w="16840" w:h="11907" w:orient="landscape" w:code="9"/>
          <w:pgMar w:top="1134" w:right="1418" w:bottom="567" w:left="1418" w:header="709" w:footer="709" w:gutter="0"/>
          <w:cols w:space="708"/>
          <w:docGrid w:linePitch="360"/>
        </w:sectPr>
      </w:pPr>
    </w:p>
    <w:p w14:paraId="7AD35DE6" w14:textId="77777777" w:rsidR="004515FC" w:rsidRPr="00D04088" w:rsidRDefault="004515FC" w:rsidP="004515FC">
      <w:pPr>
        <w:pStyle w:val="ManualHeading3"/>
        <w:rPr>
          <w:noProof/>
        </w:rPr>
      </w:pPr>
      <w:bookmarkStart w:id="65" w:name="_Toc514938055"/>
      <w:bookmarkStart w:id="66" w:name="_Toc520485054"/>
      <w:r w:rsidRPr="00D04088">
        <w:rPr>
          <w:noProof/>
        </w:rPr>
        <w:t>3.2.3.</w:t>
      </w:r>
      <w:r w:rsidRPr="00D04088">
        <w:rPr>
          <w:noProof/>
        </w:rPr>
        <w:tab/>
        <w:t>Sommarju tal-impatt stmat fuq l-approprjazzjonijiet amministrattivi</w:t>
      </w:r>
      <w:bookmarkEnd w:id="65"/>
      <w:bookmarkEnd w:id="66"/>
      <w:r w:rsidRPr="00D04088">
        <w:rPr>
          <w:noProof/>
        </w:rPr>
        <w:t xml:space="preserve"> </w:t>
      </w:r>
    </w:p>
    <w:p w14:paraId="19C62A95" w14:textId="77777777" w:rsidR="004515FC" w:rsidRPr="00D04088" w:rsidRDefault="004515FC" w:rsidP="004515FC">
      <w:pPr>
        <w:pStyle w:val="ListDash1"/>
        <w:rPr>
          <w:noProof/>
        </w:rPr>
      </w:pPr>
      <w:r w:rsidRPr="00D04088">
        <w:rPr>
          <w:rFonts w:ascii="Wingdings" w:hAnsi="Wingdings"/>
          <w:noProof/>
        </w:rPr>
        <w:t></w:t>
      </w:r>
      <w:r w:rsidRPr="00D04088">
        <w:rPr>
          <w:noProof/>
        </w:rPr>
        <w:tab/>
        <w:t xml:space="preserve">Il-proposta/l-inizjattiva ma teħtieġx l-użu ta’ approprjazzjonijiet ta’ natura amministrattiva </w:t>
      </w:r>
    </w:p>
    <w:p w14:paraId="625C4A81" w14:textId="77777777" w:rsidR="004515FC" w:rsidRPr="00D04088" w:rsidRDefault="004515FC" w:rsidP="004515FC">
      <w:pPr>
        <w:pStyle w:val="ListDash1"/>
        <w:rPr>
          <w:noProof/>
        </w:rPr>
      </w:pPr>
      <w:r w:rsidRPr="00D04088">
        <w:rPr>
          <w:rFonts w:ascii="Wingdings" w:hAnsi="Wingdings"/>
          <w:noProof/>
        </w:rPr>
        <w:t></w:t>
      </w:r>
      <w:r w:rsidRPr="00D04088">
        <w:rPr>
          <w:noProof/>
        </w:rPr>
        <w:tab/>
        <w:t>Il-proposta/l-inizjattiva teħtieġ l-użu ta’ approprjazzjonijiet ta’ natura amministrattiva, kif spjegat hawn taħt:</w:t>
      </w:r>
    </w:p>
    <w:p w14:paraId="09A30F6F" w14:textId="77777777" w:rsidR="004515FC" w:rsidRPr="00D04088" w:rsidRDefault="004515FC" w:rsidP="004515FC">
      <w:pPr>
        <w:jc w:val="right"/>
        <w:rPr>
          <w:noProof/>
          <w:sz w:val="20"/>
        </w:rPr>
      </w:pPr>
      <w:r w:rsidRPr="00D04088">
        <w:rPr>
          <w:noProof/>
          <w:sz w:val="20"/>
        </w:rPr>
        <w:t>miljuni ta’ EUR (għal tliet pożizzjonijiet deċimali)</w:t>
      </w: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D04088" w14:paraId="49270A1B" w14:textId="77777777" w:rsidTr="0029161D">
        <w:trPr>
          <w:trHeight w:val="585"/>
          <w:jc w:val="center"/>
        </w:trPr>
        <w:tc>
          <w:tcPr>
            <w:tcW w:w="1980" w:type="dxa"/>
          </w:tcPr>
          <w:p w14:paraId="4F93BD43" w14:textId="77777777" w:rsidR="004515FC" w:rsidRPr="00D04088" w:rsidRDefault="004515FC" w:rsidP="0029161D">
            <w:pPr>
              <w:spacing w:before="60" w:after="60" w:line="200" w:lineRule="exact"/>
              <w:rPr>
                <w:noProof/>
                <w:sz w:val="16"/>
              </w:rPr>
            </w:pPr>
          </w:p>
        </w:tc>
        <w:tc>
          <w:tcPr>
            <w:tcW w:w="1080" w:type="dxa"/>
            <w:vAlign w:val="center"/>
          </w:tcPr>
          <w:p w14:paraId="71D0860F" w14:textId="77777777" w:rsidR="004515FC" w:rsidRPr="00D04088" w:rsidRDefault="004515FC" w:rsidP="0029161D">
            <w:pPr>
              <w:spacing w:before="60" w:after="60" w:line="200" w:lineRule="exact"/>
              <w:jc w:val="center"/>
              <w:rPr>
                <w:b/>
                <w:noProof/>
                <w:sz w:val="16"/>
              </w:rPr>
            </w:pPr>
            <w:r w:rsidRPr="00D04088">
              <w:rPr>
                <w:b/>
                <w:noProof/>
                <w:sz w:val="16"/>
              </w:rPr>
              <w:t>2026</w:t>
            </w:r>
          </w:p>
        </w:tc>
        <w:tc>
          <w:tcPr>
            <w:tcW w:w="1080" w:type="dxa"/>
            <w:vAlign w:val="center"/>
          </w:tcPr>
          <w:p w14:paraId="67B3DBAB" w14:textId="77777777" w:rsidR="004515FC" w:rsidRPr="00D04088" w:rsidRDefault="004515FC" w:rsidP="0029161D">
            <w:pPr>
              <w:spacing w:before="60" w:after="60" w:line="200" w:lineRule="exact"/>
              <w:jc w:val="center"/>
              <w:rPr>
                <w:b/>
                <w:noProof/>
                <w:sz w:val="16"/>
              </w:rPr>
            </w:pPr>
            <w:r w:rsidRPr="00D04088">
              <w:rPr>
                <w:b/>
                <w:noProof/>
                <w:sz w:val="16"/>
              </w:rPr>
              <w:t>2027</w:t>
            </w:r>
          </w:p>
        </w:tc>
        <w:tc>
          <w:tcPr>
            <w:tcW w:w="1080" w:type="dxa"/>
            <w:vAlign w:val="center"/>
          </w:tcPr>
          <w:p w14:paraId="79FF1073" w14:textId="77777777" w:rsidR="004515FC" w:rsidRPr="00D04088" w:rsidRDefault="004515FC" w:rsidP="0029161D">
            <w:pPr>
              <w:spacing w:before="60" w:after="60" w:line="200" w:lineRule="exact"/>
              <w:jc w:val="center"/>
              <w:rPr>
                <w:b/>
                <w:noProof/>
                <w:sz w:val="16"/>
              </w:rPr>
            </w:pPr>
            <w:r w:rsidRPr="00D04088">
              <w:rPr>
                <w:b/>
                <w:noProof/>
                <w:sz w:val="16"/>
              </w:rPr>
              <w:t>TOTAL</w:t>
            </w:r>
          </w:p>
        </w:tc>
      </w:tr>
    </w:tbl>
    <w:p w14:paraId="79BB913C" w14:textId="77777777" w:rsidR="004515FC" w:rsidRPr="00D04088" w:rsidRDefault="004515FC" w:rsidP="004515FC">
      <w:pPr>
        <w:spacing w:line="200" w:lineRule="exact"/>
        <w:rPr>
          <w:noProof/>
          <w:sz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D04088" w14:paraId="5A2A45EE" w14:textId="77777777" w:rsidTr="0029161D">
        <w:trPr>
          <w:trHeight w:val="585"/>
          <w:jc w:val="center"/>
        </w:trPr>
        <w:tc>
          <w:tcPr>
            <w:tcW w:w="1980" w:type="dxa"/>
            <w:shd w:val="clear" w:color="auto" w:fill="CCCCCC"/>
            <w:vAlign w:val="center"/>
          </w:tcPr>
          <w:p w14:paraId="2BBFAC6D" w14:textId="77777777" w:rsidR="004515FC" w:rsidRPr="00D04088" w:rsidRDefault="004515FC" w:rsidP="0029161D">
            <w:pPr>
              <w:spacing w:before="60" w:after="60" w:line="200" w:lineRule="exact"/>
              <w:jc w:val="center"/>
              <w:rPr>
                <w:b/>
                <w:noProof/>
                <w:sz w:val="16"/>
              </w:rPr>
            </w:pPr>
            <w:r w:rsidRPr="00D04088">
              <w:rPr>
                <w:b/>
                <w:noProof/>
                <w:sz w:val="16"/>
              </w:rPr>
              <w:t>INTESTATURA 7</w:t>
            </w:r>
            <w:r w:rsidRPr="00D04088">
              <w:rPr>
                <w:noProof/>
              </w:rPr>
              <w:t xml:space="preserve"> </w:t>
            </w:r>
            <w:r w:rsidRPr="00D04088">
              <w:rPr>
                <w:noProof/>
              </w:rPr>
              <w:cr/>
            </w:r>
            <w:r w:rsidRPr="00D04088">
              <w:rPr>
                <w:noProof/>
              </w:rPr>
              <w:br/>
            </w:r>
            <w:r w:rsidRPr="00D04088">
              <w:rPr>
                <w:b/>
                <w:noProof/>
                <w:sz w:val="16"/>
              </w:rPr>
              <w:t>tal-qafas finanzjarju pluriennali</w:t>
            </w:r>
          </w:p>
        </w:tc>
        <w:tc>
          <w:tcPr>
            <w:tcW w:w="1080" w:type="dxa"/>
            <w:vAlign w:val="center"/>
          </w:tcPr>
          <w:p w14:paraId="73468E5D" w14:textId="77777777" w:rsidR="004515FC" w:rsidRPr="00D04088" w:rsidRDefault="004515FC" w:rsidP="0029161D">
            <w:pPr>
              <w:spacing w:before="60" w:after="60" w:line="200" w:lineRule="exact"/>
              <w:jc w:val="right"/>
              <w:rPr>
                <w:noProof/>
                <w:sz w:val="16"/>
              </w:rPr>
            </w:pPr>
          </w:p>
        </w:tc>
        <w:tc>
          <w:tcPr>
            <w:tcW w:w="1080" w:type="dxa"/>
            <w:vAlign w:val="center"/>
          </w:tcPr>
          <w:p w14:paraId="74D06B89" w14:textId="77777777" w:rsidR="004515FC" w:rsidRPr="00D04088" w:rsidRDefault="004515FC" w:rsidP="0029161D">
            <w:pPr>
              <w:spacing w:before="60" w:after="60" w:line="200" w:lineRule="exact"/>
              <w:jc w:val="right"/>
              <w:rPr>
                <w:noProof/>
                <w:sz w:val="16"/>
              </w:rPr>
            </w:pPr>
          </w:p>
        </w:tc>
        <w:tc>
          <w:tcPr>
            <w:tcW w:w="1080" w:type="dxa"/>
            <w:vAlign w:val="center"/>
          </w:tcPr>
          <w:p w14:paraId="7ABA5A61" w14:textId="77777777" w:rsidR="004515FC" w:rsidRPr="00D04088" w:rsidRDefault="004515FC" w:rsidP="0029161D">
            <w:pPr>
              <w:spacing w:before="60" w:after="60" w:line="200" w:lineRule="exact"/>
              <w:jc w:val="right"/>
              <w:rPr>
                <w:b/>
                <w:noProof/>
                <w:sz w:val="16"/>
              </w:rPr>
            </w:pPr>
          </w:p>
        </w:tc>
      </w:tr>
      <w:tr w:rsidR="004515FC" w:rsidRPr="00D04088" w14:paraId="107766E4" w14:textId="77777777" w:rsidTr="0029161D">
        <w:trPr>
          <w:trHeight w:val="585"/>
          <w:jc w:val="center"/>
        </w:trPr>
        <w:tc>
          <w:tcPr>
            <w:tcW w:w="1980" w:type="dxa"/>
            <w:vAlign w:val="center"/>
          </w:tcPr>
          <w:p w14:paraId="22C99DB2" w14:textId="77777777" w:rsidR="004515FC" w:rsidRPr="00D04088" w:rsidRDefault="004515FC" w:rsidP="0029161D">
            <w:pPr>
              <w:spacing w:before="60" w:after="60" w:line="200" w:lineRule="exact"/>
              <w:ind w:left="72"/>
              <w:jc w:val="left"/>
              <w:rPr>
                <w:noProof/>
                <w:sz w:val="16"/>
              </w:rPr>
            </w:pPr>
            <w:r w:rsidRPr="00D04088">
              <w:rPr>
                <w:noProof/>
                <w:sz w:val="16"/>
              </w:rPr>
              <w:t xml:space="preserve">Riżorsi umani </w:t>
            </w:r>
          </w:p>
        </w:tc>
        <w:tc>
          <w:tcPr>
            <w:tcW w:w="1080" w:type="dxa"/>
            <w:vAlign w:val="center"/>
          </w:tcPr>
          <w:p w14:paraId="2BB36E29" w14:textId="77777777" w:rsidR="004515FC" w:rsidRPr="00D04088" w:rsidRDefault="004515FC" w:rsidP="0029161D">
            <w:pPr>
              <w:spacing w:before="60" w:after="60" w:line="200" w:lineRule="exact"/>
              <w:jc w:val="right"/>
              <w:rPr>
                <w:noProof/>
                <w:sz w:val="16"/>
              </w:rPr>
            </w:pPr>
            <w:r w:rsidRPr="00D04088">
              <w:rPr>
                <w:noProof/>
                <w:sz w:val="16"/>
              </w:rPr>
              <w:t>0,043</w:t>
            </w:r>
          </w:p>
        </w:tc>
        <w:tc>
          <w:tcPr>
            <w:tcW w:w="1080" w:type="dxa"/>
            <w:vAlign w:val="center"/>
          </w:tcPr>
          <w:p w14:paraId="1D95F316" w14:textId="77777777" w:rsidR="004515FC" w:rsidRPr="00D04088" w:rsidRDefault="004515FC" w:rsidP="0029161D">
            <w:pPr>
              <w:spacing w:before="60" w:after="60" w:line="200" w:lineRule="exact"/>
              <w:jc w:val="right"/>
              <w:rPr>
                <w:noProof/>
                <w:sz w:val="16"/>
              </w:rPr>
            </w:pPr>
            <w:r w:rsidRPr="00D04088">
              <w:rPr>
                <w:noProof/>
                <w:sz w:val="16"/>
              </w:rPr>
              <w:t>0,014</w:t>
            </w:r>
          </w:p>
        </w:tc>
        <w:tc>
          <w:tcPr>
            <w:tcW w:w="1080" w:type="dxa"/>
            <w:vAlign w:val="center"/>
          </w:tcPr>
          <w:p w14:paraId="1C9B64D1" w14:textId="77777777" w:rsidR="004515FC" w:rsidRPr="00D04088" w:rsidRDefault="004515FC" w:rsidP="0029161D">
            <w:pPr>
              <w:spacing w:before="60" w:after="60" w:line="200" w:lineRule="exact"/>
              <w:jc w:val="right"/>
              <w:rPr>
                <w:b/>
                <w:noProof/>
                <w:sz w:val="16"/>
              </w:rPr>
            </w:pPr>
            <w:r w:rsidRPr="00D04088">
              <w:rPr>
                <w:b/>
                <w:noProof/>
                <w:sz w:val="16"/>
              </w:rPr>
              <w:t>0,057</w:t>
            </w:r>
          </w:p>
        </w:tc>
      </w:tr>
      <w:tr w:rsidR="006E52EF" w:rsidRPr="00D04088" w14:paraId="146A6886" w14:textId="77777777" w:rsidTr="00AE0D25">
        <w:trPr>
          <w:trHeight w:val="585"/>
          <w:jc w:val="center"/>
        </w:trPr>
        <w:tc>
          <w:tcPr>
            <w:tcW w:w="1980" w:type="dxa"/>
            <w:vAlign w:val="center"/>
          </w:tcPr>
          <w:p w14:paraId="4FB2FECF" w14:textId="77777777" w:rsidR="006E52EF" w:rsidRPr="00D04088" w:rsidRDefault="006E52EF" w:rsidP="006E52EF">
            <w:pPr>
              <w:spacing w:before="60" w:after="60" w:line="200" w:lineRule="exact"/>
              <w:ind w:left="72"/>
              <w:jc w:val="left"/>
              <w:rPr>
                <w:noProof/>
                <w:sz w:val="16"/>
              </w:rPr>
            </w:pPr>
            <w:r w:rsidRPr="00D04088">
              <w:rPr>
                <w:noProof/>
                <w:sz w:val="16"/>
              </w:rPr>
              <w:t xml:space="preserve">Nefqa amministrattiva oħra </w:t>
            </w:r>
          </w:p>
        </w:tc>
        <w:tc>
          <w:tcPr>
            <w:tcW w:w="1080" w:type="dxa"/>
            <w:vAlign w:val="center"/>
          </w:tcPr>
          <w:p w14:paraId="20E63E11" w14:textId="41E16AA0" w:rsidR="006E52EF" w:rsidRPr="00D04088" w:rsidRDefault="006E52EF" w:rsidP="006E52EF">
            <w:pPr>
              <w:spacing w:before="60" w:after="60" w:line="200" w:lineRule="exact"/>
              <w:jc w:val="right"/>
              <w:rPr>
                <w:noProof/>
                <w:sz w:val="16"/>
              </w:rPr>
            </w:pPr>
            <w:r w:rsidRPr="00D04088">
              <w:rPr>
                <w:noProof/>
                <w:sz w:val="16"/>
              </w:rPr>
              <w:t>0,038</w:t>
            </w:r>
          </w:p>
        </w:tc>
        <w:tc>
          <w:tcPr>
            <w:tcW w:w="1080" w:type="dxa"/>
            <w:vAlign w:val="center"/>
          </w:tcPr>
          <w:p w14:paraId="3BE7D71C" w14:textId="7FC45B35" w:rsidR="006E52EF" w:rsidRPr="00D04088" w:rsidRDefault="006E52EF" w:rsidP="006E52EF">
            <w:pPr>
              <w:spacing w:before="60" w:after="60" w:line="200" w:lineRule="exact"/>
              <w:jc w:val="right"/>
              <w:rPr>
                <w:noProof/>
                <w:sz w:val="16"/>
              </w:rPr>
            </w:pPr>
            <w:r w:rsidRPr="00D04088">
              <w:rPr>
                <w:noProof/>
                <w:sz w:val="16"/>
              </w:rPr>
              <w:t xml:space="preserve"> 0,038</w:t>
            </w:r>
          </w:p>
        </w:tc>
        <w:tc>
          <w:tcPr>
            <w:tcW w:w="1080" w:type="dxa"/>
            <w:vAlign w:val="center"/>
          </w:tcPr>
          <w:p w14:paraId="48342B35" w14:textId="2AEBED5A" w:rsidR="006E52EF" w:rsidRPr="00D04088" w:rsidRDefault="006E52EF" w:rsidP="006E52EF">
            <w:pPr>
              <w:spacing w:before="60" w:after="60" w:line="200" w:lineRule="exact"/>
              <w:jc w:val="right"/>
              <w:rPr>
                <w:b/>
                <w:noProof/>
                <w:sz w:val="16"/>
              </w:rPr>
            </w:pPr>
            <w:r w:rsidRPr="00D04088">
              <w:rPr>
                <w:b/>
                <w:noProof/>
                <w:sz w:val="16"/>
              </w:rPr>
              <w:t>0,076</w:t>
            </w:r>
          </w:p>
        </w:tc>
      </w:tr>
      <w:tr w:rsidR="00AE0D25" w:rsidRPr="00D04088" w14:paraId="2DB66731" w14:textId="77777777" w:rsidTr="00AE0D25">
        <w:trPr>
          <w:trHeight w:val="585"/>
          <w:jc w:val="center"/>
        </w:trPr>
        <w:tc>
          <w:tcPr>
            <w:tcW w:w="1980" w:type="dxa"/>
            <w:shd w:val="clear" w:color="auto" w:fill="CCCCCC"/>
            <w:vAlign w:val="center"/>
          </w:tcPr>
          <w:p w14:paraId="51388F1B" w14:textId="77777777" w:rsidR="00AE0D25" w:rsidRPr="00D04088" w:rsidRDefault="00AE0D25" w:rsidP="00AE0D25">
            <w:pPr>
              <w:spacing w:before="60" w:after="60" w:line="200" w:lineRule="exact"/>
              <w:jc w:val="center"/>
              <w:rPr>
                <w:b/>
                <w:noProof/>
                <w:sz w:val="16"/>
              </w:rPr>
            </w:pPr>
            <w:r w:rsidRPr="00D04088">
              <w:rPr>
                <w:b/>
                <w:noProof/>
                <w:sz w:val="16"/>
              </w:rPr>
              <w:t>Subtotal tal-INTESTATURA 7</w:t>
            </w:r>
            <w:r w:rsidRPr="00D04088">
              <w:rPr>
                <w:noProof/>
              </w:rPr>
              <w:t xml:space="preserve"> </w:t>
            </w:r>
            <w:r w:rsidRPr="00D04088">
              <w:rPr>
                <w:noProof/>
              </w:rPr>
              <w:cr/>
            </w:r>
            <w:r w:rsidRPr="00D04088">
              <w:rPr>
                <w:noProof/>
              </w:rPr>
              <w:br/>
            </w:r>
            <w:r w:rsidRPr="00D04088">
              <w:rPr>
                <w:b/>
                <w:noProof/>
                <w:sz w:val="16"/>
              </w:rPr>
              <w:t xml:space="preserve">tal-qafas finanzjarju pluriennali </w:t>
            </w:r>
          </w:p>
        </w:tc>
        <w:tc>
          <w:tcPr>
            <w:tcW w:w="1080" w:type="dxa"/>
            <w:vAlign w:val="center"/>
          </w:tcPr>
          <w:p w14:paraId="01D6E205" w14:textId="37FD5B28" w:rsidR="00AE0D25" w:rsidRPr="00D04088" w:rsidRDefault="00AE0D25" w:rsidP="00AE0D25">
            <w:pPr>
              <w:spacing w:before="60" w:after="60" w:line="200" w:lineRule="exact"/>
              <w:jc w:val="right"/>
              <w:rPr>
                <w:b/>
                <w:noProof/>
                <w:sz w:val="16"/>
              </w:rPr>
            </w:pPr>
            <w:r w:rsidRPr="00D04088">
              <w:rPr>
                <w:b/>
                <w:noProof/>
                <w:sz w:val="16"/>
              </w:rPr>
              <w:t>0,081</w:t>
            </w:r>
          </w:p>
        </w:tc>
        <w:tc>
          <w:tcPr>
            <w:tcW w:w="1080" w:type="dxa"/>
            <w:vAlign w:val="center"/>
          </w:tcPr>
          <w:p w14:paraId="2BA979D0" w14:textId="0D9ECF9F" w:rsidR="00AE0D25" w:rsidRPr="00D04088" w:rsidRDefault="00AE0D25" w:rsidP="00AE0D25">
            <w:pPr>
              <w:spacing w:before="60" w:after="60" w:line="200" w:lineRule="exact"/>
              <w:jc w:val="right"/>
              <w:rPr>
                <w:b/>
                <w:noProof/>
                <w:sz w:val="16"/>
              </w:rPr>
            </w:pPr>
            <w:r w:rsidRPr="00D04088">
              <w:rPr>
                <w:b/>
                <w:noProof/>
                <w:sz w:val="16"/>
              </w:rPr>
              <w:t>0,052</w:t>
            </w:r>
          </w:p>
        </w:tc>
        <w:tc>
          <w:tcPr>
            <w:tcW w:w="1080" w:type="dxa"/>
            <w:vAlign w:val="center"/>
          </w:tcPr>
          <w:p w14:paraId="1FB2E98C" w14:textId="208FC22F" w:rsidR="00AE0D25" w:rsidRPr="00D04088" w:rsidRDefault="00AE0D25" w:rsidP="00AE0D25">
            <w:pPr>
              <w:spacing w:before="60" w:after="60" w:line="200" w:lineRule="exact"/>
              <w:jc w:val="right"/>
              <w:rPr>
                <w:b/>
                <w:noProof/>
                <w:sz w:val="16"/>
              </w:rPr>
            </w:pPr>
            <w:r w:rsidRPr="00D04088">
              <w:rPr>
                <w:b/>
                <w:noProof/>
                <w:sz w:val="16"/>
              </w:rPr>
              <w:t xml:space="preserve"> 0,133</w:t>
            </w:r>
          </w:p>
        </w:tc>
      </w:tr>
    </w:tbl>
    <w:p w14:paraId="49A199A4" w14:textId="77777777" w:rsidR="004515FC" w:rsidRPr="00D04088" w:rsidRDefault="004515FC" w:rsidP="004515FC">
      <w:pPr>
        <w:spacing w:line="200" w:lineRule="exact"/>
        <w:rPr>
          <w:noProof/>
          <w:sz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D04088" w14:paraId="01D68E17" w14:textId="77777777" w:rsidTr="0029161D">
        <w:trPr>
          <w:trHeight w:val="585"/>
          <w:jc w:val="center"/>
        </w:trPr>
        <w:tc>
          <w:tcPr>
            <w:tcW w:w="1980" w:type="dxa"/>
            <w:shd w:val="clear" w:color="auto" w:fill="CCCCCC"/>
            <w:vAlign w:val="center"/>
          </w:tcPr>
          <w:p w14:paraId="5790166C" w14:textId="77777777" w:rsidR="004515FC" w:rsidRPr="00D04088" w:rsidRDefault="004515FC" w:rsidP="0029161D">
            <w:pPr>
              <w:spacing w:before="60" w:after="60" w:line="200" w:lineRule="exact"/>
              <w:jc w:val="center"/>
              <w:rPr>
                <w:noProof/>
                <w:sz w:val="16"/>
              </w:rPr>
            </w:pPr>
            <w:r w:rsidRPr="00D04088">
              <w:rPr>
                <w:b/>
                <w:noProof/>
                <w:sz w:val="16"/>
              </w:rPr>
              <w:t>Barra mill-INTESTATURA 7</w:t>
            </w:r>
            <w:r w:rsidRPr="00D04088">
              <w:rPr>
                <w:rStyle w:val="FootnoteReference0"/>
                <w:b/>
                <w:noProof/>
                <w:sz w:val="16"/>
              </w:rPr>
              <w:footnoteReference w:id="50"/>
            </w:r>
            <w:r w:rsidRPr="00D04088">
              <w:rPr>
                <w:noProof/>
              </w:rPr>
              <w:t xml:space="preserve"> </w:t>
            </w:r>
            <w:r w:rsidRPr="00D04088">
              <w:rPr>
                <w:noProof/>
              </w:rPr>
              <w:cr/>
            </w:r>
            <w:r w:rsidRPr="00D04088">
              <w:rPr>
                <w:noProof/>
              </w:rPr>
              <w:br/>
            </w:r>
            <w:r w:rsidRPr="00D04088">
              <w:rPr>
                <w:b/>
                <w:noProof/>
                <w:sz w:val="16"/>
              </w:rPr>
              <w:t xml:space="preserve">tal-qafas finanzjarju pluriennali </w:t>
            </w:r>
          </w:p>
          <w:p w14:paraId="4DB91203" w14:textId="77777777" w:rsidR="004515FC" w:rsidRPr="00D04088" w:rsidRDefault="004515FC" w:rsidP="0029161D">
            <w:pPr>
              <w:spacing w:before="0" w:after="0" w:line="200" w:lineRule="exact"/>
              <w:jc w:val="center"/>
              <w:rPr>
                <w:b/>
                <w:noProof/>
                <w:sz w:val="16"/>
              </w:rPr>
            </w:pPr>
          </w:p>
        </w:tc>
        <w:tc>
          <w:tcPr>
            <w:tcW w:w="1080" w:type="dxa"/>
            <w:vAlign w:val="center"/>
          </w:tcPr>
          <w:p w14:paraId="4FF4E2B1" w14:textId="77777777" w:rsidR="004515FC" w:rsidRPr="00D04088" w:rsidRDefault="004515FC" w:rsidP="0029161D">
            <w:pPr>
              <w:spacing w:before="60" w:after="60" w:line="200" w:lineRule="exact"/>
              <w:jc w:val="right"/>
              <w:rPr>
                <w:noProof/>
                <w:sz w:val="16"/>
              </w:rPr>
            </w:pPr>
          </w:p>
        </w:tc>
        <w:tc>
          <w:tcPr>
            <w:tcW w:w="1080" w:type="dxa"/>
            <w:vAlign w:val="center"/>
          </w:tcPr>
          <w:p w14:paraId="00A985D5" w14:textId="77777777" w:rsidR="004515FC" w:rsidRPr="00D04088" w:rsidRDefault="004515FC" w:rsidP="0029161D">
            <w:pPr>
              <w:spacing w:before="60" w:after="60" w:line="200" w:lineRule="exact"/>
              <w:jc w:val="right"/>
              <w:rPr>
                <w:noProof/>
                <w:sz w:val="16"/>
              </w:rPr>
            </w:pPr>
          </w:p>
        </w:tc>
        <w:tc>
          <w:tcPr>
            <w:tcW w:w="1080" w:type="dxa"/>
            <w:vAlign w:val="center"/>
          </w:tcPr>
          <w:p w14:paraId="027FF494" w14:textId="77777777" w:rsidR="004515FC" w:rsidRPr="00D04088" w:rsidRDefault="004515FC" w:rsidP="0029161D">
            <w:pPr>
              <w:spacing w:before="60" w:after="60" w:line="200" w:lineRule="exact"/>
              <w:jc w:val="right"/>
              <w:rPr>
                <w:b/>
                <w:noProof/>
                <w:sz w:val="16"/>
              </w:rPr>
            </w:pPr>
          </w:p>
        </w:tc>
      </w:tr>
      <w:tr w:rsidR="004515FC" w:rsidRPr="00D04088" w14:paraId="0FA3600C" w14:textId="77777777" w:rsidTr="0029161D">
        <w:trPr>
          <w:trHeight w:val="585"/>
          <w:jc w:val="center"/>
        </w:trPr>
        <w:tc>
          <w:tcPr>
            <w:tcW w:w="1980" w:type="dxa"/>
            <w:vAlign w:val="center"/>
          </w:tcPr>
          <w:p w14:paraId="1F15A970" w14:textId="77777777" w:rsidR="004515FC" w:rsidRPr="00D04088" w:rsidRDefault="004515FC" w:rsidP="0029161D">
            <w:pPr>
              <w:spacing w:before="60" w:after="60" w:line="200" w:lineRule="exact"/>
              <w:ind w:left="72"/>
              <w:jc w:val="left"/>
              <w:rPr>
                <w:noProof/>
                <w:sz w:val="16"/>
              </w:rPr>
            </w:pPr>
            <w:r w:rsidRPr="00D04088">
              <w:rPr>
                <w:noProof/>
                <w:sz w:val="16"/>
              </w:rPr>
              <w:t xml:space="preserve">Riżorsi umani </w:t>
            </w:r>
          </w:p>
        </w:tc>
        <w:tc>
          <w:tcPr>
            <w:tcW w:w="1080" w:type="dxa"/>
            <w:vAlign w:val="center"/>
          </w:tcPr>
          <w:p w14:paraId="1D11E4CF" w14:textId="77777777" w:rsidR="004515FC" w:rsidRPr="00D04088" w:rsidRDefault="004515FC" w:rsidP="0029161D">
            <w:pPr>
              <w:spacing w:before="60" w:after="60" w:line="200" w:lineRule="exact"/>
              <w:jc w:val="right"/>
              <w:rPr>
                <w:noProof/>
                <w:sz w:val="16"/>
              </w:rPr>
            </w:pPr>
          </w:p>
        </w:tc>
        <w:tc>
          <w:tcPr>
            <w:tcW w:w="1080" w:type="dxa"/>
            <w:vAlign w:val="center"/>
          </w:tcPr>
          <w:p w14:paraId="52839FA2" w14:textId="77777777" w:rsidR="004515FC" w:rsidRPr="00D04088" w:rsidRDefault="004515FC" w:rsidP="0029161D">
            <w:pPr>
              <w:spacing w:before="60" w:after="60" w:line="200" w:lineRule="exact"/>
              <w:jc w:val="right"/>
              <w:rPr>
                <w:noProof/>
                <w:sz w:val="16"/>
              </w:rPr>
            </w:pPr>
          </w:p>
        </w:tc>
        <w:tc>
          <w:tcPr>
            <w:tcW w:w="1080" w:type="dxa"/>
            <w:vAlign w:val="center"/>
          </w:tcPr>
          <w:p w14:paraId="1E8FD9CD" w14:textId="77777777" w:rsidR="004515FC" w:rsidRPr="00D04088" w:rsidRDefault="004515FC" w:rsidP="0029161D">
            <w:pPr>
              <w:spacing w:before="60" w:after="60" w:line="200" w:lineRule="exact"/>
              <w:jc w:val="right"/>
              <w:rPr>
                <w:b/>
                <w:noProof/>
                <w:sz w:val="16"/>
              </w:rPr>
            </w:pPr>
          </w:p>
        </w:tc>
      </w:tr>
      <w:tr w:rsidR="004515FC" w:rsidRPr="00D04088" w14:paraId="7122004A" w14:textId="77777777" w:rsidTr="0029161D">
        <w:trPr>
          <w:trHeight w:val="585"/>
          <w:jc w:val="center"/>
        </w:trPr>
        <w:tc>
          <w:tcPr>
            <w:tcW w:w="1980" w:type="dxa"/>
            <w:vAlign w:val="center"/>
          </w:tcPr>
          <w:p w14:paraId="09A86648" w14:textId="77777777" w:rsidR="004515FC" w:rsidRPr="00D04088" w:rsidRDefault="004515FC" w:rsidP="0029161D">
            <w:pPr>
              <w:spacing w:before="60" w:after="60" w:line="200" w:lineRule="exact"/>
              <w:ind w:left="72"/>
              <w:jc w:val="left"/>
              <w:rPr>
                <w:noProof/>
                <w:sz w:val="16"/>
              </w:rPr>
            </w:pPr>
            <w:r w:rsidRPr="00D04088">
              <w:rPr>
                <w:noProof/>
                <w:sz w:val="16"/>
              </w:rPr>
              <w:t xml:space="preserve">Nefqa oħra </w:t>
            </w:r>
            <w:r w:rsidRPr="00D04088">
              <w:rPr>
                <w:noProof/>
              </w:rPr>
              <w:t xml:space="preserve"> </w:t>
            </w:r>
            <w:r w:rsidRPr="00D04088">
              <w:rPr>
                <w:noProof/>
              </w:rPr>
              <w:cr/>
            </w:r>
            <w:r w:rsidRPr="00D04088">
              <w:rPr>
                <w:noProof/>
              </w:rPr>
              <w:br/>
            </w:r>
            <w:r w:rsidRPr="00D04088">
              <w:rPr>
                <w:noProof/>
                <w:sz w:val="16"/>
              </w:rPr>
              <w:t>ta’ natura amministrattiva</w:t>
            </w:r>
          </w:p>
        </w:tc>
        <w:tc>
          <w:tcPr>
            <w:tcW w:w="1080" w:type="dxa"/>
            <w:vAlign w:val="center"/>
          </w:tcPr>
          <w:p w14:paraId="1C689B4B" w14:textId="77777777" w:rsidR="004515FC" w:rsidRPr="00D04088" w:rsidRDefault="004515FC" w:rsidP="0029161D">
            <w:pPr>
              <w:spacing w:before="60" w:after="60" w:line="200" w:lineRule="exact"/>
              <w:jc w:val="right"/>
              <w:rPr>
                <w:noProof/>
                <w:sz w:val="16"/>
              </w:rPr>
            </w:pPr>
          </w:p>
        </w:tc>
        <w:tc>
          <w:tcPr>
            <w:tcW w:w="1080" w:type="dxa"/>
            <w:vAlign w:val="center"/>
          </w:tcPr>
          <w:p w14:paraId="741A5C7E" w14:textId="77777777" w:rsidR="004515FC" w:rsidRPr="00D04088" w:rsidRDefault="004515FC" w:rsidP="0029161D">
            <w:pPr>
              <w:spacing w:before="60" w:after="60" w:line="200" w:lineRule="exact"/>
              <w:jc w:val="right"/>
              <w:rPr>
                <w:noProof/>
                <w:sz w:val="16"/>
              </w:rPr>
            </w:pPr>
          </w:p>
        </w:tc>
        <w:tc>
          <w:tcPr>
            <w:tcW w:w="1080" w:type="dxa"/>
            <w:vAlign w:val="center"/>
          </w:tcPr>
          <w:p w14:paraId="325B3C38" w14:textId="77777777" w:rsidR="004515FC" w:rsidRPr="00D04088" w:rsidRDefault="004515FC" w:rsidP="0029161D">
            <w:pPr>
              <w:spacing w:before="60" w:after="60" w:line="200" w:lineRule="exact"/>
              <w:jc w:val="right"/>
              <w:rPr>
                <w:b/>
                <w:noProof/>
                <w:sz w:val="16"/>
              </w:rPr>
            </w:pPr>
          </w:p>
        </w:tc>
      </w:tr>
      <w:tr w:rsidR="004515FC" w:rsidRPr="00D04088" w14:paraId="262FC704" w14:textId="77777777" w:rsidTr="0029161D">
        <w:trPr>
          <w:trHeight w:val="585"/>
          <w:jc w:val="center"/>
        </w:trPr>
        <w:tc>
          <w:tcPr>
            <w:tcW w:w="1980" w:type="dxa"/>
            <w:shd w:val="clear" w:color="auto" w:fill="CCCCCC"/>
            <w:vAlign w:val="center"/>
          </w:tcPr>
          <w:p w14:paraId="40720FD1" w14:textId="77777777" w:rsidR="004515FC" w:rsidRPr="00D04088" w:rsidRDefault="004515FC" w:rsidP="0029161D">
            <w:pPr>
              <w:spacing w:before="60" w:after="60" w:line="200" w:lineRule="exact"/>
              <w:jc w:val="center"/>
              <w:rPr>
                <w:b/>
                <w:noProof/>
                <w:sz w:val="16"/>
              </w:rPr>
            </w:pPr>
            <w:r w:rsidRPr="00D04088">
              <w:rPr>
                <w:b/>
                <w:noProof/>
                <w:sz w:val="16"/>
              </w:rPr>
              <w:t xml:space="preserve">Subtotal </w:t>
            </w:r>
            <w:r w:rsidRPr="00D04088">
              <w:rPr>
                <w:noProof/>
              </w:rPr>
              <w:t xml:space="preserve"> </w:t>
            </w:r>
            <w:r w:rsidRPr="00D04088">
              <w:rPr>
                <w:noProof/>
              </w:rPr>
              <w:cr/>
            </w:r>
            <w:r w:rsidRPr="00D04088">
              <w:rPr>
                <w:noProof/>
              </w:rPr>
              <w:br/>
            </w:r>
            <w:r w:rsidRPr="00D04088">
              <w:rPr>
                <w:b/>
                <w:noProof/>
                <w:sz w:val="16"/>
              </w:rPr>
              <w:t>barra mill-INTESTATURA 7</w:t>
            </w:r>
            <w:r w:rsidRPr="00D04088">
              <w:rPr>
                <w:noProof/>
              </w:rPr>
              <w:t xml:space="preserve"> </w:t>
            </w:r>
            <w:r w:rsidRPr="00D04088">
              <w:rPr>
                <w:noProof/>
              </w:rPr>
              <w:cr/>
            </w:r>
            <w:r w:rsidRPr="00D04088">
              <w:rPr>
                <w:noProof/>
              </w:rPr>
              <w:br/>
            </w:r>
            <w:r w:rsidRPr="00D04088">
              <w:rPr>
                <w:b/>
                <w:noProof/>
                <w:sz w:val="16"/>
              </w:rPr>
              <w:t xml:space="preserve">tal-qafas finanzjarju pluriennali </w:t>
            </w:r>
          </w:p>
        </w:tc>
        <w:tc>
          <w:tcPr>
            <w:tcW w:w="1080" w:type="dxa"/>
            <w:vAlign w:val="center"/>
          </w:tcPr>
          <w:p w14:paraId="72D5A55B" w14:textId="77777777" w:rsidR="004515FC" w:rsidRPr="00D04088" w:rsidRDefault="004515FC" w:rsidP="0029161D">
            <w:pPr>
              <w:spacing w:before="60" w:after="60" w:line="200" w:lineRule="exact"/>
              <w:jc w:val="right"/>
              <w:rPr>
                <w:noProof/>
                <w:sz w:val="16"/>
              </w:rPr>
            </w:pPr>
          </w:p>
        </w:tc>
        <w:tc>
          <w:tcPr>
            <w:tcW w:w="1080" w:type="dxa"/>
            <w:vAlign w:val="center"/>
          </w:tcPr>
          <w:p w14:paraId="09358B7F" w14:textId="77777777" w:rsidR="004515FC" w:rsidRPr="00D04088" w:rsidRDefault="004515FC" w:rsidP="0029161D">
            <w:pPr>
              <w:spacing w:before="60" w:after="60" w:line="200" w:lineRule="exact"/>
              <w:jc w:val="right"/>
              <w:rPr>
                <w:noProof/>
                <w:sz w:val="16"/>
              </w:rPr>
            </w:pPr>
          </w:p>
        </w:tc>
        <w:tc>
          <w:tcPr>
            <w:tcW w:w="1080" w:type="dxa"/>
            <w:vAlign w:val="center"/>
          </w:tcPr>
          <w:p w14:paraId="66354F4A" w14:textId="77777777" w:rsidR="004515FC" w:rsidRPr="00D04088" w:rsidRDefault="004515FC" w:rsidP="0029161D">
            <w:pPr>
              <w:spacing w:before="60" w:after="60" w:line="200" w:lineRule="exact"/>
              <w:jc w:val="right"/>
              <w:rPr>
                <w:b/>
                <w:noProof/>
                <w:sz w:val="16"/>
              </w:rPr>
            </w:pPr>
          </w:p>
        </w:tc>
      </w:tr>
    </w:tbl>
    <w:p w14:paraId="11F2A4F8" w14:textId="77777777" w:rsidR="004515FC" w:rsidRPr="00D04088" w:rsidRDefault="004515FC" w:rsidP="004515FC">
      <w:pPr>
        <w:spacing w:line="200" w:lineRule="exact"/>
        <w:rPr>
          <w:noProof/>
          <w:sz w:val="16"/>
        </w:rPr>
      </w:pPr>
    </w:p>
    <w:tbl>
      <w:tblPr>
        <w:tblW w:w="5220" w:type="dxa"/>
        <w:jc w:val="center"/>
        <w:tblLayout w:type="fixed"/>
        <w:tblLook w:val="01E0" w:firstRow="1" w:lastRow="1" w:firstColumn="1" w:lastColumn="1" w:noHBand="0" w:noVBand="0"/>
      </w:tblPr>
      <w:tblGrid>
        <w:gridCol w:w="1980"/>
        <w:gridCol w:w="1080"/>
        <w:gridCol w:w="1080"/>
        <w:gridCol w:w="1080"/>
      </w:tblGrid>
      <w:tr w:rsidR="00AE0D25" w:rsidRPr="00D04088" w14:paraId="09D09DCE" w14:textId="77777777" w:rsidTr="0029161D">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24AF80A2" w14:textId="77777777" w:rsidR="00AE0D25" w:rsidRPr="00D04088" w:rsidRDefault="00AE0D25" w:rsidP="00AE0D25">
            <w:pPr>
              <w:spacing w:before="60" w:after="60" w:line="200" w:lineRule="exact"/>
              <w:jc w:val="center"/>
              <w:rPr>
                <w:noProof/>
                <w:sz w:val="16"/>
              </w:rPr>
            </w:pPr>
            <w:r w:rsidRPr="00D04088">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7BE685B7" w14:textId="46193A20" w:rsidR="00AE0D25" w:rsidRPr="00D04088" w:rsidRDefault="00AE0D25" w:rsidP="00AE0D25">
            <w:pPr>
              <w:spacing w:before="60" w:after="60" w:line="200" w:lineRule="exact"/>
              <w:jc w:val="right"/>
              <w:rPr>
                <w:b/>
                <w:noProof/>
                <w:sz w:val="16"/>
                <w:highlight w:val="yellow"/>
              </w:rPr>
            </w:pPr>
            <w:r w:rsidRPr="00D04088">
              <w:rPr>
                <w:b/>
                <w:noProof/>
                <w:sz w:val="16"/>
              </w:rPr>
              <w:t>0,081</w:t>
            </w:r>
          </w:p>
        </w:tc>
        <w:tc>
          <w:tcPr>
            <w:tcW w:w="1080" w:type="dxa"/>
            <w:tcBorders>
              <w:top w:val="single" w:sz="12" w:space="0" w:color="auto"/>
              <w:left w:val="single" w:sz="2" w:space="0" w:color="auto"/>
              <w:bottom w:val="single" w:sz="12" w:space="0" w:color="auto"/>
              <w:right w:val="single" w:sz="2" w:space="0" w:color="auto"/>
            </w:tcBorders>
            <w:vAlign w:val="center"/>
          </w:tcPr>
          <w:p w14:paraId="55A4A687" w14:textId="50D7A82E" w:rsidR="00AE0D25" w:rsidRPr="00D04088" w:rsidRDefault="00AE0D25" w:rsidP="00AE0D25">
            <w:pPr>
              <w:spacing w:before="60" w:after="60" w:line="200" w:lineRule="exact"/>
              <w:jc w:val="right"/>
              <w:rPr>
                <w:b/>
                <w:noProof/>
                <w:sz w:val="16"/>
                <w:highlight w:val="yellow"/>
              </w:rPr>
            </w:pPr>
            <w:r w:rsidRPr="00D04088">
              <w:rPr>
                <w:b/>
                <w:noProof/>
                <w:sz w:val="16"/>
              </w:rPr>
              <w:t>0,052</w:t>
            </w:r>
          </w:p>
        </w:tc>
        <w:tc>
          <w:tcPr>
            <w:tcW w:w="1080" w:type="dxa"/>
            <w:tcBorders>
              <w:top w:val="single" w:sz="12" w:space="0" w:color="auto"/>
              <w:left w:val="single" w:sz="2" w:space="0" w:color="auto"/>
              <w:bottom w:val="single" w:sz="12" w:space="0" w:color="auto"/>
              <w:right w:val="single" w:sz="12" w:space="0" w:color="auto"/>
            </w:tcBorders>
            <w:vAlign w:val="center"/>
          </w:tcPr>
          <w:p w14:paraId="28957C5C" w14:textId="7C5BBC48" w:rsidR="00AE0D25" w:rsidRPr="00D04088" w:rsidRDefault="00AE0D25" w:rsidP="00AE0D25">
            <w:pPr>
              <w:spacing w:before="60" w:after="60" w:line="200" w:lineRule="exact"/>
              <w:jc w:val="right"/>
              <w:rPr>
                <w:b/>
                <w:noProof/>
                <w:sz w:val="16"/>
                <w:highlight w:val="yellow"/>
              </w:rPr>
            </w:pPr>
            <w:r w:rsidRPr="00D04088">
              <w:rPr>
                <w:b/>
                <w:noProof/>
                <w:sz w:val="16"/>
              </w:rPr>
              <w:t xml:space="preserve"> 0,133</w:t>
            </w:r>
          </w:p>
        </w:tc>
      </w:tr>
    </w:tbl>
    <w:p w14:paraId="2342AD26" w14:textId="77777777" w:rsidR="004515FC" w:rsidRPr="00D04088" w:rsidRDefault="004515FC" w:rsidP="004515FC">
      <w:pPr>
        <w:rPr>
          <w:noProof/>
          <w:sz w:val="18"/>
        </w:rPr>
      </w:pPr>
      <w:r w:rsidRPr="00D04088">
        <w:rPr>
          <w:noProof/>
          <w:sz w:val="18"/>
        </w:rPr>
        <w:t>L-approprjazzjonijiet meħtieġa għar-riżorsi umani u għal nefqa oħra ta’ natura amministrattiva se jiġu koperti mill-approprjazzjonijiet tad-DĠ li diġà jkunu assenjati għall-ġestjoni tal-azzjoni u/jew li diġà jkunu ġew riassenjati fid-DĠ, flimkien, jekk ikun meħtieġ, ma’ kwalunkwe allokazzjoni addizzjonali li tista’ tingħata lid-DĠ tal-ġestjoni skont il-proċedura annwali ta’ allokazzjoni u fid-dawl tal-limitazzjonijiet baġitarji.</w:t>
      </w:r>
    </w:p>
    <w:p w14:paraId="4FF93EF4" w14:textId="77777777" w:rsidR="004515FC" w:rsidRPr="00D04088" w:rsidRDefault="004515FC" w:rsidP="004515FC">
      <w:pPr>
        <w:rPr>
          <w:noProof/>
          <w:sz w:val="18"/>
        </w:rPr>
        <w:sectPr w:rsidR="004515FC" w:rsidRPr="00D04088" w:rsidSect="006C0976">
          <w:headerReference w:type="default" r:id="rId25"/>
          <w:footerReference w:type="default" r:id="rId26"/>
          <w:pgSz w:w="11907" w:h="16840"/>
          <w:pgMar w:top="1134" w:right="1418" w:bottom="1134" w:left="1418" w:header="709" w:footer="709" w:gutter="0"/>
          <w:cols w:space="708"/>
          <w:docGrid w:linePitch="360"/>
        </w:sectPr>
      </w:pPr>
    </w:p>
    <w:p w14:paraId="27F100AA" w14:textId="77777777" w:rsidR="004515FC" w:rsidRPr="00D04088" w:rsidRDefault="004515FC" w:rsidP="004515FC">
      <w:pPr>
        <w:pStyle w:val="ManualHeading4"/>
        <w:rPr>
          <w:noProof/>
        </w:rPr>
      </w:pPr>
      <w:bookmarkStart w:id="67" w:name="_Toc82C9CE6E4E1F470F8F09B4938A67F539"/>
      <w:r w:rsidRPr="00D04088">
        <w:rPr>
          <w:noProof/>
        </w:rPr>
        <w:t>3.2.3.1.</w:t>
      </w:r>
      <w:r w:rsidRPr="00D04088">
        <w:rPr>
          <w:noProof/>
        </w:rPr>
        <w:tab/>
        <w:t xml:space="preserve">Rekwiżiti stmati ta’ riżorsi umani </w:t>
      </w:r>
      <w:bookmarkEnd w:id="67"/>
    </w:p>
    <w:p w14:paraId="63B3546B" w14:textId="77777777" w:rsidR="004515FC" w:rsidRPr="00D04088" w:rsidRDefault="004515FC" w:rsidP="004515FC">
      <w:pPr>
        <w:pStyle w:val="ListDash1"/>
        <w:rPr>
          <w:noProof/>
        </w:rPr>
      </w:pPr>
      <w:r w:rsidRPr="00D04088">
        <w:rPr>
          <w:rFonts w:ascii="Wingdings" w:hAnsi="Wingdings"/>
          <w:noProof/>
        </w:rPr>
        <w:t></w:t>
      </w:r>
      <w:r w:rsidRPr="00D04088">
        <w:rPr>
          <w:noProof/>
        </w:rPr>
        <w:tab/>
        <w:t xml:space="preserve">Il-proposta/l-inizjattiva ma teħtieġx l-użu ta’ riżorsi umani. </w:t>
      </w:r>
    </w:p>
    <w:p w14:paraId="71BA84D4" w14:textId="77777777" w:rsidR="004515FC" w:rsidRPr="00D04088" w:rsidRDefault="004515FC" w:rsidP="004515FC">
      <w:pPr>
        <w:pStyle w:val="ListDash1"/>
        <w:rPr>
          <w:noProof/>
        </w:rPr>
      </w:pPr>
      <w:r w:rsidRPr="00D04088">
        <w:rPr>
          <w:rFonts w:ascii="Wingdings" w:hAnsi="Wingdings"/>
          <w:noProof/>
        </w:rPr>
        <w:t></w:t>
      </w:r>
      <w:r w:rsidRPr="00D04088">
        <w:rPr>
          <w:noProof/>
        </w:rPr>
        <w:tab/>
        <w:t>Il-proposta/l-inizjattiva teħtieġ l-użu ta’ riżorsi umani, kif spjegat hawn taħt:</w:t>
      </w:r>
    </w:p>
    <w:p w14:paraId="1B86B1CD" w14:textId="4D09A6F6" w:rsidR="004515FC" w:rsidRPr="00D04088" w:rsidRDefault="004515FC" w:rsidP="004515FC">
      <w:pPr>
        <w:spacing w:after="60"/>
        <w:jc w:val="right"/>
        <w:rPr>
          <w:i/>
          <w:noProof/>
          <w:sz w:val="20"/>
        </w:rPr>
      </w:pPr>
      <w:r w:rsidRPr="00D04088">
        <w:rPr>
          <w:i/>
          <w:noProof/>
          <w:sz w:val="20"/>
        </w:rPr>
        <w:t>L-estimu jrid jiġi espress f’unitajiet ekwivalenti għall-full-time*</w:t>
      </w:r>
    </w:p>
    <w:tbl>
      <w:tblPr>
        <w:tblW w:w="62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tblGrid>
      <w:tr w:rsidR="004515FC" w:rsidRPr="00D04088" w14:paraId="40A3C3E3" w14:textId="77777777" w:rsidTr="0029161D">
        <w:trPr>
          <w:trHeight w:val="289"/>
          <w:jc w:val="center"/>
        </w:trPr>
        <w:tc>
          <w:tcPr>
            <w:tcW w:w="4754" w:type="dxa"/>
            <w:gridSpan w:val="2"/>
            <w:shd w:val="clear" w:color="auto" w:fill="auto"/>
          </w:tcPr>
          <w:p w14:paraId="195FD7D2" w14:textId="77777777" w:rsidR="004515FC" w:rsidRPr="00D04088" w:rsidRDefault="004515FC" w:rsidP="0029161D">
            <w:pPr>
              <w:pStyle w:val="Text1"/>
              <w:spacing w:before="40" w:after="40"/>
              <w:ind w:left="0"/>
              <w:jc w:val="center"/>
              <w:rPr>
                <w:i/>
                <w:noProof/>
                <w:sz w:val="16"/>
              </w:rPr>
            </w:pPr>
          </w:p>
        </w:tc>
        <w:tc>
          <w:tcPr>
            <w:tcW w:w="731" w:type="dxa"/>
            <w:shd w:val="clear" w:color="auto" w:fill="auto"/>
            <w:vAlign w:val="center"/>
          </w:tcPr>
          <w:p w14:paraId="0CE75EAC" w14:textId="77777777" w:rsidR="004515FC" w:rsidRPr="00D04088" w:rsidRDefault="004515FC" w:rsidP="0029161D">
            <w:pPr>
              <w:spacing w:before="20" w:after="20"/>
              <w:jc w:val="center"/>
              <w:rPr>
                <w:b/>
                <w:noProof/>
                <w:sz w:val="16"/>
              </w:rPr>
            </w:pPr>
            <w:r w:rsidRPr="00D04088">
              <w:rPr>
                <w:b/>
                <w:noProof/>
                <w:sz w:val="16"/>
              </w:rPr>
              <w:t>2026</w:t>
            </w:r>
          </w:p>
        </w:tc>
        <w:tc>
          <w:tcPr>
            <w:tcW w:w="731" w:type="dxa"/>
            <w:shd w:val="clear" w:color="auto" w:fill="auto"/>
            <w:vAlign w:val="center"/>
          </w:tcPr>
          <w:p w14:paraId="2327959F" w14:textId="77777777" w:rsidR="004515FC" w:rsidRPr="00D04088" w:rsidRDefault="004515FC" w:rsidP="0029161D">
            <w:pPr>
              <w:spacing w:before="20" w:after="20"/>
              <w:jc w:val="center"/>
              <w:rPr>
                <w:b/>
                <w:noProof/>
                <w:sz w:val="16"/>
              </w:rPr>
            </w:pPr>
            <w:r w:rsidRPr="00D04088">
              <w:rPr>
                <w:b/>
                <w:noProof/>
                <w:sz w:val="16"/>
              </w:rPr>
              <w:t>2027</w:t>
            </w:r>
          </w:p>
        </w:tc>
      </w:tr>
      <w:tr w:rsidR="004515FC" w:rsidRPr="00D04088" w14:paraId="2A97A2A9" w14:textId="77777777" w:rsidTr="0029161D">
        <w:trPr>
          <w:trHeight w:val="289"/>
          <w:jc w:val="center"/>
        </w:trPr>
        <w:tc>
          <w:tcPr>
            <w:tcW w:w="4754" w:type="dxa"/>
            <w:gridSpan w:val="2"/>
            <w:shd w:val="clear" w:color="auto" w:fill="auto"/>
            <w:vAlign w:val="center"/>
          </w:tcPr>
          <w:p w14:paraId="659EAE1C" w14:textId="77777777" w:rsidR="004515FC" w:rsidRPr="00D04088" w:rsidRDefault="004515FC" w:rsidP="0029161D">
            <w:pPr>
              <w:pStyle w:val="Text1"/>
              <w:spacing w:beforeLines="20" w:before="48" w:afterLines="20" w:after="48"/>
              <w:ind w:left="134"/>
              <w:jc w:val="left"/>
              <w:rPr>
                <w:b/>
                <w:noProof/>
                <w:sz w:val="16"/>
              </w:rPr>
            </w:pPr>
            <w:r w:rsidRPr="00D04088">
              <w:rPr>
                <w:noProof/>
              </w:rPr>
              <w:t>20 01 02 01 (Kwartieri Ġenerali u Uffiċċji tar-Rappreżentanza tal-Kummissjoni)</w:t>
            </w:r>
          </w:p>
        </w:tc>
        <w:tc>
          <w:tcPr>
            <w:tcW w:w="731" w:type="dxa"/>
            <w:shd w:val="clear" w:color="auto" w:fill="auto"/>
            <w:vAlign w:val="center"/>
          </w:tcPr>
          <w:p w14:paraId="138A4F6D" w14:textId="77777777" w:rsidR="004515FC" w:rsidRPr="00D04088" w:rsidRDefault="004515FC" w:rsidP="0029161D">
            <w:pPr>
              <w:spacing w:beforeLines="20" w:before="48" w:afterLines="20" w:after="48"/>
              <w:jc w:val="center"/>
              <w:rPr>
                <w:noProof/>
                <w:sz w:val="16"/>
              </w:rPr>
            </w:pPr>
            <w:r w:rsidRPr="00D04088">
              <w:rPr>
                <w:noProof/>
                <w:sz w:val="16"/>
              </w:rPr>
              <w:t>0,25</w:t>
            </w:r>
          </w:p>
        </w:tc>
        <w:tc>
          <w:tcPr>
            <w:tcW w:w="731" w:type="dxa"/>
            <w:shd w:val="clear" w:color="auto" w:fill="auto"/>
            <w:vAlign w:val="center"/>
          </w:tcPr>
          <w:p w14:paraId="3C15C79D" w14:textId="77777777" w:rsidR="004515FC" w:rsidRPr="00D04088" w:rsidRDefault="004515FC" w:rsidP="0029161D">
            <w:pPr>
              <w:spacing w:beforeLines="20" w:before="48" w:afterLines="20" w:after="48"/>
              <w:jc w:val="center"/>
              <w:rPr>
                <w:noProof/>
                <w:sz w:val="16"/>
              </w:rPr>
            </w:pPr>
            <w:r w:rsidRPr="00D04088">
              <w:rPr>
                <w:noProof/>
                <w:sz w:val="16"/>
              </w:rPr>
              <w:t>0,083</w:t>
            </w:r>
          </w:p>
        </w:tc>
      </w:tr>
      <w:tr w:rsidR="004515FC" w:rsidRPr="00D04088" w14:paraId="29074630" w14:textId="77777777" w:rsidTr="0029161D">
        <w:trPr>
          <w:trHeight w:val="289"/>
          <w:jc w:val="center"/>
        </w:trPr>
        <w:tc>
          <w:tcPr>
            <w:tcW w:w="4754" w:type="dxa"/>
            <w:gridSpan w:val="2"/>
            <w:shd w:val="clear" w:color="auto" w:fill="auto"/>
            <w:vAlign w:val="center"/>
          </w:tcPr>
          <w:p w14:paraId="1647F1F5" w14:textId="77777777" w:rsidR="004515FC" w:rsidRPr="00D04088" w:rsidRDefault="004515FC" w:rsidP="0029161D">
            <w:pPr>
              <w:pStyle w:val="Text1"/>
              <w:spacing w:beforeLines="20" w:before="48" w:afterLines="20" w:after="48"/>
              <w:ind w:left="134"/>
              <w:jc w:val="left"/>
              <w:rPr>
                <w:noProof/>
                <w:sz w:val="16"/>
              </w:rPr>
            </w:pPr>
            <w:r w:rsidRPr="00D04088">
              <w:rPr>
                <w:noProof/>
                <w:sz w:val="16"/>
              </w:rPr>
              <w:t>20 01 02 03 (Delegazzjonijiet)</w:t>
            </w:r>
          </w:p>
        </w:tc>
        <w:tc>
          <w:tcPr>
            <w:tcW w:w="731" w:type="dxa"/>
            <w:shd w:val="clear" w:color="auto" w:fill="auto"/>
            <w:vAlign w:val="center"/>
          </w:tcPr>
          <w:p w14:paraId="6119FF32"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3D600E09" w14:textId="77777777" w:rsidR="004515FC" w:rsidRPr="00D04088" w:rsidRDefault="004515FC" w:rsidP="0029161D">
            <w:pPr>
              <w:spacing w:beforeLines="20" w:before="48" w:afterLines="20" w:after="48"/>
              <w:jc w:val="center"/>
              <w:rPr>
                <w:noProof/>
                <w:sz w:val="16"/>
              </w:rPr>
            </w:pPr>
          </w:p>
        </w:tc>
      </w:tr>
      <w:tr w:rsidR="004515FC" w:rsidRPr="00D04088" w14:paraId="5CB0732A" w14:textId="77777777" w:rsidTr="0029161D">
        <w:trPr>
          <w:trHeight w:val="289"/>
          <w:jc w:val="center"/>
        </w:trPr>
        <w:tc>
          <w:tcPr>
            <w:tcW w:w="4754" w:type="dxa"/>
            <w:gridSpan w:val="2"/>
            <w:shd w:val="clear" w:color="auto" w:fill="auto"/>
            <w:vAlign w:val="center"/>
          </w:tcPr>
          <w:p w14:paraId="171C6DE4" w14:textId="1D46BF1D" w:rsidR="004515FC" w:rsidRPr="00D04088" w:rsidRDefault="004515FC" w:rsidP="0029161D">
            <w:pPr>
              <w:pStyle w:val="Text1"/>
              <w:spacing w:beforeLines="20" w:before="48" w:afterLines="20" w:after="48"/>
              <w:ind w:left="134"/>
              <w:jc w:val="left"/>
              <w:rPr>
                <w:noProof/>
                <w:sz w:val="16"/>
              </w:rPr>
            </w:pPr>
            <w:r w:rsidRPr="00D04088">
              <w:rPr>
                <w:noProof/>
                <w:sz w:val="16"/>
              </w:rPr>
              <w:t>01 01 01 01 (Riċerka indiretta)</w:t>
            </w:r>
          </w:p>
        </w:tc>
        <w:tc>
          <w:tcPr>
            <w:tcW w:w="731" w:type="dxa"/>
            <w:shd w:val="clear" w:color="auto" w:fill="auto"/>
            <w:vAlign w:val="center"/>
          </w:tcPr>
          <w:p w14:paraId="38B07E20"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65E3513D" w14:textId="77777777" w:rsidR="004515FC" w:rsidRPr="00D04088" w:rsidRDefault="004515FC" w:rsidP="0029161D">
            <w:pPr>
              <w:spacing w:beforeLines="20" w:before="48" w:afterLines="20" w:after="48"/>
              <w:jc w:val="center"/>
              <w:rPr>
                <w:noProof/>
                <w:sz w:val="16"/>
              </w:rPr>
            </w:pPr>
          </w:p>
        </w:tc>
      </w:tr>
      <w:tr w:rsidR="004515FC" w:rsidRPr="00D04088" w14:paraId="79EA1CA8" w14:textId="77777777" w:rsidTr="0029161D">
        <w:trPr>
          <w:trHeight w:val="289"/>
          <w:jc w:val="center"/>
        </w:trPr>
        <w:tc>
          <w:tcPr>
            <w:tcW w:w="4754" w:type="dxa"/>
            <w:gridSpan w:val="2"/>
            <w:shd w:val="clear" w:color="auto" w:fill="auto"/>
            <w:vAlign w:val="center"/>
          </w:tcPr>
          <w:p w14:paraId="783F0292" w14:textId="77777777" w:rsidR="004515FC" w:rsidRPr="00D04088" w:rsidRDefault="004515FC" w:rsidP="0029161D">
            <w:pPr>
              <w:pStyle w:val="Text1"/>
              <w:spacing w:beforeLines="20" w:before="48" w:afterLines="20" w:after="48"/>
              <w:ind w:left="134"/>
              <w:jc w:val="left"/>
              <w:rPr>
                <w:noProof/>
                <w:sz w:val="16"/>
              </w:rPr>
            </w:pPr>
            <w:r w:rsidRPr="00D04088">
              <w:rPr>
                <w:noProof/>
                <w:sz w:val="16"/>
              </w:rPr>
              <w:t xml:space="preserve"> 01 01 01 11 (Riċerka diretta)</w:t>
            </w:r>
          </w:p>
        </w:tc>
        <w:tc>
          <w:tcPr>
            <w:tcW w:w="731" w:type="dxa"/>
            <w:shd w:val="clear" w:color="auto" w:fill="auto"/>
            <w:vAlign w:val="center"/>
          </w:tcPr>
          <w:p w14:paraId="2452A5F5"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11B578DB" w14:textId="77777777" w:rsidR="004515FC" w:rsidRPr="00D04088" w:rsidRDefault="004515FC" w:rsidP="0029161D">
            <w:pPr>
              <w:spacing w:beforeLines="20" w:before="48" w:afterLines="20" w:after="48"/>
              <w:jc w:val="center"/>
              <w:rPr>
                <w:noProof/>
                <w:sz w:val="16"/>
              </w:rPr>
            </w:pPr>
          </w:p>
        </w:tc>
      </w:tr>
      <w:tr w:rsidR="004515FC" w:rsidRPr="00D04088" w14:paraId="24E6D718" w14:textId="77777777" w:rsidTr="0029161D">
        <w:trPr>
          <w:trHeight w:val="289"/>
          <w:jc w:val="center"/>
        </w:trPr>
        <w:tc>
          <w:tcPr>
            <w:tcW w:w="4754" w:type="dxa"/>
            <w:gridSpan w:val="2"/>
            <w:shd w:val="clear" w:color="auto" w:fill="auto"/>
            <w:vAlign w:val="center"/>
          </w:tcPr>
          <w:p w14:paraId="255A5497" w14:textId="77777777" w:rsidR="004515FC" w:rsidRPr="00D04088" w:rsidRDefault="004515FC" w:rsidP="0029161D">
            <w:pPr>
              <w:pStyle w:val="Text1"/>
              <w:spacing w:beforeLines="20" w:before="48" w:afterLines="20" w:after="48"/>
              <w:ind w:left="134"/>
              <w:jc w:val="left"/>
              <w:rPr>
                <w:noProof/>
                <w:sz w:val="16"/>
              </w:rPr>
            </w:pPr>
            <w:r w:rsidRPr="00D04088">
              <w:rPr>
                <w:noProof/>
                <w:sz w:val="16"/>
              </w:rPr>
              <w:t>Linji baġitarji oħra (speċifika)</w:t>
            </w:r>
          </w:p>
        </w:tc>
        <w:tc>
          <w:tcPr>
            <w:tcW w:w="731" w:type="dxa"/>
            <w:shd w:val="clear" w:color="auto" w:fill="auto"/>
            <w:vAlign w:val="center"/>
          </w:tcPr>
          <w:p w14:paraId="156BEC91"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685F23A1" w14:textId="77777777" w:rsidR="004515FC" w:rsidRPr="00D04088" w:rsidRDefault="004515FC" w:rsidP="0029161D">
            <w:pPr>
              <w:spacing w:beforeLines="20" w:before="48" w:afterLines="20" w:after="48"/>
              <w:jc w:val="center"/>
              <w:rPr>
                <w:noProof/>
                <w:sz w:val="16"/>
              </w:rPr>
            </w:pPr>
          </w:p>
        </w:tc>
      </w:tr>
      <w:tr w:rsidR="004515FC" w:rsidRPr="00D04088" w14:paraId="532BE240" w14:textId="77777777" w:rsidTr="0029161D">
        <w:trPr>
          <w:trHeight w:val="289"/>
          <w:jc w:val="center"/>
        </w:trPr>
        <w:tc>
          <w:tcPr>
            <w:tcW w:w="4754" w:type="dxa"/>
            <w:gridSpan w:val="2"/>
            <w:shd w:val="clear" w:color="auto" w:fill="auto"/>
            <w:vAlign w:val="center"/>
          </w:tcPr>
          <w:p w14:paraId="46D67402" w14:textId="77777777" w:rsidR="004515FC" w:rsidRPr="00D04088" w:rsidRDefault="004515FC" w:rsidP="0029161D">
            <w:pPr>
              <w:pStyle w:val="Text1"/>
              <w:spacing w:beforeLines="20" w:before="48" w:afterLines="20" w:after="48"/>
              <w:ind w:left="136"/>
              <w:jc w:val="left"/>
              <w:rPr>
                <w:b/>
                <w:noProof/>
                <w:sz w:val="16"/>
              </w:rPr>
            </w:pPr>
            <w:r w:rsidRPr="00D04088">
              <w:rPr>
                <w:noProof/>
                <w:sz w:val="16"/>
              </w:rPr>
              <w:t>20 02 01</w:t>
            </w:r>
            <w:r w:rsidRPr="00D04088">
              <w:rPr>
                <w:rFonts w:ascii="Arial Narrow" w:hAnsi="Arial Narrow"/>
                <w:noProof/>
                <w:sz w:val="20"/>
              </w:rPr>
              <w:t xml:space="preserve"> </w:t>
            </w:r>
            <w:r w:rsidRPr="00D04088">
              <w:rPr>
                <w:noProof/>
                <w:sz w:val="16"/>
              </w:rPr>
              <w:t>(AC, END, INT mill-“pakkett globali”)</w:t>
            </w:r>
          </w:p>
        </w:tc>
        <w:tc>
          <w:tcPr>
            <w:tcW w:w="731" w:type="dxa"/>
            <w:shd w:val="clear" w:color="auto" w:fill="auto"/>
            <w:vAlign w:val="center"/>
          </w:tcPr>
          <w:p w14:paraId="2C2D44B9"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5FB2386F" w14:textId="77777777" w:rsidR="004515FC" w:rsidRPr="00D04088" w:rsidRDefault="004515FC" w:rsidP="0029161D">
            <w:pPr>
              <w:spacing w:beforeLines="20" w:before="48" w:afterLines="20" w:after="48"/>
              <w:jc w:val="center"/>
              <w:rPr>
                <w:noProof/>
                <w:sz w:val="16"/>
              </w:rPr>
            </w:pPr>
          </w:p>
        </w:tc>
      </w:tr>
      <w:tr w:rsidR="004515FC" w:rsidRPr="00D04088" w14:paraId="11D7945C" w14:textId="77777777" w:rsidTr="0029161D">
        <w:trPr>
          <w:trHeight w:val="289"/>
          <w:jc w:val="center"/>
        </w:trPr>
        <w:tc>
          <w:tcPr>
            <w:tcW w:w="4754" w:type="dxa"/>
            <w:gridSpan w:val="2"/>
            <w:shd w:val="clear" w:color="auto" w:fill="auto"/>
            <w:vAlign w:val="center"/>
          </w:tcPr>
          <w:p w14:paraId="5593889E" w14:textId="77777777" w:rsidR="004515FC" w:rsidRPr="00D04088" w:rsidRDefault="004515FC" w:rsidP="0029161D">
            <w:pPr>
              <w:pStyle w:val="Text1"/>
              <w:spacing w:beforeLines="20" w:before="48" w:afterLines="20" w:after="48"/>
              <w:ind w:left="136"/>
              <w:jc w:val="left"/>
              <w:rPr>
                <w:noProof/>
                <w:sz w:val="16"/>
              </w:rPr>
            </w:pPr>
            <w:r w:rsidRPr="00D04088">
              <w:rPr>
                <w:noProof/>
                <w:sz w:val="16"/>
              </w:rPr>
              <w:t>20 02 03 (AC, AL, END, INT u JPD fid-delegazzjonijiet)</w:t>
            </w:r>
          </w:p>
        </w:tc>
        <w:tc>
          <w:tcPr>
            <w:tcW w:w="731" w:type="dxa"/>
            <w:shd w:val="clear" w:color="auto" w:fill="auto"/>
            <w:vAlign w:val="center"/>
          </w:tcPr>
          <w:p w14:paraId="17ECE74C"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7672168A" w14:textId="77777777" w:rsidR="004515FC" w:rsidRPr="00D04088" w:rsidRDefault="004515FC" w:rsidP="0029161D">
            <w:pPr>
              <w:spacing w:beforeLines="20" w:before="48" w:afterLines="20" w:after="48"/>
              <w:jc w:val="center"/>
              <w:rPr>
                <w:noProof/>
                <w:sz w:val="16"/>
              </w:rPr>
            </w:pPr>
          </w:p>
        </w:tc>
      </w:tr>
      <w:tr w:rsidR="004515FC" w:rsidRPr="00D04088" w14:paraId="7A98C36C" w14:textId="77777777" w:rsidTr="0029161D">
        <w:trPr>
          <w:trHeight w:val="289"/>
          <w:jc w:val="center"/>
        </w:trPr>
        <w:tc>
          <w:tcPr>
            <w:tcW w:w="2376" w:type="dxa"/>
            <w:vMerge w:val="restart"/>
            <w:shd w:val="clear" w:color="auto" w:fill="auto"/>
            <w:vAlign w:val="center"/>
          </w:tcPr>
          <w:p w14:paraId="16635A60" w14:textId="77777777" w:rsidR="004515FC" w:rsidRPr="00D04088" w:rsidRDefault="004515FC" w:rsidP="0029161D">
            <w:pPr>
              <w:pStyle w:val="Text1"/>
              <w:spacing w:beforeLines="20" w:before="48" w:afterLines="20" w:after="48"/>
              <w:ind w:left="136"/>
              <w:jc w:val="left"/>
              <w:rPr>
                <w:b/>
                <w:noProof/>
                <w:sz w:val="16"/>
              </w:rPr>
            </w:pPr>
            <w:r w:rsidRPr="00D04088">
              <w:rPr>
                <w:b/>
                <w:noProof/>
                <w:sz w:val="16"/>
              </w:rPr>
              <w:t>XX</w:t>
            </w:r>
            <w:r w:rsidRPr="00D04088">
              <w:rPr>
                <w:noProof/>
                <w:sz w:val="16"/>
              </w:rPr>
              <w:t xml:space="preserve"> 01  xx </w:t>
            </w:r>
            <w:r w:rsidRPr="00D04088">
              <w:rPr>
                <w:b/>
                <w:noProof/>
                <w:sz w:val="16"/>
              </w:rPr>
              <w:t xml:space="preserve">yy zz </w:t>
            </w:r>
            <w:r w:rsidRPr="00D04088">
              <w:rPr>
                <w:b/>
                <w:i/>
                <w:noProof/>
                <w:sz w:val="16"/>
              </w:rPr>
              <w:t xml:space="preserve"> </w:t>
            </w:r>
            <w:r w:rsidRPr="00D04088">
              <w:rPr>
                <w:rStyle w:val="FootnoteReference0"/>
                <w:b/>
                <w:i/>
                <w:noProof/>
                <w:sz w:val="16"/>
              </w:rPr>
              <w:footnoteReference w:id="51"/>
            </w:r>
          </w:p>
          <w:p w14:paraId="7C8EDD41" w14:textId="77777777" w:rsidR="004515FC" w:rsidRPr="00D04088" w:rsidRDefault="004515FC" w:rsidP="0029161D">
            <w:pPr>
              <w:pStyle w:val="Text1"/>
              <w:spacing w:beforeLines="20" w:before="48" w:afterLines="20" w:after="48"/>
              <w:ind w:left="136"/>
              <w:jc w:val="left"/>
              <w:rPr>
                <w:b/>
                <w:noProof/>
                <w:sz w:val="16"/>
              </w:rPr>
            </w:pPr>
          </w:p>
        </w:tc>
        <w:tc>
          <w:tcPr>
            <w:tcW w:w="2378" w:type="dxa"/>
            <w:shd w:val="clear" w:color="auto" w:fill="auto"/>
            <w:vAlign w:val="center"/>
          </w:tcPr>
          <w:p w14:paraId="0FCAF24A" w14:textId="77777777" w:rsidR="004515FC" w:rsidRPr="00D04088" w:rsidRDefault="004515FC" w:rsidP="0029161D">
            <w:pPr>
              <w:pStyle w:val="Text1"/>
              <w:spacing w:beforeLines="20" w:before="48" w:afterLines="20" w:after="48"/>
              <w:ind w:left="136"/>
              <w:jc w:val="left"/>
              <w:rPr>
                <w:b/>
                <w:noProof/>
                <w:sz w:val="16"/>
              </w:rPr>
            </w:pPr>
            <w:r w:rsidRPr="00D04088">
              <w:rPr>
                <w:noProof/>
                <w:sz w:val="16"/>
              </w:rPr>
              <w:t>- fil-Kwartieri Ġenerali</w:t>
            </w:r>
          </w:p>
          <w:p w14:paraId="77BDB51B" w14:textId="77777777" w:rsidR="004515FC" w:rsidRPr="00D04088" w:rsidRDefault="004515FC" w:rsidP="0029161D">
            <w:pPr>
              <w:pStyle w:val="Text1"/>
              <w:spacing w:beforeLines="20" w:before="48" w:afterLines="20" w:after="48"/>
              <w:ind w:left="136"/>
              <w:jc w:val="left"/>
              <w:rPr>
                <w:b/>
                <w:noProof/>
                <w:sz w:val="16"/>
              </w:rPr>
            </w:pPr>
          </w:p>
        </w:tc>
        <w:tc>
          <w:tcPr>
            <w:tcW w:w="731" w:type="dxa"/>
            <w:shd w:val="clear" w:color="auto" w:fill="auto"/>
            <w:vAlign w:val="center"/>
          </w:tcPr>
          <w:p w14:paraId="43D9BDCD" w14:textId="77777777" w:rsidR="004515FC" w:rsidRPr="00D04088" w:rsidRDefault="004515FC" w:rsidP="0029161D">
            <w:pPr>
              <w:pStyle w:val="Text1"/>
              <w:spacing w:beforeLines="20" w:before="48" w:afterLines="20" w:after="48"/>
              <w:ind w:left="0"/>
              <w:rPr>
                <w:noProof/>
                <w:sz w:val="16"/>
              </w:rPr>
            </w:pPr>
          </w:p>
        </w:tc>
        <w:tc>
          <w:tcPr>
            <w:tcW w:w="731" w:type="dxa"/>
            <w:shd w:val="clear" w:color="auto" w:fill="auto"/>
            <w:vAlign w:val="center"/>
          </w:tcPr>
          <w:p w14:paraId="13533805" w14:textId="77777777" w:rsidR="004515FC" w:rsidRPr="00D04088" w:rsidRDefault="004515FC" w:rsidP="0029161D">
            <w:pPr>
              <w:spacing w:beforeLines="20" w:before="48" w:afterLines="20" w:after="48"/>
              <w:jc w:val="center"/>
              <w:rPr>
                <w:noProof/>
                <w:sz w:val="16"/>
              </w:rPr>
            </w:pPr>
          </w:p>
        </w:tc>
      </w:tr>
      <w:tr w:rsidR="004515FC" w:rsidRPr="00D04088" w14:paraId="1B701C78" w14:textId="77777777" w:rsidTr="0029161D">
        <w:trPr>
          <w:trHeight w:val="289"/>
          <w:jc w:val="center"/>
        </w:trPr>
        <w:tc>
          <w:tcPr>
            <w:tcW w:w="2376" w:type="dxa"/>
            <w:vMerge/>
            <w:shd w:val="clear" w:color="auto" w:fill="auto"/>
            <w:vAlign w:val="center"/>
          </w:tcPr>
          <w:p w14:paraId="518DFB7F" w14:textId="77777777" w:rsidR="004515FC" w:rsidRPr="00D04088" w:rsidRDefault="004515FC" w:rsidP="0029161D">
            <w:pPr>
              <w:pStyle w:val="Text1"/>
              <w:spacing w:beforeLines="20" w:before="48" w:afterLines="20" w:after="48"/>
              <w:ind w:left="136"/>
              <w:jc w:val="left"/>
              <w:rPr>
                <w:b/>
                <w:noProof/>
                <w:sz w:val="16"/>
              </w:rPr>
            </w:pPr>
          </w:p>
        </w:tc>
        <w:tc>
          <w:tcPr>
            <w:tcW w:w="2378" w:type="dxa"/>
            <w:shd w:val="clear" w:color="auto" w:fill="auto"/>
            <w:vAlign w:val="center"/>
          </w:tcPr>
          <w:p w14:paraId="4EF61B51" w14:textId="77777777" w:rsidR="004515FC" w:rsidRPr="00D04088" w:rsidRDefault="004515FC" w:rsidP="0029161D">
            <w:pPr>
              <w:pStyle w:val="Text1"/>
              <w:spacing w:beforeLines="20" w:before="48" w:afterLines="20" w:after="48"/>
              <w:ind w:left="136"/>
              <w:jc w:val="left"/>
              <w:rPr>
                <w:b/>
                <w:noProof/>
                <w:sz w:val="16"/>
              </w:rPr>
            </w:pPr>
            <w:r w:rsidRPr="00D04088">
              <w:rPr>
                <w:noProof/>
                <w:sz w:val="16"/>
              </w:rPr>
              <w:t xml:space="preserve">- fid-Delegazzjonijiet </w:t>
            </w:r>
          </w:p>
        </w:tc>
        <w:tc>
          <w:tcPr>
            <w:tcW w:w="731" w:type="dxa"/>
            <w:shd w:val="clear" w:color="auto" w:fill="auto"/>
            <w:vAlign w:val="center"/>
          </w:tcPr>
          <w:p w14:paraId="5282C6A5" w14:textId="77777777" w:rsidR="004515FC" w:rsidRPr="00D04088" w:rsidRDefault="004515FC" w:rsidP="0029161D">
            <w:pPr>
              <w:pStyle w:val="Text1"/>
              <w:spacing w:beforeLines="20" w:before="48" w:afterLines="20" w:after="48"/>
              <w:ind w:left="0"/>
              <w:rPr>
                <w:noProof/>
                <w:sz w:val="16"/>
              </w:rPr>
            </w:pPr>
          </w:p>
        </w:tc>
        <w:tc>
          <w:tcPr>
            <w:tcW w:w="731" w:type="dxa"/>
            <w:shd w:val="clear" w:color="auto" w:fill="auto"/>
            <w:vAlign w:val="center"/>
          </w:tcPr>
          <w:p w14:paraId="7E0B8812" w14:textId="77777777" w:rsidR="004515FC" w:rsidRPr="00D04088" w:rsidRDefault="004515FC" w:rsidP="0029161D">
            <w:pPr>
              <w:spacing w:beforeLines="20" w:before="48" w:afterLines="20" w:after="48"/>
              <w:jc w:val="center"/>
              <w:rPr>
                <w:noProof/>
                <w:sz w:val="16"/>
              </w:rPr>
            </w:pPr>
          </w:p>
        </w:tc>
      </w:tr>
      <w:tr w:rsidR="004515FC" w:rsidRPr="00D04088" w14:paraId="47688FB5" w14:textId="77777777" w:rsidTr="0029161D">
        <w:trPr>
          <w:trHeight w:val="289"/>
          <w:jc w:val="center"/>
        </w:trPr>
        <w:tc>
          <w:tcPr>
            <w:tcW w:w="4754" w:type="dxa"/>
            <w:gridSpan w:val="2"/>
            <w:shd w:val="clear" w:color="auto" w:fill="auto"/>
            <w:vAlign w:val="center"/>
          </w:tcPr>
          <w:p w14:paraId="3700D9DF" w14:textId="77777777" w:rsidR="004515FC" w:rsidRPr="00D04088" w:rsidRDefault="004515FC" w:rsidP="0029161D">
            <w:pPr>
              <w:pStyle w:val="Text1"/>
              <w:spacing w:beforeLines="20" w:before="48" w:afterLines="20" w:after="48"/>
              <w:ind w:left="136"/>
              <w:jc w:val="left"/>
              <w:rPr>
                <w:noProof/>
                <w:sz w:val="16"/>
              </w:rPr>
            </w:pPr>
            <w:r w:rsidRPr="00D04088">
              <w:rPr>
                <w:noProof/>
                <w:sz w:val="16"/>
              </w:rPr>
              <w:t>01 01 01 02</w:t>
            </w:r>
            <w:r w:rsidRPr="00D04088">
              <w:rPr>
                <w:rFonts w:ascii="Arial Narrow" w:hAnsi="Arial Narrow"/>
                <w:noProof/>
                <w:sz w:val="20"/>
              </w:rPr>
              <w:t xml:space="preserve"> </w:t>
            </w:r>
            <w:r w:rsidRPr="00D04088">
              <w:rPr>
                <w:noProof/>
                <w:sz w:val="16"/>
              </w:rPr>
              <w:t>(AC, END, INT – Riċerka indiretta)</w:t>
            </w:r>
          </w:p>
        </w:tc>
        <w:tc>
          <w:tcPr>
            <w:tcW w:w="731" w:type="dxa"/>
            <w:shd w:val="clear" w:color="auto" w:fill="auto"/>
            <w:vAlign w:val="center"/>
          </w:tcPr>
          <w:p w14:paraId="36B31548"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0F4439C2" w14:textId="77777777" w:rsidR="004515FC" w:rsidRPr="00D04088" w:rsidRDefault="004515FC" w:rsidP="0029161D">
            <w:pPr>
              <w:spacing w:beforeLines="20" w:before="48" w:afterLines="20" w:after="48"/>
              <w:jc w:val="center"/>
              <w:rPr>
                <w:noProof/>
                <w:sz w:val="16"/>
              </w:rPr>
            </w:pPr>
          </w:p>
        </w:tc>
      </w:tr>
      <w:tr w:rsidR="004515FC" w:rsidRPr="00D04088" w14:paraId="5AA1E51D" w14:textId="77777777" w:rsidTr="0029161D">
        <w:trPr>
          <w:trHeight w:val="289"/>
          <w:jc w:val="center"/>
        </w:trPr>
        <w:tc>
          <w:tcPr>
            <w:tcW w:w="4754" w:type="dxa"/>
            <w:gridSpan w:val="2"/>
            <w:shd w:val="clear" w:color="auto" w:fill="auto"/>
            <w:vAlign w:val="center"/>
          </w:tcPr>
          <w:p w14:paraId="115DF07E" w14:textId="77777777" w:rsidR="004515FC" w:rsidRPr="00D04088" w:rsidRDefault="004515FC" w:rsidP="0029161D">
            <w:pPr>
              <w:pStyle w:val="Text1"/>
              <w:spacing w:beforeLines="20" w:before="48" w:afterLines="20" w:after="48"/>
              <w:ind w:left="136"/>
              <w:jc w:val="left"/>
              <w:rPr>
                <w:noProof/>
                <w:color w:val="FF0000"/>
                <w:sz w:val="16"/>
              </w:rPr>
            </w:pPr>
            <w:r w:rsidRPr="00D04088">
              <w:rPr>
                <w:noProof/>
                <w:sz w:val="16"/>
              </w:rPr>
              <w:t xml:space="preserve"> 01 01 01 12 (AC, END, INT – Riċerka diretta)</w:t>
            </w:r>
          </w:p>
        </w:tc>
        <w:tc>
          <w:tcPr>
            <w:tcW w:w="731" w:type="dxa"/>
            <w:shd w:val="clear" w:color="auto" w:fill="auto"/>
            <w:vAlign w:val="center"/>
          </w:tcPr>
          <w:p w14:paraId="5BDFCE2A"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33F50A88" w14:textId="77777777" w:rsidR="004515FC" w:rsidRPr="00D04088" w:rsidRDefault="004515FC" w:rsidP="0029161D">
            <w:pPr>
              <w:spacing w:beforeLines="20" w:before="48" w:afterLines="20" w:after="48"/>
              <w:jc w:val="center"/>
              <w:rPr>
                <w:noProof/>
                <w:sz w:val="16"/>
              </w:rPr>
            </w:pPr>
          </w:p>
        </w:tc>
      </w:tr>
      <w:tr w:rsidR="004515FC" w:rsidRPr="00D04088" w14:paraId="25D69DE1" w14:textId="77777777" w:rsidTr="0029161D">
        <w:trPr>
          <w:trHeight w:val="289"/>
          <w:jc w:val="center"/>
        </w:trPr>
        <w:tc>
          <w:tcPr>
            <w:tcW w:w="4754" w:type="dxa"/>
            <w:gridSpan w:val="2"/>
            <w:shd w:val="clear" w:color="auto" w:fill="auto"/>
            <w:vAlign w:val="center"/>
          </w:tcPr>
          <w:p w14:paraId="0FDF5DFC" w14:textId="77777777" w:rsidR="004515FC" w:rsidRPr="00D04088" w:rsidRDefault="004515FC" w:rsidP="0029161D">
            <w:pPr>
              <w:pStyle w:val="Text1"/>
              <w:spacing w:beforeLines="20" w:before="48" w:afterLines="20" w:after="48"/>
              <w:ind w:left="136"/>
              <w:jc w:val="left"/>
              <w:rPr>
                <w:noProof/>
                <w:sz w:val="16"/>
              </w:rPr>
            </w:pPr>
            <w:r w:rsidRPr="00D04088">
              <w:rPr>
                <w:noProof/>
                <w:sz w:val="16"/>
              </w:rPr>
              <w:t>Linji baġitarji oħra (speċifika)</w:t>
            </w:r>
          </w:p>
        </w:tc>
        <w:tc>
          <w:tcPr>
            <w:tcW w:w="731" w:type="dxa"/>
            <w:shd w:val="clear" w:color="auto" w:fill="auto"/>
            <w:vAlign w:val="center"/>
          </w:tcPr>
          <w:p w14:paraId="072534DD" w14:textId="77777777" w:rsidR="004515FC" w:rsidRPr="00D04088" w:rsidRDefault="004515FC" w:rsidP="0029161D">
            <w:pPr>
              <w:spacing w:beforeLines="20" w:before="48" w:afterLines="20" w:after="48"/>
              <w:jc w:val="center"/>
              <w:rPr>
                <w:noProof/>
                <w:sz w:val="16"/>
              </w:rPr>
            </w:pPr>
          </w:p>
        </w:tc>
        <w:tc>
          <w:tcPr>
            <w:tcW w:w="731" w:type="dxa"/>
            <w:shd w:val="clear" w:color="auto" w:fill="auto"/>
            <w:vAlign w:val="center"/>
          </w:tcPr>
          <w:p w14:paraId="3969AB1F" w14:textId="77777777" w:rsidR="004515FC" w:rsidRPr="00D04088" w:rsidRDefault="004515FC" w:rsidP="0029161D">
            <w:pPr>
              <w:spacing w:beforeLines="20" w:before="48" w:afterLines="20" w:after="48"/>
              <w:jc w:val="center"/>
              <w:rPr>
                <w:noProof/>
                <w:sz w:val="16"/>
              </w:rPr>
            </w:pPr>
          </w:p>
        </w:tc>
      </w:tr>
      <w:tr w:rsidR="004515FC" w:rsidRPr="00D04088" w14:paraId="0A8551D2" w14:textId="77777777" w:rsidTr="0029161D">
        <w:trPr>
          <w:trHeight w:val="289"/>
          <w:jc w:val="center"/>
        </w:trPr>
        <w:tc>
          <w:tcPr>
            <w:tcW w:w="4754" w:type="dxa"/>
            <w:gridSpan w:val="2"/>
            <w:tcBorders>
              <w:top w:val="double" w:sz="4" w:space="0" w:color="auto"/>
            </w:tcBorders>
            <w:shd w:val="clear" w:color="auto" w:fill="auto"/>
            <w:vAlign w:val="center"/>
          </w:tcPr>
          <w:p w14:paraId="35737D82" w14:textId="77777777" w:rsidR="004515FC" w:rsidRPr="00D04088" w:rsidRDefault="004515FC" w:rsidP="0029161D">
            <w:pPr>
              <w:pStyle w:val="Text1"/>
              <w:spacing w:beforeLines="20" w:before="48" w:afterLines="20" w:after="48"/>
              <w:ind w:left="136"/>
              <w:jc w:val="left"/>
              <w:rPr>
                <w:noProof/>
                <w:sz w:val="16"/>
              </w:rPr>
            </w:pPr>
            <w:r w:rsidRPr="00D04088">
              <w:rPr>
                <w:b/>
                <w:noProof/>
                <w:sz w:val="16"/>
              </w:rPr>
              <w:t>TOTAL</w:t>
            </w:r>
          </w:p>
        </w:tc>
        <w:tc>
          <w:tcPr>
            <w:tcW w:w="731" w:type="dxa"/>
            <w:tcBorders>
              <w:top w:val="double" w:sz="4" w:space="0" w:color="auto"/>
            </w:tcBorders>
            <w:shd w:val="clear" w:color="auto" w:fill="auto"/>
            <w:vAlign w:val="center"/>
          </w:tcPr>
          <w:p w14:paraId="2AA2A39E" w14:textId="77777777" w:rsidR="004515FC" w:rsidRPr="00D04088" w:rsidRDefault="004515FC" w:rsidP="0029161D">
            <w:pPr>
              <w:spacing w:beforeLines="20" w:before="48" w:afterLines="20" w:after="48"/>
              <w:jc w:val="center"/>
              <w:rPr>
                <w:b/>
                <w:noProof/>
                <w:sz w:val="16"/>
              </w:rPr>
            </w:pPr>
            <w:r w:rsidRPr="00D04088">
              <w:rPr>
                <w:b/>
                <w:noProof/>
                <w:sz w:val="16"/>
              </w:rPr>
              <w:t>0,25</w:t>
            </w:r>
          </w:p>
        </w:tc>
        <w:tc>
          <w:tcPr>
            <w:tcW w:w="731" w:type="dxa"/>
            <w:tcBorders>
              <w:top w:val="double" w:sz="4" w:space="0" w:color="auto"/>
            </w:tcBorders>
            <w:shd w:val="clear" w:color="auto" w:fill="auto"/>
            <w:vAlign w:val="center"/>
          </w:tcPr>
          <w:p w14:paraId="3C6BB180" w14:textId="77777777" w:rsidR="004515FC" w:rsidRPr="00D04088" w:rsidRDefault="004515FC" w:rsidP="0029161D">
            <w:pPr>
              <w:spacing w:beforeLines="20" w:before="48" w:afterLines="20" w:after="48"/>
              <w:jc w:val="center"/>
              <w:rPr>
                <w:b/>
                <w:noProof/>
                <w:sz w:val="16"/>
              </w:rPr>
            </w:pPr>
            <w:r w:rsidRPr="00D04088">
              <w:rPr>
                <w:b/>
                <w:noProof/>
                <w:sz w:val="16"/>
              </w:rPr>
              <w:t>0,083</w:t>
            </w:r>
          </w:p>
        </w:tc>
      </w:tr>
    </w:tbl>
    <w:p w14:paraId="2E79943E" w14:textId="46FB9E9E" w:rsidR="00270263" w:rsidRPr="00D04088" w:rsidRDefault="00270263" w:rsidP="004515FC">
      <w:pPr>
        <w:pStyle w:val="Text1"/>
        <w:spacing w:before="60" w:after="60"/>
        <w:ind w:left="851"/>
        <w:rPr>
          <w:noProof/>
          <w:sz w:val="18"/>
        </w:rPr>
      </w:pPr>
      <w:r w:rsidRPr="00D04088">
        <w:rPr>
          <w:noProof/>
          <w:sz w:val="18"/>
        </w:rPr>
        <w:t>* In-nefqa amministrattiva tal-persunal tal-Intestatura 7 tikkonċerna FTE wieħed għal 3 xhur fl-ewwel sena tal-implimentazzjoni u xahar fis-sena minn hemm ’il quddiem fid-DĠ JUST. Għalhekk, ir-riżorsi umani stmati meħtieġa jammontaw għal unitajiet ekwivalenti għal full-time ta’ anqas minn 1.</w:t>
      </w:r>
    </w:p>
    <w:p w14:paraId="37A0A25B" w14:textId="3349BA37" w:rsidR="004515FC" w:rsidRPr="00D04088" w:rsidRDefault="004515FC" w:rsidP="004515FC">
      <w:pPr>
        <w:pStyle w:val="Text1"/>
        <w:spacing w:before="60" w:after="60"/>
        <w:ind w:left="851"/>
        <w:rPr>
          <w:noProof/>
          <w:sz w:val="18"/>
        </w:rPr>
      </w:pPr>
      <w:r w:rsidRPr="00D04088">
        <w:rPr>
          <w:b/>
          <w:noProof/>
          <w:sz w:val="18"/>
        </w:rPr>
        <w:t>Il-protezzjoni konsulari</w:t>
      </w:r>
      <w:r w:rsidRPr="00D04088">
        <w:rPr>
          <w:noProof/>
          <w:sz w:val="18"/>
        </w:rPr>
        <w:t xml:space="preserve"> hija l-qasam ta’ politika jew it-titolu baġitarju kkonċernat.</w:t>
      </w:r>
    </w:p>
    <w:p w14:paraId="28815853" w14:textId="77777777" w:rsidR="004515FC" w:rsidRPr="00D04088" w:rsidRDefault="004515FC" w:rsidP="004515FC">
      <w:pPr>
        <w:pStyle w:val="Text1"/>
        <w:rPr>
          <w:noProof/>
          <w:sz w:val="18"/>
        </w:rPr>
      </w:pPr>
      <w:r w:rsidRPr="00D04088">
        <w:rPr>
          <w:noProof/>
          <w:sz w:val="18"/>
        </w:rPr>
        <w:t>Ir-riżorsi umani meħtieġa se jiġu koperti mill-persunal tad-DĠ li diġà jkun assenjat għall-ġestjoni tal-azzjoni u/jew li diġà jkun ġie riassenjat fid-DĠ, flimkien, jekk ikun meħtieġ, ma’ kwalunkwe allokazzjoni addizzjonali li tista’ tingħata lid-DĠ tal-ġestjoni skont il-proċedura annwali ta’ allokazzjoni u fid-dawl tal-limitazzjonijiet baġitarji.</w:t>
      </w:r>
    </w:p>
    <w:p w14:paraId="052624C6" w14:textId="77777777" w:rsidR="004515FC" w:rsidRPr="00D04088" w:rsidRDefault="004515FC" w:rsidP="004515FC">
      <w:pPr>
        <w:rPr>
          <w:noProof/>
          <w:sz w:val="20"/>
        </w:rPr>
      </w:pPr>
      <w:r w:rsidRPr="00D04088">
        <w:rPr>
          <w:noProof/>
          <w:sz w:val="20"/>
        </w:rPr>
        <w:t>Deskrizzjoni tal-kompiti li jridu jitwettqu:</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C6DC3" w:rsidRPr="00D04088" w14:paraId="1992C67C" w14:textId="77777777">
        <w:tc>
          <w:tcPr>
            <w:tcW w:w="3240" w:type="dxa"/>
          </w:tcPr>
          <w:p w14:paraId="235D7162" w14:textId="77777777" w:rsidR="004515FC" w:rsidRPr="00D04088" w:rsidRDefault="004515FC" w:rsidP="0029161D">
            <w:pPr>
              <w:rPr>
                <w:noProof/>
                <w:sz w:val="20"/>
              </w:rPr>
            </w:pPr>
            <w:r w:rsidRPr="00D04088">
              <w:rPr>
                <w:noProof/>
                <w:sz w:val="20"/>
              </w:rPr>
              <w:t>Uffiċjali u persunal temporanju</w:t>
            </w:r>
          </w:p>
        </w:tc>
        <w:tc>
          <w:tcPr>
            <w:tcW w:w="7200" w:type="dxa"/>
          </w:tcPr>
          <w:p w14:paraId="52D391F2" w14:textId="77777777" w:rsidR="004515FC" w:rsidRPr="00D04088" w:rsidRDefault="004515FC" w:rsidP="0029161D">
            <w:pPr>
              <w:rPr>
                <w:noProof/>
                <w:sz w:val="20"/>
              </w:rPr>
            </w:pPr>
            <w:r w:rsidRPr="00D04088">
              <w:rPr>
                <w:noProof/>
                <w:sz w:val="20"/>
              </w:rPr>
              <w:t>Il-ġbir u t-tixrid ta’ informazzjoni li tasal mingħand l-Istati Membri fuq is-sit web tal-Kummissjoni.</w:t>
            </w:r>
          </w:p>
        </w:tc>
      </w:tr>
      <w:tr w:rsidR="003C6DC3" w:rsidRPr="00D04088" w14:paraId="71871DCF" w14:textId="77777777">
        <w:tc>
          <w:tcPr>
            <w:tcW w:w="3240" w:type="dxa"/>
          </w:tcPr>
          <w:p w14:paraId="2ED54728" w14:textId="77777777" w:rsidR="004515FC" w:rsidRPr="00D04088" w:rsidRDefault="004515FC" w:rsidP="0029161D">
            <w:pPr>
              <w:spacing w:before="60" w:after="60"/>
              <w:rPr>
                <w:noProof/>
                <w:sz w:val="20"/>
              </w:rPr>
            </w:pPr>
            <w:r w:rsidRPr="00D04088">
              <w:rPr>
                <w:noProof/>
                <w:sz w:val="20"/>
              </w:rPr>
              <w:t>Persunal estern</w:t>
            </w:r>
          </w:p>
        </w:tc>
        <w:tc>
          <w:tcPr>
            <w:tcW w:w="7200" w:type="dxa"/>
          </w:tcPr>
          <w:p w14:paraId="4717A7A4" w14:textId="77777777" w:rsidR="004515FC" w:rsidRPr="00D04088" w:rsidRDefault="004515FC" w:rsidP="0029161D">
            <w:pPr>
              <w:rPr>
                <w:noProof/>
                <w:sz w:val="20"/>
              </w:rPr>
            </w:pPr>
          </w:p>
        </w:tc>
      </w:tr>
    </w:tbl>
    <w:p w14:paraId="678F893B" w14:textId="77777777" w:rsidR="004515FC" w:rsidRPr="00D04088" w:rsidRDefault="004515FC" w:rsidP="004515FC">
      <w:pPr>
        <w:rPr>
          <w:noProof/>
        </w:rPr>
        <w:sectPr w:rsidR="004515FC" w:rsidRPr="00D04088" w:rsidSect="006C0976">
          <w:pgSz w:w="11907" w:h="16840"/>
          <w:pgMar w:top="1134" w:right="1418" w:bottom="1134" w:left="1418" w:header="709" w:footer="709" w:gutter="0"/>
          <w:cols w:space="708"/>
          <w:docGrid w:linePitch="360"/>
        </w:sectPr>
      </w:pPr>
    </w:p>
    <w:p w14:paraId="0890802B" w14:textId="77777777" w:rsidR="004515FC" w:rsidRPr="00D04088" w:rsidRDefault="004515FC" w:rsidP="004515FC">
      <w:pPr>
        <w:pStyle w:val="ManualHeading3"/>
        <w:rPr>
          <w:noProof/>
        </w:rPr>
      </w:pPr>
      <w:bookmarkStart w:id="68" w:name="_Toc514938056"/>
      <w:bookmarkStart w:id="69" w:name="_Toc520485055"/>
      <w:r w:rsidRPr="00D04088">
        <w:rPr>
          <w:noProof/>
        </w:rPr>
        <w:t>3.2.4.</w:t>
      </w:r>
      <w:r w:rsidRPr="00D04088">
        <w:rPr>
          <w:noProof/>
        </w:rPr>
        <w:tab/>
        <w:t>Kompatibbiltà mal-qafas finanzjarju pluriennali kurrenti</w:t>
      </w:r>
      <w:bookmarkEnd w:id="68"/>
      <w:bookmarkEnd w:id="69"/>
      <w:r w:rsidRPr="00D04088">
        <w:rPr>
          <w:noProof/>
        </w:rPr>
        <w:t xml:space="preserve"> </w:t>
      </w:r>
    </w:p>
    <w:p w14:paraId="2A919C08" w14:textId="77777777" w:rsidR="004515FC" w:rsidRPr="00D04088" w:rsidRDefault="004515FC" w:rsidP="004515FC">
      <w:pPr>
        <w:pStyle w:val="Text1"/>
        <w:rPr>
          <w:noProof/>
        </w:rPr>
      </w:pPr>
      <w:r w:rsidRPr="00D04088">
        <w:rPr>
          <w:noProof/>
        </w:rPr>
        <w:t>Il-proposta/l-inizjattiva:</w:t>
      </w:r>
    </w:p>
    <w:p w14:paraId="2F1BB167" w14:textId="77777777" w:rsidR="004515FC" w:rsidRPr="00D04088" w:rsidRDefault="004515FC" w:rsidP="004515FC">
      <w:pPr>
        <w:pStyle w:val="ListDash1"/>
        <w:rPr>
          <w:noProof/>
        </w:rPr>
      </w:pPr>
      <w:r w:rsidRPr="00D04088">
        <w:rPr>
          <w:rFonts w:ascii="Wingdings" w:hAnsi="Wingdings"/>
          <w:noProof/>
        </w:rPr>
        <w:t></w:t>
      </w:r>
      <w:r w:rsidRPr="00D04088">
        <w:rPr>
          <w:noProof/>
        </w:rPr>
        <w:tab/>
        <w:t>tista’ tiġi ffinanzjata kompletament permezz ta’ riallokazzjoni fl-intestatura rilevanti tal-Qafas Finanzjarju Pluriennali (QFP).</w:t>
      </w:r>
    </w:p>
    <w:p w14:paraId="547195BB" w14:textId="77777777" w:rsidR="004515FC" w:rsidRPr="00D04088" w:rsidRDefault="004515FC" w:rsidP="004515FC">
      <w:pPr>
        <w:pStyle w:val="ListDash1"/>
        <w:rPr>
          <w:noProof/>
        </w:rPr>
      </w:pPr>
      <w:r w:rsidRPr="00D04088">
        <w:rPr>
          <w:rFonts w:ascii="Wingdings" w:hAnsi="Wingdings"/>
          <w:noProof/>
        </w:rPr>
        <w:t></w:t>
      </w:r>
      <w:r w:rsidRPr="00D04088">
        <w:rPr>
          <w:noProof/>
        </w:rPr>
        <w:tab/>
        <w:t>teħtieġ l-użu tal-marġni mhux allokat taħt l-intestatura rilevanti tal-QFP u/jew l-użu tal-istrumenti speċjali ddefiniti fir-Regolament dwar il-QFP.</w:t>
      </w:r>
    </w:p>
    <w:p w14:paraId="248A148E" w14:textId="77777777" w:rsidR="004515FC" w:rsidRPr="00D04088" w:rsidRDefault="004515FC" w:rsidP="004515FC">
      <w:pPr>
        <w:pStyle w:val="ListDash1"/>
        <w:rPr>
          <w:noProof/>
        </w:rPr>
      </w:pPr>
      <w:r w:rsidRPr="00D04088">
        <w:rPr>
          <w:rFonts w:ascii="Wingdings" w:hAnsi="Wingdings"/>
          <w:noProof/>
        </w:rPr>
        <w:t></w:t>
      </w:r>
      <w:r w:rsidRPr="00D04088">
        <w:rPr>
          <w:noProof/>
        </w:rPr>
        <w:tab/>
        <w:t>teħtieġ reviżjoni tal-QFP.</w:t>
      </w:r>
    </w:p>
    <w:p w14:paraId="60435B75" w14:textId="77777777" w:rsidR="004515FC" w:rsidRPr="00D04088" w:rsidRDefault="004515FC" w:rsidP="004515FC">
      <w:pPr>
        <w:pStyle w:val="ManualHeading3"/>
        <w:rPr>
          <w:noProof/>
        </w:rPr>
      </w:pPr>
      <w:bookmarkStart w:id="70" w:name="_Toc514938058"/>
      <w:bookmarkStart w:id="71" w:name="_Toc520485056"/>
      <w:r w:rsidRPr="00D04088">
        <w:rPr>
          <w:noProof/>
        </w:rPr>
        <w:t>3.2.5.</w:t>
      </w:r>
      <w:r w:rsidRPr="00D04088">
        <w:rPr>
          <w:noProof/>
        </w:rPr>
        <w:tab/>
        <w:t>Kontribuzzjonijiet ta’ partijiet terzi</w:t>
      </w:r>
      <w:bookmarkEnd w:id="70"/>
      <w:bookmarkEnd w:id="71"/>
      <w:r w:rsidRPr="00D04088">
        <w:rPr>
          <w:noProof/>
        </w:rPr>
        <w:t xml:space="preserve"> </w:t>
      </w:r>
    </w:p>
    <w:p w14:paraId="13188979" w14:textId="77777777" w:rsidR="004515FC" w:rsidRPr="00D04088" w:rsidRDefault="004515FC" w:rsidP="004515FC">
      <w:pPr>
        <w:pStyle w:val="Text1"/>
        <w:rPr>
          <w:noProof/>
        </w:rPr>
      </w:pPr>
      <w:r w:rsidRPr="00D04088">
        <w:rPr>
          <w:noProof/>
        </w:rPr>
        <w:t>Il-proposta/l-inizjattiva:</w:t>
      </w:r>
    </w:p>
    <w:p w14:paraId="2F5EA500" w14:textId="77777777" w:rsidR="004515FC" w:rsidRPr="00D04088" w:rsidRDefault="004515FC" w:rsidP="004515FC">
      <w:pPr>
        <w:pStyle w:val="ListDash1"/>
        <w:rPr>
          <w:noProof/>
        </w:rPr>
      </w:pPr>
      <w:r w:rsidRPr="00D04088">
        <w:rPr>
          <w:rFonts w:ascii="Wingdings" w:hAnsi="Wingdings"/>
          <w:noProof/>
        </w:rPr>
        <w:t></w:t>
      </w:r>
      <w:r w:rsidRPr="00D04088">
        <w:rPr>
          <w:noProof/>
        </w:rPr>
        <w:tab/>
        <w:t>ma tipprevedix kofinanzjament minn partijiet terzi</w:t>
      </w:r>
    </w:p>
    <w:p w14:paraId="5CECB3C2" w14:textId="77777777" w:rsidR="004515FC" w:rsidRPr="00D04088" w:rsidRDefault="004515FC" w:rsidP="004515FC">
      <w:pPr>
        <w:pStyle w:val="ListDash1"/>
        <w:rPr>
          <w:noProof/>
        </w:rPr>
      </w:pPr>
      <w:r w:rsidRPr="00D04088">
        <w:rPr>
          <w:rFonts w:ascii="Wingdings" w:hAnsi="Wingdings"/>
          <w:noProof/>
        </w:rPr>
        <w:t></w:t>
      </w:r>
      <w:r w:rsidRPr="00D04088">
        <w:rPr>
          <w:noProof/>
        </w:rPr>
        <w:tab/>
        <w:t>tipprevedi l-kofinanzjament minn partijiet terzi kif stmat hawn taħt:</w:t>
      </w:r>
    </w:p>
    <w:p w14:paraId="7FB9139B" w14:textId="77777777" w:rsidR="004515FC" w:rsidRPr="00D04088" w:rsidRDefault="004515FC" w:rsidP="004515FC">
      <w:pPr>
        <w:jc w:val="right"/>
        <w:rPr>
          <w:noProof/>
          <w:sz w:val="20"/>
        </w:rPr>
      </w:pPr>
      <w:r w:rsidRPr="00D04088">
        <w:rPr>
          <w:noProof/>
          <w:sz w:val="20"/>
        </w:rPr>
        <w:t>Approprjazzjonijiet f’miljuni ta’ EUR (għal tliet pożizzjonijiet deċimali)</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10369" w:rsidRPr="00D04088" w14:paraId="0353DFAA" w14:textId="77777777">
        <w:trPr>
          <w:cantSplit/>
        </w:trPr>
        <w:tc>
          <w:tcPr>
            <w:tcW w:w="2340" w:type="dxa"/>
          </w:tcPr>
          <w:p w14:paraId="7A32245B" w14:textId="77777777" w:rsidR="004515FC" w:rsidRPr="00D04088" w:rsidRDefault="004515FC" w:rsidP="0029161D">
            <w:pPr>
              <w:spacing w:before="60" w:after="60"/>
              <w:rPr>
                <w:noProof/>
                <w:sz w:val="20"/>
              </w:rPr>
            </w:pPr>
          </w:p>
        </w:tc>
        <w:tc>
          <w:tcPr>
            <w:tcW w:w="964" w:type="dxa"/>
            <w:vAlign w:val="center"/>
          </w:tcPr>
          <w:p w14:paraId="70A9AB6B" w14:textId="49EE3B26" w:rsidR="004515FC" w:rsidRPr="00D04088" w:rsidRDefault="004515FC" w:rsidP="0029161D">
            <w:pPr>
              <w:jc w:val="center"/>
              <w:rPr>
                <w:noProof/>
                <w:sz w:val="20"/>
              </w:rPr>
            </w:pPr>
            <w:r w:rsidRPr="00D04088">
              <w:rPr>
                <w:noProof/>
                <w:sz w:val="20"/>
              </w:rPr>
              <w:t>Sena</w:t>
            </w:r>
            <w:r w:rsidRPr="00D04088">
              <w:rPr>
                <w:noProof/>
              </w:rPr>
              <w:t xml:space="preserve"> </w:t>
            </w:r>
            <w:r w:rsidRPr="00D04088">
              <w:rPr>
                <w:b/>
                <w:noProof/>
                <w:sz w:val="20"/>
              </w:rPr>
              <w:t>N</w:t>
            </w:r>
            <w:r w:rsidRPr="00D04088">
              <w:rPr>
                <w:rStyle w:val="FootnoteReference0"/>
                <w:b/>
                <w:noProof/>
                <w:sz w:val="20"/>
              </w:rPr>
              <w:footnoteReference w:id="52"/>
            </w:r>
          </w:p>
        </w:tc>
        <w:tc>
          <w:tcPr>
            <w:tcW w:w="964" w:type="dxa"/>
            <w:vAlign w:val="center"/>
          </w:tcPr>
          <w:p w14:paraId="38222B85" w14:textId="535FED75" w:rsidR="004515FC" w:rsidRPr="00D04088" w:rsidRDefault="004515FC" w:rsidP="0029161D">
            <w:pPr>
              <w:jc w:val="center"/>
              <w:rPr>
                <w:noProof/>
                <w:sz w:val="20"/>
              </w:rPr>
            </w:pPr>
            <w:r w:rsidRPr="00D04088">
              <w:rPr>
                <w:noProof/>
                <w:sz w:val="20"/>
              </w:rPr>
              <w:t>Sena</w:t>
            </w:r>
            <w:r w:rsidRPr="00D04088">
              <w:rPr>
                <w:noProof/>
              </w:rPr>
              <w:br/>
            </w:r>
            <w:r w:rsidRPr="00D04088">
              <w:rPr>
                <w:b/>
                <w:noProof/>
                <w:sz w:val="20"/>
              </w:rPr>
              <w:t>N+1</w:t>
            </w:r>
          </w:p>
        </w:tc>
        <w:tc>
          <w:tcPr>
            <w:tcW w:w="964" w:type="dxa"/>
            <w:vAlign w:val="center"/>
          </w:tcPr>
          <w:p w14:paraId="11EC6CB4" w14:textId="22257460" w:rsidR="004515FC" w:rsidRPr="00D04088" w:rsidRDefault="004515FC" w:rsidP="0029161D">
            <w:pPr>
              <w:jc w:val="center"/>
              <w:rPr>
                <w:noProof/>
                <w:sz w:val="20"/>
              </w:rPr>
            </w:pPr>
            <w:r w:rsidRPr="00D04088">
              <w:rPr>
                <w:noProof/>
                <w:sz w:val="20"/>
              </w:rPr>
              <w:t>Sena</w:t>
            </w:r>
            <w:r w:rsidRPr="00D04088">
              <w:rPr>
                <w:noProof/>
              </w:rPr>
              <w:br/>
            </w:r>
            <w:r w:rsidRPr="00D04088">
              <w:rPr>
                <w:b/>
                <w:noProof/>
                <w:sz w:val="20"/>
              </w:rPr>
              <w:t>N+2</w:t>
            </w:r>
          </w:p>
        </w:tc>
        <w:tc>
          <w:tcPr>
            <w:tcW w:w="964" w:type="dxa"/>
            <w:vAlign w:val="center"/>
          </w:tcPr>
          <w:p w14:paraId="3612F1A2" w14:textId="11EE5CAC" w:rsidR="004515FC" w:rsidRPr="00D04088" w:rsidRDefault="004515FC" w:rsidP="0029161D">
            <w:pPr>
              <w:jc w:val="center"/>
              <w:rPr>
                <w:noProof/>
                <w:sz w:val="20"/>
              </w:rPr>
            </w:pPr>
            <w:r w:rsidRPr="00D04088">
              <w:rPr>
                <w:noProof/>
                <w:sz w:val="20"/>
              </w:rPr>
              <w:t>Sena</w:t>
            </w:r>
            <w:r w:rsidRPr="00D04088">
              <w:rPr>
                <w:noProof/>
              </w:rPr>
              <w:br/>
            </w:r>
            <w:r w:rsidRPr="00D04088">
              <w:rPr>
                <w:b/>
                <w:noProof/>
                <w:sz w:val="20"/>
              </w:rPr>
              <w:t>N+3</w:t>
            </w:r>
          </w:p>
        </w:tc>
        <w:tc>
          <w:tcPr>
            <w:tcW w:w="2892" w:type="dxa"/>
            <w:gridSpan w:val="3"/>
            <w:vAlign w:val="center"/>
          </w:tcPr>
          <w:p w14:paraId="0FCCAF31" w14:textId="77777777" w:rsidR="004515FC" w:rsidRPr="00D04088" w:rsidRDefault="004515FC" w:rsidP="0029161D">
            <w:pPr>
              <w:jc w:val="center"/>
              <w:rPr>
                <w:b/>
                <w:noProof/>
                <w:sz w:val="20"/>
              </w:rPr>
            </w:pPr>
            <w:r w:rsidRPr="00D04088">
              <w:rPr>
                <w:noProof/>
                <w:sz w:val="20"/>
              </w:rPr>
              <w:t>Daħħal is-snin kollha li hemm bżonn biex turi d-durata tal-impatt (ara l-punt 1.6)</w:t>
            </w:r>
          </w:p>
        </w:tc>
        <w:tc>
          <w:tcPr>
            <w:tcW w:w="1158" w:type="dxa"/>
            <w:vAlign w:val="center"/>
          </w:tcPr>
          <w:p w14:paraId="3A69AE63" w14:textId="77777777" w:rsidR="004515FC" w:rsidRPr="00D04088" w:rsidRDefault="004515FC" w:rsidP="0029161D">
            <w:pPr>
              <w:spacing w:before="60" w:after="60"/>
              <w:jc w:val="center"/>
              <w:rPr>
                <w:noProof/>
                <w:sz w:val="20"/>
              </w:rPr>
            </w:pPr>
            <w:r w:rsidRPr="00D04088">
              <w:rPr>
                <w:noProof/>
                <w:sz w:val="20"/>
              </w:rPr>
              <w:t>Total</w:t>
            </w:r>
          </w:p>
        </w:tc>
      </w:tr>
      <w:tr w:rsidR="00910369" w:rsidRPr="00D04088" w14:paraId="0D79CA97" w14:textId="77777777">
        <w:trPr>
          <w:cantSplit/>
        </w:trPr>
        <w:tc>
          <w:tcPr>
            <w:tcW w:w="2340" w:type="dxa"/>
          </w:tcPr>
          <w:p w14:paraId="43B82C1D" w14:textId="77777777" w:rsidR="004515FC" w:rsidRPr="00D04088" w:rsidRDefault="004515FC" w:rsidP="0029161D">
            <w:pPr>
              <w:rPr>
                <w:noProof/>
              </w:rPr>
            </w:pPr>
            <w:r w:rsidRPr="00D04088">
              <w:rPr>
                <w:noProof/>
                <w:sz w:val="20"/>
              </w:rPr>
              <w:t>Speċifika l-korp ta’ kofinanzjament</w:t>
            </w:r>
            <w:r w:rsidRPr="00D04088">
              <w:rPr>
                <w:i/>
                <w:noProof/>
                <w:sz w:val="20"/>
              </w:rPr>
              <w:t xml:space="preserve"> </w:t>
            </w:r>
          </w:p>
        </w:tc>
        <w:tc>
          <w:tcPr>
            <w:tcW w:w="964" w:type="dxa"/>
            <w:vAlign w:val="center"/>
          </w:tcPr>
          <w:p w14:paraId="0B812696" w14:textId="77777777" w:rsidR="004515FC" w:rsidRPr="00D04088" w:rsidRDefault="004515FC" w:rsidP="0029161D">
            <w:pPr>
              <w:spacing w:before="60" w:after="60"/>
              <w:jc w:val="center"/>
              <w:rPr>
                <w:noProof/>
                <w:sz w:val="20"/>
              </w:rPr>
            </w:pPr>
          </w:p>
        </w:tc>
        <w:tc>
          <w:tcPr>
            <w:tcW w:w="964" w:type="dxa"/>
            <w:vAlign w:val="center"/>
          </w:tcPr>
          <w:p w14:paraId="74B20EFF" w14:textId="77777777" w:rsidR="004515FC" w:rsidRPr="00D04088" w:rsidRDefault="004515FC" w:rsidP="0029161D">
            <w:pPr>
              <w:spacing w:before="60" w:after="60"/>
              <w:jc w:val="center"/>
              <w:rPr>
                <w:noProof/>
                <w:sz w:val="20"/>
              </w:rPr>
            </w:pPr>
          </w:p>
        </w:tc>
        <w:tc>
          <w:tcPr>
            <w:tcW w:w="964" w:type="dxa"/>
            <w:vAlign w:val="center"/>
          </w:tcPr>
          <w:p w14:paraId="6DF649EA" w14:textId="77777777" w:rsidR="004515FC" w:rsidRPr="00D04088" w:rsidRDefault="004515FC" w:rsidP="0029161D">
            <w:pPr>
              <w:spacing w:before="60" w:after="60"/>
              <w:jc w:val="center"/>
              <w:rPr>
                <w:noProof/>
                <w:sz w:val="20"/>
              </w:rPr>
            </w:pPr>
          </w:p>
        </w:tc>
        <w:tc>
          <w:tcPr>
            <w:tcW w:w="964" w:type="dxa"/>
            <w:vAlign w:val="center"/>
          </w:tcPr>
          <w:p w14:paraId="1C7E8AD3" w14:textId="77777777" w:rsidR="004515FC" w:rsidRPr="00D04088" w:rsidRDefault="004515FC" w:rsidP="0029161D">
            <w:pPr>
              <w:spacing w:before="60" w:after="60"/>
              <w:jc w:val="center"/>
              <w:rPr>
                <w:noProof/>
                <w:sz w:val="20"/>
              </w:rPr>
            </w:pPr>
          </w:p>
        </w:tc>
        <w:tc>
          <w:tcPr>
            <w:tcW w:w="964" w:type="dxa"/>
            <w:vAlign w:val="center"/>
          </w:tcPr>
          <w:p w14:paraId="3DA07B06" w14:textId="77777777" w:rsidR="004515FC" w:rsidRPr="00D04088" w:rsidRDefault="004515FC" w:rsidP="0029161D">
            <w:pPr>
              <w:spacing w:before="60" w:after="60"/>
              <w:jc w:val="center"/>
              <w:rPr>
                <w:noProof/>
                <w:sz w:val="20"/>
              </w:rPr>
            </w:pPr>
          </w:p>
        </w:tc>
        <w:tc>
          <w:tcPr>
            <w:tcW w:w="964" w:type="dxa"/>
            <w:vAlign w:val="center"/>
          </w:tcPr>
          <w:p w14:paraId="509C5BC3" w14:textId="77777777" w:rsidR="004515FC" w:rsidRPr="00D04088" w:rsidRDefault="004515FC" w:rsidP="0029161D">
            <w:pPr>
              <w:spacing w:before="60" w:after="60"/>
              <w:jc w:val="center"/>
              <w:rPr>
                <w:noProof/>
                <w:sz w:val="20"/>
              </w:rPr>
            </w:pPr>
          </w:p>
        </w:tc>
        <w:tc>
          <w:tcPr>
            <w:tcW w:w="964" w:type="dxa"/>
            <w:vAlign w:val="center"/>
          </w:tcPr>
          <w:p w14:paraId="197925BA" w14:textId="77777777" w:rsidR="004515FC" w:rsidRPr="00D04088" w:rsidRDefault="004515FC" w:rsidP="0029161D">
            <w:pPr>
              <w:spacing w:before="60" w:after="60"/>
              <w:jc w:val="center"/>
              <w:rPr>
                <w:noProof/>
                <w:sz w:val="20"/>
              </w:rPr>
            </w:pPr>
          </w:p>
        </w:tc>
        <w:tc>
          <w:tcPr>
            <w:tcW w:w="1158" w:type="dxa"/>
            <w:vAlign w:val="center"/>
          </w:tcPr>
          <w:p w14:paraId="57A91AE6" w14:textId="77777777" w:rsidR="004515FC" w:rsidRPr="00D04088" w:rsidRDefault="004515FC" w:rsidP="0029161D">
            <w:pPr>
              <w:spacing w:before="60" w:after="60"/>
              <w:jc w:val="center"/>
              <w:rPr>
                <w:noProof/>
                <w:sz w:val="20"/>
              </w:rPr>
            </w:pPr>
          </w:p>
        </w:tc>
      </w:tr>
      <w:tr w:rsidR="00910369" w:rsidRPr="00D04088" w14:paraId="6246AF00" w14:textId="77777777">
        <w:trPr>
          <w:cantSplit/>
        </w:trPr>
        <w:tc>
          <w:tcPr>
            <w:tcW w:w="2340" w:type="dxa"/>
          </w:tcPr>
          <w:p w14:paraId="145DBEF3" w14:textId="77777777" w:rsidR="004515FC" w:rsidRPr="00D04088" w:rsidRDefault="004515FC" w:rsidP="0029161D">
            <w:pPr>
              <w:spacing w:before="60" w:after="60"/>
              <w:jc w:val="left"/>
              <w:rPr>
                <w:noProof/>
                <w:sz w:val="20"/>
              </w:rPr>
            </w:pPr>
            <w:r w:rsidRPr="00D04088">
              <w:rPr>
                <w:noProof/>
                <w:sz w:val="20"/>
              </w:rPr>
              <w:t xml:space="preserve">TOTAL tal-approprjazzjonijiet kofinanzjati </w:t>
            </w:r>
          </w:p>
        </w:tc>
        <w:tc>
          <w:tcPr>
            <w:tcW w:w="964" w:type="dxa"/>
            <w:vAlign w:val="center"/>
          </w:tcPr>
          <w:p w14:paraId="6B733DAD" w14:textId="77777777" w:rsidR="004515FC" w:rsidRPr="00D04088" w:rsidRDefault="004515FC" w:rsidP="0029161D">
            <w:pPr>
              <w:spacing w:before="60" w:after="60"/>
              <w:jc w:val="center"/>
              <w:rPr>
                <w:noProof/>
                <w:sz w:val="20"/>
              </w:rPr>
            </w:pPr>
          </w:p>
        </w:tc>
        <w:tc>
          <w:tcPr>
            <w:tcW w:w="964" w:type="dxa"/>
            <w:vAlign w:val="center"/>
          </w:tcPr>
          <w:p w14:paraId="3F12080A" w14:textId="77777777" w:rsidR="004515FC" w:rsidRPr="00D04088" w:rsidRDefault="004515FC" w:rsidP="0029161D">
            <w:pPr>
              <w:spacing w:before="60" w:after="60"/>
              <w:jc w:val="center"/>
              <w:rPr>
                <w:noProof/>
                <w:sz w:val="20"/>
              </w:rPr>
            </w:pPr>
          </w:p>
        </w:tc>
        <w:tc>
          <w:tcPr>
            <w:tcW w:w="964" w:type="dxa"/>
            <w:vAlign w:val="center"/>
          </w:tcPr>
          <w:p w14:paraId="31CB3A94" w14:textId="77777777" w:rsidR="004515FC" w:rsidRPr="00D04088" w:rsidRDefault="004515FC" w:rsidP="0029161D">
            <w:pPr>
              <w:spacing w:before="60" w:after="60"/>
              <w:jc w:val="center"/>
              <w:rPr>
                <w:noProof/>
                <w:sz w:val="20"/>
              </w:rPr>
            </w:pPr>
          </w:p>
        </w:tc>
        <w:tc>
          <w:tcPr>
            <w:tcW w:w="964" w:type="dxa"/>
            <w:vAlign w:val="center"/>
          </w:tcPr>
          <w:p w14:paraId="5C931C87" w14:textId="77777777" w:rsidR="004515FC" w:rsidRPr="00D04088" w:rsidRDefault="004515FC" w:rsidP="0029161D">
            <w:pPr>
              <w:spacing w:before="60" w:after="60"/>
              <w:jc w:val="center"/>
              <w:rPr>
                <w:noProof/>
                <w:sz w:val="20"/>
              </w:rPr>
            </w:pPr>
          </w:p>
        </w:tc>
        <w:tc>
          <w:tcPr>
            <w:tcW w:w="964" w:type="dxa"/>
            <w:vAlign w:val="center"/>
          </w:tcPr>
          <w:p w14:paraId="12BA3BF1" w14:textId="77777777" w:rsidR="004515FC" w:rsidRPr="00D04088" w:rsidRDefault="004515FC" w:rsidP="0029161D">
            <w:pPr>
              <w:spacing w:before="60" w:after="60"/>
              <w:jc w:val="center"/>
              <w:rPr>
                <w:noProof/>
                <w:sz w:val="20"/>
              </w:rPr>
            </w:pPr>
          </w:p>
        </w:tc>
        <w:tc>
          <w:tcPr>
            <w:tcW w:w="964" w:type="dxa"/>
            <w:vAlign w:val="center"/>
          </w:tcPr>
          <w:p w14:paraId="0D9A3850" w14:textId="77777777" w:rsidR="004515FC" w:rsidRPr="00D04088" w:rsidRDefault="004515FC" w:rsidP="0029161D">
            <w:pPr>
              <w:spacing w:before="60" w:after="60"/>
              <w:jc w:val="center"/>
              <w:rPr>
                <w:noProof/>
                <w:sz w:val="20"/>
              </w:rPr>
            </w:pPr>
          </w:p>
        </w:tc>
        <w:tc>
          <w:tcPr>
            <w:tcW w:w="964" w:type="dxa"/>
            <w:vAlign w:val="center"/>
          </w:tcPr>
          <w:p w14:paraId="706F0B88" w14:textId="77777777" w:rsidR="004515FC" w:rsidRPr="00D04088" w:rsidRDefault="004515FC" w:rsidP="0029161D">
            <w:pPr>
              <w:spacing w:before="60" w:after="60"/>
              <w:jc w:val="center"/>
              <w:rPr>
                <w:noProof/>
                <w:sz w:val="20"/>
              </w:rPr>
            </w:pPr>
          </w:p>
        </w:tc>
        <w:tc>
          <w:tcPr>
            <w:tcW w:w="1158" w:type="dxa"/>
            <w:vAlign w:val="center"/>
          </w:tcPr>
          <w:p w14:paraId="6F1A62A1" w14:textId="77777777" w:rsidR="004515FC" w:rsidRPr="00D04088" w:rsidRDefault="004515FC" w:rsidP="0029161D">
            <w:pPr>
              <w:spacing w:before="60" w:after="60"/>
              <w:jc w:val="center"/>
              <w:rPr>
                <w:noProof/>
                <w:sz w:val="20"/>
              </w:rPr>
            </w:pPr>
          </w:p>
        </w:tc>
      </w:tr>
    </w:tbl>
    <w:p w14:paraId="33D9C2A2" w14:textId="77777777" w:rsidR="00D85C9B" w:rsidRDefault="00D85C9B" w:rsidP="00D85C9B">
      <w:pPr>
        <w:rPr>
          <w:noProof/>
        </w:rPr>
      </w:pPr>
      <w:bookmarkStart w:id="72" w:name="_Toc514938059"/>
      <w:bookmarkStart w:id="73" w:name="_Toc520485057"/>
      <w:r>
        <w:rPr>
          <w:noProof/>
        </w:rPr>
        <w:br/>
      </w:r>
    </w:p>
    <w:p w14:paraId="435B27C6" w14:textId="440C89E8" w:rsidR="004515FC" w:rsidRPr="00D04088" w:rsidRDefault="00D85C9B" w:rsidP="00D85C9B">
      <w:pPr>
        <w:pStyle w:val="ManualHeading2"/>
        <w:rPr>
          <w:noProof/>
        </w:rPr>
      </w:pPr>
      <w:r>
        <w:rPr>
          <w:noProof/>
        </w:rPr>
        <w:br w:type="page"/>
      </w:r>
      <w:r w:rsidR="004515FC" w:rsidRPr="00D04088">
        <w:rPr>
          <w:noProof/>
        </w:rPr>
        <w:t>3.3.</w:t>
      </w:r>
      <w:r w:rsidR="004515FC" w:rsidRPr="00D04088">
        <w:rPr>
          <w:noProof/>
        </w:rPr>
        <w:tab/>
        <w:t>Impatt stmat fuq id-dħul</w:t>
      </w:r>
      <w:bookmarkEnd w:id="72"/>
      <w:bookmarkEnd w:id="73"/>
      <w:r w:rsidR="004515FC" w:rsidRPr="00D04088">
        <w:rPr>
          <w:noProof/>
        </w:rPr>
        <w:t xml:space="preserve"> </w:t>
      </w:r>
    </w:p>
    <w:p w14:paraId="1B11B352" w14:textId="77777777" w:rsidR="004515FC" w:rsidRPr="00D04088" w:rsidRDefault="004515FC" w:rsidP="004515FC">
      <w:pPr>
        <w:pStyle w:val="ListDash1"/>
        <w:rPr>
          <w:noProof/>
        </w:rPr>
      </w:pPr>
      <w:r w:rsidRPr="00D04088">
        <w:rPr>
          <w:rFonts w:ascii="Wingdings" w:hAnsi="Wingdings"/>
          <w:noProof/>
        </w:rPr>
        <w:t></w:t>
      </w:r>
      <w:r w:rsidRPr="00D04088">
        <w:rPr>
          <w:noProof/>
        </w:rPr>
        <w:tab/>
        <w:t>Il-proposta/l-inizjattiva ma għandha l-ebda impatt finanzjarju fuq id-dħul.</w:t>
      </w:r>
    </w:p>
    <w:p w14:paraId="111902D8" w14:textId="77777777" w:rsidR="004515FC" w:rsidRPr="00D04088" w:rsidRDefault="004515FC" w:rsidP="004515FC">
      <w:pPr>
        <w:pStyle w:val="ListDash1"/>
        <w:rPr>
          <w:noProof/>
        </w:rPr>
      </w:pPr>
      <w:r w:rsidRPr="00D04088">
        <w:rPr>
          <w:rFonts w:ascii="Wingdings" w:hAnsi="Wingdings"/>
          <w:noProof/>
        </w:rPr>
        <w:t></w:t>
      </w:r>
      <w:r w:rsidRPr="00D04088">
        <w:rPr>
          <w:noProof/>
        </w:rPr>
        <w:tab/>
        <w:t>Il-proposta/l-inizjattiva għandha l-impatt finanzjarju li ġej:</w:t>
      </w:r>
    </w:p>
    <w:p w14:paraId="078ED8D6" w14:textId="77777777" w:rsidR="004515FC" w:rsidRPr="00D04088" w:rsidRDefault="004515FC" w:rsidP="004515FC">
      <w:pPr>
        <w:pStyle w:val="ListNumberLevel3"/>
        <w:rPr>
          <w:noProof/>
        </w:rPr>
      </w:pPr>
      <w:r w:rsidRPr="00D04088">
        <w:rPr>
          <w:rFonts w:ascii="Wingdings" w:hAnsi="Wingdings"/>
          <w:noProof/>
        </w:rPr>
        <w:t></w:t>
      </w:r>
      <w:r w:rsidRPr="00D04088">
        <w:rPr>
          <w:noProof/>
        </w:rPr>
        <w:tab/>
        <w:t xml:space="preserve">fuq ir-riżorsi proprji </w:t>
      </w:r>
    </w:p>
    <w:p w14:paraId="0E213E58" w14:textId="77777777" w:rsidR="004515FC" w:rsidRPr="00D04088" w:rsidRDefault="004515FC" w:rsidP="004515FC">
      <w:pPr>
        <w:pStyle w:val="ListNumberLevel3"/>
        <w:rPr>
          <w:noProof/>
        </w:rPr>
      </w:pPr>
      <w:r w:rsidRPr="00D04088">
        <w:rPr>
          <w:rFonts w:ascii="Wingdings" w:hAnsi="Wingdings"/>
          <w:noProof/>
        </w:rPr>
        <w:t></w:t>
      </w:r>
      <w:r w:rsidRPr="00D04088">
        <w:rPr>
          <w:noProof/>
        </w:rPr>
        <w:tab/>
        <w:t>fuq dħul ieħor</w:t>
      </w:r>
    </w:p>
    <w:p w14:paraId="2C617D14" w14:textId="77777777" w:rsidR="004515FC" w:rsidRPr="00D04088" w:rsidRDefault="004515FC" w:rsidP="004515FC">
      <w:pPr>
        <w:pStyle w:val="ListNumberLevel3"/>
        <w:rPr>
          <w:noProof/>
        </w:rPr>
      </w:pPr>
      <w:r w:rsidRPr="00D04088">
        <w:rPr>
          <w:noProof/>
        </w:rPr>
        <w:t xml:space="preserve">jekk jogħġbok, indika jekk id-dħul hux assenjat għal-linji tan-nefqa </w:t>
      </w:r>
      <w:r w:rsidRPr="00D04088">
        <w:rPr>
          <w:rFonts w:ascii="Wingdings" w:hAnsi="Wingdings"/>
          <w:noProof/>
        </w:rPr>
        <w:t></w:t>
      </w:r>
      <w:r w:rsidRPr="00D04088">
        <w:rPr>
          <w:noProof/>
        </w:rPr>
        <w:tab/>
      </w:r>
    </w:p>
    <w:p w14:paraId="33082A34" w14:textId="77777777" w:rsidR="004515FC" w:rsidRPr="00D04088" w:rsidRDefault="004515FC" w:rsidP="004515FC">
      <w:pPr>
        <w:ind w:left="4320"/>
        <w:rPr>
          <w:i/>
          <w:noProof/>
          <w:sz w:val="20"/>
        </w:rPr>
      </w:pPr>
      <w:r w:rsidRPr="00D04088">
        <w:rPr>
          <w:noProof/>
        </w:rPr>
        <w:t xml:space="preserve">     miljuni ta’ EUR (għal tliet pożizzjonijiet deċimali)</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10369" w:rsidRPr="00D04088" w14:paraId="331EC51B" w14:textId="77777777">
        <w:trPr>
          <w:trHeight w:val="388"/>
        </w:trPr>
        <w:tc>
          <w:tcPr>
            <w:tcW w:w="2144" w:type="dxa"/>
            <w:vMerge w:val="restart"/>
            <w:vAlign w:val="center"/>
          </w:tcPr>
          <w:p w14:paraId="5B47E0BC" w14:textId="77777777" w:rsidR="004515FC" w:rsidRPr="00D04088" w:rsidRDefault="004515FC" w:rsidP="0029161D">
            <w:pPr>
              <w:spacing w:before="40" w:after="40"/>
              <w:rPr>
                <w:noProof/>
                <w:sz w:val="18"/>
              </w:rPr>
            </w:pPr>
            <w:r w:rsidRPr="00D04088">
              <w:rPr>
                <w:noProof/>
                <w:sz w:val="18"/>
              </w:rPr>
              <w:t>Linja baġitarja tad-dħul:</w:t>
            </w:r>
          </w:p>
        </w:tc>
        <w:tc>
          <w:tcPr>
            <w:tcW w:w="1325" w:type="dxa"/>
            <w:vMerge w:val="restart"/>
            <w:vAlign w:val="center"/>
          </w:tcPr>
          <w:p w14:paraId="6F856FF3" w14:textId="77777777" w:rsidR="004515FC" w:rsidRPr="00D04088" w:rsidRDefault="004515FC" w:rsidP="0029161D">
            <w:pPr>
              <w:jc w:val="center"/>
              <w:rPr>
                <w:noProof/>
                <w:sz w:val="18"/>
              </w:rPr>
            </w:pPr>
            <w:r w:rsidRPr="00D04088">
              <w:rPr>
                <w:noProof/>
                <w:sz w:val="18"/>
              </w:rPr>
              <w:t>Approprjazzjonijiet disponibbli għas-sena finanzjarja kurrenti</w:t>
            </w:r>
          </w:p>
        </w:tc>
        <w:tc>
          <w:tcPr>
            <w:tcW w:w="7151" w:type="dxa"/>
            <w:gridSpan w:val="7"/>
            <w:vAlign w:val="center"/>
          </w:tcPr>
          <w:p w14:paraId="6D24AD71" w14:textId="77777777" w:rsidR="004515FC" w:rsidRPr="00D04088" w:rsidRDefault="004515FC" w:rsidP="0029161D">
            <w:pPr>
              <w:jc w:val="center"/>
              <w:rPr>
                <w:noProof/>
                <w:sz w:val="18"/>
              </w:rPr>
            </w:pPr>
            <w:r w:rsidRPr="00D04088">
              <w:rPr>
                <w:noProof/>
                <w:sz w:val="18"/>
              </w:rPr>
              <w:t>Impatt tal-proposta/tal-inizjattiva</w:t>
            </w:r>
            <w:r w:rsidRPr="00D04088">
              <w:rPr>
                <w:rStyle w:val="FootnoteReference0"/>
                <w:noProof/>
                <w:sz w:val="18"/>
              </w:rPr>
              <w:footnoteReference w:id="53"/>
            </w:r>
          </w:p>
        </w:tc>
      </w:tr>
      <w:tr w:rsidR="00910369" w:rsidRPr="00D04088" w14:paraId="450EF09C" w14:textId="77777777">
        <w:trPr>
          <w:trHeight w:val="388"/>
        </w:trPr>
        <w:tc>
          <w:tcPr>
            <w:tcW w:w="2144" w:type="dxa"/>
            <w:vMerge/>
          </w:tcPr>
          <w:p w14:paraId="3E7C7CCB" w14:textId="77777777" w:rsidR="004515FC" w:rsidRPr="00D04088" w:rsidRDefault="004515FC" w:rsidP="0029161D">
            <w:pPr>
              <w:spacing w:before="40" w:after="40"/>
              <w:rPr>
                <w:noProof/>
                <w:sz w:val="18"/>
              </w:rPr>
            </w:pPr>
          </w:p>
        </w:tc>
        <w:tc>
          <w:tcPr>
            <w:tcW w:w="1325" w:type="dxa"/>
            <w:vMerge/>
          </w:tcPr>
          <w:p w14:paraId="48CC455F" w14:textId="77777777" w:rsidR="004515FC" w:rsidRPr="00D04088" w:rsidRDefault="004515FC" w:rsidP="0029161D">
            <w:pPr>
              <w:spacing w:beforeLines="40" w:before="96" w:afterLines="40" w:after="96"/>
              <w:rPr>
                <w:i/>
                <w:noProof/>
                <w:sz w:val="18"/>
              </w:rPr>
            </w:pPr>
          </w:p>
        </w:tc>
        <w:tc>
          <w:tcPr>
            <w:tcW w:w="1031" w:type="dxa"/>
            <w:vAlign w:val="center"/>
          </w:tcPr>
          <w:p w14:paraId="5F8E2E3E" w14:textId="77777777" w:rsidR="004515FC" w:rsidRPr="00D04088" w:rsidRDefault="004515FC" w:rsidP="0029161D">
            <w:pPr>
              <w:jc w:val="center"/>
              <w:rPr>
                <w:noProof/>
                <w:sz w:val="18"/>
              </w:rPr>
            </w:pPr>
            <w:r w:rsidRPr="00D04088">
              <w:rPr>
                <w:noProof/>
                <w:sz w:val="18"/>
              </w:rPr>
              <w:t>Sena</w:t>
            </w:r>
            <w:r w:rsidRPr="00D04088">
              <w:rPr>
                <w:noProof/>
              </w:rPr>
              <w:t xml:space="preserve"> </w:t>
            </w:r>
            <w:r w:rsidRPr="00D04088">
              <w:rPr>
                <w:noProof/>
              </w:rPr>
              <w:cr/>
            </w:r>
            <w:r w:rsidRPr="00D04088">
              <w:rPr>
                <w:noProof/>
              </w:rPr>
              <w:br/>
            </w:r>
            <w:r w:rsidRPr="00D04088">
              <w:rPr>
                <w:b/>
                <w:noProof/>
                <w:sz w:val="18"/>
              </w:rPr>
              <w:t>N</w:t>
            </w:r>
          </w:p>
        </w:tc>
        <w:tc>
          <w:tcPr>
            <w:tcW w:w="900" w:type="dxa"/>
            <w:vAlign w:val="center"/>
          </w:tcPr>
          <w:p w14:paraId="6C90ED77" w14:textId="77777777" w:rsidR="004515FC" w:rsidRPr="00D04088" w:rsidRDefault="004515FC" w:rsidP="0029161D">
            <w:pPr>
              <w:jc w:val="center"/>
              <w:rPr>
                <w:noProof/>
                <w:sz w:val="18"/>
              </w:rPr>
            </w:pPr>
            <w:r w:rsidRPr="00D04088">
              <w:rPr>
                <w:noProof/>
                <w:sz w:val="18"/>
              </w:rPr>
              <w:t>Sena</w:t>
            </w:r>
            <w:r w:rsidRPr="00D04088">
              <w:rPr>
                <w:noProof/>
              </w:rPr>
              <w:t xml:space="preserve"> </w:t>
            </w:r>
            <w:r w:rsidRPr="00D04088">
              <w:rPr>
                <w:noProof/>
              </w:rPr>
              <w:cr/>
            </w:r>
            <w:r w:rsidRPr="00D04088">
              <w:rPr>
                <w:noProof/>
              </w:rPr>
              <w:br/>
            </w:r>
            <w:r w:rsidRPr="00D04088">
              <w:rPr>
                <w:b/>
                <w:noProof/>
                <w:sz w:val="18"/>
              </w:rPr>
              <w:t>N+1</w:t>
            </w:r>
          </w:p>
        </w:tc>
        <w:tc>
          <w:tcPr>
            <w:tcW w:w="900" w:type="dxa"/>
            <w:vAlign w:val="center"/>
          </w:tcPr>
          <w:p w14:paraId="0EF2F27B" w14:textId="77777777" w:rsidR="004515FC" w:rsidRPr="00D04088" w:rsidRDefault="004515FC" w:rsidP="0029161D">
            <w:pPr>
              <w:jc w:val="center"/>
              <w:rPr>
                <w:noProof/>
                <w:sz w:val="18"/>
              </w:rPr>
            </w:pPr>
            <w:r w:rsidRPr="00D04088">
              <w:rPr>
                <w:noProof/>
                <w:sz w:val="18"/>
              </w:rPr>
              <w:t>Sena</w:t>
            </w:r>
            <w:r w:rsidRPr="00D04088">
              <w:rPr>
                <w:noProof/>
              </w:rPr>
              <w:t xml:space="preserve"> </w:t>
            </w:r>
            <w:r w:rsidRPr="00D04088">
              <w:rPr>
                <w:noProof/>
              </w:rPr>
              <w:cr/>
            </w:r>
            <w:r w:rsidRPr="00D04088">
              <w:rPr>
                <w:noProof/>
              </w:rPr>
              <w:br/>
            </w:r>
            <w:r w:rsidRPr="00D04088">
              <w:rPr>
                <w:b/>
                <w:noProof/>
                <w:sz w:val="18"/>
              </w:rPr>
              <w:t>N+2</w:t>
            </w:r>
          </w:p>
        </w:tc>
        <w:tc>
          <w:tcPr>
            <w:tcW w:w="1080" w:type="dxa"/>
            <w:vAlign w:val="center"/>
          </w:tcPr>
          <w:p w14:paraId="194D2317" w14:textId="77777777" w:rsidR="004515FC" w:rsidRPr="00D04088" w:rsidRDefault="004515FC" w:rsidP="0029161D">
            <w:pPr>
              <w:jc w:val="center"/>
              <w:rPr>
                <w:noProof/>
                <w:sz w:val="18"/>
              </w:rPr>
            </w:pPr>
            <w:r w:rsidRPr="00D04088">
              <w:rPr>
                <w:noProof/>
                <w:sz w:val="18"/>
              </w:rPr>
              <w:t>Sena</w:t>
            </w:r>
            <w:r w:rsidRPr="00D04088">
              <w:rPr>
                <w:noProof/>
              </w:rPr>
              <w:t xml:space="preserve"> </w:t>
            </w:r>
            <w:r w:rsidRPr="00D04088">
              <w:rPr>
                <w:noProof/>
              </w:rPr>
              <w:cr/>
            </w:r>
            <w:r w:rsidRPr="00D04088">
              <w:rPr>
                <w:noProof/>
              </w:rPr>
              <w:br/>
            </w:r>
            <w:r w:rsidRPr="00D04088">
              <w:rPr>
                <w:b/>
                <w:noProof/>
                <w:sz w:val="18"/>
              </w:rPr>
              <w:t>N+3</w:t>
            </w:r>
          </w:p>
        </w:tc>
        <w:tc>
          <w:tcPr>
            <w:tcW w:w="3240" w:type="dxa"/>
            <w:gridSpan w:val="3"/>
            <w:vAlign w:val="center"/>
          </w:tcPr>
          <w:p w14:paraId="3F47EAFE" w14:textId="77777777" w:rsidR="004515FC" w:rsidRPr="00D04088" w:rsidRDefault="004515FC" w:rsidP="0029161D">
            <w:pPr>
              <w:jc w:val="center"/>
              <w:rPr>
                <w:b/>
                <w:noProof/>
                <w:sz w:val="18"/>
              </w:rPr>
            </w:pPr>
            <w:r w:rsidRPr="00D04088">
              <w:rPr>
                <w:noProof/>
                <w:sz w:val="18"/>
              </w:rPr>
              <w:t>Daħħal is-snin kollha li hemm bżonn biex turi d-durata tal-impatt (ara l-punt 1.6)</w:t>
            </w:r>
          </w:p>
        </w:tc>
      </w:tr>
      <w:tr w:rsidR="00DB3050" w:rsidRPr="00D04088" w14:paraId="76228619" w14:textId="77777777">
        <w:trPr>
          <w:trHeight w:val="388"/>
        </w:trPr>
        <w:tc>
          <w:tcPr>
            <w:tcW w:w="2144" w:type="dxa"/>
            <w:vAlign w:val="center"/>
          </w:tcPr>
          <w:p w14:paraId="69315E72" w14:textId="77777777" w:rsidR="004515FC" w:rsidRPr="00D04088" w:rsidRDefault="004515FC" w:rsidP="0029161D">
            <w:pPr>
              <w:spacing w:before="40" w:after="40"/>
              <w:rPr>
                <w:noProof/>
                <w:sz w:val="18"/>
              </w:rPr>
            </w:pPr>
            <w:r w:rsidRPr="00D04088">
              <w:rPr>
                <w:noProof/>
                <w:sz w:val="18"/>
              </w:rPr>
              <w:t>Artikolu ………….</w:t>
            </w:r>
          </w:p>
        </w:tc>
        <w:tc>
          <w:tcPr>
            <w:tcW w:w="1325" w:type="dxa"/>
          </w:tcPr>
          <w:p w14:paraId="26012A16" w14:textId="77777777" w:rsidR="004515FC" w:rsidRPr="00D04088" w:rsidRDefault="004515FC" w:rsidP="0029161D">
            <w:pPr>
              <w:spacing w:beforeLines="40" w:before="96" w:afterLines="40" w:after="96"/>
              <w:jc w:val="center"/>
              <w:rPr>
                <w:i/>
                <w:noProof/>
                <w:sz w:val="18"/>
              </w:rPr>
            </w:pPr>
          </w:p>
        </w:tc>
        <w:tc>
          <w:tcPr>
            <w:tcW w:w="1031" w:type="dxa"/>
          </w:tcPr>
          <w:p w14:paraId="15B84C56" w14:textId="77777777" w:rsidR="004515FC" w:rsidRPr="00D04088" w:rsidRDefault="004515FC" w:rsidP="0029161D">
            <w:pPr>
              <w:spacing w:beforeLines="40" w:before="96" w:afterLines="40" w:after="96"/>
              <w:jc w:val="center"/>
              <w:rPr>
                <w:noProof/>
                <w:sz w:val="18"/>
              </w:rPr>
            </w:pPr>
          </w:p>
        </w:tc>
        <w:tc>
          <w:tcPr>
            <w:tcW w:w="900" w:type="dxa"/>
          </w:tcPr>
          <w:p w14:paraId="5A553783" w14:textId="77777777" w:rsidR="004515FC" w:rsidRPr="00D04088" w:rsidRDefault="004515FC" w:rsidP="0029161D">
            <w:pPr>
              <w:spacing w:beforeLines="40" w:before="96" w:afterLines="40" w:after="96"/>
              <w:jc w:val="center"/>
              <w:rPr>
                <w:noProof/>
                <w:sz w:val="18"/>
              </w:rPr>
            </w:pPr>
          </w:p>
        </w:tc>
        <w:tc>
          <w:tcPr>
            <w:tcW w:w="900" w:type="dxa"/>
          </w:tcPr>
          <w:p w14:paraId="123F863E" w14:textId="77777777" w:rsidR="004515FC" w:rsidRPr="00D04088" w:rsidRDefault="004515FC" w:rsidP="0029161D">
            <w:pPr>
              <w:spacing w:beforeLines="40" w:before="96" w:afterLines="40" w:after="96"/>
              <w:jc w:val="center"/>
              <w:rPr>
                <w:noProof/>
                <w:sz w:val="18"/>
              </w:rPr>
            </w:pPr>
          </w:p>
        </w:tc>
        <w:tc>
          <w:tcPr>
            <w:tcW w:w="1080" w:type="dxa"/>
          </w:tcPr>
          <w:p w14:paraId="2A0DB059" w14:textId="77777777" w:rsidR="004515FC" w:rsidRPr="00D04088" w:rsidRDefault="004515FC" w:rsidP="0029161D">
            <w:pPr>
              <w:spacing w:beforeLines="40" w:before="96" w:afterLines="40" w:after="96"/>
              <w:jc w:val="center"/>
              <w:rPr>
                <w:noProof/>
                <w:sz w:val="18"/>
              </w:rPr>
            </w:pPr>
          </w:p>
        </w:tc>
        <w:tc>
          <w:tcPr>
            <w:tcW w:w="1080" w:type="dxa"/>
          </w:tcPr>
          <w:p w14:paraId="6A33062B" w14:textId="77777777" w:rsidR="004515FC" w:rsidRPr="00D04088" w:rsidRDefault="004515FC" w:rsidP="0029161D">
            <w:pPr>
              <w:spacing w:beforeLines="40" w:before="96" w:afterLines="40" w:after="96"/>
              <w:jc w:val="center"/>
              <w:rPr>
                <w:noProof/>
                <w:sz w:val="18"/>
              </w:rPr>
            </w:pPr>
          </w:p>
        </w:tc>
        <w:tc>
          <w:tcPr>
            <w:tcW w:w="1080" w:type="dxa"/>
          </w:tcPr>
          <w:p w14:paraId="42809688" w14:textId="77777777" w:rsidR="004515FC" w:rsidRPr="00D04088" w:rsidRDefault="004515FC" w:rsidP="0029161D">
            <w:pPr>
              <w:spacing w:beforeLines="40" w:before="96" w:afterLines="40" w:after="96"/>
              <w:jc w:val="center"/>
              <w:rPr>
                <w:noProof/>
                <w:sz w:val="18"/>
              </w:rPr>
            </w:pPr>
          </w:p>
        </w:tc>
        <w:tc>
          <w:tcPr>
            <w:tcW w:w="1080" w:type="dxa"/>
          </w:tcPr>
          <w:p w14:paraId="5A1BC35C" w14:textId="77777777" w:rsidR="004515FC" w:rsidRPr="00D04088" w:rsidRDefault="004515FC" w:rsidP="0029161D">
            <w:pPr>
              <w:spacing w:beforeLines="40" w:before="96" w:afterLines="40" w:after="96"/>
              <w:jc w:val="center"/>
              <w:rPr>
                <w:noProof/>
                <w:sz w:val="18"/>
              </w:rPr>
            </w:pPr>
          </w:p>
        </w:tc>
      </w:tr>
    </w:tbl>
    <w:p w14:paraId="257F5995" w14:textId="77777777" w:rsidR="004515FC" w:rsidRPr="00D04088" w:rsidRDefault="004515FC" w:rsidP="004515FC">
      <w:pPr>
        <w:pStyle w:val="Text1"/>
        <w:rPr>
          <w:noProof/>
          <w:sz w:val="20"/>
        </w:rPr>
      </w:pPr>
      <w:r w:rsidRPr="00D04088">
        <w:rPr>
          <w:noProof/>
          <w:sz w:val="20"/>
        </w:rPr>
        <w:t>Għal dħul assenjat, speċifika l-linja/i baġitarja/i tan-nefqa affettwata/i.</w:t>
      </w:r>
    </w:p>
    <w:p w14:paraId="219C5D35"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p>
    <w:p w14:paraId="06B076F3" w14:textId="77777777" w:rsidR="004515FC" w:rsidRPr="00D04088" w:rsidRDefault="004515FC" w:rsidP="004515FC">
      <w:pPr>
        <w:pStyle w:val="Text1"/>
        <w:rPr>
          <w:noProof/>
          <w:sz w:val="20"/>
        </w:rPr>
      </w:pPr>
      <w:r w:rsidRPr="00D04088">
        <w:rPr>
          <w:noProof/>
          <w:sz w:val="20"/>
        </w:rPr>
        <w:t>Rimarki oħra (eż. il-metodu/il-formula li ntużaw biex jiġi kkalkolat l-impatt fuq id-dħul jew kwalunkwe informazzjoni oħra).</w:t>
      </w:r>
    </w:p>
    <w:p w14:paraId="3AD000B3" w14:textId="77777777" w:rsidR="004515FC" w:rsidRPr="00D04088" w:rsidRDefault="004515FC" w:rsidP="004515FC">
      <w:pPr>
        <w:pStyle w:val="Text1"/>
        <w:pBdr>
          <w:top w:val="single" w:sz="4" w:space="1" w:color="auto"/>
          <w:left w:val="single" w:sz="4" w:space="4" w:color="auto"/>
          <w:bottom w:val="single" w:sz="4" w:space="1" w:color="auto"/>
          <w:right w:val="single" w:sz="4" w:space="4" w:color="auto"/>
        </w:pBdr>
        <w:rPr>
          <w:noProof/>
        </w:rPr>
      </w:pPr>
    </w:p>
    <w:p w14:paraId="58B7A440" w14:textId="77777777" w:rsidR="00304682" w:rsidRPr="00D04088" w:rsidRDefault="00304682" w:rsidP="00504069">
      <w:pPr>
        <w:rPr>
          <w:noProof/>
        </w:rPr>
      </w:pPr>
    </w:p>
    <w:sectPr w:rsidR="00304682" w:rsidRPr="00D04088" w:rsidSect="006C097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9CE3" w14:textId="77777777" w:rsidR="009E703A" w:rsidRDefault="009E703A" w:rsidP="00304682">
      <w:pPr>
        <w:spacing w:before="0" w:after="0"/>
      </w:pPr>
      <w:r>
        <w:separator/>
      </w:r>
    </w:p>
  </w:endnote>
  <w:endnote w:type="continuationSeparator" w:id="0">
    <w:p w14:paraId="7B17184B" w14:textId="77777777" w:rsidR="009E703A" w:rsidRDefault="009E703A" w:rsidP="00304682">
      <w:pPr>
        <w:spacing w:before="0" w:after="0"/>
      </w:pPr>
      <w:r>
        <w:continuationSeparator/>
      </w:r>
    </w:p>
  </w:endnote>
  <w:endnote w:type="continuationNotice" w:id="1">
    <w:p w14:paraId="2718DFD6" w14:textId="77777777" w:rsidR="009E703A" w:rsidRDefault="009E7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EUAlbertina">
    <w:altName w:val="Yu Gothic"/>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CBCC" w14:textId="2B83DD55" w:rsidR="006C0976" w:rsidRPr="006C0976" w:rsidRDefault="006C0976" w:rsidP="006C0976">
    <w:pPr>
      <w:pStyle w:val="Footer"/>
      <w:rPr>
        <w:rFonts w:ascii="Arial" w:hAnsi="Arial" w:cs="Arial"/>
        <w:b/>
        <w:sz w:val="48"/>
      </w:rPr>
    </w:pPr>
    <w:r w:rsidRPr="006C0976">
      <w:rPr>
        <w:rFonts w:ascii="Arial" w:hAnsi="Arial" w:cs="Arial"/>
        <w:b/>
        <w:sz w:val="48"/>
      </w:rPr>
      <w:t>MT</w:t>
    </w:r>
    <w:r w:rsidRPr="006C0976">
      <w:rPr>
        <w:rFonts w:ascii="Arial" w:hAnsi="Arial" w:cs="Arial"/>
        <w:b/>
        <w:sz w:val="48"/>
      </w:rPr>
      <w:tab/>
    </w:r>
    <w:r w:rsidRPr="006C0976">
      <w:rPr>
        <w:rFonts w:ascii="Arial" w:hAnsi="Arial" w:cs="Arial"/>
        <w:b/>
        <w:sz w:val="48"/>
      </w:rPr>
      <w:tab/>
    </w:r>
    <w:r w:rsidRPr="006C0976">
      <w:tab/>
    </w:r>
    <w:r w:rsidRPr="006C0976">
      <w:rPr>
        <w:rFonts w:ascii="Arial" w:hAnsi="Arial" w:cs="Arial"/>
        <w:b/>
        <w:sz w:val="48"/>
      </w:rPr>
      <w:t>MT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07C7" w14:textId="7BF82AFA" w:rsidR="006C0976" w:rsidRPr="006C0976" w:rsidRDefault="006C0976" w:rsidP="006C0976">
    <w:pPr>
      <w:pStyle w:val="Footer"/>
      <w:rPr>
        <w:rFonts w:ascii="Arial" w:hAnsi="Arial" w:cs="Arial"/>
        <w:b/>
        <w:sz w:val="48"/>
      </w:rPr>
    </w:pPr>
    <w:r w:rsidRPr="006C0976">
      <w:rPr>
        <w:rFonts w:ascii="Arial" w:hAnsi="Arial" w:cs="Arial"/>
        <w:b/>
        <w:sz w:val="48"/>
      </w:rPr>
      <w:t>MT</w:t>
    </w:r>
    <w:r w:rsidRPr="006C0976">
      <w:rPr>
        <w:rFonts w:ascii="Arial" w:hAnsi="Arial" w:cs="Arial"/>
        <w:b/>
        <w:sz w:val="48"/>
      </w:rPr>
      <w:tab/>
    </w:r>
    <w:r w:rsidRPr="006C0976">
      <w:rPr>
        <w:rFonts w:ascii="Arial" w:hAnsi="Arial" w:cs="Arial"/>
        <w:b/>
        <w:sz w:val="48"/>
      </w:rPr>
      <w:tab/>
    </w:r>
    <w:r w:rsidRPr="006C0976">
      <w:tab/>
    </w:r>
    <w:r w:rsidRPr="006C0976">
      <w:rPr>
        <w:rFonts w:ascii="Arial" w:hAnsi="Arial" w:cs="Arial"/>
        <w:b/>
        <w:sz w:val="48"/>
      </w:rPr>
      <w:t>MT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60BAB" w14:textId="77777777" w:rsidR="006C0976" w:rsidRDefault="006C0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55383" w14:textId="2828088E" w:rsidR="006C0976" w:rsidRPr="006C0976" w:rsidRDefault="006C0976" w:rsidP="006C0976">
    <w:pPr>
      <w:pStyle w:val="Footer"/>
      <w:rPr>
        <w:rFonts w:ascii="Arial" w:hAnsi="Arial" w:cs="Arial"/>
        <w:b/>
        <w:sz w:val="48"/>
      </w:rPr>
    </w:pPr>
    <w:r w:rsidRPr="006C0976">
      <w:rPr>
        <w:rFonts w:ascii="Arial" w:hAnsi="Arial" w:cs="Arial"/>
        <w:b/>
        <w:sz w:val="48"/>
      </w:rPr>
      <w:t>MT</w:t>
    </w:r>
    <w:r w:rsidRPr="006C0976">
      <w:rPr>
        <w:rFonts w:ascii="Arial" w:hAnsi="Arial" w:cs="Arial"/>
        <w:b/>
        <w:sz w:val="48"/>
      </w:rPr>
      <w:tab/>
    </w:r>
    <w:r>
      <w:fldChar w:fldCharType="begin"/>
    </w:r>
    <w:r>
      <w:instrText xml:space="preserve"> PAGE  \* MERGEFORMAT </w:instrText>
    </w:r>
    <w:r>
      <w:fldChar w:fldCharType="separate"/>
    </w:r>
    <w:r w:rsidR="00894374">
      <w:rPr>
        <w:noProof/>
      </w:rPr>
      <w:t>21</w:t>
    </w:r>
    <w:r>
      <w:fldChar w:fldCharType="end"/>
    </w:r>
    <w:r>
      <w:tab/>
    </w:r>
    <w:r w:rsidRPr="006C0976">
      <w:tab/>
    </w:r>
    <w:r w:rsidRPr="006C0976">
      <w:rPr>
        <w:rFonts w:ascii="Arial" w:hAnsi="Arial" w:cs="Arial"/>
        <w:b/>
        <w:sz w:val="48"/>
      </w:rPr>
      <w:t>MT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9810A" w14:textId="77777777" w:rsidR="006C0976" w:rsidRDefault="006C0976" w:rsidP="006C09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5DA1" w14:textId="31CB33EA" w:rsidR="006C0976" w:rsidRPr="006C0976" w:rsidRDefault="006C0976" w:rsidP="006C0976">
    <w:pPr>
      <w:pStyle w:val="FooterLandscape"/>
      <w:rPr>
        <w:rFonts w:ascii="Arial" w:hAnsi="Arial" w:cs="Arial"/>
        <w:b/>
        <w:sz w:val="48"/>
      </w:rPr>
    </w:pPr>
    <w:r w:rsidRPr="006C0976">
      <w:rPr>
        <w:rFonts w:ascii="Arial" w:hAnsi="Arial" w:cs="Arial"/>
        <w:b/>
        <w:sz w:val="48"/>
      </w:rPr>
      <w:t>MT</w:t>
    </w:r>
    <w:r w:rsidRPr="006C097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C0976">
      <w:tab/>
    </w:r>
    <w:r w:rsidRPr="006C0976">
      <w:rPr>
        <w:rFonts w:ascii="Arial" w:hAnsi="Arial" w:cs="Arial"/>
        <w:b/>
        <w:sz w:val="48"/>
      </w:rPr>
      <w:t>MT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F4B9" w14:textId="3653E3B4" w:rsidR="006C0976" w:rsidRPr="006C0976" w:rsidRDefault="006C0976" w:rsidP="006C0976">
    <w:pPr>
      <w:pStyle w:val="Footer"/>
      <w:rPr>
        <w:rFonts w:ascii="Arial" w:hAnsi="Arial" w:cs="Arial"/>
        <w:b/>
        <w:sz w:val="48"/>
      </w:rPr>
    </w:pPr>
    <w:r w:rsidRPr="006C0976">
      <w:rPr>
        <w:rFonts w:ascii="Arial" w:hAnsi="Arial" w:cs="Arial"/>
        <w:b/>
        <w:sz w:val="48"/>
      </w:rPr>
      <w:t>MT</w:t>
    </w:r>
    <w:r w:rsidRPr="006C097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C0976">
      <w:tab/>
    </w:r>
    <w:r w:rsidRPr="006C0976">
      <w:rPr>
        <w:rFonts w:ascii="Arial" w:hAnsi="Arial" w:cs="Arial"/>
        <w:b/>
        <w:sz w:val="48"/>
      </w:rPr>
      <w:t>MT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14FC1" w14:textId="77777777" w:rsidR="009E703A" w:rsidRDefault="009E703A" w:rsidP="00304682">
      <w:pPr>
        <w:spacing w:before="0" w:after="0"/>
      </w:pPr>
      <w:r>
        <w:separator/>
      </w:r>
    </w:p>
  </w:footnote>
  <w:footnote w:type="continuationSeparator" w:id="0">
    <w:p w14:paraId="6FC8369E" w14:textId="77777777" w:rsidR="009E703A" w:rsidRDefault="009E703A" w:rsidP="00304682">
      <w:pPr>
        <w:spacing w:before="0" w:after="0"/>
      </w:pPr>
      <w:r>
        <w:continuationSeparator/>
      </w:r>
    </w:p>
  </w:footnote>
  <w:footnote w:type="continuationNotice" w:id="1">
    <w:p w14:paraId="4685CCA8" w14:textId="77777777" w:rsidR="009E703A" w:rsidRDefault="009E703A">
      <w:pPr>
        <w:spacing w:before="0" w:after="0"/>
      </w:pPr>
    </w:p>
  </w:footnote>
  <w:footnote w:id="2">
    <w:p w14:paraId="41D3C8F1" w14:textId="5CD7E8C6" w:rsidR="0071192F" w:rsidRPr="00832AF8" w:rsidRDefault="0071192F" w:rsidP="0071192F">
      <w:pPr>
        <w:pStyle w:val="FootnoteText"/>
      </w:pPr>
      <w:r>
        <w:rPr>
          <w:rStyle w:val="FootnoteReference0"/>
        </w:rPr>
        <w:footnoteRef/>
      </w:r>
      <w:r>
        <w:tab/>
        <w:t xml:space="preserve">Id-Direttiva tal-Kunsill (UE) 2015/637 tal-20 ta’ April 2015 dwar il-miżuri ta’ koordinazzjoni u kooperazzjoni biex tiġi ffaċilitata l-protezzjoni konsulari għal ċittadini mhux rappreżentati tal-Unjoni f’pajjiżi terzi u li tħassar id-Deċiżjoni 95/553/KE (ĠU L 106, 24.4.2015, p. 1, ELI: </w:t>
      </w:r>
      <w:hyperlink r:id="rId1" w:tooltip="Jagħti aċċess għal dan id-dokument permezz tal-ELI URI tiegħu." w:history="1">
        <w:r>
          <w:rPr>
            <w:rStyle w:val="Hyperlink"/>
          </w:rPr>
          <w:t>http://data.europa.eu/eli/dir/2015/637/oj</w:t>
        </w:r>
      </w:hyperlink>
      <w:r>
        <w:t>).</w:t>
      </w:r>
    </w:p>
  </w:footnote>
  <w:footnote w:id="3">
    <w:p w14:paraId="74D0A070" w14:textId="69625D92" w:rsidR="00BA6AED" w:rsidRPr="005652A6" w:rsidRDefault="00BA6AED" w:rsidP="005652A6">
      <w:pPr>
        <w:pStyle w:val="FootnoteText"/>
      </w:pPr>
      <w:r>
        <w:rPr>
          <w:rStyle w:val="FootnoteReference0"/>
        </w:rPr>
        <w:footnoteRef/>
      </w:r>
      <w:r>
        <w:tab/>
        <w:t xml:space="preserve">Id-Deċiżjoni 95/553/KE tar-Rappreżentanti tal-gvernijiet ta’ l-Istati Membri li jiltaqgħu fi ħdan il-Kunsill tad-19 ta’ Diċembru 1995 rigward il-protezzjoni ta’ ċittadini tal-Unjoni Ewropea minn rappreżentazzjonijiet diplomatiċi u konsulari (ĠU L 314, 28.12.1995, p. 73, ELI: </w:t>
      </w:r>
      <w:hyperlink r:id="rId2" w:tooltip="Jagħti aċċess għal dan id-dokument permezz tal-ELI URI tiegħu." w:history="1">
        <w:r>
          <w:rPr>
            <w:rStyle w:val="Hyperlink"/>
          </w:rPr>
          <w:t>http://data.europa.eu/eli/dec/1995/553/oj</w:t>
        </w:r>
      </w:hyperlink>
      <w:r>
        <w:t>).</w:t>
      </w:r>
    </w:p>
  </w:footnote>
  <w:footnote w:id="4">
    <w:p w14:paraId="02A7CF32" w14:textId="36B70113" w:rsidR="0071192F" w:rsidRPr="00832AF8" w:rsidRDefault="0071192F" w:rsidP="0071192F">
      <w:pPr>
        <w:pStyle w:val="FootnoteText"/>
      </w:pPr>
      <w:r>
        <w:rPr>
          <w:rStyle w:val="FootnoteReference0"/>
        </w:rPr>
        <w:footnoteRef/>
      </w:r>
      <w:r>
        <w:tab/>
        <w:t>L-Artikolu 17(1) tad-Direttiva.</w:t>
      </w:r>
    </w:p>
  </w:footnote>
  <w:footnote w:id="5">
    <w:p w14:paraId="7AC450DB" w14:textId="2741AD16" w:rsidR="00563599" w:rsidRPr="00832AF8" w:rsidRDefault="00563599" w:rsidP="00563599">
      <w:pPr>
        <w:pStyle w:val="FootnoteText"/>
      </w:pPr>
      <w:r>
        <w:rPr>
          <w:rStyle w:val="FootnoteReference0"/>
        </w:rPr>
        <w:footnoteRef/>
      </w:r>
      <w:r>
        <w:tab/>
      </w:r>
      <w:hyperlink r:id="rId3" w:history="1">
        <w:r>
          <w:rPr>
            <w:rStyle w:val="Hyperlink"/>
          </w:rPr>
          <w:t>COM(2020) 690 final</w:t>
        </w:r>
      </w:hyperlink>
      <w:r>
        <w:t>.</w:t>
      </w:r>
    </w:p>
  </w:footnote>
  <w:footnote w:id="6">
    <w:p w14:paraId="585EDB65" w14:textId="5C9E9FEC" w:rsidR="00D72BBB" w:rsidRPr="00832AF8" w:rsidRDefault="00D72BBB" w:rsidP="00D72BBB">
      <w:pPr>
        <w:pStyle w:val="FootnoteText"/>
      </w:pPr>
      <w:r>
        <w:rPr>
          <w:rStyle w:val="FootnoteReference0"/>
        </w:rPr>
        <w:footnoteRef/>
      </w:r>
      <w:r>
        <w:tab/>
        <w:t>Il-Komunikazzjoni mill-Kummissjoni lill-Parlament Ewropew, lill-Kunsill, lill-Kumitat Ekonomiku u Soċjali Ewropew u lill-Kumitat tar-Reġjuni: Il-Konferenza dwar il-Futur tal-Ewropa – Naqilbu l-Viżjoni f’Azzjoni Konkreta (</w:t>
      </w:r>
      <w:hyperlink r:id="rId4" w:history="1">
        <w:r>
          <w:rPr>
            <w:rStyle w:val="Hyperlink"/>
          </w:rPr>
          <w:t>COM(2022) 404 final u l-Anness</w:t>
        </w:r>
      </w:hyperlink>
      <w:r>
        <w:t>).</w:t>
      </w:r>
    </w:p>
  </w:footnote>
  <w:footnote w:id="7">
    <w:p w14:paraId="4A138995" w14:textId="51CC4E64" w:rsidR="00563599" w:rsidRPr="00832AF8" w:rsidRDefault="00563599" w:rsidP="00563599">
      <w:pPr>
        <w:pStyle w:val="FootnoteText"/>
      </w:pPr>
      <w:r>
        <w:rPr>
          <w:rStyle w:val="FootnoteReference0"/>
        </w:rPr>
        <w:footnoteRef/>
      </w:r>
      <w:r>
        <w:tab/>
      </w:r>
      <w:hyperlink r:id="rId5" w:history="1">
        <w:r>
          <w:rPr>
            <w:rStyle w:val="Hyperlink"/>
          </w:rPr>
          <w:t>ST 7371/22</w:t>
        </w:r>
      </w:hyperlink>
      <w:r>
        <w:t>.</w:t>
      </w:r>
    </w:p>
  </w:footnote>
  <w:footnote w:id="8">
    <w:p w14:paraId="6A91F570" w14:textId="21E30D52" w:rsidR="00ED5E1B" w:rsidRPr="00832AF8" w:rsidRDefault="00ED5E1B" w:rsidP="00ED5E1B">
      <w:pPr>
        <w:pStyle w:val="FootnoteText"/>
      </w:pPr>
      <w:r>
        <w:rPr>
          <w:rStyle w:val="FootnoteReference0"/>
        </w:rPr>
        <w:footnoteRef/>
      </w:r>
      <w:r>
        <w:tab/>
        <w:t xml:space="preserve">Bi tweġiba għal dan, f’Lulju 2022 inħoloq iċ-Ċentru ta’ Rispons għall-Kriżijiet (Crisis Response Centre, CRC) tas-SEAE bħala l-kapaċità permanenti tas-SEAE għar-rispons għall-kriżijiet, li jikkoordina maċ-ċelluli tal-kriżijiet tal-istituzzjonijiet tal-Unjoni, tal-Istati Membri u tas-sħab. </w:t>
      </w:r>
    </w:p>
  </w:footnote>
  <w:footnote w:id="9">
    <w:p w14:paraId="7C81C17F" w14:textId="7DAE1D2F" w:rsidR="003E4460" w:rsidRPr="003E4460" w:rsidRDefault="003E4460">
      <w:pPr>
        <w:pStyle w:val="FootnoteText"/>
      </w:pPr>
      <w:r>
        <w:rPr>
          <w:rStyle w:val="FootnoteReference0"/>
        </w:rPr>
        <w:footnoteRef/>
      </w:r>
      <w:r>
        <w:tab/>
        <w:t>Ir-Rapport tal-Kummissjoni lill-Parlament Ewropew u lill-Kunsill dwar l-implimentazzjoni u l-applikazzjoni tad-Direttiva tal-Kunsill (UE) 2015/637 tal-20 ta’ April 2015 dwar il-miżuri ta’ koordinazzjoni u kooperazzjoni biex tiġi ffaċilitata l-protezzjoni konsulari għal ċittadini mhux rappreżentati tal-Unjoni f’pajjiżi terzi u li tħassar id-Deċiżjoni 95/553/KE (</w:t>
      </w:r>
      <w:hyperlink r:id="rId6" w:history="1">
        <w:r>
          <w:rPr>
            <w:rStyle w:val="Hyperlink"/>
          </w:rPr>
          <w:t>COM(2022) 437 final</w:t>
        </w:r>
      </w:hyperlink>
      <w:r>
        <w:t>).</w:t>
      </w:r>
    </w:p>
  </w:footnote>
  <w:footnote w:id="10">
    <w:p w14:paraId="11B24A15" w14:textId="0E15DE2C" w:rsidR="00906339" w:rsidRPr="00587507" w:rsidRDefault="00906339">
      <w:pPr>
        <w:pStyle w:val="FootnoteText"/>
      </w:pPr>
      <w:r>
        <w:rPr>
          <w:rStyle w:val="FootnoteReference0"/>
        </w:rPr>
        <w:footnoteRef/>
      </w:r>
      <w:r>
        <w:tab/>
        <w:t>Ara wkoll il-Presidenza Konġunta u d-dokument tas-SEAE dwar it-Timijiet Konsulari Konġunti (</w:t>
      </w:r>
      <w:hyperlink r:id="rId7" w:history="1">
        <w:r>
          <w:rPr>
            <w:rStyle w:val="Hyperlink"/>
          </w:rPr>
          <w:t>ST 13619/20</w:t>
        </w:r>
      </w:hyperlink>
      <w:r>
        <w:t>).</w:t>
      </w:r>
    </w:p>
  </w:footnote>
  <w:footnote w:id="11">
    <w:p w14:paraId="753CB355" w14:textId="77777777" w:rsidR="00B32D20" w:rsidRPr="00D523E9" w:rsidRDefault="00B32D20" w:rsidP="00B32D20">
      <w:pPr>
        <w:pStyle w:val="FootnoteText"/>
      </w:pPr>
      <w:r>
        <w:rPr>
          <w:rStyle w:val="FootnoteReference0"/>
        </w:rPr>
        <w:footnoteRef/>
      </w:r>
      <w:r>
        <w:tab/>
        <w:t xml:space="preserve">Id-Direttiva tal-Kunsill (UE) 2019/997 tat-18 ta’ Ġunju 2019 li tistabbilixxi Dokument Provviżorju tal-Ivvjaġġar tal-UE u li tħassar id-Deċiżjoni 96/409/PESK (ĠU L 163, 20.6.2019, p. 1, ELI: </w:t>
      </w:r>
      <w:hyperlink r:id="rId8" w:tooltip="Jagħti aċċess għal dan id-dokument permezz tal-ELI URI tiegħu." w:history="1">
        <w:r>
          <w:rPr>
            <w:rStyle w:val="Hyperlink"/>
          </w:rPr>
          <w:t>http://data.europa.eu/eli/dir/2019/997/oj</w:t>
        </w:r>
      </w:hyperlink>
      <w:r>
        <w:t>).</w:t>
      </w:r>
    </w:p>
  </w:footnote>
  <w:footnote w:id="12">
    <w:p w14:paraId="40171149" w14:textId="0756E258" w:rsidR="00464A03" w:rsidRPr="00464A03" w:rsidRDefault="00464A03" w:rsidP="00464A03">
      <w:pPr>
        <w:pStyle w:val="FootnoteText"/>
      </w:pPr>
      <w:r>
        <w:rPr>
          <w:rStyle w:val="FootnoteReference0"/>
        </w:rPr>
        <w:footnoteRef/>
      </w:r>
      <w:r>
        <w:tab/>
        <w:t xml:space="preserve">Id-Deċiżjoni tal-Kunsill 2010/427/UE tas-26 ta’ Lulju 2010 li tistabbilixxi l-organizzazzjoni u l-funzjonament tas-Servizz Ewropew għall-Azzjoni Esterna (ĠU L 201, 3.8.2010, p. 30, ELI: </w:t>
      </w:r>
      <w:hyperlink r:id="rId9" w:tooltip="Jagħti aċċess għal dan id-dokument permezz tal-ELI URI tiegħu." w:history="1">
        <w:r>
          <w:rPr>
            <w:rStyle w:val="Hyperlink"/>
          </w:rPr>
          <w:t>http://data.europa.eu/eli/dec/2010/427/oj</w:t>
        </w:r>
      </w:hyperlink>
      <w:r>
        <w:t>).</w:t>
      </w:r>
    </w:p>
  </w:footnote>
  <w:footnote w:id="13">
    <w:p w14:paraId="4FFEF616" w14:textId="7CE60F99" w:rsidR="005E547D" w:rsidRPr="002D50E6" w:rsidRDefault="005E547D" w:rsidP="002D50E6">
      <w:pPr>
        <w:pStyle w:val="FootnoteText"/>
      </w:pPr>
      <w:r>
        <w:rPr>
          <w:rStyle w:val="FootnoteReference0"/>
        </w:rPr>
        <w:footnoteRef/>
      </w:r>
      <w:r>
        <w:tab/>
        <w:t xml:space="preserve">Id-Deċiżjoni Nru 1313/2013/UE tal-Parlament Ewropew u tal-Kunsill tas-17 ta’ Diċembru 2013 dwar Mekkaniżmu tal-Unjoni għall-Protezzjoni Ċivili (ĠU L 347, 20.12.2013, p. 924, ELI: </w:t>
      </w:r>
      <w:hyperlink r:id="rId10" w:tooltip="Jagħti aċċess għal dan id-dokument permezz tal-ELI URI tiegħu." w:history="1">
        <w:r>
          <w:rPr>
            <w:rStyle w:val="Hyperlink"/>
          </w:rPr>
          <w:t>http://data.europa.eu/eli/dec/2013/1313/oj</w:t>
        </w:r>
      </w:hyperlink>
      <w:r>
        <w:t>).</w:t>
      </w:r>
    </w:p>
  </w:footnote>
  <w:footnote w:id="14">
    <w:p w14:paraId="0333784C" w14:textId="77777777" w:rsidR="0089770B" w:rsidRPr="002D50E6" w:rsidRDefault="0089770B" w:rsidP="0089770B">
      <w:pPr>
        <w:pStyle w:val="FootnoteText"/>
      </w:pPr>
      <w:r>
        <w:rPr>
          <w:rStyle w:val="FootnoteReference0"/>
        </w:rPr>
        <w:footnoteRef/>
      </w:r>
      <w:r>
        <w:tab/>
        <w:t xml:space="preserve">Disponibbli fuq: </w:t>
      </w:r>
      <w:hyperlink r:id="rId11" w:history="1">
        <w:r>
          <w:rPr>
            <w:rStyle w:val="Hyperlink"/>
          </w:rPr>
          <w:t>https://legal.un.org/ilc/texts/instruments/english/conventions/9_2_1963.pdf</w:t>
        </w:r>
      </w:hyperlink>
      <w:r>
        <w:t xml:space="preserve"> </w:t>
      </w:r>
    </w:p>
  </w:footnote>
  <w:footnote w:id="15">
    <w:p w14:paraId="069A763B" w14:textId="21717D6A" w:rsidR="0040525C" w:rsidRPr="00816FCA" w:rsidRDefault="0040525C" w:rsidP="0040525C">
      <w:pPr>
        <w:pStyle w:val="FootnoteText"/>
      </w:pPr>
      <w:r>
        <w:rPr>
          <w:rStyle w:val="FootnoteReference0"/>
        </w:rPr>
        <w:footnoteRef/>
      </w:r>
      <w:r>
        <w:tab/>
        <w:t>SWD(2023) 941 final.</w:t>
      </w:r>
    </w:p>
  </w:footnote>
  <w:footnote w:id="16">
    <w:p w14:paraId="689AA7F7" w14:textId="6A2FD46D" w:rsidR="00A835CB" w:rsidRPr="00976793" w:rsidRDefault="00A835CB">
      <w:pPr>
        <w:pStyle w:val="FootnoteText"/>
      </w:pPr>
      <w:r>
        <w:rPr>
          <w:rStyle w:val="FootnoteReference0"/>
        </w:rPr>
        <w:footnoteRef/>
      </w:r>
      <w:r>
        <w:tab/>
      </w:r>
      <w:hyperlink r:id="rId12" w:history="1">
        <w:r>
          <w:rPr>
            <w:rStyle w:val="Hyperlink"/>
          </w:rPr>
          <w:t>ST 15876/22</w:t>
        </w:r>
      </w:hyperlink>
      <w:r>
        <w:t>.</w:t>
      </w:r>
    </w:p>
  </w:footnote>
  <w:footnote w:id="17">
    <w:p w14:paraId="694ED5A7" w14:textId="7862042F" w:rsidR="009C14D2" w:rsidRPr="001F5285" w:rsidRDefault="009C14D2">
      <w:pPr>
        <w:pStyle w:val="FootnoteText"/>
      </w:pPr>
      <w:r>
        <w:rPr>
          <w:rStyle w:val="FootnoteReference0"/>
        </w:rPr>
        <w:footnoteRef/>
      </w:r>
      <w:r>
        <w:tab/>
        <w:t>Il-Costa Rica, l-Etjopja, Fiġi, il-Montenegro u r-Russja.</w:t>
      </w:r>
    </w:p>
  </w:footnote>
  <w:footnote w:id="18">
    <w:p w14:paraId="102A9CF5" w14:textId="0690E916" w:rsidR="000E75BA" w:rsidRPr="00832AF8" w:rsidRDefault="000E75BA" w:rsidP="000E75BA">
      <w:pPr>
        <w:pStyle w:val="FootnoteText"/>
      </w:pPr>
      <w:r>
        <w:rPr>
          <w:rStyle w:val="FootnoteReference0"/>
        </w:rPr>
        <w:footnoteRef/>
      </w:r>
      <w:r>
        <w:tab/>
      </w:r>
      <w:hyperlink r:id="rId13" w:history="1">
        <w:r>
          <w:rPr>
            <w:rStyle w:val="Hyperlink"/>
          </w:rPr>
          <w:t>Flash Eurobarometer 485</w:t>
        </w:r>
      </w:hyperlink>
      <w:r>
        <w:t xml:space="preserve">: Iċ-Ċittadinanza tal-UE u d-Demokrazija; Frar/Marzu 2020; </w:t>
      </w:r>
      <w:r>
        <w:rPr>
          <w:rStyle w:val="Hyperlink"/>
        </w:rPr>
        <w:t xml:space="preserve">. </w:t>
      </w:r>
    </w:p>
  </w:footnote>
  <w:footnote w:id="19">
    <w:p w14:paraId="7533837C" w14:textId="39B3A371" w:rsidR="00453B8A" w:rsidRPr="00870896" w:rsidRDefault="00453B8A">
      <w:pPr>
        <w:pStyle w:val="FootnoteText"/>
      </w:pPr>
      <w:r>
        <w:rPr>
          <w:rStyle w:val="FootnoteReference0"/>
        </w:rPr>
        <w:footnoteRef/>
      </w:r>
      <w:r>
        <w:tab/>
      </w:r>
      <w:hyperlink r:id="rId14" w:history="1">
        <w:r>
          <w:rPr>
            <w:rStyle w:val="Hyperlink"/>
          </w:rPr>
          <w:t>Flash Eurobarometer 528</w:t>
        </w:r>
      </w:hyperlink>
      <w:r>
        <w:t>: Iċ-Ċittadinanza u d-Demokrazija, April/Mejju 2023.</w:t>
      </w:r>
    </w:p>
  </w:footnote>
  <w:footnote w:id="20">
    <w:p w14:paraId="4DD40E89" w14:textId="6E1F48AB" w:rsidR="003B5B49" w:rsidRPr="009902E3" w:rsidRDefault="003B5B49" w:rsidP="00E73439">
      <w:pPr>
        <w:pStyle w:val="FootnoteText"/>
      </w:pPr>
      <w:r>
        <w:rPr>
          <w:rStyle w:val="FootnoteReference0"/>
        </w:rPr>
        <w:footnoteRef/>
      </w:r>
      <w:r>
        <w:tab/>
        <w:t>Ir-Rapport tal-Kummissjoni lill-Parlament Ewropew, lill-Kunsill, lill-Kumitat Ekonomiku u Soċjali Ewropew u lill-Kumitat tar-Reġjuni – Rapport dwar iċ-Ċittadinanza tal-UE tal-2020 – Responsabilizzazzjoni taċ-ċittadini u protezzjoni tad-drittijiet tagħhom (</w:t>
      </w:r>
      <w:hyperlink r:id="rId15" w:history="1">
        <w:r>
          <w:rPr>
            <w:rStyle w:val="Hyperlink"/>
          </w:rPr>
          <w:t>COM(2020) 730 final</w:t>
        </w:r>
      </w:hyperlink>
      <w:r>
        <w:t>).</w:t>
      </w:r>
    </w:p>
  </w:footnote>
  <w:footnote w:id="21">
    <w:p w14:paraId="5B3E8C10" w14:textId="614D36CE" w:rsidR="00B75B61" w:rsidRPr="00816FCA" w:rsidRDefault="00B75B61">
      <w:pPr>
        <w:pStyle w:val="FootnoteText"/>
      </w:pPr>
      <w:r>
        <w:rPr>
          <w:rStyle w:val="FootnoteReference0"/>
        </w:rPr>
        <w:footnoteRef/>
      </w:r>
      <w:r>
        <w:tab/>
      </w:r>
      <w:hyperlink r:id="rId16" w:history="1">
        <w:r>
          <w:rPr>
            <w:rStyle w:val="Hyperlink"/>
          </w:rPr>
          <w:t>Studju li jappoġġa l-valutazzjoni tal-impatt</w:t>
        </w:r>
      </w:hyperlink>
      <w:r>
        <w:t>, kif ukoll l-</w:t>
      </w:r>
      <w:hyperlink r:id="rId17" w:history="1">
        <w:r>
          <w:rPr>
            <w:rStyle w:val="Hyperlink"/>
          </w:rPr>
          <w:t>annessi</w:t>
        </w:r>
      </w:hyperlink>
      <w:r>
        <w:t xml:space="preserve"> tiegħu.</w:t>
      </w:r>
    </w:p>
  </w:footnote>
  <w:footnote w:id="22">
    <w:p w14:paraId="09902A0B" w14:textId="0BE6A4D0" w:rsidR="00EC5960" w:rsidRPr="00816FCA" w:rsidRDefault="00EC5960" w:rsidP="00EC5960">
      <w:pPr>
        <w:pStyle w:val="FootnoteText"/>
      </w:pPr>
      <w:r>
        <w:rPr>
          <w:rStyle w:val="FootnoteReference0"/>
        </w:rPr>
        <w:footnoteRef/>
      </w:r>
      <w:r>
        <w:tab/>
        <w:t>SWD(2023) 941 final.</w:t>
      </w:r>
    </w:p>
  </w:footnote>
  <w:footnote w:id="23">
    <w:p w14:paraId="7AA98E82" w14:textId="1B4765EB" w:rsidR="0024624A" w:rsidRPr="00816FCA" w:rsidRDefault="0024624A" w:rsidP="0024624A">
      <w:pPr>
        <w:pStyle w:val="FootnoteText"/>
      </w:pPr>
      <w:r>
        <w:rPr>
          <w:rStyle w:val="FootnoteReference0"/>
        </w:rPr>
        <w:footnoteRef/>
      </w:r>
      <w:r>
        <w:tab/>
        <w:t>SEC(2023) 930.</w:t>
      </w:r>
    </w:p>
  </w:footnote>
  <w:footnote w:id="24">
    <w:p w14:paraId="55CCF900" w14:textId="77777777" w:rsidR="008360A0" w:rsidRPr="008360A0" w:rsidRDefault="008360A0" w:rsidP="001831D5">
      <w:pPr>
        <w:pStyle w:val="FootnoteText"/>
      </w:pPr>
      <w:r>
        <w:rPr>
          <w:rStyle w:val="FootnoteReference0"/>
        </w:rPr>
        <w:footnoteRef/>
      </w:r>
      <w:r>
        <w:tab/>
        <w:t xml:space="preserve">Ara, pereżempju, is-sentenza tas-17 ta’ Ottubru 2013, </w:t>
      </w:r>
      <w:r>
        <w:rPr>
          <w:i/>
        </w:rPr>
        <w:t>Schwarz</w:t>
      </w:r>
      <w:r>
        <w:t xml:space="preserve">, C-291/12, EU:C:2013:670. </w:t>
      </w:r>
    </w:p>
  </w:footnote>
  <w:footnote w:id="25">
    <w:p w14:paraId="337964DE" w14:textId="1DE25057" w:rsidR="009618EB" w:rsidRPr="009618EB" w:rsidRDefault="009618EB">
      <w:pPr>
        <w:pStyle w:val="FootnoteText"/>
      </w:pPr>
      <w:r>
        <w:rPr>
          <w:rStyle w:val="FootnoteReference0"/>
        </w:rPr>
        <w:footnoteRef/>
      </w:r>
      <w:r>
        <w:tab/>
        <w:t xml:space="preserve">Ir-Regolament (UE) 2016/679 tal-Parlament Ewropew u tal-Kunsill tas-27 ta’ April 2016 dwar il-protezzjoni tal-persuni fiżiċi fir-rigward tal-ipproċessar ta’ data personali u dwar il-moviment liberu ta’ tali data, u li jħassar id-Direttiva 95/46/KE (Regolament Ġenerali dwar il-Protezzjoni tad-Data)(ĠU L 119, 4.5.2016, p. 1, ELI: </w:t>
      </w:r>
      <w:hyperlink r:id="rId18" w:tooltip="Jagħti aċċess għal dan id-dokument permezz tal-ELI URI tiegħu." w:history="1">
        <w:r>
          <w:rPr>
            <w:rStyle w:val="Hyperlink"/>
          </w:rPr>
          <w:t>http://data.europa.eu/eli/reg/2016/679/oj</w:t>
        </w:r>
      </w:hyperlink>
      <w:r>
        <w:t xml:space="preserve">) u r-Regolament (UE) 2018/1725 tal-Parlament Ewropew u tal-Kunsill tat-23 ta’ Ottubru 2018 dwar il-protezzjoni ta’ persuni fiżiċi fir-rigward tal-ipproċessar ta’ </w:t>
      </w:r>
      <w:r>
        <w:rPr>
          <w:i/>
          <w:iCs/>
        </w:rPr>
        <w:t>data</w:t>
      </w:r>
      <w:r>
        <w:t xml:space="preserve"> personali mill-istituzzjonijiet, korpi, uffiċċji u aġenziji tal-Unjoni u dwar il-moviment liberu ta’ tali </w:t>
      </w:r>
      <w:r>
        <w:rPr>
          <w:i/>
          <w:iCs/>
        </w:rPr>
        <w:t>data</w:t>
      </w:r>
      <w:r>
        <w:t xml:space="preserve">, u li jħassar ir-Regolament (KE) Nru 45/2001 u d-Deċiżjoni Nru 1247/2002/KE (ĠU L 295, 21.11.2018, p. 39, ELI: </w:t>
      </w:r>
      <w:hyperlink r:id="rId19" w:tooltip="Jagħti aċċess għal dan id-dokument permezz tal-ELI URI tiegħu." w:history="1">
        <w:r>
          <w:rPr>
            <w:rStyle w:val="Hyperlink"/>
          </w:rPr>
          <w:t>http://data.europa.eu/eli/reg/2018/1725/oj</w:t>
        </w:r>
      </w:hyperlink>
      <w:r>
        <w:t>).</w:t>
      </w:r>
    </w:p>
  </w:footnote>
  <w:footnote w:id="26">
    <w:p w14:paraId="531F79C1" w14:textId="2331CC11" w:rsidR="00901DFA" w:rsidRPr="0010566E" w:rsidRDefault="00901DFA" w:rsidP="00901DFA">
      <w:pPr>
        <w:pStyle w:val="FootnoteText"/>
      </w:pPr>
      <w:r w:rsidRPr="00C61456">
        <w:rPr>
          <w:rStyle w:val="FootnoteReference0"/>
        </w:rPr>
        <w:footnoteRef/>
      </w:r>
      <w:r w:rsidR="00C61456">
        <w:tab/>
      </w:r>
      <w:r>
        <w:t xml:space="preserve">Id-Deċiżjoni 96/409/PESK tar-Rappreżentanti tal-Gvernijiet tal-Istati Membri fil-Kunsill tal-25 ta’ Ġunju 1996 dwar l-istabbiliment ta’ dokument provviżorju tal-ivvjaġġar (ĠU L 168, 6.7.1996, p. 4, ELI: </w:t>
      </w:r>
      <w:hyperlink r:id="rId20" w:tooltip="Jagħti aċċess għal dan id-dokument permezz tal-ELI URI tiegħu." w:history="1">
        <w:r>
          <w:rPr>
            <w:rStyle w:val="Hyperlink"/>
          </w:rPr>
          <w:t>http://data.europa.eu/eli/dec/1996/409/oj</w:t>
        </w:r>
      </w:hyperlink>
      <w:r>
        <w:t>).</w:t>
      </w:r>
    </w:p>
  </w:footnote>
  <w:footnote w:id="27">
    <w:p w14:paraId="798ECA89" w14:textId="4E6F952A" w:rsidR="004A076F" w:rsidRPr="0048515B" w:rsidRDefault="004A076F" w:rsidP="004A076F">
      <w:pPr>
        <w:pStyle w:val="FootnoteText"/>
      </w:pPr>
      <w:r>
        <w:rPr>
          <w:rStyle w:val="FootnoteReference0"/>
        </w:rPr>
        <w:footnoteRef/>
      </w:r>
      <w:r>
        <w:tab/>
        <w:t xml:space="preserve">Ir-Rakkomandazzjoni tal-Kummissjoni C(2007) 5841 tal-5 ta’ Diċembru 2007 dwar ir-riproduzzjoni tat-test tal-Artikolu 20 TKE fil-passaporti (ĠU L 118, 6.5.2008, p. 30, ELI: </w:t>
      </w:r>
      <w:hyperlink r:id="rId21" w:tooltip="Jagħti aċċess għal dan id-dokument permezz tal-ELI URI tiegħu." w:history="1">
        <w:r>
          <w:rPr>
            <w:rStyle w:val="Hyperlink"/>
          </w:rPr>
          <w:t>http://data.europa.eu/eli/reco/2008/355/oj</w:t>
        </w:r>
      </w:hyperlink>
      <w:r>
        <w:t>).</w:t>
      </w:r>
    </w:p>
  </w:footnote>
  <w:footnote w:id="28">
    <w:p w14:paraId="75FCD969" w14:textId="77777777" w:rsidR="00304682" w:rsidRPr="00C33759" w:rsidRDefault="00304682">
      <w:pPr>
        <w:pStyle w:val="FootnoteText"/>
      </w:pPr>
      <w:r>
        <w:rPr>
          <w:rStyle w:val="FootnoteReference0"/>
        </w:rPr>
        <w:footnoteRef/>
      </w:r>
      <w:r>
        <w:tab/>
        <w:t>ĠU C […], […], p. […].</w:t>
      </w:r>
    </w:p>
  </w:footnote>
  <w:footnote w:id="29">
    <w:p w14:paraId="002D83DD" w14:textId="1AAA101E" w:rsidR="00B317D6" w:rsidRPr="00B633B2" w:rsidRDefault="00B317D6">
      <w:pPr>
        <w:pStyle w:val="FootnoteText"/>
      </w:pPr>
      <w:r>
        <w:rPr>
          <w:rStyle w:val="FootnoteReference0"/>
        </w:rPr>
        <w:footnoteRef/>
      </w:r>
      <w:r>
        <w:tab/>
        <w:t xml:space="preserve">Id-Direttiva tal-Kunsill (UE) 2015/637 tal-20 ta’ April 2015 dwar il-miżuri ta’ koordinazzjoni u kooperazzjoni biex tiġi ffaċilitata l-protezzjoni konsulari għal ċittadini mhux rappreżentati tal-Unjoni f’pajjiżi terzi u li tħassar id-Deċiżjoni 95/553/KE (ĠU L 106, 24.4.2015, p. 1, ELI: </w:t>
      </w:r>
      <w:hyperlink r:id="rId22" w:tooltip="Jagħti aċċess għal dan id-dokument permezz tal-ELI URI tiegħu." w:history="1">
        <w:r>
          <w:rPr>
            <w:rStyle w:val="Hyperlink"/>
          </w:rPr>
          <w:t>http://data.europa.eu/eli/dir/2015/637/oj</w:t>
        </w:r>
      </w:hyperlink>
      <w:r>
        <w:t>).</w:t>
      </w:r>
    </w:p>
  </w:footnote>
  <w:footnote w:id="30">
    <w:p w14:paraId="42D1CC4E" w14:textId="4161E47E" w:rsidR="000A6E9C" w:rsidRPr="00D523E9" w:rsidRDefault="000A6E9C" w:rsidP="00D523E9">
      <w:pPr>
        <w:pStyle w:val="FootnoteText"/>
      </w:pPr>
      <w:r>
        <w:rPr>
          <w:rStyle w:val="FootnoteReference0"/>
        </w:rPr>
        <w:footnoteRef/>
      </w:r>
      <w:r>
        <w:tab/>
        <w:t xml:space="preserve">Id-Direttiva tal-Kunsill (UE) 2019/997 tat-18 ta’ Ġunju 2019 li tistabbilixxi Dokument Provviżorju tal-Ivvjaġġar tal-UE u li tħassar id-Deċiżjoni 96/409/PESK (ĠU L 163, 20.6.2019, p. 1, ELI: </w:t>
      </w:r>
      <w:hyperlink r:id="rId23" w:tooltip="Jagħti aċċess għal dan id-dokument permezz tal-ELI URI tiegħu." w:history="1">
        <w:r>
          <w:rPr>
            <w:rStyle w:val="Hyperlink"/>
          </w:rPr>
          <w:t>http://data.europa.eu/eli/dir/2019/997/oj</w:t>
        </w:r>
      </w:hyperlink>
      <w:r>
        <w:t>).</w:t>
      </w:r>
    </w:p>
  </w:footnote>
  <w:footnote w:id="31">
    <w:p w14:paraId="0597AE1F" w14:textId="40E908A1" w:rsidR="00C41CE1" w:rsidRPr="00464A03" w:rsidRDefault="00C41CE1" w:rsidP="00C41CE1">
      <w:pPr>
        <w:pStyle w:val="FootnoteText"/>
      </w:pPr>
      <w:r>
        <w:rPr>
          <w:rStyle w:val="FootnoteReference0"/>
        </w:rPr>
        <w:footnoteRef/>
      </w:r>
      <w:r>
        <w:tab/>
        <w:t xml:space="preserve">Id-Deċiżjoni tal-Kunsill 2010/427/UE tas-26 ta’ Lulju 2010 li tistabbilixxi l-organizzazzjoni u l-funzjonament tas-Servizz Ewropew għall-Azzjoni Esterna (ĠU L 201, 3.8.2010, p. 30, ELI: </w:t>
      </w:r>
      <w:hyperlink r:id="rId24" w:tooltip="Jagħti aċċess għal dan id-dokument permezz tal-ELI URI tiegħu." w:history="1">
        <w:r>
          <w:rPr>
            <w:rStyle w:val="Hyperlink"/>
          </w:rPr>
          <w:t>http://data.europa.eu/eli/dec/2010/427/oj</w:t>
        </w:r>
      </w:hyperlink>
      <w:r>
        <w:t>).</w:t>
      </w:r>
    </w:p>
  </w:footnote>
  <w:footnote w:id="32">
    <w:p w14:paraId="68C6CDBD" w14:textId="5BFABAA2" w:rsidR="005C1E93" w:rsidRPr="0048515B" w:rsidRDefault="005C1E93" w:rsidP="005C1E93">
      <w:pPr>
        <w:pStyle w:val="FootnoteText"/>
      </w:pPr>
      <w:r>
        <w:rPr>
          <w:rStyle w:val="FootnoteReference0"/>
        </w:rPr>
        <w:footnoteRef/>
      </w:r>
      <w:r>
        <w:tab/>
        <w:t xml:space="preserve">Ir-Rakkomandazzjoni tal-Kummissjoni C(2007) 5841 tal-5 ta’ Diċembru 2007 dwar ir-riproduzzjoni tat-test tal-Artikolu 20 TKE fil-passaporti (ĠU L 118, 6.5.2008, p. 30, ELI: </w:t>
      </w:r>
      <w:hyperlink r:id="rId25" w:tooltip="Jagħti aċċess għal dan id-dokument permezz tal-ELI URI tiegħu." w:history="1">
        <w:r>
          <w:rPr>
            <w:rStyle w:val="Hyperlink"/>
          </w:rPr>
          <w:t>http://data.europa.eu/eli/reco/2008/355/oj</w:t>
        </w:r>
      </w:hyperlink>
      <w:r>
        <w:t>).</w:t>
      </w:r>
    </w:p>
  </w:footnote>
  <w:footnote w:id="33">
    <w:p w14:paraId="651DDB3F" w14:textId="79912DE1" w:rsidR="00F60C46" w:rsidRPr="002D50E6" w:rsidRDefault="00F60C46" w:rsidP="00F60C46">
      <w:pPr>
        <w:pStyle w:val="FootnoteText"/>
      </w:pPr>
      <w:r>
        <w:rPr>
          <w:rStyle w:val="FootnoteReference0"/>
        </w:rPr>
        <w:footnoteRef/>
      </w:r>
      <w:r>
        <w:tab/>
        <w:t xml:space="preserve">Id-Deċiżjoni Nru 1313/2013/UE tal-Parlament Ewropew u tal-Kunsill tas-17 ta’ Diċembru 2013 dwar Mekkaniżmu tal-Unjoni għall-Protezzjoni Ċivili (ĠU L 347, 20.12.2013, p. 924, ELI: </w:t>
      </w:r>
      <w:hyperlink r:id="rId26" w:tooltip="Jagħti aċċess għal dan id-dokument permezz tal-ELI URI tiegħu." w:history="1">
        <w:r>
          <w:rPr>
            <w:rStyle w:val="Hyperlink"/>
          </w:rPr>
          <w:t>http://data.europa.eu/eli/dec/2013/1313/oj</w:t>
        </w:r>
      </w:hyperlink>
      <w:r>
        <w:t>).</w:t>
      </w:r>
    </w:p>
  </w:footnote>
  <w:footnote w:id="34">
    <w:p w14:paraId="5CA6D7F9" w14:textId="7CB358EE" w:rsidR="0029484E" w:rsidRPr="004A3B7D" w:rsidRDefault="0029484E">
      <w:pPr>
        <w:pStyle w:val="FootnoteText"/>
      </w:pPr>
      <w:r>
        <w:rPr>
          <w:rStyle w:val="FootnoteReference0"/>
        </w:rPr>
        <w:footnoteRef/>
      </w:r>
      <w:r>
        <w:tab/>
        <w:t xml:space="preserve">Ir-Regolament (UE) Nru 182/2011 tal-Parlament Ewropew u tal-Kunsill tas-16 ta’ Frar 2011 li jistabbilixxi r-regoli u l-prinċipji ġenerali dwar il-modalitajiet ta’ kontroll mill-Istati Membri tal-eżerċizzju mill-Kummissjoni tas-setgħat ta’ implimentazzjoni (ĠU L 55, 28.2.2011, p. 13, ELI: </w:t>
      </w:r>
      <w:hyperlink r:id="rId27" w:tooltip="Jagħti aċċess għal dan id-dokument permezz tal-ELI URI tiegħu." w:history="1">
        <w:r>
          <w:rPr>
            <w:rStyle w:val="Hyperlink"/>
          </w:rPr>
          <w:t>http://data.europa.eu/eli/reg/2011/182/oj</w:t>
        </w:r>
      </w:hyperlink>
      <w:r>
        <w:t>).</w:t>
      </w:r>
    </w:p>
  </w:footnote>
  <w:footnote w:id="35">
    <w:p w14:paraId="22511554" w14:textId="77777777" w:rsidR="004D661D" w:rsidRPr="00013E77" w:rsidRDefault="004D661D" w:rsidP="004D661D">
      <w:pPr>
        <w:pStyle w:val="FootnoteText"/>
      </w:pPr>
      <w:r>
        <w:rPr>
          <w:rStyle w:val="FootnoteReference0"/>
        </w:rPr>
        <w:footnoteRef/>
      </w:r>
      <w:r>
        <w:tab/>
        <w:t xml:space="preserve">Ir-Regolament (UE) 2016/679 tal-Parlament Ewropew u tal-Kunsill tas-27 ta’ April 2016 dwar il-protezzjoni tal-persuni fiżiċi fir-rigward tal-ipproċessar ta’ data personali u dwar il-moviment liberu ta’ tali data, u li jħassar id-Direttiva 95/46/KE (Regolament Ġenerali dwar il-Protezzjoni tad-Data)(ĠU L 119, 4.5.2016, p. 1, ELI: </w:t>
      </w:r>
      <w:hyperlink r:id="rId28" w:history="1">
        <w:r>
          <w:rPr>
            <w:rStyle w:val="Hyperlink"/>
          </w:rPr>
          <w:t>http://data.europa.eu/eli/reg/2016/679/oj</w:t>
        </w:r>
      </w:hyperlink>
      <w:r>
        <w:t>).</w:t>
      </w:r>
    </w:p>
  </w:footnote>
  <w:footnote w:id="36">
    <w:p w14:paraId="62339214" w14:textId="77777777" w:rsidR="007F3DC6" w:rsidRPr="00F210EF" w:rsidRDefault="007F3DC6" w:rsidP="007F3DC6">
      <w:pPr>
        <w:pStyle w:val="FootnoteText"/>
      </w:pPr>
      <w:r>
        <w:rPr>
          <w:rStyle w:val="FootnoteReference0"/>
        </w:rPr>
        <w:footnoteRef/>
      </w:r>
      <w:r>
        <w:tab/>
        <w:t xml:space="preserve">Ir-Regolament (UE) 2018/1725 tal-Parlament Ewropew u tal-Kunsill tat-23 ta’ Ottubru 2018 dwar il-protezzjoni ta’ persuni fiżiċi fir-rigward tal-ipproċessar ta’ data personali mill-istituzzjonijiet, korpi, uffiċċji u aġenziji tal-Unjoni u dwar il-moviment liberu ta’ tali data, u li jħassar ir-Regolament (KE) Nru 45/2001 u d-Deċiżjoni Nru 1247/2002/KE (ĠU L 295, 21.11.2018, p. 39, ELI: </w:t>
      </w:r>
      <w:hyperlink r:id="rId29" w:history="1">
        <w:r>
          <w:rPr>
            <w:rStyle w:val="Hyperlink"/>
          </w:rPr>
          <w:t>http://data.europa.eu/eli/reg/2018/1725/oj</w:t>
        </w:r>
      </w:hyperlink>
      <w:r>
        <w:t>).</w:t>
      </w:r>
    </w:p>
  </w:footnote>
  <w:footnote w:id="37">
    <w:p w14:paraId="169F6304" w14:textId="77777777" w:rsidR="00304682" w:rsidRDefault="00304682">
      <w:pPr>
        <w:pStyle w:val="FootnoteText"/>
      </w:pPr>
      <w:r>
        <w:rPr>
          <w:rStyle w:val="FootnoteReference0"/>
        </w:rPr>
        <w:footnoteRef/>
      </w:r>
      <w:r>
        <w:tab/>
        <w:t>ĠU C 369, 17.12.2011, p. 14.</w:t>
      </w:r>
    </w:p>
  </w:footnote>
  <w:footnote w:id="38">
    <w:p w14:paraId="7BA64BF1" w14:textId="3EEB3710" w:rsidR="00E911F5" w:rsidRPr="0058268D" w:rsidRDefault="00E911F5" w:rsidP="00E911F5">
      <w:pPr>
        <w:pStyle w:val="FootnoteText"/>
        <w:ind w:left="709" w:hanging="709"/>
      </w:pPr>
      <w:r>
        <w:rPr>
          <w:rStyle w:val="FootnoteReference0"/>
        </w:rPr>
        <w:footnoteRef/>
      </w:r>
      <w:r>
        <w:tab/>
        <w:t>ĠU C […], […], p. […].</w:t>
      </w:r>
    </w:p>
  </w:footnote>
  <w:footnote w:id="39">
    <w:p w14:paraId="35BC654C" w14:textId="77777777" w:rsidR="004515FC" w:rsidRDefault="004515FC" w:rsidP="004515FC">
      <w:pPr>
        <w:pStyle w:val="FootnoteText"/>
      </w:pPr>
      <w:r>
        <w:rPr>
          <w:rStyle w:val="FootnoteReference0"/>
        </w:rPr>
        <w:footnoteRef/>
      </w:r>
      <w:r>
        <w:tab/>
        <w:t>Kif imsemmi fl-Artikolu 58(2)(a) jew (b) tar-Regolament Finanzjarju.</w:t>
      </w:r>
    </w:p>
  </w:footnote>
  <w:footnote w:id="40">
    <w:p w14:paraId="1786DB1F" w14:textId="68411434" w:rsidR="004515FC" w:rsidRPr="004515FC" w:rsidRDefault="004515FC" w:rsidP="004515FC">
      <w:pPr>
        <w:pStyle w:val="FootnoteText"/>
      </w:pPr>
      <w:r>
        <w:rPr>
          <w:rStyle w:val="FootnoteReference0"/>
        </w:rPr>
        <w:footnoteRef/>
      </w:r>
      <w:r>
        <w:tab/>
      </w:r>
      <w:hyperlink r:id="rId30" w:history="1">
        <w:r>
          <w:rPr>
            <w:rStyle w:val="Hyperlink"/>
          </w:rPr>
          <w:t>SEC(2011) 1556 final</w:t>
        </w:r>
      </w:hyperlink>
      <w:r>
        <w:t>.</w:t>
      </w:r>
    </w:p>
  </w:footnote>
  <w:footnote w:id="41">
    <w:p w14:paraId="4FF9E788" w14:textId="77777777" w:rsidR="004515FC" w:rsidRDefault="004515FC" w:rsidP="004515FC">
      <w:pPr>
        <w:pStyle w:val="FootnoteText"/>
      </w:pPr>
      <w:r>
        <w:rPr>
          <w:rStyle w:val="FootnoteReference0"/>
        </w:rPr>
        <w:footnoteRef/>
      </w:r>
      <w:r>
        <w:tab/>
        <w:t>Diff. = Approprjazzjonijiet differenzjati / Mhux diff. = Approprjazzjonijiet mhux differenzjati.</w:t>
      </w:r>
    </w:p>
  </w:footnote>
  <w:footnote w:id="42">
    <w:p w14:paraId="41343289" w14:textId="77777777" w:rsidR="004515FC" w:rsidRDefault="004515FC" w:rsidP="004515FC">
      <w:pPr>
        <w:pStyle w:val="FootnoteText"/>
      </w:pPr>
      <w:r>
        <w:rPr>
          <w:rStyle w:val="FootnoteReference0"/>
        </w:rPr>
        <w:footnoteRef/>
      </w:r>
      <w:r>
        <w:tab/>
        <w:t xml:space="preserve">EFTA: Assoċjazzjoni Ewropea tal-Kummerċ Ħieles. </w:t>
      </w:r>
    </w:p>
  </w:footnote>
  <w:footnote w:id="43">
    <w:p w14:paraId="0A837B5A" w14:textId="77777777" w:rsidR="004515FC" w:rsidRDefault="004515FC" w:rsidP="004515FC">
      <w:pPr>
        <w:pStyle w:val="FootnoteText"/>
      </w:pPr>
      <w:r>
        <w:rPr>
          <w:rStyle w:val="FootnoteReference0"/>
        </w:rPr>
        <w:footnoteRef/>
      </w:r>
      <w:r>
        <w:tab/>
        <w:t>Pajjiżi kandidati u, meta applikabbli, kandidati potenzjali mill-Balkani tal-Punent.</w:t>
      </w:r>
    </w:p>
  </w:footnote>
  <w:footnote w:id="44">
    <w:p w14:paraId="711FED68" w14:textId="77777777" w:rsidR="00BF55D6" w:rsidRPr="001A68DA" w:rsidRDefault="00BF55D6" w:rsidP="004515FC">
      <w:pPr>
        <w:pStyle w:val="FootnoteText"/>
        <w:rPr>
          <w:sz w:val="18"/>
        </w:rPr>
      </w:pPr>
      <w:r>
        <w:rPr>
          <w:rStyle w:val="FootnoteReference0"/>
        </w:rPr>
        <w:footnoteRef/>
      </w:r>
      <w:r>
        <w:tab/>
        <w:t>Is-Sena N hija s-sena li fiha tibda l-implimentazzjoni tal-proposta/tal-inizjattiva.</w:t>
      </w:r>
      <w:r>
        <w:rPr>
          <w:sz w:val="18"/>
        </w:rPr>
        <w:t xml:space="preserve"> Issostitwixxi l-“N” bl-ewwel sena ta’ implimentazzjoni prevista (pereżempju: 2021). Agħmel l-istess għas-snin ta’ wara.</w:t>
      </w:r>
    </w:p>
  </w:footnote>
  <w:footnote w:id="45">
    <w:p w14:paraId="70E39415" w14:textId="77777777" w:rsidR="004515FC" w:rsidRPr="001A68DA" w:rsidRDefault="004515FC" w:rsidP="004515FC">
      <w:pPr>
        <w:pStyle w:val="FootnoteText"/>
        <w:rPr>
          <w:sz w:val="18"/>
        </w:rPr>
      </w:pPr>
      <w:r>
        <w:rPr>
          <w:rStyle w:val="FootnoteReference0"/>
        </w:rPr>
        <w:footnoteRef/>
      </w:r>
      <w:r>
        <w:tab/>
      </w:r>
      <w:r>
        <w:rPr>
          <w:sz w:val="18"/>
        </w:rPr>
        <w:t>Skont in-nomenklatura tal-baġit uffiċjali.</w:t>
      </w:r>
    </w:p>
  </w:footnote>
  <w:footnote w:id="46">
    <w:p w14:paraId="65B4D9A5" w14:textId="77777777" w:rsidR="004515FC" w:rsidRDefault="004515FC" w:rsidP="004515FC">
      <w:pPr>
        <w:pStyle w:val="FootnoteText"/>
      </w:pPr>
      <w:r>
        <w:rPr>
          <w:rStyle w:val="FootnoteReference0"/>
        </w:rPr>
        <w:footnoteRef/>
      </w:r>
      <w:r>
        <w:tab/>
      </w:r>
      <w:r>
        <w:rPr>
          <w:sz w:val="18"/>
        </w:rPr>
        <w:t>Assistenza teknika u/jew amministrattiva u nefqa ta’ appoġġ għall-implimentazzjoni ta’ programmi u/jew ta’ azzjonijiet tal-UE (li qabel kienu l-linji “BA”), riċerka indiretta u riċerka diretta.</w:t>
      </w:r>
    </w:p>
  </w:footnote>
  <w:footnote w:id="47">
    <w:p w14:paraId="660E7E0F" w14:textId="77777777" w:rsidR="004515FC" w:rsidRPr="0058268D" w:rsidRDefault="004515FC" w:rsidP="004515FC">
      <w:pPr>
        <w:pStyle w:val="FootnoteText"/>
        <w:rPr>
          <w:sz w:val="18"/>
        </w:rPr>
      </w:pPr>
      <w:r>
        <w:rPr>
          <w:rStyle w:val="FootnoteReference0"/>
        </w:rPr>
        <w:footnoteRef/>
      </w:r>
      <w:r>
        <w:rPr>
          <w:sz w:val="18"/>
        </w:rPr>
        <w:tab/>
        <w:t>L-implikazzjonijiet finanzjarji futuri ta’ din l-inizjattiva għas-snin ta’ wara l-2027 huma mingħajr preġudizzju għall-QFP wara l-2027.</w:t>
      </w:r>
    </w:p>
  </w:footnote>
  <w:footnote w:id="48">
    <w:p w14:paraId="5506ED99" w14:textId="77777777" w:rsidR="004515FC" w:rsidRDefault="004515FC" w:rsidP="004515FC">
      <w:pPr>
        <w:pStyle w:val="FootnoteText"/>
      </w:pPr>
      <w:r>
        <w:rPr>
          <w:rStyle w:val="FootnoteReference0"/>
        </w:rPr>
        <w:footnoteRef/>
      </w:r>
      <w:r>
        <w:tab/>
        <w:t>L-outputs huma l-prodotti u s-servizzi li jridu jiġu pprovduti (eż.: l-għadd ta’ skambji ta’ studenti ffinanzjati, l-għadd ta’ kilometri ta’ toroq mibnija, eċċ.).</w:t>
      </w:r>
    </w:p>
  </w:footnote>
  <w:footnote w:id="49">
    <w:p w14:paraId="05D5F2DB" w14:textId="77777777" w:rsidR="004515FC" w:rsidRDefault="004515FC" w:rsidP="004515FC">
      <w:pPr>
        <w:pStyle w:val="FootnoteText"/>
      </w:pPr>
      <w:r>
        <w:rPr>
          <w:rStyle w:val="FootnoteReference0"/>
        </w:rPr>
        <w:footnoteRef/>
      </w:r>
      <w:r>
        <w:tab/>
        <w:t xml:space="preserve">Kif deskritt fil-punt 1.4.2. “Objettiv(i) speċifiku/speċifiċi…” </w:t>
      </w:r>
    </w:p>
  </w:footnote>
  <w:footnote w:id="50">
    <w:p w14:paraId="7BD28117" w14:textId="77777777" w:rsidR="004515FC" w:rsidRDefault="004515FC" w:rsidP="004515FC">
      <w:pPr>
        <w:pStyle w:val="FootnoteText"/>
      </w:pPr>
      <w:r>
        <w:rPr>
          <w:rStyle w:val="FootnoteReference0"/>
        </w:rPr>
        <w:footnoteRef/>
      </w:r>
      <w:r>
        <w:tab/>
      </w:r>
      <w:r>
        <w:rPr>
          <w:sz w:val="18"/>
        </w:rPr>
        <w:t>Assistenza teknika u/jew amministrattiva u nefqa ta’ appoġġ għall-implimentazzjoni ta’ programmi u/jew ta’ azzjonijiet tal-UE (li qabel kienu l-linji “BA”), riċerka indiretta u riċerka diretta.</w:t>
      </w:r>
    </w:p>
  </w:footnote>
  <w:footnote w:id="51">
    <w:p w14:paraId="55AF3EC6" w14:textId="77777777" w:rsidR="004515FC" w:rsidRDefault="004515FC" w:rsidP="004515FC">
      <w:pPr>
        <w:pStyle w:val="FootnoteText"/>
      </w:pPr>
      <w:r>
        <w:rPr>
          <w:rStyle w:val="FootnoteReference0"/>
        </w:rPr>
        <w:footnoteRef/>
      </w:r>
      <w:r>
        <w:tab/>
        <w:t>Sottolimitu għall-persunal estern kopert minn approprjazzjonijiet operazzjonali (li qabel kienu l-linji “BA”).</w:t>
      </w:r>
    </w:p>
  </w:footnote>
  <w:footnote w:id="52">
    <w:p w14:paraId="3F080FAA" w14:textId="77777777" w:rsidR="004515FC" w:rsidRDefault="004515FC" w:rsidP="004515FC">
      <w:pPr>
        <w:pStyle w:val="FootnoteText"/>
      </w:pPr>
      <w:r>
        <w:rPr>
          <w:rStyle w:val="FootnoteReference0"/>
        </w:rPr>
        <w:footnoteRef/>
      </w:r>
      <w:r>
        <w:tab/>
        <w:t>Is-Sena N hija s-sena li fiha tibda l-implimentazzjoni tal-proposta/tal-inizjattiva. Issostitwixxi l-“N” bl-ewwel sena ta’ implimentazzjoni prevista (pereżempju: 2021). Agħmel l-istess għas-snin ta’ wara.</w:t>
      </w:r>
    </w:p>
  </w:footnote>
  <w:footnote w:id="53">
    <w:p w14:paraId="334DCF84" w14:textId="77777777" w:rsidR="004515FC" w:rsidRDefault="004515FC" w:rsidP="004515FC">
      <w:pPr>
        <w:pStyle w:val="FootnoteText"/>
      </w:pPr>
      <w:r>
        <w:rPr>
          <w:rStyle w:val="FootnoteReference0"/>
        </w:rPr>
        <w:footnoteRef/>
      </w:r>
      <w:r>
        <w:tab/>
        <w:t>Fir-rigward tar-riżorsi proprji tradizzjonali (id-dazji doganali, l-imposti fuq iz-zokkor), l-ammonti indikati jridu jkunu ammonti netti, jiġifieri ammonti grossi wara t-tnaqqis ta’ 20 % għall-kostijiet tal-ġbir.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A93A" w14:textId="77777777" w:rsidR="006C0976" w:rsidRDefault="006C0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3E555" w14:textId="77777777" w:rsidR="006C0976" w:rsidRDefault="006C0976" w:rsidP="006C0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E326" w14:textId="77777777" w:rsidR="006C0976" w:rsidRPr="006C0976" w:rsidRDefault="006C0976" w:rsidP="006C0976">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BB6B" w14:textId="77777777" w:rsidR="006C0976" w:rsidRPr="006C0976" w:rsidRDefault="006C0976" w:rsidP="006C0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554E52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1822A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E3E772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AC39E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20"/>
  </w:num>
  <w:num w:numId="11">
    <w:abstractNumId w:val="19"/>
  </w:num>
  <w:num w:numId="12">
    <w:abstractNumId w:val="28"/>
  </w:num>
  <w:num w:numId="13">
    <w:abstractNumId w:val="5"/>
  </w:num>
  <w:num w:numId="14">
    <w:abstractNumId w:val="13"/>
  </w:num>
  <w:num w:numId="15">
    <w:abstractNumId w:val="6"/>
  </w:num>
  <w:num w:numId="16">
    <w:abstractNumId w:val="14"/>
  </w:num>
  <w:num w:numId="17">
    <w:abstractNumId w:val="12"/>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29"/>
    <w:lvlOverride w:ilvl="0">
      <w:startOverride w:val="1"/>
    </w:lvlOverride>
  </w:num>
  <w:num w:numId="23">
    <w:abstractNumId w:val="25"/>
  </w:num>
  <w:num w:numId="24">
    <w:abstractNumId w:val="15"/>
  </w:num>
  <w:num w:numId="25">
    <w:abstractNumId w:val="27"/>
  </w:num>
  <w:num w:numId="26">
    <w:abstractNumId w:val="10"/>
  </w:num>
  <w:num w:numId="27">
    <w:abstractNumId w:val="16"/>
  </w:num>
  <w:num w:numId="28">
    <w:abstractNumId w:val="17"/>
  </w:num>
  <w:num w:numId="29">
    <w:abstractNumId w:val="8"/>
  </w:num>
  <w:num w:numId="30">
    <w:abstractNumId w:val="26"/>
  </w:num>
  <w:num w:numId="31">
    <w:abstractNumId w:val="7"/>
  </w:num>
  <w:num w:numId="32">
    <w:abstractNumId w:val="18"/>
  </w:num>
  <w:num w:numId="33">
    <w:abstractNumId w:val="23"/>
  </w:num>
  <w:num w:numId="34">
    <w:abstractNumId w:val="24"/>
  </w:num>
  <w:num w:numId="35">
    <w:abstractNumId w:val="9"/>
  </w:num>
  <w:num w:numId="36">
    <w:abstractNumId w:val="22"/>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1-17 23:15: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7041216-BC9C-4DB3-B536-1ACABF8B6C16"/>
    <w:docVar w:name="LW_COVERPAGE_TYPE" w:val="1"/>
    <w:docVar w:name="LW_CROSSREFERENCE" w:val="{SEC(2023) 930 final} - {SWD(2023) 940 final} - {SWD(2023) 941 final} - {SWD(2023) 942 final}"/>
    <w:docVar w:name="LW_DocType" w:val="COM"/>
    <w:docVar w:name="LW_EMISSION" w:val="6.12.2023"/>
    <w:docVar w:name="LW_EMISSION_ISODATE" w:val="2023-12-06"/>
    <w:docVar w:name="LW_EMISSION_LOCATION" w:val="BRX"/>
    <w:docVar w:name="LW_EMISSION_PREFIX" w:val="Brussell, "/>
    <w:docVar w:name="LW_EMISSION_SUFFIX" w:val=" "/>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MT"/>
    <w:docVar w:name="LW_LEVEL_OF_SENSITIVITY" w:val="Standard treatment"/>
    <w:docVar w:name="LW_NOM.INST" w:val="IL-KUMMISSJONI EWROPEA"/>
    <w:docVar w:name="LW_NOM.INST_JOINTDOC" w:val="&lt;EMPTY&gt;"/>
    <w:docVar w:name="LW_PART_NBR" w:val="1"/>
    <w:docVar w:name="LW_PART_NBR_TOTAL" w:val="1"/>
    <w:docVar w:name="LW_REF.II.NEW.CP" w:val="CNS"/>
    <w:docVar w:name="LW_REF.II.NEW.CP_NUMBER" w:val="0441"/>
    <w:docVar w:name="LW_REF.II.NEW.CP_YEAR" w:val="2023"/>
    <w:docVar w:name="LW_REF.INST.NEW" w:val="COM"/>
    <w:docVar w:name="LW_REF.INST.NEW_ADOPTED" w:val="final"/>
    <w:docVar w:name="LW_REF.INST.NEW_TEXT" w:val="(2023) 9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g\u295?al"/>
    <w:docVar w:name="LW_SUPERTITRE" w:val="&lt;UNUSED&gt;"/>
    <w:docVar w:name="LW_TITRE.OBJ.CP" w:val="li temenda d-Direttiva (UE) 2015/637 dwar il-mi\u380?uri ta\u8217? koordinazzjoni u kooperazzjoni biex ti\u289?i ffa\u267?ilitata l-protezzjoni konsulari g\u295?al \u267?ittadini mhux rappre\u380?entati tal-Unjoni f\u8217?pajji\u380?i terzi u d-Direttiva (UE) 2019/997 li tistabbilixxi Dokument Provvi\u380?orju tal-Ivvja\u289?\u289?ar tal-UE"/>
    <w:docVar w:name="LW_TYPE.DOC.CP" w:val="DIRETTIVA TAL-KUNSILL"/>
    <w:docVar w:name="LwApiVersions" w:val="LW4CoDe 1.24.4.0; LW 9.0, Build 20240109"/>
  </w:docVars>
  <w:rsids>
    <w:rsidRoot w:val="00304682"/>
    <w:rsid w:val="00000343"/>
    <w:rsid w:val="00000899"/>
    <w:rsid w:val="00001F82"/>
    <w:rsid w:val="00002227"/>
    <w:rsid w:val="0000318D"/>
    <w:rsid w:val="000032F9"/>
    <w:rsid w:val="0000431A"/>
    <w:rsid w:val="00006515"/>
    <w:rsid w:val="00006E2C"/>
    <w:rsid w:val="00007417"/>
    <w:rsid w:val="000074C4"/>
    <w:rsid w:val="00007503"/>
    <w:rsid w:val="000101AA"/>
    <w:rsid w:val="0001141D"/>
    <w:rsid w:val="00011F86"/>
    <w:rsid w:val="00013072"/>
    <w:rsid w:val="00013E77"/>
    <w:rsid w:val="00014C91"/>
    <w:rsid w:val="00014DB3"/>
    <w:rsid w:val="00015392"/>
    <w:rsid w:val="00015400"/>
    <w:rsid w:val="00016113"/>
    <w:rsid w:val="000162F0"/>
    <w:rsid w:val="00017137"/>
    <w:rsid w:val="0002093B"/>
    <w:rsid w:val="00020D4E"/>
    <w:rsid w:val="00021B16"/>
    <w:rsid w:val="00022AF9"/>
    <w:rsid w:val="000238AA"/>
    <w:rsid w:val="000248B4"/>
    <w:rsid w:val="000256FF"/>
    <w:rsid w:val="00025FC2"/>
    <w:rsid w:val="000266CF"/>
    <w:rsid w:val="00026C2D"/>
    <w:rsid w:val="00026F16"/>
    <w:rsid w:val="00027847"/>
    <w:rsid w:val="000325A5"/>
    <w:rsid w:val="00032B67"/>
    <w:rsid w:val="00032D86"/>
    <w:rsid w:val="00033669"/>
    <w:rsid w:val="000336DE"/>
    <w:rsid w:val="000343B1"/>
    <w:rsid w:val="0003493F"/>
    <w:rsid w:val="00034B75"/>
    <w:rsid w:val="00035988"/>
    <w:rsid w:val="00036051"/>
    <w:rsid w:val="000368EE"/>
    <w:rsid w:val="00036D49"/>
    <w:rsid w:val="00037034"/>
    <w:rsid w:val="00037296"/>
    <w:rsid w:val="000375B0"/>
    <w:rsid w:val="000375B7"/>
    <w:rsid w:val="00037834"/>
    <w:rsid w:val="00041A62"/>
    <w:rsid w:val="00041E78"/>
    <w:rsid w:val="0004204B"/>
    <w:rsid w:val="000423B1"/>
    <w:rsid w:val="0004382B"/>
    <w:rsid w:val="00044A4F"/>
    <w:rsid w:val="0004541E"/>
    <w:rsid w:val="00045A99"/>
    <w:rsid w:val="00045BBF"/>
    <w:rsid w:val="00045D72"/>
    <w:rsid w:val="00046B1A"/>
    <w:rsid w:val="00047193"/>
    <w:rsid w:val="00047576"/>
    <w:rsid w:val="0005066C"/>
    <w:rsid w:val="000543E8"/>
    <w:rsid w:val="000555EC"/>
    <w:rsid w:val="0005597F"/>
    <w:rsid w:val="00055E73"/>
    <w:rsid w:val="00056AA9"/>
    <w:rsid w:val="00056ED6"/>
    <w:rsid w:val="000575A6"/>
    <w:rsid w:val="00057CCC"/>
    <w:rsid w:val="000611DE"/>
    <w:rsid w:val="00061C04"/>
    <w:rsid w:val="000621C0"/>
    <w:rsid w:val="00062F10"/>
    <w:rsid w:val="0006305E"/>
    <w:rsid w:val="0006318D"/>
    <w:rsid w:val="00063428"/>
    <w:rsid w:val="000639AE"/>
    <w:rsid w:val="000642BB"/>
    <w:rsid w:val="0006518F"/>
    <w:rsid w:val="0006587B"/>
    <w:rsid w:val="00065D97"/>
    <w:rsid w:val="00067396"/>
    <w:rsid w:val="00067511"/>
    <w:rsid w:val="00067A15"/>
    <w:rsid w:val="0007003E"/>
    <w:rsid w:val="0007020B"/>
    <w:rsid w:val="00070790"/>
    <w:rsid w:val="00070A9E"/>
    <w:rsid w:val="00070B50"/>
    <w:rsid w:val="000712E7"/>
    <w:rsid w:val="00073C89"/>
    <w:rsid w:val="0007401F"/>
    <w:rsid w:val="00074DB7"/>
    <w:rsid w:val="00075268"/>
    <w:rsid w:val="00076695"/>
    <w:rsid w:val="00076998"/>
    <w:rsid w:val="00077250"/>
    <w:rsid w:val="0007780B"/>
    <w:rsid w:val="00080128"/>
    <w:rsid w:val="00080762"/>
    <w:rsid w:val="00082881"/>
    <w:rsid w:val="00083A53"/>
    <w:rsid w:val="000846AD"/>
    <w:rsid w:val="00086412"/>
    <w:rsid w:val="00086700"/>
    <w:rsid w:val="00087922"/>
    <w:rsid w:val="000906DB"/>
    <w:rsid w:val="00093059"/>
    <w:rsid w:val="0009439B"/>
    <w:rsid w:val="000949C1"/>
    <w:rsid w:val="00096159"/>
    <w:rsid w:val="000964EE"/>
    <w:rsid w:val="000A0D91"/>
    <w:rsid w:val="000A2187"/>
    <w:rsid w:val="000A33C1"/>
    <w:rsid w:val="000A455A"/>
    <w:rsid w:val="000A49B5"/>
    <w:rsid w:val="000A5990"/>
    <w:rsid w:val="000A5E41"/>
    <w:rsid w:val="000A6714"/>
    <w:rsid w:val="000A6939"/>
    <w:rsid w:val="000A6E9C"/>
    <w:rsid w:val="000A77EE"/>
    <w:rsid w:val="000B004E"/>
    <w:rsid w:val="000B0A90"/>
    <w:rsid w:val="000B1778"/>
    <w:rsid w:val="000B1F37"/>
    <w:rsid w:val="000B2B48"/>
    <w:rsid w:val="000B414D"/>
    <w:rsid w:val="000B4335"/>
    <w:rsid w:val="000B4DAC"/>
    <w:rsid w:val="000B510C"/>
    <w:rsid w:val="000B5608"/>
    <w:rsid w:val="000B5B9C"/>
    <w:rsid w:val="000B654D"/>
    <w:rsid w:val="000B704A"/>
    <w:rsid w:val="000B7065"/>
    <w:rsid w:val="000B741C"/>
    <w:rsid w:val="000B7460"/>
    <w:rsid w:val="000B7D8C"/>
    <w:rsid w:val="000C01EE"/>
    <w:rsid w:val="000C0306"/>
    <w:rsid w:val="000C078F"/>
    <w:rsid w:val="000C1436"/>
    <w:rsid w:val="000C3AAD"/>
    <w:rsid w:val="000C47B4"/>
    <w:rsid w:val="000C4F13"/>
    <w:rsid w:val="000C4F48"/>
    <w:rsid w:val="000C550E"/>
    <w:rsid w:val="000C74A0"/>
    <w:rsid w:val="000C7BAC"/>
    <w:rsid w:val="000C7E6F"/>
    <w:rsid w:val="000D1E36"/>
    <w:rsid w:val="000D2094"/>
    <w:rsid w:val="000D2657"/>
    <w:rsid w:val="000D2956"/>
    <w:rsid w:val="000D3809"/>
    <w:rsid w:val="000D3AEA"/>
    <w:rsid w:val="000D5131"/>
    <w:rsid w:val="000D6D61"/>
    <w:rsid w:val="000D75DE"/>
    <w:rsid w:val="000D7655"/>
    <w:rsid w:val="000D76C3"/>
    <w:rsid w:val="000D7C7D"/>
    <w:rsid w:val="000E2D9B"/>
    <w:rsid w:val="000E36DC"/>
    <w:rsid w:val="000E3BB1"/>
    <w:rsid w:val="000E4BD9"/>
    <w:rsid w:val="000E7078"/>
    <w:rsid w:val="000E75BA"/>
    <w:rsid w:val="000E760E"/>
    <w:rsid w:val="000E7665"/>
    <w:rsid w:val="000F20B7"/>
    <w:rsid w:val="000F380A"/>
    <w:rsid w:val="000F3EAD"/>
    <w:rsid w:val="000F443F"/>
    <w:rsid w:val="000F7D0D"/>
    <w:rsid w:val="0010024E"/>
    <w:rsid w:val="001012F9"/>
    <w:rsid w:val="00101399"/>
    <w:rsid w:val="0010158C"/>
    <w:rsid w:val="00102322"/>
    <w:rsid w:val="00102B23"/>
    <w:rsid w:val="00102C5F"/>
    <w:rsid w:val="00104EA1"/>
    <w:rsid w:val="0010566E"/>
    <w:rsid w:val="001056AF"/>
    <w:rsid w:val="00105C7A"/>
    <w:rsid w:val="001065F5"/>
    <w:rsid w:val="001068AC"/>
    <w:rsid w:val="00106FCC"/>
    <w:rsid w:val="00107544"/>
    <w:rsid w:val="00107ACA"/>
    <w:rsid w:val="00108063"/>
    <w:rsid w:val="001111E7"/>
    <w:rsid w:val="0011129E"/>
    <w:rsid w:val="001116D0"/>
    <w:rsid w:val="001131EC"/>
    <w:rsid w:val="001135C7"/>
    <w:rsid w:val="00114815"/>
    <w:rsid w:val="00114A90"/>
    <w:rsid w:val="00114D44"/>
    <w:rsid w:val="0011541A"/>
    <w:rsid w:val="001173E6"/>
    <w:rsid w:val="00120632"/>
    <w:rsid w:val="00120DF3"/>
    <w:rsid w:val="00121044"/>
    <w:rsid w:val="00122010"/>
    <w:rsid w:val="00122454"/>
    <w:rsid w:val="00122A28"/>
    <w:rsid w:val="001238EF"/>
    <w:rsid w:val="00124A27"/>
    <w:rsid w:val="00125625"/>
    <w:rsid w:val="0012564F"/>
    <w:rsid w:val="00127D10"/>
    <w:rsid w:val="001324B5"/>
    <w:rsid w:val="00134147"/>
    <w:rsid w:val="001347B5"/>
    <w:rsid w:val="00134D92"/>
    <w:rsid w:val="0013690D"/>
    <w:rsid w:val="00136CF0"/>
    <w:rsid w:val="00137907"/>
    <w:rsid w:val="00137BE8"/>
    <w:rsid w:val="00140448"/>
    <w:rsid w:val="00141EC8"/>
    <w:rsid w:val="00142EA6"/>
    <w:rsid w:val="00143818"/>
    <w:rsid w:val="00143D70"/>
    <w:rsid w:val="00144701"/>
    <w:rsid w:val="001465C4"/>
    <w:rsid w:val="001474F2"/>
    <w:rsid w:val="001476A6"/>
    <w:rsid w:val="0014799F"/>
    <w:rsid w:val="00147B8C"/>
    <w:rsid w:val="001508F4"/>
    <w:rsid w:val="001509F4"/>
    <w:rsid w:val="00150B33"/>
    <w:rsid w:val="00150F29"/>
    <w:rsid w:val="0015154B"/>
    <w:rsid w:val="00151B44"/>
    <w:rsid w:val="0015259E"/>
    <w:rsid w:val="00153985"/>
    <w:rsid w:val="00153C5C"/>
    <w:rsid w:val="001544B0"/>
    <w:rsid w:val="00155058"/>
    <w:rsid w:val="00155527"/>
    <w:rsid w:val="00155823"/>
    <w:rsid w:val="00160A6F"/>
    <w:rsid w:val="0016197D"/>
    <w:rsid w:val="00161C52"/>
    <w:rsid w:val="00162A93"/>
    <w:rsid w:val="001632EC"/>
    <w:rsid w:val="001635A3"/>
    <w:rsid w:val="00164513"/>
    <w:rsid w:val="001645B6"/>
    <w:rsid w:val="00164904"/>
    <w:rsid w:val="00165069"/>
    <w:rsid w:val="00165E8A"/>
    <w:rsid w:val="001660B2"/>
    <w:rsid w:val="00167524"/>
    <w:rsid w:val="00167BD0"/>
    <w:rsid w:val="00167F34"/>
    <w:rsid w:val="0017010D"/>
    <w:rsid w:val="00170357"/>
    <w:rsid w:val="00170A52"/>
    <w:rsid w:val="0017188F"/>
    <w:rsid w:val="00174109"/>
    <w:rsid w:val="00174542"/>
    <w:rsid w:val="00175E9C"/>
    <w:rsid w:val="00176EE7"/>
    <w:rsid w:val="0018060C"/>
    <w:rsid w:val="001806D9"/>
    <w:rsid w:val="0018084E"/>
    <w:rsid w:val="001809F0"/>
    <w:rsid w:val="00180EEF"/>
    <w:rsid w:val="00181FA9"/>
    <w:rsid w:val="001826B5"/>
    <w:rsid w:val="00182830"/>
    <w:rsid w:val="001831D5"/>
    <w:rsid w:val="001831F6"/>
    <w:rsid w:val="00184B24"/>
    <w:rsid w:val="00185188"/>
    <w:rsid w:val="00185925"/>
    <w:rsid w:val="00185EAA"/>
    <w:rsid w:val="001863A8"/>
    <w:rsid w:val="0018717A"/>
    <w:rsid w:val="001923C2"/>
    <w:rsid w:val="00192403"/>
    <w:rsid w:val="001944CB"/>
    <w:rsid w:val="0019500F"/>
    <w:rsid w:val="001950C1"/>
    <w:rsid w:val="001958FE"/>
    <w:rsid w:val="00197613"/>
    <w:rsid w:val="00197657"/>
    <w:rsid w:val="001979B8"/>
    <w:rsid w:val="00197FBE"/>
    <w:rsid w:val="001A0392"/>
    <w:rsid w:val="001A07A5"/>
    <w:rsid w:val="001A12C5"/>
    <w:rsid w:val="001A1499"/>
    <w:rsid w:val="001A14C2"/>
    <w:rsid w:val="001A1700"/>
    <w:rsid w:val="001A1AB4"/>
    <w:rsid w:val="001A240B"/>
    <w:rsid w:val="001A3420"/>
    <w:rsid w:val="001A3579"/>
    <w:rsid w:val="001A3B6D"/>
    <w:rsid w:val="001A5D9D"/>
    <w:rsid w:val="001A6449"/>
    <w:rsid w:val="001B04D1"/>
    <w:rsid w:val="001B11D6"/>
    <w:rsid w:val="001B25B6"/>
    <w:rsid w:val="001B3455"/>
    <w:rsid w:val="001B606A"/>
    <w:rsid w:val="001B6198"/>
    <w:rsid w:val="001B627D"/>
    <w:rsid w:val="001B6B2C"/>
    <w:rsid w:val="001B7F4B"/>
    <w:rsid w:val="001B7F8F"/>
    <w:rsid w:val="001C016B"/>
    <w:rsid w:val="001C02CB"/>
    <w:rsid w:val="001C04F2"/>
    <w:rsid w:val="001C38BF"/>
    <w:rsid w:val="001C4EC6"/>
    <w:rsid w:val="001C5FE1"/>
    <w:rsid w:val="001C6337"/>
    <w:rsid w:val="001C7246"/>
    <w:rsid w:val="001C7B8B"/>
    <w:rsid w:val="001D020E"/>
    <w:rsid w:val="001D049E"/>
    <w:rsid w:val="001D1B5D"/>
    <w:rsid w:val="001D1F5C"/>
    <w:rsid w:val="001D2176"/>
    <w:rsid w:val="001D570D"/>
    <w:rsid w:val="001D614D"/>
    <w:rsid w:val="001D622C"/>
    <w:rsid w:val="001D7EF3"/>
    <w:rsid w:val="001E017C"/>
    <w:rsid w:val="001E0744"/>
    <w:rsid w:val="001E0CE5"/>
    <w:rsid w:val="001E293A"/>
    <w:rsid w:val="001E346C"/>
    <w:rsid w:val="001E44F6"/>
    <w:rsid w:val="001E4E4F"/>
    <w:rsid w:val="001E62D4"/>
    <w:rsid w:val="001F0985"/>
    <w:rsid w:val="001F1904"/>
    <w:rsid w:val="001F25CB"/>
    <w:rsid w:val="001F2FF3"/>
    <w:rsid w:val="001F3188"/>
    <w:rsid w:val="001F3B0D"/>
    <w:rsid w:val="001F42B4"/>
    <w:rsid w:val="001F5285"/>
    <w:rsid w:val="001F585E"/>
    <w:rsid w:val="001F6B8A"/>
    <w:rsid w:val="001F6E33"/>
    <w:rsid w:val="001F738A"/>
    <w:rsid w:val="0020001A"/>
    <w:rsid w:val="002012A1"/>
    <w:rsid w:val="0020148E"/>
    <w:rsid w:val="002016EA"/>
    <w:rsid w:val="00203193"/>
    <w:rsid w:val="0020417F"/>
    <w:rsid w:val="002050AA"/>
    <w:rsid w:val="00205442"/>
    <w:rsid w:val="002064C1"/>
    <w:rsid w:val="00206FAF"/>
    <w:rsid w:val="0021013E"/>
    <w:rsid w:val="00210398"/>
    <w:rsid w:val="002109E6"/>
    <w:rsid w:val="002112E0"/>
    <w:rsid w:val="00211484"/>
    <w:rsid w:val="00211A23"/>
    <w:rsid w:val="00211A63"/>
    <w:rsid w:val="00211A7C"/>
    <w:rsid w:val="0021211C"/>
    <w:rsid w:val="002136B3"/>
    <w:rsid w:val="00214394"/>
    <w:rsid w:val="00214722"/>
    <w:rsid w:val="00214E0F"/>
    <w:rsid w:val="00215C58"/>
    <w:rsid w:val="00216FA7"/>
    <w:rsid w:val="00217FFA"/>
    <w:rsid w:val="00221292"/>
    <w:rsid w:val="002218F4"/>
    <w:rsid w:val="0022293B"/>
    <w:rsid w:val="00223B2A"/>
    <w:rsid w:val="00224195"/>
    <w:rsid w:val="00224625"/>
    <w:rsid w:val="00225147"/>
    <w:rsid w:val="00225215"/>
    <w:rsid w:val="002274B2"/>
    <w:rsid w:val="002312CF"/>
    <w:rsid w:val="00231D8C"/>
    <w:rsid w:val="002323BC"/>
    <w:rsid w:val="00232B91"/>
    <w:rsid w:val="00233684"/>
    <w:rsid w:val="00233DC7"/>
    <w:rsid w:val="002349E1"/>
    <w:rsid w:val="00234C36"/>
    <w:rsid w:val="0023533D"/>
    <w:rsid w:val="0023543B"/>
    <w:rsid w:val="00235D3F"/>
    <w:rsid w:val="002373EE"/>
    <w:rsid w:val="00237B85"/>
    <w:rsid w:val="002400B2"/>
    <w:rsid w:val="0024148F"/>
    <w:rsid w:val="002416C2"/>
    <w:rsid w:val="002419E8"/>
    <w:rsid w:val="002425E3"/>
    <w:rsid w:val="002425FC"/>
    <w:rsid w:val="00243905"/>
    <w:rsid w:val="00244BCC"/>
    <w:rsid w:val="002452E5"/>
    <w:rsid w:val="00245384"/>
    <w:rsid w:val="00245D1F"/>
    <w:rsid w:val="002460C2"/>
    <w:rsid w:val="0024624A"/>
    <w:rsid w:val="0024654A"/>
    <w:rsid w:val="00247055"/>
    <w:rsid w:val="00247779"/>
    <w:rsid w:val="00247B79"/>
    <w:rsid w:val="00247C72"/>
    <w:rsid w:val="0025120F"/>
    <w:rsid w:val="0025155E"/>
    <w:rsid w:val="00251A6E"/>
    <w:rsid w:val="00252E1E"/>
    <w:rsid w:val="002531B1"/>
    <w:rsid w:val="00253AD8"/>
    <w:rsid w:val="002541EC"/>
    <w:rsid w:val="0025438E"/>
    <w:rsid w:val="00254923"/>
    <w:rsid w:val="0025600F"/>
    <w:rsid w:val="002564BB"/>
    <w:rsid w:val="00256641"/>
    <w:rsid w:val="00256903"/>
    <w:rsid w:val="00260643"/>
    <w:rsid w:val="002616A5"/>
    <w:rsid w:val="00261E45"/>
    <w:rsid w:val="00261EFC"/>
    <w:rsid w:val="00262674"/>
    <w:rsid w:val="0026292D"/>
    <w:rsid w:val="00263064"/>
    <w:rsid w:val="0026346F"/>
    <w:rsid w:val="00263C08"/>
    <w:rsid w:val="0026528B"/>
    <w:rsid w:val="002653B6"/>
    <w:rsid w:val="00265B64"/>
    <w:rsid w:val="00267566"/>
    <w:rsid w:val="0026781A"/>
    <w:rsid w:val="00270263"/>
    <w:rsid w:val="002707EC"/>
    <w:rsid w:val="002708D3"/>
    <w:rsid w:val="002710FB"/>
    <w:rsid w:val="00271FE7"/>
    <w:rsid w:val="0027336E"/>
    <w:rsid w:val="002735D2"/>
    <w:rsid w:val="00273CFE"/>
    <w:rsid w:val="002752F0"/>
    <w:rsid w:val="00275DE6"/>
    <w:rsid w:val="00275E72"/>
    <w:rsid w:val="00276800"/>
    <w:rsid w:val="00276CDB"/>
    <w:rsid w:val="0027739B"/>
    <w:rsid w:val="00280DFE"/>
    <w:rsid w:val="002815FF"/>
    <w:rsid w:val="00281FDD"/>
    <w:rsid w:val="00282B53"/>
    <w:rsid w:val="0028520A"/>
    <w:rsid w:val="00285BEE"/>
    <w:rsid w:val="00285E9B"/>
    <w:rsid w:val="00285F5E"/>
    <w:rsid w:val="002872FB"/>
    <w:rsid w:val="0028789A"/>
    <w:rsid w:val="002902B0"/>
    <w:rsid w:val="0029075F"/>
    <w:rsid w:val="00290DC1"/>
    <w:rsid w:val="00290DC8"/>
    <w:rsid w:val="00291112"/>
    <w:rsid w:val="0029161D"/>
    <w:rsid w:val="00291B69"/>
    <w:rsid w:val="002922E2"/>
    <w:rsid w:val="00292381"/>
    <w:rsid w:val="002923CD"/>
    <w:rsid w:val="00292B29"/>
    <w:rsid w:val="002930B0"/>
    <w:rsid w:val="00293159"/>
    <w:rsid w:val="00293F17"/>
    <w:rsid w:val="0029484E"/>
    <w:rsid w:val="00294ECB"/>
    <w:rsid w:val="0029533F"/>
    <w:rsid w:val="0029546D"/>
    <w:rsid w:val="002958E9"/>
    <w:rsid w:val="00297114"/>
    <w:rsid w:val="002976A8"/>
    <w:rsid w:val="00297FBB"/>
    <w:rsid w:val="002A00FA"/>
    <w:rsid w:val="002A0366"/>
    <w:rsid w:val="002A0D1E"/>
    <w:rsid w:val="002A1A3B"/>
    <w:rsid w:val="002A1DE9"/>
    <w:rsid w:val="002A1F6D"/>
    <w:rsid w:val="002A2B2C"/>
    <w:rsid w:val="002A30C7"/>
    <w:rsid w:val="002A33A3"/>
    <w:rsid w:val="002A520A"/>
    <w:rsid w:val="002A526D"/>
    <w:rsid w:val="002A529A"/>
    <w:rsid w:val="002A596A"/>
    <w:rsid w:val="002A5B15"/>
    <w:rsid w:val="002B0217"/>
    <w:rsid w:val="002B16E7"/>
    <w:rsid w:val="002B1B6B"/>
    <w:rsid w:val="002B2440"/>
    <w:rsid w:val="002B30AF"/>
    <w:rsid w:val="002B5404"/>
    <w:rsid w:val="002B6357"/>
    <w:rsid w:val="002B6CCE"/>
    <w:rsid w:val="002B73CA"/>
    <w:rsid w:val="002C04A0"/>
    <w:rsid w:val="002C064E"/>
    <w:rsid w:val="002C0DE8"/>
    <w:rsid w:val="002C51B6"/>
    <w:rsid w:val="002C6CBC"/>
    <w:rsid w:val="002C7138"/>
    <w:rsid w:val="002C72BE"/>
    <w:rsid w:val="002D09EF"/>
    <w:rsid w:val="002D12E7"/>
    <w:rsid w:val="002D1A62"/>
    <w:rsid w:val="002D1C75"/>
    <w:rsid w:val="002D1F4B"/>
    <w:rsid w:val="002D2D2B"/>
    <w:rsid w:val="002D3760"/>
    <w:rsid w:val="002D4450"/>
    <w:rsid w:val="002D50E6"/>
    <w:rsid w:val="002D59DF"/>
    <w:rsid w:val="002D5ABF"/>
    <w:rsid w:val="002D610D"/>
    <w:rsid w:val="002D6706"/>
    <w:rsid w:val="002D6E92"/>
    <w:rsid w:val="002D703F"/>
    <w:rsid w:val="002E0A92"/>
    <w:rsid w:val="002E1B1E"/>
    <w:rsid w:val="002E22DE"/>
    <w:rsid w:val="002E3826"/>
    <w:rsid w:val="002E66B3"/>
    <w:rsid w:val="002E76E8"/>
    <w:rsid w:val="002F01E9"/>
    <w:rsid w:val="002F0B57"/>
    <w:rsid w:val="002F0BC9"/>
    <w:rsid w:val="002F1D63"/>
    <w:rsid w:val="002F265A"/>
    <w:rsid w:val="002F3171"/>
    <w:rsid w:val="002F34F2"/>
    <w:rsid w:val="002F3EA9"/>
    <w:rsid w:val="002F4773"/>
    <w:rsid w:val="002F5643"/>
    <w:rsid w:val="002F5D25"/>
    <w:rsid w:val="002F6E87"/>
    <w:rsid w:val="002F757C"/>
    <w:rsid w:val="002F7A2C"/>
    <w:rsid w:val="003008B6"/>
    <w:rsid w:val="00300AA9"/>
    <w:rsid w:val="00301F7D"/>
    <w:rsid w:val="00302CC9"/>
    <w:rsid w:val="003035FF"/>
    <w:rsid w:val="00303A5E"/>
    <w:rsid w:val="00303AF9"/>
    <w:rsid w:val="00304103"/>
    <w:rsid w:val="00304682"/>
    <w:rsid w:val="00304AE2"/>
    <w:rsid w:val="00304E94"/>
    <w:rsid w:val="00305AE9"/>
    <w:rsid w:val="00305DB3"/>
    <w:rsid w:val="00305F9C"/>
    <w:rsid w:val="003064AA"/>
    <w:rsid w:val="00307288"/>
    <w:rsid w:val="0030744B"/>
    <w:rsid w:val="00307463"/>
    <w:rsid w:val="003074AB"/>
    <w:rsid w:val="0031032C"/>
    <w:rsid w:val="00310523"/>
    <w:rsid w:val="00310F64"/>
    <w:rsid w:val="00312922"/>
    <w:rsid w:val="0031331A"/>
    <w:rsid w:val="003133D2"/>
    <w:rsid w:val="003136D4"/>
    <w:rsid w:val="0031494E"/>
    <w:rsid w:val="0031650A"/>
    <w:rsid w:val="003170C8"/>
    <w:rsid w:val="00320A43"/>
    <w:rsid w:val="00320F9F"/>
    <w:rsid w:val="00320FFB"/>
    <w:rsid w:val="00321158"/>
    <w:rsid w:val="00321C4D"/>
    <w:rsid w:val="00321F25"/>
    <w:rsid w:val="00322159"/>
    <w:rsid w:val="00322E7F"/>
    <w:rsid w:val="00323997"/>
    <w:rsid w:val="00323F73"/>
    <w:rsid w:val="00324741"/>
    <w:rsid w:val="00324C84"/>
    <w:rsid w:val="00324CCD"/>
    <w:rsid w:val="0032532D"/>
    <w:rsid w:val="0032541F"/>
    <w:rsid w:val="0032626B"/>
    <w:rsid w:val="0032693D"/>
    <w:rsid w:val="00326B79"/>
    <w:rsid w:val="00326DAD"/>
    <w:rsid w:val="00326EAE"/>
    <w:rsid w:val="00326F47"/>
    <w:rsid w:val="003270FB"/>
    <w:rsid w:val="0032784F"/>
    <w:rsid w:val="003279D4"/>
    <w:rsid w:val="003279E5"/>
    <w:rsid w:val="00331A96"/>
    <w:rsid w:val="00331F4C"/>
    <w:rsid w:val="00332346"/>
    <w:rsid w:val="00332809"/>
    <w:rsid w:val="0033344A"/>
    <w:rsid w:val="00333941"/>
    <w:rsid w:val="00333DCA"/>
    <w:rsid w:val="00334693"/>
    <w:rsid w:val="0033493C"/>
    <w:rsid w:val="00335134"/>
    <w:rsid w:val="00336215"/>
    <w:rsid w:val="0033656F"/>
    <w:rsid w:val="003371BF"/>
    <w:rsid w:val="003374F0"/>
    <w:rsid w:val="0033766D"/>
    <w:rsid w:val="003379B1"/>
    <w:rsid w:val="003379DC"/>
    <w:rsid w:val="003408C0"/>
    <w:rsid w:val="00340CD7"/>
    <w:rsid w:val="00340DFF"/>
    <w:rsid w:val="00340E58"/>
    <w:rsid w:val="00341426"/>
    <w:rsid w:val="003417EE"/>
    <w:rsid w:val="00341822"/>
    <w:rsid w:val="00341CBC"/>
    <w:rsid w:val="00341FE4"/>
    <w:rsid w:val="003423E7"/>
    <w:rsid w:val="00342708"/>
    <w:rsid w:val="00342C6C"/>
    <w:rsid w:val="0034372F"/>
    <w:rsid w:val="00343A0C"/>
    <w:rsid w:val="00343FFE"/>
    <w:rsid w:val="0034549D"/>
    <w:rsid w:val="00345919"/>
    <w:rsid w:val="00345AAE"/>
    <w:rsid w:val="00345AC4"/>
    <w:rsid w:val="0034727D"/>
    <w:rsid w:val="00347BDE"/>
    <w:rsid w:val="0035070C"/>
    <w:rsid w:val="00350AC6"/>
    <w:rsid w:val="00350C0A"/>
    <w:rsid w:val="00350DCC"/>
    <w:rsid w:val="0035313B"/>
    <w:rsid w:val="003536E4"/>
    <w:rsid w:val="003540A9"/>
    <w:rsid w:val="003543A8"/>
    <w:rsid w:val="00354FEC"/>
    <w:rsid w:val="00356157"/>
    <w:rsid w:val="003561A6"/>
    <w:rsid w:val="0035666C"/>
    <w:rsid w:val="00356831"/>
    <w:rsid w:val="00357A6E"/>
    <w:rsid w:val="00357FA8"/>
    <w:rsid w:val="00360205"/>
    <w:rsid w:val="00360B70"/>
    <w:rsid w:val="003625BA"/>
    <w:rsid w:val="0036366C"/>
    <w:rsid w:val="00363A8F"/>
    <w:rsid w:val="00364057"/>
    <w:rsid w:val="003640AB"/>
    <w:rsid w:val="0036412B"/>
    <w:rsid w:val="003643D5"/>
    <w:rsid w:val="00365391"/>
    <w:rsid w:val="003653B5"/>
    <w:rsid w:val="003654EB"/>
    <w:rsid w:val="003655DB"/>
    <w:rsid w:val="00365B48"/>
    <w:rsid w:val="00366745"/>
    <w:rsid w:val="00366ACB"/>
    <w:rsid w:val="00367F77"/>
    <w:rsid w:val="003714EE"/>
    <w:rsid w:val="00372B01"/>
    <w:rsid w:val="00373FA0"/>
    <w:rsid w:val="00373FC3"/>
    <w:rsid w:val="00374B40"/>
    <w:rsid w:val="00374D8E"/>
    <w:rsid w:val="003754DC"/>
    <w:rsid w:val="00375D75"/>
    <w:rsid w:val="00375ED8"/>
    <w:rsid w:val="00376CA0"/>
    <w:rsid w:val="00376D77"/>
    <w:rsid w:val="003772F1"/>
    <w:rsid w:val="003774F6"/>
    <w:rsid w:val="00380337"/>
    <w:rsid w:val="003805DE"/>
    <w:rsid w:val="003810E5"/>
    <w:rsid w:val="00381986"/>
    <w:rsid w:val="00381E33"/>
    <w:rsid w:val="003831B1"/>
    <w:rsid w:val="0038328D"/>
    <w:rsid w:val="00383756"/>
    <w:rsid w:val="00384763"/>
    <w:rsid w:val="00386603"/>
    <w:rsid w:val="0038661C"/>
    <w:rsid w:val="003868AF"/>
    <w:rsid w:val="00386B62"/>
    <w:rsid w:val="00386C2A"/>
    <w:rsid w:val="00387651"/>
    <w:rsid w:val="00387769"/>
    <w:rsid w:val="00387BCD"/>
    <w:rsid w:val="00387C9B"/>
    <w:rsid w:val="0039063A"/>
    <w:rsid w:val="00391FD2"/>
    <w:rsid w:val="003922D0"/>
    <w:rsid w:val="003926B6"/>
    <w:rsid w:val="00392A25"/>
    <w:rsid w:val="00392DCB"/>
    <w:rsid w:val="003933D2"/>
    <w:rsid w:val="00393534"/>
    <w:rsid w:val="00393F3B"/>
    <w:rsid w:val="003956FA"/>
    <w:rsid w:val="00395ADB"/>
    <w:rsid w:val="00396076"/>
    <w:rsid w:val="0039660A"/>
    <w:rsid w:val="0039708B"/>
    <w:rsid w:val="003A0C05"/>
    <w:rsid w:val="003A1A87"/>
    <w:rsid w:val="003A1AA8"/>
    <w:rsid w:val="003A1E78"/>
    <w:rsid w:val="003A4B5B"/>
    <w:rsid w:val="003A5040"/>
    <w:rsid w:val="003A509B"/>
    <w:rsid w:val="003A65BE"/>
    <w:rsid w:val="003A70ED"/>
    <w:rsid w:val="003A7F52"/>
    <w:rsid w:val="003B0095"/>
    <w:rsid w:val="003B0D4F"/>
    <w:rsid w:val="003B217A"/>
    <w:rsid w:val="003B30E4"/>
    <w:rsid w:val="003B409E"/>
    <w:rsid w:val="003B5B49"/>
    <w:rsid w:val="003B623E"/>
    <w:rsid w:val="003B65D9"/>
    <w:rsid w:val="003B754E"/>
    <w:rsid w:val="003B7A17"/>
    <w:rsid w:val="003C0AE3"/>
    <w:rsid w:val="003C1095"/>
    <w:rsid w:val="003C230D"/>
    <w:rsid w:val="003C2343"/>
    <w:rsid w:val="003C2687"/>
    <w:rsid w:val="003C31FF"/>
    <w:rsid w:val="003C3B0D"/>
    <w:rsid w:val="003C6ABC"/>
    <w:rsid w:val="003C6DC3"/>
    <w:rsid w:val="003C7225"/>
    <w:rsid w:val="003D28C5"/>
    <w:rsid w:val="003D2D2C"/>
    <w:rsid w:val="003D330C"/>
    <w:rsid w:val="003D4174"/>
    <w:rsid w:val="003D520B"/>
    <w:rsid w:val="003D5933"/>
    <w:rsid w:val="003D616D"/>
    <w:rsid w:val="003D722F"/>
    <w:rsid w:val="003D7A3F"/>
    <w:rsid w:val="003D7EA9"/>
    <w:rsid w:val="003E0B90"/>
    <w:rsid w:val="003E22E6"/>
    <w:rsid w:val="003E4460"/>
    <w:rsid w:val="003E4B89"/>
    <w:rsid w:val="003E4C64"/>
    <w:rsid w:val="003E52C2"/>
    <w:rsid w:val="003E550C"/>
    <w:rsid w:val="003E6E1C"/>
    <w:rsid w:val="003E6E65"/>
    <w:rsid w:val="003F16EF"/>
    <w:rsid w:val="003F1F7B"/>
    <w:rsid w:val="003F28EC"/>
    <w:rsid w:val="003F2F6F"/>
    <w:rsid w:val="003F357E"/>
    <w:rsid w:val="003F3651"/>
    <w:rsid w:val="003F3CF4"/>
    <w:rsid w:val="003F3E8C"/>
    <w:rsid w:val="003F5006"/>
    <w:rsid w:val="003F6183"/>
    <w:rsid w:val="003F6BEA"/>
    <w:rsid w:val="003F7E06"/>
    <w:rsid w:val="00400081"/>
    <w:rsid w:val="0040029C"/>
    <w:rsid w:val="004004BF"/>
    <w:rsid w:val="00400D48"/>
    <w:rsid w:val="00400FAE"/>
    <w:rsid w:val="004027E6"/>
    <w:rsid w:val="00403222"/>
    <w:rsid w:val="00404B56"/>
    <w:rsid w:val="00404E37"/>
    <w:rsid w:val="0040525C"/>
    <w:rsid w:val="00407063"/>
    <w:rsid w:val="00407B9A"/>
    <w:rsid w:val="00410930"/>
    <w:rsid w:val="00410FA8"/>
    <w:rsid w:val="00411899"/>
    <w:rsid w:val="004122A7"/>
    <w:rsid w:val="004125C2"/>
    <w:rsid w:val="00412FD7"/>
    <w:rsid w:val="0041387B"/>
    <w:rsid w:val="00413B9C"/>
    <w:rsid w:val="00413C6F"/>
    <w:rsid w:val="00413D07"/>
    <w:rsid w:val="004145FD"/>
    <w:rsid w:val="0041533A"/>
    <w:rsid w:val="00415465"/>
    <w:rsid w:val="0041656D"/>
    <w:rsid w:val="0041753B"/>
    <w:rsid w:val="00420746"/>
    <w:rsid w:val="0042163E"/>
    <w:rsid w:val="00422CDF"/>
    <w:rsid w:val="00423CEA"/>
    <w:rsid w:val="00424715"/>
    <w:rsid w:val="00424B54"/>
    <w:rsid w:val="00424E12"/>
    <w:rsid w:val="0042648E"/>
    <w:rsid w:val="00426679"/>
    <w:rsid w:val="004268BD"/>
    <w:rsid w:val="00426CE4"/>
    <w:rsid w:val="004300DD"/>
    <w:rsid w:val="004307DE"/>
    <w:rsid w:val="00430AC1"/>
    <w:rsid w:val="00430E5D"/>
    <w:rsid w:val="004315C3"/>
    <w:rsid w:val="00431AFA"/>
    <w:rsid w:val="00433485"/>
    <w:rsid w:val="00435375"/>
    <w:rsid w:val="00435645"/>
    <w:rsid w:val="00435A0C"/>
    <w:rsid w:val="00437AFE"/>
    <w:rsid w:val="0044106B"/>
    <w:rsid w:val="004412E4"/>
    <w:rsid w:val="00442B0A"/>
    <w:rsid w:val="004431FC"/>
    <w:rsid w:val="00443C25"/>
    <w:rsid w:val="0044400F"/>
    <w:rsid w:val="00444B3D"/>
    <w:rsid w:val="00445C6E"/>
    <w:rsid w:val="00445E06"/>
    <w:rsid w:val="0044783B"/>
    <w:rsid w:val="004503D1"/>
    <w:rsid w:val="004515FC"/>
    <w:rsid w:val="00451A73"/>
    <w:rsid w:val="00452C63"/>
    <w:rsid w:val="00452CD9"/>
    <w:rsid w:val="00453309"/>
    <w:rsid w:val="00453B8A"/>
    <w:rsid w:val="00454074"/>
    <w:rsid w:val="00455FD7"/>
    <w:rsid w:val="00456511"/>
    <w:rsid w:val="004571D1"/>
    <w:rsid w:val="00457275"/>
    <w:rsid w:val="0045740F"/>
    <w:rsid w:val="00461F85"/>
    <w:rsid w:val="00462162"/>
    <w:rsid w:val="00462628"/>
    <w:rsid w:val="00462E45"/>
    <w:rsid w:val="004630CA"/>
    <w:rsid w:val="00464A03"/>
    <w:rsid w:val="004652A5"/>
    <w:rsid w:val="004663BD"/>
    <w:rsid w:val="004669A8"/>
    <w:rsid w:val="004673A4"/>
    <w:rsid w:val="004673B0"/>
    <w:rsid w:val="004675D1"/>
    <w:rsid w:val="00471990"/>
    <w:rsid w:val="00472401"/>
    <w:rsid w:val="00472416"/>
    <w:rsid w:val="0047348B"/>
    <w:rsid w:val="004738D9"/>
    <w:rsid w:val="00473DB7"/>
    <w:rsid w:val="004745D8"/>
    <w:rsid w:val="0047564D"/>
    <w:rsid w:val="004758AB"/>
    <w:rsid w:val="00477C13"/>
    <w:rsid w:val="00480771"/>
    <w:rsid w:val="00480BA4"/>
    <w:rsid w:val="004827CE"/>
    <w:rsid w:val="0048288A"/>
    <w:rsid w:val="00482991"/>
    <w:rsid w:val="00482DD5"/>
    <w:rsid w:val="0048361A"/>
    <w:rsid w:val="00483C81"/>
    <w:rsid w:val="004846E0"/>
    <w:rsid w:val="00484C8C"/>
    <w:rsid w:val="0048515B"/>
    <w:rsid w:val="0048551F"/>
    <w:rsid w:val="00485F3F"/>
    <w:rsid w:val="004867C2"/>
    <w:rsid w:val="004878F6"/>
    <w:rsid w:val="004907D9"/>
    <w:rsid w:val="00491215"/>
    <w:rsid w:val="00491694"/>
    <w:rsid w:val="0049213B"/>
    <w:rsid w:val="004925ED"/>
    <w:rsid w:val="004930BD"/>
    <w:rsid w:val="004936D2"/>
    <w:rsid w:val="004948C5"/>
    <w:rsid w:val="00494B3B"/>
    <w:rsid w:val="00496FF6"/>
    <w:rsid w:val="00497515"/>
    <w:rsid w:val="00497D6C"/>
    <w:rsid w:val="004A044D"/>
    <w:rsid w:val="004A0564"/>
    <w:rsid w:val="004A076F"/>
    <w:rsid w:val="004A1186"/>
    <w:rsid w:val="004A171D"/>
    <w:rsid w:val="004A187D"/>
    <w:rsid w:val="004A3034"/>
    <w:rsid w:val="004A31E4"/>
    <w:rsid w:val="004A3B7D"/>
    <w:rsid w:val="004A3CE0"/>
    <w:rsid w:val="004A4725"/>
    <w:rsid w:val="004A5C8F"/>
    <w:rsid w:val="004A5DFA"/>
    <w:rsid w:val="004A6865"/>
    <w:rsid w:val="004A6E2A"/>
    <w:rsid w:val="004B0D38"/>
    <w:rsid w:val="004B1135"/>
    <w:rsid w:val="004B3C56"/>
    <w:rsid w:val="004B53D4"/>
    <w:rsid w:val="004B68D6"/>
    <w:rsid w:val="004B7D4F"/>
    <w:rsid w:val="004C3CF1"/>
    <w:rsid w:val="004C40E5"/>
    <w:rsid w:val="004C5205"/>
    <w:rsid w:val="004C607E"/>
    <w:rsid w:val="004C77E5"/>
    <w:rsid w:val="004D09F0"/>
    <w:rsid w:val="004D14E4"/>
    <w:rsid w:val="004D1501"/>
    <w:rsid w:val="004D1635"/>
    <w:rsid w:val="004D1C16"/>
    <w:rsid w:val="004D2478"/>
    <w:rsid w:val="004D2679"/>
    <w:rsid w:val="004D28EC"/>
    <w:rsid w:val="004D2B73"/>
    <w:rsid w:val="004D42FB"/>
    <w:rsid w:val="004D4BB1"/>
    <w:rsid w:val="004D5786"/>
    <w:rsid w:val="004D5F2B"/>
    <w:rsid w:val="004D5FDE"/>
    <w:rsid w:val="004D61DE"/>
    <w:rsid w:val="004D6253"/>
    <w:rsid w:val="004D64E3"/>
    <w:rsid w:val="004D661D"/>
    <w:rsid w:val="004D6D1A"/>
    <w:rsid w:val="004D7799"/>
    <w:rsid w:val="004E01E7"/>
    <w:rsid w:val="004E0962"/>
    <w:rsid w:val="004E2259"/>
    <w:rsid w:val="004E376A"/>
    <w:rsid w:val="004E4E91"/>
    <w:rsid w:val="004E619F"/>
    <w:rsid w:val="004E6574"/>
    <w:rsid w:val="004F12CE"/>
    <w:rsid w:val="004F2911"/>
    <w:rsid w:val="004F5BE9"/>
    <w:rsid w:val="004F5FD1"/>
    <w:rsid w:val="004F63C6"/>
    <w:rsid w:val="004F69B3"/>
    <w:rsid w:val="004F6F21"/>
    <w:rsid w:val="004F7D76"/>
    <w:rsid w:val="004F7E5F"/>
    <w:rsid w:val="00503114"/>
    <w:rsid w:val="00503C94"/>
    <w:rsid w:val="00504069"/>
    <w:rsid w:val="0050455E"/>
    <w:rsid w:val="00505CD0"/>
    <w:rsid w:val="00506633"/>
    <w:rsid w:val="0050668E"/>
    <w:rsid w:val="00507228"/>
    <w:rsid w:val="00507B5B"/>
    <w:rsid w:val="00507C7D"/>
    <w:rsid w:val="00507CBC"/>
    <w:rsid w:val="00507EBB"/>
    <w:rsid w:val="0051080D"/>
    <w:rsid w:val="005109FC"/>
    <w:rsid w:val="00510EB6"/>
    <w:rsid w:val="005113A2"/>
    <w:rsid w:val="00511793"/>
    <w:rsid w:val="00511FAF"/>
    <w:rsid w:val="005123A5"/>
    <w:rsid w:val="00514473"/>
    <w:rsid w:val="0051451F"/>
    <w:rsid w:val="00514F92"/>
    <w:rsid w:val="0051528D"/>
    <w:rsid w:val="00515F3C"/>
    <w:rsid w:val="0051634C"/>
    <w:rsid w:val="00516C13"/>
    <w:rsid w:val="00516D86"/>
    <w:rsid w:val="00516F2B"/>
    <w:rsid w:val="00517F8F"/>
    <w:rsid w:val="00520719"/>
    <w:rsid w:val="00521664"/>
    <w:rsid w:val="00521A34"/>
    <w:rsid w:val="00522545"/>
    <w:rsid w:val="00523C42"/>
    <w:rsid w:val="00524414"/>
    <w:rsid w:val="005248B9"/>
    <w:rsid w:val="005248E1"/>
    <w:rsid w:val="00525F68"/>
    <w:rsid w:val="00526FD9"/>
    <w:rsid w:val="005273D5"/>
    <w:rsid w:val="00527B66"/>
    <w:rsid w:val="0053194E"/>
    <w:rsid w:val="00531994"/>
    <w:rsid w:val="00531BEE"/>
    <w:rsid w:val="0053236F"/>
    <w:rsid w:val="005325B2"/>
    <w:rsid w:val="00532C98"/>
    <w:rsid w:val="00532EE7"/>
    <w:rsid w:val="0053308B"/>
    <w:rsid w:val="005344CB"/>
    <w:rsid w:val="00534E44"/>
    <w:rsid w:val="005350F8"/>
    <w:rsid w:val="00535402"/>
    <w:rsid w:val="0053683D"/>
    <w:rsid w:val="0053693A"/>
    <w:rsid w:val="00536973"/>
    <w:rsid w:val="00536CAF"/>
    <w:rsid w:val="00541E1E"/>
    <w:rsid w:val="005429F2"/>
    <w:rsid w:val="0054320B"/>
    <w:rsid w:val="00543522"/>
    <w:rsid w:val="00543860"/>
    <w:rsid w:val="00543919"/>
    <w:rsid w:val="005443D3"/>
    <w:rsid w:val="0054499F"/>
    <w:rsid w:val="0054534C"/>
    <w:rsid w:val="005459DC"/>
    <w:rsid w:val="00545EB8"/>
    <w:rsid w:val="00546918"/>
    <w:rsid w:val="00547FE7"/>
    <w:rsid w:val="00551837"/>
    <w:rsid w:val="00552039"/>
    <w:rsid w:val="00552384"/>
    <w:rsid w:val="005525C3"/>
    <w:rsid w:val="00552CF5"/>
    <w:rsid w:val="005538E5"/>
    <w:rsid w:val="00553A3F"/>
    <w:rsid w:val="00553CB3"/>
    <w:rsid w:val="00553F30"/>
    <w:rsid w:val="005544C7"/>
    <w:rsid w:val="00555136"/>
    <w:rsid w:val="0055636D"/>
    <w:rsid w:val="00560A4D"/>
    <w:rsid w:val="00561331"/>
    <w:rsid w:val="0056195C"/>
    <w:rsid w:val="00562010"/>
    <w:rsid w:val="00562123"/>
    <w:rsid w:val="0056216D"/>
    <w:rsid w:val="00562B86"/>
    <w:rsid w:val="00563599"/>
    <w:rsid w:val="005638A4"/>
    <w:rsid w:val="0056398B"/>
    <w:rsid w:val="00564E51"/>
    <w:rsid w:val="00564ED1"/>
    <w:rsid w:val="005650D8"/>
    <w:rsid w:val="005652A6"/>
    <w:rsid w:val="00567E6B"/>
    <w:rsid w:val="00570377"/>
    <w:rsid w:val="0057148F"/>
    <w:rsid w:val="005724D2"/>
    <w:rsid w:val="005733F2"/>
    <w:rsid w:val="0057472D"/>
    <w:rsid w:val="005752AD"/>
    <w:rsid w:val="00575735"/>
    <w:rsid w:val="0058038B"/>
    <w:rsid w:val="00580403"/>
    <w:rsid w:val="00580952"/>
    <w:rsid w:val="00580CF4"/>
    <w:rsid w:val="00581ED0"/>
    <w:rsid w:val="00581F65"/>
    <w:rsid w:val="00582229"/>
    <w:rsid w:val="00582E0A"/>
    <w:rsid w:val="00585433"/>
    <w:rsid w:val="005861F9"/>
    <w:rsid w:val="00586469"/>
    <w:rsid w:val="00587507"/>
    <w:rsid w:val="0058762B"/>
    <w:rsid w:val="00590964"/>
    <w:rsid w:val="00591681"/>
    <w:rsid w:val="00592816"/>
    <w:rsid w:val="00592E92"/>
    <w:rsid w:val="00592FE8"/>
    <w:rsid w:val="005935EA"/>
    <w:rsid w:val="005954F7"/>
    <w:rsid w:val="00595C6B"/>
    <w:rsid w:val="00596366"/>
    <w:rsid w:val="0059659E"/>
    <w:rsid w:val="00596632"/>
    <w:rsid w:val="00596D0F"/>
    <w:rsid w:val="005970A3"/>
    <w:rsid w:val="0059744F"/>
    <w:rsid w:val="005A0083"/>
    <w:rsid w:val="005A06C0"/>
    <w:rsid w:val="005A0BDE"/>
    <w:rsid w:val="005A1033"/>
    <w:rsid w:val="005A1648"/>
    <w:rsid w:val="005A16D4"/>
    <w:rsid w:val="005A16E3"/>
    <w:rsid w:val="005A19B2"/>
    <w:rsid w:val="005A20C0"/>
    <w:rsid w:val="005A3482"/>
    <w:rsid w:val="005A3567"/>
    <w:rsid w:val="005A3DDC"/>
    <w:rsid w:val="005A46EE"/>
    <w:rsid w:val="005A5352"/>
    <w:rsid w:val="005A5860"/>
    <w:rsid w:val="005A5894"/>
    <w:rsid w:val="005A67E7"/>
    <w:rsid w:val="005A7C94"/>
    <w:rsid w:val="005B05EF"/>
    <w:rsid w:val="005B0A6D"/>
    <w:rsid w:val="005B0C4F"/>
    <w:rsid w:val="005B1EB6"/>
    <w:rsid w:val="005B2C6C"/>
    <w:rsid w:val="005B43DA"/>
    <w:rsid w:val="005B51C9"/>
    <w:rsid w:val="005B726C"/>
    <w:rsid w:val="005B73E4"/>
    <w:rsid w:val="005C0F38"/>
    <w:rsid w:val="005C10AE"/>
    <w:rsid w:val="005C1101"/>
    <w:rsid w:val="005C1294"/>
    <w:rsid w:val="005C1A33"/>
    <w:rsid w:val="005C1A8B"/>
    <w:rsid w:val="005C1D6A"/>
    <w:rsid w:val="005C1E93"/>
    <w:rsid w:val="005C1ED8"/>
    <w:rsid w:val="005C2354"/>
    <w:rsid w:val="005C2B33"/>
    <w:rsid w:val="005C3C0E"/>
    <w:rsid w:val="005C4756"/>
    <w:rsid w:val="005C62DE"/>
    <w:rsid w:val="005C62E2"/>
    <w:rsid w:val="005C65B7"/>
    <w:rsid w:val="005C6FF0"/>
    <w:rsid w:val="005C73F4"/>
    <w:rsid w:val="005D0C54"/>
    <w:rsid w:val="005D1EF6"/>
    <w:rsid w:val="005D20BF"/>
    <w:rsid w:val="005D218A"/>
    <w:rsid w:val="005D2718"/>
    <w:rsid w:val="005D41C1"/>
    <w:rsid w:val="005D4367"/>
    <w:rsid w:val="005D4FE8"/>
    <w:rsid w:val="005D7104"/>
    <w:rsid w:val="005D76E1"/>
    <w:rsid w:val="005E145D"/>
    <w:rsid w:val="005E2C8B"/>
    <w:rsid w:val="005E34F2"/>
    <w:rsid w:val="005E3896"/>
    <w:rsid w:val="005E3DF6"/>
    <w:rsid w:val="005E442B"/>
    <w:rsid w:val="005E450D"/>
    <w:rsid w:val="005E4F88"/>
    <w:rsid w:val="005E547D"/>
    <w:rsid w:val="005E5E86"/>
    <w:rsid w:val="005E64BA"/>
    <w:rsid w:val="005E6DF3"/>
    <w:rsid w:val="005F03B3"/>
    <w:rsid w:val="005F1C8D"/>
    <w:rsid w:val="005F1E86"/>
    <w:rsid w:val="005F2036"/>
    <w:rsid w:val="005F3646"/>
    <w:rsid w:val="005F429A"/>
    <w:rsid w:val="005F45E1"/>
    <w:rsid w:val="005F497E"/>
    <w:rsid w:val="005F49D6"/>
    <w:rsid w:val="005F4D67"/>
    <w:rsid w:val="005F50F7"/>
    <w:rsid w:val="005F5197"/>
    <w:rsid w:val="005F55F2"/>
    <w:rsid w:val="005F5884"/>
    <w:rsid w:val="005F633D"/>
    <w:rsid w:val="005F69F0"/>
    <w:rsid w:val="00602699"/>
    <w:rsid w:val="00603024"/>
    <w:rsid w:val="006033F2"/>
    <w:rsid w:val="00603B0A"/>
    <w:rsid w:val="00604AD9"/>
    <w:rsid w:val="006054B5"/>
    <w:rsid w:val="00605652"/>
    <w:rsid w:val="00605D5A"/>
    <w:rsid w:val="0060600D"/>
    <w:rsid w:val="00606257"/>
    <w:rsid w:val="006063EB"/>
    <w:rsid w:val="00607570"/>
    <w:rsid w:val="006077CC"/>
    <w:rsid w:val="0061011D"/>
    <w:rsid w:val="0061192C"/>
    <w:rsid w:val="00612A6E"/>
    <w:rsid w:val="00613B6C"/>
    <w:rsid w:val="00615278"/>
    <w:rsid w:val="00616339"/>
    <w:rsid w:val="00616387"/>
    <w:rsid w:val="00616BBD"/>
    <w:rsid w:val="00617A3A"/>
    <w:rsid w:val="00621404"/>
    <w:rsid w:val="00621786"/>
    <w:rsid w:val="0062219C"/>
    <w:rsid w:val="006223EB"/>
    <w:rsid w:val="00622471"/>
    <w:rsid w:val="00622C2A"/>
    <w:rsid w:val="006239CC"/>
    <w:rsid w:val="00626453"/>
    <w:rsid w:val="0062766E"/>
    <w:rsid w:val="00628027"/>
    <w:rsid w:val="00630093"/>
    <w:rsid w:val="006300B7"/>
    <w:rsid w:val="00630333"/>
    <w:rsid w:val="006304ED"/>
    <w:rsid w:val="0063091C"/>
    <w:rsid w:val="00630CB2"/>
    <w:rsid w:val="00632AF8"/>
    <w:rsid w:val="00632EC5"/>
    <w:rsid w:val="00633140"/>
    <w:rsid w:val="006359F0"/>
    <w:rsid w:val="00636A7D"/>
    <w:rsid w:val="00637CD8"/>
    <w:rsid w:val="006400D6"/>
    <w:rsid w:val="00640580"/>
    <w:rsid w:val="00641B89"/>
    <w:rsid w:val="00641E5D"/>
    <w:rsid w:val="00642123"/>
    <w:rsid w:val="00642BC0"/>
    <w:rsid w:val="00643C74"/>
    <w:rsid w:val="0064439D"/>
    <w:rsid w:val="00644980"/>
    <w:rsid w:val="00646298"/>
    <w:rsid w:val="00646A69"/>
    <w:rsid w:val="00647EE2"/>
    <w:rsid w:val="006504F8"/>
    <w:rsid w:val="00651226"/>
    <w:rsid w:val="006516B3"/>
    <w:rsid w:val="0065261F"/>
    <w:rsid w:val="0065287B"/>
    <w:rsid w:val="0065353A"/>
    <w:rsid w:val="00653960"/>
    <w:rsid w:val="00654682"/>
    <w:rsid w:val="00654B68"/>
    <w:rsid w:val="006554BB"/>
    <w:rsid w:val="00655992"/>
    <w:rsid w:val="00656351"/>
    <w:rsid w:val="00656994"/>
    <w:rsid w:val="00657391"/>
    <w:rsid w:val="00657767"/>
    <w:rsid w:val="00657D6F"/>
    <w:rsid w:val="0066064A"/>
    <w:rsid w:val="00660877"/>
    <w:rsid w:val="0066382F"/>
    <w:rsid w:val="0066469D"/>
    <w:rsid w:val="0066505A"/>
    <w:rsid w:val="006658C7"/>
    <w:rsid w:val="00666663"/>
    <w:rsid w:val="00670006"/>
    <w:rsid w:val="00670045"/>
    <w:rsid w:val="00670249"/>
    <w:rsid w:val="00670F75"/>
    <w:rsid w:val="0067194B"/>
    <w:rsid w:val="00671A0D"/>
    <w:rsid w:val="00671E7D"/>
    <w:rsid w:val="00673ED1"/>
    <w:rsid w:val="00674372"/>
    <w:rsid w:val="00674DE3"/>
    <w:rsid w:val="00674F59"/>
    <w:rsid w:val="00675D85"/>
    <w:rsid w:val="00675F2F"/>
    <w:rsid w:val="00677E10"/>
    <w:rsid w:val="006803E3"/>
    <w:rsid w:val="006836BB"/>
    <w:rsid w:val="00683BEF"/>
    <w:rsid w:val="00684556"/>
    <w:rsid w:val="00685D82"/>
    <w:rsid w:val="00686E95"/>
    <w:rsid w:val="006873F1"/>
    <w:rsid w:val="00687539"/>
    <w:rsid w:val="00687E90"/>
    <w:rsid w:val="0069037E"/>
    <w:rsid w:val="00691054"/>
    <w:rsid w:val="00691FFE"/>
    <w:rsid w:val="00692712"/>
    <w:rsid w:val="00692AB7"/>
    <w:rsid w:val="0069300D"/>
    <w:rsid w:val="006932A0"/>
    <w:rsid w:val="006941CB"/>
    <w:rsid w:val="00694250"/>
    <w:rsid w:val="006948E5"/>
    <w:rsid w:val="0069506A"/>
    <w:rsid w:val="006953BA"/>
    <w:rsid w:val="00697BEF"/>
    <w:rsid w:val="00697D20"/>
    <w:rsid w:val="006A0164"/>
    <w:rsid w:val="006A34C1"/>
    <w:rsid w:val="006A41BA"/>
    <w:rsid w:val="006A475B"/>
    <w:rsid w:val="006A69B5"/>
    <w:rsid w:val="006A756C"/>
    <w:rsid w:val="006A7649"/>
    <w:rsid w:val="006A7EB6"/>
    <w:rsid w:val="006B0688"/>
    <w:rsid w:val="006B096D"/>
    <w:rsid w:val="006B15F3"/>
    <w:rsid w:val="006B1697"/>
    <w:rsid w:val="006B17FA"/>
    <w:rsid w:val="006B2803"/>
    <w:rsid w:val="006B342F"/>
    <w:rsid w:val="006B3D8E"/>
    <w:rsid w:val="006B401B"/>
    <w:rsid w:val="006B4418"/>
    <w:rsid w:val="006B5232"/>
    <w:rsid w:val="006B5301"/>
    <w:rsid w:val="006B58AE"/>
    <w:rsid w:val="006B61FF"/>
    <w:rsid w:val="006B715A"/>
    <w:rsid w:val="006B7B10"/>
    <w:rsid w:val="006B7EB3"/>
    <w:rsid w:val="006C0976"/>
    <w:rsid w:val="006C0CCA"/>
    <w:rsid w:val="006C3F20"/>
    <w:rsid w:val="006C4249"/>
    <w:rsid w:val="006C52B1"/>
    <w:rsid w:val="006C5CBC"/>
    <w:rsid w:val="006C658B"/>
    <w:rsid w:val="006C6B94"/>
    <w:rsid w:val="006C6F12"/>
    <w:rsid w:val="006D30A5"/>
    <w:rsid w:val="006D3BB0"/>
    <w:rsid w:val="006D3CBB"/>
    <w:rsid w:val="006D44CA"/>
    <w:rsid w:val="006D4A93"/>
    <w:rsid w:val="006D5B8D"/>
    <w:rsid w:val="006D5BAB"/>
    <w:rsid w:val="006D626D"/>
    <w:rsid w:val="006D6E04"/>
    <w:rsid w:val="006D751E"/>
    <w:rsid w:val="006D7982"/>
    <w:rsid w:val="006D7BD0"/>
    <w:rsid w:val="006D7C2C"/>
    <w:rsid w:val="006E0617"/>
    <w:rsid w:val="006E3207"/>
    <w:rsid w:val="006E36EC"/>
    <w:rsid w:val="006E3741"/>
    <w:rsid w:val="006E3D59"/>
    <w:rsid w:val="006E3FBE"/>
    <w:rsid w:val="006E41FD"/>
    <w:rsid w:val="006E4863"/>
    <w:rsid w:val="006E52EF"/>
    <w:rsid w:val="006E6328"/>
    <w:rsid w:val="006E6961"/>
    <w:rsid w:val="006E6D15"/>
    <w:rsid w:val="006E70F6"/>
    <w:rsid w:val="006E72C6"/>
    <w:rsid w:val="006E783C"/>
    <w:rsid w:val="006F0044"/>
    <w:rsid w:val="006F06BA"/>
    <w:rsid w:val="006F09B9"/>
    <w:rsid w:val="006F1271"/>
    <w:rsid w:val="006F13FA"/>
    <w:rsid w:val="006F1E07"/>
    <w:rsid w:val="006F20E3"/>
    <w:rsid w:val="006F3061"/>
    <w:rsid w:val="006F32B9"/>
    <w:rsid w:val="006F45FD"/>
    <w:rsid w:val="006F4A7A"/>
    <w:rsid w:val="006F5AF4"/>
    <w:rsid w:val="006F5E9E"/>
    <w:rsid w:val="006F644C"/>
    <w:rsid w:val="006F6699"/>
    <w:rsid w:val="006F6D88"/>
    <w:rsid w:val="006F70F9"/>
    <w:rsid w:val="007000C8"/>
    <w:rsid w:val="00701E1A"/>
    <w:rsid w:val="0070310A"/>
    <w:rsid w:val="00704424"/>
    <w:rsid w:val="0070701A"/>
    <w:rsid w:val="007076B0"/>
    <w:rsid w:val="00707B1F"/>
    <w:rsid w:val="00707E6F"/>
    <w:rsid w:val="00710692"/>
    <w:rsid w:val="0071192F"/>
    <w:rsid w:val="007128D1"/>
    <w:rsid w:val="00712CC5"/>
    <w:rsid w:val="00713827"/>
    <w:rsid w:val="007148D8"/>
    <w:rsid w:val="007152EA"/>
    <w:rsid w:val="00715557"/>
    <w:rsid w:val="007158D3"/>
    <w:rsid w:val="00715E86"/>
    <w:rsid w:val="007160D6"/>
    <w:rsid w:val="00716DEC"/>
    <w:rsid w:val="00720B2B"/>
    <w:rsid w:val="007211E5"/>
    <w:rsid w:val="007223C6"/>
    <w:rsid w:val="00723B75"/>
    <w:rsid w:val="0072433C"/>
    <w:rsid w:val="00724F97"/>
    <w:rsid w:val="007268D5"/>
    <w:rsid w:val="0072725A"/>
    <w:rsid w:val="007274AD"/>
    <w:rsid w:val="0073166A"/>
    <w:rsid w:val="0073299D"/>
    <w:rsid w:val="00733AD4"/>
    <w:rsid w:val="00734A3B"/>
    <w:rsid w:val="00734B1B"/>
    <w:rsid w:val="00736AEC"/>
    <w:rsid w:val="00736BC4"/>
    <w:rsid w:val="0073774B"/>
    <w:rsid w:val="007377C0"/>
    <w:rsid w:val="00737EF3"/>
    <w:rsid w:val="00740C00"/>
    <w:rsid w:val="00741177"/>
    <w:rsid w:val="00741619"/>
    <w:rsid w:val="0074274D"/>
    <w:rsid w:val="00742C5B"/>
    <w:rsid w:val="007434BC"/>
    <w:rsid w:val="0074357B"/>
    <w:rsid w:val="00743957"/>
    <w:rsid w:val="007439BC"/>
    <w:rsid w:val="00745144"/>
    <w:rsid w:val="007452A6"/>
    <w:rsid w:val="00745E0E"/>
    <w:rsid w:val="007467F8"/>
    <w:rsid w:val="007469FD"/>
    <w:rsid w:val="00746C99"/>
    <w:rsid w:val="00747003"/>
    <w:rsid w:val="00747295"/>
    <w:rsid w:val="00747DB1"/>
    <w:rsid w:val="00747ED4"/>
    <w:rsid w:val="00750C94"/>
    <w:rsid w:val="007515BC"/>
    <w:rsid w:val="00751982"/>
    <w:rsid w:val="007524F7"/>
    <w:rsid w:val="007559D5"/>
    <w:rsid w:val="00755BB8"/>
    <w:rsid w:val="00756BC1"/>
    <w:rsid w:val="00756C28"/>
    <w:rsid w:val="00757546"/>
    <w:rsid w:val="00757C35"/>
    <w:rsid w:val="0076094B"/>
    <w:rsid w:val="00760B81"/>
    <w:rsid w:val="00760BC0"/>
    <w:rsid w:val="00761B68"/>
    <w:rsid w:val="00764255"/>
    <w:rsid w:val="007642C7"/>
    <w:rsid w:val="007643DB"/>
    <w:rsid w:val="00764729"/>
    <w:rsid w:val="00765C71"/>
    <w:rsid w:val="00766BE7"/>
    <w:rsid w:val="00767297"/>
    <w:rsid w:val="0076792A"/>
    <w:rsid w:val="00770FF5"/>
    <w:rsid w:val="00771715"/>
    <w:rsid w:val="00771813"/>
    <w:rsid w:val="00771C3D"/>
    <w:rsid w:val="00773331"/>
    <w:rsid w:val="007735F6"/>
    <w:rsid w:val="00773B0D"/>
    <w:rsid w:val="00775059"/>
    <w:rsid w:val="00775321"/>
    <w:rsid w:val="00775BFE"/>
    <w:rsid w:val="00775CEE"/>
    <w:rsid w:val="007778F9"/>
    <w:rsid w:val="007807D3"/>
    <w:rsid w:val="00780B47"/>
    <w:rsid w:val="00782675"/>
    <w:rsid w:val="00782F6E"/>
    <w:rsid w:val="00784550"/>
    <w:rsid w:val="00784ACF"/>
    <w:rsid w:val="00784E25"/>
    <w:rsid w:val="00787022"/>
    <w:rsid w:val="0078777D"/>
    <w:rsid w:val="00790E5A"/>
    <w:rsid w:val="00791E3B"/>
    <w:rsid w:val="007923C1"/>
    <w:rsid w:val="00792615"/>
    <w:rsid w:val="0079263E"/>
    <w:rsid w:val="00792772"/>
    <w:rsid w:val="0079311C"/>
    <w:rsid w:val="00793158"/>
    <w:rsid w:val="007932EF"/>
    <w:rsid w:val="00793364"/>
    <w:rsid w:val="00793629"/>
    <w:rsid w:val="007939E4"/>
    <w:rsid w:val="00794BEC"/>
    <w:rsid w:val="00795166"/>
    <w:rsid w:val="00795FB5"/>
    <w:rsid w:val="007962B6"/>
    <w:rsid w:val="0079673B"/>
    <w:rsid w:val="00796C2A"/>
    <w:rsid w:val="00796FED"/>
    <w:rsid w:val="0079736A"/>
    <w:rsid w:val="007A054B"/>
    <w:rsid w:val="007A0575"/>
    <w:rsid w:val="007A07E8"/>
    <w:rsid w:val="007A19E0"/>
    <w:rsid w:val="007A2BB5"/>
    <w:rsid w:val="007A319C"/>
    <w:rsid w:val="007A48BD"/>
    <w:rsid w:val="007A5958"/>
    <w:rsid w:val="007A6792"/>
    <w:rsid w:val="007A6D0E"/>
    <w:rsid w:val="007A6D67"/>
    <w:rsid w:val="007A75DA"/>
    <w:rsid w:val="007B0105"/>
    <w:rsid w:val="007B0E1F"/>
    <w:rsid w:val="007B13B0"/>
    <w:rsid w:val="007B2139"/>
    <w:rsid w:val="007B2272"/>
    <w:rsid w:val="007B27C2"/>
    <w:rsid w:val="007B2936"/>
    <w:rsid w:val="007B35ED"/>
    <w:rsid w:val="007B3D0C"/>
    <w:rsid w:val="007B415B"/>
    <w:rsid w:val="007B4895"/>
    <w:rsid w:val="007B4978"/>
    <w:rsid w:val="007B4D12"/>
    <w:rsid w:val="007B530D"/>
    <w:rsid w:val="007B5847"/>
    <w:rsid w:val="007C082F"/>
    <w:rsid w:val="007C182A"/>
    <w:rsid w:val="007C1BEE"/>
    <w:rsid w:val="007C276C"/>
    <w:rsid w:val="007C2CCA"/>
    <w:rsid w:val="007C304A"/>
    <w:rsid w:val="007C3420"/>
    <w:rsid w:val="007C3536"/>
    <w:rsid w:val="007C35C6"/>
    <w:rsid w:val="007C5C87"/>
    <w:rsid w:val="007C604C"/>
    <w:rsid w:val="007D15C7"/>
    <w:rsid w:val="007D2A2E"/>
    <w:rsid w:val="007D4086"/>
    <w:rsid w:val="007D4B82"/>
    <w:rsid w:val="007D5555"/>
    <w:rsid w:val="007D5897"/>
    <w:rsid w:val="007D5CE3"/>
    <w:rsid w:val="007D60A3"/>
    <w:rsid w:val="007D7924"/>
    <w:rsid w:val="007D7CBA"/>
    <w:rsid w:val="007E05B0"/>
    <w:rsid w:val="007E352B"/>
    <w:rsid w:val="007E3576"/>
    <w:rsid w:val="007E3AB1"/>
    <w:rsid w:val="007E3B27"/>
    <w:rsid w:val="007E5393"/>
    <w:rsid w:val="007E56D8"/>
    <w:rsid w:val="007E5A41"/>
    <w:rsid w:val="007E5ACA"/>
    <w:rsid w:val="007E5C3D"/>
    <w:rsid w:val="007E66C8"/>
    <w:rsid w:val="007E67CA"/>
    <w:rsid w:val="007E739C"/>
    <w:rsid w:val="007F0216"/>
    <w:rsid w:val="007F037E"/>
    <w:rsid w:val="007F076E"/>
    <w:rsid w:val="007F0D22"/>
    <w:rsid w:val="007F0DA7"/>
    <w:rsid w:val="007F1EDC"/>
    <w:rsid w:val="007F2716"/>
    <w:rsid w:val="007F3DC6"/>
    <w:rsid w:val="007F4B15"/>
    <w:rsid w:val="007F4EE8"/>
    <w:rsid w:val="007F59B1"/>
    <w:rsid w:val="007F5A25"/>
    <w:rsid w:val="007F66F3"/>
    <w:rsid w:val="007F70CA"/>
    <w:rsid w:val="007F75A6"/>
    <w:rsid w:val="0080200A"/>
    <w:rsid w:val="008021D6"/>
    <w:rsid w:val="0080237E"/>
    <w:rsid w:val="00802520"/>
    <w:rsid w:val="00803107"/>
    <w:rsid w:val="0080326F"/>
    <w:rsid w:val="00803C9B"/>
    <w:rsid w:val="0080452B"/>
    <w:rsid w:val="008046C2"/>
    <w:rsid w:val="00806D47"/>
    <w:rsid w:val="00807A70"/>
    <w:rsid w:val="008102FF"/>
    <w:rsid w:val="00810812"/>
    <w:rsid w:val="0081235A"/>
    <w:rsid w:val="00812626"/>
    <w:rsid w:val="008128F8"/>
    <w:rsid w:val="00812DB9"/>
    <w:rsid w:val="00812F88"/>
    <w:rsid w:val="00814382"/>
    <w:rsid w:val="0081465C"/>
    <w:rsid w:val="00816FCA"/>
    <w:rsid w:val="0081742F"/>
    <w:rsid w:val="008217AE"/>
    <w:rsid w:val="00821A55"/>
    <w:rsid w:val="008220AF"/>
    <w:rsid w:val="008223AB"/>
    <w:rsid w:val="008229F4"/>
    <w:rsid w:val="00822ACE"/>
    <w:rsid w:val="0082350F"/>
    <w:rsid w:val="00823D3B"/>
    <w:rsid w:val="0082473D"/>
    <w:rsid w:val="00824EDB"/>
    <w:rsid w:val="008265B1"/>
    <w:rsid w:val="00826C99"/>
    <w:rsid w:val="008273F5"/>
    <w:rsid w:val="008301E9"/>
    <w:rsid w:val="00830DE1"/>
    <w:rsid w:val="008329C9"/>
    <w:rsid w:val="00832F1F"/>
    <w:rsid w:val="00833275"/>
    <w:rsid w:val="0083365F"/>
    <w:rsid w:val="008336DF"/>
    <w:rsid w:val="00833DC0"/>
    <w:rsid w:val="00833E38"/>
    <w:rsid w:val="00835087"/>
    <w:rsid w:val="00835345"/>
    <w:rsid w:val="008356E6"/>
    <w:rsid w:val="00835C24"/>
    <w:rsid w:val="008360A0"/>
    <w:rsid w:val="00837518"/>
    <w:rsid w:val="008377B5"/>
    <w:rsid w:val="00837D76"/>
    <w:rsid w:val="00840BC0"/>
    <w:rsid w:val="00840E1D"/>
    <w:rsid w:val="00841648"/>
    <w:rsid w:val="00844BB6"/>
    <w:rsid w:val="00844C75"/>
    <w:rsid w:val="0084533B"/>
    <w:rsid w:val="00845DA9"/>
    <w:rsid w:val="008508A7"/>
    <w:rsid w:val="00851A68"/>
    <w:rsid w:val="00851F6C"/>
    <w:rsid w:val="008542D1"/>
    <w:rsid w:val="008551BE"/>
    <w:rsid w:val="0085541D"/>
    <w:rsid w:val="00855716"/>
    <w:rsid w:val="0085673F"/>
    <w:rsid w:val="00856953"/>
    <w:rsid w:val="00856B30"/>
    <w:rsid w:val="008570E2"/>
    <w:rsid w:val="0086014B"/>
    <w:rsid w:val="00860443"/>
    <w:rsid w:val="008607A6"/>
    <w:rsid w:val="00860A0E"/>
    <w:rsid w:val="00860C5A"/>
    <w:rsid w:val="00861A62"/>
    <w:rsid w:val="00861AC6"/>
    <w:rsid w:val="00861C31"/>
    <w:rsid w:val="00862F4F"/>
    <w:rsid w:val="00863441"/>
    <w:rsid w:val="00863EF3"/>
    <w:rsid w:val="008646A1"/>
    <w:rsid w:val="008656A6"/>
    <w:rsid w:val="0086587F"/>
    <w:rsid w:val="00866376"/>
    <w:rsid w:val="008669AC"/>
    <w:rsid w:val="00866D72"/>
    <w:rsid w:val="00866F56"/>
    <w:rsid w:val="0086791B"/>
    <w:rsid w:val="00867FFD"/>
    <w:rsid w:val="00870896"/>
    <w:rsid w:val="00872C69"/>
    <w:rsid w:val="00873910"/>
    <w:rsid w:val="00873AA1"/>
    <w:rsid w:val="00874D22"/>
    <w:rsid w:val="008755D1"/>
    <w:rsid w:val="00875C73"/>
    <w:rsid w:val="008771C4"/>
    <w:rsid w:val="00880115"/>
    <w:rsid w:val="008803CF"/>
    <w:rsid w:val="00880AE5"/>
    <w:rsid w:val="00883806"/>
    <w:rsid w:val="00883B3D"/>
    <w:rsid w:val="0088509F"/>
    <w:rsid w:val="00885331"/>
    <w:rsid w:val="008861B8"/>
    <w:rsid w:val="00886314"/>
    <w:rsid w:val="00887487"/>
    <w:rsid w:val="00887CA2"/>
    <w:rsid w:val="00890C1A"/>
    <w:rsid w:val="00890C5D"/>
    <w:rsid w:val="00890FB7"/>
    <w:rsid w:val="00890FD3"/>
    <w:rsid w:val="00891364"/>
    <w:rsid w:val="008913F4"/>
    <w:rsid w:val="00892F01"/>
    <w:rsid w:val="00894374"/>
    <w:rsid w:val="008944FA"/>
    <w:rsid w:val="00894BF6"/>
    <w:rsid w:val="0089641C"/>
    <w:rsid w:val="0089748F"/>
    <w:rsid w:val="0089770B"/>
    <w:rsid w:val="008A0641"/>
    <w:rsid w:val="008A09A6"/>
    <w:rsid w:val="008A1FFE"/>
    <w:rsid w:val="008A2914"/>
    <w:rsid w:val="008A40DD"/>
    <w:rsid w:val="008A62E4"/>
    <w:rsid w:val="008A681B"/>
    <w:rsid w:val="008A68E7"/>
    <w:rsid w:val="008A6AE6"/>
    <w:rsid w:val="008A7BCD"/>
    <w:rsid w:val="008B09D3"/>
    <w:rsid w:val="008B1228"/>
    <w:rsid w:val="008B18EA"/>
    <w:rsid w:val="008B212D"/>
    <w:rsid w:val="008B2719"/>
    <w:rsid w:val="008B31A0"/>
    <w:rsid w:val="008B333E"/>
    <w:rsid w:val="008B336A"/>
    <w:rsid w:val="008B37F1"/>
    <w:rsid w:val="008B39FF"/>
    <w:rsid w:val="008B4F85"/>
    <w:rsid w:val="008B586D"/>
    <w:rsid w:val="008B5C92"/>
    <w:rsid w:val="008B6801"/>
    <w:rsid w:val="008B7E12"/>
    <w:rsid w:val="008C0411"/>
    <w:rsid w:val="008C086D"/>
    <w:rsid w:val="008C0D3C"/>
    <w:rsid w:val="008C1DC5"/>
    <w:rsid w:val="008C3A55"/>
    <w:rsid w:val="008C3DAD"/>
    <w:rsid w:val="008C410E"/>
    <w:rsid w:val="008C4469"/>
    <w:rsid w:val="008C44A6"/>
    <w:rsid w:val="008C574C"/>
    <w:rsid w:val="008C6525"/>
    <w:rsid w:val="008C654F"/>
    <w:rsid w:val="008C657C"/>
    <w:rsid w:val="008C69EE"/>
    <w:rsid w:val="008C7614"/>
    <w:rsid w:val="008C7929"/>
    <w:rsid w:val="008C7EB1"/>
    <w:rsid w:val="008D07EC"/>
    <w:rsid w:val="008D2677"/>
    <w:rsid w:val="008D4BB4"/>
    <w:rsid w:val="008D73E6"/>
    <w:rsid w:val="008D7A69"/>
    <w:rsid w:val="008E11A1"/>
    <w:rsid w:val="008E2D2D"/>
    <w:rsid w:val="008E3C8A"/>
    <w:rsid w:val="008E406C"/>
    <w:rsid w:val="008E4D8E"/>
    <w:rsid w:val="008E5EC9"/>
    <w:rsid w:val="008E60CF"/>
    <w:rsid w:val="008E6AFB"/>
    <w:rsid w:val="008E6F9F"/>
    <w:rsid w:val="008E7219"/>
    <w:rsid w:val="008F0084"/>
    <w:rsid w:val="008F0C11"/>
    <w:rsid w:val="008F170F"/>
    <w:rsid w:val="008F1EA6"/>
    <w:rsid w:val="008F2877"/>
    <w:rsid w:val="008F4426"/>
    <w:rsid w:val="008F448C"/>
    <w:rsid w:val="008F48F4"/>
    <w:rsid w:val="008F490B"/>
    <w:rsid w:val="008F5002"/>
    <w:rsid w:val="008F5A87"/>
    <w:rsid w:val="008F7592"/>
    <w:rsid w:val="008F7727"/>
    <w:rsid w:val="008F7E21"/>
    <w:rsid w:val="009000A8"/>
    <w:rsid w:val="0090058E"/>
    <w:rsid w:val="00900A64"/>
    <w:rsid w:val="00900AC4"/>
    <w:rsid w:val="0090107D"/>
    <w:rsid w:val="009011C7"/>
    <w:rsid w:val="00901CF4"/>
    <w:rsid w:val="00901DFA"/>
    <w:rsid w:val="009025BE"/>
    <w:rsid w:val="00902C84"/>
    <w:rsid w:val="00902F45"/>
    <w:rsid w:val="009032AB"/>
    <w:rsid w:val="00903380"/>
    <w:rsid w:val="00903DD9"/>
    <w:rsid w:val="00903FC3"/>
    <w:rsid w:val="00904860"/>
    <w:rsid w:val="00904DE2"/>
    <w:rsid w:val="00906339"/>
    <w:rsid w:val="009068CF"/>
    <w:rsid w:val="00910369"/>
    <w:rsid w:val="009105E4"/>
    <w:rsid w:val="00910B46"/>
    <w:rsid w:val="009115F1"/>
    <w:rsid w:val="00911E33"/>
    <w:rsid w:val="00911EEC"/>
    <w:rsid w:val="0091259B"/>
    <w:rsid w:val="0091460F"/>
    <w:rsid w:val="00914EC7"/>
    <w:rsid w:val="00915E47"/>
    <w:rsid w:val="00915E7E"/>
    <w:rsid w:val="00916823"/>
    <w:rsid w:val="00916CF8"/>
    <w:rsid w:val="009176B3"/>
    <w:rsid w:val="00920825"/>
    <w:rsid w:val="009225E1"/>
    <w:rsid w:val="00922677"/>
    <w:rsid w:val="00922C3E"/>
    <w:rsid w:val="00923384"/>
    <w:rsid w:val="0092419C"/>
    <w:rsid w:val="009241B6"/>
    <w:rsid w:val="009244E6"/>
    <w:rsid w:val="00924FF9"/>
    <w:rsid w:val="009252F3"/>
    <w:rsid w:val="00925A12"/>
    <w:rsid w:val="00926A8D"/>
    <w:rsid w:val="00926C93"/>
    <w:rsid w:val="00930817"/>
    <w:rsid w:val="009311BE"/>
    <w:rsid w:val="00932079"/>
    <w:rsid w:val="009334B6"/>
    <w:rsid w:val="00936459"/>
    <w:rsid w:val="00936E94"/>
    <w:rsid w:val="00937F96"/>
    <w:rsid w:val="0094015A"/>
    <w:rsid w:val="00940217"/>
    <w:rsid w:val="009406BD"/>
    <w:rsid w:val="00940AB9"/>
    <w:rsid w:val="00941838"/>
    <w:rsid w:val="0094184C"/>
    <w:rsid w:val="00941D7A"/>
    <w:rsid w:val="0094222A"/>
    <w:rsid w:val="00942EE4"/>
    <w:rsid w:val="00943CE5"/>
    <w:rsid w:val="00944415"/>
    <w:rsid w:val="00944F19"/>
    <w:rsid w:val="00945467"/>
    <w:rsid w:val="0094595D"/>
    <w:rsid w:val="00946A53"/>
    <w:rsid w:val="00946A8C"/>
    <w:rsid w:val="00946F16"/>
    <w:rsid w:val="00947E04"/>
    <w:rsid w:val="0095060E"/>
    <w:rsid w:val="00950682"/>
    <w:rsid w:val="00950E02"/>
    <w:rsid w:val="0095141C"/>
    <w:rsid w:val="00952EBE"/>
    <w:rsid w:val="00952FDA"/>
    <w:rsid w:val="00954602"/>
    <w:rsid w:val="00955CEA"/>
    <w:rsid w:val="0095679F"/>
    <w:rsid w:val="00956E85"/>
    <w:rsid w:val="00957C36"/>
    <w:rsid w:val="00960679"/>
    <w:rsid w:val="00960EFD"/>
    <w:rsid w:val="009618EB"/>
    <w:rsid w:val="00962739"/>
    <w:rsid w:val="00962ADB"/>
    <w:rsid w:val="00962F64"/>
    <w:rsid w:val="00965491"/>
    <w:rsid w:val="0096651B"/>
    <w:rsid w:val="009668F8"/>
    <w:rsid w:val="00967B6F"/>
    <w:rsid w:val="00970A13"/>
    <w:rsid w:val="00970FE1"/>
    <w:rsid w:val="00972584"/>
    <w:rsid w:val="00972600"/>
    <w:rsid w:val="00972F32"/>
    <w:rsid w:val="00973742"/>
    <w:rsid w:val="00974DD0"/>
    <w:rsid w:val="00975590"/>
    <w:rsid w:val="00975E2C"/>
    <w:rsid w:val="00975E81"/>
    <w:rsid w:val="009765F5"/>
    <w:rsid w:val="00976793"/>
    <w:rsid w:val="00977278"/>
    <w:rsid w:val="00977848"/>
    <w:rsid w:val="0098082C"/>
    <w:rsid w:val="00980BAC"/>
    <w:rsid w:val="0098243B"/>
    <w:rsid w:val="009825DD"/>
    <w:rsid w:val="009841FD"/>
    <w:rsid w:val="009842A5"/>
    <w:rsid w:val="00984F7C"/>
    <w:rsid w:val="00984FBE"/>
    <w:rsid w:val="00985629"/>
    <w:rsid w:val="0098648E"/>
    <w:rsid w:val="00986CE6"/>
    <w:rsid w:val="00986D60"/>
    <w:rsid w:val="00986DB3"/>
    <w:rsid w:val="009879F8"/>
    <w:rsid w:val="009902E3"/>
    <w:rsid w:val="009909AD"/>
    <w:rsid w:val="00990E75"/>
    <w:rsid w:val="00991C69"/>
    <w:rsid w:val="00991DC3"/>
    <w:rsid w:val="00992B51"/>
    <w:rsid w:val="00992EA6"/>
    <w:rsid w:val="009941D3"/>
    <w:rsid w:val="0099650B"/>
    <w:rsid w:val="009A0113"/>
    <w:rsid w:val="009A035C"/>
    <w:rsid w:val="009A05DD"/>
    <w:rsid w:val="009A0787"/>
    <w:rsid w:val="009A1871"/>
    <w:rsid w:val="009A2657"/>
    <w:rsid w:val="009A27EB"/>
    <w:rsid w:val="009A3071"/>
    <w:rsid w:val="009A34C5"/>
    <w:rsid w:val="009A41AC"/>
    <w:rsid w:val="009A5861"/>
    <w:rsid w:val="009A714C"/>
    <w:rsid w:val="009A7182"/>
    <w:rsid w:val="009A78BC"/>
    <w:rsid w:val="009B025B"/>
    <w:rsid w:val="009B08C2"/>
    <w:rsid w:val="009B1735"/>
    <w:rsid w:val="009B39E5"/>
    <w:rsid w:val="009B3B3F"/>
    <w:rsid w:val="009B4093"/>
    <w:rsid w:val="009B469D"/>
    <w:rsid w:val="009B6F32"/>
    <w:rsid w:val="009B7B8D"/>
    <w:rsid w:val="009B7E9E"/>
    <w:rsid w:val="009B7FB6"/>
    <w:rsid w:val="009C14D2"/>
    <w:rsid w:val="009C1535"/>
    <w:rsid w:val="009C1780"/>
    <w:rsid w:val="009C1B7C"/>
    <w:rsid w:val="009C1C90"/>
    <w:rsid w:val="009C1E6E"/>
    <w:rsid w:val="009C1E9E"/>
    <w:rsid w:val="009C211D"/>
    <w:rsid w:val="009C2761"/>
    <w:rsid w:val="009C2AF7"/>
    <w:rsid w:val="009C3182"/>
    <w:rsid w:val="009C4939"/>
    <w:rsid w:val="009C4B24"/>
    <w:rsid w:val="009C7C9A"/>
    <w:rsid w:val="009D0BF2"/>
    <w:rsid w:val="009D298E"/>
    <w:rsid w:val="009D322D"/>
    <w:rsid w:val="009D332D"/>
    <w:rsid w:val="009D5D7E"/>
    <w:rsid w:val="009D637D"/>
    <w:rsid w:val="009D6957"/>
    <w:rsid w:val="009D6A55"/>
    <w:rsid w:val="009D72FA"/>
    <w:rsid w:val="009D7821"/>
    <w:rsid w:val="009E01FB"/>
    <w:rsid w:val="009E0310"/>
    <w:rsid w:val="009E2475"/>
    <w:rsid w:val="009E2754"/>
    <w:rsid w:val="009E2DC1"/>
    <w:rsid w:val="009E3449"/>
    <w:rsid w:val="009E4929"/>
    <w:rsid w:val="009E4990"/>
    <w:rsid w:val="009E5031"/>
    <w:rsid w:val="009E593E"/>
    <w:rsid w:val="009E66EE"/>
    <w:rsid w:val="009E67BA"/>
    <w:rsid w:val="009E703A"/>
    <w:rsid w:val="009E74F0"/>
    <w:rsid w:val="009F0D35"/>
    <w:rsid w:val="009F4303"/>
    <w:rsid w:val="009F4327"/>
    <w:rsid w:val="009F4470"/>
    <w:rsid w:val="009F580D"/>
    <w:rsid w:val="009F7743"/>
    <w:rsid w:val="009F79D0"/>
    <w:rsid w:val="009F7E4D"/>
    <w:rsid w:val="00A000FF"/>
    <w:rsid w:val="00A008DB"/>
    <w:rsid w:val="00A00C63"/>
    <w:rsid w:val="00A012CE"/>
    <w:rsid w:val="00A01E46"/>
    <w:rsid w:val="00A03AC6"/>
    <w:rsid w:val="00A03F28"/>
    <w:rsid w:val="00A0404D"/>
    <w:rsid w:val="00A0450A"/>
    <w:rsid w:val="00A04B98"/>
    <w:rsid w:val="00A04BCE"/>
    <w:rsid w:val="00A04D4F"/>
    <w:rsid w:val="00A060F9"/>
    <w:rsid w:val="00A0671B"/>
    <w:rsid w:val="00A067C3"/>
    <w:rsid w:val="00A07084"/>
    <w:rsid w:val="00A07846"/>
    <w:rsid w:val="00A104DC"/>
    <w:rsid w:val="00A104F7"/>
    <w:rsid w:val="00A112AA"/>
    <w:rsid w:val="00A118D9"/>
    <w:rsid w:val="00A133CD"/>
    <w:rsid w:val="00A14086"/>
    <w:rsid w:val="00A14BEF"/>
    <w:rsid w:val="00A15B95"/>
    <w:rsid w:val="00A168D7"/>
    <w:rsid w:val="00A17546"/>
    <w:rsid w:val="00A20426"/>
    <w:rsid w:val="00A20EA9"/>
    <w:rsid w:val="00A2144E"/>
    <w:rsid w:val="00A227ED"/>
    <w:rsid w:val="00A22F8D"/>
    <w:rsid w:val="00A2331A"/>
    <w:rsid w:val="00A23F00"/>
    <w:rsid w:val="00A2436C"/>
    <w:rsid w:val="00A25594"/>
    <w:rsid w:val="00A261DB"/>
    <w:rsid w:val="00A26AB9"/>
    <w:rsid w:val="00A26C4C"/>
    <w:rsid w:val="00A303A9"/>
    <w:rsid w:val="00A30F03"/>
    <w:rsid w:val="00A313AF"/>
    <w:rsid w:val="00A31556"/>
    <w:rsid w:val="00A32288"/>
    <w:rsid w:val="00A34F49"/>
    <w:rsid w:val="00A36485"/>
    <w:rsid w:val="00A36784"/>
    <w:rsid w:val="00A3751F"/>
    <w:rsid w:val="00A3788E"/>
    <w:rsid w:val="00A3795F"/>
    <w:rsid w:val="00A409DD"/>
    <w:rsid w:val="00A41F20"/>
    <w:rsid w:val="00A42E94"/>
    <w:rsid w:val="00A43641"/>
    <w:rsid w:val="00A43781"/>
    <w:rsid w:val="00A4384C"/>
    <w:rsid w:val="00A459C1"/>
    <w:rsid w:val="00A4664C"/>
    <w:rsid w:val="00A467EC"/>
    <w:rsid w:val="00A47A1B"/>
    <w:rsid w:val="00A5008F"/>
    <w:rsid w:val="00A5124E"/>
    <w:rsid w:val="00A51B44"/>
    <w:rsid w:val="00A52F64"/>
    <w:rsid w:val="00A53BBA"/>
    <w:rsid w:val="00A540C6"/>
    <w:rsid w:val="00A547D0"/>
    <w:rsid w:val="00A5489F"/>
    <w:rsid w:val="00A54AE4"/>
    <w:rsid w:val="00A55049"/>
    <w:rsid w:val="00A56E99"/>
    <w:rsid w:val="00A57DE4"/>
    <w:rsid w:val="00A60016"/>
    <w:rsid w:val="00A60D18"/>
    <w:rsid w:val="00A60E9A"/>
    <w:rsid w:val="00A6192D"/>
    <w:rsid w:val="00A61E0D"/>
    <w:rsid w:val="00A63782"/>
    <w:rsid w:val="00A6484A"/>
    <w:rsid w:val="00A6552F"/>
    <w:rsid w:val="00A657AC"/>
    <w:rsid w:val="00A659FF"/>
    <w:rsid w:val="00A669D1"/>
    <w:rsid w:val="00A67D75"/>
    <w:rsid w:val="00A71BF1"/>
    <w:rsid w:val="00A73EAE"/>
    <w:rsid w:val="00A74848"/>
    <w:rsid w:val="00A75165"/>
    <w:rsid w:val="00A75957"/>
    <w:rsid w:val="00A76B97"/>
    <w:rsid w:val="00A76FDF"/>
    <w:rsid w:val="00A7760C"/>
    <w:rsid w:val="00A835CB"/>
    <w:rsid w:val="00A84727"/>
    <w:rsid w:val="00A84A8A"/>
    <w:rsid w:val="00A866D6"/>
    <w:rsid w:val="00A8783E"/>
    <w:rsid w:val="00A87E0E"/>
    <w:rsid w:val="00A90338"/>
    <w:rsid w:val="00A91FBD"/>
    <w:rsid w:val="00A92B76"/>
    <w:rsid w:val="00A92BDA"/>
    <w:rsid w:val="00A93BE4"/>
    <w:rsid w:val="00A93DAF"/>
    <w:rsid w:val="00A94229"/>
    <w:rsid w:val="00A94306"/>
    <w:rsid w:val="00A9599D"/>
    <w:rsid w:val="00A96315"/>
    <w:rsid w:val="00A968ED"/>
    <w:rsid w:val="00A96CCC"/>
    <w:rsid w:val="00A97BF0"/>
    <w:rsid w:val="00AA0F3E"/>
    <w:rsid w:val="00AA1187"/>
    <w:rsid w:val="00AA1754"/>
    <w:rsid w:val="00AA1E84"/>
    <w:rsid w:val="00AA25F6"/>
    <w:rsid w:val="00AA3BDC"/>
    <w:rsid w:val="00AA3ECA"/>
    <w:rsid w:val="00AA42F7"/>
    <w:rsid w:val="00AA5517"/>
    <w:rsid w:val="00AA57EE"/>
    <w:rsid w:val="00AA5F3D"/>
    <w:rsid w:val="00AA6B0A"/>
    <w:rsid w:val="00AA6E87"/>
    <w:rsid w:val="00AA731E"/>
    <w:rsid w:val="00AA7F2B"/>
    <w:rsid w:val="00AA84D7"/>
    <w:rsid w:val="00AB0374"/>
    <w:rsid w:val="00AB09B4"/>
    <w:rsid w:val="00AB0B98"/>
    <w:rsid w:val="00AB0BFA"/>
    <w:rsid w:val="00AB14E5"/>
    <w:rsid w:val="00AB1FD0"/>
    <w:rsid w:val="00AB2B03"/>
    <w:rsid w:val="00AB4ACE"/>
    <w:rsid w:val="00AB4D77"/>
    <w:rsid w:val="00AB59AF"/>
    <w:rsid w:val="00AB5F3F"/>
    <w:rsid w:val="00AB64F6"/>
    <w:rsid w:val="00AB7607"/>
    <w:rsid w:val="00AB7B2A"/>
    <w:rsid w:val="00AC09EF"/>
    <w:rsid w:val="00AC1846"/>
    <w:rsid w:val="00AC1B3B"/>
    <w:rsid w:val="00AC24FF"/>
    <w:rsid w:val="00AC2A23"/>
    <w:rsid w:val="00AC327C"/>
    <w:rsid w:val="00AC34F8"/>
    <w:rsid w:val="00AC38C1"/>
    <w:rsid w:val="00AC3EDD"/>
    <w:rsid w:val="00AC3F56"/>
    <w:rsid w:val="00AC409A"/>
    <w:rsid w:val="00AC44A7"/>
    <w:rsid w:val="00AC57FE"/>
    <w:rsid w:val="00AC5831"/>
    <w:rsid w:val="00AC64EF"/>
    <w:rsid w:val="00AC65E7"/>
    <w:rsid w:val="00AC78D4"/>
    <w:rsid w:val="00AC7D3C"/>
    <w:rsid w:val="00AD02CF"/>
    <w:rsid w:val="00AD0F44"/>
    <w:rsid w:val="00AD0FEF"/>
    <w:rsid w:val="00AD1B76"/>
    <w:rsid w:val="00AD1BF5"/>
    <w:rsid w:val="00AD1F91"/>
    <w:rsid w:val="00AD28CF"/>
    <w:rsid w:val="00AD2C97"/>
    <w:rsid w:val="00AD3B48"/>
    <w:rsid w:val="00AD4083"/>
    <w:rsid w:val="00AD6DAC"/>
    <w:rsid w:val="00AD7EE6"/>
    <w:rsid w:val="00AE026A"/>
    <w:rsid w:val="00AE0D25"/>
    <w:rsid w:val="00AE1DB4"/>
    <w:rsid w:val="00AE298E"/>
    <w:rsid w:val="00AE3136"/>
    <w:rsid w:val="00AE383E"/>
    <w:rsid w:val="00AE43F3"/>
    <w:rsid w:val="00AE4BE2"/>
    <w:rsid w:val="00AE748F"/>
    <w:rsid w:val="00AF04F4"/>
    <w:rsid w:val="00AF09E4"/>
    <w:rsid w:val="00AF0C7B"/>
    <w:rsid w:val="00AF2C81"/>
    <w:rsid w:val="00AF51AC"/>
    <w:rsid w:val="00AF51C5"/>
    <w:rsid w:val="00AF52AD"/>
    <w:rsid w:val="00AF57DD"/>
    <w:rsid w:val="00AF5C5F"/>
    <w:rsid w:val="00AF6806"/>
    <w:rsid w:val="00AF6E63"/>
    <w:rsid w:val="00AF6FE6"/>
    <w:rsid w:val="00AF7129"/>
    <w:rsid w:val="00B000E6"/>
    <w:rsid w:val="00B003EF"/>
    <w:rsid w:val="00B028F1"/>
    <w:rsid w:val="00B0348B"/>
    <w:rsid w:val="00B03BCD"/>
    <w:rsid w:val="00B03E1F"/>
    <w:rsid w:val="00B04A33"/>
    <w:rsid w:val="00B05513"/>
    <w:rsid w:val="00B05765"/>
    <w:rsid w:val="00B06C05"/>
    <w:rsid w:val="00B06E79"/>
    <w:rsid w:val="00B07080"/>
    <w:rsid w:val="00B07C13"/>
    <w:rsid w:val="00B07F2F"/>
    <w:rsid w:val="00B11AEE"/>
    <w:rsid w:val="00B11FB3"/>
    <w:rsid w:val="00B13557"/>
    <w:rsid w:val="00B150A6"/>
    <w:rsid w:val="00B15650"/>
    <w:rsid w:val="00B156C9"/>
    <w:rsid w:val="00B15F8C"/>
    <w:rsid w:val="00B168D8"/>
    <w:rsid w:val="00B177DD"/>
    <w:rsid w:val="00B17C52"/>
    <w:rsid w:val="00B17C8A"/>
    <w:rsid w:val="00B19B29"/>
    <w:rsid w:val="00B20990"/>
    <w:rsid w:val="00B20CE9"/>
    <w:rsid w:val="00B20FB8"/>
    <w:rsid w:val="00B21250"/>
    <w:rsid w:val="00B226E4"/>
    <w:rsid w:val="00B22E3E"/>
    <w:rsid w:val="00B2478C"/>
    <w:rsid w:val="00B24983"/>
    <w:rsid w:val="00B25940"/>
    <w:rsid w:val="00B25A6D"/>
    <w:rsid w:val="00B26B56"/>
    <w:rsid w:val="00B27BC4"/>
    <w:rsid w:val="00B27CCE"/>
    <w:rsid w:val="00B27D07"/>
    <w:rsid w:val="00B305B9"/>
    <w:rsid w:val="00B30ACB"/>
    <w:rsid w:val="00B30DAB"/>
    <w:rsid w:val="00B317D6"/>
    <w:rsid w:val="00B3249E"/>
    <w:rsid w:val="00B32D00"/>
    <w:rsid w:val="00B32D20"/>
    <w:rsid w:val="00B34AEF"/>
    <w:rsid w:val="00B3629E"/>
    <w:rsid w:val="00B3753D"/>
    <w:rsid w:val="00B375E4"/>
    <w:rsid w:val="00B37EF9"/>
    <w:rsid w:val="00B41507"/>
    <w:rsid w:val="00B417EE"/>
    <w:rsid w:val="00B42DF8"/>
    <w:rsid w:val="00B43A19"/>
    <w:rsid w:val="00B44AAE"/>
    <w:rsid w:val="00B45570"/>
    <w:rsid w:val="00B45F79"/>
    <w:rsid w:val="00B46FC1"/>
    <w:rsid w:val="00B5020E"/>
    <w:rsid w:val="00B5059D"/>
    <w:rsid w:val="00B5239D"/>
    <w:rsid w:val="00B527B6"/>
    <w:rsid w:val="00B52828"/>
    <w:rsid w:val="00B52A86"/>
    <w:rsid w:val="00B53D5A"/>
    <w:rsid w:val="00B56C85"/>
    <w:rsid w:val="00B60FD7"/>
    <w:rsid w:val="00B612F6"/>
    <w:rsid w:val="00B632E1"/>
    <w:rsid w:val="00B633B2"/>
    <w:rsid w:val="00B64B11"/>
    <w:rsid w:val="00B64CE1"/>
    <w:rsid w:val="00B64DF5"/>
    <w:rsid w:val="00B659E3"/>
    <w:rsid w:val="00B65B13"/>
    <w:rsid w:val="00B65D5E"/>
    <w:rsid w:val="00B65F97"/>
    <w:rsid w:val="00B66078"/>
    <w:rsid w:val="00B66D27"/>
    <w:rsid w:val="00B70E5D"/>
    <w:rsid w:val="00B715F0"/>
    <w:rsid w:val="00B72087"/>
    <w:rsid w:val="00B72399"/>
    <w:rsid w:val="00B72898"/>
    <w:rsid w:val="00B73539"/>
    <w:rsid w:val="00B73B21"/>
    <w:rsid w:val="00B740F8"/>
    <w:rsid w:val="00B75B61"/>
    <w:rsid w:val="00B76B0F"/>
    <w:rsid w:val="00B77262"/>
    <w:rsid w:val="00B77FC0"/>
    <w:rsid w:val="00B801E8"/>
    <w:rsid w:val="00B80F6B"/>
    <w:rsid w:val="00B81BB9"/>
    <w:rsid w:val="00B83943"/>
    <w:rsid w:val="00B848B5"/>
    <w:rsid w:val="00B85487"/>
    <w:rsid w:val="00B857CC"/>
    <w:rsid w:val="00B86082"/>
    <w:rsid w:val="00B8608E"/>
    <w:rsid w:val="00B861C4"/>
    <w:rsid w:val="00B869AC"/>
    <w:rsid w:val="00B86B07"/>
    <w:rsid w:val="00B91A60"/>
    <w:rsid w:val="00B91B2E"/>
    <w:rsid w:val="00B92826"/>
    <w:rsid w:val="00B92903"/>
    <w:rsid w:val="00B93578"/>
    <w:rsid w:val="00B93945"/>
    <w:rsid w:val="00B93BCD"/>
    <w:rsid w:val="00B951AD"/>
    <w:rsid w:val="00B953C9"/>
    <w:rsid w:val="00B96CFA"/>
    <w:rsid w:val="00B96E2E"/>
    <w:rsid w:val="00BA095F"/>
    <w:rsid w:val="00BA0965"/>
    <w:rsid w:val="00BA0BD0"/>
    <w:rsid w:val="00BA0D97"/>
    <w:rsid w:val="00BA0EA8"/>
    <w:rsid w:val="00BA1A60"/>
    <w:rsid w:val="00BA256F"/>
    <w:rsid w:val="00BA2E54"/>
    <w:rsid w:val="00BA388E"/>
    <w:rsid w:val="00BA3A9F"/>
    <w:rsid w:val="00BA3D24"/>
    <w:rsid w:val="00BA57C7"/>
    <w:rsid w:val="00BA5D8D"/>
    <w:rsid w:val="00BA6425"/>
    <w:rsid w:val="00BA6AED"/>
    <w:rsid w:val="00BA6FF7"/>
    <w:rsid w:val="00BB0905"/>
    <w:rsid w:val="00BB1E1F"/>
    <w:rsid w:val="00BB228C"/>
    <w:rsid w:val="00BB3E50"/>
    <w:rsid w:val="00BB3EC3"/>
    <w:rsid w:val="00BB3F29"/>
    <w:rsid w:val="00BB4D7B"/>
    <w:rsid w:val="00BB4D83"/>
    <w:rsid w:val="00BB57F0"/>
    <w:rsid w:val="00BB6259"/>
    <w:rsid w:val="00BB77E8"/>
    <w:rsid w:val="00BB79A0"/>
    <w:rsid w:val="00BB7E60"/>
    <w:rsid w:val="00BC0CAE"/>
    <w:rsid w:val="00BC11A1"/>
    <w:rsid w:val="00BC29C8"/>
    <w:rsid w:val="00BC361F"/>
    <w:rsid w:val="00BC4874"/>
    <w:rsid w:val="00BC584B"/>
    <w:rsid w:val="00BC638B"/>
    <w:rsid w:val="00BC69B8"/>
    <w:rsid w:val="00BC6A0F"/>
    <w:rsid w:val="00BC7CCC"/>
    <w:rsid w:val="00BD134A"/>
    <w:rsid w:val="00BD15B5"/>
    <w:rsid w:val="00BD16B5"/>
    <w:rsid w:val="00BD2506"/>
    <w:rsid w:val="00BD3253"/>
    <w:rsid w:val="00BD6B02"/>
    <w:rsid w:val="00BD737D"/>
    <w:rsid w:val="00BD757E"/>
    <w:rsid w:val="00BD762D"/>
    <w:rsid w:val="00BD7654"/>
    <w:rsid w:val="00BD7AD1"/>
    <w:rsid w:val="00BD7C5D"/>
    <w:rsid w:val="00BE1075"/>
    <w:rsid w:val="00BE2A62"/>
    <w:rsid w:val="00BE3B25"/>
    <w:rsid w:val="00BE7D37"/>
    <w:rsid w:val="00BE7FF6"/>
    <w:rsid w:val="00BF03E9"/>
    <w:rsid w:val="00BF052F"/>
    <w:rsid w:val="00BF082E"/>
    <w:rsid w:val="00BF1318"/>
    <w:rsid w:val="00BF17D0"/>
    <w:rsid w:val="00BF228D"/>
    <w:rsid w:val="00BF2F4A"/>
    <w:rsid w:val="00BF3647"/>
    <w:rsid w:val="00BF3E93"/>
    <w:rsid w:val="00BF4028"/>
    <w:rsid w:val="00BF4580"/>
    <w:rsid w:val="00BF52FF"/>
    <w:rsid w:val="00BF5558"/>
    <w:rsid w:val="00BF55D6"/>
    <w:rsid w:val="00BF55F9"/>
    <w:rsid w:val="00BF6654"/>
    <w:rsid w:val="00BF6851"/>
    <w:rsid w:val="00BF6873"/>
    <w:rsid w:val="00C006C0"/>
    <w:rsid w:val="00C01243"/>
    <w:rsid w:val="00C012D5"/>
    <w:rsid w:val="00C01395"/>
    <w:rsid w:val="00C026B0"/>
    <w:rsid w:val="00C02F1F"/>
    <w:rsid w:val="00C03051"/>
    <w:rsid w:val="00C0335B"/>
    <w:rsid w:val="00C03545"/>
    <w:rsid w:val="00C04B5D"/>
    <w:rsid w:val="00C056A6"/>
    <w:rsid w:val="00C06124"/>
    <w:rsid w:val="00C06AA9"/>
    <w:rsid w:val="00C06D41"/>
    <w:rsid w:val="00C072CE"/>
    <w:rsid w:val="00C07935"/>
    <w:rsid w:val="00C07B28"/>
    <w:rsid w:val="00C107C4"/>
    <w:rsid w:val="00C10DD8"/>
    <w:rsid w:val="00C11F1B"/>
    <w:rsid w:val="00C121A7"/>
    <w:rsid w:val="00C12301"/>
    <w:rsid w:val="00C12739"/>
    <w:rsid w:val="00C12A66"/>
    <w:rsid w:val="00C12F6B"/>
    <w:rsid w:val="00C15152"/>
    <w:rsid w:val="00C1552D"/>
    <w:rsid w:val="00C16D69"/>
    <w:rsid w:val="00C178B8"/>
    <w:rsid w:val="00C20737"/>
    <w:rsid w:val="00C226D3"/>
    <w:rsid w:val="00C23C91"/>
    <w:rsid w:val="00C23CB2"/>
    <w:rsid w:val="00C26497"/>
    <w:rsid w:val="00C27DEE"/>
    <w:rsid w:val="00C3020B"/>
    <w:rsid w:val="00C3081F"/>
    <w:rsid w:val="00C309CB"/>
    <w:rsid w:val="00C30DE5"/>
    <w:rsid w:val="00C30FB2"/>
    <w:rsid w:val="00C3170B"/>
    <w:rsid w:val="00C31A2D"/>
    <w:rsid w:val="00C33383"/>
    <w:rsid w:val="00C3347B"/>
    <w:rsid w:val="00C34148"/>
    <w:rsid w:val="00C3432D"/>
    <w:rsid w:val="00C35BE2"/>
    <w:rsid w:val="00C3676C"/>
    <w:rsid w:val="00C367F4"/>
    <w:rsid w:val="00C36D7A"/>
    <w:rsid w:val="00C4058B"/>
    <w:rsid w:val="00C41405"/>
    <w:rsid w:val="00C41715"/>
    <w:rsid w:val="00C41CC8"/>
    <w:rsid w:val="00C41CE1"/>
    <w:rsid w:val="00C42FFA"/>
    <w:rsid w:val="00C43202"/>
    <w:rsid w:val="00C439CB"/>
    <w:rsid w:val="00C43ABA"/>
    <w:rsid w:val="00C45B3C"/>
    <w:rsid w:val="00C463C9"/>
    <w:rsid w:val="00C46914"/>
    <w:rsid w:val="00C50687"/>
    <w:rsid w:val="00C5142B"/>
    <w:rsid w:val="00C514CC"/>
    <w:rsid w:val="00C52A06"/>
    <w:rsid w:val="00C53276"/>
    <w:rsid w:val="00C5340B"/>
    <w:rsid w:val="00C548E6"/>
    <w:rsid w:val="00C5568D"/>
    <w:rsid w:val="00C571A0"/>
    <w:rsid w:val="00C57DDA"/>
    <w:rsid w:val="00C60DC3"/>
    <w:rsid w:val="00C61456"/>
    <w:rsid w:val="00C61736"/>
    <w:rsid w:val="00C62267"/>
    <w:rsid w:val="00C62C91"/>
    <w:rsid w:val="00C62E55"/>
    <w:rsid w:val="00C630E9"/>
    <w:rsid w:val="00C63DEF"/>
    <w:rsid w:val="00C64249"/>
    <w:rsid w:val="00C656F0"/>
    <w:rsid w:val="00C65A38"/>
    <w:rsid w:val="00C65A76"/>
    <w:rsid w:val="00C66A00"/>
    <w:rsid w:val="00C674BA"/>
    <w:rsid w:val="00C70541"/>
    <w:rsid w:val="00C73B38"/>
    <w:rsid w:val="00C753BB"/>
    <w:rsid w:val="00C76856"/>
    <w:rsid w:val="00C7723C"/>
    <w:rsid w:val="00C775C7"/>
    <w:rsid w:val="00C80770"/>
    <w:rsid w:val="00C842FC"/>
    <w:rsid w:val="00C849ED"/>
    <w:rsid w:val="00C854EA"/>
    <w:rsid w:val="00C85A32"/>
    <w:rsid w:val="00C8740D"/>
    <w:rsid w:val="00C87576"/>
    <w:rsid w:val="00C87923"/>
    <w:rsid w:val="00C9465B"/>
    <w:rsid w:val="00C950D2"/>
    <w:rsid w:val="00C9791D"/>
    <w:rsid w:val="00C97DC3"/>
    <w:rsid w:val="00C97FC6"/>
    <w:rsid w:val="00CA0798"/>
    <w:rsid w:val="00CA0902"/>
    <w:rsid w:val="00CA09D3"/>
    <w:rsid w:val="00CA0A86"/>
    <w:rsid w:val="00CA0E26"/>
    <w:rsid w:val="00CA2B38"/>
    <w:rsid w:val="00CA2D05"/>
    <w:rsid w:val="00CA35F9"/>
    <w:rsid w:val="00CA3DA5"/>
    <w:rsid w:val="00CA419A"/>
    <w:rsid w:val="00CA4562"/>
    <w:rsid w:val="00CA4875"/>
    <w:rsid w:val="00CA58C0"/>
    <w:rsid w:val="00CA59B5"/>
    <w:rsid w:val="00CA6034"/>
    <w:rsid w:val="00CA7A13"/>
    <w:rsid w:val="00CA7F7A"/>
    <w:rsid w:val="00CB0E6E"/>
    <w:rsid w:val="00CB10B4"/>
    <w:rsid w:val="00CB179A"/>
    <w:rsid w:val="00CB2AE6"/>
    <w:rsid w:val="00CB2C6C"/>
    <w:rsid w:val="00CB6AE0"/>
    <w:rsid w:val="00CB6CD1"/>
    <w:rsid w:val="00CB7169"/>
    <w:rsid w:val="00CC01FD"/>
    <w:rsid w:val="00CC0374"/>
    <w:rsid w:val="00CC0922"/>
    <w:rsid w:val="00CC0DCD"/>
    <w:rsid w:val="00CC16A4"/>
    <w:rsid w:val="00CC1A6F"/>
    <w:rsid w:val="00CC244C"/>
    <w:rsid w:val="00CC2FD2"/>
    <w:rsid w:val="00CC37EE"/>
    <w:rsid w:val="00CC3AB9"/>
    <w:rsid w:val="00CC3ACE"/>
    <w:rsid w:val="00CC3E43"/>
    <w:rsid w:val="00CC4B1B"/>
    <w:rsid w:val="00CC4F9D"/>
    <w:rsid w:val="00CC5F50"/>
    <w:rsid w:val="00CC685C"/>
    <w:rsid w:val="00CC7219"/>
    <w:rsid w:val="00CC7239"/>
    <w:rsid w:val="00CC7DD2"/>
    <w:rsid w:val="00CD055E"/>
    <w:rsid w:val="00CD0F0B"/>
    <w:rsid w:val="00CD22B2"/>
    <w:rsid w:val="00CD252B"/>
    <w:rsid w:val="00CD28B3"/>
    <w:rsid w:val="00CD2E53"/>
    <w:rsid w:val="00CD354C"/>
    <w:rsid w:val="00CD37B8"/>
    <w:rsid w:val="00CD3CB5"/>
    <w:rsid w:val="00CD4E3D"/>
    <w:rsid w:val="00CD565D"/>
    <w:rsid w:val="00CD60BC"/>
    <w:rsid w:val="00CD6145"/>
    <w:rsid w:val="00CD72A3"/>
    <w:rsid w:val="00CE0E2B"/>
    <w:rsid w:val="00CE0F0F"/>
    <w:rsid w:val="00CE141D"/>
    <w:rsid w:val="00CE19EF"/>
    <w:rsid w:val="00CE2207"/>
    <w:rsid w:val="00CE28E5"/>
    <w:rsid w:val="00CE3050"/>
    <w:rsid w:val="00CE348F"/>
    <w:rsid w:val="00CE37B2"/>
    <w:rsid w:val="00CE39A7"/>
    <w:rsid w:val="00CE3B21"/>
    <w:rsid w:val="00CE4B53"/>
    <w:rsid w:val="00CE6120"/>
    <w:rsid w:val="00CE6150"/>
    <w:rsid w:val="00CE6485"/>
    <w:rsid w:val="00CE6BF4"/>
    <w:rsid w:val="00CE7067"/>
    <w:rsid w:val="00CE72FD"/>
    <w:rsid w:val="00CE7F53"/>
    <w:rsid w:val="00CF04B4"/>
    <w:rsid w:val="00CF0C3E"/>
    <w:rsid w:val="00CF281F"/>
    <w:rsid w:val="00CF396F"/>
    <w:rsid w:val="00CF3E90"/>
    <w:rsid w:val="00CF4725"/>
    <w:rsid w:val="00CF697A"/>
    <w:rsid w:val="00CF760A"/>
    <w:rsid w:val="00D005C9"/>
    <w:rsid w:val="00D00ED2"/>
    <w:rsid w:val="00D01D55"/>
    <w:rsid w:val="00D01D9B"/>
    <w:rsid w:val="00D02397"/>
    <w:rsid w:val="00D028C2"/>
    <w:rsid w:val="00D032F3"/>
    <w:rsid w:val="00D04088"/>
    <w:rsid w:val="00D04505"/>
    <w:rsid w:val="00D06510"/>
    <w:rsid w:val="00D0698B"/>
    <w:rsid w:val="00D073F8"/>
    <w:rsid w:val="00D07AA3"/>
    <w:rsid w:val="00D1099F"/>
    <w:rsid w:val="00D10D88"/>
    <w:rsid w:val="00D10E14"/>
    <w:rsid w:val="00D12DD3"/>
    <w:rsid w:val="00D132CD"/>
    <w:rsid w:val="00D14530"/>
    <w:rsid w:val="00D20381"/>
    <w:rsid w:val="00D20666"/>
    <w:rsid w:val="00D20822"/>
    <w:rsid w:val="00D20C33"/>
    <w:rsid w:val="00D213E0"/>
    <w:rsid w:val="00D21707"/>
    <w:rsid w:val="00D21D03"/>
    <w:rsid w:val="00D22659"/>
    <w:rsid w:val="00D2373D"/>
    <w:rsid w:val="00D23F06"/>
    <w:rsid w:val="00D24E16"/>
    <w:rsid w:val="00D25455"/>
    <w:rsid w:val="00D26458"/>
    <w:rsid w:val="00D2748F"/>
    <w:rsid w:val="00D27948"/>
    <w:rsid w:val="00D31563"/>
    <w:rsid w:val="00D31AED"/>
    <w:rsid w:val="00D32395"/>
    <w:rsid w:val="00D328AD"/>
    <w:rsid w:val="00D329AE"/>
    <w:rsid w:val="00D329CD"/>
    <w:rsid w:val="00D344F2"/>
    <w:rsid w:val="00D35151"/>
    <w:rsid w:val="00D352D1"/>
    <w:rsid w:val="00D36AAB"/>
    <w:rsid w:val="00D36B55"/>
    <w:rsid w:val="00D37486"/>
    <w:rsid w:val="00D37B17"/>
    <w:rsid w:val="00D37D46"/>
    <w:rsid w:val="00D37EE7"/>
    <w:rsid w:val="00D40342"/>
    <w:rsid w:val="00D40420"/>
    <w:rsid w:val="00D40F93"/>
    <w:rsid w:val="00D43238"/>
    <w:rsid w:val="00D44243"/>
    <w:rsid w:val="00D44385"/>
    <w:rsid w:val="00D444EE"/>
    <w:rsid w:val="00D44ABF"/>
    <w:rsid w:val="00D44C57"/>
    <w:rsid w:val="00D456EC"/>
    <w:rsid w:val="00D45731"/>
    <w:rsid w:val="00D45F6B"/>
    <w:rsid w:val="00D522FF"/>
    <w:rsid w:val="00D523E9"/>
    <w:rsid w:val="00D53B87"/>
    <w:rsid w:val="00D5477B"/>
    <w:rsid w:val="00D5560C"/>
    <w:rsid w:val="00D577E0"/>
    <w:rsid w:val="00D61C98"/>
    <w:rsid w:val="00D64249"/>
    <w:rsid w:val="00D65035"/>
    <w:rsid w:val="00D66E4C"/>
    <w:rsid w:val="00D71529"/>
    <w:rsid w:val="00D72BBB"/>
    <w:rsid w:val="00D746BD"/>
    <w:rsid w:val="00D75774"/>
    <w:rsid w:val="00D75AE9"/>
    <w:rsid w:val="00D76035"/>
    <w:rsid w:val="00D76CE9"/>
    <w:rsid w:val="00D8051A"/>
    <w:rsid w:val="00D80808"/>
    <w:rsid w:val="00D81267"/>
    <w:rsid w:val="00D81757"/>
    <w:rsid w:val="00D817C2"/>
    <w:rsid w:val="00D822B4"/>
    <w:rsid w:val="00D83046"/>
    <w:rsid w:val="00D84357"/>
    <w:rsid w:val="00D8457C"/>
    <w:rsid w:val="00D846AD"/>
    <w:rsid w:val="00D84B0B"/>
    <w:rsid w:val="00D84C61"/>
    <w:rsid w:val="00D84E0A"/>
    <w:rsid w:val="00D84EC1"/>
    <w:rsid w:val="00D85C9B"/>
    <w:rsid w:val="00D85CF4"/>
    <w:rsid w:val="00D85D4B"/>
    <w:rsid w:val="00D85D51"/>
    <w:rsid w:val="00D870D5"/>
    <w:rsid w:val="00D90EB2"/>
    <w:rsid w:val="00D910CD"/>
    <w:rsid w:val="00D926CF"/>
    <w:rsid w:val="00D94376"/>
    <w:rsid w:val="00D94AE0"/>
    <w:rsid w:val="00D94C20"/>
    <w:rsid w:val="00D95011"/>
    <w:rsid w:val="00D95E5A"/>
    <w:rsid w:val="00D974E2"/>
    <w:rsid w:val="00DA0483"/>
    <w:rsid w:val="00DA064C"/>
    <w:rsid w:val="00DA088C"/>
    <w:rsid w:val="00DA2037"/>
    <w:rsid w:val="00DA3E19"/>
    <w:rsid w:val="00DA4A1D"/>
    <w:rsid w:val="00DA5878"/>
    <w:rsid w:val="00DA73FB"/>
    <w:rsid w:val="00DA7773"/>
    <w:rsid w:val="00DA7D3D"/>
    <w:rsid w:val="00DB16D3"/>
    <w:rsid w:val="00DB17F4"/>
    <w:rsid w:val="00DB2F9F"/>
    <w:rsid w:val="00DB3050"/>
    <w:rsid w:val="00DB3555"/>
    <w:rsid w:val="00DB4853"/>
    <w:rsid w:val="00DB4DB5"/>
    <w:rsid w:val="00DB4F22"/>
    <w:rsid w:val="00DB6EAC"/>
    <w:rsid w:val="00DB703F"/>
    <w:rsid w:val="00DC0CC7"/>
    <w:rsid w:val="00DC0E23"/>
    <w:rsid w:val="00DC1C05"/>
    <w:rsid w:val="00DC2866"/>
    <w:rsid w:val="00DC2B80"/>
    <w:rsid w:val="00DC3F9F"/>
    <w:rsid w:val="00DC408D"/>
    <w:rsid w:val="00DC425A"/>
    <w:rsid w:val="00DC55C4"/>
    <w:rsid w:val="00DC661F"/>
    <w:rsid w:val="00DC70FF"/>
    <w:rsid w:val="00DC74D6"/>
    <w:rsid w:val="00DD0D01"/>
    <w:rsid w:val="00DD144E"/>
    <w:rsid w:val="00DD2A3E"/>
    <w:rsid w:val="00DD2E84"/>
    <w:rsid w:val="00DD30A6"/>
    <w:rsid w:val="00DD31C3"/>
    <w:rsid w:val="00DD3371"/>
    <w:rsid w:val="00DD3D5B"/>
    <w:rsid w:val="00DD3DC1"/>
    <w:rsid w:val="00DD4027"/>
    <w:rsid w:val="00DD5EB6"/>
    <w:rsid w:val="00DD7B18"/>
    <w:rsid w:val="00DD7E68"/>
    <w:rsid w:val="00DE04BA"/>
    <w:rsid w:val="00DE0BBC"/>
    <w:rsid w:val="00DE2D03"/>
    <w:rsid w:val="00DE2F98"/>
    <w:rsid w:val="00DE32AA"/>
    <w:rsid w:val="00DE4EFA"/>
    <w:rsid w:val="00DE6BFE"/>
    <w:rsid w:val="00DE6E4C"/>
    <w:rsid w:val="00DE73F8"/>
    <w:rsid w:val="00DE7D37"/>
    <w:rsid w:val="00DF0325"/>
    <w:rsid w:val="00DF085E"/>
    <w:rsid w:val="00DF0999"/>
    <w:rsid w:val="00DF1891"/>
    <w:rsid w:val="00DF3366"/>
    <w:rsid w:val="00DF3B50"/>
    <w:rsid w:val="00DF3C2E"/>
    <w:rsid w:val="00DF4174"/>
    <w:rsid w:val="00DF4AEC"/>
    <w:rsid w:val="00DF5132"/>
    <w:rsid w:val="00DF5205"/>
    <w:rsid w:val="00DF6CB2"/>
    <w:rsid w:val="00DF7669"/>
    <w:rsid w:val="00E00465"/>
    <w:rsid w:val="00E008FD"/>
    <w:rsid w:val="00E00BA6"/>
    <w:rsid w:val="00E01E34"/>
    <w:rsid w:val="00E02E55"/>
    <w:rsid w:val="00E034BF"/>
    <w:rsid w:val="00E03769"/>
    <w:rsid w:val="00E046CC"/>
    <w:rsid w:val="00E04E85"/>
    <w:rsid w:val="00E0530D"/>
    <w:rsid w:val="00E05897"/>
    <w:rsid w:val="00E05D71"/>
    <w:rsid w:val="00E06150"/>
    <w:rsid w:val="00E0713B"/>
    <w:rsid w:val="00E117AA"/>
    <w:rsid w:val="00E122DE"/>
    <w:rsid w:val="00E137A0"/>
    <w:rsid w:val="00E14777"/>
    <w:rsid w:val="00E14798"/>
    <w:rsid w:val="00E153A2"/>
    <w:rsid w:val="00E15804"/>
    <w:rsid w:val="00E1703B"/>
    <w:rsid w:val="00E17253"/>
    <w:rsid w:val="00E17AED"/>
    <w:rsid w:val="00E213D9"/>
    <w:rsid w:val="00E21DC9"/>
    <w:rsid w:val="00E22878"/>
    <w:rsid w:val="00E22A4A"/>
    <w:rsid w:val="00E22AED"/>
    <w:rsid w:val="00E22AF9"/>
    <w:rsid w:val="00E24DBB"/>
    <w:rsid w:val="00E25870"/>
    <w:rsid w:val="00E26645"/>
    <w:rsid w:val="00E2727F"/>
    <w:rsid w:val="00E27410"/>
    <w:rsid w:val="00E3071F"/>
    <w:rsid w:val="00E30E13"/>
    <w:rsid w:val="00E31548"/>
    <w:rsid w:val="00E3323F"/>
    <w:rsid w:val="00E335B8"/>
    <w:rsid w:val="00E33784"/>
    <w:rsid w:val="00E34DCF"/>
    <w:rsid w:val="00E34E4C"/>
    <w:rsid w:val="00E36A95"/>
    <w:rsid w:val="00E36CF7"/>
    <w:rsid w:val="00E37D0C"/>
    <w:rsid w:val="00E37F1F"/>
    <w:rsid w:val="00E405C8"/>
    <w:rsid w:val="00E40C5A"/>
    <w:rsid w:val="00E41BAC"/>
    <w:rsid w:val="00E43097"/>
    <w:rsid w:val="00E437C2"/>
    <w:rsid w:val="00E44B0E"/>
    <w:rsid w:val="00E44F05"/>
    <w:rsid w:val="00E450AA"/>
    <w:rsid w:val="00E46190"/>
    <w:rsid w:val="00E47D5A"/>
    <w:rsid w:val="00E503C5"/>
    <w:rsid w:val="00E510C3"/>
    <w:rsid w:val="00E51A5D"/>
    <w:rsid w:val="00E54779"/>
    <w:rsid w:val="00E57C37"/>
    <w:rsid w:val="00E602EB"/>
    <w:rsid w:val="00E6092B"/>
    <w:rsid w:val="00E61618"/>
    <w:rsid w:val="00E617A0"/>
    <w:rsid w:val="00E618EB"/>
    <w:rsid w:val="00E620AA"/>
    <w:rsid w:val="00E62256"/>
    <w:rsid w:val="00E622A4"/>
    <w:rsid w:val="00E63F68"/>
    <w:rsid w:val="00E648B7"/>
    <w:rsid w:val="00E67D3B"/>
    <w:rsid w:val="00E70422"/>
    <w:rsid w:val="00E71797"/>
    <w:rsid w:val="00E717C9"/>
    <w:rsid w:val="00E71901"/>
    <w:rsid w:val="00E733DE"/>
    <w:rsid w:val="00E73439"/>
    <w:rsid w:val="00E73C58"/>
    <w:rsid w:val="00E73CBB"/>
    <w:rsid w:val="00E7591E"/>
    <w:rsid w:val="00E75B8F"/>
    <w:rsid w:val="00E76033"/>
    <w:rsid w:val="00E76C68"/>
    <w:rsid w:val="00E770AE"/>
    <w:rsid w:val="00E77DAC"/>
    <w:rsid w:val="00E808E9"/>
    <w:rsid w:val="00E80BC2"/>
    <w:rsid w:val="00E819AC"/>
    <w:rsid w:val="00E81F68"/>
    <w:rsid w:val="00E828AD"/>
    <w:rsid w:val="00E8393A"/>
    <w:rsid w:val="00E83F8A"/>
    <w:rsid w:val="00E84D42"/>
    <w:rsid w:val="00E87CA6"/>
    <w:rsid w:val="00E900D8"/>
    <w:rsid w:val="00E90250"/>
    <w:rsid w:val="00E911F5"/>
    <w:rsid w:val="00E91700"/>
    <w:rsid w:val="00E91C4E"/>
    <w:rsid w:val="00E91F1C"/>
    <w:rsid w:val="00E927B3"/>
    <w:rsid w:val="00E92E62"/>
    <w:rsid w:val="00E93182"/>
    <w:rsid w:val="00E948F8"/>
    <w:rsid w:val="00E94AEF"/>
    <w:rsid w:val="00E95C22"/>
    <w:rsid w:val="00EA063E"/>
    <w:rsid w:val="00EA0AB3"/>
    <w:rsid w:val="00EA1EC6"/>
    <w:rsid w:val="00EA2566"/>
    <w:rsid w:val="00EA3BC8"/>
    <w:rsid w:val="00EA7C0C"/>
    <w:rsid w:val="00EB00F2"/>
    <w:rsid w:val="00EB02AB"/>
    <w:rsid w:val="00EB04F9"/>
    <w:rsid w:val="00EB20D7"/>
    <w:rsid w:val="00EB2938"/>
    <w:rsid w:val="00EB381D"/>
    <w:rsid w:val="00EB3CA8"/>
    <w:rsid w:val="00EB3D4B"/>
    <w:rsid w:val="00EB4BB0"/>
    <w:rsid w:val="00EB4E1A"/>
    <w:rsid w:val="00EB5496"/>
    <w:rsid w:val="00EB59D7"/>
    <w:rsid w:val="00EB5A68"/>
    <w:rsid w:val="00EB5AB5"/>
    <w:rsid w:val="00EB613B"/>
    <w:rsid w:val="00EB64C5"/>
    <w:rsid w:val="00EB727B"/>
    <w:rsid w:val="00EB769D"/>
    <w:rsid w:val="00EC19E0"/>
    <w:rsid w:val="00EC1CA1"/>
    <w:rsid w:val="00EC48EA"/>
    <w:rsid w:val="00EC4D3D"/>
    <w:rsid w:val="00EC5960"/>
    <w:rsid w:val="00EC6276"/>
    <w:rsid w:val="00EC6965"/>
    <w:rsid w:val="00EC6B89"/>
    <w:rsid w:val="00EC6D78"/>
    <w:rsid w:val="00EC752E"/>
    <w:rsid w:val="00EC7E68"/>
    <w:rsid w:val="00ED0C05"/>
    <w:rsid w:val="00ED1CB0"/>
    <w:rsid w:val="00ED33E8"/>
    <w:rsid w:val="00ED4E36"/>
    <w:rsid w:val="00ED51AD"/>
    <w:rsid w:val="00ED5443"/>
    <w:rsid w:val="00ED5E1B"/>
    <w:rsid w:val="00ED7E16"/>
    <w:rsid w:val="00EE120F"/>
    <w:rsid w:val="00EE142E"/>
    <w:rsid w:val="00EE1A69"/>
    <w:rsid w:val="00EE2752"/>
    <w:rsid w:val="00EE295D"/>
    <w:rsid w:val="00EE2B3F"/>
    <w:rsid w:val="00EE2C42"/>
    <w:rsid w:val="00EE36F3"/>
    <w:rsid w:val="00EE47FF"/>
    <w:rsid w:val="00EE48E7"/>
    <w:rsid w:val="00EE53F5"/>
    <w:rsid w:val="00EE6A16"/>
    <w:rsid w:val="00EE6ACC"/>
    <w:rsid w:val="00EE7667"/>
    <w:rsid w:val="00EF0859"/>
    <w:rsid w:val="00EF11CC"/>
    <w:rsid w:val="00EF13D4"/>
    <w:rsid w:val="00EF1971"/>
    <w:rsid w:val="00EF1E69"/>
    <w:rsid w:val="00EF2064"/>
    <w:rsid w:val="00EF2D52"/>
    <w:rsid w:val="00EF313B"/>
    <w:rsid w:val="00EF5464"/>
    <w:rsid w:val="00EF54AF"/>
    <w:rsid w:val="00EF6276"/>
    <w:rsid w:val="00EF7853"/>
    <w:rsid w:val="00F00DA4"/>
    <w:rsid w:val="00F0168E"/>
    <w:rsid w:val="00F01874"/>
    <w:rsid w:val="00F02514"/>
    <w:rsid w:val="00F02A8B"/>
    <w:rsid w:val="00F02C59"/>
    <w:rsid w:val="00F02FE1"/>
    <w:rsid w:val="00F03B72"/>
    <w:rsid w:val="00F041C7"/>
    <w:rsid w:val="00F04298"/>
    <w:rsid w:val="00F04577"/>
    <w:rsid w:val="00F04E75"/>
    <w:rsid w:val="00F10215"/>
    <w:rsid w:val="00F1028C"/>
    <w:rsid w:val="00F10715"/>
    <w:rsid w:val="00F10A62"/>
    <w:rsid w:val="00F115AA"/>
    <w:rsid w:val="00F11894"/>
    <w:rsid w:val="00F126C5"/>
    <w:rsid w:val="00F13A9E"/>
    <w:rsid w:val="00F14367"/>
    <w:rsid w:val="00F157B7"/>
    <w:rsid w:val="00F159A3"/>
    <w:rsid w:val="00F15F20"/>
    <w:rsid w:val="00F16619"/>
    <w:rsid w:val="00F16B93"/>
    <w:rsid w:val="00F16CF0"/>
    <w:rsid w:val="00F17069"/>
    <w:rsid w:val="00F203CD"/>
    <w:rsid w:val="00F20C18"/>
    <w:rsid w:val="00F210EF"/>
    <w:rsid w:val="00F21461"/>
    <w:rsid w:val="00F2156E"/>
    <w:rsid w:val="00F22206"/>
    <w:rsid w:val="00F2245C"/>
    <w:rsid w:val="00F229F0"/>
    <w:rsid w:val="00F24249"/>
    <w:rsid w:val="00F2526D"/>
    <w:rsid w:val="00F2529F"/>
    <w:rsid w:val="00F26193"/>
    <w:rsid w:val="00F265B9"/>
    <w:rsid w:val="00F27AFF"/>
    <w:rsid w:val="00F30220"/>
    <w:rsid w:val="00F30BC8"/>
    <w:rsid w:val="00F31025"/>
    <w:rsid w:val="00F31301"/>
    <w:rsid w:val="00F315AB"/>
    <w:rsid w:val="00F332CD"/>
    <w:rsid w:val="00F34953"/>
    <w:rsid w:val="00F34A25"/>
    <w:rsid w:val="00F35AA4"/>
    <w:rsid w:val="00F35DC7"/>
    <w:rsid w:val="00F36719"/>
    <w:rsid w:val="00F37733"/>
    <w:rsid w:val="00F41116"/>
    <w:rsid w:val="00F4197F"/>
    <w:rsid w:val="00F42E2D"/>
    <w:rsid w:val="00F452DE"/>
    <w:rsid w:val="00F45C90"/>
    <w:rsid w:val="00F46FDA"/>
    <w:rsid w:val="00F4700F"/>
    <w:rsid w:val="00F50731"/>
    <w:rsid w:val="00F50B46"/>
    <w:rsid w:val="00F51C6D"/>
    <w:rsid w:val="00F5258F"/>
    <w:rsid w:val="00F534D1"/>
    <w:rsid w:val="00F535DD"/>
    <w:rsid w:val="00F537C3"/>
    <w:rsid w:val="00F53BA8"/>
    <w:rsid w:val="00F540DF"/>
    <w:rsid w:val="00F542E4"/>
    <w:rsid w:val="00F55BDE"/>
    <w:rsid w:val="00F56AE7"/>
    <w:rsid w:val="00F57976"/>
    <w:rsid w:val="00F605FC"/>
    <w:rsid w:val="00F60C46"/>
    <w:rsid w:val="00F60C61"/>
    <w:rsid w:val="00F61144"/>
    <w:rsid w:val="00F6120B"/>
    <w:rsid w:val="00F61618"/>
    <w:rsid w:val="00F61CEE"/>
    <w:rsid w:val="00F61ED2"/>
    <w:rsid w:val="00F627DD"/>
    <w:rsid w:val="00F6320B"/>
    <w:rsid w:val="00F635D3"/>
    <w:rsid w:val="00F65417"/>
    <w:rsid w:val="00F6737E"/>
    <w:rsid w:val="00F67503"/>
    <w:rsid w:val="00F67576"/>
    <w:rsid w:val="00F70A79"/>
    <w:rsid w:val="00F731F1"/>
    <w:rsid w:val="00F73FBB"/>
    <w:rsid w:val="00F74244"/>
    <w:rsid w:val="00F74587"/>
    <w:rsid w:val="00F746B4"/>
    <w:rsid w:val="00F74C43"/>
    <w:rsid w:val="00F74F34"/>
    <w:rsid w:val="00F81034"/>
    <w:rsid w:val="00F81F63"/>
    <w:rsid w:val="00F82675"/>
    <w:rsid w:val="00F83051"/>
    <w:rsid w:val="00F83128"/>
    <w:rsid w:val="00F839BC"/>
    <w:rsid w:val="00F84763"/>
    <w:rsid w:val="00F84C7C"/>
    <w:rsid w:val="00F85012"/>
    <w:rsid w:val="00F8506A"/>
    <w:rsid w:val="00F851BB"/>
    <w:rsid w:val="00F86019"/>
    <w:rsid w:val="00F86820"/>
    <w:rsid w:val="00F86B36"/>
    <w:rsid w:val="00F8701C"/>
    <w:rsid w:val="00F8725D"/>
    <w:rsid w:val="00F8732F"/>
    <w:rsid w:val="00F8769F"/>
    <w:rsid w:val="00F8794C"/>
    <w:rsid w:val="00F90E06"/>
    <w:rsid w:val="00F91678"/>
    <w:rsid w:val="00F9198B"/>
    <w:rsid w:val="00F91ACA"/>
    <w:rsid w:val="00F929A2"/>
    <w:rsid w:val="00F92C0E"/>
    <w:rsid w:val="00F92F04"/>
    <w:rsid w:val="00F938C6"/>
    <w:rsid w:val="00F93A33"/>
    <w:rsid w:val="00F9409C"/>
    <w:rsid w:val="00F94BD8"/>
    <w:rsid w:val="00F97281"/>
    <w:rsid w:val="00FA0E44"/>
    <w:rsid w:val="00FA14BF"/>
    <w:rsid w:val="00FA1B4E"/>
    <w:rsid w:val="00FA3926"/>
    <w:rsid w:val="00FA3FB8"/>
    <w:rsid w:val="00FA4894"/>
    <w:rsid w:val="00FA5322"/>
    <w:rsid w:val="00FA5973"/>
    <w:rsid w:val="00FA598F"/>
    <w:rsid w:val="00FA6671"/>
    <w:rsid w:val="00FA767E"/>
    <w:rsid w:val="00FA76CF"/>
    <w:rsid w:val="00FA7A31"/>
    <w:rsid w:val="00FB1238"/>
    <w:rsid w:val="00FB1872"/>
    <w:rsid w:val="00FB3D8E"/>
    <w:rsid w:val="00FB47C2"/>
    <w:rsid w:val="00FB4B8C"/>
    <w:rsid w:val="00FB51C9"/>
    <w:rsid w:val="00FB5C7F"/>
    <w:rsid w:val="00FB632B"/>
    <w:rsid w:val="00FB6D2F"/>
    <w:rsid w:val="00FB6ED1"/>
    <w:rsid w:val="00FB7BD5"/>
    <w:rsid w:val="00FB7E5E"/>
    <w:rsid w:val="00FBDBAF"/>
    <w:rsid w:val="00FC057E"/>
    <w:rsid w:val="00FC1EEE"/>
    <w:rsid w:val="00FC324A"/>
    <w:rsid w:val="00FC36F7"/>
    <w:rsid w:val="00FC38F8"/>
    <w:rsid w:val="00FC3D96"/>
    <w:rsid w:val="00FC4032"/>
    <w:rsid w:val="00FC415E"/>
    <w:rsid w:val="00FC41D1"/>
    <w:rsid w:val="00FC52F7"/>
    <w:rsid w:val="00FC5500"/>
    <w:rsid w:val="00FC5F56"/>
    <w:rsid w:val="00FC63D8"/>
    <w:rsid w:val="00FC676A"/>
    <w:rsid w:val="00FC75EA"/>
    <w:rsid w:val="00FC7892"/>
    <w:rsid w:val="00FD0D63"/>
    <w:rsid w:val="00FD1F81"/>
    <w:rsid w:val="00FD2E4A"/>
    <w:rsid w:val="00FD33CD"/>
    <w:rsid w:val="00FD35E2"/>
    <w:rsid w:val="00FD3734"/>
    <w:rsid w:val="00FD379D"/>
    <w:rsid w:val="00FD4833"/>
    <w:rsid w:val="00FD4D80"/>
    <w:rsid w:val="00FD670F"/>
    <w:rsid w:val="00FD7167"/>
    <w:rsid w:val="00FD7CB5"/>
    <w:rsid w:val="00FD7DD7"/>
    <w:rsid w:val="00FE06E1"/>
    <w:rsid w:val="00FE08CE"/>
    <w:rsid w:val="00FE1CCA"/>
    <w:rsid w:val="00FE2095"/>
    <w:rsid w:val="00FE21CC"/>
    <w:rsid w:val="00FE32D4"/>
    <w:rsid w:val="00FE413F"/>
    <w:rsid w:val="00FE5153"/>
    <w:rsid w:val="00FE6538"/>
    <w:rsid w:val="00FE6914"/>
    <w:rsid w:val="00FE6DD0"/>
    <w:rsid w:val="00FE7189"/>
    <w:rsid w:val="00FE72D9"/>
    <w:rsid w:val="00FE7C37"/>
    <w:rsid w:val="00FF03A9"/>
    <w:rsid w:val="00FF040F"/>
    <w:rsid w:val="00FF134C"/>
    <w:rsid w:val="00FF1841"/>
    <w:rsid w:val="00FF2F34"/>
    <w:rsid w:val="00FF437D"/>
    <w:rsid w:val="00FF596D"/>
    <w:rsid w:val="0114C5C8"/>
    <w:rsid w:val="013CAD54"/>
    <w:rsid w:val="0146A30D"/>
    <w:rsid w:val="014E4CBE"/>
    <w:rsid w:val="017B61BD"/>
    <w:rsid w:val="019318C2"/>
    <w:rsid w:val="01C69B32"/>
    <w:rsid w:val="01DA7152"/>
    <w:rsid w:val="01DFE9BE"/>
    <w:rsid w:val="01FA1FE9"/>
    <w:rsid w:val="01FE0CC7"/>
    <w:rsid w:val="02445142"/>
    <w:rsid w:val="02658D25"/>
    <w:rsid w:val="02B63FC8"/>
    <w:rsid w:val="02C47361"/>
    <w:rsid w:val="02D18F61"/>
    <w:rsid w:val="02E45AA8"/>
    <w:rsid w:val="02F8E2EF"/>
    <w:rsid w:val="0302A777"/>
    <w:rsid w:val="03366A4E"/>
    <w:rsid w:val="034FE3C3"/>
    <w:rsid w:val="03510733"/>
    <w:rsid w:val="036AD4DD"/>
    <w:rsid w:val="0384D46C"/>
    <w:rsid w:val="03A0BE1D"/>
    <w:rsid w:val="03E1ABDF"/>
    <w:rsid w:val="04136E7B"/>
    <w:rsid w:val="0424E59D"/>
    <w:rsid w:val="04531559"/>
    <w:rsid w:val="04558962"/>
    <w:rsid w:val="04666A6D"/>
    <w:rsid w:val="04C9543D"/>
    <w:rsid w:val="050CB53F"/>
    <w:rsid w:val="0517EC22"/>
    <w:rsid w:val="0551468C"/>
    <w:rsid w:val="056D5206"/>
    <w:rsid w:val="05718584"/>
    <w:rsid w:val="0573A917"/>
    <w:rsid w:val="05844610"/>
    <w:rsid w:val="06084715"/>
    <w:rsid w:val="060D1E73"/>
    <w:rsid w:val="06287B28"/>
    <w:rsid w:val="062FC952"/>
    <w:rsid w:val="06797CE6"/>
    <w:rsid w:val="06BBAC17"/>
    <w:rsid w:val="06D7A398"/>
    <w:rsid w:val="06F306AA"/>
    <w:rsid w:val="06F6A7C7"/>
    <w:rsid w:val="0708352A"/>
    <w:rsid w:val="0746B02B"/>
    <w:rsid w:val="0775F0B7"/>
    <w:rsid w:val="07884F79"/>
    <w:rsid w:val="0790AB8B"/>
    <w:rsid w:val="07F9CF6C"/>
    <w:rsid w:val="081E440C"/>
    <w:rsid w:val="0820401A"/>
    <w:rsid w:val="08C45179"/>
    <w:rsid w:val="09316094"/>
    <w:rsid w:val="09C412C4"/>
    <w:rsid w:val="09E34D90"/>
    <w:rsid w:val="0A164FBF"/>
    <w:rsid w:val="0A1A9B89"/>
    <w:rsid w:val="0A5753FB"/>
    <w:rsid w:val="0AD9DDE7"/>
    <w:rsid w:val="0B0EC170"/>
    <w:rsid w:val="0B2C736B"/>
    <w:rsid w:val="0B4847A1"/>
    <w:rsid w:val="0B7A36CB"/>
    <w:rsid w:val="0BA4999B"/>
    <w:rsid w:val="0BB4E33C"/>
    <w:rsid w:val="0BD22889"/>
    <w:rsid w:val="0BDF2678"/>
    <w:rsid w:val="0C5C869E"/>
    <w:rsid w:val="0C7C5FF7"/>
    <w:rsid w:val="0C8C4FB5"/>
    <w:rsid w:val="0CB67503"/>
    <w:rsid w:val="0D137E78"/>
    <w:rsid w:val="0D281DC3"/>
    <w:rsid w:val="0D71EE05"/>
    <w:rsid w:val="0DADC699"/>
    <w:rsid w:val="0DC6AE53"/>
    <w:rsid w:val="0DEECCB8"/>
    <w:rsid w:val="0DEFABC4"/>
    <w:rsid w:val="0DF62466"/>
    <w:rsid w:val="0E1BFF5F"/>
    <w:rsid w:val="0E3776AD"/>
    <w:rsid w:val="0E41B204"/>
    <w:rsid w:val="0E7D5B27"/>
    <w:rsid w:val="0E925855"/>
    <w:rsid w:val="0E941A14"/>
    <w:rsid w:val="0EA2F559"/>
    <w:rsid w:val="0ED4E60A"/>
    <w:rsid w:val="0F1A0936"/>
    <w:rsid w:val="0F3ADEA7"/>
    <w:rsid w:val="0F3E365E"/>
    <w:rsid w:val="0F7E0201"/>
    <w:rsid w:val="0F9206DD"/>
    <w:rsid w:val="0F972713"/>
    <w:rsid w:val="0F9AD85C"/>
    <w:rsid w:val="0F9F8F26"/>
    <w:rsid w:val="0FA7DE84"/>
    <w:rsid w:val="0FA81347"/>
    <w:rsid w:val="0FCA377B"/>
    <w:rsid w:val="103E8BF7"/>
    <w:rsid w:val="1043BDA0"/>
    <w:rsid w:val="104E6ACC"/>
    <w:rsid w:val="104F14E3"/>
    <w:rsid w:val="1060B27E"/>
    <w:rsid w:val="1064D0A2"/>
    <w:rsid w:val="10732E10"/>
    <w:rsid w:val="10CB5A56"/>
    <w:rsid w:val="111E6574"/>
    <w:rsid w:val="115D0B7B"/>
    <w:rsid w:val="115EC04F"/>
    <w:rsid w:val="11B7224B"/>
    <w:rsid w:val="11D239C7"/>
    <w:rsid w:val="1202676B"/>
    <w:rsid w:val="122E35FD"/>
    <w:rsid w:val="12341B3C"/>
    <w:rsid w:val="123C5427"/>
    <w:rsid w:val="1244561A"/>
    <w:rsid w:val="1261DA6F"/>
    <w:rsid w:val="1274BF34"/>
    <w:rsid w:val="128B4D08"/>
    <w:rsid w:val="12A5640B"/>
    <w:rsid w:val="13710582"/>
    <w:rsid w:val="138DF400"/>
    <w:rsid w:val="13A81782"/>
    <w:rsid w:val="1416DDA6"/>
    <w:rsid w:val="141FB909"/>
    <w:rsid w:val="1428E042"/>
    <w:rsid w:val="14888A3E"/>
    <w:rsid w:val="14C57764"/>
    <w:rsid w:val="14DBB70B"/>
    <w:rsid w:val="14E26321"/>
    <w:rsid w:val="15015ACC"/>
    <w:rsid w:val="1506BEAD"/>
    <w:rsid w:val="1507FA7D"/>
    <w:rsid w:val="150EE0D4"/>
    <w:rsid w:val="15242000"/>
    <w:rsid w:val="158BD82E"/>
    <w:rsid w:val="15B02599"/>
    <w:rsid w:val="15D3BE10"/>
    <w:rsid w:val="15D95A37"/>
    <w:rsid w:val="15D9D034"/>
    <w:rsid w:val="163A0CBA"/>
    <w:rsid w:val="165A6300"/>
    <w:rsid w:val="1697A168"/>
    <w:rsid w:val="16C8DA02"/>
    <w:rsid w:val="16DD6787"/>
    <w:rsid w:val="1720C902"/>
    <w:rsid w:val="172E3FFB"/>
    <w:rsid w:val="172FAF5F"/>
    <w:rsid w:val="17423407"/>
    <w:rsid w:val="1753608F"/>
    <w:rsid w:val="176A98C6"/>
    <w:rsid w:val="1796FE5D"/>
    <w:rsid w:val="17B50C73"/>
    <w:rsid w:val="17D1A4D9"/>
    <w:rsid w:val="17FCB64D"/>
    <w:rsid w:val="181F0DA3"/>
    <w:rsid w:val="187D6B97"/>
    <w:rsid w:val="188AADE4"/>
    <w:rsid w:val="19190D63"/>
    <w:rsid w:val="1939BE92"/>
    <w:rsid w:val="197E6112"/>
    <w:rsid w:val="19B04ECE"/>
    <w:rsid w:val="19ED9C03"/>
    <w:rsid w:val="19FD9E30"/>
    <w:rsid w:val="19FDD6DB"/>
    <w:rsid w:val="1A067393"/>
    <w:rsid w:val="1A6A9E39"/>
    <w:rsid w:val="1AB2DDE2"/>
    <w:rsid w:val="1AC9779B"/>
    <w:rsid w:val="1AD1AE10"/>
    <w:rsid w:val="1AD44C64"/>
    <w:rsid w:val="1AD643C5"/>
    <w:rsid w:val="1AEAA71C"/>
    <w:rsid w:val="1B06D61E"/>
    <w:rsid w:val="1B06FDBF"/>
    <w:rsid w:val="1B0EEA4A"/>
    <w:rsid w:val="1B9B6FD6"/>
    <w:rsid w:val="1C4FB9D1"/>
    <w:rsid w:val="1C5772A5"/>
    <w:rsid w:val="1C610A28"/>
    <w:rsid w:val="1C6F44D9"/>
    <w:rsid w:val="1C89631E"/>
    <w:rsid w:val="1CFDC543"/>
    <w:rsid w:val="1D0100E3"/>
    <w:rsid w:val="1D26D62D"/>
    <w:rsid w:val="1D5EC04C"/>
    <w:rsid w:val="1D932C20"/>
    <w:rsid w:val="1DA34929"/>
    <w:rsid w:val="1DC1ABE0"/>
    <w:rsid w:val="1E1481EB"/>
    <w:rsid w:val="1E7B7230"/>
    <w:rsid w:val="1E8FE2B1"/>
    <w:rsid w:val="1E9CB570"/>
    <w:rsid w:val="1EC3BCF7"/>
    <w:rsid w:val="1F5CD073"/>
    <w:rsid w:val="1F5D7C2B"/>
    <w:rsid w:val="1F6AC836"/>
    <w:rsid w:val="1FCBA75E"/>
    <w:rsid w:val="1FDC4711"/>
    <w:rsid w:val="1FE4DB9F"/>
    <w:rsid w:val="20365CA9"/>
    <w:rsid w:val="2062FAFF"/>
    <w:rsid w:val="2064B5C0"/>
    <w:rsid w:val="206CD7EA"/>
    <w:rsid w:val="20702C90"/>
    <w:rsid w:val="20A9B747"/>
    <w:rsid w:val="20CA3E45"/>
    <w:rsid w:val="20D1C803"/>
    <w:rsid w:val="20F0C72C"/>
    <w:rsid w:val="20FB962C"/>
    <w:rsid w:val="210904AB"/>
    <w:rsid w:val="214A67D8"/>
    <w:rsid w:val="21621294"/>
    <w:rsid w:val="219409E7"/>
    <w:rsid w:val="219C08B6"/>
    <w:rsid w:val="2297668D"/>
    <w:rsid w:val="229A4FB1"/>
    <w:rsid w:val="22C9D8FF"/>
    <w:rsid w:val="23087F5F"/>
    <w:rsid w:val="23190010"/>
    <w:rsid w:val="2394E478"/>
    <w:rsid w:val="239B1614"/>
    <w:rsid w:val="23B061B5"/>
    <w:rsid w:val="23CB2C4C"/>
    <w:rsid w:val="23FB81E6"/>
    <w:rsid w:val="23FD24F5"/>
    <w:rsid w:val="240181A2"/>
    <w:rsid w:val="24091759"/>
    <w:rsid w:val="241A23BB"/>
    <w:rsid w:val="242F01CA"/>
    <w:rsid w:val="248E5390"/>
    <w:rsid w:val="24A2EA11"/>
    <w:rsid w:val="24A675E4"/>
    <w:rsid w:val="24B1312F"/>
    <w:rsid w:val="24D33BF8"/>
    <w:rsid w:val="25074391"/>
    <w:rsid w:val="25599379"/>
    <w:rsid w:val="256EA75C"/>
    <w:rsid w:val="257AFE6A"/>
    <w:rsid w:val="25BFCD91"/>
    <w:rsid w:val="25E00779"/>
    <w:rsid w:val="262B83D7"/>
    <w:rsid w:val="2664AE6A"/>
    <w:rsid w:val="2673C8AF"/>
    <w:rsid w:val="2694E723"/>
    <w:rsid w:val="26AC70DC"/>
    <w:rsid w:val="26BCDFC8"/>
    <w:rsid w:val="2714F35A"/>
    <w:rsid w:val="27541232"/>
    <w:rsid w:val="27890C42"/>
    <w:rsid w:val="27B95A84"/>
    <w:rsid w:val="27CC4E2D"/>
    <w:rsid w:val="27D9DABF"/>
    <w:rsid w:val="27E57968"/>
    <w:rsid w:val="27F689C8"/>
    <w:rsid w:val="2830B784"/>
    <w:rsid w:val="2866D68A"/>
    <w:rsid w:val="28D8A9E4"/>
    <w:rsid w:val="29037310"/>
    <w:rsid w:val="290AC821"/>
    <w:rsid w:val="290EC5DE"/>
    <w:rsid w:val="29706F51"/>
    <w:rsid w:val="297CF8EB"/>
    <w:rsid w:val="29AD7FC4"/>
    <w:rsid w:val="29B55F9E"/>
    <w:rsid w:val="29D71D38"/>
    <w:rsid w:val="2A51E64B"/>
    <w:rsid w:val="2A8A7CD7"/>
    <w:rsid w:val="2A91AA44"/>
    <w:rsid w:val="2AF4F2AD"/>
    <w:rsid w:val="2B42BB0C"/>
    <w:rsid w:val="2B7B6B77"/>
    <w:rsid w:val="2B993514"/>
    <w:rsid w:val="2BB6C4BF"/>
    <w:rsid w:val="2BC259D6"/>
    <w:rsid w:val="2BC561C8"/>
    <w:rsid w:val="2BD4E2FD"/>
    <w:rsid w:val="2C044447"/>
    <w:rsid w:val="2C0EA375"/>
    <w:rsid w:val="2C2ABB46"/>
    <w:rsid w:val="2C321D32"/>
    <w:rsid w:val="2C33788F"/>
    <w:rsid w:val="2C56AB41"/>
    <w:rsid w:val="2C6202BA"/>
    <w:rsid w:val="2C8CC496"/>
    <w:rsid w:val="2C95A26A"/>
    <w:rsid w:val="2CB7ED9B"/>
    <w:rsid w:val="2CCA7B34"/>
    <w:rsid w:val="2CCB1AD8"/>
    <w:rsid w:val="2CCCDFF1"/>
    <w:rsid w:val="2CD3FE43"/>
    <w:rsid w:val="2CEE7590"/>
    <w:rsid w:val="2CFEEF7C"/>
    <w:rsid w:val="2D013018"/>
    <w:rsid w:val="2D2E71D8"/>
    <w:rsid w:val="2D3F0882"/>
    <w:rsid w:val="2D89C6F2"/>
    <w:rsid w:val="2DE211AA"/>
    <w:rsid w:val="2DF7EB9A"/>
    <w:rsid w:val="2E419B1A"/>
    <w:rsid w:val="2E5CB24A"/>
    <w:rsid w:val="2E5EF7AC"/>
    <w:rsid w:val="2E69C6FF"/>
    <w:rsid w:val="2E9419CF"/>
    <w:rsid w:val="2EB8494B"/>
    <w:rsid w:val="2EEFC40D"/>
    <w:rsid w:val="2F1A3BA5"/>
    <w:rsid w:val="2F216485"/>
    <w:rsid w:val="2F30A81E"/>
    <w:rsid w:val="2F45129F"/>
    <w:rsid w:val="2F7C02DE"/>
    <w:rsid w:val="2F826047"/>
    <w:rsid w:val="2FAE1D6B"/>
    <w:rsid w:val="2FB98065"/>
    <w:rsid w:val="2FC8B8D2"/>
    <w:rsid w:val="2FFF7070"/>
    <w:rsid w:val="2FFFD545"/>
    <w:rsid w:val="3031227E"/>
    <w:rsid w:val="30A613BB"/>
    <w:rsid w:val="30EF711F"/>
    <w:rsid w:val="3117CC8B"/>
    <w:rsid w:val="3169E26B"/>
    <w:rsid w:val="318E9CBA"/>
    <w:rsid w:val="318F7E94"/>
    <w:rsid w:val="3193CF71"/>
    <w:rsid w:val="31AA2024"/>
    <w:rsid w:val="320B3C37"/>
    <w:rsid w:val="32139092"/>
    <w:rsid w:val="324E4F45"/>
    <w:rsid w:val="3296BA50"/>
    <w:rsid w:val="32D5F210"/>
    <w:rsid w:val="32DBE7DF"/>
    <w:rsid w:val="332DAA74"/>
    <w:rsid w:val="33338DAF"/>
    <w:rsid w:val="33377607"/>
    <w:rsid w:val="3339235A"/>
    <w:rsid w:val="333C9E1E"/>
    <w:rsid w:val="335E1A95"/>
    <w:rsid w:val="33ADA433"/>
    <w:rsid w:val="33B189D4"/>
    <w:rsid w:val="33B99D1E"/>
    <w:rsid w:val="33EAED7C"/>
    <w:rsid w:val="340F196F"/>
    <w:rsid w:val="343DDA3F"/>
    <w:rsid w:val="343FD868"/>
    <w:rsid w:val="347832E2"/>
    <w:rsid w:val="34894943"/>
    <w:rsid w:val="34AADC6D"/>
    <w:rsid w:val="34AC0463"/>
    <w:rsid w:val="34C58E10"/>
    <w:rsid w:val="35259CB9"/>
    <w:rsid w:val="35340A8F"/>
    <w:rsid w:val="35447EA8"/>
    <w:rsid w:val="3551D46E"/>
    <w:rsid w:val="3563A3A8"/>
    <w:rsid w:val="35781AF2"/>
    <w:rsid w:val="3589151D"/>
    <w:rsid w:val="35EFE8B9"/>
    <w:rsid w:val="361D2656"/>
    <w:rsid w:val="36AE6CE9"/>
    <w:rsid w:val="36C1177D"/>
    <w:rsid w:val="36C62C94"/>
    <w:rsid w:val="36E92BB8"/>
    <w:rsid w:val="3714266F"/>
    <w:rsid w:val="371E7A45"/>
    <w:rsid w:val="3721609A"/>
    <w:rsid w:val="379300F1"/>
    <w:rsid w:val="37A05F43"/>
    <w:rsid w:val="37A7A70C"/>
    <w:rsid w:val="37AA7997"/>
    <w:rsid w:val="37B36FC9"/>
    <w:rsid w:val="37B9AFC0"/>
    <w:rsid w:val="37C99641"/>
    <w:rsid w:val="3800EDF6"/>
    <w:rsid w:val="383227FB"/>
    <w:rsid w:val="384EB759"/>
    <w:rsid w:val="3906D817"/>
    <w:rsid w:val="392B744F"/>
    <w:rsid w:val="393C2FA4"/>
    <w:rsid w:val="396542E9"/>
    <w:rsid w:val="3977E7FA"/>
    <w:rsid w:val="399B5861"/>
    <w:rsid w:val="399C623A"/>
    <w:rsid w:val="39B61B04"/>
    <w:rsid w:val="3A4F6272"/>
    <w:rsid w:val="3A4FB310"/>
    <w:rsid w:val="3AF013BD"/>
    <w:rsid w:val="3B26CFD9"/>
    <w:rsid w:val="3B877DCC"/>
    <w:rsid w:val="3BA40AD4"/>
    <w:rsid w:val="3C0D1284"/>
    <w:rsid w:val="3C3B0C8B"/>
    <w:rsid w:val="3C461368"/>
    <w:rsid w:val="3C5EBD29"/>
    <w:rsid w:val="3C960AF2"/>
    <w:rsid w:val="3D81D8E6"/>
    <w:rsid w:val="3D94478E"/>
    <w:rsid w:val="3DA6E271"/>
    <w:rsid w:val="3DA8F034"/>
    <w:rsid w:val="3E812A9E"/>
    <w:rsid w:val="3E98D0DC"/>
    <w:rsid w:val="3EA825E7"/>
    <w:rsid w:val="3EB46B8F"/>
    <w:rsid w:val="3EC5D804"/>
    <w:rsid w:val="3EDDC19C"/>
    <w:rsid w:val="3EF6BC37"/>
    <w:rsid w:val="3EF7B6C3"/>
    <w:rsid w:val="3F1CCED6"/>
    <w:rsid w:val="3F8688CA"/>
    <w:rsid w:val="4004884D"/>
    <w:rsid w:val="404415D8"/>
    <w:rsid w:val="40B324C5"/>
    <w:rsid w:val="40BFCBD6"/>
    <w:rsid w:val="40E1A4E1"/>
    <w:rsid w:val="40E5E6A5"/>
    <w:rsid w:val="40EBCD39"/>
    <w:rsid w:val="41101D47"/>
    <w:rsid w:val="41335E97"/>
    <w:rsid w:val="41569058"/>
    <w:rsid w:val="41D61149"/>
    <w:rsid w:val="420430E9"/>
    <w:rsid w:val="4252B5CF"/>
    <w:rsid w:val="42B0E38D"/>
    <w:rsid w:val="42EC301F"/>
    <w:rsid w:val="42F317BE"/>
    <w:rsid w:val="43429058"/>
    <w:rsid w:val="4363875A"/>
    <w:rsid w:val="436A94EE"/>
    <w:rsid w:val="43AEB812"/>
    <w:rsid w:val="43B0847D"/>
    <w:rsid w:val="43D0E624"/>
    <w:rsid w:val="43F76C98"/>
    <w:rsid w:val="4403C8D9"/>
    <w:rsid w:val="44308AA5"/>
    <w:rsid w:val="446EBDDE"/>
    <w:rsid w:val="449261C5"/>
    <w:rsid w:val="4500F1A3"/>
    <w:rsid w:val="450D457B"/>
    <w:rsid w:val="452D4BED"/>
    <w:rsid w:val="457BD5DD"/>
    <w:rsid w:val="460F2408"/>
    <w:rsid w:val="469C36D2"/>
    <w:rsid w:val="46C04BBE"/>
    <w:rsid w:val="46C7A1CC"/>
    <w:rsid w:val="46CEC3E5"/>
    <w:rsid w:val="46D81B10"/>
    <w:rsid w:val="46EEE3AE"/>
    <w:rsid w:val="4734398F"/>
    <w:rsid w:val="477B1A8D"/>
    <w:rsid w:val="478AF52E"/>
    <w:rsid w:val="47BFA2F0"/>
    <w:rsid w:val="482389B6"/>
    <w:rsid w:val="484A4E4D"/>
    <w:rsid w:val="48523153"/>
    <w:rsid w:val="487203B3"/>
    <w:rsid w:val="488F95B0"/>
    <w:rsid w:val="48B56FF3"/>
    <w:rsid w:val="48C9F812"/>
    <w:rsid w:val="48DE1D72"/>
    <w:rsid w:val="49666024"/>
    <w:rsid w:val="496A2CC3"/>
    <w:rsid w:val="4994EC6F"/>
    <w:rsid w:val="49A89461"/>
    <w:rsid w:val="49FE5412"/>
    <w:rsid w:val="4A01A095"/>
    <w:rsid w:val="4A035505"/>
    <w:rsid w:val="4A4F57CE"/>
    <w:rsid w:val="4A9FC818"/>
    <w:rsid w:val="4AA59832"/>
    <w:rsid w:val="4ACF4ADF"/>
    <w:rsid w:val="4B085D02"/>
    <w:rsid w:val="4B0E7128"/>
    <w:rsid w:val="4B18BB0D"/>
    <w:rsid w:val="4B408073"/>
    <w:rsid w:val="4B5B0651"/>
    <w:rsid w:val="4B7A61AC"/>
    <w:rsid w:val="4C2B67D9"/>
    <w:rsid w:val="4C4ADB12"/>
    <w:rsid w:val="4C9AB234"/>
    <w:rsid w:val="4C9AC9E1"/>
    <w:rsid w:val="4CA3042B"/>
    <w:rsid w:val="4CAD8CEA"/>
    <w:rsid w:val="4CC0A6D9"/>
    <w:rsid w:val="4CC24EF9"/>
    <w:rsid w:val="4D224058"/>
    <w:rsid w:val="4D81F63A"/>
    <w:rsid w:val="4DBB6FA8"/>
    <w:rsid w:val="4DDD0ABD"/>
    <w:rsid w:val="4E12AE09"/>
    <w:rsid w:val="4E149700"/>
    <w:rsid w:val="4E263954"/>
    <w:rsid w:val="4E573E23"/>
    <w:rsid w:val="4E60C0FC"/>
    <w:rsid w:val="4E732516"/>
    <w:rsid w:val="4EABCDFF"/>
    <w:rsid w:val="4EEDB1E9"/>
    <w:rsid w:val="4F1344A7"/>
    <w:rsid w:val="4F1999DC"/>
    <w:rsid w:val="4F1F3284"/>
    <w:rsid w:val="4F24489B"/>
    <w:rsid w:val="4F765261"/>
    <w:rsid w:val="4F85FAA7"/>
    <w:rsid w:val="4F8CFA37"/>
    <w:rsid w:val="4F91AF5C"/>
    <w:rsid w:val="4FADFC2D"/>
    <w:rsid w:val="4FCACC66"/>
    <w:rsid w:val="504FE370"/>
    <w:rsid w:val="5076414C"/>
    <w:rsid w:val="50912AF2"/>
    <w:rsid w:val="50BBC660"/>
    <w:rsid w:val="50C1675E"/>
    <w:rsid w:val="510C3BC2"/>
    <w:rsid w:val="5130E6C3"/>
    <w:rsid w:val="5131D8D1"/>
    <w:rsid w:val="51C5529D"/>
    <w:rsid w:val="51F4F283"/>
    <w:rsid w:val="52290AC2"/>
    <w:rsid w:val="526136E7"/>
    <w:rsid w:val="5275A095"/>
    <w:rsid w:val="527CEE91"/>
    <w:rsid w:val="52B68CAD"/>
    <w:rsid w:val="530BF570"/>
    <w:rsid w:val="5337567A"/>
    <w:rsid w:val="533D20D4"/>
    <w:rsid w:val="537117EF"/>
    <w:rsid w:val="53FE58CB"/>
    <w:rsid w:val="5401627C"/>
    <w:rsid w:val="54421E9E"/>
    <w:rsid w:val="548E32A9"/>
    <w:rsid w:val="54CC926D"/>
    <w:rsid w:val="54F860E5"/>
    <w:rsid w:val="55114FC2"/>
    <w:rsid w:val="55283560"/>
    <w:rsid w:val="5560EF6E"/>
    <w:rsid w:val="556EF2B7"/>
    <w:rsid w:val="557B0E22"/>
    <w:rsid w:val="55C6023C"/>
    <w:rsid w:val="55E197F6"/>
    <w:rsid w:val="5604E1DF"/>
    <w:rsid w:val="56429B9A"/>
    <w:rsid w:val="566BB810"/>
    <w:rsid w:val="5680215F"/>
    <w:rsid w:val="56849778"/>
    <w:rsid w:val="56949070"/>
    <w:rsid w:val="56C2BA6D"/>
    <w:rsid w:val="56C70C5D"/>
    <w:rsid w:val="56DEE583"/>
    <w:rsid w:val="56F33C6A"/>
    <w:rsid w:val="5727E8B7"/>
    <w:rsid w:val="57B9DA9D"/>
    <w:rsid w:val="57E17560"/>
    <w:rsid w:val="57EF75B8"/>
    <w:rsid w:val="58151711"/>
    <w:rsid w:val="5821C5AD"/>
    <w:rsid w:val="586C5D2F"/>
    <w:rsid w:val="58971D00"/>
    <w:rsid w:val="589F7D32"/>
    <w:rsid w:val="589FAF71"/>
    <w:rsid w:val="58AE3E4C"/>
    <w:rsid w:val="58B2176C"/>
    <w:rsid w:val="58B5A341"/>
    <w:rsid w:val="58C66988"/>
    <w:rsid w:val="58DFB562"/>
    <w:rsid w:val="58F5965B"/>
    <w:rsid w:val="59005BAC"/>
    <w:rsid w:val="594AB215"/>
    <w:rsid w:val="5978C689"/>
    <w:rsid w:val="599780D3"/>
    <w:rsid w:val="59A5DD6A"/>
    <w:rsid w:val="59CFCFDE"/>
    <w:rsid w:val="5A0D79C5"/>
    <w:rsid w:val="5A0FE550"/>
    <w:rsid w:val="5A352E55"/>
    <w:rsid w:val="5A410219"/>
    <w:rsid w:val="5A5D1E7A"/>
    <w:rsid w:val="5A81615B"/>
    <w:rsid w:val="5A915522"/>
    <w:rsid w:val="5AA0698D"/>
    <w:rsid w:val="5AB8980A"/>
    <w:rsid w:val="5AC77D05"/>
    <w:rsid w:val="5ADD6EB3"/>
    <w:rsid w:val="5AF21D2F"/>
    <w:rsid w:val="5B19B7B0"/>
    <w:rsid w:val="5B5C988A"/>
    <w:rsid w:val="5B9A52A1"/>
    <w:rsid w:val="5BA9D016"/>
    <w:rsid w:val="5BECEA7B"/>
    <w:rsid w:val="5BF8ABB0"/>
    <w:rsid w:val="5C32539D"/>
    <w:rsid w:val="5C5FD21A"/>
    <w:rsid w:val="5CAF152E"/>
    <w:rsid w:val="5CB47827"/>
    <w:rsid w:val="5CC9FE01"/>
    <w:rsid w:val="5D002FF3"/>
    <w:rsid w:val="5D0AFE47"/>
    <w:rsid w:val="5D18211A"/>
    <w:rsid w:val="5D354318"/>
    <w:rsid w:val="5D499808"/>
    <w:rsid w:val="5D617959"/>
    <w:rsid w:val="5D711AF7"/>
    <w:rsid w:val="5D8C91C0"/>
    <w:rsid w:val="5DCE6336"/>
    <w:rsid w:val="5DF77D00"/>
    <w:rsid w:val="5DFBA27B"/>
    <w:rsid w:val="5E1A8A26"/>
    <w:rsid w:val="5E2971DB"/>
    <w:rsid w:val="5E53A0E9"/>
    <w:rsid w:val="5E68F29E"/>
    <w:rsid w:val="5F57BF58"/>
    <w:rsid w:val="5FA49902"/>
    <w:rsid w:val="5FC7BA27"/>
    <w:rsid w:val="5FFDD585"/>
    <w:rsid w:val="601AC96E"/>
    <w:rsid w:val="60239661"/>
    <w:rsid w:val="605D9EA7"/>
    <w:rsid w:val="606ABCC6"/>
    <w:rsid w:val="608C9EFF"/>
    <w:rsid w:val="609DD705"/>
    <w:rsid w:val="610F7DAC"/>
    <w:rsid w:val="613A74C8"/>
    <w:rsid w:val="61402D18"/>
    <w:rsid w:val="61B3E0A1"/>
    <w:rsid w:val="61D0318D"/>
    <w:rsid w:val="623D6DBC"/>
    <w:rsid w:val="62495007"/>
    <w:rsid w:val="6291D536"/>
    <w:rsid w:val="62D513F1"/>
    <w:rsid w:val="62EA5155"/>
    <w:rsid w:val="63032688"/>
    <w:rsid w:val="63343EAE"/>
    <w:rsid w:val="63352D9B"/>
    <w:rsid w:val="638FF845"/>
    <w:rsid w:val="6396589C"/>
    <w:rsid w:val="63AFA3E6"/>
    <w:rsid w:val="63CF864B"/>
    <w:rsid w:val="63E9ED59"/>
    <w:rsid w:val="6403E600"/>
    <w:rsid w:val="64497F88"/>
    <w:rsid w:val="647BF875"/>
    <w:rsid w:val="64896703"/>
    <w:rsid w:val="64AD1867"/>
    <w:rsid w:val="64B5B97C"/>
    <w:rsid w:val="64D39A99"/>
    <w:rsid w:val="65157DE6"/>
    <w:rsid w:val="65C71818"/>
    <w:rsid w:val="65CCE92D"/>
    <w:rsid w:val="65D9E800"/>
    <w:rsid w:val="65E45EBE"/>
    <w:rsid w:val="65E4D3A0"/>
    <w:rsid w:val="65EB7AAE"/>
    <w:rsid w:val="65EE0206"/>
    <w:rsid w:val="6664D64A"/>
    <w:rsid w:val="6687FFAA"/>
    <w:rsid w:val="66913788"/>
    <w:rsid w:val="669A67C6"/>
    <w:rsid w:val="66DD071B"/>
    <w:rsid w:val="66EC606D"/>
    <w:rsid w:val="6711D71A"/>
    <w:rsid w:val="672DCB9B"/>
    <w:rsid w:val="672EF7BA"/>
    <w:rsid w:val="67500F6B"/>
    <w:rsid w:val="6755A5DC"/>
    <w:rsid w:val="67E1C3D1"/>
    <w:rsid w:val="67E51BA2"/>
    <w:rsid w:val="67F3297A"/>
    <w:rsid w:val="68002AB3"/>
    <w:rsid w:val="68375E1F"/>
    <w:rsid w:val="683DF4AA"/>
    <w:rsid w:val="686967B7"/>
    <w:rsid w:val="686CAA26"/>
    <w:rsid w:val="686D3057"/>
    <w:rsid w:val="687136BD"/>
    <w:rsid w:val="68A43CCC"/>
    <w:rsid w:val="691C3646"/>
    <w:rsid w:val="692EA7E6"/>
    <w:rsid w:val="6933D2E7"/>
    <w:rsid w:val="69B4C5E3"/>
    <w:rsid w:val="69B58525"/>
    <w:rsid w:val="6A3BF4C6"/>
    <w:rsid w:val="6A3F5F47"/>
    <w:rsid w:val="6A4E07B9"/>
    <w:rsid w:val="6A6254A3"/>
    <w:rsid w:val="6A894E64"/>
    <w:rsid w:val="6AA91B5D"/>
    <w:rsid w:val="6AD26791"/>
    <w:rsid w:val="6ADAB9BE"/>
    <w:rsid w:val="6B0E69B6"/>
    <w:rsid w:val="6B1BD660"/>
    <w:rsid w:val="6B2833E2"/>
    <w:rsid w:val="6B31F34A"/>
    <w:rsid w:val="6B618402"/>
    <w:rsid w:val="6B64737C"/>
    <w:rsid w:val="6B8F7B1E"/>
    <w:rsid w:val="6BA1FE1B"/>
    <w:rsid w:val="6BC87A2A"/>
    <w:rsid w:val="6BD6CFF7"/>
    <w:rsid w:val="6C11C3D6"/>
    <w:rsid w:val="6C168057"/>
    <w:rsid w:val="6C2D031E"/>
    <w:rsid w:val="6C6E37F2"/>
    <w:rsid w:val="6C758915"/>
    <w:rsid w:val="6C8AF6BC"/>
    <w:rsid w:val="6CAD3B70"/>
    <w:rsid w:val="6CFC54C4"/>
    <w:rsid w:val="6D35C6B1"/>
    <w:rsid w:val="6D50CC1A"/>
    <w:rsid w:val="6D78449B"/>
    <w:rsid w:val="6DE3ECC8"/>
    <w:rsid w:val="6E04EC54"/>
    <w:rsid w:val="6E09B02A"/>
    <w:rsid w:val="6E116E48"/>
    <w:rsid w:val="6E1787AC"/>
    <w:rsid w:val="6E303BF4"/>
    <w:rsid w:val="6E7B01B4"/>
    <w:rsid w:val="6E9924C4"/>
    <w:rsid w:val="6EB4F207"/>
    <w:rsid w:val="6ECE199B"/>
    <w:rsid w:val="6ED500C5"/>
    <w:rsid w:val="6EE5C8FB"/>
    <w:rsid w:val="6F01ABEC"/>
    <w:rsid w:val="6F0F780A"/>
    <w:rsid w:val="6F319A8F"/>
    <w:rsid w:val="6F82E195"/>
    <w:rsid w:val="6FAFC0FD"/>
    <w:rsid w:val="6FE476AF"/>
    <w:rsid w:val="6FEB9D05"/>
    <w:rsid w:val="6FF8740D"/>
    <w:rsid w:val="70013750"/>
    <w:rsid w:val="700D83C9"/>
    <w:rsid w:val="70142BA5"/>
    <w:rsid w:val="701C3C58"/>
    <w:rsid w:val="7048EEEF"/>
    <w:rsid w:val="70B849D5"/>
    <w:rsid w:val="70BEC5CC"/>
    <w:rsid w:val="70C2C42D"/>
    <w:rsid w:val="70C4A6EB"/>
    <w:rsid w:val="70F49F5E"/>
    <w:rsid w:val="7101BE33"/>
    <w:rsid w:val="711E00BA"/>
    <w:rsid w:val="7120942D"/>
    <w:rsid w:val="7168689F"/>
    <w:rsid w:val="71727312"/>
    <w:rsid w:val="7186603A"/>
    <w:rsid w:val="71D1D1A4"/>
    <w:rsid w:val="71FCC464"/>
    <w:rsid w:val="7238B90E"/>
    <w:rsid w:val="7241C870"/>
    <w:rsid w:val="725864B1"/>
    <w:rsid w:val="729BF30D"/>
    <w:rsid w:val="72E33CFC"/>
    <w:rsid w:val="72ED6DCC"/>
    <w:rsid w:val="72F744F2"/>
    <w:rsid w:val="73280FB8"/>
    <w:rsid w:val="7328104B"/>
    <w:rsid w:val="732EF1DC"/>
    <w:rsid w:val="7356F748"/>
    <w:rsid w:val="737065BD"/>
    <w:rsid w:val="73A2410F"/>
    <w:rsid w:val="73D42347"/>
    <w:rsid w:val="73ED16E8"/>
    <w:rsid w:val="73F7C051"/>
    <w:rsid w:val="744B6151"/>
    <w:rsid w:val="744C01F3"/>
    <w:rsid w:val="745834EF"/>
    <w:rsid w:val="748F2BFD"/>
    <w:rsid w:val="749DF736"/>
    <w:rsid w:val="74A47536"/>
    <w:rsid w:val="74F1FDED"/>
    <w:rsid w:val="75117F3E"/>
    <w:rsid w:val="752B16E7"/>
    <w:rsid w:val="75581E73"/>
    <w:rsid w:val="7569D958"/>
    <w:rsid w:val="756FF3A8"/>
    <w:rsid w:val="7589769A"/>
    <w:rsid w:val="7599A6B4"/>
    <w:rsid w:val="759EE790"/>
    <w:rsid w:val="76243900"/>
    <w:rsid w:val="76254E58"/>
    <w:rsid w:val="763FCF5D"/>
    <w:rsid w:val="766619A7"/>
    <w:rsid w:val="76687C7E"/>
    <w:rsid w:val="766E60B1"/>
    <w:rsid w:val="768491DE"/>
    <w:rsid w:val="76A40044"/>
    <w:rsid w:val="76AD54DD"/>
    <w:rsid w:val="76AFDE28"/>
    <w:rsid w:val="76C68E78"/>
    <w:rsid w:val="770BC409"/>
    <w:rsid w:val="7767B8CC"/>
    <w:rsid w:val="77911236"/>
    <w:rsid w:val="7811FF60"/>
    <w:rsid w:val="78167BE5"/>
    <w:rsid w:val="7839D711"/>
    <w:rsid w:val="78417211"/>
    <w:rsid w:val="7852B3EC"/>
    <w:rsid w:val="785D0C0A"/>
    <w:rsid w:val="786AC899"/>
    <w:rsid w:val="78E49757"/>
    <w:rsid w:val="78E9B3A2"/>
    <w:rsid w:val="79027104"/>
    <w:rsid w:val="79120B0C"/>
    <w:rsid w:val="7947EB05"/>
    <w:rsid w:val="794CD783"/>
    <w:rsid w:val="79901953"/>
    <w:rsid w:val="79ABAF3B"/>
    <w:rsid w:val="79E3FA04"/>
    <w:rsid w:val="7A0A3327"/>
    <w:rsid w:val="7A4CF62A"/>
    <w:rsid w:val="7A4E1D3C"/>
    <w:rsid w:val="7A760137"/>
    <w:rsid w:val="7A80465C"/>
    <w:rsid w:val="7AA1DE77"/>
    <w:rsid w:val="7B87E7C5"/>
    <w:rsid w:val="7C030D20"/>
    <w:rsid w:val="7C1BE247"/>
    <w:rsid w:val="7C2CC22A"/>
    <w:rsid w:val="7C71899F"/>
    <w:rsid w:val="7C9C60D0"/>
    <w:rsid w:val="7CF4CF9A"/>
    <w:rsid w:val="7D0C698B"/>
    <w:rsid w:val="7D169D06"/>
    <w:rsid w:val="7D16D567"/>
    <w:rsid w:val="7D7B058D"/>
    <w:rsid w:val="7D7B51B6"/>
    <w:rsid w:val="7D814300"/>
    <w:rsid w:val="7D83BC5B"/>
    <w:rsid w:val="7DC7FA4F"/>
    <w:rsid w:val="7E0C48B0"/>
    <w:rsid w:val="7E4DC156"/>
    <w:rsid w:val="7E5346A8"/>
    <w:rsid w:val="7E5DCAAC"/>
    <w:rsid w:val="7EC682B5"/>
    <w:rsid w:val="7ED129B5"/>
    <w:rsid w:val="7EE91926"/>
    <w:rsid w:val="7F0D12B2"/>
    <w:rsid w:val="7F6D0130"/>
    <w:rsid w:val="7F8D2B9B"/>
    <w:rsid w:val="7F954430"/>
    <w:rsid w:val="7FACB9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BF2675"/>
  <w15:docId w15:val="{0A2A2CFE-6E4B-4D66-B0FD-81EE04CC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B92903"/>
    <w:pPr>
      <w:numPr>
        <w:numId w:val="1"/>
      </w:numPr>
      <w:contextualSpacing/>
    </w:pPr>
  </w:style>
  <w:style w:type="paragraph" w:styleId="ListBullet2">
    <w:name w:val="List Bullet 2"/>
    <w:basedOn w:val="Normal"/>
    <w:unhideWhenUsed/>
    <w:rsid w:val="00B92903"/>
    <w:pPr>
      <w:numPr>
        <w:numId w:val="2"/>
      </w:numPr>
      <w:contextualSpacing/>
    </w:pPr>
  </w:style>
  <w:style w:type="paragraph" w:styleId="ListBullet3">
    <w:name w:val="List Bullet 3"/>
    <w:basedOn w:val="Normal"/>
    <w:unhideWhenUsed/>
    <w:rsid w:val="00B92903"/>
    <w:pPr>
      <w:numPr>
        <w:numId w:val="3"/>
      </w:numPr>
      <w:contextualSpacing/>
    </w:pPr>
  </w:style>
  <w:style w:type="paragraph" w:styleId="ListBullet4">
    <w:name w:val="List Bullet 4"/>
    <w:basedOn w:val="Normal"/>
    <w:unhideWhenUsed/>
    <w:rsid w:val="00B92903"/>
    <w:pPr>
      <w:numPr>
        <w:numId w:val="4"/>
      </w:numPr>
      <w:contextualSpacing/>
    </w:pPr>
  </w:style>
  <w:style w:type="paragraph" w:customStyle="1" w:styleId="Normal1">
    <w:name w:val="Normal1"/>
    <w:basedOn w:val="Normal"/>
    <w:rsid w:val="00376D77"/>
    <w:pPr>
      <w:spacing w:before="100" w:beforeAutospacing="1" w:after="100" w:afterAutospacing="1"/>
      <w:jc w:val="left"/>
    </w:pPr>
  </w:style>
  <w:style w:type="character" w:customStyle="1" w:styleId="footnotereference">
    <w:name w:val="footnotereference"/>
    <w:basedOn w:val="DefaultParagraphFont"/>
    <w:rsid w:val="00376D77"/>
  </w:style>
  <w:style w:type="character" w:styleId="Hyperlink">
    <w:name w:val="Hyperlink"/>
    <w:basedOn w:val="DefaultParagraphFont"/>
    <w:uiPriority w:val="99"/>
    <w:unhideWhenUsed/>
    <w:rsid w:val="00376D77"/>
    <w:rPr>
      <w:color w:val="0000FF"/>
      <w:u w:val="single"/>
    </w:rPr>
  </w:style>
  <w:style w:type="character" w:customStyle="1" w:styleId="UnresolvedMention1">
    <w:name w:val="Unresolved Mention1"/>
    <w:basedOn w:val="DefaultParagraphFont"/>
    <w:uiPriority w:val="99"/>
    <w:semiHidden/>
    <w:unhideWhenUsed/>
    <w:rsid w:val="00376D77"/>
    <w:rPr>
      <w:color w:val="605E5C"/>
      <w:shd w:val="clear" w:color="auto" w:fill="E1DFDD"/>
    </w:rPr>
  </w:style>
  <w:style w:type="character" w:customStyle="1" w:styleId="italic1">
    <w:name w:val="italic1"/>
    <w:rsid w:val="00784ACF"/>
    <w:rPr>
      <w:i/>
    </w:rPr>
  </w:style>
  <w:style w:type="paragraph" w:customStyle="1" w:styleId="CharCharCharCharChar1CharCharChar">
    <w:name w:val="Char Char Char Char Char1 Char Char Char"/>
    <w:basedOn w:val="Normal"/>
    <w:rsid w:val="00784ACF"/>
    <w:pPr>
      <w:spacing w:before="0" w:after="160" w:line="240" w:lineRule="exact"/>
      <w:jc w:val="left"/>
    </w:pPr>
    <w:rPr>
      <w:rFonts w:ascii="Tahoma" w:eastAsia="Times New Roman" w:hAnsi="Tahoma"/>
    </w:rPr>
  </w:style>
  <w:style w:type="paragraph" w:customStyle="1" w:styleId="Normal2">
    <w:name w:val="Normal2"/>
    <w:basedOn w:val="Normal"/>
    <w:rsid w:val="00637CD8"/>
    <w:pPr>
      <w:spacing w:before="100" w:beforeAutospacing="1" w:after="100" w:afterAutospacing="1"/>
      <w:jc w:val="left"/>
    </w:pPr>
  </w:style>
  <w:style w:type="character" w:styleId="CommentReference">
    <w:name w:val="annotation reference"/>
    <w:basedOn w:val="DefaultParagraphFont"/>
    <w:uiPriority w:val="99"/>
    <w:unhideWhenUsed/>
    <w:rsid w:val="00824EDB"/>
    <w:rPr>
      <w:sz w:val="16"/>
    </w:rPr>
  </w:style>
  <w:style w:type="paragraph" w:styleId="CommentText">
    <w:name w:val="annotation text"/>
    <w:basedOn w:val="Normal"/>
    <w:link w:val="CommentTextChar"/>
    <w:unhideWhenUsed/>
    <w:rsid w:val="00824EDB"/>
    <w:rPr>
      <w:sz w:val="20"/>
    </w:rPr>
  </w:style>
  <w:style w:type="character" w:customStyle="1" w:styleId="CommentTextChar">
    <w:name w:val="Comment Text Char"/>
    <w:basedOn w:val="DefaultParagraphFont"/>
    <w:link w:val="CommentText"/>
    <w:rsid w:val="00824EDB"/>
    <w:rPr>
      <w:rFonts w:ascii="Times New Roman" w:hAnsi="Times New Roman" w:cs="Times New Roman"/>
      <w:sz w:val="20"/>
    </w:rPr>
  </w:style>
  <w:style w:type="paragraph" w:styleId="CommentSubject">
    <w:name w:val="annotation subject"/>
    <w:basedOn w:val="CommentText"/>
    <w:next w:val="CommentText"/>
    <w:link w:val="CommentSubjectChar"/>
    <w:unhideWhenUsed/>
    <w:rsid w:val="00824EDB"/>
    <w:rPr>
      <w:b/>
    </w:rPr>
  </w:style>
  <w:style w:type="character" w:customStyle="1" w:styleId="CommentSubjectChar">
    <w:name w:val="Comment Subject Char"/>
    <w:basedOn w:val="CommentTextChar"/>
    <w:link w:val="CommentSubject"/>
    <w:rsid w:val="00824EDB"/>
    <w:rPr>
      <w:rFonts w:ascii="Times New Roman" w:hAnsi="Times New Roman" w:cs="Times New Roman"/>
      <w:b/>
      <w:sz w:val="20"/>
    </w:rPr>
  </w:style>
  <w:style w:type="paragraph" w:customStyle="1" w:styleId="FootnotesymbolCharCharCharChar">
    <w:name w:val="Footnote symbol Char Char Char Char"/>
    <w:basedOn w:val="Normal"/>
    <w:link w:val="FootnoteReference0"/>
    <w:uiPriority w:val="99"/>
    <w:rsid w:val="005935EA"/>
    <w:pPr>
      <w:spacing w:before="0" w:after="160" w:line="240" w:lineRule="exact"/>
      <w:jc w:val="left"/>
    </w:pPr>
    <w:rPr>
      <w:rFonts w:asciiTheme="minorHAnsi" w:hAnsiTheme="minorHAnsi" w:cstheme="minorBidi"/>
      <w:sz w:val="22"/>
      <w:vertAlign w:val="superscript"/>
    </w:rPr>
  </w:style>
  <w:style w:type="paragraph" w:styleId="ListParagraph">
    <w:name w:val="List Paragraph"/>
    <w:basedOn w:val="Normal"/>
    <w:link w:val="ListParagraphChar"/>
    <w:uiPriority w:val="34"/>
    <w:qFormat/>
    <w:rsid w:val="008B2719"/>
    <w:pPr>
      <w:spacing w:before="0" w:after="200" w:line="276" w:lineRule="auto"/>
      <w:ind w:left="720"/>
      <w:contextualSpacing/>
      <w:jc w:val="left"/>
    </w:pPr>
    <w:rPr>
      <w:rFonts w:ascii="Calibri" w:hAnsi="Calibri" w:cs="Calibri"/>
      <w:sz w:val="22"/>
    </w:rPr>
  </w:style>
  <w:style w:type="character" w:customStyle="1" w:styleId="ListParagraphChar">
    <w:name w:val="List Paragraph Char"/>
    <w:basedOn w:val="DefaultParagraphFont"/>
    <w:link w:val="ListParagraph"/>
    <w:uiPriority w:val="34"/>
    <w:qFormat/>
    <w:locked/>
    <w:rsid w:val="008B2719"/>
    <w:rPr>
      <w:rFonts w:ascii="Calibri" w:hAnsi="Calibri" w:cs="Calibri"/>
    </w:rPr>
  </w:style>
  <w:style w:type="paragraph" w:customStyle="1" w:styleId="CoffeyParagraph">
    <w:name w:val="Coffey Paragraph"/>
    <w:basedOn w:val="Normal"/>
    <w:link w:val="CoffeyParagraphChar"/>
    <w:qFormat/>
    <w:rsid w:val="00FE1CCA"/>
    <w:pPr>
      <w:spacing w:before="0" w:line="276" w:lineRule="auto"/>
    </w:pPr>
    <w:rPr>
      <w:rFonts w:ascii="Arial" w:eastAsia="Calibri" w:hAnsi="Arial"/>
      <w:sz w:val="20"/>
    </w:rPr>
  </w:style>
  <w:style w:type="character" w:customStyle="1" w:styleId="CoffeyParagraphChar">
    <w:name w:val="Coffey Paragraph Char"/>
    <w:link w:val="CoffeyParagraph"/>
    <w:rsid w:val="00FE1CCA"/>
    <w:rPr>
      <w:rFonts w:ascii="Arial" w:eastAsia="Calibri" w:hAnsi="Arial" w:cs="Times New Roman"/>
      <w:sz w:val="20"/>
    </w:rPr>
  </w:style>
  <w:style w:type="character" w:styleId="FollowedHyperlink">
    <w:name w:val="FollowedHyperlink"/>
    <w:basedOn w:val="DefaultParagraphFont"/>
    <w:unhideWhenUsed/>
    <w:rsid w:val="000E75BA"/>
    <w:rPr>
      <w:color w:val="800080" w:themeColor="followedHyperlink"/>
      <w:u w:val="single"/>
    </w:rPr>
  </w:style>
  <w:style w:type="paragraph" w:styleId="Revision">
    <w:name w:val="Revision"/>
    <w:hidden/>
    <w:uiPriority w:val="99"/>
    <w:semiHidden/>
    <w:rsid w:val="009941D3"/>
    <w:pPr>
      <w:spacing w:after="0" w:line="240" w:lineRule="auto"/>
    </w:pPr>
    <w:rPr>
      <w:rFonts w:ascii="Times New Roman" w:hAnsi="Times New Roman" w:cs="Times New Roman"/>
      <w:sz w:val="24"/>
    </w:rPr>
  </w:style>
  <w:style w:type="character" w:customStyle="1" w:styleId="fw-bold">
    <w:name w:val="fw-bold"/>
    <w:basedOn w:val="DefaultParagraphFont"/>
    <w:rsid w:val="00861C31"/>
  </w:style>
  <w:style w:type="paragraph" w:customStyle="1" w:styleId="Text10">
    <w:name w:val="Text1"/>
    <w:basedOn w:val="Point0number"/>
    <w:rsid w:val="006054B5"/>
  </w:style>
  <w:style w:type="paragraph" w:styleId="ListNumber">
    <w:name w:val="List Number"/>
    <w:basedOn w:val="Normal"/>
    <w:rsid w:val="004515FC"/>
    <w:pPr>
      <w:numPr>
        <w:numId w:val="12"/>
      </w:numPr>
    </w:pPr>
  </w:style>
  <w:style w:type="paragraph" w:customStyle="1" w:styleId="ListBullet1">
    <w:name w:val="List Bullet 1"/>
    <w:basedOn w:val="Normal"/>
    <w:rsid w:val="004515FC"/>
    <w:pPr>
      <w:numPr>
        <w:numId w:val="8"/>
      </w:numPr>
    </w:pPr>
  </w:style>
  <w:style w:type="paragraph" w:customStyle="1" w:styleId="ListDash">
    <w:name w:val="List Dash"/>
    <w:basedOn w:val="Normal"/>
    <w:rsid w:val="004515FC"/>
    <w:pPr>
      <w:numPr>
        <w:numId w:val="9"/>
      </w:numPr>
    </w:pPr>
  </w:style>
  <w:style w:type="paragraph" w:customStyle="1" w:styleId="ListDash1">
    <w:name w:val="List Dash 1"/>
    <w:basedOn w:val="Normal"/>
    <w:rsid w:val="004515FC"/>
    <w:pPr>
      <w:numPr>
        <w:numId w:val="10"/>
      </w:numPr>
    </w:pPr>
  </w:style>
  <w:style w:type="paragraph" w:customStyle="1" w:styleId="ListDash2">
    <w:name w:val="List Dash 2"/>
    <w:basedOn w:val="Normal"/>
    <w:rsid w:val="004515FC"/>
    <w:pPr>
      <w:numPr>
        <w:numId w:val="11"/>
      </w:numPr>
    </w:pPr>
  </w:style>
  <w:style w:type="paragraph" w:customStyle="1" w:styleId="ListNumberLevel2">
    <w:name w:val="List Number (Level 2)"/>
    <w:basedOn w:val="Normal"/>
    <w:rsid w:val="004515FC"/>
    <w:pPr>
      <w:numPr>
        <w:ilvl w:val="1"/>
        <w:numId w:val="12"/>
      </w:numPr>
    </w:pPr>
  </w:style>
  <w:style w:type="paragraph" w:customStyle="1" w:styleId="ListNumberLevel3">
    <w:name w:val="List Number (Level 3)"/>
    <w:basedOn w:val="Normal"/>
    <w:rsid w:val="004515FC"/>
    <w:pPr>
      <w:numPr>
        <w:ilvl w:val="2"/>
        <w:numId w:val="12"/>
      </w:numPr>
    </w:pPr>
  </w:style>
  <w:style w:type="paragraph" w:customStyle="1" w:styleId="ListNumberLevel4">
    <w:name w:val="List Number (Level 4)"/>
    <w:basedOn w:val="Normal"/>
    <w:rsid w:val="004515FC"/>
    <w:pPr>
      <w:numPr>
        <w:ilvl w:val="3"/>
        <w:numId w:val="12"/>
      </w:numPr>
    </w:pPr>
  </w:style>
  <w:style w:type="table" w:styleId="TableGrid">
    <w:name w:val="Table Grid"/>
    <w:basedOn w:val="TableNormal"/>
    <w:rsid w:val="004515FC"/>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4515FC"/>
    <w:pPr>
      <w:numPr>
        <w:numId w:val="16"/>
      </w:numPr>
    </w:pPr>
  </w:style>
  <w:style w:type="paragraph" w:styleId="ListNumber3">
    <w:name w:val="List Number 3"/>
    <w:basedOn w:val="Normal"/>
    <w:rsid w:val="004515FC"/>
    <w:pPr>
      <w:numPr>
        <w:numId w:val="17"/>
      </w:numPr>
    </w:pPr>
  </w:style>
  <w:style w:type="paragraph" w:styleId="ListNumber4">
    <w:name w:val="List Number 4"/>
    <w:basedOn w:val="Normal"/>
    <w:rsid w:val="004515FC"/>
    <w:pPr>
      <w:numPr>
        <w:numId w:val="18"/>
      </w:numPr>
    </w:pPr>
  </w:style>
  <w:style w:type="paragraph" w:customStyle="1" w:styleId="ListDash3">
    <w:name w:val="List Dash 3"/>
    <w:basedOn w:val="Normal"/>
    <w:rsid w:val="004515FC"/>
    <w:pPr>
      <w:numPr>
        <w:numId w:val="13"/>
      </w:numPr>
    </w:pPr>
  </w:style>
  <w:style w:type="paragraph" w:customStyle="1" w:styleId="ListDash4">
    <w:name w:val="List Dash 4"/>
    <w:basedOn w:val="Normal"/>
    <w:rsid w:val="004515FC"/>
    <w:pPr>
      <w:numPr>
        <w:numId w:val="14"/>
      </w:numPr>
    </w:pPr>
  </w:style>
  <w:style w:type="paragraph" w:customStyle="1" w:styleId="ListNumber1">
    <w:name w:val="List Number 1"/>
    <w:basedOn w:val="Text1"/>
    <w:rsid w:val="004515FC"/>
    <w:pPr>
      <w:numPr>
        <w:numId w:val="15"/>
      </w:numPr>
    </w:pPr>
  </w:style>
  <w:style w:type="paragraph" w:customStyle="1" w:styleId="ListNumber1Level2">
    <w:name w:val="List Number 1 (Level 2)"/>
    <w:basedOn w:val="Text1"/>
    <w:rsid w:val="004515FC"/>
    <w:pPr>
      <w:numPr>
        <w:ilvl w:val="1"/>
        <w:numId w:val="15"/>
      </w:numPr>
    </w:pPr>
  </w:style>
  <w:style w:type="paragraph" w:customStyle="1" w:styleId="ListNumber2Level2">
    <w:name w:val="List Number 2 (Level 2)"/>
    <w:basedOn w:val="Text2"/>
    <w:rsid w:val="004515FC"/>
    <w:pPr>
      <w:numPr>
        <w:ilvl w:val="1"/>
        <w:numId w:val="16"/>
      </w:numPr>
    </w:pPr>
  </w:style>
  <w:style w:type="paragraph" w:customStyle="1" w:styleId="ListNumber3Level2">
    <w:name w:val="List Number 3 (Level 2)"/>
    <w:basedOn w:val="Text3"/>
    <w:rsid w:val="004515FC"/>
    <w:pPr>
      <w:numPr>
        <w:ilvl w:val="1"/>
        <w:numId w:val="17"/>
      </w:numPr>
    </w:pPr>
  </w:style>
  <w:style w:type="paragraph" w:customStyle="1" w:styleId="ListNumber4Level2">
    <w:name w:val="List Number 4 (Level 2)"/>
    <w:basedOn w:val="Text4"/>
    <w:rsid w:val="004515FC"/>
    <w:pPr>
      <w:numPr>
        <w:ilvl w:val="1"/>
        <w:numId w:val="18"/>
      </w:numPr>
    </w:pPr>
  </w:style>
  <w:style w:type="paragraph" w:customStyle="1" w:styleId="ListNumber1Level3">
    <w:name w:val="List Number 1 (Level 3)"/>
    <w:basedOn w:val="Text1"/>
    <w:rsid w:val="004515FC"/>
    <w:pPr>
      <w:numPr>
        <w:ilvl w:val="2"/>
        <w:numId w:val="15"/>
      </w:numPr>
    </w:pPr>
  </w:style>
  <w:style w:type="paragraph" w:customStyle="1" w:styleId="ListNumber2Level3">
    <w:name w:val="List Number 2 (Level 3)"/>
    <w:basedOn w:val="Text2"/>
    <w:rsid w:val="004515FC"/>
    <w:pPr>
      <w:numPr>
        <w:ilvl w:val="2"/>
        <w:numId w:val="16"/>
      </w:numPr>
    </w:pPr>
  </w:style>
  <w:style w:type="paragraph" w:customStyle="1" w:styleId="ListNumber3Level3">
    <w:name w:val="List Number 3 (Level 3)"/>
    <w:basedOn w:val="Text3"/>
    <w:rsid w:val="004515FC"/>
    <w:pPr>
      <w:numPr>
        <w:ilvl w:val="2"/>
        <w:numId w:val="17"/>
      </w:numPr>
    </w:pPr>
  </w:style>
  <w:style w:type="paragraph" w:customStyle="1" w:styleId="ListNumber4Level3">
    <w:name w:val="List Number 4 (Level 3)"/>
    <w:basedOn w:val="Text4"/>
    <w:rsid w:val="004515FC"/>
    <w:pPr>
      <w:numPr>
        <w:ilvl w:val="2"/>
        <w:numId w:val="18"/>
      </w:numPr>
    </w:pPr>
  </w:style>
  <w:style w:type="paragraph" w:customStyle="1" w:styleId="ListNumber1Level4">
    <w:name w:val="List Number 1 (Level 4)"/>
    <w:basedOn w:val="Text1"/>
    <w:rsid w:val="004515FC"/>
    <w:pPr>
      <w:numPr>
        <w:ilvl w:val="3"/>
        <w:numId w:val="15"/>
      </w:numPr>
    </w:pPr>
  </w:style>
  <w:style w:type="paragraph" w:customStyle="1" w:styleId="ListNumber2Level4">
    <w:name w:val="List Number 2 (Level 4)"/>
    <w:basedOn w:val="Text2"/>
    <w:rsid w:val="004515FC"/>
    <w:pPr>
      <w:numPr>
        <w:ilvl w:val="3"/>
        <w:numId w:val="16"/>
      </w:numPr>
    </w:pPr>
  </w:style>
  <w:style w:type="paragraph" w:customStyle="1" w:styleId="ListNumber3Level4">
    <w:name w:val="List Number 3 (Level 4)"/>
    <w:basedOn w:val="Text3"/>
    <w:rsid w:val="004515FC"/>
    <w:pPr>
      <w:numPr>
        <w:ilvl w:val="3"/>
        <w:numId w:val="17"/>
      </w:numPr>
    </w:pPr>
  </w:style>
  <w:style w:type="paragraph" w:customStyle="1" w:styleId="ListNumber4Level4">
    <w:name w:val="List Number 4 (Level 4)"/>
    <w:basedOn w:val="Text4"/>
    <w:rsid w:val="004515FC"/>
    <w:pPr>
      <w:numPr>
        <w:ilvl w:val="3"/>
        <w:numId w:val="18"/>
      </w:numPr>
    </w:pPr>
  </w:style>
  <w:style w:type="paragraph" w:customStyle="1" w:styleId="Annexetitreacte">
    <w:name w:val="Annexe titre (acte)"/>
    <w:basedOn w:val="Normal"/>
    <w:next w:val="Normal"/>
    <w:rsid w:val="004515FC"/>
    <w:pPr>
      <w:jc w:val="center"/>
    </w:pPr>
    <w:rPr>
      <w:b/>
      <w:u w:val="single"/>
    </w:rPr>
  </w:style>
  <w:style w:type="paragraph" w:customStyle="1" w:styleId="Annexetitreexposglobal">
    <w:name w:val="Annexe titre (exposé global)"/>
    <w:basedOn w:val="Normal"/>
    <w:next w:val="Normal"/>
    <w:rsid w:val="004515FC"/>
    <w:pPr>
      <w:jc w:val="center"/>
    </w:pPr>
    <w:rPr>
      <w:b/>
      <w:u w:val="single"/>
    </w:rPr>
  </w:style>
  <w:style w:type="paragraph" w:customStyle="1" w:styleId="Annexetitrefichefinacte">
    <w:name w:val="Annexe titre (fiche fin. acte)"/>
    <w:basedOn w:val="Normal"/>
    <w:next w:val="Normal"/>
    <w:rsid w:val="004515FC"/>
    <w:pPr>
      <w:jc w:val="center"/>
    </w:pPr>
    <w:rPr>
      <w:b/>
      <w:u w:val="single"/>
    </w:rPr>
  </w:style>
  <w:style w:type="paragraph" w:customStyle="1" w:styleId="Annexetitrefichefinglobale">
    <w:name w:val="Annexe titre (fiche fin. globale)"/>
    <w:basedOn w:val="Normal"/>
    <w:next w:val="Normal"/>
    <w:rsid w:val="004515FC"/>
    <w:pPr>
      <w:jc w:val="center"/>
    </w:pPr>
    <w:rPr>
      <w:b/>
      <w:u w:val="single"/>
    </w:rPr>
  </w:style>
  <w:style w:type="paragraph" w:customStyle="1" w:styleId="Annexetitreglobale">
    <w:name w:val="Annexe titre (globale)"/>
    <w:basedOn w:val="Normal"/>
    <w:next w:val="Normal"/>
    <w:rsid w:val="004515FC"/>
    <w:pPr>
      <w:jc w:val="center"/>
    </w:pPr>
    <w:rPr>
      <w:b/>
      <w:u w:val="single"/>
    </w:rPr>
  </w:style>
  <w:style w:type="paragraph" w:customStyle="1" w:styleId="Exposdesmotifstitreglobal">
    <w:name w:val="Exposé des motifs titre (global)"/>
    <w:basedOn w:val="Normal"/>
    <w:next w:val="Normal"/>
    <w:rsid w:val="004515FC"/>
    <w:pPr>
      <w:jc w:val="center"/>
    </w:pPr>
    <w:rPr>
      <w:b/>
      <w:u w:val="single"/>
    </w:rPr>
  </w:style>
  <w:style w:type="paragraph" w:customStyle="1" w:styleId="Langueoriginale">
    <w:name w:val="Langue originale"/>
    <w:basedOn w:val="Normal"/>
    <w:rsid w:val="004515FC"/>
    <w:pPr>
      <w:spacing w:before="360"/>
      <w:jc w:val="center"/>
    </w:pPr>
    <w:rPr>
      <w:caps/>
    </w:rPr>
  </w:style>
  <w:style w:type="paragraph" w:customStyle="1" w:styleId="Phrasefinale">
    <w:name w:val="Phrase finale"/>
    <w:basedOn w:val="Normal"/>
    <w:next w:val="Normal"/>
    <w:rsid w:val="004515FC"/>
    <w:pPr>
      <w:spacing w:before="360" w:after="0"/>
      <w:jc w:val="center"/>
    </w:pPr>
  </w:style>
  <w:style w:type="paragraph" w:customStyle="1" w:styleId="Prliminairetitre">
    <w:name w:val="Préliminaire titre"/>
    <w:basedOn w:val="Normal"/>
    <w:next w:val="Normal"/>
    <w:rsid w:val="004515FC"/>
    <w:pPr>
      <w:spacing w:before="360" w:after="360"/>
      <w:jc w:val="center"/>
    </w:pPr>
    <w:rPr>
      <w:b/>
    </w:rPr>
  </w:style>
  <w:style w:type="paragraph" w:customStyle="1" w:styleId="Prliminairetype">
    <w:name w:val="Préliminaire type"/>
    <w:basedOn w:val="Normal"/>
    <w:next w:val="Normal"/>
    <w:rsid w:val="004515FC"/>
    <w:pPr>
      <w:spacing w:before="360" w:after="0"/>
      <w:jc w:val="center"/>
    </w:pPr>
    <w:rPr>
      <w:b/>
    </w:rPr>
  </w:style>
  <w:style w:type="paragraph" w:customStyle="1" w:styleId="Rfrenceinstitutionelle">
    <w:name w:val="Référence institutionelle"/>
    <w:basedOn w:val="Normal"/>
    <w:next w:val="Statut"/>
    <w:rsid w:val="004515FC"/>
    <w:pPr>
      <w:spacing w:before="0" w:after="240"/>
      <w:ind w:left="5103"/>
      <w:jc w:val="left"/>
    </w:pPr>
  </w:style>
  <w:style w:type="paragraph" w:customStyle="1" w:styleId="Rfrenceinterinstitutionelle">
    <w:name w:val="Référence interinstitutionelle"/>
    <w:basedOn w:val="Normal"/>
    <w:next w:val="Statut"/>
    <w:rsid w:val="004515FC"/>
    <w:pPr>
      <w:spacing w:before="0" w:after="0"/>
      <w:ind w:left="5103"/>
      <w:jc w:val="left"/>
    </w:pPr>
  </w:style>
  <w:style w:type="paragraph" w:customStyle="1" w:styleId="Rfrenceinterinstitutionelleprliminaire">
    <w:name w:val="Référence interinstitutionelle (préliminaire)"/>
    <w:basedOn w:val="Normal"/>
    <w:next w:val="Normal"/>
    <w:rsid w:val="004515FC"/>
    <w:pPr>
      <w:spacing w:before="0" w:after="0"/>
      <w:ind w:left="5103"/>
      <w:jc w:val="left"/>
    </w:pPr>
  </w:style>
  <w:style w:type="paragraph" w:customStyle="1" w:styleId="Sous-titreobjetprliminaire">
    <w:name w:val="Sous-titre objet (préliminaire)"/>
    <w:basedOn w:val="Normal"/>
    <w:rsid w:val="004515FC"/>
    <w:pPr>
      <w:spacing w:before="0" w:after="0"/>
      <w:jc w:val="center"/>
    </w:pPr>
    <w:rPr>
      <w:b/>
    </w:rPr>
  </w:style>
  <w:style w:type="paragraph" w:customStyle="1" w:styleId="Statutprliminaire">
    <w:name w:val="Statut (préliminaire)"/>
    <w:basedOn w:val="Normal"/>
    <w:next w:val="Normal"/>
    <w:rsid w:val="004515FC"/>
    <w:pPr>
      <w:spacing w:before="360" w:after="0"/>
      <w:jc w:val="center"/>
    </w:pPr>
  </w:style>
  <w:style w:type="paragraph" w:customStyle="1" w:styleId="Titreobjetprliminaire">
    <w:name w:val="Titre objet (préliminaire)"/>
    <w:basedOn w:val="Normal"/>
    <w:next w:val="Normal"/>
    <w:rsid w:val="004515FC"/>
    <w:pPr>
      <w:spacing w:before="360" w:after="360"/>
      <w:jc w:val="center"/>
    </w:pPr>
    <w:rPr>
      <w:b/>
    </w:rPr>
  </w:style>
  <w:style w:type="paragraph" w:customStyle="1" w:styleId="Typedudocumentprliminaire">
    <w:name w:val="Type du document (préliminaire)"/>
    <w:basedOn w:val="Normal"/>
    <w:next w:val="Normal"/>
    <w:rsid w:val="004515FC"/>
    <w:pPr>
      <w:spacing w:before="360" w:after="0"/>
      <w:jc w:val="center"/>
    </w:pPr>
    <w:rPr>
      <w:b/>
    </w:rPr>
  </w:style>
  <w:style w:type="paragraph" w:customStyle="1" w:styleId="Fichefinancirestandardtitre">
    <w:name w:val="Fiche financière (standard) titre"/>
    <w:basedOn w:val="Normal"/>
    <w:next w:val="Normal"/>
    <w:rsid w:val="004515FC"/>
    <w:pPr>
      <w:jc w:val="center"/>
    </w:pPr>
    <w:rPr>
      <w:b/>
      <w:u w:val="single"/>
    </w:rPr>
  </w:style>
  <w:style w:type="paragraph" w:customStyle="1" w:styleId="Fichefinancirestandardtitreacte">
    <w:name w:val="Fiche financière (standard) titre (acte)"/>
    <w:basedOn w:val="Normal"/>
    <w:next w:val="Normal"/>
    <w:rsid w:val="004515FC"/>
    <w:pPr>
      <w:jc w:val="center"/>
    </w:pPr>
    <w:rPr>
      <w:b/>
      <w:u w:val="single"/>
    </w:rPr>
  </w:style>
  <w:style w:type="paragraph" w:customStyle="1" w:styleId="Fichefinanciretravailtitre">
    <w:name w:val="Fiche financière (travail) titre"/>
    <w:basedOn w:val="Normal"/>
    <w:next w:val="Normal"/>
    <w:rsid w:val="004515FC"/>
    <w:pPr>
      <w:jc w:val="center"/>
    </w:pPr>
    <w:rPr>
      <w:b/>
      <w:u w:val="single"/>
    </w:rPr>
  </w:style>
  <w:style w:type="paragraph" w:customStyle="1" w:styleId="Fichefinanciretravailtitreacte">
    <w:name w:val="Fiche financière (travail) titre (acte)"/>
    <w:basedOn w:val="Normal"/>
    <w:next w:val="Normal"/>
    <w:rsid w:val="004515FC"/>
    <w:pPr>
      <w:jc w:val="center"/>
    </w:pPr>
    <w:rPr>
      <w:b/>
      <w:u w:val="single"/>
    </w:rPr>
  </w:style>
  <w:style w:type="paragraph" w:customStyle="1" w:styleId="Fichefinancireattributiontitre">
    <w:name w:val="Fiche financière (attribution) titre"/>
    <w:basedOn w:val="Normal"/>
    <w:next w:val="Normal"/>
    <w:rsid w:val="004515FC"/>
    <w:pPr>
      <w:jc w:val="center"/>
    </w:pPr>
    <w:rPr>
      <w:b/>
      <w:u w:val="single"/>
    </w:rPr>
  </w:style>
  <w:style w:type="paragraph" w:customStyle="1" w:styleId="Fichefinancireattributiontitreacte">
    <w:name w:val="Fiche financière (attribution) titre (acte)"/>
    <w:basedOn w:val="Normal"/>
    <w:next w:val="Normal"/>
    <w:rsid w:val="004515FC"/>
    <w:pPr>
      <w:jc w:val="center"/>
    </w:pPr>
    <w:rPr>
      <w:b/>
      <w:u w:val="single"/>
    </w:rPr>
  </w:style>
  <w:style w:type="paragraph" w:styleId="BalloonText">
    <w:name w:val="Balloon Text"/>
    <w:basedOn w:val="Normal"/>
    <w:link w:val="BalloonTextChar"/>
    <w:rsid w:val="004515FC"/>
    <w:rPr>
      <w:rFonts w:ascii="Tahoma" w:eastAsia="Times New Roman" w:hAnsi="Tahoma" w:cs="Tahoma"/>
      <w:sz w:val="16"/>
    </w:rPr>
  </w:style>
  <w:style w:type="character" w:customStyle="1" w:styleId="BalloonTextChar">
    <w:name w:val="Balloon Text Char"/>
    <w:basedOn w:val="DefaultParagraphFont"/>
    <w:link w:val="BalloonText"/>
    <w:rsid w:val="004515FC"/>
    <w:rPr>
      <w:rFonts w:ascii="Tahoma" w:eastAsia="Times New Roman" w:hAnsi="Tahoma" w:cs="Tahoma"/>
      <w:sz w:val="16"/>
    </w:rPr>
  </w:style>
  <w:style w:type="paragraph" w:styleId="Caption">
    <w:name w:val="caption"/>
    <w:basedOn w:val="Normal"/>
    <w:next w:val="Normal"/>
    <w:qFormat/>
    <w:rsid w:val="004515FC"/>
    <w:rPr>
      <w:b/>
      <w:sz w:val="20"/>
    </w:rPr>
  </w:style>
  <w:style w:type="paragraph" w:styleId="TableofFigures">
    <w:name w:val="table of figures"/>
    <w:basedOn w:val="Normal"/>
    <w:next w:val="Normal"/>
    <w:rsid w:val="004515FC"/>
  </w:style>
  <w:style w:type="character" w:styleId="PageNumber">
    <w:name w:val="page number"/>
    <w:rsid w:val="004515FC"/>
  </w:style>
  <w:style w:type="character" w:customStyle="1" w:styleId="tw4winMark">
    <w:name w:val="tw4winMark"/>
    <w:rsid w:val="004515FC"/>
    <w:rPr>
      <w:vanish/>
      <w:color w:val="800080"/>
      <w:vertAlign w:val="subscript"/>
    </w:rPr>
  </w:style>
  <w:style w:type="paragraph" w:customStyle="1" w:styleId="Sous-titreobjet">
    <w:name w:val="Sous-titre objet"/>
    <w:basedOn w:val="Normal"/>
    <w:rsid w:val="004515FC"/>
    <w:pPr>
      <w:spacing w:before="0" w:after="0"/>
      <w:jc w:val="center"/>
    </w:pPr>
    <w:rPr>
      <w:b/>
    </w:rPr>
  </w:style>
  <w:style w:type="paragraph" w:customStyle="1" w:styleId="Sous-titreobjetPagedecouverture">
    <w:name w:val="Sous-titre objet (Page de couverture)"/>
    <w:basedOn w:val="Sous-titreobjet"/>
    <w:rsid w:val="004515FC"/>
  </w:style>
  <w:style w:type="paragraph" w:customStyle="1" w:styleId="FooterCoverPage">
    <w:name w:val="Footer Cover Page"/>
    <w:basedOn w:val="Normal"/>
    <w:link w:val="FooterCoverPageChar"/>
    <w:rsid w:val="004515FC"/>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4515FC"/>
    <w:rPr>
      <w:rFonts w:ascii="Times New Roman" w:hAnsi="Times New Roman" w:cs="Times New Roman"/>
      <w:b/>
      <w:sz w:val="28"/>
    </w:rPr>
  </w:style>
  <w:style w:type="character" w:customStyle="1" w:styleId="FooterCoverPageChar">
    <w:name w:val="Footer Cover Page Char"/>
    <w:link w:val="FooterCoverPage"/>
    <w:rsid w:val="004515FC"/>
    <w:rPr>
      <w:rFonts w:ascii="Times New Roman" w:eastAsia="Calibri" w:hAnsi="Times New Roman" w:cs="Times New Roman"/>
      <w:sz w:val="24"/>
    </w:rPr>
  </w:style>
  <w:style w:type="paragraph" w:customStyle="1" w:styleId="HeaderCoverPage">
    <w:name w:val="Header Cover Page"/>
    <w:basedOn w:val="Normal"/>
    <w:link w:val="HeaderCoverPageChar"/>
    <w:rsid w:val="004515FC"/>
    <w:pPr>
      <w:tabs>
        <w:tab w:val="center" w:pos="4535"/>
        <w:tab w:val="right" w:pos="9071"/>
      </w:tabs>
      <w:spacing w:before="0"/>
    </w:pPr>
  </w:style>
  <w:style w:type="character" w:customStyle="1" w:styleId="HeaderCoverPageChar">
    <w:name w:val="Header Cover Page Char"/>
    <w:link w:val="HeaderCoverPage"/>
    <w:rsid w:val="004515FC"/>
    <w:rPr>
      <w:rFonts w:ascii="Times New Roman" w:eastAsia="Calibri" w:hAnsi="Times New Roman" w:cs="Times New Roman"/>
      <w:sz w:val="24"/>
    </w:rPr>
  </w:style>
  <w:style w:type="character" w:customStyle="1" w:styleId="FooterSensitivityChar">
    <w:name w:val="Footer Sensitivity Char"/>
    <w:rsid w:val="004515FC"/>
    <w:rPr>
      <w:rFonts w:ascii="Times New Roman" w:hAnsi="Times New Roman" w:cs="Times New Roman"/>
      <w:b/>
      <w:sz w:val="32"/>
    </w:rPr>
  </w:style>
  <w:style w:type="character" w:customStyle="1" w:styleId="HeaderSensitivityChar">
    <w:name w:val="Header Sensitivity Char"/>
    <w:rsid w:val="004515FC"/>
    <w:rPr>
      <w:rFonts w:ascii="Times New Roman" w:hAnsi="Times New Roman" w:cs="Times New Roman"/>
      <w:b/>
      <w:sz w:val="32"/>
    </w:rPr>
  </w:style>
  <w:style w:type="character" w:customStyle="1" w:styleId="HeaderSensitivityRightChar">
    <w:name w:val="Header Sensitivity Right Char"/>
    <w:rsid w:val="004515FC"/>
    <w:rPr>
      <w:rFonts w:ascii="Times New Roman" w:hAnsi="Times New Roman" w:cs="Times New Roman"/>
      <w:sz w:val="28"/>
    </w:rPr>
  </w:style>
  <w:style w:type="character" w:styleId="FootnoteReference0">
    <w:name w:val="footnote reference"/>
    <w:basedOn w:val="DefaultParagraphFont"/>
    <w:link w:val="FootnotesymbolCharCharCharChar"/>
    <w:uiPriority w:val="99"/>
    <w:semiHidden/>
    <w:unhideWhenUsed/>
    <w:rPr>
      <w:shd w:val="clear" w:color="auto" w:fill="auto"/>
      <w:vertAlign w:val="superscript"/>
    </w:rPr>
  </w:style>
  <w:style w:type="character" w:customStyle="1" w:styleId="Mention1">
    <w:name w:val="Mention1"/>
    <w:basedOn w:val="DefaultParagraphFont"/>
    <w:uiPriority w:val="99"/>
    <w:unhideWhenUsed/>
    <w:rsid w:val="00F27AFF"/>
    <w:rPr>
      <w:color w:val="2B579A"/>
      <w:shd w:val="clear" w:color="auto" w:fill="E1DFDD"/>
    </w:rPr>
  </w:style>
  <w:style w:type="character" w:customStyle="1" w:styleId="UnresolvedMention">
    <w:name w:val="Unresolved Mention"/>
    <w:basedOn w:val="DefaultParagraphFont"/>
    <w:uiPriority w:val="99"/>
    <w:semiHidden/>
    <w:unhideWhenUsed/>
    <w:rsid w:val="00C61456"/>
    <w:rPr>
      <w:color w:val="605E5C"/>
      <w:shd w:val="clear" w:color="auto" w:fill="E1DFDD"/>
    </w:rPr>
  </w:style>
  <w:style w:type="character" w:customStyle="1" w:styleId="HeaderChar">
    <w:name w:val="Header Char"/>
    <w:basedOn w:val="DefaultParagraphFont"/>
    <w:link w:val="Header"/>
    <w:uiPriority w:val="99"/>
    <w:rsid w:val="006C0976"/>
    <w:rPr>
      <w:rFonts w:ascii="Times New Roman" w:hAnsi="Times New Roman" w:cs="Times New Roman"/>
      <w:sz w:val="24"/>
      <w:lang w:val="mt-MT"/>
    </w:rPr>
  </w:style>
  <w:style w:type="character" w:customStyle="1" w:styleId="FooterChar">
    <w:name w:val="Footer Char"/>
    <w:basedOn w:val="DefaultParagraphFont"/>
    <w:link w:val="Footer"/>
    <w:uiPriority w:val="99"/>
    <w:rsid w:val="006C0976"/>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mt-M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mt-M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mt-M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mt-M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mt-M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mt-M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mt-M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Sensitivity">
    <w:name w:val="Header Sensitivity"/>
    <w:basedOn w:val="Normal"/>
    <w:rsid w:val="006C097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C0976"/>
    <w:pPr>
      <w:spacing w:before="0"/>
      <w:jc w:val="right"/>
    </w:pPr>
    <w:rPr>
      <w:sz w:val="28"/>
    </w:rPr>
  </w:style>
  <w:style w:type="paragraph" w:customStyle="1" w:styleId="FooterSensitivity">
    <w:name w:val="Footer Sensitivity"/>
    <w:basedOn w:val="Normal"/>
    <w:rsid w:val="006C097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C0976"/>
    <w:pPr>
      <w:tabs>
        <w:tab w:val="center" w:pos="4535"/>
        <w:tab w:val="right" w:pos="9071"/>
      </w:tabs>
      <w:spacing w:before="0"/>
    </w:pPr>
  </w:style>
  <w:style w:type="paragraph" w:customStyle="1" w:styleId="HeaderLandscape">
    <w:name w:val="HeaderLandscape"/>
    <w:basedOn w:val="Normal"/>
    <w:rsid w:val="006C0976"/>
    <w:pPr>
      <w:tabs>
        <w:tab w:val="center" w:pos="7285"/>
        <w:tab w:val="right" w:pos="14003"/>
      </w:tabs>
      <w:spacing w:before="0"/>
    </w:pPr>
  </w:style>
  <w:style w:type="paragraph" w:styleId="Footer">
    <w:name w:val="footer"/>
    <w:basedOn w:val="Normal"/>
    <w:link w:val="FooterChar"/>
    <w:uiPriority w:val="99"/>
    <w:unhideWhenUsed/>
    <w:rsid w:val="006C097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C097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4561">
      <w:bodyDiv w:val="1"/>
      <w:marLeft w:val="0"/>
      <w:marRight w:val="0"/>
      <w:marTop w:val="0"/>
      <w:marBottom w:val="0"/>
      <w:divBdr>
        <w:top w:val="none" w:sz="0" w:space="0" w:color="auto"/>
        <w:left w:val="none" w:sz="0" w:space="0" w:color="auto"/>
        <w:bottom w:val="none" w:sz="0" w:space="0" w:color="auto"/>
        <w:right w:val="none" w:sz="0" w:space="0" w:color="auto"/>
      </w:divBdr>
    </w:div>
    <w:div w:id="241528941">
      <w:bodyDiv w:val="1"/>
      <w:marLeft w:val="0"/>
      <w:marRight w:val="0"/>
      <w:marTop w:val="0"/>
      <w:marBottom w:val="0"/>
      <w:divBdr>
        <w:top w:val="none" w:sz="0" w:space="0" w:color="auto"/>
        <w:left w:val="none" w:sz="0" w:space="0" w:color="auto"/>
        <w:bottom w:val="none" w:sz="0" w:space="0" w:color="auto"/>
        <w:right w:val="none" w:sz="0" w:space="0" w:color="auto"/>
      </w:divBdr>
    </w:div>
    <w:div w:id="450125082">
      <w:bodyDiv w:val="1"/>
      <w:marLeft w:val="0"/>
      <w:marRight w:val="0"/>
      <w:marTop w:val="0"/>
      <w:marBottom w:val="0"/>
      <w:divBdr>
        <w:top w:val="none" w:sz="0" w:space="0" w:color="auto"/>
        <w:left w:val="none" w:sz="0" w:space="0" w:color="auto"/>
        <w:bottom w:val="none" w:sz="0" w:space="0" w:color="auto"/>
        <w:right w:val="none" w:sz="0" w:space="0" w:color="auto"/>
      </w:divBdr>
    </w:div>
    <w:div w:id="515000774">
      <w:bodyDiv w:val="1"/>
      <w:marLeft w:val="0"/>
      <w:marRight w:val="0"/>
      <w:marTop w:val="0"/>
      <w:marBottom w:val="0"/>
      <w:divBdr>
        <w:top w:val="none" w:sz="0" w:space="0" w:color="auto"/>
        <w:left w:val="none" w:sz="0" w:space="0" w:color="auto"/>
        <w:bottom w:val="none" w:sz="0" w:space="0" w:color="auto"/>
        <w:right w:val="none" w:sz="0" w:space="0" w:color="auto"/>
      </w:divBdr>
    </w:div>
    <w:div w:id="532159898">
      <w:bodyDiv w:val="1"/>
      <w:marLeft w:val="0"/>
      <w:marRight w:val="0"/>
      <w:marTop w:val="0"/>
      <w:marBottom w:val="0"/>
      <w:divBdr>
        <w:top w:val="none" w:sz="0" w:space="0" w:color="auto"/>
        <w:left w:val="none" w:sz="0" w:space="0" w:color="auto"/>
        <w:bottom w:val="none" w:sz="0" w:space="0" w:color="auto"/>
        <w:right w:val="none" w:sz="0" w:space="0" w:color="auto"/>
      </w:divBdr>
    </w:div>
    <w:div w:id="576594804">
      <w:bodyDiv w:val="1"/>
      <w:marLeft w:val="0"/>
      <w:marRight w:val="0"/>
      <w:marTop w:val="0"/>
      <w:marBottom w:val="0"/>
      <w:divBdr>
        <w:top w:val="none" w:sz="0" w:space="0" w:color="auto"/>
        <w:left w:val="none" w:sz="0" w:space="0" w:color="auto"/>
        <w:bottom w:val="none" w:sz="0" w:space="0" w:color="auto"/>
        <w:right w:val="none" w:sz="0" w:space="0" w:color="auto"/>
      </w:divBdr>
    </w:div>
    <w:div w:id="627590626">
      <w:bodyDiv w:val="1"/>
      <w:marLeft w:val="0"/>
      <w:marRight w:val="0"/>
      <w:marTop w:val="0"/>
      <w:marBottom w:val="0"/>
      <w:divBdr>
        <w:top w:val="none" w:sz="0" w:space="0" w:color="auto"/>
        <w:left w:val="none" w:sz="0" w:space="0" w:color="auto"/>
        <w:bottom w:val="none" w:sz="0" w:space="0" w:color="auto"/>
        <w:right w:val="none" w:sz="0" w:space="0" w:color="auto"/>
      </w:divBdr>
    </w:div>
    <w:div w:id="652686814">
      <w:bodyDiv w:val="1"/>
      <w:marLeft w:val="0"/>
      <w:marRight w:val="0"/>
      <w:marTop w:val="0"/>
      <w:marBottom w:val="0"/>
      <w:divBdr>
        <w:top w:val="none" w:sz="0" w:space="0" w:color="auto"/>
        <w:left w:val="none" w:sz="0" w:space="0" w:color="auto"/>
        <w:bottom w:val="none" w:sz="0" w:space="0" w:color="auto"/>
        <w:right w:val="none" w:sz="0" w:space="0" w:color="auto"/>
      </w:divBdr>
    </w:div>
    <w:div w:id="725107448">
      <w:bodyDiv w:val="1"/>
      <w:marLeft w:val="0"/>
      <w:marRight w:val="0"/>
      <w:marTop w:val="0"/>
      <w:marBottom w:val="0"/>
      <w:divBdr>
        <w:top w:val="none" w:sz="0" w:space="0" w:color="auto"/>
        <w:left w:val="none" w:sz="0" w:space="0" w:color="auto"/>
        <w:bottom w:val="none" w:sz="0" w:space="0" w:color="auto"/>
        <w:right w:val="none" w:sz="0" w:space="0" w:color="auto"/>
      </w:divBdr>
    </w:div>
    <w:div w:id="765878921">
      <w:bodyDiv w:val="1"/>
      <w:marLeft w:val="0"/>
      <w:marRight w:val="0"/>
      <w:marTop w:val="0"/>
      <w:marBottom w:val="0"/>
      <w:divBdr>
        <w:top w:val="none" w:sz="0" w:space="0" w:color="auto"/>
        <w:left w:val="none" w:sz="0" w:space="0" w:color="auto"/>
        <w:bottom w:val="none" w:sz="0" w:space="0" w:color="auto"/>
        <w:right w:val="none" w:sz="0" w:space="0" w:color="auto"/>
      </w:divBdr>
    </w:div>
    <w:div w:id="787697424">
      <w:bodyDiv w:val="1"/>
      <w:marLeft w:val="0"/>
      <w:marRight w:val="0"/>
      <w:marTop w:val="0"/>
      <w:marBottom w:val="0"/>
      <w:divBdr>
        <w:top w:val="none" w:sz="0" w:space="0" w:color="auto"/>
        <w:left w:val="none" w:sz="0" w:space="0" w:color="auto"/>
        <w:bottom w:val="none" w:sz="0" w:space="0" w:color="auto"/>
        <w:right w:val="none" w:sz="0" w:space="0" w:color="auto"/>
      </w:divBdr>
    </w:div>
    <w:div w:id="825362970">
      <w:bodyDiv w:val="1"/>
      <w:marLeft w:val="0"/>
      <w:marRight w:val="0"/>
      <w:marTop w:val="0"/>
      <w:marBottom w:val="0"/>
      <w:divBdr>
        <w:top w:val="none" w:sz="0" w:space="0" w:color="auto"/>
        <w:left w:val="none" w:sz="0" w:space="0" w:color="auto"/>
        <w:bottom w:val="none" w:sz="0" w:space="0" w:color="auto"/>
        <w:right w:val="none" w:sz="0" w:space="0" w:color="auto"/>
      </w:divBdr>
      <w:divsChild>
        <w:div w:id="1147740207">
          <w:marLeft w:val="0"/>
          <w:marRight w:val="0"/>
          <w:marTop w:val="0"/>
          <w:marBottom w:val="0"/>
          <w:divBdr>
            <w:top w:val="none" w:sz="0" w:space="0" w:color="auto"/>
            <w:left w:val="none" w:sz="0" w:space="0" w:color="auto"/>
            <w:bottom w:val="none" w:sz="0" w:space="0" w:color="auto"/>
            <w:right w:val="none" w:sz="0" w:space="0" w:color="auto"/>
          </w:divBdr>
        </w:div>
      </w:divsChild>
    </w:div>
    <w:div w:id="871307606">
      <w:bodyDiv w:val="1"/>
      <w:marLeft w:val="0"/>
      <w:marRight w:val="0"/>
      <w:marTop w:val="0"/>
      <w:marBottom w:val="0"/>
      <w:divBdr>
        <w:top w:val="none" w:sz="0" w:space="0" w:color="auto"/>
        <w:left w:val="none" w:sz="0" w:space="0" w:color="auto"/>
        <w:bottom w:val="none" w:sz="0" w:space="0" w:color="auto"/>
        <w:right w:val="none" w:sz="0" w:space="0" w:color="auto"/>
      </w:divBdr>
      <w:divsChild>
        <w:div w:id="1208448740">
          <w:marLeft w:val="0"/>
          <w:marRight w:val="0"/>
          <w:marTop w:val="0"/>
          <w:marBottom w:val="0"/>
          <w:divBdr>
            <w:top w:val="none" w:sz="0" w:space="0" w:color="auto"/>
            <w:left w:val="none" w:sz="0" w:space="0" w:color="auto"/>
            <w:bottom w:val="none" w:sz="0" w:space="0" w:color="auto"/>
            <w:right w:val="none" w:sz="0" w:space="0" w:color="auto"/>
          </w:divBdr>
        </w:div>
      </w:divsChild>
    </w:div>
    <w:div w:id="894438397">
      <w:bodyDiv w:val="1"/>
      <w:marLeft w:val="0"/>
      <w:marRight w:val="0"/>
      <w:marTop w:val="0"/>
      <w:marBottom w:val="0"/>
      <w:divBdr>
        <w:top w:val="none" w:sz="0" w:space="0" w:color="auto"/>
        <w:left w:val="none" w:sz="0" w:space="0" w:color="auto"/>
        <w:bottom w:val="none" w:sz="0" w:space="0" w:color="auto"/>
        <w:right w:val="none" w:sz="0" w:space="0" w:color="auto"/>
      </w:divBdr>
    </w:div>
    <w:div w:id="1060783926">
      <w:bodyDiv w:val="1"/>
      <w:marLeft w:val="0"/>
      <w:marRight w:val="0"/>
      <w:marTop w:val="0"/>
      <w:marBottom w:val="0"/>
      <w:divBdr>
        <w:top w:val="none" w:sz="0" w:space="0" w:color="auto"/>
        <w:left w:val="none" w:sz="0" w:space="0" w:color="auto"/>
        <w:bottom w:val="none" w:sz="0" w:space="0" w:color="auto"/>
        <w:right w:val="none" w:sz="0" w:space="0" w:color="auto"/>
      </w:divBdr>
    </w:div>
    <w:div w:id="1102847089">
      <w:bodyDiv w:val="1"/>
      <w:marLeft w:val="0"/>
      <w:marRight w:val="0"/>
      <w:marTop w:val="0"/>
      <w:marBottom w:val="0"/>
      <w:divBdr>
        <w:top w:val="none" w:sz="0" w:space="0" w:color="auto"/>
        <w:left w:val="none" w:sz="0" w:space="0" w:color="auto"/>
        <w:bottom w:val="none" w:sz="0" w:space="0" w:color="auto"/>
        <w:right w:val="none" w:sz="0" w:space="0" w:color="auto"/>
      </w:divBdr>
      <w:divsChild>
        <w:div w:id="1466849705">
          <w:marLeft w:val="0"/>
          <w:marRight w:val="0"/>
          <w:marTop w:val="0"/>
          <w:marBottom w:val="0"/>
          <w:divBdr>
            <w:top w:val="none" w:sz="0" w:space="0" w:color="auto"/>
            <w:left w:val="none" w:sz="0" w:space="0" w:color="auto"/>
            <w:bottom w:val="none" w:sz="0" w:space="0" w:color="auto"/>
            <w:right w:val="none" w:sz="0" w:space="0" w:color="auto"/>
          </w:divBdr>
        </w:div>
      </w:divsChild>
    </w:div>
    <w:div w:id="1125538354">
      <w:bodyDiv w:val="1"/>
      <w:marLeft w:val="0"/>
      <w:marRight w:val="0"/>
      <w:marTop w:val="0"/>
      <w:marBottom w:val="0"/>
      <w:divBdr>
        <w:top w:val="none" w:sz="0" w:space="0" w:color="auto"/>
        <w:left w:val="none" w:sz="0" w:space="0" w:color="auto"/>
        <w:bottom w:val="none" w:sz="0" w:space="0" w:color="auto"/>
        <w:right w:val="none" w:sz="0" w:space="0" w:color="auto"/>
      </w:divBdr>
    </w:div>
    <w:div w:id="1136142787">
      <w:bodyDiv w:val="1"/>
      <w:marLeft w:val="0"/>
      <w:marRight w:val="0"/>
      <w:marTop w:val="0"/>
      <w:marBottom w:val="0"/>
      <w:divBdr>
        <w:top w:val="none" w:sz="0" w:space="0" w:color="auto"/>
        <w:left w:val="none" w:sz="0" w:space="0" w:color="auto"/>
        <w:bottom w:val="none" w:sz="0" w:space="0" w:color="auto"/>
        <w:right w:val="none" w:sz="0" w:space="0" w:color="auto"/>
      </w:divBdr>
    </w:div>
    <w:div w:id="1406296411">
      <w:bodyDiv w:val="1"/>
      <w:marLeft w:val="0"/>
      <w:marRight w:val="0"/>
      <w:marTop w:val="0"/>
      <w:marBottom w:val="0"/>
      <w:divBdr>
        <w:top w:val="none" w:sz="0" w:space="0" w:color="auto"/>
        <w:left w:val="none" w:sz="0" w:space="0" w:color="auto"/>
        <w:bottom w:val="none" w:sz="0" w:space="0" w:color="auto"/>
        <w:right w:val="none" w:sz="0" w:space="0" w:color="auto"/>
      </w:divBdr>
    </w:div>
    <w:div w:id="1500460747">
      <w:bodyDiv w:val="1"/>
      <w:marLeft w:val="0"/>
      <w:marRight w:val="0"/>
      <w:marTop w:val="0"/>
      <w:marBottom w:val="0"/>
      <w:divBdr>
        <w:top w:val="none" w:sz="0" w:space="0" w:color="auto"/>
        <w:left w:val="none" w:sz="0" w:space="0" w:color="auto"/>
        <w:bottom w:val="none" w:sz="0" w:space="0" w:color="auto"/>
        <w:right w:val="none" w:sz="0" w:space="0" w:color="auto"/>
      </w:divBdr>
      <w:divsChild>
        <w:div w:id="967125417">
          <w:marLeft w:val="0"/>
          <w:marRight w:val="0"/>
          <w:marTop w:val="0"/>
          <w:marBottom w:val="0"/>
          <w:divBdr>
            <w:top w:val="none" w:sz="0" w:space="0" w:color="auto"/>
            <w:left w:val="none" w:sz="0" w:space="0" w:color="auto"/>
            <w:bottom w:val="none" w:sz="0" w:space="0" w:color="auto"/>
            <w:right w:val="none" w:sz="0" w:space="0" w:color="auto"/>
          </w:divBdr>
        </w:div>
      </w:divsChild>
    </w:div>
    <w:div w:id="1753160995">
      <w:bodyDiv w:val="1"/>
      <w:marLeft w:val="0"/>
      <w:marRight w:val="0"/>
      <w:marTop w:val="0"/>
      <w:marBottom w:val="0"/>
      <w:divBdr>
        <w:top w:val="none" w:sz="0" w:space="0" w:color="auto"/>
        <w:left w:val="none" w:sz="0" w:space="0" w:color="auto"/>
        <w:bottom w:val="none" w:sz="0" w:space="0" w:color="auto"/>
        <w:right w:val="none" w:sz="0" w:space="0" w:color="auto"/>
      </w:divBdr>
    </w:div>
    <w:div w:id="1924994995">
      <w:bodyDiv w:val="1"/>
      <w:marLeft w:val="0"/>
      <w:marRight w:val="0"/>
      <w:marTop w:val="0"/>
      <w:marBottom w:val="0"/>
      <w:divBdr>
        <w:top w:val="none" w:sz="0" w:space="0" w:color="auto"/>
        <w:left w:val="none" w:sz="0" w:space="0" w:color="auto"/>
        <w:bottom w:val="none" w:sz="0" w:space="0" w:color="auto"/>
        <w:right w:val="none" w:sz="0" w:space="0" w:color="auto"/>
      </w:divBdr>
    </w:div>
    <w:div w:id="20008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eur-lex.europa.eu/legal-content/MT/TXT/?uri=CELEX:32018R172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data.europa.eu/eli/reg/2011/182/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MT/TXT/?uri=CELEX:32019L09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ata.europa.eu/eli/reg/2016/679/oj"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MT/TXT/?uri=CELEX:32019L0997" TargetMode="External"/><Relationship Id="rId13" Type="http://schemas.openxmlformats.org/officeDocument/2006/relationships/hyperlink" Target="https://data.europa.eu/data/datasets/s2260_485_eng?locale=mt" TargetMode="External"/><Relationship Id="rId18" Type="http://schemas.openxmlformats.org/officeDocument/2006/relationships/hyperlink" Target="http://data.europa.eu/eli/reg/2016/679/oj" TargetMode="External"/><Relationship Id="rId26" Type="http://schemas.openxmlformats.org/officeDocument/2006/relationships/hyperlink" Target="http://data.europa.eu/eli/dec/2013/1313/oj" TargetMode="External"/><Relationship Id="rId3" Type="http://schemas.openxmlformats.org/officeDocument/2006/relationships/hyperlink" Target="https://eur-lex.europa.eu/legal-content/MT/TXT/?uri=CELEX:52020DC0690&amp;qid=1700839124905" TargetMode="External"/><Relationship Id="rId21" Type="http://schemas.openxmlformats.org/officeDocument/2006/relationships/hyperlink" Target="http://data.europa.eu/eli/reco/2008/355/oj" TargetMode="External"/><Relationship Id="rId7" Type="http://schemas.openxmlformats.org/officeDocument/2006/relationships/hyperlink" Target="https://data.consilium.europa.eu/doc/document/ST-13619-2020-INIT/en/pdf" TargetMode="External"/><Relationship Id="rId12" Type="http://schemas.openxmlformats.org/officeDocument/2006/relationships/hyperlink" Target="https://data.consilium.europa.eu/doc/document/ST-15876-2022-INIT/en/pdf" TargetMode="External"/><Relationship Id="rId17" Type="http://schemas.openxmlformats.org/officeDocument/2006/relationships/hyperlink" Target="https://commission.europa.eu/document/1abc8980-4ffc-4794-b497-9c174f56486a_en" TargetMode="External"/><Relationship Id="rId25" Type="http://schemas.openxmlformats.org/officeDocument/2006/relationships/hyperlink" Target="http://data.europa.eu/eli/reco/2008/355/oj" TargetMode="External"/><Relationship Id="rId2" Type="http://schemas.openxmlformats.org/officeDocument/2006/relationships/hyperlink" Target="http://data.europa.eu/eli/dec/1995/553/oj" TargetMode="External"/><Relationship Id="rId16" Type="http://schemas.openxmlformats.org/officeDocument/2006/relationships/hyperlink" Target="https://commission.europa.eu/document/7a196852-063e-4b0e-b828-b483cbb4533b_en" TargetMode="External"/><Relationship Id="rId20" Type="http://schemas.openxmlformats.org/officeDocument/2006/relationships/hyperlink" Target="http://data.europa.eu/eli/dec/1996/409/oj" TargetMode="External"/><Relationship Id="rId29" Type="http://schemas.openxmlformats.org/officeDocument/2006/relationships/hyperlink" Target="https://eur-lex.europa.eu/legal-content/MT/TXT/?uri=CELEX:32018R1725" TargetMode="External"/><Relationship Id="rId1" Type="http://schemas.openxmlformats.org/officeDocument/2006/relationships/hyperlink" Target="http://data.europa.eu/eli/dir/2015/637/oj" TargetMode="External"/><Relationship Id="rId6" Type="http://schemas.openxmlformats.org/officeDocument/2006/relationships/hyperlink" Target="https://eur-lex.europa.eu/legal-content/MT/TXT/?uri=CELEX:52022DC0437&amp;qid=1700840308776" TargetMode="External"/><Relationship Id="rId11" Type="http://schemas.openxmlformats.org/officeDocument/2006/relationships/hyperlink" Target="https://legal.un.org/ilc/texts/instruments/english/conventions/9_2_1963.pdf" TargetMode="External"/><Relationship Id="rId24" Type="http://schemas.openxmlformats.org/officeDocument/2006/relationships/hyperlink" Target="http://data.europa.eu/eli/dec/2010/427/oj" TargetMode="External"/><Relationship Id="rId5" Type="http://schemas.openxmlformats.org/officeDocument/2006/relationships/hyperlink" Target="https://data.consilium.europa.eu/doc/document/ST-7371-2022-INIT/mt/pdf" TargetMode="External"/><Relationship Id="rId15" Type="http://schemas.openxmlformats.org/officeDocument/2006/relationships/hyperlink" Target="https://eur-lex.europa.eu/legal-content/MT/TXT/?uri=CELEX:52020DC0730&amp;qid=1701074858188" TargetMode="External"/><Relationship Id="rId23" Type="http://schemas.openxmlformats.org/officeDocument/2006/relationships/hyperlink" Target="https://eur-lex.europa.eu/legal-content/MT/TXT/?uri=CELEX:32019L0997" TargetMode="External"/><Relationship Id="rId28" Type="http://schemas.openxmlformats.org/officeDocument/2006/relationships/hyperlink" Target="http://data.europa.eu/eli/reg/2016/679/oj" TargetMode="External"/><Relationship Id="rId10" Type="http://schemas.openxmlformats.org/officeDocument/2006/relationships/hyperlink" Target="http://data.europa.eu/eli/dec/2013/1313/oj" TargetMode="External"/><Relationship Id="rId19" Type="http://schemas.openxmlformats.org/officeDocument/2006/relationships/hyperlink" Target="https://eur-lex.europa.eu/legal-content/MT/TXT/?uri=CELEX:32018R1725" TargetMode="External"/><Relationship Id="rId4" Type="http://schemas.openxmlformats.org/officeDocument/2006/relationships/hyperlink" Target="https://eur-lex.europa.eu/legal-content/MT/TXT/?uri=CELEX:52022DC0404&amp;qid=1700839507743" TargetMode="External"/><Relationship Id="rId9" Type="http://schemas.openxmlformats.org/officeDocument/2006/relationships/hyperlink" Target="http://data.europa.eu/eli/dec/2010/427/oj" TargetMode="External"/><Relationship Id="rId14" Type="http://schemas.openxmlformats.org/officeDocument/2006/relationships/hyperlink" Target="https://europa.eu/eurobarometer/surveys/detail/2971" TargetMode="External"/><Relationship Id="rId22" Type="http://schemas.openxmlformats.org/officeDocument/2006/relationships/hyperlink" Target="http://data.europa.eu/eli/dir/2015/637/oj" TargetMode="External"/><Relationship Id="rId27" Type="http://schemas.openxmlformats.org/officeDocument/2006/relationships/hyperlink" Target="http://data.europa.eu/eli/reg/2011/182/oj" TargetMode="External"/><Relationship Id="rId30" Type="http://schemas.openxmlformats.org/officeDocument/2006/relationships/hyperlink" Target="https://eur-lex.europa.eu/legal-content/EN/TXT/?uri=CELEX:52011SC1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7" ma:contentTypeDescription="Create a new document." ma:contentTypeScope="" ma:versionID="4f23b84c494cfaa1c66f32c38d1aa35e">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bfc11b8d216d428b61f3580c0e7481e7"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2BE49-B8C5-44D7-B1CD-758ED650578D}">
  <ds:schemaRefs>
    <ds:schemaRef ds:uri="http://schemas.microsoft.com/office/2006/documentManagement/types"/>
    <ds:schemaRef ds:uri="http://www.w3.org/XML/1998/namespace"/>
    <ds:schemaRef ds:uri="http://schemas.microsoft.com/office/2006/metadata/properties"/>
    <ds:schemaRef ds:uri="604b4288-15a6-4b36-801c-a9875e40b072"/>
    <ds:schemaRef ds:uri="fb6c068c-bc2d-4620-b517-6a4d82a7e161"/>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5F842759-D276-463F-A6EE-B4A28364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49B94-C979-4D67-AC37-03526794B5C0}">
  <ds:schemaRefs>
    <ds:schemaRef ds:uri="http://schemas.microsoft.com/sharepoint/v3/contenttype/forms"/>
  </ds:schemaRefs>
</ds:datastoreItem>
</file>

<file path=customXml/itemProps4.xml><?xml version="1.0" encoding="utf-8"?>
<ds:datastoreItem xmlns:ds="http://schemas.openxmlformats.org/officeDocument/2006/customXml" ds:itemID="{EA633344-932B-40E0-A6F8-99C8BC50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65</TotalTime>
  <Pages>10</Pages>
  <Words>18053</Words>
  <Characters>102906</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120718</CharactersWithSpaces>
  <SharedDoc>false</SharedDoc>
  <HLinks>
    <vt:vector size="192" baseType="variant">
      <vt:variant>
        <vt:i4>4915224</vt:i4>
      </vt:variant>
      <vt:variant>
        <vt:i4>9</vt:i4>
      </vt:variant>
      <vt:variant>
        <vt:i4>0</vt:i4>
      </vt:variant>
      <vt:variant>
        <vt:i4>5</vt:i4>
      </vt:variant>
      <vt:variant>
        <vt:lpwstr>http://data.europa.eu/eli/reg/2016/679/oj</vt:lpwstr>
      </vt:variant>
      <vt:variant>
        <vt:lpwstr/>
      </vt:variant>
      <vt:variant>
        <vt:i4>6488173</vt:i4>
      </vt:variant>
      <vt:variant>
        <vt:i4>6</vt:i4>
      </vt:variant>
      <vt:variant>
        <vt:i4>0</vt:i4>
      </vt:variant>
      <vt:variant>
        <vt:i4>5</vt:i4>
      </vt:variant>
      <vt:variant>
        <vt:lpwstr>http://data.europa.eu/eli/reg/2018/1725/oj</vt:lpwstr>
      </vt:variant>
      <vt:variant>
        <vt:lpwstr/>
      </vt:variant>
      <vt:variant>
        <vt:i4>4194327</vt:i4>
      </vt:variant>
      <vt:variant>
        <vt:i4>3</vt:i4>
      </vt:variant>
      <vt:variant>
        <vt:i4>0</vt:i4>
      </vt:variant>
      <vt:variant>
        <vt:i4>5</vt:i4>
      </vt:variant>
      <vt:variant>
        <vt:lpwstr>http://data.europa.eu/eli/reg/2011/182/oj</vt:lpwstr>
      </vt:variant>
      <vt:variant>
        <vt:lpwstr/>
      </vt:variant>
      <vt:variant>
        <vt:i4>4784149</vt:i4>
      </vt:variant>
      <vt:variant>
        <vt:i4>0</vt:i4>
      </vt:variant>
      <vt:variant>
        <vt:i4>0</vt:i4>
      </vt:variant>
      <vt:variant>
        <vt:i4>5</vt:i4>
      </vt:variant>
      <vt:variant>
        <vt:lpwstr>http://data.europa.eu/eli/dir/2019/997/oj</vt:lpwstr>
      </vt:variant>
      <vt:variant>
        <vt:lpwstr/>
      </vt:variant>
      <vt:variant>
        <vt:i4>1048592</vt:i4>
      </vt:variant>
      <vt:variant>
        <vt:i4>87</vt:i4>
      </vt:variant>
      <vt:variant>
        <vt:i4>0</vt:i4>
      </vt:variant>
      <vt:variant>
        <vt:i4>5</vt:i4>
      </vt:variant>
      <vt:variant>
        <vt:lpwstr>https://eur-lex.europa.eu/legal-content/EN/TXT/?uri=CELEX:52011SC1556</vt:lpwstr>
      </vt:variant>
      <vt:variant>
        <vt:lpwstr/>
      </vt:variant>
      <vt:variant>
        <vt:i4>6488173</vt:i4>
      </vt:variant>
      <vt:variant>
        <vt:i4>78</vt:i4>
      </vt:variant>
      <vt:variant>
        <vt:i4>0</vt:i4>
      </vt:variant>
      <vt:variant>
        <vt:i4>5</vt:i4>
      </vt:variant>
      <vt:variant>
        <vt:lpwstr>http://data.europa.eu/eli/reg/2018/1725/oj</vt:lpwstr>
      </vt:variant>
      <vt:variant>
        <vt:lpwstr/>
      </vt:variant>
      <vt:variant>
        <vt:i4>4915224</vt:i4>
      </vt:variant>
      <vt:variant>
        <vt:i4>75</vt:i4>
      </vt:variant>
      <vt:variant>
        <vt:i4>0</vt:i4>
      </vt:variant>
      <vt:variant>
        <vt:i4>5</vt:i4>
      </vt:variant>
      <vt:variant>
        <vt:lpwstr>http://data.europa.eu/eli/reg/2016/679/oj</vt:lpwstr>
      </vt:variant>
      <vt:variant>
        <vt:lpwstr/>
      </vt:variant>
      <vt:variant>
        <vt:i4>4194327</vt:i4>
      </vt:variant>
      <vt:variant>
        <vt:i4>72</vt:i4>
      </vt:variant>
      <vt:variant>
        <vt:i4>0</vt:i4>
      </vt:variant>
      <vt:variant>
        <vt:i4>5</vt:i4>
      </vt:variant>
      <vt:variant>
        <vt:lpwstr>http://data.europa.eu/eli/reg/2011/182/oj</vt:lpwstr>
      </vt:variant>
      <vt:variant>
        <vt:lpwstr/>
      </vt:variant>
      <vt:variant>
        <vt:i4>7012477</vt:i4>
      </vt:variant>
      <vt:variant>
        <vt:i4>69</vt:i4>
      </vt:variant>
      <vt:variant>
        <vt:i4>0</vt:i4>
      </vt:variant>
      <vt:variant>
        <vt:i4>5</vt:i4>
      </vt:variant>
      <vt:variant>
        <vt:lpwstr>http://data.europa.eu/eli/dec/2013/1313/oj</vt:lpwstr>
      </vt:variant>
      <vt:variant>
        <vt:lpwstr/>
      </vt:variant>
      <vt:variant>
        <vt:i4>3145830</vt:i4>
      </vt:variant>
      <vt:variant>
        <vt:i4>66</vt:i4>
      </vt:variant>
      <vt:variant>
        <vt:i4>0</vt:i4>
      </vt:variant>
      <vt:variant>
        <vt:i4>5</vt:i4>
      </vt:variant>
      <vt:variant>
        <vt:lpwstr>http://data.europa.eu/eli/reco/2008/355/oj</vt:lpwstr>
      </vt:variant>
      <vt:variant>
        <vt:lpwstr/>
      </vt:variant>
      <vt:variant>
        <vt:i4>4259855</vt:i4>
      </vt:variant>
      <vt:variant>
        <vt:i4>63</vt:i4>
      </vt:variant>
      <vt:variant>
        <vt:i4>0</vt:i4>
      </vt:variant>
      <vt:variant>
        <vt:i4>5</vt:i4>
      </vt:variant>
      <vt:variant>
        <vt:lpwstr>http://data.europa.eu/eli/dec/2010/427/oj</vt:lpwstr>
      </vt:variant>
      <vt:variant>
        <vt:lpwstr/>
      </vt:variant>
      <vt:variant>
        <vt:i4>4784149</vt:i4>
      </vt:variant>
      <vt:variant>
        <vt:i4>60</vt:i4>
      </vt:variant>
      <vt:variant>
        <vt:i4>0</vt:i4>
      </vt:variant>
      <vt:variant>
        <vt:i4>5</vt:i4>
      </vt:variant>
      <vt:variant>
        <vt:lpwstr>http://data.europa.eu/eli/dir/2019/997/oj</vt:lpwstr>
      </vt:variant>
      <vt:variant>
        <vt:lpwstr/>
      </vt:variant>
      <vt:variant>
        <vt:i4>4849695</vt:i4>
      </vt:variant>
      <vt:variant>
        <vt:i4>57</vt:i4>
      </vt:variant>
      <vt:variant>
        <vt:i4>0</vt:i4>
      </vt:variant>
      <vt:variant>
        <vt:i4>5</vt:i4>
      </vt:variant>
      <vt:variant>
        <vt:lpwstr>http://data.europa.eu/eli/dir/2015/637/oj</vt:lpwstr>
      </vt:variant>
      <vt:variant>
        <vt:lpwstr/>
      </vt:variant>
      <vt:variant>
        <vt:i4>3145830</vt:i4>
      </vt:variant>
      <vt:variant>
        <vt:i4>54</vt:i4>
      </vt:variant>
      <vt:variant>
        <vt:i4>0</vt:i4>
      </vt:variant>
      <vt:variant>
        <vt:i4>5</vt:i4>
      </vt:variant>
      <vt:variant>
        <vt:lpwstr>http://data.europa.eu/eli/reco/2008/355/oj</vt:lpwstr>
      </vt:variant>
      <vt:variant>
        <vt:lpwstr/>
      </vt:variant>
      <vt:variant>
        <vt:i4>4194310</vt:i4>
      </vt:variant>
      <vt:variant>
        <vt:i4>51</vt:i4>
      </vt:variant>
      <vt:variant>
        <vt:i4>0</vt:i4>
      </vt:variant>
      <vt:variant>
        <vt:i4>5</vt:i4>
      </vt:variant>
      <vt:variant>
        <vt:lpwstr>http://data.europa.eu/eli/dec/1996/409/oj</vt:lpwstr>
      </vt:variant>
      <vt:variant>
        <vt:lpwstr/>
      </vt:variant>
      <vt:variant>
        <vt:i4>6488173</vt:i4>
      </vt:variant>
      <vt:variant>
        <vt:i4>48</vt:i4>
      </vt:variant>
      <vt:variant>
        <vt:i4>0</vt:i4>
      </vt:variant>
      <vt:variant>
        <vt:i4>5</vt:i4>
      </vt:variant>
      <vt:variant>
        <vt:lpwstr>http://data.europa.eu/eli/reg/2018/1725/oj</vt:lpwstr>
      </vt:variant>
      <vt:variant>
        <vt:lpwstr/>
      </vt:variant>
      <vt:variant>
        <vt:i4>4915224</vt:i4>
      </vt:variant>
      <vt:variant>
        <vt:i4>45</vt:i4>
      </vt:variant>
      <vt:variant>
        <vt:i4>0</vt:i4>
      </vt:variant>
      <vt:variant>
        <vt:i4>5</vt:i4>
      </vt:variant>
      <vt:variant>
        <vt:lpwstr>http://data.europa.eu/eli/reg/2016/679/oj</vt:lpwstr>
      </vt:variant>
      <vt:variant>
        <vt:lpwstr/>
      </vt:variant>
      <vt:variant>
        <vt:i4>196627</vt:i4>
      </vt:variant>
      <vt:variant>
        <vt:i4>42</vt:i4>
      </vt:variant>
      <vt:variant>
        <vt:i4>0</vt:i4>
      </vt:variant>
      <vt:variant>
        <vt:i4>5</vt:i4>
      </vt:variant>
      <vt:variant>
        <vt:lpwstr>https://eur-lex.europa.eu/legal-content/EN/TXT/?uri=CELEX:52020DC0730</vt:lpwstr>
      </vt:variant>
      <vt:variant>
        <vt:lpwstr/>
      </vt:variant>
      <vt:variant>
        <vt:i4>4587540</vt:i4>
      </vt:variant>
      <vt:variant>
        <vt:i4>39</vt:i4>
      </vt:variant>
      <vt:variant>
        <vt:i4>0</vt:i4>
      </vt:variant>
      <vt:variant>
        <vt:i4>5</vt:i4>
      </vt:variant>
      <vt:variant>
        <vt:lpwstr>https://data.europa.eu/data/datasets/s2260_485_eng?locale=en</vt:lpwstr>
      </vt:variant>
      <vt:variant>
        <vt:lpwstr/>
      </vt:variant>
      <vt:variant>
        <vt:i4>4587540</vt:i4>
      </vt:variant>
      <vt:variant>
        <vt:i4>36</vt:i4>
      </vt:variant>
      <vt:variant>
        <vt:i4>0</vt:i4>
      </vt:variant>
      <vt:variant>
        <vt:i4>5</vt:i4>
      </vt:variant>
      <vt:variant>
        <vt:lpwstr>https://data.europa.eu/data/datasets/s2260_485_eng?locale=en</vt:lpwstr>
      </vt:variant>
      <vt:variant>
        <vt:lpwstr/>
      </vt:variant>
      <vt:variant>
        <vt:i4>3342445</vt:i4>
      </vt:variant>
      <vt:variant>
        <vt:i4>33</vt:i4>
      </vt:variant>
      <vt:variant>
        <vt:i4>0</vt:i4>
      </vt:variant>
      <vt:variant>
        <vt:i4>5</vt:i4>
      </vt:variant>
      <vt:variant>
        <vt:lpwstr>https://data.consilium.europa.eu/doc/document/ST-15876-2022-INIT/en/pdf</vt:lpwstr>
      </vt:variant>
      <vt:variant>
        <vt:lpwstr/>
      </vt:variant>
      <vt:variant>
        <vt:i4>7667830</vt:i4>
      </vt:variant>
      <vt:variant>
        <vt:i4>30</vt:i4>
      </vt:variant>
      <vt:variant>
        <vt:i4>0</vt:i4>
      </vt:variant>
      <vt:variant>
        <vt:i4>5</vt:i4>
      </vt:variant>
      <vt:variant>
        <vt:lpwstr>https://legal.un.org/ilc/texts/instruments/english/conventions/9_2_1963.pdf</vt:lpwstr>
      </vt:variant>
      <vt:variant>
        <vt:lpwstr/>
      </vt:variant>
      <vt:variant>
        <vt:i4>7012477</vt:i4>
      </vt:variant>
      <vt:variant>
        <vt:i4>27</vt:i4>
      </vt:variant>
      <vt:variant>
        <vt:i4>0</vt:i4>
      </vt:variant>
      <vt:variant>
        <vt:i4>5</vt:i4>
      </vt:variant>
      <vt:variant>
        <vt:lpwstr>http://data.europa.eu/eli/dec/2013/1313/oj</vt:lpwstr>
      </vt:variant>
      <vt:variant>
        <vt:lpwstr/>
      </vt:variant>
      <vt:variant>
        <vt:i4>4259855</vt:i4>
      </vt:variant>
      <vt:variant>
        <vt:i4>24</vt:i4>
      </vt:variant>
      <vt:variant>
        <vt:i4>0</vt:i4>
      </vt:variant>
      <vt:variant>
        <vt:i4>5</vt:i4>
      </vt:variant>
      <vt:variant>
        <vt:lpwstr>http://data.europa.eu/eli/dec/2010/427/oj</vt:lpwstr>
      </vt:variant>
      <vt:variant>
        <vt:lpwstr/>
      </vt:variant>
      <vt:variant>
        <vt:i4>4784149</vt:i4>
      </vt:variant>
      <vt:variant>
        <vt:i4>21</vt:i4>
      </vt:variant>
      <vt:variant>
        <vt:i4>0</vt:i4>
      </vt:variant>
      <vt:variant>
        <vt:i4>5</vt:i4>
      </vt:variant>
      <vt:variant>
        <vt:lpwstr>http://data.europa.eu/eli/dir/2019/997/oj</vt:lpwstr>
      </vt:variant>
      <vt:variant>
        <vt:lpwstr/>
      </vt:variant>
      <vt:variant>
        <vt:i4>3276911</vt:i4>
      </vt:variant>
      <vt:variant>
        <vt:i4>18</vt:i4>
      </vt:variant>
      <vt:variant>
        <vt:i4>0</vt:i4>
      </vt:variant>
      <vt:variant>
        <vt:i4>5</vt:i4>
      </vt:variant>
      <vt:variant>
        <vt:lpwstr>https://data.consilium.europa.eu/doc/document/ST-13619-2020-INIT/en/pdf</vt:lpwstr>
      </vt:variant>
      <vt:variant>
        <vt:lpwstr/>
      </vt:variant>
      <vt:variant>
        <vt:i4>196626</vt:i4>
      </vt:variant>
      <vt:variant>
        <vt:i4>15</vt:i4>
      </vt:variant>
      <vt:variant>
        <vt:i4>0</vt:i4>
      </vt:variant>
      <vt:variant>
        <vt:i4>5</vt:i4>
      </vt:variant>
      <vt:variant>
        <vt:lpwstr>https://eur-lex.europa.eu/legal-content/EN/TXT/?uri=CELEX:52022DC0437</vt:lpwstr>
      </vt:variant>
      <vt:variant>
        <vt:lpwstr/>
      </vt:variant>
      <vt:variant>
        <vt:i4>7143530</vt:i4>
      </vt:variant>
      <vt:variant>
        <vt:i4>12</vt:i4>
      </vt:variant>
      <vt:variant>
        <vt:i4>0</vt:i4>
      </vt:variant>
      <vt:variant>
        <vt:i4>5</vt:i4>
      </vt:variant>
      <vt:variant>
        <vt:lpwstr>https://data.consilium.europa.eu/doc/document/ST-7371-2022-INIT/en/pdf</vt:lpwstr>
      </vt:variant>
      <vt:variant>
        <vt:lpwstr/>
      </vt:variant>
      <vt:variant>
        <vt:i4>8257569</vt:i4>
      </vt:variant>
      <vt:variant>
        <vt:i4>9</vt:i4>
      </vt:variant>
      <vt:variant>
        <vt:i4>0</vt:i4>
      </vt:variant>
      <vt:variant>
        <vt:i4>5</vt:i4>
      </vt:variant>
      <vt:variant>
        <vt:lpwstr>https://eur-lex.europa.eu/legal-content/EN/TXT/?uri=CELEX%3A52022DC0404</vt:lpwstr>
      </vt:variant>
      <vt:variant>
        <vt:lpwstr/>
      </vt:variant>
      <vt:variant>
        <vt:i4>7995445</vt:i4>
      </vt:variant>
      <vt:variant>
        <vt:i4>6</vt:i4>
      </vt:variant>
      <vt:variant>
        <vt:i4>0</vt:i4>
      </vt:variant>
      <vt:variant>
        <vt:i4>5</vt:i4>
      </vt:variant>
      <vt:variant>
        <vt:lpwstr>https://eur-lex.europa.eu/legal-content/en/ALL/?uri=CELEX%3A52020DC0690</vt:lpwstr>
      </vt:variant>
      <vt:variant>
        <vt:lpwstr/>
      </vt:variant>
      <vt:variant>
        <vt:i4>4718595</vt:i4>
      </vt:variant>
      <vt:variant>
        <vt:i4>3</vt:i4>
      </vt:variant>
      <vt:variant>
        <vt:i4>0</vt:i4>
      </vt:variant>
      <vt:variant>
        <vt:i4>5</vt:i4>
      </vt:variant>
      <vt:variant>
        <vt:lpwstr>http://data.europa.eu/eli/dec/1995/553/oj</vt:lpwstr>
      </vt:variant>
      <vt:variant>
        <vt:lpwstr/>
      </vt:variant>
      <vt:variant>
        <vt:i4>4849695</vt:i4>
      </vt:variant>
      <vt:variant>
        <vt:i4>0</vt:i4>
      </vt:variant>
      <vt:variant>
        <vt:i4>0</vt:i4>
      </vt:variant>
      <vt:variant>
        <vt:i4>5</vt:i4>
      </vt:variant>
      <vt:variant>
        <vt:lpwstr>http://data.europa.eu/eli/dir/2015/637/oj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2023-11-29T08:46:00Z</dcterms:created>
  <dcterms:modified xsi:type="dcterms:W3CDTF">2024-01-17T22:15:00Z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2023-07-06T08:21:10Z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1d6b2046-8b5b-4e6f-b3b3-912bc9b343ae</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0x010100D920D94BF79903409A44EFD8C6ED4DE5</vt:lpwstr>
  </property>
  <property fmtid="{D5CDD505-2E9C-101B-9397-08002B2CF9AE}" pid="18" name="DQCStatus">
    <vt:lpwstr>Green (DQC version 03)</vt:lpwstr>
  </property>
  <property name="OP_sanitized" fmtid="{D5CDD505-2E9C-101B-9397-08002B2CF9AE}" pid="19">
    <vt:lpwstr>True</vt:lpwstr>
  </property>
</Properties>
</file>