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5235B" w14:textId="151968CB" w:rsidR="00194A52" w:rsidRPr="003D4DD8" w:rsidRDefault="00FA4475" w:rsidP="00FA4475">
      <w:pPr>
        <w:pStyle w:val="Pagedecouverture"/>
        <w:rPr>
          <w:noProof/>
        </w:rPr>
      </w:pPr>
      <w:r>
        <w:rPr>
          <w:noProof/>
        </w:rPr>
        <w:pict w14:anchorId="1C44FA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97CC23A8-18CA-4DB0-94BC-4EEC658CFE7F" style="width:455.25pt;height:383.25pt">
            <v:imagedata r:id="rId8" o:title=""/>
          </v:shape>
        </w:pict>
      </w:r>
    </w:p>
    <w:p w14:paraId="57DA44E8" w14:textId="77777777" w:rsidR="00194A52" w:rsidRPr="003D4DD8" w:rsidRDefault="00194A52" w:rsidP="00194A52">
      <w:pPr>
        <w:rPr>
          <w:noProof/>
        </w:rPr>
        <w:sectPr w:rsidR="00194A52" w:rsidRPr="003D4DD8" w:rsidSect="00FA4475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6B925304" w14:textId="77777777" w:rsidR="00194A52" w:rsidRPr="003D4DD8" w:rsidRDefault="00194A52" w:rsidP="00BB6B30">
      <w:pPr>
        <w:pStyle w:val="Exposdesmotifstitre"/>
        <w:rPr>
          <w:noProof/>
        </w:rPr>
      </w:pPr>
      <w:bookmarkStart w:id="0" w:name="_GoBack"/>
      <w:bookmarkEnd w:id="0"/>
      <w:r w:rsidRPr="003D4DD8">
        <w:rPr>
          <w:noProof/>
        </w:rPr>
        <w:lastRenderedPageBreak/>
        <w:t>MEMORANDUM TA’ SPJEGAZZJONI</w:t>
      </w:r>
    </w:p>
    <w:p w14:paraId="6787BF61" w14:textId="0787AD0B" w:rsidR="00194A52" w:rsidRPr="003D4DD8" w:rsidRDefault="00661397" w:rsidP="00661397">
      <w:pPr>
        <w:pStyle w:val="ManualHeading1"/>
        <w:rPr>
          <w:rFonts w:eastAsia="Arial Unicode MS"/>
          <w:noProof/>
        </w:rPr>
      </w:pPr>
      <w:r w:rsidRPr="00661397">
        <w:t>1.</w:t>
      </w:r>
      <w:r w:rsidRPr="00661397">
        <w:tab/>
      </w:r>
      <w:r w:rsidR="00194A52" w:rsidRPr="003D4DD8">
        <w:rPr>
          <w:noProof/>
        </w:rPr>
        <w:t>Suġġett tal-proposta</w:t>
      </w:r>
    </w:p>
    <w:p w14:paraId="5DC5E10D" w14:textId="77777777" w:rsidR="00194A52" w:rsidRPr="003D4DD8" w:rsidRDefault="00194A52" w:rsidP="00736AA9">
      <w:pPr>
        <w:rPr>
          <w:rFonts w:eastAsia="Arial Unicode MS"/>
          <w:noProof/>
        </w:rPr>
      </w:pPr>
      <w:r w:rsidRPr="003D4DD8">
        <w:rPr>
          <w:noProof/>
        </w:rPr>
        <w:t>Din il-proposta tikkonċerna d-deċiżjoni li tistabbilixxi l-pożizzjoni li għandha tittieħed f’isem l-Unjoni fil-Konvenzjoni dwar il-Konservazzjoni tal-Ispeċijiet Migratorji tal-Annimali Selvaġġi (CMS) b’rabta mat-tressiq ta’ proposti għad-deċiżjonijiet tal-erbatax-il laqgħa tal-Konferenza tal-Partijiet biex jiġu emendati l-Appendiċijiet ta’ dik il-Konvenzjoni.</w:t>
      </w:r>
    </w:p>
    <w:p w14:paraId="0B579062" w14:textId="0F2B3472" w:rsidR="00194A52" w:rsidRPr="003D4DD8" w:rsidRDefault="00661397" w:rsidP="00661397">
      <w:pPr>
        <w:pStyle w:val="ManualHeading1"/>
        <w:rPr>
          <w:noProof/>
        </w:rPr>
      </w:pPr>
      <w:r w:rsidRPr="00661397">
        <w:t>2.</w:t>
      </w:r>
      <w:r w:rsidRPr="00661397">
        <w:tab/>
      </w:r>
      <w:r w:rsidR="00194A52" w:rsidRPr="003D4DD8">
        <w:rPr>
          <w:noProof/>
        </w:rPr>
        <w:t>Kuntest tal-proposta</w:t>
      </w:r>
    </w:p>
    <w:p w14:paraId="394ABF37" w14:textId="23CD1F01" w:rsidR="00194A52" w:rsidRPr="003D4DD8" w:rsidRDefault="00661397" w:rsidP="00661397">
      <w:pPr>
        <w:pStyle w:val="ManualHeading2"/>
        <w:rPr>
          <w:noProof/>
        </w:rPr>
      </w:pPr>
      <w:r w:rsidRPr="00661397">
        <w:t>2.1.</w:t>
      </w:r>
      <w:r w:rsidRPr="00661397">
        <w:tab/>
      </w:r>
      <w:r w:rsidR="00194A52" w:rsidRPr="003D4DD8">
        <w:rPr>
          <w:noProof/>
        </w:rPr>
        <w:t>Il-Konvenzjoni dwar il-Konservazzjoni tal-Ispeċi Migratorji tal-Annimali Selvaġġi (CMS)</w:t>
      </w:r>
    </w:p>
    <w:p w14:paraId="039682FE" w14:textId="77777777" w:rsidR="00194A52" w:rsidRPr="003D4DD8" w:rsidRDefault="00194A52" w:rsidP="00736AA9">
      <w:pPr>
        <w:rPr>
          <w:rFonts w:eastAsia="Arial Unicode MS"/>
          <w:noProof/>
        </w:rPr>
      </w:pPr>
      <w:r w:rsidRPr="003D4DD8">
        <w:rPr>
          <w:noProof/>
        </w:rPr>
        <w:t>Il-Konvenzjoni dwar il-Konservazzjoni tal-Ispeċi Migratorji tal-Annimali Selvaġġi (“il-Konvenzjoni”) għandha l-għan li tikkonserva l-ispeċijiet migratorji tal-art, tal-baħar u avjarji f’kull parti tal-firxa tad-distribuzzjoni tagħhom.  Din tikkostitwixxi trattat intergovernattiv, konkluż taħt il-patroċinju tal-Programm tan-Nazzjonijiet Uniti għall-Ambjent, li jikkonċerna l-konservazzjoni tal-ħajja selvaġġa u tal-ħabitats fuq skala globali. L-ispeċijiet migratorji li għandhom jiġu kkonservati huma elenkati fl-Appendiċijiet I (speċijiet fil-periklu) u II (speċijiet li għandhom ikunu s-suġġetti ta’ ftehimiet) tal-Konvenzjoni. Il-Konvenzjoni daħlet fis-seħħ fl-1 ta’ Novembru1983.</w:t>
      </w:r>
    </w:p>
    <w:p w14:paraId="402BEDDD" w14:textId="77777777" w:rsidR="00194A52" w:rsidRPr="003D4DD8" w:rsidRDefault="00194A52" w:rsidP="00736AA9">
      <w:pPr>
        <w:rPr>
          <w:rFonts w:eastAsia="Arial Unicode MS"/>
          <w:noProof/>
        </w:rPr>
      </w:pPr>
      <w:r w:rsidRPr="003D4DD8">
        <w:rPr>
          <w:noProof/>
        </w:rPr>
        <w:t>L-Unjoni Ewropea hija parti għall-Konvenzjoni</w:t>
      </w:r>
      <w:r w:rsidRPr="003D4DD8">
        <w:rPr>
          <w:rStyle w:val="FootnoteReference"/>
          <w:rFonts w:eastAsia="Arial Unicode MS"/>
          <w:noProof/>
        </w:rPr>
        <w:footnoteReference w:id="1"/>
      </w:r>
      <w:r w:rsidRPr="003D4DD8">
        <w:rPr>
          <w:noProof/>
        </w:rPr>
        <w:t>.</w:t>
      </w:r>
    </w:p>
    <w:p w14:paraId="70511BD6" w14:textId="2D36A10C" w:rsidR="00194A52" w:rsidRPr="003D4DD8" w:rsidRDefault="00661397" w:rsidP="00661397">
      <w:pPr>
        <w:pStyle w:val="ManualHeading2"/>
        <w:rPr>
          <w:noProof/>
        </w:rPr>
      </w:pPr>
      <w:r w:rsidRPr="00661397">
        <w:t>2.2.</w:t>
      </w:r>
      <w:r w:rsidRPr="00661397">
        <w:tab/>
      </w:r>
      <w:r w:rsidR="00194A52" w:rsidRPr="003D4DD8">
        <w:rPr>
          <w:noProof/>
        </w:rPr>
        <w:t>Il-Konferenza tal-Partijiet</w:t>
      </w:r>
    </w:p>
    <w:p w14:paraId="72A5D7CD" w14:textId="77777777" w:rsidR="00A735ED" w:rsidRPr="003D4DD8" w:rsidRDefault="00194A52" w:rsidP="00736AA9">
      <w:pPr>
        <w:rPr>
          <w:noProof/>
        </w:rPr>
      </w:pPr>
      <w:r w:rsidRPr="003D4DD8">
        <w:rPr>
          <w:noProof/>
        </w:rPr>
        <w:t xml:space="preserve">Il-Konferenza tal-Partijiet hija korp tat-teħid tad-deċiżjonijiet tal-Konvenzjoni u għandha s-setgħat li tivvaluta l-istat ta’ konservazzjoni tal-ispeċijiet migratorji u, sussegwentement, li temenda l-Appendiċijiet I u II tal-Konvenzjoni. F’konformità mal-Artikolu XI tal-Konvenzjoni, il-proposti għal emenda jistgħu jsiru minn kwalunkwe Parti, u għandhom jiġu adottati minn maġġoranza ta’ żewġ terzi tal-Partijiet preżenti u li jivvutaw. </w:t>
      </w:r>
    </w:p>
    <w:p w14:paraId="5F54C570" w14:textId="77777777" w:rsidR="00194A52" w:rsidRPr="003D4DD8" w:rsidRDefault="005D0BB4" w:rsidP="00736AA9">
      <w:pPr>
        <w:rPr>
          <w:noProof/>
        </w:rPr>
      </w:pPr>
      <w:r w:rsidRPr="003D4DD8">
        <w:rPr>
          <w:noProof/>
        </w:rPr>
        <w:t xml:space="preserve">L-erbatax-il laqgħa tal-Konferenza tal-Partijiet se ssir f’Samarkand (l-Użbekistan) mit-23 sat-28 ta’ Ottubru 2023. F’konformità mal-Artikolu XI (3), is-Segretarjat tal-Konvenzjoni stabbilixxa d-data tas-26 ta’ Mejju 2023 bħala l-iskadenza għat-tressiq tal-proposti għal emendi. Għalhekk huwa meħtieġ li l-Kunsill jieħu deċiżjoni bil-għan </w:t>
      </w:r>
      <w:bookmarkStart w:id="1" w:name="_Hlk117665995"/>
      <w:r w:rsidRPr="003D4DD8">
        <w:rPr>
          <w:noProof/>
        </w:rPr>
        <w:t>li tiġi stabbilita l-pożizzjoni li għandha tiġi adottata f’isem l-Unjoni b’rabta mat-tressiq tal-proposti għal emenda fil-kuntest tal-erbatax-il laqgħa tal-Konferenza tal-Partijiet.</w:t>
      </w:r>
    </w:p>
    <w:bookmarkEnd w:id="1"/>
    <w:p w14:paraId="52273E2A" w14:textId="77777777" w:rsidR="005D0BB4" w:rsidRPr="003D4DD8" w:rsidRDefault="005D0BB4" w:rsidP="00736AA9">
      <w:pPr>
        <w:rPr>
          <w:rFonts w:eastAsia="Arial Unicode MS"/>
          <w:noProof/>
        </w:rPr>
      </w:pPr>
      <w:r w:rsidRPr="003D4DD8">
        <w:rPr>
          <w:noProof/>
        </w:rPr>
        <w:t>Qabel l-erbatax-il laqgħa tal-Konferenza tal-Partijiet, is-Segretarjat tal-Konvenzjoni jista’ jikkomunika proposti li jkunu saru minn Partijiet oħra sabiex jiġu emendati l-Appendiċijiet I u II tal-Konvenzjoni, li jistgħu jeħtieġu deċiżjoni ulterjuri biex tiġi stabbilita l-pożizzjoni li għandha tiġi adottata f’isem l-Unjoni fir-rigward ta’ dawk il-proposti.</w:t>
      </w:r>
    </w:p>
    <w:p w14:paraId="4688C15A" w14:textId="7F384832" w:rsidR="00194A52" w:rsidRPr="003D4DD8" w:rsidRDefault="00661397" w:rsidP="00661397">
      <w:pPr>
        <w:pStyle w:val="ManualHeading2"/>
        <w:rPr>
          <w:noProof/>
        </w:rPr>
      </w:pPr>
      <w:r w:rsidRPr="00661397">
        <w:t>2.3.</w:t>
      </w:r>
      <w:r w:rsidRPr="00661397">
        <w:tab/>
      </w:r>
      <w:r w:rsidR="00194A52" w:rsidRPr="003D4DD8">
        <w:rPr>
          <w:noProof/>
        </w:rPr>
        <w:t xml:space="preserve">L-att previst tal-Konferenza tal-Partijiet </w:t>
      </w:r>
    </w:p>
    <w:p w14:paraId="076E6959" w14:textId="5D051AE1" w:rsidR="00194A52" w:rsidRPr="003D4DD8" w:rsidRDefault="005D0BB4" w:rsidP="00736AA9">
      <w:pPr>
        <w:rPr>
          <w:rFonts w:eastAsia="Arial Unicode MS"/>
          <w:noProof/>
        </w:rPr>
      </w:pPr>
      <w:r w:rsidRPr="003D4DD8">
        <w:rPr>
          <w:noProof/>
        </w:rPr>
        <w:t>Għall-erbatax-il laqgħa tal-Konferenza tal-Partijiet, huwa propost li l-Unjoni tressaq proposta biex l-Appendiċi I tal-Konvenzjoni jiġi emendat biex tiżdied il-protezzjoni ta’ speċi waħda ta’ ċetaċji, id-denfil iswed tal-Baltiku Ċentrali (</w:t>
      </w:r>
      <w:r w:rsidRPr="003D4DD8">
        <w:rPr>
          <w:i/>
          <w:iCs/>
          <w:noProof/>
        </w:rPr>
        <w:t>Phocoena phocoena</w:t>
      </w:r>
      <w:r w:rsidRPr="003D4DD8">
        <w:rPr>
          <w:noProof/>
        </w:rPr>
        <w:t xml:space="preserve">), tul il-firxa kollha tad-distribuzzjoni tiegħu, inkluż barra mill-Unjoni.  </w:t>
      </w:r>
    </w:p>
    <w:p w14:paraId="31CC3208" w14:textId="77777777" w:rsidR="00194A52" w:rsidRPr="003D4DD8" w:rsidRDefault="000109AC" w:rsidP="00736AA9">
      <w:pPr>
        <w:rPr>
          <w:rFonts w:eastAsia="Arial Unicode MS"/>
          <w:noProof/>
        </w:rPr>
      </w:pPr>
      <w:r w:rsidRPr="003D4DD8">
        <w:rPr>
          <w:noProof/>
        </w:rPr>
        <w:t xml:space="preserve">Jekk jiġi adottat, l-att previst se jsir vinkolanti għall-Partijiet f’konformità mal-Artikolu XI tal-Konvenzjoni, li jipprevedi li “l-emenda għall-Appendiċi għandha tidħol fis-seħħ għall-Partijiet kollha disgħin jum wara l-laqgħa tal-Konferenza tal-Partijiet li fiha tkun adottata, apparti għal dawk il-Partijiet li jkunu wrew riserva b’konformità mal-paragrafu 6 ta’ dan l-Artikolu”. </w:t>
      </w:r>
    </w:p>
    <w:p w14:paraId="01A82750" w14:textId="66EBCD85" w:rsidR="00194A52" w:rsidRPr="003D4DD8" w:rsidRDefault="00661397" w:rsidP="00661397">
      <w:pPr>
        <w:pStyle w:val="ManualHeading1"/>
        <w:rPr>
          <w:rFonts w:eastAsia="Arial Unicode MS"/>
          <w:noProof/>
        </w:rPr>
      </w:pPr>
      <w:r w:rsidRPr="00661397">
        <w:t>3.</w:t>
      </w:r>
      <w:r w:rsidRPr="00661397">
        <w:tab/>
      </w:r>
      <w:r w:rsidR="00194A52" w:rsidRPr="003D4DD8">
        <w:rPr>
          <w:noProof/>
        </w:rPr>
        <w:t>Pożizzjoni li għandha tittieħed f’isem l-Unjoni</w:t>
      </w:r>
    </w:p>
    <w:p w14:paraId="2AF8E9B4" w14:textId="725BE030" w:rsidR="000109AC" w:rsidRPr="003D4DD8" w:rsidRDefault="000109AC" w:rsidP="00736AA9">
      <w:pPr>
        <w:rPr>
          <w:noProof/>
        </w:rPr>
      </w:pPr>
      <w:r w:rsidRPr="003D4DD8">
        <w:rPr>
          <w:noProof/>
        </w:rPr>
        <w:t xml:space="preserve">Il-proposta tal-Unjoni biex jiġi emendat l-Appendiċi I hija msejsa fuq il-kunsiderazzjonijiet li ġejjin: </w:t>
      </w:r>
      <w:r w:rsidR="00793806">
        <w:rPr>
          <w:noProof/>
        </w:rPr>
        <w:t>(</w:t>
      </w:r>
      <w:r w:rsidRPr="003D4DD8">
        <w:rPr>
          <w:noProof/>
        </w:rPr>
        <w:t xml:space="preserve">1) l-inklużjoni ta’ dawn l-ispeċijiet hija xjentifikament soda; </w:t>
      </w:r>
      <w:r w:rsidR="00793806">
        <w:rPr>
          <w:noProof/>
        </w:rPr>
        <w:t>(</w:t>
      </w:r>
      <w:r w:rsidRPr="003D4DD8">
        <w:rPr>
          <w:noProof/>
        </w:rPr>
        <w:t>2) din l-inklużjoni hija konsistenti mal-leġiżlazzjoni tal-UE; u (3) l-Unjoni hija impenjata fil-kooperazzjoni internazzjonali għall-protezzjoni tal-bijodiversità.</w:t>
      </w:r>
    </w:p>
    <w:p w14:paraId="2A2A565D" w14:textId="77777777" w:rsidR="00902D88" w:rsidRPr="003D4DD8" w:rsidRDefault="007374D8" w:rsidP="00902D88">
      <w:pPr>
        <w:rPr>
          <w:noProof/>
          <w:sz w:val="22"/>
        </w:rPr>
      </w:pPr>
      <w:r w:rsidRPr="003D4DD8">
        <w:rPr>
          <w:noProof/>
        </w:rPr>
        <w:t>Il-proposta hija konsistenti mat-Tmien Programm ta’ Azzjoni Ambjentali sal-2030</w:t>
      </w:r>
      <w:r w:rsidRPr="003D4DD8">
        <w:rPr>
          <w:rStyle w:val="FootnoteReference"/>
          <w:noProof/>
        </w:rPr>
        <w:footnoteReference w:id="2"/>
      </w:r>
      <w:r w:rsidRPr="003D4DD8">
        <w:rPr>
          <w:noProof/>
        </w:rPr>
        <w:t xml:space="preserve"> u mal-Istrateġija tal-UE għall-Bijodiversità għall-2030</w:t>
      </w:r>
      <w:r w:rsidRPr="003D4DD8">
        <w:rPr>
          <w:rStyle w:val="FootnoteReference"/>
          <w:noProof/>
        </w:rPr>
        <w:footnoteReference w:id="3"/>
      </w:r>
      <w:r w:rsidRPr="003D4DD8">
        <w:rPr>
          <w:noProof/>
        </w:rPr>
        <w:t xml:space="preserve">, speċjalment l-impenn ewlieni 14 tal-Pjan tal-UE għar-Restawr tan-Natura li permezz tiegħu </w:t>
      </w:r>
      <w:r w:rsidRPr="003D4DD8">
        <w:rPr>
          <w:i/>
          <w:iCs/>
          <w:noProof/>
        </w:rPr>
        <w:t>l-qbid inċidentali ta’ speċijiet jixxejjen jew jitnaqqas għal livell li jippermetti l-irkupru u l-konservazzjoni tal-ispeċijiet.</w:t>
      </w:r>
      <w:r w:rsidRPr="003D4DD8">
        <w:rPr>
          <w:noProof/>
        </w:rPr>
        <w:t xml:space="preserve"> Din il-proposta ma teħtieġ l-ebda bidla fid-dritt tal-Unjoni, peress li tikkonċerna speċijiet li diġà jibbenefikaw minn protezzjoni xierqa skont id-dritt tal-Unjoni, b’mod partikolari fil-qafas tad-Direttiva tal-UE dwar il-Ħabitats</w:t>
      </w:r>
      <w:r w:rsidRPr="003D4DD8">
        <w:rPr>
          <w:rStyle w:val="FootnoteReference"/>
          <w:noProof/>
        </w:rPr>
        <w:footnoteReference w:id="4"/>
      </w:r>
      <w:r w:rsidRPr="003D4DD8">
        <w:rPr>
          <w:noProof/>
        </w:rPr>
        <w:t xml:space="preserve"> (li tipprojbixxi l-qbid jew il-qtil taċ-ċetaċji fl-UE) u fil-qafas tal-Politika Komuni tas-Sajd tal-UE</w:t>
      </w:r>
      <w:r w:rsidRPr="003D4DD8">
        <w:rPr>
          <w:rStyle w:val="FootnoteReference"/>
          <w:noProof/>
        </w:rPr>
        <w:footnoteReference w:id="5"/>
      </w:r>
      <w:r w:rsidRPr="003D4DD8">
        <w:rPr>
          <w:noProof/>
        </w:rPr>
        <w:t>. Fil-21 ta’ Frar 2023, il-Kummissjoni Ewropea adottat il-“Pjan ta’ Azzjoni tal-UE: Nipproteġu u nirrestawraw l-ekosistemi tal-baħar għal sajd sostenibbli u reżiljenti”, li jirriżulta mill-Istrateġija tal-UE għall-Bijodiversità għall-2030, li tistieden lill-Istati Membri tal-UE jadottaw jew jirrakkomandaw miżuri biex jimminimizzaw il-qabdiet aċċessorji tad-denfil iswed tal-Baħar Baltiku (jew inaqqsuh għal-livell li jippermetti l-irkupru sħiħ tal-popolazzjoni)</w:t>
      </w:r>
      <w:r w:rsidRPr="003D4DD8">
        <w:rPr>
          <w:rStyle w:val="FootnoteReference"/>
          <w:noProof/>
        </w:rPr>
        <w:footnoteReference w:id="6"/>
      </w:r>
      <w:r w:rsidRPr="003D4DD8">
        <w:rPr>
          <w:noProof/>
        </w:rPr>
        <w:t>.</w:t>
      </w:r>
      <w:r w:rsidRPr="003D4DD8">
        <w:rPr>
          <w:noProof/>
          <w:sz w:val="22"/>
          <w:vertAlign w:val="superscript"/>
        </w:rPr>
        <w:t xml:space="preserve"> </w:t>
      </w:r>
    </w:p>
    <w:p w14:paraId="35400710" w14:textId="77777777" w:rsidR="00F131BE" w:rsidRPr="003D4DD8" w:rsidRDefault="007374D8" w:rsidP="00736AA9">
      <w:pPr>
        <w:rPr>
          <w:noProof/>
        </w:rPr>
      </w:pPr>
      <w:r w:rsidRPr="003D4DD8">
        <w:rPr>
          <w:noProof/>
        </w:rPr>
        <w:t>Il-proposta ma toħloq l-ebda rekwiżit ġdid ta’ monitoraġġ jew ta’ rapportar. L-ippjanar u l-monitoraġġ kollu tal-implimentazzjoni se jkunu parti mill-attivitajiet regolari tal-ippjanar u tar-rapportar fil-qafas ta’ din il-Konvenzjoni. Barra minn hekk, ma hemm l-ebda implikazzjoni baġitarja.</w:t>
      </w:r>
    </w:p>
    <w:p w14:paraId="745BC7C4" w14:textId="77777777" w:rsidR="00F131BE" w:rsidRPr="003D4DD8" w:rsidRDefault="00F131BE" w:rsidP="00736AA9">
      <w:pPr>
        <w:rPr>
          <w:noProof/>
          <w:sz w:val="22"/>
        </w:rPr>
      </w:pPr>
      <w:r w:rsidRPr="003D4DD8">
        <w:rPr>
          <w:noProof/>
        </w:rPr>
        <w:t>Sar skambju informali ta’ fehmiet preliminari mal-Istati Membri permezz ta’ konsultazzjoni bil-miktub mal-membri tal-Istati Membri tal-Pjattaforma tal-UE għall-Bijodiversità (EUBP).</w:t>
      </w:r>
      <w:r w:rsidRPr="003D4DD8">
        <w:rPr>
          <w:noProof/>
          <w:sz w:val="22"/>
        </w:rPr>
        <w:t xml:space="preserve"> </w:t>
      </w:r>
    </w:p>
    <w:p w14:paraId="000B8F53" w14:textId="77777777" w:rsidR="0028453A" w:rsidRPr="003D4DD8" w:rsidRDefault="0028453A" w:rsidP="00736AA9">
      <w:pPr>
        <w:rPr>
          <w:noProof/>
          <w:szCs w:val="24"/>
        </w:rPr>
      </w:pPr>
      <w:r w:rsidRPr="003D4DD8">
        <w:rPr>
          <w:noProof/>
        </w:rPr>
        <w:t>Għalhekk jenħtieġ li l-pożizzjoni li għandha tittieħed f’isem l-Unjoni tkun li tawtorizza lill-Kummissjoni tressaq il-proposti msemmija hawn fuq lis-Segretarjat tal-Konvenzjoni.</w:t>
      </w:r>
    </w:p>
    <w:p w14:paraId="5686083E" w14:textId="0CEC7908" w:rsidR="00194A52" w:rsidRPr="003D4DD8" w:rsidRDefault="00661397" w:rsidP="00661397">
      <w:pPr>
        <w:pStyle w:val="ManualHeading1"/>
        <w:rPr>
          <w:noProof/>
        </w:rPr>
      </w:pPr>
      <w:r w:rsidRPr="00661397">
        <w:t>4.</w:t>
      </w:r>
      <w:r w:rsidRPr="00661397">
        <w:tab/>
      </w:r>
      <w:r w:rsidR="00194A52" w:rsidRPr="003D4DD8">
        <w:rPr>
          <w:noProof/>
        </w:rPr>
        <w:t>Bażi ġuridika</w:t>
      </w:r>
    </w:p>
    <w:p w14:paraId="6EF708FD" w14:textId="102C41FE" w:rsidR="00194A52" w:rsidRPr="003D4DD8" w:rsidRDefault="00661397" w:rsidP="00661397">
      <w:pPr>
        <w:pStyle w:val="ManualHeading2"/>
        <w:rPr>
          <w:noProof/>
        </w:rPr>
      </w:pPr>
      <w:r w:rsidRPr="00661397">
        <w:t>4.1.</w:t>
      </w:r>
      <w:r w:rsidRPr="00661397">
        <w:tab/>
      </w:r>
      <w:r w:rsidR="00194A52" w:rsidRPr="003D4DD8">
        <w:rPr>
          <w:noProof/>
        </w:rPr>
        <w:t>Bażi ġuridika proċedurali</w:t>
      </w:r>
    </w:p>
    <w:p w14:paraId="1620D0EB" w14:textId="094DFE95" w:rsidR="00194A52" w:rsidRPr="003D4DD8" w:rsidRDefault="00661397" w:rsidP="00661397">
      <w:pPr>
        <w:pStyle w:val="ManualHeading3"/>
        <w:rPr>
          <w:noProof/>
        </w:rPr>
      </w:pPr>
      <w:r w:rsidRPr="00661397">
        <w:t>4.1.1.</w:t>
      </w:r>
      <w:r w:rsidRPr="00661397">
        <w:tab/>
      </w:r>
      <w:r w:rsidR="00194A52" w:rsidRPr="003D4DD8">
        <w:rPr>
          <w:noProof/>
        </w:rPr>
        <w:t>Prinċipji</w:t>
      </w:r>
    </w:p>
    <w:p w14:paraId="03FB765B" w14:textId="77777777" w:rsidR="00194A52" w:rsidRPr="003D4DD8" w:rsidRDefault="00194A52" w:rsidP="00736AA9">
      <w:pPr>
        <w:rPr>
          <w:noProof/>
        </w:rPr>
      </w:pPr>
      <w:r w:rsidRPr="003D4DD8">
        <w:rPr>
          <w:noProof/>
        </w:rPr>
        <w:t>L-Artikolu 218(9) tat-Trattat dwar il-Funzjonament tal-Unjoni Ewropea (it-TFUE) jipprevedi deċiżjonijiet li jistabbilixxu “</w:t>
      </w:r>
      <w:r w:rsidRPr="003D4DD8">
        <w:rPr>
          <w:i/>
          <w:iCs/>
          <w:noProof/>
        </w:rPr>
        <w:t>il-pożizzjonijiet li għandhom jiġu adottati f’isem l-Unjoni f’sede stabbilita fi ftehim, meta dik is-sede tintalab tadotta atti li jkollhom effetti legali, sakemm dawn ma jkunux atti li jissupplimentaw jew jemendaw il-qafas istituzzjonali tal-ftehim.</w:t>
      </w:r>
      <w:r w:rsidRPr="003D4DD8">
        <w:rPr>
          <w:noProof/>
        </w:rPr>
        <w:t>”</w:t>
      </w:r>
    </w:p>
    <w:p w14:paraId="60F83043" w14:textId="77777777" w:rsidR="00194A52" w:rsidRPr="003D4DD8" w:rsidRDefault="00194A52" w:rsidP="00736AA9">
      <w:pPr>
        <w:rPr>
          <w:noProof/>
        </w:rPr>
      </w:pPr>
      <w:r w:rsidRPr="003D4DD8">
        <w:rPr>
          <w:noProof/>
        </w:rPr>
        <w:t>Il-kunċett ta’ “</w:t>
      </w:r>
      <w:r w:rsidRPr="003D4DD8">
        <w:rPr>
          <w:i/>
          <w:iCs/>
          <w:noProof/>
        </w:rPr>
        <w:t>atti li jkollhom effetti legali</w:t>
      </w:r>
      <w:r w:rsidRPr="003D4DD8">
        <w:rPr>
          <w:noProof/>
        </w:rPr>
        <w:t>” jinkludi l-atti li għandhom effetti legali bis-saħħa tar-regoli tad-dritt internazzjonali li jirregolaw il-korp inkwistjoni. Dan jinkludi strumenti li ma għandhomx effett vinkolanti skont id-dritt internazzjonali, iżda li “</w:t>
      </w:r>
      <w:r w:rsidRPr="003D4DD8">
        <w:rPr>
          <w:i/>
          <w:iCs/>
          <w:noProof/>
        </w:rPr>
        <w:t>jistgħu jinfluwenzaw b’mod determinanti l-kontenut tal-leġiżlazzjoni adottata mil-leġiżlatura tal-Unjoni</w:t>
      </w:r>
      <w:r w:rsidRPr="003D4DD8">
        <w:rPr>
          <w:noProof/>
        </w:rPr>
        <w:t>”</w:t>
      </w:r>
      <w:r w:rsidRPr="003D4DD8">
        <w:rPr>
          <w:rStyle w:val="FootnoteReference"/>
          <w:noProof/>
        </w:rPr>
        <w:footnoteReference w:id="7"/>
      </w:r>
      <w:r w:rsidRPr="003D4DD8">
        <w:rPr>
          <w:noProof/>
        </w:rPr>
        <w:t>.</w:t>
      </w:r>
    </w:p>
    <w:p w14:paraId="2C6064D1" w14:textId="55571859" w:rsidR="00194A52" w:rsidRPr="003D4DD8" w:rsidRDefault="00661397" w:rsidP="00661397">
      <w:pPr>
        <w:pStyle w:val="ManualHeading3"/>
        <w:rPr>
          <w:noProof/>
        </w:rPr>
      </w:pPr>
      <w:r w:rsidRPr="00661397">
        <w:t>4.1.2.</w:t>
      </w:r>
      <w:r w:rsidRPr="00661397">
        <w:tab/>
      </w:r>
      <w:r w:rsidR="00194A52" w:rsidRPr="003D4DD8">
        <w:rPr>
          <w:noProof/>
        </w:rPr>
        <w:t>Applikazzjoni għall-każ preżenti</w:t>
      </w:r>
    </w:p>
    <w:p w14:paraId="09085DAD" w14:textId="77777777" w:rsidR="00194A52" w:rsidRPr="003D4DD8" w:rsidRDefault="00194A52" w:rsidP="00736AA9">
      <w:pPr>
        <w:rPr>
          <w:noProof/>
        </w:rPr>
      </w:pPr>
      <w:r w:rsidRPr="003D4DD8">
        <w:rPr>
          <w:noProof/>
        </w:rPr>
        <w:t>Il-Konferenza tal-Partijiet hija korp stabbilit bi ftehim, jiġifieri l-Konvenzjoni dwar il-Konservazzjoni tal-Ispeċi Migratorji tal-Annimali Selvaġġi (CMS).</w:t>
      </w:r>
    </w:p>
    <w:p w14:paraId="20FE6EB8" w14:textId="77777777" w:rsidR="00194A52" w:rsidRPr="00CD6BD5" w:rsidRDefault="00194A52" w:rsidP="00736AA9">
      <w:r w:rsidRPr="003D4DD8">
        <w:rPr>
          <w:noProof/>
        </w:rPr>
        <w:t xml:space="preserve">L-att li l-Konferenza tal-Partijiet qed tintalab tadotta huwa att li għandu effetti legali. L-att previst se jkun vinkolanti skont id-dritt internazzjonali f’konformità mal-Artikolu XI tal-Konvenzjoni dwar il-Konservazzjoni tal-Ispeċi Migratorji tal-Annimali Selvaġġi. </w:t>
      </w:r>
    </w:p>
    <w:p w14:paraId="5BEA5D83" w14:textId="77777777" w:rsidR="00194A52" w:rsidRPr="003D4DD8" w:rsidRDefault="00194A52" w:rsidP="00736AA9">
      <w:pPr>
        <w:rPr>
          <w:noProof/>
        </w:rPr>
      </w:pPr>
      <w:r w:rsidRPr="003D4DD8">
        <w:rPr>
          <w:noProof/>
        </w:rPr>
        <w:t>L-att previst la jissupplimenta u lanqas jemenda l-qafas istituzzjonali tal-Konvenzjoni.</w:t>
      </w:r>
    </w:p>
    <w:p w14:paraId="49124E2B" w14:textId="77777777" w:rsidR="00194A52" w:rsidRPr="003D4DD8" w:rsidRDefault="00194A52" w:rsidP="00736AA9">
      <w:pPr>
        <w:rPr>
          <w:noProof/>
        </w:rPr>
      </w:pPr>
      <w:r w:rsidRPr="003D4DD8">
        <w:rPr>
          <w:noProof/>
        </w:rPr>
        <w:t>Għalhekk, il-bażi ġuridika proċedurali għad-Deċiżjoni proposta hija l-Artikolu 218(9) tat-TFUE.</w:t>
      </w:r>
    </w:p>
    <w:p w14:paraId="5E4DB0D2" w14:textId="021E094A" w:rsidR="00194A52" w:rsidRPr="003D4DD8" w:rsidRDefault="00661397" w:rsidP="00661397">
      <w:pPr>
        <w:pStyle w:val="ManualHeading2"/>
        <w:rPr>
          <w:noProof/>
        </w:rPr>
      </w:pPr>
      <w:r w:rsidRPr="00661397">
        <w:t>4.2.</w:t>
      </w:r>
      <w:r w:rsidRPr="00661397">
        <w:tab/>
      </w:r>
      <w:r w:rsidR="00194A52" w:rsidRPr="003D4DD8">
        <w:rPr>
          <w:noProof/>
        </w:rPr>
        <w:t>Bażi ġuridika sostantiva</w:t>
      </w:r>
    </w:p>
    <w:p w14:paraId="65854306" w14:textId="171E57E1" w:rsidR="00194A52" w:rsidRPr="003D4DD8" w:rsidRDefault="00661397" w:rsidP="00661397">
      <w:pPr>
        <w:pStyle w:val="ManualHeading3"/>
        <w:rPr>
          <w:noProof/>
        </w:rPr>
      </w:pPr>
      <w:r w:rsidRPr="00661397">
        <w:t>4.2.1.</w:t>
      </w:r>
      <w:r w:rsidRPr="00661397">
        <w:tab/>
      </w:r>
      <w:r w:rsidR="00194A52" w:rsidRPr="003D4DD8">
        <w:rPr>
          <w:noProof/>
        </w:rPr>
        <w:t>Prinċipji</w:t>
      </w:r>
    </w:p>
    <w:p w14:paraId="44693C1C" w14:textId="77777777" w:rsidR="00194A52" w:rsidRPr="003D4DD8" w:rsidRDefault="00194A52" w:rsidP="00736AA9">
      <w:pPr>
        <w:rPr>
          <w:noProof/>
        </w:rPr>
      </w:pPr>
      <w:r w:rsidRPr="003D4DD8">
        <w:rPr>
          <w:noProof/>
        </w:rPr>
        <w:t>Il-bażi ġuridika sostantiva biex tittieħed deċiżjoni skont l-Artikolu 218(9) tat-TFUE tiddependi primarjament mill-objettiv u mill-kontenut tal-att previst li fir-rigward tagħhom tittieħed pożizzjoni f’isem l-Unjoni. Jekk l-att previst ikollu żewġ għanijiet jew ikollu żewġ komponenti, u jekk wieħed minn dawk l-għanijiet jew komponenti jkun jista’ jiġi identifikat bħala dak ewlieni, filwaqt li l-ieħor ikun sempliċement inċidentali, id-deċiżjoni skont l-Artikolu 218(9) tat-TFUE trid tissejjes fuq bażi ġuridika sostantiva unika, jiġifieri dik meħtieġa mill-għan jew mill-komponent ewlieni jew predominanti.</w:t>
      </w:r>
    </w:p>
    <w:p w14:paraId="1433CC7A" w14:textId="22078FA4" w:rsidR="00194A52" w:rsidRPr="003D4DD8" w:rsidRDefault="00661397" w:rsidP="00661397">
      <w:pPr>
        <w:pStyle w:val="ManualHeading3"/>
        <w:rPr>
          <w:noProof/>
        </w:rPr>
      </w:pPr>
      <w:r w:rsidRPr="00661397">
        <w:t>4.2.2.</w:t>
      </w:r>
      <w:r w:rsidRPr="00661397">
        <w:tab/>
      </w:r>
      <w:r w:rsidR="00194A52" w:rsidRPr="003D4DD8">
        <w:rPr>
          <w:noProof/>
        </w:rPr>
        <w:t>Applikazzjoni għall-każ preżenti</w:t>
      </w:r>
    </w:p>
    <w:p w14:paraId="223810AE" w14:textId="77777777" w:rsidR="00194A52" w:rsidRPr="003D4DD8" w:rsidRDefault="00194A52" w:rsidP="00736AA9">
      <w:pPr>
        <w:rPr>
          <w:noProof/>
        </w:rPr>
      </w:pPr>
      <w:r w:rsidRPr="003D4DD8">
        <w:rPr>
          <w:noProof/>
        </w:rPr>
        <w:t>L-objettiv u l-kontenut ewlenin tal-att previst huma marbuta mal-ambjent.</w:t>
      </w:r>
    </w:p>
    <w:p w14:paraId="5BE4AB11" w14:textId="77777777" w:rsidR="00194A52" w:rsidRPr="003D4DD8" w:rsidRDefault="00194A52" w:rsidP="00736AA9">
      <w:pPr>
        <w:rPr>
          <w:i/>
          <w:noProof/>
        </w:rPr>
      </w:pPr>
      <w:r w:rsidRPr="003D4DD8">
        <w:rPr>
          <w:noProof/>
        </w:rPr>
        <w:t>Għaldaqstant, il-bażi ġuridika sostantiva tad-deċiżjoni proposta hija l-Artikolu 192(1).</w:t>
      </w:r>
    </w:p>
    <w:p w14:paraId="6E838C6E" w14:textId="2D3D4186" w:rsidR="00194A52" w:rsidRPr="003D4DD8" w:rsidRDefault="00661397" w:rsidP="00661397">
      <w:pPr>
        <w:pStyle w:val="ManualHeading2"/>
        <w:rPr>
          <w:noProof/>
        </w:rPr>
      </w:pPr>
      <w:r w:rsidRPr="00661397">
        <w:t>4.3.</w:t>
      </w:r>
      <w:r w:rsidRPr="00661397">
        <w:tab/>
      </w:r>
      <w:r w:rsidR="00194A52" w:rsidRPr="003D4DD8">
        <w:rPr>
          <w:noProof/>
        </w:rPr>
        <w:t>Konklużjoni</w:t>
      </w:r>
    </w:p>
    <w:p w14:paraId="47AF4F52" w14:textId="77777777" w:rsidR="00194A52" w:rsidRPr="003D4DD8" w:rsidRDefault="00194A52" w:rsidP="00736AA9">
      <w:pPr>
        <w:rPr>
          <w:noProof/>
        </w:rPr>
      </w:pPr>
      <w:r w:rsidRPr="003D4DD8">
        <w:rPr>
          <w:noProof/>
        </w:rPr>
        <w:t>Jenħtieġ li l-bażi ġuridika tad-deċiżjoni proposta tkun l-Artikolu 192(1), flimkien mal-Artikolu 218(9) tat-TFUE.</w:t>
      </w:r>
    </w:p>
    <w:p w14:paraId="2B82E444" w14:textId="77777777" w:rsidR="00194A52" w:rsidRPr="003D4DD8" w:rsidRDefault="00194A52" w:rsidP="00FD40BA">
      <w:pPr>
        <w:rPr>
          <w:noProof/>
        </w:rPr>
        <w:sectPr w:rsidR="00194A52" w:rsidRPr="003D4DD8" w:rsidSect="00FA4475">
          <w:footerReference w:type="default" r:id="rId10"/>
          <w:footerReference w:type="first" r:id="rId11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4B29EA50" w14:textId="26FA3B9B" w:rsidR="005B3707" w:rsidRDefault="005B3707" w:rsidP="005B3707">
      <w:pPr>
        <w:pStyle w:val="Rfrenceinterinstitutionnelle"/>
        <w:rPr>
          <w:noProof/>
        </w:rPr>
      </w:pPr>
      <w:r w:rsidRPr="005B3707">
        <w:t>2023/0074 (NLE)</w:t>
      </w:r>
    </w:p>
    <w:p w14:paraId="577BD89F" w14:textId="75AB640B" w:rsidR="00194A52" w:rsidRPr="003D4DD8" w:rsidRDefault="003D4DD8" w:rsidP="003D4DD8">
      <w:pPr>
        <w:pStyle w:val="Statut"/>
        <w:rPr>
          <w:noProof/>
        </w:rPr>
      </w:pPr>
      <w:r w:rsidRPr="003D4DD8">
        <w:rPr>
          <w:noProof/>
        </w:rPr>
        <w:t>Proposta għal</w:t>
      </w:r>
    </w:p>
    <w:p w14:paraId="45323662" w14:textId="425AE01C" w:rsidR="00194A52" w:rsidRPr="003D4DD8" w:rsidRDefault="003D4DD8" w:rsidP="003D4DD8">
      <w:pPr>
        <w:pStyle w:val="Typedudocument"/>
        <w:rPr>
          <w:noProof/>
        </w:rPr>
      </w:pPr>
      <w:r w:rsidRPr="003D4DD8">
        <w:rPr>
          <w:noProof/>
        </w:rPr>
        <w:t>DEĊIŻJONI TAL-KUNSILL</w:t>
      </w:r>
    </w:p>
    <w:p w14:paraId="325D39A6" w14:textId="1FE65A5C" w:rsidR="00194A52" w:rsidRPr="003D4DD8" w:rsidRDefault="003D4DD8" w:rsidP="003D4DD8">
      <w:pPr>
        <w:pStyle w:val="Titreobjet"/>
        <w:rPr>
          <w:noProof/>
        </w:rPr>
      </w:pPr>
      <w:r w:rsidRPr="003D4DD8">
        <w:rPr>
          <w:noProof/>
        </w:rPr>
        <w:t>li tistabbilixxi l-pożizzjoni li għandha tittieħed, f’isem l-Unjoni Ewropea, rigward it-tressiq ta’ proposta għal emenda tal-Appendiċi I tal-Konvenzjoni dwar il-Konservazzjoni tal-Ispeċi Migratorji tal-Annimali Selvaġġi (CMS) fil-kuntest tal-erbatax-il laqgħa tal-Konferenza tal-Partijiet</w:t>
      </w:r>
    </w:p>
    <w:p w14:paraId="3D796C4C" w14:textId="77777777" w:rsidR="00194A52" w:rsidRPr="003D4DD8" w:rsidRDefault="00194A52" w:rsidP="00BE7CB9">
      <w:pPr>
        <w:pStyle w:val="Institutionquiagit"/>
        <w:rPr>
          <w:b/>
          <w:noProof/>
        </w:rPr>
      </w:pPr>
      <w:r w:rsidRPr="003D4DD8">
        <w:rPr>
          <w:b/>
          <w:noProof/>
        </w:rPr>
        <w:t>IL-KUNSILL TAL-UNJONI EWROPEA,</w:t>
      </w:r>
    </w:p>
    <w:p w14:paraId="763C7506" w14:textId="77777777" w:rsidR="00194A52" w:rsidRPr="003D4DD8" w:rsidRDefault="00194A52" w:rsidP="00BE7CB9">
      <w:pPr>
        <w:rPr>
          <w:noProof/>
        </w:rPr>
      </w:pPr>
      <w:r w:rsidRPr="003D4DD8">
        <w:rPr>
          <w:noProof/>
        </w:rPr>
        <w:t>Wara li kkunsidra t-Trattat dwar il-Funzjonament tal-Unjoni Ewropea, u b’mod partikolari l-Artikolu 192(1), flimkien mal-Artikolu 218(9) tiegħu,</w:t>
      </w:r>
    </w:p>
    <w:p w14:paraId="08626A15" w14:textId="77777777" w:rsidR="00194A52" w:rsidRPr="003D4DD8" w:rsidRDefault="00194A52" w:rsidP="00BE7CB9">
      <w:pPr>
        <w:rPr>
          <w:noProof/>
        </w:rPr>
      </w:pPr>
      <w:r w:rsidRPr="003D4DD8">
        <w:rPr>
          <w:noProof/>
        </w:rPr>
        <w:t>Wara li kkunsidra l-proposta tal-Kummissjoni Ewropea,</w:t>
      </w:r>
    </w:p>
    <w:p w14:paraId="428C67B1" w14:textId="77777777" w:rsidR="00194A52" w:rsidRPr="003D4DD8" w:rsidRDefault="00194A52" w:rsidP="00BE7CB9">
      <w:pPr>
        <w:rPr>
          <w:noProof/>
        </w:rPr>
      </w:pPr>
      <w:r w:rsidRPr="003D4DD8">
        <w:rPr>
          <w:noProof/>
        </w:rPr>
        <w:t>Billi:</w:t>
      </w:r>
    </w:p>
    <w:p w14:paraId="1F72D6C2" w14:textId="1682A694" w:rsidR="00194A52" w:rsidRPr="003D4DD8" w:rsidRDefault="00661397" w:rsidP="00661397">
      <w:pPr>
        <w:pStyle w:val="ManualConsidrant"/>
        <w:rPr>
          <w:noProof/>
        </w:rPr>
      </w:pPr>
      <w:r w:rsidRPr="00661397">
        <w:t>(1)</w:t>
      </w:r>
      <w:r w:rsidRPr="00661397">
        <w:tab/>
      </w:r>
      <w:r w:rsidR="007374D8" w:rsidRPr="003D4DD8">
        <w:rPr>
          <w:noProof/>
        </w:rPr>
        <w:t>Il-Konvenzjoni dwar il-Konservazzjoni tal-Ispeċi Migratorji tal-Annimali Selvaġġi (il-“Konvenzjoni”) ġiet konkluża mill-Unjoni bid-Deċiżjoni tal-Kunsill 82/461/KEE</w:t>
      </w:r>
      <w:r w:rsidR="007374D8" w:rsidRPr="003D4DD8">
        <w:rPr>
          <w:noProof/>
          <w:vertAlign w:val="superscript"/>
        </w:rPr>
        <w:t>5</w:t>
      </w:r>
      <w:r w:rsidR="007374D8" w:rsidRPr="003D4DD8">
        <w:rPr>
          <w:noProof/>
        </w:rPr>
        <w:t xml:space="preserve"> u daħlet fis-seħħ fl-1 ta’ Novembru 1983. </w:t>
      </w:r>
    </w:p>
    <w:p w14:paraId="13A581B5" w14:textId="75389395" w:rsidR="00194A52" w:rsidRPr="003D4DD8" w:rsidRDefault="00661397" w:rsidP="00661397">
      <w:pPr>
        <w:pStyle w:val="ManualConsidrant"/>
        <w:rPr>
          <w:noProof/>
        </w:rPr>
      </w:pPr>
      <w:r w:rsidRPr="00661397">
        <w:t>(2)</w:t>
      </w:r>
      <w:r w:rsidRPr="00661397">
        <w:tab/>
      </w:r>
      <w:r w:rsidR="00194A52" w:rsidRPr="003D4DD8">
        <w:rPr>
          <w:noProof/>
        </w:rPr>
        <w:t>Skont l-Artikolu XI  tal-Konvenzjoni, il-Konferenza tal-Partijiet tista’ tadotta deċiżjonijiet biex temenda l-Appendiċijiet I u II tal-Konvenzjoni.</w:t>
      </w:r>
    </w:p>
    <w:p w14:paraId="4F6DBD31" w14:textId="258B89F7" w:rsidR="00194A52" w:rsidRPr="003D4DD8" w:rsidRDefault="00661397" w:rsidP="00661397">
      <w:pPr>
        <w:pStyle w:val="ManualConsidrant"/>
        <w:rPr>
          <w:noProof/>
        </w:rPr>
      </w:pPr>
      <w:r w:rsidRPr="00661397">
        <w:t>(3)</w:t>
      </w:r>
      <w:r w:rsidRPr="00661397">
        <w:tab/>
      </w:r>
      <w:r w:rsidR="00194A52" w:rsidRPr="003D4DD8">
        <w:rPr>
          <w:noProof/>
        </w:rPr>
        <w:t>Il-Konferenza tal-Partijiet, waqt l-erbatax-il laqgħa tagħha mit-23 sat-28 ta’ Ottubru 2023, tista’ tadotta tali emendi. Is-Segretarjat tal-Konvenzjoni informa lill-Partijiet għall-Konvenzjoni li kwalunkwe proposta għal emenda għandha tiġi kkomunikata, b’konformità mal-Artikolu XI(3) tal-Konvenzjoni, sas-26 ta’ Mejju 2023. L-Unjoni tista’, bħala Parti għall-Konvenzjoni, tressaq tali proposti.</w:t>
      </w:r>
    </w:p>
    <w:p w14:paraId="3FFFE2BB" w14:textId="158189AE" w:rsidR="00CE091F" w:rsidRPr="003D4DD8" w:rsidRDefault="00661397" w:rsidP="00661397">
      <w:pPr>
        <w:pStyle w:val="ManualConsidrant"/>
        <w:rPr>
          <w:noProof/>
        </w:rPr>
      </w:pPr>
      <w:r w:rsidRPr="00661397">
        <w:t>(4)</w:t>
      </w:r>
      <w:r w:rsidRPr="00661397">
        <w:tab/>
      </w:r>
      <w:r w:rsidR="00CE091F" w:rsidRPr="003D4DD8">
        <w:rPr>
          <w:noProof/>
        </w:rPr>
        <w:t>Jixraq li tiġi stabbilita l-pożizzjoni li għandha tittieħed f’isem l-Unjoni biex jitressqu proposti biex jiġu emendati l-Appendiċijiet tal-Konvenzjoni, minħabba li d-Deċiżjoni tal-Konferenza tal-Partijiet se tkun vinkolanti għall-Unjoni.</w:t>
      </w:r>
    </w:p>
    <w:p w14:paraId="56AA0948" w14:textId="2AA4F617" w:rsidR="00F17FF3" w:rsidRPr="003D4DD8" w:rsidRDefault="00661397" w:rsidP="00661397">
      <w:pPr>
        <w:pStyle w:val="ManualConsidrant"/>
        <w:rPr>
          <w:noProof/>
        </w:rPr>
      </w:pPr>
      <w:r w:rsidRPr="00661397">
        <w:t>(5)</w:t>
      </w:r>
      <w:r w:rsidRPr="00661397">
        <w:tab/>
      </w:r>
      <w:r w:rsidR="00F17FF3" w:rsidRPr="003D4DD8">
        <w:rPr>
          <w:noProof/>
        </w:rPr>
        <w:t>L-inklużjoni tad-denfil iswed tal-Baltiku Ċentrali, il-</w:t>
      </w:r>
      <w:r w:rsidR="00F17FF3" w:rsidRPr="003D4DD8">
        <w:rPr>
          <w:i/>
          <w:noProof/>
        </w:rPr>
        <w:t>Phocoena phocoena</w:t>
      </w:r>
      <w:r w:rsidR="00F17FF3" w:rsidRPr="003D4DD8">
        <w:rPr>
          <w:noProof/>
        </w:rPr>
        <w:t>, fl-Appendiċi I tal-Konvenzjoni se tkun xjentifikament soda minħabba l-istatus ta’ konservazzjoni tagħha fil-Periklu Kritiku, f’konformità mal-leġiżlazzjoni tal-Unjoni u mal-impenn tal-Unjoni għall-kooperazzjoni internazzjonali biex tiġi protetta l-bijodiversità.</w:t>
      </w:r>
    </w:p>
    <w:p w14:paraId="5432F7D5" w14:textId="2CF769DC" w:rsidR="00F17FF3" w:rsidRPr="003D4DD8" w:rsidRDefault="00661397" w:rsidP="00661397">
      <w:pPr>
        <w:pStyle w:val="ManualConsidrant"/>
        <w:rPr>
          <w:noProof/>
        </w:rPr>
      </w:pPr>
      <w:r w:rsidRPr="00661397">
        <w:t>(6)</w:t>
      </w:r>
      <w:r w:rsidRPr="00661397">
        <w:tab/>
      </w:r>
      <w:r w:rsidR="0093404B" w:rsidRPr="003D4DD8">
        <w:rPr>
          <w:noProof/>
        </w:rPr>
        <w:t>Għalhekk, jenħtieġ li l-Unjoni tressaq tali proposta biex temenda l-Appendiċi I tal-Konvenzjoni. Jenħtieġ li l-Kummissjoni tikkomunika l-proposta lis-Segretarjat tal-Konvenzjoni,</w:t>
      </w:r>
    </w:p>
    <w:p w14:paraId="2388A671" w14:textId="77777777" w:rsidR="00194A52" w:rsidRPr="003D4DD8" w:rsidRDefault="00194A52" w:rsidP="00BE7CB9">
      <w:pPr>
        <w:pStyle w:val="Formuledadoption"/>
        <w:rPr>
          <w:noProof/>
        </w:rPr>
      </w:pPr>
      <w:r w:rsidRPr="003D4DD8">
        <w:rPr>
          <w:noProof/>
        </w:rPr>
        <w:t>ADOTTA DIN ID-DEĊIŻJONI:</w:t>
      </w:r>
    </w:p>
    <w:p w14:paraId="4C6608BA" w14:textId="77777777" w:rsidR="00194A52" w:rsidRPr="003D4DD8" w:rsidRDefault="00194A52" w:rsidP="00BE7CB9">
      <w:pPr>
        <w:pStyle w:val="Titrearticle"/>
        <w:rPr>
          <w:noProof/>
        </w:rPr>
      </w:pPr>
      <w:r w:rsidRPr="003D4DD8">
        <w:rPr>
          <w:noProof/>
        </w:rPr>
        <w:t>Artikolu 1</w:t>
      </w:r>
    </w:p>
    <w:p w14:paraId="0169B2F2" w14:textId="77777777" w:rsidR="00194A52" w:rsidRPr="003D4DD8" w:rsidRDefault="00F17FF3" w:rsidP="00BE7CB9">
      <w:pPr>
        <w:rPr>
          <w:noProof/>
          <w:sz w:val="22"/>
        </w:rPr>
      </w:pPr>
      <w:r w:rsidRPr="003D4DD8">
        <w:rPr>
          <w:noProof/>
        </w:rPr>
        <w:t>1. Fil-kuntest tal-erbatax-il laqgħa tal-Konferenza tal-Partijiet għall-Konvenzjoni dwar il-Konservazzjoni tal-Ispeċi Migratorji tal-Annimali Selvaġġi, il-pożizzjoni tal-Unjoni hija li tressaq proposta għal emenda tal-Appendiċi I tal-Konvenzjoni biex tinkludi d-denfil iswed tal-Baltiku Ċentrali, il-</w:t>
      </w:r>
      <w:r w:rsidRPr="003D4DD8">
        <w:rPr>
          <w:i/>
          <w:noProof/>
        </w:rPr>
        <w:t>Phocoena phocoena</w:t>
      </w:r>
      <w:r w:rsidRPr="003D4DD8">
        <w:rPr>
          <w:noProof/>
        </w:rPr>
        <w:t xml:space="preserve">. </w:t>
      </w:r>
    </w:p>
    <w:p w14:paraId="4F02AC8E" w14:textId="77777777" w:rsidR="00AB18EB" w:rsidRPr="003D4DD8" w:rsidRDefault="00F17FF3" w:rsidP="00BE7CB9">
      <w:pPr>
        <w:rPr>
          <w:noProof/>
        </w:rPr>
      </w:pPr>
      <w:r w:rsidRPr="003D4DD8">
        <w:rPr>
          <w:noProof/>
        </w:rPr>
        <w:t>2. Il-Kummissjoni għandha tikkomunika din il-proposta lis-Segretarjat tal-Konvenzjoni.</w:t>
      </w:r>
    </w:p>
    <w:p w14:paraId="34A297BC" w14:textId="77777777" w:rsidR="00194A52" w:rsidRPr="003D4DD8" w:rsidRDefault="00194A52" w:rsidP="004A5560">
      <w:pPr>
        <w:pStyle w:val="Titrearticle"/>
        <w:rPr>
          <w:noProof/>
        </w:rPr>
      </w:pPr>
      <w:r w:rsidRPr="003D4DD8">
        <w:rPr>
          <w:noProof/>
        </w:rPr>
        <w:t>Artikolu 2</w:t>
      </w:r>
    </w:p>
    <w:p w14:paraId="5CA3C590" w14:textId="77777777" w:rsidR="00194A52" w:rsidRPr="003D4DD8" w:rsidRDefault="00194A52" w:rsidP="00BE7CB9">
      <w:pPr>
        <w:rPr>
          <w:noProof/>
        </w:rPr>
      </w:pPr>
      <w:r w:rsidRPr="003D4DD8">
        <w:rPr>
          <w:noProof/>
        </w:rPr>
        <w:t>Din id-Deċiżjoni hija indirizzata lill-Kummissjoni.</w:t>
      </w:r>
    </w:p>
    <w:p w14:paraId="11DEFCFB" w14:textId="0E23EFE9" w:rsidR="00194A52" w:rsidRPr="003D4DD8" w:rsidRDefault="00D41B05" w:rsidP="004A5560">
      <w:pPr>
        <w:pStyle w:val="Fait"/>
        <w:rPr>
          <w:noProof/>
        </w:rPr>
      </w:pPr>
      <w:r w:rsidRPr="00D41B05">
        <w:t>Magħmul fi Brussell,</w:t>
      </w:r>
    </w:p>
    <w:p w14:paraId="329BF097" w14:textId="77777777" w:rsidR="00194A52" w:rsidRPr="003D4DD8" w:rsidRDefault="00194A52" w:rsidP="004A5560">
      <w:pPr>
        <w:pStyle w:val="Institutionquisigne"/>
        <w:rPr>
          <w:noProof/>
        </w:rPr>
      </w:pPr>
      <w:r w:rsidRPr="003D4DD8">
        <w:rPr>
          <w:noProof/>
        </w:rPr>
        <w:tab/>
        <w:t>Għall-Kunsill</w:t>
      </w:r>
    </w:p>
    <w:p w14:paraId="2369AEAB" w14:textId="77777777" w:rsidR="00194A52" w:rsidRPr="003D4DD8" w:rsidRDefault="00194A52" w:rsidP="00194A52">
      <w:pPr>
        <w:pStyle w:val="Personnequisigne"/>
        <w:rPr>
          <w:noProof/>
        </w:rPr>
      </w:pPr>
      <w:r w:rsidRPr="003D4DD8">
        <w:rPr>
          <w:noProof/>
        </w:rPr>
        <w:tab/>
        <w:t>Il-President</w:t>
      </w:r>
    </w:p>
    <w:sectPr w:rsidR="00194A52" w:rsidRPr="003D4DD8" w:rsidSect="00FA4475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2E1FE" w14:textId="77777777" w:rsidR="00194A52" w:rsidRDefault="00194A52" w:rsidP="00194A52">
      <w:pPr>
        <w:spacing w:before="0" w:after="0"/>
      </w:pPr>
      <w:r>
        <w:separator/>
      </w:r>
    </w:p>
  </w:endnote>
  <w:endnote w:type="continuationSeparator" w:id="0">
    <w:p w14:paraId="1E79CEE4" w14:textId="77777777" w:rsidR="00194A52" w:rsidRDefault="00194A52" w:rsidP="00194A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EC12D" w14:textId="0906D3AE" w:rsidR="00194A52" w:rsidRPr="00FA4475" w:rsidRDefault="00FA4475" w:rsidP="00FA4475">
    <w:pPr>
      <w:pStyle w:val="Footer"/>
      <w:rPr>
        <w:rFonts w:ascii="Arial" w:hAnsi="Arial" w:cs="Arial"/>
        <w:b/>
        <w:sz w:val="48"/>
      </w:rPr>
    </w:pPr>
    <w:r w:rsidRPr="00FA4475">
      <w:rPr>
        <w:rFonts w:ascii="Arial" w:hAnsi="Arial" w:cs="Arial"/>
        <w:b/>
        <w:sz w:val="48"/>
      </w:rPr>
      <w:t>MT</w:t>
    </w:r>
    <w:r w:rsidRPr="00FA4475">
      <w:rPr>
        <w:rFonts w:ascii="Arial" w:hAnsi="Arial" w:cs="Arial"/>
        <w:b/>
        <w:sz w:val="48"/>
      </w:rPr>
      <w:tab/>
    </w:r>
    <w:r w:rsidRPr="00FA4475">
      <w:rPr>
        <w:rFonts w:ascii="Arial" w:hAnsi="Arial" w:cs="Arial"/>
        <w:b/>
        <w:sz w:val="48"/>
      </w:rPr>
      <w:tab/>
    </w:r>
    <w:r w:rsidRPr="00FA4475">
      <w:tab/>
    </w:r>
    <w:r w:rsidRPr="00FA4475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0D2BC" w14:textId="3A7243B8" w:rsidR="00FA4475" w:rsidRPr="00FA4475" w:rsidRDefault="00FA4475" w:rsidP="00FA4475">
    <w:pPr>
      <w:pStyle w:val="Footer"/>
      <w:rPr>
        <w:rFonts w:ascii="Arial" w:hAnsi="Arial" w:cs="Arial"/>
        <w:b/>
        <w:sz w:val="48"/>
      </w:rPr>
    </w:pPr>
    <w:r w:rsidRPr="00FA4475">
      <w:rPr>
        <w:rFonts w:ascii="Arial" w:hAnsi="Arial" w:cs="Arial"/>
        <w:b/>
        <w:sz w:val="48"/>
      </w:rPr>
      <w:t>MT</w:t>
    </w:r>
    <w:r w:rsidRPr="00FA447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4A5560">
      <w:rPr>
        <w:noProof/>
      </w:rPr>
      <w:t>5</w:t>
    </w:r>
    <w:r>
      <w:fldChar w:fldCharType="end"/>
    </w:r>
    <w:r>
      <w:tab/>
    </w:r>
    <w:r w:rsidRPr="00FA4475">
      <w:tab/>
    </w:r>
    <w:r w:rsidRPr="00FA4475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87DD7" w14:textId="77777777" w:rsidR="00FA4475" w:rsidRPr="00FA4475" w:rsidRDefault="00FA4475" w:rsidP="00FA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1BB77" w14:textId="77777777" w:rsidR="00194A52" w:rsidRDefault="00194A52" w:rsidP="00194A52">
      <w:pPr>
        <w:spacing w:before="0" w:after="0"/>
      </w:pPr>
      <w:r>
        <w:separator/>
      </w:r>
    </w:p>
  </w:footnote>
  <w:footnote w:type="continuationSeparator" w:id="0">
    <w:p w14:paraId="121015C8" w14:textId="77777777" w:rsidR="00194A52" w:rsidRDefault="00194A52" w:rsidP="00194A52">
      <w:pPr>
        <w:spacing w:before="0" w:after="0"/>
      </w:pPr>
      <w:r>
        <w:continuationSeparator/>
      </w:r>
    </w:p>
  </w:footnote>
  <w:footnote w:id="1">
    <w:p w14:paraId="53788176" w14:textId="77777777" w:rsidR="00194A52" w:rsidRPr="00CD5FE8" w:rsidRDefault="00194A52" w:rsidP="00736AA9">
      <w:pPr>
        <w:pStyle w:val="FootnoteText"/>
      </w:pPr>
      <w:r>
        <w:rPr>
          <w:rStyle w:val="FootnoteReference"/>
        </w:rPr>
        <w:footnoteRef/>
      </w:r>
      <w:r>
        <w:tab/>
        <w:t>Id-Deċiżjoni tal-Kunsill 82/461/KEE tal-24 ta’ Ġunju 1982 li tirrigwarda l-konklużjoni tal-Konvenzjoni dwar il-konservazzjoni tal-ispeċi migratorji tal-annimali selvaġġi, ĠU L 210, 24.6.1982, p. 10.</w:t>
      </w:r>
    </w:p>
  </w:footnote>
  <w:footnote w:id="2">
    <w:p w14:paraId="510B6209" w14:textId="77777777" w:rsidR="00CF447D" w:rsidRPr="00CF447D" w:rsidRDefault="00CF447D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EUR-Lex - 32022D0591 - MT - EUR-Lex (europa.eu)</w:t>
        </w:r>
      </w:hyperlink>
    </w:p>
  </w:footnote>
  <w:footnote w:id="3">
    <w:p w14:paraId="3CBCC8C3" w14:textId="77777777" w:rsidR="00CF447D" w:rsidRPr="00CF447D" w:rsidRDefault="00CF447D">
      <w:pPr>
        <w:pStyle w:val="FootnoteText"/>
      </w:pPr>
      <w:r>
        <w:rPr>
          <w:rStyle w:val="FootnoteReference"/>
        </w:rPr>
        <w:footnoteRef/>
      </w:r>
      <w:r>
        <w:tab/>
      </w:r>
      <w:hyperlink r:id="rId2" w:history="1">
        <w:r>
          <w:rPr>
            <w:rStyle w:val="Hyperlink"/>
          </w:rPr>
          <w:t>EUR-Lex - 52020DC0380 - MT - EUR-Lex (europa.eu)</w:t>
        </w:r>
      </w:hyperlink>
    </w:p>
  </w:footnote>
  <w:footnote w:id="4">
    <w:p w14:paraId="316EC459" w14:textId="77B78704" w:rsidR="00902D88" w:rsidRPr="002214ED" w:rsidRDefault="00902D88" w:rsidP="00902D88">
      <w:pPr>
        <w:pStyle w:val="FootnoteText"/>
      </w:pPr>
      <w:r>
        <w:rPr>
          <w:rStyle w:val="FootnoteReference"/>
        </w:rPr>
        <w:footnoteRef/>
      </w:r>
      <w:r>
        <w:tab/>
        <w:t>Id-Direttiva tal-Kunsill 92/43/KEE tal-21 ta’ Mejju 1992 dwar il-konservazzjoni tal-habitat naturali u tal-fawna u l-flora selvaġġa, ĠU L 206, 22.7.1992, p. 0007 - 0050</w:t>
      </w:r>
    </w:p>
  </w:footnote>
  <w:footnote w:id="5">
    <w:p w14:paraId="016F4634" w14:textId="77777777" w:rsidR="00902D88" w:rsidRPr="00693193" w:rsidRDefault="00902D88" w:rsidP="00F50553">
      <w:pPr>
        <w:spacing w:before="0" w:after="0"/>
        <w:ind w:left="720" w:hanging="720"/>
        <w:jc w:val="left"/>
      </w:pPr>
      <w:r>
        <w:rPr>
          <w:rStyle w:val="FootnoteReference"/>
        </w:rPr>
        <w:footnoteRef/>
      </w:r>
      <w:r>
        <w:tab/>
        <w:t>Ir-Regolament (UE) Nru 1380/2013 tal-Parlament Ewropew u tal-Kunsill tal-11 ta’ Diċembru 2013 dwar il-Politika Komuni tas-Sajd, ĠU L 354, 28.12.2013, p. 22.</w:t>
      </w:r>
    </w:p>
  </w:footnote>
  <w:footnote w:id="6">
    <w:p w14:paraId="24E4F163" w14:textId="2A9EF20F" w:rsidR="00381315" w:rsidRPr="00381315" w:rsidRDefault="00381315">
      <w:pPr>
        <w:pStyle w:val="FootnoteText"/>
      </w:pPr>
      <w:r>
        <w:rPr>
          <w:rStyle w:val="FootnoteReference"/>
        </w:rPr>
        <w:footnoteRef/>
      </w:r>
      <w:r>
        <w:tab/>
        <w:t>Ara wkoll ir-Regolament Delegat tal-Kummissjoni (UE) 2022/303 tal-15 ta’ Diċembru 2021 li jemenda r-Regolament (UE) 2019/1241 fir-rigward tal-miżuri biex jitnaqqsu l-qabdiet inċidentali tal-popolazzjoni residenti tad-denfil iswed tal-Baltiku Ċentrali (</w:t>
      </w:r>
      <w:r>
        <w:rPr>
          <w:i/>
          <w:iCs/>
        </w:rPr>
        <w:t>Phocoena phocoena</w:t>
      </w:r>
      <w:r>
        <w:t>) fil-Baħar Baltiku</w:t>
      </w:r>
    </w:p>
  </w:footnote>
  <w:footnote w:id="7">
    <w:p w14:paraId="7E0D3B27" w14:textId="77777777" w:rsidR="00194A52" w:rsidRPr="00CD5FE8" w:rsidRDefault="00194A52" w:rsidP="00736AA9">
      <w:pPr>
        <w:pStyle w:val="FootnoteText"/>
      </w:pPr>
      <w:r>
        <w:rPr>
          <w:rStyle w:val="FootnoteReference"/>
        </w:rPr>
        <w:footnoteRef/>
      </w:r>
      <w:r>
        <w:tab/>
        <w:t xml:space="preserve">Is-Sentenza tal-Qorti tal-Ġustizzja tas-7 ta’ Ottubru 2014, Il-Ġermanja vs Il-Kunsill, C-399/12, ECLI:EU:C:2014:2258, il-paragrafi 61 sa 64.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6E240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5B63D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7402E5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38DCC3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0DC0A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76219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8760E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ECFA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13"/>
  </w:num>
  <w:num w:numId="16">
    <w:abstractNumId w:val="14"/>
  </w:num>
  <w:num w:numId="17">
    <w:abstractNumId w:val="9"/>
  </w:num>
  <w:num w:numId="18">
    <w:abstractNumId w:val="20"/>
  </w:num>
  <w:num w:numId="19">
    <w:abstractNumId w:val="8"/>
  </w:num>
  <w:num w:numId="20">
    <w:abstractNumId w:val="15"/>
  </w:num>
  <w:num w:numId="21">
    <w:abstractNumId w:val="17"/>
  </w:num>
  <w:num w:numId="22">
    <w:abstractNumId w:val="18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12"/>
  </w:num>
  <w:num w:numId="28">
    <w:abstractNumId w:val="21"/>
  </w:num>
  <w:num w:numId="29">
    <w:abstractNumId w:val="11"/>
  </w:num>
  <w:num w:numId="30">
    <w:abstractNumId w:val="13"/>
  </w:num>
  <w:num w:numId="31">
    <w:abstractNumId w:val="14"/>
  </w:num>
  <w:num w:numId="32">
    <w:abstractNumId w:val="9"/>
  </w:num>
  <w:num w:numId="33">
    <w:abstractNumId w:val="20"/>
  </w:num>
  <w:num w:numId="34">
    <w:abstractNumId w:val="8"/>
  </w:num>
  <w:num w:numId="35">
    <w:abstractNumId w:val="15"/>
  </w:num>
  <w:num w:numId="36">
    <w:abstractNumId w:val="17"/>
  </w:num>
  <w:num w:numId="37">
    <w:abstractNumId w:val="18"/>
  </w:num>
  <w:num w:numId="38">
    <w:abstractNumId w:val="10"/>
  </w:num>
  <w:num w:numId="39">
    <w:abstractNumId w:val="16"/>
  </w:num>
  <w:num w:numId="40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131078" w:nlCheck="1" w:checkStyle="1"/>
  <w:attachedTemplate r:id="rId1"/>
  <w:revisionView w:markup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3-03-17 11:07:56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97CC23A8-18CA-4DB0-94BC-4EEC658CFE7F"/>
    <w:docVar w:name="LW_COVERPAGE_TYPE" w:val="1"/>
    <w:docVar w:name="LW_CROSSREFERENCE" w:val="&lt;UNUSED&gt;"/>
    <w:docVar w:name="LW_DocType" w:val="COM"/>
    <w:docVar w:name="LW_EMISSION" w:val="17.3.2023"/>
    <w:docVar w:name="LW_EMISSION_ISODATE" w:val="2023-03-17"/>
    <w:docVar w:name="LW_EMISSION_LOCATION" w:val="BRX"/>
    <w:docVar w:name="LW_EMISSION_PREFIX" w:val="Brussell, "/>
    <w:docVar w:name="LW_EMISSION_SUFFIX" w:val=" "/>
    <w:docVar w:name="LW_ID_DOCMODEL" w:val="SJ-043"/>
    <w:docVar w:name="LW_ID_DOCSIGNATURE" w:val="SJ-019"/>
    <w:docVar w:name="LW_ID_DOCSTRUCTURE" w:val="COM/PL/ORG"/>
    <w:docVar w:name="LW_ID_DOCTYPE" w:val="SJ-043"/>
    <w:docVar w:name="LW_ID_EXP.MOTIFS.NEW" w:val="EM_PL2_"/>
    <w:docVar w:name="LW_ID_STATUT" w:val="SJ-019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074"/>
    <w:docVar w:name="LW_REF.II.NEW.CP_YEAR" w:val="2023"/>
    <w:docVar w:name="LW_REF.INST.NEW" w:val="COM"/>
    <w:docVar w:name="LW_REF.INST.NEW_ADOPTED" w:val="final"/>
    <w:docVar w:name="LW_REF.INST.NEW_TEXT" w:val="(2023) 14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ħal"/>
    <w:docVar w:name="LW_SUPERTITRE" w:val="&lt;UNUSED&gt;"/>
    <w:docVar w:name="LW_TITRE.OBJ.CP" w:val="li tistabbilixxi l-pożizzjoni li għandha tittieħed, f’isem l-Unjoni Ewropea, rigward it-tressiq ta’ proposta għal emenda tal-Appendiċi I tal-Konvenzjoni dwar il-Konservazzjoni tal-Ispeċi Migratorji tal-Annimali Selvaġġi (CMS) fil-kuntest tal-erbatax-il laqgħa tal-Konferenza tal-Partijiet"/>
    <w:docVar w:name="LW_TYPE.DOC.CP" w:val="DEĊIŻJONI TAL-KUNSILL"/>
    <w:docVar w:name="LwApiVersions" w:val="LW4CoDe 1.23.2.0; LW 8.0, Build 20211117"/>
  </w:docVars>
  <w:rsids>
    <w:rsidRoot w:val="00194A52"/>
    <w:rsid w:val="000109AC"/>
    <w:rsid w:val="00037F14"/>
    <w:rsid w:val="00052B84"/>
    <w:rsid w:val="00055145"/>
    <w:rsid w:val="00060A4B"/>
    <w:rsid w:val="000921F2"/>
    <w:rsid w:val="000C4FF3"/>
    <w:rsid w:val="000E0532"/>
    <w:rsid w:val="001129A8"/>
    <w:rsid w:val="00122C21"/>
    <w:rsid w:val="00126D65"/>
    <w:rsid w:val="0013260D"/>
    <w:rsid w:val="001806F0"/>
    <w:rsid w:val="00185EBE"/>
    <w:rsid w:val="0018665C"/>
    <w:rsid w:val="00186C17"/>
    <w:rsid w:val="00194A52"/>
    <w:rsid w:val="001959D7"/>
    <w:rsid w:val="001A47D0"/>
    <w:rsid w:val="001D0CC0"/>
    <w:rsid w:val="001E3B55"/>
    <w:rsid w:val="00202A0F"/>
    <w:rsid w:val="00233A7C"/>
    <w:rsid w:val="00260443"/>
    <w:rsid w:val="0028453A"/>
    <w:rsid w:val="00284950"/>
    <w:rsid w:val="002B5491"/>
    <w:rsid w:val="002C0C3E"/>
    <w:rsid w:val="002C3C5E"/>
    <w:rsid w:val="002C5415"/>
    <w:rsid w:val="002D06C2"/>
    <w:rsid w:val="002E476B"/>
    <w:rsid w:val="00306A8D"/>
    <w:rsid w:val="0031390C"/>
    <w:rsid w:val="00314AFC"/>
    <w:rsid w:val="00323B57"/>
    <w:rsid w:val="00352527"/>
    <w:rsid w:val="00381315"/>
    <w:rsid w:val="0039232A"/>
    <w:rsid w:val="003A4465"/>
    <w:rsid w:val="003B0416"/>
    <w:rsid w:val="003C752B"/>
    <w:rsid w:val="003D4DD8"/>
    <w:rsid w:val="003E6AB2"/>
    <w:rsid w:val="00414C90"/>
    <w:rsid w:val="00426280"/>
    <w:rsid w:val="0043500F"/>
    <w:rsid w:val="00462013"/>
    <w:rsid w:val="004812E2"/>
    <w:rsid w:val="00482238"/>
    <w:rsid w:val="00490D8D"/>
    <w:rsid w:val="004A5560"/>
    <w:rsid w:val="004D642F"/>
    <w:rsid w:val="004D6F11"/>
    <w:rsid w:val="004F0DF1"/>
    <w:rsid w:val="005019E3"/>
    <w:rsid w:val="00510302"/>
    <w:rsid w:val="00513F6B"/>
    <w:rsid w:val="00534272"/>
    <w:rsid w:val="00552691"/>
    <w:rsid w:val="00585D09"/>
    <w:rsid w:val="005900AE"/>
    <w:rsid w:val="005B3707"/>
    <w:rsid w:val="005B5B17"/>
    <w:rsid w:val="005D0BB4"/>
    <w:rsid w:val="005F6CD2"/>
    <w:rsid w:val="00610964"/>
    <w:rsid w:val="00610A5F"/>
    <w:rsid w:val="00657B55"/>
    <w:rsid w:val="00661397"/>
    <w:rsid w:val="0067355A"/>
    <w:rsid w:val="0069112B"/>
    <w:rsid w:val="00693193"/>
    <w:rsid w:val="006A7F9A"/>
    <w:rsid w:val="006B7322"/>
    <w:rsid w:val="006D401B"/>
    <w:rsid w:val="00707105"/>
    <w:rsid w:val="00716C5E"/>
    <w:rsid w:val="00724B91"/>
    <w:rsid w:val="007374D8"/>
    <w:rsid w:val="0074624A"/>
    <w:rsid w:val="007847C5"/>
    <w:rsid w:val="00793806"/>
    <w:rsid w:val="007D178B"/>
    <w:rsid w:val="00813F0A"/>
    <w:rsid w:val="00833110"/>
    <w:rsid w:val="0083770D"/>
    <w:rsid w:val="00856A5A"/>
    <w:rsid w:val="00877878"/>
    <w:rsid w:val="00886F23"/>
    <w:rsid w:val="008F5EB9"/>
    <w:rsid w:val="00902D88"/>
    <w:rsid w:val="0093404B"/>
    <w:rsid w:val="009806A5"/>
    <w:rsid w:val="00982FDE"/>
    <w:rsid w:val="0099205D"/>
    <w:rsid w:val="0099359F"/>
    <w:rsid w:val="009D793B"/>
    <w:rsid w:val="009E7F66"/>
    <w:rsid w:val="00A05A31"/>
    <w:rsid w:val="00A270DB"/>
    <w:rsid w:val="00A377C3"/>
    <w:rsid w:val="00A735ED"/>
    <w:rsid w:val="00A84C3D"/>
    <w:rsid w:val="00A94F68"/>
    <w:rsid w:val="00AA57FD"/>
    <w:rsid w:val="00AB17D0"/>
    <w:rsid w:val="00AB18EB"/>
    <w:rsid w:val="00B01AD1"/>
    <w:rsid w:val="00B06388"/>
    <w:rsid w:val="00B11921"/>
    <w:rsid w:val="00B1695B"/>
    <w:rsid w:val="00B17915"/>
    <w:rsid w:val="00B50BE1"/>
    <w:rsid w:val="00B53730"/>
    <w:rsid w:val="00B75BC9"/>
    <w:rsid w:val="00B81D59"/>
    <w:rsid w:val="00B925AD"/>
    <w:rsid w:val="00BA4FFF"/>
    <w:rsid w:val="00BC58C7"/>
    <w:rsid w:val="00BE1B18"/>
    <w:rsid w:val="00BE2FBA"/>
    <w:rsid w:val="00C041BB"/>
    <w:rsid w:val="00C20F41"/>
    <w:rsid w:val="00C26C5B"/>
    <w:rsid w:val="00C36E0D"/>
    <w:rsid w:val="00C37E6B"/>
    <w:rsid w:val="00C8748E"/>
    <w:rsid w:val="00CB16C7"/>
    <w:rsid w:val="00CB74FB"/>
    <w:rsid w:val="00CD5FE8"/>
    <w:rsid w:val="00CD6BD5"/>
    <w:rsid w:val="00CD6FA3"/>
    <w:rsid w:val="00CE091F"/>
    <w:rsid w:val="00CF3384"/>
    <w:rsid w:val="00CF447D"/>
    <w:rsid w:val="00D074D0"/>
    <w:rsid w:val="00D144CB"/>
    <w:rsid w:val="00D41B05"/>
    <w:rsid w:val="00D64765"/>
    <w:rsid w:val="00D74CCB"/>
    <w:rsid w:val="00D83C42"/>
    <w:rsid w:val="00D83CF8"/>
    <w:rsid w:val="00DB0564"/>
    <w:rsid w:val="00DC5A5D"/>
    <w:rsid w:val="00E16784"/>
    <w:rsid w:val="00E1764A"/>
    <w:rsid w:val="00E32553"/>
    <w:rsid w:val="00E47147"/>
    <w:rsid w:val="00E532DF"/>
    <w:rsid w:val="00E57484"/>
    <w:rsid w:val="00E77904"/>
    <w:rsid w:val="00EA16C8"/>
    <w:rsid w:val="00EB48CA"/>
    <w:rsid w:val="00ED0FC5"/>
    <w:rsid w:val="00ED405B"/>
    <w:rsid w:val="00EE53A2"/>
    <w:rsid w:val="00EE751E"/>
    <w:rsid w:val="00EF7EC2"/>
    <w:rsid w:val="00F0387E"/>
    <w:rsid w:val="00F131BE"/>
    <w:rsid w:val="00F17FF3"/>
    <w:rsid w:val="00F50553"/>
    <w:rsid w:val="00F82075"/>
    <w:rsid w:val="00FA4475"/>
    <w:rsid w:val="00FB78AB"/>
    <w:rsid w:val="00FE0A66"/>
    <w:rsid w:val="00FE1B0C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0656551"/>
  <w15:docId w15:val="{CE714581-E7F2-43BF-83E5-C0AABB6F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3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3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3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3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Italic">
    <w:name w:val="Body text (2) + Italic"/>
    <w:basedOn w:val="DefaultParagraphFont"/>
    <w:rsid w:val="00A735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mt-MT" w:eastAsia="en-US"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06F0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806F0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1806F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06F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06F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06F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1806F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06F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06F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06F0"/>
    <w:pPr>
      <w:numPr>
        <w:numId w:val="10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5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F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FE8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FE8"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sid w:val="00CD5F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F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FE8"/>
    <w:rPr>
      <w:rFonts w:ascii="Tahoma" w:hAnsi="Tahoma" w:cs="Tahoma"/>
      <w:sz w:val="16"/>
      <w:szCs w:val="16"/>
      <w:lang w:val="mt-MT"/>
    </w:rPr>
  </w:style>
  <w:style w:type="paragraph" w:styleId="Revision">
    <w:name w:val="Revision"/>
    <w:hidden/>
    <w:uiPriority w:val="99"/>
    <w:semiHidden/>
    <w:rsid w:val="002C5415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B81D59"/>
    <w:pPr>
      <w:ind w:left="720"/>
      <w:contextualSpacing/>
    </w:pPr>
  </w:style>
  <w:style w:type="character" w:customStyle="1" w:styleId="link-external">
    <w:name w:val="link-external"/>
    <w:basedOn w:val="DefaultParagraphFont"/>
    <w:rsid w:val="00693193"/>
    <w:rPr>
      <w:rFonts w:ascii="Times New Roman" w:hAnsi="Times New Roman" w:cs="Times New Roman" w:hint="default"/>
    </w:rPr>
  </w:style>
  <w:style w:type="character" w:styleId="FollowedHyperlink">
    <w:name w:val="FollowedHyperlink"/>
    <w:basedOn w:val="DefaultParagraphFont"/>
    <w:uiPriority w:val="99"/>
    <w:semiHidden/>
    <w:unhideWhenUsed/>
    <w:rsid w:val="00037F14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74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4475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A4475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FA4475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FA4475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FA4475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FA4475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FA44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FA4475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FA44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6"/>
      </w:numPr>
    </w:pPr>
  </w:style>
  <w:style w:type="paragraph" w:customStyle="1" w:styleId="Tiret1">
    <w:name w:val="Tiret 1"/>
    <w:basedOn w:val="Point1"/>
    <w:pPr>
      <w:numPr>
        <w:numId w:val="27"/>
      </w:numPr>
    </w:pPr>
  </w:style>
  <w:style w:type="paragraph" w:customStyle="1" w:styleId="Tiret2">
    <w:name w:val="Tiret 2"/>
    <w:basedOn w:val="Point2"/>
    <w:pPr>
      <w:numPr>
        <w:numId w:val="28"/>
      </w:numPr>
    </w:pPr>
  </w:style>
  <w:style w:type="paragraph" w:customStyle="1" w:styleId="Tiret3">
    <w:name w:val="Tiret 3"/>
    <w:basedOn w:val="Point3"/>
    <w:pPr>
      <w:numPr>
        <w:numId w:val="29"/>
      </w:numPr>
    </w:pPr>
  </w:style>
  <w:style w:type="paragraph" w:customStyle="1" w:styleId="Tiret4">
    <w:name w:val="Tiret 4"/>
    <w:basedOn w:val="Point4"/>
    <w:pPr>
      <w:numPr>
        <w:numId w:val="30"/>
      </w:numPr>
    </w:pPr>
  </w:style>
  <w:style w:type="paragraph" w:customStyle="1" w:styleId="Tiret5">
    <w:name w:val="Tiret 5"/>
    <w:basedOn w:val="Point5"/>
    <w:pPr>
      <w:numPr>
        <w:numId w:val="3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2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2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2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sid w:val="00CD6BD5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4"/>
      </w:numPr>
    </w:pPr>
  </w:style>
  <w:style w:type="paragraph" w:customStyle="1" w:styleId="Point1number">
    <w:name w:val="Point 1 (number)"/>
    <w:basedOn w:val="Normal"/>
    <w:pPr>
      <w:numPr>
        <w:ilvl w:val="2"/>
        <w:numId w:val="34"/>
      </w:numPr>
    </w:pPr>
  </w:style>
  <w:style w:type="paragraph" w:customStyle="1" w:styleId="Point2number">
    <w:name w:val="Point 2 (number)"/>
    <w:basedOn w:val="Normal"/>
    <w:pPr>
      <w:numPr>
        <w:ilvl w:val="4"/>
        <w:numId w:val="34"/>
      </w:numPr>
    </w:pPr>
  </w:style>
  <w:style w:type="paragraph" w:customStyle="1" w:styleId="Point3number">
    <w:name w:val="Point 3 (number)"/>
    <w:basedOn w:val="Normal"/>
    <w:pPr>
      <w:numPr>
        <w:ilvl w:val="6"/>
        <w:numId w:val="34"/>
      </w:numPr>
    </w:pPr>
  </w:style>
  <w:style w:type="paragraph" w:customStyle="1" w:styleId="Point0letter">
    <w:name w:val="Point 0 (letter)"/>
    <w:basedOn w:val="Normal"/>
    <w:pPr>
      <w:numPr>
        <w:ilvl w:val="1"/>
        <w:numId w:val="34"/>
      </w:numPr>
    </w:pPr>
  </w:style>
  <w:style w:type="paragraph" w:customStyle="1" w:styleId="Point1letter">
    <w:name w:val="Point 1 (letter)"/>
    <w:basedOn w:val="Normal"/>
    <w:pPr>
      <w:numPr>
        <w:ilvl w:val="3"/>
        <w:numId w:val="34"/>
      </w:numPr>
    </w:pPr>
  </w:style>
  <w:style w:type="paragraph" w:customStyle="1" w:styleId="Point2letter">
    <w:name w:val="Point 2 (letter)"/>
    <w:basedOn w:val="Normal"/>
    <w:pPr>
      <w:numPr>
        <w:ilvl w:val="5"/>
        <w:numId w:val="34"/>
      </w:numPr>
    </w:pPr>
  </w:style>
  <w:style w:type="paragraph" w:customStyle="1" w:styleId="Point3letter">
    <w:name w:val="Point 3 (letter)"/>
    <w:basedOn w:val="Normal"/>
    <w:pPr>
      <w:numPr>
        <w:ilvl w:val="7"/>
        <w:numId w:val="34"/>
      </w:numPr>
    </w:pPr>
  </w:style>
  <w:style w:type="paragraph" w:customStyle="1" w:styleId="Point4letter">
    <w:name w:val="Point 4 (letter)"/>
    <w:basedOn w:val="Normal"/>
    <w:pPr>
      <w:numPr>
        <w:ilvl w:val="8"/>
        <w:numId w:val="34"/>
      </w:numPr>
    </w:pPr>
  </w:style>
  <w:style w:type="paragraph" w:customStyle="1" w:styleId="Bullet0">
    <w:name w:val="Bullet 0"/>
    <w:basedOn w:val="Normal"/>
    <w:pPr>
      <w:numPr>
        <w:numId w:val="35"/>
      </w:numPr>
    </w:pPr>
  </w:style>
  <w:style w:type="paragraph" w:customStyle="1" w:styleId="Bullet1">
    <w:name w:val="Bullet 1"/>
    <w:basedOn w:val="Normal"/>
    <w:pPr>
      <w:numPr>
        <w:numId w:val="36"/>
      </w:numPr>
    </w:pPr>
  </w:style>
  <w:style w:type="paragraph" w:customStyle="1" w:styleId="Bullet2">
    <w:name w:val="Bullet 2"/>
    <w:basedOn w:val="Normal"/>
    <w:pPr>
      <w:numPr>
        <w:numId w:val="37"/>
      </w:numPr>
    </w:pPr>
  </w:style>
  <w:style w:type="paragraph" w:customStyle="1" w:styleId="Bullet3">
    <w:name w:val="Bullet 3"/>
    <w:basedOn w:val="Normal"/>
    <w:pPr>
      <w:numPr>
        <w:numId w:val="38"/>
      </w:numPr>
    </w:pPr>
  </w:style>
  <w:style w:type="paragraph" w:customStyle="1" w:styleId="Bullet4">
    <w:name w:val="Bullet 4"/>
    <w:basedOn w:val="Normal"/>
    <w:pPr>
      <w:numPr>
        <w:numId w:val="3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s://eur-lex.europa.eu/legal-content/MT/TXT/?qid=1590574123338&amp;uri=CELEX:52020DC0380" TargetMode="External"/><Relationship Id="rId1" Type="http://schemas.openxmlformats.org/officeDocument/2006/relationships/hyperlink" Target="https://eur-lex.europa.eu/legal-content/MT/TXT/?uri=CELEX:32022D0591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B5E5DCE-1863-41F5-9683-6AF7596A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64</TotalTime>
  <Pages>6</Pages>
  <Words>1209</Words>
  <Characters>9508</Characters>
  <Application>Microsoft Office Word</Application>
  <DocSecurity>0</DocSecurity>
  <Lines>153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67</cp:revision>
  <cp:lastPrinted>2019-04-17T14:10:00Z</cp:lastPrinted>
  <dcterms:created xsi:type="dcterms:W3CDTF">2023-02-28T08:04:00Z</dcterms:created>
  <dcterms:modified xsi:type="dcterms:W3CDTF">2023-03-17T10:07:00Z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6.0.100.0</vt:lpwstr>
  </property>
  <property fmtid="{D5CDD505-2E9C-101B-9397-08002B2CF9AE}" pid="4" name="Last edited using">
    <vt:lpwstr>LW 8.1, Build 20230124</vt:lpwstr>
  </property>
  <property fmtid="{D5CDD505-2E9C-101B-9397-08002B2CF9AE}" pid="5" name="Created using">
    <vt:lpwstr>LW 6.0.1, Build 20180503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SJ-043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2022-09-12T13:20:30Z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5d8a7e58-1a03-4358-a599-0d7ed6de3015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DQCStatus">
    <vt:lpwstr>Green (DQC version 03)</vt:lpwstr>
  </property>
  <property name="OP_sanitized" fmtid="{D5CDD505-2E9C-101B-9397-08002B2CF9AE}" pid="18">
    <vt:lpwstr>True</vt:lpwstr>
  </property>
</Properties>
</file>