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06A936" w14:textId="1116235D" w:rsidR="00AC1E12" w:rsidRDefault="00AF5209" w:rsidP="00AF5209">
      <w:pPr>
        <w:pStyle w:val="Pagedecouverture"/>
        <w:rPr>
          <w:noProof/>
        </w:rPr>
      </w:pPr>
      <w:bookmarkStart w:id="0" w:name="LW_BM_COVERPAGE"/>
      <w:r>
        <w:rPr>
          <w:noProof/>
        </w:rPr>
        <w:pict w14:anchorId="4A9CE40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1" type="#_x0000_t75" alt="CF81CF17-9BAE-4C58-A956-BF88DEBAF023" style="width:455.25pt;height:393pt">
            <v:imagedata r:id="rId7" o:title=""/>
          </v:shape>
        </w:pict>
      </w:r>
    </w:p>
    <w:bookmarkEnd w:id="0"/>
    <w:p w14:paraId="51964213" w14:textId="77777777" w:rsidR="00AC1E12" w:rsidRDefault="00AC1E12" w:rsidP="001337D4">
      <w:pPr>
        <w:jc w:val="both"/>
        <w:rPr>
          <w:noProof/>
        </w:rPr>
        <w:sectPr w:rsidR="00AC1E12" w:rsidSect="00AF520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0C71BB5B" w14:textId="77777777" w:rsidR="00AC1E12" w:rsidRPr="00AC1E12" w:rsidRDefault="00AC1E12" w:rsidP="001337D4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bookmarkStart w:id="1" w:name="_GoBack"/>
      <w:bookmarkEnd w:id="1"/>
      <w:r>
        <w:rPr>
          <w:rFonts w:ascii="Times New Roman" w:hAnsi="Times New Roman"/>
          <w:noProof/>
          <w:sz w:val="24"/>
        </w:rPr>
        <w:lastRenderedPageBreak/>
        <w:t>1. INTRODUZZJONI</w:t>
      </w:r>
    </w:p>
    <w:p w14:paraId="022D4D7B" w14:textId="02BC268A" w:rsidR="00AC1E12" w:rsidRDefault="00AC1E12" w:rsidP="001337D4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Ir-Regolament (UE) 2019/1148 dwar it-tqegħid fis-suq u l-użu ta’ prekursuri tal-isplussivi (minn hawn ’il quddiem “ir-Regolament”) jistabbilixxi regoli armonizzati li jikkonċernaw it-tqegħid għad-dispożizzjoni, l-introduzzjoni, il-pussess u l-użu ta’ sustanzi jew taħlitiet li jistgħu jiġu użati ħażin għall-manifattura illeċita tal-isplussivi, bl-għan li tiġi limitata d-disponibbiltà ta’ dawk is-sustanzi jew taħlitiet għall-membri tal-pubbliku ġenerali, u li jiġi żgurat ir-rapportar adegwat ta’ tranżazzjonijiet suspettużi tul il-katina tal-provvista. Il-kontrolli u r-restrizzjonijiet tar-Regolament japplikaw għas-sustanzi elenkati fl-Annessi tiegħu u għat-taħlitiet u s-sustanzi li fihom dawk is-sustanzi. </w:t>
      </w:r>
    </w:p>
    <w:p w14:paraId="7D9E6F13" w14:textId="505F87EE" w:rsidR="001337D4" w:rsidRPr="00AC1E12" w:rsidRDefault="001337D4" w:rsidP="001337D4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Skont l-Artikolu 15 tar-Regolament, il-Kummissjoni għandha s-setgħa li tadotta atti delegati li jemendaw ir-Regolament li: (a) jimmodifikaw il-valuri ta’ limitu fl-Anness I sa fejn meħtieġ biex jiġu akkomodati l-iżviluppi fl-użu ħażin ta’ sustanzi bħala prekursuri tal-isplussivi, jew abbażi ta’ riċerka u ttestjar; (b) iżidu sustanzi fl-Anness II, fejn ikun meħtieġ biex jiġu akkomodati l-iżviluppi fl-użu ħażin ta’ sustanzi bħala prekursuri tal-isplussivi.</w:t>
      </w:r>
    </w:p>
    <w:p w14:paraId="3C5B3A6C" w14:textId="18EFE060" w:rsidR="00FC1D85" w:rsidRDefault="00FC1D85" w:rsidP="001337D4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Il-Kumitat Permanenti dwar il-Prekursuri, grupp ta’ esperti ppresedut mill-Kummissjoni u magħmul minn rappreżentanti tal-Istati Membri u l-assoċjazzjonijiet industrijali, jassisti lill-Kummissjoni fil-ħidma tagħha biex tiffaċilita u timmonitorja l-implimentazzjoni tar-Regolament (UE) 2019/1148.</w:t>
      </w:r>
    </w:p>
    <w:p w14:paraId="1F021CBC" w14:textId="0E6B1041" w:rsidR="00AC1E12" w:rsidRPr="00AC1E12" w:rsidRDefault="00AC1E12" w:rsidP="001337D4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Ir-Regolament huwa strument ewlieni fil-ġlieda kontra t-terroriżmu u r-reati fl-Unjoni Ewropea peress li jipprevjeni lit-terroristi jew lill-kriminali milli jakkwistaw prekursuri tal-isplussivi li jistgħu jintużaw biex jipproduċu “Splussivi Artiġjanali” (Home Made Explosives, HMEs). F’diversi attakki terroristiċi fl-UE, inklużi dawk f’Pariġi fl-2015, fi Brussell fl-2016, f’Manchester u f’Parsons Green fl-2017 u f’Lyon fl-2019, it-terroristi użaw dawn l-HMEs.</w:t>
      </w:r>
    </w:p>
    <w:p w14:paraId="58E6EBC5" w14:textId="77777777" w:rsidR="00AC1E12" w:rsidRPr="00AC1E12" w:rsidRDefault="00AC1E12" w:rsidP="001337D4">
      <w:pPr>
        <w:jc w:val="both"/>
        <w:rPr>
          <w:rFonts w:ascii="Times New Roman" w:hAnsi="Times New Roman" w:cs="Times New Roman"/>
          <w:noProof/>
          <w:sz w:val="24"/>
          <w:szCs w:val="24"/>
          <w:lang w:val="en-IE"/>
        </w:rPr>
      </w:pPr>
    </w:p>
    <w:p w14:paraId="2DEFD7F5" w14:textId="77777777" w:rsidR="00AC1E12" w:rsidRPr="00AC1E12" w:rsidRDefault="00AC1E12" w:rsidP="001337D4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2. BAŻI LEGALI</w:t>
      </w:r>
    </w:p>
    <w:p w14:paraId="653CA15A" w14:textId="01033C47" w:rsidR="00AC1E12" w:rsidRPr="00AC1E12" w:rsidRDefault="00AC1E12" w:rsidP="001337D4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Dan ir-rapport huwa meħtieġ mill-Artikolu 16(2) tar-Regolament. Skont din id-dispożizzjoni, is-setgħa li tadotta atti delegati hija mogħtija lill-Kummissjoni għal perjodu ta’ 5 snin mill-31 ta’ Lulju 2019. Barra minn hekk, il-Kummissjoni hija meħtieġa tfassal rapport fir-rigward tad-delega ta’ setgħat mhux aktar tard minn 9 xhur qabel it-tmiem tal-perjodu ta’ 5 snin, li huwa l-31 ta’ Ottubru 2023. </w:t>
      </w:r>
    </w:p>
    <w:p w14:paraId="6206E13F" w14:textId="15A0F396" w:rsidR="00AC1E12" w:rsidRPr="00AC1E12" w:rsidRDefault="00AC1E12" w:rsidP="001337D4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Id-delega ta’ setgħa għandha tiġi estiża b’mod taċitu għal perjodi ta’ tul identiku, sakemm il-Parlament Ewropew jew il-Kunsill ma jopponix għal din l-estensjoni mhux iktar tard minn 3 xhur qabel it-tmiem ta’ kull perjodu.</w:t>
      </w:r>
    </w:p>
    <w:p w14:paraId="3CFC08C6" w14:textId="77777777" w:rsidR="00AC1E12" w:rsidRPr="00AC1E12" w:rsidRDefault="00AC1E12" w:rsidP="001337D4">
      <w:pPr>
        <w:jc w:val="both"/>
        <w:rPr>
          <w:rFonts w:ascii="Times New Roman" w:hAnsi="Times New Roman" w:cs="Times New Roman"/>
          <w:noProof/>
          <w:sz w:val="24"/>
          <w:szCs w:val="24"/>
          <w:lang w:val="en-IE"/>
        </w:rPr>
      </w:pPr>
    </w:p>
    <w:p w14:paraId="2BE97A6F" w14:textId="77777777" w:rsidR="00AC1E12" w:rsidRPr="00AC1E12" w:rsidRDefault="00AC1E12" w:rsidP="001337D4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3. EŻERĊIZZJU TAD-DELEGA</w:t>
      </w:r>
    </w:p>
    <w:p w14:paraId="585F5CE4" w14:textId="6177098A" w:rsidR="00AC1E12" w:rsidRPr="00AC1E12" w:rsidRDefault="00AC1E12" w:rsidP="001337D4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Matul il-perjodu kopert minn dan ir-rapport - jiġifieri mill-31 ta’ Lulju 2019 sal-31 ta’ Ottubru 2023 - il-Kummissjoni ma eżerċitatx is-setgħa tagħha f’konformità mal-Artikolu 15 tar-Regolament li tadotta atti delegati biex timmodifika l-valuri ta’ limitu tas-sustanzi fl-Anness I jew biex iżżid sustanzi fl-Anness II tar-Regolament.</w:t>
      </w:r>
    </w:p>
    <w:p w14:paraId="5D7B6B92" w14:textId="1EE1AFDC" w:rsidR="00AC1E12" w:rsidRPr="00AC1E12" w:rsidRDefault="00AC1E12" w:rsidP="001337D4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Madankollu, it-theddida ppreżentata mill-HMEs għadha għolja u qed tkompli tevolvi. Dan hija kkonfermata b’mod sistematiku fir-Rapport annwali tal-Europol tas-Sitwazzjoni u t-Tendenzi tat-Terroriżmu fl-UE (TE-SAT) li jagħti ħarsa ġenerali lejn il-fenomenu tat-terroriżmu fl-UE f’sena partikolari</w:t>
      </w:r>
      <w:r>
        <w:rPr>
          <w:rStyle w:val="FootnoteReference"/>
          <w:rFonts w:ascii="Times New Roman" w:hAnsi="Times New Roman" w:cs="Times New Roman"/>
          <w:noProof/>
          <w:sz w:val="24"/>
          <w:szCs w:val="24"/>
          <w:lang w:val="en-IE"/>
        </w:rPr>
        <w:footnoteReference w:id="1"/>
      </w:r>
      <w:r>
        <w:rPr>
          <w:rFonts w:ascii="Times New Roman" w:hAnsi="Times New Roman"/>
          <w:noProof/>
          <w:sz w:val="24"/>
        </w:rPr>
        <w:t>.</w:t>
      </w:r>
    </w:p>
    <w:p w14:paraId="62DAAA96" w14:textId="453FF753" w:rsidR="00AC1E12" w:rsidRPr="00AC1E12" w:rsidRDefault="00AC1E12" w:rsidP="001337D4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Għalhekk, il-Kumitat Permanenti dwar il-Prekursuri qed isegwi b’mod kostanti l-iżviluppi li jikkonċernaw l-użu ħażin possibbli ta’ sustanzi ġodda, jew konċentrazzjonijiet jew taħlitiet ġodda tagħhom, bħala prekursuri tal-isplussivi abbażi ta’ kontribut mill-esperti tal-Istati Membri tal-UE, l-Europol jew awtoritajiet oħra tal-infurzar tal-liġi. Matul il-perjodu kopert minn dan ir-rapport, xi sustanzi ġodda ġew ikkunsidrati għall-inklużjoni possibbli fl-Annessi tar-Regolament. Madankollu, matul il-perjodu ta’ rapportar qatt ma tqieset il-ħtieġa li jiġu akkomodati l-iżviluppi fl-użu ħażin ta’ sustanzi bħala prekursuri tal-isplussivi, u li tiġi ppreżentata proposta għal regolament delegat biex jiġu mmodifikati l-valuri ta’ limitu tas-sustanzi fl-Anness I jew biex jiżdiedu sustanzi fl-Anness II tar-Regolament.</w:t>
      </w:r>
    </w:p>
    <w:p w14:paraId="79CF2191" w14:textId="32892E8B" w:rsidR="00AC1E12" w:rsidRPr="00AC1E12" w:rsidRDefault="00AC1E12" w:rsidP="001337D4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Barra minn hekk, għandu jiġi nnotat li fl-2016, il-Kummissjoni eżerċitat is-setgħa tagħha li tadotta atti delegati biex iżżid tliet sustanzi fl-Anness II, jiġifieri t-trab tal-aluminju, in-nitrat tal-manjeżju eżaidrat u t-trab tal-manjeżju. F’dak iż-żmien, kien applikabbli r-Regolament (UE) Nru 98/2013 dwar it-tqegħid fis-suq u l-użu ta’ prekursuri tal-isplussivi, li kien il-predeċessur tar-Regolament (UE) 2019/1148 dwar it-tqegħid fis-suq u l-użu ta’ prekursuri tal-isplussivi.</w:t>
      </w:r>
    </w:p>
    <w:p w14:paraId="1A47B928" w14:textId="77777777" w:rsidR="00AC1E12" w:rsidRPr="00AC1E12" w:rsidRDefault="00AC1E12" w:rsidP="001337D4">
      <w:pPr>
        <w:jc w:val="both"/>
        <w:rPr>
          <w:rFonts w:ascii="Times New Roman" w:hAnsi="Times New Roman" w:cs="Times New Roman"/>
          <w:noProof/>
          <w:sz w:val="24"/>
          <w:szCs w:val="24"/>
          <w:lang w:val="en-IE"/>
        </w:rPr>
      </w:pPr>
    </w:p>
    <w:p w14:paraId="4C96E236" w14:textId="77777777" w:rsidR="00AC1E12" w:rsidRPr="00AC1E12" w:rsidRDefault="00AC1E12" w:rsidP="001337D4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4. KONKLUŻJONI</w:t>
      </w:r>
    </w:p>
    <w:p w14:paraId="537111AD" w14:textId="3470779C" w:rsidR="00AC1E12" w:rsidRPr="00AC1E12" w:rsidRDefault="008474A0" w:rsidP="001337D4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Il-Kummissjoni hija tal-fehma li s-setgħa li tadotta atti delegati mogħtija lilha mir-Regolament jenħtieġ li tiġi estiża b’mod taċitu għal perjodu ta’ 5 snin, f’konformità mal-Artikolu 16(2) tar-Regolament.</w:t>
      </w:r>
    </w:p>
    <w:sectPr w:rsidR="00AC1E12" w:rsidRPr="00AC1E12" w:rsidSect="007F1FF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endnotePr>
        <w:numFmt w:val="lowerLetter"/>
      </w:endnotePr>
      <w:pgSz w:w="11906" w:h="16838"/>
      <w:pgMar w:top="1020" w:right="1701" w:bottom="1020" w:left="1587" w:header="601" w:footer="107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831695" w14:textId="77777777" w:rsidR="00AC1E12" w:rsidRDefault="00AC1E12" w:rsidP="00AC1E12">
      <w:pPr>
        <w:spacing w:after="0" w:line="240" w:lineRule="auto"/>
      </w:pPr>
      <w:r>
        <w:separator/>
      </w:r>
    </w:p>
  </w:endnote>
  <w:endnote w:type="continuationSeparator" w:id="0">
    <w:p w14:paraId="38809C02" w14:textId="77777777" w:rsidR="00AC1E12" w:rsidRDefault="00AC1E12" w:rsidP="00AC1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AA563" w14:textId="03438086" w:rsidR="00440B25" w:rsidRPr="00AF5209" w:rsidRDefault="00440B25" w:rsidP="00AF52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BC49D8" w14:textId="7F8C6D2D" w:rsidR="00440B25" w:rsidRPr="00AF5209" w:rsidRDefault="00AF5209" w:rsidP="00AF5209">
    <w:pPr>
      <w:pStyle w:val="FooterCoverPage"/>
      <w:rPr>
        <w:rFonts w:ascii="Arial" w:hAnsi="Arial" w:cs="Arial"/>
        <w:b/>
        <w:sz w:val="48"/>
      </w:rPr>
    </w:pPr>
    <w:r w:rsidRPr="00AF5209">
      <w:rPr>
        <w:rFonts w:ascii="Arial" w:hAnsi="Arial" w:cs="Arial"/>
        <w:b/>
        <w:sz w:val="48"/>
      </w:rPr>
      <w:t>MT</w:t>
    </w:r>
    <w:r w:rsidRPr="00AF5209">
      <w:rPr>
        <w:rFonts w:ascii="Arial" w:hAnsi="Arial" w:cs="Arial"/>
        <w:b/>
        <w:sz w:val="48"/>
      </w:rPr>
      <w:tab/>
    </w:r>
    <w:r w:rsidRPr="00AF5209">
      <w:rPr>
        <w:rFonts w:ascii="Arial" w:hAnsi="Arial" w:cs="Arial"/>
        <w:b/>
        <w:sz w:val="48"/>
      </w:rPr>
      <w:tab/>
    </w:r>
    <w:r w:rsidRPr="00AF5209">
      <w:tab/>
    </w:r>
    <w:r w:rsidRPr="00AF5209">
      <w:rPr>
        <w:rFonts w:ascii="Arial" w:hAnsi="Arial" w:cs="Arial"/>
        <w:b/>
        <w:sz w:val="48"/>
      </w:rPr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F8CDF6" w14:textId="77777777" w:rsidR="00AF5209" w:rsidRPr="00AF5209" w:rsidRDefault="00AF5209" w:rsidP="00AF5209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61CBD" w14:textId="77777777" w:rsidR="007F1FFE" w:rsidRDefault="00AC1E12">
    <w:pPr>
      <w:pStyle w:val="FooterLine"/>
      <w:jc w:val="center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D8761" w14:textId="501AB4F5" w:rsidR="007F1FFE" w:rsidRDefault="00AC1E12">
    <w:pPr>
      <w:pStyle w:val="FooterLine"/>
      <w:jc w:val="center"/>
    </w:pPr>
    <w:r>
      <w:fldChar w:fldCharType="begin"/>
    </w:r>
    <w:r>
      <w:instrText>PAGE   \* MERGEFORMAT</w:instrText>
    </w:r>
    <w:r>
      <w:fldChar w:fldCharType="separate"/>
    </w:r>
    <w:r w:rsidR="00AF5209">
      <w:rPr>
        <w:noProof/>
      </w:rPr>
      <w:t>2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06CEFC" w14:textId="77777777" w:rsidR="007F1FFE" w:rsidRPr="007F1FFE" w:rsidRDefault="00AF5209" w:rsidP="007F1F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AF837E" w14:textId="77777777" w:rsidR="00AC1E12" w:rsidRDefault="00AC1E12" w:rsidP="00AC1E12">
      <w:pPr>
        <w:spacing w:after="0" w:line="240" w:lineRule="auto"/>
      </w:pPr>
      <w:r>
        <w:separator/>
      </w:r>
    </w:p>
  </w:footnote>
  <w:footnote w:type="continuationSeparator" w:id="0">
    <w:p w14:paraId="5A0BAA86" w14:textId="77777777" w:rsidR="00AC1E12" w:rsidRDefault="00AC1E12" w:rsidP="00AC1E12">
      <w:pPr>
        <w:spacing w:after="0" w:line="240" w:lineRule="auto"/>
      </w:pPr>
      <w:r>
        <w:continuationSeparator/>
      </w:r>
    </w:p>
  </w:footnote>
  <w:footnote w:id="1">
    <w:p w14:paraId="5324479D" w14:textId="183FD54E" w:rsidR="00ED5FCB" w:rsidRPr="003D0FF4" w:rsidRDefault="00ED5FCB" w:rsidP="003D0FF4">
      <w:pPr>
        <w:pStyle w:val="FootnoteText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 w:cs="Times New Roman"/>
        </w:rPr>
        <w:footnoteRef/>
      </w:r>
      <w:r>
        <w:rPr>
          <w:rFonts w:ascii="Times New Roman" w:hAnsi="Times New Roman"/>
        </w:rPr>
        <w:t xml:space="preserve">Ir-Rapport tas-Sitwazzjoni u t-Tendenzi tat-Terroriżmu tal-Unjoni Ewropea tal-2022 (TE-SAT) li jiddikjara li </w:t>
      </w:r>
      <w:r>
        <w:rPr>
          <w:rFonts w:ascii="Times New Roman" w:hAnsi="Times New Roman"/>
          <w:i/>
        </w:rPr>
        <w:t>“L-isplussivi artiġjanali (HME) jibqgħu l-arma ppreferuta tat-terroristi ġiħadisti. Filwaqt li l-użu tat-TATP kompla jonqos, fl-2021 ġiet innotata xejra dejjem tiżdied tal-manifattura ta’ splussivi artiġjanali bi splussività baxxa mħalltin minn prekursuri tal-isplussivi akkwistati (eż. nitrat tal-potassju, trab tal-aluminju, kubrit, nitrat tal-ammonju). L-istruzzjonijiet ippubblikati u kondiviżi permezz ta’ pjattaformi ta’ komunikazzjoni kriptati, kienu jikkonsistu l-aktar f’inċitament u f’suġġerimenti għall-użu tal-HME, pirotekniċi disponibbli faċilment u tipi rudimentali ta’ “pajp bomba” tal-IED</w:t>
      </w:r>
      <w:r>
        <w:rPr>
          <w:rFonts w:ascii="Times New Roman" w:hAnsi="Times New Roman"/>
        </w:rPr>
        <w:t>s”.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F3A1" w14:textId="77777777" w:rsidR="00AF5209" w:rsidRPr="00AF5209" w:rsidRDefault="00AF5209" w:rsidP="00AF52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6F4046" w14:textId="77777777" w:rsidR="00AF5209" w:rsidRPr="00AF5209" w:rsidRDefault="00AF5209" w:rsidP="00AF5209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8B09F3" w14:textId="77777777" w:rsidR="00AF5209" w:rsidRPr="00AF5209" w:rsidRDefault="00AF5209" w:rsidP="00AF5209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8B6442" w14:textId="77777777" w:rsidR="007F1FFE" w:rsidRDefault="00AF520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52E3AE" w14:textId="77777777" w:rsidR="007F1FFE" w:rsidRDefault="00AF5209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89D471" w14:textId="77777777" w:rsidR="007F1FFE" w:rsidRDefault="00AF52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markup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Status" w:val="Green"/>
    <w:docVar w:name="LW_CORRIGENDUM" w:val="&lt;UNUSED&gt;"/>
    <w:docVar w:name="LW_COVERPAGE_EXISTS" w:val="True"/>
    <w:docVar w:name="LW_COVERPAGE_GUID" w:val="CF81CF17-9BAE-4C58-A956-BF88DEBAF023"/>
    <w:docVar w:name="LW_COVERPAGE_TYPE" w:val="1"/>
    <w:docVar w:name="LW_CROSSREFERENCE" w:val="&lt;UNUSED&gt;"/>
    <w:docVar w:name="LW_DocType" w:val="NORMAL"/>
    <w:docVar w:name="LW_EMISSION" w:val="20.11.2023"/>
    <w:docVar w:name="LW_EMISSION_ISODATE" w:val="2023-11-20"/>
    <w:docVar w:name="LW_EMISSION_LOCATION" w:val="BRX"/>
    <w:docVar w:name="LW_EMISSION_PREFIX" w:val="Brussell, "/>
    <w:docVar w:name="LW_EMISSION_SUFFIX" w:val=" "/>
    <w:docVar w:name="LW_ID_DOCTYPE_NONLW" w:val="CP-006"/>
    <w:docVar w:name="LW_LANGUE" w:val="MT"/>
    <w:docVar w:name="LW_LEVEL_OF_SENSITIVITY" w:val="Standard treatment"/>
    <w:docVar w:name="LW_NOM.INST" w:val="IL-KUMMISSJONI EWROPEA"/>
    <w:docVar w:name="LW_NOM.INST_JOINTDOC" w:val="&lt;EMPTY&gt;"/>
    <w:docVar w:name="LW_PART_NBR" w:val="1"/>
    <w:docVar w:name="LW_PART_NBR_TOTAL" w:val="1"/>
    <w:docVar w:name="LW_REF.INST.NEW" w:val="COM"/>
    <w:docVar w:name="LW_REF.INST.NEW_ADOPTED" w:val="final"/>
    <w:docVar w:name="LW_REF.INST.NEW_TEXT" w:val="(2023) 710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" w:val="dwar l-eżerċizzju tad-delega mogħtija lill-Kummissjoni skont_x000b__x000b__x000b__x000b_ir-Regolament (UE) 2019/1148 tal-Parlament Ewropew u tal-Kunsill dwar it-tqegħid fis-suq u l-użu ta’ prekursuri tal-isplussivi, li jemenda r-Regolament (KE) Nru 1907/2006 u li jħassar ir-Regolament (UE) Nru 98/2013"/>
    <w:docVar w:name="LW_TYPE.DOC.CP" w:val="RAPPORT TAL-KUMMISSJONI LILL-PARLAMENT EWROPEW U LILL-KUNSILL"/>
    <w:docVar w:name="LwApiVersions" w:val="LW4CoDe 1.23.2.0; LW 8.0, Build 20211117"/>
  </w:docVars>
  <w:rsids>
    <w:rsidRoot w:val="00AC1E12"/>
    <w:rsid w:val="00011A40"/>
    <w:rsid w:val="00012DD7"/>
    <w:rsid w:val="00014A10"/>
    <w:rsid w:val="000D03E0"/>
    <w:rsid w:val="000D3815"/>
    <w:rsid w:val="000F297C"/>
    <w:rsid w:val="001060CB"/>
    <w:rsid w:val="0012199B"/>
    <w:rsid w:val="00126167"/>
    <w:rsid w:val="001337D4"/>
    <w:rsid w:val="00157424"/>
    <w:rsid w:val="00193D81"/>
    <w:rsid w:val="001D66D7"/>
    <w:rsid w:val="001F62A6"/>
    <w:rsid w:val="0021512F"/>
    <w:rsid w:val="00215D04"/>
    <w:rsid w:val="00270AB2"/>
    <w:rsid w:val="0028749E"/>
    <w:rsid w:val="00290B60"/>
    <w:rsid w:val="002A60A6"/>
    <w:rsid w:val="002D1D95"/>
    <w:rsid w:val="002E11EB"/>
    <w:rsid w:val="002F1AC1"/>
    <w:rsid w:val="00366609"/>
    <w:rsid w:val="00387228"/>
    <w:rsid w:val="003B498D"/>
    <w:rsid w:val="003D0FF4"/>
    <w:rsid w:val="003D53B8"/>
    <w:rsid w:val="004179A0"/>
    <w:rsid w:val="00440B25"/>
    <w:rsid w:val="005022FE"/>
    <w:rsid w:val="00505E0F"/>
    <w:rsid w:val="00562F04"/>
    <w:rsid w:val="00571E01"/>
    <w:rsid w:val="005B70EB"/>
    <w:rsid w:val="005D1B80"/>
    <w:rsid w:val="005F2F76"/>
    <w:rsid w:val="005F668D"/>
    <w:rsid w:val="0060475C"/>
    <w:rsid w:val="0065540C"/>
    <w:rsid w:val="00667965"/>
    <w:rsid w:val="00680759"/>
    <w:rsid w:val="006B7797"/>
    <w:rsid w:val="006E40C1"/>
    <w:rsid w:val="00760233"/>
    <w:rsid w:val="00776F2F"/>
    <w:rsid w:val="007D7540"/>
    <w:rsid w:val="007E2D17"/>
    <w:rsid w:val="00803DD5"/>
    <w:rsid w:val="008474A0"/>
    <w:rsid w:val="00856930"/>
    <w:rsid w:val="008B1EA8"/>
    <w:rsid w:val="008B6BE3"/>
    <w:rsid w:val="00931DA6"/>
    <w:rsid w:val="009A5F5A"/>
    <w:rsid w:val="009B2244"/>
    <w:rsid w:val="009B5C0B"/>
    <w:rsid w:val="00A14D51"/>
    <w:rsid w:val="00A85A41"/>
    <w:rsid w:val="00AA7F10"/>
    <w:rsid w:val="00AB1BD7"/>
    <w:rsid w:val="00AB31A4"/>
    <w:rsid w:val="00AC1E12"/>
    <w:rsid w:val="00AD051A"/>
    <w:rsid w:val="00AE356E"/>
    <w:rsid w:val="00AF5209"/>
    <w:rsid w:val="00B755D0"/>
    <w:rsid w:val="00C156FB"/>
    <w:rsid w:val="00C72F7E"/>
    <w:rsid w:val="00C769BB"/>
    <w:rsid w:val="00CF10A1"/>
    <w:rsid w:val="00CF64A7"/>
    <w:rsid w:val="00D077B9"/>
    <w:rsid w:val="00DC0917"/>
    <w:rsid w:val="00DD56F4"/>
    <w:rsid w:val="00E031D0"/>
    <w:rsid w:val="00E03369"/>
    <w:rsid w:val="00E657F2"/>
    <w:rsid w:val="00E769B3"/>
    <w:rsid w:val="00EC14B7"/>
    <w:rsid w:val="00ED5FCB"/>
    <w:rsid w:val="00F00B8C"/>
    <w:rsid w:val="00F01F39"/>
    <w:rsid w:val="00F12F5A"/>
    <w:rsid w:val="00F44A7B"/>
    <w:rsid w:val="00FA3461"/>
    <w:rsid w:val="00FC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260D8EC"/>
  <w15:chartTrackingRefBased/>
  <w15:docId w15:val="{A5D52439-1F00-479D-8607-EF7CC0A5A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mt-M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iPriority="2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r">
    <w:name w:val="Marker"/>
    <w:basedOn w:val="DefaultParagraphFont"/>
    <w:rsid w:val="00AC1E12"/>
    <w:rPr>
      <w:color w:val="0000FF"/>
      <w:shd w:val="clear" w:color="auto" w:fill="auto"/>
    </w:rPr>
  </w:style>
  <w:style w:type="paragraph" w:styleId="Header">
    <w:name w:val="header"/>
    <w:basedOn w:val="Normal"/>
    <w:link w:val="HeaderChar"/>
    <w:uiPriority w:val="2"/>
    <w:unhideWhenUsed/>
    <w:rsid w:val="00AC1E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2"/>
    <w:rsid w:val="00AC1E12"/>
  </w:style>
  <w:style w:type="paragraph" w:styleId="Footer">
    <w:name w:val="footer"/>
    <w:basedOn w:val="Normal"/>
    <w:link w:val="FooterChar"/>
    <w:uiPriority w:val="2"/>
    <w:unhideWhenUsed/>
    <w:rsid w:val="00AC1E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1E12"/>
  </w:style>
  <w:style w:type="paragraph" w:customStyle="1" w:styleId="Pagedecouverture">
    <w:name w:val="Page de couverture"/>
    <w:basedOn w:val="Normal"/>
    <w:next w:val="Normal"/>
    <w:rsid w:val="00AC1E12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FooterCoverPage">
    <w:name w:val="Footer Cover Page"/>
    <w:basedOn w:val="Normal"/>
    <w:link w:val="FooterCoverPageChar"/>
    <w:rsid w:val="00AC1E12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sid w:val="00AC1E12"/>
    <w:rPr>
      <w:rFonts w:ascii="Times New Roman" w:hAnsi="Times New Roman" w:cs="Times New Roman"/>
      <w:sz w:val="24"/>
    </w:rPr>
  </w:style>
  <w:style w:type="paragraph" w:customStyle="1" w:styleId="FooterSensitivity">
    <w:name w:val="Footer Sensitivity"/>
    <w:basedOn w:val="Normal"/>
    <w:link w:val="FooterSensitivityChar"/>
    <w:rsid w:val="00AC1E1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sid w:val="00AC1E12"/>
    <w:rPr>
      <w:rFonts w:ascii="Times New Roman" w:hAnsi="Times New Roman" w:cs="Times New Roman"/>
      <w:b/>
      <w:sz w:val="32"/>
    </w:rPr>
  </w:style>
  <w:style w:type="paragraph" w:customStyle="1" w:styleId="HeaderCoverPage">
    <w:name w:val="Header Cover Page"/>
    <w:basedOn w:val="Normal"/>
    <w:link w:val="HeaderCoverPageChar"/>
    <w:rsid w:val="00AC1E12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sid w:val="00AC1E12"/>
    <w:rPr>
      <w:rFonts w:ascii="Times New Roman" w:hAnsi="Times New Roman" w:cs="Times New Roman"/>
      <w:sz w:val="24"/>
    </w:rPr>
  </w:style>
  <w:style w:type="paragraph" w:customStyle="1" w:styleId="HeaderSensitivity">
    <w:name w:val="Header Sensitivity"/>
    <w:basedOn w:val="Normal"/>
    <w:link w:val="HeaderSensitivityChar"/>
    <w:rsid w:val="00AC1E1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sid w:val="00AC1E12"/>
    <w:rPr>
      <w:rFonts w:ascii="Times New Roman" w:hAnsi="Times New Roman" w:cs="Times New Roman"/>
      <w:b/>
      <w:sz w:val="32"/>
    </w:rPr>
  </w:style>
  <w:style w:type="paragraph" w:customStyle="1" w:styleId="HeaderSensitivityRight">
    <w:name w:val="Header Sensitivity Right"/>
    <w:basedOn w:val="Normal"/>
    <w:link w:val="HeaderSensitivityRightChar"/>
    <w:rsid w:val="00AC1E12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sid w:val="00AC1E12"/>
    <w:rPr>
      <w:rFonts w:ascii="Times New Roman" w:hAnsi="Times New Roman" w:cs="Times New Roman"/>
      <w:sz w:val="28"/>
    </w:rPr>
  </w:style>
  <w:style w:type="paragraph" w:customStyle="1" w:styleId="FooterLine">
    <w:name w:val="Footer Line"/>
    <w:basedOn w:val="Footer"/>
    <w:next w:val="Footer"/>
    <w:uiPriority w:val="2"/>
    <w:rsid w:val="00AC1E12"/>
    <w:pPr>
      <w:tabs>
        <w:tab w:val="clear" w:pos="4680"/>
        <w:tab w:val="clear" w:pos="9360"/>
        <w:tab w:val="right" w:pos="8646"/>
      </w:tabs>
      <w:spacing w:before="120" w:line="264" w:lineRule="auto"/>
      <w:jc w:val="both"/>
    </w:pPr>
    <w:rPr>
      <w:rFonts w:ascii="Times New Roman" w:eastAsia="Times New Roman" w:hAnsi="Times New Roman" w:cs="Times New Roman"/>
      <w:sz w:val="16"/>
      <w:szCs w:val="20"/>
      <w:lang w:eastAsia="en-IE"/>
    </w:rPr>
  </w:style>
  <w:style w:type="paragraph" w:styleId="Revision">
    <w:name w:val="Revision"/>
    <w:hidden/>
    <w:uiPriority w:val="99"/>
    <w:semiHidden/>
    <w:rsid w:val="00ED5FCB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D5FC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D5FC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D5F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30515-8E3A-4C28-9846-2FEF7D98E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596</Words>
  <Characters>4179</Characters>
  <Application>Microsoft Office Word</Application>
  <DocSecurity>0</DocSecurity>
  <Lines>67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27</cp:revision>
  <dcterms:created xsi:type="dcterms:W3CDTF">2023-10-27T14:48:00Z</dcterms:created>
  <dcterms:modified xsi:type="dcterms:W3CDTF">2023-11-09T10:16:00Z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vel of sensitivity">
    <vt:lpwstr>Standard treatment</vt:lpwstr>
  </property>
  <property fmtid="{D5CDD505-2E9C-101B-9397-08002B2CF9AE}" pid="3" name="Part">
    <vt:lpwstr>1</vt:lpwstr>
  </property>
  <property fmtid="{D5CDD505-2E9C-101B-9397-08002B2CF9AE}" pid="4" name="Total parts">
    <vt:lpwstr>1</vt:lpwstr>
  </property>
  <property fmtid="{D5CDD505-2E9C-101B-9397-08002B2CF9AE}" pid="5" name="DocStatus">
    <vt:lpwstr>Green</vt:lpwstr>
  </property>
  <property fmtid="{D5CDD505-2E9C-101B-9397-08002B2CF9AE}" pid="6" name="CPTemplateID">
    <vt:lpwstr>CP-006</vt:lpwstr>
  </property>
  <property fmtid="{D5CDD505-2E9C-101B-9397-08002B2CF9AE}" pid="7" name="Last edited using">
    <vt:lpwstr>LW 9.0, Build 20230317</vt:lpwstr>
  </property>
  <property fmtid="{D5CDD505-2E9C-101B-9397-08002B2CF9AE}" pid="8" name="Created using">
    <vt:lpwstr>LW 9.0, Build 20230317</vt:lpwstr>
  </property>
  <property fmtid="{D5CDD505-2E9C-101B-9397-08002B2CF9AE}" pid="9" name="MSIP_Label_6bd9ddd1-4d20-43f6-abfa-fc3c07406f94_Enabled">
    <vt:lpwstr>true</vt:lpwstr>
  </property>
  <property fmtid="{D5CDD505-2E9C-101B-9397-08002B2CF9AE}" pid="10" name="MSIP_Label_6bd9ddd1-4d20-43f6-abfa-fc3c07406f94_SetDate">
    <vt:lpwstr>2023-10-04T15:25:31Z</vt:lpwstr>
  </property>
  <property fmtid="{D5CDD505-2E9C-101B-9397-08002B2CF9AE}" pid="11" name="MSIP_Label_6bd9ddd1-4d20-43f6-abfa-fc3c07406f94_Method">
    <vt:lpwstr>Standard</vt:lpwstr>
  </property>
  <property fmtid="{D5CDD505-2E9C-101B-9397-08002B2CF9AE}" pid="12" name="MSIP_Label_6bd9ddd1-4d20-43f6-abfa-fc3c07406f94_Name">
    <vt:lpwstr>Commission Use</vt:lpwstr>
  </property>
  <property fmtid="{D5CDD505-2E9C-101B-9397-08002B2CF9AE}" pid="13" name="MSIP_Label_6bd9ddd1-4d20-43f6-abfa-fc3c07406f94_SiteId">
    <vt:lpwstr>b24c8b06-522c-46fe-9080-70926f8dddb1</vt:lpwstr>
  </property>
  <property fmtid="{D5CDD505-2E9C-101B-9397-08002B2CF9AE}" pid="14" name="MSIP_Label_6bd9ddd1-4d20-43f6-abfa-fc3c07406f94_ActionId">
    <vt:lpwstr>3c6bb9b5-2b2b-4b77-a75d-59512f3cb579</vt:lpwstr>
  </property>
  <property fmtid="{D5CDD505-2E9C-101B-9397-08002B2CF9AE}" pid="15" name="MSIP_Label_6bd9ddd1-4d20-43f6-abfa-fc3c07406f94_ContentBits">
    <vt:lpwstr>0</vt:lpwstr>
  </property>
  <property name="OP_sanitized" fmtid="{D5CDD505-2E9C-101B-9397-08002B2CF9AE}" pid="16">
    <vt:lpwstr>True</vt:lpwstr>
  </property>
</Properties>
</file>