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992" w:rsidRDefault="006076B0" w:rsidP="006076B0">
      <w:pPr>
        <w:pStyle w:val="Pagedecouverture"/>
        <w:rPr>
          <w:noProof/>
        </w:rPr>
      </w:pPr>
      <w:bookmarkStart w:id="0" w:name="LW_BM_COVERPAGE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2" type="#_x0000_t75" alt="381FD419-1F98-4191-9BC8-4FCC3029EF8B" style="width:455.25pt;height:336.75pt">
            <v:imagedata r:id="rId7" o:title=""/>
          </v:shape>
        </w:pict>
      </w:r>
    </w:p>
    <w:bookmarkEnd w:id="0"/>
    <w:p w:rsidR="00773992" w:rsidRDefault="00773992" w:rsidP="00773992">
      <w:pPr>
        <w:rPr>
          <w:noProof/>
        </w:rPr>
        <w:sectPr w:rsidR="00773992" w:rsidSect="006076B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:rsidR="00DC7D8E" w:rsidRDefault="00DC7D8E" w:rsidP="00DC7D8E">
      <w:pPr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b/>
          <w:noProof/>
          <w:sz w:val="24"/>
        </w:rPr>
        <w:lastRenderedPageBreak/>
        <w:t xml:space="preserve">1. 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INTRODUZZJONI</w:t>
      </w:r>
    </w:p>
    <w:p w:rsidR="00DC7D8E" w:rsidRDefault="00DC7D8E" w:rsidP="00DC7D8E">
      <w:pPr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Ir-Regolament (UE) Nru 549/2013 tal-Parlament Ewropew u tal-Kunsill</w:t>
      </w:r>
      <w:r>
        <w:rPr>
          <w:rStyle w:val="FootnoteReference"/>
          <w:noProof/>
        </w:rPr>
        <w:footnoteReference w:id="1"/>
      </w:r>
      <w:r>
        <w:rPr>
          <w:rFonts w:ascii="Times New Roman" w:hAnsi="Times New Roman"/>
          <w:noProof/>
          <w:sz w:val="24"/>
        </w:rPr>
        <w:t xml:space="preserve"> stabbilixxa s-Sistema Ewropea tal-Kontijiet 2010 (ESA 2010). ESA 2010 hija sistema ta’ kontijiet nazzjonali u reġjonali mfassla biex tissodisfa r-rekwiżiti tal-politika ekonomika, soċjali u reġjonali tal-UE. Din fiha:  </w:t>
      </w:r>
    </w:p>
    <w:p w:rsidR="00DC7D8E" w:rsidRDefault="00DC7D8E" w:rsidP="00DC7D8E">
      <w:pPr>
        <w:numPr>
          <w:ilvl w:val="0"/>
          <w:numId w:val="2"/>
        </w:numPr>
        <w:spacing w:after="20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metodoloġija (Anness A tar-Regolament) dwar standards komuni, definizzjonijiet, klassifikazzjonijiet u regoli tal-kontabilità li jridu jintużaw għall-kompilazzjoni tal-kontijiet u t-tabelli fuq bażijiet li jistgħu jitqabblu għall-finijiet tal-UE;</w:t>
      </w:r>
    </w:p>
    <w:p w:rsidR="00DC7D8E" w:rsidRPr="00B4683E" w:rsidRDefault="00DC7D8E" w:rsidP="00DC7D8E">
      <w:pPr>
        <w:numPr>
          <w:ilvl w:val="0"/>
          <w:numId w:val="2"/>
        </w:numPr>
        <w:spacing w:after="20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programm (Anness B tar-Regolament) li jistabbilixxi l-limiti ta’ żmien sa meta l-Istati Membri jridu jittrasmettu lill-Kummissjoni (Eurostat) il-kontijiet u t-tabelli li jeħtieġ jiġu kkompilati f’konformità mal-metodoloġija msemmija fil-punt (a).</w:t>
      </w:r>
    </w:p>
    <w:p w:rsidR="00DC7D8E" w:rsidRDefault="00DC7D8E" w:rsidP="00DC7D8E">
      <w:pPr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Ir-Regolament (UE) Nru 549/2013 jagħti s-setgħa lill-Kummissjoni biex tadotta atti delegati, f’konformità mal-kundizzjonijiet stabbiliti fl-Artikolu 7 tar-Regolament:</w:t>
      </w:r>
    </w:p>
    <w:p w:rsidR="00DC7D8E" w:rsidRDefault="00DC7D8E" w:rsidP="00DC7D8E">
      <w:pPr>
        <w:numPr>
          <w:ilvl w:val="0"/>
          <w:numId w:val="1"/>
        </w:numPr>
        <w:spacing w:after="20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dwar emendi fil-metodoloġija tal-ESA 2010, stabbilita fl-Anness A, sabiex jiġi speċifikat u mtejjeb il-kontenut tagħha bl-għan li tiġi żgurata interpretazzjoni armonizzata jew biex tiġi żgurata komparabilità internazzjonali, dment li ma jbiddlux il-kunċetti sottostanti tagħha, ma jkunux jeħtieġu riżorsi addizzjonali għall-produtturi fi ħdan is-Sistema Ewropea tal-Istatistika għall-implimentazzjoni tagħhom, u ma jikkawżawx bidla fir-riżorsi proprji (l-Artikolu 2(2));</w:t>
      </w:r>
    </w:p>
    <w:p w:rsidR="00DC7D8E" w:rsidRDefault="00DC7D8E" w:rsidP="00DC7D8E">
      <w:pPr>
        <w:numPr>
          <w:ilvl w:val="0"/>
          <w:numId w:val="1"/>
        </w:numPr>
        <w:spacing w:after="200" w:line="276" w:lineRule="auto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u biex tiżgura l-affidabilità u l-komparabilità tad-</w:t>
      </w:r>
      <w:r>
        <w:rPr>
          <w:rFonts w:ascii="Times New Roman" w:hAnsi="Times New Roman"/>
          <w:i/>
          <w:iCs/>
          <w:noProof/>
          <w:sz w:val="24"/>
        </w:rPr>
        <w:t>data</w:t>
      </w:r>
      <w:r>
        <w:rPr>
          <w:rFonts w:ascii="Times New Roman" w:hAnsi="Times New Roman"/>
          <w:noProof/>
          <w:sz w:val="24"/>
        </w:rPr>
        <w:t xml:space="preserve"> tal-ESA 2010 tal-Istati Membri dwar ir-riċerka u l-iżvilupp irreġistrata bħala formazzjoni grossa tal-kapital fiss. Fl-eżerċitar tas-setgħa tagħha skont dan il-paragrafu, il-Kummissjoni trid tiżgura li t-tali atti delegati ma jimponux piż amministrattiv addizzjonali sinifikanti fuq l-Istati Membri jew fuq l-unitajiet rispondenti (l-Artikolu 2(5)).</w:t>
      </w:r>
    </w:p>
    <w:p w:rsidR="00DC7D8E" w:rsidRDefault="00DC7D8E" w:rsidP="00DC7D8E">
      <w:pPr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It-tielet setgħa, b’mod partikolari dwar ir-reviżjoni tal-metodoloġija użata għall-kalkolu u l-allokazzjoni tas-servizzi ta’ intermedjazzjoni finanzjarja mkejla indirettament (FISIM) fil-kontijiet nazzjonali f’konformità mal-metodoloġija deskritta fl-Anness A, ingħatat lill-Kummissjoni għal perjodu ta’ xahrejn u kellha tiġi eżerċitata qabel is-17 ta’ Settembru 2013</w:t>
      </w:r>
      <w:r>
        <w:rPr>
          <w:rStyle w:val="FootnoteReference"/>
          <w:rFonts w:ascii="Times New Roman" w:eastAsia="Calibri" w:hAnsi="Times New Roman" w:cs="Times New Roman"/>
          <w:noProof/>
          <w:sz w:val="24"/>
          <w:szCs w:val="24"/>
        </w:rPr>
        <w:footnoteReference w:id="2"/>
      </w:r>
      <w:r>
        <w:rPr>
          <w:rFonts w:ascii="Times New Roman" w:hAnsi="Times New Roman"/>
          <w:noProof/>
          <w:sz w:val="24"/>
        </w:rPr>
        <w:t xml:space="preserve"> (l-Artikolu 2(4));</w:t>
      </w:r>
    </w:p>
    <w:p w:rsidR="00DC7D8E" w:rsidRDefault="00DC7D8E" w:rsidP="00DC7D8E">
      <w:pPr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Ir-Regolament (UE) Nru 549/2013 jenfasizza l-importanza li l-Kummissjoni twettaq konsultazzjonijiet xierqa matul il-ħidma preparatorja tagħha, inkluż mal-Kumitat tas-Sistema Ewropea tal-Istatistika stabbilit skont ir-Regolament (KE) Nru 223/2009</w:t>
      </w:r>
      <w:r>
        <w:rPr>
          <w:rStyle w:val="FootnoteReference"/>
          <w:rFonts w:ascii="Times New Roman" w:eastAsia="Calibri" w:hAnsi="Times New Roman" w:cs="Times New Roman"/>
          <w:noProof/>
          <w:sz w:val="24"/>
          <w:szCs w:val="24"/>
        </w:rPr>
        <w:footnoteReference w:id="3"/>
      </w:r>
      <w:r>
        <w:rPr>
          <w:rFonts w:ascii="Times New Roman" w:hAnsi="Times New Roman"/>
          <w:noProof/>
          <w:sz w:val="24"/>
        </w:rPr>
        <w:t xml:space="preserve"> (Premessa 24).</w:t>
      </w:r>
    </w:p>
    <w:p w:rsidR="00DC7D8E" w:rsidRDefault="00DC7D8E" w:rsidP="00DC7D8E">
      <w:pPr>
        <w:keepNext/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 xml:space="preserve">2. 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BAŻI ĠURIDIKA</w:t>
      </w:r>
    </w:p>
    <w:p w:rsidR="00DC7D8E" w:rsidRDefault="00DC7D8E" w:rsidP="00DC7D8E">
      <w:pPr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Dan ir-rapport huwa meħtieġ skont l-Artikolu 7(2) tar-Regolament (UE) Nru 549/2013, li jagħti s-setgħa lill-Kummissjoni biex tadotta atti delegati msemmija fl-Artikolu 2(2) u 2(5) għal perjodu ta’ ħames snin mis-16 ta’ Lulju 2013. Id-delega tas-setgħat għandha tiġi estiża awtomatikament għal perjodi ta’ żmien identiċi, ħlief jekk il-Parlament Ewropew jew il-Kunsill joġġezzjonaw għal tali estensjoni mhux iktar tard minn tliet xhur qabel it-tmiem ta’ kull perjodu. Il-Kummissjoni trid tfassal rapport dwar id-delega tas-setgħat sa mhux iktar tard minn disa’ xhur qabel it-tmiem tal-perjodu ta’ ħames snin.</w:t>
      </w:r>
    </w:p>
    <w:p w:rsidR="00DC7D8E" w:rsidRDefault="00DC7D8E" w:rsidP="00DC7D8E">
      <w:pPr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>3.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EŻERĊITAR TAD-DELEGA FIL-PERJODU ATTWALI</w:t>
      </w:r>
    </w:p>
    <w:p w:rsidR="00DC7D8E" w:rsidRDefault="00DC7D8E" w:rsidP="00DC7D8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Il-Kummissjoni rrapportat dwar l-użu tad-delega tas-setgħat matul l-ewwel ħames snin tal-applikazzjoni tar-Regolament (UE) Nru 549/2013 fl-2017</w:t>
      </w:r>
      <w:r>
        <w:rPr>
          <w:rStyle w:val="FootnoteReference"/>
          <w:rFonts w:ascii="Times New Roman" w:hAnsi="Times New Roman" w:cs="Times New Roman"/>
          <w:noProof/>
          <w:sz w:val="24"/>
          <w:szCs w:val="24"/>
        </w:rPr>
        <w:footnoteReference w:id="4"/>
      </w:r>
      <w:r>
        <w:rPr>
          <w:rFonts w:ascii="Times New Roman" w:hAnsi="Times New Roman"/>
          <w:noProof/>
          <w:sz w:val="24"/>
        </w:rPr>
        <w:t xml:space="preserve">. </w:t>
      </w:r>
    </w:p>
    <w:p w:rsidR="00DC7D8E" w:rsidRDefault="00DC7D8E" w:rsidP="00DC7D8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 xml:space="preserve">Matul il-perjodu ta’ ħames snin li kien imiss, li beda fis-16 ta’ Lulju 2018 skont l-estensjoni awtomatika tad-delega tas-setgħat, il-Kummissjoni ma eżerċitatx is-setgħa tagħha li tadotta atti delegati kif mogħtija lilha mill-Artikoli 2(2) u 2(5) tar-Regolament (UE) Nru 549/2013. </w:t>
      </w:r>
    </w:p>
    <w:p w:rsidR="00DC7D8E" w:rsidRDefault="00DC7D8E" w:rsidP="00DC7D8E">
      <w:pPr>
        <w:keepNext/>
        <w:jc w:val="both"/>
        <w:rPr>
          <w:rFonts w:ascii="Times New Roman" w:eastAsia="Calibri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</w:rPr>
        <w:t xml:space="preserve">4. </w:t>
      </w:r>
      <w:r>
        <w:rPr>
          <w:noProof/>
        </w:rPr>
        <w:tab/>
      </w:r>
      <w:r>
        <w:rPr>
          <w:rFonts w:ascii="Times New Roman" w:hAnsi="Times New Roman"/>
          <w:b/>
          <w:noProof/>
          <w:sz w:val="24"/>
        </w:rPr>
        <w:t>KONKLUŻJONI</w:t>
      </w:r>
    </w:p>
    <w:p w:rsidR="00DC7D8E" w:rsidRDefault="00DC7D8E" w:rsidP="00DC7D8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Mis-16 ta’ Lulju 2018, il-Kummissjoni għadha ma eżerċitatx is-setgħa li tadotta atti delegati mogħtija lilha bir-Regolament (UE) 549/2013.</w:t>
      </w:r>
      <w:r>
        <w:rPr>
          <w:noProof/>
        </w:rPr>
        <w:t xml:space="preserve"> </w:t>
      </w:r>
    </w:p>
    <w:p w:rsidR="00DC7D8E" w:rsidRDefault="00DC7D8E" w:rsidP="00DC7D8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Madankollu, il-Kummissjoni tqis li jenħtieġ li tkompli jkollha s-setgħat delegati skont ir-Regolament (UE) Nru 549/2013, peress li jista’ jkollha bżonn tadotta atti delegati fil-futur biex tirrifletti l-progress fil-metodoloġiji tal-istatistika u fir-rigward tal-adattamenti possibbli ta’ dan ir-Regolament.</w:t>
      </w:r>
    </w:p>
    <w:p w:rsidR="00DC7D8E" w:rsidRPr="00583D8A" w:rsidRDefault="00DC7D8E" w:rsidP="00DC7D8E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</w:rPr>
        <w:t>Il-Kummissjoni tistieden lill-Parlament Ewropew u lill-Kunsill biex jieħdu nota ta’ dan ir-rapport.</w:t>
      </w:r>
    </w:p>
    <w:p w:rsidR="003B45BA" w:rsidRDefault="003B45BA">
      <w:pPr>
        <w:rPr>
          <w:noProof/>
        </w:rPr>
      </w:pPr>
    </w:p>
    <w:sectPr w:rsidR="003B45B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6760" w:rsidRDefault="00DD6760" w:rsidP="00773992">
      <w:pPr>
        <w:spacing w:after="0" w:line="240" w:lineRule="auto"/>
      </w:pPr>
      <w:r>
        <w:separator/>
      </w:r>
    </w:p>
  </w:endnote>
  <w:endnote w:type="continuationSeparator" w:id="0">
    <w:p w:rsidR="00DD6760" w:rsidRDefault="00DD6760" w:rsidP="00773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6B0" w:rsidRPr="006076B0" w:rsidRDefault="006076B0" w:rsidP="006076B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200" w:rsidRPr="006076B0" w:rsidRDefault="006076B0" w:rsidP="006076B0">
    <w:pPr>
      <w:pStyle w:val="FooterCoverPage"/>
      <w:rPr>
        <w:rFonts w:ascii="Arial" w:hAnsi="Arial" w:cs="Arial"/>
        <w:b/>
        <w:sz w:val="48"/>
      </w:rPr>
    </w:pPr>
    <w:r w:rsidRPr="006076B0">
      <w:rPr>
        <w:rFonts w:ascii="Arial" w:hAnsi="Arial" w:cs="Arial"/>
        <w:b/>
        <w:sz w:val="48"/>
      </w:rPr>
      <w:t>MT</w:t>
    </w:r>
    <w:r w:rsidRPr="006076B0">
      <w:rPr>
        <w:rFonts w:ascii="Arial" w:hAnsi="Arial" w:cs="Arial"/>
        <w:b/>
        <w:sz w:val="48"/>
      </w:rPr>
      <w:tab/>
    </w:r>
    <w:r w:rsidRPr="006076B0">
      <w:rPr>
        <w:rFonts w:ascii="Arial" w:hAnsi="Arial" w:cs="Arial"/>
        <w:b/>
        <w:sz w:val="48"/>
      </w:rPr>
      <w:tab/>
    </w:r>
    <w:r w:rsidRPr="006076B0">
      <w:tab/>
    </w:r>
    <w:r w:rsidRPr="006076B0">
      <w:rPr>
        <w:rFonts w:ascii="Arial" w:hAnsi="Arial" w:cs="Arial"/>
        <w:b/>
        <w:sz w:val="48"/>
      </w:rPr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6B0" w:rsidRPr="006076B0" w:rsidRDefault="006076B0" w:rsidP="006076B0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99D" w:rsidRDefault="006076B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093082"/>
      <w:docPartObj>
        <w:docPartGallery w:val="Page Numbers (Bottom of Page)"/>
        <w:docPartUnique/>
      </w:docPartObj>
    </w:sdtPr>
    <w:sdtEndPr/>
    <w:sdtContent>
      <w:p w:rsidR="0071499D" w:rsidRDefault="00DC7D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76B0">
          <w:rPr>
            <w:noProof/>
          </w:rPr>
          <w:t>1</w:t>
        </w:r>
        <w:r>
          <w:fldChar w:fldCharType="end"/>
        </w:r>
      </w:p>
    </w:sdtContent>
  </w:sdt>
  <w:p w:rsidR="0071499D" w:rsidRDefault="006076B0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99D" w:rsidRDefault="006076B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6760" w:rsidRDefault="00DD6760" w:rsidP="00773992">
      <w:pPr>
        <w:spacing w:after="0" w:line="240" w:lineRule="auto"/>
      </w:pPr>
      <w:r>
        <w:separator/>
      </w:r>
    </w:p>
  </w:footnote>
  <w:footnote w:type="continuationSeparator" w:id="0">
    <w:p w:rsidR="00DD6760" w:rsidRDefault="00DD6760" w:rsidP="00773992">
      <w:pPr>
        <w:spacing w:after="0" w:line="240" w:lineRule="auto"/>
      </w:pPr>
      <w:r>
        <w:continuationSeparator/>
      </w:r>
    </w:p>
  </w:footnote>
  <w:footnote w:id="1">
    <w:p w:rsidR="00DC7D8E" w:rsidRDefault="00DC7D8E" w:rsidP="00DC7D8E">
      <w:pPr>
        <w:pStyle w:val="FootnoteText"/>
        <w:ind w:left="113" w:hanging="113"/>
        <w:rPr>
          <w:rFonts w:ascii="Times New Roman" w:hAnsi="Times New Roman"/>
        </w:rPr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Ir-Regolament (UE) Nru 549/2013 tal-Parlament Ewropew u tal-Kunsill tal-21 ta’ Mejju 2013 dwar is-sistema Ewropea tal-kontijiet nazzjonali u reġjonali fl-Unjoni Ewropea (ĠU L 174, 26.6.2013, p. 1). </w:t>
      </w:r>
    </w:p>
  </w:footnote>
  <w:footnote w:id="2">
    <w:p w:rsidR="00DC7D8E" w:rsidRPr="009042E1" w:rsidRDefault="00DC7D8E" w:rsidP="00DC7D8E">
      <w:pPr>
        <w:pStyle w:val="FootnoteText"/>
        <w:jc w:val="both"/>
        <w:rPr>
          <w:rFonts w:ascii="Times New Roman" w:hAnsi="Times New Roman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Kif indikat fir-rapport dwar il-perjodu preċedenti ta’ ħames snin, din is-setgħa ma ntużatx mill-Kummissjoni.</w:t>
      </w:r>
    </w:p>
  </w:footnote>
  <w:footnote w:id="3">
    <w:p w:rsidR="00DC7D8E" w:rsidRDefault="00DC7D8E" w:rsidP="00DC7D8E">
      <w:pPr>
        <w:pStyle w:val="FootnoteText"/>
        <w:jc w:val="both"/>
      </w:pPr>
      <w:r>
        <w:rPr>
          <w:rStyle w:val="FootnoteReference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Ir-Regolament (KE) Nru 223/2009 tal-Parlament Ewropew u tal-Kunsill tal-11 ta’ Marzu 2009 dwar l-Istatistika Ewropea u li jħassar ir-Regolament (Euratom, KE) Nru 1101/2008 tal-Parlament Ewropew u tal-Kunsill dwar it-trażmissjoni ta’ </w:t>
      </w:r>
      <w:r>
        <w:rPr>
          <w:rFonts w:ascii="Times New Roman" w:hAnsi="Times New Roman"/>
          <w:i/>
          <w:iCs/>
        </w:rPr>
        <w:t>data</w:t>
      </w:r>
      <w:r>
        <w:rPr>
          <w:rFonts w:ascii="Times New Roman" w:hAnsi="Times New Roman"/>
        </w:rPr>
        <w:t xml:space="preserve"> suġġetta għall-kunfidenzjalità statistika lill-Uffiċċju tal-Istatistika tal-Komunitajiet Ewropej, ir-Regolament tal-Kunsill (KE) Nru 322/97 u d-Deċiżjoni tal-Kunsill 89/382/KEE, Euratom li tistabbilixxi Kumitat dwar il-Programmi tal-Istatistika tal-Komunitajiet Ewropej (ĠU L 87, 31.3.2009, p. 164).</w:t>
      </w:r>
    </w:p>
  </w:footnote>
  <w:footnote w:id="4">
    <w:p w:rsidR="00DC7D8E" w:rsidRPr="0098509D" w:rsidRDefault="00DC7D8E" w:rsidP="00DC7D8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>
        <w:rPr>
          <w:rFonts w:ascii="Times New Roman" w:hAnsi="Times New Roman"/>
        </w:rPr>
        <w:t>Ara r-</w:t>
      </w:r>
      <w:hyperlink r:id="rId1" w:history="1">
        <w:r>
          <w:rPr>
            <w:rStyle w:val="Hyperlink"/>
            <w:rFonts w:ascii="Times New Roman" w:hAnsi="Times New Roman"/>
          </w:rPr>
          <w:t>Rapport tal-Kummissjoni lill-Parlament Ewropew u lill-Kunsill dwar l-eżerċizzju tas-setgħa li tadotta atti delegati kkonferita lill-Kummissjoni bir-Regolament (UE) Nru 549/2013 tal-Parlament Ewropew u tal-Kunsill dwar is-sistema Ewropea ta’ kontijiet nazzjonali u reġjonali fl-Unjoni Ewropea</w:t>
        </w:r>
      </w:hyperlink>
      <w:r>
        <w:rPr>
          <w:rFonts w:ascii="Times New Roman" w:hAnsi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6B0" w:rsidRPr="006076B0" w:rsidRDefault="006076B0" w:rsidP="006076B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6B0" w:rsidRPr="006076B0" w:rsidRDefault="006076B0" w:rsidP="006076B0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6B0" w:rsidRPr="006076B0" w:rsidRDefault="006076B0" w:rsidP="006076B0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99D" w:rsidRDefault="006076B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99D" w:rsidRDefault="006076B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499D" w:rsidRDefault="006076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D68F3"/>
    <w:multiLevelType w:val="hybridMultilevel"/>
    <w:tmpl w:val="FDB00C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411A6F"/>
    <w:multiLevelType w:val="hybridMultilevel"/>
    <w:tmpl w:val="808E637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97783BB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CORRIGENDUM" w:val="&lt;UNUSED&gt;"/>
    <w:docVar w:name="LW_COVERPAGE_EXISTS" w:val="True"/>
    <w:docVar w:name="LW_COVERPAGE_GUID" w:val="381FD419-1F98-4191-9BC8-4FCC3029EF8B"/>
    <w:docVar w:name="LW_COVERPAGE_TYPE" w:val="1"/>
    <w:docVar w:name="LW_CROSSREFERENCE" w:val="&lt;UNUSED&gt;"/>
    <w:docVar w:name="LW_DocType" w:val="NORMAL"/>
    <w:docVar w:name="LW_EMISSION" w:val="7.12.2022"/>
    <w:docVar w:name="LW_EMISSION_ISODATE" w:val="2022-12-07"/>
    <w:docVar w:name="LW_EMISSION_LOCATION" w:val="BRX"/>
    <w:docVar w:name="LW_EMISSION_PREFIX" w:val="Brussell, "/>
    <w:docVar w:name="LW_EMISSION_SUFFIX" w:val=" "/>
    <w:docVar w:name="LW_ID_DOCTYPE_NONLW" w:val="CP-006"/>
    <w:docVar w:name="LW_LANGUE" w:val="MT"/>
    <w:docVar w:name="LW_LEVEL_OF_SENSITIVITY" w:val="Standard treatment"/>
    <w:docVar w:name="LW_NOM.INST" w:val="IL-KUMMISSJONI EWROPEA"/>
    <w:docVar w:name="LW_NOM.INST_JOINTDOC" w:val="&lt;EMPTY&gt;"/>
    <w:docVar w:name="LW_PART_NBR" w:val="1"/>
    <w:docVar w:name="LW_PART_NBR_TOTAL" w:val="1"/>
    <w:docVar w:name="LW_REF.INST.NEW" w:val="COM"/>
    <w:docVar w:name="LW_REF.INST.NEW_ADOPTED" w:val="final"/>
    <w:docVar w:name="LW_REF.INST.NEW_TEXT" w:val="(2022) 694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dwar l-eżerċitar tas-setgħa tal-adozzjoni ta' atti delegati mogħtija lill-Kummissjoni bir-Regolament (UE) Nru 549/2013 tal-Parlament Ewropew u tal-Kunsill dwar is-sistema Ewropea tal-kontijiet nazzjonali u reġjonali fl-Unjoni Ewropea"/>
    <w:docVar w:name="LW_TYPE.DOC.CP" w:val="RAPPORT TAL-KUMMISSJONI LILL-PARLAMENT EWROPEW U LILL-KUNSILL"/>
    <w:docVar w:name="LwApiVersions" w:val="LW4CoDe 1.23.2.0; LW 8.0, Build 20211117"/>
  </w:docVars>
  <w:rsids>
    <w:rsidRoot w:val="00773992"/>
    <w:rsid w:val="000F3EA2"/>
    <w:rsid w:val="00146FF9"/>
    <w:rsid w:val="001A37A0"/>
    <w:rsid w:val="00263E97"/>
    <w:rsid w:val="00327066"/>
    <w:rsid w:val="003B45BA"/>
    <w:rsid w:val="004D6E03"/>
    <w:rsid w:val="004F3210"/>
    <w:rsid w:val="006076B0"/>
    <w:rsid w:val="00667C86"/>
    <w:rsid w:val="006B23ED"/>
    <w:rsid w:val="00773992"/>
    <w:rsid w:val="00837200"/>
    <w:rsid w:val="00873201"/>
    <w:rsid w:val="009B6324"/>
    <w:rsid w:val="00A96BE5"/>
    <w:rsid w:val="00AF2DD2"/>
    <w:rsid w:val="00B25B94"/>
    <w:rsid w:val="00B71F94"/>
    <w:rsid w:val="00BB15AD"/>
    <w:rsid w:val="00BD0469"/>
    <w:rsid w:val="00D16D66"/>
    <w:rsid w:val="00D91C9B"/>
    <w:rsid w:val="00DC7D8E"/>
    <w:rsid w:val="00DD6760"/>
    <w:rsid w:val="00DE1A47"/>
    <w:rsid w:val="00F1238C"/>
    <w:rsid w:val="00F464CB"/>
    <w:rsid w:val="00FB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D65A2FF2-213F-4D4D-9657-4C48648F0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t-M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sid w:val="00773992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773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3992"/>
  </w:style>
  <w:style w:type="paragraph" w:styleId="Footer">
    <w:name w:val="footer"/>
    <w:basedOn w:val="Normal"/>
    <w:link w:val="FooterChar"/>
    <w:uiPriority w:val="99"/>
    <w:unhideWhenUsed/>
    <w:rsid w:val="007739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3992"/>
  </w:style>
  <w:style w:type="paragraph" w:customStyle="1" w:styleId="Pagedecouverture">
    <w:name w:val="Page de couverture"/>
    <w:basedOn w:val="Normal"/>
    <w:next w:val="Normal"/>
    <w:rsid w:val="00773992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customStyle="1" w:styleId="FooterCoverPage">
    <w:name w:val="Footer Cover Page"/>
    <w:basedOn w:val="Normal"/>
    <w:link w:val="FooterCoverPageChar"/>
    <w:rsid w:val="00773992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773992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77399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773992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773992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773992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77399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773992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773992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773992"/>
    <w:rPr>
      <w:rFonts w:ascii="Times New Roman" w:hAnsi="Times New Roman" w:cs="Times New Roman"/>
      <w:sz w:val="28"/>
    </w:rPr>
  </w:style>
  <w:style w:type="paragraph" w:styleId="FootnoteText">
    <w:name w:val="footnote text"/>
    <w:basedOn w:val="Normal"/>
    <w:link w:val="FootnoteTextChar"/>
    <w:semiHidden/>
    <w:unhideWhenUsed/>
    <w:rsid w:val="00DC7D8E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DC7D8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semiHidden/>
    <w:rsid w:val="00DC7D8E"/>
    <w:rPr>
      <w:shd w:val="clear" w:color="auto" w:fill="auto"/>
      <w:vertAlign w:val="superscript"/>
    </w:rPr>
  </w:style>
  <w:style w:type="character" w:styleId="Hyperlink">
    <w:name w:val="Hyperlink"/>
    <w:basedOn w:val="DefaultParagraphFont"/>
    <w:uiPriority w:val="99"/>
    <w:unhideWhenUsed/>
    <w:rsid w:val="00DC7D8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B23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notes.xml.rels><?xml version='1.0' encoding='UTF-8' standalone='yes'?>
<Relationships xmlns="http://schemas.openxmlformats.org/package/2006/relationships"><Relationship Id="rId1" Type="http://schemas.openxmlformats.org/officeDocument/2006/relationships/hyperlink" Target="https://eur-lex.europa.eu/legal-content/MT/TXT/?uri=CELEX%3A52017DC0423&amp;qid=16631605785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503</Words>
  <Characters>3660</Characters>
  <Application>Microsoft Office Word</Application>
  <DocSecurity>0</DocSecurity>
  <Lines>57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28</cp:revision>
  <dcterms:created xsi:type="dcterms:W3CDTF">2022-11-18T10:46:00Z</dcterms:created>
  <dcterms:modified xsi:type="dcterms:W3CDTF">2022-11-28T13:20:00Z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fmtid="{D5CDD505-2E9C-101B-9397-08002B2CF9AE}" pid="6" name="CPTemplateID">
    <vt:lpwstr>CP-006</vt:lpwstr>
  </property>
  <property fmtid="{D5CDD505-2E9C-101B-9397-08002B2CF9AE}" pid="7" name="Last edited using">
    <vt:lpwstr>LW 8.1, Build 20220902</vt:lpwstr>
  </property>
  <property fmtid="{D5CDD505-2E9C-101B-9397-08002B2CF9AE}" pid="8" name="Created using">
    <vt:lpwstr>LW 8.1, Build 20220902</vt:lpwstr>
  </property>
  <property name="OP_sanitized" fmtid="{D5CDD505-2E9C-101B-9397-08002B2CF9AE}" pid="9">
    <vt:lpwstr>True</vt:lpwstr>
  </property>
</Properties>
</file>