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996647" w14:textId="356A97FB" w:rsidR="00084561" w:rsidRPr="00F505CB" w:rsidRDefault="0003538E" w:rsidP="0003538E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4C49CA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alt="A2122580-D7C7-4386-85AB-E521C9B445F3" style="width:455.25pt;height:336.75pt">
            <v:imagedata r:id="rId8" o:title=""/>
          </v:shape>
        </w:pict>
      </w:r>
    </w:p>
    <w:bookmarkEnd w:id="0"/>
    <w:p w14:paraId="48165910" w14:textId="77777777" w:rsidR="00084561" w:rsidRPr="00F505CB" w:rsidRDefault="00084561" w:rsidP="00084561">
      <w:pPr>
        <w:rPr>
          <w:noProof/>
        </w:rPr>
        <w:sectPr w:rsidR="00084561" w:rsidRPr="00F505CB" w:rsidSect="0003538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6AA1FEEA" w14:textId="7ACDA6D0" w:rsidR="005F673E" w:rsidRPr="00F505CB" w:rsidRDefault="005F673E" w:rsidP="00436EE2">
      <w:pPr>
        <w:pStyle w:val="ListParagraph"/>
        <w:keepNext/>
        <w:numPr>
          <w:ilvl w:val="0"/>
          <w:numId w:val="1"/>
        </w:numPr>
        <w:spacing w:after="240"/>
        <w:ind w:left="284" w:hanging="284"/>
        <w:rPr>
          <w:rFonts w:ascii="Times New Roman" w:hAnsi="Times New Roman"/>
          <w:b/>
          <w:noProof/>
        </w:rPr>
      </w:pPr>
      <w:bookmarkStart w:id="1" w:name="_GoBack"/>
      <w:bookmarkEnd w:id="1"/>
      <w:r>
        <w:rPr>
          <w:rFonts w:ascii="Times New Roman" w:hAnsi="Times New Roman"/>
          <w:b/>
          <w:noProof/>
        </w:rPr>
        <w:lastRenderedPageBreak/>
        <w:t>Introduzzjoni</w:t>
      </w:r>
    </w:p>
    <w:p w14:paraId="243BCF4B" w14:textId="21224678" w:rsidR="00C82A62" w:rsidRPr="00F505CB" w:rsidRDefault="00D31B1F" w:rsidP="00C82A62">
      <w:pPr>
        <w:spacing w:after="120" w:line="276" w:lineRule="auto"/>
        <w:rPr>
          <w:noProof/>
        </w:rPr>
      </w:pPr>
      <w:r>
        <w:rPr>
          <w:b/>
          <w:noProof/>
        </w:rPr>
        <w:t xml:space="preserve">F’Ottubru 2021, il-Kummissjoni nediet mill-ġdid id-dibattitu pubbliku dwar ir-rieżami tal-qafas ta’ governanza ekonomika tal-UE, filwaqt li stiednet lil istituzzjonijiet oħrajn tal-UE u lill-partijiet ikkonċernati ewlenin kollha biex ikunu involuti. </w:t>
      </w:r>
      <w:r>
        <w:rPr>
          <w:noProof/>
        </w:rPr>
        <w:t>Permezz ta’ diversi fora, inklużi laqgħat dedikati, workshops u stħarriġ online, ċittadini u firxa wiesgħa ta’ parteċipanti, inklużi gvernijiet nazzjonali, parlamenti, sħab soċjali, akkademiċi u istituzzjonijiet oħrajn tal-UE, iddibattew kif l-isfidi ekonomiċi tal-lum u ta’ għada jirrikjedu riformi tal-qafas ta’ governanza ekonomika tal-UE. (</w:t>
      </w:r>
      <w:r>
        <w:rPr>
          <w:rStyle w:val="FootnoteReference"/>
          <w:noProof/>
        </w:rPr>
        <w:footnoteReference w:id="2"/>
      </w:r>
      <w:r>
        <w:rPr>
          <w:noProof/>
        </w:rPr>
        <w:t xml:space="preserve">) Id-diskussjonijiet fil-Kunsill (ECOFIN), fil-Grupp tal-Euro, fil-Kumitat Ekonomiku u Finanzjarju u fil-Kumitat tal-Politika Ekonomika pprovdew lill-Istati Membri b’opportunità li jirriflettu u jesprimu l-fehmiet tagħhom dwar l-objettivi ewlenin tal-qafas ta’ governanza, il-funzjonament tiegħu, u sfidi ġodda li għandhom jiġu indirizzati. </w:t>
      </w:r>
    </w:p>
    <w:p w14:paraId="38D8F509" w14:textId="7BC64480" w:rsidR="000253DC" w:rsidRPr="00F505CB" w:rsidRDefault="00024E68" w:rsidP="00C82A62">
      <w:pPr>
        <w:spacing w:after="120" w:line="276" w:lineRule="auto"/>
        <w:rPr>
          <w:noProof/>
        </w:rPr>
      </w:pPr>
      <w:r>
        <w:rPr>
          <w:b/>
          <w:noProof/>
        </w:rPr>
        <w:t xml:space="preserve">Issa wasal iż-żmien li nimxu mid-dibattitu għad-deċiżjonijiet. Din il-Komunikazzjoni tiddeskrivi l-orjentazzjonijiet tal-Kummissjoni għal riforma tal-qafas ta’ governanza ekonomika, li tindirizza l-kwistjonijiet ekonomiċi u ta’ politika ewlenin li se jsawru l-koordinazzjoni u s-sorveljanza tal-politika ekonomika tal-UE għad-deċennju li jmiss. </w:t>
      </w:r>
      <w:r>
        <w:rPr>
          <w:noProof/>
        </w:rPr>
        <w:t>Filwaqt li jitqies it-tħassib ewlieni dwar il-qafas attwali, dawn l-orjentazzjonijiet għandhom l-għan li jsaħħu s-sostenibbiltà tad-dejn u li jippromwovu tkabbir sostenibbli u inklużiv fl-Istati Membri kollha (ara l-Illustrazzjoni 1), u b’hekk</w:t>
      </w:r>
      <w:r>
        <w:rPr>
          <w:b/>
          <w:noProof/>
        </w:rPr>
        <w:t xml:space="preserve"> </w:t>
      </w:r>
      <w:r>
        <w:rPr>
          <w:noProof/>
        </w:rPr>
        <w:t>“jiskopru mill-ġdid l-ispirtu ta’ Maastricht fejn l-istabbiltà u t-tkabbir jistgħu jmorru biss id f’id”, kif indikat mill-President Von der Leyen fid-diskors tagħha dwar l-Istat tal-Unjoni. (</w:t>
      </w:r>
      <w:r>
        <w:rPr>
          <w:rStyle w:val="FootnoteReference"/>
          <w:noProof/>
        </w:rPr>
        <w:footnoteReference w:id="3"/>
      </w:r>
      <w:r>
        <w:rPr>
          <w:noProof/>
        </w:rPr>
        <w:t xml:space="preserve">) L-istrateġiji fiskali prudenti u l-investiment u r-riformi li jsaħħu t-tkabbir sostenibbli huma kemm indispensabbli kif ukoll ta’ tisħiħ reċiproku fl-iżgurar tas-sostenibbiltà fiskali kif ukoll fl-iffaċilitar tat-tranżizzjoni ekoloġika u diġitali lejn ekonomija reżiljenti. Il-qafas riformat għandu jindirizza l-isfidi prevalenti u għandu jikkontribwixxi biex l-Ewropa ssir aktar reżiljenti, billi jsostni investiment strateġiku għas-snin li ġejjin u billi jnaqqas il-proporzjonijiet għoljin tad-dejn pubbliku b’mod realistiku, gradwali u sostnut. It-titjib tas-sjieda nazzjonali, is-simplifikazzjoni tal-qafas u l-mixja lejn fokus akbar fuq terminu medju, flimkien ma’ infurzar aktar b’saħħtu u aktar koerenti, huma elementi ewlenin fl-orjentazzjonijiet tal-Kummissjoni. </w:t>
      </w:r>
    </w:p>
    <w:p w14:paraId="0370D835" w14:textId="72DA1554" w:rsidR="00472B36" w:rsidRPr="00F505CB" w:rsidRDefault="00A750DA" w:rsidP="007C05BE">
      <w:pPr>
        <w:spacing w:after="120" w:line="276" w:lineRule="auto"/>
        <w:rPr>
          <w:noProof/>
        </w:rPr>
      </w:pPr>
      <w:r>
        <w:rPr>
          <w:b/>
          <w:noProof/>
        </w:rPr>
        <w:t>L-objettiv tar-riforma huwa li tiffaċilita sorveljanza ekonomika effettiva, ankrata f’qafas komuni li jiżgura trattament ugwali u koordinazzjoni multilaterali tal-politika</w:t>
      </w:r>
      <w:r>
        <w:rPr>
          <w:noProof/>
        </w:rPr>
        <w:t>. Il-qafas għandu jkun robust għat-tibdil fil-kundizzjonijiet ekonomiċi u fl-inċertezza, li jirrikjedi ktieb tar-regoli solidu u prevedibbli u klawżoli ta’ eżenzjoni għal ċirkostanzi eċċezzjonali. Għandu jsegwi wkoll approċċ integrat li bih l-għodod ta’ sorveljanza jikkomplementaw lil xulxin, fil-kuntest tas-Semestru Ewropew. Il-prevenzjoni u l-korrezzjoni effettiva tal-iżbilanċi makroekonomiċi se jirrikjedu detezzjoni aħjar tar-riskji emerġenti u ż-żamma tal-momentum tar-riforma, filwaqt li ssir aktar enfasi fuq l-iżviluppi tal-UE u taż-żona tal-euro, u fuq l-implimentazzjoni tal-politika. Dawn l-orjentazzjonijiet se jikkontribwixxu għad-dibattitu ulterjuri, b’mod partikolari fi ħdan il-Kunsill u mal-Parlament Ewropew, bil-għan li jintlaħaq kunsens wiesa’ dwar it-tfassil futur tal-qafas ta’ governanza ekonomika.</w:t>
      </w:r>
    </w:p>
    <w:p w14:paraId="6D2CF94F" w14:textId="5FA30158" w:rsidR="00495355" w:rsidRPr="00F505CB" w:rsidRDefault="00225919" w:rsidP="00DD1A74">
      <w:pPr>
        <w:keepNext/>
        <w:spacing w:after="120" w:line="276" w:lineRule="auto"/>
        <w:rPr>
          <w:noProof/>
        </w:rPr>
      </w:pPr>
      <w:r>
        <w:rPr>
          <w:b/>
          <w:noProof/>
        </w:rPr>
        <w:t>Il-Komunikazzjoni hija stabbilita kif ġej</w:t>
      </w:r>
      <w:r>
        <w:rPr>
          <w:noProof/>
        </w:rPr>
        <w:t xml:space="preserve">. It-Taqsima 2 tfakkar il-ħtieġa għal qafas ta’ governanza effettiv, li jintegra d-dimensjonijiet fiskali, tar-riforma u tal-investiment sabiex jiġu indirizzati l-isfidi prevalenti bħalissa u fil-futur prevedibbli. F’dan l-isfond, l-elementi ewlenin tal-orjentazzjonijiet ta’ riforma tal-Kummissjoni huma ppreżentati fit-Taqsima 3. It-Taqsima 4 tiżviluppa dawn l-elementi ewlenin billi tipprovdi aktar dettall dwar l-aspetti prattiċi tar-riformi proposti għas-sorveljanza fiskali u makroekonomika. It-Taqsima 5 tiddeskrivi l-passi li jmiss u tikkonkludi.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1"/>
      </w:tblGrid>
      <w:tr w:rsidR="00616B5F" w:rsidRPr="00F505CB" w14:paraId="534E82C3" w14:textId="77777777" w:rsidTr="005539EC">
        <w:trPr>
          <w:trHeight w:val="411"/>
        </w:trPr>
        <w:tc>
          <w:tcPr>
            <w:tcW w:w="9181" w:type="dxa"/>
          </w:tcPr>
          <w:p w14:paraId="148527A4" w14:textId="77777777" w:rsidR="00A542EE" w:rsidRPr="00F505CB" w:rsidRDefault="00A542EE" w:rsidP="004C23EF">
            <w:pPr>
              <w:keepNext/>
              <w:spacing w:before="120" w:after="12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Illustrazzjoni 1: Arkitettura ġdida ta’ governanza</w:t>
            </w:r>
          </w:p>
        </w:tc>
      </w:tr>
      <w:tr w:rsidR="00616B5F" w:rsidRPr="00F505CB" w14:paraId="66A6B0CA" w14:textId="77777777" w:rsidTr="005539EC">
        <w:trPr>
          <w:trHeight w:val="6789"/>
        </w:trPr>
        <w:tc>
          <w:tcPr>
            <w:tcW w:w="9181" w:type="dxa"/>
          </w:tcPr>
          <w:p w14:paraId="05FB57EC" w14:textId="692EF075" w:rsidR="00A542EE" w:rsidRPr="00973818" w:rsidRDefault="00A542EE" w:rsidP="004C23EF">
            <w:pPr>
              <w:keepNext/>
              <w:rPr>
                <w:noProof/>
              </w:rPr>
            </w:pP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23D91AD6" wp14:editId="06F722AA">
                      <wp:simplePos x="0" y="0"/>
                      <wp:positionH relativeFrom="column">
                        <wp:posOffset>709684</wp:posOffset>
                      </wp:positionH>
                      <wp:positionV relativeFrom="paragraph">
                        <wp:posOffset>163659</wp:posOffset>
                      </wp:positionV>
                      <wp:extent cx="4694829" cy="432940"/>
                      <wp:effectExtent l="0" t="0" r="10795" b="24765"/>
                      <wp:wrapNone/>
                      <wp:docPr id="10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94829" cy="43294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5C0EB8" w14:textId="77777777" w:rsidR="00DD1A74" w:rsidRPr="00C946EE" w:rsidRDefault="00DD1A74" w:rsidP="00A542EE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Sostenibbiltà tad-Dejn </w:t>
                                  </w:r>
                                  <w:r>
                                    <w:rPr>
                                      <w:b/>
                                      <w:i/>
                                    </w:rPr>
                                    <w:t>U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Tkabbir Sostenibbli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D91AD6" id="Rounded Rectangle 2" o:spid="_x0000_s1026" style="position:absolute;left:0;text-align:left;margin-left:55.9pt;margin-top:12.9pt;width:369.65pt;height:34.1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" fillcolor="#5b9bd5 [3204]" strokecolor="#1f4d78 [1604]" strokeweight="1pt">
                      <v:stroke joinstyle="miter"/>
                      <v:textbox>
                        <w:txbxContent>
                          <w:p w14:paraId="715C0EB8" w14:textId="77777777" w:rsidR="00DD1A74" w:rsidRPr="00C946EE" w:rsidRDefault="00DD1A74" w:rsidP="00A542EE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Sostenibbiltà tad-Dejn </w:t>
                            </w:r>
                            <w:r>
                              <w:rPr>
                                <w:b/>
                                <w:i/>
                              </w:rPr>
                              <w:t>U</w:t>
                            </w:r>
                            <w:r>
                              <w:rPr>
                                <w:b/>
                              </w:rPr>
                              <w:t xml:space="preserve"> Tkabbir Sostenibbli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668AD7D" w14:textId="77777777" w:rsidR="00A542EE" w:rsidRPr="00973818" w:rsidRDefault="00CC59B6" w:rsidP="004C23EF">
            <w:pPr>
              <w:keepNext/>
              <w:rPr>
                <w:noProof/>
              </w:rPr>
            </w:pP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18AC1181" wp14:editId="14A7FF54">
                      <wp:simplePos x="0" y="0"/>
                      <wp:positionH relativeFrom="column">
                        <wp:posOffset>4470400</wp:posOffset>
                      </wp:positionH>
                      <wp:positionV relativeFrom="paragraph">
                        <wp:posOffset>322580</wp:posOffset>
                      </wp:positionV>
                      <wp:extent cx="222250" cy="254000"/>
                      <wp:effectExtent l="0" t="0" r="82550" b="5080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250" cy="25400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chemeClr val="accent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270C8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352pt;margin-top:25.4pt;width:17.5pt;height:20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" strokecolor="#5b9bd5 [3204]" strokeweight="2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50D796A5" wp14:editId="0E040B38">
                      <wp:simplePos x="0" y="0"/>
                      <wp:positionH relativeFrom="column">
                        <wp:posOffset>1408430</wp:posOffset>
                      </wp:positionH>
                      <wp:positionV relativeFrom="paragraph">
                        <wp:posOffset>328930</wp:posOffset>
                      </wp:positionV>
                      <wp:extent cx="198120" cy="247650"/>
                      <wp:effectExtent l="38100" t="0" r="30480" b="5715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8120" cy="24765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chemeClr val="accent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D5AFE" id="Straight Arrow Connector 5" o:spid="_x0000_s1026" type="#_x0000_t32" style="position:absolute;margin-left:110.9pt;margin-top:25.9pt;width:15.6pt;height:19.5pt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" strokecolor="#5b9bd5 [3204]" strokeweight="2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78A7B2AD" wp14:editId="769C82D8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322580</wp:posOffset>
                      </wp:positionV>
                      <wp:extent cx="0" cy="285750"/>
                      <wp:effectExtent l="76200" t="0" r="57150" b="5715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575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chemeClr val="accent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92C8E" id="Straight Arrow Connector 6" o:spid="_x0000_s1026" type="#_x0000_t32" style="position:absolute;margin-left:234pt;margin-top:25.4pt;width:0;height:22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" strokecolor="#5b9bd5 [3204]" strokeweight="2pt">
                      <v:stroke endarrow="block" joinstyle="miter"/>
                    </v:shape>
                  </w:pict>
                </mc:Fallback>
              </mc:AlternateContent>
            </w:r>
          </w:p>
          <w:p w14:paraId="48D44317" w14:textId="1437DCF8" w:rsidR="00A542EE" w:rsidRPr="00973818" w:rsidRDefault="00CC59B6" w:rsidP="004C23EF">
            <w:pPr>
              <w:keepNext/>
              <w:rPr>
                <w:noProof/>
              </w:rPr>
            </w:pP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A242832" wp14:editId="2B5D611B">
                      <wp:simplePos x="0" y="0"/>
                      <wp:positionH relativeFrom="column">
                        <wp:posOffset>2163445</wp:posOffset>
                      </wp:positionH>
                      <wp:positionV relativeFrom="paragraph">
                        <wp:posOffset>332105</wp:posOffset>
                      </wp:positionV>
                      <wp:extent cx="1655445" cy="647700"/>
                      <wp:effectExtent l="0" t="0" r="20955" b="19050"/>
                      <wp:wrapNone/>
                      <wp:docPr id="7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5445" cy="647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A91C7B" w14:textId="77777777" w:rsidR="00DD1A74" w:rsidRPr="00C946EE" w:rsidRDefault="00DD1A74" w:rsidP="00A542EE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Riformi u investiment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242832" id="Rounded Rectangle 5" o:spid="_x0000_s1027" style="position:absolute;left:0;text-align:left;margin-left:170.35pt;margin-top:26.15pt;width:130.35pt;height:5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" fillcolor="#5b9bd5 [3204]" strokecolor="#1f4d78 [1604]" strokeweight="1pt">
                      <v:stroke joinstyle="miter"/>
                      <v:textbox>
                        <w:txbxContent>
                          <w:p w14:paraId="5DA91C7B" w14:textId="77777777" w:rsidR="00DD1A74" w:rsidRPr="00C946EE" w:rsidRDefault="00DD1A74" w:rsidP="00A542EE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Riformi u investiment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716694F" wp14:editId="4FF955CC">
                      <wp:simplePos x="0" y="0"/>
                      <wp:positionH relativeFrom="column">
                        <wp:posOffset>4003675</wp:posOffset>
                      </wp:positionH>
                      <wp:positionV relativeFrom="paragraph">
                        <wp:posOffset>335915</wp:posOffset>
                      </wp:positionV>
                      <wp:extent cx="1655445" cy="647700"/>
                      <wp:effectExtent l="0" t="0" r="20955" b="19050"/>
                      <wp:wrapNone/>
                      <wp:docPr id="8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5445" cy="647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B68D1A" w14:textId="77777777" w:rsidR="00DD1A74" w:rsidRPr="00C946EE" w:rsidRDefault="00DD1A74" w:rsidP="00A542EE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Bilanċ makroekonomiku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16694F" id="Rounded Rectangle 6" o:spid="_x0000_s1028" style="position:absolute;left:0;text-align:left;margin-left:315.25pt;margin-top:26.45pt;width:130.35pt;height:5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" fillcolor="#5b9bd5 [3204]" strokecolor="#1f4d78 [1604]" strokeweight="1pt">
                      <v:stroke joinstyle="miter"/>
                      <v:textbox>
                        <w:txbxContent>
                          <w:p w14:paraId="3BB68D1A" w14:textId="77777777" w:rsidR="00DD1A74" w:rsidRPr="00C946EE" w:rsidRDefault="00DD1A74" w:rsidP="00A542EE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Bilanċ makroekonomiku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0250475F" wp14:editId="1A97E358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316230</wp:posOffset>
                      </wp:positionV>
                      <wp:extent cx="1655445" cy="647700"/>
                      <wp:effectExtent l="0" t="0" r="20955" b="19050"/>
                      <wp:wrapNone/>
                      <wp:docPr id="11" name="Rounded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5445" cy="647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4FDFEE" w14:textId="77777777" w:rsidR="00DD1A74" w:rsidRPr="00C946EE" w:rsidRDefault="00DD1A74" w:rsidP="00A542EE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Prudenza fiskali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50475F" id="Rounded Rectangle 8" o:spid="_x0000_s1029" style="position:absolute;left:0;text-align:left;margin-left:22.9pt;margin-top:24.9pt;width:130.35pt;height:51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" fillcolor="#5b9bd5 [3204]" strokecolor="#1f4d78 [1604]" strokeweight="1pt">
                      <v:stroke joinstyle="miter"/>
                      <v:textbox>
                        <w:txbxContent>
                          <w:p w14:paraId="654FDFEE" w14:textId="77777777" w:rsidR="00DD1A74" w:rsidRPr="00C946EE" w:rsidRDefault="00DD1A74" w:rsidP="00A542EE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Prudenza fiskali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21EA96B" w14:textId="77777777" w:rsidR="00A542EE" w:rsidRPr="00F505CB" w:rsidRDefault="00A542EE" w:rsidP="004C23EF">
            <w:pPr>
              <w:keepNext/>
              <w:rPr>
                <w:noProof/>
              </w:rPr>
            </w:pPr>
          </w:p>
          <w:p w14:paraId="3D561C1A" w14:textId="358A09F2" w:rsidR="00A542EE" w:rsidRPr="00F505CB" w:rsidRDefault="00A542EE" w:rsidP="004C23EF">
            <w:pPr>
              <w:keepNext/>
              <w:rPr>
                <w:noProof/>
              </w:rPr>
            </w:pPr>
          </w:p>
          <w:p w14:paraId="2B80EE0F" w14:textId="38643503" w:rsidR="00A542EE" w:rsidRPr="00973818" w:rsidRDefault="004924D1" w:rsidP="004C23EF">
            <w:pPr>
              <w:keepNext/>
              <w:rPr>
                <w:noProof/>
              </w:rPr>
            </w:pP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3A8B96A" wp14:editId="7D58041B">
                      <wp:simplePos x="0" y="0"/>
                      <wp:positionH relativeFrom="column">
                        <wp:posOffset>4673600</wp:posOffset>
                      </wp:positionH>
                      <wp:positionV relativeFrom="paragraph">
                        <wp:posOffset>66040</wp:posOffset>
                      </wp:positionV>
                      <wp:extent cx="323850" cy="323850"/>
                      <wp:effectExtent l="19050" t="0" r="19050" b="38100"/>
                      <wp:wrapNone/>
                      <wp:docPr id="12" name="Down Arrow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32385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7708F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Down Arrow 25" o:spid="_x0000_s1026" type="#_x0000_t67" style="position:absolute;margin-left:368pt;margin-top:5.2pt;width:25.5pt;height:25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" adj="10800" fillcolor="#5b9bd5 [3204]" strokecolor="#5b9bd5 [3204]" strokeweight="1pt"/>
                  </w:pict>
                </mc:Fallback>
              </mc:AlternateContent>
            </w: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8C6E279" wp14:editId="5816CA34">
                      <wp:simplePos x="0" y="0"/>
                      <wp:positionH relativeFrom="column">
                        <wp:posOffset>2819400</wp:posOffset>
                      </wp:positionH>
                      <wp:positionV relativeFrom="paragraph">
                        <wp:posOffset>66040</wp:posOffset>
                      </wp:positionV>
                      <wp:extent cx="323850" cy="323850"/>
                      <wp:effectExtent l="19050" t="0" r="19050" b="38100"/>
                      <wp:wrapNone/>
                      <wp:docPr id="15" name="Down Arrow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32385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929A3" id="Down Arrow 24" o:spid="_x0000_s1026" type="#_x0000_t67" style="position:absolute;margin-left:222pt;margin-top:5.2pt;width:25.5pt;height:25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" adj="10800" fillcolor="#5b9bd5 [3204]" strokecolor="#5b9bd5 [3204]" strokeweight="1pt"/>
                  </w:pict>
                </mc:Fallback>
              </mc:AlternateContent>
            </w: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1DEB0C2" wp14:editId="11DFF716">
                      <wp:simplePos x="0" y="0"/>
                      <wp:positionH relativeFrom="column">
                        <wp:posOffset>920750</wp:posOffset>
                      </wp:positionH>
                      <wp:positionV relativeFrom="paragraph">
                        <wp:posOffset>34290</wp:posOffset>
                      </wp:positionV>
                      <wp:extent cx="323850" cy="323850"/>
                      <wp:effectExtent l="19050" t="0" r="19050" b="38100"/>
                      <wp:wrapNone/>
                      <wp:docPr id="20" name="Down Arrow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32385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931ABC" id="Down Arrow 15" o:spid="_x0000_s1026" type="#_x0000_t67" style="position:absolute;margin-left:72.5pt;margin-top:2.7pt;width:25.5pt;height:25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" adj="10800" fillcolor="#5b9bd5 [3204]" strokecolor="#5b9bd5 [3204]" strokeweight="1pt"/>
                  </w:pict>
                </mc:Fallback>
              </mc:AlternateContent>
            </w:r>
          </w:p>
          <w:p w14:paraId="0C397C69" w14:textId="19ADB778" w:rsidR="00A542EE" w:rsidRPr="00973818" w:rsidRDefault="004924D1" w:rsidP="004C23EF">
            <w:pPr>
              <w:keepNext/>
              <w:rPr>
                <w:noProof/>
              </w:rPr>
            </w:pP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9B4363" wp14:editId="60EC1343">
                      <wp:simplePos x="0" y="0"/>
                      <wp:positionH relativeFrom="column">
                        <wp:posOffset>3977640</wp:posOffset>
                      </wp:positionH>
                      <wp:positionV relativeFrom="paragraph">
                        <wp:posOffset>130809</wp:posOffset>
                      </wp:positionV>
                      <wp:extent cx="1691640" cy="1945005"/>
                      <wp:effectExtent l="0" t="0" r="22860" b="17145"/>
                      <wp:wrapNone/>
                      <wp:docPr id="22" name="Rounded 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1640" cy="194500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4EA439" w14:textId="77777777" w:rsidR="00DD1A74" w:rsidRPr="008639B4" w:rsidRDefault="00DD1A74" w:rsidP="00A542EE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MIP rivedut</w:t>
                                  </w:r>
                                </w:p>
                                <w:p w14:paraId="17FEF4BA" w14:textId="77777777" w:rsidR="00DD1A74" w:rsidRPr="008639B4" w:rsidRDefault="00DD1A74" w:rsidP="00A542EE">
                                  <w:pPr>
                                    <w:spacing w:after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Perspettiva aktar iffokata u li tħares ’il quddiem</w:t>
                                  </w:r>
                                </w:p>
                                <w:p w14:paraId="2AFF4B21" w14:textId="77777777" w:rsidR="00DD1A74" w:rsidRPr="00E129AC" w:rsidRDefault="00DD1A74" w:rsidP="00A542EE">
                                  <w:pPr>
                                    <w:spacing w:after="0"/>
                                    <w:jc w:val="center"/>
                                    <w:rPr>
                                      <w:sz w:val="22"/>
                                      <w:szCs w:val="24"/>
                                      <w:lang w:val="fr-BE"/>
                                    </w:rPr>
                                  </w:pPr>
                                </w:p>
                                <w:p w14:paraId="1EF1F660" w14:textId="77777777" w:rsidR="00DD1A74" w:rsidRPr="00C946EE" w:rsidRDefault="00DD1A74" w:rsidP="00A542EE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Tisħiħ tal-effettività u l-infurzar abbażi ta’ impenji ta’ politika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9B4363" id="Rounded Rectangle 22" o:spid="_x0000_s1030" style="position:absolute;left:0;text-align:left;margin-left:313.2pt;margin-top:10.3pt;width:133.2pt;height:15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" fillcolor="#5b9bd5 [3204]" strokecolor="#1f4d78 [1604]" strokeweight="1pt">
                      <v:stroke joinstyle="miter"/>
                      <v:textbox>
                        <w:txbxContent>
                          <w:p w14:paraId="444EA439" w14:textId="77777777" w:rsidR="00DD1A74" w:rsidRPr="008639B4" w:rsidRDefault="00DD1A74" w:rsidP="00A542E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MIP rivedut</w:t>
                            </w:r>
                          </w:p>
                          <w:p w14:paraId="17FEF4BA" w14:textId="77777777" w:rsidR="00DD1A74" w:rsidRPr="008639B4" w:rsidRDefault="00DD1A74" w:rsidP="00A542EE">
                            <w:pPr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Perspettiva aktar iffokata u li tħares ’il quddiem</w:t>
                            </w:r>
                          </w:p>
                          <w:p w14:paraId="2AFF4B21" w14:textId="77777777" w:rsidR="00DD1A74" w:rsidRPr="00E129AC" w:rsidRDefault="00DD1A74" w:rsidP="00A542EE">
                            <w:pPr>
                              <w:spacing w:after="0"/>
                              <w:jc w:val="center"/>
                              <w:rPr>
                                <w:sz w:val="22"/>
                                <w:szCs w:val="24"/>
                                <w:lang w:val="fr-BE"/>
                              </w:rPr>
                            </w:pPr>
                          </w:p>
                          <w:p w14:paraId="1EF1F660" w14:textId="77777777" w:rsidR="00DD1A74" w:rsidRPr="00C946EE" w:rsidRDefault="00DD1A74" w:rsidP="00A542E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Tisħiħ tal-effettività u l-infurzar abbażi ta’ impenji ta’ politika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F71F55A" wp14:editId="311F430B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144780</wp:posOffset>
                      </wp:positionV>
                      <wp:extent cx="1691640" cy="1929765"/>
                      <wp:effectExtent l="0" t="0" r="22860" b="13335"/>
                      <wp:wrapNone/>
                      <wp:docPr id="24" name="Rounded 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1640" cy="19297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857BFE" w14:textId="77777777" w:rsidR="00DD1A74" w:rsidRPr="00C946EE" w:rsidRDefault="00DD1A74" w:rsidP="00A542EE">
                                  <w:pPr>
                                    <w:jc w:val="center"/>
                                    <w:rPr>
                                      <w:b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Qafas fiskali rivedut tal-UE</w:t>
                                  </w:r>
                                </w:p>
                                <w:p w14:paraId="72F2A52C" w14:textId="77777777" w:rsidR="00DD1A74" w:rsidRDefault="00DD1A74" w:rsidP="00A542EE">
                                  <w:pPr>
                                    <w:spacing w:after="0"/>
                                    <w:jc w:val="center"/>
                                    <w:rPr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 xml:space="preserve">Fuq il-bażi ta’ perkors tan-nefqa netta fuq terminu medju ankrat fuq is-sostenibbiltà tad-dejn </w:t>
                                  </w:r>
                                </w:p>
                                <w:p w14:paraId="61B78A62" w14:textId="77777777" w:rsidR="00DD1A74" w:rsidRDefault="00DD1A74" w:rsidP="00A542EE">
                                  <w:pPr>
                                    <w:spacing w:after="0"/>
                                    <w:jc w:val="center"/>
                                    <w:rPr>
                                      <w:sz w:val="22"/>
                                      <w:szCs w:val="24"/>
                                      <w:lang w:val="en-IE"/>
                                    </w:rPr>
                                  </w:pPr>
                                </w:p>
                                <w:p w14:paraId="5944C61D" w14:textId="77777777" w:rsidR="00DD1A74" w:rsidRPr="004D2916" w:rsidRDefault="00DD1A74" w:rsidP="00A542EE">
                                  <w:pPr>
                                    <w:spacing w:after="0"/>
                                    <w:jc w:val="center"/>
                                    <w:rPr>
                                      <w:sz w:val="26"/>
                                      <w:szCs w:val="26"/>
                                      <w:lang w:val="en-I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71F55A" id="Rounded Rectangle 20" o:spid="_x0000_s1031" style="position:absolute;left:0;text-align:left;margin-left:16.2pt;margin-top:11.4pt;width:133.2pt;height:151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" fillcolor="#5b9bd5 [3204]" strokecolor="#1f4d78 [1604]" strokeweight="1pt">
                      <v:stroke joinstyle="miter"/>
                      <v:textbox>
                        <w:txbxContent>
                          <w:p w14:paraId="43857BFE" w14:textId="77777777" w:rsidR="00DD1A74" w:rsidRPr="00C946EE" w:rsidRDefault="00DD1A74" w:rsidP="00A542EE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</w:rPr>
                              <w:t>Qafas fiskali rivedut tal-UE</w:t>
                            </w:r>
                          </w:p>
                          <w:p w14:paraId="72F2A52C" w14:textId="77777777" w:rsidR="00DD1A74" w:rsidRDefault="00DD1A74" w:rsidP="00A542EE">
                            <w:pPr>
                              <w:spacing w:after="0"/>
                              <w:jc w:val="center"/>
                              <w:rPr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Fuq il-bażi ta’ perkors tan-nefqa netta fuq terminu medju ankrat fuq is-sostenibbiltà tad-dejn </w:t>
                            </w:r>
                          </w:p>
                          <w:p w14:paraId="61B78A62" w14:textId="77777777" w:rsidR="00DD1A74" w:rsidRDefault="00DD1A74" w:rsidP="00A542EE">
                            <w:pPr>
                              <w:spacing w:after="0"/>
                              <w:jc w:val="center"/>
                              <w:rPr>
                                <w:sz w:val="22"/>
                                <w:szCs w:val="24"/>
                                <w:lang w:val="en-IE"/>
                              </w:rPr>
                            </w:pPr>
                          </w:p>
                          <w:p w14:paraId="5944C61D" w14:textId="77777777" w:rsidR="00DD1A74" w:rsidRPr="004D2916" w:rsidRDefault="00DD1A74" w:rsidP="00A542EE">
                            <w:pPr>
                              <w:spacing w:after="0"/>
                              <w:jc w:val="center"/>
                              <w:rPr>
                                <w:sz w:val="26"/>
                                <w:szCs w:val="26"/>
                                <w:lang w:val="en-IE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E32F61" wp14:editId="22882D1F">
                      <wp:simplePos x="0" y="0"/>
                      <wp:positionH relativeFrom="column">
                        <wp:posOffset>2161540</wp:posOffset>
                      </wp:positionH>
                      <wp:positionV relativeFrom="paragraph">
                        <wp:posOffset>142240</wp:posOffset>
                      </wp:positionV>
                      <wp:extent cx="1691640" cy="1935480"/>
                      <wp:effectExtent l="0" t="0" r="22860" b="26670"/>
                      <wp:wrapNone/>
                      <wp:docPr id="25" name="Rounded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1640" cy="193548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7131AF" w14:textId="77777777" w:rsidR="00DD1A74" w:rsidRPr="00C946EE" w:rsidRDefault="00DD1A74" w:rsidP="00A542EE">
                                  <w:pPr>
                                    <w:jc w:val="center"/>
                                    <w:rPr>
                                      <w:b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Għodda ġdida għall-infurzar tar-riformi u l-investiment </w:t>
                                  </w:r>
                                </w:p>
                                <w:p w14:paraId="178BD6AD" w14:textId="77777777" w:rsidR="00DD1A74" w:rsidRPr="00C946EE" w:rsidRDefault="00DD1A74" w:rsidP="00A542EE">
                                  <w:pPr>
                                    <w:spacing w:after="0"/>
                                    <w:jc w:val="center"/>
                                    <w:rPr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 xml:space="preserve">L-iżgurar tal-infurzar tar-riformi u tal-investiment li jirfdu l-perkors tan-nefqa miftiehma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E32F61" id="Rounded Rectangle 21" o:spid="_x0000_s1032" style="position:absolute;left:0;text-align:left;margin-left:170.2pt;margin-top:11.2pt;width:133.2pt;height:15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" fillcolor="#5b9bd5 [3204]" strokecolor="#1f4d78 [1604]" strokeweight="1pt">
                      <v:stroke joinstyle="miter"/>
                      <v:textbox>
                        <w:txbxContent>
                          <w:p w14:paraId="3E7131AF" w14:textId="77777777" w:rsidR="00DD1A74" w:rsidRPr="00C946EE" w:rsidRDefault="00DD1A74" w:rsidP="00A542EE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Għodda ġdida għall-infurzar tar-riformi u l-investiment </w:t>
                            </w:r>
                          </w:p>
                          <w:p w14:paraId="178BD6AD" w14:textId="77777777" w:rsidR="00DD1A74" w:rsidRPr="00C946EE" w:rsidRDefault="00DD1A74" w:rsidP="00A542EE">
                            <w:pPr>
                              <w:spacing w:after="0"/>
                              <w:jc w:val="center"/>
                              <w:rPr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L-iżgurar tal-infurzar tar-riformi u tal-investiment li jirfdu l-perkors tan-nefqa miftiehma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4667C26" w14:textId="77777777" w:rsidR="00A542EE" w:rsidRPr="00F505CB" w:rsidRDefault="00A542EE" w:rsidP="004C23EF">
            <w:pPr>
              <w:keepNext/>
              <w:rPr>
                <w:noProof/>
              </w:rPr>
            </w:pPr>
          </w:p>
          <w:p w14:paraId="3AB57387" w14:textId="0460A721" w:rsidR="00A542EE" w:rsidRPr="00F505CB" w:rsidRDefault="00A542EE" w:rsidP="004C23EF">
            <w:pPr>
              <w:keepNext/>
              <w:rPr>
                <w:noProof/>
              </w:rPr>
            </w:pPr>
          </w:p>
          <w:p w14:paraId="5E1DE4F2" w14:textId="517DF8F4" w:rsidR="00A542EE" w:rsidRPr="00973818" w:rsidRDefault="00CC59B6" w:rsidP="004C23EF">
            <w:pPr>
              <w:keepNext/>
              <w:rPr>
                <w:noProof/>
              </w:rPr>
            </w:pP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BB5AC2" wp14:editId="2A86110F">
                      <wp:simplePos x="0" y="0"/>
                      <wp:positionH relativeFrom="column">
                        <wp:posOffset>1930083</wp:posOffset>
                      </wp:positionH>
                      <wp:positionV relativeFrom="paragraph">
                        <wp:posOffset>13652</wp:posOffset>
                      </wp:positionV>
                      <wp:extent cx="200660" cy="230505"/>
                      <wp:effectExtent l="4127" t="0" r="0" b="0"/>
                      <wp:wrapNone/>
                      <wp:docPr id="36" name="Down Arrow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00660" cy="23050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1"/>
                                </a:avLst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12389" id="Down Arrow 24" o:spid="_x0000_s1026" type="#_x0000_t67" style="position:absolute;margin-left:152pt;margin-top:1.05pt;width:15.8pt;height:18.1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" adj="12198" fillcolor="#5b9bd5 [3204]" stroked="f" strokeweight="1pt"/>
                  </w:pict>
                </mc:Fallback>
              </mc:AlternateContent>
            </w:r>
          </w:p>
          <w:p w14:paraId="3BE50F20" w14:textId="7399BEC7" w:rsidR="00A542EE" w:rsidRPr="00F505CB" w:rsidRDefault="00A542EE" w:rsidP="004C23EF">
            <w:pPr>
              <w:keepNext/>
              <w:rPr>
                <w:noProof/>
              </w:rPr>
            </w:pPr>
          </w:p>
          <w:p w14:paraId="5D821817" w14:textId="405A1706" w:rsidR="00A542EE" w:rsidRPr="00F505CB" w:rsidRDefault="00A542EE" w:rsidP="004C23EF">
            <w:pPr>
              <w:keepNext/>
              <w:rPr>
                <w:noProof/>
              </w:rPr>
            </w:pPr>
          </w:p>
          <w:p w14:paraId="385CE5B5" w14:textId="77777777" w:rsidR="00A542EE" w:rsidRPr="00F505CB" w:rsidRDefault="00A542EE" w:rsidP="004C23EF">
            <w:pPr>
              <w:keepNext/>
              <w:rPr>
                <w:noProof/>
              </w:rPr>
            </w:pPr>
          </w:p>
          <w:p w14:paraId="209DF402" w14:textId="57ECF416" w:rsidR="00F505CB" w:rsidRPr="00F505CB" w:rsidRDefault="00F505CB" w:rsidP="004C23EF">
            <w:pPr>
              <w:keepNext/>
              <w:rPr>
                <w:noProof/>
              </w:rPr>
            </w:pPr>
          </w:p>
        </w:tc>
      </w:tr>
    </w:tbl>
    <w:p w14:paraId="564BAC98" w14:textId="77777777" w:rsidR="005F673E" w:rsidRPr="00F505CB" w:rsidRDefault="005F673E" w:rsidP="002C2188">
      <w:pPr>
        <w:pStyle w:val="ListParagraph"/>
        <w:keepNext/>
        <w:numPr>
          <w:ilvl w:val="0"/>
          <w:numId w:val="1"/>
        </w:numPr>
        <w:spacing w:after="240"/>
        <w:ind w:left="284" w:hanging="284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 xml:space="preserve">Il-ħtieġa għal qafas ta’ governanza ekonomika effettiv  </w:t>
      </w:r>
    </w:p>
    <w:p w14:paraId="30292E71" w14:textId="7461FB4E" w:rsidR="00FD1B78" w:rsidRPr="00F505CB" w:rsidRDefault="24F1B2F8" w:rsidP="6632ACBE">
      <w:pPr>
        <w:keepNext/>
        <w:spacing w:after="120" w:line="276" w:lineRule="auto"/>
        <w:rPr>
          <w:b/>
          <w:bCs/>
          <w:i/>
          <w:iCs/>
          <w:noProof/>
        </w:rPr>
      </w:pPr>
      <w:r>
        <w:rPr>
          <w:b/>
          <w:i/>
          <w:noProof/>
        </w:rPr>
        <w:t>2.1 Lejn qafas li jiggwida lill-Istati Membri fl-indirizzar tal-isfidi identifikati u l-prijoritajiet ta’ politika komuni</w:t>
      </w:r>
    </w:p>
    <w:p w14:paraId="36E77C1E" w14:textId="324C2F57" w:rsidR="008B1485" w:rsidRPr="00F505CB" w:rsidRDefault="00E44C89" w:rsidP="008B1485">
      <w:pPr>
        <w:spacing w:after="120" w:line="276" w:lineRule="auto"/>
        <w:rPr>
          <w:noProof/>
        </w:rPr>
      </w:pPr>
      <w:r>
        <w:rPr>
          <w:b/>
          <w:noProof/>
        </w:rPr>
        <w:t>Il-qafas ta’ governanza ekonomika tal-UE ggwida lill-Istati Membri biex jilħqu l-objettivi tal-politika ekonomika u fiskali tagħhom.</w:t>
      </w:r>
      <w:r>
        <w:rPr>
          <w:noProof/>
        </w:rPr>
        <w:t xml:space="preserve"> Mit-Trattat ta’ Maastricht tal-1992, il-qafas għen biex tinkiseb konverġenza makroekonomika, biex jiġu ssalvagwardjati finanzi pubbliċi sodi u biex jiġu indirizzati żbilanċi makroekonomiċi. Flimkien ma’ politika monetarja komuni u munita komuni fiż-żona tal-euro, il-qafas ħoloq kundizzjonijiet għall-istabbiltà ekonomika, it-tkabbir ekonomiku sostenibbli u żieda fl-impjiegi għaċ-ċittadini tal-UE. </w:t>
      </w:r>
    </w:p>
    <w:p w14:paraId="21B0BF08" w14:textId="3CECD37D" w:rsidR="00351A5F" w:rsidRPr="00973818" w:rsidRDefault="04B3FDA8" w:rsidP="6F1C0378">
      <w:pPr>
        <w:spacing w:after="120" w:line="276" w:lineRule="auto"/>
        <w:rPr>
          <w:noProof/>
        </w:rPr>
      </w:pPr>
      <w:r>
        <w:rPr>
          <w:b/>
          <w:noProof/>
        </w:rPr>
        <w:t xml:space="preserve">Il-qafas ta’ governanza ekonomika tal-UE evolva maż-żmien. </w:t>
      </w:r>
      <w:r>
        <w:rPr>
          <w:noProof/>
        </w:rPr>
        <w:t>Ġeneralment ir-riformi saru b’reazzjoni għal dgħufijiet fil-qafas li kienu esposti l-aktar f’mumenti ta’ kriżi ekonomika. B’mod partikolari, il-pakketti leġiżlattivi magħrufa bħala s-</w:t>
      </w:r>
      <w:r>
        <w:rPr>
          <w:i/>
          <w:noProof/>
        </w:rPr>
        <w:t>six-pack</w:t>
      </w:r>
      <w:r>
        <w:rPr>
          <w:noProof/>
        </w:rPr>
        <w:t xml:space="preserve"> u t-</w:t>
      </w:r>
      <w:r>
        <w:rPr>
          <w:i/>
          <w:noProof/>
        </w:rPr>
        <w:t>two-pack</w:t>
      </w:r>
      <w:r>
        <w:rPr>
          <w:noProof/>
        </w:rPr>
        <w:t xml:space="preserve"> wieġbu għat-tagħlimiet tal-kriżi finanzjarja globali u l-kriżi tad-dejn sovran taż-żona tal-euro billi ġeddew is-sorveljanza fiskali, saħħew l-oqfsa baġitarji nazzjonali, irrinforzaw il-koordinazzjoni baġitarja fiż-żona tal-euro u wessgħu l-kamp ta’ applikazzjoni tas-sorveljanza ekonomika biex jiġu inklużi l-iżbilanċi makroekonomiċi. (</w:t>
      </w:r>
      <w:r>
        <w:rPr>
          <w:rStyle w:val="FootnoteReference"/>
          <w:noProof/>
        </w:rPr>
        <w:footnoteReference w:id="4"/>
      </w:r>
      <w:r>
        <w:rPr>
          <w:noProof/>
        </w:rPr>
        <w:t>)</w:t>
      </w:r>
    </w:p>
    <w:p w14:paraId="19123A22" w14:textId="2308A92A" w:rsidR="00334833" w:rsidRPr="00F505CB" w:rsidRDefault="00351A5F" w:rsidP="00996E84">
      <w:pPr>
        <w:spacing w:after="120" w:line="276" w:lineRule="auto"/>
        <w:rPr>
          <w:b/>
          <w:noProof/>
        </w:rPr>
      </w:pPr>
      <w:r>
        <w:rPr>
          <w:b/>
          <w:noProof/>
        </w:rPr>
        <w:t xml:space="preserve">Filwaqt li l-qafas mela l-lakuni fis-sorveljanza u sar aktar adattabbli għall-kundizzjonijiet ekonomiċi, sar ukoll aktar kumpless u mhux l-istrumenti u l-proċeduri kollha żammew l-integrità matul iż-żmien. </w:t>
      </w:r>
      <w:r>
        <w:rPr>
          <w:noProof/>
        </w:rPr>
        <w:t>Il-Komunikazzjoni ta’ Frar 2020</w:t>
      </w:r>
      <w:r>
        <w:rPr>
          <w:b/>
          <w:noProof/>
        </w:rPr>
        <w:t xml:space="preserve"> </w:t>
      </w:r>
      <w:r>
        <w:rPr>
          <w:noProof/>
        </w:rPr>
        <w:t>dwar ir-rieżami tal-governanza ekonomika u d-dibattitu pubbliku li rriżulta (ara l-Anness 1)</w:t>
      </w:r>
      <w:r>
        <w:rPr>
          <w:b/>
          <w:noProof/>
        </w:rPr>
        <w:t xml:space="preserve"> </w:t>
      </w:r>
      <w:r>
        <w:rPr>
          <w:noProof/>
        </w:rPr>
        <w:t xml:space="preserve">innotat is-suċċess varjat tal-qafas ta’ sorveljanza fiskali u l-eteroġeneità dejjem tikber tal-pożizzjonijiet fiskali madwar l-Istati Membri. Il-qafas ma kienx iddifferenzja biżżejjed bejn l-Istati Membri minkejja pożizzjonijiet fiskali differenti, riskji ta’ sostenibbiltà u vulnerabbiltajiet oħrajn. Il-politiki fiskali nazzjonali ta’ spiss kienu baqgħu proċikliċi u l-Istati Membri ma użawx żminijiet ekonomiċi tajbin biex jibnu buffers fiskali. Il-kapaċità li titmexxa l-pożizzjoni fiskali taż-żona tal-euro ġiet imfixkla min-nuqqas ta’ politiki prudenti fi żminijiet tajbin u baqgħet limitata fin-nuqqas ta’ kapaċità fiskali ċentrali b’karatteristiċi ta’ stabbilizzazzjoni. Il-kompożizzjoni tal-finanzi pubbliċi ma kinitx saret aktar favorevoli għat-tkabbir u l-gvernijiet nazzjonali ma kinux taw prijorità lil infiq li jsaħħaħ it-tkabbir u r-reżiljenza ekonomika u soċjali. Ir-regoli fiskali tal-UE kienu saru kumplessi, b’diversi indikaturi u dipendenza fuq varjabbli mhux osservabbli, li jimminaw it-trasparenza u jfixklu s-sjieda u l-prevedibbiltà. Minkejja titjib fl-oqfsa fiskali nazzjonali, l-effettività tagħhom varjat b’mod sinifikanti madwar l-Istati Membri. Fir-rigward tas-sorveljanza tal-iżbilanċi makroekonomiċi, il-qafas kien ta’ suċċess fis-sensibilizzazzjoni dwar riskji usa’ għall-istabbiltà makroekonomika iżda ma ġġenerax biżżejjed reazzjonijiet ta’ politika. Il-Proċedura ta’ Żbilanċ Eċċessiv (EIP) qatt ma ġiet attivata. Sa mill-ħolqien tal-Proċedura ta’ Żbilanċ Makroekonomiku (MIP), l-Unjoni kienet aktar ta’ suċċess fit-tnaqqis tad-defiċits tal-kontijiet kurrenti milli fit-tnaqqis ta’ surpluses tal-kontijiet kurrenti persistenti u kbar. Is-sorveljanza baqgħet ma ġietx ittestjata fil-prevenzjoni tal-akkumulazzjoni ta’ vulnerabbiltajiet u riskji ġodda u fit-trawwim ta’ azzjoni ta’ politika preventiva adegwata. Ir-rabtiet bejn diversi linji ta’ sorveljanza mhux dejjem ġew sfruttati bis-sħiħ. </w:t>
      </w:r>
    </w:p>
    <w:p w14:paraId="50A1822F" w14:textId="36E0E5E7" w:rsidR="00FD1B78" w:rsidRPr="00F505CB" w:rsidRDefault="00E23734" w:rsidP="00532466">
      <w:pPr>
        <w:spacing w:after="120" w:line="276" w:lineRule="auto"/>
        <w:rPr>
          <w:b/>
          <w:bCs/>
          <w:i/>
          <w:iCs/>
          <w:noProof/>
        </w:rPr>
      </w:pPr>
      <w:r>
        <w:rPr>
          <w:b/>
          <w:i/>
          <w:noProof/>
        </w:rPr>
        <w:t>2.2 Tagħlimiet mill-kriżijiet reċenti</w:t>
      </w:r>
    </w:p>
    <w:p w14:paraId="5F0C328B" w14:textId="34ADFD8E" w:rsidR="00282DEE" w:rsidRPr="00F505CB" w:rsidRDefault="00E9792B" w:rsidP="00315647">
      <w:pPr>
        <w:spacing w:after="120" w:line="276" w:lineRule="auto"/>
        <w:rPr>
          <w:noProof/>
        </w:rPr>
      </w:pPr>
      <w:r>
        <w:rPr>
          <w:b/>
          <w:noProof/>
        </w:rPr>
        <w:t>Tagħlimiet mir-rispons tal-politika għal xokkijiet ekonomiċi reċenti, b’mod partikolari l-kriżi tal-COVID-19, għandhom implikazzjonijiet għar-rieżami tal-governanza ekonomika.</w:t>
      </w:r>
      <w:r>
        <w:rPr>
          <w:noProof/>
        </w:rPr>
        <w:t xml:space="preserve"> F’Marzu 2020, ġiet attivata l-klawżola liberatorja ġenerali tal-Patt ta’ Stabbiltà u Tkabbir (PST). Din ippermettiet lill-Istati Membri jirreaġixxu għall-kriżi tal-COVID-19 billi pprovdew appoġġ fiskali mdaqqas għall-ekonomiji tagħhom, filwaqt li temporanjament ma żammewx mar-rekwiżiti baġitarji tal-PST. (</w:t>
      </w:r>
      <w:r>
        <w:rPr>
          <w:rStyle w:val="FootnoteReference"/>
          <w:noProof/>
        </w:rPr>
        <w:footnoteReference w:id="5"/>
      </w:r>
      <w:r>
        <w:rPr>
          <w:noProof/>
        </w:rPr>
        <w:t xml:space="preserve">) Dan ir-rispons kontroċikliku b’saħħtu, flimkien ma’ miżuri u strumenti ġodda fil-livell tal-UE, u xbieki ta’ sikurezza soċjali u sistemi tas-saħħa fil-livell nazzjonali, urew li kienu effettivi ħafna fil-mitigazzjoni tad-dannu ekonomiku u soċjali tal-kriżi. It-tagħlimiet mir-rispons politiku tal-UE b’suċċess għall-kriżi, inkluża l-interazzjoni pożittiva bejn ir-riformi u l-investiment taħt il-Faċilità għall-Irkupru u r-Reżiljenza (RRF), kienu utli wkoll għar-rieżami tal-qafas ta’ governanza ekonomika. Fl-istess ħin, il-kriżi rriżultat f’żieda sinifikanti fil-proporzjonijiet tad-dejn tas-settur pubbliku u privat, li tenfasizza l-importanza tat-tnaqqis tal-proporzjonijiet tad-dejn għal livelli prudenti b’mod gradwali, sostnut u favorevoli għat-tkabbir. Il-prudenza fiskali fi żminijiet ta’ tkabbir sostnut tgħin biex jinbnew buffers fiskali li l-gvernijiet jistgħu jużaw biex jipprovdu appoġġ fiskali kontroċikliku fi żminijiet ta’ kriżi, meta l-politika fiskali diskrezzjonali tista’ tkun partikolarment effettiva. L-investiment fit-tħejjija u r-reżiljenza jista’ jnaqqas ukoll l-impatt ekonomiku negattiv tal-kriżijiet. Barra minn hekk, l-esperjenza ta’ qabel u matul il-kriżi kkonfermat id-diffikultajiet assoċjati mat-tfassil ta’ rakkomandazzjonijiet ta’ politika abbażi ta’ indikaturi mhux osservabbli li huma soġġetti għal reviżjonijiet frekwenti (bħad-“diskrepanza fl-output” u l-“bilanċ strutturali”). </w:t>
      </w:r>
    </w:p>
    <w:p w14:paraId="71FBE6CB" w14:textId="73DFF94B" w:rsidR="00E9792B" w:rsidRPr="00F505CB" w:rsidRDefault="00951E63" w:rsidP="00E9792B">
      <w:pPr>
        <w:spacing w:after="120" w:line="276" w:lineRule="auto"/>
        <w:rPr>
          <w:noProof/>
        </w:rPr>
      </w:pPr>
      <w:r>
        <w:rPr>
          <w:b/>
          <w:noProof/>
        </w:rPr>
        <w:t>It-tranżizzjoni ekoloġika u dik diġitali, il-ħtieġa li tiġi żgurata s-sigurtà tal-enerġija, kif ukoll ir-reżiljenza soċjali u ekonomika,(</w:t>
      </w:r>
      <w:r>
        <w:rPr>
          <w:rStyle w:val="FootnoteReference"/>
          <w:b/>
          <w:bCs/>
          <w:noProof/>
        </w:rPr>
        <w:footnoteReference w:id="6"/>
      </w:r>
      <w:r>
        <w:rPr>
          <w:b/>
          <w:noProof/>
        </w:rPr>
        <w:t xml:space="preserve">) u li jinbnew kapaċitajiet ta’ difiża se jirrikjedu livelli għoljin sostnuti ta’ investiment fis-snin li ġejjin. </w:t>
      </w:r>
      <w:r>
        <w:rPr>
          <w:noProof/>
        </w:rPr>
        <w:t xml:space="preserve">Il-kriżi tal-COVID-19 u l-invażjoni Russa tal-Ukrajna għamlu wkoll dawn il-prijoritajiet komuni aktar viżibbli u urġenti. </w:t>
      </w:r>
      <w:bookmarkStart w:id="2" w:name="_Hlk117876647"/>
      <w:r>
        <w:rPr>
          <w:noProof/>
        </w:rPr>
        <w:t>Se jkunu meħtieġa livelli għoljin ta’ investiment biex tinkiseb tranżizzjoni doppja ġusta (ekoloġika u diġitali), tiżdied ir-reżiljenza soċjali u ekonomika (inkluż permezz tat-titjib tal-ħiliet u t-taħriġ mill-ġdid), tiżdied il-koeżjoni territorjali, jitnaqqsu d-dipendenzi enerġetiċi, u jiżdiedu l-kapaċitajiet ta’ difiża, kemm fil-livell nazzjonali kif ukoll b’appoġġ għall-prijoritajiet komuni tal-Ewropa</w:t>
      </w:r>
      <w:bookmarkEnd w:id="2"/>
      <w:r>
        <w:rPr>
          <w:noProof/>
        </w:rPr>
        <w:t xml:space="preserve">. Fil-kapaċità limitata tiegħu, il-baġit tal-UE appoġġa dawn l-isforzi minħabba li t-tranżizzjoni doppja, ir-reżiljenza, is-sigurtà tal-enerġija u d-difiża huma objettivi komuni għall-Istati Membri kollha u saru saħansitra aktar urġenti bil-kriżi attwali. Dawn l-objettivi jitolbu investiment minn korporazzjonijiet u minn unitajiet domestiċi, iżda anke investiment pubbliku ogħla, appoġġat minn kompożizzjoni u kwalità tajba tal-finanzi pubbliċi. Dawn il-politiki jagħtu spinta lit-tkabbir potenzjali, isaħħu r-reżiljenza u jgħinu biex jiġu miġġielda x-xokkijiet negattivi tal-gwerra. Fl-aħħar nett, dawn jirriflettu prijoritajiet strateġiċi tal-UE u huma appoġġati minn programmi komuni ffinanzjati mill-UE, bħall-finanzjament tal-RRF provdut sal-2026 u l-finanzjament tal-politika ta’ koeżjoni. </w:t>
      </w:r>
    </w:p>
    <w:p w14:paraId="67D1F3F4" w14:textId="4204987D" w:rsidR="00EE6623" w:rsidRDefault="008317D5" w:rsidP="008B1485">
      <w:pPr>
        <w:spacing w:after="120" w:line="276" w:lineRule="auto"/>
        <w:rPr>
          <w:noProof/>
        </w:rPr>
      </w:pPr>
      <w:r>
        <w:rPr>
          <w:b/>
          <w:noProof/>
        </w:rPr>
        <w:t>Il-koordinazzjoni effettiva tal-politika hija kritika għar-rispons għall-kriżijiet.</w:t>
      </w:r>
      <w:r>
        <w:rPr>
          <w:noProof/>
        </w:rPr>
        <w:t xml:space="preserve"> Ir-rispons ta’ politika għall-kriżi tal-COVID-19, l-invażjoni Russa tal-Ukrajna u l-kriżi tal-enerġija sussegwenti enfasizzaw il-valur ta’ koordinazzjoni politika b’saħħitha, inkluż bejn għodod ta’ politika u ta’ finanzjament differenti, u bejn il-livelli tal-UE u dawk nazzjonali. L-attivazzjoni tal-klawżola liberatorja ġenerali ffaċilitat ir-rispons fiskali nazzjonali. L-interazzjoni bejn il-politika fiskali u l-politika monetarja kienet u għadha kritika għar-rispons makroekonomiku effettiv għall-kriżi. Il-politika monetarja, ħolqot spazju għat-twettiq tal-politiki fiskali nazzjonali meħtieġa li, min-naħa tagħhom, għenu biex itaffu l-effetti fuq it-tkabbir ekonomiku u l-koeżjoni soċjali. Xi kundizzjonijiet qafas, bħar-regolamenti prudenzjali tas-suq finanzjarju u l-qafas tal-Għajnuna mill-Istat tal-UE, ġew aġġustati temporanjament. Il-flessibbiltajiet, inklużi dawk fi ħdan il-baġit tal-UE, ġew applikati bis-sħiħ. Għodod ġodda fil-livell tal-UE għenu wkoll, b’mod partikolari l-Appoġġ temporanju biex jittaffew ir-Riskji ta’ Qgħad f’Emerġenza (SURE), l-Inizjattivi ta’ Investiment fir-Rispons għall-Coronavirus (CRII) taħt il-Politika ta’ Koeżjoni u NextGenerationEU, inkluża l-Assistenza fl-Irkupru għall-Koeżjoni u għat-Territorji tal-Ewropa (REACT-EU) u l-RRF. L-implimentazzjoni effettiva tar-riformi u l-investiment fil-Pjanijiet għall-Irkupru u r-Reżiljenza (RRPs) tipprovdi opportunità unika għall-Istati Membri biex jilħqu perkors ta’ tkabbir ogħla, jindirizzaw il-vulnerabbiltajiet ekonomiċi u soċjali, itejbu s-sostenibbiltà tad-dejn pubbliku u privat, isaħħu r-reżiljenza u jaċċelleraw it-tranżizzjoni ekoloġika u diġitali, filwaqt li jilħqu l-objettivi tal-Unjoni. Aktar reċentement, b’rispons għat-tfixkil fis-suq tal-enerġija kkawżat mill-invażjoni Russa tal-Ukrajna u l-użu tal-enerġija bħala arma mir-Russja, il-Kummissjoni ressqet għadd ta’ miżuri li jindirizzaw il-prezzijiet għoljin tal-enerġija u jiżguraw is-sigurtà tal-provvista. Il-Kummissjoni nediet ukoll sensiela ta’ inizjattivi, inkluż il-pjan REPowerEU, biex tintemm id-dipendenza fuq il-fjuwils fossili Russi, billi jiġu ddiversifikati l-provvisti tal-enerġija, tiġi ffrankata l-enerġija u titħaffef it-tranżizzjoni ekoloġika. (</w:t>
      </w:r>
      <w:r>
        <w:rPr>
          <w:rStyle w:val="FootnoteReference"/>
          <w:noProof/>
        </w:rPr>
        <w:footnoteReference w:id="7"/>
      </w:r>
      <w:r>
        <w:rPr>
          <w:noProof/>
        </w:rPr>
        <w:t>)</w:t>
      </w:r>
    </w:p>
    <w:p w14:paraId="55AE35B8" w14:textId="7C57D2DB" w:rsidR="001674D7" w:rsidRPr="009B57F9" w:rsidRDefault="001674D7" w:rsidP="008B1485">
      <w:pPr>
        <w:spacing w:after="120" w:line="276" w:lineRule="auto"/>
        <w:rPr>
          <w:noProof/>
        </w:rPr>
      </w:pPr>
      <w:r>
        <w:rPr>
          <w:b/>
          <w:noProof/>
        </w:rPr>
        <w:t>Il-qafas riformat irid jgħin ukoll lill-Istati Membri jindirizzaw l-isfidi fit-tul li qed tiffaċċja l-UE.</w:t>
      </w:r>
      <w:bookmarkStart w:id="3" w:name="_Hlk118466169"/>
      <w:r>
        <w:rPr>
          <w:noProof/>
        </w:rPr>
        <w:t xml:space="preserve"> Ix-xejriet strutturali fit-tul jippreżentaw sfida sinifikanti għas-sostenibbiltà tal-finanzi pubbliċi u għat-tkabbir sostenibbli fl-Istati Membri tal-UE. </w:t>
      </w:r>
      <w:bookmarkEnd w:id="3"/>
      <w:r>
        <w:rPr>
          <w:noProof/>
        </w:rPr>
        <w:t>Dawn ix-xejriet jinkludu sfidi demografiċi u l-kriżi klimatika, b’din tal-aħħar issir dejjem aktar evidenti fil-forma ta’ severità u frekwenza dejjem akbar ta’ avvenimenti estremi tat-temp. L-indirizzar ta’ dawn l-isfidi se jirrikjedi li l-Istati Membri jieħdu azzjoni ulterjuri, inkluż investiment pubbliku biex jiffaċilitaw tranżizzjoni ekoloġika u diġitali u politiki ffokati fuq l-iżgurar ta’ finanzi pubbliċi sodi, inkluż permezz tar-riforma tas-sistemi tal-pensjonijiet.</w:t>
      </w:r>
    </w:p>
    <w:p w14:paraId="5B2AD25E" w14:textId="77777777" w:rsidR="00301A4E" w:rsidRPr="00973818" w:rsidRDefault="00301A4E" w:rsidP="008B1485">
      <w:pPr>
        <w:spacing w:after="120" w:line="276" w:lineRule="auto"/>
        <w:rPr>
          <w:b/>
          <w:noProof/>
        </w:rPr>
      </w:pPr>
    </w:p>
    <w:p w14:paraId="5BC7A168" w14:textId="77777777" w:rsidR="009332A0" w:rsidRPr="00F505CB" w:rsidRDefault="003214F6" w:rsidP="00532466">
      <w:pPr>
        <w:pStyle w:val="ListParagraph"/>
        <w:keepNext/>
        <w:numPr>
          <w:ilvl w:val="0"/>
          <w:numId w:val="1"/>
        </w:numPr>
        <w:spacing w:after="240"/>
        <w:ind w:left="284" w:hanging="284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Lejn qafas aktar sempliċi u aktar effettiv bi sjieda akbar</w:t>
      </w:r>
    </w:p>
    <w:p w14:paraId="7EDFD7A0" w14:textId="2012442C" w:rsidR="00033E37" w:rsidRPr="00F505CB" w:rsidRDefault="00033E37" w:rsidP="00314038">
      <w:pPr>
        <w:spacing w:after="120" w:line="276" w:lineRule="auto"/>
        <w:rPr>
          <w:b/>
          <w:i/>
          <w:noProof/>
        </w:rPr>
      </w:pPr>
      <w:r>
        <w:rPr>
          <w:b/>
          <w:noProof/>
        </w:rPr>
        <w:t xml:space="preserve">Din it-taqsima tippreżenta l-profili ewlenin tal-orjentazzjonijiet tal-Kummissjoni għar-riforma tal-qafas ta’ governanza ekonomika </w:t>
      </w:r>
      <w:r>
        <w:rPr>
          <w:noProof/>
        </w:rPr>
        <w:t>(ara l-Illustrazzjoni 2)</w:t>
      </w:r>
      <w:r>
        <w:rPr>
          <w:b/>
          <w:noProof/>
        </w:rPr>
        <w:t>.</w:t>
      </w:r>
      <w:r>
        <w:rPr>
          <w:noProof/>
        </w:rPr>
        <w:t xml:space="preserve"> Kwistjonijiet speċifiċi relatati mal-istabbiliment u mal-implimentazzjoni tal-qafas riformat propost huma diskussi f’aktar dettall fit-Taqsima 4, li tiddiskuti wkoll il-qafas li jindirizza l-Istati Membri taż-żona tal-euro li qegħdin jesperjenzaw diffikultajiet fl-istabbiltà finanzjarja jew huma mhedda minnhom.</w:t>
      </w:r>
    </w:p>
    <w:p w14:paraId="6C601FD1" w14:textId="5E7BBE26" w:rsidR="00033E37" w:rsidRPr="00F505CB" w:rsidRDefault="00073BA4" w:rsidP="00314038">
      <w:pPr>
        <w:spacing w:after="120" w:line="276" w:lineRule="auto"/>
        <w:rPr>
          <w:b/>
          <w:i/>
          <w:noProof/>
        </w:rPr>
      </w:pPr>
      <w:r>
        <w:rPr>
          <w:b/>
          <w:i/>
          <w:noProof/>
        </w:rPr>
        <w:t>3.1 Arkitettura ta’ governanza riveduta b’enfasi akbar fuq it-terminu medju</w:t>
      </w:r>
    </w:p>
    <w:p w14:paraId="63912681" w14:textId="5D821A23" w:rsidR="00C9203C" w:rsidRPr="00F505CB" w:rsidRDefault="00C9203C" w:rsidP="00C9203C">
      <w:pPr>
        <w:spacing w:after="120" w:line="276" w:lineRule="auto"/>
        <w:rPr>
          <w:noProof/>
        </w:rPr>
      </w:pPr>
      <w:r>
        <w:rPr>
          <w:b/>
          <w:noProof/>
        </w:rPr>
        <w:t>L-orjentazzjonijiet tal-Kummissjoni jfittxu li jiddefinixxu arkitettura aktar sempliċi u integrata għas-sorveljanza makrofiskali biex jiżguraw is-sostenibbiltà tad-dejn u jippromwovu tkabbir sostenibbli u inklużiv</w:t>
      </w:r>
      <w:r>
        <w:rPr>
          <w:noProof/>
        </w:rPr>
        <w:t xml:space="preserve">. Sabiex il-qafas ikun konsistenti fil-komponenti tiegħu u jwassal għal sorveljanza ekonomika effettiva, hemm bżonn li jiġu ċċarati l-objettivi ta’ kull linja ta’ sorveljanza, li l-politiki makroekonomiċi u fiskali jiġu integrati aħjar, u li jiżdiedu strumenti biex jiġi mmonitorjat il-progress u jintlaħqu objettivi ġodda. Għalhekk, flimkien mar-reviżjoni tal-qafas fiskali tal-UE u tal-MIP, b’mod partikolari billi l-objettivi fiskali, ta’ riforma u ta’ investiment jiġu integrati fi pjan olistiku wieħed ta’ terminu medju, l-orjentazzjonijiet tal-Kummissjoni jitolbu l-istabbiliment ta’ għodda ġdida ta’ infurzar tal-UE għar-riformi u għall-investiment. Din l-għodda tiżgura l-infurzar tal-impenji ta’ riforma u ta’ investiment tal-Istati Membri li jirfdu aġġustament fiskali aktar gradwali (ara t-Taqsima 4.1). </w:t>
      </w:r>
    </w:p>
    <w:p w14:paraId="36824F83" w14:textId="57961FFA" w:rsidR="00FC7C3A" w:rsidRPr="00F505CB" w:rsidRDefault="00F263AC" w:rsidP="00C9203C">
      <w:pPr>
        <w:spacing w:after="120" w:line="276" w:lineRule="auto"/>
        <w:rPr>
          <w:noProof/>
        </w:rPr>
      </w:pPr>
      <w:r>
        <w:rPr>
          <w:b/>
          <w:noProof/>
        </w:rPr>
        <w:t xml:space="preserve">Il-valuri ta’ referenza tat-Trattat ta’ 3 % tad-defiċit tal-baġit tal-PDG u ta’ 60 % tal-proporzjon tad-dejn mal-PDG baqgħu l-istess. </w:t>
      </w:r>
      <w:r>
        <w:rPr>
          <w:noProof/>
        </w:rPr>
        <w:t>Dawn il-valuri huma stabbiliti fi Protokoll tat-Trattat u l-fokus tar-rieżami huwa li jiġi żgurat li dawk il-valuri jiġu rrispettati b’mod aktar effettiv, speċjalment billi ssir enfasi fuq perkors xieraq u kredibbli ta’ tnaqqis tad-dejn lejn 60 % tal-PDG, filwaqt li fl-istess ħin jiġi żgurat li l-qafas ta’ governanza ekonomika jwassal għal tkabbir sostenibbli u inklużiv.</w:t>
      </w:r>
    </w:p>
    <w:p w14:paraId="29423FD6" w14:textId="1BFA69AF" w:rsidR="00EB57D4" w:rsidRDefault="00EB57D4" w:rsidP="00532466">
      <w:pPr>
        <w:keepNext/>
        <w:spacing w:before="120" w:after="120"/>
        <w:jc w:val="center"/>
        <w:rPr>
          <w:b/>
          <w:noProof/>
        </w:rPr>
      </w:pPr>
      <w:r>
        <w:rPr>
          <w:b/>
          <w:noProof/>
        </w:rPr>
        <w:t>Illustrazzjoni 2: Qafas fiskali rivedut ssuġġerit</w:t>
      </w:r>
    </w:p>
    <w:p w14:paraId="70B521A2" w14:textId="14D093E9" w:rsidR="007E1ECE" w:rsidRDefault="007E1ECE" w:rsidP="00F656CE">
      <w:pPr>
        <w:keepNext/>
        <w:jc w:val="center"/>
        <w:rPr>
          <w:b/>
          <w:noProof/>
        </w:rPr>
      </w:pPr>
      <w:r>
        <w:rPr>
          <w:noProof/>
          <w:lang w:val="en-GB"/>
        </w:rPr>
        <w:drawing>
          <wp:inline distT="0" distB="0" distL="0" distR="0" wp14:anchorId="20C71801" wp14:editId="1792F6FF">
            <wp:extent cx="5731510" cy="2784475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89A0D" w14:textId="17934398" w:rsidR="00E824F2" w:rsidRPr="00F505CB" w:rsidRDefault="00073BA4" w:rsidP="00F656CE">
      <w:pPr>
        <w:keepNext/>
        <w:spacing w:after="120" w:line="276" w:lineRule="auto"/>
        <w:rPr>
          <w:noProof/>
        </w:rPr>
      </w:pPr>
      <w:r>
        <w:rPr>
          <w:b/>
          <w:i/>
          <w:noProof/>
        </w:rPr>
        <w:t xml:space="preserve">3.2 Pjanijiet fiskali-strutturali nazzjonali fuq terminu medju bħala l-qofol tal-arkitettura l-ġdida ta’ governanza </w:t>
      </w:r>
    </w:p>
    <w:p w14:paraId="1B7A53D4" w14:textId="34BB27C1" w:rsidR="00967616" w:rsidRPr="004C23EF" w:rsidRDefault="761092F7" w:rsidP="00A57AD0">
      <w:pPr>
        <w:spacing w:after="120" w:line="276" w:lineRule="auto"/>
        <w:rPr>
          <w:noProof/>
        </w:rPr>
      </w:pPr>
      <w:r>
        <w:rPr>
          <w:b/>
          <w:noProof/>
        </w:rPr>
        <w:t>Pjanijiet fiskali-strutturali nazzjonali fuq terminu medju li jiġbru flimkien l-impenji fiskali, ta’ riforma u ta’ investiment ta’ kull Stat Membru, fi ħdan qafas komuni tal-UE, ikunu l-pedament tal-qafas rivedut propost.</w:t>
      </w:r>
      <w:r>
        <w:rPr>
          <w:noProof/>
        </w:rPr>
        <w:t> (</w:t>
      </w:r>
      <w:r>
        <w:rPr>
          <w:rStyle w:val="FootnoteReference"/>
          <w:noProof/>
        </w:rPr>
        <w:footnoteReference w:id="8"/>
      </w:r>
      <w:r>
        <w:rPr>
          <w:noProof/>
        </w:rPr>
        <w:t>)</w:t>
      </w:r>
      <w:r>
        <w:rPr>
          <w:b/>
          <w:noProof/>
        </w:rPr>
        <w:t xml:space="preserve"> </w:t>
      </w:r>
      <w:r>
        <w:rPr>
          <w:noProof/>
        </w:rPr>
        <w:t xml:space="preserve">Dan jiżgura l-konsistenza u jissimplifika l-proċessi u r-riżultati, filwaqt li jirrikonoxxi li r-riformi u l-investimenti jista’ jkollhom impatt pożittiv fuq is-sostenibbiltà fiskali. Il-qafas fiskali rivedut tal-UE jistabbilixxi r-rekwiżiti biex jiġi żgurat li l-proporzjon tad-dejn jibda jitnaqqas jew jibqa’ f’livelli prudenti, u d-defiċit tal-baġit jinżamm taħt il-valur ta’ referenza ta’ 3 % tal-PDG fuq terminu medju. L-Istati Membri jippreżentaw pjanijiet fuq terminu medju li jistabbilixxu trajettorji fiskali speċifiċi għall-pajjiż kif ukoll impenji ta’ investiment pubbliku prijoritarju u ta’ riforma li flimkien jiżguraw tnaqqis sostnut u gradwali tad-dejn u tkabbir sostenibbli u inklużiv. L-Istati Membri kollha jkunu rikjesti jindirizzaw il-prijoritajiet identifikati fir-rakkomandazzjonijiet speċifiċi għall-pajjiż (CSRs) maħruġa fil-kuntest tas-Semestru Ewropew. Il-pjanijiet fuq terminu medju għandhom jippreżentaw ukoll inizjattivi li huma f’konformità mal-prijoritajiet strateġiċi tal-UE derivati direttament mill-gwida u l-miri miftiehma tal-UE li jirrikjedu azzjoni ta’ politika mill-Istati Membri. Għalhekk, il-pjanijiet għandhom ikunu konsistenti wkoll mal-Pjanijiet Nazzjonali dwar l-Enerġija u l-Klima (li għandhom jiġu allinjati mal-miri tal-Liġi tal-UE dwar il-Klima) kif ukoll mal-Pjanijiet Direzzjonali Nazzjonali tad-Deċennju Diġitali. Matul il-ħajja tal-RRF, ikunu meħtieġa kontroreferenzi għall-RRPs biex tiġi żgurata l-konsistenza tal-politika. </w:t>
      </w:r>
    </w:p>
    <w:p w14:paraId="22FDFC9E" w14:textId="52221A56" w:rsidR="00A57AD0" w:rsidRPr="00F505CB" w:rsidRDefault="00A57AD0" w:rsidP="00A57AD0">
      <w:pPr>
        <w:spacing w:after="120" w:line="276" w:lineRule="auto"/>
        <w:rPr>
          <w:noProof/>
        </w:rPr>
      </w:pPr>
      <w:r>
        <w:rPr>
          <w:b/>
          <w:noProof/>
        </w:rPr>
        <w:t xml:space="preserve">Dan l-approċċ fuq terminu medju jippermetti d-differenzjazzjoni bejn l-Istati Membri, fi ħdan qafas komuni tal-UE rivedut li għandu t-tkabbir sostenibbli u r-riskji tas-sostenibbiltà tad-dejn bħala bażi komuni. </w:t>
      </w:r>
      <w:r>
        <w:rPr>
          <w:noProof/>
        </w:rPr>
        <w:t xml:space="preserve">Qafas komuni tal-UE bħal dan ikun strumentali biex jiżgura b’mod trasparenti t-trattament ugwali bejn l-Istati Membri. Jekk nieħdu l-objettiv tas-sostenibbiltà tad-dejn bħala l-punt tat-tluq għas-sorveljanza fiskali tal-UE, dan jirrifletti l-objettiv ewlieni tat-Trattat tar-regoli fiskali fl-Unjoni Ekonomika u Monetarja, li għandu jipprevjeni l-hekk imsejħa “żbalji kbar” fit-twettiq tal-politika fiskali, peress li dawn jista’ jkollhom effetti negattivi fuq Stati Membri oħrajn u fuq l-unjoni monetarja kollha kemm hi. Il-qafas eżistenti tal-UE jirrikjedi li l-Istati Membri kollha jagħmlu sforzi ta’ aġġustament simili, b’mod partikolari fil-parti preventiva, irrispettivament mill-pożizzjoni tad-dejn u r-riskji fiskali tagħhom. Madankollu, il-proporzjonijiet tad-dejn mal-PDG u l-iżviluppi tad-dejn ivarjaw ħafna bejn l-Istati Membri. Xi wħud minnhom għandhom dejn għoli ħafna li jaqbeż id-90 % tal-PDG (u li jaqbeż il-150 % tal-PDG f’żewġ każijiet). Oħrajn għandhom dejn anqas minn 60 % tal-PDG. Fl-aħħar nett, ħafna jinsabu f’sitwazzjoni intermedja, b’dejn ta’ bejn 60 % u 90 % tal-PDG. </w:t>
      </w:r>
    </w:p>
    <w:p w14:paraId="0C58B39A" w14:textId="55648AD1" w:rsidR="00A57AD0" w:rsidRPr="00F505CB" w:rsidRDefault="00C81141" w:rsidP="003B61CD">
      <w:pPr>
        <w:spacing w:after="120" w:line="276" w:lineRule="auto"/>
        <w:rPr>
          <w:noProof/>
        </w:rPr>
      </w:pPr>
      <w:r>
        <w:rPr>
          <w:b/>
          <w:noProof/>
        </w:rPr>
        <w:t xml:space="preserve">Qafas ta’ sorveljanza bbażat fuq ir-riskju jippermetti li l-parametru referenzjarju eżistenti għat-tnaqqis tad-dejn jiġi adattat għall-proporzjon tad-dejn speċifiku għall-pajjiż, filwaqt li jiġi ppreservat b’mod kredibbli r-rekwiżit li jinżammu d-defiċits baġitarji taħt it-3 % tal-PDG. </w:t>
      </w:r>
      <w:r>
        <w:rPr>
          <w:noProof/>
        </w:rPr>
        <w:t>Il-parametru referenzjarju attwali għat-tnaqqis tad-dejn (l-hekk imsejħa regola tal-1/20)</w:t>
      </w:r>
      <w:r>
        <w:rPr>
          <w:noProof/>
          <w:vertAlign w:val="superscript"/>
        </w:rPr>
        <w:t xml:space="preserve"> </w:t>
      </w:r>
      <w:r>
        <w:rPr>
          <w:noProof/>
        </w:rPr>
        <w:t>jimplika, fiċ-ċirkostanzi attwali ta’ proporzjonijiet għoljin ta’ dejn wara l-COVID, sforz fiskali antiċipat kbir wisq li jirriskja li jipperikola t-tkabbir u li huwa proċikliku. (</w:t>
      </w:r>
      <w:r>
        <w:rPr>
          <w:rStyle w:val="FootnoteReference"/>
          <w:noProof/>
        </w:rPr>
        <w:footnoteReference w:id="9"/>
      </w:r>
      <w:r>
        <w:rPr>
          <w:noProof/>
        </w:rPr>
        <w:t xml:space="preserve">) Għandu jiġi rikonoxxut li l-Istati Membri b’dejn għoli ma jistgħux jirrispettaw parametru referenzjarju eżistenti għat-tnaqqis tad-dejn ta’ 1/20, peress li t-tnaqqis tal-proporzjonijiet tad-dejn tagħhom b’din il-veloċità jkollu impatt negattiv ħafna fuq it-tkabbir u b’hekk fuq is-sostenibbiltà tad-dejn innifsu. Għalhekk, qiegħed jiġi propost li wieħed jimxi lejn qafas ta’ sorveljanza aktar ibbażat fuq ir-riskju li jpoġġi s-sostenibbiltà tad-dejn fil-qalba tiegħu u jiddistingwi aktar bejn il-pajjiżi billi jqis l-isfidi tad-dejn pubbliku tagħhom, filwaqt li jaderixxu ma’ qafas trasparenti u komuni tal-UE konsistenti mat-3 % tal-PDG u mal-valuri ta’ referenza ta’ 60 % tal-PDG tat-Trattat. </w:t>
      </w:r>
    </w:p>
    <w:p w14:paraId="7C40B8F7" w14:textId="6BFE2328" w:rsidR="003512CB" w:rsidRPr="00F505CB" w:rsidRDefault="004E69B8" w:rsidP="00BF5DCF">
      <w:pPr>
        <w:spacing w:before="240" w:after="120" w:line="276" w:lineRule="auto"/>
        <w:rPr>
          <w:noProof/>
        </w:rPr>
      </w:pPr>
      <w:r>
        <w:rPr>
          <w:b/>
          <w:noProof/>
        </w:rPr>
        <w:t>Il-pjanijiet nazzjonali fuq terminu medju għandhom jiżguraw perkors sostenibbli għat-tnaqqis tad-dejn permezz ta’ konsolidazzjoni u riformi u investimenti gradwali</w:t>
      </w:r>
      <w:r>
        <w:rPr>
          <w:noProof/>
        </w:rPr>
        <w:t xml:space="preserve">. L-Istati Membri għandhom jippreżentaw pjanijiet fiskali-strutturali fuq terminu medju li jiżguraw li d-dejn jinżamm jew jinġieb fi triq sostenibbli sa tmiem il-perjodu ta’ aġġustament kif ukoll impenji ta’ investiment pubbliku u ta’ riforma prijoritarji. Il-qafas jirrifletti li ma hemm l-ebda kompromess bejn ir-riformi u l-investiment u l-aġġustament fiskali. It-titjib tal-kwalità tal-finanzi pubbliċi u l-protezzjoni tal-investiment pubbliku għandhom ikunu elementi ċentrali tal-pjanijiet fiskali-strutturali fuq terminu medju, fid-dawl tar-rwol essenzjali tal-investiment pubbliku u r-riformi fit-tisħiħ tat-tkabbir potenzjali u fl-indirizzar ta’ sfidi sistemiċi ewlenin bħat-tranżizzjoni ekoloġika u diġitali. </w:t>
      </w:r>
    </w:p>
    <w:p w14:paraId="3482E093" w14:textId="46D159AA" w:rsidR="00033E37" w:rsidRPr="00F505CB" w:rsidRDefault="00096ECD" w:rsidP="00BF5DCF">
      <w:pPr>
        <w:spacing w:before="240" w:after="120" w:line="276" w:lineRule="auto"/>
        <w:rPr>
          <w:noProof/>
        </w:rPr>
      </w:pPr>
      <w:r>
        <w:rPr>
          <w:b/>
          <w:noProof/>
        </w:rPr>
        <w:t>Barra minn hekk, l-Istati Membri jkunu jistgħu jimpenjaw ruħhom għal sett ta’ riformi u investiment li jgħinu biex id-dejn jinġieb fi triq sostenibbli u għalhekk jistgħu jirfdu perjodu ta’ aġġustament itwal u perkors ta’ aġġustament aktar gradwali.</w:t>
      </w:r>
      <w:r>
        <w:rPr>
          <w:noProof/>
        </w:rPr>
        <w:t xml:space="preserve"> Il-perkors ta’ aġġustament, ir-riformi u l-investimenti se jiġu diskussi mal-Kummissjoni u, ladarba jiġu vvalutati b’mod pożittiv, se jiġu adottati mill-Kunsill. Il-pjanijiet ikollhom jiġu tradotti fil-baġits nazzjonali għall-perjodu kollu ta’ aġġustament, bil-possibbiltà li l-Istati Membri jirrevedu l-pjan biss wara perjodu minimu ta’ erba’ snin. Dan il-perjodu minimu ta’ aġġustament jista’ jittawwal biex jaqbel mal-leġiżlatura nazzjonali, jekk l-Istati Membri jkunu jixtiequ hekk. Il-pjan jista’ jiġi rivedut aktar kmieni f’każ ta’ ċirkostanzi oġġettivi li jagħmlu l-implimentazzjoni tal-pjan mhux fattibbli, iżda jkollu jgħaddi mill-istess proċess ta’ validazzjoni. Reviżjonijiet frekwenti jimminaw il-kredibbiltà tal-pjanijiet bħala ankra għal politiki prudenti. </w:t>
      </w:r>
    </w:p>
    <w:p w14:paraId="0269458C" w14:textId="5BBE1C58" w:rsidR="002A4C81" w:rsidRPr="00973818" w:rsidRDefault="002A4C81" w:rsidP="002A4C81">
      <w:pPr>
        <w:spacing w:after="120" w:line="276" w:lineRule="auto"/>
        <w:rPr>
          <w:noProof/>
        </w:rPr>
      </w:pPr>
      <w:r>
        <w:rPr>
          <w:b/>
          <w:noProof/>
        </w:rPr>
        <w:t>Indikatur operazzjonali uniku ankrat fuq is-sostenibbiltà tad-dejn iservi bħala bażi għall-istabbiliment tal-perkors ta’ aġġustament fiskali u t-twettiq ta’ sorveljanza fiskali annwali, u b’hekk jissimplifika b’mod sinifikanti l-qafas fiskali u jżid it-trasparenza</w:t>
      </w:r>
      <w:r>
        <w:rPr>
          <w:noProof/>
        </w:rPr>
        <w:t>. L-użu tan-nefqa primarja netta ffinanzjata fil-livell nazzjonali, jiġifieri n-nefqa netta mill-miżuri tad-dħul diskrezzjonali u l-esklużjoni tan-nefqa fuq l-imgħax kif ukoll tan-nefqa ċiklika fuq il-qgħad, peress li l-indikatur operazzjonali uniku għas-sorveljanza jippermetti t-tħaddim ta’ stabbilizzaturi awtomatiċi, inklużi varjazzjonijiet fid-dħul u fl-infiq barra mill-kontroll dirett tal-gvern. Dan jiżgura grad ogħla ta’ stabbilizzazzjoni makroekonomika. Filwaqt li l-Istati Membri jistgħu jużaw indikaturi alternattivi għal skopijiet baġitarji nazzjonali (eż. bilanċ strutturali), is-sorveljanza fiskali annwali fil-livell tal-UE titwettaq biss bl-użu ta’ dan l-indikatur operazzjonali uniku u b’hekk il-perkors tan-nefqa. Dan l-indikatur operazzjonali uniku għandu jiġi ddefinit sabiex tiġi żgurata s-sostenibbiltà tad-dejn. Il-perkors tan-nefqa primarja netta pluriennali miftiehma għandu jiżgura li d-dejn jitqiegħed jew jinżamm fi triq ’l isfel sa mhux aktar tard minn tmiem il-perjodu ta’ aġġustament jew jibqa’ f’livelli prudenti, filwaqt li jiżgura li d-defiċit tal-baġit jinżamm taħt it-3 % tal-PDG fuq terminu medju. (</w:t>
      </w:r>
      <w:r>
        <w:rPr>
          <w:rStyle w:val="FootnoteReference"/>
          <w:noProof/>
        </w:rPr>
        <w:footnoteReference w:id="10"/>
      </w:r>
      <w:r>
        <w:rPr>
          <w:noProof/>
        </w:rPr>
        <w:t>)</w:t>
      </w:r>
    </w:p>
    <w:p w14:paraId="7A69CC5E" w14:textId="34066972" w:rsidR="00FE7790" w:rsidRPr="00F505CB" w:rsidRDefault="00073BA4" w:rsidP="00436EE2">
      <w:pPr>
        <w:keepNext/>
        <w:spacing w:after="120" w:line="276" w:lineRule="auto"/>
        <w:rPr>
          <w:b/>
          <w:i/>
          <w:noProof/>
        </w:rPr>
      </w:pPr>
      <w:r>
        <w:rPr>
          <w:b/>
          <w:i/>
          <w:noProof/>
        </w:rPr>
        <w:t>3.3 Ftehim dwar il-pjanijiet fiskali-strutturali nazzjonali fuq terminu medju</w:t>
      </w:r>
    </w:p>
    <w:p w14:paraId="0A884B7E" w14:textId="307C1B41" w:rsidR="007A370E" w:rsidRPr="00F505CB" w:rsidRDefault="23543265" w:rsidP="00E23734">
      <w:pPr>
        <w:spacing w:after="120" w:line="276" w:lineRule="auto"/>
        <w:rPr>
          <w:noProof/>
        </w:rPr>
      </w:pPr>
      <w:r>
        <w:rPr>
          <w:b/>
          <w:noProof/>
        </w:rPr>
        <w:t xml:space="preserve">Il-pjan fiskali-strutturali nazzjonali fuq terminu medju jkun fiċ-ċentru tal-Patt ta’ Stabbiltà u Tkabbir riformat u jkun propost mill-Istat Membru abbażi ta’ qafas komuni tal-UE. </w:t>
      </w:r>
      <w:r>
        <w:rPr>
          <w:noProof/>
        </w:rPr>
        <w:t>Il-qafas komuni rivedut tal-UE jistabbilixxi r-rekwiżiti li jiżguraw li d-dejn pubbliku jitqiegħed</w:t>
      </w:r>
      <w:r>
        <w:rPr>
          <w:b/>
          <w:noProof/>
        </w:rPr>
        <w:t xml:space="preserve"> </w:t>
      </w:r>
      <w:r>
        <w:rPr>
          <w:noProof/>
        </w:rPr>
        <w:t xml:space="preserve">fit-triq ’l isfel, jew jibqa’ f’livelli prudenti, u li d-defiċit jinżamm taħt it-3 % tal-PDG. Il-qafas komuni tal-UE jistabbilixxi wkoll il-kriterji għall-valutazzjoni tar-riformi u l-investiment li jirfdu estensjoni possibbli tal-perkors ta’ aġġustament. Il-pjanijiet fuq terminu medju tal-Istati Membri jkollhom jikkonformaw mal-qafas rivedut komuni tal-UE. </w:t>
      </w:r>
    </w:p>
    <w:p w14:paraId="648F47B3" w14:textId="0E8A1B6A" w:rsidR="00E31E6A" w:rsidRPr="00F505CB" w:rsidRDefault="007A370E" w:rsidP="00E23734">
      <w:pPr>
        <w:spacing w:after="120" w:line="276" w:lineRule="auto"/>
        <w:rPr>
          <w:noProof/>
          <w:szCs w:val="24"/>
        </w:rPr>
      </w:pPr>
      <w:r>
        <w:rPr>
          <w:b/>
          <w:noProof/>
        </w:rPr>
        <w:t>Abbażi ta’ valutazzjoni pożittiva mill-Kummissjoni, il-Kunsill jadotta l-pjan fiskali-strutturali fuq terminu medju, inkluża t-trajettorja fiskali tiegħu</w:t>
      </w:r>
      <w:r>
        <w:rPr>
          <w:noProof/>
        </w:rPr>
        <w:t xml:space="preserve">. Il-Kummissjoni tivvaluta l-pjan kontra l-qafas komuni rivedut tal-UE u tista’ tipprovdi biss valutazzjoni pożittiva tal-pjanijiet fiskali-strutturali jekk id-dejn jitqiegħed fit-triq ’l isfel jew jibqa’ f’livelli prudenti, u d-defiċit tal-baġit jinżamm taħt il-valur ta’ referenza ta’ 3 % tal-PDG fuq terminu medju. Id-diskussjonijiet multilaterali fil-kumitati rilevanti tal-Kunsill jiżguraw it-trasparenza u r-responsabbiltà, filwaqt li l-Kunsill japprova l-adegwatezza tal-pjan. Dan il-mudell isaħħaħ is-sjieda nazzjonali. Abbażi ta’ integrazzjoni aħjar tar-rekwiżiti tal-qafas komuni rivedut tal-UE f’dibattiti ta’ politika domestika, dan isaħħaħ is-sorveljanza fiskali multilaterali. </w:t>
      </w:r>
    </w:p>
    <w:p w14:paraId="65DAC3B7" w14:textId="4F0FB23B" w:rsidR="00FE7790" w:rsidRPr="00F505CB" w:rsidRDefault="00073BA4" w:rsidP="00436EE2">
      <w:pPr>
        <w:keepNext/>
        <w:spacing w:after="120" w:line="276" w:lineRule="auto"/>
        <w:rPr>
          <w:b/>
          <w:i/>
          <w:noProof/>
        </w:rPr>
      </w:pPr>
      <w:r>
        <w:rPr>
          <w:b/>
          <w:i/>
          <w:noProof/>
        </w:rPr>
        <w:t>3.4 L-implimentazzjoni tal-pjan nazzjonali fuq terminu medju u l-monitoraġġ annwali</w:t>
      </w:r>
    </w:p>
    <w:p w14:paraId="0A772B70" w14:textId="087982A1" w:rsidR="0078334D" w:rsidRPr="00F505CB" w:rsidRDefault="6F6B0545" w:rsidP="0078334D">
      <w:pPr>
        <w:spacing w:after="120" w:line="276" w:lineRule="auto"/>
        <w:rPr>
          <w:noProof/>
        </w:rPr>
      </w:pPr>
      <w:r>
        <w:rPr>
          <w:b/>
          <w:noProof/>
        </w:rPr>
        <w:t>Sabiex tiġi żgurata t-trasparenza u jiġi ffaċilitat il-monitoraġġ effettiv tal-implimentazzjoni tal-pjanijiet strutturali fiskali fuq terminu medju, l-Istati Membri jippreżentaw rapporti annwali ta’ progress.</w:t>
      </w:r>
      <w:r>
        <w:rPr>
          <w:noProof/>
        </w:rPr>
        <w:t xml:space="preserve"> Flimkien mar-rapportar fiskali, l-implimentazzjoni tar-riformi u l-investimenti koperti mill-pjanijiet fuq terminu medju tkun dettaljata f’dawn ir-rapporti. (</w:t>
      </w:r>
      <w:r>
        <w:rPr>
          <w:rStyle w:val="FootnoteReference"/>
          <w:noProof/>
        </w:rPr>
        <w:footnoteReference w:id="11"/>
      </w:r>
      <w:r>
        <w:rPr>
          <w:noProof/>
        </w:rPr>
        <w:t xml:space="preserve">) Dawn ikunu l-bażi għas-sorveljanza annwali mill-Kummissjoni u mill-Kunsill, inklużi deċiżjonijiet possibbli ta’ infurzar. </w:t>
      </w:r>
    </w:p>
    <w:p w14:paraId="14932005" w14:textId="2D2A88E5" w:rsidR="00D66AB5" w:rsidRPr="00F505CB" w:rsidRDefault="006E04F0" w:rsidP="00D66AB5">
      <w:pPr>
        <w:spacing w:after="120" w:line="276" w:lineRule="auto"/>
        <w:rPr>
          <w:noProof/>
        </w:rPr>
      </w:pPr>
      <w:r>
        <w:rPr>
          <w:b/>
          <w:noProof/>
        </w:rPr>
        <w:t>Filwaqt li jingħata aktar ambitu lill-Istati Membri għat-tfassil tat-trajettorji fiskali tagħhom, infurzar tal-UE aktar strett ikun il-bażi tas-sorveljanza multilaterali</w:t>
      </w:r>
      <w:r>
        <w:rPr>
          <w:noProof/>
        </w:rPr>
        <w:t>.</w:t>
      </w:r>
      <w:r>
        <w:rPr>
          <w:b/>
          <w:noProof/>
        </w:rPr>
        <w:t xml:space="preserve"> </w:t>
      </w:r>
      <w:r>
        <w:rPr>
          <w:noProof/>
        </w:rPr>
        <w:t>L-infurzar jittejjeb meta mqabbel mal-qafas attwali. Il-proċedura ta’ defiċit eċċessiv (PDE) tibqa’ l-istess għal ksur tal-valur ta’ referenza tad-defiċit ta’ 3 % tal-PDG (l-hekk imsejħa “PDE bbażata fuq id-defiċit”). Dan huwa element stabbilit sew tas-sorveljanza fiskali tal-UE li kien effettiv fl-influwenza tal-imġiba fiskali u huwa mifhum sew minn dawk li jfasslu l-politika u mill-pubbliku ġenerali, bis-saħħa tas-sempliċità tiegħu. Il-PDE għal ksur tal-kriterju tad-dejn (l-hekk imsejħa “PDE bbażata fuq id-dejn”) tissaħħaħ kemm għall-attivazzjoni kif ukoll għat-tħassir. Din tiffoka fuq it-tluq mill-perkors fiskali miftiehem, li l-Istat Membru impenja ruħu għalih u li ġie approvat mill-Kunsill. Għall-Istati Membri bi sfida sostanzjali ta’ dejn pubbliku, it-tluq mill-perkors miftiehem awtomatikament iwassal għall-ftuħ ta’ PDE. Għall-Istati Membri bi sfida moderata ta’ dejn pubbliku, it-tluq jista’ jwassal għall-ftuħ ta’ PDE, jekk jiġi vvalutat bħala li jwassal għal “żbalji kbar”. Il-firxa ta’ sanzjonijiet titwessa’, pereżempju billi jiżdiedu sanzjonijiet għar-reputazzjoni (ara t-Taqsima 4.2).</w:t>
      </w:r>
    </w:p>
    <w:p w14:paraId="16110053" w14:textId="3FF09BB1" w:rsidR="00253DA9" w:rsidRPr="00F505CB" w:rsidRDefault="4A5A1D16" w:rsidP="006D437A">
      <w:pPr>
        <w:keepNext/>
        <w:spacing w:after="120" w:line="276" w:lineRule="auto"/>
        <w:rPr>
          <w:noProof/>
        </w:rPr>
      </w:pPr>
      <w:r>
        <w:rPr>
          <w:b/>
          <w:noProof/>
        </w:rPr>
        <w:t>Tinħoloq għodda ġdida biex tiġi żgurata l-implimentazzjoni ta’ impenji ta’ riforma u investiment.</w:t>
      </w:r>
      <w:r>
        <w:rPr>
          <w:noProof/>
        </w:rPr>
        <w:t xml:space="preserve"> Skont ir-riforma proposta, l-Istati Membri jistgħu jitolbu perkors ta’ aġġustament aktar gradwali billi jippreżentaw sett speċifiku ta’ riformi u investimenti ta’ prijorità li jrawmu tkabbir sostenibbli fit-tul u, għalhekk, jgħinu fit-titjib tad-dinamika tad-dejn (ara t-Taqsima 4.1). F’każ ta’ nuqqas ta’ implimentazzjoni ta’ dawk l-impenji, għodda ġdida ta’ infurzar twassal għal reviżjoni tal-perkors ta’ aġġustament lejn perkors aktar strett. (</w:t>
      </w:r>
      <w:r>
        <w:rPr>
          <w:rStyle w:val="FootnoteReference"/>
          <w:noProof/>
        </w:rPr>
        <w:footnoteReference w:id="12"/>
      </w:r>
      <w:r>
        <w:rPr>
          <w:noProof/>
        </w:rPr>
        <w:t>) Minħabba r-riskju partikolari ta’ riperkussjonijiet negattivi fi ħdan unjoni monetarja, ikun possibbli li jiġu applikati sanzjonijiet finanzjarji għall-pajjiżi taż-żona tal-euro f’każ ta’ nuqqas ta’ implimentazzjoni.</w:t>
      </w:r>
    </w:p>
    <w:p w14:paraId="25462594" w14:textId="4C50D935" w:rsidR="001000CC" w:rsidRPr="00F505CB" w:rsidRDefault="00DF74B8" w:rsidP="001000CC">
      <w:pPr>
        <w:spacing w:after="120" w:line="276" w:lineRule="auto"/>
        <w:rPr>
          <w:noProof/>
        </w:rPr>
      </w:pPr>
      <w:r>
        <w:rPr>
          <w:b/>
          <w:noProof/>
        </w:rPr>
        <w:t>L-oqfsa u l-proċessi nazzjonali jgħinu biex jintlaħqu l-objettivi tal-pjan strutturali-fiskali fuq terminu medju</w:t>
      </w:r>
      <w:r>
        <w:rPr>
          <w:noProof/>
        </w:rPr>
        <w:t xml:space="preserve">. L-istituzzjonijiet fiskali indipendenti jkollhom rwol importanti f’kull Stat Membru fil-valutazzjoni tas-suppożizzjonijiet sottostanti għall-pjanijiet, </w:t>
      </w:r>
      <w:r>
        <w:rPr>
          <w:noProof/>
          <w:color w:val="000000" w:themeColor="text1"/>
        </w:rPr>
        <w:t>billi jipprovdu valutazzjoni dwar l-adegwatezza tal-pjanijiet fir-rigward tas-sostenibbiltà tad-dejn u l-għanijiet fuq terminu medju speċifiċi għall-pajjiż,</w:t>
      </w:r>
      <w:r>
        <w:rPr>
          <w:noProof/>
        </w:rPr>
        <w:t xml:space="preserve"> u fil-monitoraġġ tal-konformità mal-pjan. Dan ikun jinvolvi t-titjib tal-istabbiliment u l-prestazzjoni ta’ istituzzjonijiet fiskali indipendenti. L-eżitu jkun dibattitu akbar fil-livell nazzjonali u għalhekk grad ogħla ta’ xiri politiku u sjieda tal-pjan fuq terminu medju. Il-Kummissjoni se tqis mill-ġdid il-mandat u r-rwol tal-Bord Fiskali Ewropew f’dan il-kuntest.</w:t>
      </w:r>
    </w:p>
    <w:p w14:paraId="2A1B448E" w14:textId="78AF718F" w:rsidR="0015119E" w:rsidRPr="00F505CB" w:rsidRDefault="00073BA4" w:rsidP="006D437A">
      <w:pPr>
        <w:keepNext/>
        <w:spacing w:after="120" w:line="276" w:lineRule="auto"/>
        <w:rPr>
          <w:b/>
          <w:i/>
          <w:noProof/>
        </w:rPr>
      </w:pPr>
      <w:r>
        <w:rPr>
          <w:b/>
          <w:i/>
          <w:noProof/>
        </w:rPr>
        <w:t>3.5 Qafas aktar effettiv biex jiġu identifikati u kkoreġuti l-iżbilanċi makroekonomiċi</w:t>
      </w:r>
    </w:p>
    <w:p w14:paraId="0A683CD2" w14:textId="255E08CA" w:rsidR="00EF3B44" w:rsidRPr="00F505CB" w:rsidRDefault="00EF3B44" w:rsidP="00EF3B44">
      <w:pPr>
        <w:spacing w:after="120" w:line="276" w:lineRule="auto"/>
        <w:rPr>
          <w:noProof/>
        </w:rPr>
      </w:pPr>
      <w:r>
        <w:rPr>
          <w:b/>
          <w:noProof/>
        </w:rPr>
        <w:t>Il-pedament tal-orjentazzjonijiet tal-Kummissjoni għall-MIP ikun djalogu msaħħaħ mal-Istati Membri biex tinkiseb implimentazzjoni aħjar permezz tas-sjieda u l-impenn.</w:t>
      </w:r>
      <w:r>
        <w:rPr>
          <w:noProof/>
        </w:rPr>
        <w:t xml:space="preserve"> Sjieda akbar mill-Istati Membri tinkiseb billi jintlaħaq fehim komuni bejn l-Istati Membri u l-Kummissjoni tal-isfidi identifikati taħt l-MIP u l-politiki meħtieġa biex dawn jiġu indirizzati. Dan ikun jinvolvi djalogu, li jwassal għal impenn mill-Istati Membri biex jinkludu r-riformi u l-investimenti meħtieġa biex jipprevjenu jew jikkoreġu l-iżbilanċi makroekonomiċi fil-pjan fiskali-strutturali fuq terminu medju tagħhom. </w:t>
      </w:r>
    </w:p>
    <w:p w14:paraId="046FB2E2" w14:textId="25DD5B67" w:rsidR="003C45C8" w:rsidRPr="00F505CB" w:rsidRDefault="00C81B8E" w:rsidP="003C45C8">
      <w:pPr>
        <w:spacing w:after="120" w:line="276" w:lineRule="auto"/>
        <w:rPr>
          <w:noProof/>
        </w:rPr>
      </w:pPr>
      <w:r>
        <w:rPr>
          <w:b/>
          <w:noProof/>
        </w:rPr>
        <w:t>Barra minn hekk, ir-rwol preventiv tal-MIP għandu jissaħħaħ f’ambjent makroekonomiku kkaratterizzat minn riskji ġodda.</w:t>
      </w:r>
      <w:r>
        <w:rPr>
          <w:noProof/>
        </w:rPr>
        <w:t xml:space="preserve"> Kemm l-ewwel skrinjar għall-iżbilanċi fir-Rapport dwar il-Mekkaniżmu ta’ Twissija (AMR) kif ukoll il-valutazzjoni ta’ jekk jeżistux żbilanċi fir-rieżamijiet fil-fond (IDRs) isiru aktar progressivi bil-għan li jiġu identifikati u indirizzati l-iżbilanċi emerġenti kmieni. Dan jista’ jinvolvi t-tħejjija ta’ aktar IDRs meta l-varjabbli relatati mal-fluss juru xejriet negattivi, li jindikaw riskji għoljin ta’ akkumulazzjoni ta’ żbilanċi. Dan jista’ jwassal ukoll għal IDRs li jikkonkludu b’mod aktar frekwenti li ma jeżisti l-ebda żbilanċ. </w:t>
      </w:r>
    </w:p>
    <w:p w14:paraId="01E3BC32" w14:textId="72325B82" w:rsidR="00E004D7" w:rsidRPr="00F505CB" w:rsidRDefault="3E9EF9E1" w:rsidP="00E004D7">
      <w:pPr>
        <w:spacing w:after="120" w:line="276" w:lineRule="auto"/>
        <w:rPr>
          <w:noProof/>
        </w:rPr>
      </w:pPr>
      <w:r>
        <w:rPr>
          <w:b/>
          <w:noProof/>
        </w:rPr>
        <w:t xml:space="preserve">Ir-riforma tnaqqas l-inerzja li kkaratterizzat l-MIP, billi tibbaża l-valutazzjoni tal-iżbilanċi aktar fuq l-evoluzzjoni tar-riskji u l-implimentazzjoni tal-politika. </w:t>
      </w:r>
      <w:r>
        <w:rPr>
          <w:noProof/>
        </w:rPr>
        <w:t xml:space="preserve"> Dan jimplika li jitpoġġa aktar piż fuq l-iżviluppi tax-xejriet li huma mistennija li jiġu sostnuti u fuq il-politiki li ġew implimentati biex jiġu indirizzati l-iżbilanċi makroekonomiċi, meta jiġi vvalutat jekk l-iżbilanċi ġewx ikkoreġuti. Dan l-approċċ iwassal għad-dieskalazzjoni tal-Istati Membri mill-MIP meta jkunu fis-seħħ politiki biex jiġu indirizzati l-iżbilanċi u l-iżbilanċi tal-istokkijiet ikunu qed jiġu kkoreġuti kontinwament.</w:t>
      </w:r>
    </w:p>
    <w:p w14:paraId="7460D999" w14:textId="3205EE9F" w:rsidR="008639B4" w:rsidRPr="00DD1A74" w:rsidRDefault="00C81B8E" w:rsidP="00C81B8E">
      <w:pPr>
        <w:spacing w:after="120" w:line="276" w:lineRule="auto"/>
        <w:rPr>
          <w:noProof/>
          <w:szCs w:val="24"/>
        </w:rPr>
      </w:pPr>
      <w:r>
        <w:rPr>
          <w:b/>
          <w:noProof/>
        </w:rPr>
        <w:t>Fl-aħħar nett, ir-riforma se tistinka għal MIP li jiffoka b’mod ċar fuq kwistjonijiet makroekonomiċi li jaffettwaw lill-Istati Membri u, fl-istess ħin, jagħti aktar viżibbiltà lid-dimensjonijiet tal-iżbilanċi tal-UE u taż-żona tal-euro.</w:t>
      </w:r>
      <w:r>
        <w:rPr>
          <w:noProof/>
        </w:rPr>
        <w:t xml:space="preserve"> Dan jista’ jenfasizza l-vulnerabbiltajiet li possibbilment jaffettwaw lill-UE u liż-żona tal-euro kollha kemm hi, u l-kontribut rispettiv tad-diversi Stati Membri għal dawk il-vulnerabbiltajiet. Dan jgħin biex jiġu internalizzati l-effetti konsegwenzjali u jikkontribwixxi għar-rakkomandazzjonijiet taż-żona tal-euro.</w:t>
      </w:r>
    </w:p>
    <w:p w14:paraId="28430053" w14:textId="5EF58ED0" w:rsidR="001B227B" w:rsidRDefault="001B227B" w:rsidP="00C81B8E">
      <w:pPr>
        <w:spacing w:after="120" w:line="276" w:lineRule="auto"/>
        <w:rPr>
          <w:noProof/>
          <w:szCs w:val="24"/>
        </w:rPr>
      </w:pPr>
      <w:r>
        <w:rPr>
          <w:b/>
          <w:noProof/>
        </w:rPr>
        <w:t>Sabiex jiġu sfruttati bis-sħiħ is-sinerġiji bejn l-MIP u l-qafas fiskali, ir-rieżami jipprevedi diversi rabtiet.</w:t>
      </w:r>
      <w:r>
        <w:rPr>
          <w:noProof/>
        </w:rPr>
        <w:t xml:space="preserve"> L-ewwel nett, għall-Istati Membri identifikati bl-iżbilanċi, il-pjanijiet fiskali-strutturali fuq terminu medju jkollhom jinkludu wkoll riformi u investimenti biex jikkoreġu dawk l-iżbilanċi. </w:t>
      </w:r>
      <w:bookmarkStart w:id="5" w:name="_Hlk116410450"/>
      <w:r>
        <w:rPr>
          <w:noProof/>
        </w:rPr>
        <w:t>It-tieni, fil-każ ta’ nuqqas ta’ implimentazzjoni tar-riformi u l-investiment rilevanti għall-MIP li jirfdu perjodu ta’ aġġustament itwal, għall-pajjiżi bi żbilanċi eċċessivi, se titqies it-tnedija tal-EIP</w:t>
      </w:r>
      <w:bookmarkEnd w:id="5"/>
      <w:r>
        <w:rPr>
          <w:noProof/>
        </w:rPr>
        <w:t>. Fl-aħħar nett, jekk titnieda EIP, l-Istat Membru jintalab jippreżenta pjan fiskali-strutturali rivedut, li b’hekk jaġixxi bħala l-pjan ta’ azzjoni korrettiva attwalment previst fid-dritt tal-UE.(</w:t>
      </w:r>
      <w:r>
        <w:rPr>
          <w:rStyle w:val="FootnoteReference"/>
          <w:noProof/>
          <w:szCs w:val="24"/>
        </w:rPr>
        <w:footnoteReference w:id="13"/>
      </w:r>
      <w:r>
        <w:rPr>
          <w:noProof/>
        </w:rPr>
        <w:t>) </w:t>
      </w:r>
    </w:p>
    <w:p w14:paraId="0D749CE7" w14:textId="77777777" w:rsidR="0043642C" w:rsidRPr="00973818" w:rsidRDefault="0043642C" w:rsidP="00C81B8E">
      <w:pPr>
        <w:spacing w:after="120" w:line="276" w:lineRule="auto"/>
        <w:rPr>
          <w:noProof/>
          <w:szCs w:val="24"/>
        </w:rPr>
      </w:pPr>
    </w:p>
    <w:p w14:paraId="4F7A2471" w14:textId="467811B0" w:rsidR="00551348" w:rsidRPr="00F505CB" w:rsidRDefault="0D4C476A" w:rsidP="000EDF6C">
      <w:pPr>
        <w:pStyle w:val="ListParagraph"/>
        <w:keepNext/>
        <w:numPr>
          <w:ilvl w:val="0"/>
          <w:numId w:val="1"/>
        </w:numPr>
        <w:spacing w:after="240"/>
        <w:ind w:left="284" w:hanging="284"/>
        <w:rPr>
          <w:rFonts w:ascii="Times New Roman" w:hAnsi="Times New Roman" w:cs="Times New Roman"/>
          <w:b/>
          <w:bCs/>
          <w:noProof/>
          <w:szCs w:val="24"/>
        </w:rPr>
      </w:pPr>
      <w:r>
        <w:rPr>
          <w:rFonts w:ascii="Times New Roman" w:hAnsi="Times New Roman"/>
          <w:b/>
          <w:noProof/>
        </w:rPr>
        <w:t>Il-qafas rivedut ta’ governanza ekonomika kif se jaħdem fil-prattika?</w:t>
      </w:r>
    </w:p>
    <w:p w14:paraId="1BD4DB05" w14:textId="2399C7B4" w:rsidR="009650FF" w:rsidRPr="001D5CD8" w:rsidRDefault="009650FF" w:rsidP="00436EE2">
      <w:pPr>
        <w:keepNext/>
        <w:spacing w:after="120" w:line="276" w:lineRule="auto"/>
        <w:rPr>
          <w:noProof/>
          <w:szCs w:val="24"/>
        </w:rPr>
      </w:pPr>
      <w:r>
        <w:rPr>
          <w:b/>
          <w:noProof/>
        </w:rPr>
        <w:t>Filwaqt li tibni fuq il-profili ewlenin tar-riforma stabbiliti fit-taqsima preċedenti, din it-taqsima tindirizza xi kwistjonijiet speċifiċi relatati mal-funzjonament tal-qafas fiskali komuni tal-UE rivedut.</w:t>
      </w:r>
      <w:r>
        <w:rPr>
          <w:noProof/>
        </w:rPr>
        <w:t xml:space="preserve"> Dawn il-kwistjonijiet huma relatati ma’: l-istabbiliment u l-ftehim dwar il-pjanijiet fiskali-strutturali nazzjonali fuq terminu medju; il-valutazzjoni tal-konformità tal-eżiti fiskali mal-perkors tan-nefqa approvat; u l-identifikazzjoni u l-monitoraġġ tal-korrezzjoni tal-iżbilanċi makroekonomiċi. Din it-taqsima tkopri wkoll il-qafas li jirregola l-assistenza finanzjarja, jiġifieri l-qafas għall-Istati Membri taż-żona tal-euro li qed jesperjenzaw, jew li huma mhedda b’diffikultajiet serji fir-rigward tal-istabbiltà finanzjarja tagħhom.</w:t>
      </w:r>
    </w:p>
    <w:p w14:paraId="5445F89F" w14:textId="59519D30" w:rsidR="000874ED" w:rsidRPr="006D437A" w:rsidRDefault="00073BA4" w:rsidP="00436EE2">
      <w:pPr>
        <w:keepNext/>
        <w:spacing w:after="120" w:line="276" w:lineRule="auto"/>
        <w:rPr>
          <w:b/>
          <w:i/>
          <w:noProof/>
          <w:szCs w:val="24"/>
        </w:rPr>
      </w:pPr>
      <w:r>
        <w:rPr>
          <w:b/>
          <w:i/>
          <w:noProof/>
        </w:rPr>
        <w:t xml:space="preserve">4.1 Kif tistabbilixxi u tiftiehem dwar il-pjan? </w:t>
      </w:r>
    </w:p>
    <w:p w14:paraId="1B5FD6FD" w14:textId="27726548" w:rsidR="00551348" w:rsidRPr="00F505CB" w:rsidRDefault="002E4A4E" w:rsidP="009A49E1">
      <w:pPr>
        <w:pStyle w:val="Heading1"/>
        <w:spacing w:before="120" w:after="120" w:line="276" w:lineRule="auto"/>
        <w:rPr>
          <w:rFonts w:ascii="Times New Roman" w:hAnsi="Times New Roman" w:cs="Times New Roman"/>
          <w:i/>
          <w:noProof/>
          <w:color w:val="auto"/>
          <w:sz w:val="24"/>
          <w:szCs w:val="24"/>
        </w:rPr>
      </w:pPr>
      <w:r>
        <w:rPr>
          <w:rFonts w:ascii="Times New Roman" w:hAnsi="Times New Roman"/>
          <w:i/>
          <w:noProof/>
          <w:color w:val="auto"/>
          <w:sz w:val="24"/>
        </w:rPr>
        <w:t>Sottomissjoni, valutazzjoni, approvazzjoni u reviżjoni tal-pjan fiskali-strutturali nazzjonali fuq terminu medju</w:t>
      </w:r>
    </w:p>
    <w:p w14:paraId="2FF3F2CC" w14:textId="4D4D88E0" w:rsidR="00283BFF" w:rsidRPr="001D5CD8" w:rsidRDefault="00401F12" w:rsidP="00A43C2B">
      <w:pPr>
        <w:spacing w:before="120" w:after="120" w:line="276" w:lineRule="auto"/>
        <w:rPr>
          <w:noProof/>
          <w:szCs w:val="24"/>
        </w:rPr>
      </w:pPr>
      <w:r>
        <w:rPr>
          <w:b/>
          <w:noProof/>
        </w:rPr>
        <w:t xml:space="preserve">Bħala parti mill-qafas komuni, il-Kummissjoni tressaq, għall-Istati Membri bi sfida sostanzjali jew moderata ta’ dejn pubbliku, perkors ta’ aġġustament pluriennali ta’ referenza f’termini ta’ nefqa primarja netta li tkopri mill-anqas 4 snin. </w:t>
      </w:r>
      <w:r>
        <w:rPr>
          <w:noProof/>
        </w:rPr>
        <w:t>Il-perkors ta’ aġġustament ta’ referenza jkun ankrat fuq is-sostenibbiltà tad-dejn li jfisser li għall-Istati Membri bi sfidi fiskali sostanzjali u moderati, dan għandu jiżgura li, anke fin-nuqqas ta’ miżuri fiskali ulterjuri, id-dejn jibqa’ fuq perkors ta’ tnaqqis plawżibbli wara l-perjodu ta’ aġġustament fiskali u li d-defiċit jinżamm taħt il-limitu ta’ 3 % tal-PDG (ara l-Kaxxa 1 għal aktar dettalji). Għal kull Stat Membru, il-perkors tan-nefqa pluriennali li jpoġġi d-dejn fuq trajettorja ta’ tnaqqis jista’ għalhekk jiġi tradott fil-livell korrispondenti tal-bilanċ primarju strutturali li għandu jinkiseb fi tmiem il-perjodu ta’ 4 snin. L-analiżi tas-sostenibbiltà tad-dejn(</w:t>
      </w:r>
      <w:r>
        <w:rPr>
          <w:rStyle w:val="FootnoteReference"/>
          <w:noProof/>
          <w:szCs w:val="24"/>
        </w:rPr>
        <w:footnoteReference w:id="14"/>
      </w:r>
      <w:r>
        <w:rPr>
          <w:noProof/>
        </w:rPr>
        <w:t xml:space="preserve">), il-perkors ta’ aġġustament pluriennali ta’ referenza, u l-livell korrispondenti tal-bilanċ primarju strutturali fi tmiem il-perjodu ta’ aġġustament ta’ 4 snin isiru pubbliċi mill-Kummissjoni. Dawn l-elementi jipprovdu referenza komuni għall-valutazzjoni tal-pjanijiet li għandhom jiġu proposti mill-Istati Membri. </w:t>
      </w:r>
    </w:p>
    <w:p w14:paraId="10559CA9" w14:textId="214D6674" w:rsidR="009B0F14" w:rsidRPr="00CD6AA3" w:rsidRDefault="009B0F14" w:rsidP="009B0F14">
      <w:pPr>
        <w:spacing w:before="120" w:after="120" w:line="276" w:lineRule="auto"/>
        <w:rPr>
          <w:b/>
          <w:noProof/>
          <w:szCs w:val="24"/>
        </w:rPr>
      </w:pPr>
      <w:r>
        <w:rPr>
          <w:b/>
          <w:noProof/>
        </w:rPr>
        <w:t xml:space="preserve">Fit-tressiq tal-perkors ta’ aġġustament ta’ referenza li jkopri mill-anqas 4 snin, il-Kummissjoni tapplika l-qafas komuni li ġej: </w:t>
      </w:r>
    </w:p>
    <w:p w14:paraId="3F67AA54" w14:textId="69031700" w:rsidR="009B0F14" w:rsidRPr="00F505CB" w:rsidRDefault="009B0F14" w:rsidP="009B0F14">
      <w:pPr>
        <w:pStyle w:val="ListParagraph"/>
        <w:numPr>
          <w:ilvl w:val="0"/>
          <w:numId w:val="91"/>
        </w:numPr>
        <w:spacing w:before="120" w:after="120" w:line="276" w:lineRule="auto"/>
        <w:rPr>
          <w:rFonts w:ascii="Times New Roman" w:hAnsi="Times New Roman" w:cs="Times New Roman"/>
          <w:bCs/>
          <w:noProof/>
          <w:szCs w:val="24"/>
        </w:rPr>
      </w:pPr>
      <w:bookmarkStart w:id="6" w:name="_Hlk118025059"/>
      <w:r>
        <w:rPr>
          <w:rFonts w:ascii="Times New Roman" w:hAnsi="Times New Roman"/>
          <w:noProof/>
        </w:rPr>
        <w:t>Għall-Istati Membri bi sfida sostanzjali ta’ dejn pubbliku, il-perkors tan-nefqa netta ta’ referenza għandu jiżgura li sal-perjodu tal-pjan (4 snin), i) it-trajettorja tad-dejn ta’ 10 snin f’politiki mhux mibdula tkun fuq perkors ta’ tnaqqis plawżibbli u kontinwu u ii) id-defiċit jinżamm taħt il-valur ta’ referenza ta’ 3 % tal-PDG f’politiki mhux mibdula matul l-istess perjodu ta’ 10 snin.</w:t>
      </w:r>
    </w:p>
    <w:p w14:paraId="06FE356E" w14:textId="0B95313B" w:rsidR="009B0F14" w:rsidRPr="00F505CB" w:rsidRDefault="009B0F14" w:rsidP="009B0F14">
      <w:pPr>
        <w:pStyle w:val="ListParagraph"/>
        <w:numPr>
          <w:ilvl w:val="0"/>
          <w:numId w:val="91"/>
        </w:numPr>
        <w:spacing w:before="120" w:after="120" w:line="276" w:lineRule="auto"/>
        <w:rPr>
          <w:rFonts w:ascii="Times New Roman" w:hAnsi="Times New Roman" w:cs="Times New Roman"/>
          <w:bCs/>
          <w:noProof/>
          <w:szCs w:val="24"/>
        </w:rPr>
      </w:pPr>
      <w:r>
        <w:rPr>
          <w:rFonts w:ascii="Times New Roman" w:hAnsi="Times New Roman"/>
          <w:noProof/>
        </w:rPr>
        <w:t>Għall-Istati Membri bi sfida moderata ta’ dejn pubbliku, il-perkors tan-nefqa netta ta’ referenza għandu jiżgura li, i) mhux aktar minn 3 snin wara l-perjodu tal-pjan, it-trajettorja tad-dejn ta’ 10 snin tkun fuq perkors ta’ tnaqqis plawżibbli u kontinwu f’politiki mhux mibdula; u ii) sal-perjodu tal-pjan, id-defiċit jinżamm taħt il-valur ta’ referenza ta’ 3 % tal-PDG matul l-istess perjodu ta’ 10 snin.</w:t>
      </w:r>
    </w:p>
    <w:bookmarkEnd w:id="6"/>
    <w:p w14:paraId="00C33AD8" w14:textId="09A72626" w:rsidR="009B0F14" w:rsidRPr="00F505CB" w:rsidRDefault="009B0F14" w:rsidP="009B0F14">
      <w:pPr>
        <w:spacing w:before="120" w:after="120" w:line="276" w:lineRule="auto"/>
        <w:rPr>
          <w:b/>
          <w:noProof/>
        </w:rPr>
      </w:pPr>
      <w:r>
        <w:rPr>
          <w:noProof/>
        </w:rPr>
        <w:t>Sabiex tivvaluta l-plawżibbiltà, il-Kummissjoni tuża testijiet tal-istress u analiżi stokastika, billi tissimula xokkijiet komuni relatati mar-rati tal-imgħax fuq terminu qasir u twil, it-tkabbir nominali tal-PDG, il-bilanċ tal-baġit primarju u r-rati tal-kambju nominali. Din l-analiżi ssir pubblika flimkien mal-perkors tan-nefqa netta ta’ referenza. Il-Kummissjoni tagħmel disponibbli wkoll il-metodoloġija u d-</w:t>
      </w:r>
      <w:r>
        <w:rPr>
          <w:i/>
          <w:noProof/>
        </w:rPr>
        <w:t>data</w:t>
      </w:r>
      <w:r>
        <w:rPr>
          <w:noProof/>
        </w:rPr>
        <w:t xml:space="preserve"> sottostanti.</w:t>
      </w:r>
    </w:p>
    <w:p w14:paraId="6D66F915" w14:textId="77777777" w:rsidR="00FD49E1" w:rsidRDefault="009B0F14">
      <w:pPr>
        <w:spacing w:before="120" w:after="120" w:line="276" w:lineRule="auto"/>
        <w:rPr>
          <w:noProof/>
          <w:szCs w:val="24"/>
        </w:rPr>
      </w:pPr>
      <w:r>
        <w:rPr>
          <w:noProof/>
        </w:rPr>
        <w:t xml:space="preserve">Meta tivvaluta l-pjan, il-Kummissjoni se tevalwa wkoll jekk huwiex żgurat b’mod kredibbli li d-defiċit jinżamm taħt it-3 % tal-PDG fuq perjodu ta’ 10 snin. </w:t>
      </w:r>
    </w:p>
    <w:p w14:paraId="5CB527B1" w14:textId="4B459560" w:rsidR="009B0F14" w:rsidRPr="00F505CB" w:rsidRDefault="00425254" w:rsidP="009B0F14">
      <w:pPr>
        <w:spacing w:before="120" w:after="120" w:line="276" w:lineRule="auto"/>
        <w:rPr>
          <w:bCs/>
          <w:noProof/>
        </w:rPr>
      </w:pPr>
      <w:r>
        <w:rPr>
          <w:noProof/>
        </w:rPr>
        <w:t xml:space="preserve">Għall-Istati Membri bi sfida baxxa ta’ dejn pubbliku, id-defiċit għandu jinżamm taħt dak il-valur ta’ referenza f’politiki mhux mibdula fuq perjodu ta’ 10 snin mhux aktar minn 3 snin wara l-perjodu tal-pjan. </w:t>
      </w:r>
    </w:p>
    <w:p w14:paraId="728FE0D2" w14:textId="6CDB2690" w:rsidR="00F74BAE" w:rsidRPr="00F505CB" w:rsidRDefault="0FA2F17C" w:rsidP="009A49E1">
      <w:pPr>
        <w:spacing w:before="120" w:after="120" w:line="276" w:lineRule="auto"/>
        <w:rPr>
          <w:noProof/>
        </w:rPr>
      </w:pPr>
      <w:r>
        <w:rPr>
          <w:b/>
          <w:noProof/>
        </w:rPr>
        <w:t>Bħala pass li jmiss, kull Stat Membru jissottometti pjan fiskali-strutturali fuq terminu medju għall-valutazzjoni mill-Kummissjoni u l-approvazzjoni mill-Kunsill.</w:t>
      </w:r>
      <w:r>
        <w:rPr>
          <w:noProof/>
        </w:rPr>
        <w:t xml:space="preserve"> Il-pjanijiet jiddeskrivu l-perkors fiskali fuq terminu medju, u l-impenji ta’ riforma u investiment.</w:t>
      </w:r>
      <w:r>
        <w:rPr>
          <w:b/>
          <w:noProof/>
        </w:rPr>
        <w:t xml:space="preserve"> </w:t>
      </w:r>
      <w:r>
        <w:rPr>
          <w:noProof/>
        </w:rPr>
        <w:t xml:space="preserve">Il-perkors ta’ aġġustament fiskali jiġi stabbilit f’termini ta’ nefqa primarja netta, jiġifieri nefqa netta ta’ miżuri ta’ dħul diskrezzjonali u eskluża n-nefqa fuq l-imgħax kif ukoll in-nefqa ċiklika fuq il-qgħad. Il-perkors fiskali fuq terminu medju jiġi tradott f’limiti massimi annwali korrispondenti tal-infiq. Għall-Istati Membri identifikati bi żbilanċi taħt l-MIP, il-pjanijiet jinkludu wkoll riformi u investimenti biex jikkoreġu dawk l-iżbilanċi. Is-sottomissjoni tal-pjan tkun preċeduta minn djalogu tekniku fil-fond mal-Kummissjoni. Il-Kummissjoni tivvaluta l-pjan fuq terminu medju b’mod integrat, filwaqt li tqis l-interazzjonijiet bejn it-trajettorja fiskali, u r-riformi u l-investimenti. Il-valutazzjoni sseħħ abbażi ta’ qafas ta’ valutazzjoni komuni tal-UE u metodoloġiji trasparenti, filwaqt li tinżamm il-possibbiltà li tintalab informazzjoni addizzjonali jew jintalab pjan rivedut. </w:t>
      </w:r>
    </w:p>
    <w:p w14:paraId="6226FD03" w14:textId="40B3086E" w:rsidR="00D95EC4" w:rsidRPr="00F505CB" w:rsidRDefault="00F74BAE" w:rsidP="006C017B">
      <w:pPr>
        <w:spacing w:after="120" w:line="276" w:lineRule="auto"/>
        <w:rPr>
          <w:noProof/>
        </w:rPr>
      </w:pPr>
      <w:r>
        <w:rPr>
          <w:b/>
          <w:noProof/>
        </w:rPr>
        <w:t>L-Istat Membru jista’ jitlob u jingħata estensjoni tal-perjodu ta’ aġġustament b’massimu ta’ tliet snin, dment li huwa jsostni l-pjan tiegħu b’sett ta’ riformi u investimenti li jappoġġa t-tkabbir sostenibbli u s-sostenibbiltà tad-dejn</w:t>
      </w:r>
      <w:r>
        <w:rPr>
          <w:noProof/>
        </w:rPr>
        <w:t xml:space="preserve">. L-Istati Membri jistgħu jipproponu perkors ta’ aġġustament aktar gradwali, dment li dan il-perkors aktar gradwali jkun sostnut minn sett ta’ impenji ta’ riforma u investiment prijoritarji. Dawn l-impenji jiġu vvalutati bl-użu ta’ qafas ta’ valutazzjoni komuni tal-UE (ara s-subtaqsima li ġejja). Dawn jeħtieġ li jappoġġaw is-sostenibbiltà tad-dejn u jwieġbu għall-prijoritajiet u l-miri komuni tal-UE, kif ukoll jiżguraw li l-pjan fiskali-strutturali nazzjonali jindirizza s-CSRs rilevanti kollha jew subsett sinifikanti minnhom. Ir-riformi u l-investiment rilevanti fl-RRPs jitqiesu kif xieraq matul il-ħajja tal-RRF. </w:t>
      </w:r>
    </w:p>
    <w:p w14:paraId="4806F0B1" w14:textId="4AE6556F" w:rsidR="00687B15" w:rsidRPr="00F505CB" w:rsidRDefault="00687B15" w:rsidP="009A49E1">
      <w:pPr>
        <w:spacing w:before="120" w:after="120" w:line="276" w:lineRule="auto"/>
        <w:rPr>
          <w:noProof/>
        </w:rPr>
      </w:pPr>
      <w:r>
        <w:rPr>
          <w:b/>
          <w:noProof/>
        </w:rPr>
        <w:t>Bħala pass sussegwenti, il-pjan jiġi adottat mill-Kunsill abbażi ta’ valutazzjoni tal-Kummissjoni.</w:t>
      </w:r>
      <w:r>
        <w:rPr>
          <w:noProof/>
        </w:rPr>
        <w:t xml:space="preserve"> Wara li l-Kummissjoni tkun ivvalutat il-pjan fuq terminu medju, abbażi ta’ qafas ta’ valutazzjoni komuni, il-Kunsill jew jadotta l-pjan jew jirrakkomanda li l-Istat Membru jissottometti mill-ġdid pjan modifikat. F’każ li ma jkun hemm l-ebda ftehim bejn l-Istat Membru u l-Kummissjoni, il-perkors pluriennali tan-nefqa netta ta’ referenza jintuża mill-Kummissjoni u mill-Kunsill għall-finijiet tas-sorveljanza u l-infurzar fiskali.</w:t>
      </w:r>
    </w:p>
    <w:p w14:paraId="46C7589D" w14:textId="769CBE90" w:rsidR="00405738" w:rsidRPr="00F505CB" w:rsidRDefault="1249022F" w:rsidP="009A49E1">
      <w:pPr>
        <w:spacing w:before="120" w:after="120" w:line="276" w:lineRule="auto"/>
        <w:rPr>
          <w:noProof/>
        </w:rPr>
      </w:pPr>
      <w:r>
        <w:rPr>
          <w:b/>
          <w:noProof/>
        </w:rPr>
        <w:t>Bħala l-aħħar pass, l-Istat Membru jimplimenta l-pjan, b’monitoraġġ annwali mill-Kummissjoni u mill-Kunsill skont is-Semestru Ewropew.</w:t>
      </w:r>
      <w:r>
        <w:rPr>
          <w:noProof/>
        </w:rPr>
        <w:t xml:space="preserve"> Il-pjan nazzjonali kif approvat mill-Kunsill għandu jimpenja l-baġits nazzjonali annwali għal perjodu mhux iqsar minn erba’ snin. It-trajettorja fiskali miftiehma tista’ tiġi riveduta qabel dan il-perjodu biss fil-każ ta’ ċirkostanzi oġġettivi li jagħmlu l-implimentazzjoni tal-pjan mhux fattibbli. Kwalunkwe reviżjoni proposta mill-Istat Membru tkun teħtieġ li tiġi vvalutata mill-Kummissjoni u adottata mill-Kunsill, kif inhu l-każ għall-pjan innifsu. </w:t>
      </w:r>
    </w:p>
    <w:p w14:paraId="5B44DA26" w14:textId="0CCC6E58" w:rsidR="00B34D53" w:rsidRPr="00F505CB" w:rsidRDefault="00780716" w:rsidP="00B34D53">
      <w:pPr>
        <w:spacing w:after="120" w:line="276" w:lineRule="auto"/>
        <w:rPr>
          <w:noProof/>
        </w:rPr>
      </w:pPr>
      <w:r>
        <w:rPr>
          <w:b/>
          <w:noProof/>
        </w:rPr>
        <w:t>Għall-Istati Membri li nstabu li huma f’sitwazzjoni ta’ żbilanċi makroekonomiċi meta l-pjan fuq terminu medju diġà jkun fis-seħħ, bħala regola, il-pjan ma jinfetaħx mill-ġdid biex jinkorpora l-approċċ ta’ politika biex jindirizza dawk l-iżbilanċi.</w:t>
      </w:r>
      <w:r>
        <w:rPr>
          <w:noProof/>
        </w:rPr>
        <w:t xml:space="preserve"> Jinbeda djalogu ta’ politika mal-Istat Membru biex jiġu identifikati l-miżuri meħtieġa biex jiġu indirizzati l-iżbilanċi. Dawn jiġu kkomunikati mill-Istat Membru f’ittra u eventwalment jiġu inkorporati fil-pjan fuq terminu medju meta jiġiaġġornat, abbażi tal-proċess ta’ valutazzjoni u approvazzjoni deskritt hawn fuq (il-Kaxxa 2). </w:t>
      </w:r>
    </w:p>
    <w:p w14:paraId="5CC313C5" w14:textId="24A42650" w:rsidR="00364AFC" w:rsidRDefault="00185012" w:rsidP="00C846A2">
      <w:pPr>
        <w:keepNext/>
        <w:spacing w:before="120" w:after="120"/>
        <w:jc w:val="center"/>
        <w:rPr>
          <w:b/>
          <w:noProof/>
        </w:rPr>
      </w:pPr>
      <w:r>
        <w:rPr>
          <w:b/>
          <w:noProof/>
        </w:rPr>
        <w:t>Illustrazzjoni 3: Ħarsa ġenerali lejn il-proċess</w:t>
      </w:r>
    </w:p>
    <w:p w14:paraId="485E98FD" w14:textId="234262D6" w:rsidR="007E1ECE" w:rsidRDefault="007E1ECE" w:rsidP="00C846A2">
      <w:pPr>
        <w:keepNext/>
        <w:spacing w:before="120" w:after="120"/>
        <w:jc w:val="center"/>
        <w:rPr>
          <w:b/>
          <w:noProof/>
        </w:rPr>
      </w:pPr>
      <w:r>
        <w:rPr>
          <w:noProof/>
          <w:lang w:val="en-GB"/>
        </w:rPr>
        <w:drawing>
          <wp:inline distT="0" distB="0" distL="0" distR="0" wp14:anchorId="44D66058" wp14:editId="3A1431F4">
            <wp:extent cx="5731510" cy="17843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3F289" w14:textId="6EC0FC18" w:rsidR="00364AFC" w:rsidRPr="00973818" w:rsidRDefault="00364AFC" w:rsidP="001B491E">
      <w:pPr>
        <w:keepNext/>
        <w:spacing w:before="120" w:after="120"/>
        <w:jc w:val="center"/>
        <w:rPr>
          <w:noProof/>
        </w:rPr>
      </w:pPr>
    </w:p>
    <w:p w14:paraId="7408C507" w14:textId="29782813" w:rsidR="00551348" w:rsidRPr="00F505CB" w:rsidRDefault="00BE732D" w:rsidP="009B57F9">
      <w:pPr>
        <w:keepNext/>
        <w:spacing w:after="120" w:line="276" w:lineRule="auto"/>
        <w:rPr>
          <w:i/>
          <w:noProof/>
          <w:szCs w:val="24"/>
        </w:rPr>
      </w:pPr>
      <w:r>
        <w:rPr>
          <w:i/>
          <w:noProof/>
        </w:rPr>
        <w:t>Qafas ta’ valutazzjoni komuni għall-pjan fuq terminu medju</w:t>
      </w:r>
    </w:p>
    <w:p w14:paraId="134FA447" w14:textId="15D12013" w:rsidR="00215B02" w:rsidRPr="00F505CB" w:rsidRDefault="00E81D32" w:rsidP="004A7271">
      <w:pPr>
        <w:spacing w:after="120" w:line="276" w:lineRule="auto"/>
        <w:rPr>
          <w:noProof/>
        </w:rPr>
      </w:pPr>
      <w:r>
        <w:rPr>
          <w:b/>
          <w:noProof/>
        </w:rPr>
        <w:t>Fil-fażi tad-disinn, il-Kummissjoni tivvaluta jekk il-perkors ta’ aġġustament fiskali pluriennali ppreżentat mill-Istati Membri huwiex konsistenti mal-iżgurar li d-dejn jitqiegħed jew jinżamm f’perkors ta’ tnaqqis sa mhux aktar tard minn tmiem il-perjodu ta’ aġġustament</w:t>
      </w:r>
      <w:r>
        <w:rPr>
          <w:noProof/>
        </w:rPr>
        <w:t xml:space="preserve"> </w:t>
      </w:r>
      <w:r>
        <w:rPr>
          <w:b/>
          <w:noProof/>
        </w:rPr>
        <w:t xml:space="preserve">jew jibqa’ f’livelli prudenti u li d-defiċit jinżamm taħt it-3 % tal-PDG fuq terminu medju. </w:t>
      </w:r>
      <w:r>
        <w:rPr>
          <w:noProof/>
        </w:rPr>
        <w:t xml:space="preserve">Il-perkors ta’ aġġustament ta’ referenza jservi bħala bażi komuni għad-diskussjoni u għall-valutazzjoni tal-pjanijiet mill-Kummissjoni. Il-perkors ta’ aġġustament ta’ referenza għandu jiżgura wkoll li d-defiċit jinżamm taħt il-valur ta’ referenza ta’ 3 % tal-PDG fuq terminu medju. Għall-Istati Membri li diġà jinsabu fil-PDE meta jiġi ppreżentat il-pjan, il-Kummissjoni tivvaluta jekk il-pjan huwiex konsistenti mar-rakkomandazzjonijiet u d-deċiżjonijiet rilevanti tal-Kunsill. </w:t>
      </w:r>
    </w:p>
    <w:p w14:paraId="17DF1C50" w14:textId="24371709" w:rsidR="00FD6528" w:rsidRPr="00F505CB" w:rsidRDefault="00F74BAE" w:rsidP="00FD6528">
      <w:pPr>
        <w:spacing w:before="120" w:after="120" w:line="276" w:lineRule="auto"/>
        <w:rPr>
          <w:noProof/>
        </w:rPr>
      </w:pPr>
      <w:r>
        <w:rPr>
          <w:b/>
          <w:noProof/>
        </w:rPr>
        <w:t>Jekk Stat Membru jkun talab estensjoni tal-perjodu ta’ aġġustament b’massimu ta’ 3 snin, talba bħal din tiġi vvalutata b’mod pożittiv f’każ li l-perkors ta’ aġġustament itwal ikun sostnut minn riformi u impenji ta’ investiment xierqa u marbutin maż-żmien.</w:t>
      </w:r>
      <w:r>
        <w:rPr>
          <w:noProof/>
        </w:rPr>
        <w:t xml:space="preserve"> L-Istati Membri jkunu mistennija jipprovdu dokumentazzjoni fil-fond u trasparenti, li tipprovdi analiżi kwantitattiva tal-kostijiet fuq terminu qasir – jekk ikun hemm – u tal-impatt tat-tkabbir baġitarju u potenzjali fuq terminu medju tal-impenji ta’ riforma u investiment. Meta tivvaluta talba bħal din, il-Kummissjoni tuża l-kriterji li ġejjin biex tivvaluta s-sett ta’ impenji ta’ riforma u investiment imressqin mill-Istati Membri. Dawn għandhom:</w:t>
      </w:r>
    </w:p>
    <w:p w14:paraId="6C9368A1" w14:textId="66CB8217" w:rsidR="007C17CE" w:rsidRPr="00F505CB" w:rsidRDefault="00D4667D" w:rsidP="00D40D8A">
      <w:pPr>
        <w:pStyle w:val="ListParagraph"/>
        <w:numPr>
          <w:ilvl w:val="0"/>
          <w:numId w:val="78"/>
        </w:numPr>
        <w:spacing w:before="120" w:after="120" w:line="276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ikunu jsaħħu t-tkabbir u jappoġġaw is-sostenibbiltà fiskali.</w:t>
      </w:r>
    </w:p>
    <w:p w14:paraId="71FBE378" w14:textId="2F574C90" w:rsidR="0032441C" w:rsidRPr="00F505CB" w:rsidRDefault="00D4667D" w:rsidP="00D40D8A">
      <w:pPr>
        <w:pStyle w:val="ListParagraph"/>
        <w:numPr>
          <w:ilvl w:val="0"/>
          <w:numId w:val="78"/>
        </w:numPr>
        <w:spacing w:before="120" w:after="120" w:line="276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jindirizzaw il-prijoritajiet komuni tal-UE, inklużi l-Pjanijiet Nazzjonali għall-Enerġija u l-Klima (allinjati mal-miri tal-Liġi tal-UE dwar il-Klima), il-Pjanijiet Direzzjonali Nazzjonali tad-Deċennju Diġitali,(</w:t>
      </w:r>
      <w:r>
        <w:rPr>
          <w:rStyle w:val="FootnoteReference"/>
          <w:rFonts w:ascii="Times New Roman" w:hAnsi="Times New Roman"/>
          <w:noProof/>
        </w:rPr>
        <w:footnoteReference w:id="15"/>
      </w:r>
      <w:r>
        <w:rPr>
          <w:rFonts w:ascii="Times New Roman" w:hAnsi="Times New Roman"/>
          <w:noProof/>
        </w:rPr>
        <w:t xml:space="preserve">) u l-implimentazzjoni tal-Pilastru Ewropew tad-Drittijiet Soċjali, u jiżguraw li l-pjan fiskali-strutturali jindirizza s-CSRs rilevanti kollha jew subsett sinifikanti minnhom, inklużi, fejn applikabbli, ir-rakkomandazzjonijiet maħruġin taħt l-MIP. </w:t>
      </w:r>
    </w:p>
    <w:p w14:paraId="15620F19" w14:textId="756F6238" w:rsidR="0032441C" w:rsidRPr="00F505CB" w:rsidRDefault="00603F15" w:rsidP="00EA2CE8">
      <w:pPr>
        <w:pStyle w:val="ListParagraph"/>
        <w:numPr>
          <w:ilvl w:val="0"/>
          <w:numId w:val="78"/>
        </w:numPr>
        <w:spacing w:before="120" w:after="120" w:line="276" w:lineRule="auto"/>
        <w:ind w:left="709"/>
        <w:rPr>
          <w:noProof/>
        </w:rPr>
      </w:pPr>
      <w:r>
        <w:rPr>
          <w:rFonts w:ascii="Times New Roman" w:hAnsi="Times New Roman"/>
          <w:noProof/>
        </w:rPr>
        <w:t>ikun dettaljat biżżejjed, antiċipat, marbut bil-ħin u verifikabbli.</w:t>
      </w:r>
    </w:p>
    <w:p w14:paraId="199C08F3" w14:textId="3E7BDE50" w:rsidR="0032441C" w:rsidRPr="00F505CB" w:rsidRDefault="00AF6C2A" w:rsidP="00D40D8A">
      <w:pPr>
        <w:pStyle w:val="ListParagraph"/>
        <w:numPr>
          <w:ilvl w:val="0"/>
          <w:numId w:val="78"/>
        </w:numPr>
        <w:spacing w:before="120" w:after="120" w:line="276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jiżguraw li l-prijoritajiet ta’ investiment speċifiċi għall-pajjiż ikunu jistgħu jiġu indirizzati mingħajr ma jwasslu għal tnaqqis fl-investiment xi mkien ieħor matul il-perjodu tal-ippjanar.  </w:t>
      </w:r>
    </w:p>
    <w:p w14:paraId="4667ADC2" w14:textId="5C2BF405" w:rsidR="00FD6528" w:rsidRPr="00F505CB" w:rsidRDefault="00000EFE" w:rsidP="00471F8A">
      <w:pPr>
        <w:spacing w:before="120" w:after="120" w:line="276" w:lineRule="auto"/>
        <w:rPr>
          <w:bCs/>
          <w:noProof/>
        </w:rPr>
      </w:pPr>
      <w:r>
        <w:rPr>
          <w:noProof/>
        </w:rPr>
        <w:t xml:space="preserve">Abbażi ta’ valutazzjoni pożittiva tal-Kummissjoni, il-Kunsill jadotta l-perkors ta’ aġġustament estiż u l-impenji ta’ riforma u investiment li jirfdu dan il-perkors. </w:t>
      </w:r>
    </w:p>
    <w:p w14:paraId="7CB6DD29" w14:textId="2FB4990F" w:rsidR="00551348" w:rsidRPr="00F505CB" w:rsidRDefault="0064637B" w:rsidP="00571968">
      <w:pPr>
        <w:keepNext/>
        <w:spacing w:after="120" w:line="276" w:lineRule="auto"/>
        <w:rPr>
          <w:rFonts w:cstheme="minorHAnsi"/>
          <w:noProof/>
        </w:rPr>
      </w:pPr>
      <w:r>
        <w:rPr>
          <w:b/>
          <w:noProof/>
        </w:rPr>
        <w:t>Fil-prattika, l-ispeċifikazzjonijiet tekniċi li ġejjin ikunu importanti għall-formulazzjoni tal-pjan fuq terminu medju tal-Istat Membru u għall-valutazzjoni tiegħu mill-Kummissjoni</w:t>
      </w:r>
      <w:r>
        <w:rPr>
          <w:noProof/>
        </w:rPr>
        <w:t xml:space="preserve">: </w:t>
      </w:r>
    </w:p>
    <w:p w14:paraId="1756B162" w14:textId="5DDAFA48" w:rsidR="00964DEB" w:rsidRPr="00F505CB" w:rsidRDefault="009678E0" w:rsidP="00401F12">
      <w:pPr>
        <w:pStyle w:val="ListParagraph"/>
        <w:numPr>
          <w:ilvl w:val="0"/>
          <w:numId w:val="7"/>
        </w:numPr>
        <w:spacing w:after="120" w:line="276" w:lineRule="auto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/>
          <w:noProof/>
        </w:rPr>
        <w:t>Il-pjan jistabbilixxi s-suppożizzjonijiet u l-projezzjonijiet tat-trajettorja tal-varjabbli makrofiskali rilevanti. Dan ikopri l-perkors makroekonomiku u fiskali għall-perjodu ta’ aġġustament kopert mill-pjan u l-estensjoni sussegwenti ta’ ebda bidla fil-politika tal-projezzjonijiet għall-10 snin ta’ wara. Il-projezzjonijiet tad-dejn f’politika mhux mibdula li għandhom jiġu inklużi fil-pjan għandhom ikunu konsistenti mal-projezzjonijiet komparabbli tal-Kummissjoni (ara l-Kaxxa 1 għal aktar dettalji).</w:t>
      </w:r>
    </w:p>
    <w:p w14:paraId="6BEC7209" w14:textId="4E66592E" w:rsidR="00D02B37" w:rsidRPr="00F505CB" w:rsidRDefault="0064637B" w:rsidP="00401F12">
      <w:pPr>
        <w:pStyle w:val="ListParagraph"/>
        <w:numPr>
          <w:ilvl w:val="0"/>
          <w:numId w:val="7"/>
        </w:numPr>
        <w:spacing w:after="120" w:line="276" w:lineRule="auto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/>
          <w:noProof/>
        </w:rPr>
        <w:t>Il-pjan ta’ Stat Membru li jitlob perjodu ta’ aġġustament itwal ikollu jinkludi</w:t>
      </w:r>
      <w:r>
        <w:rPr>
          <w:noProof/>
        </w:rPr>
        <w:t xml:space="preserve"> </w:t>
      </w:r>
      <w:r>
        <w:rPr>
          <w:rFonts w:ascii="Times New Roman" w:hAnsi="Times New Roman"/>
          <w:noProof/>
        </w:rPr>
        <w:t xml:space="preserve">dokumentazzjoni fil-fond u trasparenti, l-għoti ta’ evidenza ta’ kif is-sett ta’ impenji ta’ riforma u investiment jappoġġa t-tkabbir sostenibbli u s-sostenibbiltà fiskali kif ukoll analiżi kwantitattiva kemm tal-impatt baġitarju fuq terminu medju kif ukoll tal-impatt potenzjali tat-tkabbir tas-sett ta’ riformi u investiment li jirfdu l-perjodu ta’ aġġustament itwal. </w:t>
      </w:r>
    </w:p>
    <w:p w14:paraId="67C05D72" w14:textId="4D805D1A" w:rsidR="003C3AD5" w:rsidRPr="00F505CB" w:rsidRDefault="1C5DDA80" w:rsidP="000EDF6C">
      <w:pPr>
        <w:pStyle w:val="ListParagraph"/>
        <w:numPr>
          <w:ilvl w:val="0"/>
          <w:numId w:val="7"/>
        </w:numPr>
        <w:spacing w:after="120" w:line="276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 xml:space="preserve">Il-pjan ikun jinkludi n-nefqa projettata finanzjata minn għotjiet tal-RRF, fondi tal-politika ta’ koeżjoni u trasferimenti oħrajn tal-UE. Rekwiżiti oħrajn ta’ </w:t>
      </w:r>
      <w:r>
        <w:rPr>
          <w:rFonts w:ascii="Times New Roman" w:hAnsi="Times New Roman"/>
          <w:i/>
          <w:noProof/>
        </w:rPr>
        <w:t>data</w:t>
      </w:r>
      <w:r>
        <w:rPr>
          <w:rFonts w:ascii="Times New Roman" w:hAnsi="Times New Roman"/>
          <w:noProof/>
        </w:rPr>
        <w:t xml:space="preserve"> u ta’ rapportar, kemm għall-pjan fuq terminu medju nnifsu kif ukoll għar-rapport ta’ progress annwali, jeħtieġ li jiġu żviluppati ulterjorment, billi jibdew mir-rekwiżiti attwali għall-Programmi ta’ Stabbiltà u Konverġenza u l-Programmi Nazzjonali ta’ Riforma, iżda b’perjodu itwal.</w:t>
      </w:r>
    </w:p>
    <w:p w14:paraId="59CDBBB3" w14:textId="28B477D3" w:rsidR="00551348" w:rsidRPr="00F505CB" w:rsidRDefault="00551348" w:rsidP="00E3690D">
      <w:pPr>
        <w:pStyle w:val="ListParagraph"/>
        <w:numPr>
          <w:ilvl w:val="0"/>
          <w:numId w:val="7"/>
        </w:numPr>
        <w:spacing w:after="120" w:line="276" w:lineRule="auto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/>
          <w:noProof/>
        </w:rPr>
        <w:t>Il-perkors tan-nefqa primarja netta pluriennali miftiehma tiġi tradotta f’limiti massimi tan-nefqa annwali matul il-perjodu ta’ aġġustament li għandhom jiġu rrispettati fir-rigward tan-nefqa finanzjata fil-livell nazzjonali, filwaqt li l-pjan ikun jinkludi n-nefqa projettata finanzjata mill-RRF, mill-fondi tal-politika ta’ koeżjoni u minn trasferimenti oħrajn tal-UE. Il-perkors jiġi stabbilit b’mod li jiġi żgurat li parti sinifikanti mill-ħtiġijiet ta’ konsolidazzjoni tiġi ssodisfata fil-perjodu ta’ aġġustament u ma tibqax f’idejn gvernijiet futuri. Is-sorveljanza fiskali annwali u ta’ matul is-sena timmonitorja l-iżviluppi tan-nefqa sabiex jiġi evitat li żidiet annwali żgħar b’mod kumulattiv iwasslu għal devjazzjonijiet kbar mill-perkors.</w:t>
      </w:r>
    </w:p>
    <w:p w14:paraId="53AD4AE0" w14:textId="559732C7" w:rsidR="00551348" w:rsidRPr="00F505CB" w:rsidRDefault="00073BA4" w:rsidP="006709EA">
      <w:pPr>
        <w:spacing w:before="120" w:after="120" w:line="276" w:lineRule="auto"/>
        <w:rPr>
          <w:b/>
          <w:i/>
          <w:noProof/>
        </w:rPr>
      </w:pPr>
      <w:r>
        <w:rPr>
          <w:b/>
          <w:i/>
          <w:noProof/>
        </w:rPr>
        <w:t>4.2 Kif għandha tiġi vvalutata l-konformità tar-riżultati fiskali-strutturali?</w:t>
      </w:r>
    </w:p>
    <w:p w14:paraId="3A1E5DB3" w14:textId="4C90FD60" w:rsidR="00DC54CE" w:rsidRPr="00F505CB" w:rsidRDefault="008C4E75" w:rsidP="00DC54CE">
      <w:pPr>
        <w:pStyle w:val="Heading2"/>
        <w:spacing w:before="120" w:after="120" w:line="276" w:lineRule="auto"/>
        <w:rPr>
          <w:rFonts w:ascii="Times New Roman" w:hAnsi="Times New Roman"/>
          <w:i/>
          <w:noProof/>
          <w:color w:val="auto"/>
          <w:sz w:val="24"/>
        </w:rPr>
      </w:pPr>
      <w:r>
        <w:rPr>
          <w:rFonts w:ascii="Times New Roman" w:hAnsi="Times New Roman"/>
          <w:i/>
          <w:noProof/>
          <w:color w:val="auto"/>
          <w:sz w:val="24"/>
        </w:rPr>
        <w:t>Prinċipji għall-valutazzjoni tal-konformità</w:t>
      </w:r>
    </w:p>
    <w:p w14:paraId="0C6C8617" w14:textId="78717A50" w:rsidR="0040509C" w:rsidRPr="00F505CB" w:rsidRDefault="00CE32CB" w:rsidP="00B2476D">
      <w:pPr>
        <w:spacing w:before="120" w:after="120" w:line="276" w:lineRule="auto"/>
        <w:rPr>
          <w:noProof/>
          <w:szCs w:val="24"/>
        </w:rPr>
      </w:pPr>
      <w:r>
        <w:rPr>
          <w:b/>
          <w:noProof/>
        </w:rPr>
        <w:t>L-implimentazzjoni tal-pjanijiet fiskali-strutturali fuq terminu medju tiġi mmonitorjata bir-rispett tal-perkors miftiehem tan-nefqa primarja netta pluriennali approvat mill-Kunsill.</w:t>
      </w:r>
      <w:r>
        <w:rPr>
          <w:noProof/>
        </w:rPr>
        <w:t xml:space="preserve"> Filwaqt li l-monitoraġġ u l-infurzar ikomplu jkunu bbażati fuq iċ-ċiklu ta’ sorveljanza annwali u ta’ matul is-sena, bi rwol partikolari għar-rapporti annwali, l-enfasi tas-sorveljanza tkun li tiġi żgurata l-konformità mal-pjan fuq terminu medju. In-nefqa ffinanzjata fil-livell nazzjonali jkollha tibqa’ fi ħdan il-perkors tan-nefqa primarja netta pluriennali miftiehma. Minħabba li l-użu tan-nefqa primarja netta bħala indikatur operazzjonali uniku għas-sorveljanza jippermetti t-tħaddim ta’ stabbilizzaturi awtomatiċi, ma tkun iġġustifikata l-ebda devjazzjoni mill-perkors minħabba kundizzjonijiet ċikliċi (peress li dan iwassal għar-riskju li jiġi applikat b’mod asimetriku fi żminijiet ħżiena u b’hekk jimmina l-aġġustament u s-sostenibbiltà tad-dejn). Bl-istess mod, filwaqt li l-Istati Membri jibqgħu liberi li jwettqu riformi jew investimenti addizzjonali, inizjattivi ta’ politika ġodda ma jimplikawx ftuħ mill-ġdid tal-perkors tan-nefqa primarja nett pluriennali miftiehem. </w:t>
      </w:r>
      <w:r>
        <w:rPr>
          <w:b/>
          <w:noProof/>
          <w:color w:val="000000" w:themeColor="text1"/>
        </w:rPr>
        <w:t xml:space="preserve"> </w:t>
      </w:r>
    </w:p>
    <w:p w14:paraId="39FD6C34" w14:textId="4320F9AB" w:rsidR="00B2476D" w:rsidRPr="00F505CB" w:rsidRDefault="2DA93323" w:rsidP="000EDF6C">
      <w:pPr>
        <w:spacing w:after="120" w:line="276" w:lineRule="auto"/>
        <w:rPr>
          <w:rFonts w:eastAsiaTheme="minorEastAsia" w:cstheme="minorBidi"/>
          <w:b/>
          <w:bCs/>
          <w:noProof/>
          <w:color w:val="000000" w:themeColor="text1"/>
          <w:kern w:val="24"/>
        </w:rPr>
      </w:pPr>
      <w:r>
        <w:rPr>
          <w:b/>
          <w:noProof/>
        </w:rPr>
        <w:t>Hemm bżonn ta’ klawżoli liberatorji robusti biex jiġu indirizzati sitwazzjonijiet eċċezzjonali fejn il-perkors ta’ aġġustament approvat ma setax jiġi ssodisfat b’mod realistiku.</w:t>
      </w:r>
      <w:r>
        <w:rPr>
          <w:noProof/>
        </w:rPr>
        <w:t xml:space="preserve"> L-aderenza stretta mal-perkors tan-nefqa primarja netta pluriennali miftiehem tippermetti li l-politika fiskali tkun kontroċiklika, filwaqt li tibni buffers fiskali fi żminijiet tajbin u tippermetti r-rispons politiku meħtieġ fi żminijiet ħżiena. (</w:t>
      </w:r>
      <w:r>
        <w:rPr>
          <w:rStyle w:val="FootnoteReference"/>
          <w:noProof/>
        </w:rPr>
        <w:footnoteReference w:id="16"/>
      </w:r>
      <w:r>
        <w:rPr>
          <w:noProof/>
        </w:rPr>
        <w:t>) Madankollu, għal xokkijiet kbar fiż-żona tal-euro jew l-UE kollha kemm hi, tinżamm klawżola liberatorja ġenerali biex jiġi indirizzat tnaqqis serju fir-ritmu ekonomiku li jippermetti devjazzjoni temporanja mill-perkors fiskali. Barra minn hekk, klawżola ta’ ċirkostanzi eċċezzjonali tippermetti devjazzjonijiet temporanji mill-perkors fiskali fuq terminu medju fil-każ ta’ ċirkostanzi eċċezzjonali barra mill-kontroll tal-gvern b’impatt kbir fuq il-finanzi pubbliċi ta’ Stat Membru individwali. Dan ikun jirrikjedi li d-daqs ġenerali tax-xokk jaqbeż firxa “normali” (eż., il-kostijiet tad-diżastri naturali għandhom jiġu antiċipati fi ħdan meded ta’ frekwenzi).</w:t>
      </w:r>
      <w:r>
        <w:rPr>
          <w:b/>
          <w:noProof/>
          <w:color w:val="000000" w:themeColor="text1"/>
        </w:rPr>
        <w:t xml:space="preserve"> </w:t>
      </w:r>
      <w:r>
        <w:rPr>
          <w:noProof/>
          <w:color w:val="000000" w:themeColor="text1"/>
        </w:rPr>
        <w:t>L-iskattar u l-estensjoni ta’ klawżoli ġenerali u speċifiċi għall-pajjiż ikunu jirrikjedu l-kunsens tal-Kunsill.</w:t>
      </w:r>
      <w:r>
        <w:rPr>
          <w:b/>
          <w:noProof/>
          <w:color w:val="000000" w:themeColor="text1"/>
        </w:rPr>
        <w:t xml:space="preserve"> </w:t>
      </w:r>
    </w:p>
    <w:p w14:paraId="4A2CC801" w14:textId="5210279D" w:rsidR="00EC7D46" w:rsidRPr="00F505CB" w:rsidRDefault="00432A49" w:rsidP="00EC7D46">
      <w:pPr>
        <w:spacing w:before="120" w:after="120" w:line="276" w:lineRule="auto"/>
        <w:rPr>
          <w:rFonts w:eastAsiaTheme="minorEastAsia"/>
          <w:b/>
          <w:bCs/>
          <w:noProof/>
          <w:color w:val="000000" w:themeColor="text1"/>
          <w:kern w:val="24"/>
        </w:rPr>
      </w:pPr>
      <w:r>
        <w:rPr>
          <w:b/>
          <w:noProof/>
          <w:color w:val="000000" w:themeColor="text1"/>
        </w:rPr>
        <w:t xml:space="preserve">Sabiex jiżdiedu s-sjieda u t-trasparenza fil-livell nazzjonali, l-istituzzjonijiet fiskali indipendenti jista’ jkollhom rwol fil-monitoraġġ tal-konformità mal-pjanijiet fiskali-strutturali nazzjonali fuq terminu medju b’appoġġ għall-gvernijiet nazzjonali. </w:t>
      </w:r>
      <w:r>
        <w:rPr>
          <w:noProof/>
          <w:color w:val="000000" w:themeColor="text1"/>
        </w:rPr>
        <w:t xml:space="preserve">L-istituzzjonijiet fiskali indipendenti jistgħu jipprovdu valutazzjoni </w:t>
      </w:r>
      <w:r>
        <w:rPr>
          <w:i/>
          <w:noProof/>
          <w:color w:val="000000" w:themeColor="text1"/>
        </w:rPr>
        <w:t>ex ante</w:t>
      </w:r>
      <w:r>
        <w:rPr>
          <w:noProof/>
          <w:color w:val="000000" w:themeColor="text1"/>
        </w:rPr>
        <w:t xml:space="preserve"> tal-adegwatezza tal-pjanijiet u tal-previżjonijiet sottostanti tagħhom, li tgħin lill-gvern nazzjonali fil-fażi tad-disinn. Dan iżid is-sjieda tal-pjanijiet fil-livell nazzjonali u jsaħħaħ it-trasparenza qabel l-approvazzjoni tal-pjan fil-livell tal-UE. Barra minn hekk, l-istituzzjonijiet fiskali indipendenti jistgħu jsaħħu l-infurzar fil-livell nazzjonali billi jkunu responsabbli sabiex jipprovdu valutazzjoni tal-konformità </w:t>
      </w:r>
      <w:r>
        <w:rPr>
          <w:i/>
          <w:noProof/>
          <w:color w:val="000000" w:themeColor="text1"/>
        </w:rPr>
        <w:t>ex post</w:t>
      </w:r>
      <w:r>
        <w:rPr>
          <w:noProof/>
          <w:color w:val="000000" w:themeColor="text1"/>
        </w:rPr>
        <w:t xml:space="preserve"> tal-eżiti baġitarji mal-perkors tan-nefqa primarja netta pluriennali miftiehem u, fejn applikabbli, valutazzjoni tal-validità tal-ispjegazzjonijiet fir-rigward tad-devjazzjonijiet mill-perkors. Il-Kummissjoni u l-Kunsill, inkarigati mis-sorveljanza tal-UE, jistgħu jqisu l-valutazzjoni ta’ istituzzjonijiet fiskali indipendenti iżda neċessarjament iżommu s-setgħa li jipproponu u jadottaw id-deċiżjoni finali.</w:t>
      </w:r>
    </w:p>
    <w:p w14:paraId="3301A249" w14:textId="77777777" w:rsidR="00551348" w:rsidRPr="00F505CB" w:rsidRDefault="00551348" w:rsidP="009A49E1">
      <w:pPr>
        <w:pStyle w:val="Heading2"/>
        <w:spacing w:before="120" w:after="120" w:line="276" w:lineRule="auto"/>
        <w:rPr>
          <w:rFonts w:ascii="Times New Roman" w:hAnsi="Times New Roman"/>
          <w:i/>
          <w:noProof/>
          <w:color w:val="auto"/>
          <w:sz w:val="24"/>
        </w:rPr>
      </w:pPr>
      <w:r>
        <w:rPr>
          <w:rFonts w:ascii="Times New Roman" w:hAnsi="Times New Roman"/>
          <w:i/>
          <w:noProof/>
          <w:color w:val="auto"/>
          <w:sz w:val="24"/>
        </w:rPr>
        <w:t>L-infurzar tal-konformità mal-perkors fiskali fuq terminu medju u l-ftuħ tal-PDE</w:t>
      </w:r>
    </w:p>
    <w:p w14:paraId="1DF06F95" w14:textId="46E4B9CB" w:rsidR="001A54E6" w:rsidRPr="00F505CB" w:rsidRDefault="00551348" w:rsidP="002E042D">
      <w:pPr>
        <w:spacing w:before="120" w:after="120" w:line="276" w:lineRule="auto"/>
        <w:rPr>
          <w:bCs/>
          <w:noProof/>
        </w:rPr>
      </w:pPr>
      <w:r>
        <w:rPr>
          <w:b/>
          <w:noProof/>
          <w:color w:val="000000" w:themeColor="text1"/>
        </w:rPr>
        <w:t xml:space="preserve">Infurzar </w:t>
      </w:r>
      <w:r>
        <w:rPr>
          <w:b/>
          <w:i/>
          <w:noProof/>
          <w:color w:val="000000" w:themeColor="text1"/>
        </w:rPr>
        <w:t>ex post</w:t>
      </w:r>
      <w:r>
        <w:rPr>
          <w:b/>
          <w:noProof/>
          <w:color w:val="000000" w:themeColor="text1"/>
        </w:rPr>
        <w:t xml:space="preserve"> aktar b’saħħtu jkun il-kontroparti meħtieġa ta’ qafas ta’ sorveljanza bbażat fuq ir-riskju li jipprovdi aktar flessibbiltà lill-Istati Membri biex jistabbilixxu l-perkorsi ta’ aġġustament tagħhom. </w:t>
      </w:r>
      <w:r>
        <w:rPr>
          <w:noProof/>
          <w:color w:val="000000" w:themeColor="text1"/>
        </w:rPr>
        <w:t>Il-valutazzjoni tal-konformità u tal-infurzar titwettaq fuq bażi kontinwa, b’mod partikolari abbażi tar-rapporti ta’ progress annwali u n-notifiki tad-</w:t>
      </w:r>
      <w:r>
        <w:rPr>
          <w:i/>
          <w:noProof/>
          <w:color w:val="000000" w:themeColor="text1"/>
        </w:rPr>
        <w:t>data</w:t>
      </w:r>
      <w:r>
        <w:rPr>
          <w:noProof/>
          <w:color w:val="000000" w:themeColor="text1"/>
        </w:rPr>
        <w:t xml:space="preserve"> tal-PDE. Għall-Istati Membri taż-żona tal-euro, il-Kummissjoni tivvaluta wkoll il-konformità tal-abbozzi tal-pjanijiet baġitarji mal-perkors miftiehem tan-nefqa primarja netta pluriennali fil-ħarifa. Ma jibqax ikun hemm il-ħtieġa għal rakkomandazzjonijiet fiskali annwali għall-Istati Membri li jikkonformaw mal-pjanijiet fuq terminu medju tagħhom. </w:t>
      </w:r>
      <w:r>
        <w:rPr>
          <w:noProof/>
        </w:rPr>
        <w:t>Fl-istess ħin, il-Kummissjoni/il-Kunsill jistgħu joħorġu rakkomandazzjonijiet bi twissijiet bikrija qabel ma jiġu ssodisfati l-kundizzjonijiet għall-ftuħ ta’ PDE, jiġifieri, jekk jaraw riskji qawwija ta’ ksur tal-limitu ta’ 3 % tal-PDG jew f’każ ta’ devjazzjonijiet mill-perkors tan-nefqa primarja netta pluriennali miftiehem li ma jwasslux għall-ftuħ ta’ PDE.</w:t>
      </w:r>
    </w:p>
    <w:p w14:paraId="2B8E8E1B" w14:textId="12801143" w:rsidR="001A54E6" w:rsidRPr="00F505CB" w:rsidRDefault="001A54E6" w:rsidP="000B72F8">
      <w:pPr>
        <w:spacing w:after="120" w:line="276" w:lineRule="auto"/>
        <w:rPr>
          <w:noProof/>
        </w:rPr>
      </w:pPr>
      <w:r>
        <w:rPr>
          <w:b/>
          <w:noProof/>
        </w:rPr>
        <w:t>Il-PDE bbażata fuq id-defiċit tinżamm, filwaqt li l-PDE bbażata fuq id-dejn tissaħħaħ u ssir għodda ewlenija għall-infurzar tal-konformità kontinwa mal-perkors tan-nefqa primarja netta pluriennali miftiehem.</w:t>
      </w:r>
      <w:r>
        <w:rPr>
          <w:noProof/>
        </w:rPr>
        <w:t xml:space="preserve"> Ir-regoli eżistenti għall-ftuħ u l-għeluq ta’ PDE bbażata fuq id-defiċit jibqgħu l-istess. Il-proċess għat-tnedija ta’ PDE bbażata fuq id-dejn skont ir-regoli riformati jiġi attivat meta Stat Membru b’dejn ta’ aktar minn 60 % tal-PDG jiddevja mill-perkors tan-nefqa primarja netta pluriennali miftiehem stabbilit fil-pjan fiskali fuq terminu medju approvat mill-Kunsill. F’każ bħal dan, il-Kummissjoni tħejji l-hekk imsejjaħ “rapport tal-Artikolu 126(3)” li jivvaluta l-fatturi rilevanti, kif previst fit-Trattat. Għal Stat Membru bi sfida sostanzjali ta’ dejn pubbliku, devjazzjoni mill-perkors miftiehem tirriżulta awtomatikament fil-ftuħ ta’ PDE. Il-perkors taħt il-PDE fil-prinċipju jkun dak approvat oriġinarjament mill-Kunsill. F’każ li dan il-perkors oriġinali ma jibqax fattibbli, minħabba ċirkostanzi oġġettivi, il-Kummissjoni tista’ tipproponi lill-Kunsill perkors emendat skont il-PDE. Barra minn hekk, f’każ ta’ nuqqas ta’ implimentazzjoni tar-riformi u tal-investiment li jirfdu perkors ta’ aġġustament aktar gradwali, għodda ġdida ta’ infurzar twassal għal reviżjoni tal-perkors ta’ aġġustament f’sens aktar restrittiv. Il-Kummissjoni tuża l-kontijiet ta’ kontroll nozzjonali għal kull Stat Membru biex iżżomm kont tad-devjazzjonijiet kumulattivi mill-perkors tan-nefqa primarja netta pluriennali miftiehem maż-żmien. Dan isaħħaħ il-memorja fuq terminu medju tas-sistema u jevita li devjazzjonijiet żgħar eventwalment jammontaw għal devjazzjonijiet kbar.</w:t>
      </w:r>
    </w:p>
    <w:p w14:paraId="24E06CB5" w14:textId="458189FC" w:rsidR="001A54E6" w:rsidRPr="00F505CB" w:rsidRDefault="008C697F" w:rsidP="008F573C">
      <w:pPr>
        <w:spacing w:before="120" w:after="120" w:line="276" w:lineRule="auto"/>
        <w:rPr>
          <w:rFonts w:eastAsiaTheme="minorEastAsia"/>
          <w:b/>
          <w:noProof/>
          <w:color w:val="000000" w:themeColor="text1"/>
          <w:kern w:val="24"/>
        </w:rPr>
      </w:pPr>
      <w:r>
        <w:rPr>
          <w:b/>
          <w:noProof/>
          <w:color w:val="000000" w:themeColor="text1"/>
        </w:rPr>
        <w:t>Il-mekkaniżmi ta’ infurzar jissaħħu:</w:t>
      </w:r>
      <w:r>
        <w:rPr>
          <w:noProof/>
          <w:color w:val="000000" w:themeColor="text1"/>
        </w:rPr>
        <w:t xml:space="preserve"> </w:t>
      </w:r>
    </w:p>
    <w:p w14:paraId="5868809C" w14:textId="75170BD1" w:rsidR="00036A4E" w:rsidRPr="00F505CB" w:rsidRDefault="008C697F" w:rsidP="000EDF6C">
      <w:pPr>
        <w:pStyle w:val="ListParagraph"/>
        <w:numPr>
          <w:ilvl w:val="0"/>
          <w:numId w:val="75"/>
        </w:numPr>
        <w:spacing w:before="120" w:after="120" w:line="276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color w:val="000000" w:themeColor="text1"/>
        </w:rPr>
        <w:t>L-użu effettiv tas-</w:t>
      </w:r>
      <w:r>
        <w:rPr>
          <w:rFonts w:ascii="Times New Roman" w:hAnsi="Times New Roman"/>
          <w:i/>
          <w:noProof/>
          <w:color w:val="000000" w:themeColor="text1"/>
        </w:rPr>
        <w:t>sanzjonijiet finanzjarji</w:t>
      </w:r>
      <w:r>
        <w:rPr>
          <w:rFonts w:ascii="Times New Roman" w:hAnsi="Times New Roman"/>
          <w:noProof/>
          <w:color w:val="000000" w:themeColor="text1"/>
        </w:rPr>
        <w:t xml:space="preserve"> ma jibqax ristrett billi jitnaqqsu l-ammonti tagħhom.</w:t>
      </w:r>
      <w:r>
        <w:rPr>
          <w:rFonts w:ascii="Times New Roman" w:hAnsi="Times New Roman"/>
          <w:noProof/>
        </w:rPr>
        <w:t xml:space="preserve"> </w:t>
      </w:r>
    </w:p>
    <w:p w14:paraId="2360A7B0" w14:textId="2D64D528" w:rsidR="00036A4E" w:rsidRPr="00F505CB" w:rsidRDefault="008C697F">
      <w:pPr>
        <w:pStyle w:val="ListParagraph"/>
        <w:numPr>
          <w:ilvl w:val="0"/>
          <w:numId w:val="75"/>
        </w:numPr>
        <w:spacing w:before="120" w:after="120" w:line="276" w:lineRule="auto"/>
        <w:rPr>
          <w:rFonts w:ascii="Times New Roman" w:eastAsiaTheme="minorEastAsia" w:hAnsi="Times New Roman"/>
          <w:noProof/>
          <w:color w:val="000000" w:themeColor="text1"/>
          <w:kern w:val="24"/>
        </w:rPr>
      </w:pPr>
      <w:r>
        <w:rPr>
          <w:rFonts w:ascii="Times New Roman" w:hAnsi="Times New Roman"/>
          <w:i/>
          <w:noProof/>
          <w:color w:val="000000" w:themeColor="text1"/>
        </w:rPr>
        <w:t>Sanzjonijiet għar-reputazzjoni</w:t>
      </w:r>
      <w:r>
        <w:rPr>
          <w:rFonts w:ascii="Times New Roman" w:hAnsi="Times New Roman"/>
          <w:noProof/>
          <w:color w:val="000000" w:themeColor="text1"/>
        </w:rPr>
        <w:t xml:space="preserve"> jissaħħu. Pereżempju, il-Ministri tal-Istati Membri fil-PDE jistgħu jkunu rikjesti wkoll jippreżentaw fil-Parlament Ewropew il-miżuri biex jikkonformaw mar-rakkomandazzjonijiet tal-PDE. </w:t>
      </w:r>
    </w:p>
    <w:p w14:paraId="0929F992" w14:textId="08D792C9" w:rsidR="00036A4E" w:rsidRPr="00F505CB" w:rsidRDefault="00036A4E" w:rsidP="0034281B">
      <w:pPr>
        <w:pStyle w:val="ListParagraph"/>
        <w:numPr>
          <w:ilvl w:val="0"/>
          <w:numId w:val="75"/>
        </w:numPr>
        <w:spacing w:before="120" w:after="120" w:line="276" w:lineRule="auto"/>
        <w:rPr>
          <w:rFonts w:eastAsiaTheme="minorEastAsia"/>
          <w:b/>
          <w:noProof/>
          <w:color w:val="000000" w:themeColor="text1"/>
          <w:kern w:val="24"/>
        </w:rPr>
      </w:pPr>
      <w:r>
        <w:rPr>
          <w:rFonts w:ascii="Times New Roman" w:hAnsi="Times New Roman"/>
          <w:noProof/>
        </w:rPr>
        <w:t xml:space="preserve">Teżisti </w:t>
      </w:r>
      <w:r>
        <w:rPr>
          <w:rFonts w:ascii="Times New Roman" w:hAnsi="Times New Roman"/>
          <w:i/>
          <w:noProof/>
        </w:rPr>
        <w:t>kondizzjonalità makroekonomika</w:t>
      </w:r>
      <w:r>
        <w:rPr>
          <w:rFonts w:ascii="Times New Roman" w:hAnsi="Times New Roman"/>
          <w:noProof/>
        </w:rPr>
        <w:t xml:space="preserve"> għall-fondi strutturali u għall-RRF u tiġi applikata fi spirtu simili. Il-finanzjament tal-UE jista’ jiġi sospiż ukoll meta l-Istati Membri ma jkunux ħadu azzjoni effettiva biex jikkoreġu d-defiċit eċċessiv tagħhom. </w:t>
      </w:r>
    </w:p>
    <w:p w14:paraId="619E61A3" w14:textId="61FD84DE" w:rsidR="00E67D19" w:rsidRPr="00F505CB" w:rsidRDefault="008C697F" w:rsidP="0001769C">
      <w:pPr>
        <w:spacing w:before="120" w:after="120" w:line="276" w:lineRule="auto"/>
        <w:rPr>
          <w:rFonts w:eastAsiaTheme="minorEastAsia"/>
          <w:noProof/>
          <w:color w:val="000000" w:themeColor="text1"/>
          <w:kern w:val="24"/>
          <w:szCs w:val="24"/>
        </w:rPr>
      </w:pPr>
      <w:r>
        <w:rPr>
          <w:b/>
          <w:noProof/>
          <w:color w:val="000000" w:themeColor="text1"/>
        </w:rPr>
        <w:t xml:space="preserve">Ikun meħtieġ li jiġu ssodisfati kundizzjonijiet ċari għar-revoka tal-PDE. </w:t>
      </w:r>
      <w:r>
        <w:rPr>
          <w:noProof/>
          <w:color w:val="000000" w:themeColor="text1"/>
        </w:rPr>
        <w:t>It-tħassir ikun jirrikjedi li d-defiċit jibqa’ b’mod kredibbli taħt it-3 % tal-PDG (f’konformità mad-dispożizzjonijiet attwali) u, għal PDE bbażati fuq id-dejn, li l-Istat Membru juri konformità dejjiema mal-perkors tan-nefqa primarja netta pluriennali miftiehem għal 3 snin, filwaqt li jiżgura li d-dejn jitqiegħed b’mod kredibbli fuq trajettorja ta’ tnaqqis fi tmiem il-perjodu ta’ aġġustament.</w:t>
      </w:r>
    </w:p>
    <w:p w14:paraId="0C4F210D" w14:textId="15EB6D97" w:rsidR="00E67D19" w:rsidRPr="00F505CB" w:rsidRDefault="00E67D19" w:rsidP="00E67D19">
      <w:pPr>
        <w:pStyle w:val="Heading2"/>
        <w:spacing w:before="120" w:after="120" w:line="276" w:lineRule="auto"/>
        <w:rPr>
          <w:rFonts w:ascii="Times New Roman" w:hAnsi="Times New Roman"/>
          <w:i/>
          <w:noProof/>
          <w:color w:val="auto"/>
          <w:sz w:val="24"/>
        </w:rPr>
      </w:pPr>
      <w:r>
        <w:rPr>
          <w:rFonts w:ascii="Times New Roman" w:hAnsi="Times New Roman"/>
          <w:i/>
          <w:noProof/>
          <w:color w:val="auto"/>
          <w:sz w:val="24"/>
        </w:rPr>
        <w:t xml:space="preserve">Infurzar tal-konformità mal-impenji ta’ riforma u investiment </w:t>
      </w:r>
    </w:p>
    <w:p w14:paraId="71BCE045" w14:textId="27D1A4E0" w:rsidR="00E67D19" w:rsidRPr="00973818" w:rsidRDefault="00E67D19" w:rsidP="00E67D19">
      <w:pPr>
        <w:spacing w:before="120" w:after="120" w:line="276" w:lineRule="auto"/>
        <w:rPr>
          <w:noProof/>
          <w:szCs w:val="24"/>
        </w:rPr>
      </w:pPr>
      <w:r>
        <w:rPr>
          <w:b/>
          <w:noProof/>
        </w:rPr>
        <w:t>Il-konformità mal-impenji approvati ta’ riforma u investiment li jirfdu perkors fiskali aktar gradwali tiġi mmonitorjata kull sena fil-kuntest tas-Semestru Ewropew.</w:t>
      </w:r>
      <w:r>
        <w:rPr>
          <w:noProof/>
        </w:rPr>
        <w:t xml:space="preserve"> Sabiex jiġi żgurat monitoraġġ xieraq, il-pjan nazzjonali fuq terminu medju għandu jinkludi dettall suffiċjenti kif ukoll skeda ta’ żmien għall-implimentazzjoni tal-impenji ta’ riforma u investiment. L-Istati Membri jirrapportaw dwar il-progress fl-implimentazzjoni ta’ dawn l-impenji fir-rapporti ta’ progress annwali tagħhom flimkien ma’ rapport dwar l-azzjoni ta’ politika meħuda biex jiġu indirizzati s-CSRs.</w:t>
      </w:r>
    </w:p>
    <w:p w14:paraId="50845D64" w14:textId="55DF25E5" w:rsidR="00E67D19" w:rsidRPr="00F505CB" w:rsidRDefault="00BC5449" w:rsidP="00E67D19">
      <w:pPr>
        <w:spacing w:before="120" w:after="120" w:line="276" w:lineRule="auto"/>
        <w:rPr>
          <w:noProof/>
          <w:szCs w:val="24"/>
        </w:rPr>
      </w:pPr>
      <w:r>
        <w:rPr>
          <w:b/>
          <w:noProof/>
        </w:rPr>
        <w:t xml:space="preserve">Tinħoloq għodda ġdida biex jiġu infurzati l-impenji ta’ riforma u ta’ investiment li jirfdu perkors ta’ aġġustament aktar gradwali. </w:t>
      </w:r>
      <w:r>
        <w:rPr>
          <w:noProof/>
        </w:rPr>
        <w:t xml:space="preserve">Jekk Stat Membru jonqos milli jimplimenta l-impenji tiegħu ta’ riforma u investiment, l-għodda tagħti s-setgħa lill-UE li titlob perkors tan-nefqa primarja netta pluriennali riveduta (f’sens aktar restrittiv filwaqt li tiżgura kwalità għolja tal-finanzi pubbliċi) u (għall-Istati Membri taż-żona tal-euro) timponi wkoll sanzjonijiet finanzjarji. </w:t>
      </w:r>
    </w:p>
    <w:p w14:paraId="79A671A1" w14:textId="37B6070C" w:rsidR="00650900" w:rsidRPr="00F505CB" w:rsidRDefault="00073BA4" w:rsidP="002E042D">
      <w:pPr>
        <w:spacing w:before="120" w:after="120" w:line="276" w:lineRule="auto"/>
        <w:rPr>
          <w:rFonts w:eastAsiaTheme="minorEastAsia"/>
          <w:b/>
          <w:i/>
          <w:noProof/>
          <w:color w:val="000000" w:themeColor="text1"/>
          <w:kern w:val="24"/>
        </w:rPr>
      </w:pPr>
      <w:r>
        <w:rPr>
          <w:b/>
          <w:i/>
          <w:noProof/>
          <w:color w:val="000000" w:themeColor="text1"/>
        </w:rPr>
        <w:t>4.3 Kif tista’ tiġi identifikata u vvalutata aħjar l-evoluzzjoni tal-iżbilanċi makroekonomiċi?</w:t>
      </w:r>
    </w:p>
    <w:p w14:paraId="298A2EE8" w14:textId="114BBD1C" w:rsidR="00682D12" w:rsidRPr="00F505CB" w:rsidRDefault="00682D12" w:rsidP="002E042D">
      <w:pPr>
        <w:spacing w:before="120" w:after="120" w:line="276" w:lineRule="auto"/>
        <w:rPr>
          <w:rFonts w:eastAsiaTheme="minorEastAsia"/>
          <w:bCs/>
          <w:iCs/>
          <w:noProof/>
          <w:color w:val="000000" w:themeColor="text1"/>
          <w:kern w:val="24"/>
        </w:rPr>
      </w:pPr>
      <w:r>
        <w:rPr>
          <w:b/>
          <w:noProof/>
          <w:color w:val="000000" w:themeColor="text1"/>
        </w:rPr>
        <w:t xml:space="preserve">Il-pedament tal-MIP riformata </w:t>
      </w:r>
      <w:r>
        <w:rPr>
          <w:b/>
          <w:noProof/>
        </w:rPr>
        <w:t>jkun id-determinazzjoni konġunta ta’ strateġija ta’ politika biex jiġu indirizzati l-iżbilanċi, permezz ta’ djalogu u impenn imsaħħin.</w:t>
      </w:r>
    </w:p>
    <w:p w14:paraId="5C95843E" w14:textId="2D994C1C" w:rsidR="00682D12" w:rsidRPr="00F505CB" w:rsidRDefault="008D1B88" w:rsidP="00682D12">
      <w:pPr>
        <w:pStyle w:val="ListParagraph"/>
        <w:numPr>
          <w:ilvl w:val="0"/>
          <w:numId w:val="75"/>
        </w:numPr>
        <w:spacing w:before="120" w:after="120" w:line="276" w:lineRule="auto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/>
          <w:noProof/>
        </w:rPr>
        <w:t xml:space="preserve">B’mod simili għall-perkors ta’ aġġustament fiskali, l-approċċ ta’ politika għall-prevenzjoni u l-korrezzjoni tal-iżbilanċi makroekonomiċi jkun ibbażat fuq </w:t>
      </w:r>
      <w:r>
        <w:rPr>
          <w:rFonts w:ascii="Times New Roman" w:hAnsi="Times New Roman"/>
          <w:i/>
          <w:noProof/>
        </w:rPr>
        <w:t>sjieda mtejba</w:t>
      </w:r>
      <w:r>
        <w:rPr>
          <w:rFonts w:ascii="Times New Roman" w:hAnsi="Times New Roman"/>
          <w:noProof/>
        </w:rPr>
        <w:t xml:space="preserve">, wara djalogu mal-Kummissjoni abbażi tal-IDR tal-Kummissjoni u, fejn applikabbli, is-CSRs. Dan jirriżulta f’impenji fil-pjan fiskali-strutturali fuq terminu medju, li l-implimentazzjoni tiegħu se titqies fl-analiżi tal-evoluzzjoni tal-iżbilanċi. </w:t>
      </w:r>
    </w:p>
    <w:p w14:paraId="7A22A1CF" w14:textId="6DA2CC60" w:rsidR="008D1B88" w:rsidRPr="00F505CB" w:rsidRDefault="00682D12" w:rsidP="008D1B88">
      <w:pPr>
        <w:pStyle w:val="ListParagraph"/>
        <w:numPr>
          <w:ilvl w:val="0"/>
          <w:numId w:val="75"/>
        </w:numPr>
        <w:spacing w:before="120" w:after="120" w:line="276" w:lineRule="auto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/>
          <w:noProof/>
        </w:rPr>
        <w:t>Bħal taħt is-sorveljanza fiskali</w:t>
      </w:r>
      <w:r>
        <w:rPr>
          <w:rFonts w:ascii="Times New Roman" w:hAnsi="Times New Roman"/>
          <w:i/>
          <w:noProof/>
        </w:rPr>
        <w:t xml:space="preserve">, </w:t>
      </w:r>
      <w:r>
        <w:rPr>
          <w:rFonts w:ascii="Times New Roman" w:hAnsi="Times New Roman"/>
          <w:noProof/>
        </w:rPr>
        <w:t xml:space="preserve">ikun previst </w:t>
      </w:r>
      <w:r>
        <w:rPr>
          <w:rFonts w:ascii="Times New Roman" w:hAnsi="Times New Roman"/>
          <w:i/>
          <w:noProof/>
        </w:rPr>
        <w:t>proċess ta’ monitoraġġ u infurzar imsaħħaħ</w:t>
      </w:r>
      <w:r>
        <w:rPr>
          <w:rFonts w:ascii="Times New Roman" w:hAnsi="Times New Roman"/>
          <w:noProof/>
        </w:rPr>
        <w:t xml:space="preserve"> għall-MIP. Għalhekk, l-EIP tibqa’ l-għodda biex tiġi infurzata l-azzjoni politika fl-Istati Membri bi żbilanċi makroekonomiċi eċċessivi, inklużi żbilanċi li jipperikolaw jew jirriskjaw li jipperikolaw il-funzjonament xieraq tal-unjoni ekonomika u monetarja, meta dawk l-Istati Membri ma jkunux qed jieħdu azzjoni politika xierqa. </w:t>
      </w:r>
    </w:p>
    <w:p w14:paraId="707AE22B" w14:textId="6CBD9596" w:rsidR="00AA4058" w:rsidRPr="00F505CB" w:rsidRDefault="3A5F6510" w:rsidP="0029563C">
      <w:pPr>
        <w:pStyle w:val="ListParagraph"/>
        <w:numPr>
          <w:ilvl w:val="0"/>
          <w:numId w:val="75"/>
        </w:numPr>
        <w:spacing w:before="120" w:after="120" w:line="276" w:lineRule="auto"/>
        <w:rPr>
          <w:noProof/>
        </w:rPr>
      </w:pPr>
      <w:bookmarkStart w:id="7" w:name="_Hlk117863995"/>
      <w:r>
        <w:rPr>
          <w:rFonts w:ascii="Times New Roman" w:hAnsi="Times New Roman"/>
          <w:noProof/>
        </w:rPr>
        <w:t>Sabiex tiġi żgurata konsistenza ġenerali mal-impenji meħudin fil-pjan fiskali-strutturali fuq terminu medju, jekk titnieda EIP, dan iwassal għall</w:t>
      </w:r>
      <w:r>
        <w:rPr>
          <w:rFonts w:ascii="Times New Roman" w:hAnsi="Times New Roman"/>
          <w:i/>
          <w:noProof/>
        </w:rPr>
        <w:t>-ftuħ mill-ġdid tal-pjan fiskali-strutturali abbażi ta’ pjan rivedut sottomess mill-Istat Membru, li jaġixxi bħala l-pjan ta’ azzjoni korrettiva skont l-EIP.</w:t>
      </w:r>
      <w:r>
        <w:rPr>
          <w:rFonts w:ascii="Times New Roman" w:hAnsi="Times New Roman"/>
          <w:noProof/>
        </w:rPr>
        <w:t xml:space="preserve"> Pjan uniku bħal dan jippermetti proċess ta’ monitoraġġ makrofiskali aktar koerenti u integrat.</w:t>
      </w:r>
    </w:p>
    <w:bookmarkEnd w:id="7"/>
    <w:p w14:paraId="1C6AF19F" w14:textId="323544E6" w:rsidR="00AA4058" w:rsidRPr="00F505CB" w:rsidRDefault="6BE7DAD4" w:rsidP="0029563C">
      <w:pPr>
        <w:pStyle w:val="ListParagraph"/>
        <w:numPr>
          <w:ilvl w:val="0"/>
          <w:numId w:val="75"/>
        </w:numPr>
        <w:spacing w:before="120" w:after="120" w:line="276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  <w:color w:val="000000" w:themeColor="text1"/>
        </w:rPr>
        <w:t xml:space="preserve">Biex jissaħħu </w:t>
      </w:r>
      <w:r>
        <w:rPr>
          <w:rFonts w:ascii="Times New Roman" w:hAnsi="Times New Roman"/>
          <w:i/>
          <w:noProof/>
          <w:color w:val="000000" w:themeColor="text1"/>
        </w:rPr>
        <w:t>l-fokus makroekonomiku u d-dimensjoni tal-UE/taż-żona tal-euro</w:t>
      </w:r>
      <w:r>
        <w:rPr>
          <w:rFonts w:ascii="Times New Roman" w:hAnsi="Times New Roman"/>
          <w:noProof/>
          <w:color w:val="000000" w:themeColor="text1"/>
        </w:rPr>
        <w:t xml:space="preserve">, it-tabella ta’ valutazzjoni tal-MIP </w:t>
      </w:r>
      <w:r>
        <w:rPr>
          <w:rFonts w:ascii="Times New Roman" w:hAnsi="Times New Roman"/>
          <w:noProof/>
        </w:rPr>
        <w:t>tkun ikkumplimentata bl-inklużjoni ta’ valuri għall-UE u għaż-żona tal-euro għall-indikaturi kollha. L-isfidi sistemiċi</w:t>
      </w:r>
      <w:r>
        <w:rPr>
          <w:rFonts w:ascii="Times New Roman" w:hAnsi="Times New Roman"/>
          <w:noProof/>
          <w:color w:val="000000" w:themeColor="text1"/>
        </w:rPr>
        <w:t xml:space="preserve">, b’mod partikolari relatati mat-tibdil fil-klima, mal-ambjent u mat-tranżizzjoni enerġetika, se jkunu koperti </w:t>
      </w:r>
      <w:r>
        <w:rPr>
          <w:rFonts w:ascii="Times New Roman" w:hAnsi="Times New Roman"/>
          <w:noProof/>
        </w:rPr>
        <w:t>fil-kuntest tas-Semestru Ewropew</w:t>
      </w:r>
      <w:r>
        <w:rPr>
          <w:rFonts w:ascii="Times New Roman" w:hAnsi="Times New Roman"/>
          <w:noProof/>
          <w:color w:val="000000" w:themeColor="text1"/>
        </w:rPr>
        <w:t xml:space="preserve">, u msemmija fl-AMR u fl-IDR meta jkollhom rabta ċara mal-iżbilanċi makroekonomiċi. </w:t>
      </w:r>
    </w:p>
    <w:p w14:paraId="4370790F" w14:textId="49652CF2" w:rsidR="00340F88" w:rsidRPr="00F505CB" w:rsidRDefault="007C7C6C" w:rsidP="0029563C">
      <w:pPr>
        <w:pStyle w:val="ListParagraph"/>
        <w:numPr>
          <w:ilvl w:val="0"/>
          <w:numId w:val="75"/>
        </w:numPr>
        <w:spacing w:before="120" w:after="120" w:line="276" w:lineRule="auto"/>
        <w:rPr>
          <w:rFonts w:ascii="Times New Roman" w:eastAsiaTheme="minorEastAsia" w:hAnsi="Times New Roman" w:cs="Times New Roman"/>
          <w:iCs/>
          <w:noProof/>
          <w:szCs w:val="24"/>
        </w:rPr>
      </w:pPr>
      <w:r>
        <w:rPr>
          <w:rFonts w:ascii="Times New Roman" w:hAnsi="Times New Roman"/>
          <w:noProof/>
        </w:rPr>
        <w:t xml:space="preserve">Sabiex tkun possibbli </w:t>
      </w:r>
      <w:r>
        <w:rPr>
          <w:rFonts w:ascii="Times New Roman" w:hAnsi="Times New Roman"/>
          <w:i/>
          <w:noProof/>
          <w:color w:val="000000" w:themeColor="text1"/>
        </w:rPr>
        <w:t>detezzjoni tar-riskju aktar progressiva u bikrija</w:t>
      </w:r>
      <w:r>
        <w:rPr>
          <w:rFonts w:ascii="Times New Roman" w:hAnsi="Times New Roman"/>
          <w:noProof/>
          <w:color w:val="000000" w:themeColor="text1"/>
        </w:rPr>
        <w:t>,</w:t>
      </w:r>
      <w:r>
        <w:rPr>
          <w:rFonts w:ascii="Times New Roman" w:hAnsi="Times New Roman"/>
          <w:i/>
          <w:noProof/>
        </w:rPr>
        <w:t xml:space="preserve"> </w:t>
      </w:r>
      <w:r>
        <w:rPr>
          <w:rFonts w:ascii="Times New Roman" w:hAnsi="Times New Roman"/>
          <w:noProof/>
        </w:rPr>
        <w:t xml:space="preserve">jeħtieġ li MIP riformat </w:t>
      </w:r>
      <w:r>
        <w:rPr>
          <w:rFonts w:ascii="Times New Roman" w:hAnsi="Times New Roman"/>
          <w:noProof/>
          <w:color w:val="000000" w:themeColor="text1"/>
        </w:rPr>
        <w:t>jagħti</w:t>
      </w:r>
      <w:r>
        <w:rPr>
          <w:rFonts w:ascii="Times New Roman" w:hAnsi="Times New Roman"/>
          <w:noProof/>
        </w:rPr>
        <w:t xml:space="preserve"> aktar attenzjoni għal varjabbli relatati mal-fluss, matul l-istadji ewlenin tas-sorveljanza tal-MIP. L-AMR jagħmel aktar enfasi fuq jekk ix-xejriet humiex imbassra li jkomplu u l-impatt mistenni tagħhom fl-Istati Membri magħżula għal IDR. Dan jippermetti IDRs aktar frekwenti meta jiġu osservati żviluppi ta’ xejriet negattivi, anke jekk ma jkunux riflessi bis-sħiħ fl-iżbilanċi tal-istokkijiet. Il-valutazzjoni ta’ jekk jeżistux żbilanċi tibqa’ bbażata fuq it-tliet kriterji ta’ gravità, evoluzzjoni u r-rispons tal-politika. Madankollu, il-kriterji ta’ evoluzzjoni u r-rispons politiku mill-Istat Membru kkonċernat jingħataw aktar piż fil-valutazzjoni. Dan jista’ jgħin biex titnaqqas l-inerzja perċepita madwar il-klassifikazzjoni tal-iżbilanċi.</w:t>
      </w:r>
    </w:p>
    <w:p w14:paraId="18A81028" w14:textId="136940F3" w:rsidR="005C7FEC" w:rsidRPr="00F505CB" w:rsidRDefault="7611D635" w:rsidP="000EDF6C">
      <w:pPr>
        <w:pStyle w:val="ListParagraph"/>
        <w:numPr>
          <w:ilvl w:val="0"/>
          <w:numId w:val="75"/>
        </w:numPr>
        <w:spacing w:before="120" w:after="120" w:line="276" w:lineRule="auto"/>
        <w:rPr>
          <w:noProof/>
        </w:rPr>
      </w:pPr>
      <w:r>
        <w:rPr>
          <w:rFonts w:ascii="Times New Roman" w:hAnsi="Times New Roman"/>
          <w:noProof/>
        </w:rPr>
        <w:t>Sabiex tiżdied id-dinamika tal-MIP,</w:t>
      </w:r>
      <w:r>
        <w:rPr>
          <w:rFonts w:ascii="Times New Roman" w:hAnsi="Times New Roman"/>
          <w:i/>
          <w:noProof/>
        </w:rPr>
        <w:t xml:space="preserve"> </w:t>
      </w:r>
      <w:r>
        <w:rPr>
          <w:rFonts w:ascii="Times New Roman" w:hAnsi="Times New Roman"/>
          <w:noProof/>
        </w:rPr>
        <w:t>id-</w:t>
      </w:r>
      <w:r>
        <w:rPr>
          <w:rFonts w:ascii="Times New Roman" w:hAnsi="Times New Roman"/>
          <w:i/>
          <w:noProof/>
        </w:rPr>
        <w:t>dieskalazzjoni tal-Istati Membri fl-MIP tkun ibbażata fuq kriterji ċari.</w:t>
      </w:r>
      <w:r>
        <w:rPr>
          <w:rFonts w:ascii="Times New Roman" w:hAnsi="Times New Roman"/>
          <w:noProof/>
        </w:rPr>
        <w:t xml:space="preserve"> Tali kriterji jistgħu jinkludu, pereżempju, li l-iżbilanċi naqsu għal mill-anqas sentejn u li l-flussi jappoġġaw l-aspettattiva ta’ tnaqqis ulterjuri suffiċjenti; il-previżjonijiet għandhom juru titjib kontinwu u l-impenji ta’ politika, inklużi dawk speċifikati fil-pjan fiskali-strutturali nazzjonali, għandhom jiġu implimentati. Jistgħu jitħejjew IDRs iqsar meta l-iżbilanċi jkunu qed jiġu kkoreġuti, filwaqt li r-rapporti kompluti jkunu previsti kull tliet snin, bħala regola, sakemm sadanittant il-Kummissjoni ma tarax ħtieġa għal tali analiżi.</w:t>
      </w:r>
    </w:p>
    <w:p w14:paraId="7F4A0588" w14:textId="3351B85E" w:rsidR="00060EB7" w:rsidRPr="00F505CB" w:rsidRDefault="00073BA4" w:rsidP="00EF3B44">
      <w:pPr>
        <w:keepNext/>
        <w:spacing w:before="120" w:after="120" w:line="276" w:lineRule="auto"/>
        <w:rPr>
          <w:rFonts w:eastAsiaTheme="minorEastAsia"/>
          <w:b/>
          <w:i/>
          <w:noProof/>
          <w:color w:val="000000" w:themeColor="text1"/>
          <w:kern w:val="24"/>
        </w:rPr>
      </w:pPr>
      <w:r>
        <w:rPr>
          <w:b/>
          <w:i/>
          <w:noProof/>
          <w:color w:val="000000" w:themeColor="text1"/>
        </w:rPr>
        <w:t>4.4 Sorveljanza ffokata u ssimplifikata ta’ wara l-programm</w:t>
      </w:r>
    </w:p>
    <w:p w14:paraId="55C33A1A" w14:textId="3DDA945D" w:rsidR="00060EB7" w:rsidRPr="00973818" w:rsidRDefault="00BF187C" w:rsidP="00060EB7">
      <w:pPr>
        <w:spacing w:after="120" w:line="276" w:lineRule="auto"/>
        <w:rPr>
          <w:bCs/>
          <w:noProof/>
        </w:rPr>
      </w:pPr>
      <w:r>
        <w:rPr>
          <w:b/>
          <w:noProof/>
        </w:rPr>
        <w:t>Ir-rieżami tal-governanza ekonomika kien jinkludi wkoll valutazzjoni tas-sorveljanza ta’ wara l-programm</w:t>
      </w:r>
      <w:r>
        <w:rPr>
          <w:noProof/>
        </w:rPr>
        <w:t>. Il-Komunikazzjoni ta’ Frar 2020 qieset li l-qafas għas-sorveljanza tal-Istati Membri li qed jesperjenzaw, jew li huma mhedda b’diffikultajiet serji fl-istabbiltà finanzjarja kien wassal għal għadd ta’ titjib u ġeneralment ħadem tajjeb. Madankollu, ġiet enfasizzata l-importanza li tinżamm sjieda nazzjonali adegwata tal-programmi, kif ukoll li għadhom jippersistu wkoll kwistjonijiet ta’ trasparenza u responsabbiltà.(</w:t>
      </w:r>
      <w:r>
        <w:rPr>
          <w:rStyle w:val="FootnoteReference"/>
          <w:bCs/>
          <w:noProof/>
        </w:rPr>
        <w:footnoteReference w:id="17"/>
      </w:r>
      <w:r>
        <w:rPr>
          <w:noProof/>
        </w:rPr>
        <w:t>) </w:t>
      </w:r>
    </w:p>
    <w:p w14:paraId="2297C25E" w14:textId="7928BD48" w:rsidR="00DD4A94" w:rsidRPr="00F505CB" w:rsidRDefault="00DD4A94" w:rsidP="00060EB7">
      <w:pPr>
        <w:spacing w:after="120" w:line="276" w:lineRule="auto"/>
        <w:rPr>
          <w:bCs/>
          <w:noProof/>
        </w:rPr>
      </w:pPr>
      <w:r>
        <w:rPr>
          <w:b/>
          <w:noProof/>
        </w:rPr>
        <w:t>Il-flessibbiltà ta’ sorveljanza msaħħa bħala għodda għar-riżoluzzjoni tal-kriżijiet għandha tiġi ppreservata.</w:t>
      </w:r>
      <w:r>
        <w:rPr>
          <w:noProof/>
        </w:rPr>
        <w:t xml:space="preserve"> Is-sorveljanza msaħħa wriet li hija strument flessibbli, wara li ntużat b’suċċess fi tmiem Programm ta’ Aġġustament Makroekonomiku għall-Greċja, mill-2018 sal-2022. Dan ippermetta segwitu effettiv tal-impenji ta’ riforma, li jippermetti tranżizzjoni sussegwenti lejn sorveljanza ta’ wara l-programm. Madankollu, il-valur ta’ sorveljanza msaħħa bħala miżura ta’ intervent bikri jibqa’ ugwalment importanti għall-prevenzjoni ta’ sitwazzjoni fi Stat Membru taż-żona tal-euro li tiddeterjora sal-punt li jkun jeħtieġ Programm ta’ Aġġustament Makroekonomiku. </w:t>
      </w:r>
    </w:p>
    <w:p w14:paraId="54EE74E9" w14:textId="60CDB463" w:rsidR="00BA00FB" w:rsidRDefault="00060EB7" w:rsidP="009A4FF0">
      <w:pPr>
        <w:spacing w:after="120" w:line="276" w:lineRule="auto"/>
        <w:rPr>
          <w:bCs/>
          <w:noProof/>
        </w:rPr>
      </w:pPr>
      <w:r>
        <w:rPr>
          <w:b/>
          <w:noProof/>
        </w:rPr>
        <w:t>Is-sorveljanza ta’ wara l-programm għandha tingħata objettivi ċari bl-intensità tagħha marbuta ma’ dawk l-objettivi</w:t>
      </w:r>
      <w:r>
        <w:rPr>
          <w:noProof/>
        </w:rPr>
        <w:t>. Is-sorveljanza ta’ wara l-programm tiffoka fuq: (i) il-valutazzjoni tal-kapaċità ta’ ripagament permezz tal-kunsiderazzjoni tas-sitwazzjoni ekonomika, fiskali u finanzjarja; (ii) il-monitoraġġ tal-implimentazzjoni ta’ riformi mhux kompluti li bdew taħt il-programm ta’ aġġustament; u (iii) l-valutazzjoni ta’ jekk humiex meħtieġa miżuri korrettivi fil-kuntest ta’ tħassib għall-kapaċità ta’ ripagament jew aċċess kontinwu għas-suq.</w:t>
      </w:r>
      <w:r>
        <w:rPr>
          <w:b/>
          <w:noProof/>
          <w:sz w:val="22"/>
        </w:rPr>
        <w:t xml:space="preserve"> </w:t>
      </w:r>
      <w:r>
        <w:rPr>
          <w:noProof/>
        </w:rPr>
        <w:t>L-intensità tas-sorveljanza ta’ wara l-programm tevolvi maż-żmien flimkien mal-bidla fil-fokus u mal-valutazzjoni tar-riskji. Filwaqt li s-snin inizjali jkunu aktar intensi peress li hemm ukoll il-monitoraġġ tal-implimentazzjoni ta’ riformi mhux kompluti li bdew taħt il-programm ta’ aġġustament, maż-żmien dan l-element jonqos hekk kif jiġu implimentati r-riformi. Bħala tali, fi żminijiet “normali”, is-sorveljanza ta’ wara l-programm tiffoka fuq il-valutazzjoni tal-kapaċità ta’ ripagament permezz tal-kunsiderazzjoni tas-sitwazzjoni ekonomika, fiskali u finanzjarja u tista’ tiġi ssimplifikata fejn ir-riskji ta’ ripagament jiġu vvalutati bħala baxxi, anke permezz ta’ integrazzjoni aħjar ma’ għodod ta’ sorveljanza oħrajn. Jekk is-sitwazzjoni ekonomika, fiskali jew finanzjarja tiddeterjora, approċċ bħal dan jippermetti żieda mill-ġdid fl-intensità tas-sorveljanza ta’ wara l-programm li tieħu l-ħidma li tivvaluta jekk humiex meħtieġa miżuri korrettivi.</w:t>
      </w:r>
    </w:p>
    <w:p w14:paraId="4E8E15AD" w14:textId="77777777" w:rsidR="007C05BE" w:rsidRDefault="007C05BE" w:rsidP="009A4FF0">
      <w:pPr>
        <w:spacing w:after="120" w:line="276" w:lineRule="auto"/>
        <w:rPr>
          <w:rFonts w:cs="Calibri"/>
          <w:b/>
          <w:noProof/>
        </w:rPr>
      </w:pPr>
    </w:p>
    <w:p w14:paraId="6B975362" w14:textId="3A6878C8" w:rsidR="003214F6" w:rsidRPr="00F505CB" w:rsidRDefault="003214F6" w:rsidP="00436EE2">
      <w:pPr>
        <w:pStyle w:val="ListParagraph"/>
        <w:keepNext/>
        <w:numPr>
          <w:ilvl w:val="0"/>
          <w:numId w:val="1"/>
        </w:numPr>
        <w:spacing w:after="240"/>
        <w:ind w:left="284" w:hanging="284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Konklużjonijiet</w:t>
      </w:r>
    </w:p>
    <w:p w14:paraId="1CFA3205" w14:textId="3BE3C930" w:rsidR="00A3192F" w:rsidRPr="00F505CB" w:rsidRDefault="0E8A138F" w:rsidP="000EDF6C">
      <w:pPr>
        <w:spacing w:before="120" w:after="120" w:line="276" w:lineRule="auto"/>
        <w:rPr>
          <w:noProof/>
        </w:rPr>
      </w:pPr>
      <w:r>
        <w:rPr>
          <w:b/>
          <w:noProof/>
        </w:rPr>
        <w:t xml:space="preserve">Din il-Komunikazzjoni tistabbilixxi l-karatteristiċi ewlenin ta’ qafas ta’ governanza ekonomika riformat tal-UE. </w:t>
      </w:r>
      <w:r>
        <w:rPr>
          <w:noProof/>
        </w:rPr>
        <w:t xml:space="preserve">L-elementi ewlenin deskritti f’din il-Komunikazzjoni jwieġbu għall-ħtieġa ta’ qafas riformat li huwa adattat għall-isfidi ta’ dan id-deċennju. Il-finanzjament meħtieġ għat-tranżizzjoni ġusta lejn ekonomija diġitali u ekoloġika, newtrali għall-klima u proporzjonijiet ogħla ta’ dejn għall-PDG għandu bżonn regoli fiskali li jippermettu investiment strateġiku, filwaqt li jissalvagwardjaw is-sostenibbiltà fiskali. </w:t>
      </w:r>
    </w:p>
    <w:p w14:paraId="021E6185" w14:textId="3FDCFC6F" w:rsidR="007A18E9" w:rsidRPr="00F505CB" w:rsidRDefault="007A18E9" w:rsidP="007A18E9">
      <w:pPr>
        <w:spacing w:before="120" w:after="120" w:line="276" w:lineRule="auto"/>
        <w:rPr>
          <w:noProof/>
          <w:szCs w:val="24"/>
        </w:rPr>
      </w:pPr>
      <w:r>
        <w:rPr>
          <w:b/>
          <w:noProof/>
        </w:rPr>
        <w:t>Ftehim rapidu dwar ir-reviżjoni tar-regoli fiskali tal-UE u elementi oħrajn tal-qafas ta’ governanza ekonomika huwa prijorità urġenti fl-istadju kritiku attwali għall-ekonomija Ewropea.</w:t>
      </w:r>
      <w:r>
        <w:rPr>
          <w:noProof/>
        </w:rPr>
        <w:t xml:space="preserve"> L-Istati Membri u l-Kummissjoni għandhom jilħqu kunsens dwar ir-riforma tal-qafas ta’ governanza ekonomika qabel il-proċessi baġitarji tal-Istati Membri għall-2024. Fid-dawl tal-isfidi dejjem jiżdiedu li qed tiffaċċja l-UE, hemm bżonn ta’ koordinazzjoni b’saħħitha tal-politika baġitarja u strutturali u ta’ sorveljanza ekonomika u fiskali effettiva. Finanzi pubbliċi sodi li jistgħu jirrispondu b’mod koordinat għall-isfidi prevalenti u għall-ilħuq ta’ prijoritajiet komuni tal-UE saru dejjem aktar importanti fid-dawl ta’ kriżijiet reċenti u attwali. Dan għandu jiżgura wkoll is-swieq finanzjarji fuq ir-robustezza istituzzjonali taż-żona tal-euro, li tibbaża fuq il-finanzi pubbliċi sostenibbli u fuq il-prevenzjoni u l-indirizzar tal-iżbilanċi makroekonomiċi fl-Istati Membri kollha. It-tħaddim ta’ regoli fiskali kredibbli u s-sorveljanza tar-riskji għall-istabbiltà makrofinanzjarja se jgħinu wkoll lill-BĊE jilħaq l-għanijiet tiegħu, b’mod partikolari peress li qed jiffaċċja l-isfida li jwettaq il-mandat tiegħu li jżomm l-istabbiltà tal-prezzijiet filwaqt li jevita l-frammentazzjoni finanzjarja fiż-żona tal-euro. </w:t>
      </w:r>
    </w:p>
    <w:p w14:paraId="1890C868" w14:textId="40A107F1" w:rsidR="00A42AD8" w:rsidRPr="00F505CB" w:rsidRDefault="004817C3" w:rsidP="00A42AD8">
      <w:pPr>
        <w:spacing w:before="120" w:after="120" w:line="276" w:lineRule="auto"/>
        <w:rPr>
          <w:noProof/>
        </w:rPr>
      </w:pPr>
      <w:r>
        <w:rPr>
          <w:b/>
          <w:noProof/>
        </w:rPr>
        <w:t>Riforma bir-reqqa tal-qafas tal-governanza ekonomika tal-UE tkun tirrikjedi bidla leġiżlattiva.</w:t>
      </w:r>
      <w:r>
        <w:rPr>
          <w:noProof/>
        </w:rPr>
        <w:t xml:space="preserve"> L-emendar tal-leġiżlazzjoni sottostanti jippermetti kjarifika u simplifikazzjoni tal-qafas. Dan jipprovdi livell għoli ta’ ċertezza legali għall-operat ta’ qafas riformat, bl-involviment meħtieġ tal-Kunsill u tal-Parlament Ewropew. Il-ftehim dwar il-bidla leġiżlattiva meħtieġa jsegwi l-proċedura leġiżlattiva ordinarja, li tinvolvi f’ħafna aspetti lill-Kunsill u lill-Parlament Ewropew fuq l-istess livell. </w:t>
      </w:r>
    </w:p>
    <w:p w14:paraId="4BF63E2F" w14:textId="77777777" w:rsidR="009A4FF0" w:rsidRDefault="00883226" w:rsidP="0051534D">
      <w:pPr>
        <w:spacing w:before="120" w:after="120" w:line="276" w:lineRule="auto"/>
        <w:rPr>
          <w:noProof/>
        </w:rPr>
      </w:pPr>
      <w:r>
        <w:rPr>
          <w:b/>
          <w:noProof/>
        </w:rPr>
        <w:t>Il-biċċa l-kbira tal-objettivi tar-riforma proposta għall-MIP jistgħu jiġu segwiti fi ħdan id-dispożizzjonijiet legali eżistenti.</w:t>
      </w:r>
      <w:r>
        <w:rPr>
          <w:noProof/>
        </w:rPr>
        <w:t xml:space="preserve"> B’mod partikolari, l-insegwiment ta’ approċċ li jħares aktar ’il quddiem biex jiġu vvalutati aħjar ir-riskji u l-aġġustament tal-kriterji segwiti biex tittieħed deċiżjoni dwar l-eżistenza u l-klassifikazzjoni tal-iżbilanċi u l-korrezzjoni tagħhom jista’ jkun akkomodat fil-qafas legali attwali. </w:t>
      </w:r>
    </w:p>
    <w:p w14:paraId="6A82A7EE" w14:textId="67916454" w:rsidR="009A4FF0" w:rsidRDefault="5A8E93FF" w:rsidP="0051534D">
      <w:pPr>
        <w:spacing w:before="120" w:after="120" w:line="276" w:lineRule="auto"/>
        <w:rPr>
          <w:noProof/>
        </w:rPr>
      </w:pPr>
      <w:r>
        <w:rPr>
          <w:b/>
          <w:noProof/>
        </w:rPr>
        <w:t>Abbażi ta’ dawn l-orjentazzjonijiet u d-diskussjoni li tirriżulta, il-Kummissjoni se tqis li tressaq proposti leġiżlattivi. Dan se jerġa’ jipprovdi gwida għall-politika fiskali għall-perjodu li ġej fl-ewwel trimestru tal-2023</w:t>
      </w:r>
      <w:r>
        <w:rPr>
          <w:noProof/>
        </w:rPr>
        <w:t>. Din il-gwida se tiffaċilita l-koordinazzjoni tal-politiki fiskali u t-tħejjija tal-programmi ta’ stabbiltà u konverġenza tal-Istati Membri għall-2024 u lil hinn minnha. Il-gwida se tirrifletti s-sitwazzjoni ekonomika, is-sitwazzjoni speċifika ta’ kull Stat Membru u l-orjentazzjonijiet stabbiliti f’din il-Komunikazzjoni sakemm jinkiseb grad suffiċjenti ta’ konverġenza madwar l-Istati Membri sa dak iż-żmien. Fir-rebbiegħa tal-2023, il-gwida se timmaterjalizza permezz tas-CSRs.</w:t>
      </w:r>
    </w:p>
    <w:p w14:paraId="505609CC" w14:textId="77777777" w:rsidR="009A4FF0" w:rsidRPr="00F656CE" w:rsidRDefault="009A4FF0" w:rsidP="0051534D">
      <w:pPr>
        <w:spacing w:before="120" w:after="120" w:line="276" w:lineRule="auto"/>
        <w:rPr>
          <w:noProof/>
        </w:rPr>
      </w:pPr>
    </w:p>
    <w:p w14:paraId="0B467630" w14:textId="4FC2C674" w:rsidR="009A4FF0" w:rsidRDefault="009A4FF0">
      <w:pPr>
        <w:spacing w:after="160" w:line="259" w:lineRule="auto"/>
        <w:jc w:val="left"/>
        <w:rPr>
          <w:noProof/>
        </w:rPr>
      </w:pPr>
      <w:r>
        <w:rPr>
          <w:noProof/>
        </w:rPr>
        <w:br w:type="page"/>
      </w:r>
    </w:p>
    <w:p w14:paraId="7E44251B" w14:textId="6F6D1038" w:rsidR="009A4FF0" w:rsidRDefault="009A4FF0">
      <w:pPr>
        <w:spacing w:after="160" w:line="259" w:lineRule="auto"/>
        <w:jc w:val="left"/>
        <w:rPr>
          <w:noProof/>
        </w:rPr>
      </w:pPr>
      <w:r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FA9B3DC" wp14:editId="5BA962A3">
                <wp:simplePos x="0" y="0"/>
                <wp:positionH relativeFrom="column">
                  <wp:posOffset>-214685</wp:posOffset>
                </wp:positionH>
                <wp:positionV relativeFrom="paragraph">
                  <wp:posOffset>-214685</wp:posOffset>
                </wp:positionV>
                <wp:extent cx="6319520" cy="9467215"/>
                <wp:effectExtent l="0" t="0" r="24130" b="1968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9520" cy="94672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A79A9" w14:textId="77777777" w:rsidR="009A4FF0" w:rsidRDefault="009A4FF0" w:rsidP="009A4FF0">
                            <w:pPr>
                              <w:spacing w:after="120"/>
                              <w:jc w:val="center"/>
                              <w:rPr>
                                <w:b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Kaxxa 1: Kriterju tas-sostenibbiltà tad-dejn</w:t>
                            </w:r>
                          </w:p>
                          <w:p w14:paraId="7C5A1F15" w14:textId="77777777" w:rsidR="009A4FF0" w:rsidRPr="00726391" w:rsidRDefault="009A4FF0" w:rsidP="009A4FF0">
                            <w:pPr>
                              <w:spacing w:before="120" w:after="120"/>
                              <w:rPr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Sabiex tiddetermina l-perkors ta’ aġġustament ta’ referenza li jiżgura l-konverġenza tad-dejn għal livelli prudenti, il-Kummissjoni se tuża metodoloġija stabbilita sew u trasparenti, billi tislet mill-qafas tagħha tal-analiżi tas-sostenibbiltà tad-dejn (DSA), u miftiehma mal-Istati Membri.</w:t>
                            </w:r>
                            <w:r>
                              <w:rPr>
                                <w:sz w:val="22"/>
                              </w:rPr>
                              <w:t xml:space="preserve"> Għall-Istati Membri bi sfida sostanzjali tad-dejn pubbliku, il-Kummissjoni tressaq perkors ta’ aġġustament ta’ referenza li jiżgura li f’kull Stat Membru, wara l-implimentazzjoni sħiħa tal-pjan, id-dejn jibqa’ fuq perkors ta’ tnaqqis plawżibbli wara l-perjodu ta’ aġġustament, fuq il-bażi ta’ trajettorja ta’ 10 snin u jekk wieħed jassumi politiki mhux mibdula wara l-perjodu ta’ aġġustament. Dan il-perkors ta’ aġġustament ta’ referenza huwa assoċjat ma’ livell tal-bilanċ primarju strutturali fi tmiem il-perjodu ta’ aġġustament li jiżgura li d-dejn ikun fuq perkors ta’ tnaqqis plawżibbli. Għall-Istati Membri bi sfida tad-dejn moderata, il-perkors ta’ referenza ikun anqas eżiġenti.</w:t>
                            </w:r>
                          </w:p>
                          <w:p w14:paraId="28676EE7" w14:textId="77777777" w:rsidR="009A4FF0" w:rsidRPr="00726391" w:rsidRDefault="009A4FF0" w:rsidP="009A4FF0">
                            <w:pPr>
                              <w:spacing w:before="120" w:after="120"/>
                              <w:rPr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Il-qafas tad-DSA tal-Kummissjoni huwa sett ta’ għodod analitiċi stabbilit sew għall-valutazzjoni tar-riskji għas-sostenibbiltà tad-dejn.</w:t>
                            </w:r>
                            <w:r>
                              <w:rPr>
                                <w:sz w:val="22"/>
                              </w:rPr>
                              <w:t xml:space="preserve"> Dan jinkludi projezzjoni ta’ linja bażi għat-trajettorja tad-dejn matul 10 snin, flimkien ma’ projezzjonijiet tad-dejn deterministiċi addizzjonali sostnuti minn suppożizzjonijiet alternattivi għall-varjabbli fiskali, makroekonomiċi u finanzjarji, kif ukoll analiżi stokastika li tkopri inċertezza makroekonomika wiesgħa. Il-</w:t>
                            </w:r>
                            <w:r>
                              <w:rPr>
                                <w:i/>
                                <w:sz w:val="22"/>
                              </w:rPr>
                              <w:t>linja bażi tad-DSA</w:t>
                            </w:r>
                            <w:r>
                              <w:rPr>
                                <w:sz w:val="22"/>
                              </w:rPr>
                              <w:t xml:space="preserve"> tibbaża fuq suppożizzjoni ta’ ebda bidla fil-politika fiskali fejn ma tiġi inkorporata l-ebda miżura fiskali addizzjonali lil hinn mill-perjodu tal-pjan, u l-infiq primarju jiġi affettwat biss minn bidliet fil-kostijiet relatati mat-tixjiħ kif projettat fl-aħħar Rapport konġunt tal-Kummissjoni u l-Kunsill dwar it-Tixjiħ. It-tkabbir reali tal-PDG huwa f’konformità mal-aħħar projezzjonijiet tal-Kummissjoni fuq terminu medju bl-użu tal-metodoloġija miftiehma b’mod komuni tal-UE, filwaqt li jitqies l-impatt tal-investiment taħt il-pakkett NextGenerationEU. Ir-rati tal-inflazzjoni u tal-imgħax jikkonverġu mal-aspettattivi bbażati fuq is-suq. Għall</w:t>
                            </w:r>
                            <w:r>
                              <w:rPr>
                                <w:i/>
                                <w:sz w:val="22"/>
                              </w:rPr>
                              <w:t>-</w:t>
                            </w:r>
                            <w:r>
                              <w:rPr>
                                <w:sz w:val="22"/>
                              </w:rPr>
                              <w:t xml:space="preserve">projezzjonijiet </w:t>
                            </w:r>
                            <w:r>
                              <w:rPr>
                                <w:i/>
                                <w:sz w:val="22"/>
                              </w:rPr>
                              <w:t>deterministiċi</w:t>
                            </w:r>
                            <w:r>
                              <w:rPr>
                                <w:sz w:val="22"/>
                              </w:rPr>
                              <w:t>, il-valutazzjoni tar-riskju tiddependi fuq il-livell tad-dejn projettat, it-trajettorja tad-dejn u l-plawżibbiltà tal-pożizzjoni fiskali mmirata (u spazju għal azzjoni korrettiva jekk ikun meħtieġ). Għall</w:t>
                            </w:r>
                            <w:r>
                              <w:rPr>
                                <w:i/>
                                <w:sz w:val="22"/>
                              </w:rPr>
                              <w:t>-</w:t>
                            </w:r>
                            <w:r>
                              <w:rPr>
                                <w:sz w:val="22"/>
                              </w:rPr>
                              <w:t xml:space="preserve">projezzjonijiet </w:t>
                            </w:r>
                            <w:r>
                              <w:rPr>
                                <w:i/>
                                <w:sz w:val="22"/>
                              </w:rPr>
                              <w:t>stokastiċi</w:t>
                            </w:r>
                            <w:r>
                              <w:rPr>
                                <w:sz w:val="22"/>
                              </w:rPr>
                              <w:t xml:space="preserve">, il-valutazzjoni tar-riskju hija bbażata fuq il-probabbiltà li d-dejn mhux se jistabbilizza fuq ħames snin u fuq id-daqs tal-inċertezza makroekonomika. () Fuq din il-bażi, din l-analiżi tikklassifika lill-pajjiżi fi tliet kategoriji ta’ riskju ġenerali: </w:t>
                            </w:r>
                            <w:r>
                              <w:rPr>
                                <w:i/>
                                <w:sz w:val="22"/>
                              </w:rPr>
                              <w:t>baxx</w:t>
                            </w:r>
                            <w:r>
                              <w:rPr>
                                <w:sz w:val="22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sz w:val="22"/>
                              </w:rPr>
                              <w:t>medju</w:t>
                            </w:r>
                            <w:r>
                              <w:rPr>
                                <w:sz w:val="22"/>
                              </w:rPr>
                              <w:t xml:space="preserve"> u </w:t>
                            </w:r>
                            <w:r>
                              <w:rPr>
                                <w:i/>
                                <w:sz w:val="22"/>
                              </w:rPr>
                              <w:t>għoli</w:t>
                            </w:r>
                            <w:r>
                              <w:rPr>
                                <w:sz w:val="22"/>
                              </w:rPr>
                              <w:t xml:space="preserve">. Kategorija ta’ riskju </w:t>
                            </w:r>
                            <w:r>
                              <w:rPr>
                                <w:i/>
                                <w:sz w:val="22"/>
                              </w:rPr>
                              <w:t>għoli</w:t>
                            </w:r>
                            <w:r>
                              <w:rPr>
                                <w:sz w:val="22"/>
                              </w:rPr>
                              <w:t xml:space="preserve"> tindika sfidi (tas-sostenibbiltà) sostanzjali ta’ dejn pubbliku li jeħtieġ li jiġu indirizzati mill-politiki fiskali u makroekonomiċi.</w:t>
                            </w:r>
                          </w:p>
                          <w:p w14:paraId="23165A94" w14:textId="77777777" w:rsidR="009A4FF0" w:rsidRDefault="009A4FF0" w:rsidP="009A4FF0">
                            <w:pPr>
                              <w:spacing w:before="120" w:after="120"/>
                              <w:rPr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Perkors ta’ aġġustament konsistenti mal-konverġenza tad-dejn għal livelli prudenti għandu jiżgura li għal Stat Membru bi sfida sostanzjali jew moderata ta’ dejn pubbliku, id-dejn jitqiegħed fuq perkors ta’ tnaqqis b’mod plawżibbli abbażi ta’ trajettorja ta’ 10 snin lil hinn mill-perjodu tal-pjan.</w:t>
                            </w:r>
                            <w:r>
                              <w:rPr>
                                <w:sz w:val="22"/>
                              </w:rPr>
                              <w:t xml:space="preserve"> Għall-Istati Membri bi sfida sostanzjali ta’ dejn pubbliku, dan ikun il-każ jekk it-trajettorja tad-dejn ta’ 10 snin lil hinn mill-perjodu tal-pjan tkun fuq perkors ta’ tnaqqis plawżibbli u kontinwu. Għall-Istati Membri bi sfida moderata ta’ dejn pubbliku, dan ikun il-każ jekk, mhux aktar minn 3 snin wara l-perjodu tal-pjan, it-trajettorja tad-dejn ta’ 10 snin kienet fuq perkors ta’ tnaqqis plawżibbli u kontinwu. Dawn il-kundizzjonijiet għandhom jiġu ssodisfati f’politiki mhux mibdula wara l-implimentazzjoni tal-pjan fuq terminu medju, jiġifieri fin-nuqqas ta’ miżuri ġodda ta’ politika fiskali lil hinn mill-perjodu ta’ aġġustament, u, biex jitqiesu riskji realistiċi, f’sett standard ta’ xenarji negattivi bħal dawk meqjusin fil-qafas tad-DSA tal-Kummissjoni. Fl-aħħar nett, għandu jkun hemm probabbiltà baxxa biżżejjed li d-dejn jiżdied fil-ħames snin wara l-perjodu tal-pjan.</w:t>
                            </w:r>
                          </w:p>
                          <w:p w14:paraId="2B9D9E42" w14:textId="77777777" w:rsidR="009A4FF0" w:rsidRDefault="009A4FF0" w:rsidP="009A4FF0">
                            <w:pPr>
                              <w:spacing w:before="120" w:after="120"/>
                              <w:rPr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Is-suppożizzjonijiet u l-projezzjonijiet tat-trajettorja tal-varjabbli makrofiskali rilevanti jiġu stabbiliti fil-pjan għal perjodu ta’ 10 snin wara l-perjodu kopert mill-pjan</w:t>
                            </w:r>
                            <w:r>
                              <w:rPr>
                                <w:sz w:val="22"/>
                              </w:rPr>
                              <w:t>. Dan ikopri l-perkors makroekonomiku u fiskali għall-perjodu kopert mill-pjan u l-estensjoni sussegwenti ta’ ebda tibdil fil-politika tal-projezzjonijiet għall-10 snin ta’ wara (ara t-Tabella 1).</w:t>
                            </w:r>
                          </w:p>
                          <w:p w14:paraId="58CD102F" w14:textId="77777777" w:rsidR="009A4FF0" w:rsidRPr="00E13C2A" w:rsidRDefault="009A4FF0" w:rsidP="009A4FF0">
                            <w:pPr>
                              <w:spacing w:before="120" w:after="120"/>
                              <w:rPr>
                                <w:b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Tabella 1: Perjodu ta’ żmien tal-projezzjonijiet u tal-kriterju ta’ valutazzjoni</w:t>
                            </w:r>
                          </w:p>
                          <w:tbl>
                            <w:tblPr>
                              <w:tblW w:w="0" w:type="auto"/>
                              <w:tblInd w:w="25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1764"/>
                              <w:gridCol w:w="1857"/>
                              <w:gridCol w:w="1858"/>
                              <w:gridCol w:w="1750"/>
                            </w:tblGrid>
                            <w:tr w:rsidR="009A4FF0" w14:paraId="11DA82F9" w14:textId="77777777" w:rsidTr="006D682D">
                              <w:tc>
                                <w:tcPr>
                                  <w:tcW w:w="1701" w:type="dxa"/>
                                  <w:tcBorders>
                                    <w:top w:val="dotted" w:sz="8" w:space="0" w:color="auto"/>
                                    <w:left w:val="dotted" w:sz="8" w:space="0" w:color="auto"/>
                                    <w:bottom w:val="dotted" w:sz="8" w:space="0" w:color="auto"/>
                                    <w:right w:val="dotted" w:sz="8" w:space="0" w:color="auto"/>
                                  </w:tcBorders>
                                  <w:shd w:val="clear" w:color="auto" w:fill="BFBFBF" w:themeFill="background1" w:themeFillShade="BF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4DF2BC7B" w14:textId="77777777" w:rsidR="009A4FF0" w:rsidRPr="005457AC" w:rsidRDefault="009A4FF0" w:rsidP="003112B7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Perjodu ta’ żmien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  <w:tcBorders>
                                    <w:top w:val="dotted" w:sz="8" w:space="0" w:color="auto"/>
                                    <w:left w:val="nil"/>
                                    <w:bottom w:val="dotted" w:sz="8" w:space="0" w:color="auto"/>
                                    <w:right w:val="dotted" w:sz="8" w:space="0" w:color="auto"/>
                                  </w:tcBorders>
                                  <w:shd w:val="clear" w:color="auto" w:fill="BFBFBF" w:themeFill="background1" w:themeFillShade="BF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435999D" w14:textId="77777777" w:rsidR="009A4FF0" w:rsidRPr="005457AC" w:rsidRDefault="009A4FF0" w:rsidP="003112B7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1857" w:type="dxa"/>
                                  <w:tcBorders>
                                    <w:top w:val="dotted" w:sz="8" w:space="0" w:color="auto"/>
                                    <w:left w:val="nil"/>
                                    <w:bottom w:val="dotted" w:sz="8" w:space="0" w:color="auto"/>
                                    <w:right w:val="dotted" w:sz="8" w:space="0" w:color="auto"/>
                                  </w:tcBorders>
                                  <w:shd w:val="clear" w:color="auto" w:fill="BFBFBF" w:themeFill="background1" w:themeFillShade="BF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4753218F" w14:textId="77777777" w:rsidR="009A4FF0" w:rsidRPr="005457AC" w:rsidRDefault="009A4FF0" w:rsidP="00A3127C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T+[X]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tcBorders>
                                    <w:top w:val="dotted" w:sz="8" w:space="0" w:color="auto"/>
                                    <w:left w:val="nil"/>
                                    <w:bottom w:val="dotted" w:sz="8" w:space="0" w:color="auto"/>
                                    <w:right w:val="dotted" w:sz="8" w:space="0" w:color="auto"/>
                                  </w:tcBorders>
                                  <w:shd w:val="clear" w:color="auto" w:fill="BFBFBF" w:themeFill="background1" w:themeFillShade="BF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B3B38CC" w14:textId="77777777" w:rsidR="009A4FF0" w:rsidRPr="005457AC" w:rsidRDefault="009A4FF0" w:rsidP="003112B7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1750" w:type="dxa"/>
                                  <w:tcBorders>
                                    <w:top w:val="dotted" w:sz="8" w:space="0" w:color="auto"/>
                                    <w:left w:val="nil"/>
                                    <w:bottom w:val="dotted" w:sz="8" w:space="0" w:color="auto"/>
                                    <w:right w:val="dotted" w:sz="8" w:space="0" w:color="auto"/>
                                  </w:tcBorders>
                                  <w:shd w:val="clear" w:color="auto" w:fill="BFBFBF" w:themeFill="background1" w:themeFillShade="BF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9FEDFC0" w14:textId="77777777" w:rsidR="009A4FF0" w:rsidRPr="005457AC" w:rsidRDefault="009A4FF0" w:rsidP="00A3127C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T+[X]+10</w:t>
                                  </w:r>
                                </w:p>
                              </w:tc>
                            </w:tr>
                            <w:tr w:rsidR="009A4FF0" w14:paraId="07B50F52" w14:textId="77777777" w:rsidTr="006D682D"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dotted" w:sz="8" w:space="0" w:color="auto"/>
                                    <w:bottom w:val="dotted" w:sz="8" w:space="0" w:color="auto"/>
                                    <w:right w:val="dotted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6DF431B" w14:textId="77777777" w:rsidR="009A4FF0" w:rsidRPr="005457AC" w:rsidRDefault="009A4FF0" w:rsidP="003112B7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Projezzjonijiet u kriterju ta’ valutazzjoni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  <w:tcBorders>
                                    <w:top w:val="nil"/>
                                    <w:left w:val="nil"/>
                                    <w:bottom w:val="dotted" w:sz="8" w:space="0" w:color="auto"/>
                                    <w:right w:val="dotted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3E1E2293" w14:textId="77777777" w:rsidR="009A4FF0" w:rsidRPr="005457AC" w:rsidRDefault="009A4FF0" w:rsidP="003112B7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L-aħħar sena tal-eżitu</w:t>
                                  </w:r>
                                </w:p>
                              </w:tc>
                              <w:tc>
                                <w:tcPr>
                                  <w:tcW w:w="1857" w:type="dxa"/>
                                  <w:tcBorders>
                                    <w:top w:val="nil"/>
                                    <w:left w:val="nil"/>
                                    <w:bottom w:val="dotted" w:sz="8" w:space="0" w:color="auto"/>
                                    <w:right w:val="dotted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5212AFC" w14:textId="77777777" w:rsidR="009A4FF0" w:rsidRPr="005457AC" w:rsidRDefault="009A4FF0" w:rsidP="003112B7">
                                  <w:pPr>
                                    <w:spacing w:after="12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Projezzjonijiet tal-pjanijiet (inkluż perjodu vinkolanti) </w:t>
                                  </w:r>
                                </w:p>
                                <w:p w14:paraId="047AC743" w14:textId="77777777" w:rsidR="009A4FF0" w:rsidRPr="005457AC" w:rsidRDefault="009A4FF0" w:rsidP="003112B7">
                                  <w:pPr>
                                    <w:spacing w:after="120"/>
                                    <w:jc w:val="center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Sena bażi għat-tmexxija tad-DSA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tcBorders>
                                    <w:top w:val="nil"/>
                                    <w:left w:val="nil"/>
                                    <w:bottom w:val="dotted" w:sz="8" w:space="0" w:color="auto"/>
                                    <w:right w:val="dotted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53B1447" w14:textId="77777777" w:rsidR="009A4FF0" w:rsidRPr="005457AC" w:rsidRDefault="009A4FF0" w:rsidP="003112B7">
                                  <w:pPr>
                                    <w:jc w:val="center"/>
                                    <w:rPr>
                                      <w:iCs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Il-projezzjonijiet tal-pjanijiet ibbażati fuq estensjoni tal-ebda bidla fil-politika fiskali </w:t>
                                  </w:r>
                                </w:p>
                              </w:tc>
                              <w:tc>
                                <w:tcPr>
                                  <w:tcW w:w="1750" w:type="dxa"/>
                                  <w:tcBorders>
                                    <w:top w:val="nil"/>
                                    <w:left w:val="nil"/>
                                    <w:bottom w:val="dotted" w:sz="8" w:space="0" w:color="auto"/>
                                    <w:right w:val="dotted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685D7CF" w14:textId="77777777" w:rsidR="009A4FF0" w:rsidRPr="005457AC" w:rsidRDefault="009A4FF0" w:rsidP="003112B7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Data tat-tmiem tad-DSA</w:t>
                                  </w:r>
                                </w:p>
                              </w:tc>
                            </w:tr>
                          </w:tbl>
                          <w:p w14:paraId="48197EA7" w14:textId="77777777" w:rsidR="009A4FF0" w:rsidRDefault="009A4FF0" w:rsidP="009A4FF0">
                            <w:pPr>
                              <w:spacing w:before="120"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Nota</w:t>
                            </w:r>
                            <w:r>
                              <w:rPr>
                                <w:sz w:val="18"/>
                              </w:rPr>
                              <w:t xml:space="preserve">: Il-perjodu ta’ aġġustament ta’ 4 snin jista’ jiġi estiż b’mod eċċezzjonali sa 7 snin sabiex jiġu ffaċilitati investimenti u riformi kbar. </w:t>
                            </w:r>
                          </w:p>
                          <w:p w14:paraId="151C998C" w14:textId="77777777" w:rsidR="009A4FF0" w:rsidRPr="005457AC" w:rsidRDefault="009A4FF0" w:rsidP="009A4FF0">
                            <w:pPr>
                              <w:spacing w:after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(1) </w:t>
                            </w:r>
                            <w:r>
                              <w:rPr>
                                <w:sz w:val="20"/>
                              </w:rPr>
                              <w:t>Dettalji ulterjuri dwar il-metodoloġija jinsabu fit-</w:t>
                            </w:r>
                            <w:hyperlink r:id="rId17" w:history="1">
                              <w:r>
                                <w:rPr>
                                  <w:rStyle w:val="Hyperlink"/>
                                  <w:sz w:val="20"/>
                                </w:rPr>
                                <w:t>2021 Fiscal Sustainability Report</w:t>
                              </w:r>
                            </w:hyperlink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A9B3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3" type="#_x0000_t202" style="position:absolute;margin-left:-16.9pt;margin-top:-16.9pt;width:497.6pt;height:745.4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" fillcolor="#d8d8d8 [2732]">
                <v:textbox>
                  <w:txbxContent>
                    <w:p w14:paraId="363A79A9" w14:textId="77777777" w:rsidR="009A4FF0" w:rsidRDefault="009A4FF0" w:rsidP="009A4FF0">
                      <w:pPr>
                        <w:spacing w:after="120"/>
                        <w:jc w:val="center"/>
                        <w:rPr>
                          <w:b/>
                          <w:sz w:val="22"/>
                          <w:szCs w:val="24"/>
                        </w:rPr>
                      </w:pPr>
                      <w:r>
                        <w:rPr>
                          <w:b/>
                          <w:sz w:val="22"/>
                        </w:rPr>
                        <w:t>Kaxxa 1: Kriterju tas-sostenibbiltà tad-dejn</w:t>
                      </w:r>
                    </w:p>
                    <w:p w14:paraId="7C5A1F15" w14:textId="77777777" w:rsidR="009A4FF0" w:rsidRPr="00726391" w:rsidRDefault="009A4FF0" w:rsidP="009A4FF0">
                      <w:pPr>
                        <w:spacing w:before="120" w:after="120"/>
                        <w:rPr>
                          <w:sz w:val="22"/>
                          <w:szCs w:val="24"/>
                        </w:rPr>
                      </w:pPr>
                      <w:r>
                        <w:rPr>
                          <w:b/>
                          <w:sz w:val="22"/>
                        </w:rPr>
                        <w:t>Sabiex tiddetermina l-perkors ta’ aġġustament ta’ referenza li jiżgura l-konverġenza tad-dejn għal livelli prudenti, il-Kummissjoni se tuża metodoloġija stabbilita sew u trasparenti, billi tislet mill-qafas tagħha tal-analiżi tas-sostenibbiltà tad-dejn (DSA), u miftiehma mal-Istati Membri.</w:t>
                      </w:r>
                      <w:r>
                        <w:rPr>
                          <w:sz w:val="22"/>
                        </w:rPr>
                        <w:t xml:space="preserve"> Għall-Istati Membri bi sfida sostanzjali tad-dejn pubbliku, il-Kummissjoni tressaq perkors ta’ aġġustament ta’ referenza li jiżgura li f’kull Stat Membru, wara l-implimentazzjoni sħiħa tal-pjan, id-dejn jibqa’ fuq perkors ta’ tnaqqis plawżibbli wara l-perjodu ta’ aġġustament, fuq il-bażi ta’ trajettorja ta’ 10 snin u jekk wieħed jassumi politiki mhux mibdula wara l-perjodu ta’ aġġustament. Dan il-perkors ta’ aġġustament ta’ referenza huwa assoċjat ma’ livell tal-bilanċ primarju strutturali fi tmiem il-perjodu ta’ aġġustament li jiżgura li d-dejn ikun fuq perkors ta’ tnaqqis plawżibbli. Għall-Istati Membri bi sfida tad-dejn moderata, il-perkors ta’ referenza ikun anqas eżiġenti.</w:t>
                      </w:r>
                    </w:p>
                    <w:p w14:paraId="28676EE7" w14:textId="77777777" w:rsidR="009A4FF0" w:rsidRPr="00726391" w:rsidRDefault="009A4FF0" w:rsidP="009A4FF0">
                      <w:pPr>
                        <w:spacing w:before="120" w:after="120"/>
                        <w:rPr>
                          <w:sz w:val="22"/>
                          <w:szCs w:val="24"/>
                        </w:rPr>
                      </w:pPr>
                      <w:r>
                        <w:rPr>
                          <w:b/>
                          <w:sz w:val="22"/>
                        </w:rPr>
                        <w:t>Il-qafas tad-DSA tal-Kummissjoni huwa sett ta’ għodod analitiċi stabbilit sew għall-valutazzjoni tar-riskji għas-sostenibbiltà tad-dejn.</w:t>
                      </w:r>
                      <w:r>
                        <w:rPr>
                          <w:sz w:val="22"/>
                        </w:rPr>
                        <w:t xml:space="preserve"> Dan jinkludi projezzjoni ta’ linja bażi għat-trajettorja tad-dejn matul 10 snin, flimkien ma’ projezzjonijiet tad-dejn deterministiċi addizzjonali sostnuti minn suppożizzjonijiet alternattivi għall-varjabbli fiskali, makroekonomiċi u finanzjarji, kif ukoll analiżi stokastika li tkopri inċertezza makroekonomika wiesgħa. Il-</w:t>
                      </w:r>
                      <w:r>
                        <w:rPr>
                          <w:i/>
                          <w:sz w:val="22"/>
                        </w:rPr>
                        <w:t>linja bażi tad-DSA</w:t>
                      </w:r>
                      <w:r>
                        <w:rPr>
                          <w:sz w:val="22"/>
                        </w:rPr>
                        <w:t xml:space="preserve"> tibbaża fuq suppożizzjoni ta’ ebda bidla fil-politika fiskali fejn ma tiġi inkorporata l-ebda miżura fiskali addizzjonali lil hinn mill-perjodu tal-pjan, u l-infiq primarju jiġi affettwat biss minn bidliet fil-kostijiet relatati mat-tixjiħ kif projettat fl-aħħar Rapport konġunt tal-Kummissjoni u l-Kunsill dwar it-Tixjiħ. It-tkabbir reali tal-PDG huwa f’konformità mal-aħħar projezzjonijiet tal-Kummissjoni fuq terminu medju bl-użu tal-metodoloġija miftiehma b’mod komuni tal-UE, filwaqt li jitqies l-impatt tal-investiment taħt il-pakkett NextGenerationEU. Ir-rati tal-inflazzjoni u tal-imgħax jikkonverġu mal-aspettattivi bbażati fuq is-suq. Għall</w:t>
                      </w:r>
                      <w:r>
                        <w:rPr>
                          <w:i/>
                          <w:sz w:val="22"/>
                        </w:rPr>
                        <w:t>-</w:t>
                      </w:r>
                      <w:r>
                        <w:rPr>
                          <w:sz w:val="22"/>
                        </w:rPr>
                        <w:t xml:space="preserve">projezzjonijiet </w:t>
                      </w:r>
                      <w:r>
                        <w:rPr>
                          <w:i/>
                          <w:sz w:val="22"/>
                        </w:rPr>
                        <w:t>deterministiċi</w:t>
                      </w:r>
                      <w:r>
                        <w:rPr>
                          <w:sz w:val="22"/>
                        </w:rPr>
                        <w:t>, il-valutazzjoni tar-riskju tiddependi fuq il-livell tad-dejn projettat, it-trajettorja tad-dejn u l-plawżibbiltà tal-pożizzjoni fiskali mmirata (u spazju għal azzjoni korrettiva jekk ikun meħtieġ). Għall</w:t>
                      </w:r>
                      <w:r>
                        <w:rPr>
                          <w:i/>
                          <w:sz w:val="22"/>
                        </w:rPr>
                        <w:t>-</w:t>
                      </w:r>
                      <w:r>
                        <w:rPr>
                          <w:sz w:val="22"/>
                        </w:rPr>
                        <w:t xml:space="preserve">projezzjonijiet </w:t>
                      </w:r>
                      <w:r>
                        <w:rPr>
                          <w:i/>
                          <w:sz w:val="22"/>
                        </w:rPr>
                        <w:t>stokastiċi</w:t>
                      </w:r>
                      <w:r>
                        <w:rPr>
                          <w:sz w:val="22"/>
                        </w:rPr>
                        <w:t xml:space="preserve">, il-valutazzjoni tar-riskju hija bbażata fuq il-probabbiltà li d-dejn mhux se jistabbilizza fuq ħames snin u fuq id-daqs tal-inċertezza makroekonomika. () Fuq din il-bażi, din l-analiżi tikklassifika lill-pajjiżi fi tliet kategoriji ta’ riskju ġenerali: </w:t>
                      </w:r>
                      <w:r>
                        <w:rPr>
                          <w:i/>
                          <w:sz w:val="22"/>
                        </w:rPr>
                        <w:t>baxx</w:t>
                      </w:r>
                      <w:r>
                        <w:rPr>
                          <w:sz w:val="22"/>
                        </w:rPr>
                        <w:t xml:space="preserve">, </w:t>
                      </w:r>
                      <w:r>
                        <w:rPr>
                          <w:i/>
                          <w:sz w:val="22"/>
                        </w:rPr>
                        <w:t>medju</w:t>
                      </w:r>
                      <w:r>
                        <w:rPr>
                          <w:sz w:val="22"/>
                        </w:rPr>
                        <w:t xml:space="preserve"> u </w:t>
                      </w:r>
                      <w:r>
                        <w:rPr>
                          <w:i/>
                          <w:sz w:val="22"/>
                        </w:rPr>
                        <w:t>għoli</w:t>
                      </w:r>
                      <w:r>
                        <w:rPr>
                          <w:sz w:val="22"/>
                        </w:rPr>
                        <w:t xml:space="preserve">. Kategorija ta’ riskju </w:t>
                      </w:r>
                      <w:r>
                        <w:rPr>
                          <w:i/>
                          <w:sz w:val="22"/>
                        </w:rPr>
                        <w:t>għoli</w:t>
                      </w:r>
                      <w:r>
                        <w:rPr>
                          <w:sz w:val="22"/>
                        </w:rPr>
                        <w:t xml:space="preserve"> tindika sfidi (tas-sostenibbiltà) sostanzjali ta’ dejn pubbliku li jeħtieġ li jiġu indirizzati mill-politiki fiskali u makroekonomiċi.</w:t>
                      </w:r>
                    </w:p>
                    <w:p w14:paraId="23165A94" w14:textId="77777777" w:rsidR="009A4FF0" w:rsidRDefault="009A4FF0" w:rsidP="009A4FF0">
                      <w:pPr>
                        <w:spacing w:before="120" w:after="120"/>
                        <w:rPr>
                          <w:sz w:val="22"/>
                          <w:szCs w:val="24"/>
                        </w:rPr>
                      </w:pPr>
                      <w:r>
                        <w:rPr>
                          <w:b/>
                          <w:sz w:val="22"/>
                        </w:rPr>
                        <w:t>Perkors ta’ aġġustament konsistenti mal-konverġenza tad-dejn għal livelli prudenti għandu jiżgura li għal Stat Membru bi sfida sostanzjali jew moderata ta’ dejn pubbliku, id-dejn jitqiegħed fuq perkors ta’ tnaqqis b’mod plawżibbli abbażi ta’ trajettorja ta’ 10 snin lil hinn mill-perjodu tal-pjan.</w:t>
                      </w:r>
                      <w:r>
                        <w:rPr>
                          <w:sz w:val="22"/>
                        </w:rPr>
                        <w:t xml:space="preserve"> Għall-Istati Membri bi sfida sostanzjali ta’ dejn pubbliku, dan ikun il-każ jekk it-trajettorja tad-dejn ta’ 10 snin lil hinn mill-perjodu tal-pjan tkun fuq perkors ta’ tnaqqis plawżibbli u kontinwu. Għall-Istati Membri bi sfida moderata ta’ dejn pubbliku, dan ikun il-każ jekk, mhux aktar minn 3 snin wara l-perjodu tal-pjan, it-trajettorja tad-dejn ta’ 10 snin kienet fuq perkors ta’ tnaqqis plawżibbli u kontinwu. Dawn il-kundizzjonijiet għandhom jiġu ssodisfati f’politiki mhux mibdula wara l-implimentazzjoni tal-pjan fuq terminu medju, jiġifieri fin-nuqqas ta’ miżuri ġodda ta’ politika fiskali lil hinn mill-perjodu ta’ aġġustament, u, biex jitqiesu riskji realistiċi, f’sett standard ta’ xenarji negattivi bħal dawk meqjusin fil-qafas tad-DSA tal-Kummissjoni. Fl-aħħar nett, għandu jkun hemm probabbiltà baxxa biżżejjed li d-dejn jiżdied fil-ħames snin wara l-perjodu tal-pjan.</w:t>
                      </w:r>
                    </w:p>
                    <w:p w14:paraId="2B9D9E42" w14:textId="77777777" w:rsidR="009A4FF0" w:rsidRDefault="009A4FF0" w:rsidP="009A4FF0">
                      <w:pPr>
                        <w:spacing w:before="120" w:after="120"/>
                        <w:rPr>
                          <w:sz w:val="22"/>
                          <w:szCs w:val="24"/>
                        </w:rPr>
                      </w:pPr>
                      <w:r>
                        <w:rPr>
                          <w:b/>
                          <w:sz w:val="22"/>
                        </w:rPr>
                        <w:t>Is-suppożizzjonijiet u l-projezzjonijiet tat-trajettorja tal-varjabbli makrofiskali rilevanti jiġu stabbiliti fil-pjan għal perjodu ta’ 10 snin wara l-perjodu kopert mill-pjan</w:t>
                      </w:r>
                      <w:r>
                        <w:rPr>
                          <w:sz w:val="22"/>
                        </w:rPr>
                        <w:t>. Dan ikopri l-perkors makroekonomiku u fiskali għall-perjodu kopert mill-pjan u l-estensjoni sussegwenti ta’ ebda tibdil fil-politika tal-projezzjonijiet għall-10 snin ta’ wara (ara t-Tabella 1).</w:t>
                      </w:r>
                    </w:p>
                    <w:p w14:paraId="58CD102F" w14:textId="77777777" w:rsidR="009A4FF0" w:rsidRPr="00E13C2A" w:rsidRDefault="009A4FF0" w:rsidP="009A4FF0">
                      <w:pPr>
                        <w:spacing w:before="120" w:after="120"/>
                        <w:rPr>
                          <w:b/>
                          <w:sz w:val="22"/>
                          <w:szCs w:val="24"/>
                        </w:rPr>
                      </w:pPr>
                      <w:r>
                        <w:rPr>
                          <w:b/>
                          <w:sz w:val="22"/>
                        </w:rPr>
                        <w:t>Tabella 1: Perjodu ta’ żmien tal-projezzjonijiet u tal-kriterju ta’ valutazzjoni</w:t>
                      </w:r>
                    </w:p>
                    <w:tbl>
                      <w:tblPr>
                        <w:tblW w:w="0" w:type="auto"/>
                        <w:tblInd w:w="25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1764"/>
                        <w:gridCol w:w="1857"/>
                        <w:gridCol w:w="1858"/>
                        <w:gridCol w:w="1750"/>
                      </w:tblGrid>
                      <w:tr w:rsidR="009A4FF0" w14:paraId="11DA82F9" w14:textId="77777777" w:rsidTr="006D682D">
                        <w:tc>
                          <w:tcPr>
                            <w:tcW w:w="1701" w:type="dxa"/>
                            <w:tcBorders>
                              <w:top w:val="dotted" w:sz="8" w:space="0" w:color="auto"/>
                              <w:left w:val="dotted" w:sz="8" w:space="0" w:color="auto"/>
                              <w:bottom w:val="dotted" w:sz="8" w:space="0" w:color="auto"/>
                              <w:right w:val="dotted" w:sz="8" w:space="0" w:color="auto"/>
                            </w:tcBorders>
                            <w:shd w:val="clear" w:color="auto" w:fill="BFBFBF" w:themeFill="background1" w:themeFillShade="BF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4DF2BC7B" w14:textId="77777777" w:rsidR="009A4FF0" w:rsidRPr="005457AC" w:rsidRDefault="009A4FF0" w:rsidP="003112B7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Perjodu ta’ żmien</w:t>
                            </w:r>
                          </w:p>
                        </w:tc>
                        <w:tc>
                          <w:tcPr>
                            <w:tcW w:w="1764" w:type="dxa"/>
                            <w:tcBorders>
                              <w:top w:val="dotted" w:sz="8" w:space="0" w:color="auto"/>
                              <w:left w:val="nil"/>
                              <w:bottom w:val="dotted" w:sz="8" w:space="0" w:color="auto"/>
                              <w:right w:val="dotted" w:sz="8" w:space="0" w:color="auto"/>
                            </w:tcBorders>
                            <w:shd w:val="clear" w:color="auto" w:fill="BFBFBF" w:themeFill="background1" w:themeFillShade="BF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435999D" w14:textId="77777777" w:rsidR="009A4FF0" w:rsidRPr="005457AC" w:rsidRDefault="009A4FF0" w:rsidP="003112B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1857" w:type="dxa"/>
                            <w:tcBorders>
                              <w:top w:val="dotted" w:sz="8" w:space="0" w:color="auto"/>
                              <w:left w:val="nil"/>
                              <w:bottom w:val="dotted" w:sz="8" w:space="0" w:color="auto"/>
                              <w:right w:val="dotted" w:sz="8" w:space="0" w:color="auto"/>
                            </w:tcBorders>
                            <w:shd w:val="clear" w:color="auto" w:fill="BFBFBF" w:themeFill="background1" w:themeFillShade="BF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4753218F" w14:textId="77777777" w:rsidR="009A4FF0" w:rsidRPr="005457AC" w:rsidRDefault="009A4FF0" w:rsidP="00A3127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T+[X]</w:t>
                            </w:r>
                          </w:p>
                        </w:tc>
                        <w:tc>
                          <w:tcPr>
                            <w:tcW w:w="1858" w:type="dxa"/>
                            <w:tcBorders>
                              <w:top w:val="dotted" w:sz="8" w:space="0" w:color="auto"/>
                              <w:left w:val="nil"/>
                              <w:bottom w:val="dotted" w:sz="8" w:space="0" w:color="auto"/>
                              <w:right w:val="dotted" w:sz="8" w:space="0" w:color="auto"/>
                            </w:tcBorders>
                            <w:shd w:val="clear" w:color="auto" w:fill="BFBFBF" w:themeFill="background1" w:themeFillShade="BF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B3B38CC" w14:textId="77777777" w:rsidR="009A4FF0" w:rsidRPr="005457AC" w:rsidRDefault="009A4FF0" w:rsidP="003112B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1750" w:type="dxa"/>
                            <w:tcBorders>
                              <w:top w:val="dotted" w:sz="8" w:space="0" w:color="auto"/>
                              <w:left w:val="nil"/>
                              <w:bottom w:val="dotted" w:sz="8" w:space="0" w:color="auto"/>
                              <w:right w:val="dotted" w:sz="8" w:space="0" w:color="auto"/>
                            </w:tcBorders>
                            <w:shd w:val="clear" w:color="auto" w:fill="BFBFBF" w:themeFill="background1" w:themeFillShade="BF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9FEDFC0" w14:textId="77777777" w:rsidR="009A4FF0" w:rsidRPr="005457AC" w:rsidRDefault="009A4FF0" w:rsidP="00A3127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T+[X]+10</w:t>
                            </w:r>
                          </w:p>
                        </w:tc>
                      </w:tr>
                      <w:tr w:rsidR="009A4FF0" w14:paraId="07B50F52" w14:textId="77777777" w:rsidTr="006D682D">
                        <w:tc>
                          <w:tcPr>
                            <w:tcW w:w="1701" w:type="dxa"/>
                            <w:tcBorders>
                              <w:top w:val="nil"/>
                              <w:left w:val="dotted" w:sz="8" w:space="0" w:color="auto"/>
                              <w:bottom w:val="dotted" w:sz="8" w:space="0" w:color="auto"/>
                              <w:right w:val="dotted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6DF431B" w14:textId="77777777" w:rsidR="009A4FF0" w:rsidRPr="005457AC" w:rsidRDefault="009A4FF0" w:rsidP="003112B7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Projezzjonijiet u kriterju ta’ valutazzjoni</w:t>
                            </w:r>
                          </w:p>
                        </w:tc>
                        <w:tc>
                          <w:tcPr>
                            <w:tcW w:w="1764" w:type="dxa"/>
                            <w:tcBorders>
                              <w:top w:val="nil"/>
                              <w:left w:val="nil"/>
                              <w:bottom w:val="dotted" w:sz="8" w:space="0" w:color="auto"/>
                              <w:right w:val="dotted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3E1E2293" w14:textId="77777777" w:rsidR="009A4FF0" w:rsidRPr="005457AC" w:rsidRDefault="009A4FF0" w:rsidP="003112B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L-aħħar sena tal-eżitu</w:t>
                            </w:r>
                          </w:p>
                        </w:tc>
                        <w:tc>
                          <w:tcPr>
                            <w:tcW w:w="1857" w:type="dxa"/>
                            <w:tcBorders>
                              <w:top w:val="nil"/>
                              <w:left w:val="nil"/>
                              <w:bottom w:val="dotted" w:sz="8" w:space="0" w:color="auto"/>
                              <w:right w:val="dotted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5212AFC" w14:textId="77777777" w:rsidR="009A4FF0" w:rsidRPr="005457AC" w:rsidRDefault="009A4FF0" w:rsidP="003112B7">
                            <w:pPr>
                              <w:spacing w:after="12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Projezzjonijiet tal-pjanijiet (inkluż perjodu vinkolanti) </w:t>
                            </w:r>
                          </w:p>
                          <w:p w14:paraId="047AC743" w14:textId="77777777" w:rsidR="009A4FF0" w:rsidRPr="005457AC" w:rsidRDefault="009A4FF0" w:rsidP="003112B7">
                            <w:pPr>
                              <w:spacing w:after="12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Sena bażi għat-tmexxija tad-DSA</w:t>
                            </w:r>
                          </w:p>
                        </w:tc>
                        <w:tc>
                          <w:tcPr>
                            <w:tcW w:w="1858" w:type="dxa"/>
                            <w:tcBorders>
                              <w:top w:val="nil"/>
                              <w:left w:val="nil"/>
                              <w:bottom w:val="dotted" w:sz="8" w:space="0" w:color="auto"/>
                              <w:right w:val="dotted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53B1447" w14:textId="77777777" w:rsidR="009A4FF0" w:rsidRPr="005457AC" w:rsidRDefault="009A4FF0" w:rsidP="003112B7">
                            <w:pPr>
                              <w:jc w:val="center"/>
                              <w:rPr>
                                <w:iCs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Il-projezzjonijiet tal-pjanijiet ibbażati fuq estensjoni tal-ebda bidla fil-politika fiskali </w:t>
                            </w:r>
                          </w:p>
                        </w:tc>
                        <w:tc>
                          <w:tcPr>
                            <w:tcW w:w="1750" w:type="dxa"/>
                            <w:tcBorders>
                              <w:top w:val="nil"/>
                              <w:left w:val="nil"/>
                              <w:bottom w:val="dotted" w:sz="8" w:space="0" w:color="auto"/>
                              <w:right w:val="dotted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685D7CF" w14:textId="77777777" w:rsidR="009A4FF0" w:rsidRPr="005457AC" w:rsidRDefault="009A4FF0" w:rsidP="003112B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Data tat-tmiem tad-DSA</w:t>
                            </w:r>
                          </w:p>
                        </w:tc>
                      </w:tr>
                    </w:tbl>
                    <w:p w14:paraId="48197EA7" w14:textId="77777777" w:rsidR="009A4FF0" w:rsidRDefault="009A4FF0" w:rsidP="009A4FF0">
                      <w:pPr>
                        <w:spacing w:before="120"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</w:rPr>
                        <w:t>Nota</w:t>
                      </w:r>
                      <w:r>
                        <w:rPr>
                          <w:sz w:val="18"/>
                        </w:rPr>
                        <w:t xml:space="preserve">: Il-perjodu ta’ aġġustament ta’ 4 snin jista’ jiġi estiż b’mod eċċezzjonali sa 7 snin sabiex jiġu ffaċilitati investimenti u riformi kbar. </w:t>
                      </w:r>
                    </w:p>
                    <w:p w14:paraId="151C998C" w14:textId="77777777" w:rsidR="009A4FF0" w:rsidRPr="005457AC" w:rsidRDefault="009A4FF0" w:rsidP="009A4FF0">
                      <w:pPr>
                        <w:spacing w:after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 xml:space="preserve">(1) </w:t>
                      </w:r>
                      <w:r>
                        <w:rPr>
                          <w:sz w:val="20"/>
                        </w:rPr>
                        <w:t>Dettalji ulterjuri dwar il-metodoloġija jinsabu fit-</w:t>
                      </w:r>
                      <w:hyperlink r:id="rId18" w:history="1">
                        <w:r>
                          <w:rPr>
                            <w:rStyle w:val="Hyperlink"/>
                            <w:sz w:val="20"/>
                          </w:rPr>
                          <w:t>2021 Fiscal Sustainability Report</w:t>
                        </w:r>
                      </w:hyperlink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br w:type="page"/>
      </w:r>
    </w:p>
    <w:p w14:paraId="317139CB" w14:textId="77777777" w:rsidR="00987CA8" w:rsidRDefault="00AF6E1A">
      <w:pPr>
        <w:spacing w:after="160" w:line="259" w:lineRule="auto"/>
        <w:jc w:val="left"/>
        <w:rPr>
          <w:noProof/>
          <w:highlight w:val="yellow"/>
        </w:rPr>
      </w:pPr>
      <w:r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FD9AF38" wp14:editId="448892A7">
                <wp:simplePos x="0" y="0"/>
                <wp:positionH relativeFrom="column">
                  <wp:posOffset>-20955</wp:posOffset>
                </wp:positionH>
                <wp:positionV relativeFrom="paragraph">
                  <wp:posOffset>252095</wp:posOffset>
                </wp:positionV>
                <wp:extent cx="6010275" cy="7355840"/>
                <wp:effectExtent l="0" t="0" r="28575" b="16510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73558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DB657" w14:textId="77777777" w:rsidR="00DD1A74" w:rsidRPr="00C84819" w:rsidRDefault="00DD1A74" w:rsidP="00B44456">
                            <w:pPr>
                              <w:spacing w:after="120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Kaxxa 2: Rispons politiku għal żbilanċi ġodda taħt l-MIP</w:t>
                            </w:r>
                          </w:p>
                          <w:p w14:paraId="2EF911EE" w14:textId="77777777" w:rsidR="00DD1A74" w:rsidRPr="00C84819" w:rsidRDefault="00DD1A74" w:rsidP="00AD056C">
                            <w:pPr>
                              <w:pStyle w:val="Heading1"/>
                              <w:keepNext w:val="0"/>
                              <w:keepLines w:val="0"/>
                              <w:spacing w:before="120" w:after="120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  <w:sz w:val="22"/>
                                <w:u w:val="single"/>
                              </w:rPr>
                              <w:t xml:space="preserve">Ftehim tal-pjan nazzjonali fuq terminu medju u l-MIP </w:t>
                            </w:r>
                          </w:p>
                          <w:p w14:paraId="2431A7B6" w14:textId="77777777" w:rsidR="00DD1A74" w:rsidRPr="00C84819" w:rsidRDefault="00DD1A74" w:rsidP="00AD056C">
                            <w:pPr>
                              <w:spacing w:after="1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Immedjatament wara l-identifikazzjoni tal-iżbilanċi f’IDR (u l-pubblikazzjoni possibbli ta’ CSRs speċifiċi għall-MIP biex iservu bħala gwida), l-MIP riformat jipprevedi djalogu mal-Istat Membru. </w:t>
                            </w:r>
                            <w:r>
                              <w:rPr>
                                <w:sz w:val="22"/>
                              </w:rPr>
                              <w:t xml:space="preserve">Dan iseħħ matul is-sajf u l-ħarifa. L-għan ikun li jinbena fehim komuni tal-isfidi u li jiġu identifikati r-riformi u l-investimenti li jwasslu għall-korrezzjoni tal-iżbilanċi (l-Illustrazzjoni 1). </w:t>
                            </w:r>
                          </w:p>
                          <w:p w14:paraId="1FFBB933" w14:textId="6F13285D" w:rsidR="00DD1A74" w:rsidRDefault="00DD1A74" w:rsidP="00AD056C">
                            <w:pPr>
                              <w:spacing w:after="1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Abbażi ta’ dan id-djalogu, il-Kummissjoni u l-Istat Membru jiftiehmu b’mod konġunt dwar approċċ ta’ politika biex jikkoreġu l-iżbilanċi, f’konformità mal-approċċ tal-RRP.</w:t>
                            </w:r>
                            <w:r>
                              <w:rPr>
                                <w:sz w:val="22"/>
                              </w:rPr>
                              <w:t xml:space="preserve"> Is-sett miftiehem ta’ riformi u investimenti jiġi inkorporat fil-pjan nazzjonali fuq terminu medju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meta jintlaħaq ftehim dwar il-pjan. Il-pjan nazzjonali fuq terminu medju jista’ jinkludi wkoll kontroreferenzi għal miżuri diġà inklużi fl-RRP kif ukoll investimenti rilevanti ffinanzjati mill-programmi tal-Politika ta’ Koeżjoni, biex tingħata ħarsa ġenerali komprensiva lejn l-impenji ta’ politika tal-Istati Membri.</w:t>
                            </w:r>
                          </w:p>
                          <w:p w14:paraId="16FCA954" w14:textId="4D00761D" w:rsidR="00DD1A74" w:rsidRDefault="00DD1A74" w:rsidP="00AF6E1A">
                            <w:pPr>
                              <w:spacing w:after="120"/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Illustrazzjoni 1: Skeda ta’ żmien għar-rispons tal-politika għal sejba ta’ żbilanċ bi pjan nazzjonali ġdid ta’ terminu medju</w:t>
                            </w:r>
                            <w:r>
                              <w:rPr>
                                <w:sz w:val="22"/>
                                <w:u w:val="single"/>
                              </w:rPr>
                              <w:t xml:space="preserve"> </w:t>
                            </w:r>
                          </w:p>
                          <w:p w14:paraId="52D69875" w14:textId="396E1AF6" w:rsidR="00E4586E" w:rsidRDefault="00F656CE" w:rsidP="00AF6E1A">
                            <w:pPr>
                              <w:spacing w:after="120"/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656CE">
                              <w:rPr>
                                <w:noProof/>
                                <w:lang w:val="en-GB"/>
                              </w:rPr>
                              <w:drawing>
                                <wp:inline distT="0" distB="0" distL="0" distR="0" wp14:anchorId="130F4C85" wp14:editId="58871B1C">
                                  <wp:extent cx="5818505" cy="2344114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18505" cy="23441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F8C026" w14:textId="77777777" w:rsidR="00DD1A74" w:rsidRPr="00CD22C8" w:rsidRDefault="00DD1A74" w:rsidP="00DA766B">
                            <w:pPr>
                              <w:pStyle w:val="Heading1"/>
                              <w:keepNext w:val="0"/>
                              <w:keepLines w:val="0"/>
                              <w:tabs>
                                <w:tab w:val="left" w:pos="426"/>
                                <w:tab w:val="left" w:pos="567"/>
                              </w:tabs>
                              <w:spacing w:before="120" w:after="120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  <w:sz w:val="22"/>
                                <w:u w:val="single"/>
                              </w:rPr>
                              <w:t>Sors ġdid ta’ żbilanċ jinstab matul il-ħajja tal-pjan nazzjonali fuq terminu medju</w:t>
                            </w:r>
                          </w:p>
                          <w:p w14:paraId="62F05A54" w14:textId="77777777" w:rsidR="00DD1A74" w:rsidRPr="00E13C2A" w:rsidRDefault="00DD1A74" w:rsidP="00B44456">
                            <w:pPr>
                              <w:spacing w:after="0"/>
                              <w:rPr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sz w:val="22"/>
                              </w:rPr>
                              <w:t>Jekk jinstab sors ġdid ta’ żbilanċi waqt li l-pjan nazzjonali fuq terminu medju diġà jkun fis-seħħ, wara l-identifikazzjoni ta’ dawn il-vulnerabbiltajiet f’IDR taħt iċ-ċiklu tas-Semestru Ewropew, il-pjan fuq terminu medju fis-seħħ, bħala regola, ma jinfetaħx mill-ġdid iżda jinbeda djalogu ta’ politika mal-Istati Membri biex jintlaħaq fehim komuni tal-iżbilanċi u tal-miżuri meħtieġa biex dawn jiġu indirizzati. L-approċċ ta’ politika miftiehem biex jiġu indirizzati l-iżbilanċi, inklużi r-riformi u l-investimenti, se jiġi kkomunikat mill-Istat Membru permezz ta’ ittra lill-Kummissjoni u lill-Kunsill u se jiġi diskuss fil-kumitati. L-aġenda politika miftiehma tista’ sussegwentement tiġi inkluża: (i) fi pjan nazzjonali ġdid fuq terminu medju (jekk ma jiġix solvut matul il-ħajja tal-pjan oriġinali); JEW (ii) fi pjan emendat fuq terminu medju (jekk il-pjan preċedenti ma jkunx aktar fattibbli).  Jekk l-iżbilanċi jkunu eċċessivi u jirrikjedu bidla immedjata fil-politika fiskali u riformi kruċjali ġodda, titnieda l-EIP, il-pjan jinfetaħ mill-ġdid u jaġixxi bħala pjan ta’ azzjoni korrettiva.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9AF38" id="Text Box 17" o:spid="_x0000_s1034" type="#_x0000_t202" style="position:absolute;margin-left:-1.65pt;margin-top:19.85pt;width:473.25pt;height:579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" fillcolor="#d8d8d8 [2732]">
                <v:textbox>
                  <w:txbxContent>
                    <w:p w14:paraId="7F6DB657" w14:textId="77777777" w:rsidR="00DD1A74" w:rsidRPr="00C84819" w:rsidRDefault="00DD1A74" w:rsidP="00B44456">
                      <w:pPr>
                        <w:spacing w:after="120"/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</w:rPr>
                        <w:t>Kaxxa 2: Rispons politiku għal żbilanċi ġodda taħt l-MIP</w:t>
                      </w:r>
                    </w:p>
                    <w:p w14:paraId="2EF911EE" w14:textId="77777777" w:rsidR="00DD1A74" w:rsidRPr="00C84819" w:rsidRDefault="00DD1A74" w:rsidP="00AD056C">
                      <w:pPr>
                        <w:pStyle w:val="Heading1"/>
                        <w:keepNext w:val="0"/>
                        <w:keepLines w:val="0"/>
                        <w:spacing w:before="120" w:after="120"/>
                        <w:rPr>
                          <w:rFonts w:ascii="Times New Roman" w:eastAsia="Times New Roman" w:hAnsi="Times New Roman" w:cs="Times New Roman"/>
                          <w:color w:val="auto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  <w:sz w:val="22"/>
                          <w:u w:val="single"/>
                        </w:rPr>
                        <w:t xml:space="preserve">Ftehim tal-pjan nazzjonali fuq terminu medju u l-MIP </w:t>
                      </w:r>
                    </w:p>
                    <w:p w14:paraId="2431A7B6" w14:textId="77777777" w:rsidR="00DD1A74" w:rsidRPr="00C84819" w:rsidRDefault="00DD1A74" w:rsidP="00AD056C">
                      <w:pPr>
                        <w:spacing w:after="1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Immedjatament wara l-identifikazzjoni tal-iżbilanċi f’IDR (u l-pubblikazzjoni possibbli ta’ CSRs speċifiċi għall-MIP biex iservu bħala gwida), l-MIP riformat jipprevedi djalogu mal-Istat Membru. </w:t>
                      </w:r>
                      <w:r>
                        <w:rPr>
                          <w:sz w:val="22"/>
                        </w:rPr>
                        <w:t xml:space="preserve">Dan iseħħ matul is-sajf u l-ħarifa. L-għan ikun li jinbena fehim komuni tal-isfidi u li jiġu identifikati r-riformi u l-investimenti li jwasslu għall-korrezzjoni tal-iżbilanċi (l-Illustrazzjoni 1). </w:t>
                      </w:r>
                    </w:p>
                    <w:p w14:paraId="1FFBB933" w14:textId="6F13285D" w:rsidR="00DD1A74" w:rsidRDefault="00DD1A74" w:rsidP="00AD056C">
                      <w:pPr>
                        <w:spacing w:after="1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</w:rPr>
                        <w:t>Abbażi ta’ dan id-djalogu, il-Kummissjoni u l-Istat Membru jiftiehmu b’mod konġunt dwar approċċ ta’ politika biex jikkoreġu l-iżbilanċi, f’konformità mal-approċċ tal-RRP.</w:t>
                      </w:r>
                      <w:r>
                        <w:rPr>
                          <w:sz w:val="22"/>
                        </w:rPr>
                        <w:t xml:space="preserve"> Is-sett miftiehem ta’ riformi u investimenti jiġi inkorporat fil-pjan nazzjonali fuq terminu medju</w:t>
                      </w:r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meta jintlaħaq ftehim dwar il-pjan. Il-pjan nazzjonali fuq terminu medju jista’ jinkludi wkoll kontroreferenzi għal miżuri diġà inklużi fl-RRP kif ukoll investimenti rilevanti ffinanzjati mill-programmi tal-Politika ta’ Koeżjoni, biex tingħata ħarsa ġenerali komprensiva lejn l-impenji ta’ politika tal-Istati Membri.</w:t>
                      </w:r>
                    </w:p>
                    <w:p w14:paraId="16FCA954" w14:textId="4D00761D" w:rsidR="00DD1A74" w:rsidRDefault="00DD1A74" w:rsidP="00AF6E1A">
                      <w:pPr>
                        <w:spacing w:after="120"/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b/>
                          <w:sz w:val="22"/>
                        </w:rPr>
                        <w:t>Illustrazzjoni 1: Skeda ta’ żmien għar-rispons tal-politika għal sejba ta’ żbilanċ bi pjan nazzjonali ġdid ta’ terminu medju</w:t>
                      </w:r>
                      <w:r>
                        <w:rPr>
                          <w:sz w:val="22"/>
                          <w:u w:val="single"/>
                        </w:rPr>
                        <w:t xml:space="preserve"> </w:t>
                      </w:r>
                    </w:p>
                    <w:p w14:paraId="52D69875" w14:textId="396E1AF6" w:rsidR="00E4586E" w:rsidRDefault="00F656CE" w:rsidP="00AF6E1A">
                      <w:pPr>
                        <w:spacing w:after="120"/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F656CE">
                        <w:rPr>
                          <w:noProof/>
                          <w:lang w:val="en-GB"/>
                        </w:rPr>
                        <w:drawing>
                          <wp:inline distT="0" distB="0" distL="0" distR="0" wp14:anchorId="130F4C85" wp14:editId="58871B1C">
                            <wp:extent cx="5818505" cy="2344114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18505" cy="23441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F8C026" w14:textId="77777777" w:rsidR="00DD1A74" w:rsidRPr="00CD22C8" w:rsidRDefault="00DD1A74" w:rsidP="00DA766B">
                      <w:pPr>
                        <w:pStyle w:val="Heading1"/>
                        <w:keepNext w:val="0"/>
                        <w:keepLines w:val="0"/>
                        <w:tabs>
                          <w:tab w:val="left" w:pos="426"/>
                          <w:tab w:val="left" w:pos="567"/>
                        </w:tabs>
                        <w:spacing w:before="120" w:after="120"/>
                        <w:rPr>
                          <w:rFonts w:ascii="Times New Roman" w:eastAsia="Times New Roman" w:hAnsi="Times New Roman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  <w:sz w:val="22"/>
                          <w:u w:val="single"/>
                        </w:rPr>
                        <w:t>Sors ġdid ta’ żbilanċ jinstab matul il-ħajja tal-pjan nazzjonali fuq terminu medju</w:t>
                      </w:r>
                    </w:p>
                    <w:p w14:paraId="62F05A54" w14:textId="77777777" w:rsidR="00DD1A74" w:rsidRPr="00E13C2A" w:rsidRDefault="00DD1A74" w:rsidP="00B44456">
                      <w:pPr>
                        <w:spacing w:after="0"/>
                        <w:rPr>
                          <w:sz w:val="22"/>
                          <w:szCs w:val="24"/>
                        </w:rPr>
                      </w:pPr>
                      <w:r>
                        <w:rPr>
                          <w:sz w:val="22"/>
                        </w:rPr>
                        <w:t>Jekk jinstab sors ġdid ta’ żbilanċi waqt li l-pjan nazzjonali fuq terminu medju diġà jkun fis-seħħ, wara l-identifikazzjoni ta’ dawn il-vulnerabbiltajiet f’IDR taħt iċ-ċiklu tas-Semestru Ewropew, il-pjan fuq terminu medju fis-seħħ, bħala regola, ma jinfetaħx mill-ġdid iżda jinbeda djalogu ta’ politika mal-Istati Membri biex jintlaħaq fehim komuni tal-iżbilanċi u tal-miżuri meħtieġa biex dawn jiġu indirizzati. L-approċċ ta’ politika miftiehem biex jiġu indirizzati l-iżbilanċi, inklużi r-riformi u l-investimenti, se jiġi kkomunikat mill-Istat Membru permezz ta’ ittra lill-Kummissjoni u lill-Kunsill u se jiġi diskuss fil-kumitati. L-aġenda politika miftiehma tista’ sussegwentement tiġi inkluża: (i) fi pjan nazzjonali ġdid fuq terminu medju (jekk ma jiġix solvut matul il-ħajja tal-pjan oriġinali); JEW (ii) fi pjan emendat fuq terminu medju (jekk il-pjan preċedenti ma jkunx aktar fattibbli).  Jekk l-iżbilanċi jkunu eċċessivi u jirrikjedu bidla immedjata fil-politika fiskali u riformi kruċjali ġodda, titnieda l-EIP, il-pjan jinfetaħ mill-ġdid u jaġixxi bħala pjan ta’ azzjoni korrettiva.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C2DC8A" w14:textId="77777777" w:rsidR="00EF1614" w:rsidRDefault="00EF1614" w:rsidP="002D12F6">
      <w:pPr>
        <w:spacing w:after="160" w:line="259" w:lineRule="auto"/>
        <w:jc w:val="center"/>
        <w:rPr>
          <w:b/>
          <w:bCs/>
          <w:noProof/>
        </w:rPr>
      </w:pPr>
    </w:p>
    <w:p w14:paraId="0CD831F2" w14:textId="5F804149" w:rsidR="00EF1614" w:rsidRDefault="00EF1614" w:rsidP="00EF1614">
      <w:pPr>
        <w:keepNext/>
        <w:spacing w:before="120" w:after="120"/>
        <w:jc w:val="center"/>
        <w:rPr>
          <w:b/>
          <w:noProof/>
        </w:rPr>
      </w:pPr>
      <w:r>
        <w:rPr>
          <w:b/>
          <w:noProof/>
        </w:rPr>
        <w:t>Anness 1: Twaqqit tas-sorveljanza tal-UE</w:t>
      </w:r>
    </w:p>
    <w:p w14:paraId="050E70C3" w14:textId="04129DAA" w:rsidR="00373877" w:rsidRPr="009834FF" w:rsidRDefault="00F656CE" w:rsidP="00373877">
      <w:pPr>
        <w:keepNext/>
        <w:spacing w:before="120"/>
        <w:jc w:val="center"/>
        <w:rPr>
          <w:noProof/>
        </w:rPr>
      </w:pPr>
      <w:r>
        <w:rPr>
          <w:noProof/>
          <w:lang w:val="en-GB"/>
        </w:rPr>
        <w:drawing>
          <wp:inline distT="0" distB="0" distL="0" distR="0" wp14:anchorId="59372453" wp14:editId="0290A87F">
            <wp:extent cx="5731510" cy="324231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0C357" w14:textId="77777777" w:rsidR="00EF1614" w:rsidRPr="00E204AB" w:rsidRDefault="00EF1614" w:rsidP="00EF1614">
      <w:pPr>
        <w:pStyle w:val="Heading1"/>
        <w:spacing w:before="0" w:line="276" w:lineRule="auto"/>
        <w:rPr>
          <w:rFonts w:ascii="Times New Roman" w:hAnsi="Times New Roman" w:cs="Times New Roman"/>
          <w:noProof/>
          <w:color w:val="auto"/>
          <w:sz w:val="20"/>
          <w:szCs w:val="20"/>
        </w:rPr>
      </w:pPr>
      <w:r>
        <w:rPr>
          <w:rFonts w:ascii="Times New Roman" w:hAnsi="Times New Roman"/>
          <w:noProof/>
          <w:color w:val="auto"/>
          <w:sz w:val="20"/>
        </w:rPr>
        <w:t>Nota: L-iskedi ta’ żmien għas-sottomissjoni ta’ pjanijiet ġodda (wara l-bidu inizjali tal-PST rivedut) jistgħu jiddevjaw skont iċ-ċikli politiċi tal-Istati Membri.</w:t>
      </w:r>
    </w:p>
    <w:p w14:paraId="0152C3D1" w14:textId="77777777" w:rsidR="00EF1614" w:rsidRPr="00F745E4" w:rsidRDefault="00EF1614" w:rsidP="00EF1614">
      <w:pPr>
        <w:spacing w:after="0"/>
        <w:rPr>
          <w:noProof/>
          <w:sz w:val="20"/>
        </w:rPr>
      </w:pPr>
      <w:r>
        <w:rPr>
          <w:noProof/>
          <w:sz w:val="20"/>
        </w:rPr>
        <w:t xml:space="preserve">* Fil-Ħarifa T, se jkun hemm valutazzjoni </w:t>
      </w:r>
      <w:r>
        <w:rPr>
          <w:i/>
          <w:noProof/>
          <w:sz w:val="20"/>
        </w:rPr>
        <w:t>ex ante</w:t>
      </w:r>
      <w:r>
        <w:rPr>
          <w:noProof/>
          <w:sz w:val="20"/>
        </w:rPr>
        <w:t xml:space="preserve"> tal-Abbozz tal-Pjan Baġitarju (DBP) għas-sena T+1. </w:t>
      </w:r>
    </w:p>
    <w:p w14:paraId="66877BA6" w14:textId="78A019E2" w:rsidR="005B06A4" w:rsidRDefault="00EF1614" w:rsidP="002E042D">
      <w:pPr>
        <w:spacing w:after="0"/>
        <w:rPr>
          <w:noProof/>
          <w:sz w:val="20"/>
        </w:rPr>
      </w:pPr>
      <w:r>
        <w:rPr>
          <w:noProof/>
          <w:sz w:val="20"/>
        </w:rPr>
        <w:t xml:space="preserve">** Fir-Rebbiegħa T, għad ma jistax ikun hemm valutazzjoni </w:t>
      </w:r>
      <w:r>
        <w:rPr>
          <w:i/>
          <w:noProof/>
          <w:sz w:val="20"/>
        </w:rPr>
        <w:t>ex post</w:t>
      </w:r>
      <w:r>
        <w:rPr>
          <w:noProof/>
          <w:sz w:val="20"/>
        </w:rPr>
        <w:t xml:space="preserve"> sħiħa tar-riżultati fiskali għaliex is-sena T timmarka l-bidu tal-implimentazzjoni tal-pjan.</w:t>
      </w:r>
    </w:p>
    <w:p w14:paraId="310DDA6E" w14:textId="77777777" w:rsidR="005B06A4" w:rsidRDefault="005B06A4">
      <w:pPr>
        <w:spacing w:after="160" w:line="259" w:lineRule="auto"/>
        <w:jc w:val="left"/>
        <w:rPr>
          <w:noProof/>
          <w:sz w:val="20"/>
        </w:rPr>
      </w:pPr>
      <w:r>
        <w:rPr>
          <w:noProof/>
        </w:rPr>
        <w:br w:type="page"/>
      </w:r>
    </w:p>
    <w:p w14:paraId="2ADC3CA7" w14:textId="72E9E964" w:rsidR="005B06A4" w:rsidRPr="00532466" w:rsidRDefault="005B06A4" w:rsidP="00532466">
      <w:pPr>
        <w:rPr>
          <w:b/>
          <w:bCs/>
          <w:noProof/>
        </w:rPr>
      </w:pPr>
      <w:r>
        <w:rPr>
          <w:b/>
          <w:noProof/>
        </w:rPr>
        <w:t xml:space="preserve">Anness 2 – Eżitu tad-dibattitu pubbliku </w:t>
      </w:r>
      <w:r>
        <w:rPr>
          <w:noProof/>
        </w:rPr>
        <w:t>(</w:t>
      </w:r>
      <w:r>
        <w:rPr>
          <w:rStyle w:val="FootnoteReference"/>
          <w:noProof/>
        </w:rPr>
        <w:footnoteReference w:id="18"/>
      </w:r>
      <w:r>
        <w:rPr>
          <w:noProof/>
        </w:rPr>
        <w:t>)</w:t>
      </w:r>
    </w:p>
    <w:p w14:paraId="5E0F9102" w14:textId="386BACA0" w:rsidR="005B06A4" w:rsidRPr="00FC6665" w:rsidRDefault="005B06A4" w:rsidP="005B06A4">
      <w:pPr>
        <w:spacing w:after="120" w:line="276" w:lineRule="auto"/>
        <w:rPr>
          <w:noProof/>
        </w:rPr>
      </w:pPr>
      <w:r>
        <w:rPr>
          <w:b/>
          <w:noProof/>
        </w:rPr>
        <w:t>Wara t-tnedija mill-ġdid tar-rieżami tal-governanza ekonomika f’Ottubru 2021</w:t>
      </w:r>
      <w:r>
        <w:rPr>
          <w:noProof/>
        </w:rPr>
        <w:t>, (</w:t>
      </w:r>
      <w:r>
        <w:rPr>
          <w:rStyle w:val="FootnoteReference"/>
          <w:noProof/>
        </w:rPr>
        <w:footnoteReference w:id="19"/>
      </w:r>
      <w:r>
        <w:rPr>
          <w:noProof/>
        </w:rPr>
        <w:t xml:space="preserve">) </w:t>
      </w:r>
      <w:r>
        <w:rPr>
          <w:b/>
          <w:noProof/>
        </w:rPr>
        <w:t xml:space="preserve">il-partijiet ikkonċernati kkontribwew għad-dibattitu permezz ta’ stħarriġ pubbliku online. </w:t>
      </w:r>
      <w:r>
        <w:rPr>
          <w:noProof/>
        </w:rPr>
        <w:t>Il-partijiet ikkonċernati wieġbu għal 11-il mistoqsija miftuħa dwar aspetti differenti tal-governanza ekonomika tal-UE. L-istħarriġ irċieva 225 kontribuzzjoni valida minn rispondenti f’25 pajjiż. Il-Kummissjoni ġabret fil-qosor il-punti ewlenin tiegħu f’rapport ippubblikat f’Marzu 2022. (</w:t>
      </w:r>
      <w:r>
        <w:rPr>
          <w:rStyle w:val="FootnoteReference"/>
          <w:noProof/>
        </w:rPr>
        <w:footnoteReference w:id="20"/>
      </w:r>
      <w:r>
        <w:rPr>
          <w:noProof/>
        </w:rPr>
        <w:t xml:space="preserve">) Il-karatteristiċi tal-parteċipanti fl-istħarriġ ma kinux jirriflettu dawk tal-popolazzjoni tal-UE u, bħala tali, it-tweġibiet ma jistgħux jiġu interpretati bħala rappreżentattivi tal-fehma prevalenti taċ-ċittadini u l-partijiet ikkonċernati kollha tal-UE. Madankollu, il-varjetà u l-profondità tal-kontribuzzjonijiet jipprovdu kontribut siewi. Ħafna rispondenti esprimew il-fehma li l-qafas ta’ governanza għandu jsir aktar favorevoli għat-tkabbir, aktar konxju mill-kwistjonijiet soċjali, u li għandu jappoġġa l-prijoritajiet ta’ politika għat-tranżizzjoni ekoloġika u diġitali. Il-biċċa l-kbira tar-rispondenti rrikonoxxew il-ħtieġa li l-qafas fiskali jappoġġa r-reżiljenza tal-ekonomiji tal-UE għax-xokkijiet u li s-sostenibbiltà tad-dejn għandha tibqa’ objettiv ċentrali tar-regoli fiskali tal-UE, filwaqt li l-perkors ta’ aġġustament lejn dejn tal-gvern aktar baxx għandu jkun realistiku u gradwali. Ħafna rispondenti enfasizzaw il-ħtieġa li l-investiment jiġi inċentivat bħala karatteristika meħtieġa tal-qafas ta’ governanza ekonomika. L-investiment ekoloġiku ġie identifikat bħala li jistħoqqlu attenzjoni speċjali minħabba sfidi klimatiċi u ambjentali globali, filwaqt li ftit rispondenti wissew kontra l-għoti ta’ trattament preferenzjali għan-nefqa fuq l-investiment fis-sorveljanza fiskali. Il-parteċipanti talbu wkoll simplifikazzjoni, trasparenza u sjieda nazzjonali aktar b’saħħitha. Ħafna rispondenti qiesu l-RRF bħala ispirazzjoni tajba għall-qafas ta’ governanza, f’termini tat-trawwim tas-sjieda nazzjonali u l-promozzjoni tar-riformi permezz ta’ inċentivi pożittivi. Diversi rispondenti jappoġġaw konformità u infurzar aktar b’saħħithom tal-qafas ta’ sorveljanza. Diversi rispondenti talbu għal sinerġiji ulterjuri bejn il-PST u l-MIP, peress li dawn jistgħu jgħinu biex tittejjeb il-faċilità tat-tkabbir tal-finanzi pubbliċi u l-ilħuq simultanju ta’ diversi objettivi ta’ politika. </w:t>
      </w:r>
      <w:r>
        <w:rPr>
          <w:i/>
          <w:noProof/>
        </w:rPr>
        <w:t xml:space="preserve"> </w:t>
      </w:r>
    </w:p>
    <w:p w14:paraId="593D652F" w14:textId="3B482992" w:rsidR="007C6EF6" w:rsidRPr="007C6EF6" w:rsidRDefault="007C6EF6" w:rsidP="00E03458">
      <w:pPr>
        <w:spacing w:line="276" w:lineRule="auto"/>
        <w:rPr>
          <w:b/>
          <w:noProof/>
        </w:rPr>
      </w:pPr>
      <w:r>
        <w:rPr>
          <w:b/>
          <w:noProof/>
        </w:rPr>
        <w:t xml:space="preserve">Diversi kontributuri għad-dibattitu pubbliku talbu kapaċità fiskali ċentrali permanenti. </w:t>
      </w:r>
      <w:r>
        <w:rPr>
          <w:noProof/>
        </w:rPr>
        <w:t>(</w:t>
      </w:r>
      <w:r>
        <w:rPr>
          <w:rStyle w:val="FootnoteReference"/>
          <w:bCs/>
          <w:noProof/>
        </w:rPr>
        <w:footnoteReference w:id="21"/>
      </w:r>
      <w:r>
        <w:rPr>
          <w:noProof/>
        </w:rPr>
        <w:t xml:space="preserve">) Għodda bħal din tista’ tindirizza sfidi aktar fit-tul permezz tal-provvista ta’ beni pubbliċi komuni li jagħtu spinta lit-tkabbir sostenibbli u jgħinu biex titnaqqas l-inflazzjoni u/jew biex tittejjeb l-istabbilizzazzjoni makroekonomika. Ir-rapport tal-Ħames Presidenti fl-2015 identifika prinċipji ta’ gwida sodi għat-tfassil tiegħu, b’mod partikolari li tali kapaċità ma għandhiex twassal għal trasferimenti permanenti bejn il-pajjiżi, għandha żżomm l-inċentivi għal tfassil ta’ politika fiskali sod fil-livell nazzjonali, u għandha tiġi żviluppata fil-qafas tal-Unjoni Ewropea. Kif issuġġerit fid-dibattitu pubbliku, kapaċità fiskali ċentrali għall-UE jew għaż-żona tal-euro tista’ tqis l-eżempji ta’ suċċessi ta’ dawn l-aħħar snin (jiġifieri, il-Fond Ewropew għall-Investimenti Strateġiċi, SURE, u l-RRF). </w:t>
      </w:r>
    </w:p>
    <w:p w14:paraId="163AEF5E" w14:textId="753A50DF" w:rsidR="005B06A4" w:rsidRPr="00FC6665" w:rsidRDefault="005B06A4" w:rsidP="005B06A4">
      <w:pPr>
        <w:spacing w:after="120" w:line="276" w:lineRule="auto"/>
        <w:rPr>
          <w:noProof/>
        </w:rPr>
      </w:pPr>
      <w:r>
        <w:rPr>
          <w:b/>
          <w:noProof/>
        </w:rPr>
        <w:t>Id-dibattitu inkluda wkoll serje ta’ diskussjonijiet tematiċi mal-Istati Membri fil-Kumitat Ekonomiku u Finanzjarju u l-Kumitat tal-Politika Ekonomika</w:t>
      </w:r>
      <w:r>
        <w:rPr>
          <w:noProof/>
        </w:rPr>
        <w:t xml:space="preserve">. Dawn id-diskussjonijiet iffokaw fuq is-sostenibbiltà tad-dejn pubbliku, il-ħtieġa li jiġi promoss l-investiment, il-proċikliċità tal-politika fiskali, l-infurzar u l-governanza tar-regoli fiskali tal-UE, l-interazzjoni bejn l-oqfsa fiskali tal-UE u dawk nazzjonali, ir-rilevanza u l-effettività tal-MIP u l-ħtieġa li jinżamm iffokat fuq l-isfidi makroekonomiċi, u t-tagħlimiet li għandhom jittieħdu mill-RRF. Ġew diskussi wkoll l-implikazzjonijiet potenzjali fit-tul tal-invażjoni Russa tal-Ukrajna għar-reżiljenza u s-sigurtà. Id-dimensjoni taż-żona tal-euro tal-governanza ekonomika, u b’mod partikolari l-MIP, ġew diskussi fil-Grupp ta’ Ħidma tal-Grupp tal-Euro. </w:t>
      </w:r>
    </w:p>
    <w:p w14:paraId="6DFDA35E" w14:textId="77777777" w:rsidR="005B06A4" w:rsidRPr="00C1099D" w:rsidRDefault="005B06A4" w:rsidP="005B06A4">
      <w:pPr>
        <w:spacing w:after="120" w:line="276" w:lineRule="auto"/>
        <w:rPr>
          <w:noProof/>
        </w:rPr>
      </w:pPr>
      <w:r>
        <w:rPr>
          <w:b/>
          <w:noProof/>
        </w:rPr>
        <w:t xml:space="preserve">Id-diskussjonijiet iffokaw fuq l-identifikazzjoni ta’ kwistjonijiet ewlenin li għandhom jiġu indirizzati f’qafas ta’ governanza ekonomika riformat. </w:t>
      </w:r>
      <w:r>
        <w:rPr>
          <w:noProof/>
        </w:rPr>
        <w:t>Ħarġu xi elementi ta’ kunsens, b’mod partikolari fid-diskussjonijiet mal-Istati Membri. Uħud minn dawn, b’mod partikolari dawk rigward il-qafas fiskali, diġà ġew deskritti fil-Komunikazzjoni tal-Kummissjoni tat-2 ta’ Marzu 2022. (</w:t>
      </w:r>
      <w:r>
        <w:rPr>
          <w:rStyle w:val="FootnoteReference"/>
          <w:noProof/>
        </w:rPr>
        <w:footnoteReference w:id="22"/>
      </w:r>
      <w:r>
        <w:rPr>
          <w:noProof/>
        </w:rPr>
        <w:t>) Huma kif ġej:</w:t>
      </w:r>
    </w:p>
    <w:p w14:paraId="36712C29" w14:textId="77777777" w:rsidR="005B06A4" w:rsidRPr="0093532F" w:rsidRDefault="005B06A4" w:rsidP="005B06A4">
      <w:pPr>
        <w:pStyle w:val="ListParagraph"/>
        <w:numPr>
          <w:ilvl w:val="0"/>
          <w:numId w:val="2"/>
        </w:numPr>
        <w:tabs>
          <w:tab w:val="left" w:pos="5812"/>
        </w:tabs>
        <w:spacing w:after="120" w:line="276" w:lineRule="auto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/>
          <w:b/>
          <w:noProof/>
        </w:rPr>
        <w:t>L-iżgurar tas-sostenibbiltà tad-dejn pubbliku u l-promozzjoni tat-tkabbir sostenibbli</w:t>
      </w:r>
      <w:r>
        <w:rPr>
          <w:rFonts w:ascii="Times New Roman" w:hAnsi="Times New Roman"/>
          <w:noProof/>
        </w:rPr>
        <w:t xml:space="preserve"> permezz tal-investiment u r-riformi huma żewġ naħat tal-istess munita u huma kruċjali għas-suċċess tal-qafas fiskali tal-UE. </w:t>
      </w:r>
    </w:p>
    <w:p w14:paraId="2EB7E0A9" w14:textId="77777777" w:rsidR="005B06A4" w:rsidRPr="0093532F" w:rsidRDefault="005B06A4" w:rsidP="005B06A4">
      <w:pPr>
        <w:pStyle w:val="ListParagraph"/>
        <w:numPr>
          <w:ilvl w:val="0"/>
          <w:numId w:val="2"/>
        </w:numPr>
        <w:tabs>
          <w:tab w:val="left" w:pos="5812"/>
        </w:tabs>
        <w:spacing w:after="120" w:line="276" w:lineRule="auto"/>
        <w:ind w:left="714" w:hanging="357"/>
        <w:rPr>
          <w:rFonts w:ascii="Times New Roman" w:hAnsi="Times New Roman" w:cs="Times New Roman"/>
          <w:bCs/>
          <w:noProof/>
        </w:rPr>
      </w:pPr>
      <w:r>
        <w:rPr>
          <w:rFonts w:ascii="Times New Roman" w:hAnsi="Times New Roman"/>
          <w:b/>
          <w:noProof/>
        </w:rPr>
        <w:t>Aktar attenzjoni għat-terminu medju</w:t>
      </w:r>
      <w:r>
        <w:rPr>
          <w:rFonts w:ascii="Times New Roman" w:hAnsi="Times New Roman"/>
          <w:noProof/>
        </w:rPr>
        <w:t xml:space="preserve"> fis-sorveljanza fiskali tal-UE tidher triq promettenti. </w:t>
      </w:r>
    </w:p>
    <w:p w14:paraId="2EE09174" w14:textId="226B4764" w:rsidR="00122240" w:rsidRPr="00C17F85" w:rsidRDefault="005B06A4" w:rsidP="005B06A4">
      <w:pPr>
        <w:pStyle w:val="ListParagraph"/>
        <w:numPr>
          <w:ilvl w:val="0"/>
          <w:numId w:val="2"/>
        </w:numPr>
        <w:tabs>
          <w:tab w:val="left" w:pos="5812"/>
        </w:tabs>
        <w:spacing w:after="120" w:line="276" w:lineRule="auto"/>
        <w:ind w:left="714" w:hanging="357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/>
          <w:b/>
          <w:noProof/>
        </w:rPr>
        <w:t>Jista’ jinsilet l-għarfien mit-tfassil, mill-governanza u mill-operat tal-RRF</w:t>
      </w:r>
      <w:r>
        <w:rPr>
          <w:rFonts w:ascii="Times New Roman" w:hAnsi="Times New Roman"/>
          <w:noProof/>
        </w:rPr>
        <w:t>.</w:t>
      </w:r>
    </w:p>
    <w:p w14:paraId="5F327CF9" w14:textId="70CACB27" w:rsidR="005B06A4" w:rsidRPr="0093532F" w:rsidRDefault="005B06A4" w:rsidP="005B06A4">
      <w:pPr>
        <w:pStyle w:val="ListParagraph"/>
        <w:numPr>
          <w:ilvl w:val="0"/>
          <w:numId w:val="2"/>
        </w:numPr>
        <w:tabs>
          <w:tab w:val="left" w:pos="5812"/>
        </w:tabs>
        <w:spacing w:after="120" w:line="276" w:lineRule="auto"/>
        <w:ind w:left="714" w:hanging="357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/>
          <w:b/>
          <w:noProof/>
        </w:rPr>
        <w:t>Simplifikazzjoni, sjieda nazzjonali aktar b’saħħitha u infurzar aħjar</w:t>
      </w:r>
      <w:r>
        <w:rPr>
          <w:rFonts w:ascii="Times New Roman" w:hAnsi="Times New Roman"/>
          <w:noProof/>
        </w:rPr>
        <w:t xml:space="preserve"> huma objettivi ewlenin.</w:t>
      </w:r>
    </w:p>
    <w:p w14:paraId="2EF14489" w14:textId="77777777" w:rsidR="005B06A4" w:rsidRPr="00295DA9" w:rsidRDefault="005B06A4" w:rsidP="005B06A4">
      <w:pPr>
        <w:tabs>
          <w:tab w:val="left" w:pos="5812"/>
        </w:tabs>
        <w:spacing w:after="120" w:line="276" w:lineRule="auto"/>
        <w:rPr>
          <w:noProof/>
        </w:rPr>
      </w:pPr>
      <w:r>
        <w:rPr>
          <w:b/>
          <w:noProof/>
        </w:rPr>
        <w:t>Diskussjonijiet enfasizzaw ukoll kwistjonijiet ewlenin li jistgħu jiġu indirizzati f’qafas ta’ governanza ekonomika riformat fir-rigward tal-MIP:</w:t>
      </w:r>
    </w:p>
    <w:p w14:paraId="78DEFAB5" w14:textId="77777777" w:rsidR="005B06A4" w:rsidRPr="00295DA9" w:rsidRDefault="005B06A4" w:rsidP="005B06A4">
      <w:pPr>
        <w:pStyle w:val="ListParagraph"/>
        <w:numPr>
          <w:ilvl w:val="0"/>
          <w:numId w:val="2"/>
        </w:numPr>
        <w:tabs>
          <w:tab w:val="left" w:pos="5812"/>
        </w:tabs>
        <w:spacing w:after="120" w:line="276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b/>
          <w:noProof/>
        </w:rPr>
        <w:t>Iż-żieda fl-effettività tal-MIP għandha tkun prijorità ewlenija.</w:t>
      </w:r>
      <w:r>
        <w:rPr>
          <w:rFonts w:ascii="Times New Roman" w:hAnsi="Times New Roman"/>
          <w:noProof/>
        </w:rPr>
        <w:t xml:space="preserve"> Dan jista’ jinkiseb billi tiżdied l-enfasi fuq l-objettiv ewlieni tiegħu, li huwa li jiġi evitat li riskji għall-istabbiltà makrofinanzjarja jinbidlu fi żbilanċi u li titrawwem azzjoni ta’ politika, filwaqt li jitqies il-funzjonament tal-UE u taż-żona tal-euro kollha kemm hi. Fokus aktar ċar jiffaċilita l-komunikazzjoni fir-rigward tal-identifikazzjoni tal-iżbilanċi makroekonomiċi u r-rispons politiku meħtieġ, u jtejjeb il-viżibbiltà tal-proċedura.</w:t>
      </w:r>
    </w:p>
    <w:p w14:paraId="1D44E1C6" w14:textId="77777777" w:rsidR="005B06A4" w:rsidRPr="00295DA9" w:rsidRDefault="005B06A4" w:rsidP="005B06A4">
      <w:pPr>
        <w:pStyle w:val="ListParagraph"/>
        <w:numPr>
          <w:ilvl w:val="0"/>
          <w:numId w:val="2"/>
        </w:numPr>
        <w:tabs>
          <w:tab w:val="left" w:pos="5812"/>
        </w:tabs>
        <w:spacing w:after="120" w:line="276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b/>
          <w:noProof/>
        </w:rPr>
        <w:t>Kriżijiet reċenti u l-livell ogħla ta’ inċertezza jenfasizzaw il-ħtieġa li tissaħħaħ il-kapaċità tal-MIP li jidentifika riskji emerġenti</w:t>
      </w:r>
      <w:r>
        <w:rPr>
          <w:rFonts w:ascii="Times New Roman" w:hAnsi="Times New Roman"/>
          <w:noProof/>
        </w:rPr>
        <w:t>. Dan jista’ jinkiseb permezz tal-użu ta’ approċċ li jħares aktar ’il quddiem li jkun jista’ jagħti bidu għal rispons ta’ politika kmieni.</w:t>
      </w:r>
    </w:p>
    <w:p w14:paraId="769631AF" w14:textId="77777777" w:rsidR="005B06A4" w:rsidRPr="00505422" w:rsidRDefault="005B06A4" w:rsidP="005B06A4">
      <w:pPr>
        <w:pStyle w:val="ListParagraph"/>
        <w:numPr>
          <w:ilvl w:val="0"/>
          <w:numId w:val="2"/>
        </w:numPr>
        <w:spacing w:after="120" w:line="276" w:lineRule="auto"/>
        <w:ind w:left="714" w:hanging="357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b/>
          <w:noProof/>
        </w:rPr>
        <w:t>L-iżgurar tas-sjieda huwa kruċjali biex tiżdied it-trazzjoni tal-MIP</w:t>
      </w:r>
      <w:r>
        <w:rPr>
          <w:rFonts w:ascii="Times New Roman" w:hAnsi="Times New Roman"/>
          <w:noProof/>
        </w:rPr>
        <w:t xml:space="preserve">. Dan jitlob djalogu msaħħaħ mal-Istati Membri, li jistgħu jibnu fuq l-esperjenza tal-RRF. Jekk l-EIP isir aktar operazzjonali, dan jappoġġa wkoll żieda fit-trazzjoni. </w:t>
      </w:r>
    </w:p>
    <w:p w14:paraId="7AFCEEB9" w14:textId="77777777" w:rsidR="005B06A4" w:rsidRPr="00726391" w:rsidRDefault="005B06A4" w:rsidP="005B06A4">
      <w:pPr>
        <w:spacing w:after="120" w:line="276" w:lineRule="auto"/>
        <w:rPr>
          <w:noProof/>
        </w:rPr>
      </w:pPr>
      <w:r>
        <w:rPr>
          <w:b/>
          <w:noProof/>
        </w:rPr>
        <w:t>B’mod parallel, il-Konferenza dwar il-Futur tal-Ewropa rriflettiet ukoll dwar kif għandhom jinbnew ekonomija tal-UE, ġustizzja soċjali u impjiegi aktar b’saħħithom.</w:t>
      </w:r>
      <w:r>
        <w:rPr>
          <w:noProof/>
        </w:rPr>
        <w:t xml:space="preserve"> (</w:t>
      </w:r>
      <w:r>
        <w:rPr>
          <w:rStyle w:val="FootnoteReference"/>
          <w:noProof/>
        </w:rPr>
        <w:footnoteReference w:id="23"/>
      </w:r>
      <w:r>
        <w:rPr>
          <w:noProof/>
        </w:rPr>
        <w:t>) Ipproponiet li l-UE ssaħħaħ il-kompetittività u r-reżiljenza tagħha u tippromwovi investimenti orjentati lejn il-futur iffokati fuq it-tranżizzjoni ekoloġika u diġitali b’dimensjoni soċjali u tal-ġeneru b’saħħitha, filwaqt li jitqiesu wkoll l-eżempji ta’ NextGenerationEU u l-istrument SURE. Skont il-Konferenza, l-UE jeħtieġ li tqis l-impatt soċjali u ekonomiku tal-gwerra kontra l-Ukrajna u r-rabta bejn il-governanza ekonomika tal-UE mal-kuntest ġeopolitiku l-ġdid.</w:t>
      </w:r>
    </w:p>
    <w:p w14:paraId="1F8AC013" w14:textId="66BEEE21" w:rsidR="005B06A4" w:rsidRPr="002E042D" w:rsidRDefault="005B06A4" w:rsidP="002E042D">
      <w:pPr>
        <w:spacing w:after="0"/>
        <w:rPr>
          <w:noProof/>
          <w:highlight w:val="yellow"/>
        </w:rPr>
      </w:pPr>
    </w:p>
    <w:sectPr w:rsidR="005B06A4" w:rsidRPr="002E042D" w:rsidSect="002E042D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E8F40" w14:textId="77777777" w:rsidR="004C23EF" w:rsidRDefault="004C23EF" w:rsidP="00311DB6">
      <w:pPr>
        <w:spacing w:after="0"/>
      </w:pPr>
      <w:r>
        <w:separator/>
      </w:r>
    </w:p>
  </w:endnote>
  <w:endnote w:type="continuationSeparator" w:id="0">
    <w:p w14:paraId="510257E3" w14:textId="77777777" w:rsidR="004C23EF" w:rsidRDefault="004C23EF" w:rsidP="00311DB6">
      <w:pPr>
        <w:spacing w:after="0"/>
      </w:pPr>
      <w:r>
        <w:continuationSeparator/>
      </w:r>
    </w:p>
  </w:endnote>
  <w:endnote w:type="continuationNotice" w:id="1">
    <w:p w14:paraId="2FDC4339" w14:textId="77777777" w:rsidR="004C23EF" w:rsidRDefault="004C23E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altName w:val="Century Gothic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6591E" w14:textId="77777777" w:rsidR="0003538E" w:rsidRPr="0003538E" w:rsidRDefault="0003538E" w:rsidP="000353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F445" w14:textId="72B83B2E" w:rsidR="007E1ECE" w:rsidRPr="0003538E" w:rsidRDefault="0003538E" w:rsidP="0003538E">
    <w:pPr>
      <w:pStyle w:val="FooterCoverPage"/>
      <w:rPr>
        <w:rFonts w:ascii="Arial" w:hAnsi="Arial" w:cs="Arial"/>
        <w:b/>
        <w:sz w:val="48"/>
      </w:rPr>
    </w:pPr>
    <w:r w:rsidRPr="0003538E">
      <w:rPr>
        <w:rFonts w:ascii="Arial" w:hAnsi="Arial" w:cs="Arial"/>
        <w:b/>
        <w:sz w:val="48"/>
      </w:rPr>
      <w:t>MT</w:t>
    </w:r>
    <w:r w:rsidRPr="0003538E">
      <w:rPr>
        <w:rFonts w:ascii="Arial" w:hAnsi="Arial" w:cs="Arial"/>
        <w:b/>
        <w:sz w:val="48"/>
      </w:rPr>
      <w:tab/>
    </w:r>
    <w:r w:rsidRPr="0003538E">
      <w:rPr>
        <w:rFonts w:ascii="Arial" w:hAnsi="Arial" w:cs="Arial"/>
        <w:b/>
        <w:sz w:val="48"/>
      </w:rPr>
      <w:tab/>
    </w:r>
    <w:r w:rsidRPr="0003538E">
      <w:tab/>
    </w:r>
    <w:r w:rsidRPr="0003538E"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B9C92" w14:textId="77777777" w:rsidR="0003538E" w:rsidRPr="0003538E" w:rsidRDefault="0003538E" w:rsidP="0003538E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2DE99" w14:textId="77777777" w:rsidR="00822834" w:rsidRDefault="0082283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96990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CC2372" w14:textId="565B98D7" w:rsidR="00DD1A74" w:rsidRPr="005325B1" w:rsidRDefault="00DD1A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538E">
          <w:rPr>
            <w:noProof/>
          </w:rPr>
          <w:t>1</w:t>
        </w:r>
        <w:r>
          <w:fldChar w:fldCharType="end"/>
        </w:r>
      </w:p>
    </w:sdtContent>
  </w:sdt>
  <w:p w14:paraId="4078BB4F" w14:textId="77777777" w:rsidR="00DD1A74" w:rsidRPr="005325B1" w:rsidRDefault="00DD1A74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FA621" w14:textId="77777777" w:rsidR="00822834" w:rsidRDefault="008228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B8E17" w14:textId="77777777" w:rsidR="004C23EF" w:rsidRDefault="004C23EF" w:rsidP="00311DB6">
      <w:pPr>
        <w:spacing w:after="0"/>
      </w:pPr>
      <w:r>
        <w:separator/>
      </w:r>
    </w:p>
  </w:footnote>
  <w:footnote w:type="continuationSeparator" w:id="0">
    <w:p w14:paraId="1A079EB7" w14:textId="77777777" w:rsidR="004C23EF" w:rsidRDefault="004C23EF" w:rsidP="00311DB6">
      <w:pPr>
        <w:spacing w:after="0"/>
      </w:pPr>
      <w:r>
        <w:continuationSeparator/>
      </w:r>
    </w:p>
  </w:footnote>
  <w:footnote w:type="continuationNotice" w:id="1">
    <w:p w14:paraId="634FA803" w14:textId="77777777" w:rsidR="004C23EF" w:rsidRDefault="004C23EF">
      <w:pPr>
        <w:spacing w:after="0"/>
      </w:pPr>
    </w:p>
  </w:footnote>
  <w:footnote w:id="2">
    <w:p w14:paraId="6CB60C50" w14:textId="1342B569" w:rsidR="00DD1A74" w:rsidRPr="000C6EF8" w:rsidRDefault="00DD1A74">
      <w:pPr>
        <w:pStyle w:val="FootnoteText"/>
      </w:pPr>
      <w:r>
        <w:t>(</w:t>
      </w:r>
      <w:r>
        <w:rPr>
          <w:rStyle w:val="FootnoteReference"/>
        </w:rPr>
        <w:footnoteRef/>
      </w:r>
      <w:r>
        <w:t>) F’Marzu 2022, il-Kummissjoni ppubblikat rapport sommarju dwar it-tweġibiet għall-istħarriġ online. Kummissjoni Ewropea (2022), “</w:t>
      </w:r>
      <w:hyperlink r:id="rId1" w:history="1">
        <w:r>
          <w:rPr>
            <w:rStyle w:val="Hyperlink"/>
          </w:rPr>
          <w:t>Online public consultation on the review of the EU economic governance framework:</w:t>
        </w:r>
      </w:hyperlink>
      <w:hyperlink r:id="rId2" w:history="1">
        <w:r>
          <w:rPr>
            <w:rStyle w:val="Hyperlink"/>
          </w:rPr>
          <w:t xml:space="preserve"> summary of responses</w:t>
        </w:r>
      </w:hyperlink>
      <w:r>
        <w:t>”, SWD(2022) 104 final tat-28 ta’ Marzu 2022.</w:t>
      </w:r>
    </w:p>
  </w:footnote>
  <w:footnote w:id="3">
    <w:p w14:paraId="3BE3E81B" w14:textId="7350F487" w:rsidR="00DD1A74" w:rsidRPr="00FF2688" w:rsidRDefault="00DD1A74">
      <w:pPr>
        <w:pStyle w:val="FootnoteText"/>
      </w:pPr>
      <w:r>
        <w:t>(</w:t>
      </w:r>
      <w:r>
        <w:rPr>
          <w:rStyle w:val="FootnoteReference"/>
        </w:rPr>
        <w:footnoteRef/>
      </w:r>
      <w:r>
        <w:t xml:space="preserve">) </w:t>
      </w:r>
      <w:hyperlink r:id="rId3" w:history="1">
        <w:r>
          <w:rPr>
            <w:rStyle w:val="Hyperlink"/>
          </w:rPr>
          <w:t>Diskors dwar l-Istat tal-Unjoni</w:t>
        </w:r>
      </w:hyperlink>
      <w:r>
        <w:t xml:space="preserve"> mill-President tal-Kummissjoni Ewropea, 14 ta’ Settembru 2022. </w:t>
      </w:r>
    </w:p>
  </w:footnote>
  <w:footnote w:id="4">
    <w:p w14:paraId="359B5191" w14:textId="77777777" w:rsidR="00DD1A74" w:rsidRPr="008F18B8" w:rsidRDefault="00DD1A74" w:rsidP="00AC29AC">
      <w:pPr>
        <w:pStyle w:val="FootnoteText"/>
      </w:pPr>
      <w:r>
        <w:t>(</w:t>
      </w:r>
      <w:r>
        <w:rPr>
          <w:rStyle w:val="FootnoteReference"/>
        </w:rPr>
        <w:footnoteRef/>
      </w:r>
      <w:r>
        <w:t>) Deskrizzjoni sħiħa tar-riformi tas-</w:t>
      </w:r>
      <w:r>
        <w:rPr>
          <w:i/>
        </w:rPr>
        <w:t>six-pack</w:t>
      </w:r>
      <w:r>
        <w:t xml:space="preserve"> u t-</w:t>
      </w:r>
      <w:r>
        <w:rPr>
          <w:i/>
        </w:rPr>
        <w:t>two-pack</w:t>
      </w:r>
      <w:r>
        <w:t xml:space="preserve"> tista’ tinstab fil-Kaxxa 1 tal-“</w:t>
      </w:r>
      <w:hyperlink r:id="rId4" w:history="1">
        <w:r>
          <w:rPr>
            <w:rStyle w:val="Hyperlink"/>
          </w:rPr>
          <w:t>Economic governance review”</w:t>
        </w:r>
      </w:hyperlink>
      <w:r>
        <w:t xml:space="preserve"> tal-Kummissjoni Ewropea (2020), COM(2020) 55 final tal-5 ta’ Frar 2020. Lista sħiħa tal-leġiżlazzjoni sekondarja sottostanti tista’ tinstab fin-Nota f’Qiegħ il-Paġna 1 (Paġna 1) tad-Dokument ta’ Ħidma tal-Persunal li jakkumpanja dik il-komunikazzjoni (il-Kummissjoni Ewropea (2020), “</w:t>
      </w:r>
      <w:hyperlink r:id="rId5" w:history="1">
        <w:r>
          <w:rPr>
            <w:rStyle w:val="Hyperlink"/>
          </w:rPr>
          <w:t>Economic governance review</w:t>
        </w:r>
      </w:hyperlink>
      <w:r>
        <w:t xml:space="preserve">”, SWD(2020) 210 final tal-5 ta’ Frar 2020). </w:t>
      </w:r>
    </w:p>
  </w:footnote>
  <w:footnote w:id="5">
    <w:p w14:paraId="5BD64B01" w14:textId="3F63F841" w:rsidR="00DD1A74" w:rsidRPr="00315647" w:rsidRDefault="00DD1A74">
      <w:pPr>
        <w:pStyle w:val="FootnoteText"/>
      </w:pPr>
      <w:r>
        <w:t>(</w:t>
      </w:r>
      <w:r>
        <w:rPr>
          <w:rStyle w:val="FootnoteReference"/>
        </w:rPr>
        <w:footnoteRef/>
      </w:r>
      <w:r>
        <w:t>) Diskussjoni aktar fil-fond dwar ir-rispons għall-kriżi tal-COVID-19 u l-implikazzjonijiet ta’ dik il-kriżi fuq ir-rieżami tal-governanza ekonomika jinsabu fil-Kummissjoni Ewropea (2021), “</w:t>
      </w:r>
      <w:hyperlink r:id="rId6" w:history="1">
        <w:r>
          <w:rPr>
            <w:rStyle w:val="Hyperlink"/>
          </w:rPr>
          <w:t>The EU economy after COVID-19:</w:t>
        </w:r>
      </w:hyperlink>
      <w:hyperlink r:id="rId7" w:history="1">
        <w:r>
          <w:rPr>
            <w:rStyle w:val="Hyperlink"/>
          </w:rPr>
          <w:t xml:space="preserve"> implications for economic governance”</w:t>
        </w:r>
      </w:hyperlink>
      <w:r>
        <w:t xml:space="preserve"> COM(2021) 662 final tad-19 ta’ Ottubru 2021.</w:t>
      </w:r>
    </w:p>
  </w:footnote>
  <w:footnote w:id="6">
    <w:p w14:paraId="33C334B2" w14:textId="504B0787" w:rsidR="005F0FE4" w:rsidRPr="005F0FE4" w:rsidRDefault="005F0FE4" w:rsidP="002C2438">
      <w:pPr>
        <w:pStyle w:val="FootnoteText"/>
      </w:pPr>
      <w:r>
        <w:t>(</w:t>
      </w:r>
      <w:r>
        <w:rPr>
          <w:rStyle w:val="FootnoteReference"/>
        </w:rPr>
        <w:footnoteRef/>
      </w:r>
      <w:r>
        <w:t>) Gwida għall-Istati Membri dwar kif l-aħjar li jwettqu valutazzjonijiet tal-impatt distribuzzjonali ta’ politiki ġodda, li huma importanti sabiex jiġi evitat li l-inugwaljanzi eżistenti jmorru għall-agħar, jistgħu jinstabu fil-“</w:t>
      </w:r>
      <w:hyperlink r:id="rId8" w:history="1">
        <w:r>
          <w:rPr>
            <w:rStyle w:val="Hyperlink"/>
          </w:rPr>
          <w:t>Valutazzjoni aħjar tal-impatt distributtiv tal-politiki tal-Istati Membri</w:t>
        </w:r>
      </w:hyperlink>
      <w:r>
        <w:t>”, tal-Kummissjoni Ewropea (2022), COM(2022) 494 final tat-23 ta’ Settembru 2022.</w:t>
      </w:r>
    </w:p>
  </w:footnote>
  <w:footnote w:id="7">
    <w:p w14:paraId="20E4D837" w14:textId="77777777" w:rsidR="00DD1A74" w:rsidRPr="0051534D" w:rsidRDefault="00DD1A74" w:rsidP="00D3469A">
      <w:pPr>
        <w:pStyle w:val="FootnoteText"/>
        <w:ind w:left="283" w:hanging="283"/>
      </w:pPr>
      <w:r>
        <w:t>(</w:t>
      </w:r>
      <w:r>
        <w:rPr>
          <w:rStyle w:val="FootnoteReference"/>
        </w:rPr>
        <w:footnoteRef/>
      </w:r>
      <w:r>
        <w:t xml:space="preserve">) </w:t>
      </w:r>
      <w:r>
        <w:tab/>
        <w:t>Il-Kummissjoni Ewropea (2022), “</w:t>
      </w:r>
      <w:hyperlink r:id="rId9" w:history="1">
        <w:r>
          <w:rPr>
            <w:rStyle w:val="Hyperlink"/>
          </w:rPr>
          <w:t>REPowerEU:</w:t>
        </w:r>
      </w:hyperlink>
      <w:hyperlink r:id="rId10" w:history="1">
        <w:r>
          <w:rPr>
            <w:rStyle w:val="Hyperlink"/>
          </w:rPr>
          <w:t xml:space="preserve"> Joint European Action for more affordable, secure and sustainable energy</w:t>
        </w:r>
      </w:hyperlink>
      <w:r>
        <w:t>,’ COM (2022) 108 final tat-8 ta’ Marzu 2022.</w:t>
      </w:r>
    </w:p>
  </w:footnote>
  <w:footnote w:id="8">
    <w:p w14:paraId="192303FC" w14:textId="0DBB04C9" w:rsidR="00DD1A74" w:rsidRDefault="00DD1A74" w:rsidP="00304D60">
      <w:pPr>
        <w:pStyle w:val="FootnoteText"/>
      </w:pPr>
      <w:r>
        <w:t>(</w:t>
      </w:r>
      <w:r>
        <w:rPr>
          <w:rStyle w:val="FootnoteReference"/>
        </w:rPr>
        <w:footnoteRef/>
      </w:r>
      <w:r>
        <w:t xml:space="preserve">) </w:t>
      </w:r>
      <w:bookmarkStart w:id="4" w:name="_Hlk118465988"/>
      <w:r>
        <w:t>Il-pjanijiet fiskali-strutturali jgħaqqdu l-Programmi attwali ta’ Stabbiltà u Konverġenza mal-Programmi Nazzjonali ta’ Riforma</w:t>
      </w:r>
      <w:bookmarkEnd w:id="4"/>
      <w:r>
        <w:t>. </w:t>
      </w:r>
    </w:p>
  </w:footnote>
  <w:footnote w:id="9">
    <w:p w14:paraId="4212BAFD" w14:textId="05F2D048" w:rsidR="00DD1A74" w:rsidRPr="00304D60" w:rsidRDefault="00DD1A74">
      <w:pPr>
        <w:pStyle w:val="FootnoteText"/>
      </w:pPr>
      <w:r>
        <w:t>(</w:t>
      </w:r>
      <w:r>
        <w:rPr>
          <w:rStyle w:val="FootnoteReference"/>
        </w:rPr>
        <w:footnoteRef/>
      </w:r>
      <w:r>
        <w:t>) Għal dan il-parametru referenzjarju, ara l-Artikolu 2(1a) tar-Regolament tal-Kunsill (KE) Nru 1467/97 tas-7 ta’ Lulju 1997 dwar it-tħaffif u l-kjarifika tal-implimentazzjoni tal-proċedura ta’ defiċit eċċessiv (ĠU L 209, 2.8.1997, p. 6).</w:t>
      </w:r>
    </w:p>
  </w:footnote>
  <w:footnote w:id="10">
    <w:p w14:paraId="77CBD6E7" w14:textId="01A5C5CD" w:rsidR="00DD1A74" w:rsidRDefault="00DD1A74">
      <w:pPr>
        <w:pStyle w:val="FootnoteText"/>
      </w:pPr>
      <w:r>
        <w:t>(</w:t>
      </w:r>
      <w:r>
        <w:rPr>
          <w:rStyle w:val="FootnoteReference"/>
        </w:rPr>
        <w:footnoteRef/>
      </w:r>
      <w:r>
        <w:t xml:space="preserve">) Il-Kummissjoni se tuża l-qafas tagħha ta’ analiżi tas-sostenibbiltà tad-dejn minħabba li huwa sett ta’ għodod analitiċi stabbilit sew għall-valutazzjoni tar-riskji għas-sostenibbiltà tad-dejn (ara l-Kaxxa 1).  </w:t>
      </w:r>
    </w:p>
  </w:footnote>
  <w:footnote w:id="11">
    <w:p w14:paraId="0342DF38" w14:textId="193F111B" w:rsidR="00DD1A74" w:rsidRPr="00BA551E" w:rsidRDefault="00DD1A74">
      <w:pPr>
        <w:pStyle w:val="FootnoteText"/>
      </w:pPr>
      <w:r>
        <w:t>(</w:t>
      </w:r>
      <w:r>
        <w:rPr>
          <w:rStyle w:val="FootnoteReference"/>
        </w:rPr>
        <w:footnoteRef/>
      </w:r>
      <w:r>
        <w:t>) L-interazzjonijiet rilevanti mal-RRPs se jitqiesu matul il-ħajja tal-RRF.</w:t>
      </w:r>
    </w:p>
  </w:footnote>
  <w:footnote w:id="12">
    <w:p w14:paraId="0BFC19E5" w14:textId="2E235AA2" w:rsidR="00DD1A74" w:rsidRPr="0044700A" w:rsidRDefault="00DD1A74">
      <w:pPr>
        <w:pStyle w:val="FootnoteText"/>
      </w:pPr>
      <w:r>
        <w:t>(</w:t>
      </w:r>
      <w:r>
        <w:rPr>
          <w:rStyle w:val="FootnoteReference"/>
        </w:rPr>
        <w:footnoteRef/>
      </w:r>
      <w:r>
        <w:t>) Il-modalitajiet preċiżi u l-bażi ġuridika ta’ dan l-istrument jeħtieġ li jiġu elaborati.</w:t>
      </w:r>
    </w:p>
  </w:footnote>
  <w:footnote w:id="13">
    <w:p w14:paraId="04ADF934" w14:textId="3F0F884C" w:rsidR="00DD1A74" w:rsidRPr="00E44282" w:rsidRDefault="00DD1A74">
      <w:pPr>
        <w:pStyle w:val="FootnoteText"/>
      </w:pPr>
      <w:r>
        <w:t>(</w:t>
      </w:r>
      <w:r>
        <w:rPr>
          <w:rStyle w:val="FootnoteReference"/>
        </w:rPr>
        <w:footnoteRef/>
      </w:r>
      <w:r>
        <w:t>) Għall-pjan ta’ azzjoni korrettiva, ara l-Artikolu 8 tar-Regolament (UE) Nru 1176/2011 tal-Parlament Ewropew u tal-Kunsill tas-16 ta’ Novembru 2011 dwar il-prevenzjoni u l-korrezzjoni tal-iżbilanċi makroekonomiċi (ĠU L 306, 23.11.2011, p. 25).</w:t>
      </w:r>
    </w:p>
  </w:footnote>
  <w:footnote w:id="14">
    <w:p w14:paraId="57AB9840" w14:textId="5746496E" w:rsidR="00DD1A74" w:rsidRDefault="00DD1A74">
      <w:pPr>
        <w:pStyle w:val="FootnoteText"/>
      </w:pPr>
      <w:r>
        <w:t>(</w:t>
      </w:r>
      <w:r>
        <w:rPr>
          <w:rStyle w:val="FootnoteReference"/>
        </w:rPr>
        <w:footnoteRef/>
      </w:r>
      <w:r>
        <w:t>) L-analiżi tas-sostenibbiltà tad-dejn ikollha rwol bħala għodda ta’ valutazzjoni tar-riskju biss fit-tfassil u mhux fl-implimentazzjoni tal-pjanijiet.</w:t>
      </w:r>
    </w:p>
  </w:footnote>
  <w:footnote w:id="15">
    <w:p w14:paraId="192236D6" w14:textId="221EA785" w:rsidR="00DD1A74" w:rsidRPr="00C17F85" w:rsidRDefault="00DD1A74">
      <w:pPr>
        <w:pStyle w:val="FootnoteText"/>
      </w:pPr>
      <w:r>
        <w:t>(</w:t>
      </w:r>
      <w:r>
        <w:rPr>
          <w:rStyle w:val="FootnoteReference"/>
        </w:rPr>
        <w:footnoteRef/>
      </w:r>
      <w:r>
        <w:t>) Sottomessi, f’konformità mal-Artikolu 7 tad-Deċiżjoni tal-Parlament Ewropew u tal-Kunsill li tistabbilixxi l-Programm ta’ Politika tad-Deċennju Diġitali 2030, disa’ xhur wara d-data tad-dħul fis-seħħ tiegħu (mistenni f’Jannar 2023).</w:t>
      </w:r>
    </w:p>
  </w:footnote>
  <w:footnote w:id="16">
    <w:p w14:paraId="0400BD32" w14:textId="7BDC0E37" w:rsidR="00DD1A74" w:rsidRPr="00F505CB" w:rsidRDefault="00DD1A74" w:rsidP="0040509C">
      <w:pPr>
        <w:pStyle w:val="FootnoteText"/>
      </w:pPr>
      <w:r>
        <w:t>(</w:t>
      </w:r>
      <w:r>
        <w:rPr>
          <w:rStyle w:val="FootnoteReference"/>
        </w:rPr>
        <w:footnoteRef/>
      </w:r>
      <w:r>
        <w:t>) Il-komplementarjetà bejn l-aderenza mal-politika fiskali bbażata fuq ir-regoli u l-ħtieġa għal koordinazzjoni biex jiġu indirizzati sitwazzjonijiet eċċezzjonali ġiet rikonoxxuta fil-kriterji ta’ eliġibbiltà għall-attivazzjoni tal-Istrument għall-Protezzjoni tat-Trażmissjoni (TPI) tal-BĊE, peress li l-konformità tal-Istati Membri mal-qafas fiskali tal-UE hija wieħed mill-kriterji li għandhom jitqiesu mill-Kunsill Governattiv tal-BĊE meta jiddeċiedi jekk għandux jattiva t-TPI.</w:t>
      </w:r>
    </w:p>
  </w:footnote>
  <w:footnote w:id="17">
    <w:p w14:paraId="2A5CB24C" w14:textId="77777777" w:rsidR="00DD1A74" w:rsidRPr="0051534D" w:rsidRDefault="00DD1A74" w:rsidP="00060EB7">
      <w:pPr>
        <w:pStyle w:val="FootnoteText"/>
      </w:pPr>
      <w:r>
        <w:t>(</w:t>
      </w:r>
      <w:r>
        <w:rPr>
          <w:rStyle w:val="FootnoteReference"/>
        </w:rPr>
        <w:footnoteRef/>
      </w:r>
      <w:r>
        <w:t>) Minn dak iż-żmien, il-Qorti Ewropea tal-Awdituri sabet li filwaqt li s-sorveljanza ta’ wara l-programm kienet għodda xierqa, l-effiċjenza tagħha kienet imfixkla minn objettivi mhux ċari u minn simplifikazzjoni u enfasi insuffiċjenti fl-implimentazzjoni, u għamlet diversi rakkomandazzjonijiet lill-Kummissjoni biex tqis tindirizza dawn in-nuqqasijiet fil-kuntest tar-rieżami tal-governanza ekonomika.</w:t>
      </w:r>
    </w:p>
  </w:footnote>
  <w:footnote w:id="18">
    <w:p w14:paraId="39414936" w14:textId="77777777" w:rsidR="00DD1A74" w:rsidRPr="000C6EF8" w:rsidRDefault="00DD1A74" w:rsidP="00ED6CED">
      <w:pPr>
        <w:pStyle w:val="FootnoteText"/>
      </w:pPr>
      <w:r>
        <w:t>(</w:t>
      </w:r>
      <w:r>
        <w:rPr>
          <w:rStyle w:val="FootnoteReference"/>
        </w:rPr>
        <w:footnoteRef/>
      </w:r>
      <w:r>
        <w:t>) Istituzzjonijiet oħrajn tal-UE għamlu għadd ta’ kontribuzzjonijiet utli għad-dibattitu pubbliku dwar il-qafas ta’ governanza ekonomika. Pereżempju, b’rispons għal talba dedikata mingħand l-eks President tal-Kummissjoni, Jean-Claude Juncker, f’Settembru 2019 il-Bord Fiskali Ewropew ippubblika l-“</w:t>
      </w:r>
      <w:hyperlink r:id="rId11" w:history="1">
        <w:r>
          <w:rPr>
            <w:rStyle w:val="Hyperlink"/>
            <w:i/>
          </w:rPr>
          <w:t>Assessment of the EU fiscal rules with a focus on the six- and two-pack legislation</w:t>
        </w:r>
      </w:hyperlink>
      <w:r>
        <w:t xml:space="preserve">” tiegħu. Fit-8 ta’ Lulju 2021, il-Parlament Ewropew (bl-MEP Margarida Marques taġixxi bħala </w:t>
      </w:r>
      <w:r>
        <w:rPr>
          <w:i/>
        </w:rPr>
        <w:t>rapporteur</w:t>
      </w:r>
      <w:r>
        <w:t>) adotta Riżoluzzjoni “</w:t>
      </w:r>
      <w:hyperlink r:id="rId12" w:history="1">
        <w:r>
          <w:rPr>
            <w:rStyle w:val="Hyperlink"/>
            <w:i/>
          </w:rPr>
          <w:t>dwar ir-rieżami tal-qafas leġiżlattiv makroekonomiku għal impatt aħjar fuq l-ekonomija reali tal-Ewropa u trasparenza aħjar tat-teħid ta’ deċiżjonijiet u tal-akkontabbiltà demokratika</w:t>
        </w:r>
      </w:hyperlink>
      <w:r>
        <w:t>”. Kemm il-</w:t>
      </w:r>
      <w:hyperlink r:id="rId13" w:history="1">
        <w:r>
          <w:rPr>
            <w:rStyle w:val="Hyperlink"/>
          </w:rPr>
          <w:t>Kumitat Ekonomiku u Soċjali Ewropew</w:t>
        </w:r>
      </w:hyperlink>
      <w:r>
        <w:t xml:space="preserve"> kif ukoll il-</w:t>
      </w:r>
      <w:hyperlink r:id="rId14" w:history="1">
        <w:r>
          <w:rPr>
            <w:rStyle w:val="Hyperlink"/>
          </w:rPr>
          <w:t>Kumitat Ewropew tar-Reġjuni</w:t>
        </w:r>
      </w:hyperlink>
      <w:r>
        <w:t xml:space="preserve"> ppubblikaw opinjonijiet dwar ir-rieżami tal-governanza ekonomika, f’Diċembru 2020 u fi Frar 2021 rispettivament.</w:t>
      </w:r>
    </w:p>
  </w:footnote>
  <w:footnote w:id="19">
    <w:p w14:paraId="19F249A6" w14:textId="77777777" w:rsidR="00DD1A74" w:rsidRPr="008255CF" w:rsidRDefault="00DD1A74" w:rsidP="005B06A4">
      <w:pPr>
        <w:pStyle w:val="FootnoteText"/>
      </w:pPr>
      <w:r>
        <w:t>(</w:t>
      </w:r>
      <w:r>
        <w:rPr>
          <w:rStyle w:val="FootnoteReference"/>
        </w:rPr>
        <w:footnoteRef/>
      </w:r>
      <w:r>
        <w:t>) Il-Kummissjoni Ewropea (2021), “</w:t>
      </w:r>
      <w:hyperlink r:id="rId15" w:history="1">
        <w:r>
          <w:rPr>
            <w:rStyle w:val="Hyperlink"/>
          </w:rPr>
          <w:t>The EU economy after COVID-19:</w:t>
        </w:r>
      </w:hyperlink>
      <w:hyperlink r:id="rId16" w:history="1">
        <w:r>
          <w:rPr>
            <w:rStyle w:val="Hyperlink"/>
          </w:rPr>
          <w:t xml:space="preserve"> implications for economic governance</w:t>
        </w:r>
      </w:hyperlink>
      <w:r>
        <w:t>”, COM(2021) 662 final tad-19 ta’ Ottubru 2021.</w:t>
      </w:r>
    </w:p>
  </w:footnote>
  <w:footnote w:id="20">
    <w:p w14:paraId="7F002B6F" w14:textId="77777777" w:rsidR="00DD1A74" w:rsidRPr="008F18B8" w:rsidRDefault="00DD1A74" w:rsidP="005B06A4">
      <w:pPr>
        <w:pStyle w:val="FootnoteText"/>
      </w:pPr>
      <w:r>
        <w:t>(</w:t>
      </w:r>
      <w:r>
        <w:rPr>
          <w:rStyle w:val="FootnoteReference"/>
        </w:rPr>
        <w:footnoteRef/>
      </w:r>
      <w:r>
        <w:t>) Il-Kummissjoni Ewropea (2022), “</w:t>
      </w:r>
      <w:hyperlink r:id="rId17" w:history="1">
        <w:r>
          <w:rPr>
            <w:rStyle w:val="Hyperlink"/>
          </w:rPr>
          <w:t>Economic Governance Review – Summary report of the public consultation</w:t>
        </w:r>
      </w:hyperlink>
      <w:r>
        <w:t>”, SWD(2022) 104 final tat-28 ta’ Marzu 2022.</w:t>
      </w:r>
    </w:p>
  </w:footnote>
  <w:footnote w:id="21">
    <w:p w14:paraId="63D273FF" w14:textId="0088C762" w:rsidR="00DD1A74" w:rsidRDefault="00DD1A74" w:rsidP="00122240">
      <w:pPr>
        <w:pStyle w:val="FootnoteText"/>
      </w:pPr>
      <w:r>
        <w:t>(</w:t>
      </w:r>
      <w:r>
        <w:rPr>
          <w:rStyle w:val="FootnoteReference"/>
        </w:rPr>
        <w:footnoteRef/>
      </w:r>
      <w:r>
        <w:t>) Il-Bord Fiskali Ewropew 2020;  Dokument Okkażjonali 273 tal-BĊE, Settembru 2021; Stħarriġ Ekonomiku tal-OECD dwar iż-Żona tal-Euro, Settembru 2021; Dokument Dipartimentali Nru 2022/014 tal-FMI, Settembru 2022.</w:t>
      </w:r>
    </w:p>
  </w:footnote>
  <w:footnote w:id="22">
    <w:p w14:paraId="448F4220" w14:textId="77777777" w:rsidR="00DD1A74" w:rsidRPr="008F18B8" w:rsidRDefault="00DD1A74" w:rsidP="005B06A4">
      <w:pPr>
        <w:pStyle w:val="FootnoteText"/>
      </w:pPr>
      <w:r>
        <w:t>(</w:t>
      </w:r>
      <w:r>
        <w:rPr>
          <w:rStyle w:val="FootnoteReference"/>
        </w:rPr>
        <w:footnoteRef/>
      </w:r>
      <w:r>
        <w:t>) Il-Kummissjoni Ewropea (2022), “</w:t>
      </w:r>
      <w:hyperlink r:id="rId18" w:history="1">
        <w:r>
          <w:rPr>
            <w:rStyle w:val="Hyperlink"/>
          </w:rPr>
          <w:t>Fiscal policy guidance for 2023</w:t>
        </w:r>
      </w:hyperlink>
      <w:r>
        <w:t>”, COM(2022) 85 final tat-2 ta’ Marzu 2022.</w:t>
      </w:r>
    </w:p>
  </w:footnote>
  <w:footnote w:id="23">
    <w:p w14:paraId="46E8A8C1" w14:textId="77777777" w:rsidR="00DD1A74" w:rsidRPr="0021259F" w:rsidRDefault="00DD1A74" w:rsidP="005B06A4">
      <w:pPr>
        <w:pStyle w:val="FootnoteText"/>
      </w:pPr>
      <w:r>
        <w:t>(</w:t>
      </w:r>
      <w:r>
        <w:rPr>
          <w:rStyle w:val="FootnoteReference"/>
        </w:rPr>
        <w:footnoteRef/>
      </w:r>
      <w:r>
        <w:t>) Il-Kummissjoni Ewropea (2022), “</w:t>
      </w:r>
      <w:hyperlink r:id="rId19" w:history="1">
        <w:r>
          <w:rPr>
            <w:rStyle w:val="Hyperlink"/>
          </w:rPr>
          <w:t>Conference on the future of Europe”</w:t>
        </w:r>
      </w:hyperlink>
      <w:r>
        <w:t>, COM(2022) 404 final tas-17 ta’ Ġunju 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02EDB" w14:textId="77777777" w:rsidR="0003538E" w:rsidRPr="0003538E" w:rsidRDefault="0003538E" w:rsidP="000353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17F28" w14:textId="77777777" w:rsidR="0003538E" w:rsidRPr="0003538E" w:rsidRDefault="0003538E" w:rsidP="0003538E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67067" w14:textId="77777777" w:rsidR="0003538E" w:rsidRPr="0003538E" w:rsidRDefault="0003538E" w:rsidP="0003538E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12B50" w14:textId="77777777" w:rsidR="00822834" w:rsidRDefault="0082283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E41A2" w14:textId="77777777" w:rsidR="00822834" w:rsidRDefault="0082283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E2B4C" w14:textId="77777777" w:rsidR="00822834" w:rsidRDefault="008228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158F"/>
    <w:multiLevelType w:val="hybridMultilevel"/>
    <w:tmpl w:val="65EA53C0"/>
    <w:lvl w:ilvl="0" w:tplc="1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02D256EC"/>
    <w:multiLevelType w:val="hybridMultilevel"/>
    <w:tmpl w:val="AE600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34BA2"/>
    <w:multiLevelType w:val="hybridMultilevel"/>
    <w:tmpl w:val="B35C47C4"/>
    <w:lvl w:ilvl="0" w:tplc="24AEA2F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DB0A69"/>
    <w:multiLevelType w:val="hybridMultilevel"/>
    <w:tmpl w:val="FD0EB7EA"/>
    <w:lvl w:ilvl="0" w:tplc="24AEA2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87516"/>
    <w:multiLevelType w:val="hybridMultilevel"/>
    <w:tmpl w:val="F5848DB6"/>
    <w:lvl w:ilvl="0" w:tplc="A5263B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FC672E"/>
    <w:multiLevelType w:val="hybridMultilevel"/>
    <w:tmpl w:val="28022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F06A91"/>
    <w:multiLevelType w:val="hybridMultilevel"/>
    <w:tmpl w:val="303843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BC66DE"/>
    <w:multiLevelType w:val="hybridMultilevel"/>
    <w:tmpl w:val="462C6644"/>
    <w:lvl w:ilvl="0" w:tplc="24AEA2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2C2C75"/>
    <w:multiLevelType w:val="hybridMultilevel"/>
    <w:tmpl w:val="63089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7E6A78"/>
    <w:multiLevelType w:val="hybridMultilevel"/>
    <w:tmpl w:val="9BD01224"/>
    <w:lvl w:ilvl="0" w:tplc="6FE4F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CC45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6AB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A266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18E1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7A98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BAAA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D21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0256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0E3235E5"/>
    <w:multiLevelType w:val="hybridMultilevel"/>
    <w:tmpl w:val="A5BC942E"/>
    <w:lvl w:ilvl="0" w:tplc="24AEA2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135D55"/>
    <w:multiLevelType w:val="multilevel"/>
    <w:tmpl w:val="BED458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08B5C6C"/>
    <w:multiLevelType w:val="hybridMultilevel"/>
    <w:tmpl w:val="D73A77A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B07356"/>
    <w:multiLevelType w:val="hybridMultilevel"/>
    <w:tmpl w:val="FC0AD822"/>
    <w:lvl w:ilvl="0" w:tplc="583ECE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D47BD"/>
    <w:multiLevelType w:val="hybridMultilevel"/>
    <w:tmpl w:val="D73CD152"/>
    <w:lvl w:ilvl="0" w:tplc="24AEA2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42638E"/>
    <w:multiLevelType w:val="hybridMultilevel"/>
    <w:tmpl w:val="0AB0443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5C10B2"/>
    <w:multiLevelType w:val="hybridMultilevel"/>
    <w:tmpl w:val="56848E7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5970318"/>
    <w:multiLevelType w:val="hybridMultilevel"/>
    <w:tmpl w:val="B768C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C021CA"/>
    <w:multiLevelType w:val="hybridMultilevel"/>
    <w:tmpl w:val="5672D830"/>
    <w:lvl w:ilvl="0" w:tplc="E63645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BB32A9"/>
    <w:multiLevelType w:val="hybridMultilevel"/>
    <w:tmpl w:val="98C8A16E"/>
    <w:lvl w:ilvl="0" w:tplc="DE141F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C5576D"/>
    <w:multiLevelType w:val="hybridMultilevel"/>
    <w:tmpl w:val="9AA4F616"/>
    <w:lvl w:ilvl="0" w:tplc="89FE6C3C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793A8F"/>
    <w:multiLevelType w:val="hybridMultilevel"/>
    <w:tmpl w:val="98906C16"/>
    <w:lvl w:ilvl="0" w:tplc="E63645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BB3674"/>
    <w:multiLevelType w:val="hybridMultilevel"/>
    <w:tmpl w:val="61A43E78"/>
    <w:lvl w:ilvl="0" w:tplc="24AEA2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BB8086C"/>
    <w:multiLevelType w:val="hybridMultilevel"/>
    <w:tmpl w:val="85B0305A"/>
    <w:lvl w:ilvl="0" w:tplc="24AEA2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C0C269C"/>
    <w:multiLevelType w:val="hybridMultilevel"/>
    <w:tmpl w:val="2B9C8F4C"/>
    <w:lvl w:ilvl="0" w:tplc="C24A2EB8">
      <w:start w:val="1"/>
      <w:numFmt w:val="decimal"/>
      <w:lvlText w:val="(%1)"/>
      <w:lvlJc w:val="left"/>
      <w:pPr>
        <w:ind w:left="434" w:hanging="360"/>
      </w:pPr>
      <w:rPr>
        <w:rFonts w:hint="default"/>
        <w:vertAlign w:val="superscript"/>
      </w:rPr>
    </w:lvl>
    <w:lvl w:ilvl="1" w:tplc="080C0019" w:tentative="1">
      <w:start w:val="1"/>
      <w:numFmt w:val="lowerLetter"/>
      <w:lvlText w:val="%2."/>
      <w:lvlJc w:val="left"/>
      <w:pPr>
        <w:ind w:left="1154" w:hanging="360"/>
      </w:pPr>
    </w:lvl>
    <w:lvl w:ilvl="2" w:tplc="080C001B" w:tentative="1">
      <w:start w:val="1"/>
      <w:numFmt w:val="lowerRoman"/>
      <w:lvlText w:val="%3."/>
      <w:lvlJc w:val="right"/>
      <w:pPr>
        <w:ind w:left="1874" w:hanging="180"/>
      </w:pPr>
    </w:lvl>
    <w:lvl w:ilvl="3" w:tplc="080C000F" w:tentative="1">
      <w:start w:val="1"/>
      <w:numFmt w:val="decimal"/>
      <w:lvlText w:val="%4."/>
      <w:lvlJc w:val="left"/>
      <w:pPr>
        <w:ind w:left="2594" w:hanging="360"/>
      </w:pPr>
    </w:lvl>
    <w:lvl w:ilvl="4" w:tplc="080C0019" w:tentative="1">
      <w:start w:val="1"/>
      <w:numFmt w:val="lowerLetter"/>
      <w:lvlText w:val="%5."/>
      <w:lvlJc w:val="left"/>
      <w:pPr>
        <w:ind w:left="3314" w:hanging="360"/>
      </w:pPr>
    </w:lvl>
    <w:lvl w:ilvl="5" w:tplc="080C001B" w:tentative="1">
      <w:start w:val="1"/>
      <w:numFmt w:val="lowerRoman"/>
      <w:lvlText w:val="%6."/>
      <w:lvlJc w:val="right"/>
      <w:pPr>
        <w:ind w:left="4034" w:hanging="180"/>
      </w:pPr>
    </w:lvl>
    <w:lvl w:ilvl="6" w:tplc="080C000F" w:tentative="1">
      <w:start w:val="1"/>
      <w:numFmt w:val="decimal"/>
      <w:lvlText w:val="%7."/>
      <w:lvlJc w:val="left"/>
      <w:pPr>
        <w:ind w:left="4754" w:hanging="360"/>
      </w:pPr>
    </w:lvl>
    <w:lvl w:ilvl="7" w:tplc="080C0019" w:tentative="1">
      <w:start w:val="1"/>
      <w:numFmt w:val="lowerLetter"/>
      <w:lvlText w:val="%8."/>
      <w:lvlJc w:val="left"/>
      <w:pPr>
        <w:ind w:left="5474" w:hanging="360"/>
      </w:pPr>
    </w:lvl>
    <w:lvl w:ilvl="8" w:tplc="080C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25" w15:restartNumberingAfterBreak="0">
    <w:nsid w:val="1FDC637F"/>
    <w:multiLevelType w:val="hybridMultilevel"/>
    <w:tmpl w:val="A36037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562B67"/>
    <w:multiLevelType w:val="hybridMultilevel"/>
    <w:tmpl w:val="6C8CC6F2"/>
    <w:lvl w:ilvl="0" w:tplc="4F2A8B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2B0595"/>
    <w:multiLevelType w:val="hybridMultilevel"/>
    <w:tmpl w:val="CFB25A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22C20ED"/>
    <w:multiLevelType w:val="hybridMultilevel"/>
    <w:tmpl w:val="092EA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2832283"/>
    <w:multiLevelType w:val="hybridMultilevel"/>
    <w:tmpl w:val="68805B14"/>
    <w:lvl w:ilvl="0" w:tplc="24AEA2F8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2F95EBF"/>
    <w:multiLevelType w:val="hybridMultilevel"/>
    <w:tmpl w:val="1674A248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26B94FD9"/>
    <w:multiLevelType w:val="hybridMultilevel"/>
    <w:tmpl w:val="007C1662"/>
    <w:lvl w:ilvl="0" w:tplc="24AEA2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79C4E43"/>
    <w:multiLevelType w:val="hybridMultilevel"/>
    <w:tmpl w:val="B52A8808"/>
    <w:lvl w:ilvl="0" w:tplc="3424BD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788" w:hanging="360"/>
      </w:pPr>
    </w:lvl>
    <w:lvl w:ilvl="2" w:tplc="1809001B" w:tentative="1">
      <w:start w:val="1"/>
      <w:numFmt w:val="lowerRoman"/>
      <w:lvlText w:val="%3."/>
      <w:lvlJc w:val="right"/>
      <w:pPr>
        <w:ind w:left="2508" w:hanging="180"/>
      </w:pPr>
    </w:lvl>
    <w:lvl w:ilvl="3" w:tplc="1809000F" w:tentative="1">
      <w:start w:val="1"/>
      <w:numFmt w:val="decimal"/>
      <w:lvlText w:val="%4."/>
      <w:lvlJc w:val="left"/>
      <w:pPr>
        <w:ind w:left="3228" w:hanging="360"/>
      </w:pPr>
    </w:lvl>
    <w:lvl w:ilvl="4" w:tplc="18090019" w:tentative="1">
      <w:start w:val="1"/>
      <w:numFmt w:val="lowerLetter"/>
      <w:lvlText w:val="%5."/>
      <w:lvlJc w:val="left"/>
      <w:pPr>
        <w:ind w:left="3948" w:hanging="360"/>
      </w:pPr>
    </w:lvl>
    <w:lvl w:ilvl="5" w:tplc="1809001B" w:tentative="1">
      <w:start w:val="1"/>
      <w:numFmt w:val="lowerRoman"/>
      <w:lvlText w:val="%6."/>
      <w:lvlJc w:val="right"/>
      <w:pPr>
        <w:ind w:left="4668" w:hanging="180"/>
      </w:pPr>
    </w:lvl>
    <w:lvl w:ilvl="6" w:tplc="1809000F" w:tentative="1">
      <w:start w:val="1"/>
      <w:numFmt w:val="decimal"/>
      <w:lvlText w:val="%7."/>
      <w:lvlJc w:val="left"/>
      <w:pPr>
        <w:ind w:left="5388" w:hanging="360"/>
      </w:pPr>
    </w:lvl>
    <w:lvl w:ilvl="7" w:tplc="18090019" w:tentative="1">
      <w:start w:val="1"/>
      <w:numFmt w:val="lowerLetter"/>
      <w:lvlText w:val="%8."/>
      <w:lvlJc w:val="left"/>
      <w:pPr>
        <w:ind w:left="6108" w:hanging="360"/>
      </w:pPr>
    </w:lvl>
    <w:lvl w:ilvl="8" w:tplc="1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28143E9F"/>
    <w:multiLevelType w:val="hybridMultilevel"/>
    <w:tmpl w:val="3DBCB456"/>
    <w:lvl w:ilvl="0" w:tplc="24AEA2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9B659FB"/>
    <w:multiLevelType w:val="hybridMultilevel"/>
    <w:tmpl w:val="21BA1DE6"/>
    <w:lvl w:ilvl="0" w:tplc="AD146E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A623756"/>
    <w:multiLevelType w:val="hybridMultilevel"/>
    <w:tmpl w:val="C818EC5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92601E"/>
    <w:multiLevelType w:val="hybridMultilevel"/>
    <w:tmpl w:val="E34EA718"/>
    <w:lvl w:ilvl="0" w:tplc="24AEA2F8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DA800072">
      <w:numFmt w:val="bullet"/>
      <w:lvlText w:val="-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B4652B2"/>
    <w:multiLevelType w:val="hybridMultilevel"/>
    <w:tmpl w:val="9342D48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D83641"/>
    <w:multiLevelType w:val="hybridMultilevel"/>
    <w:tmpl w:val="1124DDB8"/>
    <w:lvl w:ilvl="0" w:tplc="882447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1A5E88">
      <w:start w:val="10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1E766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0CF8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1E82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866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04FF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CA63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5E84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2C1903D4"/>
    <w:multiLevelType w:val="hybridMultilevel"/>
    <w:tmpl w:val="F7F4F0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C32424F"/>
    <w:multiLevelType w:val="hybridMultilevel"/>
    <w:tmpl w:val="1F80C2B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2CBB4F81"/>
    <w:multiLevelType w:val="hybridMultilevel"/>
    <w:tmpl w:val="95FA252E"/>
    <w:lvl w:ilvl="0" w:tplc="24AEA2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EA39C6"/>
    <w:multiLevelType w:val="hybridMultilevel"/>
    <w:tmpl w:val="60D430A8"/>
    <w:lvl w:ilvl="0" w:tplc="FBAA67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5CBB1C">
      <w:start w:val="12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2E24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8480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4E58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B694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365A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CA23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BA6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2D4D0DBB"/>
    <w:multiLevelType w:val="hybridMultilevel"/>
    <w:tmpl w:val="D1C635D8"/>
    <w:lvl w:ilvl="0" w:tplc="F43C6224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F9222B6"/>
    <w:multiLevelType w:val="hybridMultilevel"/>
    <w:tmpl w:val="AF0E4866"/>
    <w:lvl w:ilvl="0" w:tplc="A6046B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0184C26"/>
    <w:multiLevelType w:val="hybridMultilevel"/>
    <w:tmpl w:val="1A94F17C"/>
    <w:lvl w:ilvl="0" w:tplc="0809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7" w15:restartNumberingAfterBreak="0">
    <w:nsid w:val="30950A65"/>
    <w:multiLevelType w:val="hybridMultilevel"/>
    <w:tmpl w:val="E0AA87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0DF23B2"/>
    <w:multiLevelType w:val="hybridMultilevel"/>
    <w:tmpl w:val="5D4ECC7E"/>
    <w:lvl w:ilvl="0" w:tplc="8D9AEB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BEBF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E2F09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0C562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1E594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4A809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C8604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86D7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3C76E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9" w15:restartNumberingAfterBreak="0">
    <w:nsid w:val="31AA0E43"/>
    <w:multiLevelType w:val="hybridMultilevel"/>
    <w:tmpl w:val="C358984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0" w15:restartNumberingAfterBreak="0">
    <w:nsid w:val="32134061"/>
    <w:multiLevelType w:val="hybridMultilevel"/>
    <w:tmpl w:val="2EC0CE0E"/>
    <w:lvl w:ilvl="0" w:tplc="24AEA2F8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32A81CA8"/>
    <w:multiLevelType w:val="hybridMultilevel"/>
    <w:tmpl w:val="3D2C1038"/>
    <w:lvl w:ilvl="0" w:tplc="24AEA2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8641C94"/>
    <w:multiLevelType w:val="hybridMultilevel"/>
    <w:tmpl w:val="1070E1D0"/>
    <w:lvl w:ilvl="0" w:tplc="A6046B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B1138EA"/>
    <w:multiLevelType w:val="hybridMultilevel"/>
    <w:tmpl w:val="2F4A9AEA"/>
    <w:lvl w:ilvl="0" w:tplc="232CA78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B6A11EA"/>
    <w:multiLevelType w:val="hybridMultilevel"/>
    <w:tmpl w:val="10D4FFF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C06657D"/>
    <w:multiLevelType w:val="hybridMultilevel"/>
    <w:tmpl w:val="3490C33E"/>
    <w:lvl w:ilvl="0" w:tplc="A6046B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C426763"/>
    <w:multiLevelType w:val="hybridMultilevel"/>
    <w:tmpl w:val="080041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3D995C6C"/>
    <w:multiLevelType w:val="hybridMultilevel"/>
    <w:tmpl w:val="F02A3F44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58" w15:restartNumberingAfterBreak="0">
    <w:nsid w:val="3DAD5A33"/>
    <w:multiLevelType w:val="hybridMultilevel"/>
    <w:tmpl w:val="4B44DB4C"/>
    <w:lvl w:ilvl="0" w:tplc="8C200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5E87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8CFD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C4B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F66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6097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2E00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FA2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A0E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9" w15:restartNumberingAfterBreak="0">
    <w:nsid w:val="3E847C82"/>
    <w:multiLevelType w:val="hybridMultilevel"/>
    <w:tmpl w:val="A4C21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0DE44EE"/>
    <w:multiLevelType w:val="hybridMultilevel"/>
    <w:tmpl w:val="2DF20D88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6A611E8"/>
    <w:multiLevelType w:val="hybridMultilevel"/>
    <w:tmpl w:val="4B601E2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7E90B16"/>
    <w:multiLevelType w:val="multilevel"/>
    <w:tmpl w:val="9E5E01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4A8D58F9"/>
    <w:multiLevelType w:val="hybridMultilevel"/>
    <w:tmpl w:val="484C1B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AB073D9"/>
    <w:multiLevelType w:val="hybridMultilevel"/>
    <w:tmpl w:val="38AA478E"/>
    <w:lvl w:ilvl="0" w:tplc="8D6A7F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E5E25B8"/>
    <w:multiLevelType w:val="hybridMultilevel"/>
    <w:tmpl w:val="0BFAC0E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14D326A"/>
    <w:multiLevelType w:val="hybridMultilevel"/>
    <w:tmpl w:val="A2F4F8DC"/>
    <w:lvl w:ilvl="0" w:tplc="24AEA2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9420D32"/>
    <w:multiLevelType w:val="hybridMultilevel"/>
    <w:tmpl w:val="EA1A8F08"/>
    <w:lvl w:ilvl="0" w:tplc="A7A017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94F034B"/>
    <w:multiLevelType w:val="hybridMultilevel"/>
    <w:tmpl w:val="CA1C2E2E"/>
    <w:lvl w:ilvl="0" w:tplc="719E38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364" w:hanging="360"/>
      </w:pPr>
    </w:lvl>
    <w:lvl w:ilvl="2" w:tplc="080C001B" w:tentative="1">
      <w:start w:val="1"/>
      <w:numFmt w:val="lowerRoman"/>
      <w:lvlText w:val="%3."/>
      <w:lvlJc w:val="right"/>
      <w:pPr>
        <w:ind w:left="2084" w:hanging="180"/>
      </w:pPr>
    </w:lvl>
    <w:lvl w:ilvl="3" w:tplc="080C000F" w:tentative="1">
      <w:start w:val="1"/>
      <w:numFmt w:val="decimal"/>
      <w:lvlText w:val="%4."/>
      <w:lvlJc w:val="left"/>
      <w:pPr>
        <w:ind w:left="2804" w:hanging="360"/>
      </w:pPr>
    </w:lvl>
    <w:lvl w:ilvl="4" w:tplc="080C0019" w:tentative="1">
      <w:start w:val="1"/>
      <w:numFmt w:val="lowerLetter"/>
      <w:lvlText w:val="%5."/>
      <w:lvlJc w:val="left"/>
      <w:pPr>
        <w:ind w:left="3524" w:hanging="360"/>
      </w:pPr>
    </w:lvl>
    <w:lvl w:ilvl="5" w:tplc="080C001B" w:tentative="1">
      <w:start w:val="1"/>
      <w:numFmt w:val="lowerRoman"/>
      <w:lvlText w:val="%6."/>
      <w:lvlJc w:val="right"/>
      <w:pPr>
        <w:ind w:left="4244" w:hanging="180"/>
      </w:pPr>
    </w:lvl>
    <w:lvl w:ilvl="6" w:tplc="080C000F" w:tentative="1">
      <w:start w:val="1"/>
      <w:numFmt w:val="decimal"/>
      <w:lvlText w:val="%7."/>
      <w:lvlJc w:val="left"/>
      <w:pPr>
        <w:ind w:left="4964" w:hanging="360"/>
      </w:pPr>
    </w:lvl>
    <w:lvl w:ilvl="7" w:tplc="080C0019" w:tentative="1">
      <w:start w:val="1"/>
      <w:numFmt w:val="lowerLetter"/>
      <w:lvlText w:val="%8."/>
      <w:lvlJc w:val="left"/>
      <w:pPr>
        <w:ind w:left="5684" w:hanging="360"/>
      </w:pPr>
    </w:lvl>
    <w:lvl w:ilvl="8" w:tplc="08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 w15:restartNumberingAfterBreak="0">
    <w:nsid w:val="5A0A68F5"/>
    <w:multiLevelType w:val="hybridMultilevel"/>
    <w:tmpl w:val="A2147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A2450DC"/>
    <w:multiLevelType w:val="hybridMultilevel"/>
    <w:tmpl w:val="3168D6AE"/>
    <w:lvl w:ilvl="0" w:tplc="24AEA2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7A8DE62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HAns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B0D5E0A"/>
    <w:multiLevelType w:val="hybridMultilevel"/>
    <w:tmpl w:val="D1B6BF92"/>
    <w:lvl w:ilvl="0" w:tplc="E6422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EC17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E890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2AB1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8C5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160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0E10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020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926A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2" w15:restartNumberingAfterBreak="0">
    <w:nsid w:val="5C7B1E1E"/>
    <w:multiLevelType w:val="hybridMultilevel"/>
    <w:tmpl w:val="3A66D100"/>
    <w:lvl w:ilvl="0" w:tplc="24AEA2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FAD4367"/>
    <w:multiLevelType w:val="hybridMultilevel"/>
    <w:tmpl w:val="2680571C"/>
    <w:lvl w:ilvl="0" w:tplc="24AEA2F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6267429B"/>
    <w:multiLevelType w:val="hybridMultilevel"/>
    <w:tmpl w:val="F468B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5" w15:restartNumberingAfterBreak="0">
    <w:nsid w:val="65CF0648"/>
    <w:multiLevelType w:val="hybridMultilevel"/>
    <w:tmpl w:val="395CE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C540E14"/>
    <w:multiLevelType w:val="hybridMultilevel"/>
    <w:tmpl w:val="B57609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CD61D67"/>
    <w:multiLevelType w:val="hybridMultilevel"/>
    <w:tmpl w:val="82325FD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D2D3418"/>
    <w:multiLevelType w:val="hybridMultilevel"/>
    <w:tmpl w:val="32205480"/>
    <w:lvl w:ilvl="0" w:tplc="DB5837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DC864A4"/>
    <w:multiLevelType w:val="hybridMultilevel"/>
    <w:tmpl w:val="7368F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F0D1C05"/>
    <w:multiLevelType w:val="multilevel"/>
    <w:tmpl w:val="F53CAB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707803BB"/>
    <w:multiLevelType w:val="hybridMultilevel"/>
    <w:tmpl w:val="9FE490E2"/>
    <w:lvl w:ilvl="0" w:tplc="D01A24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B0DD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7EC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3A26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6485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4445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1A11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A2D1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162E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2" w15:restartNumberingAfterBreak="0">
    <w:nsid w:val="71307D76"/>
    <w:multiLevelType w:val="hybridMultilevel"/>
    <w:tmpl w:val="DA6055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19D5278"/>
    <w:multiLevelType w:val="multilevel"/>
    <w:tmpl w:val="02EC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 w15:restartNumberingAfterBreak="0">
    <w:nsid w:val="75935BDF"/>
    <w:multiLevelType w:val="hybridMultilevel"/>
    <w:tmpl w:val="7CBCAE0C"/>
    <w:lvl w:ilvl="0" w:tplc="08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5" w15:restartNumberingAfterBreak="0">
    <w:nsid w:val="7A8932AF"/>
    <w:multiLevelType w:val="hybridMultilevel"/>
    <w:tmpl w:val="CBECC9A8"/>
    <w:lvl w:ilvl="0" w:tplc="3C40D2D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BF70830"/>
    <w:multiLevelType w:val="hybridMultilevel"/>
    <w:tmpl w:val="B59835D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EDF0C74"/>
    <w:multiLevelType w:val="hybridMultilevel"/>
    <w:tmpl w:val="CC521672"/>
    <w:lvl w:ilvl="0" w:tplc="3424BD46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500" w:hanging="360"/>
      </w:pPr>
    </w:lvl>
    <w:lvl w:ilvl="2" w:tplc="1809001B" w:tentative="1">
      <w:start w:val="1"/>
      <w:numFmt w:val="lowerRoman"/>
      <w:lvlText w:val="%3."/>
      <w:lvlJc w:val="right"/>
      <w:pPr>
        <w:ind w:left="2220" w:hanging="180"/>
      </w:pPr>
    </w:lvl>
    <w:lvl w:ilvl="3" w:tplc="1809000F" w:tentative="1">
      <w:start w:val="1"/>
      <w:numFmt w:val="decimal"/>
      <w:lvlText w:val="%4."/>
      <w:lvlJc w:val="left"/>
      <w:pPr>
        <w:ind w:left="2940" w:hanging="360"/>
      </w:pPr>
    </w:lvl>
    <w:lvl w:ilvl="4" w:tplc="18090019" w:tentative="1">
      <w:start w:val="1"/>
      <w:numFmt w:val="lowerLetter"/>
      <w:lvlText w:val="%5."/>
      <w:lvlJc w:val="left"/>
      <w:pPr>
        <w:ind w:left="3660" w:hanging="360"/>
      </w:pPr>
    </w:lvl>
    <w:lvl w:ilvl="5" w:tplc="1809001B" w:tentative="1">
      <w:start w:val="1"/>
      <w:numFmt w:val="lowerRoman"/>
      <w:lvlText w:val="%6."/>
      <w:lvlJc w:val="right"/>
      <w:pPr>
        <w:ind w:left="4380" w:hanging="180"/>
      </w:pPr>
    </w:lvl>
    <w:lvl w:ilvl="6" w:tplc="1809000F" w:tentative="1">
      <w:start w:val="1"/>
      <w:numFmt w:val="decimal"/>
      <w:lvlText w:val="%7."/>
      <w:lvlJc w:val="left"/>
      <w:pPr>
        <w:ind w:left="5100" w:hanging="360"/>
      </w:pPr>
    </w:lvl>
    <w:lvl w:ilvl="7" w:tplc="18090019" w:tentative="1">
      <w:start w:val="1"/>
      <w:numFmt w:val="lowerLetter"/>
      <w:lvlText w:val="%8."/>
      <w:lvlJc w:val="left"/>
      <w:pPr>
        <w:ind w:left="5820" w:hanging="360"/>
      </w:pPr>
    </w:lvl>
    <w:lvl w:ilvl="8" w:tplc="18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2"/>
  </w:num>
  <w:num w:numId="2">
    <w:abstractNumId w:val="70"/>
  </w:num>
  <w:num w:numId="3">
    <w:abstractNumId w:val="7"/>
  </w:num>
  <w:num w:numId="4">
    <w:abstractNumId w:val="72"/>
  </w:num>
  <w:num w:numId="5">
    <w:abstractNumId w:val="75"/>
  </w:num>
  <w:num w:numId="6">
    <w:abstractNumId w:val="69"/>
  </w:num>
  <w:num w:numId="7">
    <w:abstractNumId w:val="17"/>
  </w:num>
  <w:num w:numId="8">
    <w:abstractNumId w:val="45"/>
  </w:num>
  <w:num w:numId="9">
    <w:abstractNumId w:val="52"/>
  </w:num>
  <w:num w:numId="10">
    <w:abstractNumId w:val="54"/>
  </w:num>
  <w:num w:numId="11">
    <w:abstractNumId w:val="80"/>
  </w:num>
  <w:num w:numId="12">
    <w:abstractNumId w:val="19"/>
  </w:num>
  <w:num w:numId="13">
    <w:abstractNumId w:val="65"/>
  </w:num>
  <w:num w:numId="14">
    <w:abstractNumId w:val="56"/>
  </w:num>
  <w:num w:numId="15">
    <w:abstractNumId w:val="8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74"/>
  </w:num>
  <w:num w:numId="17">
    <w:abstractNumId w:val="86"/>
  </w:num>
  <w:num w:numId="18">
    <w:abstractNumId w:val="78"/>
  </w:num>
  <w:num w:numId="19">
    <w:abstractNumId w:val="59"/>
  </w:num>
  <w:num w:numId="20">
    <w:abstractNumId w:val="28"/>
  </w:num>
  <w:num w:numId="21">
    <w:abstractNumId w:val="1"/>
  </w:num>
  <w:num w:numId="22">
    <w:abstractNumId w:val="83"/>
  </w:num>
  <w:num w:numId="23">
    <w:abstractNumId w:val="57"/>
  </w:num>
  <w:num w:numId="24">
    <w:abstractNumId w:val="5"/>
  </w:num>
  <w:num w:numId="25">
    <w:abstractNumId w:val="18"/>
  </w:num>
  <w:num w:numId="26">
    <w:abstractNumId w:val="21"/>
  </w:num>
  <w:num w:numId="27">
    <w:abstractNumId w:val="26"/>
  </w:num>
  <w:num w:numId="28">
    <w:abstractNumId w:val="24"/>
  </w:num>
  <w:num w:numId="29">
    <w:abstractNumId w:val="25"/>
  </w:num>
  <w:num w:numId="30">
    <w:abstractNumId w:val="49"/>
  </w:num>
  <w:num w:numId="31">
    <w:abstractNumId w:val="8"/>
  </w:num>
  <w:num w:numId="32">
    <w:abstractNumId w:val="11"/>
  </w:num>
  <w:num w:numId="33">
    <w:abstractNumId w:val="63"/>
  </w:num>
  <w:num w:numId="34">
    <w:abstractNumId w:val="10"/>
  </w:num>
  <w:num w:numId="35">
    <w:abstractNumId w:val="22"/>
  </w:num>
  <w:num w:numId="36">
    <w:abstractNumId w:val="36"/>
  </w:num>
  <w:num w:numId="37">
    <w:abstractNumId w:val="55"/>
  </w:num>
  <w:num w:numId="38">
    <w:abstractNumId w:val="76"/>
  </w:num>
  <w:num w:numId="39">
    <w:abstractNumId w:val="23"/>
  </w:num>
  <w:num w:numId="40">
    <w:abstractNumId w:val="73"/>
  </w:num>
  <w:num w:numId="41">
    <w:abstractNumId w:val="2"/>
  </w:num>
  <w:num w:numId="42">
    <w:abstractNumId w:val="31"/>
  </w:num>
  <w:num w:numId="43">
    <w:abstractNumId w:val="3"/>
  </w:num>
  <w:num w:numId="44">
    <w:abstractNumId w:val="41"/>
  </w:num>
  <w:num w:numId="45">
    <w:abstractNumId w:val="58"/>
  </w:num>
  <w:num w:numId="46">
    <w:abstractNumId w:val="29"/>
  </w:num>
  <w:num w:numId="47">
    <w:abstractNumId w:val="48"/>
  </w:num>
  <w:num w:numId="48">
    <w:abstractNumId w:val="14"/>
  </w:num>
  <w:num w:numId="49">
    <w:abstractNumId w:val="15"/>
  </w:num>
  <w:num w:numId="50">
    <w:abstractNumId w:val="47"/>
  </w:num>
  <w:num w:numId="51">
    <w:abstractNumId w:val="51"/>
  </w:num>
  <w:num w:numId="52">
    <w:abstractNumId w:val="33"/>
  </w:num>
  <w:num w:numId="53">
    <w:abstractNumId w:val="66"/>
  </w:num>
  <w:num w:numId="54">
    <w:abstractNumId w:val="50"/>
  </w:num>
  <w:num w:numId="55">
    <w:abstractNumId w:val="81"/>
  </w:num>
  <w:num w:numId="56">
    <w:abstractNumId w:val="71"/>
  </w:num>
  <w:num w:numId="57">
    <w:abstractNumId w:val="38"/>
  </w:num>
  <w:num w:numId="58">
    <w:abstractNumId w:val="67"/>
  </w:num>
  <w:num w:numId="59">
    <w:abstractNumId w:val="42"/>
  </w:num>
  <w:num w:numId="60">
    <w:abstractNumId w:val="34"/>
  </w:num>
  <w:num w:numId="61">
    <w:abstractNumId w:val="9"/>
  </w:num>
  <w:num w:numId="62">
    <w:abstractNumId w:val="44"/>
  </w:num>
  <w:num w:numId="63">
    <w:abstractNumId w:val="46"/>
  </w:num>
  <w:num w:numId="64">
    <w:abstractNumId w:val="40"/>
  </w:num>
  <w:num w:numId="65">
    <w:abstractNumId w:val="30"/>
  </w:num>
  <w:num w:numId="66">
    <w:abstractNumId w:val="84"/>
  </w:num>
  <w:num w:numId="67">
    <w:abstractNumId w:val="68"/>
  </w:num>
  <w:num w:numId="68">
    <w:abstractNumId w:val="13"/>
  </w:num>
  <w:num w:numId="69">
    <w:abstractNumId w:val="35"/>
  </w:num>
  <w:num w:numId="70">
    <w:abstractNumId w:val="85"/>
  </w:num>
  <w:num w:numId="71">
    <w:abstractNumId w:val="60"/>
  </w:num>
  <w:num w:numId="72">
    <w:abstractNumId w:val="53"/>
  </w:num>
  <w:num w:numId="73">
    <w:abstractNumId w:val="27"/>
  </w:num>
  <w:num w:numId="74">
    <w:abstractNumId w:val="82"/>
  </w:num>
  <w:num w:numId="75">
    <w:abstractNumId w:val="39"/>
  </w:num>
  <w:num w:numId="76">
    <w:abstractNumId w:val="6"/>
  </w:num>
  <w:num w:numId="77">
    <w:abstractNumId w:val="16"/>
  </w:num>
  <w:num w:numId="78">
    <w:abstractNumId w:val="61"/>
  </w:num>
  <w:num w:numId="79">
    <w:abstractNumId w:val="79"/>
  </w:num>
  <w:num w:numId="80">
    <w:abstractNumId w:val="20"/>
  </w:num>
  <w:num w:numId="81">
    <w:abstractNumId w:val="32"/>
  </w:num>
  <w:num w:numId="82">
    <w:abstractNumId w:val="87"/>
  </w:num>
  <w:num w:numId="83">
    <w:abstractNumId w:val="64"/>
  </w:num>
  <w:num w:numId="84">
    <w:abstractNumId w:val="4"/>
  </w:num>
  <w:num w:numId="85">
    <w:abstractNumId w:val="0"/>
  </w:num>
  <w:num w:numId="86">
    <w:abstractNumId w:val="12"/>
  </w:num>
  <w:num w:numId="87">
    <w:abstractNumId w:val="43"/>
  </w:num>
  <w:num w:numId="88">
    <w:abstractNumId w:val="43"/>
  </w:num>
  <w:num w:numId="89">
    <w:abstractNumId w:val="43"/>
  </w:num>
  <w:num w:numId="90">
    <w:abstractNumId w:val="37"/>
  </w:num>
  <w:num w:numId="91">
    <w:abstractNumId w:val="77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hideSpellingErrors/>
  <w:hideGrammaticalErrors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IE" w:vendorID="64" w:dllVersion="6" w:nlCheck="1" w:checkStyle="1"/>
  <w:revisionView w:markup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A2122580-D7C7-4386-85AB-E521C9B445F3"/>
    <w:docVar w:name="LW_COVERPAGE_TYPE" w:val="1"/>
    <w:docVar w:name="LW_CROSSREFERENCE" w:val="&lt;UNUSED&gt;"/>
    <w:docVar w:name="LW_DocType" w:val="NORMAL"/>
    <w:docVar w:name="LW_EMISSION" w:val="9.11.2022"/>
    <w:docVar w:name="LW_EMISSION_ISODATE" w:val="2022-11-09"/>
    <w:docVar w:name="LW_EMISSION_LOCATION" w:val="BRX"/>
    <w:docVar w:name="LW_EMISSION_PREFIX" w:val="Brussell, "/>
    <w:docVar w:name="LW_EMISSION_SUFFIX" w:val=" "/>
    <w:docVar w:name="LW_ID_DOCTYPE_NONLW" w:val="CP-035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I.NEW.CP" w:val="&lt;UNUSED&gt;"/>
    <w:docVar w:name="LW_REF.II.NEW.CP_NUMBER" w:val="&lt;UNUSED&gt;"/>
    <w:docVar w:name="LW_REF.II.NEW.CP_YEAR" w:val="2022"/>
    <w:docVar w:name="LW_REF.INST.NEW" w:val="COM"/>
    <w:docVar w:name="LW_REF.INST.NEW_ADOPTED" w:val="final"/>
    <w:docVar w:name="LW_REF.INST.NEW_TEXT" w:val="(2022) 583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Komunikazzjoni dwar l-orjentazzjonijiet għal riforma tal-qafas tal-governanza ekonomika tal-UE"/>
    <w:docVar w:name="LW_TYPE.DOC.CP" w:val="KOMUNIKAZZJONI TAL-KUMMISSJONI LILL-PARLAMENT EWROPEW, LILL-KUNSILL, LILL-BANK ĊENTRALI EWROPEW, LILL-KUMITAT EKONOMIKU U SOĊJALI EWROPEW U LILL-KUMITAT TAR-REĠJUNI "/>
    <w:docVar w:name="LwApiVersions" w:val="LW4CoDe 1.23.2.0; LW 8.0, Build 20211117"/>
  </w:docVars>
  <w:rsids>
    <w:rsidRoot w:val="00311DB6"/>
    <w:rsid w:val="00000C34"/>
    <w:rsid w:val="00000E5F"/>
    <w:rsid w:val="00000EFE"/>
    <w:rsid w:val="000010AF"/>
    <w:rsid w:val="000022B6"/>
    <w:rsid w:val="00002634"/>
    <w:rsid w:val="00002849"/>
    <w:rsid w:val="000032A7"/>
    <w:rsid w:val="00003899"/>
    <w:rsid w:val="00003A43"/>
    <w:rsid w:val="00003B7D"/>
    <w:rsid w:val="00004B80"/>
    <w:rsid w:val="000055B0"/>
    <w:rsid w:val="00005B74"/>
    <w:rsid w:val="00006A01"/>
    <w:rsid w:val="00006E16"/>
    <w:rsid w:val="00006E84"/>
    <w:rsid w:val="000078AB"/>
    <w:rsid w:val="000101FB"/>
    <w:rsid w:val="00010E2C"/>
    <w:rsid w:val="000112E9"/>
    <w:rsid w:val="00011CFF"/>
    <w:rsid w:val="00012093"/>
    <w:rsid w:val="00012381"/>
    <w:rsid w:val="00013602"/>
    <w:rsid w:val="00013623"/>
    <w:rsid w:val="00013F90"/>
    <w:rsid w:val="00014269"/>
    <w:rsid w:val="000146C4"/>
    <w:rsid w:val="00014760"/>
    <w:rsid w:val="000148F4"/>
    <w:rsid w:val="00014A68"/>
    <w:rsid w:val="00015075"/>
    <w:rsid w:val="0001559D"/>
    <w:rsid w:val="000159B6"/>
    <w:rsid w:val="000163F5"/>
    <w:rsid w:val="0001769C"/>
    <w:rsid w:val="000211B4"/>
    <w:rsid w:val="00022F8D"/>
    <w:rsid w:val="000237CF"/>
    <w:rsid w:val="000241A5"/>
    <w:rsid w:val="00024569"/>
    <w:rsid w:val="00024751"/>
    <w:rsid w:val="00024AC1"/>
    <w:rsid w:val="00024E68"/>
    <w:rsid w:val="000251EF"/>
    <w:rsid w:val="000253C0"/>
    <w:rsid w:val="000253DC"/>
    <w:rsid w:val="00025559"/>
    <w:rsid w:val="000264C4"/>
    <w:rsid w:val="00027DD3"/>
    <w:rsid w:val="0003000C"/>
    <w:rsid w:val="00030A6E"/>
    <w:rsid w:val="00031298"/>
    <w:rsid w:val="000315A9"/>
    <w:rsid w:val="000329C2"/>
    <w:rsid w:val="000329CB"/>
    <w:rsid w:val="00032C48"/>
    <w:rsid w:val="00032D1B"/>
    <w:rsid w:val="00032FB5"/>
    <w:rsid w:val="00033E37"/>
    <w:rsid w:val="0003538E"/>
    <w:rsid w:val="00035B78"/>
    <w:rsid w:val="00035B8D"/>
    <w:rsid w:val="00036A4E"/>
    <w:rsid w:val="000372DB"/>
    <w:rsid w:val="000372FF"/>
    <w:rsid w:val="00037920"/>
    <w:rsid w:val="000402DF"/>
    <w:rsid w:val="0004114D"/>
    <w:rsid w:val="000417A6"/>
    <w:rsid w:val="00043128"/>
    <w:rsid w:val="00043971"/>
    <w:rsid w:val="00043EAA"/>
    <w:rsid w:val="00044EC0"/>
    <w:rsid w:val="0004608F"/>
    <w:rsid w:val="00046528"/>
    <w:rsid w:val="000468A0"/>
    <w:rsid w:val="0004747A"/>
    <w:rsid w:val="00047E7E"/>
    <w:rsid w:val="00050069"/>
    <w:rsid w:val="00050219"/>
    <w:rsid w:val="00050A3C"/>
    <w:rsid w:val="000511DB"/>
    <w:rsid w:val="0005151A"/>
    <w:rsid w:val="00051BF3"/>
    <w:rsid w:val="000529CE"/>
    <w:rsid w:val="00053171"/>
    <w:rsid w:val="000543F9"/>
    <w:rsid w:val="000547CE"/>
    <w:rsid w:val="00054F93"/>
    <w:rsid w:val="0005537C"/>
    <w:rsid w:val="00055D54"/>
    <w:rsid w:val="00056751"/>
    <w:rsid w:val="000606AC"/>
    <w:rsid w:val="00060EB7"/>
    <w:rsid w:val="00061A33"/>
    <w:rsid w:val="00062139"/>
    <w:rsid w:val="00062802"/>
    <w:rsid w:val="0006297E"/>
    <w:rsid w:val="0006400C"/>
    <w:rsid w:val="000646CE"/>
    <w:rsid w:val="0006488B"/>
    <w:rsid w:val="000648B3"/>
    <w:rsid w:val="00064C47"/>
    <w:rsid w:val="00064D65"/>
    <w:rsid w:val="00065228"/>
    <w:rsid w:val="0006534E"/>
    <w:rsid w:val="00065583"/>
    <w:rsid w:val="000657DC"/>
    <w:rsid w:val="00065C39"/>
    <w:rsid w:val="00065D98"/>
    <w:rsid w:val="00065F96"/>
    <w:rsid w:val="00067997"/>
    <w:rsid w:val="00067AD3"/>
    <w:rsid w:val="00067DDA"/>
    <w:rsid w:val="00071262"/>
    <w:rsid w:val="00071D61"/>
    <w:rsid w:val="00072477"/>
    <w:rsid w:val="00072E3E"/>
    <w:rsid w:val="00073BA4"/>
    <w:rsid w:val="00074510"/>
    <w:rsid w:val="00074786"/>
    <w:rsid w:val="00074BE6"/>
    <w:rsid w:val="00074C05"/>
    <w:rsid w:val="00075206"/>
    <w:rsid w:val="000755F3"/>
    <w:rsid w:val="0007593F"/>
    <w:rsid w:val="00076493"/>
    <w:rsid w:val="00076501"/>
    <w:rsid w:val="0007666D"/>
    <w:rsid w:val="000767DE"/>
    <w:rsid w:val="00077ECB"/>
    <w:rsid w:val="00080158"/>
    <w:rsid w:val="0008042D"/>
    <w:rsid w:val="0008084B"/>
    <w:rsid w:val="00080C55"/>
    <w:rsid w:val="00081759"/>
    <w:rsid w:val="00081BCB"/>
    <w:rsid w:val="000823C3"/>
    <w:rsid w:val="000836D4"/>
    <w:rsid w:val="00083D25"/>
    <w:rsid w:val="00084561"/>
    <w:rsid w:val="00085E66"/>
    <w:rsid w:val="000874ED"/>
    <w:rsid w:val="00087520"/>
    <w:rsid w:val="00087E5D"/>
    <w:rsid w:val="00087F90"/>
    <w:rsid w:val="00090B7A"/>
    <w:rsid w:val="000916AC"/>
    <w:rsid w:val="00091905"/>
    <w:rsid w:val="00091B46"/>
    <w:rsid w:val="00092E9D"/>
    <w:rsid w:val="000931E8"/>
    <w:rsid w:val="0009324D"/>
    <w:rsid w:val="000944CF"/>
    <w:rsid w:val="000946FC"/>
    <w:rsid w:val="00094966"/>
    <w:rsid w:val="00095BB1"/>
    <w:rsid w:val="00095D8B"/>
    <w:rsid w:val="00095F76"/>
    <w:rsid w:val="000965BF"/>
    <w:rsid w:val="00096887"/>
    <w:rsid w:val="00096E31"/>
    <w:rsid w:val="00096ECD"/>
    <w:rsid w:val="0009731C"/>
    <w:rsid w:val="00097B70"/>
    <w:rsid w:val="00097DA5"/>
    <w:rsid w:val="000A00A1"/>
    <w:rsid w:val="000A00EE"/>
    <w:rsid w:val="000A06A6"/>
    <w:rsid w:val="000A0DFA"/>
    <w:rsid w:val="000A0E5E"/>
    <w:rsid w:val="000A1283"/>
    <w:rsid w:val="000A17AD"/>
    <w:rsid w:val="000A19FB"/>
    <w:rsid w:val="000A1BFD"/>
    <w:rsid w:val="000A2434"/>
    <w:rsid w:val="000A291D"/>
    <w:rsid w:val="000A339D"/>
    <w:rsid w:val="000A4840"/>
    <w:rsid w:val="000A4C23"/>
    <w:rsid w:val="000A4C4C"/>
    <w:rsid w:val="000A6A9F"/>
    <w:rsid w:val="000A73F2"/>
    <w:rsid w:val="000A7E49"/>
    <w:rsid w:val="000A7FBE"/>
    <w:rsid w:val="000B02CC"/>
    <w:rsid w:val="000B036D"/>
    <w:rsid w:val="000B0711"/>
    <w:rsid w:val="000B088E"/>
    <w:rsid w:val="000B0BE9"/>
    <w:rsid w:val="000B0C7F"/>
    <w:rsid w:val="000B1778"/>
    <w:rsid w:val="000B1D62"/>
    <w:rsid w:val="000B2F0D"/>
    <w:rsid w:val="000B3447"/>
    <w:rsid w:val="000B3CE9"/>
    <w:rsid w:val="000B4554"/>
    <w:rsid w:val="000B49CF"/>
    <w:rsid w:val="000B51EF"/>
    <w:rsid w:val="000B5843"/>
    <w:rsid w:val="000B5A26"/>
    <w:rsid w:val="000B72F8"/>
    <w:rsid w:val="000B7D9E"/>
    <w:rsid w:val="000C109D"/>
    <w:rsid w:val="000C2C01"/>
    <w:rsid w:val="000C3120"/>
    <w:rsid w:val="000C34DE"/>
    <w:rsid w:val="000C5D3C"/>
    <w:rsid w:val="000C5E85"/>
    <w:rsid w:val="000C691C"/>
    <w:rsid w:val="000C6EF8"/>
    <w:rsid w:val="000C7885"/>
    <w:rsid w:val="000C7ACA"/>
    <w:rsid w:val="000D0698"/>
    <w:rsid w:val="000D1619"/>
    <w:rsid w:val="000D17A4"/>
    <w:rsid w:val="000D1988"/>
    <w:rsid w:val="000D270D"/>
    <w:rsid w:val="000D2D0D"/>
    <w:rsid w:val="000D2F67"/>
    <w:rsid w:val="000D308C"/>
    <w:rsid w:val="000D31FE"/>
    <w:rsid w:val="000D37FD"/>
    <w:rsid w:val="000D4493"/>
    <w:rsid w:val="000D4A8D"/>
    <w:rsid w:val="000D51FB"/>
    <w:rsid w:val="000D5502"/>
    <w:rsid w:val="000D6525"/>
    <w:rsid w:val="000D682C"/>
    <w:rsid w:val="000D71BA"/>
    <w:rsid w:val="000D784A"/>
    <w:rsid w:val="000D7AFD"/>
    <w:rsid w:val="000E0431"/>
    <w:rsid w:val="000E0973"/>
    <w:rsid w:val="000E1F52"/>
    <w:rsid w:val="000E2B71"/>
    <w:rsid w:val="000E2C57"/>
    <w:rsid w:val="000E34BE"/>
    <w:rsid w:val="000E4030"/>
    <w:rsid w:val="000E4C5B"/>
    <w:rsid w:val="000E528C"/>
    <w:rsid w:val="000E53C8"/>
    <w:rsid w:val="000E5797"/>
    <w:rsid w:val="000E5B88"/>
    <w:rsid w:val="000E5D18"/>
    <w:rsid w:val="000E629E"/>
    <w:rsid w:val="000E6356"/>
    <w:rsid w:val="000E648C"/>
    <w:rsid w:val="000E6CA3"/>
    <w:rsid w:val="000E6E56"/>
    <w:rsid w:val="000E79C5"/>
    <w:rsid w:val="000EDF6C"/>
    <w:rsid w:val="000F1185"/>
    <w:rsid w:val="000F1AB3"/>
    <w:rsid w:val="000F2B0C"/>
    <w:rsid w:val="000F3328"/>
    <w:rsid w:val="000F3764"/>
    <w:rsid w:val="000F4AAB"/>
    <w:rsid w:val="000F4EF1"/>
    <w:rsid w:val="000F5216"/>
    <w:rsid w:val="000F533A"/>
    <w:rsid w:val="000F541D"/>
    <w:rsid w:val="000F6047"/>
    <w:rsid w:val="000F6C12"/>
    <w:rsid w:val="000F6CD6"/>
    <w:rsid w:val="000F7B3E"/>
    <w:rsid w:val="001000CC"/>
    <w:rsid w:val="00100304"/>
    <w:rsid w:val="00100332"/>
    <w:rsid w:val="00100A5F"/>
    <w:rsid w:val="00100E2C"/>
    <w:rsid w:val="00101ACC"/>
    <w:rsid w:val="00101D61"/>
    <w:rsid w:val="0010201D"/>
    <w:rsid w:val="001023F3"/>
    <w:rsid w:val="00102B90"/>
    <w:rsid w:val="00102EDA"/>
    <w:rsid w:val="00102F31"/>
    <w:rsid w:val="001036EA"/>
    <w:rsid w:val="00103C1D"/>
    <w:rsid w:val="001041B0"/>
    <w:rsid w:val="001046B6"/>
    <w:rsid w:val="001060C0"/>
    <w:rsid w:val="0010612F"/>
    <w:rsid w:val="00107B77"/>
    <w:rsid w:val="00107DC6"/>
    <w:rsid w:val="001100F4"/>
    <w:rsid w:val="0011071C"/>
    <w:rsid w:val="00110CAE"/>
    <w:rsid w:val="00111646"/>
    <w:rsid w:val="00111D14"/>
    <w:rsid w:val="00112A84"/>
    <w:rsid w:val="0011368D"/>
    <w:rsid w:val="00113CE8"/>
    <w:rsid w:val="001143B5"/>
    <w:rsid w:val="00114D28"/>
    <w:rsid w:val="001163BB"/>
    <w:rsid w:val="0011667E"/>
    <w:rsid w:val="00117A5E"/>
    <w:rsid w:val="00120BAF"/>
    <w:rsid w:val="00120EB5"/>
    <w:rsid w:val="00120F60"/>
    <w:rsid w:val="001219FC"/>
    <w:rsid w:val="0012202B"/>
    <w:rsid w:val="00122240"/>
    <w:rsid w:val="00122B51"/>
    <w:rsid w:val="00122C1F"/>
    <w:rsid w:val="00122F58"/>
    <w:rsid w:val="00125303"/>
    <w:rsid w:val="001259F2"/>
    <w:rsid w:val="001264C5"/>
    <w:rsid w:val="00126C76"/>
    <w:rsid w:val="00126FE5"/>
    <w:rsid w:val="00127189"/>
    <w:rsid w:val="00127F2B"/>
    <w:rsid w:val="00127FB9"/>
    <w:rsid w:val="00130FB6"/>
    <w:rsid w:val="00131630"/>
    <w:rsid w:val="0013295E"/>
    <w:rsid w:val="00132C9A"/>
    <w:rsid w:val="001333CE"/>
    <w:rsid w:val="001342E8"/>
    <w:rsid w:val="001345C1"/>
    <w:rsid w:val="00134BDB"/>
    <w:rsid w:val="00134F53"/>
    <w:rsid w:val="00136636"/>
    <w:rsid w:val="00136A17"/>
    <w:rsid w:val="00136E69"/>
    <w:rsid w:val="0013724E"/>
    <w:rsid w:val="0013738A"/>
    <w:rsid w:val="00137D90"/>
    <w:rsid w:val="00137E81"/>
    <w:rsid w:val="00137F8D"/>
    <w:rsid w:val="001404AD"/>
    <w:rsid w:val="00142AF6"/>
    <w:rsid w:val="00142DFB"/>
    <w:rsid w:val="001437B6"/>
    <w:rsid w:val="00144350"/>
    <w:rsid w:val="00144B8E"/>
    <w:rsid w:val="0014577B"/>
    <w:rsid w:val="00146854"/>
    <w:rsid w:val="00146C2B"/>
    <w:rsid w:val="00146E10"/>
    <w:rsid w:val="00151167"/>
    <w:rsid w:val="0015119E"/>
    <w:rsid w:val="00151360"/>
    <w:rsid w:val="00151626"/>
    <w:rsid w:val="00151915"/>
    <w:rsid w:val="00152921"/>
    <w:rsid w:val="00152C5A"/>
    <w:rsid w:val="001540C0"/>
    <w:rsid w:val="00154800"/>
    <w:rsid w:val="00155D52"/>
    <w:rsid w:val="001564CF"/>
    <w:rsid w:val="0015689D"/>
    <w:rsid w:val="00157192"/>
    <w:rsid w:val="0015751D"/>
    <w:rsid w:val="00157759"/>
    <w:rsid w:val="00157967"/>
    <w:rsid w:val="00157BD7"/>
    <w:rsid w:val="00160492"/>
    <w:rsid w:val="001606A0"/>
    <w:rsid w:val="00160EA2"/>
    <w:rsid w:val="001612D1"/>
    <w:rsid w:val="001637A3"/>
    <w:rsid w:val="00163CC7"/>
    <w:rsid w:val="0016447F"/>
    <w:rsid w:val="001653C8"/>
    <w:rsid w:val="001656C1"/>
    <w:rsid w:val="00166252"/>
    <w:rsid w:val="00166470"/>
    <w:rsid w:val="001674D7"/>
    <w:rsid w:val="00167ED9"/>
    <w:rsid w:val="00170C9D"/>
    <w:rsid w:val="00171DAB"/>
    <w:rsid w:val="00172383"/>
    <w:rsid w:val="001732BB"/>
    <w:rsid w:val="0017378C"/>
    <w:rsid w:val="0017434C"/>
    <w:rsid w:val="00174939"/>
    <w:rsid w:val="00174E12"/>
    <w:rsid w:val="001758FB"/>
    <w:rsid w:val="00175F85"/>
    <w:rsid w:val="00176707"/>
    <w:rsid w:val="00176BF7"/>
    <w:rsid w:val="00177654"/>
    <w:rsid w:val="00180A92"/>
    <w:rsid w:val="00180E8C"/>
    <w:rsid w:val="00181165"/>
    <w:rsid w:val="00181254"/>
    <w:rsid w:val="00181488"/>
    <w:rsid w:val="00181BCE"/>
    <w:rsid w:val="00183A5D"/>
    <w:rsid w:val="00183A99"/>
    <w:rsid w:val="00183C4A"/>
    <w:rsid w:val="001840B1"/>
    <w:rsid w:val="001844C5"/>
    <w:rsid w:val="001845D9"/>
    <w:rsid w:val="00184A16"/>
    <w:rsid w:val="00185012"/>
    <w:rsid w:val="00185093"/>
    <w:rsid w:val="00185769"/>
    <w:rsid w:val="00186330"/>
    <w:rsid w:val="00186FDD"/>
    <w:rsid w:val="00190D02"/>
    <w:rsid w:val="0019103B"/>
    <w:rsid w:val="00191778"/>
    <w:rsid w:val="001917DE"/>
    <w:rsid w:val="00191A11"/>
    <w:rsid w:val="00191C91"/>
    <w:rsid w:val="0019216E"/>
    <w:rsid w:val="00193C3B"/>
    <w:rsid w:val="00194586"/>
    <w:rsid w:val="00194F9E"/>
    <w:rsid w:val="00194FBD"/>
    <w:rsid w:val="0019645E"/>
    <w:rsid w:val="0019670A"/>
    <w:rsid w:val="001969C0"/>
    <w:rsid w:val="00196BFC"/>
    <w:rsid w:val="001A0CD3"/>
    <w:rsid w:val="001A12BA"/>
    <w:rsid w:val="001A19A4"/>
    <w:rsid w:val="001A2676"/>
    <w:rsid w:val="001A26D3"/>
    <w:rsid w:val="001A2FA3"/>
    <w:rsid w:val="001A31AD"/>
    <w:rsid w:val="001A4980"/>
    <w:rsid w:val="001A4CB5"/>
    <w:rsid w:val="001A54E6"/>
    <w:rsid w:val="001A5E2E"/>
    <w:rsid w:val="001A6D19"/>
    <w:rsid w:val="001A6F40"/>
    <w:rsid w:val="001B0702"/>
    <w:rsid w:val="001B08A3"/>
    <w:rsid w:val="001B0BAE"/>
    <w:rsid w:val="001B16B1"/>
    <w:rsid w:val="001B1E71"/>
    <w:rsid w:val="001B227B"/>
    <w:rsid w:val="001B3B70"/>
    <w:rsid w:val="001B3CC8"/>
    <w:rsid w:val="001B4305"/>
    <w:rsid w:val="001B491E"/>
    <w:rsid w:val="001B4B03"/>
    <w:rsid w:val="001B4E54"/>
    <w:rsid w:val="001B5067"/>
    <w:rsid w:val="001B50F0"/>
    <w:rsid w:val="001B700B"/>
    <w:rsid w:val="001B7197"/>
    <w:rsid w:val="001C2953"/>
    <w:rsid w:val="001C2A4E"/>
    <w:rsid w:val="001C30F2"/>
    <w:rsid w:val="001C3767"/>
    <w:rsid w:val="001C37D6"/>
    <w:rsid w:val="001C397F"/>
    <w:rsid w:val="001C44E0"/>
    <w:rsid w:val="001C45C2"/>
    <w:rsid w:val="001C55FF"/>
    <w:rsid w:val="001C5AE9"/>
    <w:rsid w:val="001C5B1D"/>
    <w:rsid w:val="001C5C25"/>
    <w:rsid w:val="001C5DC6"/>
    <w:rsid w:val="001C631A"/>
    <w:rsid w:val="001C73FB"/>
    <w:rsid w:val="001D0740"/>
    <w:rsid w:val="001D2097"/>
    <w:rsid w:val="001D2244"/>
    <w:rsid w:val="001D26CC"/>
    <w:rsid w:val="001D27A7"/>
    <w:rsid w:val="001D2CE4"/>
    <w:rsid w:val="001D3C51"/>
    <w:rsid w:val="001D4C0A"/>
    <w:rsid w:val="001D4F90"/>
    <w:rsid w:val="001D57AA"/>
    <w:rsid w:val="001D5CD8"/>
    <w:rsid w:val="001D657A"/>
    <w:rsid w:val="001D6BD7"/>
    <w:rsid w:val="001D6CC0"/>
    <w:rsid w:val="001D6EE2"/>
    <w:rsid w:val="001D6EEB"/>
    <w:rsid w:val="001D7457"/>
    <w:rsid w:val="001E0670"/>
    <w:rsid w:val="001E0A09"/>
    <w:rsid w:val="001E0E29"/>
    <w:rsid w:val="001E1ABE"/>
    <w:rsid w:val="001E360E"/>
    <w:rsid w:val="001E52E7"/>
    <w:rsid w:val="001E56AC"/>
    <w:rsid w:val="001E6B8B"/>
    <w:rsid w:val="001E7447"/>
    <w:rsid w:val="001E797D"/>
    <w:rsid w:val="001F0189"/>
    <w:rsid w:val="001F07DA"/>
    <w:rsid w:val="001F0A96"/>
    <w:rsid w:val="001F1340"/>
    <w:rsid w:val="001F2792"/>
    <w:rsid w:val="001F354A"/>
    <w:rsid w:val="001F3D51"/>
    <w:rsid w:val="001F3E40"/>
    <w:rsid w:val="001F3FD2"/>
    <w:rsid w:val="001F4716"/>
    <w:rsid w:val="001F4719"/>
    <w:rsid w:val="001F4895"/>
    <w:rsid w:val="001F4CBA"/>
    <w:rsid w:val="001F57A4"/>
    <w:rsid w:val="001F6A9D"/>
    <w:rsid w:val="001F6AD0"/>
    <w:rsid w:val="001F6EC2"/>
    <w:rsid w:val="001F70CB"/>
    <w:rsid w:val="0020011F"/>
    <w:rsid w:val="00200B64"/>
    <w:rsid w:val="0020100C"/>
    <w:rsid w:val="002022AE"/>
    <w:rsid w:val="00202388"/>
    <w:rsid w:val="00202496"/>
    <w:rsid w:val="0020284B"/>
    <w:rsid w:val="00202BA2"/>
    <w:rsid w:val="00202D3D"/>
    <w:rsid w:val="0020377D"/>
    <w:rsid w:val="0020395A"/>
    <w:rsid w:val="00203988"/>
    <w:rsid w:val="00203B60"/>
    <w:rsid w:val="00203F32"/>
    <w:rsid w:val="0020416F"/>
    <w:rsid w:val="002048D7"/>
    <w:rsid w:val="00204EB1"/>
    <w:rsid w:val="00205385"/>
    <w:rsid w:val="00205D9C"/>
    <w:rsid w:val="00207366"/>
    <w:rsid w:val="002073F6"/>
    <w:rsid w:val="0021027D"/>
    <w:rsid w:val="00210843"/>
    <w:rsid w:val="00210B8B"/>
    <w:rsid w:val="0021207A"/>
    <w:rsid w:val="0021238D"/>
    <w:rsid w:val="0021259F"/>
    <w:rsid w:val="002128A3"/>
    <w:rsid w:val="002129F4"/>
    <w:rsid w:val="002135A1"/>
    <w:rsid w:val="00213B55"/>
    <w:rsid w:val="00214000"/>
    <w:rsid w:val="002140DA"/>
    <w:rsid w:val="0021443F"/>
    <w:rsid w:val="00214E33"/>
    <w:rsid w:val="00214EE5"/>
    <w:rsid w:val="00214F8F"/>
    <w:rsid w:val="0021527B"/>
    <w:rsid w:val="00215497"/>
    <w:rsid w:val="0021597C"/>
    <w:rsid w:val="002159E6"/>
    <w:rsid w:val="00215B02"/>
    <w:rsid w:val="002166F3"/>
    <w:rsid w:val="00221311"/>
    <w:rsid w:val="00222382"/>
    <w:rsid w:val="00224283"/>
    <w:rsid w:val="0022487E"/>
    <w:rsid w:val="00224F6A"/>
    <w:rsid w:val="00225431"/>
    <w:rsid w:val="00225919"/>
    <w:rsid w:val="0022778A"/>
    <w:rsid w:val="0022782D"/>
    <w:rsid w:val="00227FB5"/>
    <w:rsid w:val="00230143"/>
    <w:rsid w:val="00230362"/>
    <w:rsid w:val="0023083A"/>
    <w:rsid w:val="00231441"/>
    <w:rsid w:val="00231AF2"/>
    <w:rsid w:val="002324E8"/>
    <w:rsid w:val="00232711"/>
    <w:rsid w:val="00232E10"/>
    <w:rsid w:val="00232E36"/>
    <w:rsid w:val="00232E91"/>
    <w:rsid w:val="00233A14"/>
    <w:rsid w:val="00233F4F"/>
    <w:rsid w:val="0023472A"/>
    <w:rsid w:val="00234F97"/>
    <w:rsid w:val="00236918"/>
    <w:rsid w:val="00240C13"/>
    <w:rsid w:val="0024176E"/>
    <w:rsid w:val="00242147"/>
    <w:rsid w:val="002425ED"/>
    <w:rsid w:val="00242ADF"/>
    <w:rsid w:val="0024324E"/>
    <w:rsid w:val="00243500"/>
    <w:rsid w:val="002442D7"/>
    <w:rsid w:val="00244387"/>
    <w:rsid w:val="002443C9"/>
    <w:rsid w:val="002444DD"/>
    <w:rsid w:val="00244811"/>
    <w:rsid w:val="00244CF1"/>
    <w:rsid w:val="00246AFF"/>
    <w:rsid w:val="00246C3A"/>
    <w:rsid w:val="002472C5"/>
    <w:rsid w:val="002477C1"/>
    <w:rsid w:val="002478F3"/>
    <w:rsid w:val="00247924"/>
    <w:rsid w:val="00250008"/>
    <w:rsid w:val="0025054C"/>
    <w:rsid w:val="002508FA"/>
    <w:rsid w:val="00250F8B"/>
    <w:rsid w:val="00252408"/>
    <w:rsid w:val="00252B9C"/>
    <w:rsid w:val="00252E76"/>
    <w:rsid w:val="00252F64"/>
    <w:rsid w:val="002532FD"/>
    <w:rsid w:val="00253AD7"/>
    <w:rsid w:val="00253DA9"/>
    <w:rsid w:val="00253EDE"/>
    <w:rsid w:val="002540D5"/>
    <w:rsid w:val="00254A54"/>
    <w:rsid w:val="00254CDD"/>
    <w:rsid w:val="00255243"/>
    <w:rsid w:val="002553A4"/>
    <w:rsid w:val="00255CEC"/>
    <w:rsid w:val="002566BE"/>
    <w:rsid w:val="00256730"/>
    <w:rsid w:val="00256A80"/>
    <w:rsid w:val="00256C41"/>
    <w:rsid w:val="0026074A"/>
    <w:rsid w:val="0026124A"/>
    <w:rsid w:val="00261298"/>
    <w:rsid w:val="002616F5"/>
    <w:rsid w:val="00262D12"/>
    <w:rsid w:val="00263921"/>
    <w:rsid w:val="0026394C"/>
    <w:rsid w:val="00263E87"/>
    <w:rsid w:val="0026538A"/>
    <w:rsid w:val="002656D2"/>
    <w:rsid w:val="0026638B"/>
    <w:rsid w:val="0026715C"/>
    <w:rsid w:val="00267324"/>
    <w:rsid w:val="0026798D"/>
    <w:rsid w:val="00267B3A"/>
    <w:rsid w:val="002701A6"/>
    <w:rsid w:val="00270590"/>
    <w:rsid w:val="00271CA0"/>
    <w:rsid w:val="00271E88"/>
    <w:rsid w:val="00272267"/>
    <w:rsid w:val="00272675"/>
    <w:rsid w:val="00272A1B"/>
    <w:rsid w:val="00272D07"/>
    <w:rsid w:val="00272E61"/>
    <w:rsid w:val="00272FE6"/>
    <w:rsid w:val="0027306D"/>
    <w:rsid w:val="0027685C"/>
    <w:rsid w:val="002768E9"/>
    <w:rsid w:val="00276CF2"/>
    <w:rsid w:val="00276F2C"/>
    <w:rsid w:val="00277098"/>
    <w:rsid w:val="00280ECC"/>
    <w:rsid w:val="0028109A"/>
    <w:rsid w:val="002818FA"/>
    <w:rsid w:val="00281955"/>
    <w:rsid w:val="00281AE4"/>
    <w:rsid w:val="00282DEE"/>
    <w:rsid w:val="00283BFF"/>
    <w:rsid w:val="00283D63"/>
    <w:rsid w:val="00284C3E"/>
    <w:rsid w:val="00285763"/>
    <w:rsid w:val="00285F5E"/>
    <w:rsid w:val="0028658E"/>
    <w:rsid w:val="0028662B"/>
    <w:rsid w:val="0028723D"/>
    <w:rsid w:val="0028744E"/>
    <w:rsid w:val="00287AC0"/>
    <w:rsid w:val="0029052E"/>
    <w:rsid w:val="00290598"/>
    <w:rsid w:val="00290740"/>
    <w:rsid w:val="00290833"/>
    <w:rsid w:val="00290DFF"/>
    <w:rsid w:val="00292363"/>
    <w:rsid w:val="00292752"/>
    <w:rsid w:val="00292BB1"/>
    <w:rsid w:val="0029322D"/>
    <w:rsid w:val="002948D6"/>
    <w:rsid w:val="00294BBC"/>
    <w:rsid w:val="00295323"/>
    <w:rsid w:val="0029563C"/>
    <w:rsid w:val="002959AA"/>
    <w:rsid w:val="00295DA9"/>
    <w:rsid w:val="002966FD"/>
    <w:rsid w:val="00296896"/>
    <w:rsid w:val="00297D3C"/>
    <w:rsid w:val="00297DD0"/>
    <w:rsid w:val="002A0BBF"/>
    <w:rsid w:val="002A1F76"/>
    <w:rsid w:val="002A40CF"/>
    <w:rsid w:val="002A4C81"/>
    <w:rsid w:val="002A4F18"/>
    <w:rsid w:val="002A5018"/>
    <w:rsid w:val="002A504E"/>
    <w:rsid w:val="002A577D"/>
    <w:rsid w:val="002A606C"/>
    <w:rsid w:val="002A6084"/>
    <w:rsid w:val="002A60B9"/>
    <w:rsid w:val="002A7569"/>
    <w:rsid w:val="002B05D9"/>
    <w:rsid w:val="002B0D74"/>
    <w:rsid w:val="002B10CE"/>
    <w:rsid w:val="002B1168"/>
    <w:rsid w:val="002B2BA7"/>
    <w:rsid w:val="002B3518"/>
    <w:rsid w:val="002B38E3"/>
    <w:rsid w:val="002B5127"/>
    <w:rsid w:val="002B57E0"/>
    <w:rsid w:val="002B59C7"/>
    <w:rsid w:val="002B5D8F"/>
    <w:rsid w:val="002B7E8F"/>
    <w:rsid w:val="002C0251"/>
    <w:rsid w:val="002C0EB4"/>
    <w:rsid w:val="002C0F46"/>
    <w:rsid w:val="002C1204"/>
    <w:rsid w:val="002C1B19"/>
    <w:rsid w:val="002C1C41"/>
    <w:rsid w:val="002C2188"/>
    <w:rsid w:val="002C2438"/>
    <w:rsid w:val="002C2DAB"/>
    <w:rsid w:val="002C3FA0"/>
    <w:rsid w:val="002C42CD"/>
    <w:rsid w:val="002C4B99"/>
    <w:rsid w:val="002C59B5"/>
    <w:rsid w:val="002C62D0"/>
    <w:rsid w:val="002C6A96"/>
    <w:rsid w:val="002C7413"/>
    <w:rsid w:val="002C77CA"/>
    <w:rsid w:val="002C7EAA"/>
    <w:rsid w:val="002D03F4"/>
    <w:rsid w:val="002D0C88"/>
    <w:rsid w:val="002D0CF2"/>
    <w:rsid w:val="002D12F6"/>
    <w:rsid w:val="002D1715"/>
    <w:rsid w:val="002D1EA3"/>
    <w:rsid w:val="002D2BAF"/>
    <w:rsid w:val="002D2F3E"/>
    <w:rsid w:val="002D38DF"/>
    <w:rsid w:val="002D3BF4"/>
    <w:rsid w:val="002D3F5E"/>
    <w:rsid w:val="002D4B06"/>
    <w:rsid w:val="002D5B95"/>
    <w:rsid w:val="002D5D17"/>
    <w:rsid w:val="002D606B"/>
    <w:rsid w:val="002D69C3"/>
    <w:rsid w:val="002D6C65"/>
    <w:rsid w:val="002D6EA7"/>
    <w:rsid w:val="002D76AE"/>
    <w:rsid w:val="002E042D"/>
    <w:rsid w:val="002E05F4"/>
    <w:rsid w:val="002E10D6"/>
    <w:rsid w:val="002E1944"/>
    <w:rsid w:val="002E1F69"/>
    <w:rsid w:val="002E3FD9"/>
    <w:rsid w:val="002E4A29"/>
    <w:rsid w:val="002E4A4E"/>
    <w:rsid w:val="002E4C76"/>
    <w:rsid w:val="002E4D69"/>
    <w:rsid w:val="002E5395"/>
    <w:rsid w:val="002E53E2"/>
    <w:rsid w:val="002E65D4"/>
    <w:rsid w:val="002E68F4"/>
    <w:rsid w:val="002E7FF0"/>
    <w:rsid w:val="002F143A"/>
    <w:rsid w:val="002F1D2E"/>
    <w:rsid w:val="002F2C16"/>
    <w:rsid w:val="002F4677"/>
    <w:rsid w:val="002F4717"/>
    <w:rsid w:val="002F4934"/>
    <w:rsid w:val="002F5875"/>
    <w:rsid w:val="002F694A"/>
    <w:rsid w:val="002F6A98"/>
    <w:rsid w:val="002F7546"/>
    <w:rsid w:val="002F7CB7"/>
    <w:rsid w:val="00300787"/>
    <w:rsid w:val="003009DD"/>
    <w:rsid w:val="00300E85"/>
    <w:rsid w:val="00301A4E"/>
    <w:rsid w:val="00301FE3"/>
    <w:rsid w:val="00302094"/>
    <w:rsid w:val="00302D55"/>
    <w:rsid w:val="0030313B"/>
    <w:rsid w:val="0030362F"/>
    <w:rsid w:val="00303CEE"/>
    <w:rsid w:val="00304D60"/>
    <w:rsid w:val="0030615A"/>
    <w:rsid w:val="003067E6"/>
    <w:rsid w:val="00307296"/>
    <w:rsid w:val="00311054"/>
    <w:rsid w:val="003112B7"/>
    <w:rsid w:val="0031167D"/>
    <w:rsid w:val="00311DB6"/>
    <w:rsid w:val="00312621"/>
    <w:rsid w:val="00312A12"/>
    <w:rsid w:val="00312F58"/>
    <w:rsid w:val="00313C1D"/>
    <w:rsid w:val="00314038"/>
    <w:rsid w:val="00314076"/>
    <w:rsid w:val="00314C63"/>
    <w:rsid w:val="00314F11"/>
    <w:rsid w:val="00315647"/>
    <w:rsid w:val="00315D05"/>
    <w:rsid w:val="00316B65"/>
    <w:rsid w:val="00320942"/>
    <w:rsid w:val="00320DF0"/>
    <w:rsid w:val="003214F6"/>
    <w:rsid w:val="0032170A"/>
    <w:rsid w:val="00321911"/>
    <w:rsid w:val="00321B0E"/>
    <w:rsid w:val="00322EC6"/>
    <w:rsid w:val="00323111"/>
    <w:rsid w:val="003232EF"/>
    <w:rsid w:val="00323609"/>
    <w:rsid w:val="00323B5D"/>
    <w:rsid w:val="00323CD3"/>
    <w:rsid w:val="0032441C"/>
    <w:rsid w:val="003244C1"/>
    <w:rsid w:val="0032456C"/>
    <w:rsid w:val="00324982"/>
    <w:rsid w:val="00324B21"/>
    <w:rsid w:val="00324FC1"/>
    <w:rsid w:val="00325D30"/>
    <w:rsid w:val="00326443"/>
    <w:rsid w:val="00326DE4"/>
    <w:rsid w:val="00327038"/>
    <w:rsid w:val="003273BC"/>
    <w:rsid w:val="00327519"/>
    <w:rsid w:val="00327982"/>
    <w:rsid w:val="00330705"/>
    <w:rsid w:val="0033092C"/>
    <w:rsid w:val="00331066"/>
    <w:rsid w:val="003318D9"/>
    <w:rsid w:val="00331CFF"/>
    <w:rsid w:val="00334700"/>
    <w:rsid w:val="00334833"/>
    <w:rsid w:val="00334FDF"/>
    <w:rsid w:val="0033526B"/>
    <w:rsid w:val="00335287"/>
    <w:rsid w:val="00335E6B"/>
    <w:rsid w:val="003362C4"/>
    <w:rsid w:val="003368C9"/>
    <w:rsid w:val="00336AE0"/>
    <w:rsid w:val="003370E7"/>
    <w:rsid w:val="003372A7"/>
    <w:rsid w:val="00340F88"/>
    <w:rsid w:val="0034122D"/>
    <w:rsid w:val="00341A87"/>
    <w:rsid w:val="00342130"/>
    <w:rsid w:val="0034281B"/>
    <w:rsid w:val="00342CC4"/>
    <w:rsid w:val="00342E73"/>
    <w:rsid w:val="00343ACE"/>
    <w:rsid w:val="00343C7F"/>
    <w:rsid w:val="00343F0C"/>
    <w:rsid w:val="003441B3"/>
    <w:rsid w:val="0034445A"/>
    <w:rsid w:val="00344531"/>
    <w:rsid w:val="00344AF6"/>
    <w:rsid w:val="0034684A"/>
    <w:rsid w:val="00346905"/>
    <w:rsid w:val="00347425"/>
    <w:rsid w:val="00347B60"/>
    <w:rsid w:val="00347BD0"/>
    <w:rsid w:val="00350766"/>
    <w:rsid w:val="003512CB"/>
    <w:rsid w:val="00351859"/>
    <w:rsid w:val="00351A5F"/>
    <w:rsid w:val="00352092"/>
    <w:rsid w:val="0035223A"/>
    <w:rsid w:val="00352429"/>
    <w:rsid w:val="00352464"/>
    <w:rsid w:val="003527D6"/>
    <w:rsid w:val="003533DC"/>
    <w:rsid w:val="00354E2D"/>
    <w:rsid w:val="00354E60"/>
    <w:rsid w:val="003556B6"/>
    <w:rsid w:val="00356627"/>
    <w:rsid w:val="00356AD1"/>
    <w:rsid w:val="00356ADA"/>
    <w:rsid w:val="00356D84"/>
    <w:rsid w:val="0035758B"/>
    <w:rsid w:val="00360394"/>
    <w:rsid w:val="00361627"/>
    <w:rsid w:val="00361743"/>
    <w:rsid w:val="00362A1A"/>
    <w:rsid w:val="00362C11"/>
    <w:rsid w:val="00362EF9"/>
    <w:rsid w:val="00362F60"/>
    <w:rsid w:val="00363110"/>
    <w:rsid w:val="00363477"/>
    <w:rsid w:val="0036347C"/>
    <w:rsid w:val="003637A1"/>
    <w:rsid w:val="00363A5F"/>
    <w:rsid w:val="00364580"/>
    <w:rsid w:val="003647F8"/>
    <w:rsid w:val="00364AFC"/>
    <w:rsid w:val="00364CCA"/>
    <w:rsid w:val="00364DF1"/>
    <w:rsid w:val="003653D8"/>
    <w:rsid w:val="0036550A"/>
    <w:rsid w:val="0036550B"/>
    <w:rsid w:val="0036619A"/>
    <w:rsid w:val="00366720"/>
    <w:rsid w:val="00366D34"/>
    <w:rsid w:val="00370459"/>
    <w:rsid w:val="00370580"/>
    <w:rsid w:val="00370CEC"/>
    <w:rsid w:val="00370E3D"/>
    <w:rsid w:val="003724A6"/>
    <w:rsid w:val="00373173"/>
    <w:rsid w:val="0037318F"/>
    <w:rsid w:val="003731AE"/>
    <w:rsid w:val="00373658"/>
    <w:rsid w:val="00373877"/>
    <w:rsid w:val="003742CE"/>
    <w:rsid w:val="003743B0"/>
    <w:rsid w:val="00374866"/>
    <w:rsid w:val="003752E3"/>
    <w:rsid w:val="003757D7"/>
    <w:rsid w:val="003765E8"/>
    <w:rsid w:val="0037669C"/>
    <w:rsid w:val="00380509"/>
    <w:rsid w:val="00381A3A"/>
    <w:rsid w:val="00381F3D"/>
    <w:rsid w:val="00382507"/>
    <w:rsid w:val="003827D6"/>
    <w:rsid w:val="003828C2"/>
    <w:rsid w:val="00382E42"/>
    <w:rsid w:val="00383A1F"/>
    <w:rsid w:val="00383F7D"/>
    <w:rsid w:val="00384127"/>
    <w:rsid w:val="00385557"/>
    <w:rsid w:val="00386CCA"/>
    <w:rsid w:val="00386DD4"/>
    <w:rsid w:val="003874A1"/>
    <w:rsid w:val="00387609"/>
    <w:rsid w:val="0038775A"/>
    <w:rsid w:val="00387943"/>
    <w:rsid w:val="003879A5"/>
    <w:rsid w:val="00387A7F"/>
    <w:rsid w:val="00387B63"/>
    <w:rsid w:val="00387ED1"/>
    <w:rsid w:val="00387F23"/>
    <w:rsid w:val="00390107"/>
    <w:rsid w:val="00390667"/>
    <w:rsid w:val="0039086E"/>
    <w:rsid w:val="0039097D"/>
    <w:rsid w:val="00391B0D"/>
    <w:rsid w:val="00392722"/>
    <w:rsid w:val="00392D66"/>
    <w:rsid w:val="00394FDE"/>
    <w:rsid w:val="0039580E"/>
    <w:rsid w:val="00395813"/>
    <w:rsid w:val="00396C52"/>
    <w:rsid w:val="00397996"/>
    <w:rsid w:val="003A1161"/>
    <w:rsid w:val="003A189D"/>
    <w:rsid w:val="003A1ECB"/>
    <w:rsid w:val="003A2432"/>
    <w:rsid w:val="003A2763"/>
    <w:rsid w:val="003A28B0"/>
    <w:rsid w:val="003A2C99"/>
    <w:rsid w:val="003A41E2"/>
    <w:rsid w:val="003A75F7"/>
    <w:rsid w:val="003A77AC"/>
    <w:rsid w:val="003A7BF7"/>
    <w:rsid w:val="003B0738"/>
    <w:rsid w:val="003B0AF8"/>
    <w:rsid w:val="003B0E7E"/>
    <w:rsid w:val="003B12CA"/>
    <w:rsid w:val="003B1534"/>
    <w:rsid w:val="003B2F46"/>
    <w:rsid w:val="003B326E"/>
    <w:rsid w:val="003B3395"/>
    <w:rsid w:val="003B4154"/>
    <w:rsid w:val="003B4BE4"/>
    <w:rsid w:val="003B5813"/>
    <w:rsid w:val="003B5BE3"/>
    <w:rsid w:val="003B61CD"/>
    <w:rsid w:val="003B64A6"/>
    <w:rsid w:val="003B6E54"/>
    <w:rsid w:val="003B75CE"/>
    <w:rsid w:val="003B7693"/>
    <w:rsid w:val="003B7E04"/>
    <w:rsid w:val="003C0554"/>
    <w:rsid w:val="003C1EE3"/>
    <w:rsid w:val="003C2619"/>
    <w:rsid w:val="003C2796"/>
    <w:rsid w:val="003C309B"/>
    <w:rsid w:val="003C30FB"/>
    <w:rsid w:val="003C32C1"/>
    <w:rsid w:val="003C366A"/>
    <w:rsid w:val="003C3AD5"/>
    <w:rsid w:val="003C4582"/>
    <w:rsid w:val="003C45C8"/>
    <w:rsid w:val="003C487B"/>
    <w:rsid w:val="003C543D"/>
    <w:rsid w:val="003C5C55"/>
    <w:rsid w:val="003C6444"/>
    <w:rsid w:val="003C77AF"/>
    <w:rsid w:val="003D1A85"/>
    <w:rsid w:val="003D3FC1"/>
    <w:rsid w:val="003D4A07"/>
    <w:rsid w:val="003D4ACE"/>
    <w:rsid w:val="003D5345"/>
    <w:rsid w:val="003D56B0"/>
    <w:rsid w:val="003D5C16"/>
    <w:rsid w:val="003D5E8B"/>
    <w:rsid w:val="003D7361"/>
    <w:rsid w:val="003E1110"/>
    <w:rsid w:val="003E1446"/>
    <w:rsid w:val="003E180B"/>
    <w:rsid w:val="003E208A"/>
    <w:rsid w:val="003E233E"/>
    <w:rsid w:val="003E2542"/>
    <w:rsid w:val="003E37CB"/>
    <w:rsid w:val="003E37E7"/>
    <w:rsid w:val="003E3CE1"/>
    <w:rsid w:val="003E4600"/>
    <w:rsid w:val="003E468A"/>
    <w:rsid w:val="003E626D"/>
    <w:rsid w:val="003E6D9B"/>
    <w:rsid w:val="003E7093"/>
    <w:rsid w:val="003E784F"/>
    <w:rsid w:val="003E7CF2"/>
    <w:rsid w:val="003F0252"/>
    <w:rsid w:val="003F0443"/>
    <w:rsid w:val="003F0523"/>
    <w:rsid w:val="003F0ACF"/>
    <w:rsid w:val="003F0B24"/>
    <w:rsid w:val="003F1435"/>
    <w:rsid w:val="003F227C"/>
    <w:rsid w:val="003F3996"/>
    <w:rsid w:val="003F41C4"/>
    <w:rsid w:val="003F4702"/>
    <w:rsid w:val="003F4A9F"/>
    <w:rsid w:val="003F4BA7"/>
    <w:rsid w:val="003F6A28"/>
    <w:rsid w:val="003F77E1"/>
    <w:rsid w:val="00400430"/>
    <w:rsid w:val="004006F0"/>
    <w:rsid w:val="00401E68"/>
    <w:rsid w:val="00401F12"/>
    <w:rsid w:val="00402062"/>
    <w:rsid w:val="0040219A"/>
    <w:rsid w:val="00402785"/>
    <w:rsid w:val="00402830"/>
    <w:rsid w:val="00402BA4"/>
    <w:rsid w:val="00403BCB"/>
    <w:rsid w:val="004041EC"/>
    <w:rsid w:val="00404207"/>
    <w:rsid w:val="00404924"/>
    <w:rsid w:val="00404928"/>
    <w:rsid w:val="0040509C"/>
    <w:rsid w:val="004053C0"/>
    <w:rsid w:val="00405738"/>
    <w:rsid w:val="0040588E"/>
    <w:rsid w:val="004058B5"/>
    <w:rsid w:val="004058F1"/>
    <w:rsid w:val="0040654C"/>
    <w:rsid w:val="004067C7"/>
    <w:rsid w:val="00406991"/>
    <w:rsid w:val="00406FD2"/>
    <w:rsid w:val="00407676"/>
    <w:rsid w:val="00407F2E"/>
    <w:rsid w:val="00407FFB"/>
    <w:rsid w:val="00410574"/>
    <w:rsid w:val="00410FC5"/>
    <w:rsid w:val="004117FE"/>
    <w:rsid w:val="00411942"/>
    <w:rsid w:val="00412662"/>
    <w:rsid w:val="00413452"/>
    <w:rsid w:val="00413D18"/>
    <w:rsid w:val="00414D8C"/>
    <w:rsid w:val="00414F30"/>
    <w:rsid w:val="00415A93"/>
    <w:rsid w:val="00415FA4"/>
    <w:rsid w:val="0041603F"/>
    <w:rsid w:val="0041641F"/>
    <w:rsid w:val="00416990"/>
    <w:rsid w:val="00420A7D"/>
    <w:rsid w:val="00421328"/>
    <w:rsid w:val="004213D3"/>
    <w:rsid w:val="00421A98"/>
    <w:rsid w:val="00422BA8"/>
    <w:rsid w:val="00422C81"/>
    <w:rsid w:val="00423301"/>
    <w:rsid w:val="0042396F"/>
    <w:rsid w:val="00423DC3"/>
    <w:rsid w:val="00423FA2"/>
    <w:rsid w:val="004244C5"/>
    <w:rsid w:val="00424753"/>
    <w:rsid w:val="00424ACD"/>
    <w:rsid w:val="00425254"/>
    <w:rsid w:val="00425311"/>
    <w:rsid w:val="0042607B"/>
    <w:rsid w:val="00426D58"/>
    <w:rsid w:val="00427119"/>
    <w:rsid w:val="00427644"/>
    <w:rsid w:val="00427AFE"/>
    <w:rsid w:val="00427CCB"/>
    <w:rsid w:val="00427D33"/>
    <w:rsid w:val="00431764"/>
    <w:rsid w:val="00431FA7"/>
    <w:rsid w:val="004324FA"/>
    <w:rsid w:val="00432A49"/>
    <w:rsid w:val="00432BCA"/>
    <w:rsid w:val="00432DC3"/>
    <w:rsid w:val="004342AE"/>
    <w:rsid w:val="00434619"/>
    <w:rsid w:val="004362AE"/>
    <w:rsid w:val="0043638F"/>
    <w:rsid w:val="0043642C"/>
    <w:rsid w:val="004366C2"/>
    <w:rsid w:val="00436800"/>
    <w:rsid w:val="00436EE2"/>
    <w:rsid w:val="00437148"/>
    <w:rsid w:val="00437C90"/>
    <w:rsid w:val="00440E0F"/>
    <w:rsid w:val="00441834"/>
    <w:rsid w:val="00441855"/>
    <w:rsid w:val="00442BAB"/>
    <w:rsid w:val="00442F02"/>
    <w:rsid w:val="00442FE7"/>
    <w:rsid w:val="00443111"/>
    <w:rsid w:val="004433F3"/>
    <w:rsid w:val="004436D4"/>
    <w:rsid w:val="0044482A"/>
    <w:rsid w:val="00444966"/>
    <w:rsid w:val="0044500C"/>
    <w:rsid w:val="004461B3"/>
    <w:rsid w:val="0044630C"/>
    <w:rsid w:val="004467A8"/>
    <w:rsid w:val="00446F36"/>
    <w:rsid w:val="0044700A"/>
    <w:rsid w:val="004472BB"/>
    <w:rsid w:val="00447CBD"/>
    <w:rsid w:val="00450AD9"/>
    <w:rsid w:val="00450D65"/>
    <w:rsid w:val="0045140E"/>
    <w:rsid w:val="00451AA8"/>
    <w:rsid w:val="00451DBC"/>
    <w:rsid w:val="004524E7"/>
    <w:rsid w:val="00452865"/>
    <w:rsid w:val="004528F0"/>
    <w:rsid w:val="00453855"/>
    <w:rsid w:val="004538F7"/>
    <w:rsid w:val="00453B2E"/>
    <w:rsid w:val="00454D43"/>
    <w:rsid w:val="00455773"/>
    <w:rsid w:val="00455C4A"/>
    <w:rsid w:val="004563EB"/>
    <w:rsid w:val="0045697C"/>
    <w:rsid w:val="00456E97"/>
    <w:rsid w:val="004571D1"/>
    <w:rsid w:val="004572A4"/>
    <w:rsid w:val="00457364"/>
    <w:rsid w:val="004573BF"/>
    <w:rsid w:val="00457408"/>
    <w:rsid w:val="00457C13"/>
    <w:rsid w:val="004600BA"/>
    <w:rsid w:val="0046056F"/>
    <w:rsid w:val="004608E5"/>
    <w:rsid w:val="00461285"/>
    <w:rsid w:val="00461E3E"/>
    <w:rsid w:val="00462AD1"/>
    <w:rsid w:val="004636A4"/>
    <w:rsid w:val="0046386E"/>
    <w:rsid w:val="00463E9E"/>
    <w:rsid w:val="00464803"/>
    <w:rsid w:val="00464F34"/>
    <w:rsid w:val="00465EB9"/>
    <w:rsid w:val="00470840"/>
    <w:rsid w:val="00471177"/>
    <w:rsid w:val="004715EF"/>
    <w:rsid w:val="00471F26"/>
    <w:rsid w:val="00471F51"/>
    <w:rsid w:val="00471F8A"/>
    <w:rsid w:val="004729BC"/>
    <w:rsid w:val="00472B36"/>
    <w:rsid w:val="00472E58"/>
    <w:rsid w:val="004732B8"/>
    <w:rsid w:val="00473896"/>
    <w:rsid w:val="0047495D"/>
    <w:rsid w:val="00474A04"/>
    <w:rsid w:val="0047662A"/>
    <w:rsid w:val="0047794E"/>
    <w:rsid w:val="00477A75"/>
    <w:rsid w:val="00477F67"/>
    <w:rsid w:val="004808BD"/>
    <w:rsid w:val="0048095C"/>
    <w:rsid w:val="00481252"/>
    <w:rsid w:val="004817C3"/>
    <w:rsid w:val="0048186E"/>
    <w:rsid w:val="004823B9"/>
    <w:rsid w:val="00482883"/>
    <w:rsid w:val="00483350"/>
    <w:rsid w:val="00483641"/>
    <w:rsid w:val="00483BD0"/>
    <w:rsid w:val="00484F0D"/>
    <w:rsid w:val="00486342"/>
    <w:rsid w:val="00486A57"/>
    <w:rsid w:val="00486E2D"/>
    <w:rsid w:val="0048727A"/>
    <w:rsid w:val="00487F57"/>
    <w:rsid w:val="00490D41"/>
    <w:rsid w:val="004912EB"/>
    <w:rsid w:val="004924D1"/>
    <w:rsid w:val="00492BB8"/>
    <w:rsid w:val="00493BBB"/>
    <w:rsid w:val="00495355"/>
    <w:rsid w:val="00497827"/>
    <w:rsid w:val="00497A79"/>
    <w:rsid w:val="004A088A"/>
    <w:rsid w:val="004A08A7"/>
    <w:rsid w:val="004A1444"/>
    <w:rsid w:val="004A21BF"/>
    <w:rsid w:val="004A29AB"/>
    <w:rsid w:val="004A3CC9"/>
    <w:rsid w:val="004A4286"/>
    <w:rsid w:val="004A4733"/>
    <w:rsid w:val="004A4CFE"/>
    <w:rsid w:val="004A5033"/>
    <w:rsid w:val="004A56B5"/>
    <w:rsid w:val="004A5793"/>
    <w:rsid w:val="004A6453"/>
    <w:rsid w:val="004A70E8"/>
    <w:rsid w:val="004A715C"/>
    <w:rsid w:val="004A7271"/>
    <w:rsid w:val="004A74B2"/>
    <w:rsid w:val="004B0597"/>
    <w:rsid w:val="004B1A38"/>
    <w:rsid w:val="004B1E6D"/>
    <w:rsid w:val="004B3C84"/>
    <w:rsid w:val="004B43CF"/>
    <w:rsid w:val="004B4561"/>
    <w:rsid w:val="004B46FE"/>
    <w:rsid w:val="004B4B87"/>
    <w:rsid w:val="004B5106"/>
    <w:rsid w:val="004B5BFD"/>
    <w:rsid w:val="004B6825"/>
    <w:rsid w:val="004B6943"/>
    <w:rsid w:val="004B71DD"/>
    <w:rsid w:val="004C01D5"/>
    <w:rsid w:val="004C0448"/>
    <w:rsid w:val="004C0485"/>
    <w:rsid w:val="004C0A34"/>
    <w:rsid w:val="004C0EBB"/>
    <w:rsid w:val="004C11CC"/>
    <w:rsid w:val="004C18E4"/>
    <w:rsid w:val="004C1AA1"/>
    <w:rsid w:val="004C1D71"/>
    <w:rsid w:val="004C23EF"/>
    <w:rsid w:val="004C26B5"/>
    <w:rsid w:val="004C2BC8"/>
    <w:rsid w:val="004C2CF2"/>
    <w:rsid w:val="004C3174"/>
    <w:rsid w:val="004C3274"/>
    <w:rsid w:val="004C419D"/>
    <w:rsid w:val="004C4E25"/>
    <w:rsid w:val="004C51CD"/>
    <w:rsid w:val="004C5488"/>
    <w:rsid w:val="004C5B69"/>
    <w:rsid w:val="004C5EBC"/>
    <w:rsid w:val="004C60FD"/>
    <w:rsid w:val="004C690C"/>
    <w:rsid w:val="004C6E21"/>
    <w:rsid w:val="004C74A8"/>
    <w:rsid w:val="004C7744"/>
    <w:rsid w:val="004C7F7F"/>
    <w:rsid w:val="004D00C0"/>
    <w:rsid w:val="004D0BE9"/>
    <w:rsid w:val="004D0EB5"/>
    <w:rsid w:val="004D1462"/>
    <w:rsid w:val="004D19AD"/>
    <w:rsid w:val="004D4289"/>
    <w:rsid w:val="004D4836"/>
    <w:rsid w:val="004D5165"/>
    <w:rsid w:val="004D64F2"/>
    <w:rsid w:val="004D6CE0"/>
    <w:rsid w:val="004D70E8"/>
    <w:rsid w:val="004E079E"/>
    <w:rsid w:val="004E10AE"/>
    <w:rsid w:val="004E1531"/>
    <w:rsid w:val="004E1AB7"/>
    <w:rsid w:val="004E1BD5"/>
    <w:rsid w:val="004E1D72"/>
    <w:rsid w:val="004E2D5A"/>
    <w:rsid w:val="004E37C6"/>
    <w:rsid w:val="004E4B94"/>
    <w:rsid w:val="004E4F1B"/>
    <w:rsid w:val="004E596E"/>
    <w:rsid w:val="004E59B6"/>
    <w:rsid w:val="004E5E97"/>
    <w:rsid w:val="004E5EB4"/>
    <w:rsid w:val="004E69B8"/>
    <w:rsid w:val="004E7E2D"/>
    <w:rsid w:val="004F0E49"/>
    <w:rsid w:val="004F1326"/>
    <w:rsid w:val="004F139F"/>
    <w:rsid w:val="004F1C8B"/>
    <w:rsid w:val="004F1D68"/>
    <w:rsid w:val="004F1EE4"/>
    <w:rsid w:val="004F1F9D"/>
    <w:rsid w:val="004F21E7"/>
    <w:rsid w:val="004F2256"/>
    <w:rsid w:val="004F26EB"/>
    <w:rsid w:val="004F2CCD"/>
    <w:rsid w:val="004F2DBE"/>
    <w:rsid w:val="004F433F"/>
    <w:rsid w:val="004F4393"/>
    <w:rsid w:val="004F4E3E"/>
    <w:rsid w:val="004F4E83"/>
    <w:rsid w:val="004F5570"/>
    <w:rsid w:val="004F5AD2"/>
    <w:rsid w:val="004F5C66"/>
    <w:rsid w:val="004F6690"/>
    <w:rsid w:val="004F67B9"/>
    <w:rsid w:val="004F7321"/>
    <w:rsid w:val="004F7882"/>
    <w:rsid w:val="004F7BC4"/>
    <w:rsid w:val="0050302A"/>
    <w:rsid w:val="0050336B"/>
    <w:rsid w:val="005033A2"/>
    <w:rsid w:val="00503C8B"/>
    <w:rsid w:val="00503DE1"/>
    <w:rsid w:val="00504123"/>
    <w:rsid w:val="00504D39"/>
    <w:rsid w:val="0050511E"/>
    <w:rsid w:val="00505422"/>
    <w:rsid w:val="0050574C"/>
    <w:rsid w:val="00505944"/>
    <w:rsid w:val="00507466"/>
    <w:rsid w:val="005077B6"/>
    <w:rsid w:val="00512723"/>
    <w:rsid w:val="00512DBB"/>
    <w:rsid w:val="00512FE3"/>
    <w:rsid w:val="00513608"/>
    <w:rsid w:val="00513878"/>
    <w:rsid w:val="00513F96"/>
    <w:rsid w:val="0051534D"/>
    <w:rsid w:val="00515F7D"/>
    <w:rsid w:val="00516821"/>
    <w:rsid w:val="00520157"/>
    <w:rsid w:val="005212D4"/>
    <w:rsid w:val="005214BA"/>
    <w:rsid w:val="00521500"/>
    <w:rsid w:val="00521785"/>
    <w:rsid w:val="00521A5D"/>
    <w:rsid w:val="00521BAB"/>
    <w:rsid w:val="005221BD"/>
    <w:rsid w:val="00522EC4"/>
    <w:rsid w:val="0052357A"/>
    <w:rsid w:val="0052403C"/>
    <w:rsid w:val="00524187"/>
    <w:rsid w:val="00524EED"/>
    <w:rsid w:val="00525B48"/>
    <w:rsid w:val="005261AD"/>
    <w:rsid w:val="0052624F"/>
    <w:rsid w:val="00526671"/>
    <w:rsid w:val="0053023B"/>
    <w:rsid w:val="0053054C"/>
    <w:rsid w:val="0053111B"/>
    <w:rsid w:val="005316E4"/>
    <w:rsid w:val="005321C4"/>
    <w:rsid w:val="00532466"/>
    <w:rsid w:val="005325AF"/>
    <w:rsid w:val="005325B1"/>
    <w:rsid w:val="005327CB"/>
    <w:rsid w:val="0053374E"/>
    <w:rsid w:val="00533E32"/>
    <w:rsid w:val="00534690"/>
    <w:rsid w:val="00535DAC"/>
    <w:rsid w:val="00535E4A"/>
    <w:rsid w:val="0053605B"/>
    <w:rsid w:val="00536120"/>
    <w:rsid w:val="00536EDB"/>
    <w:rsid w:val="00537219"/>
    <w:rsid w:val="005373F6"/>
    <w:rsid w:val="00537C3B"/>
    <w:rsid w:val="00537C99"/>
    <w:rsid w:val="005412F7"/>
    <w:rsid w:val="00541552"/>
    <w:rsid w:val="005415EA"/>
    <w:rsid w:val="005417D3"/>
    <w:rsid w:val="005430DF"/>
    <w:rsid w:val="00543654"/>
    <w:rsid w:val="0054371E"/>
    <w:rsid w:val="00543918"/>
    <w:rsid w:val="00543A0D"/>
    <w:rsid w:val="005444B0"/>
    <w:rsid w:val="0054591B"/>
    <w:rsid w:val="00545E91"/>
    <w:rsid w:val="0054663E"/>
    <w:rsid w:val="00546925"/>
    <w:rsid w:val="00546C35"/>
    <w:rsid w:val="00546E0B"/>
    <w:rsid w:val="00547992"/>
    <w:rsid w:val="00547B75"/>
    <w:rsid w:val="00547DDF"/>
    <w:rsid w:val="005504F3"/>
    <w:rsid w:val="00551348"/>
    <w:rsid w:val="00551DB3"/>
    <w:rsid w:val="005527CB"/>
    <w:rsid w:val="00552BAD"/>
    <w:rsid w:val="005539EC"/>
    <w:rsid w:val="00554080"/>
    <w:rsid w:val="0055482F"/>
    <w:rsid w:val="00555094"/>
    <w:rsid w:val="005558F6"/>
    <w:rsid w:val="00555E55"/>
    <w:rsid w:val="00555E6E"/>
    <w:rsid w:val="0055683A"/>
    <w:rsid w:val="00557714"/>
    <w:rsid w:val="00557B2A"/>
    <w:rsid w:val="00560938"/>
    <w:rsid w:val="00560E3A"/>
    <w:rsid w:val="00560FA7"/>
    <w:rsid w:val="005617C2"/>
    <w:rsid w:val="00561CE1"/>
    <w:rsid w:val="0056228B"/>
    <w:rsid w:val="005622F0"/>
    <w:rsid w:val="00562BBD"/>
    <w:rsid w:val="00563806"/>
    <w:rsid w:val="00563E52"/>
    <w:rsid w:val="0056452E"/>
    <w:rsid w:val="00564965"/>
    <w:rsid w:val="00564CCB"/>
    <w:rsid w:val="00567046"/>
    <w:rsid w:val="00567362"/>
    <w:rsid w:val="00571706"/>
    <w:rsid w:val="00571968"/>
    <w:rsid w:val="00571995"/>
    <w:rsid w:val="0057419E"/>
    <w:rsid w:val="005750C0"/>
    <w:rsid w:val="00576C78"/>
    <w:rsid w:val="00577502"/>
    <w:rsid w:val="00577A29"/>
    <w:rsid w:val="00577A58"/>
    <w:rsid w:val="00581840"/>
    <w:rsid w:val="00581878"/>
    <w:rsid w:val="00583469"/>
    <w:rsid w:val="00583C69"/>
    <w:rsid w:val="00585060"/>
    <w:rsid w:val="00585516"/>
    <w:rsid w:val="00586AC2"/>
    <w:rsid w:val="00586DD2"/>
    <w:rsid w:val="005872D4"/>
    <w:rsid w:val="00587419"/>
    <w:rsid w:val="005876F2"/>
    <w:rsid w:val="005878F7"/>
    <w:rsid w:val="005908F2"/>
    <w:rsid w:val="0059121D"/>
    <w:rsid w:val="00592175"/>
    <w:rsid w:val="005929B8"/>
    <w:rsid w:val="00592ECC"/>
    <w:rsid w:val="00593009"/>
    <w:rsid w:val="00593B18"/>
    <w:rsid w:val="00594A12"/>
    <w:rsid w:val="005953BD"/>
    <w:rsid w:val="0059571A"/>
    <w:rsid w:val="00595E87"/>
    <w:rsid w:val="00596077"/>
    <w:rsid w:val="00596DF1"/>
    <w:rsid w:val="005970D0"/>
    <w:rsid w:val="00597116"/>
    <w:rsid w:val="005A0E29"/>
    <w:rsid w:val="005A0F88"/>
    <w:rsid w:val="005A17D7"/>
    <w:rsid w:val="005A187E"/>
    <w:rsid w:val="005A4292"/>
    <w:rsid w:val="005A4628"/>
    <w:rsid w:val="005A496B"/>
    <w:rsid w:val="005A576B"/>
    <w:rsid w:val="005A70E7"/>
    <w:rsid w:val="005A72C7"/>
    <w:rsid w:val="005A77A1"/>
    <w:rsid w:val="005B02CB"/>
    <w:rsid w:val="005B06A4"/>
    <w:rsid w:val="005B1821"/>
    <w:rsid w:val="005B195E"/>
    <w:rsid w:val="005B1FBE"/>
    <w:rsid w:val="005B2325"/>
    <w:rsid w:val="005B246C"/>
    <w:rsid w:val="005B291F"/>
    <w:rsid w:val="005B544D"/>
    <w:rsid w:val="005B6100"/>
    <w:rsid w:val="005B6EFB"/>
    <w:rsid w:val="005B70A9"/>
    <w:rsid w:val="005C0255"/>
    <w:rsid w:val="005C07A7"/>
    <w:rsid w:val="005C0D51"/>
    <w:rsid w:val="005C0DD7"/>
    <w:rsid w:val="005C1490"/>
    <w:rsid w:val="005C192C"/>
    <w:rsid w:val="005C501F"/>
    <w:rsid w:val="005C57E9"/>
    <w:rsid w:val="005C603F"/>
    <w:rsid w:val="005C6DAB"/>
    <w:rsid w:val="005C7F4B"/>
    <w:rsid w:val="005C7FEC"/>
    <w:rsid w:val="005D0908"/>
    <w:rsid w:val="005D0920"/>
    <w:rsid w:val="005D0B15"/>
    <w:rsid w:val="005D0B3E"/>
    <w:rsid w:val="005D0C5B"/>
    <w:rsid w:val="005D23A0"/>
    <w:rsid w:val="005D2F65"/>
    <w:rsid w:val="005D3804"/>
    <w:rsid w:val="005D39DB"/>
    <w:rsid w:val="005D4243"/>
    <w:rsid w:val="005D4BB3"/>
    <w:rsid w:val="005D50BD"/>
    <w:rsid w:val="005D5A5A"/>
    <w:rsid w:val="005D63B1"/>
    <w:rsid w:val="005D67FE"/>
    <w:rsid w:val="005D6970"/>
    <w:rsid w:val="005E0DB3"/>
    <w:rsid w:val="005E1CFB"/>
    <w:rsid w:val="005E219F"/>
    <w:rsid w:val="005E291A"/>
    <w:rsid w:val="005E2F17"/>
    <w:rsid w:val="005E2FEE"/>
    <w:rsid w:val="005E4EC6"/>
    <w:rsid w:val="005E785E"/>
    <w:rsid w:val="005E78CC"/>
    <w:rsid w:val="005E7988"/>
    <w:rsid w:val="005F06CC"/>
    <w:rsid w:val="005F0973"/>
    <w:rsid w:val="005F0FE4"/>
    <w:rsid w:val="005F10B8"/>
    <w:rsid w:val="005F15E8"/>
    <w:rsid w:val="005F18B1"/>
    <w:rsid w:val="005F1D0D"/>
    <w:rsid w:val="005F1E56"/>
    <w:rsid w:val="005F2603"/>
    <w:rsid w:val="005F3497"/>
    <w:rsid w:val="005F4532"/>
    <w:rsid w:val="005F4633"/>
    <w:rsid w:val="005F5932"/>
    <w:rsid w:val="005F5B1D"/>
    <w:rsid w:val="005F5DF8"/>
    <w:rsid w:val="005F622F"/>
    <w:rsid w:val="005F62D6"/>
    <w:rsid w:val="005F63BB"/>
    <w:rsid w:val="005F673E"/>
    <w:rsid w:val="005F7969"/>
    <w:rsid w:val="005F79A8"/>
    <w:rsid w:val="006001FA"/>
    <w:rsid w:val="00600416"/>
    <w:rsid w:val="006004C1"/>
    <w:rsid w:val="006009C9"/>
    <w:rsid w:val="00600E41"/>
    <w:rsid w:val="006012D1"/>
    <w:rsid w:val="00601497"/>
    <w:rsid w:val="00601A15"/>
    <w:rsid w:val="00601C16"/>
    <w:rsid w:val="00602635"/>
    <w:rsid w:val="0060275F"/>
    <w:rsid w:val="006027C4"/>
    <w:rsid w:val="00602C3D"/>
    <w:rsid w:val="00603642"/>
    <w:rsid w:val="006037A0"/>
    <w:rsid w:val="0060388F"/>
    <w:rsid w:val="00603F15"/>
    <w:rsid w:val="006041BF"/>
    <w:rsid w:val="006041E7"/>
    <w:rsid w:val="00604338"/>
    <w:rsid w:val="006055C4"/>
    <w:rsid w:val="006076CA"/>
    <w:rsid w:val="00607F84"/>
    <w:rsid w:val="0061083C"/>
    <w:rsid w:val="00610F88"/>
    <w:rsid w:val="0061101A"/>
    <w:rsid w:val="00611252"/>
    <w:rsid w:val="00611606"/>
    <w:rsid w:val="0061250C"/>
    <w:rsid w:val="006129D0"/>
    <w:rsid w:val="00613D9A"/>
    <w:rsid w:val="00614A68"/>
    <w:rsid w:val="00614B48"/>
    <w:rsid w:val="006154C5"/>
    <w:rsid w:val="0061697E"/>
    <w:rsid w:val="00616B5F"/>
    <w:rsid w:val="00616FA5"/>
    <w:rsid w:val="00617910"/>
    <w:rsid w:val="006203A4"/>
    <w:rsid w:val="006206C0"/>
    <w:rsid w:val="006208EF"/>
    <w:rsid w:val="0062162D"/>
    <w:rsid w:val="00621FA8"/>
    <w:rsid w:val="00622250"/>
    <w:rsid w:val="006239DF"/>
    <w:rsid w:val="006239E2"/>
    <w:rsid w:val="00625CAB"/>
    <w:rsid w:val="00625FDC"/>
    <w:rsid w:val="00627576"/>
    <w:rsid w:val="006304E6"/>
    <w:rsid w:val="00630EC3"/>
    <w:rsid w:val="00630EF2"/>
    <w:rsid w:val="00630F40"/>
    <w:rsid w:val="006310CF"/>
    <w:rsid w:val="00632B67"/>
    <w:rsid w:val="0063317E"/>
    <w:rsid w:val="00634001"/>
    <w:rsid w:val="006342E0"/>
    <w:rsid w:val="00634391"/>
    <w:rsid w:val="00634433"/>
    <w:rsid w:val="006345C0"/>
    <w:rsid w:val="00635DEA"/>
    <w:rsid w:val="00635F3A"/>
    <w:rsid w:val="006375F1"/>
    <w:rsid w:val="00640372"/>
    <w:rsid w:val="00640815"/>
    <w:rsid w:val="00640FEF"/>
    <w:rsid w:val="00641148"/>
    <w:rsid w:val="00641686"/>
    <w:rsid w:val="0064179D"/>
    <w:rsid w:val="006425EB"/>
    <w:rsid w:val="00643164"/>
    <w:rsid w:val="0064323C"/>
    <w:rsid w:val="00643745"/>
    <w:rsid w:val="00643DF6"/>
    <w:rsid w:val="0064418B"/>
    <w:rsid w:val="006456A6"/>
    <w:rsid w:val="0064574E"/>
    <w:rsid w:val="00645968"/>
    <w:rsid w:val="006460EA"/>
    <w:rsid w:val="0064637B"/>
    <w:rsid w:val="006465DA"/>
    <w:rsid w:val="0064679D"/>
    <w:rsid w:val="00646B42"/>
    <w:rsid w:val="00646E89"/>
    <w:rsid w:val="0064734F"/>
    <w:rsid w:val="006476E1"/>
    <w:rsid w:val="00647A69"/>
    <w:rsid w:val="0065018E"/>
    <w:rsid w:val="00650900"/>
    <w:rsid w:val="00651807"/>
    <w:rsid w:val="006518C5"/>
    <w:rsid w:val="00653AC1"/>
    <w:rsid w:val="00654D7C"/>
    <w:rsid w:val="006550E9"/>
    <w:rsid w:val="00655D81"/>
    <w:rsid w:val="006569A1"/>
    <w:rsid w:val="006569F8"/>
    <w:rsid w:val="006571CC"/>
    <w:rsid w:val="00657262"/>
    <w:rsid w:val="00657368"/>
    <w:rsid w:val="00657A92"/>
    <w:rsid w:val="006613E9"/>
    <w:rsid w:val="006619BB"/>
    <w:rsid w:val="00661F76"/>
    <w:rsid w:val="0066389E"/>
    <w:rsid w:val="00665822"/>
    <w:rsid w:val="00666112"/>
    <w:rsid w:val="00666D23"/>
    <w:rsid w:val="00667F1F"/>
    <w:rsid w:val="006703B9"/>
    <w:rsid w:val="00670773"/>
    <w:rsid w:val="006709EA"/>
    <w:rsid w:val="00670BFF"/>
    <w:rsid w:val="006711B7"/>
    <w:rsid w:val="00672162"/>
    <w:rsid w:val="00672493"/>
    <w:rsid w:val="00672D75"/>
    <w:rsid w:val="006747BE"/>
    <w:rsid w:val="00674ED0"/>
    <w:rsid w:val="00675226"/>
    <w:rsid w:val="006755D3"/>
    <w:rsid w:val="00675E8A"/>
    <w:rsid w:val="00676428"/>
    <w:rsid w:val="00676BFA"/>
    <w:rsid w:val="00677369"/>
    <w:rsid w:val="00677839"/>
    <w:rsid w:val="00681751"/>
    <w:rsid w:val="006821EC"/>
    <w:rsid w:val="006828F2"/>
    <w:rsid w:val="00682D12"/>
    <w:rsid w:val="00683A7A"/>
    <w:rsid w:val="006841AF"/>
    <w:rsid w:val="0068466C"/>
    <w:rsid w:val="00684864"/>
    <w:rsid w:val="00684E08"/>
    <w:rsid w:val="00685149"/>
    <w:rsid w:val="0068563E"/>
    <w:rsid w:val="00685BFB"/>
    <w:rsid w:val="00685E32"/>
    <w:rsid w:val="006869C0"/>
    <w:rsid w:val="0068782A"/>
    <w:rsid w:val="00687B15"/>
    <w:rsid w:val="00687CE7"/>
    <w:rsid w:val="006900B5"/>
    <w:rsid w:val="006902BC"/>
    <w:rsid w:val="006906BC"/>
    <w:rsid w:val="00690A9C"/>
    <w:rsid w:val="006917FD"/>
    <w:rsid w:val="00691EA7"/>
    <w:rsid w:val="006920C0"/>
    <w:rsid w:val="00692DC5"/>
    <w:rsid w:val="00693BA2"/>
    <w:rsid w:val="00695123"/>
    <w:rsid w:val="00695B53"/>
    <w:rsid w:val="00696954"/>
    <w:rsid w:val="006A0030"/>
    <w:rsid w:val="006A057F"/>
    <w:rsid w:val="006A3DD4"/>
    <w:rsid w:val="006A3F67"/>
    <w:rsid w:val="006A5560"/>
    <w:rsid w:val="006A5CEE"/>
    <w:rsid w:val="006A6014"/>
    <w:rsid w:val="006A6284"/>
    <w:rsid w:val="006A7138"/>
    <w:rsid w:val="006A75F8"/>
    <w:rsid w:val="006B0197"/>
    <w:rsid w:val="006B0221"/>
    <w:rsid w:val="006B0370"/>
    <w:rsid w:val="006B0467"/>
    <w:rsid w:val="006B13B2"/>
    <w:rsid w:val="006B168C"/>
    <w:rsid w:val="006B1981"/>
    <w:rsid w:val="006B570F"/>
    <w:rsid w:val="006B65DD"/>
    <w:rsid w:val="006B67EB"/>
    <w:rsid w:val="006B75DC"/>
    <w:rsid w:val="006C017B"/>
    <w:rsid w:val="006C0315"/>
    <w:rsid w:val="006C1388"/>
    <w:rsid w:val="006C144F"/>
    <w:rsid w:val="006C17FB"/>
    <w:rsid w:val="006C1A88"/>
    <w:rsid w:val="006C3839"/>
    <w:rsid w:val="006C3D5D"/>
    <w:rsid w:val="006C4EF7"/>
    <w:rsid w:val="006C507E"/>
    <w:rsid w:val="006C51A8"/>
    <w:rsid w:val="006C54C7"/>
    <w:rsid w:val="006C54D6"/>
    <w:rsid w:val="006C574C"/>
    <w:rsid w:val="006C5B3F"/>
    <w:rsid w:val="006C5E99"/>
    <w:rsid w:val="006C5EDE"/>
    <w:rsid w:val="006C6184"/>
    <w:rsid w:val="006C6F74"/>
    <w:rsid w:val="006D0C46"/>
    <w:rsid w:val="006D0E6C"/>
    <w:rsid w:val="006D20D8"/>
    <w:rsid w:val="006D3187"/>
    <w:rsid w:val="006D3FCB"/>
    <w:rsid w:val="006D437A"/>
    <w:rsid w:val="006D4617"/>
    <w:rsid w:val="006D4864"/>
    <w:rsid w:val="006D4AB4"/>
    <w:rsid w:val="006D5520"/>
    <w:rsid w:val="006D59B1"/>
    <w:rsid w:val="006D59D7"/>
    <w:rsid w:val="006D60CE"/>
    <w:rsid w:val="006D681C"/>
    <w:rsid w:val="006D682D"/>
    <w:rsid w:val="006D6C77"/>
    <w:rsid w:val="006D6CEF"/>
    <w:rsid w:val="006D6E77"/>
    <w:rsid w:val="006D6EB0"/>
    <w:rsid w:val="006D73A5"/>
    <w:rsid w:val="006D7503"/>
    <w:rsid w:val="006D75CE"/>
    <w:rsid w:val="006E0089"/>
    <w:rsid w:val="006E00EB"/>
    <w:rsid w:val="006E0218"/>
    <w:rsid w:val="006E0282"/>
    <w:rsid w:val="006E0378"/>
    <w:rsid w:val="006E04F0"/>
    <w:rsid w:val="006E0A6B"/>
    <w:rsid w:val="006E0C72"/>
    <w:rsid w:val="006E164F"/>
    <w:rsid w:val="006E1672"/>
    <w:rsid w:val="006E2C8F"/>
    <w:rsid w:val="006E2E16"/>
    <w:rsid w:val="006E30D3"/>
    <w:rsid w:val="006E3E5E"/>
    <w:rsid w:val="006E4F14"/>
    <w:rsid w:val="006E534C"/>
    <w:rsid w:val="006E53E7"/>
    <w:rsid w:val="006E6EC3"/>
    <w:rsid w:val="006E70BA"/>
    <w:rsid w:val="006E7787"/>
    <w:rsid w:val="006F018B"/>
    <w:rsid w:val="006F0C53"/>
    <w:rsid w:val="006F0C94"/>
    <w:rsid w:val="006F0C9F"/>
    <w:rsid w:val="006F21F5"/>
    <w:rsid w:val="006F3299"/>
    <w:rsid w:val="006F347B"/>
    <w:rsid w:val="006F419B"/>
    <w:rsid w:val="006F476F"/>
    <w:rsid w:val="006F51D1"/>
    <w:rsid w:val="006F55DD"/>
    <w:rsid w:val="006F6D5B"/>
    <w:rsid w:val="006F79F1"/>
    <w:rsid w:val="006F7A5A"/>
    <w:rsid w:val="006F7CCA"/>
    <w:rsid w:val="007003EE"/>
    <w:rsid w:val="00700B07"/>
    <w:rsid w:val="00701394"/>
    <w:rsid w:val="00702059"/>
    <w:rsid w:val="00703105"/>
    <w:rsid w:val="00703385"/>
    <w:rsid w:val="00704014"/>
    <w:rsid w:val="007043C7"/>
    <w:rsid w:val="00704CE4"/>
    <w:rsid w:val="00705382"/>
    <w:rsid w:val="00705439"/>
    <w:rsid w:val="00705452"/>
    <w:rsid w:val="00707E32"/>
    <w:rsid w:val="0071077B"/>
    <w:rsid w:val="007107E1"/>
    <w:rsid w:val="007113E8"/>
    <w:rsid w:val="00711D4C"/>
    <w:rsid w:val="007123FB"/>
    <w:rsid w:val="0071350F"/>
    <w:rsid w:val="007136D4"/>
    <w:rsid w:val="00713AC4"/>
    <w:rsid w:val="00713DC1"/>
    <w:rsid w:val="00714CF4"/>
    <w:rsid w:val="00714FBD"/>
    <w:rsid w:val="00715BA8"/>
    <w:rsid w:val="00715EAE"/>
    <w:rsid w:val="007163CF"/>
    <w:rsid w:val="00716505"/>
    <w:rsid w:val="0071749E"/>
    <w:rsid w:val="007207E0"/>
    <w:rsid w:val="007209BF"/>
    <w:rsid w:val="00720D07"/>
    <w:rsid w:val="00722C49"/>
    <w:rsid w:val="00723660"/>
    <w:rsid w:val="00723FDC"/>
    <w:rsid w:val="00724893"/>
    <w:rsid w:val="00724A41"/>
    <w:rsid w:val="00725B17"/>
    <w:rsid w:val="00726391"/>
    <w:rsid w:val="0072739C"/>
    <w:rsid w:val="00732203"/>
    <w:rsid w:val="007329C3"/>
    <w:rsid w:val="00732C91"/>
    <w:rsid w:val="00733C4F"/>
    <w:rsid w:val="00734224"/>
    <w:rsid w:val="00734568"/>
    <w:rsid w:val="00735091"/>
    <w:rsid w:val="00735449"/>
    <w:rsid w:val="00735458"/>
    <w:rsid w:val="0073553F"/>
    <w:rsid w:val="007355AF"/>
    <w:rsid w:val="007356F1"/>
    <w:rsid w:val="00735C85"/>
    <w:rsid w:val="00741BD3"/>
    <w:rsid w:val="00742293"/>
    <w:rsid w:val="007427B7"/>
    <w:rsid w:val="007429DE"/>
    <w:rsid w:val="00743CDC"/>
    <w:rsid w:val="00744947"/>
    <w:rsid w:val="00744A97"/>
    <w:rsid w:val="00745136"/>
    <w:rsid w:val="007465DB"/>
    <w:rsid w:val="00746C79"/>
    <w:rsid w:val="00747D86"/>
    <w:rsid w:val="007503E1"/>
    <w:rsid w:val="00752036"/>
    <w:rsid w:val="0075210F"/>
    <w:rsid w:val="0075252D"/>
    <w:rsid w:val="00752B2E"/>
    <w:rsid w:val="00753691"/>
    <w:rsid w:val="0075373B"/>
    <w:rsid w:val="0075381C"/>
    <w:rsid w:val="00753D36"/>
    <w:rsid w:val="00754630"/>
    <w:rsid w:val="00754DA8"/>
    <w:rsid w:val="00755063"/>
    <w:rsid w:val="00755700"/>
    <w:rsid w:val="007559C7"/>
    <w:rsid w:val="00755F29"/>
    <w:rsid w:val="00756979"/>
    <w:rsid w:val="00756E36"/>
    <w:rsid w:val="007574F9"/>
    <w:rsid w:val="00757B01"/>
    <w:rsid w:val="00760192"/>
    <w:rsid w:val="007619EB"/>
    <w:rsid w:val="00762D7F"/>
    <w:rsid w:val="00762F48"/>
    <w:rsid w:val="00762F8F"/>
    <w:rsid w:val="00763084"/>
    <w:rsid w:val="007639AC"/>
    <w:rsid w:val="00763A37"/>
    <w:rsid w:val="00764685"/>
    <w:rsid w:val="00764FFC"/>
    <w:rsid w:val="0076506A"/>
    <w:rsid w:val="00765566"/>
    <w:rsid w:val="007657D6"/>
    <w:rsid w:val="007658FF"/>
    <w:rsid w:val="00765D3E"/>
    <w:rsid w:val="00765EEC"/>
    <w:rsid w:val="00766B08"/>
    <w:rsid w:val="00770677"/>
    <w:rsid w:val="007708A7"/>
    <w:rsid w:val="00770F6E"/>
    <w:rsid w:val="007728EF"/>
    <w:rsid w:val="00772C03"/>
    <w:rsid w:val="0077399E"/>
    <w:rsid w:val="00773F97"/>
    <w:rsid w:val="00773FD4"/>
    <w:rsid w:val="007748BD"/>
    <w:rsid w:val="00774D45"/>
    <w:rsid w:val="00774F5C"/>
    <w:rsid w:val="00775720"/>
    <w:rsid w:val="0077677A"/>
    <w:rsid w:val="007769E2"/>
    <w:rsid w:val="00776C24"/>
    <w:rsid w:val="0078004A"/>
    <w:rsid w:val="00780063"/>
    <w:rsid w:val="0078008D"/>
    <w:rsid w:val="00780716"/>
    <w:rsid w:val="00782A45"/>
    <w:rsid w:val="00782B35"/>
    <w:rsid w:val="00782BD0"/>
    <w:rsid w:val="00782E2E"/>
    <w:rsid w:val="00783153"/>
    <w:rsid w:val="0078334D"/>
    <w:rsid w:val="007842AE"/>
    <w:rsid w:val="007843EE"/>
    <w:rsid w:val="00784E4C"/>
    <w:rsid w:val="00785C51"/>
    <w:rsid w:val="0078625F"/>
    <w:rsid w:val="0078712F"/>
    <w:rsid w:val="00790ACA"/>
    <w:rsid w:val="007919F1"/>
    <w:rsid w:val="00793355"/>
    <w:rsid w:val="00793D72"/>
    <w:rsid w:val="007956C0"/>
    <w:rsid w:val="00795A62"/>
    <w:rsid w:val="007962C6"/>
    <w:rsid w:val="00797F11"/>
    <w:rsid w:val="007A16C4"/>
    <w:rsid w:val="007A18E9"/>
    <w:rsid w:val="007A2528"/>
    <w:rsid w:val="007A289E"/>
    <w:rsid w:val="007A2FE1"/>
    <w:rsid w:val="007A370E"/>
    <w:rsid w:val="007A381F"/>
    <w:rsid w:val="007A5192"/>
    <w:rsid w:val="007A5AE2"/>
    <w:rsid w:val="007A6131"/>
    <w:rsid w:val="007A62B9"/>
    <w:rsid w:val="007A63A5"/>
    <w:rsid w:val="007A6464"/>
    <w:rsid w:val="007A71E4"/>
    <w:rsid w:val="007B0345"/>
    <w:rsid w:val="007B10E3"/>
    <w:rsid w:val="007B1493"/>
    <w:rsid w:val="007B15B3"/>
    <w:rsid w:val="007B1E8D"/>
    <w:rsid w:val="007B36CA"/>
    <w:rsid w:val="007B3833"/>
    <w:rsid w:val="007B450E"/>
    <w:rsid w:val="007B4DAF"/>
    <w:rsid w:val="007B514D"/>
    <w:rsid w:val="007B535E"/>
    <w:rsid w:val="007B55A8"/>
    <w:rsid w:val="007B5D0D"/>
    <w:rsid w:val="007B675E"/>
    <w:rsid w:val="007B67B8"/>
    <w:rsid w:val="007B7677"/>
    <w:rsid w:val="007B7816"/>
    <w:rsid w:val="007C03DA"/>
    <w:rsid w:val="007C05BE"/>
    <w:rsid w:val="007C05F9"/>
    <w:rsid w:val="007C0812"/>
    <w:rsid w:val="007C17CE"/>
    <w:rsid w:val="007C193D"/>
    <w:rsid w:val="007C2036"/>
    <w:rsid w:val="007C215C"/>
    <w:rsid w:val="007C25B0"/>
    <w:rsid w:val="007C2DA7"/>
    <w:rsid w:val="007C4C5B"/>
    <w:rsid w:val="007C5DDA"/>
    <w:rsid w:val="007C6B1E"/>
    <w:rsid w:val="007C6EF6"/>
    <w:rsid w:val="007C6F34"/>
    <w:rsid w:val="007C793E"/>
    <w:rsid w:val="007C7C6C"/>
    <w:rsid w:val="007D0651"/>
    <w:rsid w:val="007D077B"/>
    <w:rsid w:val="007D167E"/>
    <w:rsid w:val="007D3141"/>
    <w:rsid w:val="007D380E"/>
    <w:rsid w:val="007D3EED"/>
    <w:rsid w:val="007D4840"/>
    <w:rsid w:val="007D61FA"/>
    <w:rsid w:val="007D6979"/>
    <w:rsid w:val="007D6C83"/>
    <w:rsid w:val="007D6CFB"/>
    <w:rsid w:val="007D72B0"/>
    <w:rsid w:val="007D75D7"/>
    <w:rsid w:val="007D7DC8"/>
    <w:rsid w:val="007E1ECE"/>
    <w:rsid w:val="007E207D"/>
    <w:rsid w:val="007E28C8"/>
    <w:rsid w:val="007E2F77"/>
    <w:rsid w:val="007E4445"/>
    <w:rsid w:val="007E461C"/>
    <w:rsid w:val="007E4DFE"/>
    <w:rsid w:val="007E5219"/>
    <w:rsid w:val="007E56B3"/>
    <w:rsid w:val="007E61A1"/>
    <w:rsid w:val="007E6459"/>
    <w:rsid w:val="007E657C"/>
    <w:rsid w:val="007E67F1"/>
    <w:rsid w:val="007E7089"/>
    <w:rsid w:val="007F039E"/>
    <w:rsid w:val="007F041F"/>
    <w:rsid w:val="007F0C9D"/>
    <w:rsid w:val="007F0E2E"/>
    <w:rsid w:val="007F0E89"/>
    <w:rsid w:val="007F2D2E"/>
    <w:rsid w:val="007F3178"/>
    <w:rsid w:val="007F379A"/>
    <w:rsid w:val="007F4400"/>
    <w:rsid w:val="007F4EF7"/>
    <w:rsid w:val="007F5096"/>
    <w:rsid w:val="007F56ED"/>
    <w:rsid w:val="007F5834"/>
    <w:rsid w:val="007F6307"/>
    <w:rsid w:val="007F6373"/>
    <w:rsid w:val="007F6463"/>
    <w:rsid w:val="007F750E"/>
    <w:rsid w:val="00800576"/>
    <w:rsid w:val="008012BC"/>
    <w:rsid w:val="008021B8"/>
    <w:rsid w:val="0080286C"/>
    <w:rsid w:val="00802908"/>
    <w:rsid w:val="00802AAF"/>
    <w:rsid w:val="00803BA0"/>
    <w:rsid w:val="0080409B"/>
    <w:rsid w:val="00805C03"/>
    <w:rsid w:val="008069B3"/>
    <w:rsid w:val="00806A01"/>
    <w:rsid w:val="00806A4C"/>
    <w:rsid w:val="00806F82"/>
    <w:rsid w:val="00807833"/>
    <w:rsid w:val="008109CA"/>
    <w:rsid w:val="00810D8E"/>
    <w:rsid w:val="00812E16"/>
    <w:rsid w:val="008133D5"/>
    <w:rsid w:val="008134E9"/>
    <w:rsid w:val="00813899"/>
    <w:rsid w:val="00813AC3"/>
    <w:rsid w:val="0081482F"/>
    <w:rsid w:val="00815085"/>
    <w:rsid w:val="0081520A"/>
    <w:rsid w:val="008160AC"/>
    <w:rsid w:val="00816289"/>
    <w:rsid w:val="00816BCB"/>
    <w:rsid w:val="0081766E"/>
    <w:rsid w:val="00817C0A"/>
    <w:rsid w:val="008216D7"/>
    <w:rsid w:val="00821C7B"/>
    <w:rsid w:val="008222C3"/>
    <w:rsid w:val="00822373"/>
    <w:rsid w:val="008224BB"/>
    <w:rsid w:val="00822573"/>
    <w:rsid w:val="008227CE"/>
    <w:rsid w:val="00822834"/>
    <w:rsid w:val="0082323F"/>
    <w:rsid w:val="008238EF"/>
    <w:rsid w:val="00823959"/>
    <w:rsid w:val="00823A60"/>
    <w:rsid w:val="00823BCC"/>
    <w:rsid w:val="00823CED"/>
    <w:rsid w:val="008246A4"/>
    <w:rsid w:val="00824D1B"/>
    <w:rsid w:val="008255CF"/>
    <w:rsid w:val="008317D5"/>
    <w:rsid w:val="0083180B"/>
    <w:rsid w:val="00832591"/>
    <w:rsid w:val="00832631"/>
    <w:rsid w:val="00832922"/>
    <w:rsid w:val="00833250"/>
    <w:rsid w:val="00833DF0"/>
    <w:rsid w:val="00833E20"/>
    <w:rsid w:val="00834BC8"/>
    <w:rsid w:val="00834F24"/>
    <w:rsid w:val="00835125"/>
    <w:rsid w:val="00835752"/>
    <w:rsid w:val="00836CD6"/>
    <w:rsid w:val="00836E75"/>
    <w:rsid w:val="0083760D"/>
    <w:rsid w:val="00840348"/>
    <w:rsid w:val="00840463"/>
    <w:rsid w:val="00840798"/>
    <w:rsid w:val="008409F2"/>
    <w:rsid w:val="00842978"/>
    <w:rsid w:val="0084297A"/>
    <w:rsid w:val="0084299C"/>
    <w:rsid w:val="008436F6"/>
    <w:rsid w:val="00845BCF"/>
    <w:rsid w:val="00846177"/>
    <w:rsid w:val="0084709C"/>
    <w:rsid w:val="00847BF8"/>
    <w:rsid w:val="00847FB5"/>
    <w:rsid w:val="0085047F"/>
    <w:rsid w:val="00851146"/>
    <w:rsid w:val="00851603"/>
    <w:rsid w:val="00851FDA"/>
    <w:rsid w:val="00852B35"/>
    <w:rsid w:val="008535D8"/>
    <w:rsid w:val="00853D04"/>
    <w:rsid w:val="00854D56"/>
    <w:rsid w:val="00854F95"/>
    <w:rsid w:val="0085514D"/>
    <w:rsid w:val="00855624"/>
    <w:rsid w:val="008558B6"/>
    <w:rsid w:val="00856E94"/>
    <w:rsid w:val="008576C3"/>
    <w:rsid w:val="0085783C"/>
    <w:rsid w:val="00860051"/>
    <w:rsid w:val="00860146"/>
    <w:rsid w:val="008604C1"/>
    <w:rsid w:val="00861688"/>
    <w:rsid w:val="00861835"/>
    <w:rsid w:val="00861A7C"/>
    <w:rsid w:val="008627F4"/>
    <w:rsid w:val="0086302C"/>
    <w:rsid w:val="008639B4"/>
    <w:rsid w:val="00864179"/>
    <w:rsid w:val="00864BD8"/>
    <w:rsid w:val="00865458"/>
    <w:rsid w:val="008658A4"/>
    <w:rsid w:val="00865C41"/>
    <w:rsid w:val="008668E7"/>
    <w:rsid w:val="00866A92"/>
    <w:rsid w:val="00866CAA"/>
    <w:rsid w:val="00867C3F"/>
    <w:rsid w:val="0087020A"/>
    <w:rsid w:val="00870753"/>
    <w:rsid w:val="008715D2"/>
    <w:rsid w:val="00871DD1"/>
    <w:rsid w:val="00871F7B"/>
    <w:rsid w:val="00874554"/>
    <w:rsid w:val="00874A08"/>
    <w:rsid w:val="00875106"/>
    <w:rsid w:val="00875209"/>
    <w:rsid w:val="00875246"/>
    <w:rsid w:val="008761A5"/>
    <w:rsid w:val="00876677"/>
    <w:rsid w:val="008768AE"/>
    <w:rsid w:val="00876AA5"/>
    <w:rsid w:val="00876B2C"/>
    <w:rsid w:val="00876E73"/>
    <w:rsid w:val="008776C6"/>
    <w:rsid w:val="00877838"/>
    <w:rsid w:val="00877BF4"/>
    <w:rsid w:val="0088051E"/>
    <w:rsid w:val="00880735"/>
    <w:rsid w:val="0088155A"/>
    <w:rsid w:val="008817E9"/>
    <w:rsid w:val="00881DE2"/>
    <w:rsid w:val="00882106"/>
    <w:rsid w:val="00882E74"/>
    <w:rsid w:val="008831C7"/>
    <w:rsid w:val="00883226"/>
    <w:rsid w:val="008833D2"/>
    <w:rsid w:val="00883C75"/>
    <w:rsid w:val="00883D7F"/>
    <w:rsid w:val="008840A6"/>
    <w:rsid w:val="008852C5"/>
    <w:rsid w:val="00885E45"/>
    <w:rsid w:val="008868A6"/>
    <w:rsid w:val="00886A29"/>
    <w:rsid w:val="00886B1D"/>
    <w:rsid w:val="008870EA"/>
    <w:rsid w:val="00890338"/>
    <w:rsid w:val="00890622"/>
    <w:rsid w:val="0089089F"/>
    <w:rsid w:val="008908B4"/>
    <w:rsid w:val="0089119E"/>
    <w:rsid w:val="008915FD"/>
    <w:rsid w:val="008919DB"/>
    <w:rsid w:val="00892B3B"/>
    <w:rsid w:val="00892E0C"/>
    <w:rsid w:val="00893EA9"/>
    <w:rsid w:val="00894B48"/>
    <w:rsid w:val="00894BF7"/>
    <w:rsid w:val="00894DBC"/>
    <w:rsid w:val="0089522B"/>
    <w:rsid w:val="008953A8"/>
    <w:rsid w:val="00897376"/>
    <w:rsid w:val="0089749E"/>
    <w:rsid w:val="008976C1"/>
    <w:rsid w:val="00897FA9"/>
    <w:rsid w:val="008A10D1"/>
    <w:rsid w:val="008A16EC"/>
    <w:rsid w:val="008A1C45"/>
    <w:rsid w:val="008A2440"/>
    <w:rsid w:val="008A2CCF"/>
    <w:rsid w:val="008A2F52"/>
    <w:rsid w:val="008A30C3"/>
    <w:rsid w:val="008A3459"/>
    <w:rsid w:val="008A541F"/>
    <w:rsid w:val="008A5C1B"/>
    <w:rsid w:val="008A5D80"/>
    <w:rsid w:val="008A6187"/>
    <w:rsid w:val="008A6267"/>
    <w:rsid w:val="008A638C"/>
    <w:rsid w:val="008A6E05"/>
    <w:rsid w:val="008A7C0F"/>
    <w:rsid w:val="008B09F4"/>
    <w:rsid w:val="008B10EA"/>
    <w:rsid w:val="008B12D6"/>
    <w:rsid w:val="008B1485"/>
    <w:rsid w:val="008B1542"/>
    <w:rsid w:val="008B22A8"/>
    <w:rsid w:val="008B2966"/>
    <w:rsid w:val="008B2AF7"/>
    <w:rsid w:val="008B2B05"/>
    <w:rsid w:val="008B30D5"/>
    <w:rsid w:val="008B3C9D"/>
    <w:rsid w:val="008B4676"/>
    <w:rsid w:val="008B46F1"/>
    <w:rsid w:val="008B4F58"/>
    <w:rsid w:val="008B4FDE"/>
    <w:rsid w:val="008B52B5"/>
    <w:rsid w:val="008B54C9"/>
    <w:rsid w:val="008B57E8"/>
    <w:rsid w:val="008B5805"/>
    <w:rsid w:val="008B6890"/>
    <w:rsid w:val="008B7556"/>
    <w:rsid w:val="008B78F6"/>
    <w:rsid w:val="008B7AC4"/>
    <w:rsid w:val="008C01BE"/>
    <w:rsid w:val="008C05B9"/>
    <w:rsid w:val="008C0667"/>
    <w:rsid w:val="008C1595"/>
    <w:rsid w:val="008C2957"/>
    <w:rsid w:val="008C2F0C"/>
    <w:rsid w:val="008C330C"/>
    <w:rsid w:val="008C3432"/>
    <w:rsid w:val="008C3775"/>
    <w:rsid w:val="008C4BFD"/>
    <w:rsid w:val="008C4C5F"/>
    <w:rsid w:val="008C4E75"/>
    <w:rsid w:val="008C5102"/>
    <w:rsid w:val="008C5776"/>
    <w:rsid w:val="008C5DB5"/>
    <w:rsid w:val="008C5F02"/>
    <w:rsid w:val="008C617B"/>
    <w:rsid w:val="008C697F"/>
    <w:rsid w:val="008C713F"/>
    <w:rsid w:val="008D0165"/>
    <w:rsid w:val="008D0411"/>
    <w:rsid w:val="008D0855"/>
    <w:rsid w:val="008D0C92"/>
    <w:rsid w:val="008D1009"/>
    <w:rsid w:val="008D1446"/>
    <w:rsid w:val="008D164A"/>
    <w:rsid w:val="008D1B88"/>
    <w:rsid w:val="008D2907"/>
    <w:rsid w:val="008D2A7D"/>
    <w:rsid w:val="008D335C"/>
    <w:rsid w:val="008D3381"/>
    <w:rsid w:val="008D3593"/>
    <w:rsid w:val="008D35E7"/>
    <w:rsid w:val="008D38FD"/>
    <w:rsid w:val="008D4199"/>
    <w:rsid w:val="008D4896"/>
    <w:rsid w:val="008D4FAC"/>
    <w:rsid w:val="008D54B3"/>
    <w:rsid w:val="008D5536"/>
    <w:rsid w:val="008D5A59"/>
    <w:rsid w:val="008D6230"/>
    <w:rsid w:val="008D7156"/>
    <w:rsid w:val="008E0360"/>
    <w:rsid w:val="008E2203"/>
    <w:rsid w:val="008E258C"/>
    <w:rsid w:val="008E2D21"/>
    <w:rsid w:val="008E2DB0"/>
    <w:rsid w:val="008E302C"/>
    <w:rsid w:val="008E35E4"/>
    <w:rsid w:val="008E366E"/>
    <w:rsid w:val="008E3A53"/>
    <w:rsid w:val="008E3FE1"/>
    <w:rsid w:val="008E41C7"/>
    <w:rsid w:val="008E42F3"/>
    <w:rsid w:val="008E49D0"/>
    <w:rsid w:val="008E4DD1"/>
    <w:rsid w:val="008E4F11"/>
    <w:rsid w:val="008E564A"/>
    <w:rsid w:val="008E5692"/>
    <w:rsid w:val="008E63A1"/>
    <w:rsid w:val="008E71CB"/>
    <w:rsid w:val="008E77EA"/>
    <w:rsid w:val="008F0468"/>
    <w:rsid w:val="008F07C0"/>
    <w:rsid w:val="008F1266"/>
    <w:rsid w:val="008F16ED"/>
    <w:rsid w:val="008F18B8"/>
    <w:rsid w:val="008F2795"/>
    <w:rsid w:val="008F36A1"/>
    <w:rsid w:val="008F40C6"/>
    <w:rsid w:val="008F4B76"/>
    <w:rsid w:val="008F573C"/>
    <w:rsid w:val="008F58EF"/>
    <w:rsid w:val="008F78C8"/>
    <w:rsid w:val="008F7987"/>
    <w:rsid w:val="0090120A"/>
    <w:rsid w:val="009015A8"/>
    <w:rsid w:val="0090353E"/>
    <w:rsid w:val="0090354D"/>
    <w:rsid w:val="0090378C"/>
    <w:rsid w:val="00904187"/>
    <w:rsid w:val="00904617"/>
    <w:rsid w:val="0090500F"/>
    <w:rsid w:val="009052B0"/>
    <w:rsid w:val="009055D3"/>
    <w:rsid w:val="009065CC"/>
    <w:rsid w:val="00906804"/>
    <w:rsid w:val="00907C67"/>
    <w:rsid w:val="009113C4"/>
    <w:rsid w:val="0091242E"/>
    <w:rsid w:val="00912969"/>
    <w:rsid w:val="00912B21"/>
    <w:rsid w:val="00912F0F"/>
    <w:rsid w:val="00915044"/>
    <w:rsid w:val="00915D9D"/>
    <w:rsid w:val="0091614B"/>
    <w:rsid w:val="009168B8"/>
    <w:rsid w:val="00916B25"/>
    <w:rsid w:val="0091746B"/>
    <w:rsid w:val="009176BA"/>
    <w:rsid w:val="00917741"/>
    <w:rsid w:val="00917A5B"/>
    <w:rsid w:val="00921FFE"/>
    <w:rsid w:val="00923AD4"/>
    <w:rsid w:val="00923CB4"/>
    <w:rsid w:val="009244BE"/>
    <w:rsid w:val="0092477A"/>
    <w:rsid w:val="009247C8"/>
    <w:rsid w:val="00924DA0"/>
    <w:rsid w:val="00925240"/>
    <w:rsid w:val="0092712E"/>
    <w:rsid w:val="00930012"/>
    <w:rsid w:val="009301AD"/>
    <w:rsid w:val="0093112A"/>
    <w:rsid w:val="0093190A"/>
    <w:rsid w:val="00931FFC"/>
    <w:rsid w:val="0093247A"/>
    <w:rsid w:val="00933012"/>
    <w:rsid w:val="009332A0"/>
    <w:rsid w:val="009334CB"/>
    <w:rsid w:val="009339DB"/>
    <w:rsid w:val="00933A6D"/>
    <w:rsid w:val="0093416E"/>
    <w:rsid w:val="00934243"/>
    <w:rsid w:val="00934447"/>
    <w:rsid w:val="00935854"/>
    <w:rsid w:val="009362E6"/>
    <w:rsid w:val="00936A8D"/>
    <w:rsid w:val="009406D2"/>
    <w:rsid w:val="00940E2F"/>
    <w:rsid w:val="00941A1B"/>
    <w:rsid w:val="00941B0C"/>
    <w:rsid w:val="009424C8"/>
    <w:rsid w:val="00942678"/>
    <w:rsid w:val="00942E20"/>
    <w:rsid w:val="009433ED"/>
    <w:rsid w:val="009436BC"/>
    <w:rsid w:val="00944417"/>
    <w:rsid w:val="00945592"/>
    <w:rsid w:val="009459D9"/>
    <w:rsid w:val="00945B32"/>
    <w:rsid w:val="00946262"/>
    <w:rsid w:val="00946934"/>
    <w:rsid w:val="00947E5E"/>
    <w:rsid w:val="00950AE8"/>
    <w:rsid w:val="00951CD0"/>
    <w:rsid w:val="00951E63"/>
    <w:rsid w:val="00951FB4"/>
    <w:rsid w:val="0095227F"/>
    <w:rsid w:val="0095230F"/>
    <w:rsid w:val="009525DB"/>
    <w:rsid w:val="0095293E"/>
    <w:rsid w:val="00952D88"/>
    <w:rsid w:val="00952E79"/>
    <w:rsid w:val="009531D6"/>
    <w:rsid w:val="00953376"/>
    <w:rsid w:val="00953459"/>
    <w:rsid w:val="0095399C"/>
    <w:rsid w:val="00953C4C"/>
    <w:rsid w:val="00954192"/>
    <w:rsid w:val="009548EB"/>
    <w:rsid w:val="009554EF"/>
    <w:rsid w:val="00955B7E"/>
    <w:rsid w:val="00955C95"/>
    <w:rsid w:val="00955DA4"/>
    <w:rsid w:val="009565FA"/>
    <w:rsid w:val="00956AF3"/>
    <w:rsid w:val="00956CFA"/>
    <w:rsid w:val="00960E15"/>
    <w:rsid w:val="0096154B"/>
    <w:rsid w:val="00961556"/>
    <w:rsid w:val="00961AF0"/>
    <w:rsid w:val="00961F54"/>
    <w:rsid w:val="0096382C"/>
    <w:rsid w:val="00964DEB"/>
    <w:rsid w:val="00964EB3"/>
    <w:rsid w:val="009650FF"/>
    <w:rsid w:val="00965BF1"/>
    <w:rsid w:val="00966A85"/>
    <w:rsid w:val="009675E1"/>
    <w:rsid w:val="00967616"/>
    <w:rsid w:val="009678E0"/>
    <w:rsid w:val="00967C0B"/>
    <w:rsid w:val="009709EF"/>
    <w:rsid w:val="0097158F"/>
    <w:rsid w:val="00972095"/>
    <w:rsid w:val="009725E6"/>
    <w:rsid w:val="00972613"/>
    <w:rsid w:val="00972BFE"/>
    <w:rsid w:val="009730DC"/>
    <w:rsid w:val="00973818"/>
    <w:rsid w:val="00973BB6"/>
    <w:rsid w:val="00974017"/>
    <w:rsid w:val="009748A7"/>
    <w:rsid w:val="00975561"/>
    <w:rsid w:val="009756E8"/>
    <w:rsid w:val="00975C01"/>
    <w:rsid w:val="009768FE"/>
    <w:rsid w:val="009771FE"/>
    <w:rsid w:val="009777D1"/>
    <w:rsid w:val="009778DD"/>
    <w:rsid w:val="0098020C"/>
    <w:rsid w:val="009834FF"/>
    <w:rsid w:val="009836E3"/>
    <w:rsid w:val="009837D5"/>
    <w:rsid w:val="00983A4A"/>
    <w:rsid w:val="00983C7C"/>
    <w:rsid w:val="00984AB8"/>
    <w:rsid w:val="00984F61"/>
    <w:rsid w:val="00985AB5"/>
    <w:rsid w:val="00985BE5"/>
    <w:rsid w:val="00986250"/>
    <w:rsid w:val="00986650"/>
    <w:rsid w:val="00986A34"/>
    <w:rsid w:val="00986E65"/>
    <w:rsid w:val="00987736"/>
    <w:rsid w:val="00987CA8"/>
    <w:rsid w:val="00987D25"/>
    <w:rsid w:val="0099039C"/>
    <w:rsid w:val="00990A09"/>
    <w:rsid w:val="00991AD2"/>
    <w:rsid w:val="0099223A"/>
    <w:rsid w:val="00992F00"/>
    <w:rsid w:val="00992F8E"/>
    <w:rsid w:val="009933F4"/>
    <w:rsid w:val="009938C6"/>
    <w:rsid w:val="00995407"/>
    <w:rsid w:val="00995465"/>
    <w:rsid w:val="0099552E"/>
    <w:rsid w:val="00995D3D"/>
    <w:rsid w:val="00996E84"/>
    <w:rsid w:val="009972C9"/>
    <w:rsid w:val="009A0831"/>
    <w:rsid w:val="009A0BD6"/>
    <w:rsid w:val="009A174A"/>
    <w:rsid w:val="009A1820"/>
    <w:rsid w:val="009A1C36"/>
    <w:rsid w:val="009A1DD5"/>
    <w:rsid w:val="009A207D"/>
    <w:rsid w:val="009A2331"/>
    <w:rsid w:val="009A29A4"/>
    <w:rsid w:val="009A34DE"/>
    <w:rsid w:val="009A376F"/>
    <w:rsid w:val="009A3802"/>
    <w:rsid w:val="009A3965"/>
    <w:rsid w:val="009A49E1"/>
    <w:rsid w:val="009A4FF0"/>
    <w:rsid w:val="009A58FE"/>
    <w:rsid w:val="009A604A"/>
    <w:rsid w:val="009A7098"/>
    <w:rsid w:val="009A716D"/>
    <w:rsid w:val="009B0211"/>
    <w:rsid w:val="009B0F14"/>
    <w:rsid w:val="009B16DF"/>
    <w:rsid w:val="009B3BB4"/>
    <w:rsid w:val="009B3E87"/>
    <w:rsid w:val="009B57F9"/>
    <w:rsid w:val="009B5A5E"/>
    <w:rsid w:val="009B5BE9"/>
    <w:rsid w:val="009B5D0A"/>
    <w:rsid w:val="009B5E55"/>
    <w:rsid w:val="009B6255"/>
    <w:rsid w:val="009B7215"/>
    <w:rsid w:val="009B72AB"/>
    <w:rsid w:val="009C2140"/>
    <w:rsid w:val="009C236B"/>
    <w:rsid w:val="009C28AA"/>
    <w:rsid w:val="009C2A32"/>
    <w:rsid w:val="009C2EB6"/>
    <w:rsid w:val="009C3991"/>
    <w:rsid w:val="009C46C7"/>
    <w:rsid w:val="009C4789"/>
    <w:rsid w:val="009C4A3D"/>
    <w:rsid w:val="009C55B3"/>
    <w:rsid w:val="009C607E"/>
    <w:rsid w:val="009C60E4"/>
    <w:rsid w:val="009C712A"/>
    <w:rsid w:val="009C7433"/>
    <w:rsid w:val="009C7FA1"/>
    <w:rsid w:val="009D0527"/>
    <w:rsid w:val="009D09DC"/>
    <w:rsid w:val="009D1B1C"/>
    <w:rsid w:val="009D21DA"/>
    <w:rsid w:val="009D328B"/>
    <w:rsid w:val="009D3801"/>
    <w:rsid w:val="009D4A60"/>
    <w:rsid w:val="009D5C92"/>
    <w:rsid w:val="009D6632"/>
    <w:rsid w:val="009D6A53"/>
    <w:rsid w:val="009D6B52"/>
    <w:rsid w:val="009D7157"/>
    <w:rsid w:val="009D71E6"/>
    <w:rsid w:val="009E038A"/>
    <w:rsid w:val="009E0610"/>
    <w:rsid w:val="009E0B39"/>
    <w:rsid w:val="009E1399"/>
    <w:rsid w:val="009E154E"/>
    <w:rsid w:val="009E2838"/>
    <w:rsid w:val="009E2E50"/>
    <w:rsid w:val="009E302D"/>
    <w:rsid w:val="009E3647"/>
    <w:rsid w:val="009E3BA7"/>
    <w:rsid w:val="009E3E4F"/>
    <w:rsid w:val="009E42A0"/>
    <w:rsid w:val="009E4D33"/>
    <w:rsid w:val="009E50BE"/>
    <w:rsid w:val="009E5DA6"/>
    <w:rsid w:val="009E5F47"/>
    <w:rsid w:val="009E614B"/>
    <w:rsid w:val="009E6988"/>
    <w:rsid w:val="009E6AA4"/>
    <w:rsid w:val="009E6FE7"/>
    <w:rsid w:val="009E7279"/>
    <w:rsid w:val="009F1677"/>
    <w:rsid w:val="009F1A69"/>
    <w:rsid w:val="009F1F25"/>
    <w:rsid w:val="009F22D8"/>
    <w:rsid w:val="009F2611"/>
    <w:rsid w:val="009F294A"/>
    <w:rsid w:val="009F2BC9"/>
    <w:rsid w:val="009F3070"/>
    <w:rsid w:val="009F37DD"/>
    <w:rsid w:val="009F3BCD"/>
    <w:rsid w:val="009F4696"/>
    <w:rsid w:val="009F50F0"/>
    <w:rsid w:val="009F6ED1"/>
    <w:rsid w:val="009F7526"/>
    <w:rsid w:val="009F7A39"/>
    <w:rsid w:val="00A00D46"/>
    <w:rsid w:val="00A02518"/>
    <w:rsid w:val="00A02863"/>
    <w:rsid w:val="00A02BF9"/>
    <w:rsid w:val="00A02F8F"/>
    <w:rsid w:val="00A03C36"/>
    <w:rsid w:val="00A03D8E"/>
    <w:rsid w:val="00A04726"/>
    <w:rsid w:val="00A04810"/>
    <w:rsid w:val="00A04A1D"/>
    <w:rsid w:val="00A05BC5"/>
    <w:rsid w:val="00A06070"/>
    <w:rsid w:val="00A06BF7"/>
    <w:rsid w:val="00A06EA5"/>
    <w:rsid w:val="00A06EBD"/>
    <w:rsid w:val="00A07491"/>
    <w:rsid w:val="00A1030E"/>
    <w:rsid w:val="00A10F12"/>
    <w:rsid w:val="00A10FF4"/>
    <w:rsid w:val="00A1162E"/>
    <w:rsid w:val="00A11A73"/>
    <w:rsid w:val="00A11BD3"/>
    <w:rsid w:val="00A12793"/>
    <w:rsid w:val="00A131BB"/>
    <w:rsid w:val="00A1448A"/>
    <w:rsid w:val="00A14697"/>
    <w:rsid w:val="00A15864"/>
    <w:rsid w:val="00A15C42"/>
    <w:rsid w:val="00A165AA"/>
    <w:rsid w:val="00A16A44"/>
    <w:rsid w:val="00A16B55"/>
    <w:rsid w:val="00A202CF"/>
    <w:rsid w:val="00A208AC"/>
    <w:rsid w:val="00A20D5B"/>
    <w:rsid w:val="00A20E18"/>
    <w:rsid w:val="00A21374"/>
    <w:rsid w:val="00A21440"/>
    <w:rsid w:val="00A21A18"/>
    <w:rsid w:val="00A21AF1"/>
    <w:rsid w:val="00A22B0B"/>
    <w:rsid w:val="00A23589"/>
    <w:rsid w:val="00A23D4A"/>
    <w:rsid w:val="00A24D6F"/>
    <w:rsid w:val="00A2578C"/>
    <w:rsid w:val="00A3019B"/>
    <w:rsid w:val="00A30646"/>
    <w:rsid w:val="00A30911"/>
    <w:rsid w:val="00A30E9F"/>
    <w:rsid w:val="00A3106E"/>
    <w:rsid w:val="00A31212"/>
    <w:rsid w:val="00A3127C"/>
    <w:rsid w:val="00A3192F"/>
    <w:rsid w:val="00A31993"/>
    <w:rsid w:val="00A32039"/>
    <w:rsid w:val="00A3256F"/>
    <w:rsid w:val="00A331F0"/>
    <w:rsid w:val="00A33373"/>
    <w:rsid w:val="00A33A9B"/>
    <w:rsid w:val="00A33D80"/>
    <w:rsid w:val="00A3420A"/>
    <w:rsid w:val="00A34A65"/>
    <w:rsid w:val="00A34CE7"/>
    <w:rsid w:val="00A35758"/>
    <w:rsid w:val="00A357B2"/>
    <w:rsid w:val="00A35D49"/>
    <w:rsid w:val="00A36704"/>
    <w:rsid w:val="00A36A1E"/>
    <w:rsid w:val="00A374C0"/>
    <w:rsid w:val="00A37E80"/>
    <w:rsid w:val="00A40619"/>
    <w:rsid w:val="00A40D45"/>
    <w:rsid w:val="00A41089"/>
    <w:rsid w:val="00A410A5"/>
    <w:rsid w:val="00A41702"/>
    <w:rsid w:val="00A419A3"/>
    <w:rsid w:val="00A420F5"/>
    <w:rsid w:val="00A42AD8"/>
    <w:rsid w:val="00A436B7"/>
    <w:rsid w:val="00A43C2B"/>
    <w:rsid w:val="00A4414A"/>
    <w:rsid w:val="00A44723"/>
    <w:rsid w:val="00A44883"/>
    <w:rsid w:val="00A44942"/>
    <w:rsid w:val="00A44BF7"/>
    <w:rsid w:val="00A44E80"/>
    <w:rsid w:val="00A45780"/>
    <w:rsid w:val="00A45876"/>
    <w:rsid w:val="00A45A0D"/>
    <w:rsid w:val="00A45E08"/>
    <w:rsid w:val="00A46212"/>
    <w:rsid w:val="00A46F82"/>
    <w:rsid w:val="00A47848"/>
    <w:rsid w:val="00A47BCA"/>
    <w:rsid w:val="00A47E4E"/>
    <w:rsid w:val="00A50408"/>
    <w:rsid w:val="00A51AB6"/>
    <w:rsid w:val="00A52269"/>
    <w:rsid w:val="00A52E09"/>
    <w:rsid w:val="00A5357C"/>
    <w:rsid w:val="00A53832"/>
    <w:rsid w:val="00A53C8E"/>
    <w:rsid w:val="00A53F15"/>
    <w:rsid w:val="00A54155"/>
    <w:rsid w:val="00A5419E"/>
    <w:rsid w:val="00A542EE"/>
    <w:rsid w:val="00A547EA"/>
    <w:rsid w:val="00A5488E"/>
    <w:rsid w:val="00A54D26"/>
    <w:rsid w:val="00A55007"/>
    <w:rsid w:val="00A55D16"/>
    <w:rsid w:val="00A5702A"/>
    <w:rsid w:val="00A571FF"/>
    <w:rsid w:val="00A57AD0"/>
    <w:rsid w:val="00A60DF3"/>
    <w:rsid w:val="00A616A9"/>
    <w:rsid w:val="00A65F03"/>
    <w:rsid w:val="00A65F67"/>
    <w:rsid w:val="00A668A3"/>
    <w:rsid w:val="00A67831"/>
    <w:rsid w:val="00A67CB2"/>
    <w:rsid w:val="00A700DB"/>
    <w:rsid w:val="00A70776"/>
    <w:rsid w:val="00A72DB5"/>
    <w:rsid w:val="00A72E25"/>
    <w:rsid w:val="00A7387A"/>
    <w:rsid w:val="00A74137"/>
    <w:rsid w:val="00A743FD"/>
    <w:rsid w:val="00A74451"/>
    <w:rsid w:val="00A750DA"/>
    <w:rsid w:val="00A75BB1"/>
    <w:rsid w:val="00A765E4"/>
    <w:rsid w:val="00A76780"/>
    <w:rsid w:val="00A76966"/>
    <w:rsid w:val="00A7699C"/>
    <w:rsid w:val="00A76A17"/>
    <w:rsid w:val="00A7717F"/>
    <w:rsid w:val="00A77234"/>
    <w:rsid w:val="00A779F7"/>
    <w:rsid w:val="00A77A7D"/>
    <w:rsid w:val="00A77FCC"/>
    <w:rsid w:val="00A80656"/>
    <w:rsid w:val="00A80822"/>
    <w:rsid w:val="00A82679"/>
    <w:rsid w:val="00A83370"/>
    <w:rsid w:val="00A833E7"/>
    <w:rsid w:val="00A8355D"/>
    <w:rsid w:val="00A83A99"/>
    <w:rsid w:val="00A84A8F"/>
    <w:rsid w:val="00A854A6"/>
    <w:rsid w:val="00A85DC5"/>
    <w:rsid w:val="00A86178"/>
    <w:rsid w:val="00A8746E"/>
    <w:rsid w:val="00A90343"/>
    <w:rsid w:val="00A9042F"/>
    <w:rsid w:val="00A92A73"/>
    <w:rsid w:val="00A92C95"/>
    <w:rsid w:val="00A92D68"/>
    <w:rsid w:val="00A932E3"/>
    <w:rsid w:val="00A94C1A"/>
    <w:rsid w:val="00A94C60"/>
    <w:rsid w:val="00A95787"/>
    <w:rsid w:val="00A96422"/>
    <w:rsid w:val="00A964E8"/>
    <w:rsid w:val="00A96BD7"/>
    <w:rsid w:val="00A9725F"/>
    <w:rsid w:val="00A9747F"/>
    <w:rsid w:val="00A976BC"/>
    <w:rsid w:val="00AA009D"/>
    <w:rsid w:val="00AA1009"/>
    <w:rsid w:val="00AA2934"/>
    <w:rsid w:val="00AA2E41"/>
    <w:rsid w:val="00AA3454"/>
    <w:rsid w:val="00AA3802"/>
    <w:rsid w:val="00AA38AD"/>
    <w:rsid w:val="00AA3F08"/>
    <w:rsid w:val="00AA3F9F"/>
    <w:rsid w:val="00AA4058"/>
    <w:rsid w:val="00AA4092"/>
    <w:rsid w:val="00AA4117"/>
    <w:rsid w:val="00AA4135"/>
    <w:rsid w:val="00AA4F38"/>
    <w:rsid w:val="00AA5013"/>
    <w:rsid w:val="00AA5A2B"/>
    <w:rsid w:val="00AA6F9F"/>
    <w:rsid w:val="00AB00C9"/>
    <w:rsid w:val="00AB0234"/>
    <w:rsid w:val="00AB0A35"/>
    <w:rsid w:val="00AB125E"/>
    <w:rsid w:val="00AB1779"/>
    <w:rsid w:val="00AB19E7"/>
    <w:rsid w:val="00AB3C74"/>
    <w:rsid w:val="00AB53BF"/>
    <w:rsid w:val="00AB5926"/>
    <w:rsid w:val="00AB5AB5"/>
    <w:rsid w:val="00AC072C"/>
    <w:rsid w:val="00AC093C"/>
    <w:rsid w:val="00AC0994"/>
    <w:rsid w:val="00AC0EC7"/>
    <w:rsid w:val="00AC192A"/>
    <w:rsid w:val="00AC21AD"/>
    <w:rsid w:val="00AC2447"/>
    <w:rsid w:val="00AC29AC"/>
    <w:rsid w:val="00AC336F"/>
    <w:rsid w:val="00AC42A2"/>
    <w:rsid w:val="00AC42D6"/>
    <w:rsid w:val="00AC4DB2"/>
    <w:rsid w:val="00AC52D3"/>
    <w:rsid w:val="00AC6DEA"/>
    <w:rsid w:val="00AC720B"/>
    <w:rsid w:val="00AC7D78"/>
    <w:rsid w:val="00AD056C"/>
    <w:rsid w:val="00AD05E8"/>
    <w:rsid w:val="00AD0C15"/>
    <w:rsid w:val="00AD104C"/>
    <w:rsid w:val="00AD1194"/>
    <w:rsid w:val="00AD1CCE"/>
    <w:rsid w:val="00AD26D3"/>
    <w:rsid w:val="00AD2AA7"/>
    <w:rsid w:val="00AD2F64"/>
    <w:rsid w:val="00AD3045"/>
    <w:rsid w:val="00AD4CB6"/>
    <w:rsid w:val="00AD5362"/>
    <w:rsid w:val="00AD6324"/>
    <w:rsid w:val="00AD6A59"/>
    <w:rsid w:val="00AD6AC9"/>
    <w:rsid w:val="00AD6BF8"/>
    <w:rsid w:val="00AD709A"/>
    <w:rsid w:val="00AE02CB"/>
    <w:rsid w:val="00AE0C35"/>
    <w:rsid w:val="00AE0D0D"/>
    <w:rsid w:val="00AE0D23"/>
    <w:rsid w:val="00AE1675"/>
    <w:rsid w:val="00AE276C"/>
    <w:rsid w:val="00AE2D35"/>
    <w:rsid w:val="00AE2DE1"/>
    <w:rsid w:val="00AE374B"/>
    <w:rsid w:val="00AE4291"/>
    <w:rsid w:val="00AE4413"/>
    <w:rsid w:val="00AE4A02"/>
    <w:rsid w:val="00AE4E1C"/>
    <w:rsid w:val="00AE5144"/>
    <w:rsid w:val="00AE5D4F"/>
    <w:rsid w:val="00AE6F21"/>
    <w:rsid w:val="00AF19A4"/>
    <w:rsid w:val="00AF19FC"/>
    <w:rsid w:val="00AF1EE7"/>
    <w:rsid w:val="00AF2831"/>
    <w:rsid w:val="00AF305B"/>
    <w:rsid w:val="00AF428B"/>
    <w:rsid w:val="00AF4FF3"/>
    <w:rsid w:val="00AF533D"/>
    <w:rsid w:val="00AF53A2"/>
    <w:rsid w:val="00AF6C2A"/>
    <w:rsid w:val="00AF6C43"/>
    <w:rsid w:val="00AF6E1A"/>
    <w:rsid w:val="00AF712E"/>
    <w:rsid w:val="00AF76FE"/>
    <w:rsid w:val="00B00C18"/>
    <w:rsid w:val="00B019A3"/>
    <w:rsid w:val="00B01B0C"/>
    <w:rsid w:val="00B01B3F"/>
    <w:rsid w:val="00B028E1"/>
    <w:rsid w:val="00B02DF7"/>
    <w:rsid w:val="00B04010"/>
    <w:rsid w:val="00B04842"/>
    <w:rsid w:val="00B07FAE"/>
    <w:rsid w:val="00B11652"/>
    <w:rsid w:val="00B11DF4"/>
    <w:rsid w:val="00B11E8F"/>
    <w:rsid w:val="00B12110"/>
    <w:rsid w:val="00B12AD0"/>
    <w:rsid w:val="00B12B54"/>
    <w:rsid w:val="00B12D28"/>
    <w:rsid w:val="00B12FE9"/>
    <w:rsid w:val="00B1365A"/>
    <w:rsid w:val="00B15F7F"/>
    <w:rsid w:val="00B1625E"/>
    <w:rsid w:val="00B166AD"/>
    <w:rsid w:val="00B166AE"/>
    <w:rsid w:val="00B16872"/>
    <w:rsid w:val="00B173E5"/>
    <w:rsid w:val="00B20691"/>
    <w:rsid w:val="00B208DB"/>
    <w:rsid w:val="00B20A78"/>
    <w:rsid w:val="00B20B6C"/>
    <w:rsid w:val="00B21486"/>
    <w:rsid w:val="00B21625"/>
    <w:rsid w:val="00B21B79"/>
    <w:rsid w:val="00B236CA"/>
    <w:rsid w:val="00B23F23"/>
    <w:rsid w:val="00B2476D"/>
    <w:rsid w:val="00B24CF9"/>
    <w:rsid w:val="00B24DC6"/>
    <w:rsid w:val="00B25E22"/>
    <w:rsid w:val="00B26129"/>
    <w:rsid w:val="00B266BE"/>
    <w:rsid w:val="00B269FD"/>
    <w:rsid w:val="00B26CE0"/>
    <w:rsid w:val="00B271C1"/>
    <w:rsid w:val="00B278DE"/>
    <w:rsid w:val="00B30BB3"/>
    <w:rsid w:val="00B30BC7"/>
    <w:rsid w:val="00B317BD"/>
    <w:rsid w:val="00B31A95"/>
    <w:rsid w:val="00B32393"/>
    <w:rsid w:val="00B335E3"/>
    <w:rsid w:val="00B34200"/>
    <w:rsid w:val="00B344B1"/>
    <w:rsid w:val="00B3475F"/>
    <w:rsid w:val="00B34D53"/>
    <w:rsid w:val="00B34DAC"/>
    <w:rsid w:val="00B35047"/>
    <w:rsid w:val="00B3578D"/>
    <w:rsid w:val="00B359D7"/>
    <w:rsid w:val="00B36515"/>
    <w:rsid w:val="00B36C95"/>
    <w:rsid w:val="00B41962"/>
    <w:rsid w:val="00B41B88"/>
    <w:rsid w:val="00B41BBA"/>
    <w:rsid w:val="00B4214E"/>
    <w:rsid w:val="00B43555"/>
    <w:rsid w:val="00B4435E"/>
    <w:rsid w:val="00B44456"/>
    <w:rsid w:val="00B44662"/>
    <w:rsid w:val="00B448AF"/>
    <w:rsid w:val="00B45014"/>
    <w:rsid w:val="00B47AC0"/>
    <w:rsid w:val="00B47CEC"/>
    <w:rsid w:val="00B505E5"/>
    <w:rsid w:val="00B50C89"/>
    <w:rsid w:val="00B51F83"/>
    <w:rsid w:val="00B5206F"/>
    <w:rsid w:val="00B520BD"/>
    <w:rsid w:val="00B52192"/>
    <w:rsid w:val="00B527E1"/>
    <w:rsid w:val="00B52956"/>
    <w:rsid w:val="00B52D51"/>
    <w:rsid w:val="00B52ED2"/>
    <w:rsid w:val="00B53B00"/>
    <w:rsid w:val="00B53EB2"/>
    <w:rsid w:val="00B5487B"/>
    <w:rsid w:val="00B54982"/>
    <w:rsid w:val="00B559FE"/>
    <w:rsid w:val="00B55B6E"/>
    <w:rsid w:val="00B563E9"/>
    <w:rsid w:val="00B57A28"/>
    <w:rsid w:val="00B60ADF"/>
    <w:rsid w:val="00B60E11"/>
    <w:rsid w:val="00B6175F"/>
    <w:rsid w:val="00B61E12"/>
    <w:rsid w:val="00B627B2"/>
    <w:rsid w:val="00B62FE3"/>
    <w:rsid w:val="00B637F1"/>
    <w:rsid w:val="00B63C9F"/>
    <w:rsid w:val="00B63F52"/>
    <w:rsid w:val="00B64448"/>
    <w:rsid w:val="00B6459B"/>
    <w:rsid w:val="00B64B2D"/>
    <w:rsid w:val="00B65022"/>
    <w:rsid w:val="00B65535"/>
    <w:rsid w:val="00B65A72"/>
    <w:rsid w:val="00B65DA2"/>
    <w:rsid w:val="00B664C1"/>
    <w:rsid w:val="00B673BD"/>
    <w:rsid w:val="00B7060C"/>
    <w:rsid w:val="00B713B0"/>
    <w:rsid w:val="00B713B3"/>
    <w:rsid w:val="00B715E5"/>
    <w:rsid w:val="00B718E0"/>
    <w:rsid w:val="00B72303"/>
    <w:rsid w:val="00B72AB4"/>
    <w:rsid w:val="00B740E6"/>
    <w:rsid w:val="00B74664"/>
    <w:rsid w:val="00B756F3"/>
    <w:rsid w:val="00B757BE"/>
    <w:rsid w:val="00B75BFD"/>
    <w:rsid w:val="00B76664"/>
    <w:rsid w:val="00B769F1"/>
    <w:rsid w:val="00B77853"/>
    <w:rsid w:val="00B77CEF"/>
    <w:rsid w:val="00B80EA9"/>
    <w:rsid w:val="00B81576"/>
    <w:rsid w:val="00B81A09"/>
    <w:rsid w:val="00B81F79"/>
    <w:rsid w:val="00B82E22"/>
    <w:rsid w:val="00B82FA3"/>
    <w:rsid w:val="00B83438"/>
    <w:rsid w:val="00B83ACD"/>
    <w:rsid w:val="00B83DFF"/>
    <w:rsid w:val="00B85AE1"/>
    <w:rsid w:val="00B85BF5"/>
    <w:rsid w:val="00B85ED2"/>
    <w:rsid w:val="00B862DC"/>
    <w:rsid w:val="00B86A4F"/>
    <w:rsid w:val="00B86A88"/>
    <w:rsid w:val="00B86DE8"/>
    <w:rsid w:val="00B86DED"/>
    <w:rsid w:val="00B86FAB"/>
    <w:rsid w:val="00B87040"/>
    <w:rsid w:val="00B871DF"/>
    <w:rsid w:val="00B8734E"/>
    <w:rsid w:val="00B903AC"/>
    <w:rsid w:val="00B90476"/>
    <w:rsid w:val="00B91296"/>
    <w:rsid w:val="00B91C55"/>
    <w:rsid w:val="00B92E31"/>
    <w:rsid w:val="00B9324E"/>
    <w:rsid w:val="00B93EB8"/>
    <w:rsid w:val="00B94060"/>
    <w:rsid w:val="00B9453D"/>
    <w:rsid w:val="00B95866"/>
    <w:rsid w:val="00B95A7B"/>
    <w:rsid w:val="00B95E90"/>
    <w:rsid w:val="00B9606E"/>
    <w:rsid w:val="00BA00FB"/>
    <w:rsid w:val="00BA0E56"/>
    <w:rsid w:val="00BA1B16"/>
    <w:rsid w:val="00BA35DC"/>
    <w:rsid w:val="00BA4FFE"/>
    <w:rsid w:val="00BA551E"/>
    <w:rsid w:val="00BA5A8E"/>
    <w:rsid w:val="00BA774C"/>
    <w:rsid w:val="00BA7AFF"/>
    <w:rsid w:val="00BA7F49"/>
    <w:rsid w:val="00BB01B4"/>
    <w:rsid w:val="00BB034B"/>
    <w:rsid w:val="00BB0797"/>
    <w:rsid w:val="00BB0AC7"/>
    <w:rsid w:val="00BB0D2C"/>
    <w:rsid w:val="00BB198E"/>
    <w:rsid w:val="00BB2A8C"/>
    <w:rsid w:val="00BB2B31"/>
    <w:rsid w:val="00BB31B7"/>
    <w:rsid w:val="00BB377D"/>
    <w:rsid w:val="00BB4F29"/>
    <w:rsid w:val="00BB535E"/>
    <w:rsid w:val="00BB6926"/>
    <w:rsid w:val="00BB6B0C"/>
    <w:rsid w:val="00BB6B60"/>
    <w:rsid w:val="00BB7889"/>
    <w:rsid w:val="00BC01E4"/>
    <w:rsid w:val="00BC02A9"/>
    <w:rsid w:val="00BC1800"/>
    <w:rsid w:val="00BC19DB"/>
    <w:rsid w:val="00BC2BB6"/>
    <w:rsid w:val="00BC2F87"/>
    <w:rsid w:val="00BC36C3"/>
    <w:rsid w:val="00BC489E"/>
    <w:rsid w:val="00BC4D24"/>
    <w:rsid w:val="00BC5449"/>
    <w:rsid w:val="00BC557B"/>
    <w:rsid w:val="00BC5B64"/>
    <w:rsid w:val="00BC5C86"/>
    <w:rsid w:val="00BC65D5"/>
    <w:rsid w:val="00BC6F35"/>
    <w:rsid w:val="00BC6FAA"/>
    <w:rsid w:val="00BC75D1"/>
    <w:rsid w:val="00BC7C79"/>
    <w:rsid w:val="00BD22EF"/>
    <w:rsid w:val="00BD2A2B"/>
    <w:rsid w:val="00BD2D8F"/>
    <w:rsid w:val="00BD2FFB"/>
    <w:rsid w:val="00BD3925"/>
    <w:rsid w:val="00BD3A88"/>
    <w:rsid w:val="00BD477B"/>
    <w:rsid w:val="00BD4993"/>
    <w:rsid w:val="00BD4C00"/>
    <w:rsid w:val="00BD4C38"/>
    <w:rsid w:val="00BD55BE"/>
    <w:rsid w:val="00BD59A4"/>
    <w:rsid w:val="00BD66C3"/>
    <w:rsid w:val="00BD683D"/>
    <w:rsid w:val="00BD6ADF"/>
    <w:rsid w:val="00BD6F56"/>
    <w:rsid w:val="00BD7078"/>
    <w:rsid w:val="00BD74D6"/>
    <w:rsid w:val="00BD775C"/>
    <w:rsid w:val="00BE04EF"/>
    <w:rsid w:val="00BE069D"/>
    <w:rsid w:val="00BE182F"/>
    <w:rsid w:val="00BE1F99"/>
    <w:rsid w:val="00BE2533"/>
    <w:rsid w:val="00BE36E2"/>
    <w:rsid w:val="00BE38EA"/>
    <w:rsid w:val="00BE460C"/>
    <w:rsid w:val="00BE4616"/>
    <w:rsid w:val="00BE5160"/>
    <w:rsid w:val="00BE69D4"/>
    <w:rsid w:val="00BE6E4F"/>
    <w:rsid w:val="00BE732D"/>
    <w:rsid w:val="00BF0BD4"/>
    <w:rsid w:val="00BF0EAD"/>
    <w:rsid w:val="00BF10A5"/>
    <w:rsid w:val="00BF187C"/>
    <w:rsid w:val="00BF1966"/>
    <w:rsid w:val="00BF217A"/>
    <w:rsid w:val="00BF241D"/>
    <w:rsid w:val="00BF37BB"/>
    <w:rsid w:val="00BF3983"/>
    <w:rsid w:val="00BF3DDC"/>
    <w:rsid w:val="00BF414D"/>
    <w:rsid w:val="00BF4BD2"/>
    <w:rsid w:val="00BF4D9A"/>
    <w:rsid w:val="00BF4DBB"/>
    <w:rsid w:val="00BF5DCF"/>
    <w:rsid w:val="00BF7161"/>
    <w:rsid w:val="00BF72C9"/>
    <w:rsid w:val="00BF7DBA"/>
    <w:rsid w:val="00C003FE"/>
    <w:rsid w:val="00C00485"/>
    <w:rsid w:val="00C008A4"/>
    <w:rsid w:val="00C035C0"/>
    <w:rsid w:val="00C039BF"/>
    <w:rsid w:val="00C04170"/>
    <w:rsid w:val="00C0420B"/>
    <w:rsid w:val="00C043B9"/>
    <w:rsid w:val="00C04433"/>
    <w:rsid w:val="00C048E5"/>
    <w:rsid w:val="00C04CC1"/>
    <w:rsid w:val="00C04D93"/>
    <w:rsid w:val="00C04FD0"/>
    <w:rsid w:val="00C05B82"/>
    <w:rsid w:val="00C067CB"/>
    <w:rsid w:val="00C06FB4"/>
    <w:rsid w:val="00C07BC0"/>
    <w:rsid w:val="00C1099D"/>
    <w:rsid w:val="00C10A6F"/>
    <w:rsid w:val="00C10C46"/>
    <w:rsid w:val="00C1151C"/>
    <w:rsid w:val="00C12167"/>
    <w:rsid w:val="00C12FFE"/>
    <w:rsid w:val="00C1335C"/>
    <w:rsid w:val="00C141E1"/>
    <w:rsid w:val="00C149C0"/>
    <w:rsid w:val="00C14FBF"/>
    <w:rsid w:val="00C15995"/>
    <w:rsid w:val="00C15DBC"/>
    <w:rsid w:val="00C161D4"/>
    <w:rsid w:val="00C171FD"/>
    <w:rsid w:val="00C17BE2"/>
    <w:rsid w:val="00C17D4C"/>
    <w:rsid w:val="00C17F24"/>
    <w:rsid w:val="00C17F85"/>
    <w:rsid w:val="00C17FBD"/>
    <w:rsid w:val="00C20915"/>
    <w:rsid w:val="00C20E2C"/>
    <w:rsid w:val="00C21600"/>
    <w:rsid w:val="00C22F1B"/>
    <w:rsid w:val="00C2349C"/>
    <w:rsid w:val="00C23AB3"/>
    <w:rsid w:val="00C23CEF"/>
    <w:rsid w:val="00C24260"/>
    <w:rsid w:val="00C2449F"/>
    <w:rsid w:val="00C253E5"/>
    <w:rsid w:val="00C2561A"/>
    <w:rsid w:val="00C25C70"/>
    <w:rsid w:val="00C25D17"/>
    <w:rsid w:val="00C26882"/>
    <w:rsid w:val="00C26DC8"/>
    <w:rsid w:val="00C27BEE"/>
    <w:rsid w:val="00C27DB3"/>
    <w:rsid w:val="00C30291"/>
    <w:rsid w:val="00C31256"/>
    <w:rsid w:val="00C317EF"/>
    <w:rsid w:val="00C31C9A"/>
    <w:rsid w:val="00C339B4"/>
    <w:rsid w:val="00C33B62"/>
    <w:rsid w:val="00C33BB6"/>
    <w:rsid w:val="00C33BCE"/>
    <w:rsid w:val="00C33CCE"/>
    <w:rsid w:val="00C34391"/>
    <w:rsid w:val="00C34B4D"/>
    <w:rsid w:val="00C36C1F"/>
    <w:rsid w:val="00C36EA4"/>
    <w:rsid w:val="00C379AF"/>
    <w:rsid w:val="00C37B85"/>
    <w:rsid w:val="00C4035B"/>
    <w:rsid w:val="00C40C8E"/>
    <w:rsid w:val="00C416FD"/>
    <w:rsid w:val="00C419E4"/>
    <w:rsid w:val="00C41C87"/>
    <w:rsid w:val="00C42D9C"/>
    <w:rsid w:val="00C4359E"/>
    <w:rsid w:val="00C4373B"/>
    <w:rsid w:val="00C43887"/>
    <w:rsid w:val="00C44016"/>
    <w:rsid w:val="00C449CA"/>
    <w:rsid w:val="00C44DB0"/>
    <w:rsid w:val="00C452D5"/>
    <w:rsid w:val="00C45351"/>
    <w:rsid w:val="00C4617C"/>
    <w:rsid w:val="00C475E0"/>
    <w:rsid w:val="00C5045B"/>
    <w:rsid w:val="00C5064B"/>
    <w:rsid w:val="00C50D66"/>
    <w:rsid w:val="00C51980"/>
    <w:rsid w:val="00C52A67"/>
    <w:rsid w:val="00C52E44"/>
    <w:rsid w:val="00C54A92"/>
    <w:rsid w:val="00C54D02"/>
    <w:rsid w:val="00C56D7B"/>
    <w:rsid w:val="00C56F4E"/>
    <w:rsid w:val="00C612C2"/>
    <w:rsid w:val="00C613C6"/>
    <w:rsid w:val="00C6379B"/>
    <w:rsid w:val="00C63B2C"/>
    <w:rsid w:val="00C6541B"/>
    <w:rsid w:val="00C65945"/>
    <w:rsid w:val="00C6641D"/>
    <w:rsid w:val="00C66491"/>
    <w:rsid w:val="00C66653"/>
    <w:rsid w:val="00C666CE"/>
    <w:rsid w:val="00C66F48"/>
    <w:rsid w:val="00C67351"/>
    <w:rsid w:val="00C70263"/>
    <w:rsid w:val="00C70477"/>
    <w:rsid w:val="00C70AC6"/>
    <w:rsid w:val="00C70B1E"/>
    <w:rsid w:val="00C71425"/>
    <w:rsid w:val="00C71A7F"/>
    <w:rsid w:val="00C71B99"/>
    <w:rsid w:val="00C71ED8"/>
    <w:rsid w:val="00C72085"/>
    <w:rsid w:val="00C724B6"/>
    <w:rsid w:val="00C725D7"/>
    <w:rsid w:val="00C72A36"/>
    <w:rsid w:val="00C7336B"/>
    <w:rsid w:val="00C738F1"/>
    <w:rsid w:val="00C73B08"/>
    <w:rsid w:val="00C748F5"/>
    <w:rsid w:val="00C753B7"/>
    <w:rsid w:val="00C75C5B"/>
    <w:rsid w:val="00C75C73"/>
    <w:rsid w:val="00C76C44"/>
    <w:rsid w:val="00C77567"/>
    <w:rsid w:val="00C77948"/>
    <w:rsid w:val="00C77CD7"/>
    <w:rsid w:val="00C77FC3"/>
    <w:rsid w:val="00C8039B"/>
    <w:rsid w:val="00C80DA1"/>
    <w:rsid w:val="00C80EAF"/>
    <w:rsid w:val="00C81141"/>
    <w:rsid w:val="00C81713"/>
    <w:rsid w:val="00C81B8E"/>
    <w:rsid w:val="00C81C2B"/>
    <w:rsid w:val="00C8242C"/>
    <w:rsid w:val="00C82A62"/>
    <w:rsid w:val="00C82C5C"/>
    <w:rsid w:val="00C82D44"/>
    <w:rsid w:val="00C83268"/>
    <w:rsid w:val="00C835D7"/>
    <w:rsid w:val="00C83819"/>
    <w:rsid w:val="00C83E4D"/>
    <w:rsid w:val="00C846A2"/>
    <w:rsid w:val="00C84A45"/>
    <w:rsid w:val="00C85811"/>
    <w:rsid w:val="00C86836"/>
    <w:rsid w:val="00C86907"/>
    <w:rsid w:val="00C86E40"/>
    <w:rsid w:val="00C8771F"/>
    <w:rsid w:val="00C87FB2"/>
    <w:rsid w:val="00C87FFA"/>
    <w:rsid w:val="00C91990"/>
    <w:rsid w:val="00C91A40"/>
    <w:rsid w:val="00C91F45"/>
    <w:rsid w:val="00C9203C"/>
    <w:rsid w:val="00C9388F"/>
    <w:rsid w:val="00C93A73"/>
    <w:rsid w:val="00C94214"/>
    <w:rsid w:val="00C946EE"/>
    <w:rsid w:val="00C94CAA"/>
    <w:rsid w:val="00C95FB8"/>
    <w:rsid w:val="00C971AB"/>
    <w:rsid w:val="00C971C5"/>
    <w:rsid w:val="00C977D4"/>
    <w:rsid w:val="00C97A59"/>
    <w:rsid w:val="00CA16A1"/>
    <w:rsid w:val="00CA179F"/>
    <w:rsid w:val="00CA1BF2"/>
    <w:rsid w:val="00CA25A6"/>
    <w:rsid w:val="00CA26D3"/>
    <w:rsid w:val="00CA37C0"/>
    <w:rsid w:val="00CA3A73"/>
    <w:rsid w:val="00CA421E"/>
    <w:rsid w:val="00CA4D4F"/>
    <w:rsid w:val="00CA65E1"/>
    <w:rsid w:val="00CA6A1B"/>
    <w:rsid w:val="00CA78B8"/>
    <w:rsid w:val="00CA7934"/>
    <w:rsid w:val="00CA7E36"/>
    <w:rsid w:val="00CB0C72"/>
    <w:rsid w:val="00CB1CBA"/>
    <w:rsid w:val="00CB1EC2"/>
    <w:rsid w:val="00CB255F"/>
    <w:rsid w:val="00CB2C8E"/>
    <w:rsid w:val="00CB3C64"/>
    <w:rsid w:val="00CB41A5"/>
    <w:rsid w:val="00CB4710"/>
    <w:rsid w:val="00CB4BCC"/>
    <w:rsid w:val="00CB4BFE"/>
    <w:rsid w:val="00CB532B"/>
    <w:rsid w:val="00CB5961"/>
    <w:rsid w:val="00CB5CF1"/>
    <w:rsid w:val="00CB699A"/>
    <w:rsid w:val="00CB76C5"/>
    <w:rsid w:val="00CB77EE"/>
    <w:rsid w:val="00CB7910"/>
    <w:rsid w:val="00CB7BFA"/>
    <w:rsid w:val="00CB7E43"/>
    <w:rsid w:val="00CC07FB"/>
    <w:rsid w:val="00CC0F5C"/>
    <w:rsid w:val="00CC100D"/>
    <w:rsid w:val="00CC1C39"/>
    <w:rsid w:val="00CC1D9C"/>
    <w:rsid w:val="00CC1FF9"/>
    <w:rsid w:val="00CC343C"/>
    <w:rsid w:val="00CC390F"/>
    <w:rsid w:val="00CC3CBE"/>
    <w:rsid w:val="00CC3D66"/>
    <w:rsid w:val="00CC3F26"/>
    <w:rsid w:val="00CC3F89"/>
    <w:rsid w:val="00CC4EC8"/>
    <w:rsid w:val="00CC5690"/>
    <w:rsid w:val="00CC59B6"/>
    <w:rsid w:val="00CC5C19"/>
    <w:rsid w:val="00CC6E91"/>
    <w:rsid w:val="00CC7904"/>
    <w:rsid w:val="00CD10F2"/>
    <w:rsid w:val="00CD1835"/>
    <w:rsid w:val="00CD18CD"/>
    <w:rsid w:val="00CD1D3C"/>
    <w:rsid w:val="00CD23CD"/>
    <w:rsid w:val="00CD2B67"/>
    <w:rsid w:val="00CD42AB"/>
    <w:rsid w:val="00CD520D"/>
    <w:rsid w:val="00CD591D"/>
    <w:rsid w:val="00CD60D1"/>
    <w:rsid w:val="00CD6257"/>
    <w:rsid w:val="00CD6AA3"/>
    <w:rsid w:val="00CD7CF2"/>
    <w:rsid w:val="00CE0E42"/>
    <w:rsid w:val="00CE0F73"/>
    <w:rsid w:val="00CE2AE5"/>
    <w:rsid w:val="00CE314A"/>
    <w:rsid w:val="00CE32CB"/>
    <w:rsid w:val="00CE4110"/>
    <w:rsid w:val="00CE4718"/>
    <w:rsid w:val="00CE4B39"/>
    <w:rsid w:val="00CE526A"/>
    <w:rsid w:val="00CE5B08"/>
    <w:rsid w:val="00CE61F6"/>
    <w:rsid w:val="00CE6F49"/>
    <w:rsid w:val="00CE7466"/>
    <w:rsid w:val="00CE76A6"/>
    <w:rsid w:val="00CE7887"/>
    <w:rsid w:val="00CE7B0A"/>
    <w:rsid w:val="00CE7EA1"/>
    <w:rsid w:val="00CF0459"/>
    <w:rsid w:val="00CF0DF8"/>
    <w:rsid w:val="00CF1AA4"/>
    <w:rsid w:val="00CF1ED4"/>
    <w:rsid w:val="00CF2070"/>
    <w:rsid w:val="00CF266B"/>
    <w:rsid w:val="00CF305F"/>
    <w:rsid w:val="00CF4349"/>
    <w:rsid w:val="00CF5926"/>
    <w:rsid w:val="00CF6447"/>
    <w:rsid w:val="00CF66AB"/>
    <w:rsid w:val="00CF7040"/>
    <w:rsid w:val="00D00278"/>
    <w:rsid w:val="00D003A6"/>
    <w:rsid w:val="00D00F65"/>
    <w:rsid w:val="00D01522"/>
    <w:rsid w:val="00D01A05"/>
    <w:rsid w:val="00D02B37"/>
    <w:rsid w:val="00D0320E"/>
    <w:rsid w:val="00D034D7"/>
    <w:rsid w:val="00D04186"/>
    <w:rsid w:val="00D0452C"/>
    <w:rsid w:val="00D05268"/>
    <w:rsid w:val="00D05D3F"/>
    <w:rsid w:val="00D05F20"/>
    <w:rsid w:val="00D07499"/>
    <w:rsid w:val="00D075D8"/>
    <w:rsid w:val="00D10579"/>
    <w:rsid w:val="00D1161E"/>
    <w:rsid w:val="00D11A48"/>
    <w:rsid w:val="00D11CE9"/>
    <w:rsid w:val="00D11D29"/>
    <w:rsid w:val="00D11FB4"/>
    <w:rsid w:val="00D120FD"/>
    <w:rsid w:val="00D1328A"/>
    <w:rsid w:val="00D136E5"/>
    <w:rsid w:val="00D13A94"/>
    <w:rsid w:val="00D14809"/>
    <w:rsid w:val="00D14A12"/>
    <w:rsid w:val="00D14C19"/>
    <w:rsid w:val="00D14FA3"/>
    <w:rsid w:val="00D16486"/>
    <w:rsid w:val="00D16BC2"/>
    <w:rsid w:val="00D16F7E"/>
    <w:rsid w:val="00D201DD"/>
    <w:rsid w:val="00D20363"/>
    <w:rsid w:val="00D208E8"/>
    <w:rsid w:val="00D20BF6"/>
    <w:rsid w:val="00D20F5B"/>
    <w:rsid w:val="00D21A9D"/>
    <w:rsid w:val="00D21C19"/>
    <w:rsid w:val="00D21EE7"/>
    <w:rsid w:val="00D228AD"/>
    <w:rsid w:val="00D23904"/>
    <w:rsid w:val="00D24508"/>
    <w:rsid w:val="00D254DB"/>
    <w:rsid w:val="00D2674E"/>
    <w:rsid w:val="00D26C7D"/>
    <w:rsid w:val="00D26DC8"/>
    <w:rsid w:val="00D26EF1"/>
    <w:rsid w:val="00D27330"/>
    <w:rsid w:val="00D27396"/>
    <w:rsid w:val="00D27460"/>
    <w:rsid w:val="00D279F2"/>
    <w:rsid w:val="00D27A09"/>
    <w:rsid w:val="00D30933"/>
    <w:rsid w:val="00D3099E"/>
    <w:rsid w:val="00D30B41"/>
    <w:rsid w:val="00D30B4D"/>
    <w:rsid w:val="00D30CCF"/>
    <w:rsid w:val="00D31721"/>
    <w:rsid w:val="00D31B1F"/>
    <w:rsid w:val="00D31BB2"/>
    <w:rsid w:val="00D31D59"/>
    <w:rsid w:val="00D321FC"/>
    <w:rsid w:val="00D329C3"/>
    <w:rsid w:val="00D32ADB"/>
    <w:rsid w:val="00D33268"/>
    <w:rsid w:val="00D335AD"/>
    <w:rsid w:val="00D3469A"/>
    <w:rsid w:val="00D34F1D"/>
    <w:rsid w:val="00D35570"/>
    <w:rsid w:val="00D355E2"/>
    <w:rsid w:val="00D35A90"/>
    <w:rsid w:val="00D36187"/>
    <w:rsid w:val="00D37C85"/>
    <w:rsid w:val="00D4014C"/>
    <w:rsid w:val="00D40AB5"/>
    <w:rsid w:val="00D40D8A"/>
    <w:rsid w:val="00D42964"/>
    <w:rsid w:val="00D43286"/>
    <w:rsid w:val="00D43E47"/>
    <w:rsid w:val="00D44DBD"/>
    <w:rsid w:val="00D44FF8"/>
    <w:rsid w:val="00D458BD"/>
    <w:rsid w:val="00D4667D"/>
    <w:rsid w:val="00D466AB"/>
    <w:rsid w:val="00D46C3E"/>
    <w:rsid w:val="00D46CE3"/>
    <w:rsid w:val="00D46EF0"/>
    <w:rsid w:val="00D47182"/>
    <w:rsid w:val="00D47F15"/>
    <w:rsid w:val="00D5014A"/>
    <w:rsid w:val="00D50853"/>
    <w:rsid w:val="00D513BF"/>
    <w:rsid w:val="00D51917"/>
    <w:rsid w:val="00D52F27"/>
    <w:rsid w:val="00D5409F"/>
    <w:rsid w:val="00D54283"/>
    <w:rsid w:val="00D54A57"/>
    <w:rsid w:val="00D5559B"/>
    <w:rsid w:val="00D55814"/>
    <w:rsid w:val="00D55B47"/>
    <w:rsid w:val="00D55E7A"/>
    <w:rsid w:val="00D56572"/>
    <w:rsid w:val="00D57D1E"/>
    <w:rsid w:val="00D61179"/>
    <w:rsid w:val="00D61419"/>
    <w:rsid w:val="00D62A96"/>
    <w:rsid w:val="00D62D2B"/>
    <w:rsid w:val="00D63E38"/>
    <w:rsid w:val="00D64451"/>
    <w:rsid w:val="00D64AF6"/>
    <w:rsid w:val="00D65393"/>
    <w:rsid w:val="00D65418"/>
    <w:rsid w:val="00D65FA8"/>
    <w:rsid w:val="00D66AB5"/>
    <w:rsid w:val="00D6782E"/>
    <w:rsid w:val="00D67BC1"/>
    <w:rsid w:val="00D70288"/>
    <w:rsid w:val="00D7031C"/>
    <w:rsid w:val="00D704D6"/>
    <w:rsid w:val="00D707F9"/>
    <w:rsid w:val="00D70B2F"/>
    <w:rsid w:val="00D710CA"/>
    <w:rsid w:val="00D72723"/>
    <w:rsid w:val="00D727A0"/>
    <w:rsid w:val="00D7342E"/>
    <w:rsid w:val="00D734D3"/>
    <w:rsid w:val="00D737BF"/>
    <w:rsid w:val="00D7386B"/>
    <w:rsid w:val="00D73D1D"/>
    <w:rsid w:val="00D74281"/>
    <w:rsid w:val="00D74544"/>
    <w:rsid w:val="00D74CCA"/>
    <w:rsid w:val="00D75A13"/>
    <w:rsid w:val="00D75F10"/>
    <w:rsid w:val="00D768BC"/>
    <w:rsid w:val="00D76916"/>
    <w:rsid w:val="00D771FB"/>
    <w:rsid w:val="00D77225"/>
    <w:rsid w:val="00D77796"/>
    <w:rsid w:val="00D77B1C"/>
    <w:rsid w:val="00D8079A"/>
    <w:rsid w:val="00D80FA1"/>
    <w:rsid w:val="00D81547"/>
    <w:rsid w:val="00D81B7F"/>
    <w:rsid w:val="00D81DB2"/>
    <w:rsid w:val="00D81F47"/>
    <w:rsid w:val="00D83186"/>
    <w:rsid w:val="00D8398E"/>
    <w:rsid w:val="00D83E6F"/>
    <w:rsid w:val="00D841B9"/>
    <w:rsid w:val="00D853FE"/>
    <w:rsid w:val="00D85F89"/>
    <w:rsid w:val="00D87686"/>
    <w:rsid w:val="00D87E95"/>
    <w:rsid w:val="00D905F6"/>
    <w:rsid w:val="00D92769"/>
    <w:rsid w:val="00D92A1A"/>
    <w:rsid w:val="00D9319D"/>
    <w:rsid w:val="00D93467"/>
    <w:rsid w:val="00D94B1F"/>
    <w:rsid w:val="00D95923"/>
    <w:rsid w:val="00D95EC4"/>
    <w:rsid w:val="00D9656D"/>
    <w:rsid w:val="00D96611"/>
    <w:rsid w:val="00D97C89"/>
    <w:rsid w:val="00DA0048"/>
    <w:rsid w:val="00DA0EE5"/>
    <w:rsid w:val="00DA1A99"/>
    <w:rsid w:val="00DA1D8C"/>
    <w:rsid w:val="00DA1EE0"/>
    <w:rsid w:val="00DA2936"/>
    <w:rsid w:val="00DA2BEA"/>
    <w:rsid w:val="00DA32D1"/>
    <w:rsid w:val="00DA3F10"/>
    <w:rsid w:val="00DA4354"/>
    <w:rsid w:val="00DA4E3E"/>
    <w:rsid w:val="00DA549D"/>
    <w:rsid w:val="00DA55F6"/>
    <w:rsid w:val="00DA57C5"/>
    <w:rsid w:val="00DA5D44"/>
    <w:rsid w:val="00DA5F79"/>
    <w:rsid w:val="00DA7179"/>
    <w:rsid w:val="00DA766B"/>
    <w:rsid w:val="00DB1A2C"/>
    <w:rsid w:val="00DB2369"/>
    <w:rsid w:val="00DB4820"/>
    <w:rsid w:val="00DB5250"/>
    <w:rsid w:val="00DB5C86"/>
    <w:rsid w:val="00DB633C"/>
    <w:rsid w:val="00DB6BFA"/>
    <w:rsid w:val="00DB6F2E"/>
    <w:rsid w:val="00DB7138"/>
    <w:rsid w:val="00DC0355"/>
    <w:rsid w:val="00DC06CF"/>
    <w:rsid w:val="00DC0753"/>
    <w:rsid w:val="00DC1022"/>
    <w:rsid w:val="00DC1830"/>
    <w:rsid w:val="00DC1D4C"/>
    <w:rsid w:val="00DC3009"/>
    <w:rsid w:val="00DC54CE"/>
    <w:rsid w:val="00DC6E96"/>
    <w:rsid w:val="00DD0020"/>
    <w:rsid w:val="00DD04B3"/>
    <w:rsid w:val="00DD066F"/>
    <w:rsid w:val="00DD067A"/>
    <w:rsid w:val="00DD13DE"/>
    <w:rsid w:val="00DD1A74"/>
    <w:rsid w:val="00DD2928"/>
    <w:rsid w:val="00DD35D7"/>
    <w:rsid w:val="00DD3AD8"/>
    <w:rsid w:val="00DD3F55"/>
    <w:rsid w:val="00DD4A94"/>
    <w:rsid w:val="00DD5EAA"/>
    <w:rsid w:val="00DD5F64"/>
    <w:rsid w:val="00DD6E59"/>
    <w:rsid w:val="00DD7AE5"/>
    <w:rsid w:val="00DE0313"/>
    <w:rsid w:val="00DE0934"/>
    <w:rsid w:val="00DE10B2"/>
    <w:rsid w:val="00DE11DC"/>
    <w:rsid w:val="00DE1BAC"/>
    <w:rsid w:val="00DE2061"/>
    <w:rsid w:val="00DE2BC8"/>
    <w:rsid w:val="00DE2DCA"/>
    <w:rsid w:val="00DE2F4C"/>
    <w:rsid w:val="00DE46FF"/>
    <w:rsid w:val="00DE48B2"/>
    <w:rsid w:val="00DE63E0"/>
    <w:rsid w:val="00DE6456"/>
    <w:rsid w:val="00DE6AC2"/>
    <w:rsid w:val="00DE6B50"/>
    <w:rsid w:val="00DE7D68"/>
    <w:rsid w:val="00DF0085"/>
    <w:rsid w:val="00DF00FF"/>
    <w:rsid w:val="00DF0129"/>
    <w:rsid w:val="00DF02CC"/>
    <w:rsid w:val="00DF045C"/>
    <w:rsid w:val="00DF050F"/>
    <w:rsid w:val="00DF0B3B"/>
    <w:rsid w:val="00DF120E"/>
    <w:rsid w:val="00DF13C6"/>
    <w:rsid w:val="00DF185A"/>
    <w:rsid w:val="00DF2983"/>
    <w:rsid w:val="00DF2DDF"/>
    <w:rsid w:val="00DF3D22"/>
    <w:rsid w:val="00DF4709"/>
    <w:rsid w:val="00DF4743"/>
    <w:rsid w:val="00DF74B8"/>
    <w:rsid w:val="00E0013A"/>
    <w:rsid w:val="00E004D7"/>
    <w:rsid w:val="00E00797"/>
    <w:rsid w:val="00E00F13"/>
    <w:rsid w:val="00E015B4"/>
    <w:rsid w:val="00E016A1"/>
    <w:rsid w:val="00E01ED2"/>
    <w:rsid w:val="00E020CE"/>
    <w:rsid w:val="00E02818"/>
    <w:rsid w:val="00E03458"/>
    <w:rsid w:val="00E037FB"/>
    <w:rsid w:val="00E03DD3"/>
    <w:rsid w:val="00E043A3"/>
    <w:rsid w:val="00E04A41"/>
    <w:rsid w:val="00E05E27"/>
    <w:rsid w:val="00E05FE4"/>
    <w:rsid w:val="00E1012A"/>
    <w:rsid w:val="00E1025A"/>
    <w:rsid w:val="00E1137A"/>
    <w:rsid w:val="00E12678"/>
    <w:rsid w:val="00E129AC"/>
    <w:rsid w:val="00E13002"/>
    <w:rsid w:val="00E131E0"/>
    <w:rsid w:val="00E135D0"/>
    <w:rsid w:val="00E136E4"/>
    <w:rsid w:val="00E13D90"/>
    <w:rsid w:val="00E14D20"/>
    <w:rsid w:val="00E15586"/>
    <w:rsid w:val="00E15930"/>
    <w:rsid w:val="00E15D05"/>
    <w:rsid w:val="00E16AD6"/>
    <w:rsid w:val="00E16C63"/>
    <w:rsid w:val="00E173D8"/>
    <w:rsid w:val="00E17645"/>
    <w:rsid w:val="00E17CD4"/>
    <w:rsid w:val="00E200AD"/>
    <w:rsid w:val="00E20320"/>
    <w:rsid w:val="00E204AB"/>
    <w:rsid w:val="00E21055"/>
    <w:rsid w:val="00E2126C"/>
    <w:rsid w:val="00E21301"/>
    <w:rsid w:val="00E21314"/>
    <w:rsid w:val="00E21ABC"/>
    <w:rsid w:val="00E2291F"/>
    <w:rsid w:val="00E229DD"/>
    <w:rsid w:val="00E23734"/>
    <w:rsid w:val="00E23A6C"/>
    <w:rsid w:val="00E23BA0"/>
    <w:rsid w:val="00E24297"/>
    <w:rsid w:val="00E2581B"/>
    <w:rsid w:val="00E26D6B"/>
    <w:rsid w:val="00E2797E"/>
    <w:rsid w:val="00E27E35"/>
    <w:rsid w:val="00E30461"/>
    <w:rsid w:val="00E31AC9"/>
    <w:rsid w:val="00E31E6A"/>
    <w:rsid w:val="00E32741"/>
    <w:rsid w:val="00E3363D"/>
    <w:rsid w:val="00E338FF"/>
    <w:rsid w:val="00E33C43"/>
    <w:rsid w:val="00E34AA4"/>
    <w:rsid w:val="00E34B5C"/>
    <w:rsid w:val="00E34DCC"/>
    <w:rsid w:val="00E354CF"/>
    <w:rsid w:val="00E361B1"/>
    <w:rsid w:val="00E367A3"/>
    <w:rsid w:val="00E3690D"/>
    <w:rsid w:val="00E36B6C"/>
    <w:rsid w:val="00E37075"/>
    <w:rsid w:val="00E37738"/>
    <w:rsid w:val="00E37B2B"/>
    <w:rsid w:val="00E37F66"/>
    <w:rsid w:val="00E4081A"/>
    <w:rsid w:val="00E40DE4"/>
    <w:rsid w:val="00E40F8F"/>
    <w:rsid w:val="00E41286"/>
    <w:rsid w:val="00E413E3"/>
    <w:rsid w:val="00E41C82"/>
    <w:rsid w:val="00E43FBD"/>
    <w:rsid w:val="00E44282"/>
    <w:rsid w:val="00E44C89"/>
    <w:rsid w:val="00E45355"/>
    <w:rsid w:val="00E4557C"/>
    <w:rsid w:val="00E4558C"/>
    <w:rsid w:val="00E4586E"/>
    <w:rsid w:val="00E46358"/>
    <w:rsid w:val="00E468AF"/>
    <w:rsid w:val="00E4756A"/>
    <w:rsid w:val="00E47D24"/>
    <w:rsid w:val="00E47ED9"/>
    <w:rsid w:val="00E47F0A"/>
    <w:rsid w:val="00E50162"/>
    <w:rsid w:val="00E50218"/>
    <w:rsid w:val="00E504B5"/>
    <w:rsid w:val="00E50553"/>
    <w:rsid w:val="00E50A1B"/>
    <w:rsid w:val="00E50CEE"/>
    <w:rsid w:val="00E50D9B"/>
    <w:rsid w:val="00E50EFA"/>
    <w:rsid w:val="00E52869"/>
    <w:rsid w:val="00E52912"/>
    <w:rsid w:val="00E5451C"/>
    <w:rsid w:val="00E54F8D"/>
    <w:rsid w:val="00E55C89"/>
    <w:rsid w:val="00E574B1"/>
    <w:rsid w:val="00E57516"/>
    <w:rsid w:val="00E61059"/>
    <w:rsid w:val="00E6181C"/>
    <w:rsid w:val="00E61F60"/>
    <w:rsid w:val="00E625E6"/>
    <w:rsid w:val="00E63838"/>
    <w:rsid w:val="00E63C56"/>
    <w:rsid w:val="00E6535D"/>
    <w:rsid w:val="00E65511"/>
    <w:rsid w:val="00E65CD7"/>
    <w:rsid w:val="00E663E0"/>
    <w:rsid w:val="00E663E5"/>
    <w:rsid w:val="00E6660E"/>
    <w:rsid w:val="00E66AC7"/>
    <w:rsid w:val="00E67D19"/>
    <w:rsid w:val="00E701D7"/>
    <w:rsid w:val="00E70BDD"/>
    <w:rsid w:val="00E716B3"/>
    <w:rsid w:val="00E71A6D"/>
    <w:rsid w:val="00E729E1"/>
    <w:rsid w:val="00E72A05"/>
    <w:rsid w:val="00E72D66"/>
    <w:rsid w:val="00E73495"/>
    <w:rsid w:val="00E7354A"/>
    <w:rsid w:val="00E73621"/>
    <w:rsid w:val="00E74A5F"/>
    <w:rsid w:val="00E74C4D"/>
    <w:rsid w:val="00E74EA3"/>
    <w:rsid w:val="00E75436"/>
    <w:rsid w:val="00E757C6"/>
    <w:rsid w:val="00E75B87"/>
    <w:rsid w:val="00E76E45"/>
    <w:rsid w:val="00E8013E"/>
    <w:rsid w:val="00E803A8"/>
    <w:rsid w:val="00E81952"/>
    <w:rsid w:val="00E81D32"/>
    <w:rsid w:val="00E81ECE"/>
    <w:rsid w:val="00E824F2"/>
    <w:rsid w:val="00E82A98"/>
    <w:rsid w:val="00E83255"/>
    <w:rsid w:val="00E83282"/>
    <w:rsid w:val="00E83447"/>
    <w:rsid w:val="00E842D0"/>
    <w:rsid w:val="00E84441"/>
    <w:rsid w:val="00E858C8"/>
    <w:rsid w:val="00E86F33"/>
    <w:rsid w:val="00E873E2"/>
    <w:rsid w:val="00E879C8"/>
    <w:rsid w:val="00E87C04"/>
    <w:rsid w:val="00E87DFB"/>
    <w:rsid w:val="00E9195E"/>
    <w:rsid w:val="00E92B53"/>
    <w:rsid w:val="00E92EBC"/>
    <w:rsid w:val="00E934F3"/>
    <w:rsid w:val="00E93511"/>
    <w:rsid w:val="00E9351B"/>
    <w:rsid w:val="00E951D6"/>
    <w:rsid w:val="00E95783"/>
    <w:rsid w:val="00E957AD"/>
    <w:rsid w:val="00E9615B"/>
    <w:rsid w:val="00E9689D"/>
    <w:rsid w:val="00E97265"/>
    <w:rsid w:val="00E972D5"/>
    <w:rsid w:val="00E9792B"/>
    <w:rsid w:val="00EA0D01"/>
    <w:rsid w:val="00EA1D2A"/>
    <w:rsid w:val="00EA2CE8"/>
    <w:rsid w:val="00EA38BE"/>
    <w:rsid w:val="00EA4DBA"/>
    <w:rsid w:val="00EA4E96"/>
    <w:rsid w:val="00EA609C"/>
    <w:rsid w:val="00EA65A0"/>
    <w:rsid w:val="00EA71DE"/>
    <w:rsid w:val="00EB00A3"/>
    <w:rsid w:val="00EB014D"/>
    <w:rsid w:val="00EB028E"/>
    <w:rsid w:val="00EB0BE9"/>
    <w:rsid w:val="00EB174F"/>
    <w:rsid w:val="00EB2493"/>
    <w:rsid w:val="00EB25E7"/>
    <w:rsid w:val="00EB43D5"/>
    <w:rsid w:val="00EB4932"/>
    <w:rsid w:val="00EB4EA0"/>
    <w:rsid w:val="00EB4EB3"/>
    <w:rsid w:val="00EB4F98"/>
    <w:rsid w:val="00EB52F3"/>
    <w:rsid w:val="00EB5490"/>
    <w:rsid w:val="00EB57D4"/>
    <w:rsid w:val="00EB5C0D"/>
    <w:rsid w:val="00EB5CC6"/>
    <w:rsid w:val="00EB62C1"/>
    <w:rsid w:val="00EB6C9F"/>
    <w:rsid w:val="00EB6EF8"/>
    <w:rsid w:val="00EB6F89"/>
    <w:rsid w:val="00EB766F"/>
    <w:rsid w:val="00EC1270"/>
    <w:rsid w:val="00EC1433"/>
    <w:rsid w:val="00EC1876"/>
    <w:rsid w:val="00EC1D9C"/>
    <w:rsid w:val="00EC1DFA"/>
    <w:rsid w:val="00EC1E26"/>
    <w:rsid w:val="00EC2BCA"/>
    <w:rsid w:val="00EC310E"/>
    <w:rsid w:val="00EC3184"/>
    <w:rsid w:val="00EC3190"/>
    <w:rsid w:val="00EC4124"/>
    <w:rsid w:val="00EC4DB7"/>
    <w:rsid w:val="00EC51C8"/>
    <w:rsid w:val="00EC57C4"/>
    <w:rsid w:val="00EC5C03"/>
    <w:rsid w:val="00EC609E"/>
    <w:rsid w:val="00EC6798"/>
    <w:rsid w:val="00EC73D8"/>
    <w:rsid w:val="00EC7D46"/>
    <w:rsid w:val="00ED0EBD"/>
    <w:rsid w:val="00ED176A"/>
    <w:rsid w:val="00ED20D5"/>
    <w:rsid w:val="00ED2269"/>
    <w:rsid w:val="00ED39BD"/>
    <w:rsid w:val="00ED3A8E"/>
    <w:rsid w:val="00ED405F"/>
    <w:rsid w:val="00ED5F9D"/>
    <w:rsid w:val="00ED6CED"/>
    <w:rsid w:val="00EE073A"/>
    <w:rsid w:val="00EE0AA4"/>
    <w:rsid w:val="00EE1311"/>
    <w:rsid w:val="00EE14FC"/>
    <w:rsid w:val="00EE1F48"/>
    <w:rsid w:val="00EE1F8E"/>
    <w:rsid w:val="00EE24C3"/>
    <w:rsid w:val="00EE4C53"/>
    <w:rsid w:val="00EE536E"/>
    <w:rsid w:val="00EE6623"/>
    <w:rsid w:val="00EF00D5"/>
    <w:rsid w:val="00EF01A2"/>
    <w:rsid w:val="00EF0F08"/>
    <w:rsid w:val="00EF10D8"/>
    <w:rsid w:val="00EF1614"/>
    <w:rsid w:val="00EF1B1C"/>
    <w:rsid w:val="00EF1D88"/>
    <w:rsid w:val="00EF207B"/>
    <w:rsid w:val="00EF24E2"/>
    <w:rsid w:val="00EF30F6"/>
    <w:rsid w:val="00EF3B44"/>
    <w:rsid w:val="00EF4ABE"/>
    <w:rsid w:val="00EF55F5"/>
    <w:rsid w:val="00EF5B28"/>
    <w:rsid w:val="00EF62BA"/>
    <w:rsid w:val="00EF6868"/>
    <w:rsid w:val="00EF6C71"/>
    <w:rsid w:val="00EF748D"/>
    <w:rsid w:val="00F003C3"/>
    <w:rsid w:val="00F0096C"/>
    <w:rsid w:val="00F01348"/>
    <w:rsid w:val="00F013B1"/>
    <w:rsid w:val="00F018F1"/>
    <w:rsid w:val="00F01AF9"/>
    <w:rsid w:val="00F02779"/>
    <w:rsid w:val="00F02780"/>
    <w:rsid w:val="00F02C77"/>
    <w:rsid w:val="00F030E6"/>
    <w:rsid w:val="00F0330B"/>
    <w:rsid w:val="00F034F5"/>
    <w:rsid w:val="00F03911"/>
    <w:rsid w:val="00F04E96"/>
    <w:rsid w:val="00F0519A"/>
    <w:rsid w:val="00F05A07"/>
    <w:rsid w:val="00F05CD8"/>
    <w:rsid w:val="00F06050"/>
    <w:rsid w:val="00F0642B"/>
    <w:rsid w:val="00F06608"/>
    <w:rsid w:val="00F108CE"/>
    <w:rsid w:val="00F11303"/>
    <w:rsid w:val="00F11384"/>
    <w:rsid w:val="00F1189B"/>
    <w:rsid w:val="00F11A60"/>
    <w:rsid w:val="00F120F6"/>
    <w:rsid w:val="00F12ACF"/>
    <w:rsid w:val="00F12EE9"/>
    <w:rsid w:val="00F12FFA"/>
    <w:rsid w:val="00F138E6"/>
    <w:rsid w:val="00F14248"/>
    <w:rsid w:val="00F15101"/>
    <w:rsid w:val="00F15130"/>
    <w:rsid w:val="00F15A5C"/>
    <w:rsid w:val="00F15F16"/>
    <w:rsid w:val="00F1635F"/>
    <w:rsid w:val="00F164D6"/>
    <w:rsid w:val="00F16E65"/>
    <w:rsid w:val="00F176B6"/>
    <w:rsid w:val="00F17858"/>
    <w:rsid w:val="00F17921"/>
    <w:rsid w:val="00F179A5"/>
    <w:rsid w:val="00F17E80"/>
    <w:rsid w:val="00F215FB"/>
    <w:rsid w:val="00F21E4A"/>
    <w:rsid w:val="00F220B9"/>
    <w:rsid w:val="00F228DF"/>
    <w:rsid w:val="00F240C4"/>
    <w:rsid w:val="00F247A1"/>
    <w:rsid w:val="00F2486A"/>
    <w:rsid w:val="00F2531E"/>
    <w:rsid w:val="00F25394"/>
    <w:rsid w:val="00F258D2"/>
    <w:rsid w:val="00F25BEA"/>
    <w:rsid w:val="00F25DFD"/>
    <w:rsid w:val="00F263AC"/>
    <w:rsid w:val="00F2644B"/>
    <w:rsid w:val="00F26ABA"/>
    <w:rsid w:val="00F30BFC"/>
    <w:rsid w:val="00F30C13"/>
    <w:rsid w:val="00F31221"/>
    <w:rsid w:val="00F314E5"/>
    <w:rsid w:val="00F31517"/>
    <w:rsid w:val="00F32940"/>
    <w:rsid w:val="00F33316"/>
    <w:rsid w:val="00F3389F"/>
    <w:rsid w:val="00F33A93"/>
    <w:rsid w:val="00F33DEC"/>
    <w:rsid w:val="00F33E0E"/>
    <w:rsid w:val="00F34280"/>
    <w:rsid w:val="00F34998"/>
    <w:rsid w:val="00F350A2"/>
    <w:rsid w:val="00F361AD"/>
    <w:rsid w:val="00F36509"/>
    <w:rsid w:val="00F3665A"/>
    <w:rsid w:val="00F3733C"/>
    <w:rsid w:val="00F3749E"/>
    <w:rsid w:val="00F376B2"/>
    <w:rsid w:val="00F40267"/>
    <w:rsid w:val="00F40955"/>
    <w:rsid w:val="00F40E9F"/>
    <w:rsid w:val="00F424C6"/>
    <w:rsid w:val="00F42C8F"/>
    <w:rsid w:val="00F42DCC"/>
    <w:rsid w:val="00F4305E"/>
    <w:rsid w:val="00F437E6"/>
    <w:rsid w:val="00F43BB6"/>
    <w:rsid w:val="00F44036"/>
    <w:rsid w:val="00F4523D"/>
    <w:rsid w:val="00F453BC"/>
    <w:rsid w:val="00F45CC2"/>
    <w:rsid w:val="00F4691B"/>
    <w:rsid w:val="00F46D08"/>
    <w:rsid w:val="00F475C9"/>
    <w:rsid w:val="00F50183"/>
    <w:rsid w:val="00F505CB"/>
    <w:rsid w:val="00F51439"/>
    <w:rsid w:val="00F516A6"/>
    <w:rsid w:val="00F51865"/>
    <w:rsid w:val="00F51C37"/>
    <w:rsid w:val="00F52294"/>
    <w:rsid w:val="00F52619"/>
    <w:rsid w:val="00F53357"/>
    <w:rsid w:val="00F54103"/>
    <w:rsid w:val="00F5535A"/>
    <w:rsid w:val="00F55C3D"/>
    <w:rsid w:val="00F5642A"/>
    <w:rsid w:val="00F56827"/>
    <w:rsid w:val="00F569DF"/>
    <w:rsid w:val="00F5714A"/>
    <w:rsid w:val="00F57DA1"/>
    <w:rsid w:val="00F61D5B"/>
    <w:rsid w:val="00F61D98"/>
    <w:rsid w:val="00F62523"/>
    <w:rsid w:val="00F63862"/>
    <w:rsid w:val="00F6461B"/>
    <w:rsid w:val="00F64896"/>
    <w:rsid w:val="00F656CE"/>
    <w:rsid w:val="00F65FE7"/>
    <w:rsid w:val="00F662A5"/>
    <w:rsid w:val="00F6762A"/>
    <w:rsid w:val="00F67D6E"/>
    <w:rsid w:val="00F70102"/>
    <w:rsid w:val="00F70997"/>
    <w:rsid w:val="00F70A09"/>
    <w:rsid w:val="00F71198"/>
    <w:rsid w:val="00F72275"/>
    <w:rsid w:val="00F72549"/>
    <w:rsid w:val="00F7277B"/>
    <w:rsid w:val="00F729A6"/>
    <w:rsid w:val="00F747B6"/>
    <w:rsid w:val="00F749C0"/>
    <w:rsid w:val="00F74BAE"/>
    <w:rsid w:val="00F7608B"/>
    <w:rsid w:val="00F760A0"/>
    <w:rsid w:val="00F76B0C"/>
    <w:rsid w:val="00F76E16"/>
    <w:rsid w:val="00F775E8"/>
    <w:rsid w:val="00F77CAE"/>
    <w:rsid w:val="00F801B2"/>
    <w:rsid w:val="00F81B7A"/>
    <w:rsid w:val="00F81BFF"/>
    <w:rsid w:val="00F827AD"/>
    <w:rsid w:val="00F82D37"/>
    <w:rsid w:val="00F82E84"/>
    <w:rsid w:val="00F83210"/>
    <w:rsid w:val="00F837A5"/>
    <w:rsid w:val="00F83B86"/>
    <w:rsid w:val="00F83E5D"/>
    <w:rsid w:val="00F84349"/>
    <w:rsid w:val="00F843DA"/>
    <w:rsid w:val="00F845AD"/>
    <w:rsid w:val="00F8603D"/>
    <w:rsid w:val="00F86B25"/>
    <w:rsid w:val="00F86C23"/>
    <w:rsid w:val="00F86C4C"/>
    <w:rsid w:val="00F8705D"/>
    <w:rsid w:val="00F9007B"/>
    <w:rsid w:val="00F90E66"/>
    <w:rsid w:val="00F91182"/>
    <w:rsid w:val="00F91904"/>
    <w:rsid w:val="00F9236C"/>
    <w:rsid w:val="00F925EA"/>
    <w:rsid w:val="00F93170"/>
    <w:rsid w:val="00F93BFE"/>
    <w:rsid w:val="00F93CB1"/>
    <w:rsid w:val="00F941A3"/>
    <w:rsid w:val="00F94B5F"/>
    <w:rsid w:val="00F956B3"/>
    <w:rsid w:val="00FA0A4C"/>
    <w:rsid w:val="00FA1A1E"/>
    <w:rsid w:val="00FA39A8"/>
    <w:rsid w:val="00FA49F1"/>
    <w:rsid w:val="00FA4EAA"/>
    <w:rsid w:val="00FA5194"/>
    <w:rsid w:val="00FA52A9"/>
    <w:rsid w:val="00FA5308"/>
    <w:rsid w:val="00FA594C"/>
    <w:rsid w:val="00FA5BB5"/>
    <w:rsid w:val="00FA6FDE"/>
    <w:rsid w:val="00FA782E"/>
    <w:rsid w:val="00FA7A2E"/>
    <w:rsid w:val="00FA7D20"/>
    <w:rsid w:val="00FB0CE5"/>
    <w:rsid w:val="00FB0DE3"/>
    <w:rsid w:val="00FB15DC"/>
    <w:rsid w:val="00FB1DB0"/>
    <w:rsid w:val="00FB22DF"/>
    <w:rsid w:val="00FB2634"/>
    <w:rsid w:val="00FB2EC0"/>
    <w:rsid w:val="00FB359B"/>
    <w:rsid w:val="00FB3F32"/>
    <w:rsid w:val="00FB57B3"/>
    <w:rsid w:val="00FB58F0"/>
    <w:rsid w:val="00FB5C49"/>
    <w:rsid w:val="00FB6164"/>
    <w:rsid w:val="00FB7ED7"/>
    <w:rsid w:val="00FC1CEF"/>
    <w:rsid w:val="00FC1E94"/>
    <w:rsid w:val="00FC272E"/>
    <w:rsid w:val="00FC4064"/>
    <w:rsid w:val="00FC410F"/>
    <w:rsid w:val="00FC558F"/>
    <w:rsid w:val="00FC57EA"/>
    <w:rsid w:val="00FC5D0D"/>
    <w:rsid w:val="00FC5E92"/>
    <w:rsid w:val="00FC6168"/>
    <w:rsid w:val="00FC6373"/>
    <w:rsid w:val="00FC6665"/>
    <w:rsid w:val="00FC6871"/>
    <w:rsid w:val="00FC689F"/>
    <w:rsid w:val="00FC6920"/>
    <w:rsid w:val="00FC734F"/>
    <w:rsid w:val="00FC7C3A"/>
    <w:rsid w:val="00FD0F50"/>
    <w:rsid w:val="00FD1090"/>
    <w:rsid w:val="00FD1137"/>
    <w:rsid w:val="00FD1B78"/>
    <w:rsid w:val="00FD1C1E"/>
    <w:rsid w:val="00FD1E62"/>
    <w:rsid w:val="00FD2153"/>
    <w:rsid w:val="00FD28EB"/>
    <w:rsid w:val="00FD3236"/>
    <w:rsid w:val="00FD3541"/>
    <w:rsid w:val="00FD3943"/>
    <w:rsid w:val="00FD434E"/>
    <w:rsid w:val="00FD49E1"/>
    <w:rsid w:val="00FD4E6D"/>
    <w:rsid w:val="00FD5BFC"/>
    <w:rsid w:val="00FD5CB6"/>
    <w:rsid w:val="00FD5CFE"/>
    <w:rsid w:val="00FD6528"/>
    <w:rsid w:val="00FD6983"/>
    <w:rsid w:val="00FD74C8"/>
    <w:rsid w:val="00FD7CFD"/>
    <w:rsid w:val="00FE0378"/>
    <w:rsid w:val="00FE05DF"/>
    <w:rsid w:val="00FE0B81"/>
    <w:rsid w:val="00FE1A52"/>
    <w:rsid w:val="00FE28B7"/>
    <w:rsid w:val="00FE3EB1"/>
    <w:rsid w:val="00FE53D9"/>
    <w:rsid w:val="00FE5559"/>
    <w:rsid w:val="00FE57F8"/>
    <w:rsid w:val="00FE6C39"/>
    <w:rsid w:val="00FE7790"/>
    <w:rsid w:val="00FF032E"/>
    <w:rsid w:val="00FF07DE"/>
    <w:rsid w:val="00FF0C6F"/>
    <w:rsid w:val="00FF2453"/>
    <w:rsid w:val="00FF2688"/>
    <w:rsid w:val="00FF2983"/>
    <w:rsid w:val="00FF2A42"/>
    <w:rsid w:val="00FF33C5"/>
    <w:rsid w:val="00FF3458"/>
    <w:rsid w:val="00FF34D7"/>
    <w:rsid w:val="00FF3F74"/>
    <w:rsid w:val="00FF4673"/>
    <w:rsid w:val="00FF4A19"/>
    <w:rsid w:val="00FF4C28"/>
    <w:rsid w:val="00FF5B70"/>
    <w:rsid w:val="00FF6E9A"/>
    <w:rsid w:val="01A9B529"/>
    <w:rsid w:val="021BBFB9"/>
    <w:rsid w:val="0241560E"/>
    <w:rsid w:val="0278EB07"/>
    <w:rsid w:val="02A10A70"/>
    <w:rsid w:val="02A8F999"/>
    <w:rsid w:val="02F09AB9"/>
    <w:rsid w:val="02FB8454"/>
    <w:rsid w:val="03968969"/>
    <w:rsid w:val="03A74730"/>
    <w:rsid w:val="03A76640"/>
    <w:rsid w:val="03B9DC99"/>
    <w:rsid w:val="041CBC68"/>
    <w:rsid w:val="0435442F"/>
    <w:rsid w:val="04B3FDA8"/>
    <w:rsid w:val="057EA954"/>
    <w:rsid w:val="0593BA2D"/>
    <w:rsid w:val="059710E0"/>
    <w:rsid w:val="05A96B7D"/>
    <w:rsid w:val="0740E4F7"/>
    <w:rsid w:val="07424D33"/>
    <w:rsid w:val="075B640D"/>
    <w:rsid w:val="0819874F"/>
    <w:rsid w:val="086EFEBF"/>
    <w:rsid w:val="08A72E67"/>
    <w:rsid w:val="08FC237F"/>
    <w:rsid w:val="092720B1"/>
    <w:rsid w:val="095B3CB2"/>
    <w:rsid w:val="0988ED89"/>
    <w:rsid w:val="09AA7059"/>
    <w:rsid w:val="0ADBCF09"/>
    <w:rsid w:val="0AF47E7B"/>
    <w:rsid w:val="0BE2170C"/>
    <w:rsid w:val="0C3A55CE"/>
    <w:rsid w:val="0C635CC2"/>
    <w:rsid w:val="0C991F74"/>
    <w:rsid w:val="0CB6A887"/>
    <w:rsid w:val="0CC26091"/>
    <w:rsid w:val="0D0D3DDD"/>
    <w:rsid w:val="0D385B2C"/>
    <w:rsid w:val="0D4C476A"/>
    <w:rsid w:val="0D8BFD3C"/>
    <w:rsid w:val="0E7DD3BA"/>
    <w:rsid w:val="0E8A138F"/>
    <w:rsid w:val="0EDD1CB1"/>
    <w:rsid w:val="0F02DF41"/>
    <w:rsid w:val="0F19D447"/>
    <w:rsid w:val="0FA13366"/>
    <w:rsid w:val="0FA2F17C"/>
    <w:rsid w:val="102E060B"/>
    <w:rsid w:val="112EA443"/>
    <w:rsid w:val="114F4E65"/>
    <w:rsid w:val="1167E832"/>
    <w:rsid w:val="11A58DA7"/>
    <w:rsid w:val="122A9A96"/>
    <w:rsid w:val="1249022F"/>
    <w:rsid w:val="12BC8814"/>
    <w:rsid w:val="1320CF85"/>
    <w:rsid w:val="133FDB59"/>
    <w:rsid w:val="13695180"/>
    <w:rsid w:val="1388F883"/>
    <w:rsid w:val="138F597E"/>
    <w:rsid w:val="13BE5456"/>
    <w:rsid w:val="13CF7CAE"/>
    <w:rsid w:val="1479F043"/>
    <w:rsid w:val="14F656C6"/>
    <w:rsid w:val="14F916DB"/>
    <w:rsid w:val="15301C8D"/>
    <w:rsid w:val="15DE28AA"/>
    <w:rsid w:val="16056CD3"/>
    <w:rsid w:val="164401E6"/>
    <w:rsid w:val="16943B69"/>
    <w:rsid w:val="1726DD2D"/>
    <w:rsid w:val="17E0B0C6"/>
    <w:rsid w:val="1804967D"/>
    <w:rsid w:val="18300FC0"/>
    <w:rsid w:val="183A6DC3"/>
    <w:rsid w:val="183C08A4"/>
    <w:rsid w:val="19598709"/>
    <w:rsid w:val="1986AC15"/>
    <w:rsid w:val="19D60C56"/>
    <w:rsid w:val="19DFB224"/>
    <w:rsid w:val="1A2BFE26"/>
    <w:rsid w:val="1A34664C"/>
    <w:rsid w:val="1A53B5C7"/>
    <w:rsid w:val="1B280DE7"/>
    <w:rsid w:val="1B671DDD"/>
    <w:rsid w:val="1BD4E302"/>
    <w:rsid w:val="1BF0D512"/>
    <w:rsid w:val="1C5DDA80"/>
    <w:rsid w:val="1C742020"/>
    <w:rsid w:val="1D412550"/>
    <w:rsid w:val="1D44E9C3"/>
    <w:rsid w:val="1D4615D5"/>
    <w:rsid w:val="1D623F35"/>
    <w:rsid w:val="1D7CC677"/>
    <w:rsid w:val="1D878E9F"/>
    <w:rsid w:val="1E1088A7"/>
    <w:rsid w:val="1E25D0BE"/>
    <w:rsid w:val="1EA0E4DB"/>
    <w:rsid w:val="1F2A096B"/>
    <w:rsid w:val="1F2B22CC"/>
    <w:rsid w:val="2007AE61"/>
    <w:rsid w:val="2028D46D"/>
    <w:rsid w:val="205C368D"/>
    <w:rsid w:val="219E8DA6"/>
    <w:rsid w:val="21A10EE6"/>
    <w:rsid w:val="221DBD41"/>
    <w:rsid w:val="222480DF"/>
    <w:rsid w:val="2237E6BC"/>
    <w:rsid w:val="22D767DC"/>
    <w:rsid w:val="22E70AFF"/>
    <w:rsid w:val="22F117BE"/>
    <w:rsid w:val="23543265"/>
    <w:rsid w:val="23807D3F"/>
    <w:rsid w:val="23C65F4D"/>
    <w:rsid w:val="23CF1E3F"/>
    <w:rsid w:val="23EC7FE0"/>
    <w:rsid w:val="2411CE28"/>
    <w:rsid w:val="248E26C1"/>
    <w:rsid w:val="24AEA9F2"/>
    <w:rsid w:val="24F1B2F8"/>
    <w:rsid w:val="25387B9A"/>
    <w:rsid w:val="25607193"/>
    <w:rsid w:val="25CFB331"/>
    <w:rsid w:val="25DD5AF0"/>
    <w:rsid w:val="2638FC67"/>
    <w:rsid w:val="263A4513"/>
    <w:rsid w:val="26A99170"/>
    <w:rsid w:val="2767ED25"/>
    <w:rsid w:val="277D617C"/>
    <w:rsid w:val="27D2CB8F"/>
    <w:rsid w:val="2837BB3A"/>
    <w:rsid w:val="28403BE9"/>
    <w:rsid w:val="291EA413"/>
    <w:rsid w:val="2970E8A2"/>
    <w:rsid w:val="29D6FB0D"/>
    <w:rsid w:val="2A308A8A"/>
    <w:rsid w:val="2ABD8758"/>
    <w:rsid w:val="2ACEA312"/>
    <w:rsid w:val="2AD22A2C"/>
    <w:rsid w:val="2B4DA811"/>
    <w:rsid w:val="2B6A7C72"/>
    <w:rsid w:val="2C346865"/>
    <w:rsid w:val="2C6F5E87"/>
    <w:rsid w:val="2CDEE19E"/>
    <w:rsid w:val="2CE0ED91"/>
    <w:rsid w:val="2DA93323"/>
    <w:rsid w:val="2E1D1F83"/>
    <w:rsid w:val="2E270CF4"/>
    <w:rsid w:val="2E456CE0"/>
    <w:rsid w:val="2F154560"/>
    <w:rsid w:val="2F5708E0"/>
    <w:rsid w:val="302AE368"/>
    <w:rsid w:val="314D1E08"/>
    <w:rsid w:val="31A2E0D9"/>
    <w:rsid w:val="323F7223"/>
    <w:rsid w:val="329C7D6B"/>
    <w:rsid w:val="336D7069"/>
    <w:rsid w:val="342F5AB3"/>
    <w:rsid w:val="34561B04"/>
    <w:rsid w:val="347237BE"/>
    <w:rsid w:val="3612625A"/>
    <w:rsid w:val="365BCA70"/>
    <w:rsid w:val="366A8DB5"/>
    <w:rsid w:val="36B38CD8"/>
    <w:rsid w:val="370B096B"/>
    <w:rsid w:val="372D0C8F"/>
    <w:rsid w:val="3788E207"/>
    <w:rsid w:val="378A2F7A"/>
    <w:rsid w:val="381C8D6C"/>
    <w:rsid w:val="382C4B2E"/>
    <w:rsid w:val="383DC75E"/>
    <w:rsid w:val="3A3219E3"/>
    <w:rsid w:val="3A554B19"/>
    <w:rsid w:val="3A5F6510"/>
    <w:rsid w:val="3ABA2FB6"/>
    <w:rsid w:val="3AF64ED7"/>
    <w:rsid w:val="3B251D53"/>
    <w:rsid w:val="3C816F49"/>
    <w:rsid w:val="3D66694B"/>
    <w:rsid w:val="3D7DDA72"/>
    <w:rsid w:val="3DD33B04"/>
    <w:rsid w:val="3E1942DB"/>
    <w:rsid w:val="3E747DCA"/>
    <w:rsid w:val="3E853073"/>
    <w:rsid w:val="3E9EF9E1"/>
    <w:rsid w:val="3EA09FA4"/>
    <w:rsid w:val="3EEF097F"/>
    <w:rsid w:val="3F075E70"/>
    <w:rsid w:val="3FDB1A59"/>
    <w:rsid w:val="3FE95F36"/>
    <w:rsid w:val="40C5931D"/>
    <w:rsid w:val="413EBF12"/>
    <w:rsid w:val="4194DBFB"/>
    <w:rsid w:val="41E38673"/>
    <w:rsid w:val="420708C3"/>
    <w:rsid w:val="420B3299"/>
    <w:rsid w:val="423C9739"/>
    <w:rsid w:val="4265E80D"/>
    <w:rsid w:val="42CB7D40"/>
    <w:rsid w:val="42D2D0E9"/>
    <w:rsid w:val="42DB447A"/>
    <w:rsid w:val="42FAF47F"/>
    <w:rsid w:val="43697E6C"/>
    <w:rsid w:val="43CB4F13"/>
    <w:rsid w:val="44AEE114"/>
    <w:rsid w:val="44F8DEFE"/>
    <w:rsid w:val="4500A355"/>
    <w:rsid w:val="45069912"/>
    <w:rsid w:val="451B2735"/>
    <w:rsid w:val="4570A42C"/>
    <w:rsid w:val="45DFD78A"/>
    <w:rsid w:val="45E2A61F"/>
    <w:rsid w:val="461293AD"/>
    <w:rsid w:val="46407FBD"/>
    <w:rsid w:val="46F66EBF"/>
    <w:rsid w:val="47C4900E"/>
    <w:rsid w:val="485DB055"/>
    <w:rsid w:val="48B89D27"/>
    <w:rsid w:val="48E324F2"/>
    <w:rsid w:val="491C59A2"/>
    <w:rsid w:val="4966C027"/>
    <w:rsid w:val="4986643D"/>
    <w:rsid w:val="4993CCDE"/>
    <w:rsid w:val="4998D7EB"/>
    <w:rsid w:val="4A5A1D16"/>
    <w:rsid w:val="4AFE31CF"/>
    <w:rsid w:val="4B441097"/>
    <w:rsid w:val="4B50F1A0"/>
    <w:rsid w:val="4B73488D"/>
    <w:rsid w:val="4BC9E1BA"/>
    <w:rsid w:val="4C26CEC1"/>
    <w:rsid w:val="4C7084EE"/>
    <w:rsid w:val="4D047C84"/>
    <w:rsid w:val="4D0B4B50"/>
    <w:rsid w:val="4D62456E"/>
    <w:rsid w:val="4D7E9C86"/>
    <w:rsid w:val="4DAA497A"/>
    <w:rsid w:val="4DCDE7F2"/>
    <w:rsid w:val="4E55E012"/>
    <w:rsid w:val="4E905F84"/>
    <w:rsid w:val="4EE3A079"/>
    <w:rsid w:val="503FD6C0"/>
    <w:rsid w:val="511D585A"/>
    <w:rsid w:val="518FF6C1"/>
    <w:rsid w:val="5211A3AA"/>
    <w:rsid w:val="52DA8FEA"/>
    <w:rsid w:val="52FB901F"/>
    <w:rsid w:val="532DA881"/>
    <w:rsid w:val="5381F773"/>
    <w:rsid w:val="53A7CF03"/>
    <w:rsid w:val="53D265DD"/>
    <w:rsid w:val="5401FCD8"/>
    <w:rsid w:val="5480211B"/>
    <w:rsid w:val="55D2575D"/>
    <w:rsid w:val="56C25481"/>
    <w:rsid w:val="56E39798"/>
    <w:rsid w:val="56E3C61C"/>
    <w:rsid w:val="5707A269"/>
    <w:rsid w:val="572063BF"/>
    <w:rsid w:val="577531F1"/>
    <w:rsid w:val="58792A8E"/>
    <w:rsid w:val="58ECEF83"/>
    <w:rsid w:val="5948802A"/>
    <w:rsid w:val="594F2FF4"/>
    <w:rsid w:val="5981BFD8"/>
    <w:rsid w:val="59D16BF5"/>
    <w:rsid w:val="5A4946F0"/>
    <w:rsid w:val="5A6C48D7"/>
    <w:rsid w:val="5A8E93FF"/>
    <w:rsid w:val="5AAA9E81"/>
    <w:rsid w:val="5AE15B42"/>
    <w:rsid w:val="5B29BD53"/>
    <w:rsid w:val="5B52ABEF"/>
    <w:rsid w:val="5BA2F7BA"/>
    <w:rsid w:val="5BFA96F1"/>
    <w:rsid w:val="5C01482F"/>
    <w:rsid w:val="5CBFE14F"/>
    <w:rsid w:val="5CDE1ABA"/>
    <w:rsid w:val="5D02C801"/>
    <w:rsid w:val="5D056579"/>
    <w:rsid w:val="5D4053DB"/>
    <w:rsid w:val="5E130EB4"/>
    <w:rsid w:val="5E8BBC9D"/>
    <w:rsid w:val="5EE2AD5E"/>
    <w:rsid w:val="5F04827E"/>
    <w:rsid w:val="5F220A21"/>
    <w:rsid w:val="5FDCB106"/>
    <w:rsid w:val="60D95069"/>
    <w:rsid w:val="60DA3DE3"/>
    <w:rsid w:val="61C4D723"/>
    <w:rsid w:val="61F9F129"/>
    <w:rsid w:val="62DF2327"/>
    <w:rsid w:val="6323708C"/>
    <w:rsid w:val="638334A9"/>
    <w:rsid w:val="639A6391"/>
    <w:rsid w:val="63BAFD09"/>
    <w:rsid w:val="6593D83A"/>
    <w:rsid w:val="65E76E7F"/>
    <w:rsid w:val="6632ACBE"/>
    <w:rsid w:val="66B39474"/>
    <w:rsid w:val="66E04B9D"/>
    <w:rsid w:val="6826F0E8"/>
    <w:rsid w:val="6858C7DB"/>
    <w:rsid w:val="688C7E72"/>
    <w:rsid w:val="68D62944"/>
    <w:rsid w:val="68DEDBFE"/>
    <w:rsid w:val="6900F2D1"/>
    <w:rsid w:val="69168015"/>
    <w:rsid w:val="6949F1FC"/>
    <w:rsid w:val="69CA73F8"/>
    <w:rsid w:val="69FD7196"/>
    <w:rsid w:val="6A17F8A8"/>
    <w:rsid w:val="6A1A4874"/>
    <w:rsid w:val="6A2B0942"/>
    <w:rsid w:val="6AD8C158"/>
    <w:rsid w:val="6AF5FC98"/>
    <w:rsid w:val="6B63BA3D"/>
    <w:rsid w:val="6BE7DAD4"/>
    <w:rsid w:val="6BF2747B"/>
    <w:rsid w:val="6C5C92AC"/>
    <w:rsid w:val="6C846CF3"/>
    <w:rsid w:val="6CA0C372"/>
    <w:rsid w:val="6CC0CA89"/>
    <w:rsid w:val="6CDC6A70"/>
    <w:rsid w:val="6D850DD6"/>
    <w:rsid w:val="6DB25BD6"/>
    <w:rsid w:val="6E9A0225"/>
    <w:rsid w:val="6EE74D63"/>
    <w:rsid w:val="6EFD434A"/>
    <w:rsid w:val="6F1C0378"/>
    <w:rsid w:val="6F6B0545"/>
    <w:rsid w:val="7031932E"/>
    <w:rsid w:val="70CDF191"/>
    <w:rsid w:val="70E5F395"/>
    <w:rsid w:val="7108E0B4"/>
    <w:rsid w:val="7130E366"/>
    <w:rsid w:val="71318497"/>
    <w:rsid w:val="714FBD86"/>
    <w:rsid w:val="722D0CC0"/>
    <w:rsid w:val="72989B29"/>
    <w:rsid w:val="72ADECF1"/>
    <w:rsid w:val="738E8167"/>
    <w:rsid w:val="7479C720"/>
    <w:rsid w:val="74FA85F1"/>
    <w:rsid w:val="75050DD6"/>
    <w:rsid w:val="75789D33"/>
    <w:rsid w:val="75D9E6BE"/>
    <w:rsid w:val="75E90C59"/>
    <w:rsid w:val="760B0098"/>
    <w:rsid w:val="761092F7"/>
    <w:rsid w:val="7611D635"/>
    <w:rsid w:val="7793D116"/>
    <w:rsid w:val="7818F908"/>
    <w:rsid w:val="78245171"/>
    <w:rsid w:val="785C74C5"/>
    <w:rsid w:val="78957127"/>
    <w:rsid w:val="78E8DCDD"/>
    <w:rsid w:val="7925001E"/>
    <w:rsid w:val="795B5B5C"/>
    <w:rsid w:val="79885ED0"/>
    <w:rsid w:val="79D023B2"/>
    <w:rsid w:val="79E61219"/>
    <w:rsid w:val="7AE2920E"/>
    <w:rsid w:val="7AFC6BA6"/>
    <w:rsid w:val="7B62BA6A"/>
    <w:rsid w:val="7BD5D4CF"/>
    <w:rsid w:val="7C4A802E"/>
    <w:rsid w:val="7C585C07"/>
    <w:rsid w:val="7C82ADF6"/>
    <w:rsid w:val="7CAB8F12"/>
    <w:rsid w:val="7CBAC061"/>
    <w:rsid w:val="7CFBB97D"/>
    <w:rsid w:val="7E194F40"/>
    <w:rsid w:val="7EF3D7F5"/>
    <w:rsid w:val="7F6B98BB"/>
    <w:rsid w:val="7F8A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08B4B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t-M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74D45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7C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2C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25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sid w:val="00311DB6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rsid w:val="00311DB6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311DB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11DB6"/>
  </w:style>
  <w:style w:type="paragraph" w:styleId="Footer">
    <w:name w:val="footer"/>
    <w:basedOn w:val="Normal"/>
    <w:link w:val="FooterChar"/>
    <w:uiPriority w:val="99"/>
    <w:unhideWhenUsed/>
    <w:rsid w:val="00311DB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11DB6"/>
  </w:style>
  <w:style w:type="paragraph" w:customStyle="1" w:styleId="Typedudocument">
    <w:name w:val="Type du document"/>
    <w:basedOn w:val="Normal"/>
    <w:next w:val="Normal"/>
    <w:link w:val="TypedudocumentChar"/>
    <w:rsid w:val="00311DB6"/>
    <w:pPr>
      <w:spacing w:before="360" w:after="0"/>
      <w:jc w:val="center"/>
    </w:pPr>
    <w:rPr>
      <w:b/>
    </w:rPr>
  </w:style>
  <w:style w:type="paragraph" w:customStyle="1" w:styleId="Titreobjet">
    <w:name w:val="Titre objet"/>
    <w:basedOn w:val="Normal"/>
    <w:next w:val="Normal"/>
    <w:rsid w:val="00311DB6"/>
    <w:pPr>
      <w:spacing w:before="360" w:after="360"/>
      <w:jc w:val="center"/>
    </w:pPr>
    <w:rPr>
      <w:b/>
    </w:rPr>
  </w:style>
  <w:style w:type="paragraph" w:customStyle="1" w:styleId="FooterCoverPage">
    <w:name w:val="Footer Cover Page"/>
    <w:basedOn w:val="Normal"/>
    <w:link w:val="FooterCoverPageChar"/>
    <w:rsid w:val="00311DB6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TypedudocumentChar">
    <w:name w:val="Type du document Char"/>
    <w:basedOn w:val="DefaultParagraphFont"/>
    <w:link w:val="Typedudocument"/>
    <w:rsid w:val="00311DB6"/>
    <w:rPr>
      <w:rFonts w:ascii="Times New Roman" w:hAnsi="Times New Roman" w:cs="Times New Roman"/>
      <w:b/>
      <w:sz w:val="24"/>
    </w:rPr>
  </w:style>
  <w:style w:type="character" w:customStyle="1" w:styleId="FooterCoverPageChar">
    <w:name w:val="Footer Cover Page Char"/>
    <w:basedOn w:val="TypedudocumentChar"/>
    <w:link w:val="FooterCoverPage"/>
    <w:rsid w:val="00311DB6"/>
    <w:rPr>
      <w:rFonts w:ascii="Times New Roman" w:eastAsia="Times New Roman" w:hAnsi="Times New Roman" w:cs="Times New Roman"/>
      <w:b w:val="0"/>
      <w:sz w:val="24"/>
      <w:szCs w:val="20"/>
      <w:lang w:eastAsia="en-GB"/>
    </w:rPr>
  </w:style>
  <w:style w:type="paragraph" w:customStyle="1" w:styleId="FooterSensitivity">
    <w:name w:val="Footer Sensitivity"/>
    <w:basedOn w:val="Normal"/>
    <w:link w:val="FooterSensitivityChar"/>
    <w:rsid w:val="00311DB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character" w:customStyle="1" w:styleId="FooterSensitivityChar">
    <w:name w:val="Footer Sensitivity Char"/>
    <w:basedOn w:val="TypedudocumentChar"/>
    <w:link w:val="FooterSensitivity"/>
    <w:rsid w:val="00311DB6"/>
    <w:rPr>
      <w:rFonts w:ascii="Times New Roman" w:eastAsia="Times New Roman" w:hAnsi="Times New Roman" w:cs="Times New Roman"/>
      <w:b/>
      <w:sz w:val="32"/>
      <w:szCs w:val="20"/>
      <w:lang w:eastAsia="en-GB"/>
    </w:rPr>
  </w:style>
  <w:style w:type="paragraph" w:customStyle="1" w:styleId="HeaderCoverPage">
    <w:name w:val="Header Cover Page"/>
    <w:basedOn w:val="Normal"/>
    <w:link w:val="HeaderCoverPageChar"/>
    <w:rsid w:val="00311DB6"/>
    <w:pPr>
      <w:tabs>
        <w:tab w:val="center" w:pos="4535"/>
        <w:tab w:val="right" w:pos="9071"/>
      </w:tabs>
      <w:spacing w:after="120"/>
    </w:pPr>
  </w:style>
  <w:style w:type="character" w:customStyle="1" w:styleId="HeaderCoverPageChar">
    <w:name w:val="Header Cover Page Char"/>
    <w:basedOn w:val="TypedudocumentChar"/>
    <w:link w:val="HeaderCoverPage"/>
    <w:rsid w:val="00311DB6"/>
    <w:rPr>
      <w:rFonts w:ascii="Times New Roman" w:eastAsia="Times New Roman" w:hAnsi="Times New Roman" w:cs="Times New Roman"/>
      <w:b w:val="0"/>
      <w:sz w:val="24"/>
      <w:szCs w:val="20"/>
      <w:lang w:eastAsia="en-GB"/>
    </w:rPr>
  </w:style>
  <w:style w:type="paragraph" w:customStyle="1" w:styleId="HeaderSensitivity">
    <w:name w:val="Header Sensitivity"/>
    <w:basedOn w:val="Normal"/>
    <w:link w:val="HeaderSensitivityChar"/>
    <w:rsid w:val="00311DB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b/>
      <w:sz w:val="32"/>
    </w:rPr>
  </w:style>
  <w:style w:type="character" w:customStyle="1" w:styleId="HeaderSensitivityChar">
    <w:name w:val="Header Sensitivity Char"/>
    <w:basedOn w:val="TypedudocumentChar"/>
    <w:link w:val="HeaderSensitivity"/>
    <w:rsid w:val="00311DB6"/>
    <w:rPr>
      <w:rFonts w:ascii="Times New Roman" w:eastAsia="Times New Roman" w:hAnsi="Times New Roman" w:cs="Times New Roman"/>
      <w:b/>
      <w:sz w:val="32"/>
      <w:szCs w:val="20"/>
      <w:lang w:eastAsia="en-GB"/>
    </w:rPr>
  </w:style>
  <w:style w:type="paragraph" w:customStyle="1" w:styleId="HeaderSensitivityRight">
    <w:name w:val="Header Sensitivity Right"/>
    <w:basedOn w:val="Normal"/>
    <w:link w:val="HeaderSensitivityRightChar"/>
    <w:rsid w:val="002F4677"/>
    <w:pPr>
      <w:spacing w:after="120"/>
      <w:jc w:val="right"/>
    </w:pPr>
    <w:rPr>
      <w:sz w:val="28"/>
    </w:rPr>
  </w:style>
  <w:style w:type="character" w:customStyle="1" w:styleId="HeaderSensitivityRightChar">
    <w:name w:val="Header Sensitivity Right Char"/>
    <w:basedOn w:val="TypedudocumentChar"/>
    <w:link w:val="HeaderSensitivityRight"/>
    <w:rsid w:val="00311DB6"/>
    <w:rPr>
      <w:rFonts w:ascii="Times New Roman" w:eastAsia="Times New Roman" w:hAnsi="Times New Roman" w:cs="Times New Roman"/>
      <w:b w:val="0"/>
      <w:sz w:val="28"/>
      <w:szCs w:val="20"/>
      <w:lang w:eastAsia="en-GB"/>
    </w:rPr>
  </w:style>
  <w:style w:type="paragraph" w:styleId="ListParagraph">
    <w:name w:val="List Paragraph"/>
    <w:aliases w:val="1st level - Bullet List Paragraph,List Paragraph1,Lettre d'introduction,Paragrafo elenco,Medium Grid 1 - Accent 21,Dot pt,F5 List Paragraph,No Spacing1,List Paragraph Char Char Char,Indicator Text,Colorful List - Accent 11,Numbered Para 1"/>
    <w:basedOn w:val="Normal"/>
    <w:link w:val="ListParagraphChar"/>
    <w:uiPriority w:val="34"/>
    <w:qFormat/>
    <w:rsid w:val="009332A0"/>
    <w:pPr>
      <w:spacing w:after="0"/>
      <w:ind w:left="720"/>
    </w:pPr>
    <w:rPr>
      <w:rFonts w:ascii="Calibri" w:hAnsi="Calibri" w:cs="Calibri"/>
    </w:rPr>
  </w:style>
  <w:style w:type="character" w:customStyle="1" w:styleId="ListParagraphChar">
    <w:name w:val="List Paragraph Char"/>
    <w:aliases w:val="1st level - Bullet List Paragraph Char,List Paragraph1 Char,Lettre d'introduction Char,Paragrafo elenco Char,Medium Grid 1 - Accent 21 Char,Dot pt Char,F5 List Paragraph Char,No Spacing1 Char,List Paragraph Char Char Char Char"/>
    <w:basedOn w:val="DefaultParagraphFont"/>
    <w:link w:val="ListParagraph"/>
    <w:uiPriority w:val="34"/>
    <w:qFormat/>
    <w:locked/>
    <w:rsid w:val="009332A0"/>
    <w:rPr>
      <w:rFonts w:ascii="Calibri" w:hAnsi="Calibri" w:cs="Calibri"/>
      <w:lang w:val="mt-MT"/>
    </w:rPr>
  </w:style>
  <w:style w:type="paragraph" w:styleId="FootnoteText">
    <w:name w:val="footnote text"/>
    <w:aliases w:val="~FootnoteText,Fußnotentext Char,Fußnotentext Char2 Char,Fußnotentext Char1 Char Char,Fußnotentext Char Char Char Char,Fußnotentext Char Char1 Char,Fußnotentext Char2,Fußnotentext Char1 Char,Fußnotentext Char Char Char,WB-Fußnotentext,Plonk"/>
    <w:basedOn w:val="Normal"/>
    <w:link w:val="FootnoteTextChar"/>
    <w:uiPriority w:val="99"/>
    <w:unhideWhenUsed/>
    <w:qFormat/>
    <w:rsid w:val="009332A0"/>
    <w:pPr>
      <w:spacing w:after="0"/>
    </w:pPr>
    <w:rPr>
      <w:sz w:val="20"/>
    </w:rPr>
  </w:style>
  <w:style w:type="character" w:customStyle="1" w:styleId="FootnoteTextChar">
    <w:name w:val="Footnote Text Char"/>
    <w:aliases w:val="~FootnoteText Char,Fußnotentext Char Char,Fußnotentext Char2 Char Char,Fußnotentext Char1 Char Char Char,Fußnotentext Char Char Char Char Char,Fußnotentext Char Char1 Char Char,Fußnotentext Char2 Char1,Fußnotentext Char1 Char Char1"/>
    <w:basedOn w:val="DefaultParagraphFont"/>
    <w:link w:val="FootnoteText"/>
    <w:uiPriority w:val="99"/>
    <w:qFormat/>
    <w:rsid w:val="009332A0"/>
    <w:rPr>
      <w:rFonts w:ascii="Times New Roman" w:hAnsi="Times New Roman" w:cs="Times New Roman"/>
      <w:sz w:val="20"/>
      <w:szCs w:val="20"/>
      <w:lang w:val="mt-MT" w:eastAsia="en-GB"/>
    </w:rPr>
  </w:style>
  <w:style w:type="character" w:styleId="Hyperlink">
    <w:name w:val="Hyperlink"/>
    <w:basedOn w:val="DefaultParagraphFont"/>
    <w:uiPriority w:val="99"/>
    <w:unhideWhenUsed/>
    <w:rsid w:val="00081759"/>
    <w:rPr>
      <w:color w:val="0563C1" w:themeColor="hyperlink"/>
      <w:u w:val="single"/>
    </w:rPr>
  </w:style>
  <w:style w:type="character" w:styleId="FootnoteReference">
    <w:name w:val="footnote reference"/>
    <w:aliases w:val="Footnote Reference Superscript,BVI fnr,Footnote symbol,Footnote reference number,note TESI,Appel note de bas de p,Nota,SUPERS,Footnote number,EN Footnote Reference,-E Fußnotenzeichen,number Char Char,number,Ref,styl,styli,No,R,stylish"/>
    <w:basedOn w:val="DefaultParagraphFont"/>
    <w:link w:val="FootnotesymbolCarZchn"/>
    <w:uiPriority w:val="99"/>
    <w:unhideWhenUsed/>
    <w:qFormat/>
    <w:rsid w:val="00081759"/>
    <w:rPr>
      <w:vertAlign w:val="superscript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rsid w:val="00081759"/>
    <w:pPr>
      <w:spacing w:line="240" w:lineRule="exact"/>
    </w:pPr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9C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9C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149C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6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609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60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6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09C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132C9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mt-MT"/>
    </w:rPr>
  </w:style>
  <w:style w:type="paragraph" w:styleId="Revision">
    <w:name w:val="Revision"/>
    <w:hidden/>
    <w:uiPriority w:val="99"/>
    <w:semiHidden/>
    <w:rsid w:val="00BC36C3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F6252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10A6F"/>
    <w:rPr>
      <w:i/>
      <w:iCs/>
    </w:rPr>
  </w:style>
  <w:style w:type="table" w:styleId="TableGrid">
    <w:name w:val="Table Grid"/>
    <w:basedOn w:val="TableNormal"/>
    <w:uiPriority w:val="39"/>
    <w:rsid w:val="008D0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sclaimer">
    <w:name w:val="Disclaimer"/>
    <w:basedOn w:val="Normal"/>
    <w:rsid w:val="00065228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2F4677"/>
    <w:pPr>
      <w:spacing w:after="0" w:line="276" w:lineRule="auto"/>
      <w:ind w:left="5103"/>
      <w:jc w:val="left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2F4677"/>
    <w:pPr>
      <w:spacing w:after="0" w:line="276" w:lineRule="auto"/>
      <w:ind w:left="5103"/>
      <w:jc w:val="left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2F4677"/>
    <w:pPr>
      <w:spacing w:after="0" w:line="276" w:lineRule="auto"/>
      <w:ind w:left="5103"/>
      <w:jc w:val="left"/>
    </w:pPr>
    <w:rPr>
      <w:rFonts w:eastAsiaTheme="minorHAnsi"/>
      <w:i/>
      <w:sz w:val="28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D37C8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mt-MT" w:eastAsia="en-GB"/>
    </w:rPr>
  </w:style>
  <w:style w:type="paragraph" w:styleId="NormalWeb">
    <w:name w:val="Normal (Web)"/>
    <w:basedOn w:val="Normal"/>
    <w:uiPriority w:val="99"/>
    <w:semiHidden/>
    <w:unhideWhenUsed/>
    <w:rsid w:val="00551348"/>
    <w:pPr>
      <w:spacing w:before="100" w:beforeAutospacing="1" w:after="100" w:afterAutospacing="1"/>
      <w:jc w:val="left"/>
    </w:pPr>
    <w:rPr>
      <w:szCs w:val="24"/>
    </w:rPr>
  </w:style>
  <w:style w:type="character" w:customStyle="1" w:styleId="apple-tab-span">
    <w:name w:val="apple-tab-span"/>
    <w:basedOn w:val="DefaultParagraphFont"/>
    <w:rsid w:val="00DD35D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5647"/>
    <w:rPr>
      <w:color w:val="605E5C"/>
      <w:shd w:val="clear" w:color="auto" w:fill="E1DFDD"/>
    </w:rPr>
  </w:style>
  <w:style w:type="character" w:customStyle="1" w:styleId="bumpedfont15">
    <w:name w:val="bumpedfont15"/>
    <w:basedOn w:val="DefaultParagraphFont"/>
    <w:rsid w:val="009F1A69"/>
  </w:style>
  <w:style w:type="character" w:customStyle="1" w:styleId="s13">
    <w:name w:val="s13"/>
    <w:basedOn w:val="DefaultParagraphFont"/>
    <w:rsid w:val="009F1A69"/>
  </w:style>
  <w:style w:type="paragraph" w:customStyle="1" w:styleId="s9">
    <w:name w:val="s9"/>
    <w:basedOn w:val="Normal"/>
    <w:rsid w:val="00C475E0"/>
    <w:pPr>
      <w:spacing w:before="100" w:beforeAutospacing="1" w:after="100" w:afterAutospacing="1"/>
      <w:jc w:val="left"/>
    </w:pPr>
    <w:rPr>
      <w:rFonts w:eastAsiaTheme="minorHAnsi"/>
      <w:szCs w:val="24"/>
    </w:rPr>
  </w:style>
  <w:style w:type="paragraph" w:customStyle="1" w:styleId="s42">
    <w:name w:val="s42"/>
    <w:basedOn w:val="Normal"/>
    <w:rsid w:val="00C475E0"/>
    <w:pPr>
      <w:spacing w:before="100" w:beforeAutospacing="1" w:after="100" w:afterAutospacing="1"/>
      <w:jc w:val="left"/>
    </w:pPr>
    <w:rPr>
      <w:rFonts w:eastAsiaTheme="minorHAnsi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12EE9"/>
    <w:rPr>
      <w:color w:val="605E5C"/>
      <w:shd w:val="clear" w:color="auto" w:fill="E1DFDD"/>
    </w:rPr>
  </w:style>
  <w:style w:type="character" w:customStyle="1" w:styleId="UnresolvedMention20">
    <w:name w:val="Unresolved Mention2"/>
    <w:basedOn w:val="DefaultParagraphFont"/>
    <w:uiPriority w:val="99"/>
    <w:semiHidden/>
    <w:unhideWhenUsed/>
    <w:rsid w:val="0020395A"/>
    <w:rPr>
      <w:color w:val="605E5C"/>
      <w:shd w:val="clear" w:color="auto" w:fill="E1DFDD"/>
    </w:rPr>
  </w:style>
  <w:style w:type="paragraph" w:customStyle="1" w:styleId="LegalNumPar">
    <w:name w:val="LegalNumPar"/>
    <w:basedOn w:val="Normal"/>
    <w:rsid w:val="00735458"/>
    <w:pPr>
      <w:numPr>
        <w:numId w:val="89"/>
      </w:numPr>
      <w:spacing w:line="360" w:lineRule="auto"/>
    </w:pPr>
  </w:style>
  <w:style w:type="paragraph" w:customStyle="1" w:styleId="LegalNumPar2">
    <w:name w:val="LegalNumPar2"/>
    <w:basedOn w:val="Normal"/>
    <w:rsid w:val="00735458"/>
    <w:pPr>
      <w:numPr>
        <w:ilvl w:val="1"/>
        <w:numId w:val="89"/>
      </w:numPr>
      <w:spacing w:line="360" w:lineRule="auto"/>
    </w:pPr>
  </w:style>
  <w:style w:type="paragraph" w:customStyle="1" w:styleId="LegalNumPar3">
    <w:name w:val="LegalNumPar3"/>
    <w:basedOn w:val="Normal"/>
    <w:rsid w:val="00735458"/>
    <w:pPr>
      <w:numPr>
        <w:ilvl w:val="2"/>
        <w:numId w:val="89"/>
      </w:numPr>
      <w:spacing w:line="360" w:lineRule="auto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C24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7976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7053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6894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6808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3606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8540">
          <w:marLeft w:val="126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0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2286">
          <w:marLeft w:val="36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3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49278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15130">
          <w:marLeft w:val="36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9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1987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513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0863">
          <w:marLeft w:val="159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3305">
          <w:marLeft w:val="159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68214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6602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8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2121">
          <w:marLeft w:val="274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42735">
          <w:marLeft w:val="36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8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hyperlink" Target="https://ec.europa.eu/info/publications/fiscal-sustainability-report-2021_en" TargetMode="External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ec.europa.eu/info/publications/fiscal-sustainability-report-2021_en" TargetMode="External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oter" Target="footer4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MT/TXT/PDF/?uri=CELEX:52022DC0494&amp;from=EN" TargetMode="External"/><Relationship Id="rId13" Type="http://schemas.openxmlformats.org/officeDocument/2006/relationships/hyperlink" Target="https://eur-lex.europa.eu/legal-content/MT/TXT/PDF/?uri=OJ:C:2020:429:FULL&amp;from=EN" TargetMode="External"/><Relationship Id="rId18" Type="http://schemas.openxmlformats.org/officeDocument/2006/relationships/hyperlink" Target="https://ec.europa.eu/info/sites/default/files/economy-finance/com_2022_85_1_en_act_en.pdf" TargetMode="External"/><Relationship Id="rId3" Type="http://schemas.openxmlformats.org/officeDocument/2006/relationships/hyperlink" Target="https://state-of-the-union.ec.europa.eu/document/download/04c3ccc9-1237-4029-ae0e-039709a0fb53_en?filename=SOTEU_2022_Address_EN.pdf" TargetMode="External"/><Relationship Id="rId7" Type="http://schemas.openxmlformats.org/officeDocument/2006/relationships/hyperlink" Target="https://economy-finance.ec.europa.eu/document/download/465e4a65-b5d8-441a-a5f5-2b16c3f9870c_en?filename=economic_governance_review-communication.pdf" TargetMode="External"/><Relationship Id="rId12" Type="http://schemas.openxmlformats.org/officeDocument/2006/relationships/hyperlink" Target="https://www.europarl.europa.eu/doceo/document/A-9-2021-0212_MT.pdf" TargetMode="External"/><Relationship Id="rId17" Type="http://schemas.openxmlformats.org/officeDocument/2006/relationships/hyperlink" Target="https://economy-finance.ec.europa.eu/document/download/aab67108-00f9-4c7b-889e-f257ef88fac3_en?filename=swd_2022_104_2_en.pdf" TargetMode="External"/><Relationship Id="rId2" Type="http://schemas.openxmlformats.org/officeDocument/2006/relationships/hyperlink" Target="https://ec.europa.eu/info/sites/default/files/economy-finance/swd_2022_104_2_en.pdf" TargetMode="External"/><Relationship Id="rId16" Type="http://schemas.openxmlformats.org/officeDocument/2006/relationships/hyperlink" Target="https://economy-finance.ec.europa.eu/document/download/465e4a65-b5d8-441a-a5f5-2b16c3f9870c_en?filename=economic_governance_review-communication.pdf" TargetMode="External"/><Relationship Id="rId1" Type="http://schemas.openxmlformats.org/officeDocument/2006/relationships/hyperlink" Target="https://ec.europa.eu/info/sites/default/files/economy-finance/swd_2022_104_2_en.pdf" TargetMode="External"/><Relationship Id="rId6" Type="http://schemas.openxmlformats.org/officeDocument/2006/relationships/hyperlink" Target="https://economy-finance.ec.europa.eu/document/download/465e4a65-b5d8-441a-a5f5-2b16c3f9870c_en?filename=economic_governance_review-communication.pdf" TargetMode="External"/><Relationship Id="rId11" Type="http://schemas.openxmlformats.org/officeDocument/2006/relationships/hyperlink" Target="https://ec.europa.eu/info/publications/assessment-eu-fiscal-rules-focus-six-and-two-pack-legislation_en" TargetMode="External"/><Relationship Id="rId5" Type="http://schemas.openxmlformats.org/officeDocument/2006/relationships/hyperlink" Target="https://economy-finance.ec.europa.eu/document/download/90074c4d-6bcd-4ee1-be53-ceb17c6bc548_en?filename=swd_2020_210_en.pdf" TargetMode="External"/><Relationship Id="rId15" Type="http://schemas.openxmlformats.org/officeDocument/2006/relationships/hyperlink" Target="https://economy-finance.ec.europa.eu/document/download/465e4a65-b5d8-441a-a5f5-2b16c3f9870c_en?filename=economic_governance_review-communication.pdf" TargetMode="External"/><Relationship Id="rId10" Type="http://schemas.openxmlformats.org/officeDocument/2006/relationships/hyperlink" Target="https://eur-lex.europa.eu/resource.html?uri=cellar:71767319-9f0a-11ec-83e1-01aa75ed71a1.0001.02/DOC_1&amp;format=PDF" TargetMode="External"/><Relationship Id="rId19" Type="http://schemas.openxmlformats.org/officeDocument/2006/relationships/hyperlink" Target="https://ec.europa.eu/info/files/communication-conference-future-europe_en" TargetMode="External"/><Relationship Id="rId4" Type="http://schemas.openxmlformats.org/officeDocument/2006/relationships/hyperlink" Target="https://ec.europa.eu/info/sites/default/files/economy-finance/com_2020_55_en.pdf" TargetMode="External"/><Relationship Id="rId9" Type="http://schemas.openxmlformats.org/officeDocument/2006/relationships/hyperlink" Target="https://eur-lex.europa.eu/resource.html?uri=cellar:71767319-9f0a-11ec-83e1-01aa75ed71a1.0001.02/DOC_1&amp;format=PDF" TargetMode="External"/><Relationship Id="rId14" Type="http://schemas.openxmlformats.org/officeDocument/2006/relationships/hyperlink" Target="https://eur-lex.europa.eu/legal-content/MT/TXT/PDF/?uri=CELEX:52020IR1370&amp;from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A83FB-0E42-4F7E-A0A6-4F5D362D4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8528</Words>
  <Characters>62259</Characters>
  <Application>Microsoft Office Word</Application>
  <DocSecurity>0</DocSecurity>
  <Lines>876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70645</CharactersWithSpaces>
  <SharedDoc>false</SharedDoc>
  <HLinks>
    <vt:vector size="96" baseType="variant">
      <vt:variant>
        <vt:i4>5439528</vt:i4>
      </vt:variant>
      <vt:variant>
        <vt:i4>45</vt:i4>
      </vt:variant>
      <vt:variant>
        <vt:i4>0</vt:i4>
      </vt:variant>
      <vt:variant>
        <vt:i4>5</vt:i4>
      </vt:variant>
      <vt:variant>
        <vt:lpwstr>https://ec.europa.eu/info/files/communication-conference-future-europe_en</vt:lpwstr>
      </vt:variant>
      <vt:variant>
        <vt:lpwstr/>
      </vt:variant>
      <vt:variant>
        <vt:i4>8257639</vt:i4>
      </vt:variant>
      <vt:variant>
        <vt:i4>42</vt:i4>
      </vt:variant>
      <vt:variant>
        <vt:i4>0</vt:i4>
      </vt:variant>
      <vt:variant>
        <vt:i4>5</vt:i4>
      </vt:variant>
      <vt:variant>
        <vt:lpwstr>https://ec.europa.eu/info/sites/default/files/economy-finance/com_2022_85_1_en_act_en.pdf</vt:lpwstr>
      </vt:variant>
      <vt:variant>
        <vt:lpwstr/>
      </vt:variant>
      <vt:variant>
        <vt:i4>538255426</vt:i4>
      </vt:variant>
      <vt:variant>
        <vt:i4>39</vt:i4>
      </vt:variant>
      <vt:variant>
        <vt:i4>0</vt:i4>
      </vt:variant>
      <vt:variant>
        <vt:i4>5</vt:i4>
      </vt:variant>
      <vt:variant>
        <vt:lpwstr>\\net1.cec.eu.int\ECFIN\B\1\MIP\2019 2020 MIP Review\01 2021-2022\work for June communication 2022\Communication\B1 contribution\Economic Governance Review – Summary report of the public consultation’,</vt:lpwstr>
      </vt:variant>
      <vt:variant>
        <vt:lpwstr/>
      </vt:variant>
      <vt:variant>
        <vt:i4>4390970</vt:i4>
      </vt:variant>
      <vt:variant>
        <vt:i4>36</vt:i4>
      </vt:variant>
      <vt:variant>
        <vt:i4>0</vt:i4>
      </vt:variant>
      <vt:variant>
        <vt:i4>5</vt:i4>
      </vt:variant>
      <vt:variant>
        <vt:lpwstr>https://economy-finance.ec.europa.eu/document/download/465e4a65-b5d8-441a-a5f5-2b16c3f9870c_en?filename=economic_governance_review-communication.pdf</vt:lpwstr>
      </vt:variant>
      <vt:variant>
        <vt:lpwstr/>
      </vt:variant>
      <vt:variant>
        <vt:i4>5439526</vt:i4>
      </vt:variant>
      <vt:variant>
        <vt:i4>33</vt:i4>
      </vt:variant>
      <vt:variant>
        <vt:i4>0</vt:i4>
      </vt:variant>
      <vt:variant>
        <vt:i4>5</vt:i4>
      </vt:variant>
      <vt:variant>
        <vt:lpwstr>https://ec.europa.eu/info/business-economy-euro/economic-and-fiscal-policy-coordination/eu-economic-governance-monitoring-prevention-correction/economic-governance-review_en</vt:lpwstr>
      </vt:variant>
      <vt:variant>
        <vt:lpwstr/>
      </vt:variant>
      <vt:variant>
        <vt:i4>6553626</vt:i4>
      </vt:variant>
      <vt:variant>
        <vt:i4>30</vt:i4>
      </vt:variant>
      <vt:variant>
        <vt:i4>0</vt:i4>
      </vt:variant>
      <vt:variant>
        <vt:i4>5</vt:i4>
      </vt:variant>
      <vt:variant>
        <vt:lpwstr>https://eur-lex.europa.eu/resource.html?uri=cellar:71767319-9f0a-11ec-83e1-01aa75ed71a1.0001.02/DOC_1&amp;format=PDF</vt:lpwstr>
      </vt:variant>
      <vt:variant>
        <vt:lpwstr/>
      </vt:variant>
      <vt:variant>
        <vt:i4>4390970</vt:i4>
      </vt:variant>
      <vt:variant>
        <vt:i4>27</vt:i4>
      </vt:variant>
      <vt:variant>
        <vt:i4>0</vt:i4>
      </vt:variant>
      <vt:variant>
        <vt:i4>5</vt:i4>
      </vt:variant>
      <vt:variant>
        <vt:lpwstr>https://economy-finance.ec.europa.eu/document/download/465e4a65-b5d8-441a-a5f5-2b16c3f9870c_en?filename=economic_governance_review-communication.pdf</vt:lpwstr>
      </vt:variant>
      <vt:variant>
        <vt:lpwstr/>
      </vt:variant>
      <vt:variant>
        <vt:i4>5439526</vt:i4>
      </vt:variant>
      <vt:variant>
        <vt:i4>24</vt:i4>
      </vt:variant>
      <vt:variant>
        <vt:i4>0</vt:i4>
      </vt:variant>
      <vt:variant>
        <vt:i4>5</vt:i4>
      </vt:variant>
      <vt:variant>
        <vt:lpwstr>https://ec.europa.eu/info/business-economy-euro/economic-and-fiscal-policy-coordination/eu-economic-governance-monitoring-prevention-correction/economic-governance-review_en</vt:lpwstr>
      </vt:variant>
      <vt:variant>
        <vt:lpwstr/>
      </vt:variant>
      <vt:variant>
        <vt:i4>3670139</vt:i4>
      </vt:variant>
      <vt:variant>
        <vt:i4>21</vt:i4>
      </vt:variant>
      <vt:variant>
        <vt:i4>0</vt:i4>
      </vt:variant>
      <vt:variant>
        <vt:i4>5</vt:i4>
      </vt:variant>
      <vt:variant>
        <vt:lpwstr>https://economy-finance.ec.europa.eu/document/download/90074c4d-6bcd-4ee1-be53-ceb17c6bc548_en?filename=swd_2020_210_en.pdf</vt:lpwstr>
      </vt:variant>
      <vt:variant>
        <vt:lpwstr/>
      </vt:variant>
      <vt:variant>
        <vt:i4>131169</vt:i4>
      </vt:variant>
      <vt:variant>
        <vt:i4>18</vt:i4>
      </vt:variant>
      <vt:variant>
        <vt:i4>0</vt:i4>
      </vt:variant>
      <vt:variant>
        <vt:i4>5</vt:i4>
      </vt:variant>
      <vt:variant>
        <vt:lpwstr>https://ec.europa.eu/info/sites/default/files/economy-finance/com_2020_55_en.pdf</vt:lpwstr>
      </vt:variant>
      <vt:variant>
        <vt:lpwstr/>
      </vt:variant>
      <vt:variant>
        <vt:i4>1179724</vt:i4>
      </vt:variant>
      <vt:variant>
        <vt:i4>12</vt:i4>
      </vt:variant>
      <vt:variant>
        <vt:i4>0</vt:i4>
      </vt:variant>
      <vt:variant>
        <vt:i4>5</vt:i4>
      </vt:variant>
      <vt:variant>
        <vt:lpwstr>https://ec.europa.eu/info/sites/default/files/economy-finance/swd_2022_104_2_en.pdf</vt:lpwstr>
      </vt:variant>
      <vt:variant>
        <vt:lpwstr/>
      </vt:variant>
      <vt:variant>
        <vt:i4>4259913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https://eur-lex.europa.eu/legal-content/EN/TXT/PDF/?uri=CELEX:52020IR1370&amp;from=EN</vt:lpwstr>
      </vt:variant>
      <vt:variant>
        <vt:lpwstr/>
      </vt:variant>
      <vt:variant>
        <vt:i4>3145850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https://eur-lex.europa.eu/legal-content/EN/TXT/PDF/?uri=OJ:C:2020:429:FULL&amp;from=EN</vt:lpwstr>
      </vt:variant>
      <vt:variant>
        <vt:lpwstr/>
      </vt:variant>
      <vt:variant>
        <vt:i4>458814</vt:i4>
      </vt:variant>
      <vt:variant>
        <vt:i4>3</vt:i4>
      </vt:variant>
      <vt:variant>
        <vt:i4>0</vt:i4>
      </vt:variant>
      <vt:variant>
        <vt:i4>5</vt:i4>
      </vt:variant>
      <vt:variant>
        <vt:lpwstr>https://www.europarl.europa.eu/doceo/document/A-9-2021-0212_EN.pdf</vt:lpwstr>
      </vt:variant>
      <vt:variant>
        <vt:lpwstr/>
      </vt:variant>
      <vt:variant>
        <vt:i4>3735623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https://ec.europa.eu/info/publications/assessment-eu-fiscal-rules-focus-six-and-two-pack-legislation_en</vt:lpwstr>
      </vt:variant>
      <vt:variant>
        <vt:lpwstr/>
      </vt:variant>
      <vt:variant>
        <vt:i4>7077910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https://ec.europa.eu/info/publications/fiscal-sustainability-report-2021_en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2022-11-08T09:08:00Z</dcterms:created>
  <dcterms:modified xsi:type="dcterms:W3CDTF">2022-12-06T14:55:00Z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2022-11-05T20:39:31Z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68a7dfad-eb33-4b4f-b94e-8aa6a35ddac6</vt:lpwstr>
  </property>
  <property fmtid="{D5CDD505-2E9C-101B-9397-08002B2CF9AE}" pid="8" name="MSIP_Label_6bd9ddd1-4d20-43f6-abfa-fc3c07406f94_ContentBits">
    <vt:lpwstr>0</vt:lpwstr>
  </property>
  <property fmtid="{D5CDD505-2E9C-101B-9397-08002B2CF9AE}" pid="9" name="Level of sensitivity">
    <vt:lpwstr>Standard treatment</vt:lpwstr>
  </property>
  <property fmtid="{D5CDD505-2E9C-101B-9397-08002B2CF9AE}" pid="10" name="Last edited using">
    <vt:lpwstr>LW 8.1, Build 20220902</vt:lpwstr>
  </property>
  <property fmtid="{D5CDD505-2E9C-101B-9397-08002B2CF9AE}" pid="11" name="Part">
    <vt:lpwstr>1</vt:lpwstr>
  </property>
  <property fmtid="{D5CDD505-2E9C-101B-9397-08002B2CF9AE}" pid="12" name="Total parts">
    <vt:lpwstr>1</vt:lpwstr>
  </property>
  <property fmtid="{D5CDD505-2E9C-101B-9397-08002B2CF9AE}" pid="13" name="DocStatus">
    <vt:lpwstr>Green</vt:lpwstr>
  </property>
  <property fmtid="{D5CDD505-2E9C-101B-9397-08002B2CF9AE}" pid="14" name="CPTemplateID">
    <vt:lpwstr>CP-035</vt:lpwstr>
  </property>
</Properties>
</file>