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626990" w14:textId="7EE04CF5" w:rsidR="000B0E45" w:rsidRDefault="00DF374B" w:rsidP="00DF374B">
      <w:pPr>
        <w:pStyle w:val="Pagedecouverture"/>
        <w:rPr>
          <w:noProof/>
        </w:rPr>
      </w:pPr>
      <w:bookmarkStart w:id="0" w:name="LW_BM_COVERPAGE"/>
      <w:r>
        <w:rPr>
          <w:noProof/>
        </w:rPr>
        <w:pict w14:anchorId="0D55D8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alt="912D727B-1723-4B1D-AED4-CAB385612420" style="width:455.25pt;height:351.75pt">
            <v:imagedata r:id="rId12" o:title=""/>
          </v:shape>
        </w:pict>
      </w:r>
    </w:p>
    <w:bookmarkEnd w:id="0"/>
    <w:p w14:paraId="70A28556" w14:textId="77777777" w:rsidR="00093B2E" w:rsidRDefault="00093B2E" w:rsidP="00093B2E">
      <w:pPr>
        <w:rPr>
          <w:noProof/>
        </w:rPr>
        <w:sectPr w:rsidR="00093B2E" w:rsidSect="00DF37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134" w:right="1417" w:bottom="1134" w:left="1417" w:header="709" w:footer="709" w:gutter="0"/>
          <w:pgNumType w:start="1"/>
          <w:cols w:space="720"/>
          <w:docGrid w:linePitch="360"/>
        </w:sectPr>
      </w:pPr>
    </w:p>
    <w:p w14:paraId="12788438" w14:textId="77777777" w:rsidR="00B41BBD" w:rsidRPr="00593701" w:rsidRDefault="00D2200F" w:rsidP="00A75066">
      <w:pPr>
        <w:pStyle w:val="Heading1NoNumber"/>
        <w:rPr>
          <w:noProof/>
          <w:color w:val="auto"/>
        </w:rPr>
      </w:pPr>
      <w:bookmarkStart w:id="1" w:name="_Toc113279258"/>
      <w:bookmarkStart w:id="2" w:name="_GoBack"/>
      <w:bookmarkEnd w:id="2"/>
      <w:r>
        <w:rPr>
          <w:noProof/>
          <w:color w:val="auto"/>
        </w:rPr>
        <w:lastRenderedPageBreak/>
        <w:t>Werrej</w:t>
      </w:r>
      <w:bookmarkEnd w:id="1"/>
    </w:p>
    <w:p w14:paraId="76A5026A" w14:textId="379CDBAE" w:rsidR="00557679" w:rsidRPr="00557679" w:rsidRDefault="00BB69C8">
      <w:pPr>
        <w:pStyle w:val="TOC1"/>
        <w:rPr>
          <w:rFonts w:eastAsiaTheme="minorEastAsia"/>
          <w:color w:val="auto"/>
          <w:sz w:val="24"/>
          <w:lang w:val="en-US" w:eastAsia="en-US"/>
        </w:rPr>
      </w:pPr>
      <w:r w:rsidRPr="00557679">
        <w:rPr>
          <w:sz w:val="24"/>
        </w:rPr>
        <w:fldChar w:fldCharType="begin"/>
      </w:r>
      <w:r w:rsidRPr="00557679">
        <w:rPr>
          <w:sz w:val="24"/>
        </w:rPr>
        <w:instrText xml:space="preserve"> TOC \o "1-2" \h \z \u </w:instrText>
      </w:r>
      <w:r w:rsidRPr="00557679">
        <w:rPr>
          <w:sz w:val="24"/>
        </w:rPr>
        <w:fldChar w:fldCharType="separate"/>
      </w:r>
      <w:hyperlink w:anchor="_Toc113279258" w:history="1">
        <w:r w:rsidR="00557679" w:rsidRPr="00557679">
          <w:rPr>
            <w:rStyle w:val="Hyperlink"/>
            <w:rFonts w:ascii="Times New Roman" w:hAnsi="Times New Roman"/>
            <w:sz w:val="24"/>
          </w:rPr>
          <w:t>Werrej</w:t>
        </w:r>
        <w:r w:rsidR="00557679" w:rsidRPr="00557679">
          <w:rPr>
            <w:webHidden/>
            <w:sz w:val="24"/>
          </w:rPr>
          <w:tab/>
        </w:r>
        <w:r w:rsidR="00557679" w:rsidRPr="00557679">
          <w:rPr>
            <w:webHidden/>
            <w:sz w:val="24"/>
          </w:rPr>
          <w:tab/>
        </w:r>
        <w:r w:rsidR="00557679" w:rsidRPr="00557679">
          <w:rPr>
            <w:webHidden/>
            <w:sz w:val="24"/>
          </w:rPr>
          <w:fldChar w:fldCharType="begin"/>
        </w:r>
        <w:r w:rsidR="00557679" w:rsidRPr="00557679">
          <w:rPr>
            <w:webHidden/>
            <w:sz w:val="24"/>
          </w:rPr>
          <w:instrText xml:space="preserve"> PAGEREF _Toc113279258 \h </w:instrText>
        </w:r>
        <w:r w:rsidR="00557679" w:rsidRPr="00557679">
          <w:rPr>
            <w:webHidden/>
            <w:sz w:val="24"/>
          </w:rPr>
        </w:r>
        <w:r w:rsidR="00557679" w:rsidRPr="00557679">
          <w:rPr>
            <w:webHidden/>
            <w:sz w:val="24"/>
          </w:rPr>
          <w:fldChar w:fldCharType="separate"/>
        </w:r>
        <w:r w:rsidR="00557679" w:rsidRPr="00557679">
          <w:rPr>
            <w:webHidden/>
            <w:sz w:val="24"/>
          </w:rPr>
          <w:t>1</w:t>
        </w:r>
        <w:r w:rsidR="00557679" w:rsidRPr="00557679">
          <w:rPr>
            <w:webHidden/>
            <w:sz w:val="24"/>
          </w:rPr>
          <w:fldChar w:fldCharType="end"/>
        </w:r>
      </w:hyperlink>
    </w:p>
    <w:p w14:paraId="335A893B" w14:textId="39321539" w:rsidR="00557679" w:rsidRPr="00557679" w:rsidRDefault="00DF374B">
      <w:pPr>
        <w:pStyle w:val="TOC1"/>
        <w:rPr>
          <w:rFonts w:eastAsiaTheme="minorEastAsia"/>
          <w:color w:val="auto"/>
          <w:sz w:val="24"/>
          <w:lang w:val="en-US" w:eastAsia="en-US"/>
        </w:rPr>
      </w:pPr>
      <w:hyperlink w:anchor="_Toc113279259" w:history="1">
        <w:r w:rsidR="00557679" w:rsidRPr="00557679">
          <w:rPr>
            <w:rStyle w:val="Hyperlink"/>
            <w:rFonts w:ascii="Times New Roman" w:hAnsi="Times New Roman"/>
            <w:sz w:val="24"/>
          </w:rPr>
          <w:t>1.</w:t>
        </w:r>
        <w:r w:rsidR="00557679" w:rsidRPr="00557679">
          <w:rPr>
            <w:rFonts w:eastAsiaTheme="minorEastAsia"/>
            <w:color w:val="auto"/>
            <w:sz w:val="24"/>
            <w:lang w:val="en-US" w:eastAsia="en-US"/>
          </w:rPr>
          <w:tab/>
        </w:r>
        <w:r w:rsidR="00557679" w:rsidRPr="00557679">
          <w:rPr>
            <w:rStyle w:val="Hyperlink"/>
            <w:rFonts w:ascii="Times New Roman" w:hAnsi="Times New Roman"/>
            <w:sz w:val="24"/>
          </w:rPr>
          <w:t>Introduzzjoni</w:t>
        </w:r>
        <w:r w:rsidR="00557679" w:rsidRPr="00557679">
          <w:rPr>
            <w:webHidden/>
            <w:sz w:val="24"/>
          </w:rPr>
          <w:tab/>
        </w:r>
        <w:r w:rsidR="00557679" w:rsidRPr="00557679">
          <w:rPr>
            <w:webHidden/>
            <w:sz w:val="24"/>
          </w:rPr>
          <w:fldChar w:fldCharType="begin"/>
        </w:r>
        <w:r w:rsidR="00557679" w:rsidRPr="00557679">
          <w:rPr>
            <w:webHidden/>
            <w:sz w:val="24"/>
          </w:rPr>
          <w:instrText xml:space="preserve"> PAGEREF _Toc113279259 \h </w:instrText>
        </w:r>
        <w:r w:rsidR="00557679" w:rsidRPr="00557679">
          <w:rPr>
            <w:webHidden/>
            <w:sz w:val="24"/>
          </w:rPr>
        </w:r>
        <w:r w:rsidR="00557679" w:rsidRPr="00557679">
          <w:rPr>
            <w:webHidden/>
            <w:sz w:val="24"/>
          </w:rPr>
          <w:fldChar w:fldCharType="separate"/>
        </w:r>
        <w:r w:rsidR="00557679" w:rsidRPr="00557679">
          <w:rPr>
            <w:webHidden/>
            <w:sz w:val="24"/>
          </w:rPr>
          <w:t>2</w:t>
        </w:r>
        <w:r w:rsidR="00557679" w:rsidRPr="00557679">
          <w:rPr>
            <w:webHidden/>
            <w:sz w:val="24"/>
          </w:rPr>
          <w:fldChar w:fldCharType="end"/>
        </w:r>
      </w:hyperlink>
    </w:p>
    <w:p w14:paraId="334F657D" w14:textId="2B20F827" w:rsidR="00557679" w:rsidRPr="00557679" w:rsidRDefault="00DF374B">
      <w:pPr>
        <w:pStyle w:val="TOC1"/>
        <w:rPr>
          <w:rFonts w:eastAsiaTheme="minorEastAsia"/>
          <w:color w:val="auto"/>
          <w:sz w:val="24"/>
          <w:lang w:val="en-US" w:eastAsia="en-US"/>
        </w:rPr>
      </w:pPr>
      <w:hyperlink w:anchor="_Toc113279260" w:history="1">
        <w:r w:rsidR="00557679" w:rsidRPr="00557679">
          <w:rPr>
            <w:rStyle w:val="Hyperlink"/>
            <w:rFonts w:ascii="Times New Roman" w:hAnsi="Times New Roman"/>
            <w:sz w:val="24"/>
          </w:rPr>
          <w:t>2.</w:t>
        </w:r>
        <w:r w:rsidR="00557679" w:rsidRPr="00557679">
          <w:rPr>
            <w:rFonts w:eastAsiaTheme="minorEastAsia"/>
            <w:color w:val="auto"/>
            <w:sz w:val="24"/>
            <w:lang w:val="en-US" w:eastAsia="en-US"/>
          </w:rPr>
          <w:tab/>
        </w:r>
        <w:r w:rsidR="00557679" w:rsidRPr="00557679">
          <w:rPr>
            <w:rStyle w:val="Hyperlink"/>
            <w:rFonts w:ascii="Times New Roman" w:hAnsi="Times New Roman"/>
            <w:sz w:val="24"/>
          </w:rPr>
          <w:t>Miżuri ta’ Mmaniġġar u Kontroll</w:t>
        </w:r>
        <w:r w:rsidR="00557679" w:rsidRPr="00557679">
          <w:rPr>
            <w:webHidden/>
            <w:sz w:val="24"/>
          </w:rPr>
          <w:tab/>
        </w:r>
        <w:r w:rsidR="00557679" w:rsidRPr="00557679">
          <w:rPr>
            <w:webHidden/>
            <w:sz w:val="24"/>
          </w:rPr>
          <w:fldChar w:fldCharType="begin"/>
        </w:r>
        <w:r w:rsidR="00557679" w:rsidRPr="00557679">
          <w:rPr>
            <w:webHidden/>
            <w:sz w:val="24"/>
          </w:rPr>
          <w:instrText xml:space="preserve"> PAGEREF _Toc113279260 \h </w:instrText>
        </w:r>
        <w:r w:rsidR="00557679" w:rsidRPr="00557679">
          <w:rPr>
            <w:webHidden/>
            <w:sz w:val="24"/>
          </w:rPr>
        </w:r>
        <w:r w:rsidR="00557679" w:rsidRPr="00557679">
          <w:rPr>
            <w:webHidden/>
            <w:sz w:val="24"/>
          </w:rPr>
          <w:fldChar w:fldCharType="separate"/>
        </w:r>
        <w:r w:rsidR="00557679" w:rsidRPr="00557679">
          <w:rPr>
            <w:webHidden/>
            <w:sz w:val="24"/>
          </w:rPr>
          <w:t>3</w:t>
        </w:r>
        <w:r w:rsidR="00557679" w:rsidRPr="00557679">
          <w:rPr>
            <w:webHidden/>
            <w:sz w:val="24"/>
          </w:rPr>
          <w:fldChar w:fldCharType="end"/>
        </w:r>
      </w:hyperlink>
    </w:p>
    <w:p w14:paraId="07F54A13" w14:textId="576C6E0F" w:rsidR="00557679" w:rsidRPr="00557679" w:rsidRDefault="00DF374B">
      <w:pPr>
        <w:pStyle w:val="TOC2"/>
        <w:rPr>
          <w:rFonts w:ascii="Times New Roman" w:eastAsiaTheme="minorEastAsia" w:hAnsi="Times New Roman"/>
          <w:noProof/>
          <w:color w:val="auto"/>
          <w:sz w:val="24"/>
          <w:lang w:val="en-US" w:eastAsia="en-US"/>
        </w:rPr>
      </w:pPr>
      <w:hyperlink w:anchor="_Toc113279261" w:history="1">
        <w:r w:rsidR="00557679" w:rsidRPr="00557679">
          <w:rPr>
            <w:rStyle w:val="Hyperlink"/>
            <w:rFonts w:ascii="Times New Roman" w:hAnsi="Times New Roman"/>
            <w:noProof/>
            <w:sz w:val="24"/>
          </w:rPr>
          <w:t>2.1</w:t>
        </w:r>
        <w:r w:rsidR="00557679" w:rsidRPr="00557679">
          <w:rPr>
            <w:rFonts w:ascii="Times New Roman" w:eastAsiaTheme="minorEastAsia" w:hAnsi="Times New Roman"/>
            <w:noProof/>
            <w:color w:val="auto"/>
            <w:sz w:val="24"/>
            <w:lang w:val="en-US" w:eastAsia="en-US"/>
          </w:rPr>
          <w:tab/>
        </w:r>
        <w:r w:rsidR="00557679" w:rsidRPr="00557679">
          <w:rPr>
            <w:rStyle w:val="Hyperlink"/>
            <w:rFonts w:ascii="Times New Roman" w:hAnsi="Times New Roman"/>
            <w:noProof/>
            <w:sz w:val="24"/>
          </w:rPr>
          <w:t>Ħarsa Ġenerali</w:t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tab/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instrText xml:space="preserve"> PAGEREF _Toc113279261 \h </w:instrText>
        </w:r>
        <w:r w:rsidR="00557679" w:rsidRPr="00557679">
          <w:rPr>
            <w:rFonts w:ascii="Times New Roman" w:hAnsi="Times New Roman"/>
            <w:noProof/>
            <w:webHidden/>
            <w:sz w:val="24"/>
          </w:rPr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t>3</w:t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14:paraId="68277053" w14:textId="4594AEEF" w:rsidR="00557679" w:rsidRPr="00557679" w:rsidRDefault="00DF374B">
      <w:pPr>
        <w:pStyle w:val="TOC2"/>
        <w:rPr>
          <w:rFonts w:ascii="Times New Roman" w:eastAsiaTheme="minorEastAsia" w:hAnsi="Times New Roman"/>
          <w:noProof/>
          <w:color w:val="auto"/>
          <w:sz w:val="24"/>
          <w:lang w:val="en-US" w:eastAsia="en-US"/>
        </w:rPr>
      </w:pPr>
      <w:hyperlink w:anchor="_Toc113279262" w:history="1">
        <w:r w:rsidR="00557679" w:rsidRPr="00557679">
          <w:rPr>
            <w:rStyle w:val="Hyperlink"/>
            <w:rFonts w:ascii="Times New Roman" w:hAnsi="Times New Roman"/>
            <w:noProof/>
            <w:sz w:val="24"/>
          </w:rPr>
          <w:t>2.2</w:t>
        </w:r>
        <w:r w:rsidR="00557679" w:rsidRPr="00557679">
          <w:rPr>
            <w:rFonts w:ascii="Times New Roman" w:eastAsiaTheme="minorEastAsia" w:hAnsi="Times New Roman"/>
            <w:noProof/>
            <w:color w:val="auto"/>
            <w:sz w:val="24"/>
            <w:lang w:val="en-US" w:eastAsia="en-US"/>
          </w:rPr>
          <w:tab/>
        </w:r>
        <w:r w:rsidR="00557679" w:rsidRPr="00557679">
          <w:rPr>
            <w:rStyle w:val="Hyperlink"/>
            <w:rFonts w:ascii="Times New Roman" w:hAnsi="Times New Roman"/>
            <w:noProof/>
            <w:sz w:val="24"/>
          </w:rPr>
          <w:t>Il-produzzjoni, it-tqegħid fis-suq, l-użu u l-infurzar</w:t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tab/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instrText xml:space="preserve"> PAGEREF _Toc113279262 \h </w:instrText>
        </w:r>
        <w:r w:rsidR="00557679" w:rsidRPr="00557679">
          <w:rPr>
            <w:rFonts w:ascii="Times New Roman" w:hAnsi="Times New Roman"/>
            <w:noProof/>
            <w:webHidden/>
            <w:sz w:val="24"/>
          </w:rPr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t>3</w:t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14:paraId="4C0D0D8C" w14:textId="656B9E23" w:rsidR="00557679" w:rsidRPr="00557679" w:rsidRDefault="00DF374B">
      <w:pPr>
        <w:pStyle w:val="TOC2"/>
        <w:rPr>
          <w:rFonts w:ascii="Times New Roman" w:eastAsiaTheme="minorEastAsia" w:hAnsi="Times New Roman"/>
          <w:noProof/>
          <w:color w:val="auto"/>
          <w:sz w:val="24"/>
          <w:lang w:val="en-US" w:eastAsia="en-US"/>
        </w:rPr>
      </w:pPr>
      <w:hyperlink w:anchor="_Toc113279263" w:history="1">
        <w:r w:rsidR="00557679" w:rsidRPr="00557679">
          <w:rPr>
            <w:rStyle w:val="Hyperlink"/>
            <w:rFonts w:ascii="Times New Roman" w:hAnsi="Times New Roman"/>
            <w:noProof/>
            <w:sz w:val="24"/>
          </w:rPr>
          <w:t>2.3</w:t>
        </w:r>
        <w:r w:rsidR="00557679" w:rsidRPr="00557679">
          <w:rPr>
            <w:rFonts w:ascii="Times New Roman" w:eastAsiaTheme="minorEastAsia" w:hAnsi="Times New Roman"/>
            <w:noProof/>
            <w:color w:val="auto"/>
            <w:sz w:val="24"/>
            <w:lang w:val="en-US" w:eastAsia="en-US"/>
          </w:rPr>
          <w:tab/>
        </w:r>
        <w:r w:rsidR="00557679" w:rsidRPr="00557679">
          <w:rPr>
            <w:rStyle w:val="Hyperlink"/>
            <w:rFonts w:ascii="Times New Roman" w:hAnsi="Times New Roman"/>
            <w:noProof/>
            <w:sz w:val="24"/>
          </w:rPr>
          <w:t>Riżervi</w:t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tab/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instrText xml:space="preserve"> PAGEREF _Toc113279263 \h </w:instrText>
        </w:r>
        <w:r w:rsidR="00557679" w:rsidRPr="00557679">
          <w:rPr>
            <w:rFonts w:ascii="Times New Roman" w:hAnsi="Times New Roman"/>
            <w:noProof/>
            <w:webHidden/>
            <w:sz w:val="24"/>
          </w:rPr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t>4</w:t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14:paraId="2BCD9531" w14:textId="6C3704EB" w:rsidR="00557679" w:rsidRPr="00557679" w:rsidRDefault="00DF374B">
      <w:pPr>
        <w:pStyle w:val="TOC2"/>
        <w:rPr>
          <w:rFonts w:ascii="Times New Roman" w:eastAsiaTheme="minorEastAsia" w:hAnsi="Times New Roman"/>
          <w:noProof/>
          <w:color w:val="auto"/>
          <w:sz w:val="24"/>
          <w:lang w:val="en-US" w:eastAsia="en-US"/>
        </w:rPr>
      </w:pPr>
      <w:hyperlink w:anchor="_Toc113279264" w:history="1">
        <w:r w:rsidR="00557679" w:rsidRPr="00557679">
          <w:rPr>
            <w:rStyle w:val="Hyperlink"/>
            <w:rFonts w:ascii="Times New Roman" w:hAnsi="Times New Roman"/>
            <w:noProof/>
            <w:sz w:val="24"/>
          </w:rPr>
          <w:t>2.4</w:t>
        </w:r>
        <w:r w:rsidR="00557679" w:rsidRPr="00557679">
          <w:rPr>
            <w:rFonts w:ascii="Times New Roman" w:eastAsiaTheme="minorEastAsia" w:hAnsi="Times New Roman"/>
            <w:noProof/>
            <w:color w:val="auto"/>
            <w:sz w:val="24"/>
            <w:lang w:val="en-US" w:eastAsia="en-US"/>
          </w:rPr>
          <w:tab/>
        </w:r>
        <w:r w:rsidR="00557679" w:rsidRPr="00557679">
          <w:rPr>
            <w:rStyle w:val="Hyperlink"/>
            <w:rFonts w:ascii="Times New Roman" w:hAnsi="Times New Roman"/>
            <w:noProof/>
            <w:sz w:val="24"/>
          </w:rPr>
          <w:t>Immaniġġar u Ħżin tal-Iskart</w:t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tab/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instrText xml:space="preserve"> PAGEREF _Toc113279264 \h </w:instrText>
        </w:r>
        <w:r w:rsidR="00557679" w:rsidRPr="00557679">
          <w:rPr>
            <w:rFonts w:ascii="Times New Roman" w:hAnsi="Times New Roman"/>
            <w:noProof/>
            <w:webHidden/>
            <w:sz w:val="24"/>
          </w:rPr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t>4</w:t>
        </w:r>
        <w:r w:rsidR="00557679" w:rsidRPr="00557679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14:paraId="08E150C5" w14:textId="7F13FA90" w:rsidR="00557679" w:rsidRPr="00557679" w:rsidRDefault="00DF374B">
      <w:pPr>
        <w:pStyle w:val="TOC1"/>
        <w:rPr>
          <w:rFonts w:eastAsiaTheme="minorEastAsia"/>
          <w:color w:val="auto"/>
          <w:sz w:val="24"/>
          <w:lang w:val="en-US" w:eastAsia="en-US"/>
        </w:rPr>
      </w:pPr>
      <w:hyperlink w:anchor="_Toc113279265" w:history="1">
        <w:r w:rsidR="00557679" w:rsidRPr="00557679">
          <w:rPr>
            <w:rStyle w:val="Hyperlink"/>
            <w:rFonts w:ascii="Times New Roman" w:hAnsi="Times New Roman"/>
            <w:sz w:val="24"/>
          </w:rPr>
          <w:t>3.</w:t>
        </w:r>
        <w:r w:rsidR="00557679" w:rsidRPr="00557679">
          <w:rPr>
            <w:rFonts w:eastAsiaTheme="minorEastAsia"/>
            <w:color w:val="auto"/>
            <w:sz w:val="24"/>
            <w:lang w:val="en-US" w:eastAsia="en-US"/>
          </w:rPr>
          <w:tab/>
        </w:r>
        <w:r w:rsidR="00557679" w:rsidRPr="00557679">
          <w:rPr>
            <w:rStyle w:val="Hyperlink"/>
            <w:rFonts w:ascii="Times New Roman" w:hAnsi="Times New Roman"/>
            <w:sz w:val="24"/>
          </w:rPr>
          <w:t>Emissjonijiet Ambjentali u Konċentrazzjonijiet Ambjentali</w:t>
        </w:r>
        <w:r w:rsidR="00557679" w:rsidRPr="00557679">
          <w:rPr>
            <w:webHidden/>
            <w:sz w:val="24"/>
          </w:rPr>
          <w:tab/>
        </w:r>
        <w:r w:rsidR="00557679" w:rsidRPr="00557679">
          <w:rPr>
            <w:webHidden/>
            <w:sz w:val="24"/>
          </w:rPr>
          <w:fldChar w:fldCharType="begin"/>
        </w:r>
        <w:r w:rsidR="00557679" w:rsidRPr="00557679">
          <w:rPr>
            <w:webHidden/>
            <w:sz w:val="24"/>
          </w:rPr>
          <w:instrText xml:space="preserve"> PAGEREF _Toc113279265 \h </w:instrText>
        </w:r>
        <w:r w:rsidR="00557679" w:rsidRPr="00557679">
          <w:rPr>
            <w:webHidden/>
            <w:sz w:val="24"/>
          </w:rPr>
        </w:r>
        <w:r w:rsidR="00557679" w:rsidRPr="00557679">
          <w:rPr>
            <w:webHidden/>
            <w:sz w:val="24"/>
          </w:rPr>
          <w:fldChar w:fldCharType="separate"/>
        </w:r>
        <w:r w:rsidR="00557679" w:rsidRPr="00557679">
          <w:rPr>
            <w:webHidden/>
            <w:sz w:val="24"/>
          </w:rPr>
          <w:t>5</w:t>
        </w:r>
        <w:r w:rsidR="00557679" w:rsidRPr="00557679">
          <w:rPr>
            <w:webHidden/>
            <w:sz w:val="24"/>
          </w:rPr>
          <w:fldChar w:fldCharType="end"/>
        </w:r>
      </w:hyperlink>
    </w:p>
    <w:p w14:paraId="46E4527C" w14:textId="3256B235" w:rsidR="00557679" w:rsidRPr="00557679" w:rsidRDefault="00DF374B">
      <w:pPr>
        <w:pStyle w:val="TOC1"/>
        <w:rPr>
          <w:rFonts w:eastAsiaTheme="minorEastAsia"/>
          <w:color w:val="auto"/>
          <w:sz w:val="24"/>
          <w:lang w:val="en-US" w:eastAsia="en-US"/>
        </w:rPr>
      </w:pPr>
      <w:hyperlink w:anchor="_Toc113279266" w:history="1">
        <w:r w:rsidR="00557679" w:rsidRPr="00557679">
          <w:rPr>
            <w:rStyle w:val="Hyperlink"/>
            <w:rFonts w:ascii="Times New Roman" w:hAnsi="Times New Roman"/>
            <w:sz w:val="24"/>
          </w:rPr>
          <w:t>4.</w:t>
        </w:r>
        <w:r w:rsidR="00557679" w:rsidRPr="00557679">
          <w:rPr>
            <w:rFonts w:eastAsiaTheme="minorEastAsia"/>
            <w:color w:val="auto"/>
            <w:sz w:val="24"/>
            <w:lang w:val="en-US" w:eastAsia="en-US"/>
          </w:rPr>
          <w:tab/>
        </w:r>
        <w:r w:rsidR="00557679" w:rsidRPr="00557679">
          <w:rPr>
            <w:rStyle w:val="Hyperlink"/>
            <w:rFonts w:ascii="Times New Roman" w:hAnsi="Times New Roman"/>
            <w:sz w:val="24"/>
          </w:rPr>
          <w:t>Attivitajiet li jippromwovu l-iskambju ta’ għarfien</w:t>
        </w:r>
        <w:r w:rsidR="00557679" w:rsidRPr="00557679">
          <w:rPr>
            <w:webHidden/>
            <w:sz w:val="24"/>
          </w:rPr>
          <w:tab/>
        </w:r>
        <w:r w:rsidR="00557679" w:rsidRPr="00557679">
          <w:rPr>
            <w:webHidden/>
            <w:sz w:val="24"/>
          </w:rPr>
          <w:fldChar w:fldCharType="begin"/>
        </w:r>
        <w:r w:rsidR="00557679" w:rsidRPr="00557679">
          <w:rPr>
            <w:webHidden/>
            <w:sz w:val="24"/>
          </w:rPr>
          <w:instrText xml:space="preserve"> PAGEREF _Toc113279266 \h </w:instrText>
        </w:r>
        <w:r w:rsidR="00557679" w:rsidRPr="00557679">
          <w:rPr>
            <w:webHidden/>
            <w:sz w:val="24"/>
          </w:rPr>
        </w:r>
        <w:r w:rsidR="00557679" w:rsidRPr="00557679">
          <w:rPr>
            <w:webHidden/>
            <w:sz w:val="24"/>
          </w:rPr>
          <w:fldChar w:fldCharType="separate"/>
        </w:r>
        <w:r w:rsidR="00557679" w:rsidRPr="00557679">
          <w:rPr>
            <w:webHidden/>
            <w:sz w:val="24"/>
          </w:rPr>
          <w:t>13</w:t>
        </w:r>
        <w:r w:rsidR="00557679" w:rsidRPr="00557679">
          <w:rPr>
            <w:webHidden/>
            <w:sz w:val="24"/>
          </w:rPr>
          <w:fldChar w:fldCharType="end"/>
        </w:r>
      </w:hyperlink>
    </w:p>
    <w:p w14:paraId="403D2C60" w14:textId="514997C3" w:rsidR="00557679" w:rsidRPr="00557679" w:rsidRDefault="00DF374B">
      <w:pPr>
        <w:pStyle w:val="TOC1"/>
        <w:rPr>
          <w:rFonts w:eastAsiaTheme="minorEastAsia"/>
          <w:color w:val="auto"/>
          <w:sz w:val="24"/>
          <w:lang w:val="en-US" w:eastAsia="en-US"/>
        </w:rPr>
      </w:pPr>
      <w:hyperlink w:anchor="_Toc113279267" w:history="1">
        <w:r w:rsidR="00557679" w:rsidRPr="00557679">
          <w:rPr>
            <w:rStyle w:val="Hyperlink"/>
            <w:rFonts w:ascii="Times New Roman" w:hAnsi="Times New Roman"/>
            <w:sz w:val="24"/>
          </w:rPr>
          <w:t>5.</w:t>
        </w:r>
        <w:r w:rsidR="00557679" w:rsidRPr="00557679">
          <w:rPr>
            <w:rFonts w:eastAsiaTheme="minorEastAsia"/>
            <w:color w:val="auto"/>
            <w:sz w:val="24"/>
            <w:lang w:val="en-US" w:eastAsia="en-US"/>
          </w:rPr>
          <w:tab/>
        </w:r>
        <w:r w:rsidR="00557679" w:rsidRPr="00557679">
          <w:rPr>
            <w:rStyle w:val="Hyperlink"/>
            <w:rFonts w:ascii="Times New Roman" w:hAnsi="Times New Roman"/>
            <w:sz w:val="24"/>
          </w:rPr>
          <w:t>Konklużjonijiet</w:t>
        </w:r>
        <w:r w:rsidR="00557679" w:rsidRPr="00557679">
          <w:rPr>
            <w:webHidden/>
            <w:sz w:val="24"/>
          </w:rPr>
          <w:tab/>
        </w:r>
        <w:r w:rsidR="00557679" w:rsidRPr="00557679">
          <w:rPr>
            <w:webHidden/>
            <w:sz w:val="24"/>
          </w:rPr>
          <w:fldChar w:fldCharType="begin"/>
        </w:r>
        <w:r w:rsidR="00557679" w:rsidRPr="00557679">
          <w:rPr>
            <w:webHidden/>
            <w:sz w:val="24"/>
          </w:rPr>
          <w:instrText xml:space="preserve"> PAGEREF _Toc113279267 \h </w:instrText>
        </w:r>
        <w:r w:rsidR="00557679" w:rsidRPr="00557679">
          <w:rPr>
            <w:webHidden/>
            <w:sz w:val="24"/>
          </w:rPr>
        </w:r>
        <w:r w:rsidR="00557679" w:rsidRPr="00557679">
          <w:rPr>
            <w:webHidden/>
            <w:sz w:val="24"/>
          </w:rPr>
          <w:fldChar w:fldCharType="separate"/>
        </w:r>
        <w:r w:rsidR="00557679" w:rsidRPr="00557679">
          <w:rPr>
            <w:webHidden/>
            <w:sz w:val="24"/>
          </w:rPr>
          <w:t>14</w:t>
        </w:r>
        <w:r w:rsidR="00557679" w:rsidRPr="00557679">
          <w:rPr>
            <w:webHidden/>
            <w:sz w:val="24"/>
          </w:rPr>
          <w:fldChar w:fldCharType="end"/>
        </w:r>
      </w:hyperlink>
    </w:p>
    <w:p w14:paraId="5A38520B" w14:textId="6BFD7CAE" w:rsidR="00B41BBD" w:rsidRPr="00557679" w:rsidRDefault="00BB69C8" w:rsidP="00B6583A">
      <w:pPr>
        <w:ind w:left="1134" w:hanging="1134"/>
        <w:jc w:val="left"/>
        <w:rPr>
          <w:rFonts w:ascii="Times New Roman" w:hAnsi="Times New Roman"/>
          <w:noProof/>
          <w:sz w:val="24"/>
        </w:rPr>
      </w:pPr>
      <w:r w:rsidRPr="00557679">
        <w:rPr>
          <w:rFonts w:ascii="Times New Roman" w:hAnsi="Times New Roman"/>
          <w:noProof/>
          <w:sz w:val="24"/>
        </w:rPr>
        <w:fldChar w:fldCharType="end"/>
      </w:r>
    </w:p>
    <w:p w14:paraId="2F4575EE" w14:textId="34D0FEB4" w:rsidR="00D2200F" w:rsidRPr="00557679" w:rsidRDefault="00D2200F" w:rsidP="00B6583A">
      <w:pPr>
        <w:spacing w:after="120" w:line="288" w:lineRule="auto"/>
        <w:ind w:left="1134" w:hanging="1134"/>
        <w:jc w:val="left"/>
        <w:rPr>
          <w:rFonts w:ascii="Times New Roman" w:hAnsi="Times New Roman"/>
          <w:noProof/>
          <w:sz w:val="24"/>
        </w:rPr>
      </w:pPr>
    </w:p>
    <w:p w14:paraId="50C80526" w14:textId="474538F8" w:rsidR="00B6583A" w:rsidRPr="00557679" w:rsidRDefault="00565D92" w:rsidP="00B6583A">
      <w:pPr>
        <w:spacing w:after="120" w:line="288" w:lineRule="auto"/>
        <w:ind w:left="1134" w:hanging="1134"/>
        <w:jc w:val="left"/>
        <w:rPr>
          <w:rFonts w:ascii="Times New Roman" w:hAnsi="Times New Roman"/>
          <w:b/>
          <w:noProof/>
          <w:sz w:val="24"/>
        </w:rPr>
      </w:pPr>
      <w:r w:rsidRPr="00557679">
        <w:rPr>
          <w:rFonts w:ascii="Times New Roman" w:hAnsi="Times New Roman"/>
          <w:b/>
          <w:noProof/>
          <w:sz w:val="24"/>
        </w:rPr>
        <w:t>Tabelli</w:t>
      </w:r>
    </w:p>
    <w:p w14:paraId="44FF694D" w14:textId="05A72AE1" w:rsidR="00C15865" w:rsidRPr="00557679" w:rsidRDefault="00BB69C8" w:rsidP="001A7406">
      <w:pPr>
        <w:pStyle w:val="TableofFigures"/>
        <w:tabs>
          <w:tab w:val="right" w:leader="dot" w:pos="8777"/>
        </w:tabs>
        <w:spacing w:after="120"/>
        <w:ind w:left="900" w:hanging="900"/>
        <w:rPr>
          <w:rFonts w:ascii="Times New Roman" w:hAnsi="Times New Roman"/>
          <w:noProof/>
          <w:sz w:val="24"/>
        </w:rPr>
      </w:pPr>
      <w:r w:rsidRPr="00557679">
        <w:rPr>
          <w:rFonts w:ascii="Times New Roman" w:hAnsi="Times New Roman"/>
          <w:noProof/>
          <w:sz w:val="24"/>
          <w:lang w:val="en-GB"/>
        </w:rPr>
        <w:fldChar w:fldCharType="begin"/>
      </w:r>
      <w:r w:rsidRPr="00557679">
        <w:rPr>
          <w:rFonts w:ascii="Times New Roman" w:hAnsi="Times New Roman"/>
          <w:noProof/>
          <w:sz w:val="24"/>
        </w:rPr>
        <w:instrText xml:space="preserve"> TOC \t "EC Table Title" \c </w:instrText>
      </w:r>
      <w:r w:rsidRPr="00557679">
        <w:rPr>
          <w:rFonts w:ascii="Times New Roman" w:hAnsi="Times New Roman"/>
          <w:noProof/>
          <w:sz w:val="24"/>
          <w:lang w:val="en-GB"/>
        </w:rPr>
        <w:fldChar w:fldCharType="separate"/>
      </w:r>
      <w:r w:rsidR="00C15865" w:rsidRPr="00557679">
        <w:rPr>
          <w:rFonts w:ascii="Times New Roman" w:hAnsi="Times New Roman"/>
          <w:noProof/>
          <w:sz w:val="24"/>
        </w:rPr>
        <w:t>Tabella 1: Tnaqqis tal-emissjonijiet għall-poliklorobifenil (PCBs) abbażi tad-data rrapportata skont il-Protokoll tal-POP tal-UNECE (perċentwal negattiv juri żieda)</w:t>
      </w:r>
      <w:r w:rsidR="00C15865" w:rsidRPr="00557679">
        <w:rPr>
          <w:rFonts w:ascii="Times New Roman" w:hAnsi="Times New Roman"/>
          <w:noProof/>
          <w:sz w:val="24"/>
        </w:rPr>
        <w:tab/>
      </w:r>
      <w:r w:rsidR="00C15865" w:rsidRPr="00557679">
        <w:rPr>
          <w:rFonts w:ascii="Times New Roman" w:hAnsi="Times New Roman"/>
          <w:noProof/>
          <w:sz w:val="24"/>
          <w:lang w:val="en-GB"/>
        </w:rPr>
        <w:fldChar w:fldCharType="begin"/>
      </w:r>
      <w:r w:rsidR="00C15865" w:rsidRPr="00557679">
        <w:rPr>
          <w:rFonts w:ascii="Times New Roman" w:hAnsi="Times New Roman"/>
          <w:noProof/>
          <w:sz w:val="24"/>
        </w:rPr>
        <w:instrText xml:space="preserve"> PAGEREF _Toc110929568 \h </w:instrText>
      </w:r>
      <w:r w:rsidR="00C15865" w:rsidRPr="00557679">
        <w:rPr>
          <w:rFonts w:ascii="Times New Roman" w:hAnsi="Times New Roman"/>
          <w:noProof/>
          <w:sz w:val="24"/>
          <w:lang w:val="en-GB"/>
        </w:rPr>
      </w:r>
      <w:r w:rsidR="00C15865" w:rsidRPr="00557679">
        <w:rPr>
          <w:rFonts w:ascii="Times New Roman" w:hAnsi="Times New Roman"/>
          <w:noProof/>
          <w:sz w:val="24"/>
          <w:lang w:val="en-GB"/>
        </w:rPr>
        <w:fldChar w:fldCharType="separate"/>
      </w:r>
      <w:r w:rsidR="00557679" w:rsidRPr="00557679">
        <w:rPr>
          <w:rFonts w:ascii="Times New Roman" w:hAnsi="Times New Roman"/>
          <w:noProof/>
          <w:sz w:val="24"/>
        </w:rPr>
        <w:t>10</w:t>
      </w:r>
      <w:r w:rsidR="00C15865" w:rsidRPr="00557679">
        <w:rPr>
          <w:rFonts w:ascii="Times New Roman" w:hAnsi="Times New Roman"/>
          <w:noProof/>
          <w:sz w:val="24"/>
          <w:lang w:val="en-GB"/>
        </w:rPr>
        <w:fldChar w:fldCharType="end"/>
      </w:r>
    </w:p>
    <w:p w14:paraId="29C7908F" w14:textId="56F30B25" w:rsidR="00BA4E6E" w:rsidRPr="00557679" w:rsidRDefault="00BB69C8" w:rsidP="001A7406">
      <w:pPr>
        <w:pStyle w:val="TableofFigures"/>
        <w:tabs>
          <w:tab w:val="right" w:leader="dot" w:pos="8777"/>
        </w:tabs>
        <w:spacing w:after="120"/>
        <w:ind w:left="900" w:hanging="900"/>
        <w:rPr>
          <w:rFonts w:ascii="Times New Roman" w:hAnsi="Times New Roman"/>
          <w:noProof/>
          <w:color w:val="auto"/>
          <w:sz w:val="24"/>
        </w:rPr>
      </w:pPr>
      <w:r w:rsidRPr="00557679">
        <w:rPr>
          <w:rFonts w:ascii="Times New Roman" w:hAnsi="Times New Roman"/>
          <w:noProof/>
          <w:sz w:val="24"/>
          <w:lang w:val="en-GB"/>
        </w:rPr>
        <w:fldChar w:fldCharType="end"/>
      </w:r>
    </w:p>
    <w:p w14:paraId="79CE903D" w14:textId="7DA6E0BB" w:rsidR="00BA4E6E" w:rsidRPr="00557679" w:rsidRDefault="00565D92" w:rsidP="008B01AA">
      <w:pPr>
        <w:spacing w:after="120" w:line="288" w:lineRule="auto"/>
        <w:ind w:left="1134" w:hanging="1134"/>
        <w:jc w:val="left"/>
        <w:rPr>
          <w:rFonts w:ascii="Times New Roman" w:hAnsi="Times New Roman"/>
          <w:b/>
          <w:noProof/>
          <w:color w:val="auto"/>
          <w:sz w:val="24"/>
        </w:rPr>
      </w:pPr>
      <w:r w:rsidRPr="00557679">
        <w:rPr>
          <w:rFonts w:ascii="Times New Roman" w:hAnsi="Times New Roman"/>
          <w:b/>
          <w:noProof/>
          <w:color w:val="auto"/>
          <w:sz w:val="24"/>
        </w:rPr>
        <w:t>Illustrazzjonijiet</w:t>
      </w:r>
    </w:p>
    <w:p w14:paraId="22EA2582" w14:textId="7D2B3822" w:rsidR="00C15865" w:rsidRPr="00557679" w:rsidRDefault="00BB69C8" w:rsidP="00557679">
      <w:pPr>
        <w:pStyle w:val="TableofFigures"/>
        <w:tabs>
          <w:tab w:val="right" w:leader="dot" w:pos="8816"/>
        </w:tabs>
        <w:ind w:left="1560" w:hanging="1560"/>
        <w:jc w:val="left"/>
        <w:rPr>
          <w:rFonts w:ascii="Times New Roman" w:hAnsi="Times New Roman"/>
          <w:noProof/>
          <w:sz w:val="24"/>
        </w:rPr>
      </w:pPr>
      <w:r w:rsidRPr="00557679">
        <w:rPr>
          <w:rFonts w:ascii="Times New Roman" w:hAnsi="Times New Roman"/>
          <w:noProof/>
          <w:sz w:val="24"/>
          <w:lang w:val="en-GB"/>
        </w:rPr>
        <w:fldChar w:fldCharType="begin"/>
      </w:r>
      <w:r w:rsidRPr="00557679">
        <w:rPr>
          <w:rFonts w:ascii="Times New Roman" w:hAnsi="Times New Roman"/>
          <w:noProof/>
          <w:sz w:val="24"/>
        </w:rPr>
        <w:instrText xml:space="preserve"> TOC \t "EC Figure Title" \c </w:instrText>
      </w:r>
      <w:r w:rsidRPr="00557679">
        <w:rPr>
          <w:rFonts w:ascii="Times New Roman" w:hAnsi="Times New Roman"/>
          <w:noProof/>
          <w:sz w:val="24"/>
          <w:lang w:val="en-GB"/>
        </w:rPr>
        <w:fldChar w:fldCharType="separate"/>
      </w:r>
      <w:r w:rsidR="00C15865" w:rsidRPr="00557679">
        <w:rPr>
          <w:rFonts w:ascii="Times New Roman" w:hAnsi="Times New Roman"/>
          <w:noProof/>
          <w:sz w:val="24"/>
        </w:rPr>
        <w:t>Illustrazzjoni 1: Sommarju tas-sorsi ewlenin għas-sustanzi soġġetti għal dispożizzjonijiet ta’ tnaqqis tar-rilaxxi (Anness III), abbażi tad-data tal-UNECE għal bejn l-2013 u l-2015 (emissjonijiet fl-arja)</w:t>
      </w:r>
      <w:r w:rsidR="00C15865" w:rsidRPr="00557679">
        <w:rPr>
          <w:rFonts w:ascii="Times New Roman" w:hAnsi="Times New Roman"/>
          <w:noProof/>
          <w:sz w:val="24"/>
        </w:rPr>
        <w:tab/>
      </w:r>
      <w:r w:rsidR="00C15865" w:rsidRPr="00557679">
        <w:rPr>
          <w:rFonts w:ascii="Times New Roman" w:hAnsi="Times New Roman"/>
          <w:noProof/>
          <w:sz w:val="24"/>
          <w:lang w:val="en-GB"/>
        </w:rPr>
        <w:fldChar w:fldCharType="begin"/>
      </w:r>
      <w:r w:rsidR="00C15865" w:rsidRPr="00557679">
        <w:rPr>
          <w:rFonts w:ascii="Times New Roman" w:hAnsi="Times New Roman"/>
          <w:noProof/>
          <w:sz w:val="24"/>
        </w:rPr>
        <w:instrText xml:space="preserve"> PAGEREF _Toc110929574 \h </w:instrText>
      </w:r>
      <w:r w:rsidR="00C15865" w:rsidRPr="00557679">
        <w:rPr>
          <w:rFonts w:ascii="Times New Roman" w:hAnsi="Times New Roman"/>
          <w:noProof/>
          <w:sz w:val="24"/>
          <w:lang w:val="en-GB"/>
        </w:rPr>
      </w:r>
      <w:r w:rsidR="00C15865" w:rsidRPr="00557679">
        <w:rPr>
          <w:rFonts w:ascii="Times New Roman" w:hAnsi="Times New Roman"/>
          <w:noProof/>
          <w:sz w:val="24"/>
          <w:lang w:val="en-GB"/>
        </w:rPr>
        <w:fldChar w:fldCharType="separate"/>
      </w:r>
      <w:r w:rsidR="00557679" w:rsidRPr="00557679">
        <w:rPr>
          <w:rFonts w:ascii="Times New Roman" w:hAnsi="Times New Roman"/>
          <w:noProof/>
          <w:sz w:val="24"/>
        </w:rPr>
        <w:t>7</w:t>
      </w:r>
      <w:r w:rsidR="00C15865" w:rsidRPr="00557679">
        <w:rPr>
          <w:rFonts w:ascii="Times New Roman" w:hAnsi="Times New Roman"/>
          <w:noProof/>
          <w:sz w:val="24"/>
          <w:lang w:val="en-GB"/>
        </w:rPr>
        <w:fldChar w:fldCharType="end"/>
      </w:r>
    </w:p>
    <w:p w14:paraId="0BADC193" w14:textId="1918777D" w:rsidR="00C15865" w:rsidRPr="00557679" w:rsidRDefault="00C15865" w:rsidP="00557679">
      <w:pPr>
        <w:pStyle w:val="TableofFigures"/>
        <w:tabs>
          <w:tab w:val="right" w:leader="dot" w:pos="8816"/>
        </w:tabs>
        <w:ind w:left="1560" w:hanging="1560"/>
        <w:jc w:val="left"/>
        <w:rPr>
          <w:rFonts w:ascii="Times New Roman" w:hAnsi="Times New Roman"/>
          <w:noProof/>
          <w:sz w:val="24"/>
        </w:rPr>
      </w:pPr>
      <w:r w:rsidRPr="00557679">
        <w:rPr>
          <w:rFonts w:ascii="Times New Roman" w:hAnsi="Times New Roman"/>
          <w:noProof/>
          <w:sz w:val="24"/>
        </w:rPr>
        <w:t>Illustrazzjoni 2: Mapep ta’ Monitoraġġ tal-EMEP għall-Ewropa. Id-Dijagramma “a” tippreżenta l-konċentrazzjonijiet fl-arja tal-1990, u d-Dijagramma “b” tippreżenta l-konċentrazzjonijiet fl-arja tal-2014</w:t>
      </w:r>
      <w:r w:rsidRPr="00557679">
        <w:rPr>
          <w:rFonts w:ascii="Times New Roman" w:hAnsi="Times New Roman"/>
          <w:noProof/>
          <w:sz w:val="24"/>
        </w:rPr>
        <w:tab/>
      </w:r>
      <w:r w:rsidRPr="00557679">
        <w:rPr>
          <w:rFonts w:ascii="Times New Roman" w:hAnsi="Times New Roman"/>
          <w:noProof/>
          <w:sz w:val="24"/>
          <w:lang w:val="en-GB"/>
        </w:rPr>
        <w:fldChar w:fldCharType="begin"/>
      </w:r>
      <w:r w:rsidRPr="00557679">
        <w:rPr>
          <w:rFonts w:ascii="Times New Roman" w:hAnsi="Times New Roman"/>
          <w:noProof/>
          <w:sz w:val="24"/>
        </w:rPr>
        <w:instrText xml:space="preserve"> PAGEREF _Toc110929575 \h </w:instrText>
      </w:r>
      <w:r w:rsidRPr="00557679">
        <w:rPr>
          <w:rFonts w:ascii="Times New Roman" w:hAnsi="Times New Roman"/>
          <w:noProof/>
          <w:sz w:val="24"/>
          <w:lang w:val="en-GB"/>
        </w:rPr>
      </w:r>
      <w:r w:rsidRPr="00557679">
        <w:rPr>
          <w:rFonts w:ascii="Times New Roman" w:hAnsi="Times New Roman"/>
          <w:noProof/>
          <w:sz w:val="24"/>
          <w:lang w:val="en-GB"/>
        </w:rPr>
        <w:fldChar w:fldCharType="separate"/>
      </w:r>
      <w:r w:rsidR="00557679" w:rsidRPr="00557679">
        <w:rPr>
          <w:rFonts w:ascii="Times New Roman" w:hAnsi="Times New Roman"/>
          <w:noProof/>
          <w:sz w:val="24"/>
        </w:rPr>
        <w:t>11</w:t>
      </w:r>
      <w:r w:rsidRPr="00557679">
        <w:rPr>
          <w:rFonts w:ascii="Times New Roman" w:hAnsi="Times New Roman"/>
          <w:noProof/>
          <w:sz w:val="24"/>
          <w:lang w:val="en-GB"/>
        </w:rPr>
        <w:fldChar w:fldCharType="end"/>
      </w:r>
    </w:p>
    <w:p w14:paraId="23E7D39C" w14:textId="2EFDE41E" w:rsidR="00C15865" w:rsidRPr="00557679" w:rsidRDefault="00C15865" w:rsidP="00557679">
      <w:pPr>
        <w:pStyle w:val="TableofFigures"/>
        <w:tabs>
          <w:tab w:val="right" w:leader="dot" w:pos="8816"/>
        </w:tabs>
        <w:ind w:left="1560" w:hanging="1560"/>
        <w:jc w:val="left"/>
        <w:rPr>
          <w:rFonts w:ascii="Times New Roman" w:hAnsi="Times New Roman"/>
          <w:noProof/>
          <w:sz w:val="24"/>
        </w:rPr>
      </w:pPr>
      <w:r w:rsidRPr="00557679">
        <w:rPr>
          <w:rFonts w:ascii="Times New Roman" w:hAnsi="Times New Roman"/>
          <w:noProof/>
          <w:sz w:val="24"/>
        </w:rPr>
        <w:t>Illustrazzjoni 3: Mapep ta’ Monitoraġġ tal-EMEP għall-Ewropa. Id-Dijagramma “a” tippreżenta l-konċentrazzjonijiet fl-arja tal-1990, u d-Dijagramma “b” tippreżenta l-konċentrazzjonijiet fl-arja tal-2014</w:t>
      </w:r>
      <w:r w:rsidRPr="00557679">
        <w:rPr>
          <w:rFonts w:ascii="Times New Roman" w:hAnsi="Times New Roman"/>
          <w:noProof/>
          <w:sz w:val="24"/>
        </w:rPr>
        <w:tab/>
      </w:r>
      <w:r w:rsidRPr="00557679">
        <w:rPr>
          <w:rFonts w:ascii="Times New Roman" w:hAnsi="Times New Roman"/>
          <w:noProof/>
          <w:sz w:val="24"/>
          <w:lang w:val="en-GB"/>
        </w:rPr>
        <w:fldChar w:fldCharType="begin"/>
      </w:r>
      <w:r w:rsidRPr="00557679">
        <w:rPr>
          <w:rFonts w:ascii="Times New Roman" w:hAnsi="Times New Roman"/>
          <w:noProof/>
          <w:sz w:val="24"/>
        </w:rPr>
        <w:instrText xml:space="preserve"> PAGEREF _Toc110929576 \h </w:instrText>
      </w:r>
      <w:r w:rsidRPr="00557679">
        <w:rPr>
          <w:rFonts w:ascii="Times New Roman" w:hAnsi="Times New Roman"/>
          <w:noProof/>
          <w:sz w:val="24"/>
          <w:lang w:val="en-GB"/>
        </w:rPr>
      </w:r>
      <w:r w:rsidRPr="00557679">
        <w:rPr>
          <w:rFonts w:ascii="Times New Roman" w:hAnsi="Times New Roman"/>
          <w:noProof/>
          <w:sz w:val="24"/>
          <w:lang w:val="en-GB"/>
        </w:rPr>
        <w:fldChar w:fldCharType="separate"/>
      </w:r>
      <w:r w:rsidR="00557679" w:rsidRPr="00557679">
        <w:rPr>
          <w:rFonts w:ascii="Times New Roman" w:hAnsi="Times New Roman"/>
          <w:noProof/>
          <w:sz w:val="24"/>
        </w:rPr>
        <w:t>12</w:t>
      </w:r>
      <w:r w:rsidRPr="00557679">
        <w:rPr>
          <w:rFonts w:ascii="Times New Roman" w:hAnsi="Times New Roman"/>
          <w:noProof/>
          <w:sz w:val="24"/>
          <w:lang w:val="en-GB"/>
        </w:rPr>
        <w:fldChar w:fldCharType="end"/>
      </w:r>
    </w:p>
    <w:p w14:paraId="366B521D" w14:textId="3E6E2765" w:rsidR="00AA3F39" w:rsidRPr="00FE1E81" w:rsidRDefault="00BB69C8" w:rsidP="00557679">
      <w:pPr>
        <w:pStyle w:val="TableofFigures"/>
        <w:tabs>
          <w:tab w:val="right" w:leader="dot" w:pos="8816"/>
        </w:tabs>
        <w:ind w:left="1560" w:hanging="1560"/>
        <w:jc w:val="left"/>
        <w:rPr>
          <w:rFonts w:ascii="Times New Roman" w:hAnsi="Times New Roman"/>
          <w:noProof/>
          <w:sz w:val="24"/>
        </w:rPr>
      </w:pPr>
      <w:r w:rsidRPr="00557679">
        <w:rPr>
          <w:rFonts w:ascii="Times New Roman" w:hAnsi="Times New Roman"/>
          <w:noProof/>
          <w:sz w:val="24"/>
          <w:lang w:val="en-GB"/>
        </w:rPr>
        <w:fldChar w:fldCharType="end"/>
      </w:r>
    </w:p>
    <w:p w14:paraId="4E39FB66" w14:textId="77777777" w:rsidR="008F06DE" w:rsidRDefault="008F06DE">
      <w:pPr>
        <w:jc w:val="left"/>
        <w:rPr>
          <w:rFonts w:ascii="Times New Roman" w:hAnsi="Times New Roman"/>
          <w:noProof/>
          <w:color w:val="auto"/>
          <w:sz w:val="22"/>
        </w:rPr>
      </w:pPr>
      <w:r>
        <w:rPr>
          <w:noProof/>
        </w:rPr>
        <w:br w:type="page"/>
      </w:r>
    </w:p>
    <w:p w14:paraId="216E623B" w14:textId="0285EE11" w:rsidR="00AA3F39" w:rsidRPr="00593701" w:rsidRDefault="006D0223" w:rsidP="006D0223">
      <w:pPr>
        <w:pStyle w:val="Heading1"/>
        <w:rPr>
          <w:rFonts w:cs="Times New Roman"/>
          <w:noProof/>
        </w:rPr>
      </w:pPr>
      <w:bookmarkStart w:id="3" w:name="_Toc113279259"/>
      <w:r w:rsidRPr="006D0223">
        <w:t>1.</w:t>
      </w:r>
      <w:r w:rsidRPr="006D0223">
        <w:tab/>
      </w:r>
      <w:r w:rsidR="008F06DE">
        <w:rPr>
          <w:noProof/>
        </w:rPr>
        <w:t>Introduzzjoni</w:t>
      </w:r>
      <w:bookmarkEnd w:id="3"/>
    </w:p>
    <w:p w14:paraId="1389D2B1" w14:textId="19379F9B" w:rsidR="00C14BB6" w:rsidRDefault="00DF7D86" w:rsidP="00A01ACC">
      <w:pPr>
        <w:pStyle w:val="ECBody"/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Il-Pollutanti Organiċi Persistenti (POPs) huma kimiċi ta’ tħassib globali minħabba l-proprjetajiet persistenti, bijoakkumulattivi u tossiċi (PBT) tagħhom u l-potenzjal tagħhom li jiġu ttrasportati għal distanzi twal, li jwassal għad-depożizzjoni u għall-akkumulazzjoni tagħhom ’il bogħod mill-punt ta’ produzzjoni u użu. Żewġ trattati internazzjonali jindirizzaw il-POPs u għandhom l-għan li jipproteġu s-saħħa tal-bniedem u l-ambjent mill-impatti avversi tagħhom billi jeliminaw jew billi jnaqqsu l-produzzjoni, l-użu u r-rilaxxi tagħhom fl-ambjent. Il-Protokoll ta’ Aarhus dwar il-Pollutanti Organiċi Persistenti ġie adottat fl-1998 bħala parti mill-Konvenzjoni tal-UNECE fuq it-Tniġġis tal-Arja Transkonfini fuq Distanza Twila (CLRTAP) u l-Konvenzjoni ta’ Stokkolma dwar il-Pollutanti Organiċi Persistenti (il-“Konvenzjoni”) ġiet adottata fl-2001 u daħlet fis-seħħ fl-2004.</w:t>
      </w:r>
    </w:p>
    <w:p w14:paraId="000C56F2" w14:textId="04BD2475" w:rsidR="00C14BB6" w:rsidRDefault="00C14BB6" w:rsidP="00A01ACC">
      <w:pPr>
        <w:pStyle w:val="ECBody"/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L-Unjoni Ewropea (l-“Unjoni”) hija Parti għall-Protokoll ta’ Aarhus u għall-Konvenzjoni u adottat ir-Regolament (KE) Nru 850/2004 tal-Parlament Ewropew u tal-Kunsill tad-29 ta’ April 2004 dwar pollutanti organiċi persistenti u li jemenda d-Direttiva 79/117/KEE (ir-Regolament dwar il-POPs) sabiex tiġi implimentata l-Konvenzjoni. Ir-Regolament (KE) Nru 850/2004 tħassar u ġie sostitwit bir-Regolament (UE) 2019/1021 dwar pollutanti organiċi persistenti mill-15 ta’ Lulju 2019 (dħul fis-seħħ tar-Regolament (UE) 2019/1021).</w:t>
      </w:r>
    </w:p>
    <w:p w14:paraId="49852F5C" w14:textId="388146AE" w:rsidR="00E43FA6" w:rsidRDefault="007B7FEB" w:rsidP="00E43FA6">
      <w:pPr>
        <w:pStyle w:val="ECBody"/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Għandu jiġi nnotat li r-Regolament (KE) Nru 850/2004 fih obbligu ta’ rapportar speċifiku tal-Kummissjoni skont l-Artikolu 12(6), li ma għadux jeżisti, peress li ma hemm l-ebda dispożizzjoni korrispondenti fir-Regolament (UE) 2019/1021. Madankollu, il-Kummissjoni tqis li huwa xieraq li tadotta rapport li jkopri l-perjodu 2013-2015 abbażi tar-rapportar tal-Istati Membri f’konformità mar-Regolament (KE) Nru 850/2004 peress li dan ir-rapport jaqdi l-objettivi tar-Regolament (UE) 2019/1021 fir-rigward tal-monitoraġġ tal-progress li sar fl-eliminazzjoni tal-użu u tar-rilaxxi tal-POPs. </w:t>
      </w:r>
    </w:p>
    <w:p w14:paraId="4D70A687" w14:textId="34B85D59" w:rsidR="00C14BB6" w:rsidRPr="00C14BB6" w:rsidRDefault="00C14BB6" w:rsidP="00A01ACC">
      <w:pPr>
        <w:pStyle w:val="ECBody"/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Ir-Regolament dwar il-POPs ġie aġġornat regolarment biex jimplimenta emendi għall-Konvenzjoni u għall-Protokoll (l-aktar iż-żieda ta’ sustanzi ġodda fl-annessi rispettivi) fil-leġiżlazzjoni tal-Unjoni u jqiegħed obbligi speċifiċi fuq l-operaturi fl-Istati Membri kollha tal-UE. Dawn l-obbligi jinkludu dettalji dwar il-produzzjoni, it-tqegħid fis-suq, u l-użu tal-POPs elenkati koperti minn tliet Annessi (Anness I – ipprojbiti, Anness II – ristretti, Anness III – rilaxxati b’mod mhux intenzjonat). Huwa jkopri wkoll l-immaniġġar ta’ dawk is-sustanzi f’riżervi, f’rilaxxi ambjentali u fil-monitoraġġ ta’ konċentrazzjonijiet ambjentali, kif ukoll fih dispożizzjonijiet dwar l-immaniġġar tal-iskart. Bħala parti mir-Regolament dwar il-POPs, huwa wkoll rekwiżit għall-Istati Membri li jfasslu pjanijiet ta’ implimentazzjoni u pjanijiet ta’ azzjoni nazzjonali biex jidentifikaw u jimmaniġġaw is-sorsi tal-POPs fit-territorju tagħhom stess.</w:t>
      </w:r>
    </w:p>
    <w:p w14:paraId="75B163A1" w14:textId="77777777" w:rsidR="00C14BB6" w:rsidRPr="00C14BB6" w:rsidRDefault="00C14BB6" w:rsidP="00A01ACC">
      <w:pPr>
        <w:pStyle w:val="ECBody"/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Ir-rekwiżiti ta’ rapportar għall-Istati Membri u għall-Kummissjoni Ewropea skont ir-Regolament (KE) Nru 850/2004 ġew deskritti fl-Artikolu 12. L-Istati Membri kienu meħtieġa jirrapportaw annwalment dwar 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statistika għall-produzzjoni u għat-tqegħid fis-suq tas-sustanzi tal-Anness I u tal-Anness II. L-Istati Membri ntalbu wkoll jirrapportaw lill-Kummissjoni kull tliet snin dwar l-implimentazzjoni tad-dispożizzjonijiet tar-Regolament dwar il-POPs. Il-Kummissjoni, kellha l-obbligu li tfassal rapport ta’ sinteżi kull tliet snin li jiġbor fil-qosor l-informazzjoni pprovduta mill-Istati Membri kif ukoll l-informazzjoni ta’ appoġġ mogħtija permezz tar-Reġistru Ewropew dwar ir-Rilaxx u t-Trasferiment ta’ Inkwinanti (E-PRTR) u l-inventarji tal-emissjonijiet CORINAIR fl-ambitu tal-EMEP (Programm Kooperattiv għall-Monitoraġġ u l-Evalwazzjoni tat-Trażmissjoni fuq Medda Twila ta’ Sustanzi li Jniġġsu l-Arja fl-Ewropa). Il-Kummissjoni kienet meħtieġa wkoll tibgħat sommarju ta’ dik is-sinteżi lill-Parlament Ewropew u lill-Kunsill.</w:t>
      </w:r>
    </w:p>
    <w:p w14:paraId="4A5D029E" w14:textId="6AAC5604" w:rsidR="000C4650" w:rsidRPr="00227A49" w:rsidRDefault="00C14BB6" w:rsidP="00A01ACC">
      <w:pPr>
        <w:pStyle w:val="ECBody"/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Sal-lum ġew ippubblikati tliet rapporti ta’ sinteżi li jkopru l-attivitajiet tal-Unjoni u tal-Istati Membri tagħha skont ir-Regolament (KE) Nru 850/2004. L-ewwel rapport ta’ sinteżi jkopri l-perjodu mid-dħul fis-seħħ tar-Regolament dwar il-POPs fl-2004 sal-2006 u ġie ppubblikat fl-2009. It-tieni rapport ta’ sinteżi, ippubblikat fl-2011, ikopri l-perjodu 2007 – 2009. It-tielet rapport ta’ sinteżi ġie ppubblikat fl-2021 u jkopri l-perjodu 2010-2013. Ir-raba’ rapport ta’ sinteżi tal-Unjoni jkopri l-perjodu mill-2013 sal-2015 u dan is-sommarju huwa maħsub biex jipprovdi verżjoni mqassra tar-rapport ewlieni li jipprovdi s-sejbiet ewlenin. Ir-rapport sħiħ għandu jiġi kkonsultat għal analiżi dettaljata ulterjuri tas-sejbiet ippreżentati.</w:t>
      </w:r>
    </w:p>
    <w:p w14:paraId="6D3A3193" w14:textId="081AADB0" w:rsidR="008F06DE" w:rsidRPr="00593701" w:rsidRDefault="006D0223" w:rsidP="006D0223">
      <w:pPr>
        <w:pStyle w:val="Heading1"/>
        <w:rPr>
          <w:rFonts w:cs="Times New Roman"/>
          <w:noProof/>
        </w:rPr>
      </w:pPr>
      <w:bookmarkStart w:id="4" w:name="_Toc113279260"/>
      <w:r w:rsidRPr="006D0223">
        <w:t>2.</w:t>
      </w:r>
      <w:r w:rsidRPr="006D0223">
        <w:tab/>
      </w:r>
      <w:r w:rsidR="000F2AC8">
        <w:rPr>
          <w:noProof/>
        </w:rPr>
        <w:t>Miżuri ta’ Mmaniġġar u Kontroll</w:t>
      </w:r>
      <w:bookmarkEnd w:id="4"/>
    </w:p>
    <w:p w14:paraId="6C8CCDDC" w14:textId="056B8003" w:rsidR="00883841" w:rsidRPr="00593701" w:rsidRDefault="006D0223" w:rsidP="006D0223">
      <w:pPr>
        <w:pStyle w:val="Heading2"/>
        <w:rPr>
          <w:rFonts w:cs="Times New Roman"/>
          <w:noProof/>
        </w:rPr>
      </w:pPr>
      <w:bookmarkStart w:id="5" w:name="_Toc113279261"/>
      <w:r w:rsidRPr="006D0223">
        <w:t>2.1</w:t>
      </w:r>
      <w:r w:rsidRPr="006D0223">
        <w:tab/>
      </w:r>
      <w:r w:rsidR="00883841">
        <w:rPr>
          <w:noProof/>
        </w:rPr>
        <w:t>Ħarsa Ġenerali</w:t>
      </w:r>
      <w:bookmarkEnd w:id="5"/>
    </w:p>
    <w:p w14:paraId="70C25BB1" w14:textId="79BC3509" w:rsidR="000A3E70" w:rsidRPr="00227A49" w:rsidRDefault="000A3E70" w:rsidP="00D602E2">
      <w:pPr>
        <w:pStyle w:val="ECBullet"/>
        <w:numPr>
          <w:ilvl w:val="0"/>
          <w:numId w:val="0"/>
        </w:numPr>
        <w:spacing w:after="160"/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L-immaniġġar tal-POPs ikopri diversi elementi tul iċ-ċiklu tal-ħajja ta’ sustanza. Dan jinkludi l-produzzjoni, it-tqegħid fis-suq, u l-użu ta’ sustanzi kimiċi, kif ukoll ir-riżervi ta’ oġġetti obsoleti, kwistjonijiet ta’ mmaniġġar tal-iskart u l-infurzar tar-regolament innifsu.</w:t>
      </w:r>
    </w:p>
    <w:p w14:paraId="6B448F5B" w14:textId="043F2498" w:rsidR="008F06DE" w:rsidRPr="00593701" w:rsidRDefault="006D0223" w:rsidP="006D0223">
      <w:pPr>
        <w:pStyle w:val="Heading2"/>
        <w:rPr>
          <w:rFonts w:cs="Times New Roman"/>
          <w:noProof/>
          <w:szCs w:val="24"/>
        </w:rPr>
      </w:pPr>
      <w:bookmarkStart w:id="6" w:name="_Toc113279262"/>
      <w:r w:rsidRPr="006D0223">
        <w:t>2.2</w:t>
      </w:r>
      <w:r w:rsidRPr="006D0223">
        <w:tab/>
      </w:r>
      <w:r w:rsidR="000F2AC8">
        <w:rPr>
          <w:noProof/>
        </w:rPr>
        <w:t>Il-produzzjoni, it-tqegħid fis-suq, l-użu u l-infurzar</w:t>
      </w:r>
      <w:bookmarkEnd w:id="6"/>
    </w:p>
    <w:p w14:paraId="043A6E97" w14:textId="0CA03AF0" w:rsidR="009A29B4" w:rsidRPr="00227A49" w:rsidRDefault="003D433A" w:rsidP="00D602E2">
      <w:pPr>
        <w:pStyle w:val="ECBullet"/>
        <w:numPr>
          <w:ilvl w:val="0"/>
          <w:numId w:val="0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Abbażi tal-informazzjoni pprovduta mill-Istati Membri dwar il-produzzjoni u t-tqegħid fis-suq ta’ sustanzi elenkati fl-Annessi I u II, fil-perjodu ta’ bejn l-2013 u l-2015 ġiet prodotta sustanza POP waħda biss, jiġifieri l-aċidu perfluworoottansulfoniku (PFOS), filwaqt li kien hemm għadd ta’ eżenzjonijiet fis-seħħ għall-PFOS (l-użu prinċipali kien bħala sustanza li trażżan ir-raxx għall-ipplejtjar tal-kromu). Barra minn hekk, ġew importati żewġ sustanzi tal-Anness I u II (f’konformità mal-eżenzjonijiet) jiġifieri, eżabromoċiklododekan (HBCDD) u paraffini klorurati b’katina qasira (SCCPs).</w:t>
      </w:r>
    </w:p>
    <w:p w14:paraId="07B0FA71" w14:textId="73A0D455" w:rsidR="00BD54F3" w:rsidRPr="00227A49" w:rsidRDefault="00BD54F3" w:rsidP="00D602E2">
      <w:pPr>
        <w:pStyle w:val="ECBullet"/>
        <w:numPr>
          <w:ilvl w:val="0"/>
          <w:numId w:val="0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Abbażi tal-informazzjoni pprovduta, jistgħu jiġu nnotati d-dettalji li ġejjin:</w:t>
      </w:r>
    </w:p>
    <w:p w14:paraId="4785D025" w14:textId="25547C5B" w:rsidR="006527AA" w:rsidRPr="00227A49" w:rsidRDefault="006527AA" w:rsidP="00D602E2">
      <w:pPr>
        <w:pStyle w:val="ECBullet"/>
        <w:numPr>
          <w:ilvl w:val="0"/>
          <w:numId w:val="22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L-importazzjoni tal-HBCDD ġiet irrapportata minn żewġ Stati Membri (DK, FI). Id-Danimarka rrapportat l-importazzjonijiet għas-sena 2014 biss, fi kwantità ta’ 1,4 tunnellati; filwaqt li l-Finlandja nnotat li kien hemm importazzjonijiet iżda li dawn kienu qegħdin jonqsu.</w:t>
      </w:r>
    </w:p>
    <w:p w14:paraId="6E93220D" w14:textId="4B766017" w:rsidR="00BD54F3" w:rsidRPr="00227A49" w:rsidRDefault="006527AA" w:rsidP="00D602E2">
      <w:pPr>
        <w:pStyle w:val="ECBullet"/>
        <w:numPr>
          <w:ilvl w:val="0"/>
          <w:numId w:val="22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L-importazzjoni tal-SCCPs ġiet irrapportata mid-Danimarka (15-il tunnellata fl-2013, u 5 tunnellati fl-2014) u mill-Iżvezja (2,8 tunnellati fis-sena).</w:t>
      </w:r>
    </w:p>
    <w:p w14:paraId="4FC23B7A" w14:textId="5B928103" w:rsidR="00002136" w:rsidRPr="00227A49" w:rsidRDefault="00002136" w:rsidP="00D602E2">
      <w:pPr>
        <w:pStyle w:val="ECBullet"/>
        <w:numPr>
          <w:ilvl w:val="0"/>
          <w:numId w:val="21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Il-produzzjoni tal-PFOS fl-Unjoni Ewropea saret fi Stat Membru wieħed biss, il-Ġermanja. Il-produzzjoni naqset minn 9 tunnellati fis-sena fl-2013 għal 2,4 tunnellati fl-2015. Madwar 50 % tal-PFOS prodott ġie esportat jew mibgħut lejn l-Istati Membri tal-UE (prinċipalment BE, DK, NL, AT, FI, SE). Il-kwantità li jifdal ta’ PFOS prodott intużat fil-Ġermanja, primarjament bħala sustanza li trażżan ir-raxx għall-ipplejtjar tal-krom.</w:t>
      </w:r>
    </w:p>
    <w:p w14:paraId="2AFD53C6" w14:textId="6947978F" w:rsidR="00FA7BCA" w:rsidRPr="00227A49" w:rsidRDefault="006527AA" w:rsidP="00D602E2">
      <w:pPr>
        <w:pStyle w:val="ECBullet"/>
        <w:numPr>
          <w:ilvl w:val="0"/>
          <w:numId w:val="0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Għadd żgħir ta’ Stati Membri għamlu użu wkoll mid-dispożizzjonijiet tal-Artikolu 4 għall-użu tal-POPs fir-riċerka jew fl-analiżi. Ħames Stati Membri (BE, ES, FR, AT, PL) iddikjaraw li kwantitajiet żgħar ta’ POPs ġew esportati mill-UE għal skopijiet ta’ riċerka jew ta’ analiżi. Dawn l-esportazzjonijiet saru fil-biċċa l-kbira lejn pajjiżi Afrikani u Asjatiċi u koprew il-pestiċidi POP u PCBs.</w:t>
      </w:r>
    </w:p>
    <w:p w14:paraId="782F4CDF" w14:textId="608292B9" w:rsidR="00FA7BCA" w:rsidRPr="00227A49" w:rsidRDefault="00DF7D86" w:rsidP="00D602E2">
      <w:pPr>
        <w:pStyle w:val="ECBullet"/>
        <w:numPr>
          <w:ilvl w:val="0"/>
          <w:numId w:val="0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Erba’ Stati Membri (BE, BG, NL, SE) bdew proċedimenti ta’ infurzar dwar il-bejgħ illegali tal-POPs fl-Unjoni. Barra minn hekk, Spanja rrapportat dwar sett ta’ proċedimenti legali li ilu għaddej (li beda fl-1989) fir-rigward tal-kontaminazzjoni tal-art bil-lindan.</w:t>
      </w:r>
    </w:p>
    <w:p w14:paraId="6060E8C7" w14:textId="137103EA" w:rsidR="001530BA" w:rsidRPr="00227A49" w:rsidRDefault="001530BA" w:rsidP="00D602E2">
      <w:pPr>
        <w:pStyle w:val="ECBullet"/>
        <w:numPr>
          <w:ilvl w:val="0"/>
          <w:numId w:val="0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Id-dettalji tal-proċedimenti ta’ infurzar jinkludu:</w:t>
      </w:r>
    </w:p>
    <w:p w14:paraId="47E43DE6" w14:textId="625E15BE" w:rsidR="001530BA" w:rsidRPr="00227A49" w:rsidRDefault="001530BA" w:rsidP="00D602E2">
      <w:pPr>
        <w:pStyle w:val="ECBullet"/>
        <w:numPr>
          <w:ilvl w:val="0"/>
          <w:numId w:val="21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il-Belġju rrapporta proċedimenti ta’ infurzar imnedija fl-2013 dwar l-individwazzjoni tal-eżaklorobenżen (HCB) fil-logħob tan-nar. Barra minn hekk, f’kampjuni istantanji ta’ dwal tal-Milied instabu SCCPs, iżda f’dan il-każ ma kien hemm l-ebda proċediment ta’ infurzar.</w:t>
      </w:r>
    </w:p>
    <w:p w14:paraId="7FA5897A" w14:textId="0ED5D6F2" w:rsidR="001530BA" w:rsidRPr="00227A49" w:rsidRDefault="001530BA" w:rsidP="00D602E2">
      <w:pPr>
        <w:pStyle w:val="ECBullet"/>
        <w:numPr>
          <w:ilvl w:val="0"/>
          <w:numId w:val="21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Il-Bulgarija kkummentat li kienu tnedew proċedimenti ta’ infurzar, iżda ma pprovdietx aktar dettalji.</w:t>
      </w:r>
    </w:p>
    <w:p w14:paraId="7CA1AE52" w14:textId="5452F86A" w:rsidR="001530BA" w:rsidRPr="00227A49" w:rsidRDefault="001530BA" w:rsidP="00D602E2">
      <w:pPr>
        <w:pStyle w:val="ECBullet"/>
        <w:numPr>
          <w:ilvl w:val="0"/>
          <w:numId w:val="21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In-Netherlands ikkummentaw li fl-2012 kienu tnedew proċedimenti ta’ infurzar kontra żewġ kumpaniji, fir-rigward tal-PFOS fil-fowms għat-tifi tan-nar, li qabżu l-limiti ta’ konċentrazzjoni stabbiliti skont ir-Regolament għal sustanzi jew taħlitiet</w:t>
      </w:r>
      <w:r>
        <w:rPr>
          <w:rStyle w:val="FootnoteReference"/>
          <w:rFonts w:ascii="Times New Roman" w:hAnsi="Times New Roman"/>
          <w:noProof/>
          <w:sz w:val="24"/>
        </w:rPr>
        <w:footnoteReference w:id="1"/>
      </w:r>
      <w:r>
        <w:rPr>
          <w:rFonts w:ascii="Times New Roman" w:hAnsi="Times New Roman"/>
          <w:noProof/>
          <w:sz w:val="24"/>
        </w:rPr>
        <w:t>. Bdew ukoll attivitajiet ta’ infurzar fir-rigward tad-detezzjoni tal-HCB fil-logħob tan-nar.</w:t>
      </w:r>
    </w:p>
    <w:p w14:paraId="5B943F2E" w14:textId="119E7113" w:rsidR="001530BA" w:rsidRPr="00227A49" w:rsidRDefault="001530BA" w:rsidP="00D602E2">
      <w:pPr>
        <w:pStyle w:val="ECBullet"/>
        <w:numPr>
          <w:ilvl w:val="0"/>
          <w:numId w:val="21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L-Iżvezja indikat li fl-2013 kienu tnedew proċedimenti ta’ infurzar rigward il-preżenza tal-SCCPs fil-ġugarelli. Barra minn hekk, fl-2014 u fl-2015, ġew identifikati HCB u SCCPs f’firxa ta’ oġġetti domestiċi importati fl-UE.</w:t>
      </w:r>
    </w:p>
    <w:p w14:paraId="262701DA" w14:textId="73FE7799" w:rsidR="000F2AC8" w:rsidRPr="00593701" w:rsidRDefault="006D0223" w:rsidP="006D0223">
      <w:pPr>
        <w:pStyle w:val="Heading2"/>
        <w:rPr>
          <w:rFonts w:cs="Times New Roman"/>
          <w:noProof/>
          <w:szCs w:val="24"/>
        </w:rPr>
      </w:pPr>
      <w:bookmarkStart w:id="7" w:name="_Toc113279263"/>
      <w:r w:rsidRPr="006D0223">
        <w:t>2.3</w:t>
      </w:r>
      <w:r w:rsidRPr="006D0223">
        <w:tab/>
      </w:r>
      <w:r w:rsidR="000F2AC8">
        <w:rPr>
          <w:noProof/>
        </w:rPr>
        <w:t>Riżervi</w:t>
      </w:r>
      <w:bookmarkEnd w:id="7"/>
    </w:p>
    <w:p w14:paraId="1B9F0D4F" w14:textId="3D4DE1A4" w:rsidR="00007E58" w:rsidRPr="00227A49" w:rsidRDefault="00DF7D86" w:rsidP="00D602E2">
      <w:pPr>
        <w:pStyle w:val="ECBullet"/>
        <w:numPr>
          <w:ilvl w:val="0"/>
          <w:numId w:val="0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Riżervi ta’ sustanzi POPs irrapportati għall-perjodu ta’ bejn l-2013 u l-2015 tipikament relatati ma’ tliet tipi ta’ oġġetti, jiġifieri PCBs jew tagħmir dielettriku kkontaminat bil-PCB; pestiċidi obsoleti; u riżervi li jifdal ta’ sustanzi, taħlitiet jew oġġetti li fihom il-POPs miżjuda reċentement mal-Konvenzjoni u mar-Regolament. Ħafna mill-Istati Membri kienu diġà ħadu passi sinifikanti biex jidentifikaw u jneħħu tagħmir li fih il-PCB mis-servizz. </w:t>
      </w:r>
    </w:p>
    <w:p w14:paraId="4CAA3CD1" w14:textId="684CC1A3" w:rsidR="00F763D4" w:rsidRPr="00227A49" w:rsidRDefault="00692BB3" w:rsidP="00D602E2">
      <w:pPr>
        <w:pStyle w:val="ECBullet"/>
        <w:numPr>
          <w:ilvl w:val="0"/>
          <w:numId w:val="0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Fi stħarriġ li sar fl-2017, l-Istati Membri pprovdew stimi tal-iskala tal-istokkijiet li jifdal tal-PCBs fl-użu għall-2015 meta mqabbla ma’ linja bażi tal-1990. Tlettax-il Stat Membru pprovdew tweġibiet, bi stimi li jvarjaw minn 0,3 % sa 49 %. Ħdax-il Stat Membru (BE, CZ, DK, DE, IE, LT, NL, PT, FI, SE, UK) ipprovdew stimi tal-bqija tal-istokkijiet fl-2015 bħala anqas minn 10 % meta mqabbla mal-1990, bi sforzi sinifikanti li għaddejjin għat-tneħħija u għall-qerda finali. Iż-żewġ Stati Membri l-oħrajn (HR, RO) ikkwotaw ir-riżervi li kien fadal bħala 30 % u 49 % tal-linja bażi tal-1990, rispettivament.</w:t>
      </w:r>
    </w:p>
    <w:p w14:paraId="417ED2AD" w14:textId="5E6E2730" w:rsidR="00DF7D86" w:rsidRPr="00227A49" w:rsidRDefault="00DF7D86" w:rsidP="00D602E2">
      <w:pPr>
        <w:pStyle w:val="ECBullet"/>
        <w:numPr>
          <w:ilvl w:val="0"/>
          <w:numId w:val="0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Għal POPs pestiċidi obsoleti, għadd ta’ Stati Membri rrapportaw li huma qatt ma pproduċew jew użaw dawn is-sustanzi jew li bdew it-tneħħija gradwali bikrija, li jfisser li l-istokkijiet ma baqgħux jeżistu fil-pajjiż sal-2013.</w:t>
      </w:r>
    </w:p>
    <w:p w14:paraId="2A1AA8E3" w14:textId="5E143D1E" w:rsidR="00ED0B35" w:rsidRPr="00227A49" w:rsidRDefault="00ED0B35" w:rsidP="00D602E2">
      <w:pPr>
        <w:pStyle w:val="ECBullet"/>
        <w:numPr>
          <w:ilvl w:val="0"/>
          <w:numId w:val="0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Għar-riżervi ta’ sustanzi, taħlitiet jew oġġetti li fihom il-POPs miżjuda fir-Regolament wara l-2009, ir-riżervi primarji huma relatati mal-PFOS. Erba’ Stati Membri (DE, ES, LU, UK) rrapportaw riżervi eżistenti ta’ PFOS, primarjament relatati ma’ fowms għat-tifi tan-nar, li kienu soġġetti għal immaniġġjar ulterjuri. </w:t>
      </w:r>
    </w:p>
    <w:p w14:paraId="538D7435" w14:textId="32334583" w:rsidR="000F2AC8" w:rsidRPr="00593701" w:rsidRDefault="006D0223" w:rsidP="006D0223">
      <w:pPr>
        <w:pStyle w:val="Heading2"/>
        <w:rPr>
          <w:rFonts w:cs="Times New Roman"/>
          <w:noProof/>
          <w:szCs w:val="24"/>
        </w:rPr>
      </w:pPr>
      <w:bookmarkStart w:id="8" w:name="_Toc113279264"/>
      <w:r w:rsidRPr="006D0223">
        <w:t>2.4</w:t>
      </w:r>
      <w:r w:rsidRPr="006D0223">
        <w:tab/>
      </w:r>
      <w:r w:rsidR="000F2AC8">
        <w:rPr>
          <w:noProof/>
        </w:rPr>
        <w:t>Immaniġġar u Ħżin tal-Iskart</w:t>
      </w:r>
      <w:bookmarkEnd w:id="8"/>
    </w:p>
    <w:p w14:paraId="74B00079" w14:textId="3B55DCC1" w:rsidR="00DF7D86" w:rsidRPr="00227A49" w:rsidRDefault="00DF7D86" w:rsidP="00D602E2">
      <w:pPr>
        <w:pStyle w:val="ECBullet"/>
        <w:numPr>
          <w:ilvl w:val="0"/>
          <w:numId w:val="0"/>
        </w:numPr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Filwaqt li proporzjon tajjeb tal-Istati Membri daħħlu fis-seħħ programmi biex jiġbru u biex jeqirdu pestiċidi li ma għadhomx jintużaw, huma enfasizzaw ukoll il-kwistjoni tal-art ikkontaminata, b’mod partikolari art qrib siti fejn qabel kien jiġu manifatturati dawk is-sustanzi. Id-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min-Netherlands u mill-Finlandja enfasizzat l-għadd potenzjalment għoli ta’ siti li jistgħu jiġu kkontaminati, filwaqt li Spanja rriflettiet ukoll fuq art ikkontaminata relatata mal-manifattura preċedenti tal-lindan, u l-prodotti sekondarji mill-eżakloroċikloeżan mormi. Il-passi tipiċi ta’ rimedju jinvolvu skavar, li min-naħa tiegħu jiġġenera kwantitajiet kbar ta’ ħamrija kkontaminata li trid tiġi ttrattata bħala skart perikoluż. </w:t>
      </w:r>
    </w:p>
    <w:p w14:paraId="2233F581" w14:textId="023479DA" w:rsidR="000F2AC8" w:rsidRPr="00593701" w:rsidRDefault="006D0223" w:rsidP="006D0223">
      <w:pPr>
        <w:pStyle w:val="Heading1"/>
        <w:rPr>
          <w:rFonts w:cs="Times New Roman"/>
          <w:noProof/>
        </w:rPr>
      </w:pPr>
      <w:bookmarkStart w:id="9" w:name="_Toc113279265"/>
      <w:r w:rsidRPr="006D0223">
        <w:t>3.</w:t>
      </w:r>
      <w:r w:rsidRPr="006D0223">
        <w:tab/>
      </w:r>
      <w:r w:rsidR="000F2AC8">
        <w:rPr>
          <w:noProof/>
        </w:rPr>
        <w:t>Emissjonijiet Ambjentali u Konċentrazzjonijiet Ambjentali</w:t>
      </w:r>
      <w:bookmarkEnd w:id="9"/>
    </w:p>
    <w:p w14:paraId="3E5E15DA" w14:textId="580C2465" w:rsidR="00340B45" w:rsidRPr="00227A49" w:rsidRDefault="000A3E70" w:rsidP="00A01ACC">
      <w:pPr>
        <w:pStyle w:val="ECBody"/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L-Artikolu 6(1) tar-Regolament (KE) Nru 850/2004 irrekjeda li l-Istati Membri jiżviluppaw inventarji tal-emissjonijiet fl-arja, fl-art u fl-ilma għal dawk is-sustanzi elenkati fl-Anness III fi żmien sentejn wara d-dħul fis-seħħ. L-inventarji tal-emissjonijiet jiffurmaw riżorsa ewlenija biex dawk li jfasslu l-politika jiġu infurmati matul l-iżvilupp tal-pjanijiet nazzjonali ta’ implimentazzjoni. B’mod partikolari, dawn jgħinu biex jiġu identifikati sorsi ewlenin għat-tnaqqis ta’ emissjonijiet jew oqsma ta’ inċertezza, li fihom tkun meħtieġa aktar riċerka biex tgħin tikkaratterizza sors.</w:t>
      </w:r>
    </w:p>
    <w:p w14:paraId="3A792AAE" w14:textId="5FCFC0D4" w:rsidR="000A3E70" w:rsidRPr="00227A49" w:rsidRDefault="003E34D0" w:rsidP="00A01ACC">
      <w:pPr>
        <w:pStyle w:val="ECBody"/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Wieħed u għoxrin Stat Membru (minn 28) ipprovdew 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dwar l-istima tal-emissjonijiet fir-rapporti tagħhom. Id-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kienet tvarja fil-kompletezza, inklużi stimi tal-arja biss (14-il Stat Membru), stimi tal-emissjonijiet tal-arja u tal-ilma (3 Stati Membri), u stimi tal-arja, tal-ilma u tal-emissjonijiet tal-art (4 Stati Membri). Dawn il-varjazzjonijiet jenfasizzaw lakuni kbar fis-sett ta’ 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disponibbli pprovdut. Id-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mill-bażi ta’ 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dwar l-emissjonijiet tal-EMEP (WebDab)</w:t>
      </w:r>
      <w:r>
        <w:rPr>
          <w:rStyle w:val="FootnoteReference"/>
          <w:rFonts w:ascii="Times New Roman" w:hAnsi="Times New Roman"/>
          <w:noProof/>
          <w:sz w:val="24"/>
        </w:rPr>
        <w:footnoteReference w:id="2"/>
      </w:r>
      <w:r>
        <w:rPr>
          <w:rFonts w:ascii="Times New Roman" w:hAnsi="Times New Roman"/>
          <w:noProof/>
          <w:sz w:val="24"/>
        </w:rPr>
        <w:t xml:space="preserve"> intużat ukoll biex tinbena stampa aktar kompluta. Il-bażi ta’ 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tipprovdi emissjonijiet irrapportati għall-perjodu ta’ bejn l-2013 u l-2015 inkluża informazzjoni dwar id-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sottomessa lill-UNECE bħala parti mill-Protokoll ta’ Aarhus (emissjonijiet tal-arja). Sar ukoll paragun mad-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mis-sit web E-PRTR u mad-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ta’ monitoraġġ ambjentali mill-EMEP MSC-E u l-Programm ta’ Monitoraġġ u Valutazzjoni tal-Artiku (AMAP) biex jiġu vverifikati x-xejriet fl-emissjonijiet.</w:t>
      </w:r>
    </w:p>
    <w:p w14:paraId="556730EC" w14:textId="547FB649" w:rsidR="000A3E70" w:rsidRPr="00227A49" w:rsidRDefault="00801C99" w:rsidP="00A01ACC">
      <w:pPr>
        <w:pStyle w:val="ECBody"/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Sebgħa u għoxrin minn 28 Stat Membru żviluppaw u rrapportaw stimi tal-emissjonijiet għad-diossini u l-furani, il-PCBs, u l-HCB, filwaqt li t-28 kollha rrapportaw stimi tal-emissjonijiet għall-PAHs. Huwa importanti li jiġi nnotat li 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tal-UNECE tkopri biss l-emissjonijiet fl-arja u r-rapportar tal-Artikolu 12 kien fil-biċċa l-kbira ddominat mill-emissjonijiet fl-arja. L-istimi tal-emissjonijiet fl-ilma u fl-art ġew ipprovduti minn ħafna anqas Stati Membri (7 minn 28). </w:t>
      </w:r>
    </w:p>
    <w:p w14:paraId="72CCB429" w14:textId="0D4C7485" w:rsidR="00BB58A4" w:rsidRDefault="00BB58A4" w:rsidP="00A01ACC">
      <w:pPr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Bl-użu tad-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tal-UNECE li tkopri s-sustanzi tal-Anness III</w:t>
      </w:r>
      <w:r>
        <w:rPr>
          <w:rStyle w:val="FootnoteReference"/>
          <w:rFonts w:ascii="Times New Roman" w:hAnsi="Times New Roman"/>
          <w:noProof/>
          <w:sz w:val="24"/>
        </w:rPr>
        <w:footnoteReference w:id="3"/>
      </w:r>
      <w:r>
        <w:rPr>
          <w:rFonts w:ascii="Times New Roman" w:hAnsi="Times New Roman"/>
          <w:noProof/>
          <w:sz w:val="24"/>
        </w:rPr>
        <w:t xml:space="preserve">, ġie żviluppat sommarju tas-sorsi ewlenin tal-emissjonijiet għal kull sustanza POP għall-emissjonijiet fl-arja, muri fl-Illustrazzjoni 1. </w:t>
      </w:r>
    </w:p>
    <w:p w14:paraId="0251385B" w14:textId="77777777" w:rsidR="00A01ACC" w:rsidRPr="00A01ACC" w:rsidRDefault="00A01ACC" w:rsidP="00A01ACC">
      <w:pPr>
        <w:spacing w:before="240" w:after="120"/>
        <w:rPr>
          <w:rFonts w:ascii="Times New Roman" w:hAnsi="Times New Roman"/>
          <w:i/>
          <w:noProof/>
          <w:sz w:val="24"/>
        </w:rPr>
      </w:pPr>
      <w:r>
        <w:rPr>
          <w:rFonts w:ascii="Times New Roman" w:hAnsi="Times New Roman"/>
          <w:i/>
          <w:noProof/>
          <w:sz w:val="24"/>
        </w:rPr>
        <w:t>Diossini u Furani</w:t>
      </w:r>
    </w:p>
    <w:p w14:paraId="00EB9B48" w14:textId="6D323D5B" w:rsidR="00A01ACC" w:rsidRDefault="00A01ACC" w:rsidP="00A01ACC">
      <w:pPr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Id-Diossini u l-Furani ma jiġux prodotti kummerċjalment u huma tipikament assoċjati ma’ proċessi ta’ kombustjoni mhux kompluti bħall-ħruq fil-miftuħ, jew mal-metallurġija. Is-settur tas-sors ewlieni identifikat għall-Unjoni fl-Illustrazzjoni 1 kien is-settur tal-ġenerazzjoni tal-enerġija (inklużi l-operazzjonijiet tar-raffineriji taż-żejt), li jirrappreżenta 27 % tal-emissjonijiet kollha. Dan kien biss marġinalment akbar (proporzjonalment) mill-użu residenzjali ta’ fjuwils solidi, li kien jammonta għal 23 % tal-emissjonijiet kollha. Filwaqt li s-settur tal-ġenerazzjoni tal-enerġija jikkonsma kwantitajiet kbar ta’ fjuwils fossili solidi, it-temperatura għolja operazzjonali u l-livelli avvanzati ta’ tnaqqis li issa huma meħtieġa skont il-politika tal-Unjoni dwar l-emissjonijiet industrijali jfissru li l-emissjonijiet għal kull tunnellata ta’ faħam huma ħafna anqas minn dawk minn sorsi residenzjali. Minbarra l-użu residenzjali tal-fjuwils, is-sorsi ewlenin l-oħrajn tal-emissjonijiet kienu l-inċinerazzjoni tal-iskart (enerġija mill-iskart) (19 %), kombustjoni oħra tal-fjuwils fossili mill-industrija (10 %) u l-manifattura tal-metall (9 %). It-tqabbil mad-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mill-E-PRTR jikkorrobora l-konklużjoni, bi 82 % tal-emissjonijiet minn sors ta’ punt marbuta mal-impjanti tal-enerġija, u 10 % oħra għall-faċilitajiet tal-manifattura tal-metall.</w:t>
      </w:r>
    </w:p>
    <w:p w14:paraId="2B5EEDBE" w14:textId="3E662585" w:rsidR="00FA3321" w:rsidRDefault="00A01ACC" w:rsidP="00A01ACC">
      <w:pPr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F’każijiet li fihom l-Istati Membri jkunu pprovdew stimi għall-vetturi għajr l-arja, kien hemm qbil ġenerali li l-emissjonijiet fl-arja kienu mqabbla b’mod wiesa’ mal-emissjonijiet mir-residwi</w:t>
      </w:r>
      <w:r>
        <w:rPr>
          <w:rFonts w:ascii="Times New Roman" w:hAnsi="Times New Roman"/>
          <w:noProof/>
          <w:sz w:val="24"/>
          <w:vertAlign w:val="superscript"/>
        </w:rPr>
        <w:footnoteReference w:id="4"/>
      </w:r>
      <w:r>
        <w:rPr>
          <w:rFonts w:ascii="Times New Roman" w:hAnsi="Times New Roman"/>
          <w:noProof/>
          <w:sz w:val="24"/>
        </w:rPr>
        <w:t>. It-tnaqqis tal-emissjonijiet fl-arja u d-disinn tal-proċessi ttejbu minn meta daħlet fis-seħħ id-Direttiva dwar l-Inċinerazzjoni tal-Iskart (WID) (2000/76/KE)</w:t>
      </w:r>
      <w:r>
        <w:rPr>
          <w:rFonts w:ascii="Times New Roman" w:hAnsi="Times New Roman"/>
          <w:noProof/>
          <w:sz w:val="24"/>
          <w:vertAlign w:val="superscript"/>
        </w:rPr>
        <w:footnoteReference w:id="5"/>
      </w:r>
      <w:r>
        <w:rPr>
          <w:rFonts w:ascii="Times New Roman" w:hAnsi="Times New Roman"/>
          <w:noProof/>
          <w:sz w:val="24"/>
        </w:rPr>
        <w:t>, u l-emissjonijiet tad-diossini u tal-furani fl-arja mill-industrija naqsu b’mod sinifikanti bejn l-1990 u l-2015.</w:t>
      </w:r>
    </w:p>
    <w:p w14:paraId="3FE2AE6A" w14:textId="77777777" w:rsidR="00856716" w:rsidRDefault="00856716" w:rsidP="00A01ACC">
      <w:pPr>
        <w:rPr>
          <w:rFonts w:ascii="Times New Roman" w:hAnsi="Times New Roman"/>
          <w:noProof/>
          <w:sz w:val="24"/>
        </w:rPr>
      </w:pPr>
    </w:p>
    <w:p w14:paraId="6ACF6C7B" w14:textId="33E6768E" w:rsidR="0090781B" w:rsidRDefault="0090781B" w:rsidP="00A01ACC">
      <w:pPr>
        <w:rPr>
          <w:noProof/>
        </w:rPr>
      </w:pPr>
      <w:r>
        <w:rPr>
          <w:noProof/>
        </w:rPr>
        <w:br w:type="page"/>
      </w:r>
    </w:p>
    <w:p w14:paraId="328194C8" w14:textId="6F50C3B4" w:rsidR="0090781B" w:rsidRPr="009A00FF" w:rsidRDefault="00340B45" w:rsidP="009A00FF">
      <w:pPr>
        <w:pStyle w:val="ECFigureTitle"/>
        <w:rPr>
          <w:noProof/>
        </w:rPr>
      </w:pPr>
      <w:bookmarkStart w:id="10" w:name="_Toc110929574"/>
      <w:r>
        <w:rPr>
          <w:noProof/>
        </w:rPr>
        <w:t>Illustrazzjoni 1: Sommarju tas-sorsi ewlenin għas-sustanzi soġġetti għal dispożizzjonijiet ta’ tnaqqis tar-rilaxxi (Anness III), abbażi tad-</w:t>
      </w:r>
      <w:r>
        <w:rPr>
          <w:i/>
          <w:noProof/>
        </w:rPr>
        <w:t>data</w:t>
      </w:r>
      <w:r>
        <w:rPr>
          <w:noProof/>
        </w:rPr>
        <w:t xml:space="preserve"> tal-UNECE għal bejn l-2013 u l-2015 (emissjonijiet fl-arja)</w:t>
      </w:r>
      <w:bookmarkEnd w:id="10"/>
    </w:p>
    <w:p w14:paraId="7B698ADF" w14:textId="6BAF380B" w:rsidR="00692D14" w:rsidRPr="00CA11EC" w:rsidRDefault="00D90B40" w:rsidP="000A3E70">
      <w:pPr>
        <w:pStyle w:val="ECBody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  <w:sz w:val="24"/>
        </w:rPr>
        <w:t>Diossini u Furani</w:t>
      </w:r>
    </w:p>
    <w:p w14:paraId="7C8996E1" w14:textId="01C891BF" w:rsidR="00A309E2" w:rsidRDefault="0040409C" w:rsidP="0081518B">
      <w:pPr>
        <w:pStyle w:val="ECBody"/>
        <w:spacing w:before="360"/>
        <w:rPr>
          <w:noProof/>
        </w:rPr>
      </w:pPr>
      <w:r>
        <w:rPr>
          <w:noProof/>
          <w:lang w:val="en-GB"/>
        </w:rPr>
        <w:drawing>
          <wp:inline distT="0" distB="0" distL="0" distR="0" wp14:anchorId="18E9803B" wp14:editId="3CEBDAEC">
            <wp:extent cx="5521569" cy="2699238"/>
            <wp:effectExtent l="0" t="0" r="3175" b="635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68C03D6" w14:textId="77777777" w:rsidR="00557679" w:rsidRDefault="00557679" w:rsidP="0081518B">
      <w:pPr>
        <w:pStyle w:val="ECBody"/>
        <w:spacing w:before="360"/>
        <w:rPr>
          <w:noProof/>
        </w:rPr>
      </w:pPr>
    </w:p>
    <w:p w14:paraId="30359E4A" w14:textId="43F72D17" w:rsidR="000A3E70" w:rsidRPr="00CA11EC" w:rsidRDefault="001521EE" w:rsidP="0081518B">
      <w:pPr>
        <w:pStyle w:val="ECBody"/>
        <w:spacing w:before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  <w:sz w:val="24"/>
        </w:rPr>
        <w:t>Poliklorobifenili</w:t>
      </w:r>
    </w:p>
    <w:p w14:paraId="30443D72" w14:textId="7D3C8272" w:rsidR="000C7431" w:rsidRDefault="0040409C" w:rsidP="000A3E70">
      <w:pPr>
        <w:pStyle w:val="ECBody"/>
        <w:rPr>
          <w:noProof/>
        </w:rPr>
      </w:pPr>
      <w:r>
        <w:rPr>
          <w:noProof/>
          <w:lang w:val="en-GB"/>
        </w:rPr>
        <w:drawing>
          <wp:inline distT="0" distB="0" distL="0" distR="0" wp14:anchorId="15653C4A" wp14:editId="5D915180">
            <wp:extent cx="5644661" cy="3851030"/>
            <wp:effectExtent l="0" t="0" r="13335" b="1651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68BB5A4" w14:textId="6F43E34A" w:rsidR="000C7431" w:rsidRDefault="000C7431" w:rsidP="000A3E70">
      <w:pPr>
        <w:pStyle w:val="ECBody"/>
        <w:rPr>
          <w:noProof/>
        </w:rPr>
      </w:pPr>
    </w:p>
    <w:p w14:paraId="6C501EB5" w14:textId="18F13625" w:rsidR="00692D14" w:rsidRPr="00CA11EC" w:rsidRDefault="001521EE" w:rsidP="000C7431">
      <w:pPr>
        <w:pStyle w:val="ECBody"/>
        <w:spacing w:after="24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Idrokarburi aromatiċi poliċikliċi (PAHs)</w:t>
      </w:r>
    </w:p>
    <w:p w14:paraId="6BE32F10" w14:textId="5CEF9E48" w:rsidR="00A309E2" w:rsidRDefault="0040409C" w:rsidP="000A3E70">
      <w:pPr>
        <w:pStyle w:val="ECBody"/>
        <w:rPr>
          <w:noProof/>
        </w:rPr>
      </w:pPr>
      <w:r>
        <w:rPr>
          <w:noProof/>
          <w:lang w:val="en-GB"/>
        </w:rPr>
        <w:drawing>
          <wp:inline distT="0" distB="0" distL="0" distR="0" wp14:anchorId="6F98251E" wp14:editId="05ECDF00">
            <wp:extent cx="5319346" cy="3429000"/>
            <wp:effectExtent l="0" t="0" r="1524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F267959A-6926-7EBD-05B4-29A0826E0B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EABDD8E" w14:textId="77777777" w:rsidR="00A309E2" w:rsidRDefault="00A309E2" w:rsidP="000A3E70">
      <w:pPr>
        <w:pStyle w:val="ECBody"/>
        <w:rPr>
          <w:noProof/>
        </w:rPr>
      </w:pPr>
    </w:p>
    <w:p w14:paraId="7A79F92A" w14:textId="75C443E4" w:rsidR="001521EE" w:rsidRPr="00CA11EC" w:rsidRDefault="001521EE" w:rsidP="0081518B">
      <w:pPr>
        <w:pStyle w:val="ECBody"/>
        <w:spacing w:after="24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Eżaklorobenżen (HCB)</w:t>
      </w:r>
    </w:p>
    <w:p w14:paraId="5C9EACAC" w14:textId="3EFDF821" w:rsidR="00856716" w:rsidRDefault="0040409C">
      <w:pPr>
        <w:jc w:val="left"/>
        <w:rPr>
          <w:rFonts w:ascii="Times New Roman" w:hAnsi="Times New Roman"/>
          <w:noProof/>
          <w:sz w:val="24"/>
        </w:rPr>
      </w:pPr>
      <w:r>
        <w:rPr>
          <w:noProof/>
          <w:lang w:val="en-GB"/>
        </w:rPr>
        <w:drawing>
          <wp:inline distT="0" distB="0" distL="0" distR="0" wp14:anchorId="3024F06B" wp14:editId="43FF9AED">
            <wp:extent cx="5604510" cy="3916680"/>
            <wp:effectExtent l="0" t="0" r="15240" b="762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856716">
        <w:rPr>
          <w:noProof/>
        </w:rPr>
        <w:br w:type="page"/>
      </w:r>
    </w:p>
    <w:p w14:paraId="5AEB60B7" w14:textId="73C843C1" w:rsidR="00340B45" w:rsidRPr="00227A49" w:rsidRDefault="00105716" w:rsidP="00340B45">
      <w:pPr>
        <w:pStyle w:val="ECBody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Madankollu, dan iwassal għall-ġenerazzjoni ta’ residwi tal-kontroll tat-tniġġis tal-arja, magħrufa anke bħala rmied li jtir, li jista’ jkun ikkontaminat b’ħafna pollutanti bħad-diossini u l-furani. Hija meħtieġa attenzjoni fl-interpretazzjoni tad-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>, peress li l-emissjonijiet fl-arja, fl-art u fl-ilma huma rilaxxi diretti mitlufa fl-ambjent b’mod mhux ikkontrollat, filwaqt li “residwu” jirreferi għall-iskart solidu kkontaminat iġġenerat, li tipikament jintrema b’mod ikkontrollat u mhux neċessarjament jikkostitwixxi telf totali fl-ambjent.</w:t>
      </w:r>
    </w:p>
    <w:p w14:paraId="12EA3D7A" w14:textId="77777777" w:rsidR="00340B45" w:rsidRPr="00227A49" w:rsidRDefault="00340B45" w:rsidP="00A01ACC">
      <w:pPr>
        <w:pStyle w:val="ECBody"/>
        <w:spacing w:before="240" w:after="120"/>
        <w:rPr>
          <w:rFonts w:ascii="Times New Roman" w:hAnsi="Times New Roman"/>
          <w:i/>
          <w:noProof/>
          <w:sz w:val="24"/>
        </w:rPr>
      </w:pPr>
      <w:r>
        <w:rPr>
          <w:rFonts w:ascii="Times New Roman" w:hAnsi="Times New Roman"/>
          <w:i/>
          <w:noProof/>
          <w:sz w:val="24"/>
        </w:rPr>
        <w:t>Poliklorobifenili (PCBs)</w:t>
      </w:r>
    </w:p>
    <w:p w14:paraId="4A2F4F14" w14:textId="1EE5D8E5" w:rsidR="008C2E8E" w:rsidRPr="00227A49" w:rsidRDefault="00340B45" w:rsidP="00F749A6">
      <w:pPr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Il-PCBs kellhom użu kummerċjali f’varjetà ta’ applikazzjonijiet, b’mod partikolari t-tagħmir dielettriku. L-istabbiltà u l-persistenza kimika għolja tagħhom għamluhom fluwidi ideali għat-trasferiment tas-sħana għal din l-applikazzjoni. Il-PCBs jistgħu jiġu prodotti wkoll permezz ta’ mogħdijiet mhux intenzjonati, b’mod partikolari l-kombustjoni. L-Illustrazzjoni 1 tindika li s-sors ewlieni tal-emissjonijiet kien minn tagħmir dielettriku, li kkontribwixxa għal 52 % tal-emissjonijiet kollha fl-arja. Dan jirrappreżenta kontribut ħafna ogħla minn dak irrapportat fil-perjodu ta’ rapportar preċedenti (2010-2012) (32 %). </w:t>
      </w:r>
    </w:p>
    <w:p w14:paraId="06A2B96F" w14:textId="65273A3F" w:rsidR="008C2E8E" w:rsidRPr="00227A49" w:rsidRDefault="008C2E8E" w:rsidP="00F749A6">
      <w:pPr>
        <w:spacing w:after="120"/>
        <w:rPr>
          <w:rFonts w:ascii="Times New Roman" w:hAnsi="Times New Roman"/>
          <w:noProof/>
          <w:sz w:val="24"/>
          <w:highlight w:val="yellow"/>
        </w:rPr>
      </w:pPr>
      <w:r>
        <w:rPr>
          <w:rFonts w:ascii="Times New Roman" w:hAnsi="Times New Roman"/>
          <w:noProof/>
          <w:sz w:val="24"/>
        </w:rPr>
        <w:t>Analiżi aktar mill-qrib tax-xejriet temporali u settorjali fl-emissjonijiet tal-PCB, irrapportati fis-sett tad-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tal-WebDab tal-EMEP, tissuġġerixxi li wieħed mill-aktar sorsi importanti ta’ emissjonijiet tal-PCB fl-Ewropa fl-2000 kien il-produzzjoni tal-ħadid u tal-azzar (2,285 kg: 33 % tat-total). Minn dak iż-żmien ’l hawn, il-kontribut totali u perċentwali ta’ dan is-sors naqas b’mod sostanzjali, u dan ikkontribwixxa għal 428 kg (12 %) fl-2015. Dan jissuġġerixxi li, matul l-aħħar 20 sena, l-emissjonijiet tal-PCB minn sorsi industrijali naqsu bl-introduzzjoni ta’ proċessi aktar effiċjenti ta’ kombustjoni u tnaqqis, filwaqt li l-emissjonijiet mit-tagħmir elettriku u mill-iskart naqsu ħafna aktar bil-mod, u dan wassal għal kontribut relattiv dejjem akbar minn dan is-sors għat-total tal-Unjoni. </w:t>
      </w:r>
    </w:p>
    <w:p w14:paraId="1C5337C1" w14:textId="675C8EA9" w:rsidR="008D6203" w:rsidRDefault="008C2E8E" w:rsidP="00F749A6">
      <w:pPr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Sorsi ewlenin oħrajn tal-emissjonijiet tal-PCB fl-arja fil-perjodu ta’ rapportar attwali jinkludu l-kombustjoni residenzjali tal-fjuwil (b’mod partikolari fjuwils solidi bħall-faħam u l-iskart tal-injam) (15 %), kif ukoll il-manifattura ta’ metalli (13 %). It-Tabella 1 tipprovdi sommarju tal-emissjonijiet irrapportati fl-2015. </w:t>
      </w:r>
    </w:p>
    <w:p w14:paraId="5A22FD78" w14:textId="1B9D337F" w:rsidR="00340B45" w:rsidRPr="00227A49" w:rsidRDefault="00E45562" w:rsidP="00F749A6">
      <w:pPr>
        <w:pStyle w:val="ECBody"/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L-Illustrazzjoni 2 tipprovdi mapep tad-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tal-monitoraġġ ambjentali disponibbli mill-EMEP/MSC-E kemm fl-1990 kif ukoll fl-2014, bħala mezz ta’ tqabbil mal-istimi tal-inventarju. Kemm id-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tal-EMEP għall-Ewropa fl-Illustrazzjoni 2 kif ukoll il-monitoraġġ tal-Artiku mill-AMAP jindikaw tnaqqis ċar fil-konċentrazzjonijiet u l-emissjonijiet atmosferiċi ambjentali mill-1990. </w:t>
      </w:r>
    </w:p>
    <w:p w14:paraId="0B62D9DC" w14:textId="5D459022" w:rsidR="00340B45" w:rsidRPr="00227A49" w:rsidRDefault="00340B45" w:rsidP="00340B45">
      <w:pPr>
        <w:pStyle w:val="ECBody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Hija disponibbli 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limitata dwar l-emissjoni tal-PCBs għal vetturi oħrajn għajr l-arja. Abbażi tar-rapporti tal-Artikolu 12 għal tmien Stati Membri li pprovdew stimi għal vetturi oħrajn (BE, CZ, IE, ES, FR, NL, SE, UK), l-ebda xejra ċara ma kienet evidenti. Stati Membri differenti enfasizzaw l-importanza tar-residwu tal-ilma, l-art u l-iskart f’livelli differenti.</w:t>
      </w:r>
    </w:p>
    <w:p w14:paraId="6A4C8AA9" w14:textId="6CEA5849" w:rsidR="00E45562" w:rsidRPr="00227A49" w:rsidRDefault="00E45562" w:rsidP="00A01ACC">
      <w:pPr>
        <w:pStyle w:val="ECBody"/>
        <w:spacing w:before="240" w:after="120"/>
        <w:rPr>
          <w:rFonts w:ascii="Times New Roman" w:hAnsi="Times New Roman"/>
          <w:i/>
          <w:noProof/>
          <w:sz w:val="24"/>
        </w:rPr>
      </w:pPr>
      <w:r>
        <w:rPr>
          <w:rFonts w:ascii="Times New Roman" w:hAnsi="Times New Roman"/>
          <w:i/>
          <w:noProof/>
          <w:sz w:val="24"/>
        </w:rPr>
        <w:t>Idrokarburi aromatiċi poliċikliċi (PAHs)</w:t>
      </w:r>
    </w:p>
    <w:p w14:paraId="15706903" w14:textId="081E1ECA" w:rsidR="00950CCD" w:rsidRDefault="00E45562" w:rsidP="00F749A6">
      <w:pPr>
        <w:pStyle w:val="ECBody"/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Il-PAHs huma familja ta’ sustanzi kimiċi li jistgħu jiffurmaw b’mod naturali fl-ambjent mill-kombustjoni tal-veġetazzjoni bħal nirien fil-foresti, iżda li għandhom ukoll sorsi antropoġeniċi, b’mod partikolari marbuta mal-kombustjoni tal-fjuwils fossili. Id-</w:t>
      </w:r>
      <w:r>
        <w:rPr>
          <w:rFonts w:ascii="Times New Roman" w:hAnsi="Times New Roman"/>
          <w:i/>
          <w:iCs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ppreżentata fl-Illustrazzjoni 1 turi li s-sors dominanti tal-emissjonijiet tal-PAH kien l-użu ta’ fjuwils domestiċi, b’mod partikolari l-faħam, li fil-perjodu bejn l-2013 u l-2015 kien jirrappreżenta 77 % tal-emissjonijiet kollha. </w:t>
      </w:r>
    </w:p>
    <w:p w14:paraId="0470F063" w14:textId="548C8C69" w:rsidR="00935A98" w:rsidRPr="00935A98" w:rsidRDefault="00935A98" w:rsidP="00935A98">
      <w:pPr>
        <w:pStyle w:val="ECBody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Sorsi ewlenin oħrajn ta’ emissjonijiet ta’ PAH fl-arja kienu l-produzzjoni tal-ħadid u tal-azzar (inkluż l-użu ta’ fjuwils fossili) (7 %), nirien naturali (3 %) u forom oħrajn ta’ kombustjoni tal-fjuwils fossili, inkluż it-trasport bit-triq li jirrappreżenta 1 % tal-emissjonijiet totali tal-arja. L-emissjonijiet annwali medji kienu stmati li naqsu b’aktar minn 90 % bejn l-1990 u l-2015 (abbażi tad-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rrapportata tal-EMEP). Dan it-tnaqqis huwa simili b’mod ġenerali għad-diossini u l-furani u l-PCBs, għalkemm għadd żgħir ta’ Stati Membri raw żieda fl-emissjonijiet mill-1990. Id-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ta’ monitoraġġ mill-EMEP tindika tnaqqis ta’ 40 % fil-konċentrazzjonijiet ta’ PAH fl-arja mill-1990 sal-2015, meta mqabbla mat-tnaqqis ta’ 60 % għall-PCBs u 85 % għad-diossini u l-furani.</w:t>
      </w:r>
    </w:p>
    <w:p w14:paraId="76D1A96D" w14:textId="56D0FB63" w:rsidR="009508BD" w:rsidRPr="005832D8" w:rsidRDefault="009508BD" w:rsidP="00FC2FA7">
      <w:pPr>
        <w:pStyle w:val="Caption"/>
        <w:ind w:left="1418" w:hanging="1418"/>
        <w:rPr>
          <w:noProof/>
        </w:rPr>
      </w:pPr>
      <w:bookmarkStart w:id="11" w:name="_Toc110929568"/>
      <w:r w:rsidRPr="005832D8">
        <w:rPr>
          <w:noProof/>
        </w:rPr>
        <w:t>Tnaqqis tal-emissjonijiet għall-poliklorobifenil (PCBs) abbażi tad-</w:t>
      </w:r>
      <w:r w:rsidRPr="005832D8">
        <w:rPr>
          <w:i/>
          <w:noProof/>
        </w:rPr>
        <w:t>data</w:t>
      </w:r>
      <w:r w:rsidRPr="005832D8">
        <w:rPr>
          <w:noProof/>
        </w:rPr>
        <w:t xml:space="preserve"> rrapportata skont il-Protokoll tal-POP tal-UNECE (perċentwal negattiv juri żieda)</w:t>
      </w:r>
      <w:bookmarkEnd w:id="11"/>
    </w:p>
    <w:tbl>
      <w:tblPr>
        <w:tblStyle w:val="EuropeanCommission2"/>
        <w:tblW w:w="4517" w:type="pct"/>
        <w:tblInd w:w="0" w:type="dxa"/>
        <w:tblLook w:val="04A0" w:firstRow="1" w:lastRow="0" w:firstColumn="1" w:lastColumn="0" w:noHBand="0" w:noVBand="1"/>
      </w:tblPr>
      <w:tblGrid>
        <w:gridCol w:w="1708"/>
        <w:gridCol w:w="1851"/>
        <w:gridCol w:w="1851"/>
        <w:gridCol w:w="2563"/>
      </w:tblGrid>
      <w:tr w:rsidR="002C6CA1" w:rsidRPr="009508BD" w14:paraId="75691686" w14:textId="77777777" w:rsidTr="002C6C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single" w:sz="4" w:space="0" w:color="C0504D" w:themeColor="accent2"/>
              <w:left w:val="nil"/>
              <w:bottom w:val="nil"/>
              <w:right w:val="nil"/>
            </w:tcBorders>
            <w:hideMark/>
          </w:tcPr>
          <w:p w14:paraId="74CB50CA" w14:textId="77777777" w:rsidR="002C6CA1" w:rsidRPr="009508BD" w:rsidRDefault="002C6CA1" w:rsidP="009508BD">
            <w:pPr>
              <w:spacing w:before="80" w:after="80"/>
              <w:jc w:val="left"/>
              <w:rPr>
                <w:noProof/>
              </w:rPr>
            </w:pPr>
            <w:r>
              <w:rPr>
                <w:noProof/>
              </w:rPr>
              <w:t>Stat Membru</w:t>
            </w:r>
          </w:p>
        </w:tc>
        <w:tc>
          <w:tcPr>
            <w:tcW w:w="1161" w:type="pct"/>
            <w:tcBorders>
              <w:top w:val="single" w:sz="4" w:space="0" w:color="C0504D" w:themeColor="accent2"/>
              <w:left w:val="nil"/>
              <w:bottom w:val="nil"/>
              <w:right w:val="nil"/>
            </w:tcBorders>
            <w:hideMark/>
          </w:tcPr>
          <w:p w14:paraId="36E75BCE" w14:textId="1CFCD157" w:rsidR="002C6CA1" w:rsidRPr="009508BD" w:rsidRDefault="002C6CA1" w:rsidP="002C6CA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Emissjonijiet fl-arja fl-1990</w:t>
            </w:r>
          </w:p>
          <w:p w14:paraId="64B9C294" w14:textId="29F7AB35" w:rsidR="002C6CA1" w:rsidRPr="009508BD" w:rsidRDefault="002C6CA1" w:rsidP="002C6CA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kg</w:t>
            </w:r>
          </w:p>
        </w:tc>
        <w:tc>
          <w:tcPr>
            <w:tcW w:w="1161" w:type="pct"/>
            <w:tcBorders>
              <w:top w:val="single" w:sz="4" w:space="0" w:color="C0504D" w:themeColor="accent2"/>
              <w:left w:val="nil"/>
              <w:bottom w:val="nil"/>
              <w:right w:val="nil"/>
            </w:tcBorders>
            <w:hideMark/>
          </w:tcPr>
          <w:p w14:paraId="456A9250" w14:textId="1D6FD75D" w:rsidR="002C6CA1" w:rsidRPr="009508BD" w:rsidRDefault="002C6CA1" w:rsidP="002C6CA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Emissjonijiet fl-arja fl-2015</w:t>
            </w:r>
          </w:p>
          <w:p w14:paraId="247BEC25" w14:textId="77777777" w:rsidR="002C6CA1" w:rsidRPr="009508BD" w:rsidRDefault="002C6CA1" w:rsidP="002C6CA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kg</w:t>
            </w:r>
          </w:p>
        </w:tc>
        <w:tc>
          <w:tcPr>
            <w:tcW w:w="1607" w:type="pct"/>
            <w:tcBorders>
              <w:top w:val="single" w:sz="4" w:space="0" w:color="C0504D" w:themeColor="accent2"/>
              <w:left w:val="nil"/>
              <w:bottom w:val="nil"/>
              <w:right w:val="nil"/>
            </w:tcBorders>
            <w:hideMark/>
          </w:tcPr>
          <w:p w14:paraId="411EFC31" w14:textId="77777777" w:rsidR="002C6CA1" w:rsidRPr="009508BD" w:rsidRDefault="002C6CA1" w:rsidP="002C6CA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Tnaqqis fl-emissjonijiet annwali 1990:2015 bħala perċentwal</w:t>
            </w:r>
          </w:p>
        </w:tc>
      </w:tr>
      <w:tr w:rsidR="002C6CA1" w:rsidRPr="009508BD" w14:paraId="5BBED418" w14:textId="77777777" w:rsidTr="002C6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B920DA3" w14:textId="77777777" w:rsidR="002C6CA1" w:rsidRPr="009508BD" w:rsidRDefault="002C6CA1" w:rsidP="009508BD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Il-Belġju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D2202E8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107,1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CD625D7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3,1</w:t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E76A5B5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97 %</w:t>
            </w:r>
          </w:p>
        </w:tc>
      </w:tr>
      <w:tr w:rsidR="002C6CA1" w:rsidRPr="009508BD" w14:paraId="27B63DE4" w14:textId="77777777" w:rsidTr="002C6C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2DB822C" w14:textId="77777777" w:rsidR="002C6CA1" w:rsidRPr="009508BD" w:rsidRDefault="002C6CA1" w:rsidP="009508BD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Il-Bulgarija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A1DA993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13,8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EFF5334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3,0</w:t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427D3D3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78 %</w:t>
            </w:r>
          </w:p>
        </w:tc>
      </w:tr>
      <w:tr w:rsidR="002C6CA1" w:rsidRPr="009508BD" w14:paraId="5F2E7F10" w14:textId="77777777" w:rsidTr="002C6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5712427" w14:textId="77777777" w:rsidR="002C6CA1" w:rsidRPr="009508BD" w:rsidRDefault="002C6CA1" w:rsidP="009508BD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Iċ-Ċekja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084BB38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3,7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F0F1F05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1,8</w:t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225EE31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52 %</w:t>
            </w:r>
          </w:p>
        </w:tc>
      </w:tr>
      <w:tr w:rsidR="002C6CA1" w:rsidRPr="009508BD" w14:paraId="086A03B3" w14:textId="77777777" w:rsidTr="002C6C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5CD8439" w14:textId="77777777" w:rsidR="002C6CA1" w:rsidRPr="009508BD" w:rsidRDefault="002C6CA1" w:rsidP="009508BD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Id-Danimarka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8563868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110,5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EBE9C02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41,5</w:t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173FBB4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62 %</w:t>
            </w:r>
          </w:p>
        </w:tc>
      </w:tr>
      <w:tr w:rsidR="002C6CA1" w:rsidRPr="009508BD" w14:paraId="33442846" w14:textId="77777777" w:rsidTr="002C6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61C9FE6" w14:textId="77777777" w:rsidR="002C6CA1" w:rsidRPr="009508BD" w:rsidRDefault="002C6CA1" w:rsidP="009508BD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Il-Ġermanja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32F2B65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1,735,6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3A0B0A8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229,0</w:t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6A61DAE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87 %</w:t>
            </w:r>
          </w:p>
        </w:tc>
      </w:tr>
      <w:tr w:rsidR="002C6CA1" w:rsidRPr="009508BD" w14:paraId="7B5B9705" w14:textId="77777777" w:rsidTr="002C6C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8C9D8C0" w14:textId="77777777" w:rsidR="002C6CA1" w:rsidRPr="009508BD" w:rsidRDefault="002C6CA1" w:rsidP="009508BD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L-Estonja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28D16FD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8,4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9B7CE91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4,2</w:t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B7C3E4E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49 %</w:t>
            </w:r>
          </w:p>
        </w:tc>
      </w:tr>
      <w:tr w:rsidR="002C6CA1" w:rsidRPr="009508BD" w14:paraId="6C353375" w14:textId="77777777" w:rsidTr="002C6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3BD988D" w14:textId="77777777" w:rsidR="002C6CA1" w:rsidRPr="009508BD" w:rsidRDefault="002C6CA1" w:rsidP="009508BD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L-Irlanda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B9204E9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40,5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BD30E26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14,5</w:t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AD2A7C9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64 %</w:t>
            </w:r>
          </w:p>
        </w:tc>
      </w:tr>
      <w:tr w:rsidR="002C6CA1" w:rsidRPr="009508BD" w14:paraId="2F0B5AE4" w14:textId="77777777" w:rsidTr="002C6C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003FC86" w14:textId="77777777" w:rsidR="002C6CA1" w:rsidRPr="009508BD" w:rsidRDefault="002C6CA1" w:rsidP="009508BD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Il-Greċja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3FB859C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9,2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3417EDA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29,1</w:t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2AC281F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-216 %</w:t>
            </w:r>
          </w:p>
        </w:tc>
      </w:tr>
      <w:tr w:rsidR="002C6CA1" w:rsidRPr="009508BD" w14:paraId="6FBF1F2A" w14:textId="77777777" w:rsidTr="002C6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1AABC49" w14:textId="77777777" w:rsidR="002C6CA1" w:rsidRPr="009508BD" w:rsidRDefault="002C6CA1" w:rsidP="009508BD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Spanja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E062617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25,8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CF03DEF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26,9</w:t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784E426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-4 %</w:t>
            </w:r>
          </w:p>
        </w:tc>
      </w:tr>
      <w:tr w:rsidR="002C6CA1" w:rsidRPr="009508BD" w14:paraId="48CB5227" w14:textId="77777777" w:rsidTr="002C6C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21B846C" w14:textId="77777777" w:rsidR="002C6CA1" w:rsidRPr="009508BD" w:rsidRDefault="002C6CA1" w:rsidP="009508BD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Franza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4B3E7F2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176,8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4D5F80B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41,6</w:t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F99A2A0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76 %</w:t>
            </w:r>
          </w:p>
        </w:tc>
      </w:tr>
      <w:tr w:rsidR="002C6CA1" w:rsidRPr="009508BD" w14:paraId="0D69F4D9" w14:textId="77777777" w:rsidTr="002C6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B1B7FFB" w14:textId="77777777" w:rsidR="002C6CA1" w:rsidRPr="009508BD" w:rsidRDefault="002C6CA1" w:rsidP="009508BD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Il-Kroazja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909838C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483,1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D0850A6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425,1</w:t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30AD262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12 %</w:t>
            </w:r>
          </w:p>
        </w:tc>
      </w:tr>
      <w:tr w:rsidR="002C6CA1" w:rsidRPr="009508BD" w14:paraId="12E3A0C6" w14:textId="77777777" w:rsidTr="002C6C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4E2D664" w14:textId="77777777" w:rsidR="002C6CA1" w:rsidRPr="009508BD" w:rsidRDefault="002C6CA1" w:rsidP="009508BD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L-Italja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D478A16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288,8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C8968B0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194,8</w:t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E81FF60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33 %</w:t>
            </w:r>
          </w:p>
        </w:tc>
      </w:tr>
      <w:tr w:rsidR="002C6CA1" w:rsidRPr="009508BD" w14:paraId="5109915B" w14:textId="77777777" w:rsidTr="002C6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19B75BD" w14:textId="77777777" w:rsidR="002C6CA1" w:rsidRPr="009508BD" w:rsidRDefault="002C6CA1" w:rsidP="009508BD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Ċipru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400BB24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0,0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B1801A3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0,0</w:t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3038E79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-9 %</w:t>
            </w:r>
          </w:p>
        </w:tc>
      </w:tr>
      <w:tr w:rsidR="002C6CA1" w:rsidRPr="009508BD" w14:paraId="0B68972A" w14:textId="77777777" w:rsidTr="002C6C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71A2579" w14:textId="77777777" w:rsidR="002C6CA1" w:rsidRPr="009508BD" w:rsidRDefault="002C6CA1" w:rsidP="009508BD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Il-Latvja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11C95DB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4,3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0ADD8FD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0,2</w:t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86A2100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94 %</w:t>
            </w:r>
          </w:p>
        </w:tc>
      </w:tr>
      <w:tr w:rsidR="002C6CA1" w:rsidRPr="009508BD" w14:paraId="12C5D1D5" w14:textId="77777777" w:rsidTr="002C6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67BCA1C" w14:textId="77777777" w:rsidR="002C6CA1" w:rsidRPr="009508BD" w:rsidRDefault="002C6CA1" w:rsidP="009508BD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Il-Litwanja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6057DF0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6,2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BBD0F3D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1,3</w:t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EFE9A0F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79 %</w:t>
            </w:r>
          </w:p>
        </w:tc>
      </w:tr>
      <w:tr w:rsidR="002C6CA1" w:rsidRPr="009508BD" w14:paraId="06536B90" w14:textId="77777777" w:rsidTr="002C6C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A0F899B" w14:textId="77777777" w:rsidR="002C6CA1" w:rsidRPr="009508BD" w:rsidRDefault="002C6CA1" w:rsidP="009508BD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Il-Lussemburgu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11EE61C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39,9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96EA21B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3,1</w:t>
            </w:r>
          </w:p>
        </w:tc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44DA8CC" w14:textId="77777777" w:rsidR="002C6CA1" w:rsidRPr="009508BD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92 %</w:t>
            </w:r>
          </w:p>
        </w:tc>
      </w:tr>
    </w:tbl>
    <w:tbl>
      <w:tblPr>
        <w:tblStyle w:val="EuropeanCommission1"/>
        <w:tblW w:w="4517" w:type="pct"/>
        <w:tblInd w:w="0" w:type="dxa"/>
        <w:tblLook w:val="04A0" w:firstRow="1" w:lastRow="0" w:firstColumn="1" w:lastColumn="0" w:noHBand="0" w:noVBand="1"/>
      </w:tblPr>
      <w:tblGrid>
        <w:gridCol w:w="1851"/>
        <w:gridCol w:w="1660"/>
        <w:gridCol w:w="1899"/>
        <w:gridCol w:w="2563"/>
      </w:tblGrid>
      <w:tr w:rsidR="002C6CA1" w:rsidRPr="009508BD" w14:paraId="5CA5C828" w14:textId="77777777" w:rsidTr="00AA6A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  <w:tcBorders>
              <w:top w:val="nil"/>
            </w:tcBorders>
            <w:shd w:val="clear" w:color="auto" w:fill="E5DFEC" w:themeFill="accent4" w:themeFillTint="33"/>
            <w:hideMark/>
          </w:tcPr>
          <w:p w14:paraId="47D2DE2B" w14:textId="5CF88EF4" w:rsidR="002C6CA1" w:rsidRPr="009508BD" w:rsidRDefault="002C6CA1" w:rsidP="004D3F90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L-Ungerija</w:t>
            </w:r>
          </w:p>
        </w:tc>
        <w:tc>
          <w:tcPr>
            <w:tcW w:w="1041" w:type="pct"/>
            <w:tcBorders>
              <w:top w:val="nil"/>
            </w:tcBorders>
            <w:shd w:val="clear" w:color="auto" w:fill="E5DFEC" w:themeFill="accent4" w:themeFillTint="33"/>
          </w:tcPr>
          <w:p w14:paraId="7FA1ED09" w14:textId="5A7AF60A" w:rsidR="002C6CA1" w:rsidRPr="009508BD" w:rsidRDefault="002C6CA1" w:rsidP="002C6CA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</w:rPr>
            </w:pPr>
            <w:r>
              <w:rPr>
                <w:b w:val="0"/>
                <w:noProof/>
              </w:rPr>
              <w:t>25,9</w:t>
            </w:r>
          </w:p>
        </w:tc>
        <w:tc>
          <w:tcPr>
            <w:tcW w:w="1191" w:type="pct"/>
            <w:tcBorders>
              <w:top w:val="nil"/>
            </w:tcBorders>
            <w:shd w:val="clear" w:color="auto" w:fill="E5DFEC" w:themeFill="accent4" w:themeFillTint="33"/>
            <w:hideMark/>
          </w:tcPr>
          <w:p w14:paraId="020F752C" w14:textId="5CCBCB31" w:rsidR="002C6CA1" w:rsidRPr="009508BD" w:rsidRDefault="002C6CA1" w:rsidP="002C6CA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</w:rPr>
            </w:pPr>
            <w:r>
              <w:rPr>
                <w:b w:val="0"/>
                <w:noProof/>
              </w:rPr>
              <w:t>10,8</w:t>
            </w:r>
          </w:p>
        </w:tc>
        <w:tc>
          <w:tcPr>
            <w:tcW w:w="1607" w:type="pct"/>
            <w:tcBorders>
              <w:top w:val="nil"/>
            </w:tcBorders>
            <w:shd w:val="clear" w:color="auto" w:fill="E5DFEC" w:themeFill="accent4" w:themeFillTint="33"/>
          </w:tcPr>
          <w:p w14:paraId="260ED90D" w14:textId="4D49905A" w:rsidR="002C6CA1" w:rsidRPr="009508BD" w:rsidRDefault="002C6CA1" w:rsidP="002C6CA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</w:rPr>
            </w:pPr>
            <w:r>
              <w:rPr>
                <w:b w:val="0"/>
                <w:noProof/>
              </w:rPr>
              <w:t>59 %</w:t>
            </w:r>
          </w:p>
        </w:tc>
      </w:tr>
      <w:tr w:rsidR="002C6CA1" w:rsidRPr="009508BD" w14:paraId="48CEC983" w14:textId="77777777" w:rsidTr="00AA6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  <w:tcBorders>
              <w:top w:val="nil"/>
            </w:tcBorders>
            <w:shd w:val="clear" w:color="auto" w:fill="F2F2F2" w:themeFill="background1" w:themeFillShade="F2"/>
            <w:hideMark/>
          </w:tcPr>
          <w:p w14:paraId="25018608" w14:textId="77777777" w:rsidR="002C6CA1" w:rsidRPr="009508BD" w:rsidRDefault="002C6CA1" w:rsidP="004D3F90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Malta</w:t>
            </w:r>
          </w:p>
        </w:tc>
        <w:tc>
          <w:tcPr>
            <w:tcW w:w="1041" w:type="pct"/>
            <w:tcBorders>
              <w:top w:val="nil"/>
            </w:tcBorders>
            <w:shd w:val="clear" w:color="auto" w:fill="F2F2F2" w:themeFill="background1" w:themeFillShade="F2"/>
          </w:tcPr>
          <w:p w14:paraId="467FAB16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</w:p>
        </w:tc>
        <w:tc>
          <w:tcPr>
            <w:tcW w:w="1191" w:type="pct"/>
            <w:tcBorders>
              <w:top w:val="nil"/>
            </w:tcBorders>
            <w:shd w:val="clear" w:color="auto" w:fill="F2F2F2" w:themeFill="background1" w:themeFillShade="F2"/>
            <w:hideMark/>
          </w:tcPr>
          <w:p w14:paraId="2AD33E17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0,0</w:t>
            </w:r>
          </w:p>
        </w:tc>
        <w:tc>
          <w:tcPr>
            <w:tcW w:w="1607" w:type="pct"/>
            <w:tcBorders>
              <w:top w:val="nil"/>
            </w:tcBorders>
            <w:shd w:val="clear" w:color="auto" w:fill="F2F2F2" w:themeFill="background1" w:themeFillShade="F2"/>
          </w:tcPr>
          <w:p w14:paraId="0501BCB2" w14:textId="77777777" w:rsidR="002C6CA1" w:rsidRPr="009508BD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</w:p>
        </w:tc>
      </w:tr>
      <w:tr w:rsidR="002C6CA1" w14:paraId="361394D1" w14:textId="77777777" w:rsidTr="00AA6A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  <w:shd w:val="clear" w:color="auto" w:fill="E5DFEC" w:themeFill="accent4" w:themeFillTint="33"/>
            <w:hideMark/>
          </w:tcPr>
          <w:p w14:paraId="6A682689" w14:textId="77777777" w:rsidR="002C6CA1" w:rsidRDefault="002C6CA1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In-Netherlands</w:t>
            </w:r>
          </w:p>
        </w:tc>
        <w:tc>
          <w:tcPr>
            <w:tcW w:w="1041" w:type="pct"/>
            <w:shd w:val="clear" w:color="auto" w:fill="E5DFEC" w:themeFill="accent4" w:themeFillTint="33"/>
            <w:hideMark/>
          </w:tcPr>
          <w:p w14:paraId="389B46E9" w14:textId="190180DD" w:rsidR="002C6CA1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0,09 g</w:t>
            </w:r>
          </w:p>
        </w:tc>
        <w:tc>
          <w:tcPr>
            <w:tcW w:w="1191" w:type="pct"/>
            <w:shd w:val="clear" w:color="auto" w:fill="E5DFEC" w:themeFill="accent4" w:themeFillTint="33"/>
            <w:hideMark/>
          </w:tcPr>
          <w:p w14:paraId="37FC3D20" w14:textId="67D7EE14" w:rsidR="002C6CA1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0,09 g</w:t>
            </w:r>
          </w:p>
        </w:tc>
        <w:tc>
          <w:tcPr>
            <w:tcW w:w="1607" w:type="pct"/>
            <w:shd w:val="clear" w:color="auto" w:fill="E5DFEC" w:themeFill="accent4" w:themeFillTint="33"/>
            <w:hideMark/>
          </w:tcPr>
          <w:p w14:paraId="62C1BE5A" w14:textId="77777777" w:rsidR="002C6CA1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0 %</w:t>
            </w:r>
          </w:p>
        </w:tc>
      </w:tr>
      <w:tr w:rsidR="002C6CA1" w14:paraId="4A7C06BC" w14:textId="77777777" w:rsidTr="00AA6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  <w:shd w:val="clear" w:color="auto" w:fill="F2F2F2" w:themeFill="background1" w:themeFillShade="F2"/>
            <w:hideMark/>
          </w:tcPr>
          <w:p w14:paraId="2840E055" w14:textId="77777777" w:rsidR="002C6CA1" w:rsidRDefault="002C6CA1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L-Awstrija</w:t>
            </w:r>
          </w:p>
        </w:tc>
        <w:tc>
          <w:tcPr>
            <w:tcW w:w="1041" w:type="pct"/>
            <w:shd w:val="clear" w:color="auto" w:fill="F2F2F2" w:themeFill="background1" w:themeFillShade="F2"/>
            <w:noWrap/>
            <w:hideMark/>
          </w:tcPr>
          <w:p w14:paraId="5BEADE84" w14:textId="77777777" w:rsidR="002C6CA1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47,2</w:t>
            </w:r>
          </w:p>
        </w:tc>
        <w:tc>
          <w:tcPr>
            <w:tcW w:w="1191" w:type="pct"/>
            <w:shd w:val="clear" w:color="auto" w:fill="F2F2F2" w:themeFill="background1" w:themeFillShade="F2"/>
            <w:noWrap/>
            <w:hideMark/>
          </w:tcPr>
          <w:p w14:paraId="5C674C49" w14:textId="77777777" w:rsidR="002C6CA1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35,7</w:t>
            </w:r>
          </w:p>
        </w:tc>
        <w:tc>
          <w:tcPr>
            <w:tcW w:w="1607" w:type="pct"/>
            <w:shd w:val="clear" w:color="auto" w:fill="F2F2F2" w:themeFill="background1" w:themeFillShade="F2"/>
            <w:noWrap/>
            <w:hideMark/>
          </w:tcPr>
          <w:p w14:paraId="01E680AA" w14:textId="77777777" w:rsidR="002C6CA1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24 %</w:t>
            </w:r>
          </w:p>
        </w:tc>
      </w:tr>
      <w:tr w:rsidR="002C6CA1" w14:paraId="1487870A" w14:textId="77777777" w:rsidTr="00AA6A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  <w:shd w:val="clear" w:color="auto" w:fill="E5DFEC" w:themeFill="accent4" w:themeFillTint="33"/>
            <w:hideMark/>
          </w:tcPr>
          <w:p w14:paraId="131B2992" w14:textId="77777777" w:rsidR="002C6CA1" w:rsidRDefault="002C6CA1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Il-Polonja</w:t>
            </w:r>
          </w:p>
        </w:tc>
        <w:tc>
          <w:tcPr>
            <w:tcW w:w="1041" w:type="pct"/>
            <w:shd w:val="clear" w:color="auto" w:fill="E5DFEC" w:themeFill="accent4" w:themeFillTint="33"/>
            <w:noWrap/>
            <w:hideMark/>
          </w:tcPr>
          <w:p w14:paraId="1416789E" w14:textId="77777777" w:rsidR="002C6CA1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760,6</w:t>
            </w:r>
          </w:p>
        </w:tc>
        <w:tc>
          <w:tcPr>
            <w:tcW w:w="1191" w:type="pct"/>
            <w:shd w:val="clear" w:color="auto" w:fill="E5DFEC" w:themeFill="accent4" w:themeFillTint="33"/>
            <w:noWrap/>
            <w:hideMark/>
          </w:tcPr>
          <w:p w14:paraId="3D1E102D" w14:textId="77777777" w:rsidR="002C6CA1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627,3</w:t>
            </w:r>
          </w:p>
        </w:tc>
        <w:tc>
          <w:tcPr>
            <w:tcW w:w="1607" w:type="pct"/>
            <w:shd w:val="clear" w:color="auto" w:fill="E5DFEC" w:themeFill="accent4" w:themeFillTint="33"/>
            <w:noWrap/>
            <w:hideMark/>
          </w:tcPr>
          <w:p w14:paraId="455F72D4" w14:textId="77777777" w:rsidR="002C6CA1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18 %</w:t>
            </w:r>
          </w:p>
        </w:tc>
      </w:tr>
      <w:tr w:rsidR="002C6CA1" w14:paraId="51D7EEB3" w14:textId="77777777" w:rsidTr="00AA6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  <w:shd w:val="clear" w:color="auto" w:fill="F2F2F2" w:themeFill="background1" w:themeFillShade="F2"/>
            <w:hideMark/>
          </w:tcPr>
          <w:p w14:paraId="2E544168" w14:textId="77777777" w:rsidR="002C6CA1" w:rsidRDefault="002C6CA1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Il-Portugall</w:t>
            </w:r>
          </w:p>
        </w:tc>
        <w:tc>
          <w:tcPr>
            <w:tcW w:w="1041" w:type="pct"/>
            <w:shd w:val="clear" w:color="auto" w:fill="F2F2F2" w:themeFill="background1" w:themeFillShade="F2"/>
            <w:noWrap/>
            <w:hideMark/>
          </w:tcPr>
          <w:p w14:paraId="715E0427" w14:textId="77777777" w:rsidR="002C6CA1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2 305,7</w:t>
            </w:r>
          </w:p>
        </w:tc>
        <w:tc>
          <w:tcPr>
            <w:tcW w:w="1191" w:type="pct"/>
            <w:shd w:val="clear" w:color="auto" w:fill="F2F2F2" w:themeFill="background1" w:themeFillShade="F2"/>
            <w:noWrap/>
            <w:hideMark/>
          </w:tcPr>
          <w:p w14:paraId="3ED2300C" w14:textId="696B70A0" w:rsidR="002C6CA1" w:rsidRDefault="009E6A49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85,9</w:t>
            </w:r>
          </w:p>
        </w:tc>
        <w:tc>
          <w:tcPr>
            <w:tcW w:w="1607" w:type="pct"/>
            <w:shd w:val="clear" w:color="auto" w:fill="F2F2F2" w:themeFill="background1" w:themeFillShade="F2"/>
            <w:noWrap/>
            <w:hideMark/>
          </w:tcPr>
          <w:p w14:paraId="208A1B25" w14:textId="59CCA3E2" w:rsidR="002C6CA1" w:rsidRDefault="009E6A49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96 %</w:t>
            </w:r>
          </w:p>
        </w:tc>
      </w:tr>
      <w:tr w:rsidR="002C6CA1" w14:paraId="5CB24423" w14:textId="77777777" w:rsidTr="00AA6A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  <w:shd w:val="clear" w:color="auto" w:fill="E5DFEC" w:themeFill="accent4" w:themeFillTint="33"/>
            <w:hideMark/>
          </w:tcPr>
          <w:p w14:paraId="63ED300D" w14:textId="77777777" w:rsidR="002C6CA1" w:rsidRDefault="002C6CA1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Ir-Rumanija</w:t>
            </w:r>
          </w:p>
        </w:tc>
        <w:tc>
          <w:tcPr>
            <w:tcW w:w="1041" w:type="pct"/>
            <w:shd w:val="clear" w:color="auto" w:fill="E5DFEC" w:themeFill="accent4" w:themeFillTint="33"/>
            <w:noWrap/>
            <w:hideMark/>
          </w:tcPr>
          <w:p w14:paraId="1D595990" w14:textId="77777777" w:rsidR="002C6CA1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134,7</w:t>
            </w:r>
          </w:p>
        </w:tc>
        <w:tc>
          <w:tcPr>
            <w:tcW w:w="1191" w:type="pct"/>
            <w:shd w:val="clear" w:color="auto" w:fill="E5DFEC" w:themeFill="accent4" w:themeFillTint="33"/>
            <w:noWrap/>
            <w:hideMark/>
          </w:tcPr>
          <w:p w14:paraId="07CD9FF0" w14:textId="77777777" w:rsidR="002C6CA1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20,2</w:t>
            </w:r>
          </w:p>
        </w:tc>
        <w:tc>
          <w:tcPr>
            <w:tcW w:w="1607" w:type="pct"/>
            <w:shd w:val="clear" w:color="auto" w:fill="E5DFEC" w:themeFill="accent4" w:themeFillTint="33"/>
            <w:noWrap/>
            <w:hideMark/>
          </w:tcPr>
          <w:p w14:paraId="767D7D9F" w14:textId="77777777" w:rsidR="002C6CA1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85 %</w:t>
            </w:r>
          </w:p>
        </w:tc>
      </w:tr>
      <w:tr w:rsidR="002C6CA1" w14:paraId="3DEE1F6E" w14:textId="77777777" w:rsidTr="00AA6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  <w:shd w:val="clear" w:color="auto" w:fill="F2F2F2" w:themeFill="background1" w:themeFillShade="F2"/>
            <w:hideMark/>
          </w:tcPr>
          <w:p w14:paraId="3DECCAFB" w14:textId="77777777" w:rsidR="002C6CA1" w:rsidRDefault="002C6CA1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Is-Slovenja</w:t>
            </w:r>
          </w:p>
        </w:tc>
        <w:tc>
          <w:tcPr>
            <w:tcW w:w="1041" w:type="pct"/>
            <w:shd w:val="clear" w:color="auto" w:fill="F2F2F2" w:themeFill="background1" w:themeFillShade="F2"/>
            <w:noWrap/>
            <w:hideMark/>
          </w:tcPr>
          <w:p w14:paraId="4033D7F9" w14:textId="77777777" w:rsidR="002C6CA1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416,9</w:t>
            </w:r>
          </w:p>
        </w:tc>
        <w:tc>
          <w:tcPr>
            <w:tcW w:w="1191" w:type="pct"/>
            <w:shd w:val="clear" w:color="auto" w:fill="F2F2F2" w:themeFill="background1" w:themeFillShade="F2"/>
            <w:noWrap/>
            <w:hideMark/>
          </w:tcPr>
          <w:p w14:paraId="1FF14EAA" w14:textId="77777777" w:rsidR="002C6CA1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38,9</w:t>
            </w:r>
          </w:p>
        </w:tc>
        <w:tc>
          <w:tcPr>
            <w:tcW w:w="1607" w:type="pct"/>
            <w:shd w:val="clear" w:color="auto" w:fill="F2F2F2" w:themeFill="background1" w:themeFillShade="F2"/>
            <w:noWrap/>
            <w:hideMark/>
          </w:tcPr>
          <w:p w14:paraId="0763961F" w14:textId="77777777" w:rsidR="002C6CA1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91 %</w:t>
            </w:r>
          </w:p>
        </w:tc>
      </w:tr>
      <w:tr w:rsidR="002C6CA1" w14:paraId="6CFB3227" w14:textId="77777777" w:rsidTr="00AA6A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  <w:shd w:val="clear" w:color="auto" w:fill="E5DFEC" w:themeFill="accent4" w:themeFillTint="33"/>
            <w:hideMark/>
          </w:tcPr>
          <w:p w14:paraId="73389EDE" w14:textId="77777777" w:rsidR="002C6CA1" w:rsidRDefault="002C6CA1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Is-Slovakkja</w:t>
            </w:r>
          </w:p>
        </w:tc>
        <w:tc>
          <w:tcPr>
            <w:tcW w:w="1041" w:type="pct"/>
            <w:shd w:val="clear" w:color="auto" w:fill="E5DFEC" w:themeFill="accent4" w:themeFillTint="33"/>
            <w:noWrap/>
            <w:hideMark/>
          </w:tcPr>
          <w:p w14:paraId="5E3397AB" w14:textId="77777777" w:rsidR="002C6CA1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66,2</w:t>
            </w:r>
          </w:p>
        </w:tc>
        <w:tc>
          <w:tcPr>
            <w:tcW w:w="1191" w:type="pct"/>
            <w:shd w:val="clear" w:color="auto" w:fill="E5DFEC" w:themeFill="accent4" w:themeFillTint="33"/>
            <w:noWrap/>
            <w:hideMark/>
          </w:tcPr>
          <w:p w14:paraId="7C4E600C" w14:textId="77777777" w:rsidR="002C6CA1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18,4</w:t>
            </w:r>
          </w:p>
        </w:tc>
        <w:tc>
          <w:tcPr>
            <w:tcW w:w="1607" w:type="pct"/>
            <w:shd w:val="clear" w:color="auto" w:fill="E5DFEC" w:themeFill="accent4" w:themeFillTint="33"/>
            <w:noWrap/>
            <w:hideMark/>
          </w:tcPr>
          <w:p w14:paraId="65C79FE6" w14:textId="77777777" w:rsidR="002C6CA1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72 %</w:t>
            </w:r>
          </w:p>
        </w:tc>
      </w:tr>
      <w:tr w:rsidR="002C6CA1" w14:paraId="630098A5" w14:textId="77777777" w:rsidTr="00AA6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  <w:shd w:val="clear" w:color="auto" w:fill="F2F2F2" w:themeFill="background1" w:themeFillShade="F2"/>
            <w:hideMark/>
          </w:tcPr>
          <w:p w14:paraId="7BBFFBEC" w14:textId="77777777" w:rsidR="002C6CA1" w:rsidRDefault="002C6CA1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Il-Finlandja</w:t>
            </w:r>
          </w:p>
        </w:tc>
        <w:tc>
          <w:tcPr>
            <w:tcW w:w="1041" w:type="pct"/>
            <w:shd w:val="clear" w:color="auto" w:fill="F2F2F2" w:themeFill="background1" w:themeFillShade="F2"/>
            <w:noWrap/>
            <w:hideMark/>
          </w:tcPr>
          <w:p w14:paraId="0F309362" w14:textId="77777777" w:rsidR="002C6CA1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33,4</w:t>
            </w:r>
          </w:p>
        </w:tc>
        <w:tc>
          <w:tcPr>
            <w:tcW w:w="1191" w:type="pct"/>
            <w:shd w:val="clear" w:color="auto" w:fill="F2F2F2" w:themeFill="background1" w:themeFillShade="F2"/>
            <w:noWrap/>
            <w:hideMark/>
          </w:tcPr>
          <w:p w14:paraId="5592D9D0" w14:textId="77777777" w:rsidR="002C6CA1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35,7</w:t>
            </w:r>
          </w:p>
        </w:tc>
        <w:tc>
          <w:tcPr>
            <w:tcW w:w="1607" w:type="pct"/>
            <w:shd w:val="clear" w:color="auto" w:fill="F2F2F2" w:themeFill="background1" w:themeFillShade="F2"/>
            <w:noWrap/>
            <w:hideMark/>
          </w:tcPr>
          <w:p w14:paraId="7DBAD7C7" w14:textId="77777777" w:rsidR="002C6CA1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-7 %</w:t>
            </w:r>
          </w:p>
        </w:tc>
      </w:tr>
      <w:tr w:rsidR="002C6CA1" w14:paraId="36055C6F" w14:textId="77777777" w:rsidTr="00AA6A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  <w:shd w:val="clear" w:color="auto" w:fill="E5DFEC" w:themeFill="accent4" w:themeFillTint="33"/>
            <w:hideMark/>
          </w:tcPr>
          <w:p w14:paraId="28ECE063" w14:textId="77777777" w:rsidR="002C6CA1" w:rsidRDefault="002C6CA1">
            <w:pPr>
              <w:spacing w:before="80" w:after="80"/>
              <w:jc w:val="left"/>
              <w:rPr>
                <w:bCs/>
                <w:noProof/>
              </w:rPr>
            </w:pPr>
            <w:r>
              <w:rPr>
                <w:noProof/>
              </w:rPr>
              <w:t>L-Iżvezja</w:t>
            </w:r>
          </w:p>
        </w:tc>
        <w:tc>
          <w:tcPr>
            <w:tcW w:w="1041" w:type="pct"/>
            <w:shd w:val="clear" w:color="auto" w:fill="E5DFEC" w:themeFill="accent4" w:themeFillTint="33"/>
            <w:noWrap/>
            <w:hideMark/>
          </w:tcPr>
          <w:p w14:paraId="226905C4" w14:textId="77777777" w:rsidR="002C6CA1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9,0</w:t>
            </w:r>
          </w:p>
        </w:tc>
        <w:tc>
          <w:tcPr>
            <w:tcW w:w="1191" w:type="pct"/>
            <w:shd w:val="clear" w:color="auto" w:fill="E5DFEC" w:themeFill="accent4" w:themeFillTint="33"/>
            <w:noWrap/>
            <w:hideMark/>
          </w:tcPr>
          <w:p w14:paraId="320EF4D7" w14:textId="77777777" w:rsidR="002C6CA1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9,1</w:t>
            </w:r>
          </w:p>
        </w:tc>
        <w:tc>
          <w:tcPr>
            <w:tcW w:w="1607" w:type="pct"/>
            <w:shd w:val="clear" w:color="auto" w:fill="E5DFEC" w:themeFill="accent4" w:themeFillTint="33"/>
            <w:noWrap/>
            <w:hideMark/>
          </w:tcPr>
          <w:p w14:paraId="02D39E45" w14:textId="77777777" w:rsidR="002C6CA1" w:rsidRDefault="002C6CA1" w:rsidP="002C6CA1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-2 %</w:t>
            </w:r>
          </w:p>
        </w:tc>
      </w:tr>
      <w:tr w:rsidR="002C6CA1" w14:paraId="5A43DCA8" w14:textId="77777777" w:rsidTr="00AA6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  <w:shd w:val="clear" w:color="auto" w:fill="F2F2F2" w:themeFill="background1" w:themeFillShade="F2"/>
            <w:hideMark/>
          </w:tcPr>
          <w:p w14:paraId="06B7F040" w14:textId="329CC319" w:rsidR="002C6CA1" w:rsidRDefault="002C6CA1" w:rsidP="004D3F90">
            <w:pPr>
              <w:spacing w:before="80" w:after="80"/>
              <w:jc w:val="left"/>
              <w:rPr>
                <w:bCs/>
                <w:noProof/>
                <w:color w:val="auto"/>
              </w:rPr>
            </w:pPr>
            <w:r>
              <w:rPr>
                <w:noProof/>
                <w:color w:val="auto"/>
              </w:rPr>
              <w:t>Ir-Renju Unit</w:t>
            </w:r>
          </w:p>
        </w:tc>
        <w:tc>
          <w:tcPr>
            <w:tcW w:w="1041" w:type="pct"/>
            <w:shd w:val="clear" w:color="auto" w:fill="F2F2F2" w:themeFill="background1" w:themeFillShade="F2"/>
            <w:noWrap/>
            <w:hideMark/>
          </w:tcPr>
          <w:p w14:paraId="59887AF3" w14:textId="77777777" w:rsidR="002C6CA1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6 744,5</w:t>
            </w:r>
          </w:p>
        </w:tc>
        <w:tc>
          <w:tcPr>
            <w:tcW w:w="1191" w:type="pct"/>
            <w:shd w:val="clear" w:color="auto" w:fill="F2F2F2" w:themeFill="background1" w:themeFillShade="F2"/>
            <w:noWrap/>
            <w:hideMark/>
          </w:tcPr>
          <w:p w14:paraId="63E1A2DA" w14:textId="77777777" w:rsidR="002C6CA1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608,5</w:t>
            </w:r>
          </w:p>
        </w:tc>
        <w:tc>
          <w:tcPr>
            <w:tcW w:w="1607" w:type="pct"/>
            <w:shd w:val="clear" w:color="auto" w:fill="F2F2F2" w:themeFill="background1" w:themeFillShade="F2"/>
            <w:noWrap/>
            <w:hideMark/>
          </w:tcPr>
          <w:p w14:paraId="62317895" w14:textId="77777777" w:rsidR="002C6CA1" w:rsidRDefault="002C6CA1" w:rsidP="002C6CA1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</w:rPr>
            </w:pPr>
            <w:r>
              <w:rPr>
                <w:noProof/>
              </w:rPr>
              <w:t>91 %</w:t>
            </w:r>
          </w:p>
        </w:tc>
      </w:tr>
    </w:tbl>
    <w:p w14:paraId="37EDED4A" w14:textId="4006D129" w:rsidR="003A3A32" w:rsidRDefault="003A3A32" w:rsidP="000A3E70">
      <w:pPr>
        <w:pStyle w:val="ECBody"/>
        <w:rPr>
          <w:noProof/>
        </w:rPr>
      </w:pPr>
    </w:p>
    <w:p w14:paraId="13259226" w14:textId="77777777" w:rsidR="000C7431" w:rsidRPr="00227A49" w:rsidRDefault="000C7431" w:rsidP="000C7431">
      <w:pPr>
        <w:pStyle w:val="ECBody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Hemm 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limitata disponibbli għal vetturi oħrajn lil hinn mill-arja għall-PAHs. Madankollu, abbażi tal-erba’ Stati Membri li pprovdew 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(CZ, ES, NL, UK), l-ilma u r-residwi huma wkoll vetturi ewlenin tal-emissjonijiet għall-PAHs. Tqabbil mal-E-PRTR issuġġerixxa li s-sors ewlieni tal-emissjonijiet tal-PAH fl-ilma kien proċessi ta’ raffinament taż-żejt mhux maħdum, filwaqt li l-iskart ta’ kombustjoni, skart metallurġiku u skart ta’ awtotiswija kienu kollha sorsi importanti għar-residwu.</w:t>
      </w:r>
    </w:p>
    <w:p w14:paraId="23647607" w14:textId="77777777" w:rsidR="000C7431" w:rsidRPr="00227A49" w:rsidRDefault="000C7431" w:rsidP="00D96EF2">
      <w:pPr>
        <w:pStyle w:val="ECBody"/>
        <w:spacing w:after="120"/>
        <w:rPr>
          <w:rFonts w:ascii="Times New Roman" w:hAnsi="Times New Roman"/>
          <w:i/>
          <w:noProof/>
          <w:sz w:val="24"/>
        </w:rPr>
      </w:pPr>
      <w:r>
        <w:rPr>
          <w:rFonts w:ascii="Times New Roman" w:hAnsi="Times New Roman"/>
          <w:i/>
          <w:noProof/>
          <w:sz w:val="24"/>
        </w:rPr>
        <w:t>Il-klorobenżeni (l-eżaklorobenżen u l-pentaklorobenżen)</w:t>
      </w:r>
    </w:p>
    <w:p w14:paraId="6010A330" w14:textId="63CD88F2" w:rsidR="000C7431" w:rsidRPr="00227A49" w:rsidRDefault="000C7431" w:rsidP="000C7431">
      <w:pPr>
        <w:pStyle w:val="ECBody"/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L-eżaklorobenżen (HCB) ġie identifikat bħala sustanza tal-Anness III fl-2004 u fl-2010, il-pentaklorobenżen (PeCB) żdied mal-Anness I u III tar-Regolament wara ż-żieda tiegħu mal-Konvenzjoni ta’ Stokkolma. Kemm l-HCB kif ukoll il-PeCB kienu ntużaw kummerċjalment bħala pestiċidi, iżda jinħolqu wkoll bħala prodott sekondarju ta’ proċessi industrijali, b’mod partikolari l-manifattura ta’ solventi kloroorganiċi. Il-PeCB intuża wkoll biex titnaqqas il-viskożità tal-PCBs f’tagħmir dielettriku. Kemm l-HCB kif ukoll il-PeCB jistgħu jiġu prodotti wkoll bħala prodott ta’ kombustjoni ta’ fjuwils fossili solidi, żejt għar-rimi u materjal ta’ skart.</w:t>
      </w:r>
    </w:p>
    <w:p w14:paraId="79514E90" w14:textId="77777777" w:rsidR="000C7431" w:rsidRPr="00227A49" w:rsidRDefault="000C7431" w:rsidP="000C7431">
      <w:pPr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L-istimi għall-PeCB huma limitati ħafna b’ħames Stati Membri biss li pprovdew stimi (CZ, ES, NL, AT, UK). L-istimi rrapportati jvarjaw minn anqas minn 0,01 kg għal 50 kg, u għal darba oħra juru varjazzjonijiet kbar bejn Stat Membru u ieħor. </w:t>
      </w:r>
    </w:p>
    <w:p w14:paraId="54BF89B8" w14:textId="4BBD42D2" w:rsidR="00F749A6" w:rsidRPr="00687E3A" w:rsidRDefault="00F749A6" w:rsidP="004D3F90">
      <w:pPr>
        <w:pStyle w:val="ECBody"/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tal-HCB sottomessa għall-arja fl-Illustrazzjoni 1 turi li 33 % tal-emissjonijiet kollha fl-arja jiġu mill-metallurġija bħala s-sors ewlieni. Madankollu, lil hinn mill-manifattur tal-metalli, il-kombustjoni tal-fjuwils fossili (b’mod partikolari l-faħam) tiddomina ħafna, bil-kombustjoni industrijali tal-fjuwils fossili (25 %), il-kombustjoni domestika (18 %), l-impjanti tal-enerġija (12 %) u l-kombustjonijiet agrikoli tal-fjuwils (1 %) flimkien jammontaw għal aktar minn nofs l-emissjonijiet kollha fl-arja (56 % tal-emissjonijiet kollha).  </w:t>
      </w:r>
    </w:p>
    <w:p w14:paraId="20BBF4C8" w14:textId="791CA645" w:rsidR="00340B45" w:rsidRPr="00D96EF2" w:rsidRDefault="00E45562" w:rsidP="00D96EF2">
      <w:pPr>
        <w:pStyle w:val="ECFigureTitle"/>
        <w:rPr>
          <w:noProof/>
        </w:rPr>
      </w:pPr>
      <w:bookmarkStart w:id="12" w:name="_Toc110929575"/>
      <w:r>
        <w:rPr>
          <w:noProof/>
        </w:rPr>
        <w:t>Illustrazzjoni 2: Mapep ta’ Monitoraġġ tal-EMEP għall-Ewropa. Id-Dijagramma “a” tippreżenta l-konċentrazzjonijiet fl-arja tal-1990, u d-Dijagramma “b” tippreżenta l-konċentrazzjonijiet fl-arja tal-2014</w:t>
      </w:r>
      <w:bookmarkEnd w:id="12"/>
    </w:p>
    <w:p w14:paraId="65AA5BE5" w14:textId="158AD0B4" w:rsidR="005B514B" w:rsidRPr="00F749A6" w:rsidRDefault="003A3A32" w:rsidP="000A3E70">
      <w:pPr>
        <w:pStyle w:val="ECBody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 Diossini u Furani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ascii="Times New Roman" w:hAnsi="Times New Roman"/>
          <w:noProof/>
          <w:sz w:val="24"/>
        </w:rPr>
        <w:t xml:space="preserve">  Poliklorobifenili</w:t>
      </w:r>
    </w:p>
    <w:p w14:paraId="539445B8" w14:textId="57B4912A" w:rsidR="005B514B" w:rsidRDefault="003A3A32" w:rsidP="000A3E70">
      <w:pPr>
        <w:pStyle w:val="ECBody"/>
        <w:rPr>
          <w:noProof/>
          <w:szCs w:val="20"/>
        </w:rPr>
      </w:pPr>
      <w:r>
        <w:rPr>
          <w:noProof/>
          <w:lang w:val="en-GB"/>
        </w:rPr>
        <w:drawing>
          <wp:inline distT="0" distB="0" distL="0" distR="0" wp14:anchorId="2AB287A7" wp14:editId="77DA4967">
            <wp:extent cx="2602523" cy="4507362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32" cy="455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val="en-GB"/>
        </w:rPr>
        <w:drawing>
          <wp:inline distT="0" distB="0" distL="0" distR="0" wp14:anchorId="77DA97F5" wp14:editId="089C3733">
            <wp:extent cx="2685011" cy="4538345"/>
            <wp:effectExtent l="0" t="0" r="127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90" cy="456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E8C1A" w14:textId="7D27F08C" w:rsidR="00340B45" w:rsidRPr="009A00FF" w:rsidRDefault="00E45562" w:rsidP="009A00FF">
      <w:pPr>
        <w:pStyle w:val="ECFigureTitle"/>
        <w:rPr>
          <w:noProof/>
        </w:rPr>
      </w:pPr>
      <w:bookmarkStart w:id="13" w:name="_Toc110929576"/>
      <w:r>
        <w:rPr>
          <w:noProof/>
        </w:rPr>
        <w:t>Illustrazzjoni 3: Mapep ta’ Monitoraġġ tal-EMEP għall-Ewropa. Id-Dijagramma “a” tippreżenta l-konċentrazzjonijiet fl-arja tal-1990, u d-Dijagramma “b” tippreżenta l-konċentrazzjonijiet fl-arja tal-2014</w:t>
      </w:r>
      <w:bookmarkEnd w:id="13"/>
    </w:p>
    <w:p w14:paraId="7C817D76" w14:textId="306206E6" w:rsidR="00340B45" w:rsidRPr="00F749A6" w:rsidRDefault="00340B45" w:rsidP="000A3E70">
      <w:pPr>
        <w:pStyle w:val="ECBody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Idrokarburi Poliaromatiċi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ascii="Times New Roman" w:hAnsi="Times New Roman"/>
          <w:noProof/>
          <w:sz w:val="24"/>
        </w:rPr>
        <w:t xml:space="preserve"> Eżaklorobenżen</w:t>
      </w:r>
    </w:p>
    <w:p w14:paraId="0EB704AB" w14:textId="3A385529" w:rsidR="00340B45" w:rsidRDefault="00340B45" w:rsidP="0081518B">
      <w:pPr>
        <w:pStyle w:val="ECBody"/>
        <w:ind w:hanging="284"/>
        <w:jc w:val="left"/>
        <w:rPr>
          <w:noProof/>
          <w:szCs w:val="20"/>
        </w:rPr>
      </w:pPr>
      <w:r>
        <w:rPr>
          <w:noProof/>
        </w:rPr>
        <w:t xml:space="preserve"> </w:t>
      </w:r>
      <w:r>
        <w:rPr>
          <w:noProof/>
          <w:lang w:val="en-GB"/>
        </w:rPr>
        <w:drawing>
          <wp:inline distT="0" distB="0" distL="0" distR="0" wp14:anchorId="6E646B21" wp14:editId="7574755A">
            <wp:extent cx="2271466" cy="3710354"/>
            <wp:effectExtent l="0" t="0" r="0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40" cy="374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en-GB"/>
        </w:rPr>
        <w:drawing>
          <wp:inline distT="0" distB="0" distL="0" distR="0" wp14:anchorId="38C5960E" wp14:editId="61C70EAC">
            <wp:extent cx="2278850" cy="3640015"/>
            <wp:effectExtent l="0" t="0" r="762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48" cy="36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BDB5" w14:textId="77777777" w:rsidR="00340B45" w:rsidRDefault="00340B45" w:rsidP="000A3E70">
      <w:pPr>
        <w:pStyle w:val="ECBody"/>
        <w:rPr>
          <w:noProof/>
          <w:szCs w:val="20"/>
        </w:rPr>
      </w:pPr>
    </w:p>
    <w:p w14:paraId="4A924B9A" w14:textId="77777777" w:rsidR="000C7431" w:rsidRPr="00687E3A" w:rsidRDefault="000C7431" w:rsidP="000C7431">
      <w:pPr>
        <w:pStyle w:val="ECBody"/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Il-monitoraġġ tal-EMEP indika tnaqqis sinifikanti fil-konċentrazzjonijiet fl-arja tal-HCB, li kien naqas b’85 % mill-1990 sal-2015. Madankollu, il-monitoraġġ tal-AMAP tal-arja tal-Artiku ppreżenta stampa differenti bi tnaqqis żgħir ħafna fil-konċentrazzjonijiet fl-arja tal-HCB fiż-żona tal-Artiku.</w:t>
      </w:r>
    </w:p>
    <w:p w14:paraId="0E4F8DFC" w14:textId="543BF13A" w:rsidR="000C7431" w:rsidRDefault="000C7431" w:rsidP="000C7431">
      <w:pPr>
        <w:pStyle w:val="ECBody"/>
        <w:spacing w:after="1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Hemm disponibbli 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limitata ħafna għal stimi ta’ emissjonijiet għal vetturi mhux tal-ajru, bi tmien Stati Membri biss (BE, CZ, IE, ES, FR, NL, SE, UK) jipprovdu tali informazzjoni fir-rapportar tagħhom tal-Artikolu 12 għall-HCB. Barra minn hekk, iċ-Ċekja, Spanja, l-Awstrija u r-Renju Unit ipprovdew stimi tal-emissjonijiet tal-PeCB lil vetturi oħra. Abbażi ta’ dik id-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>, l-ilma u r-residwu huma t-tieni l-aktar vetturi ta’ emissjonijiet sinifikanti wara l-arja għall-HCB, bl-ilma u l-art ikunu ta’ importanza kbira għall-PeCB.</w:t>
      </w:r>
    </w:p>
    <w:p w14:paraId="2150C4E8" w14:textId="38B4913C" w:rsidR="000F2AC8" w:rsidRPr="00593701" w:rsidRDefault="006D0223" w:rsidP="006D0223">
      <w:pPr>
        <w:pStyle w:val="Heading1"/>
        <w:rPr>
          <w:rFonts w:cs="Times New Roman"/>
          <w:noProof/>
          <w:szCs w:val="24"/>
        </w:rPr>
      </w:pPr>
      <w:bookmarkStart w:id="14" w:name="_Toc113279266"/>
      <w:r w:rsidRPr="006D0223">
        <w:t>4.</w:t>
      </w:r>
      <w:r w:rsidRPr="006D0223">
        <w:tab/>
      </w:r>
      <w:r w:rsidR="00340B45">
        <w:rPr>
          <w:noProof/>
        </w:rPr>
        <w:t>Attivitajiet li jippromwovu l-iskambju ta’ għarfien</w:t>
      </w:r>
      <w:bookmarkEnd w:id="14"/>
    </w:p>
    <w:p w14:paraId="329EB101" w14:textId="3C450CCF" w:rsidR="000A3E70" w:rsidRPr="00227A49" w:rsidRDefault="00905025" w:rsidP="000A3E70">
      <w:pPr>
        <w:pStyle w:val="ECBody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Tmintax-il Stat Membru (BE, BG, CY, CZ, DK, DE, EE, IE, LV, LU, NL, AT, PL, PT, RO, SI, SE, UK) ipprovdew rapporti triennali sħaħ bħala parti mir-rapportar tal-Artikolu 12. Erba’ Stati Membri (EL, IT, HU, MT) ma pprovdew l-ebda rapport annwali jew triennali. Dan għamilha diffiċli li wieħed jikkummenta dwar l-attivitajiet ta’ ċerti Stati Membri rigward l-iskambju tal-għarfien, l-involviment pubbliku, u l-għarfien.</w:t>
      </w:r>
    </w:p>
    <w:p w14:paraId="0CF93A19" w14:textId="0C85B4E5" w:rsidR="000A3E70" w:rsidRPr="00227A49" w:rsidRDefault="00D15C27" w:rsidP="000A3E70">
      <w:pPr>
        <w:pStyle w:val="ECBody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Ir-rapporti disponibbli indikaw li ġew stabbiliti sistemi li jippermettu l-iskambju tal-għarfien u t-tixrid tal-informazzjoni. Disa’ Stati Membri (BG, CZ, DE, FR, NL, PL, SI, RO, UK) ikkummentaw li għamlu użu min-networks tagħhom ta’ skambju ta’ għarfien biex jaħdmu bis-sħiħ mal-partijiet ikkonċernati fl-iżvilupp ta’ pjanijiet ta’ implimentazzjoni nazzjonali biex jiżguraw li l-industrija, l-akkademja, l-organizzazzjonijiet mhux governattivi u l-pubbliku ġenerali kienu involuti u kellhom l-opportunità li jsemmgħu leħinhom fix-xogħol li sar.</w:t>
      </w:r>
    </w:p>
    <w:p w14:paraId="5036968A" w14:textId="402D2F23" w:rsidR="000A3E70" w:rsidRPr="00227A49" w:rsidRDefault="000A5E11" w:rsidP="000A3E70">
      <w:pPr>
        <w:pStyle w:val="ECBody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Ħmistax-il Stat Membru (BE, CZ, DK, DE, IE, ES, FR, LV, LU, NL, PL, SI, SK, FI, SE) ipprovdew ukoll jew appoġġ finanzjarju jew appoġġ tekniku matul il-perjodu 2013-2015. Dan kien fil-biċċa l-kbira permezz ta’ skemi organizzati bħall-Fond Globali għall-Ambjent (GEF) jew l-Approċċ Strateġiku għall-Immaniġġar Internazzjonali ta’ Sustanzi Kimiċi (SAICM). </w:t>
      </w:r>
    </w:p>
    <w:p w14:paraId="593A1495" w14:textId="3115F49E" w:rsidR="000A3E70" w:rsidRPr="00227A49" w:rsidRDefault="000A3E70" w:rsidP="000A3E70">
      <w:pPr>
        <w:pStyle w:val="ECBody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Flimkien mal-appoġġ għall-iskemi globali, bosta Stati Membri kkummentaw ukoll dwar l-inizjattivi nazzjonali li kienu twettqu, li kienu jinkludu:</w:t>
      </w:r>
    </w:p>
    <w:p w14:paraId="243479EA" w14:textId="7766E5F1" w:rsidR="000A3E70" w:rsidRPr="00227A49" w:rsidRDefault="00870C12" w:rsidP="00DF7D86">
      <w:pPr>
        <w:pStyle w:val="ECBody"/>
        <w:numPr>
          <w:ilvl w:val="0"/>
          <w:numId w:val="15"/>
        </w:numPr>
        <w:spacing w:after="80"/>
        <w:ind w:left="714" w:hanging="357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l-ospitar ta’ workshops u konferenzi għal esperti internazzjonali;</w:t>
      </w:r>
    </w:p>
    <w:p w14:paraId="0C35BB0F" w14:textId="54951D0A" w:rsidR="000A3E70" w:rsidRPr="00227A49" w:rsidRDefault="00870C12" w:rsidP="00DF7D86">
      <w:pPr>
        <w:pStyle w:val="ECBody"/>
        <w:numPr>
          <w:ilvl w:val="0"/>
          <w:numId w:val="15"/>
        </w:numPr>
        <w:spacing w:after="80"/>
        <w:ind w:left="714" w:hanging="357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il-finanzjament ta’ programmi ta’ riċerka għal ħidma fuq l-iskart ta’ POPs fl-Afrika;</w:t>
      </w:r>
    </w:p>
    <w:p w14:paraId="0455F902" w14:textId="34809CB0" w:rsidR="000A3E70" w:rsidRPr="00227A49" w:rsidRDefault="00870C12" w:rsidP="00DF7D86">
      <w:pPr>
        <w:pStyle w:val="ECBody"/>
        <w:numPr>
          <w:ilvl w:val="0"/>
          <w:numId w:val="15"/>
        </w:numPr>
        <w:spacing w:after="80"/>
        <w:ind w:left="714" w:hanging="357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il-finanzjament ta’ programmi ta’ riċerka għall-monitoraġġ tal-Artiku;</w:t>
      </w:r>
    </w:p>
    <w:p w14:paraId="713E6AEF" w14:textId="77777777" w:rsidR="000A3E70" w:rsidRPr="00227A49" w:rsidRDefault="00870C12" w:rsidP="00DF7D86">
      <w:pPr>
        <w:pStyle w:val="ECBody"/>
        <w:numPr>
          <w:ilvl w:val="0"/>
          <w:numId w:val="15"/>
        </w:numPr>
        <w:spacing w:after="80"/>
        <w:ind w:left="714" w:hanging="357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il-komunikazzjoni bilaterali u l-bini tal-għarfien ma’ pajjiżi mhux tal-UE; u</w:t>
      </w:r>
    </w:p>
    <w:p w14:paraId="02994F49" w14:textId="65E4D82A" w:rsidR="000A3E70" w:rsidRPr="00227A49" w:rsidRDefault="00870C12" w:rsidP="00090EA7">
      <w:pPr>
        <w:pStyle w:val="ECBody"/>
        <w:numPr>
          <w:ilvl w:val="0"/>
          <w:numId w:val="15"/>
        </w:numPr>
        <w:spacing w:after="240"/>
        <w:ind w:left="714" w:hanging="357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l-programmi ta’ riċerka dwar il-preżenza ta’ POPs fi Stati li qabel kienu jiffurmaw parti mill-Unjoni Sovjetika.</w:t>
      </w:r>
    </w:p>
    <w:p w14:paraId="4E834BC1" w14:textId="77777777" w:rsidR="000A3E70" w:rsidRPr="00227A49" w:rsidRDefault="000A3E70" w:rsidP="000A3E70">
      <w:pPr>
        <w:pStyle w:val="ECBody"/>
        <w:spacing w:after="8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L-Istati Membri kkummentaw ukoll dwar il-ħidma biex jinħoloq għarfien u jkun hemm djalogu mal-pubbliku ġenerali. Ġew stabbiliti attivitajiet biex jippromwovu l-għarfien dwar kwistjonijiet relatati ma’ POPs permezz ta’ għadd ta’ inizjattivi bħal:</w:t>
      </w:r>
    </w:p>
    <w:p w14:paraId="1DFE19B6" w14:textId="354F1C0D" w:rsidR="000A3E70" w:rsidRPr="00227A49" w:rsidRDefault="003642F1" w:rsidP="00DF7D86">
      <w:pPr>
        <w:pStyle w:val="ECBody"/>
        <w:numPr>
          <w:ilvl w:val="0"/>
          <w:numId w:val="16"/>
        </w:numPr>
        <w:spacing w:after="8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il-produzzjoni ta’ informazzjoni li għandha tinqasam mal-pubbliku ġenerali;</w:t>
      </w:r>
    </w:p>
    <w:p w14:paraId="382D297E" w14:textId="44A84B1E" w:rsidR="000A3E70" w:rsidRPr="00227A49" w:rsidRDefault="003642F1" w:rsidP="00DF7D86">
      <w:pPr>
        <w:pStyle w:val="ECBody"/>
        <w:numPr>
          <w:ilvl w:val="0"/>
          <w:numId w:val="16"/>
        </w:numPr>
        <w:spacing w:after="8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workshops u seminars għall-organizzazzjonijiet tal-partijiet ikkonċernati;</w:t>
      </w:r>
    </w:p>
    <w:p w14:paraId="379DA077" w14:textId="77777777" w:rsidR="000A3E70" w:rsidRPr="00227A49" w:rsidRDefault="003642F1" w:rsidP="00DF7D86">
      <w:pPr>
        <w:pStyle w:val="ECBody"/>
        <w:numPr>
          <w:ilvl w:val="0"/>
          <w:numId w:val="16"/>
        </w:numPr>
        <w:spacing w:after="8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kampanji u kwestjonarji ta’ sensibilizzazzjoni biex jinkiseb feedback mill-pubbliku ġenerali.</w:t>
      </w:r>
    </w:p>
    <w:p w14:paraId="69C1BD5C" w14:textId="1F91D567" w:rsidR="000F2AC8" w:rsidRPr="00593701" w:rsidRDefault="006D0223" w:rsidP="006D0223">
      <w:pPr>
        <w:pStyle w:val="Heading1"/>
        <w:rPr>
          <w:rFonts w:cs="Times New Roman"/>
          <w:noProof/>
        </w:rPr>
      </w:pPr>
      <w:bookmarkStart w:id="15" w:name="_Toc113279267"/>
      <w:r w:rsidRPr="006D0223">
        <w:t>5.</w:t>
      </w:r>
      <w:r w:rsidRPr="006D0223">
        <w:tab/>
      </w:r>
      <w:r w:rsidR="000F2AC8">
        <w:rPr>
          <w:noProof/>
        </w:rPr>
        <w:t>Konklużjonijiet</w:t>
      </w:r>
      <w:bookmarkEnd w:id="15"/>
    </w:p>
    <w:p w14:paraId="03621530" w14:textId="1224F331" w:rsidR="00D37F86" w:rsidRPr="00227A49" w:rsidRDefault="000A3E70" w:rsidP="006671DB">
      <w:pPr>
        <w:pStyle w:val="ECBullet"/>
        <w:numPr>
          <w:ilvl w:val="0"/>
          <w:numId w:val="0"/>
        </w:numPr>
        <w:spacing w:after="160"/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Ir-raba’ rapport ta’ sinteżi jkopri l-aspetti kollha meħtieġa mir-Regolament dwar il-POPs u l-implimentazzjoni tiegħu fil-livell tal-Unjoni u tal-Istati Membri. Din it-taqsima qasira tislet xi konklużjonijiet dwar il-ħidma mwettqa u l-progress li sar biex jiġu eliminati l-POPs fl-Unjoni.</w:t>
      </w:r>
    </w:p>
    <w:p w14:paraId="16C1AFC9" w14:textId="77777777" w:rsidR="00CF68D5" w:rsidRPr="00593701" w:rsidRDefault="00CF68D5" w:rsidP="00470D7B">
      <w:pPr>
        <w:pStyle w:val="Heading4"/>
        <w:spacing w:after="120"/>
        <w:jc w:val="both"/>
        <w:rPr>
          <w:rFonts w:ascii="Times New Roman" w:hAnsi="Times New Roman" w:cs="Times New Roman"/>
          <w:noProof/>
          <w:color w:val="auto"/>
          <w:sz w:val="24"/>
        </w:rPr>
      </w:pPr>
      <w:r>
        <w:rPr>
          <w:rFonts w:ascii="Times New Roman" w:hAnsi="Times New Roman"/>
          <w:noProof/>
          <w:color w:val="auto"/>
          <w:sz w:val="24"/>
        </w:rPr>
        <w:t xml:space="preserve">Il-produzzjoni, it-tqegħid fis-suq u l-użu ta’ sustanzi kimiċi </w:t>
      </w:r>
    </w:p>
    <w:p w14:paraId="2C14A75C" w14:textId="36BCEE1D" w:rsidR="00CF68D5" w:rsidRPr="00227A49" w:rsidRDefault="00D37F86" w:rsidP="006671DB">
      <w:pPr>
        <w:pStyle w:val="ECBullet"/>
        <w:numPr>
          <w:ilvl w:val="0"/>
          <w:numId w:val="0"/>
        </w:numPr>
        <w:spacing w:after="160"/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Il-produzzjoni tal-POPs kienet limitata biss għall-PFOS, u l-volum tal-produzzjoni għall-PFOS fil-perjodu ta’ bejn l-2013 u l-2015 kien qiegħed jonqos b’mod qawwi (tnaqqis minn 9 tunnellati fis-sena għal 2,4 tunnellati). Barra minn hekk, għadd żgħir ta’ Stati Membri kienu għadhom qegħdin jimportaw l-HBCDD u l-SCCPs. Xi Stati Membri għamlu użu mid-deroga għall-importazzjoni/l-esportazzjoni tal-POPs għall-finijiet ta’ riċerka jew ta’ analiżi.</w:t>
      </w:r>
    </w:p>
    <w:p w14:paraId="23CAC54A" w14:textId="35870A6C" w:rsidR="00CF68D5" w:rsidRPr="00227A49" w:rsidRDefault="00492645" w:rsidP="006671DB">
      <w:pPr>
        <w:pStyle w:val="ECBullet"/>
        <w:numPr>
          <w:ilvl w:val="0"/>
          <w:numId w:val="0"/>
        </w:numPr>
        <w:spacing w:after="160"/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L-attivitajiet ta’ infurzar identifikaw kwistjonijiet potenzjali bl-HCB fil-logħob tan-nar fi tliet Stati Membri, assoċjati mal-importazzjoni tal-logħob tan-nar. Dan kien relatat primarjament ma’ logħob tan-nar immanifatturat fl-Asja, b’mod partikolari fiċ-Ċina. Każijiet oħrajn ta’ infurzar identifikaw kwistjonijiet possibbli dwar l-SCCPs fil-ġugarelli u f’oġġetti oħrajn (b’mod partikolari dwal tal-Milied). PFOS ġie identifikat ukoll fl-istokkijiet li kien fadal u li kienu għadhom qegħdin jintużaw tal-fowms għat-tifi tan-nar.</w:t>
      </w:r>
    </w:p>
    <w:p w14:paraId="733A25E8" w14:textId="0934FDD4" w:rsidR="00CF68D5" w:rsidRPr="00593701" w:rsidRDefault="008C444C" w:rsidP="00470D7B">
      <w:pPr>
        <w:pStyle w:val="Heading4"/>
        <w:spacing w:after="120"/>
        <w:jc w:val="both"/>
        <w:rPr>
          <w:rFonts w:ascii="Times New Roman" w:hAnsi="Times New Roman" w:cs="Times New Roman"/>
          <w:noProof/>
          <w:color w:val="auto"/>
          <w:sz w:val="24"/>
        </w:rPr>
      </w:pPr>
      <w:r>
        <w:rPr>
          <w:rFonts w:ascii="Times New Roman" w:hAnsi="Times New Roman"/>
          <w:noProof/>
          <w:color w:val="auto"/>
          <w:sz w:val="24"/>
        </w:rPr>
        <w:t xml:space="preserve">Immaniġġar tal-iskart u siti kkontaminati </w:t>
      </w:r>
    </w:p>
    <w:p w14:paraId="5C2FF284" w14:textId="30D20862" w:rsidR="00CF68D5" w:rsidRPr="00227A49" w:rsidRDefault="00CD70F7" w:rsidP="006671DB">
      <w:pPr>
        <w:pStyle w:val="ECBullet"/>
        <w:numPr>
          <w:ilvl w:val="0"/>
          <w:numId w:val="0"/>
        </w:numPr>
        <w:spacing w:after="160"/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Il-maġġoranza tal-Istati Membri għamlu progress tajjeb fit-tneħħija u l-eliminazzjoni finali tal-PCBs minn tagħmir dielettriku. Ħdax minn 13-il Stat Membru stmaw li l-istokkijiet li jifdal huma anqas minn 10 % meta mqabbla ma’ linja bażi tal-1990. Żewġ Stati Membri oħrajn kkummentaw li jistgħu jeżistu riżervi aktar sinifikanti (30 % u 49 % meta mqabbla mal-livelli tal-1990, rispettivament). </w:t>
      </w:r>
    </w:p>
    <w:p w14:paraId="720581B6" w14:textId="4841B1AB" w:rsidR="00D63E0E" w:rsidRPr="00227A49" w:rsidRDefault="008C444C" w:rsidP="006671DB">
      <w:pPr>
        <w:pStyle w:val="ECBullet"/>
        <w:numPr>
          <w:ilvl w:val="0"/>
          <w:numId w:val="0"/>
        </w:numPr>
        <w:spacing w:after="160"/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Il-maġġoranza tal-Istati Membri kellhom mekkaniżmi biex jidentifikaw, jiġbru u jeqirdu pestiċidi obsoleti li jista’ jkun fihom il-POPs. Ma ġiet irrapportata l-ebda riżerva ta’ pestiċidi obsoleti. Madankollu, erba’ Stati Membri identifikaw riżervi ta’ PFOS (fil-biċċa l-kbira relatati ma’ fowms għat-tifi tan-nar), li kienu ġestiti b’mod xieraq għall-qerda finali.</w:t>
      </w:r>
    </w:p>
    <w:p w14:paraId="38A7F679" w14:textId="41706464" w:rsidR="00D63E0E" w:rsidRPr="00227A49" w:rsidRDefault="00D63E0E" w:rsidP="006671DB">
      <w:pPr>
        <w:pStyle w:val="ECBullet"/>
        <w:numPr>
          <w:ilvl w:val="0"/>
          <w:numId w:val="0"/>
        </w:numPr>
        <w:spacing w:after="160"/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Xi Stati Membri enfasizzaw ukoll l-isfidi b’art u POPs ikkontaminati li jirrikjedu mmaniġġar attiv għal ħafna snin wara li tkun seħħet il-kontaminazzjoni inizjali. </w:t>
      </w:r>
    </w:p>
    <w:p w14:paraId="332D0768" w14:textId="77777777" w:rsidR="00D63E0E" w:rsidRPr="00593701" w:rsidRDefault="00D63E0E" w:rsidP="00470D7B">
      <w:pPr>
        <w:pStyle w:val="Heading4"/>
        <w:spacing w:after="120"/>
        <w:jc w:val="both"/>
        <w:rPr>
          <w:rFonts w:ascii="Times New Roman" w:hAnsi="Times New Roman" w:cs="Times New Roman"/>
          <w:noProof/>
          <w:color w:val="auto"/>
          <w:sz w:val="24"/>
        </w:rPr>
      </w:pPr>
      <w:r>
        <w:rPr>
          <w:rFonts w:ascii="Times New Roman" w:hAnsi="Times New Roman"/>
          <w:noProof/>
          <w:color w:val="auto"/>
          <w:sz w:val="24"/>
        </w:rPr>
        <w:t>Emissjonijiet Ambjentali u Konċentrazzjonijiet Ambjentali</w:t>
      </w:r>
    </w:p>
    <w:p w14:paraId="7297D414" w14:textId="4313A8D1" w:rsidR="00D63E0E" w:rsidRPr="00227A49" w:rsidRDefault="003C5C4E" w:rsidP="006671DB">
      <w:pPr>
        <w:pStyle w:val="ECBullet"/>
        <w:numPr>
          <w:ilvl w:val="0"/>
          <w:numId w:val="0"/>
        </w:numPr>
        <w:spacing w:after="160"/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dwar l-emissjoni tas-sustanzi tal-Anness III turi tnaqqis qawwi mill-1990, bid-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ta’ monitoraġġ għall-konċentrazzjonijiet tal-arja ambjentali (ara l-Illustrazzjoni 3) turi titjib ċar.</w:t>
      </w:r>
    </w:p>
    <w:p w14:paraId="15DEB08C" w14:textId="0A6BC8A3" w:rsidR="00D63E0E" w:rsidRPr="00227A49" w:rsidRDefault="00D63E0E" w:rsidP="006671DB">
      <w:pPr>
        <w:pStyle w:val="ECBullet"/>
        <w:numPr>
          <w:ilvl w:val="0"/>
          <w:numId w:val="0"/>
        </w:numPr>
        <w:spacing w:after="160"/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Is-sorsi ewlenin tal-emissjonijiet tal-POPs ivarjaw skont is-sustanza, iżda bħala tema komuni, il-kombustjoni ta’ fjuwils solidi u skart (kemm f’ambjent industrijali kif ukoll domestiku) hija importanti, kif inhi l-manifattura tal-metalli. Sett ta’ sorsi aktar esklużiv huwa importanti għall-POPs speċifiċi, eż. it-tnixxija minn tagħmir dielettriku hija kruċjali għall-PCBs.</w:t>
      </w:r>
    </w:p>
    <w:p w14:paraId="1B374233" w14:textId="309C3BED" w:rsidR="00C42DC8" w:rsidRPr="00227A49" w:rsidRDefault="00172C27" w:rsidP="006671DB">
      <w:pPr>
        <w:pStyle w:val="ECBullet"/>
        <w:numPr>
          <w:ilvl w:val="0"/>
          <w:numId w:val="0"/>
        </w:numPr>
        <w:spacing w:after="160"/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Id-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dwar l-emissjonijiet hija faċilment disponibbli għall-emissjonijiet fl-arja, filwaqt li 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għal vetturi oħrajn hija ħafna aktar limitata. B’mod partikolari, id-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dwar l-istima tal-emissjonijiet għall-ilma u l-art ġiet irrapportata minn seba’ u erba’ Stati Membri biss, rispettivament, mingħajr l-ebda xejra ċara li tippermetti analiżi komparattiva. Barra minn hekk, id-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sottostanti użata f’tali rapporti għandha tiġi prodotta f’format armonizzat sabiex tkun tista’ tiġi inkorporata faċilment fl-IPCHeM.</w:t>
      </w:r>
    </w:p>
    <w:p w14:paraId="2D44215C" w14:textId="1E8A3CFA" w:rsidR="00172C27" w:rsidRPr="00593701" w:rsidRDefault="00470D7B" w:rsidP="006671DB">
      <w:pPr>
        <w:pStyle w:val="Heading4"/>
        <w:jc w:val="both"/>
        <w:rPr>
          <w:rFonts w:ascii="Times New Roman" w:hAnsi="Times New Roman" w:cs="Times New Roman"/>
          <w:noProof/>
          <w:color w:val="auto"/>
          <w:sz w:val="24"/>
        </w:rPr>
      </w:pPr>
      <w:r>
        <w:rPr>
          <w:rFonts w:ascii="Times New Roman" w:hAnsi="Times New Roman"/>
          <w:noProof/>
          <w:color w:val="auto"/>
          <w:sz w:val="24"/>
        </w:rPr>
        <w:t>L-iskambju tal-għarfien u l-assistenza finanzjarja u teknika</w:t>
      </w:r>
    </w:p>
    <w:p w14:paraId="33C1963E" w14:textId="77777777" w:rsidR="00470D7B" w:rsidRDefault="00470D7B" w:rsidP="00470D7B">
      <w:pPr>
        <w:pStyle w:val="ECBody"/>
        <w:spacing w:before="16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18 biss minn 28 Stat Membru pprovdew rapportar sħiħ meħtieġ biex dan is-suġġett speċifiku jiġi vvalutat bis-sħiħ. Madankollu, għal dawk li rrapportaw, kollha stabbilew networks ta’ komunikazzjoni għall-POPs biex jiffaċilitaw id-diskussjoni bejn dawk li jfasslu l-politika, l-industrija, l-akkademiċi u l-pubbliku ġenerali. Il-maġġoranza stabbilew sistemi biex ifittxu l-involviment tal-pubbliku bħala parti mill-iżvilupp kontinwu tal-pjanijiet nazzjonali ta’ implimentazzjoni. </w:t>
      </w:r>
    </w:p>
    <w:p w14:paraId="24AD84EB" w14:textId="5F9DA421" w:rsidR="00470D7B" w:rsidRDefault="00470D7B" w:rsidP="00470D7B">
      <w:pPr>
        <w:pStyle w:val="ECBody"/>
        <w:spacing w:before="16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L-Unjoni u l-Istati Membri appoġġaw b’mod sostanzjali l-ħidma skont il-Konvenzjoni permezz tal-ħlas tal-kontribuzzjoni obbligatorja tagħhom bħala Parti u permezz ta’ kontribuzzjonijiet għall-Fond Fiduċjarju Volontarju Speċjali. Ħmistax-il Stat Membru ddikjaraw li huma appoġġaw il-ħidma internazzjonali fuq il-POPs jew finanzjarjament jew teknikament, b’finanzjament għall-Fond għall-Ambjent Dinji bħala perkors primarju biex jiġi pprovdut l-appoġġ tagħhom.</w:t>
      </w:r>
    </w:p>
    <w:p w14:paraId="4F60F280" w14:textId="77777777" w:rsidR="00470D7B" w:rsidRPr="004349EF" w:rsidRDefault="00470D7B" w:rsidP="00470D7B">
      <w:pPr>
        <w:pStyle w:val="ECBody"/>
        <w:spacing w:before="160"/>
        <w:rPr>
          <w:rFonts w:ascii="Times New Roman" w:hAnsi="Times New Roman"/>
          <w:noProof/>
          <w:sz w:val="24"/>
        </w:rPr>
      </w:pPr>
    </w:p>
    <w:sectPr w:rsidR="00470D7B" w:rsidRPr="004349EF" w:rsidSect="00D96EF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340" w:right="1420" w:bottom="1400" w:left="1660" w:header="567" w:footer="284" w:gutter="0"/>
      <w:pgNumType w:start="1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32">
      <wne:acd wne:acdName="acd0"/>
    </wne:keymap>
    <wne:keymap wne:kcmPrimary="0433">
      <wne:acd wne:acdName="acd2"/>
    </wne:keymap>
  </wne:keymaps>
  <wne:toolbars>
    <wne:acdManifest>
      <wne:acdEntry wne:acdName="acd0"/>
      <wne:acdEntry wne:acdName="acd1"/>
      <wne:acdEntry wne:acdName="acd2"/>
    </wne:acdManifest>
  </wne:toolbars>
  <wne:acds>
    <wne:acd wne:argValue="AgBIAGUAYQBkAGkAbgBnACAAMgAsAEUAQwAgAEwAZQB2ACAAMgA=" wne:acdName="acd0" wne:fciIndexBasedOn="0065"/>
    <wne:acd wne:argValue="AgBIAGUAYQBkAGkAbgBnACAAMQAsAEUAQwAgAEwAZQB2ACAAMQA=" wne:acdName="acd1" wne:fciIndexBasedOn="0065"/>
    <wne:acd wne:argValue="AgBIAGUAYQBkAGkAbgBnACAAMwAsAEUAQwAgAEwAZQB2ACAAMwA=" wne:acdName="acd2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3C9EFB" w14:textId="77777777" w:rsidR="006F60E3" w:rsidRPr="006A1DAA" w:rsidRDefault="006F60E3">
      <w:r>
        <w:separator/>
      </w:r>
    </w:p>
  </w:endnote>
  <w:endnote w:type="continuationSeparator" w:id="0">
    <w:p w14:paraId="34342D66" w14:textId="77777777" w:rsidR="006F60E3" w:rsidRPr="006A1DAA" w:rsidRDefault="006F6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6633B" w14:textId="77777777" w:rsidR="00DF374B" w:rsidRPr="00DF374B" w:rsidRDefault="00DF374B" w:rsidP="00DF37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0F47CA" w14:textId="3F763790" w:rsidR="00A7597A" w:rsidRPr="00DF374B" w:rsidRDefault="00DF374B" w:rsidP="00DF374B">
    <w:pPr>
      <w:pStyle w:val="FooterCoverPage"/>
      <w:rPr>
        <w:rFonts w:ascii="Arial" w:hAnsi="Arial" w:cs="Arial"/>
        <w:b/>
        <w:sz w:val="48"/>
      </w:rPr>
    </w:pPr>
    <w:r w:rsidRPr="00DF374B">
      <w:rPr>
        <w:rFonts w:ascii="Arial" w:hAnsi="Arial" w:cs="Arial"/>
        <w:b/>
        <w:sz w:val="48"/>
      </w:rPr>
      <w:t>MT</w:t>
    </w:r>
    <w:r w:rsidRPr="00DF374B">
      <w:rPr>
        <w:rFonts w:ascii="Arial" w:hAnsi="Arial" w:cs="Arial"/>
        <w:b/>
        <w:sz w:val="48"/>
      </w:rPr>
      <w:tab/>
    </w:r>
    <w:r w:rsidRPr="00DF374B">
      <w:rPr>
        <w:rFonts w:ascii="Arial" w:hAnsi="Arial" w:cs="Arial"/>
        <w:b/>
        <w:sz w:val="48"/>
      </w:rPr>
      <w:tab/>
    </w:r>
    <w:r w:rsidRPr="00DF374B">
      <w:tab/>
    </w:r>
    <w:r w:rsidRPr="00DF374B">
      <w:rPr>
        <w:rFonts w:ascii="Arial" w:hAnsi="Arial" w:cs="Arial"/>
        <w:b/>
        <w:sz w:val="48"/>
      </w:rPr>
      <w:t>MT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3AF58" w14:textId="77777777" w:rsidR="00DF374B" w:rsidRPr="00DF374B" w:rsidRDefault="00DF374B" w:rsidP="00DF374B">
    <w:pPr>
      <w:pStyle w:val="FooterCover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B659C" w14:textId="77777777" w:rsidR="004D3F90" w:rsidRDefault="004D3F9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56055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D0008E" w14:textId="1F0FC087" w:rsidR="00FA3321" w:rsidRDefault="00FA33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374B">
          <w:rPr>
            <w:noProof/>
          </w:rPr>
          <w:t>1</w:t>
        </w:r>
        <w:r>
          <w:fldChar w:fldCharType="end"/>
        </w:r>
      </w:p>
    </w:sdtContent>
  </w:sdt>
  <w:p w14:paraId="044A12DB" w14:textId="0B6C4A9A" w:rsidR="004D3F90" w:rsidRPr="00A844D9" w:rsidRDefault="004D3F90" w:rsidP="00A844D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5AA08" w14:textId="77777777" w:rsidR="004D3F90" w:rsidRDefault="004D3F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2B7BC" w14:textId="77777777" w:rsidR="006F60E3" w:rsidRPr="006A1DAA" w:rsidRDefault="006F60E3">
      <w:r>
        <w:separator/>
      </w:r>
    </w:p>
  </w:footnote>
  <w:footnote w:type="continuationSeparator" w:id="0">
    <w:p w14:paraId="6F2D7F8C" w14:textId="77777777" w:rsidR="006F60E3" w:rsidRPr="006A1DAA" w:rsidRDefault="006F60E3">
      <w:r>
        <w:continuationSeparator/>
      </w:r>
    </w:p>
  </w:footnote>
  <w:footnote w:id="1">
    <w:p w14:paraId="611C6378" w14:textId="07C28E01" w:rsidR="004D3F90" w:rsidRPr="001F1FF4" w:rsidRDefault="004D3F90">
      <w:pPr>
        <w:pStyle w:val="FootnoteText"/>
        <w:rPr>
          <w:rFonts w:ascii="Times New Roman" w:hAnsi="Times New Roman"/>
          <w:sz w:val="16"/>
          <w:szCs w:val="16"/>
        </w:rPr>
      </w:pPr>
      <w:r>
        <w:rPr>
          <w:rStyle w:val="FootnoteReference"/>
          <w:rFonts w:ascii="Times New Roman" w:hAnsi="Times New Roman"/>
          <w:sz w:val="18"/>
          <w:szCs w:val="16"/>
        </w:rPr>
        <w:footnoteRef/>
      </w:r>
      <w:r>
        <w:rPr>
          <w:rFonts w:ascii="Times New Roman" w:hAnsi="Times New Roman"/>
          <w:sz w:val="18"/>
        </w:rPr>
        <w:t xml:space="preserve"> Fl-Anness I, il-Parti A tar-Regolament dwar il-POPs tistabbilixxi limiti kritiċi għall-PFOS (li ma jridux jinqabżu) ta’ 10 mg/kg fejn preżenti f’sustanzi jew f’taħlitiet. Barra minn hekk, għal oġġetti jew partijiet minnhom, il-konċentrazzjoni tal-PFOS trid tkun anqas minn 0,1 % skont il-piż.</w:t>
      </w:r>
    </w:p>
  </w:footnote>
  <w:footnote w:id="2">
    <w:p w14:paraId="14214615" w14:textId="5F11AE17" w:rsidR="004D3F90" w:rsidRPr="001F1FF4" w:rsidRDefault="004D3F90">
      <w:pPr>
        <w:pStyle w:val="FootnoteText"/>
        <w:rPr>
          <w:rFonts w:ascii="Times New Roman" w:hAnsi="Times New Roman"/>
          <w:sz w:val="18"/>
          <w:szCs w:val="16"/>
        </w:rPr>
      </w:pPr>
      <w:r>
        <w:rPr>
          <w:rStyle w:val="FootnoteReference"/>
          <w:rFonts w:ascii="Times New Roman" w:hAnsi="Times New Roman"/>
          <w:sz w:val="18"/>
          <w:szCs w:val="16"/>
        </w:rPr>
        <w:footnoteRef/>
      </w:r>
      <w:r>
        <w:rPr>
          <w:rFonts w:ascii="Times New Roman" w:hAnsi="Times New Roman"/>
          <w:sz w:val="18"/>
        </w:rPr>
        <w:t xml:space="preserve"> http://www.ceip.at/</w:t>
      </w:r>
    </w:p>
  </w:footnote>
  <w:footnote w:id="3">
    <w:p w14:paraId="0CAC74D6" w14:textId="578C7246" w:rsidR="004D3F90" w:rsidRDefault="004D3F90">
      <w:pPr>
        <w:pStyle w:val="FootnoteText"/>
      </w:pPr>
      <w:r>
        <w:rPr>
          <w:rStyle w:val="FootnoteReference"/>
          <w:rFonts w:ascii="Times New Roman" w:hAnsi="Times New Roman"/>
          <w:sz w:val="18"/>
          <w:szCs w:val="16"/>
        </w:rPr>
        <w:footnoteRef/>
      </w:r>
      <w:r>
        <w:rPr>
          <w:rFonts w:ascii="Times New Roman" w:hAnsi="Times New Roman"/>
          <w:sz w:val="18"/>
        </w:rPr>
        <w:t xml:space="preserve"> Innota li l-istimi tal-pentaklorobenżen għall-emissjonijiet fl-arja ma kinux disponibbli mill-bażi ta’ </w:t>
      </w:r>
      <w:r>
        <w:rPr>
          <w:rFonts w:ascii="Times New Roman" w:hAnsi="Times New Roman"/>
          <w:i/>
          <w:sz w:val="18"/>
        </w:rPr>
        <w:t>data</w:t>
      </w:r>
      <w:r>
        <w:rPr>
          <w:rFonts w:ascii="Times New Roman" w:hAnsi="Times New Roman"/>
          <w:sz w:val="18"/>
        </w:rPr>
        <w:t xml:space="preserve"> webdab tal-EMEP fiż-żmien tal-kitba.</w:t>
      </w:r>
    </w:p>
  </w:footnote>
  <w:footnote w:id="4">
    <w:p w14:paraId="39BD2A53" w14:textId="77777777" w:rsidR="00A01ACC" w:rsidRPr="00CA11EC" w:rsidRDefault="00A01ACC" w:rsidP="00A01ACC">
      <w:pPr>
        <w:pStyle w:val="FootnoteText"/>
        <w:rPr>
          <w:rFonts w:ascii="Times New Roman" w:hAnsi="Times New Roman"/>
          <w:sz w:val="18"/>
          <w:szCs w:val="16"/>
        </w:rPr>
      </w:pPr>
      <w:r>
        <w:rPr>
          <w:rStyle w:val="FootnoteReference"/>
          <w:rFonts w:ascii="Times New Roman" w:hAnsi="Times New Roman"/>
          <w:sz w:val="18"/>
          <w:szCs w:val="16"/>
        </w:rPr>
        <w:footnoteRef/>
      </w:r>
      <w:r>
        <w:rPr>
          <w:rFonts w:ascii="Times New Roman" w:hAnsi="Times New Roman"/>
          <w:sz w:val="18"/>
        </w:rPr>
        <w:t xml:space="preserve"> Skont il-Konvenzjoni ta’ Stokkolma, “residwu” huwa preżunt li jikkostitwixxi skart ikkontaminat mill-POPs li jintrema b’mod ikkontrollat; dan ivarja minn “art” li hija rilaxx dirett mhux ikkontrollat ta’ materjal għall-art.</w:t>
      </w:r>
    </w:p>
  </w:footnote>
  <w:footnote w:id="5">
    <w:p w14:paraId="290D87A6" w14:textId="7389407D" w:rsidR="00A01ACC" w:rsidRDefault="00A01ACC" w:rsidP="00A01ACC">
      <w:pPr>
        <w:pStyle w:val="FootnoteText"/>
      </w:pPr>
      <w:r>
        <w:rPr>
          <w:rStyle w:val="FootnoteReference"/>
          <w:rFonts w:ascii="Times New Roman" w:hAnsi="Times New Roman"/>
          <w:sz w:val="18"/>
          <w:szCs w:val="16"/>
        </w:rPr>
        <w:footnoteRef/>
      </w:r>
      <w:r>
        <w:rPr>
          <w:rFonts w:ascii="Times New Roman" w:hAnsi="Times New Roman"/>
          <w:sz w:val="18"/>
        </w:rPr>
        <w:t xml:space="preserve"> Innota li d-WID aktar tard ġiet sostitwita bid-Direttiva dwar l-Emissjonijiet Industrijali. Madankollu, il-wasla tad-WID ikkontribwiet direttament biex ittejjeb b’mod sinifikanti l-kontroll tal-proċess u t-tnaqqis għall-impjant tal-inċinerazzjoni.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3A9293" w14:textId="77777777" w:rsidR="00DF374B" w:rsidRPr="00DF374B" w:rsidRDefault="00DF374B" w:rsidP="00DF37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55920" w14:textId="77777777" w:rsidR="00DF374B" w:rsidRPr="00DF374B" w:rsidRDefault="00DF374B" w:rsidP="00DF374B">
    <w:pPr>
      <w:pStyle w:val="HeaderCoverPag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21C12" w14:textId="77777777" w:rsidR="00DF374B" w:rsidRPr="00DF374B" w:rsidRDefault="00DF374B" w:rsidP="00DF374B">
    <w:pPr>
      <w:pStyle w:val="HeaderCoverPag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0E25A" w14:textId="77777777" w:rsidR="004D3F90" w:rsidRDefault="004D3F9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6AF0B" w14:textId="0EE05CE8" w:rsidR="007E117B" w:rsidRDefault="007E117B">
    <w:pPr>
      <w:pStyle w:val="Header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5AB32" w14:textId="77777777" w:rsidR="004D3F90" w:rsidRDefault="004D3F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84D4E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58"/>
      </w:pPr>
      <w:rPr>
        <w:rFonts w:ascii="Century Gothic" w:hAnsi="Century Gothic" w:hint="default"/>
        <w:color w:val="333333"/>
        <w:sz w:val="20"/>
      </w:rPr>
    </w:lvl>
  </w:abstractNum>
  <w:abstractNum w:abstractNumId="1" w15:restartNumberingAfterBreak="0">
    <w:nsid w:val="FFFFFF7D"/>
    <w:multiLevelType w:val="singleLevel"/>
    <w:tmpl w:val="14380DE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  <w:rPr>
        <w:rFonts w:ascii="Century Gothic" w:hAnsi="Century Gothic" w:hint="default"/>
        <w:color w:val="333333"/>
        <w:sz w:val="20"/>
      </w:rPr>
    </w:lvl>
  </w:abstractNum>
  <w:abstractNum w:abstractNumId="2" w15:restartNumberingAfterBreak="0">
    <w:nsid w:val="FFFFFF7E"/>
    <w:multiLevelType w:val="singleLevel"/>
    <w:tmpl w:val="CEDC45F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  <w:rPr>
        <w:rFonts w:ascii="Century Gothic" w:hAnsi="Century Gothic" w:hint="default"/>
        <w:color w:val="333333"/>
        <w:sz w:val="20"/>
      </w:rPr>
    </w:lvl>
  </w:abstractNum>
  <w:abstractNum w:abstractNumId="3" w15:restartNumberingAfterBreak="0">
    <w:nsid w:val="FFFFFF7F"/>
    <w:multiLevelType w:val="singleLevel"/>
    <w:tmpl w:val="81F4EBAC"/>
    <w:lvl w:ilvl="0">
      <w:start w:val="1"/>
      <w:numFmt w:val="decimal"/>
      <w:pStyle w:val="ListNumber2"/>
      <w:lvlText w:val="%1."/>
      <w:lvlJc w:val="left"/>
      <w:pPr>
        <w:tabs>
          <w:tab w:val="num" w:pos="567"/>
        </w:tabs>
        <w:ind w:left="567" w:hanging="284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9FB8C4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D6469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F065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0A6AECDE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ascii="Century Gothic" w:hAnsi="Century Gothic" w:hint="default"/>
        <w:color w:val="333333"/>
        <w:sz w:val="20"/>
      </w:rPr>
    </w:lvl>
  </w:abstractNum>
  <w:abstractNum w:abstractNumId="8" w15:restartNumberingAfterBreak="0">
    <w:nsid w:val="FFFFFF89"/>
    <w:multiLevelType w:val="singleLevel"/>
    <w:tmpl w:val="804682A8"/>
    <w:lvl w:ilvl="0">
      <w:start w:val="1"/>
      <w:numFmt w:val="bullet"/>
      <w:pStyle w:val="StyleListBulletListBulletJustifiedLef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7B6F46"/>
      </w:rPr>
    </w:lvl>
  </w:abstractNum>
  <w:abstractNum w:abstractNumId="9" w15:restartNumberingAfterBreak="0">
    <w:nsid w:val="0E131105"/>
    <w:multiLevelType w:val="hybridMultilevel"/>
    <w:tmpl w:val="530A37F4"/>
    <w:lvl w:ilvl="0" w:tplc="64744E96">
      <w:start w:val="1"/>
      <w:numFmt w:val="bullet"/>
      <w:pStyle w:val="BulletPs2CT"/>
      <w:lvlText w:val="-"/>
      <w:lvlJc w:val="left"/>
      <w:pPr>
        <w:tabs>
          <w:tab w:val="num" w:pos="284"/>
        </w:tabs>
        <w:ind w:left="1418" w:hanging="284"/>
      </w:pPr>
      <w:rPr>
        <w:rFonts w:ascii="Times New Roman" w:hAnsi="Times New Roman" w:cs="Times New Roman" w:hint="default"/>
        <w:color w:val="00808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4639EB"/>
    <w:multiLevelType w:val="multilevel"/>
    <w:tmpl w:val="BAAE462C"/>
    <w:lvl w:ilvl="0">
      <w:start w:val="1"/>
      <w:numFmt w:val="decimal"/>
      <w:pStyle w:val="StyleHeading1ECLev1Firstline0cm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3.%2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134E428D"/>
    <w:multiLevelType w:val="multilevel"/>
    <w:tmpl w:val="B1B28B22"/>
    <w:styleLink w:val="Style2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F53482"/>
    <w:multiLevelType w:val="hybridMultilevel"/>
    <w:tmpl w:val="344EE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851876"/>
    <w:multiLevelType w:val="hybridMultilevel"/>
    <w:tmpl w:val="3C1415DC"/>
    <w:lvl w:ilvl="0" w:tplc="D054ABD2">
      <w:start w:val="1"/>
      <w:numFmt w:val="decimal"/>
      <w:pStyle w:val="Caption"/>
      <w:lvlText w:val="Tabella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801C73"/>
    <w:multiLevelType w:val="hybridMultilevel"/>
    <w:tmpl w:val="051A2626"/>
    <w:lvl w:ilvl="0" w:tplc="E83AA954">
      <w:start w:val="1"/>
      <w:numFmt w:val="bullet"/>
      <w:pStyle w:val="StyleStyleBulleted10ptCustomColorRGB12311170Lef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7B6F4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8D7280"/>
    <w:multiLevelType w:val="hybridMultilevel"/>
    <w:tmpl w:val="B60C8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794BAA"/>
    <w:multiLevelType w:val="hybridMultilevel"/>
    <w:tmpl w:val="6F92D4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876258"/>
    <w:multiLevelType w:val="multilevel"/>
    <w:tmpl w:val="88A0D776"/>
    <w:lvl w:ilvl="0">
      <w:start w:val="1"/>
      <w:numFmt w:val="upperLetter"/>
      <w:pStyle w:val="ECAppLev1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CAppLev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ECAppLev3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18" w15:restartNumberingAfterBreak="0">
    <w:nsid w:val="28A32045"/>
    <w:multiLevelType w:val="hybridMultilevel"/>
    <w:tmpl w:val="512A37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E72117"/>
    <w:multiLevelType w:val="hybridMultilevel"/>
    <w:tmpl w:val="724EB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B47248"/>
    <w:multiLevelType w:val="multilevel"/>
    <w:tmpl w:val="0C72AFA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 w15:restartNumberingAfterBreak="0">
    <w:nsid w:val="461E1FB0"/>
    <w:multiLevelType w:val="hybridMultilevel"/>
    <w:tmpl w:val="BAD056B8"/>
    <w:lvl w:ilvl="0" w:tplc="1734716A">
      <w:start w:val="1"/>
      <w:numFmt w:val="bullet"/>
      <w:pStyle w:val="ListBullet2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7B6F4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C128CA"/>
    <w:multiLevelType w:val="hybridMultilevel"/>
    <w:tmpl w:val="F24E4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B17C0E"/>
    <w:multiLevelType w:val="hybridMultilevel"/>
    <w:tmpl w:val="0670799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261274"/>
    <w:multiLevelType w:val="hybridMultilevel"/>
    <w:tmpl w:val="7F207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056926"/>
    <w:multiLevelType w:val="hybridMultilevel"/>
    <w:tmpl w:val="3AEE33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067057"/>
    <w:multiLevelType w:val="hybridMultilevel"/>
    <w:tmpl w:val="D0A4D856"/>
    <w:lvl w:ilvl="0" w:tplc="08090005">
      <w:start w:val="1"/>
      <w:numFmt w:val="bullet"/>
      <w:pStyle w:val="ECBullet"/>
      <w:lvlText w:val="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4"/>
  </w:num>
  <w:num w:numId="8">
    <w:abstractNumId w:val="11"/>
  </w:num>
  <w:num w:numId="9">
    <w:abstractNumId w:val="21"/>
  </w:num>
  <w:num w:numId="10">
    <w:abstractNumId w:val="26"/>
  </w:num>
  <w:num w:numId="11">
    <w:abstractNumId w:val="9"/>
  </w:num>
  <w:num w:numId="12">
    <w:abstractNumId w:val="17"/>
  </w:num>
  <w:num w:numId="13">
    <w:abstractNumId w:val="10"/>
  </w:num>
  <w:num w:numId="14">
    <w:abstractNumId w:val="20"/>
  </w:num>
  <w:num w:numId="15">
    <w:abstractNumId w:val="18"/>
  </w:num>
  <w:num w:numId="16">
    <w:abstractNumId w:val="25"/>
  </w:num>
  <w:num w:numId="17">
    <w:abstractNumId w:val="23"/>
  </w:num>
  <w:num w:numId="18">
    <w:abstractNumId w:val="24"/>
  </w:num>
  <w:num w:numId="19">
    <w:abstractNumId w:val="19"/>
  </w:num>
  <w:num w:numId="20">
    <w:abstractNumId w:val="22"/>
  </w:num>
  <w:num w:numId="21">
    <w:abstractNumId w:val="12"/>
  </w:num>
  <w:num w:numId="22">
    <w:abstractNumId w:val="15"/>
  </w:num>
  <w:num w:numId="23">
    <w:abstractNumId w:val="16"/>
  </w:num>
  <w:num w:numId="24">
    <w:abstractNumId w:val="6"/>
  </w:num>
  <w:num w:numId="25">
    <w:abstractNumId w:val="5"/>
  </w:num>
  <w:num w:numId="26">
    <w:abstractNumId w:val="4"/>
  </w:num>
  <w:num w:numId="27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2"/>
  <w:revisionView w:markup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10241">
      <o:colormru v:ext="edit" colors="#8594c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Status" w:val="Green"/>
    <w:docVar w:name="LW_CORRIGENDUM" w:val="&lt;UNUSED&gt;"/>
    <w:docVar w:name="LW_COVERPAGE_EXISTS" w:val="True"/>
    <w:docVar w:name="LW_COVERPAGE_GUID" w:val="912D727B-1723-4B1D-AED4-CAB385612420"/>
    <w:docVar w:name="LW_COVERPAGE_TYPE" w:val="1"/>
    <w:docVar w:name="LW_CROSSREFERENCE" w:val="{SWD(2022) 291 final}"/>
    <w:docVar w:name="LW_DocType" w:val="NORMAL"/>
    <w:docVar w:name="LW_EMISSION" w:val="16.9.2022"/>
    <w:docVar w:name="LW_EMISSION_ISODATE" w:val="2022-09-16"/>
    <w:docVar w:name="LW_EMISSION_LOCATION" w:val="BRX"/>
    <w:docVar w:name="LW_EMISSION_PREFIX" w:val="Brussell, "/>
    <w:docVar w:name="LW_EMISSION_SUFFIX" w:val=" "/>
    <w:docVar w:name="LW_ID_DOCTYPE_NONLW" w:val="CP-008"/>
    <w:docVar w:name="LW_LANGUE" w:val="MT"/>
    <w:docVar w:name="LW_LEVEL_OF_SENSITIVITY" w:val="Standard treatment"/>
    <w:docVar w:name="LW_NOM.INST" w:val="IL-KUMMISSJONI EWROPEA"/>
    <w:docVar w:name="LW_NOM.INST_JOINTDOC" w:val="&lt;EMPTY&gt;"/>
    <w:docVar w:name="LW_PART_NBR" w:val="1"/>
    <w:docVar w:name="LW_PART_NBR_TOTAL" w:val="1"/>
    <w:docVar w:name="LW_REF.INST.NEW" w:val="COM"/>
    <w:docVar w:name="LW_REF.INST.NEW_ADOPTED" w:val="final"/>
    <w:docVar w:name="LW_REF.INST.NEW_TEXT" w:val="(2022) 463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ITRE.OBJ.CP" w:val="dwar l-applikazzjoni tar-Regolament (KE) Nru 850/2004 dwar pollutanti organiċi persistenti"/>
    <w:docVar w:name="LW_TYPE.DOC.CP" w:val="RAPPORT TAL-KUMMISSJONI LILL-PARLAMENT EWROPEW, LILL-KUNSILL, LILL-KUMITAT EKONOMIKU U SOĊJALI EWROPEW U LILL-KUMITAT TAR-REĠJUNI"/>
    <w:docVar w:name="LwApiVersions" w:val="LW4CoDe 1.23.2.0; LW 8.0, Build 20211117"/>
  </w:docVars>
  <w:rsids>
    <w:rsidRoot w:val="00721DC9"/>
    <w:rsid w:val="0000014E"/>
    <w:rsid w:val="000003C7"/>
    <w:rsid w:val="000011F8"/>
    <w:rsid w:val="00001C97"/>
    <w:rsid w:val="00002136"/>
    <w:rsid w:val="00002AB0"/>
    <w:rsid w:val="00002FFA"/>
    <w:rsid w:val="00003AD6"/>
    <w:rsid w:val="000049DA"/>
    <w:rsid w:val="00004F54"/>
    <w:rsid w:val="00005E82"/>
    <w:rsid w:val="000060E8"/>
    <w:rsid w:val="00007392"/>
    <w:rsid w:val="00007AB9"/>
    <w:rsid w:val="00007E58"/>
    <w:rsid w:val="00012675"/>
    <w:rsid w:val="00015760"/>
    <w:rsid w:val="000174A7"/>
    <w:rsid w:val="00021579"/>
    <w:rsid w:val="000227E0"/>
    <w:rsid w:val="00024498"/>
    <w:rsid w:val="000244D6"/>
    <w:rsid w:val="000248EA"/>
    <w:rsid w:val="00026A2E"/>
    <w:rsid w:val="00026F59"/>
    <w:rsid w:val="00027841"/>
    <w:rsid w:val="0003038A"/>
    <w:rsid w:val="000322AF"/>
    <w:rsid w:val="00032AAE"/>
    <w:rsid w:val="00033AEB"/>
    <w:rsid w:val="00033D51"/>
    <w:rsid w:val="00033F4C"/>
    <w:rsid w:val="000346A7"/>
    <w:rsid w:val="000356BA"/>
    <w:rsid w:val="00035DA6"/>
    <w:rsid w:val="00036192"/>
    <w:rsid w:val="00037DBF"/>
    <w:rsid w:val="0004117C"/>
    <w:rsid w:val="00041DD4"/>
    <w:rsid w:val="00043122"/>
    <w:rsid w:val="00043C51"/>
    <w:rsid w:val="000445CA"/>
    <w:rsid w:val="00045D7B"/>
    <w:rsid w:val="00046B17"/>
    <w:rsid w:val="00050838"/>
    <w:rsid w:val="000515AD"/>
    <w:rsid w:val="00052B6B"/>
    <w:rsid w:val="00053613"/>
    <w:rsid w:val="000538D9"/>
    <w:rsid w:val="00053CD2"/>
    <w:rsid w:val="00054380"/>
    <w:rsid w:val="00056120"/>
    <w:rsid w:val="00056340"/>
    <w:rsid w:val="0005783E"/>
    <w:rsid w:val="00060004"/>
    <w:rsid w:val="00060ED6"/>
    <w:rsid w:val="00061164"/>
    <w:rsid w:val="000632ED"/>
    <w:rsid w:val="00063F99"/>
    <w:rsid w:val="0006471B"/>
    <w:rsid w:val="00064824"/>
    <w:rsid w:val="0006560C"/>
    <w:rsid w:val="00066E95"/>
    <w:rsid w:val="000673AF"/>
    <w:rsid w:val="0006761C"/>
    <w:rsid w:val="000679B5"/>
    <w:rsid w:val="000703BE"/>
    <w:rsid w:val="0007167C"/>
    <w:rsid w:val="00071C09"/>
    <w:rsid w:val="000727FA"/>
    <w:rsid w:val="0007390C"/>
    <w:rsid w:val="000756CA"/>
    <w:rsid w:val="00076EB2"/>
    <w:rsid w:val="00077239"/>
    <w:rsid w:val="00081939"/>
    <w:rsid w:val="00081B17"/>
    <w:rsid w:val="00081E2B"/>
    <w:rsid w:val="00083D17"/>
    <w:rsid w:val="0008463C"/>
    <w:rsid w:val="00084C7A"/>
    <w:rsid w:val="00084DEF"/>
    <w:rsid w:val="0008560D"/>
    <w:rsid w:val="00090EA7"/>
    <w:rsid w:val="00093B2E"/>
    <w:rsid w:val="0009419B"/>
    <w:rsid w:val="000941DD"/>
    <w:rsid w:val="0009490F"/>
    <w:rsid w:val="00094AB3"/>
    <w:rsid w:val="00095C34"/>
    <w:rsid w:val="00096A5C"/>
    <w:rsid w:val="00096ACC"/>
    <w:rsid w:val="000A051C"/>
    <w:rsid w:val="000A17AD"/>
    <w:rsid w:val="000A247A"/>
    <w:rsid w:val="000A360E"/>
    <w:rsid w:val="000A3E70"/>
    <w:rsid w:val="000A5E11"/>
    <w:rsid w:val="000B0E45"/>
    <w:rsid w:val="000B274D"/>
    <w:rsid w:val="000B308D"/>
    <w:rsid w:val="000B4CE1"/>
    <w:rsid w:val="000B654C"/>
    <w:rsid w:val="000B67A9"/>
    <w:rsid w:val="000B7039"/>
    <w:rsid w:val="000C0E4F"/>
    <w:rsid w:val="000C1222"/>
    <w:rsid w:val="000C1551"/>
    <w:rsid w:val="000C1B83"/>
    <w:rsid w:val="000C42C0"/>
    <w:rsid w:val="000C4650"/>
    <w:rsid w:val="000C4686"/>
    <w:rsid w:val="000C56CD"/>
    <w:rsid w:val="000C7431"/>
    <w:rsid w:val="000D0CED"/>
    <w:rsid w:val="000D1BB7"/>
    <w:rsid w:val="000D1E2E"/>
    <w:rsid w:val="000D2790"/>
    <w:rsid w:val="000D3773"/>
    <w:rsid w:val="000D46F5"/>
    <w:rsid w:val="000D4878"/>
    <w:rsid w:val="000D6374"/>
    <w:rsid w:val="000D6681"/>
    <w:rsid w:val="000E1D52"/>
    <w:rsid w:val="000E20C7"/>
    <w:rsid w:val="000E249B"/>
    <w:rsid w:val="000E31AA"/>
    <w:rsid w:val="000E4CC0"/>
    <w:rsid w:val="000F02C6"/>
    <w:rsid w:val="000F05F9"/>
    <w:rsid w:val="000F06F3"/>
    <w:rsid w:val="000F0714"/>
    <w:rsid w:val="000F0B8C"/>
    <w:rsid w:val="000F1F7F"/>
    <w:rsid w:val="000F260B"/>
    <w:rsid w:val="000F2AC8"/>
    <w:rsid w:val="000F4DA4"/>
    <w:rsid w:val="000F5233"/>
    <w:rsid w:val="000F69CF"/>
    <w:rsid w:val="001001B1"/>
    <w:rsid w:val="001037E2"/>
    <w:rsid w:val="00105716"/>
    <w:rsid w:val="001077CC"/>
    <w:rsid w:val="00107A66"/>
    <w:rsid w:val="00110F8E"/>
    <w:rsid w:val="001117B6"/>
    <w:rsid w:val="00111F04"/>
    <w:rsid w:val="00111FC4"/>
    <w:rsid w:val="001129D2"/>
    <w:rsid w:val="00114806"/>
    <w:rsid w:val="00115D67"/>
    <w:rsid w:val="0011600E"/>
    <w:rsid w:val="00117207"/>
    <w:rsid w:val="00117478"/>
    <w:rsid w:val="001176DA"/>
    <w:rsid w:val="00117A1F"/>
    <w:rsid w:val="00117BC4"/>
    <w:rsid w:val="00120FB9"/>
    <w:rsid w:val="00122CE6"/>
    <w:rsid w:val="0012329F"/>
    <w:rsid w:val="00123B2F"/>
    <w:rsid w:val="001255B2"/>
    <w:rsid w:val="001257DD"/>
    <w:rsid w:val="0012596E"/>
    <w:rsid w:val="001268A8"/>
    <w:rsid w:val="00127F9A"/>
    <w:rsid w:val="001332B5"/>
    <w:rsid w:val="00134DE4"/>
    <w:rsid w:val="00135C38"/>
    <w:rsid w:val="00140314"/>
    <w:rsid w:val="00140693"/>
    <w:rsid w:val="00140D74"/>
    <w:rsid w:val="00141C36"/>
    <w:rsid w:val="00141D40"/>
    <w:rsid w:val="00141F0C"/>
    <w:rsid w:val="00143052"/>
    <w:rsid w:val="001431C5"/>
    <w:rsid w:val="00143D09"/>
    <w:rsid w:val="001469C3"/>
    <w:rsid w:val="001470B2"/>
    <w:rsid w:val="001474AE"/>
    <w:rsid w:val="001514BB"/>
    <w:rsid w:val="00151587"/>
    <w:rsid w:val="00151877"/>
    <w:rsid w:val="00151E9E"/>
    <w:rsid w:val="001521EE"/>
    <w:rsid w:val="001523B7"/>
    <w:rsid w:val="001530BA"/>
    <w:rsid w:val="0015426B"/>
    <w:rsid w:val="001554BA"/>
    <w:rsid w:val="00155687"/>
    <w:rsid w:val="00155764"/>
    <w:rsid w:val="00156D3B"/>
    <w:rsid w:val="00156EC0"/>
    <w:rsid w:val="001575C3"/>
    <w:rsid w:val="00160327"/>
    <w:rsid w:val="001618B9"/>
    <w:rsid w:val="00161C23"/>
    <w:rsid w:val="00161FA0"/>
    <w:rsid w:val="0016260C"/>
    <w:rsid w:val="00162D71"/>
    <w:rsid w:val="00165275"/>
    <w:rsid w:val="00166C42"/>
    <w:rsid w:val="00167D03"/>
    <w:rsid w:val="0017278E"/>
    <w:rsid w:val="00172C27"/>
    <w:rsid w:val="00172FED"/>
    <w:rsid w:val="00173357"/>
    <w:rsid w:val="00173758"/>
    <w:rsid w:val="0017457E"/>
    <w:rsid w:val="001750A9"/>
    <w:rsid w:val="00176841"/>
    <w:rsid w:val="00182722"/>
    <w:rsid w:val="00184274"/>
    <w:rsid w:val="00185B82"/>
    <w:rsid w:val="00186145"/>
    <w:rsid w:val="00190155"/>
    <w:rsid w:val="00191307"/>
    <w:rsid w:val="0019235B"/>
    <w:rsid w:val="00192CA4"/>
    <w:rsid w:val="00192D03"/>
    <w:rsid w:val="00193912"/>
    <w:rsid w:val="00194B09"/>
    <w:rsid w:val="00194FAD"/>
    <w:rsid w:val="00195A98"/>
    <w:rsid w:val="00196FD8"/>
    <w:rsid w:val="00196FF2"/>
    <w:rsid w:val="00197344"/>
    <w:rsid w:val="001A276A"/>
    <w:rsid w:val="001A31DF"/>
    <w:rsid w:val="001A4137"/>
    <w:rsid w:val="001A4356"/>
    <w:rsid w:val="001A63D6"/>
    <w:rsid w:val="001A739E"/>
    <w:rsid w:val="001A7406"/>
    <w:rsid w:val="001B09C3"/>
    <w:rsid w:val="001B1B5D"/>
    <w:rsid w:val="001B1F38"/>
    <w:rsid w:val="001B274D"/>
    <w:rsid w:val="001B2A43"/>
    <w:rsid w:val="001B31FB"/>
    <w:rsid w:val="001B359E"/>
    <w:rsid w:val="001B46A0"/>
    <w:rsid w:val="001B4C47"/>
    <w:rsid w:val="001B647B"/>
    <w:rsid w:val="001B6699"/>
    <w:rsid w:val="001B7595"/>
    <w:rsid w:val="001B78DF"/>
    <w:rsid w:val="001C23C1"/>
    <w:rsid w:val="001C2E2E"/>
    <w:rsid w:val="001C5151"/>
    <w:rsid w:val="001C55B8"/>
    <w:rsid w:val="001C5B54"/>
    <w:rsid w:val="001C5F31"/>
    <w:rsid w:val="001D0284"/>
    <w:rsid w:val="001D0E5D"/>
    <w:rsid w:val="001D1FDC"/>
    <w:rsid w:val="001D38B5"/>
    <w:rsid w:val="001D3EA6"/>
    <w:rsid w:val="001D487F"/>
    <w:rsid w:val="001D54BF"/>
    <w:rsid w:val="001D5B1E"/>
    <w:rsid w:val="001D731D"/>
    <w:rsid w:val="001E0197"/>
    <w:rsid w:val="001E1C90"/>
    <w:rsid w:val="001E2E7B"/>
    <w:rsid w:val="001E36A3"/>
    <w:rsid w:val="001E403E"/>
    <w:rsid w:val="001E4F13"/>
    <w:rsid w:val="001E537C"/>
    <w:rsid w:val="001E5D90"/>
    <w:rsid w:val="001E724E"/>
    <w:rsid w:val="001F04AC"/>
    <w:rsid w:val="001F1FF4"/>
    <w:rsid w:val="001F42D7"/>
    <w:rsid w:val="001F4FBF"/>
    <w:rsid w:val="001F57AC"/>
    <w:rsid w:val="001F57F2"/>
    <w:rsid w:val="001F5B6A"/>
    <w:rsid w:val="001F6186"/>
    <w:rsid w:val="001F651A"/>
    <w:rsid w:val="001F664B"/>
    <w:rsid w:val="001F66A1"/>
    <w:rsid w:val="001F6F2E"/>
    <w:rsid w:val="001F701F"/>
    <w:rsid w:val="001F78E6"/>
    <w:rsid w:val="00200D4E"/>
    <w:rsid w:val="0020120C"/>
    <w:rsid w:val="0020192B"/>
    <w:rsid w:val="0020255A"/>
    <w:rsid w:val="00202D9A"/>
    <w:rsid w:val="0020340A"/>
    <w:rsid w:val="00205441"/>
    <w:rsid w:val="002056F6"/>
    <w:rsid w:val="002063B5"/>
    <w:rsid w:val="002102C8"/>
    <w:rsid w:val="00210591"/>
    <w:rsid w:val="00210797"/>
    <w:rsid w:val="00210D2F"/>
    <w:rsid w:val="00212607"/>
    <w:rsid w:val="002128B5"/>
    <w:rsid w:val="00212BA2"/>
    <w:rsid w:val="00215102"/>
    <w:rsid w:val="002151EB"/>
    <w:rsid w:val="00215FF2"/>
    <w:rsid w:val="00220103"/>
    <w:rsid w:val="00222D37"/>
    <w:rsid w:val="002236B6"/>
    <w:rsid w:val="002237B9"/>
    <w:rsid w:val="00223DF4"/>
    <w:rsid w:val="00224443"/>
    <w:rsid w:val="00224C05"/>
    <w:rsid w:val="002262DF"/>
    <w:rsid w:val="0022695C"/>
    <w:rsid w:val="00227A49"/>
    <w:rsid w:val="00227A6D"/>
    <w:rsid w:val="00227E6F"/>
    <w:rsid w:val="0023184C"/>
    <w:rsid w:val="00232AA4"/>
    <w:rsid w:val="00232BE0"/>
    <w:rsid w:val="00233281"/>
    <w:rsid w:val="002333B9"/>
    <w:rsid w:val="00233C18"/>
    <w:rsid w:val="00234EF7"/>
    <w:rsid w:val="0023580A"/>
    <w:rsid w:val="002369E6"/>
    <w:rsid w:val="00236ECE"/>
    <w:rsid w:val="00240360"/>
    <w:rsid w:val="002403A1"/>
    <w:rsid w:val="002405CA"/>
    <w:rsid w:val="002410B9"/>
    <w:rsid w:val="00242202"/>
    <w:rsid w:val="002426A1"/>
    <w:rsid w:val="00243E73"/>
    <w:rsid w:val="0024436E"/>
    <w:rsid w:val="00244951"/>
    <w:rsid w:val="00244B8A"/>
    <w:rsid w:val="00244FE3"/>
    <w:rsid w:val="002525ED"/>
    <w:rsid w:val="00252A79"/>
    <w:rsid w:val="00252CA6"/>
    <w:rsid w:val="00252EE3"/>
    <w:rsid w:val="002540ED"/>
    <w:rsid w:val="00255805"/>
    <w:rsid w:val="00255E64"/>
    <w:rsid w:val="00256676"/>
    <w:rsid w:val="00257789"/>
    <w:rsid w:val="00260D53"/>
    <w:rsid w:val="00262415"/>
    <w:rsid w:val="00262421"/>
    <w:rsid w:val="00263A2C"/>
    <w:rsid w:val="00263F24"/>
    <w:rsid w:val="00264114"/>
    <w:rsid w:val="002658ED"/>
    <w:rsid w:val="00270CFF"/>
    <w:rsid w:val="00272705"/>
    <w:rsid w:val="00273122"/>
    <w:rsid w:val="00276947"/>
    <w:rsid w:val="00276EA2"/>
    <w:rsid w:val="00277982"/>
    <w:rsid w:val="00280286"/>
    <w:rsid w:val="00280631"/>
    <w:rsid w:val="0028108A"/>
    <w:rsid w:val="002819DA"/>
    <w:rsid w:val="00282732"/>
    <w:rsid w:val="00283132"/>
    <w:rsid w:val="00283D5F"/>
    <w:rsid w:val="00284737"/>
    <w:rsid w:val="00285FF4"/>
    <w:rsid w:val="002864F8"/>
    <w:rsid w:val="0028796F"/>
    <w:rsid w:val="00290512"/>
    <w:rsid w:val="002912AE"/>
    <w:rsid w:val="00291BE0"/>
    <w:rsid w:val="00293200"/>
    <w:rsid w:val="002954D2"/>
    <w:rsid w:val="002A0838"/>
    <w:rsid w:val="002A10A4"/>
    <w:rsid w:val="002A20C0"/>
    <w:rsid w:val="002A335C"/>
    <w:rsid w:val="002A42B8"/>
    <w:rsid w:val="002A4A4C"/>
    <w:rsid w:val="002A6C98"/>
    <w:rsid w:val="002B0A74"/>
    <w:rsid w:val="002B19F5"/>
    <w:rsid w:val="002B3B85"/>
    <w:rsid w:val="002B7B68"/>
    <w:rsid w:val="002B7C7B"/>
    <w:rsid w:val="002C08C1"/>
    <w:rsid w:val="002C09F2"/>
    <w:rsid w:val="002C2756"/>
    <w:rsid w:val="002C3989"/>
    <w:rsid w:val="002C4189"/>
    <w:rsid w:val="002C5B70"/>
    <w:rsid w:val="002C6CA1"/>
    <w:rsid w:val="002C7F91"/>
    <w:rsid w:val="002D16E7"/>
    <w:rsid w:val="002D218A"/>
    <w:rsid w:val="002D2E84"/>
    <w:rsid w:val="002D56F9"/>
    <w:rsid w:val="002D6B3E"/>
    <w:rsid w:val="002D6C89"/>
    <w:rsid w:val="002D7525"/>
    <w:rsid w:val="002D7CB2"/>
    <w:rsid w:val="002E24C6"/>
    <w:rsid w:val="002E31BE"/>
    <w:rsid w:val="002E46FF"/>
    <w:rsid w:val="002E5742"/>
    <w:rsid w:val="002E6241"/>
    <w:rsid w:val="002E7EC8"/>
    <w:rsid w:val="002F0159"/>
    <w:rsid w:val="002F0DFB"/>
    <w:rsid w:val="002F13D9"/>
    <w:rsid w:val="002F1B73"/>
    <w:rsid w:val="002F20E0"/>
    <w:rsid w:val="002F2269"/>
    <w:rsid w:val="002F342F"/>
    <w:rsid w:val="002F34FF"/>
    <w:rsid w:val="002F37C7"/>
    <w:rsid w:val="002F4456"/>
    <w:rsid w:val="002F46A5"/>
    <w:rsid w:val="002F4A39"/>
    <w:rsid w:val="002F5134"/>
    <w:rsid w:val="002F5EC9"/>
    <w:rsid w:val="002F653E"/>
    <w:rsid w:val="002F67E7"/>
    <w:rsid w:val="002F7FDF"/>
    <w:rsid w:val="00300B68"/>
    <w:rsid w:val="00301E9B"/>
    <w:rsid w:val="00302CCA"/>
    <w:rsid w:val="00302D63"/>
    <w:rsid w:val="00303716"/>
    <w:rsid w:val="003042A8"/>
    <w:rsid w:val="00304A8F"/>
    <w:rsid w:val="00305B39"/>
    <w:rsid w:val="00306107"/>
    <w:rsid w:val="003063F0"/>
    <w:rsid w:val="00306F42"/>
    <w:rsid w:val="003108E4"/>
    <w:rsid w:val="00311B5F"/>
    <w:rsid w:val="00312018"/>
    <w:rsid w:val="00312A60"/>
    <w:rsid w:val="00313255"/>
    <w:rsid w:val="00313656"/>
    <w:rsid w:val="0031392C"/>
    <w:rsid w:val="0031458D"/>
    <w:rsid w:val="00315472"/>
    <w:rsid w:val="003160B3"/>
    <w:rsid w:val="0031681C"/>
    <w:rsid w:val="00317CB1"/>
    <w:rsid w:val="00320268"/>
    <w:rsid w:val="00320F24"/>
    <w:rsid w:val="003222B1"/>
    <w:rsid w:val="0032388E"/>
    <w:rsid w:val="00324B0E"/>
    <w:rsid w:val="00325F36"/>
    <w:rsid w:val="00325FED"/>
    <w:rsid w:val="00330089"/>
    <w:rsid w:val="00330131"/>
    <w:rsid w:val="00330404"/>
    <w:rsid w:val="00331265"/>
    <w:rsid w:val="0033233E"/>
    <w:rsid w:val="00333FFE"/>
    <w:rsid w:val="00335487"/>
    <w:rsid w:val="00337C9E"/>
    <w:rsid w:val="003402C7"/>
    <w:rsid w:val="00340B45"/>
    <w:rsid w:val="00343057"/>
    <w:rsid w:val="003436D9"/>
    <w:rsid w:val="003436F4"/>
    <w:rsid w:val="003460EA"/>
    <w:rsid w:val="003463D4"/>
    <w:rsid w:val="0034672A"/>
    <w:rsid w:val="00350DEE"/>
    <w:rsid w:val="00350FCA"/>
    <w:rsid w:val="003552DA"/>
    <w:rsid w:val="00355427"/>
    <w:rsid w:val="003565A3"/>
    <w:rsid w:val="00360201"/>
    <w:rsid w:val="00362AC3"/>
    <w:rsid w:val="00362BA1"/>
    <w:rsid w:val="00362BFF"/>
    <w:rsid w:val="003642F1"/>
    <w:rsid w:val="003647CC"/>
    <w:rsid w:val="00364AD0"/>
    <w:rsid w:val="00365085"/>
    <w:rsid w:val="0036508F"/>
    <w:rsid w:val="003667A0"/>
    <w:rsid w:val="00367AAE"/>
    <w:rsid w:val="00367F78"/>
    <w:rsid w:val="00371E6D"/>
    <w:rsid w:val="003732AD"/>
    <w:rsid w:val="0037408A"/>
    <w:rsid w:val="003746C6"/>
    <w:rsid w:val="00374CC7"/>
    <w:rsid w:val="00375071"/>
    <w:rsid w:val="00381928"/>
    <w:rsid w:val="00384BD0"/>
    <w:rsid w:val="003851ED"/>
    <w:rsid w:val="00387765"/>
    <w:rsid w:val="00391340"/>
    <w:rsid w:val="00391DE2"/>
    <w:rsid w:val="0039225A"/>
    <w:rsid w:val="00392777"/>
    <w:rsid w:val="00392FAE"/>
    <w:rsid w:val="00393AF3"/>
    <w:rsid w:val="00395AC8"/>
    <w:rsid w:val="003A145A"/>
    <w:rsid w:val="003A2A83"/>
    <w:rsid w:val="003A2C62"/>
    <w:rsid w:val="003A2CB7"/>
    <w:rsid w:val="003A3A32"/>
    <w:rsid w:val="003A441D"/>
    <w:rsid w:val="003B2D38"/>
    <w:rsid w:val="003B38F4"/>
    <w:rsid w:val="003B485F"/>
    <w:rsid w:val="003B503D"/>
    <w:rsid w:val="003B55F8"/>
    <w:rsid w:val="003B5A92"/>
    <w:rsid w:val="003B6BA9"/>
    <w:rsid w:val="003C1365"/>
    <w:rsid w:val="003C163C"/>
    <w:rsid w:val="003C1CFF"/>
    <w:rsid w:val="003C1D02"/>
    <w:rsid w:val="003C2E25"/>
    <w:rsid w:val="003C3581"/>
    <w:rsid w:val="003C4566"/>
    <w:rsid w:val="003C503A"/>
    <w:rsid w:val="003C5C4E"/>
    <w:rsid w:val="003C5F6C"/>
    <w:rsid w:val="003C7D08"/>
    <w:rsid w:val="003D06B7"/>
    <w:rsid w:val="003D1601"/>
    <w:rsid w:val="003D16B4"/>
    <w:rsid w:val="003D3639"/>
    <w:rsid w:val="003D433A"/>
    <w:rsid w:val="003D4B2E"/>
    <w:rsid w:val="003D4D69"/>
    <w:rsid w:val="003D62A6"/>
    <w:rsid w:val="003D75EA"/>
    <w:rsid w:val="003E0983"/>
    <w:rsid w:val="003E199C"/>
    <w:rsid w:val="003E2961"/>
    <w:rsid w:val="003E34D0"/>
    <w:rsid w:val="003E463A"/>
    <w:rsid w:val="003E482F"/>
    <w:rsid w:val="003E62E0"/>
    <w:rsid w:val="003E7CF2"/>
    <w:rsid w:val="003F19F7"/>
    <w:rsid w:val="003F3F30"/>
    <w:rsid w:val="003F4413"/>
    <w:rsid w:val="003F71FE"/>
    <w:rsid w:val="003F7D7A"/>
    <w:rsid w:val="00402A3A"/>
    <w:rsid w:val="00402A63"/>
    <w:rsid w:val="004035A4"/>
    <w:rsid w:val="0040409C"/>
    <w:rsid w:val="00404216"/>
    <w:rsid w:val="00404515"/>
    <w:rsid w:val="00404DBC"/>
    <w:rsid w:val="00405765"/>
    <w:rsid w:val="0040692E"/>
    <w:rsid w:val="00406E43"/>
    <w:rsid w:val="0040738F"/>
    <w:rsid w:val="004077B8"/>
    <w:rsid w:val="00411E5E"/>
    <w:rsid w:val="00412AA2"/>
    <w:rsid w:val="0041337A"/>
    <w:rsid w:val="00413C75"/>
    <w:rsid w:val="00414446"/>
    <w:rsid w:val="00414DBC"/>
    <w:rsid w:val="00415059"/>
    <w:rsid w:val="00415494"/>
    <w:rsid w:val="00416856"/>
    <w:rsid w:val="004205B3"/>
    <w:rsid w:val="00420675"/>
    <w:rsid w:val="00420CA9"/>
    <w:rsid w:val="00422171"/>
    <w:rsid w:val="004225FB"/>
    <w:rsid w:val="00423ACC"/>
    <w:rsid w:val="00424321"/>
    <w:rsid w:val="00425D24"/>
    <w:rsid w:val="0042620B"/>
    <w:rsid w:val="00427F0B"/>
    <w:rsid w:val="00430455"/>
    <w:rsid w:val="004312A6"/>
    <w:rsid w:val="00431B06"/>
    <w:rsid w:val="00432B9C"/>
    <w:rsid w:val="004341C5"/>
    <w:rsid w:val="00434705"/>
    <w:rsid w:val="00434E55"/>
    <w:rsid w:val="0043609A"/>
    <w:rsid w:val="004360D6"/>
    <w:rsid w:val="004377C0"/>
    <w:rsid w:val="00437E31"/>
    <w:rsid w:val="00440895"/>
    <w:rsid w:val="004414E0"/>
    <w:rsid w:val="00442E22"/>
    <w:rsid w:val="00442F14"/>
    <w:rsid w:val="0044373C"/>
    <w:rsid w:val="00443BBB"/>
    <w:rsid w:val="00445B78"/>
    <w:rsid w:val="004537E0"/>
    <w:rsid w:val="00453AE2"/>
    <w:rsid w:val="00455AC7"/>
    <w:rsid w:val="00457C07"/>
    <w:rsid w:val="00457C0C"/>
    <w:rsid w:val="00460C3C"/>
    <w:rsid w:val="00461FF5"/>
    <w:rsid w:val="00464B8F"/>
    <w:rsid w:val="00464FC6"/>
    <w:rsid w:val="00466116"/>
    <w:rsid w:val="00466212"/>
    <w:rsid w:val="00470D7B"/>
    <w:rsid w:val="004737F0"/>
    <w:rsid w:val="00475724"/>
    <w:rsid w:val="00475ECD"/>
    <w:rsid w:val="004804A3"/>
    <w:rsid w:val="00483F42"/>
    <w:rsid w:val="004841DD"/>
    <w:rsid w:val="0048613F"/>
    <w:rsid w:val="00487936"/>
    <w:rsid w:val="004901A2"/>
    <w:rsid w:val="00491246"/>
    <w:rsid w:val="00491292"/>
    <w:rsid w:val="004914F0"/>
    <w:rsid w:val="00492645"/>
    <w:rsid w:val="00492D63"/>
    <w:rsid w:val="004930EE"/>
    <w:rsid w:val="00493F93"/>
    <w:rsid w:val="00494F6A"/>
    <w:rsid w:val="00495098"/>
    <w:rsid w:val="00496B46"/>
    <w:rsid w:val="0049739E"/>
    <w:rsid w:val="004A11CD"/>
    <w:rsid w:val="004A1EC0"/>
    <w:rsid w:val="004A22FC"/>
    <w:rsid w:val="004A2B15"/>
    <w:rsid w:val="004A3582"/>
    <w:rsid w:val="004A4707"/>
    <w:rsid w:val="004A5A26"/>
    <w:rsid w:val="004A5D90"/>
    <w:rsid w:val="004A67FD"/>
    <w:rsid w:val="004A6EE9"/>
    <w:rsid w:val="004B2D00"/>
    <w:rsid w:val="004B56AC"/>
    <w:rsid w:val="004B5CC0"/>
    <w:rsid w:val="004B6AA2"/>
    <w:rsid w:val="004B6F90"/>
    <w:rsid w:val="004B77BA"/>
    <w:rsid w:val="004C15DE"/>
    <w:rsid w:val="004C1732"/>
    <w:rsid w:val="004C3E78"/>
    <w:rsid w:val="004C3EE2"/>
    <w:rsid w:val="004C4CF4"/>
    <w:rsid w:val="004C5DBC"/>
    <w:rsid w:val="004D0210"/>
    <w:rsid w:val="004D037D"/>
    <w:rsid w:val="004D037F"/>
    <w:rsid w:val="004D101F"/>
    <w:rsid w:val="004D18C9"/>
    <w:rsid w:val="004D23CD"/>
    <w:rsid w:val="004D2CAF"/>
    <w:rsid w:val="004D2FB6"/>
    <w:rsid w:val="004D369F"/>
    <w:rsid w:val="004D3AA9"/>
    <w:rsid w:val="004D3F90"/>
    <w:rsid w:val="004D4B6D"/>
    <w:rsid w:val="004D5591"/>
    <w:rsid w:val="004D5D82"/>
    <w:rsid w:val="004D5DD1"/>
    <w:rsid w:val="004D6823"/>
    <w:rsid w:val="004D7287"/>
    <w:rsid w:val="004D74FA"/>
    <w:rsid w:val="004E122E"/>
    <w:rsid w:val="004E32FE"/>
    <w:rsid w:val="004E3645"/>
    <w:rsid w:val="004E4477"/>
    <w:rsid w:val="004E474C"/>
    <w:rsid w:val="004E625B"/>
    <w:rsid w:val="004F0446"/>
    <w:rsid w:val="004F180F"/>
    <w:rsid w:val="004F1823"/>
    <w:rsid w:val="004F6416"/>
    <w:rsid w:val="004F6DFB"/>
    <w:rsid w:val="00503E0A"/>
    <w:rsid w:val="005126FD"/>
    <w:rsid w:val="00514728"/>
    <w:rsid w:val="0051499A"/>
    <w:rsid w:val="005150F7"/>
    <w:rsid w:val="00515EEC"/>
    <w:rsid w:val="005165FF"/>
    <w:rsid w:val="00516EE7"/>
    <w:rsid w:val="005208E5"/>
    <w:rsid w:val="0052129E"/>
    <w:rsid w:val="00521AD5"/>
    <w:rsid w:val="00523217"/>
    <w:rsid w:val="00523963"/>
    <w:rsid w:val="00523F4A"/>
    <w:rsid w:val="005254AC"/>
    <w:rsid w:val="00525B44"/>
    <w:rsid w:val="00527526"/>
    <w:rsid w:val="00531342"/>
    <w:rsid w:val="00532CC6"/>
    <w:rsid w:val="005349F8"/>
    <w:rsid w:val="00535381"/>
    <w:rsid w:val="00535626"/>
    <w:rsid w:val="00535D82"/>
    <w:rsid w:val="0054030E"/>
    <w:rsid w:val="00541D2F"/>
    <w:rsid w:val="00542B8A"/>
    <w:rsid w:val="00542F06"/>
    <w:rsid w:val="00543239"/>
    <w:rsid w:val="00543D66"/>
    <w:rsid w:val="00544A47"/>
    <w:rsid w:val="00544FFC"/>
    <w:rsid w:val="00545FD1"/>
    <w:rsid w:val="00546903"/>
    <w:rsid w:val="005501EE"/>
    <w:rsid w:val="00552AB6"/>
    <w:rsid w:val="0055305C"/>
    <w:rsid w:val="005547BA"/>
    <w:rsid w:val="00554B2B"/>
    <w:rsid w:val="0055554C"/>
    <w:rsid w:val="00557679"/>
    <w:rsid w:val="005616A3"/>
    <w:rsid w:val="0056220F"/>
    <w:rsid w:val="00562555"/>
    <w:rsid w:val="0056358C"/>
    <w:rsid w:val="005657AA"/>
    <w:rsid w:val="00565949"/>
    <w:rsid w:val="00565D92"/>
    <w:rsid w:val="005669A5"/>
    <w:rsid w:val="00566E12"/>
    <w:rsid w:val="00566E82"/>
    <w:rsid w:val="00567F7E"/>
    <w:rsid w:val="00570625"/>
    <w:rsid w:val="00571317"/>
    <w:rsid w:val="00572368"/>
    <w:rsid w:val="005740B0"/>
    <w:rsid w:val="00575241"/>
    <w:rsid w:val="005772A2"/>
    <w:rsid w:val="00581C1B"/>
    <w:rsid w:val="00582F79"/>
    <w:rsid w:val="0058325D"/>
    <w:rsid w:val="005832D8"/>
    <w:rsid w:val="005837C7"/>
    <w:rsid w:val="00583B62"/>
    <w:rsid w:val="005870D5"/>
    <w:rsid w:val="00587673"/>
    <w:rsid w:val="0058772A"/>
    <w:rsid w:val="00590BA2"/>
    <w:rsid w:val="005917C1"/>
    <w:rsid w:val="00591817"/>
    <w:rsid w:val="00591840"/>
    <w:rsid w:val="00593256"/>
    <w:rsid w:val="00593701"/>
    <w:rsid w:val="00593ADD"/>
    <w:rsid w:val="00594AA6"/>
    <w:rsid w:val="00595D64"/>
    <w:rsid w:val="005963FC"/>
    <w:rsid w:val="00597995"/>
    <w:rsid w:val="00597CB4"/>
    <w:rsid w:val="005A0B37"/>
    <w:rsid w:val="005A0C36"/>
    <w:rsid w:val="005A1182"/>
    <w:rsid w:val="005A167E"/>
    <w:rsid w:val="005A3022"/>
    <w:rsid w:val="005A3F37"/>
    <w:rsid w:val="005A51ED"/>
    <w:rsid w:val="005A6731"/>
    <w:rsid w:val="005A7196"/>
    <w:rsid w:val="005B103F"/>
    <w:rsid w:val="005B11FE"/>
    <w:rsid w:val="005B247A"/>
    <w:rsid w:val="005B2582"/>
    <w:rsid w:val="005B3B7C"/>
    <w:rsid w:val="005B514B"/>
    <w:rsid w:val="005B524F"/>
    <w:rsid w:val="005B691A"/>
    <w:rsid w:val="005B7185"/>
    <w:rsid w:val="005B7B6E"/>
    <w:rsid w:val="005C77A1"/>
    <w:rsid w:val="005D154D"/>
    <w:rsid w:val="005D5B4D"/>
    <w:rsid w:val="005D5CB6"/>
    <w:rsid w:val="005D5CFC"/>
    <w:rsid w:val="005D61D3"/>
    <w:rsid w:val="005D6C08"/>
    <w:rsid w:val="005D6D22"/>
    <w:rsid w:val="005D7331"/>
    <w:rsid w:val="005D7A9E"/>
    <w:rsid w:val="005E09FC"/>
    <w:rsid w:val="005E18AD"/>
    <w:rsid w:val="005E527F"/>
    <w:rsid w:val="005E540F"/>
    <w:rsid w:val="005E6089"/>
    <w:rsid w:val="005F013E"/>
    <w:rsid w:val="005F0B72"/>
    <w:rsid w:val="005F0F15"/>
    <w:rsid w:val="005F4877"/>
    <w:rsid w:val="005F5D2E"/>
    <w:rsid w:val="005F6287"/>
    <w:rsid w:val="005F6C18"/>
    <w:rsid w:val="005F7A35"/>
    <w:rsid w:val="006006A0"/>
    <w:rsid w:val="0060125E"/>
    <w:rsid w:val="00601928"/>
    <w:rsid w:val="006022EC"/>
    <w:rsid w:val="00611217"/>
    <w:rsid w:val="00612C7B"/>
    <w:rsid w:val="00612D6B"/>
    <w:rsid w:val="006149FB"/>
    <w:rsid w:val="00615868"/>
    <w:rsid w:val="00616157"/>
    <w:rsid w:val="006162D6"/>
    <w:rsid w:val="00620F19"/>
    <w:rsid w:val="00627594"/>
    <w:rsid w:val="00630EE5"/>
    <w:rsid w:val="0063226C"/>
    <w:rsid w:val="006333A2"/>
    <w:rsid w:val="00633445"/>
    <w:rsid w:val="00636E34"/>
    <w:rsid w:val="00641A1B"/>
    <w:rsid w:val="00642756"/>
    <w:rsid w:val="00642CAB"/>
    <w:rsid w:val="006441C4"/>
    <w:rsid w:val="00644618"/>
    <w:rsid w:val="00645031"/>
    <w:rsid w:val="00645D45"/>
    <w:rsid w:val="00647C1B"/>
    <w:rsid w:val="00651C87"/>
    <w:rsid w:val="006527AA"/>
    <w:rsid w:val="00653E20"/>
    <w:rsid w:val="00654B48"/>
    <w:rsid w:val="00656089"/>
    <w:rsid w:val="00657243"/>
    <w:rsid w:val="00657639"/>
    <w:rsid w:val="0065767F"/>
    <w:rsid w:val="00657D7E"/>
    <w:rsid w:val="00664E79"/>
    <w:rsid w:val="006651B0"/>
    <w:rsid w:val="00666348"/>
    <w:rsid w:val="0066664B"/>
    <w:rsid w:val="00666BB1"/>
    <w:rsid w:val="00667111"/>
    <w:rsid w:val="006671DB"/>
    <w:rsid w:val="00667863"/>
    <w:rsid w:val="00670D08"/>
    <w:rsid w:val="00672110"/>
    <w:rsid w:val="006745FA"/>
    <w:rsid w:val="006755F3"/>
    <w:rsid w:val="00676044"/>
    <w:rsid w:val="00676AD0"/>
    <w:rsid w:val="00677380"/>
    <w:rsid w:val="006775CD"/>
    <w:rsid w:val="006802FD"/>
    <w:rsid w:val="00680A90"/>
    <w:rsid w:val="006832EB"/>
    <w:rsid w:val="00683626"/>
    <w:rsid w:val="00683B85"/>
    <w:rsid w:val="006843AE"/>
    <w:rsid w:val="00687E3A"/>
    <w:rsid w:val="006913B7"/>
    <w:rsid w:val="00691D2A"/>
    <w:rsid w:val="00692BB3"/>
    <w:rsid w:val="00692D14"/>
    <w:rsid w:val="0069492E"/>
    <w:rsid w:val="00694C99"/>
    <w:rsid w:val="0069660A"/>
    <w:rsid w:val="00697F08"/>
    <w:rsid w:val="006A13F6"/>
    <w:rsid w:val="006A1DAA"/>
    <w:rsid w:val="006A41AB"/>
    <w:rsid w:val="006A4697"/>
    <w:rsid w:val="006B0464"/>
    <w:rsid w:val="006B1FDC"/>
    <w:rsid w:val="006B2590"/>
    <w:rsid w:val="006B36F6"/>
    <w:rsid w:val="006B381B"/>
    <w:rsid w:val="006B45C0"/>
    <w:rsid w:val="006B4E59"/>
    <w:rsid w:val="006B5027"/>
    <w:rsid w:val="006C06F4"/>
    <w:rsid w:val="006C1D2A"/>
    <w:rsid w:val="006C2142"/>
    <w:rsid w:val="006C360A"/>
    <w:rsid w:val="006C3824"/>
    <w:rsid w:val="006C46D7"/>
    <w:rsid w:val="006C4805"/>
    <w:rsid w:val="006C5A53"/>
    <w:rsid w:val="006C7794"/>
    <w:rsid w:val="006D0223"/>
    <w:rsid w:val="006D0FB3"/>
    <w:rsid w:val="006D54B7"/>
    <w:rsid w:val="006D70CD"/>
    <w:rsid w:val="006D7D63"/>
    <w:rsid w:val="006E00AC"/>
    <w:rsid w:val="006E1DA2"/>
    <w:rsid w:val="006E2964"/>
    <w:rsid w:val="006E30FC"/>
    <w:rsid w:val="006E3311"/>
    <w:rsid w:val="006E53D4"/>
    <w:rsid w:val="006E6E08"/>
    <w:rsid w:val="006F18B3"/>
    <w:rsid w:val="006F408D"/>
    <w:rsid w:val="006F60E3"/>
    <w:rsid w:val="006F7BE2"/>
    <w:rsid w:val="00700825"/>
    <w:rsid w:val="00703140"/>
    <w:rsid w:val="007039C8"/>
    <w:rsid w:val="00704197"/>
    <w:rsid w:val="00705724"/>
    <w:rsid w:val="00705A68"/>
    <w:rsid w:val="00705A6B"/>
    <w:rsid w:val="00705B6F"/>
    <w:rsid w:val="00705CBD"/>
    <w:rsid w:val="00706016"/>
    <w:rsid w:val="007060F7"/>
    <w:rsid w:val="00707276"/>
    <w:rsid w:val="0070756A"/>
    <w:rsid w:val="00712158"/>
    <w:rsid w:val="00713258"/>
    <w:rsid w:val="00713E7A"/>
    <w:rsid w:val="007144FB"/>
    <w:rsid w:val="00714F58"/>
    <w:rsid w:val="00715136"/>
    <w:rsid w:val="00715D8F"/>
    <w:rsid w:val="007161BE"/>
    <w:rsid w:val="00721132"/>
    <w:rsid w:val="0072161D"/>
    <w:rsid w:val="00721DC9"/>
    <w:rsid w:val="00723180"/>
    <w:rsid w:val="00723820"/>
    <w:rsid w:val="007240E7"/>
    <w:rsid w:val="00724E55"/>
    <w:rsid w:val="0072748E"/>
    <w:rsid w:val="007305C3"/>
    <w:rsid w:val="00730690"/>
    <w:rsid w:val="0073227E"/>
    <w:rsid w:val="0073398E"/>
    <w:rsid w:val="00733B69"/>
    <w:rsid w:val="0073448B"/>
    <w:rsid w:val="00736217"/>
    <w:rsid w:val="00736888"/>
    <w:rsid w:val="00740025"/>
    <w:rsid w:val="00742101"/>
    <w:rsid w:val="00743AF8"/>
    <w:rsid w:val="00743D16"/>
    <w:rsid w:val="00744142"/>
    <w:rsid w:val="00744941"/>
    <w:rsid w:val="00747E12"/>
    <w:rsid w:val="00750A2B"/>
    <w:rsid w:val="00751342"/>
    <w:rsid w:val="007529D7"/>
    <w:rsid w:val="00752BA0"/>
    <w:rsid w:val="007531D1"/>
    <w:rsid w:val="007537C7"/>
    <w:rsid w:val="007538A7"/>
    <w:rsid w:val="007539FA"/>
    <w:rsid w:val="00753C70"/>
    <w:rsid w:val="007552D7"/>
    <w:rsid w:val="00755407"/>
    <w:rsid w:val="007559A4"/>
    <w:rsid w:val="007563CD"/>
    <w:rsid w:val="00756CC3"/>
    <w:rsid w:val="00756D92"/>
    <w:rsid w:val="007574EF"/>
    <w:rsid w:val="00757738"/>
    <w:rsid w:val="007603D7"/>
    <w:rsid w:val="00760AF3"/>
    <w:rsid w:val="00761CFF"/>
    <w:rsid w:val="007634CF"/>
    <w:rsid w:val="00763962"/>
    <w:rsid w:val="00763AC8"/>
    <w:rsid w:val="007653FB"/>
    <w:rsid w:val="007654DE"/>
    <w:rsid w:val="00765AD1"/>
    <w:rsid w:val="00766BD4"/>
    <w:rsid w:val="00766D9F"/>
    <w:rsid w:val="00766ED3"/>
    <w:rsid w:val="007711F5"/>
    <w:rsid w:val="00771847"/>
    <w:rsid w:val="00771BE7"/>
    <w:rsid w:val="0077327E"/>
    <w:rsid w:val="00773EEE"/>
    <w:rsid w:val="00774C8C"/>
    <w:rsid w:val="00774D8E"/>
    <w:rsid w:val="007753F3"/>
    <w:rsid w:val="00775762"/>
    <w:rsid w:val="00776552"/>
    <w:rsid w:val="00777A7F"/>
    <w:rsid w:val="00782143"/>
    <w:rsid w:val="007822B1"/>
    <w:rsid w:val="007834D2"/>
    <w:rsid w:val="00783F8A"/>
    <w:rsid w:val="00784E87"/>
    <w:rsid w:val="00785E49"/>
    <w:rsid w:val="00785F9F"/>
    <w:rsid w:val="0078620D"/>
    <w:rsid w:val="007877B9"/>
    <w:rsid w:val="00792417"/>
    <w:rsid w:val="007946FA"/>
    <w:rsid w:val="0079581F"/>
    <w:rsid w:val="007959F8"/>
    <w:rsid w:val="00795F35"/>
    <w:rsid w:val="0079600E"/>
    <w:rsid w:val="007A05D8"/>
    <w:rsid w:val="007A06D9"/>
    <w:rsid w:val="007A0C1F"/>
    <w:rsid w:val="007A0C34"/>
    <w:rsid w:val="007A1133"/>
    <w:rsid w:val="007A1D64"/>
    <w:rsid w:val="007A205E"/>
    <w:rsid w:val="007A3216"/>
    <w:rsid w:val="007A5A82"/>
    <w:rsid w:val="007A5F5A"/>
    <w:rsid w:val="007A675D"/>
    <w:rsid w:val="007A6CD3"/>
    <w:rsid w:val="007B071B"/>
    <w:rsid w:val="007B14E3"/>
    <w:rsid w:val="007B1FE1"/>
    <w:rsid w:val="007B3474"/>
    <w:rsid w:val="007B4836"/>
    <w:rsid w:val="007B54B8"/>
    <w:rsid w:val="007B6610"/>
    <w:rsid w:val="007B7064"/>
    <w:rsid w:val="007B7CE2"/>
    <w:rsid w:val="007B7FEB"/>
    <w:rsid w:val="007C0DFC"/>
    <w:rsid w:val="007C3898"/>
    <w:rsid w:val="007C3907"/>
    <w:rsid w:val="007C4332"/>
    <w:rsid w:val="007C501F"/>
    <w:rsid w:val="007C57C3"/>
    <w:rsid w:val="007C61B4"/>
    <w:rsid w:val="007C6CDD"/>
    <w:rsid w:val="007C776D"/>
    <w:rsid w:val="007D003B"/>
    <w:rsid w:val="007D245E"/>
    <w:rsid w:val="007D4AF2"/>
    <w:rsid w:val="007D4BEB"/>
    <w:rsid w:val="007D5877"/>
    <w:rsid w:val="007E117B"/>
    <w:rsid w:val="007E23AD"/>
    <w:rsid w:val="007E2A15"/>
    <w:rsid w:val="007E2F65"/>
    <w:rsid w:val="007E4036"/>
    <w:rsid w:val="007E440A"/>
    <w:rsid w:val="007E48EE"/>
    <w:rsid w:val="007F068B"/>
    <w:rsid w:val="007F32DE"/>
    <w:rsid w:val="007F3621"/>
    <w:rsid w:val="007F5BE5"/>
    <w:rsid w:val="007F5D96"/>
    <w:rsid w:val="007F6ED4"/>
    <w:rsid w:val="007F74C2"/>
    <w:rsid w:val="007F78EA"/>
    <w:rsid w:val="007F7F97"/>
    <w:rsid w:val="007F7FC2"/>
    <w:rsid w:val="0080029B"/>
    <w:rsid w:val="00800EB0"/>
    <w:rsid w:val="00801C99"/>
    <w:rsid w:val="00802EF4"/>
    <w:rsid w:val="0080528B"/>
    <w:rsid w:val="00806908"/>
    <w:rsid w:val="00806C02"/>
    <w:rsid w:val="00811844"/>
    <w:rsid w:val="00811950"/>
    <w:rsid w:val="00811B06"/>
    <w:rsid w:val="00814AF0"/>
    <w:rsid w:val="00814C43"/>
    <w:rsid w:val="0081518B"/>
    <w:rsid w:val="00815571"/>
    <w:rsid w:val="00816AE4"/>
    <w:rsid w:val="00817EBF"/>
    <w:rsid w:val="008202B0"/>
    <w:rsid w:val="00820982"/>
    <w:rsid w:val="00820CF6"/>
    <w:rsid w:val="00820E32"/>
    <w:rsid w:val="0082297B"/>
    <w:rsid w:val="0082437C"/>
    <w:rsid w:val="00827C37"/>
    <w:rsid w:val="0083027C"/>
    <w:rsid w:val="008306B6"/>
    <w:rsid w:val="00831349"/>
    <w:rsid w:val="00832FBC"/>
    <w:rsid w:val="00834754"/>
    <w:rsid w:val="00835099"/>
    <w:rsid w:val="00835EBE"/>
    <w:rsid w:val="0083675E"/>
    <w:rsid w:val="008367C9"/>
    <w:rsid w:val="00837049"/>
    <w:rsid w:val="00837E4C"/>
    <w:rsid w:val="0084052D"/>
    <w:rsid w:val="00844B90"/>
    <w:rsid w:val="00844BAB"/>
    <w:rsid w:val="00844C86"/>
    <w:rsid w:val="008453D0"/>
    <w:rsid w:val="008464ED"/>
    <w:rsid w:val="008467E8"/>
    <w:rsid w:val="00847873"/>
    <w:rsid w:val="0085043E"/>
    <w:rsid w:val="00850739"/>
    <w:rsid w:val="00851194"/>
    <w:rsid w:val="00851FBD"/>
    <w:rsid w:val="00853DA2"/>
    <w:rsid w:val="00854722"/>
    <w:rsid w:val="00855271"/>
    <w:rsid w:val="00856716"/>
    <w:rsid w:val="00856C2F"/>
    <w:rsid w:val="00857194"/>
    <w:rsid w:val="008617FE"/>
    <w:rsid w:val="00862E70"/>
    <w:rsid w:val="00863692"/>
    <w:rsid w:val="008646DB"/>
    <w:rsid w:val="00866645"/>
    <w:rsid w:val="00866D7A"/>
    <w:rsid w:val="00867FD3"/>
    <w:rsid w:val="008701B0"/>
    <w:rsid w:val="00870C12"/>
    <w:rsid w:val="008711F2"/>
    <w:rsid w:val="0087144D"/>
    <w:rsid w:val="00871532"/>
    <w:rsid w:val="008719A2"/>
    <w:rsid w:val="00873AA2"/>
    <w:rsid w:val="00875584"/>
    <w:rsid w:val="00876237"/>
    <w:rsid w:val="008767D2"/>
    <w:rsid w:val="00876BE1"/>
    <w:rsid w:val="00877841"/>
    <w:rsid w:val="00881BAC"/>
    <w:rsid w:val="00881EB5"/>
    <w:rsid w:val="008837A9"/>
    <w:rsid w:val="00883841"/>
    <w:rsid w:val="00883866"/>
    <w:rsid w:val="0088406F"/>
    <w:rsid w:val="00885000"/>
    <w:rsid w:val="0088684B"/>
    <w:rsid w:val="00887338"/>
    <w:rsid w:val="00887B5C"/>
    <w:rsid w:val="0089025D"/>
    <w:rsid w:val="008902BD"/>
    <w:rsid w:val="00890D27"/>
    <w:rsid w:val="0089127B"/>
    <w:rsid w:val="00891D8A"/>
    <w:rsid w:val="00891F6C"/>
    <w:rsid w:val="008936C7"/>
    <w:rsid w:val="0089606D"/>
    <w:rsid w:val="00896BF6"/>
    <w:rsid w:val="008A04C9"/>
    <w:rsid w:val="008A0E20"/>
    <w:rsid w:val="008A20D2"/>
    <w:rsid w:val="008A4441"/>
    <w:rsid w:val="008A46D6"/>
    <w:rsid w:val="008A5DA5"/>
    <w:rsid w:val="008A717D"/>
    <w:rsid w:val="008B01AA"/>
    <w:rsid w:val="008B10A1"/>
    <w:rsid w:val="008B2B74"/>
    <w:rsid w:val="008B5EB1"/>
    <w:rsid w:val="008B6E3D"/>
    <w:rsid w:val="008B7493"/>
    <w:rsid w:val="008C01C1"/>
    <w:rsid w:val="008C03E0"/>
    <w:rsid w:val="008C105F"/>
    <w:rsid w:val="008C15A0"/>
    <w:rsid w:val="008C205D"/>
    <w:rsid w:val="008C2A2A"/>
    <w:rsid w:val="008C2E8E"/>
    <w:rsid w:val="008C3F88"/>
    <w:rsid w:val="008C444C"/>
    <w:rsid w:val="008C48A4"/>
    <w:rsid w:val="008C5447"/>
    <w:rsid w:val="008C5BF9"/>
    <w:rsid w:val="008C63EA"/>
    <w:rsid w:val="008C717A"/>
    <w:rsid w:val="008D0555"/>
    <w:rsid w:val="008D17DE"/>
    <w:rsid w:val="008D1806"/>
    <w:rsid w:val="008D1835"/>
    <w:rsid w:val="008D2230"/>
    <w:rsid w:val="008D239B"/>
    <w:rsid w:val="008D4D8D"/>
    <w:rsid w:val="008D5314"/>
    <w:rsid w:val="008D6203"/>
    <w:rsid w:val="008D7468"/>
    <w:rsid w:val="008D7CF0"/>
    <w:rsid w:val="008D7F49"/>
    <w:rsid w:val="008E0A46"/>
    <w:rsid w:val="008E0A76"/>
    <w:rsid w:val="008E317B"/>
    <w:rsid w:val="008E3408"/>
    <w:rsid w:val="008E6E22"/>
    <w:rsid w:val="008F010A"/>
    <w:rsid w:val="008F06DE"/>
    <w:rsid w:val="008F085C"/>
    <w:rsid w:val="008F0CC0"/>
    <w:rsid w:val="008F0DDE"/>
    <w:rsid w:val="008F0EBD"/>
    <w:rsid w:val="008F1022"/>
    <w:rsid w:val="008F15DA"/>
    <w:rsid w:val="008F196A"/>
    <w:rsid w:val="008F24DB"/>
    <w:rsid w:val="008F3744"/>
    <w:rsid w:val="008F494C"/>
    <w:rsid w:val="008F4B1B"/>
    <w:rsid w:val="008F53CD"/>
    <w:rsid w:val="008F56A0"/>
    <w:rsid w:val="008F5D72"/>
    <w:rsid w:val="008F6BDA"/>
    <w:rsid w:val="008F73EA"/>
    <w:rsid w:val="00900098"/>
    <w:rsid w:val="009005C1"/>
    <w:rsid w:val="00901531"/>
    <w:rsid w:val="009024B5"/>
    <w:rsid w:val="00903D1A"/>
    <w:rsid w:val="00904B28"/>
    <w:rsid w:val="00905025"/>
    <w:rsid w:val="00905C94"/>
    <w:rsid w:val="0090781B"/>
    <w:rsid w:val="009078D8"/>
    <w:rsid w:val="00911455"/>
    <w:rsid w:val="009133BA"/>
    <w:rsid w:val="00913B90"/>
    <w:rsid w:val="00915B42"/>
    <w:rsid w:val="00917A24"/>
    <w:rsid w:val="00917DEA"/>
    <w:rsid w:val="009242E9"/>
    <w:rsid w:val="00925BF8"/>
    <w:rsid w:val="00931A3D"/>
    <w:rsid w:val="0093216F"/>
    <w:rsid w:val="0093284F"/>
    <w:rsid w:val="00934055"/>
    <w:rsid w:val="00935063"/>
    <w:rsid w:val="00935A98"/>
    <w:rsid w:val="00935B95"/>
    <w:rsid w:val="00936085"/>
    <w:rsid w:val="00940A1E"/>
    <w:rsid w:val="00941B1F"/>
    <w:rsid w:val="00941EB7"/>
    <w:rsid w:val="00942487"/>
    <w:rsid w:val="00942F2F"/>
    <w:rsid w:val="009468B7"/>
    <w:rsid w:val="009473E5"/>
    <w:rsid w:val="00947943"/>
    <w:rsid w:val="00947B5B"/>
    <w:rsid w:val="00947C96"/>
    <w:rsid w:val="0095017E"/>
    <w:rsid w:val="009508BD"/>
    <w:rsid w:val="009509BD"/>
    <w:rsid w:val="00950C24"/>
    <w:rsid w:val="00950CCD"/>
    <w:rsid w:val="00952A6B"/>
    <w:rsid w:val="00952E84"/>
    <w:rsid w:val="009553CB"/>
    <w:rsid w:val="00955EE0"/>
    <w:rsid w:val="0095671E"/>
    <w:rsid w:val="00957CFD"/>
    <w:rsid w:val="00962AD7"/>
    <w:rsid w:val="00965AD5"/>
    <w:rsid w:val="00966508"/>
    <w:rsid w:val="0096654D"/>
    <w:rsid w:val="00967FDC"/>
    <w:rsid w:val="009732CA"/>
    <w:rsid w:val="00974170"/>
    <w:rsid w:val="0097583A"/>
    <w:rsid w:val="0097651D"/>
    <w:rsid w:val="0098032A"/>
    <w:rsid w:val="0098180F"/>
    <w:rsid w:val="00983A13"/>
    <w:rsid w:val="009863CC"/>
    <w:rsid w:val="00986740"/>
    <w:rsid w:val="00986904"/>
    <w:rsid w:val="00987E4D"/>
    <w:rsid w:val="00991026"/>
    <w:rsid w:val="00991236"/>
    <w:rsid w:val="00991F8E"/>
    <w:rsid w:val="00993A60"/>
    <w:rsid w:val="00993C4E"/>
    <w:rsid w:val="00993D39"/>
    <w:rsid w:val="00994C9F"/>
    <w:rsid w:val="00997129"/>
    <w:rsid w:val="0099743C"/>
    <w:rsid w:val="009A00FF"/>
    <w:rsid w:val="009A09FC"/>
    <w:rsid w:val="009A1951"/>
    <w:rsid w:val="009A264C"/>
    <w:rsid w:val="009A2809"/>
    <w:rsid w:val="009A29B4"/>
    <w:rsid w:val="009A31FF"/>
    <w:rsid w:val="009A336E"/>
    <w:rsid w:val="009A612E"/>
    <w:rsid w:val="009A7586"/>
    <w:rsid w:val="009B289B"/>
    <w:rsid w:val="009B2EA5"/>
    <w:rsid w:val="009B39DC"/>
    <w:rsid w:val="009B3E8F"/>
    <w:rsid w:val="009B5F9F"/>
    <w:rsid w:val="009B60EB"/>
    <w:rsid w:val="009B6653"/>
    <w:rsid w:val="009B6696"/>
    <w:rsid w:val="009B66EB"/>
    <w:rsid w:val="009B7415"/>
    <w:rsid w:val="009C0919"/>
    <w:rsid w:val="009C1335"/>
    <w:rsid w:val="009C17EB"/>
    <w:rsid w:val="009C19BE"/>
    <w:rsid w:val="009C1EC0"/>
    <w:rsid w:val="009C35EB"/>
    <w:rsid w:val="009C409E"/>
    <w:rsid w:val="009C4779"/>
    <w:rsid w:val="009D2957"/>
    <w:rsid w:val="009D449A"/>
    <w:rsid w:val="009D46C7"/>
    <w:rsid w:val="009D4A2A"/>
    <w:rsid w:val="009D62E8"/>
    <w:rsid w:val="009D6FE5"/>
    <w:rsid w:val="009D725E"/>
    <w:rsid w:val="009E1313"/>
    <w:rsid w:val="009E3EFF"/>
    <w:rsid w:val="009E5033"/>
    <w:rsid w:val="009E60B3"/>
    <w:rsid w:val="009E6A49"/>
    <w:rsid w:val="009F0DF8"/>
    <w:rsid w:val="009F2464"/>
    <w:rsid w:val="009F3152"/>
    <w:rsid w:val="009F3C2D"/>
    <w:rsid w:val="009F5473"/>
    <w:rsid w:val="009F5D8D"/>
    <w:rsid w:val="00A01ACC"/>
    <w:rsid w:val="00A0308A"/>
    <w:rsid w:val="00A03271"/>
    <w:rsid w:val="00A06586"/>
    <w:rsid w:val="00A0716F"/>
    <w:rsid w:val="00A07D82"/>
    <w:rsid w:val="00A07EA2"/>
    <w:rsid w:val="00A10966"/>
    <w:rsid w:val="00A10DBB"/>
    <w:rsid w:val="00A11DF5"/>
    <w:rsid w:val="00A12C6D"/>
    <w:rsid w:val="00A13149"/>
    <w:rsid w:val="00A132C3"/>
    <w:rsid w:val="00A16F36"/>
    <w:rsid w:val="00A17122"/>
    <w:rsid w:val="00A175D0"/>
    <w:rsid w:val="00A178EA"/>
    <w:rsid w:val="00A2337F"/>
    <w:rsid w:val="00A23B22"/>
    <w:rsid w:val="00A259CA"/>
    <w:rsid w:val="00A25DDC"/>
    <w:rsid w:val="00A2655E"/>
    <w:rsid w:val="00A270E6"/>
    <w:rsid w:val="00A27BF5"/>
    <w:rsid w:val="00A309E2"/>
    <w:rsid w:val="00A30E55"/>
    <w:rsid w:val="00A30FCD"/>
    <w:rsid w:val="00A321EA"/>
    <w:rsid w:val="00A3375B"/>
    <w:rsid w:val="00A3415D"/>
    <w:rsid w:val="00A34D34"/>
    <w:rsid w:val="00A35A74"/>
    <w:rsid w:val="00A35B66"/>
    <w:rsid w:val="00A36468"/>
    <w:rsid w:val="00A36ABE"/>
    <w:rsid w:val="00A3767C"/>
    <w:rsid w:val="00A37885"/>
    <w:rsid w:val="00A37C2D"/>
    <w:rsid w:val="00A4001C"/>
    <w:rsid w:val="00A40548"/>
    <w:rsid w:val="00A40705"/>
    <w:rsid w:val="00A41443"/>
    <w:rsid w:val="00A454D6"/>
    <w:rsid w:val="00A47A44"/>
    <w:rsid w:val="00A53C29"/>
    <w:rsid w:val="00A540FB"/>
    <w:rsid w:val="00A55C6C"/>
    <w:rsid w:val="00A56B01"/>
    <w:rsid w:val="00A56E85"/>
    <w:rsid w:val="00A579C8"/>
    <w:rsid w:val="00A57AEC"/>
    <w:rsid w:val="00A60559"/>
    <w:rsid w:val="00A63017"/>
    <w:rsid w:val="00A63DD8"/>
    <w:rsid w:val="00A64F06"/>
    <w:rsid w:val="00A65605"/>
    <w:rsid w:val="00A66798"/>
    <w:rsid w:val="00A6751E"/>
    <w:rsid w:val="00A67EA0"/>
    <w:rsid w:val="00A70C5C"/>
    <w:rsid w:val="00A71059"/>
    <w:rsid w:val="00A722B8"/>
    <w:rsid w:val="00A72A6F"/>
    <w:rsid w:val="00A732C7"/>
    <w:rsid w:val="00A736FD"/>
    <w:rsid w:val="00A73DDC"/>
    <w:rsid w:val="00A75066"/>
    <w:rsid w:val="00A7583F"/>
    <w:rsid w:val="00A7597A"/>
    <w:rsid w:val="00A76603"/>
    <w:rsid w:val="00A76814"/>
    <w:rsid w:val="00A804AE"/>
    <w:rsid w:val="00A80864"/>
    <w:rsid w:val="00A842B1"/>
    <w:rsid w:val="00A844D9"/>
    <w:rsid w:val="00A84AD3"/>
    <w:rsid w:val="00A85E80"/>
    <w:rsid w:val="00A86F01"/>
    <w:rsid w:val="00A909C3"/>
    <w:rsid w:val="00A91DD8"/>
    <w:rsid w:val="00A94069"/>
    <w:rsid w:val="00A9483D"/>
    <w:rsid w:val="00A94DAC"/>
    <w:rsid w:val="00AA0512"/>
    <w:rsid w:val="00AA0C42"/>
    <w:rsid w:val="00AA0E0E"/>
    <w:rsid w:val="00AA3F39"/>
    <w:rsid w:val="00AA41D1"/>
    <w:rsid w:val="00AA4E0F"/>
    <w:rsid w:val="00AA6A0D"/>
    <w:rsid w:val="00AB5617"/>
    <w:rsid w:val="00AB5ED0"/>
    <w:rsid w:val="00AC015A"/>
    <w:rsid w:val="00AC157E"/>
    <w:rsid w:val="00AC1A34"/>
    <w:rsid w:val="00AC1D13"/>
    <w:rsid w:val="00AC1FB6"/>
    <w:rsid w:val="00AC288D"/>
    <w:rsid w:val="00AC2BBC"/>
    <w:rsid w:val="00AC31AD"/>
    <w:rsid w:val="00AC50F7"/>
    <w:rsid w:val="00AC5C6C"/>
    <w:rsid w:val="00AC5CB9"/>
    <w:rsid w:val="00AC7BE5"/>
    <w:rsid w:val="00AD38DB"/>
    <w:rsid w:val="00AD416F"/>
    <w:rsid w:val="00AD5338"/>
    <w:rsid w:val="00AE0355"/>
    <w:rsid w:val="00AE30A3"/>
    <w:rsid w:val="00AE3ACE"/>
    <w:rsid w:val="00AE699A"/>
    <w:rsid w:val="00AE7597"/>
    <w:rsid w:val="00AF09DD"/>
    <w:rsid w:val="00AF14F2"/>
    <w:rsid w:val="00AF23C4"/>
    <w:rsid w:val="00AF24B8"/>
    <w:rsid w:val="00AF2F54"/>
    <w:rsid w:val="00AF34DA"/>
    <w:rsid w:val="00AF490D"/>
    <w:rsid w:val="00AF639B"/>
    <w:rsid w:val="00AF6DBD"/>
    <w:rsid w:val="00AF7AC6"/>
    <w:rsid w:val="00B0084E"/>
    <w:rsid w:val="00B00B08"/>
    <w:rsid w:val="00B0128B"/>
    <w:rsid w:val="00B016B0"/>
    <w:rsid w:val="00B01895"/>
    <w:rsid w:val="00B034A7"/>
    <w:rsid w:val="00B036CC"/>
    <w:rsid w:val="00B03E5A"/>
    <w:rsid w:val="00B04590"/>
    <w:rsid w:val="00B0474F"/>
    <w:rsid w:val="00B057B6"/>
    <w:rsid w:val="00B065BE"/>
    <w:rsid w:val="00B07F7D"/>
    <w:rsid w:val="00B103AE"/>
    <w:rsid w:val="00B10E23"/>
    <w:rsid w:val="00B10EA0"/>
    <w:rsid w:val="00B13017"/>
    <w:rsid w:val="00B137C3"/>
    <w:rsid w:val="00B14D5D"/>
    <w:rsid w:val="00B161AE"/>
    <w:rsid w:val="00B169FE"/>
    <w:rsid w:val="00B173FD"/>
    <w:rsid w:val="00B21E33"/>
    <w:rsid w:val="00B21ED8"/>
    <w:rsid w:val="00B225A4"/>
    <w:rsid w:val="00B24CAD"/>
    <w:rsid w:val="00B256E9"/>
    <w:rsid w:val="00B27014"/>
    <w:rsid w:val="00B31A99"/>
    <w:rsid w:val="00B31F1A"/>
    <w:rsid w:val="00B3246D"/>
    <w:rsid w:val="00B33B16"/>
    <w:rsid w:val="00B33C91"/>
    <w:rsid w:val="00B33CE2"/>
    <w:rsid w:val="00B34D44"/>
    <w:rsid w:val="00B3506B"/>
    <w:rsid w:val="00B3525F"/>
    <w:rsid w:val="00B36539"/>
    <w:rsid w:val="00B41BBD"/>
    <w:rsid w:val="00B4201B"/>
    <w:rsid w:val="00B42987"/>
    <w:rsid w:val="00B44A91"/>
    <w:rsid w:val="00B46B06"/>
    <w:rsid w:val="00B505F9"/>
    <w:rsid w:val="00B519D3"/>
    <w:rsid w:val="00B53C68"/>
    <w:rsid w:val="00B54623"/>
    <w:rsid w:val="00B54837"/>
    <w:rsid w:val="00B55A60"/>
    <w:rsid w:val="00B575FF"/>
    <w:rsid w:val="00B615E6"/>
    <w:rsid w:val="00B63CD3"/>
    <w:rsid w:val="00B64194"/>
    <w:rsid w:val="00B6467C"/>
    <w:rsid w:val="00B6583A"/>
    <w:rsid w:val="00B7373E"/>
    <w:rsid w:val="00B74084"/>
    <w:rsid w:val="00B7502D"/>
    <w:rsid w:val="00B75363"/>
    <w:rsid w:val="00B755C1"/>
    <w:rsid w:val="00B77B1C"/>
    <w:rsid w:val="00B80992"/>
    <w:rsid w:val="00B85751"/>
    <w:rsid w:val="00B85909"/>
    <w:rsid w:val="00B85F3B"/>
    <w:rsid w:val="00B86D13"/>
    <w:rsid w:val="00B875FE"/>
    <w:rsid w:val="00B876FF"/>
    <w:rsid w:val="00B90BE5"/>
    <w:rsid w:val="00B90E9F"/>
    <w:rsid w:val="00B93114"/>
    <w:rsid w:val="00B93ADE"/>
    <w:rsid w:val="00B9532B"/>
    <w:rsid w:val="00B95F83"/>
    <w:rsid w:val="00B96090"/>
    <w:rsid w:val="00B97779"/>
    <w:rsid w:val="00B97B69"/>
    <w:rsid w:val="00B97C93"/>
    <w:rsid w:val="00BA0889"/>
    <w:rsid w:val="00BA1544"/>
    <w:rsid w:val="00BA1985"/>
    <w:rsid w:val="00BA2E2A"/>
    <w:rsid w:val="00BA4E6E"/>
    <w:rsid w:val="00BA5059"/>
    <w:rsid w:val="00BA56E3"/>
    <w:rsid w:val="00BA705C"/>
    <w:rsid w:val="00BA7352"/>
    <w:rsid w:val="00BA7CB4"/>
    <w:rsid w:val="00BA7D06"/>
    <w:rsid w:val="00BB09DB"/>
    <w:rsid w:val="00BB1698"/>
    <w:rsid w:val="00BB3CC1"/>
    <w:rsid w:val="00BB58A4"/>
    <w:rsid w:val="00BB69C8"/>
    <w:rsid w:val="00BB7D3B"/>
    <w:rsid w:val="00BC0032"/>
    <w:rsid w:val="00BC0F49"/>
    <w:rsid w:val="00BC10DC"/>
    <w:rsid w:val="00BC40D0"/>
    <w:rsid w:val="00BC4D98"/>
    <w:rsid w:val="00BC5BAA"/>
    <w:rsid w:val="00BC60B8"/>
    <w:rsid w:val="00BD1BA1"/>
    <w:rsid w:val="00BD24E4"/>
    <w:rsid w:val="00BD2E64"/>
    <w:rsid w:val="00BD2FBC"/>
    <w:rsid w:val="00BD35D5"/>
    <w:rsid w:val="00BD3862"/>
    <w:rsid w:val="00BD3E9D"/>
    <w:rsid w:val="00BD4C59"/>
    <w:rsid w:val="00BD54F3"/>
    <w:rsid w:val="00BD5D2C"/>
    <w:rsid w:val="00BD5F23"/>
    <w:rsid w:val="00BD7FBB"/>
    <w:rsid w:val="00BE042C"/>
    <w:rsid w:val="00BE0F3B"/>
    <w:rsid w:val="00BE1855"/>
    <w:rsid w:val="00BE23B2"/>
    <w:rsid w:val="00BE3701"/>
    <w:rsid w:val="00BE38FB"/>
    <w:rsid w:val="00BE5AD6"/>
    <w:rsid w:val="00BE75BE"/>
    <w:rsid w:val="00BF106A"/>
    <w:rsid w:val="00BF1365"/>
    <w:rsid w:val="00BF2431"/>
    <w:rsid w:val="00BF27D0"/>
    <w:rsid w:val="00BF2ABC"/>
    <w:rsid w:val="00BF349D"/>
    <w:rsid w:val="00BF4701"/>
    <w:rsid w:val="00BF6169"/>
    <w:rsid w:val="00BF67C4"/>
    <w:rsid w:val="00BF7692"/>
    <w:rsid w:val="00BF7978"/>
    <w:rsid w:val="00BF7CF3"/>
    <w:rsid w:val="00C00DD6"/>
    <w:rsid w:val="00C01138"/>
    <w:rsid w:val="00C01D1A"/>
    <w:rsid w:val="00C0369F"/>
    <w:rsid w:val="00C102D0"/>
    <w:rsid w:val="00C12261"/>
    <w:rsid w:val="00C14BB6"/>
    <w:rsid w:val="00C14F61"/>
    <w:rsid w:val="00C15865"/>
    <w:rsid w:val="00C16542"/>
    <w:rsid w:val="00C17944"/>
    <w:rsid w:val="00C22EEA"/>
    <w:rsid w:val="00C230F3"/>
    <w:rsid w:val="00C24072"/>
    <w:rsid w:val="00C257E1"/>
    <w:rsid w:val="00C26981"/>
    <w:rsid w:val="00C30295"/>
    <w:rsid w:val="00C3220E"/>
    <w:rsid w:val="00C345AA"/>
    <w:rsid w:val="00C37019"/>
    <w:rsid w:val="00C37377"/>
    <w:rsid w:val="00C4096B"/>
    <w:rsid w:val="00C4114B"/>
    <w:rsid w:val="00C41335"/>
    <w:rsid w:val="00C4162B"/>
    <w:rsid w:val="00C41B8F"/>
    <w:rsid w:val="00C42DC8"/>
    <w:rsid w:val="00C45EF0"/>
    <w:rsid w:val="00C45FD6"/>
    <w:rsid w:val="00C46AD3"/>
    <w:rsid w:val="00C47640"/>
    <w:rsid w:val="00C506BC"/>
    <w:rsid w:val="00C50E2E"/>
    <w:rsid w:val="00C52B55"/>
    <w:rsid w:val="00C54E1C"/>
    <w:rsid w:val="00C55414"/>
    <w:rsid w:val="00C57012"/>
    <w:rsid w:val="00C60F73"/>
    <w:rsid w:val="00C61347"/>
    <w:rsid w:val="00C617E4"/>
    <w:rsid w:val="00C62E16"/>
    <w:rsid w:val="00C6348A"/>
    <w:rsid w:val="00C6371D"/>
    <w:rsid w:val="00C639AD"/>
    <w:rsid w:val="00C64026"/>
    <w:rsid w:val="00C6436A"/>
    <w:rsid w:val="00C64FEC"/>
    <w:rsid w:val="00C66A9D"/>
    <w:rsid w:val="00C737D2"/>
    <w:rsid w:val="00C74A99"/>
    <w:rsid w:val="00C76664"/>
    <w:rsid w:val="00C81E4C"/>
    <w:rsid w:val="00C8237B"/>
    <w:rsid w:val="00C85E9D"/>
    <w:rsid w:val="00C8794F"/>
    <w:rsid w:val="00C913DE"/>
    <w:rsid w:val="00C918DB"/>
    <w:rsid w:val="00C92545"/>
    <w:rsid w:val="00C9317E"/>
    <w:rsid w:val="00C9535F"/>
    <w:rsid w:val="00C95B70"/>
    <w:rsid w:val="00C965C3"/>
    <w:rsid w:val="00CA11A8"/>
    <w:rsid w:val="00CA11EC"/>
    <w:rsid w:val="00CA12A1"/>
    <w:rsid w:val="00CA151A"/>
    <w:rsid w:val="00CA246B"/>
    <w:rsid w:val="00CA34C1"/>
    <w:rsid w:val="00CA456A"/>
    <w:rsid w:val="00CA5EF2"/>
    <w:rsid w:val="00CA5F13"/>
    <w:rsid w:val="00CB1833"/>
    <w:rsid w:val="00CB2619"/>
    <w:rsid w:val="00CB51B9"/>
    <w:rsid w:val="00CB5D03"/>
    <w:rsid w:val="00CB7BF3"/>
    <w:rsid w:val="00CB7D93"/>
    <w:rsid w:val="00CC10E4"/>
    <w:rsid w:val="00CC1650"/>
    <w:rsid w:val="00CC1A41"/>
    <w:rsid w:val="00CC26F3"/>
    <w:rsid w:val="00CC491D"/>
    <w:rsid w:val="00CC4BED"/>
    <w:rsid w:val="00CC557E"/>
    <w:rsid w:val="00CC7E6E"/>
    <w:rsid w:val="00CD063D"/>
    <w:rsid w:val="00CD09C2"/>
    <w:rsid w:val="00CD1559"/>
    <w:rsid w:val="00CD1A35"/>
    <w:rsid w:val="00CD1E77"/>
    <w:rsid w:val="00CD26BC"/>
    <w:rsid w:val="00CD374B"/>
    <w:rsid w:val="00CD3F15"/>
    <w:rsid w:val="00CD4C81"/>
    <w:rsid w:val="00CD4F53"/>
    <w:rsid w:val="00CD6096"/>
    <w:rsid w:val="00CD6740"/>
    <w:rsid w:val="00CD691C"/>
    <w:rsid w:val="00CD694F"/>
    <w:rsid w:val="00CD6EBB"/>
    <w:rsid w:val="00CD70F7"/>
    <w:rsid w:val="00CD76D4"/>
    <w:rsid w:val="00CD7BB6"/>
    <w:rsid w:val="00CE0165"/>
    <w:rsid w:val="00CE1BBE"/>
    <w:rsid w:val="00CE2040"/>
    <w:rsid w:val="00CE2B75"/>
    <w:rsid w:val="00CE45D3"/>
    <w:rsid w:val="00CE492C"/>
    <w:rsid w:val="00CE4E64"/>
    <w:rsid w:val="00CF005F"/>
    <w:rsid w:val="00CF076A"/>
    <w:rsid w:val="00CF17DE"/>
    <w:rsid w:val="00CF1B58"/>
    <w:rsid w:val="00CF2AE1"/>
    <w:rsid w:val="00CF3F1D"/>
    <w:rsid w:val="00CF3F2E"/>
    <w:rsid w:val="00CF68D5"/>
    <w:rsid w:val="00CF6E95"/>
    <w:rsid w:val="00CF71C8"/>
    <w:rsid w:val="00D004E1"/>
    <w:rsid w:val="00D02A97"/>
    <w:rsid w:val="00D02D0C"/>
    <w:rsid w:val="00D0349C"/>
    <w:rsid w:val="00D04040"/>
    <w:rsid w:val="00D04973"/>
    <w:rsid w:val="00D05094"/>
    <w:rsid w:val="00D053D8"/>
    <w:rsid w:val="00D0611C"/>
    <w:rsid w:val="00D0661A"/>
    <w:rsid w:val="00D10F62"/>
    <w:rsid w:val="00D13998"/>
    <w:rsid w:val="00D13C59"/>
    <w:rsid w:val="00D13CF9"/>
    <w:rsid w:val="00D15261"/>
    <w:rsid w:val="00D15299"/>
    <w:rsid w:val="00D15C27"/>
    <w:rsid w:val="00D163D3"/>
    <w:rsid w:val="00D16B0D"/>
    <w:rsid w:val="00D211F7"/>
    <w:rsid w:val="00D2148F"/>
    <w:rsid w:val="00D2200F"/>
    <w:rsid w:val="00D22525"/>
    <w:rsid w:val="00D254A9"/>
    <w:rsid w:val="00D26BB9"/>
    <w:rsid w:val="00D27203"/>
    <w:rsid w:val="00D275A5"/>
    <w:rsid w:val="00D27921"/>
    <w:rsid w:val="00D27B0C"/>
    <w:rsid w:val="00D30261"/>
    <w:rsid w:val="00D31B4A"/>
    <w:rsid w:val="00D3248A"/>
    <w:rsid w:val="00D32BA0"/>
    <w:rsid w:val="00D332E3"/>
    <w:rsid w:val="00D34419"/>
    <w:rsid w:val="00D35640"/>
    <w:rsid w:val="00D37EC0"/>
    <w:rsid w:val="00D37F86"/>
    <w:rsid w:val="00D40E30"/>
    <w:rsid w:val="00D44282"/>
    <w:rsid w:val="00D45529"/>
    <w:rsid w:val="00D4581C"/>
    <w:rsid w:val="00D46206"/>
    <w:rsid w:val="00D466E5"/>
    <w:rsid w:val="00D470BE"/>
    <w:rsid w:val="00D47114"/>
    <w:rsid w:val="00D47DB4"/>
    <w:rsid w:val="00D50E16"/>
    <w:rsid w:val="00D51A0F"/>
    <w:rsid w:val="00D51AC6"/>
    <w:rsid w:val="00D54910"/>
    <w:rsid w:val="00D56844"/>
    <w:rsid w:val="00D56B15"/>
    <w:rsid w:val="00D57802"/>
    <w:rsid w:val="00D57978"/>
    <w:rsid w:val="00D602E2"/>
    <w:rsid w:val="00D6088A"/>
    <w:rsid w:val="00D6089C"/>
    <w:rsid w:val="00D62044"/>
    <w:rsid w:val="00D62F4E"/>
    <w:rsid w:val="00D62FB1"/>
    <w:rsid w:val="00D63E0E"/>
    <w:rsid w:val="00D658F0"/>
    <w:rsid w:val="00D662ED"/>
    <w:rsid w:val="00D663B9"/>
    <w:rsid w:val="00D678BF"/>
    <w:rsid w:val="00D67AF1"/>
    <w:rsid w:val="00D70041"/>
    <w:rsid w:val="00D706C2"/>
    <w:rsid w:val="00D7098A"/>
    <w:rsid w:val="00D70A2D"/>
    <w:rsid w:val="00D71B37"/>
    <w:rsid w:val="00D7201B"/>
    <w:rsid w:val="00D73C70"/>
    <w:rsid w:val="00D74DD1"/>
    <w:rsid w:val="00D74F81"/>
    <w:rsid w:val="00D7527A"/>
    <w:rsid w:val="00D76388"/>
    <w:rsid w:val="00D768FC"/>
    <w:rsid w:val="00D80470"/>
    <w:rsid w:val="00D81246"/>
    <w:rsid w:val="00D81392"/>
    <w:rsid w:val="00D831C5"/>
    <w:rsid w:val="00D83619"/>
    <w:rsid w:val="00D83FDF"/>
    <w:rsid w:val="00D85672"/>
    <w:rsid w:val="00D86CB6"/>
    <w:rsid w:val="00D86DB0"/>
    <w:rsid w:val="00D876AD"/>
    <w:rsid w:val="00D878A3"/>
    <w:rsid w:val="00D87EE6"/>
    <w:rsid w:val="00D90022"/>
    <w:rsid w:val="00D90B40"/>
    <w:rsid w:val="00D90BC6"/>
    <w:rsid w:val="00D923B5"/>
    <w:rsid w:val="00D9361D"/>
    <w:rsid w:val="00D93A3A"/>
    <w:rsid w:val="00D947B1"/>
    <w:rsid w:val="00D96EF2"/>
    <w:rsid w:val="00D97490"/>
    <w:rsid w:val="00DA0213"/>
    <w:rsid w:val="00DA16B6"/>
    <w:rsid w:val="00DA2AD3"/>
    <w:rsid w:val="00DA45C1"/>
    <w:rsid w:val="00DA4C58"/>
    <w:rsid w:val="00DA51DF"/>
    <w:rsid w:val="00DA764E"/>
    <w:rsid w:val="00DA786A"/>
    <w:rsid w:val="00DB0200"/>
    <w:rsid w:val="00DB0EDB"/>
    <w:rsid w:val="00DB11B1"/>
    <w:rsid w:val="00DB1745"/>
    <w:rsid w:val="00DB1988"/>
    <w:rsid w:val="00DB308D"/>
    <w:rsid w:val="00DB3AFD"/>
    <w:rsid w:val="00DB3EC0"/>
    <w:rsid w:val="00DB5B81"/>
    <w:rsid w:val="00DB7C3D"/>
    <w:rsid w:val="00DB7F11"/>
    <w:rsid w:val="00DC0F07"/>
    <w:rsid w:val="00DC0F10"/>
    <w:rsid w:val="00DC10AF"/>
    <w:rsid w:val="00DC179C"/>
    <w:rsid w:val="00DC1AFF"/>
    <w:rsid w:val="00DC3ECD"/>
    <w:rsid w:val="00DC53CD"/>
    <w:rsid w:val="00DC5A6C"/>
    <w:rsid w:val="00DC5CE2"/>
    <w:rsid w:val="00DC7526"/>
    <w:rsid w:val="00DD04D8"/>
    <w:rsid w:val="00DD1CE6"/>
    <w:rsid w:val="00DD1F0C"/>
    <w:rsid w:val="00DD2B91"/>
    <w:rsid w:val="00DD4FBD"/>
    <w:rsid w:val="00DE09CB"/>
    <w:rsid w:val="00DE0FC0"/>
    <w:rsid w:val="00DE13F1"/>
    <w:rsid w:val="00DE362C"/>
    <w:rsid w:val="00DE3CDE"/>
    <w:rsid w:val="00DE41E3"/>
    <w:rsid w:val="00DE4A60"/>
    <w:rsid w:val="00DE4B51"/>
    <w:rsid w:val="00DE5CC1"/>
    <w:rsid w:val="00DE74C8"/>
    <w:rsid w:val="00DE7C41"/>
    <w:rsid w:val="00DF06A2"/>
    <w:rsid w:val="00DF0AAB"/>
    <w:rsid w:val="00DF1BD7"/>
    <w:rsid w:val="00DF2104"/>
    <w:rsid w:val="00DF2DF4"/>
    <w:rsid w:val="00DF374B"/>
    <w:rsid w:val="00DF4B01"/>
    <w:rsid w:val="00DF5731"/>
    <w:rsid w:val="00DF633C"/>
    <w:rsid w:val="00DF6971"/>
    <w:rsid w:val="00DF7D86"/>
    <w:rsid w:val="00E01180"/>
    <w:rsid w:val="00E02DB6"/>
    <w:rsid w:val="00E03258"/>
    <w:rsid w:val="00E061BD"/>
    <w:rsid w:val="00E1188B"/>
    <w:rsid w:val="00E122E8"/>
    <w:rsid w:val="00E12E8D"/>
    <w:rsid w:val="00E13080"/>
    <w:rsid w:val="00E14242"/>
    <w:rsid w:val="00E145D9"/>
    <w:rsid w:val="00E14BDD"/>
    <w:rsid w:val="00E1628D"/>
    <w:rsid w:val="00E17F8F"/>
    <w:rsid w:val="00E248C6"/>
    <w:rsid w:val="00E2590C"/>
    <w:rsid w:val="00E27EEA"/>
    <w:rsid w:val="00E301A9"/>
    <w:rsid w:val="00E30206"/>
    <w:rsid w:val="00E306DA"/>
    <w:rsid w:val="00E321EB"/>
    <w:rsid w:val="00E36070"/>
    <w:rsid w:val="00E37E66"/>
    <w:rsid w:val="00E41F49"/>
    <w:rsid w:val="00E43FA6"/>
    <w:rsid w:val="00E44DBC"/>
    <w:rsid w:val="00E4527B"/>
    <w:rsid w:val="00E45562"/>
    <w:rsid w:val="00E462EF"/>
    <w:rsid w:val="00E46D11"/>
    <w:rsid w:val="00E500A9"/>
    <w:rsid w:val="00E5283B"/>
    <w:rsid w:val="00E539FA"/>
    <w:rsid w:val="00E53A1B"/>
    <w:rsid w:val="00E54A43"/>
    <w:rsid w:val="00E55B4C"/>
    <w:rsid w:val="00E579DC"/>
    <w:rsid w:val="00E57A40"/>
    <w:rsid w:val="00E618A3"/>
    <w:rsid w:val="00E6337A"/>
    <w:rsid w:val="00E63BB1"/>
    <w:rsid w:val="00E65064"/>
    <w:rsid w:val="00E65ECF"/>
    <w:rsid w:val="00E70223"/>
    <w:rsid w:val="00E7038C"/>
    <w:rsid w:val="00E70658"/>
    <w:rsid w:val="00E73733"/>
    <w:rsid w:val="00E7633B"/>
    <w:rsid w:val="00E80C9D"/>
    <w:rsid w:val="00E8143E"/>
    <w:rsid w:val="00E8376E"/>
    <w:rsid w:val="00E83B7B"/>
    <w:rsid w:val="00E85C84"/>
    <w:rsid w:val="00E86425"/>
    <w:rsid w:val="00E94242"/>
    <w:rsid w:val="00E94452"/>
    <w:rsid w:val="00E94670"/>
    <w:rsid w:val="00E96D19"/>
    <w:rsid w:val="00E979BE"/>
    <w:rsid w:val="00EA0E86"/>
    <w:rsid w:val="00EA2C5B"/>
    <w:rsid w:val="00EA36EE"/>
    <w:rsid w:val="00EA435C"/>
    <w:rsid w:val="00EA61F6"/>
    <w:rsid w:val="00EA68DF"/>
    <w:rsid w:val="00EB2325"/>
    <w:rsid w:val="00EB286A"/>
    <w:rsid w:val="00EB58BA"/>
    <w:rsid w:val="00EB5D50"/>
    <w:rsid w:val="00EB688F"/>
    <w:rsid w:val="00EC16B3"/>
    <w:rsid w:val="00EC1A9F"/>
    <w:rsid w:val="00EC2BF4"/>
    <w:rsid w:val="00EC36D4"/>
    <w:rsid w:val="00EC401B"/>
    <w:rsid w:val="00EC411B"/>
    <w:rsid w:val="00EC56A7"/>
    <w:rsid w:val="00EC5E13"/>
    <w:rsid w:val="00EC74F0"/>
    <w:rsid w:val="00EC7ADD"/>
    <w:rsid w:val="00ED0769"/>
    <w:rsid w:val="00ED0901"/>
    <w:rsid w:val="00ED0B35"/>
    <w:rsid w:val="00ED0D0F"/>
    <w:rsid w:val="00ED2316"/>
    <w:rsid w:val="00ED35E2"/>
    <w:rsid w:val="00ED4A8D"/>
    <w:rsid w:val="00ED7CFE"/>
    <w:rsid w:val="00EE0C8D"/>
    <w:rsid w:val="00EE1C21"/>
    <w:rsid w:val="00EE1CE6"/>
    <w:rsid w:val="00EE2880"/>
    <w:rsid w:val="00EE37A4"/>
    <w:rsid w:val="00EE3834"/>
    <w:rsid w:val="00EE5007"/>
    <w:rsid w:val="00EE52DE"/>
    <w:rsid w:val="00EE5612"/>
    <w:rsid w:val="00EE647C"/>
    <w:rsid w:val="00EE688A"/>
    <w:rsid w:val="00EE6C39"/>
    <w:rsid w:val="00EF0658"/>
    <w:rsid w:val="00EF2BA2"/>
    <w:rsid w:val="00EF41E7"/>
    <w:rsid w:val="00EF5CD4"/>
    <w:rsid w:val="00EF71C7"/>
    <w:rsid w:val="00EF7A34"/>
    <w:rsid w:val="00EF7CD0"/>
    <w:rsid w:val="00F0278E"/>
    <w:rsid w:val="00F034D3"/>
    <w:rsid w:val="00F0409E"/>
    <w:rsid w:val="00F04CEF"/>
    <w:rsid w:val="00F04FCB"/>
    <w:rsid w:val="00F069B0"/>
    <w:rsid w:val="00F06B6F"/>
    <w:rsid w:val="00F116DF"/>
    <w:rsid w:val="00F1197B"/>
    <w:rsid w:val="00F12A14"/>
    <w:rsid w:val="00F1340B"/>
    <w:rsid w:val="00F13767"/>
    <w:rsid w:val="00F14F4F"/>
    <w:rsid w:val="00F15D71"/>
    <w:rsid w:val="00F16606"/>
    <w:rsid w:val="00F16910"/>
    <w:rsid w:val="00F16FCA"/>
    <w:rsid w:val="00F2056B"/>
    <w:rsid w:val="00F208E3"/>
    <w:rsid w:val="00F2385C"/>
    <w:rsid w:val="00F251C8"/>
    <w:rsid w:val="00F25EAF"/>
    <w:rsid w:val="00F278A6"/>
    <w:rsid w:val="00F30F93"/>
    <w:rsid w:val="00F3233A"/>
    <w:rsid w:val="00F32D60"/>
    <w:rsid w:val="00F33128"/>
    <w:rsid w:val="00F348FB"/>
    <w:rsid w:val="00F34BC0"/>
    <w:rsid w:val="00F35B47"/>
    <w:rsid w:val="00F4019E"/>
    <w:rsid w:val="00F42F24"/>
    <w:rsid w:val="00F43091"/>
    <w:rsid w:val="00F441C3"/>
    <w:rsid w:val="00F44B33"/>
    <w:rsid w:val="00F44F8B"/>
    <w:rsid w:val="00F450CC"/>
    <w:rsid w:val="00F46DEF"/>
    <w:rsid w:val="00F50221"/>
    <w:rsid w:val="00F51C75"/>
    <w:rsid w:val="00F53005"/>
    <w:rsid w:val="00F53679"/>
    <w:rsid w:val="00F53816"/>
    <w:rsid w:val="00F54163"/>
    <w:rsid w:val="00F54A01"/>
    <w:rsid w:val="00F555FE"/>
    <w:rsid w:val="00F573D7"/>
    <w:rsid w:val="00F6271F"/>
    <w:rsid w:val="00F6329B"/>
    <w:rsid w:val="00F63597"/>
    <w:rsid w:val="00F64ACC"/>
    <w:rsid w:val="00F7090C"/>
    <w:rsid w:val="00F7182E"/>
    <w:rsid w:val="00F71BEF"/>
    <w:rsid w:val="00F72572"/>
    <w:rsid w:val="00F726E4"/>
    <w:rsid w:val="00F73868"/>
    <w:rsid w:val="00F73F01"/>
    <w:rsid w:val="00F741E3"/>
    <w:rsid w:val="00F749A6"/>
    <w:rsid w:val="00F74F48"/>
    <w:rsid w:val="00F75C65"/>
    <w:rsid w:val="00F762DE"/>
    <w:rsid w:val="00F763D4"/>
    <w:rsid w:val="00F7643F"/>
    <w:rsid w:val="00F768D3"/>
    <w:rsid w:val="00F77190"/>
    <w:rsid w:val="00F7784C"/>
    <w:rsid w:val="00F8027C"/>
    <w:rsid w:val="00F8108E"/>
    <w:rsid w:val="00F811E8"/>
    <w:rsid w:val="00F82772"/>
    <w:rsid w:val="00F82E41"/>
    <w:rsid w:val="00F8312C"/>
    <w:rsid w:val="00F85BAD"/>
    <w:rsid w:val="00F86204"/>
    <w:rsid w:val="00F866A6"/>
    <w:rsid w:val="00F87385"/>
    <w:rsid w:val="00F87925"/>
    <w:rsid w:val="00F879EB"/>
    <w:rsid w:val="00F87BA7"/>
    <w:rsid w:val="00F87C19"/>
    <w:rsid w:val="00F90687"/>
    <w:rsid w:val="00F90E5B"/>
    <w:rsid w:val="00F93121"/>
    <w:rsid w:val="00F93EBC"/>
    <w:rsid w:val="00F95507"/>
    <w:rsid w:val="00F95A04"/>
    <w:rsid w:val="00F9640A"/>
    <w:rsid w:val="00FA05EA"/>
    <w:rsid w:val="00FA0AAE"/>
    <w:rsid w:val="00FA0C0C"/>
    <w:rsid w:val="00FA166A"/>
    <w:rsid w:val="00FA2361"/>
    <w:rsid w:val="00FA2C0C"/>
    <w:rsid w:val="00FA3321"/>
    <w:rsid w:val="00FA4701"/>
    <w:rsid w:val="00FA5034"/>
    <w:rsid w:val="00FA7BCA"/>
    <w:rsid w:val="00FB0D0E"/>
    <w:rsid w:val="00FB2D35"/>
    <w:rsid w:val="00FB5933"/>
    <w:rsid w:val="00FB6833"/>
    <w:rsid w:val="00FB7B63"/>
    <w:rsid w:val="00FC14D7"/>
    <w:rsid w:val="00FC2FA7"/>
    <w:rsid w:val="00FC37CE"/>
    <w:rsid w:val="00FC5CDD"/>
    <w:rsid w:val="00FC73CB"/>
    <w:rsid w:val="00FC78CB"/>
    <w:rsid w:val="00FC7CED"/>
    <w:rsid w:val="00FD1546"/>
    <w:rsid w:val="00FD286B"/>
    <w:rsid w:val="00FD34F0"/>
    <w:rsid w:val="00FD5A6C"/>
    <w:rsid w:val="00FD7B46"/>
    <w:rsid w:val="00FE0E21"/>
    <w:rsid w:val="00FE1E81"/>
    <w:rsid w:val="00FE2644"/>
    <w:rsid w:val="00FE2C1B"/>
    <w:rsid w:val="00FE3B37"/>
    <w:rsid w:val="00FE4514"/>
    <w:rsid w:val="00FF0109"/>
    <w:rsid w:val="00FF03C6"/>
    <w:rsid w:val="00FF0886"/>
    <w:rsid w:val="00FF159E"/>
    <w:rsid w:val="00FF4121"/>
    <w:rsid w:val="00FF468E"/>
    <w:rsid w:val="00FF65FC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8594c5"/>
    </o:shapedefaults>
    <o:shapelayout v:ext="edit">
      <o:idmap v:ext="edit" data="1"/>
    </o:shapelayout>
  </w:shapeDefaults>
  <w:decimalSymbol w:val=","/>
  <w:listSeparator w:val=";"/>
  <w14:docId w14:val="017515DC"/>
  <w15:docId w15:val="{2A58AFB2-7E2D-4A44-AF91-F3484D650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Times New Roman" w:hAnsi="Verdana" w:cs="Times New Roman"/>
        <w:color w:val="333333"/>
        <w:lang w:val="mt-MT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97C93"/>
    <w:pPr>
      <w:jc w:val="both"/>
    </w:pPr>
    <w:rPr>
      <w:szCs w:val="24"/>
    </w:rPr>
  </w:style>
  <w:style w:type="paragraph" w:styleId="Heading1">
    <w:name w:val="heading 1"/>
    <w:aliases w:val="EC Lev 1"/>
    <w:next w:val="ECBody"/>
    <w:link w:val="Heading1Char"/>
    <w:qFormat/>
    <w:rsid w:val="00BC5BAA"/>
    <w:pPr>
      <w:keepNext/>
      <w:pageBreakBefore/>
      <w:numPr>
        <w:numId w:val="14"/>
      </w:numPr>
      <w:spacing w:after="480"/>
      <w:outlineLvl w:val="0"/>
    </w:pPr>
    <w:rPr>
      <w:rFonts w:cs="Arial"/>
      <w:b/>
      <w:bCs/>
      <w:color w:val="263673"/>
      <w:kern w:val="32"/>
      <w:sz w:val="28"/>
      <w:szCs w:val="32"/>
    </w:rPr>
  </w:style>
  <w:style w:type="paragraph" w:styleId="Heading2">
    <w:name w:val="heading 2"/>
    <w:aliases w:val="EC Lev 2"/>
    <w:next w:val="ECBody"/>
    <w:link w:val="Heading2Char"/>
    <w:qFormat/>
    <w:rsid w:val="00035DA6"/>
    <w:pPr>
      <w:keepNext/>
      <w:numPr>
        <w:ilvl w:val="1"/>
        <w:numId w:val="14"/>
      </w:numPr>
      <w:spacing w:before="360" w:after="60"/>
      <w:outlineLvl w:val="1"/>
    </w:pPr>
    <w:rPr>
      <w:rFonts w:cs="Arial"/>
      <w:b/>
      <w:bCs/>
      <w:iCs/>
      <w:color w:val="263673"/>
      <w:sz w:val="22"/>
      <w:szCs w:val="28"/>
    </w:rPr>
  </w:style>
  <w:style w:type="paragraph" w:styleId="Heading3">
    <w:name w:val="heading 3"/>
    <w:aliases w:val="EC Lev 3"/>
    <w:next w:val="ECBody"/>
    <w:qFormat/>
    <w:rsid w:val="00035DA6"/>
    <w:pPr>
      <w:keepNext/>
      <w:numPr>
        <w:ilvl w:val="2"/>
        <w:numId w:val="14"/>
      </w:numPr>
      <w:spacing w:before="200" w:after="60"/>
      <w:outlineLvl w:val="2"/>
    </w:pPr>
    <w:rPr>
      <w:rFonts w:cs="Arial"/>
      <w:b/>
      <w:bCs/>
      <w:color w:val="263673"/>
      <w:szCs w:val="26"/>
    </w:rPr>
  </w:style>
  <w:style w:type="paragraph" w:styleId="Heading4">
    <w:name w:val="heading 4"/>
    <w:aliases w:val="EC Lev 4"/>
    <w:next w:val="ECBody"/>
    <w:link w:val="Heading4Char"/>
    <w:unhideWhenUsed/>
    <w:qFormat/>
    <w:rsid w:val="00035DA6"/>
    <w:pPr>
      <w:keepNext/>
      <w:keepLines/>
      <w:outlineLvl w:val="3"/>
    </w:pPr>
    <w:rPr>
      <w:rFonts w:eastAsiaTheme="majorEastAsia" w:cstheme="majorBidi"/>
      <w:i/>
      <w:iCs/>
      <w:color w:val="263673"/>
      <w:szCs w:val="26"/>
    </w:rPr>
  </w:style>
  <w:style w:type="paragraph" w:styleId="Heading5">
    <w:name w:val="heading 5"/>
    <w:aliases w:val="EC Lev 5"/>
    <w:basedOn w:val="Heading4"/>
    <w:next w:val="ECBody"/>
    <w:link w:val="Heading5Char"/>
    <w:unhideWhenUsed/>
    <w:qFormat/>
    <w:rsid w:val="00035DA6"/>
    <w:pPr>
      <w:outlineLvl w:val="4"/>
    </w:pPr>
    <w:rPr>
      <w:color w:val="8080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A579C8"/>
  </w:style>
  <w:style w:type="paragraph" w:styleId="BodyText">
    <w:name w:val="Body Text"/>
    <w:basedOn w:val="Normal"/>
    <w:link w:val="BodyTextChar"/>
    <w:rsid w:val="00D13C59"/>
    <w:pPr>
      <w:spacing w:after="120"/>
    </w:pPr>
  </w:style>
  <w:style w:type="character" w:styleId="Hyperlink">
    <w:name w:val="Hyperlink"/>
    <w:uiPriority w:val="99"/>
    <w:rsid w:val="00A579C8"/>
    <w:rPr>
      <w:rFonts w:ascii="Verdana" w:hAnsi="Verdana"/>
      <w:color w:val="1A3F7C"/>
      <w:sz w:val="20"/>
      <w:u w:val="none"/>
    </w:rPr>
  </w:style>
  <w:style w:type="paragraph" w:styleId="ListNumber">
    <w:name w:val="List Number"/>
    <w:aliases w:val="List Number Justified"/>
    <w:basedOn w:val="Normal"/>
    <w:rsid w:val="00A579C8"/>
    <w:pPr>
      <w:numPr>
        <w:numId w:val="2"/>
      </w:numPr>
    </w:pPr>
  </w:style>
  <w:style w:type="paragraph" w:styleId="ListBullet2">
    <w:name w:val="List Bullet 2"/>
    <w:link w:val="ListBullet2Char"/>
    <w:rsid w:val="00021579"/>
    <w:pPr>
      <w:numPr>
        <w:numId w:val="9"/>
      </w:numPr>
      <w:spacing w:before="60" w:after="60"/>
    </w:pPr>
    <w:rPr>
      <w:szCs w:val="24"/>
    </w:rPr>
  </w:style>
  <w:style w:type="paragraph" w:styleId="ListNumber2">
    <w:name w:val="List Number 2"/>
    <w:basedOn w:val="Normal"/>
    <w:rsid w:val="00A579C8"/>
    <w:pPr>
      <w:numPr>
        <w:numId w:val="3"/>
      </w:numPr>
      <w:spacing w:before="80" w:after="80"/>
    </w:pPr>
  </w:style>
  <w:style w:type="paragraph" w:styleId="ListNumber4">
    <w:name w:val="List Number 4"/>
    <w:basedOn w:val="Normal"/>
    <w:rsid w:val="00A579C8"/>
    <w:pPr>
      <w:numPr>
        <w:numId w:val="5"/>
      </w:numPr>
    </w:pPr>
  </w:style>
  <w:style w:type="paragraph" w:styleId="ListNumber3">
    <w:name w:val="List Number 3"/>
    <w:basedOn w:val="Normal"/>
    <w:rsid w:val="00A579C8"/>
    <w:pPr>
      <w:numPr>
        <w:numId w:val="4"/>
      </w:numPr>
    </w:pPr>
  </w:style>
  <w:style w:type="character" w:customStyle="1" w:styleId="HeaderChar">
    <w:name w:val="Header Char"/>
    <w:link w:val="Header"/>
    <w:uiPriority w:val="99"/>
    <w:rsid w:val="00D13C59"/>
    <w:rPr>
      <w:rFonts w:ascii="Verdana" w:hAnsi="Verdana"/>
      <w:i/>
      <w:color w:val="000000"/>
      <w:sz w:val="16"/>
      <w:szCs w:val="24"/>
      <w:lang w:val="mt-MT" w:eastAsia="en-GB" w:bidi="ar-SA"/>
    </w:rPr>
  </w:style>
  <w:style w:type="paragraph" w:styleId="NormalIndent">
    <w:name w:val="Normal Indent"/>
    <w:basedOn w:val="Normal"/>
    <w:rsid w:val="00A579C8"/>
    <w:pPr>
      <w:ind w:left="720"/>
    </w:pPr>
  </w:style>
  <w:style w:type="paragraph" w:customStyle="1" w:styleId="StyleListNumberListNumberJustifiedCustomColorRGB266312">
    <w:name w:val="Style List NumberList Number Justified + Custom Color(RGB(266312..."/>
    <w:basedOn w:val="ListNumber"/>
    <w:rsid w:val="00B41BBD"/>
    <w:pPr>
      <w:ind w:left="0" w:firstLine="0"/>
    </w:pPr>
    <w:rPr>
      <w:szCs w:val="20"/>
    </w:rPr>
  </w:style>
  <w:style w:type="paragraph" w:styleId="Footer">
    <w:name w:val="footer"/>
    <w:basedOn w:val="FootnoteText"/>
    <w:link w:val="FooterChar"/>
    <w:uiPriority w:val="99"/>
    <w:rsid w:val="00D13C59"/>
    <w:pPr>
      <w:tabs>
        <w:tab w:val="center" w:pos="4153"/>
        <w:tab w:val="right" w:pos="8306"/>
      </w:tabs>
    </w:pPr>
    <w:rPr>
      <w:i/>
      <w:color w:val="808080"/>
      <w:sz w:val="16"/>
    </w:rPr>
  </w:style>
  <w:style w:type="paragraph" w:styleId="Header">
    <w:name w:val="header"/>
    <w:basedOn w:val="Normal"/>
    <w:link w:val="HeaderChar"/>
    <w:uiPriority w:val="99"/>
    <w:rsid w:val="00D13C59"/>
    <w:pPr>
      <w:tabs>
        <w:tab w:val="center" w:pos="4153"/>
        <w:tab w:val="right" w:pos="8306"/>
      </w:tabs>
    </w:pPr>
    <w:rPr>
      <w:i/>
      <w:color w:val="000000"/>
      <w:sz w:val="16"/>
    </w:rPr>
  </w:style>
  <w:style w:type="paragraph" w:styleId="Date">
    <w:name w:val="Date"/>
    <w:basedOn w:val="Normal"/>
    <w:next w:val="Normal"/>
    <w:rsid w:val="00D13C59"/>
    <w:rPr>
      <w:color w:val="808080"/>
      <w:sz w:val="16"/>
    </w:rPr>
  </w:style>
  <w:style w:type="paragraph" w:styleId="ListNumber5">
    <w:name w:val="List Number 5"/>
    <w:basedOn w:val="Normal"/>
    <w:rsid w:val="00A579C8"/>
    <w:pPr>
      <w:numPr>
        <w:numId w:val="6"/>
      </w:numPr>
    </w:pPr>
  </w:style>
  <w:style w:type="table" w:styleId="Table3Deffects1">
    <w:name w:val="Table 3D effects 1"/>
    <w:basedOn w:val="TableNormal"/>
    <w:rsid w:val="00527526"/>
    <w:tblPr>
      <w:tblCellSpacing w:w="14" w:type="dxa"/>
    </w:tblPr>
    <w:trPr>
      <w:tblCellSpacing w:w="14" w:type="dxa"/>
    </w:tr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52752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5275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ageNumber">
    <w:name w:val="page number"/>
    <w:rsid w:val="00D13C59"/>
    <w:rPr>
      <w:rFonts w:ascii="Verdana" w:hAnsi="Verdana"/>
      <w:color w:val="333333"/>
      <w:sz w:val="20"/>
    </w:rPr>
  </w:style>
  <w:style w:type="character" w:customStyle="1" w:styleId="Heading2Char">
    <w:name w:val="Heading 2 Char"/>
    <w:aliases w:val="EC Lev 2 Char"/>
    <w:link w:val="Heading2"/>
    <w:rsid w:val="00035DA6"/>
    <w:rPr>
      <w:rFonts w:cs="Arial"/>
      <w:b/>
      <w:bCs/>
      <w:iCs/>
      <w:color w:val="263673"/>
      <w:sz w:val="22"/>
      <w:szCs w:val="28"/>
    </w:rPr>
  </w:style>
  <w:style w:type="paragraph" w:customStyle="1" w:styleId="StyleBodyTextAfter0pt">
    <w:name w:val="Style Body Text + After:  0 pt"/>
    <w:basedOn w:val="BodyText"/>
    <w:link w:val="StyleBodyTextAfter0ptChar"/>
    <w:rsid w:val="00003AD6"/>
    <w:pPr>
      <w:spacing w:after="0"/>
    </w:pPr>
    <w:rPr>
      <w:szCs w:val="20"/>
    </w:rPr>
  </w:style>
  <w:style w:type="paragraph" w:customStyle="1" w:styleId="StyleStyleBulleted10ptCustomColorRGB12311170Left">
    <w:name w:val="Style Style Bulleted 10 pt Custom Color(RGB(12311170)) + Left"/>
    <w:basedOn w:val="Normal"/>
    <w:rsid w:val="00A579C8"/>
    <w:pPr>
      <w:numPr>
        <w:numId w:val="7"/>
      </w:numPr>
      <w:spacing w:after="220"/>
      <w:ind w:left="360"/>
      <w:jc w:val="left"/>
    </w:pPr>
    <w:rPr>
      <w:color w:val="000000"/>
    </w:rPr>
  </w:style>
  <w:style w:type="character" w:customStyle="1" w:styleId="BodyTextChar">
    <w:name w:val="Body Text Char"/>
    <w:link w:val="BodyText"/>
    <w:rsid w:val="00D13C59"/>
    <w:rPr>
      <w:rFonts w:ascii="Verdana" w:hAnsi="Verdana"/>
      <w:color w:val="333333"/>
      <w:szCs w:val="24"/>
      <w:lang w:val="mt-MT" w:eastAsia="en-GB" w:bidi="ar-SA"/>
    </w:rPr>
  </w:style>
  <w:style w:type="paragraph" w:customStyle="1" w:styleId="StyleListBulletListBulletJustifiedLeft">
    <w:name w:val="Style List BulletList Bullet Justified + Left"/>
    <w:basedOn w:val="Normal"/>
    <w:rsid w:val="00E248C6"/>
    <w:pPr>
      <w:numPr>
        <w:numId w:val="1"/>
      </w:numPr>
      <w:spacing w:before="80" w:after="80"/>
      <w:jc w:val="left"/>
    </w:pPr>
    <w:rPr>
      <w:szCs w:val="20"/>
    </w:rPr>
  </w:style>
  <w:style w:type="paragraph" w:styleId="FootnoteText">
    <w:name w:val="footnote text"/>
    <w:basedOn w:val="Normal"/>
    <w:semiHidden/>
    <w:rsid w:val="004D5591"/>
    <w:rPr>
      <w:szCs w:val="20"/>
    </w:rPr>
  </w:style>
  <w:style w:type="paragraph" w:styleId="TOC2">
    <w:name w:val="toc 2"/>
    <w:basedOn w:val="Normal"/>
    <w:next w:val="Normal"/>
    <w:autoRedefine/>
    <w:uiPriority w:val="39"/>
    <w:rsid w:val="00404DBC"/>
    <w:pPr>
      <w:tabs>
        <w:tab w:val="left" w:pos="720"/>
        <w:tab w:val="right" w:leader="dot" w:pos="8777"/>
      </w:tabs>
    </w:pPr>
  </w:style>
  <w:style w:type="paragraph" w:styleId="TOC1">
    <w:name w:val="toc 1"/>
    <w:basedOn w:val="Normal"/>
    <w:next w:val="Normal"/>
    <w:autoRedefine/>
    <w:uiPriority w:val="39"/>
    <w:rsid w:val="004D3F90"/>
    <w:pPr>
      <w:tabs>
        <w:tab w:val="left" w:pos="720"/>
        <w:tab w:val="right" w:leader="dot" w:pos="8777"/>
      </w:tabs>
      <w:spacing w:before="240"/>
      <w:jc w:val="left"/>
    </w:pPr>
    <w:rPr>
      <w:rFonts w:ascii="Times New Roman" w:hAnsi="Times New Roman"/>
      <w:noProof/>
    </w:rPr>
  </w:style>
  <w:style w:type="table" w:styleId="TableProfessional">
    <w:name w:val="Table Professional"/>
    <w:basedOn w:val="TableNormal"/>
    <w:rsid w:val="00527526"/>
    <w:pPr>
      <w:jc w:val="both"/>
    </w:pPr>
    <w:tblPr>
      <w:tblBorders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  <w:insideH w:val="single" w:sz="6" w:space="0" w:color="333333"/>
        <w:insideV w:val="single" w:sz="6" w:space="0" w:color="333333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Style2">
    <w:name w:val="Style2"/>
    <w:basedOn w:val="NoList"/>
    <w:rsid w:val="00B103AE"/>
    <w:pPr>
      <w:numPr>
        <w:numId w:val="8"/>
      </w:numPr>
    </w:pPr>
  </w:style>
  <w:style w:type="paragraph" w:customStyle="1" w:styleId="StyleHeading1VerdanaAuto">
    <w:name w:val="Style Heading 1 + Verdana Auto"/>
    <w:basedOn w:val="Heading1"/>
    <w:rsid w:val="00D02D0C"/>
    <w:pPr>
      <w:numPr>
        <w:numId w:val="0"/>
      </w:numPr>
    </w:pPr>
  </w:style>
  <w:style w:type="paragraph" w:customStyle="1" w:styleId="StyleHeading1VerdanaAuto1">
    <w:name w:val="Style Heading 1 + Verdana Auto1"/>
    <w:basedOn w:val="Heading1"/>
    <w:rsid w:val="00D02D0C"/>
    <w:pPr>
      <w:numPr>
        <w:numId w:val="0"/>
      </w:numPr>
    </w:pPr>
  </w:style>
  <w:style w:type="paragraph" w:customStyle="1" w:styleId="StyleHeading2VerdanaAuto">
    <w:name w:val="Style Heading 2 + Verdana Auto"/>
    <w:basedOn w:val="Heading2"/>
    <w:rsid w:val="00A579C8"/>
    <w:pPr>
      <w:numPr>
        <w:ilvl w:val="0"/>
        <w:numId w:val="0"/>
      </w:numPr>
    </w:pPr>
    <w:rPr>
      <w:iCs w:val="0"/>
    </w:rPr>
  </w:style>
  <w:style w:type="paragraph" w:customStyle="1" w:styleId="StyleListBullet2">
    <w:name w:val="Style List Bullet 2 +"/>
    <w:basedOn w:val="ListBullet2"/>
    <w:link w:val="StyleListBullet2Char"/>
    <w:rsid w:val="00A579C8"/>
  </w:style>
  <w:style w:type="character" w:customStyle="1" w:styleId="ListBullet2Char">
    <w:name w:val="List Bullet 2 Char"/>
    <w:link w:val="ListBullet2"/>
    <w:rsid w:val="00021579"/>
    <w:rPr>
      <w:szCs w:val="24"/>
    </w:rPr>
  </w:style>
  <w:style w:type="character" w:customStyle="1" w:styleId="StyleListBullet2Char">
    <w:name w:val="Style List Bullet 2 + Char"/>
    <w:basedOn w:val="ListBullet2Char"/>
    <w:link w:val="StyleListBullet2"/>
    <w:rsid w:val="00A579C8"/>
    <w:rPr>
      <w:szCs w:val="24"/>
    </w:rPr>
  </w:style>
  <w:style w:type="paragraph" w:customStyle="1" w:styleId="StyleStyleBodyTextAfter0ptVerdana">
    <w:name w:val="Style Style Body Text + After:  0 pt + Verdana"/>
    <w:basedOn w:val="StyleBodyTextAfter0pt"/>
    <w:link w:val="StyleStyleBodyTextAfter0ptVerdanaChar"/>
    <w:rsid w:val="00A579C8"/>
  </w:style>
  <w:style w:type="character" w:customStyle="1" w:styleId="StyleBodyTextAfter0ptChar">
    <w:name w:val="Style Body Text + After:  0 pt Char"/>
    <w:basedOn w:val="BodyTextChar"/>
    <w:link w:val="StyleBodyTextAfter0pt"/>
    <w:rsid w:val="00A579C8"/>
    <w:rPr>
      <w:rFonts w:ascii="Verdana" w:hAnsi="Verdana"/>
      <w:color w:val="333333"/>
      <w:szCs w:val="24"/>
      <w:lang w:val="mt-MT" w:eastAsia="en-GB" w:bidi="ar-SA"/>
    </w:rPr>
  </w:style>
  <w:style w:type="character" w:customStyle="1" w:styleId="StyleStyleBodyTextAfter0ptVerdanaChar">
    <w:name w:val="Style Style Body Text + After:  0 pt + Verdana Char"/>
    <w:basedOn w:val="StyleBodyTextAfter0ptChar"/>
    <w:link w:val="StyleStyleBodyTextAfter0ptVerdana"/>
    <w:rsid w:val="00A579C8"/>
    <w:rPr>
      <w:rFonts w:ascii="Verdana" w:hAnsi="Verdana"/>
      <w:color w:val="333333"/>
      <w:szCs w:val="24"/>
      <w:lang w:val="mt-MT" w:eastAsia="en-GB" w:bidi="ar-SA"/>
    </w:rPr>
  </w:style>
  <w:style w:type="paragraph" w:customStyle="1" w:styleId="StyleStyleBodyTextAfter0ptVerdanaBold">
    <w:name w:val="Style Style Body Text + After:  0 pt + Verdana Bold"/>
    <w:basedOn w:val="StyleBodyTextAfter0pt"/>
    <w:link w:val="StyleStyleBodyTextAfter0ptVerdanaBoldChar"/>
    <w:rsid w:val="00A579C8"/>
    <w:rPr>
      <w:b/>
      <w:bCs/>
      <w:szCs w:val="24"/>
    </w:rPr>
  </w:style>
  <w:style w:type="character" w:customStyle="1" w:styleId="StyleStyleBodyTextAfter0ptVerdanaBoldChar">
    <w:name w:val="Style Style Body Text + After:  0 pt + Verdana Bold Char"/>
    <w:link w:val="StyleStyleBodyTextAfter0ptVerdanaBold"/>
    <w:rsid w:val="00A579C8"/>
    <w:rPr>
      <w:rFonts w:ascii="Verdana" w:hAnsi="Verdana"/>
      <w:b/>
      <w:bCs/>
      <w:color w:val="333333"/>
      <w:szCs w:val="24"/>
      <w:lang w:val="mt-MT" w:eastAsia="en-GB" w:bidi="ar-SA"/>
    </w:rPr>
  </w:style>
  <w:style w:type="paragraph" w:customStyle="1" w:styleId="StyleStyleBodyTextAfter0ptVerdanaBoldAuto">
    <w:name w:val="Style Style Body Text + After:  0 pt + Verdana Bold Auto"/>
    <w:basedOn w:val="StyleBodyTextAfter0pt"/>
    <w:link w:val="StyleStyleBodyTextAfter0ptVerdanaBoldAutoChar"/>
    <w:rsid w:val="00A579C8"/>
    <w:rPr>
      <w:b/>
      <w:bCs/>
      <w:szCs w:val="24"/>
    </w:rPr>
  </w:style>
  <w:style w:type="character" w:customStyle="1" w:styleId="StyleStyleBodyTextAfter0ptVerdanaBoldAutoChar">
    <w:name w:val="Style Style Body Text + After:  0 pt + Verdana Bold Auto Char"/>
    <w:link w:val="StyleStyleBodyTextAfter0ptVerdanaBoldAuto"/>
    <w:rsid w:val="00A579C8"/>
    <w:rPr>
      <w:rFonts w:ascii="Verdana" w:hAnsi="Verdana"/>
      <w:b/>
      <w:bCs/>
      <w:color w:val="333333"/>
      <w:szCs w:val="24"/>
      <w:lang w:val="mt-MT" w:eastAsia="en-GB" w:bidi="ar-SA"/>
    </w:rPr>
  </w:style>
  <w:style w:type="character" w:customStyle="1" w:styleId="Heading1Char">
    <w:name w:val="Heading 1 Char"/>
    <w:aliases w:val="EC Lev 1 Char"/>
    <w:link w:val="Heading1"/>
    <w:rsid w:val="002E6241"/>
    <w:rPr>
      <w:rFonts w:cs="Arial"/>
      <w:b/>
      <w:bCs/>
      <w:color w:val="263673"/>
      <w:kern w:val="32"/>
      <w:sz w:val="28"/>
      <w:szCs w:val="32"/>
    </w:rPr>
  </w:style>
  <w:style w:type="paragraph" w:customStyle="1" w:styleId="StyleHeading1Gray-80">
    <w:name w:val="Style Heading 1 + Gray-80%"/>
    <w:basedOn w:val="Heading1"/>
    <w:link w:val="StyleHeading1Gray-80Char"/>
    <w:rsid w:val="00D02D0C"/>
    <w:pPr>
      <w:numPr>
        <w:numId w:val="0"/>
      </w:numPr>
    </w:pPr>
  </w:style>
  <w:style w:type="character" w:customStyle="1" w:styleId="StyleHeading1Gray-80Char">
    <w:name w:val="Style Heading 1 + Gray-80% Char"/>
    <w:basedOn w:val="Heading1Char"/>
    <w:link w:val="StyleHeading1Gray-80"/>
    <w:rsid w:val="00D02D0C"/>
    <w:rPr>
      <w:rFonts w:cs="Arial"/>
      <w:b/>
      <w:bCs/>
      <w:color w:val="263673"/>
      <w:kern w:val="32"/>
      <w:sz w:val="28"/>
      <w:szCs w:val="32"/>
    </w:rPr>
  </w:style>
  <w:style w:type="paragraph" w:customStyle="1" w:styleId="StyleHeading1Auto">
    <w:name w:val="Style Heading 1 + Auto"/>
    <w:basedOn w:val="Heading1"/>
    <w:rsid w:val="00D02D0C"/>
    <w:pPr>
      <w:numPr>
        <w:numId w:val="0"/>
      </w:numPr>
    </w:pPr>
  </w:style>
  <w:style w:type="paragraph" w:customStyle="1" w:styleId="ECBody">
    <w:name w:val="EC Body"/>
    <w:qFormat/>
    <w:rsid w:val="00E86425"/>
    <w:pPr>
      <w:spacing w:after="160"/>
      <w:jc w:val="both"/>
    </w:pPr>
    <w:rPr>
      <w:szCs w:val="24"/>
    </w:rPr>
  </w:style>
  <w:style w:type="paragraph" w:customStyle="1" w:styleId="ECBullet">
    <w:name w:val="EC Bullet"/>
    <w:basedOn w:val="ECBody"/>
    <w:qFormat/>
    <w:rsid w:val="002E6241"/>
    <w:pPr>
      <w:numPr>
        <w:numId w:val="10"/>
      </w:numPr>
      <w:spacing w:after="80"/>
      <w:ind w:left="357" w:hanging="357"/>
      <w:jc w:val="left"/>
    </w:pPr>
  </w:style>
  <w:style w:type="character" w:styleId="FollowedHyperlink">
    <w:name w:val="FollowedHyperlink"/>
    <w:basedOn w:val="DefaultParagraphFont"/>
    <w:rsid w:val="007531D1"/>
    <w:rPr>
      <w:color w:val="800080" w:themeColor="followedHyperlink"/>
      <w:u w:val="single"/>
    </w:rPr>
  </w:style>
  <w:style w:type="table" w:styleId="TableGrid">
    <w:name w:val="Table Grid"/>
    <w:basedOn w:val="TableNormal"/>
    <w:rsid w:val="007531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ntemporary">
    <w:name w:val="Table Contemporary"/>
    <w:basedOn w:val="TableNormal"/>
    <w:rsid w:val="00196FF2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367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ECTableTitle">
    <w:name w:val="EC Table Title"/>
    <w:basedOn w:val="ECBody"/>
    <w:rsid w:val="009A00FF"/>
    <w:pPr>
      <w:keepNext/>
      <w:spacing w:before="480" w:after="240"/>
      <w:ind w:left="900" w:hanging="900"/>
      <w:jc w:val="left"/>
    </w:pPr>
    <w:rPr>
      <w:rFonts w:ascii="Times New Roman" w:hAnsi="Times New Roman"/>
      <w:color w:val="auto"/>
      <w:sz w:val="24"/>
    </w:rPr>
  </w:style>
  <w:style w:type="paragraph" w:customStyle="1" w:styleId="ECTableText">
    <w:name w:val="EC Table Text"/>
    <w:basedOn w:val="BodyText"/>
    <w:qFormat/>
    <w:rsid w:val="00FB5933"/>
    <w:pPr>
      <w:spacing w:before="80" w:after="80"/>
      <w:jc w:val="left"/>
    </w:pPr>
    <w:rPr>
      <w:bCs/>
      <w:sz w:val="18"/>
    </w:rPr>
  </w:style>
  <w:style w:type="character" w:customStyle="1" w:styleId="Heading4Char">
    <w:name w:val="Heading 4 Char"/>
    <w:aliases w:val="EC Lev 4 Char"/>
    <w:basedOn w:val="DefaultParagraphFont"/>
    <w:link w:val="Heading4"/>
    <w:rsid w:val="00035DA6"/>
    <w:rPr>
      <w:rFonts w:ascii="Verdana" w:eastAsiaTheme="majorEastAsia" w:hAnsi="Verdana" w:cstheme="majorBidi"/>
      <w:i/>
      <w:iCs/>
      <w:color w:val="263673"/>
      <w:szCs w:val="26"/>
    </w:rPr>
  </w:style>
  <w:style w:type="character" w:customStyle="1" w:styleId="Heading5Char">
    <w:name w:val="Heading 5 Char"/>
    <w:aliases w:val="EC Lev 5 Char"/>
    <w:basedOn w:val="DefaultParagraphFont"/>
    <w:link w:val="Heading5"/>
    <w:rsid w:val="00035DA6"/>
    <w:rPr>
      <w:rFonts w:ascii="Verdana" w:eastAsiaTheme="majorEastAsia" w:hAnsi="Verdana" w:cstheme="majorBidi"/>
      <w:i/>
      <w:iCs/>
      <w:color w:val="808080"/>
      <w:szCs w:val="26"/>
    </w:rPr>
  </w:style>
  <w:style w:type="paragraph" w:customStyle="1" w:styleId="ECFigureTitle">
    <w:name w:val="EC Figure Title"/>
    <w:basedOn w:val="ECTableTitle"/>
    <w:next w:val="ECBody"/>
    <w:rsid w:val="00D96EF2"/>
    <w:pPr>
      <w:spacing w:before="360"/>
      <w:ind w:left="960" w:hanging="960"/>
    </w:pPr>
  </w:style>
  <w:style w:type="paragraph" w:styleId="BalloonText">
    <w:name w:val="Balloon Text"/>
    <w:basedOn w:val="Normal"/>
    <w:link w:val="BalloonTextChar"/>
    <w:rsid w:val="00E46D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6D11"/>
    <w:rPr>
      <w:rFonts w:ascii="Tahoma" w:hAnsi="Tahoma" w:cs="Tahoma"/>
      <w:color w:val="333333"/>
      <w:sz w:val="16"/>
      <w:szCs w:val="16"/>
    </w:rPr>
  </w:style>
  <w:style w:type="paragraph" w:styleId="TOC3">
    <w:name w:val="toc 3"/>
    <w:basedOn w:val="Normal"/>
    <w:next w:val="Normal"/>
    <w:autoRedefine/>
    <w:uiPriority w:val="39"/>
    <w:rsid w:val="00AA3F39"/>
    <w:pPr>
      <w:spacing w:after="100"/>
      <w:ind w:left="400"/>
    </w:pPr>
  </w:style>
  <w:style w:type="paragraph" w:styleId="TableofFigures">
    <w:name w:val="table of figures"/>
    <w:basedOn w:val="Normal"/>
    <w:next w:val="Normal"/>
    <w:uiPriority w:val="99"/>
    <w:rsid w:val="00A12C6D"/>
  </w:style>
  <w:style w:type="paragraph" w:customStyle="1" w:styleId="ReleaseTextCT">
    <w:name w:val="Release Text (CT)"/>
    <w:basedOn w:val="Normal"/>
    <w:semiHidden/>
    <w:rsid w:val="005616A3"/>
    <w:pPr>
      <w:jc w:val="left"/>
    </w:pPr>
    <w:rPr>
      <w:rFonts w:ascii="Times New Roman" w:hAnsi="Times New Roman"/>
      <w:noProof/>
      <w:color w:val="000000"/>
      <w:sz w:val="16"/>
      <w:szCs w:val="20"/>
    </w:rPr>
  </w:style>
  <w:style w:type="paragraph" w:customStyle="1" w:styleId="BulletPs2CT">
    <w:name w:val="Bullet Ps 2 (CT)"/>
    <w:basedOn w:val="Normal"/>
    <w:rsid w:val="005616A3"/>
    <w:pPr>
      <w:numPr>
        <w:numId w:val="11"/>
      </w:numPr>
      <w:suppressAutoHyphens/>
      <w:spacing w:after="240"/>
      <w:jc w:val="left"/>
    </w:pPr>
    <w:rPr>
      <w:rFonts w:ascii="Times New Roman" w:hAnsi="Times New Roman"/>
      <w:color w:val="auto"/>
      <w:sz w:val="22"/>
      <w:szCs w:val="22"/>
    </w:rPr>
  </w:style>
  <w:style w:type="paragraph" w:customStyle="1" w:styleId="ECAppLev1">
    <w:name w:val="EC App Lev 1"/>
    <w:next w:val="ECBody"/>
    <w:qFormat/>
    <w:rsid w:val="00414446"/>
    <w:pPr>
      <w:keepNext/>
      <w:pageBreakBefore/>
      <w:numPr>
        <w:numId w:val="12"/>
      </w:numPr>
      <w:spacing w:after="600"/>
      <w:outlineLvl w:val="0"/>
    </w:pPr>
    <w:rPr>
      <w:rFonts w:cs="Arial"/>
      <w:b/>
      <w:bCs/>
      <w:color w:val="263673"/>
      <w:kern w:val="32"/>
      <w:sz w:val="28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2C4189"/>
    <w:rPr>
      <w:rFonts w:ascii="Verdana" w:hAnsi="Verdana"/>
      <w:i/>
      <w:color w:val="808080"/>
      <w:sz w:val="16"/>
    </w:rPr>
  </w:style>
  <w:style w:type="paragraph" w:customStyle="1" w:styleId="Table-HeadingCT">
    <w:name w:val="Table - Heading (CT)"/>
    <w:link w:val="Table-HeadingCTChar"/>
    <w:rsid w:val="00721DC9"/>
    <w:pPr>
      <w:keepNext/>
      <w:tabs>
        <w:tab w:val="left" w:pos="1304"/>
      </w:tabs>
      <w:spacing w:before="240" w:after="240"/>
    </w:pPr>
    <w:rPr>
      <w:rFonts w:ascii="Arial" w:hAnsi="Arial"/>
      <w:b/>
      <w:color w:val="000000"/>
      <w:kern w:val="28"/>
      <w:sz w:val="18"/>
      <w:lang w:eastAsia="en-US"/>
    </w:rPr>
  </w:style>
  <w:style w:type="paragraph" w:customStyle="1" w:styleId="Table-ContentsCT">
    <w:name w:val="Table - Contents (CT)"/>
    <w:link w:val="Table-ContentsCTChar"/>
    <w:qFormat/>
    <w:rsid w:val="00721DC9"/>
    <w:pPr>
      <w:spacing w:before="80" w:after="80"/>
    </w:pPr>
    <w:rPr>
      <w:rFonts w:ascii="Arial" w:hAnsi="Arial"/>
      <w:color w:val="auto"/>
      <w:sz w:val="16"/>
      <w:lang w:eastAsia="en-US"/>
    </w:rPr>
  </w:style>
  <w:style w:type="character" w:customStyle="1" w:styleId="Table-HeadingCTChar">
    <w:name w:val="Table - Heading (CT) Char"/>
    <w:link w:val="Table-HeadingCT"/>
    <w:rsid w:val="00721DC9"/>
    <w:rPr>
      <w:rFonts w:ascii="Arial" w:hAnsi="Arial"/>
      <w:b/>
      <w:color w:val="000000"/>
      <w:kern w:val="28"/>
      <w:sz w:val="18"/>
      <w:lang w:eastAsia="en-US"/>
    </w:rPr>
  </w:style>
  <w:style w:type="character" w:customStyle="1" w:styleId="Table-ContentsCTChar">
    <w:name w:val="Table - Contents (CT) Char"/>
    <w:link w:val="Table-ContentsCT"/>
    <w:rsid w:val="00721DC9"/>
    <w:rPr>
      <w:rFonts w:ascii="Arial" w:hAnsi="Arial"/>
      <w:color w:val="auto"/>
      <w:sz w:val="16"/>
      <w:lang w:eastAsia="en-US"/>
    </w:rPr>
  </w:style>
  <w:style w:type="paragraph" w:customStyle="1" w:styleId="NormalBodyCT">
    <w:name w:val="Normal Body (CT)"/>
    <w:link w:val="NormalBodyCTChar"/>
    <w:rsid w:val="0022695C"/>
    <w:pPr>
      <w:suppressAutoHyphens/>
      <w:spacing w:after="240" w:line="288" w:lineRule="auto"/>
    </w:pPr>
    <w:rPr>
      <w:rFonts w:ascii="Times New Roman" w:hAnsi="Times New Roman"/>
      <w:color w:val="auto"/>
      <w:sz w:val="22"/>
      <w:szCs w:val="22"/>
    </w:rPr>
  </w:style>
  <w:style w:type="character" w:customStyle="1" w:styleId="NormalBodyCTChar">
    <w:name w:val="Normal Body (CT) Char"/>
    <w:link w:val="NormalBodyCT"/>
    <w:rsid w:val="0022695C"/>
    <w:rPr>
      <w:rFonts w:ascii="Times New Roman" w:hAnsi="Times New Roman"/>
      <w:color w:val="auto"/>
      <w:sz w:val="22"/>
      <w:szCs w:val="22"/>
    </w:rPr>
  </w:style>
  <w:style w:type="paragraph" w:customStyle="1" w:styleId="TableTitle">
    <w:name w:val="Table Title"/>
    <w:basedOn w:val="Normal"/>
    <w:next w:val="Normal"/>
    <w:rsid w:val="0022695C"/>
    <w:pPr>
      <w:keepNext/>
      <w:tabs>
        <w:tab w:val="left" w:pos="1134"/>
      </w:tabs>
      <w:spacing w:before="480" w:after="240" w:line="247" w:lineRule="auto"/>
      <w:ind w:left="1134" w:hanging="1134"/>
      <w:jc w:val="left"/>
    </w:pPr>
    <w:rPr>
      <w:rFonts w:ascii="Arial" w:hAnsi="Arial"/>
      <w:b/>
      <w:color w:val="000000"/>
      <w:kern w:val="28"/>
      <w:sz w:val="18"/>
      <w:szCs w:val="20"/>
      <w:lang w:eastAsia="en-US"/>
    </w:rPr>
  </w:style>
  <w:style w:type="table" w:customStyle="1" w:styleId="GridTable1Light-Accent11">
    <w:name w:val="Grid Table 1 Light - Accent 11"/>
    <w:basedOn w:val="TableNormal"/>
    <w:uiPriority w:val="46"/>
    <w:rsid w:val="00FD7B4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FD7B4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Tabletext">
    <w:name w:val="Table text"/>
    <w:basedOn w:val="Normal"/>
    <w:rsid w:val="000756CA"/>
    <w:pPr>
      <w:widowControl w:val="0"/>
      <w:suppressAutoHyphens/>
      <w:spacing w:before="80" w:after="80" w:line="247" w:lineRule="auto"/>
    </w:pPr>
    <w:rPr>
      <w:rFonts w:ascii="Arial" w:hAnsi="Arial"/>
      <w:color w:val="auto"/>
      <w:sz w:val="18"/>
      <w:szCs w:val="20"/>
    </w:rPr>
  </w:style>
  <w:style w:type="table" w:customStyle="1" w:styleId="AmecFosterWheelerReportTable3">
    <w:name w:val="Amec Foster Wheeler Report Table3"/>
    <w:basedOn w:val="TableNormal"/>
    <w:uiPriority w:val="99"/>
    <w:qFormat/>
    <w:rsid w:val="000756CA"/>
    <w:rPr>
      <w:rFonts w:ascii="Arial" w:eastAsia="Calibri" w:hAnsi="Arial"/>
      <w:color w:val="28272F"/>
      <w:szCs w:val="22"/>
      <w:lang w:eastAsia="en-US"/>
    </w:rPr>
    <w:tblPr>
      <w:tblStyleRowBandSize w:val="1"/>
      <w:tblStyleColBandSize w:val="1"/>
      <w:tblInd w:w="113" w:type="dxa"/>
      <w:tblBorders>
        <w:bottom w:val="single" w:sz="6" w:space="0" w:color="00B0B9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51505E"/>
        <w:sz w:val="20"/>
      </w:rPr>
      <w:tblPr/>
      <w:tcPr>
        <w:tcBorders>
          <w:top w:val="single" w:sz="6" w:space="0" w:color="00B0B9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353F"/>
          <w:left w:val="nil"/>
          <w:bottom w:val="single" w:sz="8" w:space="0" w:color="36353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C9D2"/>
      </w:tcPr>
    </w:tblStylePr>
    <w:tblStylePr w:type="band2Vert">
      <w:tblPr/>
      <w:tcPr>
        <w:shd w:val="clear" w:color="auto" w:fill="FFFFF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7E8"/>
      </w:tcPr>
    </w:tblStylePr>
    <w:tblStylePr w:type="band2Horz">
      <w:tblPr/>
      <w:tcPr>
        <w:shd w:val="clear" w:color="auto" w:fill="F8F8F8"/>
      </w:tcPr>
    </w:tblStylePr>
  </w:style>
  <w:style w:type="character" w:styleId="PlaceholderText">
    <w:name w:val="Placeholder Text"/>
    <w:basedOn w:val="DefaultParagraphFont"/>
    <w:uiPriority w:val="99"/>
    <w:semiHidden/>
    <w:rsid w:val="000756CA"/>
    <w:rPr>
      <w:color w:val="808080"/>
    </w:rPr>
  </w:style>
  <w:style w:type="paragraph" w:customStyle="1" w:styleId="StyleHeading1ECLev1Firstline0cm">
    <w:name w:val="Style Heading 1EC Lev 1 + First line:  0 cm"/>
    <w:basedOn w:val="Heading1"/>
    <w:rsid w:val="00806908"/>
    <w:pPr>
      <w:numPr>
        <w:numId w:val="13"/>
      </w:numPr>
      <w:ind w:left="0" w:firstLine="0"/>
    </w:pPr>
    <w:rPr>
      <w:rFonts w:cs="Times New Roman"/>
      <w:szCs w:val="20"/>
    </w:rPr>
  </w:style>
  <w:style w:type="paragraph" w:customStyle="1" w:styleId="AppendixHeading2">
    <w:name w:val="Appendix Heading 2"/>
    <w:basedOn w:val="Heading2"/>
    <w:rsid w:val="008646DB"/>
    <w:pPr>
      <w:numPr>
        <w:ilvl w:val="0"/>
        <w:numId w:val="0"/>
      </w:numPr>
      <w:spacing w:after="240"/>
    </w:pPr>
  </w:style>
  <w:style w:type="paragraph" w:customStyle="1" w:styleId="ECAppLev2">
    <w:name w:val="EC App Lev 2"/>
    <w:qFormat/>
    <w:rsid w:val="002540ED"/>
    <w:pPr>
      <w:numPr>
        <w:ilvl w:val="1"/>
        <w:numId w:val="12"/>
      </w:numPr>
      <w:spacing w:before="360" w:after="60"/>
    </w:pPr>
    <w:rPr>
      <w:rFonts w:cs="Arial"/>
      <w:b/>
      <w:bCs/>
      <w:iCs/>
      <w:color w:val="263673"/>
      <w:sz w:val="22"/>
      <w:szCs w:val="28"/>
    </w:rPr>
  </w:style>
  <w:style w:type="paragraph" w:customStyle="1" w:styleId="ECAppLev3">
    <w:name w:val="EC App Lev 3"/>
    <w:next w:val="ECBody"/>
    <w:qFormat/>
    <w:rsid w:val="00414446"/>
    <w:pPr>
      <w:numPr>
        <w:ilvl w:val="2"/>
        <w:numId w:val="12"/>
      </w:numPr>
      <w:spacing w:before="200" w:after="60"/>
    </w:pPr>
    <w:rPr>
      <w:rFonts w:cs="Arial"/>
      <w:bCs/>
      <w:color w:val="263673"/>
      <w:szCs w:val="26"/>
    </w:rPr>
  </w:style>
  <w:style w:type="paragraph" w:customStyle="1" w:styleId="Default">
    <w:name w:val="Default"/>
    <w:rsid w:val="002410B9"/>
    <w:pPr>
      <w:autoSpaceDE w:val="0"/>
      <w:autoSpaceDN w:val="0"/>
      <w:adjustRightInd w:val="0"/>
    </w:pPr>
    <w:rPr>
      <w:rFonts w:cs="Verdana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8F06D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F06DE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8F06DE"/>
  </w:style>
  <w:style w:type="paragraph" w:customStyle="1" w:styleId="AFWBody">
    <w:name w:val="AFW Body"/>
    <w:aliases w:val="Body"/>
    <w:qFormat/>
    <w:rsid w:val="003D16B4"/>
    <w:pPr>
      <w:spacing w:after="160" w:line="240" w:lineRule="atLeast"/>
    </w:pPr>
    <w:rPr>
      <w:rFonts w:ascii="Arial" w:eastAsiaTheme="minorHAnsi" w:hAnsi="Arial" w:cstheme="minorBidi"/>
      <w:color w:val="000000"/>
      <w:szCs w:val="22"/>
      <w:lang w:eastAsia="en-US"/>
    </w:rPr>
  </w:style>
  <w:style w:type="paragraph" w:customStyle="1" w:styleId="AFWFigureTitle">
    <w:name w:val="AFW Figure Title"/>
    <w:basedOn w:val="Normal"/>
    <w:next w:val="AFWBody"/>
    <w:rsid w:val="003D16B4"/>
    <w:pPr>
      <w:keepNext/>
      <w:keepLines/>
      <w:numPr>
        <w:ilvl w:val="3"/>
      </w:numPr>
      <w:tabs>
        <w:tab w:val="left" w:pos="1134"/>
      </w:tabs>
      <w:spacing w:before="360" w:after="160"/>
      <w:jc w:val="left"/>
      <w:outlineLvl w:val="3"/>
    </w:pPr>
    <w:rPr>
      <w:rFonts w:ascii="Arial" w:hAnsi="Arial" w:cstheme="majorBidi"/>
      <w:iCs/>
      <w:color w:val="5F2167"/>
      <w:szCs w:val="2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F34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F34FF"/>
    <w:rPr>
      <w:b/>
      <w:bCs/>
    </w:rPr>
  </w:style>
  <w:style w:type="table" w:customStyle="1" w:styleId="AmecFosterWheelerReportTable">
    <w:name w:val="Amec Foster Wheeler Report Table"/>
    <w:basedOn w:val="TableNormal"/>
    <w:uiPriority w:val="99"/>
    <w:qFormat/>
    <w:rsid w:val="00B31A99"/>
    <w:rPr>
      <w:rFonts w:ascii="Arial" w:eastAsia="Calibri" w:hAnsi="Arial"/>
      <w:color w:val="28272F"/>
      <w:szCs w:val="22"/>
      <w:lang w:eastAsia="en-US"/>
    </w:rPr>
    <w:tblPr>
      <w:tblStyleRowBandSize w:val="1"/>
      <w:tblStyleColBandSize w:val="1"/>
      <w:tblInd w:w="113" w:type="dxa"/>
      <w:tblBorders>
        <w:bottom w:val="single" w:sz="6" w:space="0" w:color="00B0B9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51505E"/>
        <w:sz w:val="20"/>
      </w:rPr>
      <w:tblPr/>
      <w:tcPr>
        <w:tcBorders>
          <w:top w:val="single" w:sz="6" w:space="0" w:color="00B0B9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353F"/>
          <w:left w:val="nil"/>
          <w:bottom w:val="single" w:sz="8" w:space="0" w:color="36353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C9D2"/>
      </w:tcPr>
    </w:tblStylePr>
    <w:tblStylePr w:type="band2Vert">
      <w:tblPr/>
      <w:tcPr>
        <w:shd w:val="clear" w:color="auto" w:fill="FFFFF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7E8"/>
      </w:tcPr>
    </w:tblStylePr>
    <w:tblStylePr w:type="band2Horz">
      <w:tblPr/>
      <w:tcPr>
        <w:shd w:val="clear" w:color="auto" w:fill="F8F8F8"/>
      </w:tcPr>
    </w:tblStylePr>
  </w:style>
  <w:style w:type="paragraph" w:customStyle="1" w:styleId="Heading1NoNumber">
    <w:name w:val="Heading 1 No Number"/>
    <w:basedOn w:val="Heading1"/>
    <w:next w:val="AFWBody"/>
    <w:rsid w:val="00A75066"/>
    <w:pPr>
      <w:numPr>
        <w:numId w:val="0"/>
      </w:numPr>
    </w:pPr>
  </w:style>
  <w:style w:type="character" w:styleId="FootnoteReference">
    <w:name w:val="footnote reference"/>
    <w:basedOn w:val="DefaultParagraphFont"/>
    <w:semiHidden/>
    <w:unhideWhenUsed/>
    <w:rsid w:val="001A4137"/>
    <w:rPr>
      <w:vertAlign w:val="superscript"/>
    </w:rPr>
  </w:style>
  <w:style w:type="paragraph" w:styleId="ListParagraph">
    <w:name w:val="List Paragraph"/>
    <w:basedOn w:val="Normal"/>
    <w:uiPriority w:val="34"/>
    <w:rsid w:val="00172C27"/>
    <w:pPr>
      <w:ind w:left="720"/>
      <w:contextualSpacing/>
    </w:pPr>
  </w:style>
  <w:style w:type="table" w:customStyle="1" w:styleId="EuropeanCommission">
    <w:name w:val="European Commission"/>
    <w:basedOn w:val="TableNormal"/>
    <w:uiPriority w:val="99"/>
    <w:rsid w:val="00172C27"/>
    <w:rPr>
      <w:sz w:val="18"/>
    </w:rPr>
    <w:tblPr>
      <w:tblStyleRowBandSize w:val="1"/>
      <w:tblBorders>
        <w:top w:val="single" w:sz="4" w:space="0" w:color="C0504D" w:themeColor="accent2"/>
        <w:bottom w:val="single" w:sz="4" w:space="0" w:color="C0504D" w:themeColor="accent2"/>
      </w:tblBorders>
    </w:tblPr>
    <w:tcPr>
      <w:shd w:val="clear" w:color="auto" w:fill="E5DFEC"/>
    </w:tcPr>
    <w:tblStylePr w:type="firstRow">
      <w:rPr>
        <w:rFonts w:ascii="Verdana" w:hAnsi="Verdana"/>
        <w:b/>
        <w:sz w:val="18"/>
      </w:rPr>
      <w:tblPr/>
      <w:tcPr>
        <w:shd w:val="clear" w:color="auto" w:fill="FFFFFF" w:themeFill="background1"/>
      </w:tcPr>
    </w:tblStylePr>
    <w:tblStylePr w:type="firstCol">
      <w:rPr>
        <w:rFonts w:ascii="Verdana" w:hAnsi="Verdana"/>
        <w:b/>
        <w:sz w:val="18"/>
      </w:rPr>
    </w:tblStylePr>
    <w:tblStylePr w:type="band1Horz">
      <w:rPr>
        <w:rFonts w:ascii="Verdana" w:hAnsi="Verdana"/>
        <w:sz w:val="18"/>
      </w:rPr>
      <w:tblPr/>
      <w:tcPr>
        <w:shd w:val="clear" w:color="auto" w:fill="E5DFEC"/>
      </w:tcPr>
    </w:tblStylePr>
    <w:tblStylePr w:type="band2Horz">
      <w:rPr>
        <w:rFonts w:ascii="Verdana" w:hAnsi="Verdana"/>
        <w:sz w:val="18"/>
      </w:rPr>
      <w:tblPr/>
      <w:tcPr>
        <w:shd w:val="clear" w:color="auto" w:fill="F2F2F2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5E64"/>
    <w:rPr>
      <w:color w:val="605E5C"/>
      <w:shd w:val="clear" w:color="auto" w:fill="E1DFDD"/>
    </w:rPr>
  </w:style>
  <w:style w:type="table" w:customStyle="1" w:styleId="EuropeanCommission1">
    <w:name w:val="European Commission1"/>
    <w:basedOn w:val="TableNormal"/>
    <w:uiPriority w:val="99"/>
    <w:rsid w:val="009508BD"/>
    <w:rPr>
      <w:sz w:val="18"/>
    </w:rPr>
    <w:tblPr>
      <w:tblStyleRowBandSize w:val="1"/>
      <w:tblInd w:w="0" w:type="nil"/>
      <w:tblBorders>
        <w:top w:val="single" w:sz="4" w:space="0" w:color="C0504D" w:themeColor="accent2"/>
        <w:bottom w:val="single" w:sz="4" w:space="0" w:color="C0504D" w:themeColor="accent2"/>
      </w:tblBorders>
    </w:tblPr>
    <w:tcPr>
      <w:shd w:val="clear" w:color="auto" w:fill="E5DFEC"/>
    </w:tcPr>
    <w:tblStylePr w:type="firstRow">
      <w:rPr>
        <w:rFonts w:ascii="Verdana" w:hAnsi="Verdana" w:hint="default"/>
        <w:b/>
        <w:sz w:val="18"/>
        <w:szCs w:val="18"/>
      </w:rPr>
      <w:tblPr/>
      <w:tcPr>
        <w:shd w:val="clear" w:color="auto" w:fill="FFFFFF" w:themeFill="background1"/>
      </w:tcPr>
    </w:tblStylePr>
    <w:tblStylePr w:type="firstCol">
      <w:rPr>
        <w:rFonts w:ascii="Verdana" w:hAnsi="Verdana" w:hint="default"/>
        <w:b/>
        <w:sz w:val="18"/>
        <w:szCs w:val="18"/>
      </w:rPr>
    </w:tblStylePr>
    <w:tblStylePr w:type="band1Horz">
      <w:rPr>
        <w:rFonts w:ascii="Verdana" w:hAnsi="Verdana" w:hint="default"/>
        <w:sz w:val="18"/>
        <w:szCs w:val="18"/>
      </w:rPr>
      <w:tblPr/>
      <w:tcPr>
        <w:shd w:val="clear" w:color="auto" w:fill="E5DFEC"/>
      </w:tcPr>
    </w:tblStylePr>
    <w:tblStylePr w:type="band2Horz">
      <w:rPr>
        <w:rFonts w:ascii="Verdana" w:hAnsi="Verdana" w:hint="default"/>
        <w:sz w:val="18"/>
        <w:szCs w:val="18"/>
      </w:rPr>
      <w:tblPr/>
      <w:tcPr>
        <w:shd w:val="clear" w:color="auto" w:fill="F2F2F2"/>
      </w:tcPr>
    </w:tblStylePr>
  </w:style>
  <w:style w:type="table" w:customStyle="1" w:styleId="EuropeanCommission2">
    <w:name w:val="European Commission2"/>
    <w:basedOn w:val="TableNormal"/>
    <w:uiPriority w:val="99"/>
    <w:rsid w:val="009508BD"/>
    <w:rPr>
      <w:sz w:val="18"/>
    </w:rPr>
    <w:tblPr>
      <w:tblStyleRowBandSize w:val="1"/>
      <w:tblInd w:w="0" w:type="nil"/>
      <w:tblBorders>
        <w:top w:val="single" w:sz="4" w:space="0" w:color="C0504D" w:themeColor="accent2"/>
        <w:bottom w:val="single" w:sz="4" w:space="0" w:color="C0504D" w:themeColor="accent2"/>
      </w:tblBorders>
    </w:tblPr>
    <w:tcPr>
      <w:shd w:val="clear" w:color="auto" w:fill="E5DFEC"/>
    </w:tcPr>
    <w:tblStylePr w:type="firstRow">
      <w:rPr>
        <w:rFonts w:ascii="Verdana" w:hAnsi="Verdana" w:hint="default"/>
        <w:b/>
        <w:sz w:val="18"/>
        <w:szCs w:val="18"/>
      </w:rPr>
      <w:tblPr/>
      <w:tcPr>
        <w:shd w:val="clear" w:color="auto" w:fill="FFFFFF" w:themeFill="background1"/>
      </w:tcPr>
    </w:tblStylePr>
    <w:tblStylePr w:type="firstCol">
      <w:rPr>
        <w:rFonts w:ascii="Verdana" w:hAnsi="Verdana" w:hint="default"/>
        <w:b/>
        <w:sz w:val="18"/>
        <w:szCs w:val="18"/>
      </w:rPr>
    </w:tblStylePr>
    <w:tblStylePr w:type="band1Horz">
      <w:rPr>
        <w:rFonts w:ascii="Verdana" w:hAnsi="Verdana" w:hint="default"/>
        <w:sz w:val="18"/>
        <w:szCs w:val="18"/>
      </w:rPr>
      <w:tblPr/>
      <w:tcPr>
        <w:shd w:val="clear" w:color="auto" w:fill="E5DFEC"/>
      </w:tcPr>
    </w:tblStylePr>
    <w:tblStylePr w:type="band2Horz">
      <w:rPr>
        <w:rFonts w:ascii="Verdana" w:hAnsi="Verdana" w:hint="default"/>
        <w:sz w:val="18"/>
        <w:szCs w:val="18"/>
      </w:rPr>
      <w:tblPr/>
      <w:tcPr>
        <w:shd w:val="clear" w:color="auto" w:fill="F2F2F2"/>
      </w:tcPr>
    </w:tblStylePr>
  </w:style>
  <w:style w:type="character" w:customStyle="1" w:styleId="Marker">
    <w:name w:val="Marker"/>
    <w:basedOn w:val="DefaultParagraphFont"/>
    <w:rsid w:val="00093B2E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rsid w:val="00093B2E"/>
    <w:rPr>
      <w:rFonts w:ascii="Times New Roman" w:eastAsiaTheme="minorHAnsi" w:hAnsi="Times New Roman"/>
      <w:color w:val="auto"/>
      <w:sz w:val="24"/>
      <w:szCs w:val="22"/>
      <w:lang w:eastAsia="en-US"/>
    </w:rPr>
  </w:style>
  <w:style w:type="paragraph" w:customStyle="1" w:styleId="FooterCoverPage">
    <w:name w:val="Footer Cover Page"/>
    <w:basedOn w:val="Normal"/>
    <w:link w:val="FooterCoverPageChar"/>
    <w:rsid w:val="00093B2E"/>
    <w:pPr>
      <w:tabs>
        <w:tab w:val="center" w:pos="4535"/>
        <w:tab w:val="right" w:pos="9071"/>
        <w:tab w:val="right" w:pos="9921"/>
      </w:tabs>
      <w:spacing w:before="360"/>
      <w:ind w:left="-850" w:right="-850"/>
      <w:jc w:val="left"/>
    </w:pPr>
    <w:rPr>
      <w:rFonts w:ascii="Times New Roman" w:hAnsi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sid w:val="00093B2E"/>
    <w:rPr>
      <w:rFonts w:ascii="Times New Roman" w:hAnsi="Times New Roman"/>
      <w:sz w:val="24"/>
      <w:szCs w:val="24"/>
    </w:rPr>
  </w:style>
  <w:style w:type="paragraph" w:customStyle="1" w:styleId="FooterSensitivity">
    <w:name w:val="Footer Sensitivity"/>
    <w:basedOn w:val="Normal"/>
    <w:link w:val="FooterSensitivityChar"/>
    <w:rsid w:val="00093B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sid w:val="00093B2E"/>
    <w:rPr>
      <w:rFonts w:ascii="Times New Roman" w:hAnsi="Times New Roman"/>
      <w:b/>
      <w:sz w:val="32"/>
      <w:szCs w:val="24"/>
    </w:rPr>
  </w:style>
  <w:style w:type="paragraph" w:customStyle="1" w:styleId="HeaderCoverPage">
    <w:name w:val="Header Cover Page"/>
    <w:basedOn w:val="Normal"/>
    <w:link w:val="HeaderCoverPageChar"/>
    <w:rsid w:val="00093B2E"/>
    <w:pPr>
      <w:tabs>
        <w:tab w:val="center" w:pos="4535"/>
        <w:tab w:val="right" w:pos="9071"/>
      </w:tabs>
      <w:spacing w:after="120"/>
    </w:pPr>
    <w:rPr>
      <w:rFonts w:ascii="Times New Roman" w:hAnsi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sid w:val="00093B2E"/>
    <w:rPr>
      <w:rFonts w:ascii="Times New Roman" w:hAnsi="Times New Roman"/>
      <w:sz w:val="24"/>
      <w:szCs w:val="24"/>
    </w:rPr>
  </w:style>
  <w:style w:type="paragraph" w:customStyle="1" w:styleId="HeaderSensitivity">
    <w:name w:val="Header Sensitivity"/>
    <w:basedOn w:val="Normal"/>
    <w:link w:val="HeaderSensitivityChar"/>
    <w:rsid w:val="00093B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sid w:val="00093B2E"/>
    <w:rPr>
      <w:rFonts w:ascii="Times New Roman" w:hAnsi="Times New Roman"/>
      <w:b/>
      <w:sz w:val="32"/>
      <w:szCs w:val="24"/>
    </w:rPr>
  </w:style>
  <w:style w:type="paragraph" w:customStyle="1" w:styleId="HeaderSensitivityRight">
    <w:name w:val="Header Sensitivity Right"/>
    <w:basedOn w:val="Normal"/>
    <w:link w:val="HeaderSensitivityRightChar"/>
    <w:rsid w:val="00093B2E"/>
    <w:pPr>
      <w:spacing w:after="120"/>
      <w:jc w:val="right"/>
    </w:pPr>
    <w:rPr>
      <w:rFonts w:ascii="Times New Roman" w:hAnsi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sid w:val="00093B2E"/>
    <w:rPr>
      <w:rFonts w:ascii="Times New Roman" w:hAnsi="Times New Roman"/>
      <w:sz w:val="28"/>
      <w:szCs w:val="24"/>
    </w:rPr>
  </w:style>
  <w:style w:type="paragraph" w:styleId="Revision">
    <w:name w:val="Revision"/>
    <w:hidden/>
    <w:uiPriority w:val="99"/>
    <w:semiHidden/>
    <w:rsid w:val="00941EB7"/>
    <w:rPr>
      <w:szCs w:val="24"/>
    </w:rPr>
  </w:style>
  <w:style w:type="paragraph" w:styleId="Index1">
    <w:name w:val="index 1"/>
    <w:basedOn w:val="Normal"/>
    <w:next w:val="Normal"/>
    <w:autoRedefine/>
    <w:semiHidden/>
    <w:unhideWhenUsed/>
    <w:rsid w:val="00BA4E6E"/>
    <w:pPr>
      <w:ind w:left="200" w:hanging="200"/>
    </w:pPr>
  </w:style>
  <w:style w:type="paragraph" w:styleId="Caption">
    <w:name w:val="caption"/>
    <w:basedOn w:val="Normal"/>
    <w:next w:val="Normal"/>
    <w:unhideWhenUsed/>
    <w:qFormat/>
    <w:rsid w:val="005832D8"/>
    <w:pPr>
      <w:numPr>
        <w:numId w:val="27"/>
      </w:numPr>
      <w:spacing w:after="200"/>
    </w:pPr>
    <w:rPr>
      <w:rFonts w:ascii="Times New Roman" w:hAnsi="Times New Roman"/>
      <w:iCs/>
      <w:color w:val="auto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5.png"/><Relationship Id="rId3" Type="http://schemas.openxmlformats.org/officeDocument/2006/relationships/customXml" Target="../customXml/item2.xml"/><Relationship Id="rId21" Type="http://schemas.openxmlformats.org/officeDocument/2006/relationships/chart" Target="charts/chart3.xm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3.xml"/><Relationship Id="rId25" Type="http://schemas.openxmlformats.org/officeDocument/2006/relationships/image" Target="media/image4.png"/><Relationship Id="rId33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20" Type="http://schemas.openxmlformats.org/officeDocument/2006/relationships/chart" Target="charts/chart2.xml"/><Relationship Id="rId29" Type="http://schemas.openxmlformats.org/officeDocument/2006/relationships/footer" Target="footer4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3.png"/><Relationship Id="rId32" Type="http://schemas.openxmlformats.org/officeDocument/2006/relationships/footer" Target="footer6.xml"/><Relationship Id="rId5" Type="http://schemas.openxmlformats.org/officeDocument/2006/relationships/customXml" Target="../customXml/item4.xml"/><Relationship Id="rId15" Type="http://schemas.openxmlformats.org/officeDocument/2006/relationships/footer" Target="footer1.xml"/><Relationship Id="rId23" Type="http://schemas.openxmlformats.org/officeDocument/2006/relationships/image" Target="media/image2.png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chart" Target="charts/chart1.xml"/><Relationship Id="rId31" Type="http://schemas.openxmlformats.org/officeDocument/2006/relationships/header" Target="header6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chart" Target="charts/chart4.xml"/><Relationship Id="rId27" Type="http://schemas.openxmlformats.org/officeDocument/2006/relationships/header" Target="header4.xml"/><Relationship Id="rId30" Type="http://schemas.openxmlformats.org/officeDocument/2006/relationships/footer" Target="footer5.xml"/></Relationships>
</file>

<file path=word/charts/_rels/chart1.xml.rels><?xml version='1.0' encoding='UTF-8' standalone='yes'?>
<Relationships xmlns="http://schemas.openxmlformats.org/package/2006/relationships"><Relationship Id="rId3" Type="http://schemas.openxmlformats.org/officeDocument/2006/relationships/oleObject" Target="file:///C:\Users\lopeztu\AppData\Local\Temp\1\MicrosoftEdgeDownloads\69bb57d1-82bc-4676-9f79-ab476cddd029\ENV-2022-80086-00-00-MT-SRC-0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'1.0' encoding='UTF-8' standalone='yes'?>
<Relationships xmlns="http://schemas.openxmlformats.org/package/2006/relationships"><Relationship Id="rId3" Type="http://schemas.openxmlformats.org/officeDocument/2006/relationships/oleObject" Target="file:///C:\Users\lopeztu\AppData\Local\Temp\1\MicrosoftEdgeDownloads\69bb57d1-82bc-4676-9f79-ab476cddd029\ENV-2022-80086-00-00-MT-SRC-0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'1.0' encoding='UTF-8' standalone='yes'?>
<Relationships xmlns="http://schemas.openxmlformats.org/package/2006/relationships"><Relationship Id="rId3" Type="http://schemas.openxmlformats.org/officeDocument/2006/relationships/oleObject" Target="file:///\\net1.cec.eu.int\Homes\09\lopeztu\Desktop\ENV-2022-80086-01-00-MT-SRC-0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'1.0' encoding='UTF-8' standalone='yes'?>
<Relationships xmlns="http://schemas.openxmlformats.org/package/2006/relationships"><Relationship Id="rId3" Type="http://schemas.openxmlformats.org/officeDocument/2006/relationships/oleObject" Target="file:///C:\Users\lopeztu\AppData\Local\Temp\1\MicrosoftEdgeDownloads\69bb57d1-82bc-4676-9f79-ab476cddd029\ENV-2022-80086-00-00-MT-SRC-0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480896784453701"/>
          <c:y val="0.14254082999168199"/>
          <c:w val="0.50751263850639305"/>
          <c:h val="0.6755740844930789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B1D-4B3A-AC64-E4E5D6526EC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B1D-4B3A-AC64-E4E5D6526EC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B1D-4B3A-AC64-E4E5D6526EC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B1D-4B3A-AC64-E4E5D6526ECB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B1D-4B3A-AC64-E4E5D6526ECB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DB1D-4B3A-AC64-E4E5D6526ECB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DB1D-4B3A-AC64-E4E5D6526ECB}"/>
              </c:ext>
            </c:extLst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DB1D-4B3A-AC64-E4E5D6526ECB}"/>
              </c:ext>
            </c:extLst>
          </c:dPt>
          <c:dPt>
            <c:idx val="8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DB1D-4B3A-AC64-E4E5D6526ECB}"/>
              </c:ext>
            </c:extLst>
          </c:dPt>
          <c:dPt>
            <c:idx val="9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DB1D-4B3A-AC64-E4E5D6526ECB}"/>
              </c:ext>
            </c:extLst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DB1D-4B3A-AC64-E4E5D6526ECB}"/>
              </c:ext>
            </c:extLst>
          </c:dPt>
          <c:dPt>
            <c:idx val="1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DB1D-4B3A-AC64-E4E5D6526ECB}"/>
              </c:ext>
            </c:extLst>
          </c:dPt>
          <c:dLbls>
            <c:dLbl>
              <c:idx val="0"/>
              <c:layout>
                <c:manualLayout>
                  <c:x val="8.7898051445815306E-2"/>
                  <c:y val="-4.318161125913490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1D-4B3A-AC64-E4E5D6526ECB}"/>
                </c:ext>
              </c:extLst>
            </c:dLbl>
            <c:dLbl>
              <c:idx val="1"/>
              <c:layout>
                <c:manualLayout>
                  <c:x val="1.63778234617225E-2"/>
                  <c:y val="-3.697138041024389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B1D-4B3A-AC64-E4E5D6526ECB}"/>
                </c:ext>
              </c:extLst>
            </c:dLbl>
            <c:dLbl>
              <c:idx val="2"/>
              <c:layout>
                <c:manualLayout>
                  <c:x val="4.0701420943071803E-2"/>
                  <c:y val="-9.963424988008260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B1D-4B3A-AC64-E4E5D6526ECB}"/>
                </c:ext>
              </c:extLst>
            </c:dLbl>
            <c:dLbl>
              <c:idx val="3"/>
              <c:layout>
                <c:manualLayout>
                  <c:x val="9.0539963710594404E-2"/>
                  <c:y val="6.074333105402850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B1D-4B3A-AC64-E4E5D6526ECB}"/>
                </c:ext>
              </c:extLst>
            </c:dLbl>
            <c:dLbl>
              <c:idx val="4"/>
              <c:layout>
                <c:manualLayout>
                  <c:x val="6.9904249255202805E-2"/>
                  <c:y val="0.13833860189516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B1D-4B3A-AC64-E4E5D6526ECB}"/>
                </c:ext>
              </c:extLst>
            </c:dLbl>
            <c:dLbl>
              <c:idx val="5"/>
              <c:layout>
                <c:manualLayout>
                  <c:x val="-3.2355629059444301E-2"/>
                  <c:y val="6.12359087412919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B1D-4B3A-AC64-E4E5D6526ECB}"/>
                </c:ext>
              </c:extLst>
            </c:dLbl>
            <c:dLbl>
              <c:idx val="6"/>
              <c:layout>
                <c:manualLayout>
                  <c:x val="1.74027572539307E-4"/>
                  <c:y val="3.750827632059269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en-US"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6743464835599401"/>
                      <c:h val="0.12482214623774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DB1D-4B3A-AC64-E4E5D6526ECB}"/>
                </c:ext>
              </c:extLst>
            </c:dLbl>
            <c:dLbl>
              <c:idx val="7"/>
              <c:layout>
                <c:manualLayout>
                  <c:x val="-3.91040897316721E-2"/>
                  <c:y val="4.316199076425449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B1D-4B3A-AC64-E4E5D6526ECB}"/>
                </c:ext>
              </c:extLst>
            </c:dLbl>
            <c:dLbl>
              <c:idx val="8"/>
              <c:layout>
                <c:manualLayout>
                  <c:x val="-9.85318645514138E-2"/>
                  <c:y val="5.26063331859501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en-US"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637110016420399"/>
                      <c:h val="8.51803132084999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DB1D-4B3A-AC64-E4E5D6526ECB}"/>
                </c:ext>
              </c:extLst>
            </c:dLbl>
            <c:dLbl>
              <c:idx val="9"/>
              <c:layout>
                <c:manualLayout>
                  <c:x val="-0.132739614444746"/>
                  <c:y val="4.8398941801309301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B1D-4B3A-AC64-E4E5D6526ECB}"/>
                </c:ext>
              </c:extLst>
            </c:dLbl>
            <c:dLbl>
              <c:idx val="10"/>
              <c:layout>
                <c:manualLayout>
                  <c:x val="5.692415572458609E-2"/>
                  <c:y val="2.391768045546587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en-US"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943372391163544"/>
                      <c:h val="0.1714771170357843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5-DB1D-4B3A-AC64-E4E5D6526ECB}"/>
                </c:ext>
              </c:extLst>
            </c:dLbl>
            <c:dLbl>
              <c:idx val="11"/>
              <c:layout>
                <c:manualLayout>
                  <c:x val="0.16458046328834891"/>
                  <c:y val="7.72283770604817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en-US"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295635122428183"/>
                      <c:h val="0.1472542668137415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7-DB1D-4B3A-AC64-E4E5D6526E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DIOX!$K$3:$K$14</c:f>
              <c:strCache>
                <c:ptCount val="12"/>
                <c:pt idx="0">
                  <c:v>Industriji tal-Eneġija + Emissjonijiet li Jaħarbu mill-Fjuwils (N14 1A1, 1B)</c:v>
                </c:pt>
                <c:pt idx="1">
                  <c:v>Kombustjoni fl-Industrija (N14 1A2, 1A4ai, 2G-2L)</c:v>
                </c:pt>
                <c:pt idx="2">
                  <c:v>Trasport (N14 1A3, 1A5b)</c:v>
                </c:pt>
                <c:pt idx="3">
                  <c:v>Residenzjali (N14 1A4bi, 1A4bii)</c:v>
                </c:pt>
                <c:pt idx="4">
                  <c:v>Manifattura ta' minerali (N14 2A)</c:v>
                </c:pt>
                <c:pt idx="5">
                  <c:v>Manifattura ta' sustanzi kimiċi (N14 2B, 3D3)</c:v>
                </c:pt>
                <c:pt idx="6">
                  <c:v>Manifattura ta' metalli (N14 2C)</c:v>
                </c:pt>
                <c:pt idx="7">
                  <c:v>Agrikoltura (N14 1A4c. 3B, 3F, 3I)</c:v>
                </c:pt>
                <c:pt idx="8">
                  <c:v>Inċinerazzjoni ta' Skart (N14 5C)</c:v>
                </c:pt>
                <c:pt idx="9">
                  <c:v>Trattament ta' skart (N14 5A, 5B, 5D)</c:v>
                </c:pt>
                <c:pt idx="10">
                  <c:v>Naturali (N14 11A, 11B, 11C)</c:v>
                </c:pt>
                <c:pt idx="11">
                  <c:v>Oħrajn (N14 1A5a, 1A5c, 5E, 6)</c:v>
                </c:pt>
              </c:strCache>
            </c:strRef>
          </c:cat>
          <c:val>
            <c:numRef>
              <c:f>DIOX!$H$3:$H$14</c:f>
              <c:numCache>
                <c:formatCode>0%</c:formatCode>
                <c:ptCount val="12"/>
                <c:pt idx="0">
                  <c:v>0.27255772420299185</c:v>
                </c:pt>
                <c:pt idx="1">
                  <c:v>0.10105839463885805</c:v>
                </c:pt>
                <c:pt idx="2">
                  <c:v>3.2007600427815176E-2</c:v>
                </c:pt>
                <c:pt idx="3">
                  <c:v>0.23196338977100087</c:v>
                </c:pt>
                <c:pt idx="4">
                  <c:v>7.6676787174303077E-3</c:v>
                </c:pt>
                <c:pt idx="5">
                  <c:v>0</c:v>
                </c:pt>
                <c:pt idx="6">
                  <c:v>8.6017211886219525E-2</c:v>
                </c:pt>
                <c:pt idx="7">
                  <c:v>1.1361373528158813E-2</c:v>
                </c:pt>
                <c:pt idx="8">
                  <c:v>0.19195937017674372</c:v>
                </c:pt>
                <c:pt idx="9" formatCode="0.00%">
                  <c:v>2.1585482103690361E-4</c:v>
                </c:pt>
                <c:pt idx="10">
                  <c:v>4.735919207824602E-3</c:v>
                </c:pt>
                <c:pt idx="11">
                  <c:v>6.0455482621920208E-2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DB1D-4B3A-AC64-E4E5D6526ECB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480896784453701"/>
          <c:y val="0.14254082999168199"/>
          <c:w val="0.50751263850639305"/>
          <c:h val="0.6755740844930789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AC-48A7-8178-6BCF1F1A74E9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AC-48A7-8178-6BCF1F1A74E9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AC-48A7-8178-6BCF1F1A74E9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AC-48A7-8178-6BCF1F1A74E9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9AC-48A7-8178-6BCF1F1A74E9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9AC-48A7-8178-6BCF1F1A74E9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9AC-48A7-8178-6BCF1F1A74E9}"/>
              </c:ext>
            </c:extLst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59AC-48A7-8178-6BCF1F1A74E9}"/>
              </c:ext>
            </c:extLst>
          </c:dPt>
          <c:dPt>
            <c:idx val="8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59AC-48A7-8178-6BCF1F1A74E9}"/>
              </c:ext>
            </c:extLst>
          </c:dPt>
          <c:dPt>
            <c:idx val="9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59AC-48A7-8178-6BCF1F1A74E9}"/>
              </c:ext>
            </c:extLst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59AC-48A7-8178-6BCF1F1A74E9}"/>
              </c:ext>
            </c:extLst>
          </c:dPt>
          <c:dPt>
            <c:idx val="1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59AC-48A7-8178-6BCF1F1A74E9}"/>
              </c:ext>
            </c:extLst>
          </c:dPt>
          <c:dPt>
            <c:idx val="1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59AC-48A7-8178-6BCF1F1A74E9}"/>
              </c:ext>
            </c:extLst>
          </c:dPt>
          <c:dLbls>
            <c:dLbl>
              <c:idx val="0"/>
              <c:layout>
                <c:manualLayout>
                  <c:x val="8.7526214395614296E-2"/>
                  <c:y val="-2.643121613851109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AC-48A7-8178-6BCF1F1A74E9}"/>
                </c:ext>
              </c:extLst>
            </c:dLbl>
            <c:dLbl>
              <c:idx val="1"/>
              <c:layout>
                <c:manualLayout>
                  <c:x val="0.16976970332821245"/>
                  <c:y val="3.862526997433123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AC-48A7-8178-6BCF1F1A74E9}"/>
                </c:ext>
              </c:extLst>
            </c:dLbl>
            <c:dLbl>
              <c:idx val="2"/>
              <c:layout>
                <c:manualLayout>
                  <c:x val="0.12288139373468868"/>
                  <c:y val="0.1017377614777568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AC-48A7-8178-6BCF1F1A74E9}"/>
                </c:ext>
              </c:extLst>
            </c:dLbl>
            <c:dLbl>
              <c:idx val="3"/>
              <c:layout>
                <c:manualLayout>
                  <c:x val="4.0701506465328649E-2"/>
                  <c:y val="3.471502395374345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9AC-48A7-8178-6BCF1F1A74E9}"/>
                </c:ext>
              </c:extLst>
            </c:dLbl>
            <c:dLbl>
              <c:idx val="4"/>
              <c:layout>
                <c:manualLayout>
                  <c:x val="9.0221610229755805E-2"/>
                  <c:y val="-3.5431515781332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9AC-48A7-8178-6BCF1F1A74E9}"/>
                </c:ext>
              </c:extLst>
            </c:dLbl>
            <c:dLbl>
              <c:idx val="5"/>
              <c:layout>
                <c:manualLayout>
                  <c:x val="2.3317171560451499E-2"/>
                  <c:y val="0.10336593031867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9AC-48A7-8178-6BCF1F1A74E9}"/>
                </c:ext>
              </c:extLst>
            </c:dLbl>
            <c:dLbl>
              <c:idx val="6"/>
              <c:layout>
                <c:manualLayout>
                  <c:x val="-3.2827793077589401E-2"/>
                  <c:y val="5.030694887363709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9AC-48A7-8178-6BCF1F1A74E9}"/>
                </c:ext>
              </c:extLst>
            </c:dLbl>
            <c:dLbl>
              <c:idx val="7"/>
              <c:layout>
                <c:manualLayout>
                  <c:x val="-1.9651422882484499E-3"/>
                  <c:y val="4.29727562544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en-US"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99429554064363"/>
                      <c:h val="0.1532374418936459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59AC-48A7-8178-6BCF1F1A74E9}"/>
                </c:ext>
              </c:extLst>
            </c:dLbl>
            <c:dLbl>
              <c:idx val="8"/>
              <c:layout>
                <c:manualLayout>
                  <c:x val="-0.23321735530849264"/>
                  <c:y val="0.1861479138946789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9AC-48A7-8178-6BCF1F1A74E9}"/>
                </c:ext>
              </c:extLst>
            </c:dLbl>
            <c:dLbl>
              <c:idx val="9"/>
              <c:layout>
                <c:manualLayout>
                  <c:x val="-0.26994661442302714"/>
                  <c:y val="7.679797564796979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en-US"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770120849101882"/>
                      <c:h val="0.1330501351285134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59AC-48A7-8178-6BCF1F1A74E9}"/>
                </c:ext>
              </c:extLst>
            </c:dLbl>
            <c:dLbl>
              <c:idx val="10"/>
              <c:layout>
                <c:manualLayout>
                  <c:x val="-0.15950502363275293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lang="en-US"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199AF14-F30C-465D-B98D-67B1BA9DBEFA}" type="CATEGORYNAME">
                      <a:rPr lang="en-US"/>
                      <a:pPr>
                        <a:defRPr b="1"/>
                      </a:pPr>
                      <a:t>[CATEGORY NAME]</a:t>
                    </a:fld>
                    <a:r>
                      <a:rPr lang="en-US"/>
                      <a:t>
</a:t>
                    </a:r>
                    <a:fld id="{59EB2510-9C6C-4471-92BF-5A803F44E48B}" type="VALUE">
                      <a:rPr lang="en-US"/>
                      <a:pPr>
                        <a:defRPr b="1"/>
                      </a:pPr>
                      <a:t>[VALUE]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en-US"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9558319995860474"/>
                      <c:h val="0.1336065030706113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59AC-48A7-8178-6BCF1F1A74E9}"/>
                </c:ext>
              </c:extLst>
            </c:dLbl>
            <c:dLbl>
              <c:idx val="11"/>
              <c:layout>
                <c:manualLayout>
                  <c:x val="1.7941800442857626E-2"/>
                  <c:y val="-1.366990447400393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en-US"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583753084569391"/>
                      <c:h val="0.1271666284432892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7-59AC-48A7-8178-6BCF1F1A74E9}"/>
                </c:ext>
              </c:extLst>
            </c:dLbl>
            <c:dLbl>
              <c:idx val="12"/>
              <c:layout>
                <c:manualLayout>
                  <c:x val="0.13384039826721914"/>
                  <c:y val="-1.477604951349877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en-US"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52052008114893"/>
                      <c:h val="0.1201102136048216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9-59AC-48A7-8178-6BCF1F1A74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'PCB '!$I$2:$I$14</c:f>
              <c:strCache>
                <c:ptCount val="13"/>
                <c:pt idx="0">
                  <c:v>Industriji tal-Enerġija + Emissjonijiet li Jaħarbu mill-Fjuwils (N14 1A1, 1B)</c:v>
                </c:pt>
                <c:pt idx="1">
                  <c:v>Kombustjoni fl-Industrija (N14 1A2, 1A4ai, 2G-2L)</c:v>
                </c:pt>
                <c:pt idx="2">
                  <c:v>Trasport (N14 1A3, 1A5b)</c:v>
                </c:pt>
                <c:pt idx="3">
                  <c:v>Residenzjali (N14 1A4bi, 1A4bii)</c:v>
                </c:pt>
                <c:pt idx="4">
                  <c:v>Manifattura ta' minerali (N14 2A)</c:v>
                </c:pt>
                <c:pt idx="5">
                  <c:v>Manifattura ta' sustanzi kimiċi (N14 2B, 3D3)</c:v>
                </c:pt>
                <c:pt idx="6">
                  <c:v>Manifattura ta' metalli (N14 2C)</c:v>
                </c:pt>
                <c:pt idx="7">
                  <c:v>Konsum ta' POPs metalli tqal eż. tagħmir elettriku (N14 2K)</c:v>
                </c:pt>
                <c:pt idx="8">
                  <c:v>Agrikoltura (N14 1A4c. 3B, 3F, 3I)</c:v>
                </c:pt>
                <c:pt idx="9">
                  <c:v>Inċinerazzjoni ta' Skart (N14 5C)</c:v>
                </c:pt>
                <c:pt idx="10">
                  <c:v>Trattament ta' skart (N14 5A, 5B, 5D)</c:v>
                </c:pt>
                <c:pt idx="11">
                  <c:v>Naturali (N14 11A, 11B, 11C)</c:v>
                </c:pt>
                <c:pt idx="12">
                  <c:v>Oħrajn (N14 1A5a, 1A5c, 5E, 6)</c:v>
                </c:pt>
              </c:strCache>
            </c:strRef>
          </c:cat>
          <c:val>
            <c:numRef>
              <c:f>'PCB '!$H$2:$H$14</c:f>
              <c:numCache>
                <c:formatCode>0%</c:formatCode>
                <c:ptCount val="13"/>
                <c:pt idx="0">
                  <c:v>0.10643220623302986</c:v>
                </c:pt>
                <c:pt idx="1">
                  <c:v>3.1421265988737075E-2</c:v>
                </c:pt>
                <c:pt idx="2">
                  <c:v>1.08145078566644E-2</c:v>
                </c:pt>
                <c:pt idx="3">
                  <c:v>0.14885924776272097</c:v>
                </c:pt>
                <c:pt idx="4" formatCode="0.0%">
                  <c:v>3.1383486801935204E-3</c:v>
                </c:pt>
                <c:pt idx="5">
                  <c:v>0</c:v>
                </c:pt>
                <c:pt idx="6">
                  <c:v>0.12933669264294112</c:v>
                </c:pt>
                <c:pt idx="7">
                  <c:v>0.51718316522631202</c:v>
                </c:pt>
                <c:pt idx="8" formatCode="0.0%">
                  <c:v>3.1432430096828704E-3</c:v>
                </c:pt>
                <c:pt idx="9">
                  <c:v>2.9782421599441538E-2</c:v>
                </c:pt>
                <c:pt idx="10" formatCode="0.00%">
                  <c:v>1.4040466464592999E-4</c:v>
                </c:pt>
                <c:pt idx="11" formatCode="0.000%">
                  <c:v>4.0405547381680249E-5</c:v>
                </c:pt>
                <c:pt idx="12">
                  <c:v>1.9708090788248804E-2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59AC-48A7-8178-6BCF1F1A74E9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F72-4318-869E-E08823E6D4CA}"/>
              </c:ext>
            </c:extLst>
          </c:dPt>
          <c:dPt>
            <c:idx val="1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F72-4318-869E-E08823E6D4CA}"/>
              </c:ext>
            </c:extLst>
          </c:dPt>
          <c:dPt>
            <c:idx val="2"/>
            <c:bubble3D val="0"/>
            <c:spPr>
              <a:solidFill>
                <a:schemeClr val="tx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F72-4318-869E-E08823E6D4CA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F72-4318-869E-E08823E6D4CA}"/>
              </c:ext>
            </c:extLst>
          </c:dPt>
          <c:dPt>
            <c:idx val="4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F72-4318-869E-E08823E6D4CA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F72-4318-869E-E08823E6D4CA}"/>
              </c:ext>
            </c:extLst>
          </c:dPt>
          <c:dPt>
            <c:idx val="6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4F72-4318-869E-E08823E6D4CA}"/>
              </c:ext>
            </c:extLst>
          </c:dPt>
          <c:dPt>
            <c:idx val="7"/>
            <c:bubble3D val="0"/>
            <c:spPr>
              <a:solidFill>
                <a:srgbClr val="FF66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4F72-4318-869E-E08823E6D4CA}"/>
              </c:ext>
            </c:extLst>
          </c:dPt>
          <c:dPt>
            <c:idx val="8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4F72-4318-869E-E08823E6D4CA}"/>
              </c:ext>
            </c:extLst>
          </c:dPt>
          <c:dPt>
            <c:idx val="9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4F72-4318-869E-E08823E6D4CA}"/>
              </c:ext>
            </c:extLst>
          </c:dPt>
          <c:dLbls>
            <c:dLbl>
              <c:idx val="0"/>
              <c:layout>
                <c:manualLayout>
                  <c:x val="7.5103711118367167E-2"/>
                  <c:y val="1.2967746620605231E-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B7CEEFA-A0D6-4C84-8FC7-8BA4E83BA0CD}" type="CATEGORYNAME">
                      <a:rPr lang="en-US" sz="800"/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[CATEGORY NAME]</a:t>
                    </a:fld>
                    <a:r>
                      <a:rPr lang="en-US" baseline="0"/>
                      <a:t>
</a:t>
                    </a:r>
                    <a:fld id="{79A9A3AB-B0A1-4003-931F-3268A18C83CC}" type="PERCENTAGE">
                      <a:rPr lang="en-US" baseline="0"/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065941536369814"/>
                      <c:h val="0.1248682476943346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F72-4318-869E-E08823E6D4CA}"/>
                </c:ext>
              </c:extLst>
            </c:dLbl>
            <c:dLbl>
              <c:idx val="1"/>
              <c:layout>
                <c:manualLayout>
                  <c:x val="0.21898488895550192"/>
                  <c:y val="5.615319577147717E-2"/>
                </c:manualLayout>
              </c:layout>
              <c:tx>
                <c:rich>
                  <a:bodyPr/>
                  <a:lstStyle/>
                  <a:p>
                    <a:fld id="{4E4DED91-D3A1-4F58-8149-ECF97253178E}" type="CATEGORYNAME">
                      <a:rPr lang="en-US" sz="800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2331D2F4-1884-4192-A718-757D7D7DDD24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F72-4318-869E-E08823E6D4CA}"/>
                </c:ext>
              </c:extLst>
            </c:dLbl>
            <c:dLbl>
              <c:idx val="2"/>
              <c:layout>
                <c:manualLayout>
                  <c:x val="8.8587048644752253E-2"/>
                  <c:y val="0.19425814115132842"/>
                </c:manualLayout>
              </c:layout>
              <c:tx>
                <c:rich>
                  <a:bodyPr/>
                  <a:lstStyle/>
                  <a:p>
                    <a:fld id="{796F3BFE-0D6D-490E-95C1-E394F974CCD0}" type="CATEGORYNAME">
                      <a:rPr lang="en-US" sz="800"/>
                      <a:pPr/>
                      <a:t>[CATEGORY NAME]</a:t>
                    </a:fld>
                    <a:r>
                      <a:rPr lang="en-US" sz="800" baseline="0"/>
                      <a:t>
</a:t>
                    </a:r>
                    <a:fld id="{601493F7-96F7-46C8-B931-478248D4CD51}" type="PERCENTAGE">
                      <a:rPr lang="en-US" sz="800" baseline="0"/>
                      <a:pPr/>
                      <a:t>[PERCENTAGE]</a:t>
                    </a:fld>
                    <a:endParaRPr lang="en-US" sz="800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F72-4318-869E-E08823E6D4CA}"/>
                </c:ext>
              </c:extLst>
            </c:dLbl>
            <c:dLbl>
              <c:idx val="3"/>
              <c:layout>
                <c:manualLayout>
                  <c:x val="0.31338493463300093"/>
                  <c:y val="-0.28388446256470917"/>
                </c:manualLayout>
              </c:layout>
              <c:tx>
                <c:rich>
                  <a:bodyPr/>
                  <a:lstStyle/>
                  <a:p>
                    <a:fld id="{FF9272F0-BB32-48FC-BA7E-26A96C87DCE4}" type="CATEGORYNAME">
                      <a:rPr lang="en-US" sz="800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FD65E04E-F469-4AA3-93A4-F3BF4FF6EF5C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F72-4318-869E-E08823E6D4CA}"/>
                </c:ext>
              </c:extLst>
            </c:dLbl>
            <c:dLbl>
              <c:idx val="4"/>
              <c:layout>
                <c:manualLayout>
                  <c:x val="-0.11165180730361461"/>
                  <c:y val="8.230693017677426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30C60A1-0351-4014-B99A-306A2AFECAC9}" type="CATEGORYNAME">
                      <a:rPr lang="en-US" sz="800"/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[CATEGORY NAME]</a:t>
                    </a:fld>
                    <a:r>
                      <a:rPr lang="en-US" sz="800" baseline="0"/>
                      <a:t>
</a:t>
                    </a:r>
                    <a:fld id="{6F984532-D0D4-4E91-854B-564E5F270538}" type="PERCENTAGE">
                      <a:rPr lang="en-US" sz="800" baseline="0"/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en-US" sz="8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134891603116538"/>
                      <c:h val="0.1327912653302443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F72-4318-869E-E08823E6D4CA}"/>
                </c:ext>
              </c:extLst>
            </c:dLbl>
            <c:dLbl>
              <c:idx val="5"/>
              <c:layout>
                <c:manualLayout>
                  <c:x val="-9.8754624175915018E-2"/>
                  <c:y val="0.26548345364114251"/>
                </c:manualLayout>
              </c:layout>
              <c:tx>
                <c:rich>
                  <a:bodyPr/>
                  <a:lstStyle/>
                  <a:p>
                    <a:fld id="{59C80A11-7EC7-4C64-8C86-7A3C6249B414}" type="CATEGORYNAME">
                      <a:rPr lang="en-US" sz="800"/>
                      <a:pPr/>
                      <a:t>[CATEGORY NAME]</a:t>
                    </a:fld>
                    <a:r>
                      <a:rPr lang="en-US" sz="800" baseline="0"/>
                      <a:t>
</a:t>
                    </a:r>
                    <a:fld id="{AB2D072F-0F57-4673-B4D3-4D310B8A65EC}" type="PERCENTAGE">
                      <a:rPr lang="en-US" sz="800" baseline="0"/>
                      <a:pPr/>
                      <a:t>[PERCENTAGE]</a:t>
                    </a:fld>
                    <a:endParaRPr lang="en-US" sz="800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4F72-4318-869E-E08823E6D4CA}"/>
                </c:ext>
              </c:extLst>
            </c:dLbl>
            <c:dLbl>
              <c:idx val="6"/>
              <c:layout>
                <c:manualLayout>
                  <c:x val="-0.18599557732448799"/>
                  <c:y val="6.0464296267602313E-3"/>
                </c:manualLayout>
              </c:layout>
              <c:tx>
                <c:rich>
                  <a:bodyPr/>
                  <a:lstStyle/>
                  <a:p>
                    <a:fld id="{59B697DC-6559-420C-8171-9A1F42C78E44}" type="CATEGORYNAME">
                      <a:rPr lang="en-US" sz="800"/>
                      <a:pPr/>
                      <a:t>[CATEGORY NAME]</a:t>
                    </a:fld>
                    <a:r>
                      <a:rPr lang="en-US" sz="800" baseline="0"/>
                      <a:t>
</a:t>
                    </a:r>
                    <a:fld id="{D3A40741-6C45-46CF-984C-165EBEF04ECC}" type="PERCENTAGE">
                      <a:rPr lang="en-US" sz="800" baseline="0"/>
                      <a:pPr/>
                      <a:t>[PERCENTAGE]</a:t>
                    </a:fld>
                    <a:endParaRPr lang="en-US" sz="800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4F72-4318-869E-E08823E6D4CA}"/>
                </c:ext>
              </c:extLst>
            </c:dLbl>
            <c:dLbl>
              <c:idx val="7"/>
              <c:layout>
                <c:manualLayout>
                  <c:x val="-9.4962944592555845E-2"/>
                  <c:y val="-5.390522376755885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5A8292F-7407-4C3C-BC54-4FEDF0450876}" type="CATEGORYNAME">
                      <a:rPr lang="en-US" sz="800"/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[CATEGORY NAME]</a:t>
                    </a:fld>
                    <a:r>
                      <a:rPr lang="en-US" sz="800" baseline="0"/>
                      <a:t>
</a:t>
                    </a:r>
                    <a:fld id="{2C653C33-7248-4D5D-95D3-D54DF2F35979}" type="PERCENTAGE">
                      <a:rPr lang="en-US" sz="800" baseline="0"/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en-US" sz="8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569689410849473"/>
                      <c:h val="7.565876152832673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4F72-4318-869E-E08823E6D4CA}"/>
                </c:ext>
              </c:extLst>
            </c:dLbl>
            <c:dLbl>
              <c:idx val="8"/>
              <c:layout>
                <c:manualLayout>
                  <c:x val="3.7315304995441133E-2"/>
                  <c:y val="-3.8200387994978889E-3"/>
                </c:manualLayout>
              </c:layout>
              <c:tx>
                <c:rich>
                  <a:bodyPr/>
                  <a:lstStyle/>
                  <a:p>
                    <a:fld id="{1B0D3BA1-4A16-461B-8477-4FFB58524104}" type="CATEGORYNAME">
                      <a:rPr lang="en-US" sz="800"/>
                      <a:pPr/>
                      <a:t>[CATEGORY NAME]</a:t>
                    </a:fld>
                    <a:r>
                      <a:rPr lang="en-US" sz="800" baseline="0"/>
                      <a:t>
</a:t>
                    </a:r>
                    <a:fld id="{5B81F451-1FF3-4D9F-9E9E-28226F630C46}" type="PERCENTAGE">
                      <a:rPr lang="en-US" sz="800" baseline="0"/>
                      <a:pPr/>
                      <a:t>[PERCENTAGE]</a:t>
                    </a:fld>
                    <a:endParaRPr lang="en-US" sz="800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4F72-4318-869E-E08823E6D4CA}"/>
                </c:ext>
              </c:extLst>
            </c:dLbl>
            <c:dLbl>
              <c:idx val="9"/>
              <c:layout>
                <c:manualLayout>
                  <c:x val="6.0985170871316136E-2"/>
                  <c:y val="-4.3073667175002337E-3"/>
                </c:manualLayout>
              </c:layout>
              <c:tx>
                <c:rich>
                  <a:bodyPr/>
                  <a:lstStyle/>
                  <a:p>
                    <a:fld id="{B12AA314-BB4A-4A21-9680-D7C6170A1641}" type="CATEGORYNAME">
                      <a:rPr lang="en-US" sz="800"/>
                      <a:pPr/>
                      <a:t>[CATEGORY NAME]</a:t>
                    </a:fld>
                    <a:r>
                      <a:rPr lang="en-US" sz="800" baseline="0"/>
                      <a:t>
</a:t>
                    </a:r>
                    <a:fld id="{16759982-F4C4-479B-AC78-886E8DCAE0DC}" type="PERCENTAGE">
                      <a:rPr lang="en-US" sz="800" baseline="0"/>
                      <a:pPr/>
                      <a:t>[PERCENTAGE]</a:t>
                    </a:fld>
                    <a:endParaRPr lang="en-US" sz="800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4F72-4318-869E-E08823E6D4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'2013-2015'!$B$27:$B$36</c:f>
              <c:strCache>
                <c:ptCount val="10"/>
                <c:pt idx="0">
                  <c:v>Produzzjoni ta' Ħadid u azzar (kombustjoni ta' fjuwils fossili + emissjonijiet ta' proċess)</c:v>
                </c:pt>
                <c:pt idx="1">
                  <c:v>Trasport bit-triq</c:v>
                </c:pt>
                <c:pt idx="2">
                  <c:v>Kombustjoni stazzjonarja tas-sħana u tal-elettriku: Bini kummerċjali/industrijali</c:v>
                </c:pt>
                <c:pt idx="3">
                  <c:v>Kombustjoni stazzjonarja tas-sħana u tal-elettriku:  Residenzjali</c:v>
                </c:pt>
                <c:pt idx="4">
                  <c:v>Kombustjoni stazzjonarja tas-sħana u tal-elettriku: Agrikoltura</c:v>
                </c:pt>
                <c:pt idx="5">
                  <c:v>Emissjoni li taħrab mit-trasformazzjoni ta' fjuwil solidu (raffineriji ta' petroleum)</c:v>
                </c:pt>
                <c:pt idx="6">
                  <c:v>Produzzjoni ta' metalli mhux ferrużi</c:v>
                </c:pt>
                <c:pt idx="7">
                  <c:v>Ħruq miftuħ ta' skart</c:v>
                </c:pt>
                <c:pt idx="8">
                  <c:v>Nirien naturali (inklużi Nirien fil-foresti)</c:v>
                </c:pt>
                <c:pt idx="9">
                  <c:v>Oħrajn </c:v>
                </c:pt>
              </c:strCache>
            </c:strRef>
          </c:cat>
          <c:val>
            <c:numRef>
              <c:f>'2013-2015'!$C$27:$C$36</c:f>
              <c:numCache>
                <c:formatCode>0.0</c:formatCode>
                <c:ptCount val="10"/>
                <c:pt idx="0">
                  <c:v>179.32530160000002</c:v>
                </c:pt>
                <c:pt idx="1">
                  <c:v>29.01249</c:v>
                </c:pt>
                <c:pt idx="2">
                  <c:v>53.862874000000005</c:v>
                </c:pt>
                <c:pt idx="3">
                  <c:v>1979.3089140000002</c:v>
                </c:pt>
                <c:pt idx="4">
                  <c:v>55.325980319999999</c:v>
                </c:pt>
                <c:pt idx="5">
                  <c:v>44.717698599999999</c:v>
                </c:pt>
                <c:pt idx="6">
                  <c:v>26.193260000000002</c:v>
                </c:pt>
                <c:pt idx="7">
                  <c:v>24.197921000000001</c:v>
                </c:pt>
                <c:pt idx="8">
                  <c:v>75.923733999999996</c:v>
                </c:pt>
                <c:pt idx="9">
                  <c:v>111.96336797432942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4F72-4318-869E-E08823E6D4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480896784453701"/>
          <c:y val="0.14254082999168199"/>
          <c:w val="0.50751263850639305"/>
          <c:h val="0.67557408449307899"/>
        </c:manualLayout>
      </c:layout>
      <c:pieChart>
        <c:varyColors val="1"/>
        <c:ser>
          <c:idx val="0"/>
          <c:order val="0"/>
          <c:tx>
            <c:strRef>
              <c:f>HCB!$H$2:$H$13</c:f>
              <c:strCache>
                <c:ptCount val="12"/>
                <c:pt idx="0">
                  <c:v>12%</c:v>
                </c:pt>
                <c:pt idx="1">
                  <c:v>25%</c:v>
                </c:pt>
                <c:pt idx="2">
                  <c:v>1%</c:v>
                </c:pt>
                <c:pt idx="3">
                  <c:v>18%</c:v>
                </c:pt>
                <c:pt idx="4">
                  <c:v>1%</c:v>
                </c:pt>
                <c:pt idx="5">
                  <c:v>4%</c:v>
                </c:pt>
                <c:pt idx="6">
                  <c:v>33%</c:v>
                </c:pt>
                <c:pt idx="7">
                  <c:v>1%</c:v>
                </c:pt>
                <c:pt idx="8">
                  <c:v>6%</c:v>
                </c:pt>
                <c:pt idx="9">
                  <c:v>0%</c:v>
                </c:pt>
                <c:pt idx="10">
                  <c:v>0,006%</c:v>
                </c:pt>
                <c:pt idx="11">
                  <c:v>0,00%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207-4899-B23A-B3BA3BFBCD25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207-4899-B23A-B3BA3BFBCD25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207-4899-B23A-B3BA3BFBCD25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207-4899-B23A-B3BA3BFBCD25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207-4899-B23A-B3BA3BFBCD25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207-4899-B23A-B3BA3BFBCD25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207-4899-B23A-B3BA3BFBCD25}"/>
              </c:ext>
            </c:extLst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207-4899-B23A-B3BA3BFBCD25}"/>
              </c:ext>
            </c:extLst>
          </c:dPt>
          <c:dPt>
            <c:idx val="8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207-4899-B23A-B3BA3BFBCD25}"/>
              </c:ext>
            </c:extLst>
          </c:dPt>
          <c:dPt>
            <c:idx val="9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207-4899-B23A-B3BA3BFBCD25}"/>
              </c:ext>
            </c:extLst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6207-4899-B23A-B3BA3BFBCD25}"/>
              </c:ext>
            </c:extLst>
          </c:dPt>
          <c:dPt>
            <c:idx val="1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207-4899-B23A-B3BA3BFBCD25}"/>
              </c:ext>
            </c:extLst>
          </c:dPt>
          <c:dLbls>
            <c:dLbl>
              <c:idx val="0"/>
              <c:layout>
                <c:manualLayout>
                  <c:x val="0.22521629901632775"/>
                  <c:y val="0.1062272128435307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07-4899-B23A-B3BA3BFBCD25}"/>
                </c:ext>
              </c:extLst>
            </c:dLbl>
            <c:dLbl>
              <c:idx val="1"/>
              <c:layout>
                <c:manualLayout>
                  <c:x val="9.0803477913323383E-2"/>
                  <c:y val="-5.88368209810349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959776579651699"/>
                      <c:h val="0.1463824884673660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207-4899-B23A-B3BA3BFBCD25}"/>
                </c:ext>
              </c:extLst>
            </c:dLbl>
            <c:dLbl>
              <c:idx val="2"/>
              <c:layout>
                <c:manualLayout>
                  <c:x val="0.22491641131065501"/>
                  <c:y val="5.517489691925529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207-4899-B23A-B3BA3BFBCD25}"/>
                </c:ext>
              </c:extLst>
            </c:dLbl>
            <c:dLbl>
              <c:idx val="3"/>
              <c:layout>
                <c:manualLayout>
                  <c:x val="8.3674576367960801E-2"/>
                  <c:y val="4.119968953297180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8285826950081272"/>
                      <c:h val="0.1317404025858635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6207-4899-B23A-B3BA3BFBCD25}"/>
                </c:ext>
              </c:extLst>
            </c:dLbl>
            <c:dLbl>
              <c:idx val="4"/>
              <c:layout>
                <c:manualLayout>
                  <c:x val="5.0986305425575872E-3"/>
                  <c:y val="8.076307678877761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9339121528911538"/>
                      <c:h val="0.1295913886250600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6207-4899-B23A-B3BA3BFBCD25}"/>
                </c:ext>
              </c:extLst>
            </c:dLbl>
            <c:dLbl>
              <c:idx val="5"/>
              <c:layout>
                <c:manualLayout>
                  <c:x val="-0.10407296980467516"/>
                  <c:y val="-6.611364727269013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207-4899-B23A-B3BA3BFBCD25}"/>
                </c:ext>
              </c:extLst>
            </c:dLbl>
            <c:dLbl>
              <c:idx val="6"/>
              <c:layout>
                <c:manualLayout>
                  <c:x val="-4.1037967417039758E-2"/>
                  <c:y val="6.746801716325934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455659816826089"/>
                      <c:h val="0.1719614571524862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6207-4899-B23A-B3BA3BFBCD25}"/>
                </c:ext>
              </c:extLst>
            </c:dLbl>
            <c:dLbl>
              <c:idx val="7"/>
              <c:layout>
                <c:manualLayout>
                  <c:x val="-0.21378488039097085"/>
                  <c:y val="0.1663561996384693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181041696776343"/>
                      <c:h val="0.1734601754547218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6207-4899-B23A-B3BA3BFBCD25}"/>
                </c:ext>
              </c:extLst>
            </c:dLbl>
            <c:dLbl>
              <c:idx val="8"/>
              <c:layout>
                <c:manualLayout>
                  <c:x val="-0.26436129117442919"/>
                  <c:y val="1.945525291828793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7703635108153964"/>
                      <c:h val="0.1381177425778976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6207-4899-B23A-B3BA3BFBCD25}"/>
                </c:ext>
              </c:extLst>
            </c:dLbl>
            <c:dLbl>
              <c:idx val="9"/>
              <c:layout>
                <c:manualLayout>
                  <c:x val="-0.13780954980899313"/>
                  <c:y val="-8.0366534922434313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722546663312226"/>
                      <c:h val="0.1209927795990481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6207-4899-B23A-B3BA3BFBCD25}"/>
                </c:ext>
              </c:extLst>
            </c:dLbl>
            <c:dLbl>
              <c:idx val="10"/>
              <c:layout>
                <c:manualLayout>
                  <c:x val="0.30240110196966374"/>
                  <c:y val="-1.244370231931125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207-4899-B23A-B3BA3BFBCD25}"/>
                </c:ext>
              </c:extLst>
            </c:dLbl>
            <c:dLbl>
              <c:idx val="11"/>
              <c:layout>
                <c:manualLayout>
                  <c:x val="6.163696737092092E-2"/>
                  <c:y val="-8.2534187117660873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68072141900004"/>
                      <c:h val="0.1207760143795255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7-6207-4899-B23A-B3BA3BFBCD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HCB!$I$2:$I$13</c:f>
              <c:strCache>
                <c:ptCount val="12"/>
                <c:pt idx="0">
                  <c:v>Industriji tal-Enerġija + Emissjonijiet li Jaħarbu mill-Fjuwils (N14 1A1, 1B)</c:v>
                </c:pt>
                <c:pt idx="1">
                  <c:v>Kombustjoni fl-Industrija (N14 1A2, 1A4ai, 2G-2L)</c:v>
                </c:pt>
                <c:pt idx="2">
                  <c:v>Trasport (N14 1A3, 1A5b)</c:v>
                </c:pt>
                <c:pt idx="3">
                  <c:v>Residenzjali (N14 1A4bi, 1A4bii)</c:v>
                </c:pt>
                <c:pt idx="4">
                  <c:v>Manifattura ta' minerali (N14 2A)</c:v>
                </c:pt>
                <c:pt idx="5">
                  <c:v>Manifattura ta' sustanzi kimiċi (N14 2B, 3D3)</c:v>
                </c:pt>
                <c:pt idx="6">
                  <c:v>Manifattura ta' metalli (N14 2C)</c:v>
                </c:pt>
                <c:pt idx="7">
                  <c:v>Agrikoltura (N14 1A4c. 3B, 3F, 3I)</c:v>
                </c:pt>
                <c:pt idx="8">
                  <c:v>Inċinerazzjoni ta' Skart (N14 5C)</c:v>
                </c:pt>
                <c:pt idx="9">
                  <c:v>Trattament ta' skart (N14 5A, 5B, 5D)</c:v>
                </c:pt>
                <c:pt idx="10">
                  <c:v>Naturali (N14 11A, 11B, 11C)</c:v>
                </c:pt>
                <c:pt idx="11">
                  <c:v>Oħrajn (N14 1A5a, 1A5c, 5E, 6)</c:v>
                </c:pt>
              </c:strCache>
            </c:strRef>
          </c:cat>
          <c:val>
            <c:numRef>
              <c:f>HCB!$H$2:$H$13</c:f>
              <c:numCache>
                <c:formatCode>0%</c:formatCode>
                <c:ptCount val="12"/>
                <c:pt idx="0">
                  <c:v>0.11921083922406059</c:v>
                </c:pt>
                <c:pt idx="1">
                  <c:v>0.24846511042359382</c:v>
                </c:pt>
                <c:pt idx="2">
                  <c:v>1.244286238311642E-2</c:v>
                </c:pt>
                <c:pt idx="3">
                  <c:v>0.17993200928079417</c:v>
                </c:pt>
                <c:pt idx="4">
                  <c:v>6.3972980312380764E-3</c:v>
                </c:pt>
                <c:pt idx="5">
                  <c:v>3.7525581196328692E-2</c:v>
                </c:pt>
                <c:pt idx="6">
                  <c:v>0.32692183625946142</c:v>
                </c:pt>
                <c:pt idx="7">
                  <c:v>9.3488527896436191E-3</c:v>
                </c:pt>
                <c:pt idx="8">
                  <c:v>5.9652758793729187E-2</c:v>
                </c:pt>
                <c:pt idx="9">
                  <c:v>0</c:v>
                </c:pt>
                <c:pt idx="10" formatCode="0.000%">
                  <c:v>6.3051112037191824E-5</c:v>
                </c:pt>
                <c:pt idx="11" formatCode="0.00%">
                  <c:v>3.9800505996767359E-5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6207-4899-B23A-B3BA3BFBCD25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 b="1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C34BEBC28A9840B9D23A71B838C372" ma:contentTypeVersion="0" ma:contentTypeDescription="Create a new document." ma:contentTypeScope="" ma:versionID="84f83ac8781b75304bde79074970002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A6A3F-BDFB-4A95-975C-A69293A491EE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AFC510E-3846-4009-8B4D-C1A2C3C410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A855C7-4534-4CE0-9CD0-1BCF76F59D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1C1F3F7-A694-4991-92E8-4DEEDFA1F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18</Pages>
  <Words>4147</Words>
  <Characters>28622</Characters>
  <Application>Microsoft Office Word</Application>
  <DocSecurity>0</DocSecurity>
  <Lines>561</Lines>
  <Paragraphs>266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32503</CharactersWithSpaces>
  <SharedDoc>false</SharedDoc>
  <HLinks>
    <vt:vector size="66" baseType="variant">
      <vt:variant>
        <vt:i4>1769528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_Headings_and_subheadings</vt:lpwstr>
      </vt:variant>
      <vt:variant>
        <vt:i4>1900602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_Toc271882178</vt:lpwstr>
      </vt:variant>
      <vt:variant>
        <vt:i4>1900602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_Toc271882177</vt:lpwstr>
      </vt:variant>
      <vt:variant>
        <vt:i4>1900602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_Toc271882176</vt:lpwstr>
      </vt:variant>
      <vt:variant>
        <vt:i4>1900602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_Toc271882175</vt:lpwstr>
      </vt:variant>
      <vt:variant>
        <vt:i4>1900602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_Toc271882174</vt:lpwstr>
      </vt:variant>
      <vt:variant>
        <vt:i4>1900602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_Toc271882173</vt:lpwstr>
      </vt:variant>
      <vt:variant>
        <vt:i4>1900602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_Toc271882172</vt:lpwstr>
      </vt:variant>
      <vt:variant>
        <vt:i4>1900602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_Toc271882171</vt:lpwstr>
      </vt:variant>
      <vt:variant>
        <vt:i4>1900602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_Toc271882170</vt:lpwstr>
      </vt:variant>
      <vt:variant>
        <vt:i4>1835066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_Toc271882169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40</cp:revision>
  <cp:lastPrinted>2022-03-01T16:58:00Z</cp:lastPrinted>
  <dcterms:created xsi:type="dcterms:W3CDTF">2022-08-04T14:16:00Z</dcterms:created>
  <dcterms:modified xsi:type="dcterms:W3CDTF">2022-09-07T09:33:00Z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Part">
    <vt:lpwstr>1</vt:lpwstr>
  </property>
  <property fmtid="{D5CDD505-2E9C-101B-9397-08002B2CF9AE}" pid="4" name="Total parts">
    <vt:lpwstr>1</vt:lpwstr>
  </property>
  <property fmtid="{D5CDD505-2E9C-101B-9397-08002B2CF9AE}" pid="5" name="DocStatus">
    <vt:lpwstr>Green</vt:lpwstr>
  </property>
  <property fmtid="{D5CDD505-2E9C-101B-9397-08002B2CF9AE}" pid="6" name="CPTemplateID">
    <vt:lpwstr>CP-008</vt:lpwstr>
  </property>
  <property fmtid="{D5CDD505-2E9C-101B-9397-08002B2CF9AE}" pid="7" name="Last edited using">
    <vt:lpwstr>LW 8.0.1, Build 20220429</vt:lpwstr>
  </property>
  <property fmtid="{D5CDD505-2E9C-101B-9397-08002B2CF9AE}" pid="8" name="Created using">
    <vt:lpwstr>LW 7.0, Build 20190717</vt:lpwstr>
  </property>
  <property name="OP_sanitized" fmtid="{D5CDD505-2E9C-101B-9397-08002B2CF9AE}" pid="9">
    <vt:lpwstr>True</vt:lpwstr>
  </property>
</Properties>
</file>