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2AE2E4C-92D2-4325-B35E-7550E93EEF6B" style="width:456pt;height:559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26"/>
        </w:sectPr>
      </w:pPr>
    </w:p>
    <w:p>
      <w:pPr>
        <w:pBdr>
          <w:top w:val="single" w:sz="4" w:space="1" w:color="auto"/>
          <w:left w:val="single" w:sz="4" w:space="4" w:color="auto"/>
          <w:bottom w:val="single" w:sz="4" w:space="17" w:color="auto"/>
          <w:right w:val="single" w:sz="4" w:space="4" w:color="auto"/>
        </w:pBdr>
        <w:rPr>
          <w:rFonts w:eastAsia="Times New Roman" w:cs="Times New Roman"/>
          <w:b/>
          <w:smallCaps/>
          <w:noProof/>
          <w:sz w:val="22"/>
          <w:szCs w:val="24"/>
          <w:u w:val="single"/>
        </w:rPr>
      </w:pPr>
      <w:bookmarkStart w:id="1" w:name="_GoBack"/>
      <w:bookmarkEnd w:id="1"/>
      <w:r>
        <w:rPr>
          <w:b/>
          <w:smallCaps/>
          <w:noProof/>
          <w:szCs w:val="24"/>
          <w:u w:val="single"/>
        </w:rPr>
        <w:lastRenderedPageBreak/>
        <w:t>Astratt</w:t>
      </w:r>
    </w:p>
    <w:p>
      <w:pPr>
        <w:pBdr>
          <w:top w:val="single" w:sz="4" w:space="1" w:color="auto"/>
          <w:left w:val="single" w:sz="4" w:space="4" w:color="auto"/>
          <w:bottom w:val="single" w:sz="4" w:space="17" w:color="auto"/>
          <w:right w:val="single" w:sz="4" w:space="4" w:color="auto"/>
        </w:pBdr>
        <w:spacing w:after="0"/>
        <w:rPr>
          <w:noProof/>
        </w:rPr>
      </w:pPr>
      <w:r>
        <w:rPr>
          <w:noProof/>
        </w:rPr>
        <w:t xml:space="preserve">Is-sistema ġudizzjarja Taljana għadha għaddejja minn għadd ta’ riformi mmirati lejn it-titjib tal-kwalità u l-effiċjenza tagħha, inklużi abbozzi ta’ liġijiet li jissimplifikaw il-proċeduri ċivili u kriminali, li għadhom qed jiġu diskussi mill-Parlament. Id-diġitalizzazzjoni tas-sistema ġudizzjarja għadha qed tiġi żviluppata u r-riżorsi umani żdiedu bi pjanijiet biex dawn jiġu estiżi aktar. Dawn il-miżuri huma partikolarment importanti biex jiġu indirizzati l-isfidi serji relatati mal-effiċjenza tas-sistema ġudizzjarja, inkluż ix-xogħol b’lura u t-tul tal-proċedimenti. L-abbozz ta’ liġi rigward il-Kunsill Għoli għall-Ġudikatura u aspetti oħra tas-sistema ġudizzjarja, bil-għan li tissaħħaħ l-indipendenza ġudizzjarja, għadu qed jiġi diskuss fil-Parlament. Dan l-abbozz ta’ liġi għandu l-għan b’mod partikolari li jimmodifika l-mod li bih jiġu eletti l-membri tal-Kunsill. Huwa importanti li dawn ir-riformi jqisu r-rakkomandazzjonijiet tal-Kunsill tal-Ewropa. </w:t>
      </w: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lang w:eastAsia="en-GB"/>
        </w:rPr>
      </w:pP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rPr>
      </w:pPr>
      <w:r>
        <w:rPr>
          <w:noProof/>
        </w:rPr>
        <w:t>L-Italja qed tkompli ssaħħaħ il-qafas leġiżlattiv tagħha biex tiġġieled il-korruzzjoni u reati relatati mal-korruzzjoni. Il-kooperazzjoni, l-ispeċjalizzazzjoni u r-riżorsi għall-investigaturi u l-prosekuturi tal-korruzzjoni u delitti relatati mal-korruzzjoni huma ġeneralment meqjusa biżżejjed biex irażżnu l-korruzzjoni, inkluża l-korruzzjoni f’livell għoli. Nuqqas ta’ riżorsi u esperjenza limitata u għarfien espert legali jaffettwaw il-kapaċità tal-awtoritajiet tal-infurzar tal-liġi li jsegwu u jħarrku b’mod effettiv it-tixħim barrani. Il-ħin eċċessiv għat-tlestija, b’mod partikolari fil-livell tal-appell, għadu jikkostitwixxi ostaklu għall-ġlieda kontra l-korruzzjoni, u riformi komprensivi biex jiġu ssimplifikati l-proċeduri kriminali għadhom pendenti fil-Parlament. Diversi proposti leġiżlattivi u emendi biex jissaħħu l-miżuri preventivi kontra l-korruzzjoni għadhom pendenti, inkluż dwar il-kunflitti ta’ interess, il-lobbying u l-“bibien iduru”. Il-pandemija tal-COVID-19 żiedet b’mod sinifikanti r-riskju ta’ korruzzjoni u reati relatati mal-korruzzjoni li qed jitwettqu biex ikomplu jinfiltraw l-ekonomija legali tal-Italja.</w:t>
      </w:r>
    </w:p>
    <w:p>
      <w:pPr>
        <w:pBdr>
          <w:top w:val="single" w:sz="4" w:space="1" w:color="auto"/>
          <w:left w:val="single" w:sz="4" w:space="4" w:color="auto"/>
          <w:bottom w:val="single" w:sz="4" w:space="17" w:color="auto"/>
          <w:right w:val="single" w:sz="4" w:space="4" w:color="auto"/>
        </w:pBdr>
        <w:spacing w:after="0"/>
        <w:rPr>
          <w:rFonts w:eastAsia="Times New Roman" w:cs="Times New Roman"/>
          <w:noProof/>
          <w:szCs w:val="20"/>
          <w:lang w:eastAsia="en-GB"/>
        </w:rPr>
      </w:pPr>
    </w:p>
    <w:p>
      <w:pPr>
        <w:pBdr>
          <w:top w:val="single" w:sz="4" w:space="1" w:color="auto"/>
          <w:left w:val="single" w:sz="4" w:space="4" w:color="auto"/>
          <w:bottom w:val="single" w:sz="4" w:space="17" w:color="auto"/>
          <w:right w:val="single" w:sz="4" w:space="4" w:color="auto"/>
        </w:pBdr>
        <w:rPr>
          <w:rFonts w:eastAsia="Times New Roman" w:cs="Times New Roman"/>
          <w:noProof/>
        </w:rPr>
      </w:pPr>
      <w:r>
        <w:rPr>
          <w:noProof/>
        </w:rPr>
        <w:t>L-Italja għandha qafas leġiżlattiv robust li jirregola s-settur tal-media kif ukoll regolatur tal-media indipendenti, mgħammar tajjeb u effettiv. Ir-riforma skedata tal-Italja tal-liġijiet tagħha dwar il-malafama għadha pendenti fil-Parlament u l-indipendenza politika tal-media Taljana għadha kwistjoni ta’ tħassib b’mod partikolari fis-settur awdjoviżiv. Il-pakketti ta’ salvataġġ ipprovduti fl-2020 mill-Gvern biex jikkontrobattu l-impatt finanzjarju tal-pandemija tal-COVID-19 kienu jinkludu xi miżuri speċifiċi għall-media. Għadd kbir ta’ attakki fiżiċi u theddid ta’ mewt kif ukoll forom oħra ta’ intimidazzjoni kontra l-ġurnalisti għadhom kwistjoni ta’ tħassib.</w:t>
      </w:r>
    </w:p>
    <w:p>
      <w:pPr>
        <w:pBdr>
          <w:top w:val="single" w:sz="4" w:space="1" w:color="auto"/>
          <w:left w:val="single" w:sz="4" w:space="4" w:color="auto"/>
          <w:bottom w:val="single" w:sz="4" w:space="17" w:color="auto"/>
          <w:right w:val="single" w:sz="4" w:space="4" w:color="auto"/>
        </w:pBdr>
        <w:rPr>
          <w:rFonts w:eastAsia="Times New Roman" w:cs="Times New Roman"/>
          <w:noProof/>
          <w:szCs w:val="20"/>
        </w:rPr>
      </w:pPr>
      <w:r>
        <w:rPr>
          <w:noProof/>
        </w:rPr>
        <w:t xml:space="preserve">Fir-rigward tal-kontrolli u l-bilanċi, ir-reġim ta’ emerġenza relatat mal-pandemija tal-COVID-19 għadu fis-seħħ, iżda l-Gvern qed jadotta miżuri biex progressivament inaqqas ir-restrizzjonijiet. Qed tiġi diskussa proposta ġdida biex jissaħħaħ ir-rwol tal-Parlament f’sitwazzjonijiet ta’ emerġenza. L-użu ta’ konsultazzjonijiet pubbliċi u valutazzjonijiet tal-impatt regolatorji </w:t>
      </w:r>
      <w:r>
        <w:rPr>
          <w:i/>
          <w:noProof/>
        </w:rPr>
        <w:t>ex post</w:t>
      </w:r>
      <w:r>
        <w:rPr>
          <w:noProof/>
        </w:rPr>
        <w:t xml:space="preserve"> tjiebu xi ftit iżda għadhom mhumiex applikati b’mod sistematiku. Fil-Parlament qed jiġi eżaminat abbozz ta’ liġi li jistabbilixxi istituzzjoni indipendenti tad-drittijiet tal-bniedem. Ġie rrappurtat xi progress dwar il-leġiżlazzjoni dwar l-organizzazzjonijiet tas-soċjetà ċivili li jittrattaw mal-migranti, bħad-dispożizzjonijiet li jirregolaw l-attivitajiet tal-organizzazzjonijiet tas-soċjetà ċivili li jwettqu operazzjonijiet ta’ tiftix u salvataġġ fuq il-baħar, filwaqt li għad hemm xi tħassib f’kuntest ġenerali fejn il-ġestjoni tal-migrazzjoni fl-UE hija sfida. </w:t>
      </w:r>
      <w:r>
        <w:rPr>
          <w:noProof/>
        </w:rPr>
        <w:br w:type="page"/>
      </w:r>
    </w:p>
    <w:p>
      <w:pPr>
        <w:pStyle w:val="Heading1"/>
        <w:rPr>
          <w:noProof/>
        </w:rPr>
      </w:pPr>
      <w:r>
        <w:rPr>
          <w:noProof/>
        </w:rPr>
        <w:lastRenderedPageBreak/>
        <w:t xml:space="preserve">Is-Sistema Ġudizzjarja  </w:t>
      </w:r>
    </w:p>
    <w:p>
      <w:pPr>
        <w:rPr>
          <w:rFonts w:eastAsia="Times New Roman" w:cs="Times New Roman"/>
          <w:noProof/>
        </w:rPr>
      </w:pPr>
      <w:r>
        <w:rPr>
          <w:noProof/>
        </w:rPr>
        <w:t>L-istruttura tas-sistema ġudizzjarja</w:t>
      </w:r>
      <w:r>
        <w:rPr>
          <w:rStyle w:val="FootnoteReference"/>
          <w:rFonts w:eastAsia="Times New Roman" w:cs="Times New Roman"/>
          <w:noProof/>
          <w:lang w:eastAsia="fr-FR"/>
        </w:rPr>
        <w:footnoteReference w:id="2"/>
      </w:r>
      <w:r>
        <w:rPr>
          <w:noProof/>
        </w:rPr>
        <w:t xml:space="preserve"> hija stipulata fil-Kostituzzjoni, li tħaddan l-indipendenza u l-awtonomija tagħha</w:t>
      </w:r>
      <w:r>
        <w:rPr>
          <w:rStyle w:val="FootnoteReference"/>
          <w:rFonts w:eastAsia="Times New Roman" w:cs="Times New Roman"/>
          <w:noProof/>
          <w:lang w:eastAsia="fr-FR"/>
        </w:rPr>
        <w:footnoteReference w:id="3"/>
      </w:r>
      <w:r>
        <w:rPr>
          <w:noProof/>
        </w:rPr>
        <w:t>. Il-Qorti Kostituzzjonali tiddeċiedi dwar tilwim rigward il-kostituzzjonalità tal-liġijiet</w:t>
      </w:r>
      <w:r>
        <w:rPr>
          <w:rStyle w:val="FootnoteReference"/>
          <w:rFonts w:eastAsia="Times New Roman" w:cs="Times New Roman"/>
          <w:noProof/>
          <w:lang w:eastAsia="fr-FR"/>
        </w:rPr>
        <w:footnoteReference w:id="4"/>
      </w:r>
      <w:r>
        <w:rPr>
          <w:noProof/>
        </w:rPr>
        <w:t>. Il-qrati ordinarji għandhom ġurisdizzjoni fi kwistjonijiet ċivili u kriminali u huma organizzati fi tliet livelli ta' istanzi. L-ewwel livell huwa magħmul mill-qrati konċiljatorji, il-qrati ordinarji u l-qrati tal-minorenni. It-tieni u t-tielet livell huma magħmula mill-Qrati tal-appell u mill-l-Qorti Suprema tal-Kassazzjoni rispettivament. Il-ġustizzja amministrattiva hija organizzata fil-qrati tal-prim’istanza u fil-qrati tat-tieni istanza. Il-ġurisdizzjoni fi kwistjonijiet ta’ kontabilità hija eżerċitata mill-Qorti tal-Awdituri (bl-Awli Reġjonali u Ċentrali). Rigward il-kwistjonijiet fiskali, il-qrati responsabbli huma qrati fiskali fil-prim'istanza u t-tieni istanza u l-Qorti Suprema tal-Kassazzjoni fl-ogħla livell. L-istruttura tas-servizz tal-prosekuzzjoni</w:t>
      </w:r>
      <w:r>
        <w:rPr>
          <w:rStyle w:val="FootnoteReference"/>
          <w:rFonts w:eastAsia="Times New Roman" w:cs="Times New Roman"/>
          <w:noProof/>
          <w:lang w:eastAsia="fr-FR"/>
        </w:rPr>
        <w:footnoteReference w:id="5"/>
      </w:r>
      <w:r>
        <w:rPr>
          <w:noProof/>
        </w:rPr>
        <w:t xml:space="preserve"> tirrifletti dik tal-qrati. L-Italja tipparteċipa fl-Uffiċċju tal-Prosekutur Pubbliku Ewropew. Skont il-prinċipju tal-unità tal-ġudikatura, l-imħallfin ordinarji u l-prosekuturi pubbliċi huma kollha maġistrati, għandhom struttura komuni tal-karriera, u huma rregolati mill-Kunsill Superjuri tal-Maġistratura (</w:t>
      </w:r>
      <w:r>
        <w:rPr>
          <w:i/>
          <w:noProof/>
        </w:rPr>
        <w:t>Consiglio Superiore della Magistratura - CSM</w:t>
      </w:r>
      <w:r>
        <w:rPr>
          <w:noProof/>
        </w:rPr>
        <w:t>).</w:t>
      </w:r>
      <w:r>
        <w:rPr>
          <w:rFonts w:ascii="Arial" w:hAnsi="Arial"/>
          <w:noProof/>
          <w:szCs w:val="24"/>
        </w:rPr>
        <w:t xml:space="preserve"> </w:t>
      </w:r>
      <w:r>
        <w:rPr>
          <w:noProof/>
        </w:rPr>
        <w:t>Il-maġistrati amministrattivi, kontabilistiċi u fiskali għandhom il-korpi awtonomi tagħhom stess. Il-Kunsill Nazzjonali tal-Kamra tal-Avukati huwa korp indipendenti u awtonomu stabbilit bil-liġi.</w:t>
      </w:r>
    </w:p>
    <w:p>
      <w:pPr>
        <w:pStyle w:val="Heading2"/>
        <w:rPr>
          <w:noProof/>
        </w:rPr>
      </w:pPr>
      <w:r>
        <w:rPr>
          <w:noProof/>
        </w:rPr>
        <w:t xml:space="preserve">Indipendenza </w:t>
      </w:r>
    </w:p>
    <w:p>
      <w:pPr>
        <w:spacing w:after="160"/>
        <w:rPr>
          <w:rFonts w:cs="Times New Roman"/>
          <w:noProof/>
        </w:rPr>
      </w:pPr>
      <w:r>
        <w:rPr>
          <w:b/>
          <w:bCs/>
          <w:noProof/>
        </w:rPr>
        <w:t>Il-livell tal-perċezzjoni tal-indipendenza ġudizzjarja fl-Italja jibqa’ huwa baxx.</w:t>
      </w:r>
      <w:r>
        <w:rPr>
          <w:noProof/>
        </w:rPr>
        <w:t xml:space="preserve"> Minkejja żieda żgħira mis-sena l-oħra, 34 % biss fost il-pubbliku ġenerali jqisu li dan huwa “pjuttost tajjeb jew tajjeb ħafna”. Fost il-kumpaniji, hemm tnaqqis ġdid, li jikkonferma x-xejra 'l isfel ta’ dawn l-aħħar sentejn, u issa 29 % biss iqisu l-indipendenza ġudizzjarja bħala “tajba jew tajba ħafna”</w:t>
      </w:r>
      <w:r>
        <w:rPr>
          <w:rFonts w:cs="Times New Roman"/>
          <w:noProof/>
          <w:vertAlign w:val="superscript"/>
        </w:rPr>
        <w:footnoteReference w:id="6"/>
      </w:r>
      <w:r>
        <w:rPr>
          <w:noProof/>
        </w:rPr>
        <w:t xml:space="preserve">. Matul l-aħħar ħames snin, il-livell ta’ indipendenza ġudizzjarja perċepita baqa’ konsistentement baxx. </w:t>
      </w:r>
    </w:p>
    <w:p>
      <w:pPr>
        <w:spacing w:after="160"/>
        <w:rPr>
          <w:rFonts w:cs="Times New Roman"/>
          <w:noProof/>
        </w:rPr>
      </w:pPr>
      <w:r>
        <w:rPr>
          <w:b/>
          <w:noProof/>
        </w:rPr>
        <w:t xml:space="preserve">L-abbozz ta’ liġi li jindirizza l-isfidi ffaċċjati mill-Kunsill Għoli għall-Ġudikatura (Consiglio Superiore della Magistratura, CSM), inkluż il-mod li bih jiġu eletti l-membri tal-Kunsill, għadu qed jiġi diskuss fil-Parlament. </w:t>
      </w:r>
      <w:r>
        <w:rPr>
          <w:noProof/>
        </w:rPr>
        <w:t>Il-Kunsill Għoli għall-Ġudikatura kellu jiffaċċja diversi sfidi relatati mar-rappreżentattività tal-membri tiegħu u mat-trasparenza tal-proċedura tiegħu għall-ħatra f’pożizzjonijiet ġudizzjarji għoljin</w:t>
      </w:r>
      <w:r>
        <w:rPr>
          <w:rFonts w:cs="Times New Roman"/>
          <w:noProof/>
          <w:vertAlign w:val="superscript"/>
        </w:rPr>
        <w:footnoteReference w:id="7"/>
      </w:r>
      <w:r>
        <w:rPr>
          <w:noProof/>
        </w:rPr>
        <w:t>. L-abbozz ta’ liġi propost mill-Gvern f’Awwissu 2020 għandu l-għan li jiżgura l-indipendenza tal-membri tal-CSM</w:t>
      </w:r>
      <w:r>
        <w:rPr>
          <w:rStyle w:val="FootnoteReference"/>
          <w:rFonts w:cs="Times New Roman"/>
          <w:noProof/>
        </w:rPr>
        <w:footnoteReference w:id="8"/>
      </w:r>
      <w:r>
        <w:rPr>
          <w:noProof/>
        </w:rPr>
        <w:t xml:space="preserve"> vis-à-vis l-assoċjazzjonijiet professjonali, inkluż billi jinbidlu r-regoli għall-elezzjoni tal-membri tiegħu u billi tissaħħaħ id-diversità tal-membri tal-Kunsill f’termini ta’ oriġini territorjali u ugwaljanza bejn is-sessi. Barra minn hekk, l-abbozz ta’ liġi għandu l-għan ukoll li jfassal linja aktar stretta bejn il-funzjonijiet ġudizzjarji u politiċi</w:t>
      </w:r>
      <w:r>
        <w:rPr>
          <w:rStyle w:val="FootnoteReference"/>
          <w:noProof/>
        </w:rPr>
        <w:footnoteReference w:id="9"/>
      </w:r>
      <w:r>
        <w:rPr>
          <w:noProof/>
        </w:rPr>
        <w:t>. F’April 2021, il-CSM ħareġ diversi opinjonijiet</w:t>
      </w:r>
      <w:r>
        <w:rPr>
          <w:rStyle w:val="FootnoteReference"/>
          <w:rFonts w:cs="Times New Roman"/>
          <w:noProof/>
        </w:rPr>
        <w:footnoteReference w:id="10"/>
      </w:r>
      <w:r>
        <w:rPr>
          <w:noProof/>
        </w:rPr>
        <w:t xml:space="preserve"> dwar l-abbozz ta’ liġi, fejn innota elementi pożittivi (pereż. l-organizzazzjoni ta’ uffiċċji ġudizzjarji</w:t>
      </w:r>
      <w:r>
        <w:rPr>
          <w:rFonts w:cs="Times New Roman"/>
          <w:noProof/>
          <w:vertAlign w:val="superscript"/>
        </w:rPr>
        <w:footnoteReference w:id="11"/>
      </w:r>
      <w:r>
        <w:rPr>
          <w:noProof/>
        </w:rPr>
        <w:t>, inkluż l-uffiċċju tal-prosekutur, trasparenza akbar fil-proċedura ta’ ħatra għal pożizzjonijiet għoljin</w:t>
      </w:r>
      <w:r>
        <w:rPr>
          <w:rFonts w:cs="Times New Roman"/>
          <w:noProof/>
          <w:vertAlign w:val="superscript"/>
        </w:rPr>
        <w:footnoteReference w:id="12"/>
      </w:r>
      <w:r>
        <w:rPr>
          <w:noProof/>
        </w:rPr>
        <w:t xml:space="preserve"> u f’xi regoli relatati mal-proċedura ta’ evalwazzjonijiet professjonali għall-maġistrati</w:t>
      </w:r>
      <w:r>
        <w:rPr>
          <w:rFonts w:cs="Times New Roman"/>
          <w:noProof/>
          <w:vertAlign w:val="superscript"/>
        </w:rPr>
        <w:footnoteReference w:id="13"/>
      </w:r>
      <w:r>
        <w:rPr>
          <w:noProof/>
        </w:rPr>
        <w:t>). Huwa qajjem ukoll xi tħassib, b’mod partikolari rigward is-sistema elettorali, fejn il-CSM enfasizza r-riskju ta’ marġinalizzazzjoni tal-minoranzi, is-setgħa diskrezzjonali tal-Ministeru tal-Ġustizzja li jibni kulleġġi elettorali qabel l-elezzjoni, u t-tnaqqis potenzjali tal-pluraliżmu fost il-membri ġudizzjarji</w:t>
      </w:r>
      <w:r>
        <w:rPr>
          <w:rStyle w:val="FootnoteReference"/>
          <w:rFonts w:cs="Times New Roman"/>
          <w:noProof/>
        </w:rPr>
        <w:footnoteReference w:id="14"/>
      </w:r>
      <w:r>
        <w:rPr>
          <w:noProof/>
        </w:rPr>
        <w:t>. Fir-rigward tar-reġim dixxiplinarju, il-CSM innota r-riskju ta’ ambigwità tar-reati dixxiplinari ġodda</w:t>
      </w:r>
      <w:r>
        <w:rPr>
          <w:rStyle w:val="FootnoteReference"/>
          <w:rFonts w:cs="Times New Roman"/>
          <w:noProof/>
        </w:rPr>
        <w:footnoteReference w:id="15"/>
      </w:r>
      <w:r>
        <w:rPr>
          <w:noProof/>
        </w:rPr>
        <w:t>. Fis-26 ta’ Marzu 2021, il-GRECO</w:t>
      </w:r>
      <w:r>
        <w:rPr>
          <w:rStyle w:val="FootnoteReference"/>
          <w:rFonts w:cs="Times New Roman"/>
          <w:noProof/>
        </w:rPr>
        <w:footnoteReference w:id="16"/>
      </w:r>
      <w:r>
        <w:rPr>
          <w:noProof/>
        </w:rPr>
        <w:t xml:space="preserve"> adotta t-Tieni Rapport ta’ Konformità tiegħu li ddiskuta l-parteċipazzjoni diretta tal-maġistrati fil-ħajja politika. Minkejja l-progress miksub mill-abbozz ta’ liġi, ir-rakkomandazzjoni vvalutat li ġiet implimentata parzjalment biss minħabba li l-abbozz ta’ liġi għad irid jiġi adottat</w:t>
      </w:r>
      <w:r>
        <w:rPr>
          <w:rStyle w:val="FootnoteReference"/>
          <w:rFonts w:cs="Times New Roman"/>
          <w:noProof/>
        </w:rPr>
        <w:footnoteReference w:id="17"/>
      </w:r>
      <w:r>
        <w:rPr>
          <w:noProof/>
        </w:rPr>
        <w:t>. F’Marzu 2021, il-Ministru tal-Ġustizzja</w:t>
      </w:r>
      <w:r>
        <w:rPr>
          <w:rFonts w:cs="Times New Roman"/>
          <w:noProof/>
          <w:vertAlign w:val="superscript"/>
        </w:rPr>
        <w:footnoteReference w:id="18"/>
      </w:r>
      <w:r>
        <w:rPr>
          <w:noProof/>
        </w:rPr>
        <w:t xml:space="preserve"> ppreżenta lill-Parlament linji ġodda ta’ politika dwar il-ġustizzja</w:t>
      </w:r>
      <w:r>
        <w:rPr>
          <w:rFonts w:cs="Times New Roman"/>
          <w:noProof/>
          <w:vertAlign w:val="superscript"/>
        </w:rPr>
        <w:footnoteReference w:id="19"/>
      </w:r>
      <w:r>
        <w:rPr>
          <w:noProof/>
        </w:rPr>
        <w:t>. Huwa importanti li dawn ir-riformi jqisu r-rakkomandazzjonijiet tal-Kunsill tal-Ewropa relatati mal-Kunsill għall-Ġudikatura, inkluża l-għażla tal-membri tagħhom</w:t>
      </w:r>
      <w:r>
        <w:rPr>
          <w:rFonts w:cs="Times New Roman"/>
          <w:noProof/>
          <w:vertAlign w:val="superscript"/>
        </w:rPr>
        <w:footnoteReference w:id="20"/>
      </w:r>
      <w:r>
        <w:rPr>
          <w:noProof/>
        </w:rPr>
        <w:t>, u mal-i</w:t>
      </w:r>
      <w:r>
        <w:rPr>
          <w:i/>
          <w:iCs/>
          <w:noProof/>
        </w:rPr>
        <w:t>status</w:t>
      </w:r>
      <w:r>
        <w:rPr>
          <w:noProof/>
        </w:rPr>
        <w:t>, il-karriera, ir-responsabbiltà u r-reġim dixxiplinari għall-maġistrati</w:t>
      </w:r>
      <w:r>
        <w:rPr>
          <w:rFonts w:cs="Times New Roman"/>
          <w:noProof/>
          <w:vertAlign w:val="superscript"/>
        </w:rPr>
        <w:footnoteReference w:id="21"/>
      </w:r>
      <w:r>
        <w:rPr>
          <w:noProof/>
        </w:rPr>
        <w:t>. L-Italja qed tikkoopera mal-Kunsill tal-Ewropa f’dan ir-rigward.</w:t>
      </w:r>
    </w:p>
    <w:p>
      <w:pPr>
        <w:spacing w:after="160"/>
        <w:rPr>
          <w:rFonts w:cs="Times New Roman"/>
          <w:noProof/>
        </w:rPr>
      </w:pPr>
      <w:r>
        <w:rPr>
          <w:b/>
          <w:noProof/>
        </w:rPr>
        <w:t>Ittieħdu aktar miżuri biex jiġu indirizzati l-isfidi tal-integrità</w:t>
      </w:r>
      <w:r>
        <w:rPr>
          <w:rFonts w:cs="Times New Roman"/>
          <w:noProof/>
          <w:vertAlign w:val="superscript"/>
        </w:rPr>
        <w:footnoteReference w:id="22"/>
      </w:r>
      <w:r>
        <w:rPr>
          <w:noProof/>
        </w:rPr>
        <w:t>. Il-CSM kompla jintroduċi regoli mmirati biex irawmu t-trasparenza u l-ħatra bbażata fuq il-mertu f’pożizzjonijiet għoljin</w:t>
      </w:r>
      <w:r>
        <w:rPr>
          <w:rFonts w:cs="Times New Roman"/>
          <w:noProof/>
          <w:vertAlign w:val="superscript"/>
        </w:rPr>
        <w:footnoteReference w:id="23"/>
      </w:r>
      <w:r>
        <w:rPr>
          <w:noProof/>
        </w:rPr>
        <w:t>. Barra minn hekk, biex tkompli tissaħħaħ l-indipendenza ġudizzjarja, il-CSM ħa miżuri biex jistabbilixxi dispożizzjonijiet dettaljati għall-maġistrati dwar l-iżvelar tal-assi u l-kontroll sistematiku, li ntlaqgħu tajjeb mill-GRECO</w:t>
      </w:r>
      <w:r>
        <w:rPr>
          <w:rFonts w:cs="Times New Roman"/>
          <w:noProof/>
          <w:vertAlign w:val="superscript"/>
        </w:rPr>
        <w:footnoteReference w:id="24"/>
      </w:r>
      <w:r>
        <w:rPr>
          <w:noProof/>
        </w:rPr>
        <w:t>. Il-CSM fetaħ ukoll għadd ta’ proċedimenti dixxiplinari</w:t>
      </w:r>
      <w:r>
        <w:rPr>
          <w:rFonts w:cs="Times New Roman"/>
          <w:noProof/>
          <w:vertAlign w:val="superscript"/>
        </w:rPr>
        <w:footnoteReference w:id="25"/>
      </w:r>
      <w:r>
        <w:rPr>
          <w:noProof/>
        </w:rPr>
        <w:t>, u barra minn hekk qed iqis fid-dawl ta’ valutazzjonijiet professjonali futuri u l-ħatra għal pożizzjonijiet maniġerjali</w:t>
      </w:r>
      <w:r>
        <w:rPr>
          <w:rStyle w:val="FootnoteReference"/>
          <w:rFonts w:cs="Times New Roman"/>
          <w:noProof/>
        </w:rPr>
        <w:footnoteReference w:id="26"/>
      </w:r>
      <w:r>
        <w:rPr>
          <w:noProof/>
        </w:rPr>
        <w:t>, kull sfida ta’ integrità żvelata fl-2020 mill-investigazzjoni kriminali li wasslet għar-riżenja ta’ ħames membri tal-CSM</w:t>
      </w:r>
      <w:r>
        <w:rPr>
          <w:rStyle w:val="FootnoteReference"/>
          <w:rFonts w:cs="Times New Roman"/>
          <w:noProof/>
        </w:rPr>
        <w:footnoteReference w:id="27"/>
      </w:r>
      <w:r>
        <w:rPr>
          <w:noProof/>
        </w:rPr>
        <w:t>. Barra minn hekk, l-Assoċjazzjoni Nazzjonali tal-Maġistrati bdiet tapplika sanzjonijiet dixxiplinari fil-konfront tal-membri tagħha f’każ ta’ ksur tal-kodiċi tal-etika tal-maġistrati</w:t>
      </w:r>
      <w:r>
        <w:rPr>
          <w:rStyle w:val="FootnoteReference"/>
          <w:rFonts w:cs="Times New Roman"/>
          <w:noProof/>
        </w:rPr>
        <w:footnoteReference w:id="28"/>
      </w:r>
      <w:r>
        <w:rPr>
          <w:noProof/>
        </w:rPr>
        <w:t xml:space="preserve">. </w:t>
      </w:r>
    </w:p>
    <w:p>
      <w:pPr>
        <w:pStyle w:val="Heading2"/>
        <w:rPr>
          <w:noProof/>
        </w:rPr>
      </w:pPr>
      <w:r>
        <w:rPr>
          <w:noProof/>
        </w:rPr>
        <w:t xml:space="preserve">Kwalità </w:t>
      </w:r>
    </w:p>
    <w:p>
      <w:pPr>
        <w:rPr>
          <w:rFonts w:cs="Times New Roman"/>
          <w:b/>
          <w:bCs/>
          <w:noProof/>
        </w:rPr>
      </w:pPr>
      <w:r>
        <w:rPr>
          <w:b/>
          <w:bCs/>
          <w:noProof/>
        </w:rPr>
        <w:t xml:space="preserve">Ir-riżorsi umani qed jiżdiedu u huwa ppjanat aktar reklutaġġ kemm ta’ persunal ġudizzjarju kif ukoll ta’ persunal amministrattiv. </w:t>
      </w:r>
      <w:r>
        <w:rPr>
          <w:noProof/>
        </w:rPr>
        <w:t>Wara l-opinjoni tal-CSM</w:t>
      </w:r>
      <w:r>
        <w:rPr>
          <w:rStyle w:val="FootnoteReference"/>
          <w:rFonts w:cs="Times New Roman"/>
          <w:noProof/>
        </w:rPr>
        <w:footnoteReference w:id="29"/>
      </w:r>
      <w:r>
        <w:rPr>
          <w:noProof/>
        </w:rPr>
        <w:t>, f’Settembru 2020 il-Ministeru tal-Ġustizzja</w:t>
      </w:r>
      <w:r>
        <w:rPr>
          <w:rFonts w:cs="Times New Roman"/>
          <w:noProof/>
          <w:vertAlign w:val="superscript"/>
        </w:rPr>
        <w:footnoteReference w:id="30"/>
      </w:r>
      <w:r>
        <w:rPr>
          <w:noProof/>
        </w:rPr>
        <w:t xml:space="preserve"> qassam is-600 kariga addizzjonali ta’ maġistrati fost l-ogħla qrati u s-servizz tal-prosekuzzjoni (70 unità), il-qrati tal-prim’istanza u tat-tieni istanza (422 unità) u t-task force għal impjanti flessibbli</w:t>
      </w:r>
      <w:r>
        <w:rPr>
          <w:rFonts w:cs="Times New Roman"/>
          <w:noProof/>
          <w:vertAlign w:val="superscript"/>
        </w:rPr>
        <w:footnoteReference w:id="31"/>
      </w:r>
      <w:r>
        <w:rPr>
          <w:noProof/>
        </w:rPr>
        <w:t xml:space="preserve"> (176 unità), u f’Marzu 2021 persunal ġdid (285 maġistrat) beda t-traineeship tagħhom. Wara l-ewwel sospensjoni minħabba l-pandemija tal-COVID-19, il-kompetizzjonijiet issa reġgħu bdew</w:t>
      </w:r>
      <w:r>
        <w:rPr>
          <w:rFonts w:cs="Times New Roman"/>
          <w:noProof/>
          <w:vertAlign w:val="superscript"/>
        </w:rPr>
        <w:footnoteReference w:id="32"/>
      </w:r>
      <w:r>
        <w:rPr>
          <w:noProof/>
        </w:rPr>
        <w:t>. Reklutaġġi ta’ aktar minn 2 000 membru tal-persunal amministrattiv twettqu permezz ta’ proċeduri diġitalizzati fl-2020 u l-2021</w:t>
      </w:r>
      <w:r>
        <w:rPr>
          <w:rFonts w:cs="Times New Roman"/>
          <w:noProof/>
          <w:vertAlign w:val="superscript"/>
        </w:rPr>
        <w:footnoteReference w:id="33"/>
      </w:r>
      <w:r>
        <w:rPr>
          <w:noProof/>
        </w:rPr>
        <w:t>. Wara r-Rapport tal-2020 dwar l-Istat tad-Dritt li identifika r-riżorsi umani bħala sfida partikolari għall-Italja b’impatt fuq l-effiċjenza tas-sistema ġudizzjarja, il-Gvern ippjana miżuri straordinarji</w:t>
      </w:r>
      <w:r>
        <w:rPr>
          <w:rStyle w:val="FootnoteReference"/>
          <w:rFonts w:cs="Times New Roman"/>
          <w:noProof/>
        </w:rPr>
        <w:footnoteReference w:id="34"/>
      </w:r>
      <w:r>
        <w:rPr>
          <w:noProof/>
        </w:rPr>
        <w:t xml:space="preserve"> biex isaħħaħ l-Uffiċċju tal-Prova</w:t>
      </w:r>
      <w:r>
        <w:rPr>
          <w:rStyle w:val="FootnoteReference"/>
          <w:rFonts w:cs="Times New Roman"/>
          <w:noProof/>
        </w:rPr>
        <w:footnoteReference w:id="35"/>
      </w:r>
      <w:r>
        <w:rPr>
          <w:noProof/>
        </w:rPr>
        <w:t xml:space="preserve"> fejn il-persunal amministrattiv u ġudizzjarju se jikkoopera f’sinerġija permezz ta’ moduli organizzattivi riveduti</w:t>
      </w:r>
      <w:r>
        <w:rPr>
          <w:rFonts w:cs="Times New Roman"/>
          <w:noProof/>
          <w:vertAlign w:val="superscript"/>
        </w:rPr>
        <w:footnoteReference w:id="36"/>
      </w:r>
      <w:r>
        <w:rPr>
          <w:noProof/>
        </w:rPr>
        <w:t>. Dawn il-miżuri jippjanaw ir-reklutaġġ</w:t>
      </w:r>
      <w:r>
        <w:rPr>
          <w:rStyle w:val="FootnoteReference"/>
          <w:rFonts w:cs="Times New Roman"/>
          <w:noProof/>
        </w:rPr>
        <w:footnoteReference w:id="37"/>
      </w:r>
      <w:r>
        <w:rPr>
          <w:noProof/>
        </w:rPr>
        <w:t xml:space="preserve"> fuq kuntratti ta’ tliet snin b’terminu fiss ta’ madwar 16 500 gradwat fil-liġi, l-ekonomija u n-negozju u x-xjenza politika sabiex jipprovdu lill-maġistrati b’appoġġ tekniku</w:t>
      </w:r>
      <w:r>
        <w:rPr>
          <w:rFonts w:cs="Times New Roman"/>
          <w:noProof/>
          <w:vertAlign w:val="superscript"/>
        </w:rPr>
        <w:footnoteReference w:id="38"/>
      </w:r>
      <w:r>
        <w:rPr>
          <w:noProof/>
        </w:rPr>
        <w:t>, u ta’ 1 600 gradwat żagħżugħ, 750 gradwat speċjalizzat u 3 000 gradwat ġenerali tal-iskola għolja biex jappoġġaw il-ġudikatura u jimmonitorjaw proġetti tal-Ministeru tal-Ġustizzja bħad-diġitalizzazzjoni tal-proċedimenti u r-riformi. Proporzjon ta’ dan il-persunal reklutat ġdid se jiġi assenjat lill-Qorti Għolja tal-Kassazzjoni biex torganizza mill-ġdid l-awli ċivili, inklużi dawk li jittrattaw il-każijiet tat-taxxa. F’dak li għandu x’jaqsam mal-ġustizzja amministrattiva, għad hemm għadd rilevanti ta’ postijiet vakanti speċjalment għall-imħallfin tal-prim’istanza. Madankollu, fi Frar 2021 ġiet ippubblikata proċedura ġdida għar-reklutaġġ ta’ 40 imħallef (estiża ulterjorment għal 60) u hija ppjanata żieda ta’ 130 kariga amministrattiva</w:t>
      </w:r>
      <w:r>
        <w:rPr>
          <w:rStyle w:val="FootnoteReference"/>
          <w:rFonts w:cs="Times New Roman"/>
          <w:noProof/>
        </w:rPr>
        <w:footnoteReference w:id="39"/>
      </w:r>
      <w:r>
        <w:rPr>
          <w:noProof/>
        </w:rPr>
        <w:t>. Huma previsti wkoll reklutaġġi ġodda għall-ġustizzja amministrattiva</w:t>
      </w:r>
      <w:r>
        <w:rPr>
          <w:rFonts w:cs="Times New Roman"/>
          <w:noProof/>
          <w:vertAlign w:val="superscript"/>
        </w:rPr>
        <w:footnoteReference w:id="40"/>
      </w:r>
      <w:r>
        <w:rPr>
          <w:noProof/>
        </w:rPr>
        <w:t xml:space="preserve"> bil-għan li jissaħħu l-uffiċċji ġudizzjarji, tissaħħaħ id-diġitalizzazzjoni u tiġi mmonitorjata l-attività tal-proġetti. Il-miżuri l-ġodda biex jitnaqqas ix-xogħol b’lura u t-tul tal-proċedimenti</w:t>
      </w:r>
      <w:r>
        <w:rPr>
          <w:rStyle w:val="FootnoteReference"/>
          <w:rFonts w:cs="Times New Roman"/>
          <w:noProof/>
        </w:rPr>
        <w:footnoteReference w:id="41"/>
      </w:r>
      <w:r>
        <w:rPr>
          <w:noProof/>
        </w:rPr>
        <w:t xml:space="preserve"> għandhom l-għan li jindirizzaw rakkomandazzjoni speċifika għall-pajjiż li ilha għaddejja dwar l-effiċjenza tas-sistema ġudizzjarja</w:t>
      </w:r>
      <w:r>
        <w:rPr>
          <w:rFonts w:cs="Times New Roman"/>
          <w:noProof/>
          <w:vertAlign w:val="superscript"/>
        </w:rPr>
        <w:footnoteReference w:id="42"/>
      </w:r>
      <w:r>
        <w:rPr>
          <w:noProof/>
        </w:rPr>
        <w:t>.</w:t>
      </w:r>
    </w:p>
    <w:p>
      <w:pPr>
        <w:spacing w:after="160"/>
        <w:rPr>
          <w:rFonts w:cs="Times New Roman"/>
          <w:noProof/>
          <w:szCs w:val="24"/>
        </w:rPr>
      </w:pPr>
      <w:r>
        <w:rPr>
          <w:b/>
          <w:bCs/>
          <w:noProof/>
        </w:rPr>
        <w:t>Id-diġitalizzazzjoni tas-sistema ġudizzjarja tkompli titjieb fil-qrati ċivili u amministrattivi, filwaqt li għad hemm sfidi għas-settur kriminali</w:t>
      </w:r>
      <w:r>
        <w:rPr>
          <w:rFonts w:cs="Times New Roman"/>
          <w:b/>
          <w:bCs/>
          <w:noProof/>
          <w:vertAlign w:val="superscript"/>
        </w:rPr>
        <w:footnoteReference w:id="43"/>
      </w:r>
      <w:r>
        <w:rPr>
          <w:b/>
          <w:bCs/>
          <w:noProof/>
        </w:rPr>
        <w:t>.</w:t>
      </w:r>
      <w:r>
        <w:rPr>
          <w:noProof/>
        </w:rPr>
        <w:t xml:space="preserve"> Id-diġitalizzazzjoni tal-proċedimenti fil-qrati ċivili tal-prim’istanza u tat-tieni istanza tlestiet</w:t>
      </w:r>
      <w:r>
        <w:rPr>
          <w:rFonts w:cs="Times New Roman"/>
          <w:noProof/>
          <w:vertAlign w:val="superscript"/>
        </w:rPr>
        <w:footnoteReference w:id="44"/>
      </w:r>
      <w:r>
        <w:rPr>
          <w:noProof/>
        </w:rPr>
        <w:t>, u tnediet fil-Qorti tal-Kassazzjoni (sezzjoni ċivili)</w:t>
      </w:r>
      <w:r>
        <w:rPr>
          <w:rFonts w:cs="Times New Roman"/>
          <w:noProof/>
          <w:vertAlign w:val="superscript"/>
        </w:rPr>
        <w:footnoteReference w:id="45"/>
      </w:r>
      <w:r>
        <w:rPr>
          <w:noProof/>
        </w:rPr>
        <w:t xml:space="preserve"> u fl-Imħallfin tal-Paċi</w:t>
      </w:r>
      <w:r>
        <w:rPr>
          <w:rFonts w:cs="Times New Roman"/>
          <w:noProof/>
          <w:vertAlign w:val="superscript"/>
        </w:rPr>
        <w:footnoteReference w:id="46"/>
      </w:r>
      <w:r>
        <w:rPr>
          <w:noProof/>
        </w:rPr>
        <w:t>. Madankollu, hija inqas żviluppata għal proċedimenti kriminali</w:t>
      </w:r>
      <w:r>
        <w:rPr>
          <w:rFonts w:cs="Times New Roman"/>
          <w:noProof/>
          <w:vertAlign w:val="superscript"/>
        </w:rPr>
        <w:footnoteReference w:id="47"/>
      </w:r>
      <w:r>
        <w:rPr>
          <w:noProof/>
        </w:rPr>
        <w:t>, fejn hija mistennija li tibda sal-aħħar ta’ Mejju 2021. L-ewwel pass huwa previst permezz tad-diġitalizzazzjoni tar-reġistru użat għall-proċedura ta’ interċettazzjoni telefonika. Fir-rigward tal-ġustizzja amministrattiva, matul il-pandemija tal-COVID-19, inkiseb aktar progress fil-proċediment amministrattiv diġitalizzat permezz ta’ seduti ta’ smigħ mill-bogħod</w:t>
      </w:r>
      <w:r>
        <w:rPr>
          <w:rFonts w:cs="Times New Roman"/>
          <w:noProof/>
          <w:vertAlign w:val="superscript"/>
        </w:rPr>
        <w:footnoteReference w:id="48"/>
      </w:r>
      <w:r>
        <w:rPr>
          <w:noProof/>
        </w:rPr>
        <w:t>. Minbarra d-deċiżjonijiet ċivili u kriminali tal-Qorti Għolja</w:t>
      </w:r>
      <w:r>
        <w:rPr>
          <w:rStyle w:val="FootnoteReference"/>
          <w:rFonts w:cs="Times New Roman"/>
          <w:noProof/>
        </w:rPr>
        <w:footnoteReference w:id="49"/>
      </w:r>
      <w:r>
        <w:rPr>
          <w:noProof/>
        </w:rPr>
        <w:t>, l-aċċess online għal sentenzi tal-ewwel u tat-tieni istanza qed jimxi bil-mod u huwa skedat li jitlesta sal-2023 għas-sentenzi taċ-ċivil.</w:t>
      </w:r>
      <w:r>
        <w:rPr>
          <w:rFonts w:cs="Times New Roman"/>
          <w:noProof/>
          <w:vertAlign w:val="superscript"/>
        </w:rPr>
        <w:footnoteReference w:id="50"/>
      </w:r>
      <w:r>
        <w:rPr>
          <w:noProof/>
        </w:rPr>
        <w:t>. Qed isir aktar titjib diġitali biex jiżdiedu s-servizzi online mal-Uffiċċji Ġudizzjarji billi jiġi aġġornat il-Portal tas-Servizzi elettroniċi, ir-Reġistri PEC u l-pagament elettroniku, u jitjieb l-aċċess għal xi servizzi permezz tal-SPID, il-Karta tas-Servizz Nazzjonali u l-Karta tal-Identità Elettronika. Ix-xogħol mill-bogħod matul il-pandemija tal-COVID-19 ħaffef l-implimentazzjoni tal-aċċess mill-bogħod għal xi reġistri (kawżi ċivili kontenzjużi, ġuriżdizzjoni volontarja u tilwim industrijali, fil-prim'istanza u fit-tieni istanza</w:t>
      </w:r>
      <w:r>
        <w:rPr>
          <w:rStyle w:val="FootnoteReference"/>
          <w:rFonts w:cs="Times New Roman"/>
          <w:noProof/>
        </w:rPr>
        <w:footnoteReference w:id="51"/>
      </w:r>
      <w:r>
        <w:rPr>
          <w:noProof/>
        </w:rPr>
        <w:t>). Barra minn hekk, huwa previst ammont rilevanti ta’ taħriġ għall-iżvilupp tal-ħiliet tal-IT għall-maniġers, u għall-persunal permanenti u temporanju reklutat biex jappoġġa d-diġitalizzazzjoni u jindirizza x-xogħol b’lura</w:t>
      </w:r>
      <w:r>
        <w:rPr>
          <w:rFonts w:cs="Times New Roman"/>
          <w:noProof/>
          <w:vertAlign w:val="superscript"/>
        </w:rPr>
        <w:footnoteReference w:id="52"/>
      </w:r>
      <w:r>
        <w:rPr>
          <w:noProof/>
        </w:rPr>
        <w:t>. Fir-rigward tal-abbozz ta’ liġi tal-proċedura ċivili, il-Gvern ħejja emendi għall-abbozz tat-test biex jiġu indirizzati l-isfidi tal-effiċjenza, inkluż billi jiżdied il-livell ta’ diġitalizzazzjoni tas-sistemi ġudizzjarji</w:t>
      </w:r>
      <w:r>
        <w:rPr>
          <w:rStyle w:val="FootnoteReference"/>
          <w:rFonts w:cs="Times New Roman"/>
          <w:noProof/>
        </w:rPr>
        <w:footnoteReference w:id="53"/>
      </w:r>
      <w:r>
        <w:rPr>
          <w:noProof/>
        </w:rPr>
        <w:t>, li meta ffinalizzati se jintbagħtu lill-Parlament.</w:t>
      </w:r>
    </w:p>
    <w:p>
      <w:pPr>
        <w:spacing w:after="160"/>
        <w:rPr>
          <w:rFonts w:cs="Times New Roman"/>
          <w:noProof/>
          <w:szCs w:val="24"/>
        </w:rPr>
      </w:pPr>
      <w:r>
        <w:rPr>
          <w:b/>
          <w:bCs/>
          <w:noProof/>
        </w:rPr>
        <w:t>Ir-riforma tal-qrati tat-taxxa għadha għaddejja.</w:t>
      </w:r>
      <w:r>
        <w:rPr>
          <w:noProof/>
        </w:rPr>
        <w:t xml:space="preserve"> Il-Kummissjoni ta’ esperti stabbilita mill-Ministeru tal-Ġustizzja u l-Ministeru tal-Ekonomija u l-Finanzi jenħtieġ li ttemm il-ħidma tagħha għat-tħejjija tar-riforma tal-qrati tat-taxxa fil-prim'istanza u fit-tieni istanza sat-30 ta’ Ġunju 2021</w:t>
      </w:r>
      <w:r>
        <w:rPr>
          <w:rFonts w:cs="Times New Roman"/>
          <w:noProof/>
          <w:vertAlign w:val="superscript"/>
        </w:rPr>
        <w:footnoteReference w:id="54"/>
      </w:r>
      <w:r>
        <w:rPr>
          <w:noProof/>
        </w:rPr>
        <w:t>. Ir-riforma jkollha l-għan ukoll li tnaqqas l-għadd kbir ta’ kawżi li jkunu deħlin fil-Qorti Superjuri</w:t>
      </w:r>
      <w:r>
        <w:rPr>
          <w:rStyle w:val="FootnoteReference"/>
          <w:rFonts w:cs="Times New Roman"/>
          <w:noProof/>
        </w:rPr>
        <w:footnoteReference w:id="55"/>
      </w:r>
      <w:r>
        <w:rPr>
          <w:noProof/>
        </w:rPr>
        <w:t>. Barra minn hekk, ittieħdu diversi azzjonijiet ta’ prevenzjoni, superviżjoni u infurzar mill-Kunsill tal-Presidenza tal-Qrati Fiskali biex jissaħħu l-professjonaliżmu u l-integrità tal-membri tal-ġustizzja fiskali, kif ukoll it-taħriġ u d-diġitalizzazzjoni ulterjuri, biex tiġi indirizzata r-rakkomandazzjoni tal-GRECO</w:t>
      </w:r>
      <w:r>
        <w:rPr>
          <w:rFonts w:cs="Times New Roman"/>
          <w:noProof/>
          <w:vertAlign w:val="superscript"/>
        </w:rPr>
        <w:footnoteReference w:id="56"/>
      </w:r>
      <w:r>
        <w:rPr>
          <w:noProof/>
        </w:rPr>
        <w:t xml:space="preserve">. </w:t>
      </w:r>
    </w:p>
    <w:p>
      <w:pPr>
        <w:spacing w:after="160"/>
        <w:rPr>
          <w:rFonts w:cs="Times New Roman"/>
          <w:noProof/>
          <w:szCs w:val="24"/>
        </w:rPr>
      </w:pPr>
      <w:r>
        <w:rPr>
          <w:b/>
          <w:bCs/>
          <w:noProof/>
        </w:rPr>
        <w:t xml:space="preserve">Huwa ppjanat li l-istandards eżistenti biex titjieb il-kwalità tad-deċiżjonijiet ġudizzjarji jiġu inklużi fil-liġi. </w:t>
      </w:r>
      <w:r>
        <w:rPr>
          <w:noProof/>
        </w:rPr>
        <w:t>Kif innutat fir-Rapport tal-2020 dwar l-Istat tad-Dritt</w:t>
      </w:r>
      <w:r>
        <w:rPr>
          <w:rStyle w:val="FootnoteReference"/>
          <w:rFonts w:cs="Times New Roman"/>
          <w:noProof/>
        </w:rPr>
        <w:footnoteReference w:id="57"/>
      </w:r>
      <w:r>
        <w:rPr>
          <w:noProof/>
        </w:rPr>
        <w:t>, dawn l-istandards bħalissa huma mnaqqxa f’Memorandum ta’ Qbil bejn il-CSM u l-Assoċjazzjoni Nazzjonali tal-Avukati u għandhom l-għan li jtejbu ċ-ċarezza u l-konċiżjoni tad-deċiżjonijiet ġudizzjarji. Il-Gvern ħejja emendi biex jinkludi dawn l-istandards fl-abbozz ta’ liġijiet għall-proċedura ċivili</w:t>
      </w:r>
      <w:r>
        <w:rPr>
          <w:rStyle w:val="FootnoteReference"/>
          <w:rFonts w:cs="Times New Roman"/>
          <w:noProof/>
        </w:rPr>
        <w:footnoteReference w:id="58"/>
      </w:r>
      <w:r>
        <w:rPr>
          <w:noProof/>
        </w:rPr>
        <w:t>.</w:t>
      </w:r>
    </w:p>
    <w:p>
      <w:pPr>
        <w:rPr>
          <w:rFonts w:eastAsia="Times New Roman" w:cs="Times New Roman"/>
          <w:noProof/>
          <w:szCs w:val="20"/>
        </w:rPr>
      </w:pPr>
      <w:r>
        <w:rPr>
          <w:b/>
          <w:bCs/>
          <w:noProof/>
        </w:rPr>
        <w:t xml:space="preserve">Iż-żieda prevista ta’ servizzi diġitalizzati f’uffiċċji ta’ prossimità tista’ ttejjeb aktar l-aċċess għall-ġustizzja. </w:t>
      </w:r>
      <w:r>
        <w:rPr>
          <w:noProof/>
        </w:rPr>
        <w:t>Kif innutat fir-Rapport tal-2020 dwar l-Istat tad-Dritt, il-Ministeru tal-Ġustizzja qed isegwi proġett ta’ uffiċċju ta’ prossimità li għandu l-għan li jtejjeb l-aċċess għall-qrati billi jtejjeb servizz ta’ ġustizzja eqreb lejn iċ-ċittadini. L-uffiċċji ta’ prossimità</w:t>
      </w:r>
      <w:r>
        <w:rPr>
          <w:rStyle w:val="FootnoteReference"/>
          <w:rFonts w:cs="Times New Roman"/>
          <w:noProof/>
        </w:rPr>
        <w:footnoteReference w:id="59"/>
      </w:r>
      <w:r>
        <w:rPr>
          <w:noProof/>
        </w:rPr>
        <w:t xml:space="preserve"> issa huma stabbiliti f’14-il reġjun minn 20 u huma kapaċi joffru servizzi omoġenji diretti primarjament lejn gruppi vulnerabbli permezz ta’ involviment imsaħħaħ tal-awtoritajiet lokali u l-użu ta’ għodod diġitalizzati</w:t>
      </w:r>
      <w:r>
        <w:rPr>
          <w:rFonts w:cs="Times New Roman"/>
          <w:bCs/>
          <w:noProof/>
          <w:vertAlign w:val="superscript"/>
        </w:rPr>
        <w:footnoteReference w:id="60"/>
      </w:r>
      <w:r>
        <w:rPr>
          <w:noProof/>
        </w:rPr>
        <w:t xml:space="preserve"> (pereż. biex jintbagħtu ta’ dokumenti elettroniċi lil uffiċċji ġudizzjarji u l-aċċess għal informazzjoni relatata ma’ proċedimenti pendenti permezz tal-użu ta’ pjattaforma diġitali).</w:t>
      </w:r>
    </w:p>
    <w:p>
      <w:pPr>
        <w:pStyle w:val="Heading2"/>
        <w:rPr>
          <w:noProof/>
        </w:rPr>
      </w:pPr>
      <w:r>
        <w:rPr>
          <w:noProof/>
        </w:rPr>
        <w:t>Effiċjenza</w:t>
      </w:r>
    </w:p>
    <w:p>
      <w:pPr>
        <w:rPr>
          <w:rFonts w:cs="Times New Roman"/>
          <w:noProof/>
          <w:szCs w:val="24"/>
        </w:rPr>
      </w:pPr>
      <w:r>
        <w:rPr>
          <w:b/>
          <w:bCs/>
          <w:noProof/>
        </w:rPr>
        <w:t>It-tul tal-proċedimenti jibqa’ sfida serja</w:t>
      </w:r>
      <w:r>
        <w:rPr>
          <w:rFonts w:cs="Times New Roman"/>
          <w:b/>
          <w:bCs/>
          <w:noProof/>
          <w:vertAlign w:val="superscript"/>
        </w:rPr>
        <w:footnoteReference w:id="61"/>
      </w:r>
      <w:r>
        <w:rPr>
          <w:b/>
          <w:bCs/>
          <w:noProof/>
        </w:rPr>
        <w:t>.</w:t>
      </w:r>
      <w:r>
        <w:rPr>
          <w:noProof/>
        </w:rPr>
        <w:t xml:space="preserve"> Minkejja żieda fir-rata tal-ikklirjar diġà 'l fuq minn 100 %</w:t>
      </w:r>
      <w:r>
        <w:rPr>
          <w:rFonts w:cs="Times New Roman"/>
          <w:noProof/>
          <w:vertAlign w:val="superscript"/>
        </w:rPr>
        <w:footnoteReference w:id="62"/>
      </w:r>
      <w:r>
        <w:rPr>
          <w:noProof/>
        </w:rPr>
        <w:t xml:space="preserve"> fis-settur ċivili, iż-żmien stmat meħtieġ biex jiġu solvuti kawżi kontenzjużi ċivili u kummerċjali għadu għoli ħafna</w:t>
      </w:r>
      <w:r>
        <w:rPr>
          <w:rFonts w:cs="Times New Roman"/>
          <w:noProof/>
          <w:vertAlign w:val="superscript"/>
        </w:rPr>
        <w:footnoteReference w:id="63"/>
      </w:r>
      <w:r>
        <w:rPr>
          <w:noProof/>
        </w:rPr>
        <w:t>. Iż-żmien biex tinqata’ sentenza fil-prim'istanza u fit-tieni istanza naqas fl-2019</w:t>
      </w:r>
      <w:r>
        <w:rPr>
          <w:rStyle w:val="FootnoteReference"/>
          <w:rFonts w:cs="Times New Roman"/>
          <w:noProof/>
        </w:rPr>
        <w:footnoteReference w:id="64"/>
      </w:r>
      <w:r>
        <w:rPr>
          <w:noProof/>
        </w:rPr>
        <w:t>, filwaqt li kien hemm żieda fil-Qorti Suprema tal-Kassazzjoni, prinċipalment minħabba każijiet ta’ taxxa u protezzjoni internazzjonali</w:t>
      </w:r>
      <w:r>
        <w:rPr>
          <w:rFonts w:cs="Times New Roman"/>
          <w:noProof/>
          <w:vertAlign w:val="superscript"/>
        </w:rPr>
        <w:footnoteReference w:id="65"/>
      </w:r>
      <w:r>
        <w:rPr>
          <w:noProof/>
        </w:rPr>
        <w:t>. Fl-2020, il-Qorti Għolja rreġistrat tnaqqis sostanzjali fil-kawżi li deħlin fil-qasam tal-protezzjoni internazzjonali, filwaqt li kawżi li jidħlu fil-qorti tat-taxxa</w:t>
      </w:r>
      <w:r>
        <w:rPr>
          <w:rFonts w:cs="Times New Roman"/>
          <w:noProof/>
          <w:vertAlign w:val="superscript"/>
        </w:rPr>
        <w:footnoteReference w:id="66"/>
      </w:r>
      <w:r>
        <w:rPr>
          <w:noProof/>
        </w:rPr>
        <w:t xml:space="preserve"> b’rati għoljin ta’ annullamenti</w:t>
      </w:r>
      <w:r>
        <w:rPr>
          <w:rFonts w:cs="Times New Roman"/>
          <w:noProof/>
          <w:vertAlign w:val="superscript"/>
        </w:rPr>
        <w:footnoteReference w:id="67"/>
      </w:r>
      <w:r>
        <w:rPr>
          <w:noProof/>
        </w:rPr>
        <w:t>, jibqgħu sfida serja. Ir-rati ta’ inammissibbiltà għadhom għoljin</w:t>
      </w:r>
      <w:r>
        <w:rPr>
          <w:rFonts w:cs="Times New Roman"/>
          <w:noProof/>
          <w:vertAlign w:val="superscript"/>
        </w:rPr>
        <w:footnoteReference w:id="68"/>
      </w:r>
      <w:r>
        <w:rPr>
          <w:noProof/>
        </w:rPr>
        <w:t>. Fl-2020, il-qrati amministrattivi komplew inaqqsu ż-żmien għat-tlestija fl-istanzi kollha, filwaqt li baqgħu ogħla mill-medja</w:t>
      </w:r>
      <w:r>
        <w:rPr>
          <w:rFonts w:cs="Times New Roman"/>
          <w:noProof/>
          <w:vertAlign w:val="superscript"/>
        </w:rPr>
        <w:footnoteReference w:id="69"/>
      </w:r>
      <w:r>
        <w:rPr>
          <w:noProof/>
        </w:rPr>
        <w:t>. Komplew jinkisbu riżultati pożittivi fil-qasam tal-akkwist pubbliku</w:t>
      </w:r>
      <w:r>
        <w:rPr>
          <w:rFonts w:cs="Times New Roman"/>
          <w:noProof/>
          <w:vertAlign w:val="superscript"/>
        </w:rPr>
        <w:footnoteReference w:id="70"/>
      </w:r>
      <w:r>
        <w:rPr>
          <w:noProof/>
        </w:rPr>
        <w:t>. L-Italja tibqa’ taħt superviżjoni msaħħa tal-Kumitat tal-Ministri tal-Kunsill tal-Ewropa fir-rigward tat-tul tal-proċedimenti f’kawżi amministrattivi</w:t>
      </w:r>
      <w:r>
        <w:rPr>
          <w:rFonts w:cs="Times New Roman"/>
          <w:noProof/>
          <w:vertAlign w:val="superscript"/>
        </w:rPr>
        <w:footnoteReference w:id="71"/>
      </w:r>
      <w:r>
        <w:rPr>
          <w:noProof/>
        </w:rPr>
        <w:t>. Fi proċedimenti kriminali, il-Qorti Għolja rrappurtat żieda ġenerali ta’ kawżi pendenti fl-2020</w:t>
      </w:r>
      <w:r>
        <w:rPr>
          <w:rFonts w:cs="Times New Roman"/>
          <w:noProof/>
          <w:vertAlign w:val="superscript"/>
        </w:rPr>
        <w:footnoteReference w:id="72"/>
      </w:r>
      <w:r>
        <w:rPr>
          <w:noProof/>
        </w:rPr>
        <w:t>, speċjalment fl-ogħla livell. Dan jikkonferma ħtieġa urġenti għal miżuri biex tiżdied l-effiċjenza, speċjalment fil-livell ta’ appell</w:t>
      </w:r>
      <w:r>
        <w:rPr>
          <w:rFonts w:cs="Times New Roman"/>
          <w:noProof/>
          <w:vertAlign w:val="superscript"/>
        </w:rPr>
        <w:footnoteReference w:id="73"/>
      </w:r>
      <w:r>
        <w:rPr>
          <w:noProof/>
        </w:rPr>
        <w:t>. Barra minn hekk, ġie rrappurtat li nofs il-proċessi ta’ proċedura ordinarja fil-qrati tal-prim’istanza jispiċċaw b’liberazzjoni</w:t>
      </w:r>
      <w:r>
        <w:rPr>
          <w:rFonts w:cs="Times New Roman"/>
          <w:noProof/>
          <w:vertAlign w:val="superscript"/>
        </w:rPr>
        <w:footnoteReference w:id="74"/>
      </w:r>
      <w:r>
        <w:rPr>
          <w:noProof/>
        </w:rPr>
        <w:t>. L-Italja tibqa’ taħt superviżjoni msaħħa tal-Kumitat tal-Ministri tal-Kunsill tal-Ewropa anki fir-rigward tat-tul tal-proċedimenti f’kawżi kriminali</w:t>
      </w:r>
      <w:r>
        <w:rPr>
          <w:rFonts w:cs="Times New Roman"/>
          <w:noProof/>
          <w:vertAlign w:val="superscript"/>
        </w:rPr>
        <w:footnoteReference w:id="75"/>
      </w:r>
      <w:r>
        <w:rPr>
          <w:noProof/>
        </w:rPr>
        <w:t xml:space="preserve">. </w:t>
      </w:r>
    </w:p>
    <w:p>
      <w:pPr>
        <w:spacing w:after="160"/>
        <w:rPr>
          <w:rFonts w:cs="Times New Roman"/>
          <w:noProof/>
          <w:szCs w:val="24"/>
        </w:rPr>
      </w:pPr>
      <w:r>
        <w:rPr>
          <w:b/>
          <w:bCs/>
          <w:noProof/>
        </w:rPr>
        <w:t>L-abbozzi ta’ liġijiet biex jiġu indirizzati l-isfidi tal-effiċjenza għadhom qed jiġu diskussi fil-Parlament</w:t>
      </w:r>
      <w:r>
        <w:rPr>
          <w:rStyle w:val="FootnoteReference"/>
          <w:rFonts w:cs="Times New Roman"/>
          <w:b/>
          <w:bCs/>
          <w:noProof/>
        </w:rPr>
        <w:footnoteReference w:id="76"/>
      </w:r>
      <w:r>
        <w:rPr>
          <w:noProof/>
        </w:rPr>
        <w:t>. Il-Gvern ippreżenta emendi għall-abbozz ta’ liġi bil-għan li jkun hemm titjib fl-effiċjenza fil-proċedimenti ċivili</w:t>
      </w:r>
      <w:r>
        <w:rPr>
          <w:rFonts w:cs="Times New Roman"/>
          <w:noProof/>
          <w:vertAlign w:val="superscript"/>
        </w:rPr>
        <w:footnoteReference w:id="77"/>
      </w:r>
      <w:r>
        <w:rPr>
          <w:noProof/>
        </w:rPr>
        <w:t>. Dawn l-emendi jinkludu, fost l-oħrajn, żieda ta’ soluzzjoni alternattiva għat-tilwim</w:t>
      </w:r>
      <w:r>
        <w:rPr>
          <w:rFonts w:cs="Times New Roman"/>
          <w:noProof/>
          <w:vertAlign w:val="superscript"/>
        </w:rPr>
        <w:footnoteReference w:id="78"/>
      </w:r>
      <w:r>
        <w:rPr>
          <w:noProof/>
        </w:rPr>
        <w:t>, arbitraġġ, negozjar assistit, enfasi aħjar fuq il-fażi preparatorja u dik introduttorja tal-proċedimenti, diġitalizzazzjoni msaħħa permezz ta’ seduti ta’ smigħ mill-bogħod, rieżami tal-filtri tal-ammissibbiltà fil-livell tal-appell, simplifikazzjoni tal-proċedura ta’ appell u organizzazzjoni mill-ġdid tal-uffiċċju tal-proċess. Fil-qasam tal-ġustizzja kriminali, il-miżuri previsti</w:t>
      </w:r>
      <w:r>
        <w:rPr>
          <w:rStyle w:val="FootnoteReference"/>
          <w:rFonts w:cs="Times New Roman"/>
          <w:noProof/>
        </w:rPr>
        <w:footnoteReference w:id="79"/>
      </w:r>
      <w:r>
        <w:rPr>
          <w:noProof/>
        </w:rPr>
        <w:t xml:space="preserve"> jistgħu jinkludu, fost l-oħrajn, titjib fis-sistema ta’ notifika, aċċess estiż għal proċeduri speċjali (pereż. proċedura ta’ appell), intervent usa’ tal-imħallef fil-fażi ta’ investigazzjoni preliminari, aċċess selettiv għall-proċeduri ta’ appell, tnaqqis ta’ sovrakriminalizzazzjoni u novitajiet fir-rigward ta’ sanzjonijiet kriminali kif ukoll ġustizzja restorattiva b’enfasi fuq il-vittmi</w:t>
      </w:r>
      <w:r>
        <w:rPr>
          <w:rStyle w:val="FootnoteReference"/>
          <w:rFonts w:cs="Times New Roman"/>
          <w:noProof/>
        </w:rPr>
        <w:footnoteReference w:id="80"/>
      </w:r>
      <w:r>
        <w:rPr>
          <w:noProof/>
        </w:rPr>
        <w:t>. Barra minn hekk, jistgħu jiġu introdotti emendi speċifiċi mill-Gvern għall-Uffiċċju tal-Prova biex tiżdied l-effiċjenza. L-abbozz ta’ riforma dwar il-CSM u aspetti oħra tas-sistema ġudizzjarja x’aktarx li jinkludi aktar dispożizzjonijiet biex jappoġġaw u jiffaċilitaw il-kisbiet fl-effiċjenza (pereż. l-obbligu li l-maġistrati li jkollhom pożizzjoni maniġerjali jkopru ċertu perjodu ta’ żmien biex jiġi żgurat ippjanar adegwat tal-uffiċċju)</w:t>
      </w:r>
      <w:r>
        <w:rPr>
          <w:rStyle w:val="FootnoteReference"/>
          <w:rFonts w:cs="Times New Roman"/>
          <w:noProof/>
        </w:rPr>
        <w:footnoteReference w:id="81"/>
      </w:r>
      <w:r>
        <w:rPr>
          <w:noProof/>
        </w:rPr>
        <w:t xml:space="preserve">. </w:t>
      </w:r>
    </w:p>
    <w:p>
      <w:pPr>
        <w:pStyle w:val="Heading1"/>
        <w:rPr>
          <w:noProof/>
        </w:rPr>
      </w:pPr>
      <w:r>
        <w:rPr>
          <w:noProof/>
        </w:rPr>
        <w:t xml:space="preserve">Qafas kontra l-korruzzjoni </w:t>
      </w:r>
    </w:p>
    <w:p>
      <w:pPr>
        <w:rPr>
          <w:rFonts w:cs="Times New Roman"/>
          <w:noProof/>
          <w:szCs w:val="24"/>
        </w:rPr>
      </w:pPr>
      <w:r>
        <w:rPr>
          <w:noProof/>
        </w:rPr>
        <w:t>L-Awtorità Nazzjonali Kontra l-Korruzzjoni hija l-entità ewlenija inkarigata mill-prevenzjoni tal-korruzzjoni fl-amministrazzjoni pubblika li tissorvelja l-adozzjoni tal-pjanijiet lokali ta’ tliet snin kontra l-korruzzjoni. L-unità Kontra l-Korruzzjoni tal-Pulizija Finanzjarja hija responsabbli għall-investigazzjoni u l-prevenzjoni tal-korruzzjoni bħala korp speċjalizzat tal-infurzar tal-liġi. Bħala awtorità indipendenti fil-Bank tal-Italja, l-Unità tal-Intelligence Finanzjarja għall-Italja tipprovdi appoġġ lill-uffiċċju tal-prosekutur kompetenti u tikkoopera mal-Pulizija Finanzjarja bħala l-awtorità kompetenti biex tirċievi rapporti ta’ tranżazzjonijiet finanzjarji suspettużi.</w:t>
      </w:r>
    </w:p>
    <w:p>
      <w:pPr>
        <w:rPr>
          <w:rFonts w:cs="Times New Roman"/>
          <w:noProof/>
        </w:rPr>
      </w:pPr>
      <w:r>
        <w:rPr>
          <w:b/>
          <w:noProof/>
        </w:rPr>
        <w:t xml:space="preserve">Il-perċezzjoni fost l-esperti u l-eżekuttivi tan-negozju hija li l-livell ta’ korruzzjoni fis-settur pubbliku għadu relattivament għoli. </w:t>
      </w:r>
      <w:r>
        <w:rPr>
          <w:noProof/>
        </w:rPr>
        <w:t>Fl-Indiċi tal-Perċezzjoni tal-Korruzzjoni tal-2020 minn Transparency International, l-Italja għandha punteġġ ta’ 53/100 u tinsab fil-ħmistax-il post fl-Unjoni Ewropea u fit-tnejn u ħamsin post globalment</w:t>
      </w:r>
      <w:r>
        <w:rPr>
          <w:rFonts w:cs="Times New Roman"/>
          <w:bCs/>
          <w:noProof/>
          <w:vertAlign w:val="superscript"/>
        </w:rPr>
        <w:footnoteReference w:id="82"/>
      </w:r>
      <w:r>
        <w:rPr>
          <w:noProof/>
        </w:rPr>
        <w:t>. Din il-perċezzjoni żdiedet b’mod sinifikanti</w:t>
      </w:r>
      <w:r>
        <w:rPr>
          <w:rFonts w:cs="Times New Roman"/>
          <w:noProof/>
          <w:vertAlign w:val="superscript"/>
        </w:rPr>
        <w:footnoteReference w:id="83"/>
      </w:r>
      <w:r>
        <w:rPr>
          <w:noProof/>
        </w:rPr>
        <w:t xml:space="preserve"> matul l-aħħar ħames snin</w:t>
      </w:r>
      <w:r>
        <w:rPr>
          <w:rFonts w:cs="Times New Roman"/>
          <w:noProof/>
          <w:vertAlign w:val="superscript"/>
        </w:rPr>
        <w:footnoteReference w:id="84"/>
      </w:r>
      <w:r>
        <w:rPr>
          <w:noProof/>
        </w:rPr>
        <w:t>.</w:t>
      </w:r>
    </w:p>
    <w:p>
      <w:pPr>
        <w:rPr>
          <w:rFonts w:cs="Times New Roman"/>
          <w:noProof/>
          <w:szCs w:val="24"/>
        </w:rPr>
      </w:pPr>
      <w:r>
        <w:rPr>
          <w:b/>
          <w:bCs/>
          <w:noProof/>
        </w:rPr>
        <w:t>L-Italja għandha Pjan Nazzjonali Kontra l-Korruzzjoni fis-seħħ għas-snin 2019-2021.</w:t>
      </w:r>
      <w:r>
        <w:rPr>
          <w:noProof/>
        </w:rPr>
        <w:t xml:space="preserve"> Il-korp ċentrali ta’ koordinazzjoni għall-pjan</w:t>
      </w:r>
      <w:r>
        <w:rPr>
          <w:rFonts w:cs="Times New Roman"/>
          <w:noProof/>
          <w:vertAlign w:val="superscript"/>
        </w:rPr>
        <w:footnoteReference w:id="85"/>
      </w:r>
      <w:r>
        <w:rPr>
          <w:noProof/>
        </w:rPr>
        <w:t xml:space="preserve"> huwa l-Awtorità Nazzjonali Kontra l-Korruzzjoni. Il-pjan, li huwa l-istrateġija globali għall-prevenzjoni tal-korruzzjoni fl-amministrazzjoni pubblika, jistabbilixxi l-objettivi ta’ politika ewlenin għall-prevenzjoni tal-korruzzjoni, li jiġu aġġornati kull sena. It-temi ċentrali tal-aġġornament tal-pjan tal-2021 jiffukaw fuq l-akkwist pubbliku kif ukoll fuq ir-rwol u l-funzjoni tal-uffiċjali lokali kontra l-korruzzjoni li jeżistu bħala punti fokali f’kull amministrazzjoni lokali</w:t>
      </w:r>
      <w:r>
        <w:rPr>
          <w:rFonts w:cs="Times New Roman"/>
          <w:noProof/>
          <w:vertAlign w:val="superscript"/>
        </w:rPr>
        <w:footnoteReference w:id="86"/>
      </w:r>
      <w:r>
        <w:rPr>
          <w:noProof/>
        </w:rPr>
        <w:t>. Skont l-Awtorità Kontra l-Korruzzjoni, dawn iż-żewġ kwistjonijiet se jkunu wkoll is-suġġetti ewlenin tal-pjan ta’ tliet snin li jmiss lil hinn mill-2021</w:t>
      </w:r>
      <w:r>
        <w:rPr>
          <w:rStyle w:val="FootnoteReference"/>
          <w:rFonts w:cs="Times New Roman"/>
          <w:noProof/>
        </w:rPr>
        <w:footnoteReference w:id="87"/>
      </w:r>
      <w:r>
        <w:rPr>
          <w:noProof/>
        </w:rPr>
        <w:t>. Il-Pjan Nazzjonali Kontra l-Korruzzjoni jipprovdi appoġġ lill-amministrazzjonijiet pubbliċi fit-tfassil u l-implimentazzjoni tal-pjanijiet ta’ azzjoni tagħhom ta’ tliet snin speċifiċi għall-entità</w:t>
      </w:r>
      <w:r>
        <w:rPr>
          <w:rFonts w:cs="Times New Roman"/>
          <w:noProof/>
          <w:vertAlign w:val="superscript"/>
        </w:rPr>
        <w:footnoteReference w:id="88"/>
      </w:r>
      <w:r>
        <w:rPr>
          <w:noProof/>
        </w:rPr>
        <w:t>, b’enfasi attwali fuq l-akkwist pubbliku u l-mitigazzjoni tar-riskju ta’ korruzzjoni. Teżisti sistema ta’ monitoraġġ u l-partijiet ikkonċernati ewlenin iqisuha li taħdem tajjeb</w:t>
      </w:r>
      <w:r>
        <w:rPr>
          <w:rFonts w:cs="Times New Roman"/>
          <w:noProof/>
          <w:vertAlign w:val="superscript"/>
        </w:rPr>
        <w:footnoteReference w:id="89"/>
      </w:r>
      <w:r>
        <w:rPr>
          <w:noProof/>
        </w:rPr>
        <w:t>. F’Novembru 2020, l-Awtorità Kontra l-Korruzzjoni nediet evalwazzjoni biex tivvaluta l-firxa tal-implimentazzjoni ta’ dawn il-pjanijiet lokali adottati mill-amministrazzjonijiet pubbliċi</w:t>
      </w:r>
      <w:r>
        <w:rPr>
          <w:rFonts w:cs="Times New Roman"/>
          <w:noProof/>
          <w:vertAlign w:val="superscript"/>
        </w:rPr>
        <w:footnoteReference w:id="90"/>
      </w:r>
      <w:r>
        <w:rPr>
          <w:noProof/>
        </w:rPr>
        <w:t>.</w:t>
      </w:r>
    </w:p>
    <w:p>
      <w:pPr>
        <w:rPr>
          <w:rFonts w:cs="Times New Roman"/>
          <w:bCs/>
          <w:noProof/>
          <w:szCs w:val="24"/>
        </w:rPr>
      </w:pPr>
      <w:r>
        <w:rPr>
          <w:b/>
          <w:bCs/>
          <w:noProof/>
        </w:rPr>
        <w:t xml:space="preserve">Emendi leġiżlattivi biex irażżnu l-korruzzjoni u reati relatati mal-korruzzjoni b’mod aktar konsistenti daħlu fis-seħħ. </w:t>
      </w:r>
      <w:r>
        <w:rPr>
          <w:noProof/>
        </w:rPr>
        <w:t>B’mod partikolari, l-emendi</w:t>
      </w:r>
      <w:r>
        <w:rPr>
          <w:noProof/>
          <w:vertAlign w:val="superscript"/>
        </w:rPr>
        <w:footnoteReference w:id="91"/>
      </w:r>
      <w:r>
        <w:rPr>
          <w:noProof/>
        </w:rPr>
        <w:t xml:space="preserve"> għall-Kodiċi Kriminali introduċew sanzjonijiet aktar stretti fuq il-frodi</w:t>
      </w:r>
      <w:r>
        <w:rPr>
          <w:rFonts w:cs="Times New Roman"/>
          <w:noProof/>
          <w:vertAlign w:val="superscript"/>
        </w:rPr>
        <w:footnoteReference w:id="92"/>
      </w:r>
      <w:r>
        <w:rPr>
          <w:noProof/>
        </w:rPr>
        <w:t xml:space="preserve"> u wessgħu l-ambitu personali għall-korruzzjoni internazzjonali</w:t>
      </w:r>
      <w:r>
        <w:rPr>
          <w:rFonts w:cs="Times New Roman"/>
          <w:noProof/>
          <w:vertAlign w:val="superscript"/>
        </w:rPr>
        <w:footnoteReference w:id="93"/>
      </w:r>
      <w:r>
        <w:rPr>
          <w:noProof/>
        </w:rPr>
        <w:t>. Barra minn hekk, il-leġiżlazzjoni dwar l-abbuż mill-kariga ġiet immodifikata mid-digriet biex tkopri esklużivament il-ksur tar-regoli ta’ kondotta previsti mil-liġi (jew atti li għandhom is-saħħa tal-liġi) sabiex jitnaqqas il-livell ta’ diskrezzjoni pprovdut preċedentement</w:t>
      </w:r>
      <w:r>
        <w:rPr>
          <w:rFonts w:cs="Times New Roman"/>
          <w:noProof/>
          <w:vertAlign w:val="superscript"/>
        </w:rPr>
        <w:footnoteReference w:id="94"/>
      </w:r>
      <w:r>
        <w:rPr>
          <w:noProof/>
        </w:rPr>
        <w:t>.</w:t>
      </w:r>
    </w:p>
    <w:p>
      <w:pPr>
        <w:rPr>
          <w:rFonts w:cs="Times New Roman"/>
          <w:noProof/>
          <w:szCs w:val="24"/>
        </w:rPr>
      </w:pPr>
      <w:r>
        <w:rPr>
          <w:b/>
          <w:bCs/>
          <w:noProof/>
        </w:rPr>
        <w:t>Il-kooperazzjoni bejn l-istituzzjonijiet li jiġġieldu l-korruzzjoni taħdem sew, speċjalment fil-kuntest tal-kriminalità organizzata.</w:t>
      </w:r>
      <w:r>
        <w:rPr>
          <w:noProof/>
        </w:rPr>
        <w:t xml:space="preserve"> Il-kooperazzjoni bejn il-Pulizija Finanzjarja, l-Unità tal-Intelligence Finanzjarja, l-Uffiċċju tal-Prosekutur fil-Qorti tal-Awdituri, id-Direttorat Nazzjonali Kontra l-Mafja u l-Awtorità Kontra l-Korruzzjoni dwar l-immarkar ta’ attivitajiet suspettużi wriet li hija effettiva, b’mod partikolari fir-rigward tal-korruzzjoni fil-proċeduri tal-offerti pubbliċi u l-illegalità fl-amministrazzjoni pubblika</w:t>
      </w:r>
      <w:r>
        <w:rPr>
          <w:rFonts w:cs="Times New Roman"/>
          <w:noProof/>
          <w:vertAlign w:val="superscript"/>
        </w:rPr>
        <w:footnoteReference w:id="95"/>
      </w:r>
      <w:r>
        <w:rPr>
          <w:noProof/>
        </w:rPr>
        <w:t>. Bl-istess mod, il-kooperazzjoni mal-aġenziji doganali u ta’ monopolju hija meqjusa utli biex tinkixef il-korruzzjoni fil-kuntest usa’ tal-kriminalità organizzata li tinfiltra l-ekonomija u l-amministrazzjoni pubblika</w:t>
      </w:r>
      <w:r>
        <w:rPr>
          <w:rFonts w:cs="Times New Roman"/>
          <w:noProof/>
          <w:vertAlign w:val="superscript"/>
        </w:rPr>
        <w:footnoteReference w:id="96"/>
      </w:r>
      <w:r>
        <w:rPr>
          <w:noProof/>
        </w:rPr>
        <w:t>. Skont il-pulizija finanzjarja u l-prosekuturi, ir-riżorsi u l-livell ta’ speċjalizzazzjoni tal-investigaturi u l-prosekuturi kif ukoll l-aċċess tagħhom għall-informazzjoni fir-reġistri u l-bażijiet tad-</w:t>
      </w:r>
      <w:r>
        <w:rPr>
          <w:i/>
          <w:iCs/>
          <w:noProof/>
        </w:rPr>
        <w:t>data</w:t>
      </w:r>
      <w:r>
        <w:rPr>
          <w:noProof/>
        </w:rPr>
        <w:t xml:space="preserve"> rilevanti huma ġeneralment suffiċjenti biex iwettqu l-kompiti tagħhom fir-repressjoni tal-korruzzjoni. Minkejja żviluppi leġiżlattivi reċenti importanti dwar il-qafas legali</w:t>
      </w:r>
      <w:r>
        <w:rPr>
          <w:rFonts w:cs="Times New Roman"/>
          <w:noProof/>
          <w:vertAlign w:val="superscript"/>
        </w:rPr>
        <w:footnoteReference w:id="97"/>
      </w:r>
      <w:r>
        <w:rPr>
          <w:noProof/>
        </w:rPr>
        <w:t>, nuqqas ta’ riżorsi u esperjenza u għarfien espert legali limitati jaffettwaw il-kapaċità tal-awtoritajiet tal-infurzar tal-liġi li jsegwu u jħarrku b’mod effettiv it-tixħim barrani</w:t>
      </w:r>
      <w:r>
        <w:rPr>
          <w:rFonts w:cs="Times New Roman"/>
          <w:noProof/>
          <w:vertAlign w:val="superscript"/>
        </w:rPr>
        <w:footnoteReference w:id="98"/>
      </w:r>
      <w:r>
        <w:rPr>
          <w:noProof/>
        </w:rPr>
        <w:t>. Bħala esportatur ewlieni, l-Italja dan l-aħħar waqgħet minn infurzar attiv għal moderat fir-rigward tat-tixħim barrani</w:t>
      </w:r>
      <w:r>
        <w:rPr>
          <w:rFonts w:cs="Times New Roman"/>
          <w:noProof/>
          <w:vertAlign w:val="superscript"/>
        </w:rPr>
        <w:footnoteReference w:id="99"/>
      </w:r>
      <w:r>
        <w:rPr>
          <w:noProof/>
        </w:rPr>
        <w:t>, għalkemm l-attenzjoni għal din il-forma ta’ kriminalità żdiedet b’mod sinifikanti meta mqabbla ma’ 10 snin ilu</w:t>
      </w:r>
      <w:r>
        <w:rPr>
          <w:rFonts w:cs="Times New Roman"/>
          <w:noProof/>
          <w:vertAlign w:val="superscript"/>
        </w:rPr>
        <w:footnoteReference w:id="100"/>
      </w:r>
      <w:r>
        <w:rPr>
          <w:noProof/>
        </w:rPr>
        <w:t>.</w:t>
      </w:r>
    </w:p>
    <w:p>
      <w:pPr>
        <w:rPr>
          <w:rFonts w:cs="Times New Roman"/>
          <w:b/>
          <w:noProof/>
          <w:szCs w:val="24"/>
        </w:rPr>
      </w:pPr>
      <w:r>
        <w:rPr>
          <w:b/>
          <w:bCs/>
          <w:noProof/>
        </w:rPr>
        <w:t xml:space="preserve">L-isforzi biex tiġi miġġielda l-korruzzjoni għadhom qed jiġu mxekkla minn żminijiet eċċessivi ta’ disponiment, b’mod partikolari fil-livell ta’ appell. </w:t>
      </w:r>
      <w:r>
        <w:rPr>
          <w:noProof/>
        </w:rPr>
        <w:t>Abbozz ta’ liġi ta’ Marzu 2020 biex titjieb l-effiċjenza tal-proċessi kriminali u biex jitħaffu l-proċedimenti fil-Qrati tal-Appell ikompli jiġi eżaminat fil-Kamra tad-Deputati</w:t>
      </w:r>
      <w:r>
        <w:rPr>
          <w:rFonts w:cs="Times New Roman"/>
          <w:noProof/>
          <w:vertAlign w:val="superscript"/>
        </w:rPr>
        <w:footnoteReference w:id="101"/>
      </w:r>
      <w:r>
        <w:rPr>
          <w:noProof/>
        </w:rPr>
        <w:t>. Riżultati pożittivi fit-trażżin tat-tul tal-proċess kienu ġew irreġistrati preċedentement mill-qrati tal-prim’istanza u mill-Qorti tal-Kassazzjoni</w:t>
      </w:r>
      <w:r>
        <w:rPr>
          <w:rFonts w:cs="Times New Roman"/>
          <w:noProof/>
          <w:vertAlign w:val="superscript"/>
        </w:rPr>
        <w:footnoteReference w:id="102"/>
      </w:r>
      <w:r>
        <w:rPr>
          <w:noProof/>
        </w:rPr>
        <w:t>. Statistika aġġornata dwar investigazzjonijiet ta’ korruzzjoni mill-pulizija kif ukoll dwar prosekuzzjonijiet u kundanni mill-qrati għas-sena 2020 mhumiex disponibbli u huma mistennija li jiġu ppubblikati matul l-2021</w:t>
      </w:r>
      <w:r>
        <w:rPr>
          <w:rFonts w:cs="Times New Roman"/>
          <w:noProof/>
          <w:vertAlign w:val="superscript"/>
        </w:rPr>
        <w:footnoteReference w:id="103"/>
      </w:r>
      <w:r>
        <w:rPr>
          <w:noProof/>
        </w:rPr>
        <w:t xml:space="preserve">. </w:t>
      </w:r>
    </w:p>
    <w:p>
      <w:pPr>
        <w:rPr>
          <w:rFonts w:cs="Times New Roman"/>
          <w:bCs/>
          <w:noProof/>
          <w:szCs w:val="24"/>
        </w:rPr>
      </w:pPr>
      <w:r>
        <w:rPr>
          <w:b/>
          <w:bCs/>
          <w:noProof/>
        </w:rPr>
        <w:t>L-emendi għal-liġi awtonoma dwar l-informaturi jinsabu fl-istadju leġiżlattiv finali.</w:t>
      </w:r>
      <w:r>
        <w:rPr>
          <w:noProof/>
        </w:rPr>
        <w:t xml:space="preserve"> Sal-adozzjoni</w:t>
      </w:r>
      <w:r>
        <w:rPr>
          <w:noProof/>
          <w:vertAlign w:val="superscript"/>
        </w:rPr>
        <w:footnoteReference w:id="104"/>
      </w:r>
      <w:r>
        <w:rPr>
          <w:noProof/>
        </w:rPr>
        <w:t>, il-protezzjoni tal-informaturi fis-settur privat tibqa’ limitata billi hija bbażata fuq programmi ta’ konformità volontarji li mhux il-kumpaniji kollha jkunu stabbilixxew</w:t>
      </w:r>
      <w:r>
        <w:rPr>
          <w:rFonts w:cs="Times New Roman"/>
          <w:noProof/>
          <w:vertAlign w:val="superscript"/>
        </w:rPr>
        <w:footnoteReference w:id="105"/>
      </w:r>
      <w:r>
        <w:rPr>
          <w:noProof/>
        </w:rPr>
        <w:t>. Fil-prattika, l-Awtorità Kontra l-Korruzzjoni ma għandhiex il-mandat li tirċievi żvelar ta’ informaturi minn impjegati tas-settur privat jew li toħroġ sanzjonijiet</w:t>
      </w:r>
      <w:r>
        <w:rPr>
          <w:rFonts w:cs="Times New Roman"/>
          <w:noProof/>
          <w:vertAlign w:val="superscript"/>
        </w:rPr>
        <w:footnoteReference w:id="106"/>
      </w:r>
      <w:r>
        <w:rPr>
          <w:noProof/>
        </w:rPr>
        <w:t>. L-estensjoni tal-kamp ta’ applikazzjoni għall-kumpaniji kollha b’aktar minn 50 ħaddiem għalhekk se tkun livell ġdid importanti ta’ protezzjoni għall-informaturi tas-settur privat. F’Ġunju 2021, l-Awtorità Kontra l-Korruzzjoni ħarġet sett ġdid ta’ linji gwida dwar l-iżvelar ta’ informazzjoni protetta</w:t>
      </w:r>
      <w:r>
        <w:rPr>
          <w:rStyle w:val="FootnoteReference"/>
          <w:rFonts w:cs="Times New Roman"/>
          <w:noProof/>
        </w:rPr>
        <w:footnoteReference w:id="107"/>
      </w:r>
      <w:r>
        <w:rPr>
          <w:noProof/>
        </w:rPr>
        <w:t xml:space="preserve">. </w:t>
      </w:r>
    </w:p>
    <w:p>
      <w:pPr>
        <w:rPr>
          <w:rFonts w:cs="Times New Roman"/>
          <w:noProof/>
          <w:szCs w:val="24"/>
        </w:rPr>
      </w:pPr>
      <w:r>
        <w:rPr>
          <w:b/>
          <w:bCs/>
          <w:noProof/>
        </w:rPr>
        <w:t>Proposta leġiżlattiva dwar il-kunflitti ta’ interess għall-parlamentari għadha pendenti fil-Parlament</w:t>
      </w:r>
      <w:r>
        <w:rPr>
          <w:noProof/>
        </w:rPr>
        <w:t>. L-abbozz ta’ liġi</w:t>
      </w:r>
      <w:r>
        <w:rPr>
          <w:rFonts w:cs="Times New Roman"/>
          <w:noProof/>
          <w:vertAlign w:val="superscript"/>
        </w:rPr>
        <w:footnoteReference w:id="108"/>
      </w:r>
      <w:r>
        <w:rPr>
          <w:noProof/>
        </w:rPr>
        <w:t xml:space="preserve"> ppreżentat f’Mejju 2019 jemenda u jissostitwixxi kważi kompletament id-dispożizzjonijiet tal-Liġi Nru 215/2004 dwar il-Kunflitti ta’ Interess</w:t>
      </w:r>
      <w:r>
        <w:rPr>
          <w:rFonts w:cs="Times New Roman"/>
          <w:noProof/>
          <w:vertAlign w:val="superscript"/>
        </w:rPr>
        <w:footnoteReference w:id="109"/>
      </w:r>
      <w:r>
        <w:rPr>
          <w:noProof/>
        </w:rPr>
        <w:t>. Dan ġie approvat mill-Kumitat għall-Affarijiet Kostituzzjonali tal-Kamra tad-Deputati f’Ottubru 2020, bi skeda ta’ żmien indikattiva għad-dħul fis-seħħ fl-1 ta’ Lulju 2021</w:t>
      </w:r>
      <w:r>
        <w:rPr>
          <w:rFonts w:cs="Times New Roman"/>
          <w:noProof/>
          <w:vertAlign w:val="superscript"/>
        </w:rPr>
        <w:footnoteReference w:id="110"/>
      </w:r>
      <w:r>
        <w:rPr>
          <w:noProof/>
        </w:rPr>
        <w:t>. Il-proposta tinkludi l-introduzzjoni ta’ miżuri aktar stretti għall-membri tal-uffiċċji tal-gvern nazzjonali, reġjonali u lokali</w:t>
      </w:r>
      <w:r>
        <w:rPr>
          <w:rFonts w:cs="Times New Roman"/>
          <w:noProof/>
          <w:vertAlign w:val="superscript"/>
        </w:rPr>
        <w:footnoteReference w:id="111"/>
      </w:r>
      <w:r>
        <w:rPr>
          <w:noProof/>
        </w:rPr>
        <w:t>. L-adozzjoni ta’ Kodiċi ta’ Kondotta formalizzat tal-Etika għadha ma ntlaħqitx</w:t>
      </w:r>
      <w:r>
        <w:rPr>
          <w:rStyle w:val="FootnoteReference"/>
          <w:rFonts w:cs="Times New Roman"/>
          <w:noProof/>
        </w:rPr>
        <w:footnoteReference w:id="112"/>
      </w:r>
      <w:r>
        <w:rPr>
          <w:noProof/>
        </w:rPr>
        <w:t>. Sakemm tidħol fis-seħħ il-liġi l-ġdida, il-leġiżlazzjoni dwar il-kunflitti ta’ interess tibqa’ frammentata</w:t>
      </w:r>
      <w:r>
        <w:rPr>
          <w:rFonts w:cs="Times New Roman"/>
          <w:noProof/>
          <w:vertAlign w:val="superscript"/>
        </w:rPr>
        <w:footnoteReference w:id="113"/>
      </w:r>
      <w:r>
        <w:rPr>
          <w:noProof/>
        </w:rPr>
        <w:t>. Bl-istess mod, il-pubblikazzjoni tad-dikjarazzjonijiet tal-assi għall-membri tal-Kamra tad-Deputati u s-Senat tibqa’ frammentata u mhux trasparenti</w:t>
      </w:r>
      <w:r>
        <w:rPr>
          <w:rStyle w:val="FootnoteReference"/>
          <w:rFonts w:cs="Times New Roman"/>
          <w:noProof/>
        </w:rPr>
        <w:footnoteReference w:id="114"/>
      </w:r>
      <w:r>
        <w:rPr>
          <w:noProof/>
        </w:rPr>
        <w:t xml:space="preserve">. </w:t>
      </w:r>
    </w:p>
    <w:p>
      <w:pPr>
        <w:rPr>
          <w:rFonts w:cs="Times New Roman"/>
          <w:noProof/>
          <w:szCs w:val="24"/>
        </w:rPr>
      </w:pPr>
      <w:r>
        <w:rPr>
          <w:b/>
          <w:bCs/>
          <w:noProof/>
        </w:rPr>
        <w:t xml:space="preserve">Ma hemm l-ebda liġi dwar il-lobbying lejn membri tal-Gvern fis-seħħ, iżda diversi abbozzi ta’ liġijiet ġew ippreżentati lill-Parlament. </w:t>
      </w:r>
      <w:r>
        <w:rPr>
          <w:noProof/>
        </w:rPr>
        <w:t>L-abbozzi tal-liġijiet</w:t>
      </w:r>
      <w:r>
        <w:rPr>
          <w:noProof/>
          <w:vertAlign w:val="superscript"/>
        </w:rPr>
        <w:footnoteReference w:id="115"/>
      </w:r>
      <w:r>
        <w:rPr>
          <w:noProof/>
        </w:rPr>
        <w:t xml:space="preserve"> jippreżentaw il-qafas ġenerali għal negozjati ma’ rappreżentanti ta’ gruppi ta’ interess fuq il-bażi tal-esperjenza mar-Reġistri ta’ Trasparenza tal-Ministeru għall-Iżvilupp Ekonomiku u l-Ministeru tax-Xogħol</w:t>
      </w:r>
      <w:r>
        <w:rPr>
          <w:rFonts w:cs="Times New Roman"/>
          <w:noProof/>
          <w:vertAlign w:val="superscript"/>
        </w:rPr>
        <w:footnoteReference w:id="116"/>
      </w:r>
      <w:r>
        <w:rPr>
          <w:noProof/>
        </w:rPr>
        <w:t>. Ma hemm l-ebda referenza speċifika għall-introduzzjoni ta’ “impronta leġiżlattiva” iżda l-Gvern impenja ruħu fir-4 Pjan ta’ Azzjoni Nazzjonali għal Gvern Miftuħ li jistabbilixxi grupp ta’ ħidma dwar l-iżvilupp ta’ reġistru ta’ trasparenza nazzjonali unifikat, inklużi l-aġendi pubbliċi ta’ dawk kollha li jieħdu d-deċiżjonijiet li jiżvelaw il-laqgħat mal-lobbisti</w:t>
      </w:r>
      <w:r>
        <w:rPr>
          <w:rFonts w:cs="Times New Roman"/>
          <w:noProof/>
          <w:vertAlign w:val="superscript"/>
        </w:rPr>
        <w:footnoteReference w:id="117"/>
      </w:r>
      <w:r>
        <w:rPr>
          <w:noProof/>
        </w:rPr>
        <w:t>. Sakemm jiġi stabbilit reġistru operattiv tal-lobbying, inkluż impronta leġiżlattiva, ir-regolazzjoni tal-lobbying fil-konfront tal-gvern għadha frammentata</w:t>
      </w:r>
      <w:r>
        <w:rPr>
          <w:rFonts w:cs="Times New Roman"/>
          <w:noProof/>
          <w:vertAlign w:val="superscript"/>
        </w:rPr>
        <w:footnoteReference w:id="118"/>
      </w:r>
      <w:r>
        <w:rPr>
          <w:noProof/>
        </w:rPr>
        <w:t xml:space="preserve">. </w:t>
      </w:r>
    </w:p>
    <w:p>
      <w:pPr>
        <w:rPr>
          <w:rFonts w:cs="Times New Roman"/>
          <w:noProof/>
          <w:szCs w:val="24"/>
        </w:rPr>
      </w:pPr>
      <w:r>
        <w:rPr>
          <w:b/>
          <w:bCs/>
          <w:noProof/>
        </w:rPr>
        <w:t>Il-proposta leġiżlattiva dwar il-kunflitti ta’ interess ippreżentata fl-2020 tipprevedi regoli riveduti għal wara l-impjieg (“revolving door”)</w:t>
      </w:r>
      <w:r>
        <w:rPr>
          <w:noProof/>
        </w:rPr>
        <w:t>. F’termini ta’ kamp ta’ applikazzjoni, il-proposta</w:t>
      </w:r>
      <w:r>
        <w:rPr>
          <w:rFonts w:cs="Times New Roman"/>
          <w:noProof/>
          <w:vertAlign w:val="superscript"/>
        </w:rPr>
        <w:footnoteReference w:id="119"/>
      </w:r>
      <w:r>
        <w:rPr>
          <w:noProof/>
        </w:rPr>
        <w:t xml:space="preserve"> tkopri l-membri tal-Parlament kif ukoll l-ogħla uffiċjali eżekuttivi iżda ma testendix għal uffiċjali pubbliċi direttament relatati mal-ministri, bħall-kapijiet tal-kabinetti. It-tul tal-perjodu ta’ preklużjoni propost ta’ sena bħalissa għadu qed jiġi diskuss</w:t>
      </w:r>
      <w:r>
        <w:rPr>
          <w:rFonts w:cs="Times New Roman"/>
          <w:noProof/>
          <w:vertAlign w:val="superscript"/>
        </w:rPr>
        <w:footnoteReference w:id="120"/>
      </w:r>
      <w:r>
        <w:rPr>
          <w:noProof/>
        </w:rPr>
        <w:t xml:space="preserve">. </w:t>
      </w:r>
    </w:p>
    <w:p>
      <w:pPr>
        <w:rPr>
          <w:rFonts w:cs="Times New Roman"/>
          <w:noProof/>
        </w:rPr>
      </w:pPr>
      <w:r>
        <w:rPr>
          <w:b/>
          <w:bCs/>
          <w:noProof/>
        </w:rPr>
        <w:t>L-Italja tipprojbixxi l-finanzjament pubbliku dirett lill-partiti politiċi, inkluż għal kampanji politiċi</w:t>
      </w:r>
      <w:r>
        <w:rPr>
          <w:noProof/>
        </w:rPr>
        <w:t>. Konsegwentement, il-partiti politiċi jeħtieġ li jiffinanzjaw lilhom infushom kważi esklussivament permezz ta’ donazzjonijiet privati minn donaturi individwali jew entitajiet legali</w:t>
      </w:r>
      <w:r>
        <w:rPr>
          <w:rFonts w:cs="Times New Roman"/>
          <w:noProof/>
          <w:vertAlign w:val="superscript"/>
        </w:rPr>
        <w:footnoteReference w:id="121"/>
      </w:r>
      <w:r>
        <w:rPr>
          <w:noProof/>
        </w:rPr>
        <w:t>. Dan ħoloq dipendenza sinifikanti fuq il-parlamentari biex jiffinanzjaw kampanji politiċi mir-riżorsi tagħhom stess, u b’hekk l-atturi politiċi saru aktar dipendenti fuq donazzjonijiet privati u aktar vulnerabbli għal influwenza mhux xierqa</w:t>
      </w:r>
      <w:r>
        <w:rPr>
          <w:rFonts w:cs="Times New Roman"/>
          <w:noProof/>
          <w:vertAlign w:val="superscript"/>
        </w:rPr>
        <w:footnoteReference w:id="122"/>
      </w:r>
      <w:r>
        <w:rPr>
          <w:noProof/>
        </w:rPr>
        <w:t xml:space="preserve">. Hemm limitu relattivament għoli għal donazzjonijiet privati ta’ EUR 100 000 fis-sena. Madankollu, ir-regoli dwar it-trasparenza tal-finanzjament lill-organizzazzjonijiet politiċi fis-seħħ mill-2019 jobbligaw lill-partijiet jippubblikaw </w:t>
      </w:r>
      <w:r>
        <w:rPr>
          <w:i/>
          <w:noProof/>
        </w:rPr>
        <w:t>data</w:t>
      </w:r>
      <w:r>
        <w:rPr>
          <w:noProof/>
        </w:rPr>
        <w:t xml:space="preserve"> dwar id-donazzjonijiet</w:t>
      </w:r>
      <w:r>
        <w:rPr>
          <w:rFonts w:cs="Times New Roman"/>
          <w:noProof/>
          <w:vertAlign w:val="superscript"/>
        </w:rPr>
        <w:footnoteReference w:id="123"/>
      </w:r>
      <w:r>
        <w:rPr>
          <w:noProof/>
        </w:rPr>
        <w:t>. Donazzjonijiet ta’ aktar minn EUR 500 li jingħataw, fi flus jew in natura, jeħtieġ li jiġu ppubblikati flimkien mal-identità tad-donatur fi żmien xahar mid-datatal-wasla. In-nuqqas ta’ konformità mar-rekwiżit tal-pubblikazzjoni huwa punibbli b’multa amministrattiva ta’ tlieta sa ħames darbiet il-valur tad-donazzjoni mhux irrapportata. Id-donazzjonijiet barranin huma pprojbiti. Jeżisti tħassib dwar il-kapaċitajiet u r-riżorsi tal-korpi ta’ sorveljanza u superviżorji</w:t>
      </w:r>
      <w:r>
        <w:rPr>
          <w:rFonts w:cs="Times New Roman"/>
          <w:noProof/>
          <w:vertAlign w:val="superscript"/>
        </w:rPr>
        <w:footnoteReference w:id="124"/>
      </w:r>
      <w:r>
        <w:rPr>
          <w:noProof/>
        </w:rPr>
        <w:t>. Il-prattika li d-donazzjonijiet jgħaddu permezz ta’ fondazzjonijiet u assoċjazzjonijiet politiċi qabel ma jiġu trasferiti lill-partiti politiċi tista’ tkun ta’ xkiel għar-responsabbiltà pubblika, billi tranżazzjonijiet bħal dawn huma diffiċli biex jiġu rintraċċati u mmonitorjati</w:t>
      </w:r>
      <w:r>
        <w:rPr>
          <w:rFonts w:cs="Times New Roman"/>
          <w:noProof/>
          <w:vertAlign w:val="superscript"/>
        </w:rPr>
        <w:footnoteReference w:id="125"/>
      </w:r>
      <w:r>
        <w:rPr>
          <w:noProof/>
        </w:rPr>
        <w:t>.</w:t>
      </w:r>
    </w:p>
    <w:p>
      <w:pPr>
        <w:rPr>
          <w:rFonts w:cs="Times New Roman"/>
          <w:bCs/>
          <w:noProof/>
        </w:rPr>
      </w:pPr>
      <w:r>
        <w:rPr>
          <w:b/>
          <w:noProof/>
        </w:rPr>
        <w:t>Il-pandemija tal-COVID-19 żiedet b’mod sinifikanti r-riskju ta’ korruzzjoni u reati relatati mal-korruzzjoni li qed jitwettqu biex ikomplu jinfiltraw l-ekonomija legali tal-Italja.</w:t>
      </w:r>
      <w:r>
        <w:rPr>
          <w:noProof/>
        </w:rPr>
        <w:t xml:space="preserve"> Skont il-pulizija, il-kriminali bbenefikaw b’mod partikolari mix-xiri ta’ intrapriżi privati żgħar, bħal ristoranti f’diffikultajiet ekonomiċi minħabba l-pandemija tal-COVID-19, u ta’ prodotti sanitarji, inklużi maskri tal-wiċċ, tagħmir protettiv u gadgets mediċi, li jistgħu jservu bħala mezz biex jiffaċilitaw kriminalità oħra relatata mal-korruzzjoni, bħall-ħasil tal-flus</w:t>
      </w:r>
      <w:r>
        <w:rPr>
          <w:rStyle w:val="FootnoteReference"/>
          <w:rFonts w:cs="Times New Roman"/>
          <w:noProof/>
        </w:rPr>
        <w:footnoteReference w:id="126"/>
      </w:r>
      <w:r>
        <w:rPr>
          <w:noProof/>
        </w:rPr>
        <w:t>. Barra minn hekk, id-Digriet Amministrattiv dwar miżuri għas-simplifikazzjoni amministrattiva u d-diġitalizzazzjoni adottat f’Lulju 2020 introduċa wkoll reġim speċjali għall-għoti ta’ kuntratti pubbliċi</w:t>
      </w:r>
      <w:r>
        <w:rPr>
          <w:rFonts w:cs="Times New Roman"/>
          <w:noProof/>
          <w:vertAlign w:val="superscript"/>
        </w:rPr>
        <w:footnoteReference w:id="127"/>
      </w:r>
      <w:r>
        <w:rPr>
          <w:noProof/>
        </w:rPr>
        <w:t>. Il-miżuri jiffukaw fuq proċeduri rapidi u għotjiet diretti mingħajr kompetizzjoni uffiċjali</w:t>
      </w:r>
      <w:r>
        <w:rPr>
          <w:rFonts w:cs="Times New Roman"/>
          <w:noProof/>
          <w:vertAlign w:val="superscript"/>
        </w:rPr>
        <w:footnoteReference w:id="128"/>
      </w:r>
      <w:r>
        <w:rPr>
          <w:noProof/>
        </w:rPr>
        <w:t>, fuq proċeduri ta’ għoti simplifikati u fuq sanzjonijiet għal dawk li jissospendu jew irażżnu l-għoti u l-eżekuzzjoni ta’ xogħlijiet pubbliċi, li kollha kemm huma jirriskjaw li jiffaċilitaw il-korruzzjoni</w:t>
      </w:r>
      <w:r>
        <w:rPr>
          <w:rFonts w:cs="Times New Roman"/>
          <w:noProof/>
          <w:vertAlign w:val="superscript"/>
        </w:rPr>
        <w:footnoteReference w:id="129"/>
      </w:r>
      <w:r>
        <w:rPr>
          <w:noProof/>
        </w:rPr>
        <w:t>. L-Awtorità Kontra l-Korruzzjoni aġġornat il-bażi tad-</w:t>
      </w:r>
      <w:r>
        <w:rPr>
          <w:i/>
          <w:noProof/>
        </w:rPr>
        <w:t>data</w:t>
      </w:r>
      <w:r>
        <w:rPr>
          <w:noProof/>
        </w:rPr>
        <w:t xml:space="preserve"> tal-kuntratti pubbliċi tagħha f’Settembru 2020 u pproduċiet indikaturi ġodda tar-riskju ta’ korruzzjoni fis-settur tal-akkwist pubbliku f’Diċembru 2020</w:t>
      </w:r>
      <w:r>
        <w:rPr>
          <w:rStyle w:val="FootnoteReference"/>
          <w:rFonts w:cs="Times New Roman"/>
          <w:bCs/>
          <w:noProof/>
        </w:rPr>
        <w:footnoteReference w:id="130"/>
      </w:r>
      <w:r>
        <w:rPr>
          <w:noProof/>
        </w:rPr>
        <w:t>.</w:t>
      </w:r>
    </w:p>
    <w:p>
      <w:pPr>
        <w:pStyle w:val="Heading1"/>
        <w:rPr>
          <w:noProof/>
        </w:rPr>
      </w:pPr>
      <w:r>
        <w:rPr>
          <w:noProof/>
        </w:rPr>
        <w:t>Il-Pluraliżmu tal-Media u l-Libertà tal-Media</w:t>
      </w:r>
    </w:p>
    <w:p>
      <w:pPr>
        <w:rPr>
          <w:rFonts w:eastAsia="Calibri" w:cs="Times New Roman"/>
          <w:noProof/>
          <w:szCs w:val="24"/>
        </w:rPr>
      </w:pPr>
      <w:r>
        <w:rPr>
          <w:noProof/>
        </w:rPr>
        <w:t>Il-libertà tal-espressjoni u tal-informazzjoni, il-libertà tal-istampa kif ukoll il-prinċipju tat-trasparenza tal-finanzjament tal-media huma minquxa fil-Kostituzzjoni Taljana</w:t>
      </w:r>
      <w:r>
        <w:rPr>
          <w:rFonts w:eastAsia="Calibri" w:cs="Times New Roman"/>
          <w:noProof/>
          <w:vertAlign w:val="superscript"/>
        </w:rPr>
        <w:footnoteReference w:id="131"/>
      </w:r>
      <w:r>
        <w:rPr>
          <w:noProof/>
        </w:rPr>
        <w:t>. Il-leġiżlazzjoni sekondarja tistabbilixxi qafas robust immirat lejn l-iżgurar tal-pluraliżmu tal-media fil-pajjiż filwaqt li r-regolatur tal-media konverġenti indipendenti, l-Awtorità għall-Garanziji tal-Komunikazzjonijiet (Authority for Guaranteeing Communications, AGCOM), hija stabbilita bil-liġi. Il-piena kriminali għal malafama, li hija sa sena ħabs, bħalissa qed tiġi riveduta mil-leġiżlatura filwaqt li l-leġiżlazzjoni għadha pendenti biex tiġi trasposta d-Direttiva AVMS. Il-ġurnalisti jridu jkunu rreġistrati fl-Ordni tal-Ġurnalisti, li tipprovdi għall-awtogovernanza mill-professjoni.</w:t>
      </w:r>
    </w:p>
    <w:p>
      <w:pPr>
        <w:rPr>
          <w:rFonts w:eastAsia="Times New Roman" w:cs="Times New Roman"/>
          <w:noProof/>
        </w:rPr>
      </w:pPr>
      <w:r>
        <w:rPr>
          <w:b/>
          <w:noProof/>
        </w:rPr>
        <w:t>Ir-regolatur għas-servizzi tal-media awdjoviżiva, AGCOM, ikompli jiffunzjona b’mod indipendenti u effettiv.</w:t>
      </w:r>
      <w:r>
        <w:rPr>
          <w:noProof/>
        </w:rPr>
        <w:t xml:space="preserve"> F’Novembru 2020, l-Osservatorju tal-Ġurnaliżmu tal-AGCOM ippubblika rapport relatat, fost l-oħrajn, mal-professjoni ġurnalistika matul il-pandemija tal-COVID-19</w:t>
      </w:r>
      <w:r>
        <w:rPr>
          <w:rFonts w:eastAsia="Times New Roman" w:cs="Times New Roman"/>
          <w:noProof/>
          <w:vertAlign w:val="superscript"/>
          <w:lang w:eastAsia="fr-FR"/>
        </w:rPr>
        <w:footnoteReference w:id="132"/>
      </w:r>
      <w:r>
        <w:rPr>
          <w:noProof/>
        </w:rPr>
        <w:t xml:space="preserve"> u l-ħafna sfidi li l-ġurnalisti ffaċċjaw qabel u matul il-pandemija. Hija tiddokumenta l-kundizzjonijiet tax-xogħol li qed jiddeterjoraw, iż-żieda fix-xogħol freelance u xogħol prekarju ieħor u nuqqas ta’ għarfien speċjalizzat fost il-ġurnalisti, mhux l-inqas dwar suġġetti relatati mal-COVID-19</w:t>
      </w:r>
      <w:r>
        <w:rPr>
          <w:rFonts w:eastAsia="Times New Roman" w:cs="Times New Roman"/>
          <w:noProof/>
          <w:vertAlign w:val="superscript"/>
          <w:lang w:eastAsia="fr-FR"/>
        </w:rPr>
        <w:footnoteReference w:id="133"/>
      </w:r>
      <w:r>
        <w:rPr>
          <w:noProof/>
        </w:rPr>
        <w:t>.</w:t>
      </w:r>
    </w:p>
    <w:p>
      <w:pPr>
        <w:rPr>
          <w:rFonts w:eastAsia="Times New Roman" w:cs="Times New Roman"/>
          <w:noProof/>
        </w:rPr>
      </w:pPr>
      <w:r>
        <w:rPr>
          <w:b/>
          <w:noProof/>
        </w:rPr>
        <w:t>Il-Gvern ipprovda appoġġ finanzjarju lis-settur tal-media biex jittaffa l-impatt tal-pandemija tal-COVID-19.</w:t>
      </w:r>
      <w:r>
        <w:rPr>
          <w:noProof/>
        </w:rPr>
        <w:t xml:space="preserve"> Fl-2021, il-Gvern Taljan introduċa sensiela ta’ miżuri ekonomiċi biex jittaffa l-impatt tal-pandemija tal-COVID-19 li inkludew ċerti miżuri speċifiċi għall-media, jiġifieri kreditu ta’ taxxa għall-infiq tar-reklamar; kreditu ta’ taxxa għall-kjosks; kreditu ta’ taxxa għall-investimenti teknoloġiċi fil-media diġitali u kreditu ta’ taxxa għax-xiri tal-karti</w:t>
      </w:r>
      <w:r>
        <w:rPr>
          <w:rFonts w:eastAsia="Times New Roman" w:cs="Times New Roman"/>
          <w:noProof/>
          <w:vertAlign w:val="superscript"/>
          <w:lang w:eastAsia="fr-FR"/>
        </w:rPr>
        <w:footnoteReference w:id="134"/>
      </w:r>
      <w:r>
        <w:rPr>
          <w:noProof/>
        </w:rPr>
        <w:t>. Il-Parlament approva wkoll il-posponiment tat-tnaqqis baġitarju li kien skedat li jsir lill-Fond għall-pluraliżmu tal-informazzjoni</w:t>
      </w:r>
      <w:r>
        <w:rPr>
          <w:rFonts w:eastAsia="Times New Roman" w:cs="Times New Roman"/>
          <w:noProof/>
          <w:vertAlign w:val="superscript"/>
          <w:lang w:eastAsia="fr-FR"/>
        </w:rPr>
        <w:footnoteReference w:id="135"/>
      </w:r>
      <w:r>
        <w:rPr>
          <w:noProof/>
        </w:rPr>
        <w:t>. L-aċċess għal dan il-fond huwa bbażat fuq sensiela ta’ kriterji oġġettivi, jiġifieri l-gazzetti editjati minn kooperattivi ta’ ġurnalisti, pubblikazzjonijiet mingħajr skop ta’ qligħ u dawk li jipprovdu għal minoranzi lingwistiċi biss jenħtieġ li jkunu intitolati għall-appoġġ pubbliku. Il-Qorti Kostituzzjonali sostniet li f’qasam fundamentali bħal dan, huwa meħtieġ qafas regolatorju trasparenti filwaqt li l-allokazzjoni tar-riżorsi trid tkun ibbażata fuq kriterji ċari u oġġettivi</w:t>
      </w:r>
      <w:r>
        <w:rPr>
          <w:rFonts w:eastAsia="Times New Roman" w:cs="Times New Roman"/>
          <w:noProof/>
          <w:vertAlign w:val="superscript"/>
          <w:lang w:eastAsia="fr-FR"/>
        </w:rPr>
        <w:footnoteReference w:id="136"/>
      </w:r>
      <w:r>
        <w:rPr>
          <w:noProof/>
        </w:rPr>
        <w:t xml:space="preserve">. </w:t>
      </w:r>
    </w:p>
    <w:p>
      <w:pPr>
        <w:rPr>
          <w:rFonts w:eastAsia="Calibri" w:cs="Times New Roman"/>
          <w:noProof/>
        </w:rPr>
      </w:pPr>
      <w:r>
        <w:rPr>
          <w:b/>
          <w:noProof/>
        </w:rPr>
        <w:t>L-indipendenza politika tal-media Taljana tibqa’ kwistjoni ta’ tħassib fin-nuqqas ta’ liġi effettiva li tirregola l-kunflitti ta’ interess.</w:t>
      </w:r>
      <w:r>
        <w:rPr>
          <w:noProof/>
        </w:rPr>
        <w:t xml:space="preserve"> Abbozzi ta’ riformi għadhom pendenti fil-parlament minkejja li l-kwistjoni tibqa’ suġġett politiku ewlieni fil-pajjiż</w:t>
      </w:r>
      <w:r>
        <w:rPr>
          <w:rFonts w:eastAsia="Calibri" w:cs="Times New Roman"/>
          <w:noProof/>
          <w:vertAlign w:val="superscript"/>
        </w:rPr>
        <w:footnoteReference w:id="137"/>
      </w:r>
      <w:r>
        <w:rPr>
          <w:noProof/>
        </w:rPr>
        <w:t>. Filwaqt li l-gazzetti ewlenin tal-Italja mhumiex direttament jew indirettament proprjetà ta’ politiċi jew partiti politiċi, il-linji editorjali jirriflettu l-polarizzazzjoni qawwija tax-xena politika Taljana. Għal dawn ir-raġunijiet, l-MPM 2021 iqis l-indipendenza politika b’mod ġenerali u l-awtonomija editorjali b’mod partikolari bħala f’riskju medju</w:t>
      </w:r>
      <w:r>
        <w:rPr>
          <w:rFonts w:eastAsia="Calibri" w:cs="Times New Roman"/>
          <w:noProof/>
          <w:vertAlign w:val="superscript"/>
        </w:rPr>
        <w:footnoteReference w:id="138"/>
      </w:r>
      <w:r>
        <w:rPr>
          <w:noProof/>
        </w:rPr>
        <w:t>. Fl-Italja, nosservaw livelli għoljin ta’ konċentrazzjoni fis-sottosetturi kollha tal-media tal-aħbarijiet</w:t>
      </w:r>
      <w:r>
        <w:rPr>
          <w:rStyle w:val="FootnoteReference"/>
          <w:noProof/>
        </w:rPr>
        <w:footnoteReference w:id="139"/>
      </w:r>
      <w:r>
        <w:rPr>
          <w:noProof/>
        </w:rPr>
        <w:t>.</w:t>
      </w:r>
    </w:p>
    <w:p>
      <w:pPr>
        <w:rPr>
          <w:rFonts w:eastAsia="Calibri" w:cs="Times New Roman"/>
          <w:noProof/>
        </w:rPr>
      </w:pPr>
      <w:r>
        <w:rPr>
          <w:b/>
          <w:noProof/>
          <w:szCs w:val="20"/>
        </w:rPr>
        <w:t>Ġew irrappurtati kwistjonijiet li jfixklu l-aċċess effettiv għall-informazzjoni.</w:t>
      </w:r>
      <w:r>
        <w:rPr>
          <w:i/>
          <w:noProof/>
          <w:szCs w:val="20"/>
        </w:rPr>
        <w:t xml:space="preserve"> </w:t>
      </w:r>
      <w:r>
        <w:rPr>
          <w:noProof/>
        </w:rPr>
        <w:t>L-att dwar il-Libertà tal-Informazzjoni tal-Italja (Freedom of Information Act, FOIA)</w:t>
      </w:r>
      <w:r>
        <w:rPr>
          <w:rFonts w:eastAsia="Calibri" w:cs="Times New Roman"/>
          <w:noProof/>
          <w:vertAlign w:val="superscript"/>
        </w:rPr>
        <w:footnoteReference w:id="140"/>
      </w:r>
      <w:r>
        <w:rPr>
          <w:noProof/>
        </w:rPr>
        <w:t xml:space="preserve"> jirregola l-“aċċess ċiviku” għal </w:t>
      </w:r>
      <w:r>
        <w:rPr>
          <w:i/>
          <w:noProof/>
        </w:rPr>
        <w:t>data</w:t>
      </w:r>
      <w:r>
        <w:rPr>
          <w:noProof/>
        </w:rPr>
        <w:t xml:space="preserve"> u dokumenti miżmuma mill-amministrazzjoni pubblika. L-MPM 2021 jirreferi għal rapporti indipendenti li jindikaw li l-ġustifikazzjonijiet ipprovduti mill-awtoritajiet biex jirrifjutaw l-aċċess għall-informazzjoni huma okkażjonalment vagi u mhumiex ibbażati b’mod ċar fuq l-eżenzjonijiet previsti mil-liġi. Matul il-pandemija tal-COVID-19, is-sospensjoni tar-reġim tal-FOIA bejn it-28 ta’ Frar u l-15 ta’ April 2020 kienet motivata għal raġunijiet operazzjonali aktar milli għal raġunijiet ta’ protezzjoni tas-saħħa pubblika</w:t>
      </w:r>
      <w:r>
        <w:rPr>
          <w:rFonts w:eastAsia="Calibri" w:cs="Times New Roman"/>
          <w:noProof/>
          <w:vertAlign w:val="superscript"/>
        </w:rPr>
        <w:footnoteReference w:id="141"/>
      </w:r>
      <w:r>
        <w:rPr>
          <w:noProof/>
        </w:rPr>
        <w:t xml:space="preserve">. </w:t>
      </w:r>
    </w:p>
    <w:p>
      <w:pPr>
        <w:rPr>
          <w:rFonts w:eastAsia="Calibri"/>
          <w:noProof/>
        </w:rPr>
      </w:pPr>
      <w:r>
        <w:rPr>
          <w:b/>
          <w:noProof/>
        </w:rPr>
        <w:t xml:space="preserve">Il-liġijiet dwar il-malafama ma ġewx emendati u jibqgħu soġġetti għal skrutinju parlamentari. </w:t>
      </w:r>
      <w:r>
        <w:rPr>
          <w:noProof/>
        </w:rPr>
        <w:t>Madankollu, fid-dawl tad-dikjarazzjonijiet tal-Qorti Kostituzzjonali dwar il-kwistjoni</w:t>
      </w:r>
      <w:r>
        <w:rPr>
          <w:rFonts w:eastAsia="Calibri" w:cs="Times New Roman"/>
          <w:noProof/>
          <w:vertAlign w:val="superscript"/>
        </w:rPr>
        <w:footnoteReference w:id="142"/>
      </w:r>
      <w:r>
        <w:rPr>
          <w:noProof/>
        </w:rPr>
        <w:t xml:space="preserve"> deskritta fid-dettall fir-Rapport dwar l-Istat tad-Dritt tal-2020</w:t>
      </w:r>
      <w:r>
        <w:rPr>
          <w:rStyle w:val="FootnoteReference"/>
          <w:rFonts w:eastAsia="Calibri" w:cs="Times New Roman"/>
          <w:noProof/>
        </w:rPr>
        <w:footnoteReference w:id="143"/>
      </w:r>
      <w:r>
        <w:rPr>
          <w:noProof/>
        </w:rPr>
        <w:t xml:space="preserve"> u li ntlaqgħu mill-organizzazzjonijiet għal-libertà tal-istampa, l-MPM 2021 naqqas il-livell ta’ riskju għal dan l-indikatur partikolari</w:t>
      </w:r>
      <w:r>
        <w:rPr>
          <w:rFonts w:eastAsia="Calibri" w:cs="Times New Roman"/>
          <w:noProof/>
          <w:vertAlign w:val="superscript"/>
        </w:rPr>
        <w:footnoteReference w:id="144"/>
      </w:r>
      <w:r>
        <w:rPr>
          <w:noProof/>
        </w:rPr>
        <w:t>. Fit-22 ta’ Ġunju 2021, il-Qorti Kostituzzjonali sabet li l-Artikolu 13 tal-Att dwar l-Istampa - sa fejn jipprevedi l-piena ta’ priġunerija għal diffamazzjoni tal-istampa - kien antikostituzzjonali u inkompatibbli mal-</w:t>
      </w:r>
      <w:r>
        <w:rPr>
          <w:noProof/>
          <w:color w:val="000000" w:themeColor="text1"/>
        </w:rPr>
        <w:t>Artikolu 10 tal-Konvenzjoni Ewropea dwar id-Drittijiet tal-Bniedem</w:t>
      </w:r>
      <w:r>
        <w:rPr>
          <w:rStyle w:val="FootnoteReference"/>
          <w:rFonts w:eastAsia="Times New Roman" w:cs="Times New Roman"/>
          <w:noProof/>
          <w:color w:val="000000" w:themeColor="text1"/>
          <w:szCs w:val="24"/>
        </w:rPr>
        <w:footnoteReference w:id="145"/>
      </w:r>
      <w:r>
        <w:rPr>
          <w:noProof/>
          <w:color w:val="000000" w:themeColor="text1"/>
        </w:rPr>
        <w:t xml:space="preserve">. </w:t>
      </w:r>
    </w:p>
    <w:p>
      <w:pPr>
        <w:rPr>
          <w:rFonts w:eastAsia="Times New Roman" w:cs="Times New Roman"/>
          <w:noProof/>
        </w:rPr>
      </w:pPr>
      <w:r>
        <w:rPr>
          <w:b/>
          <w:bCs/>
          <w:noProof/>
        </w:rPr>
        <w:t xml:space="preserve">Għadd kbir ta’ attakki fiżiċi u theddid ta’ mewt kif ukoll forom oħra ta’ intimidazzjoni kontra l-ġurnalisti għadhom kwistjoni ta’ tħassib. </w:t>
      </w:r>
      <w:r>
        <w:rPr>
          <w:noProof/>
        </w:rPr>
        <w:t>Mill-aħħar rapport dwar l-istat tad-dritt, tmien twissijiet dwar l-Italja ġew irreġistrati mill-Pjattaforma tal-Kunsill tal-Ewropa għall-promozzjoni tal-protezzjoni tal-ġurnaliżmu u s-sikurezza tal-ġurnalisti</w:t>
      </w:r>
      <w:r>
        <w:rPr>
          <w:rFonts w:eastAsia="Times New Roman" w:cs="Times New Roman"/>
          <w:noProof/>
          <w:vertAlign w:val="superscript"/>
          <w:lang w:eastAsia="fr-FR"/>
        </w:rPr>
        <w:footnoteReference w:id="146"/>
      </w:r>
      <w:r>
        <w:rPr>
          <w:noProof/>
        </w:rPr>
        <w:t>. Huma inkludew attakki ta’ ħruq volontarju, attakki fiżiċi, każijiet ta’ intimidazzjoni serja u theddid online mibgħuta lill-President tal-Assoċjazzjoni tal-Istampa Taljana. Wieħed mit-twissijiet, bid-data ta'April 2021, jirreferi għall-allegat interċettazzjoni telefonika ta’ mill-inqas 15-il ġurnalist li jaħdmu fuq kwistjonijiet ta’ migrazzjoni bħala parti minn investigazzjoni tal-prosekuturi pubbliċi dwar ir-relazzjonijiet bejn l-NGOs u t-traffikanti. L-assoċjazzjonijiet Ewropej u Taljani li jirrappreżentaw lill-ġurnalisti ddeskrivew dan bħala każ serju ħafna u “ksur massiv tal-kunfidenzjalità tas-sorsi tal-ġurnalisti”</w:t>
      </w:r>
      <w:r>
        <w:rPr>
          <w:rFonts w:eastAsia="Times New Roman" w:cs="Times New Roman"/>
          <w:noProof/>
          <w:vertAlign w:val="superscript"/>
          <w:lang w:eastAsia="fr-FR"/>
        </w:rPr>
        <w:footnoteReference w:id="147"/>
      </w:r>
      <w:r>
        <w:rPr>
          <w:noProof/>
        </w:rPr>
        <w:t>. Minkejja t-talbiet ripetuti li saru mill-Assoċjazzjoni Taljana tal-Istampa, il-protezzjoni tas-sorsi ġurnalistiċi u l-liġi qafas dwar is-segretezza professjonali tal-ġurnalisti għadhom inadegwati</w:t>
      </w:r>
      <w:r>
        <w:rPr>
          <w:rFonts w:eastAsia="Times New Roman" w:cs="Times New Roman"/>
          <w:noProof/>
          <w:vertAlign w:val="superscript"/>
          <w:lang w:eastAsia="fr-FR"/>
        </w:rPr>
        <w:footnoteReference w:id="148"/>
      </w:r>
      <w:r>
        <w:rPr>
          <w:noProof/>
        </w:rPr>
        <w:t>. Dan iwassal biex l-MPM għal darba oħra jagħti punteġġ lil dan l-indikatur dwar il-professjoni, l-istandards u l-protezzjoni tal-ġurnaliżmu bħala riskju medju. Kemm l-MPM 2021 kif ukoll diversi partijiet ikkonċernati</w:t>
      </w:r>
      <w:r>
        <w:rPr>
          <w:rFonts w:eastAsia="Times New Roman" w:cs="Times New Roman"/>
          <w:noProof/>
          <w:vertAlign w:val="superscript"/>
          <w:lang w:eastAsia="fr-FR"/>
        </w:rPr>
        <w:footnoteReference w:id="149"/>
      </w:r>
      <w:r>
        <w:rPr>
          <w:noProof/>
        </w:rPr>
        <w:t>indikaw id-deterjorament tal-kundizzjonijiet tax-xogħol tal-ġurnalisti, ikkaratterizzati minn distakk dejjem jikber bejn ġurnalisti impjegati u freelancers u tnaqqis ġeneralizzat fil-persunal tal-kamra tal-aħbarijiet, bħala kwistjoni ta’ tħassib kbir</w:t>
      </w:r>
      <w:r>
        <w:rPr>
          <w:rFonts w:eastAsia="Calibri" w:cs="Times New Roman"/>
          <w:noProof/>
          <w:vertAlign w:val="superscript"/>
        </w:rPr>
        <w:footnoteReference w:id="150"/>
      </w:r>
      <w:r>
        <w:rPr>
          <w:noProof/>
        </w:rPr>
        <w:t>. Iċ-Ċentru ta’ Koordinazzjoni Taljan li jittratta atti kontra ġurnalisti stabbilit fl-2017 u kkunsidrat bħala l-aħjar prattika fil-livell tal-UE - irreġistra għadd sinifikanti ta’ atti ta’ intimidazzjoni, jiġifieri 163 att bħal dan fl-2020</w:t>
      </w:r>
      <w:r>
        <w:rPr>
          <w:rFonts w:eastAsia="Times New Roman" w:cs="Times New Roman"/>
          <w:noProof/>
          <w:vertAlign w:val="superscript"/>
          <w:lang w:eastAsia="fr-FR"/>
        </w:rPr>
        <w:footnoteReference w:id="151"/>
      </w:r>
      <w:r>
        <w:rPr>
          <w:noProof/>
        </w:rPr>
        <w:t xml:space="preserve"> u 63 att bħal dawn bejn Jannar u Marzu 2021</w:t>
      </w:r>
      <w:r>
        <w:rPr>
          <w:rFonts w:eastAsia="Times New Roman" w:cs="Times New Roman"/>
          <w:noProof/>
          <w:vertAlign w:val="superscript"/>
          <w:lang w:eastAsia="fr-FR"/>
        </w:rPr>
        <w:footnoteReference w:id="152"/>
      </w:r>
      <w:r>
        <w:rPr>
          <w:noProof/>
        </w:rPr>
        <w:t xml:space="preserve">. </w:t>
      </w:r>
    </w:p>
    <w:p>
      <w:pPr>
        <w:pStyle w:val="Heading1"/>
        <w:rPr>
          <w:noProof/>
        </w:rPr>
      </w:pPr>
      <w:r>
        <w:rPr>
          <w:noProof/>
        </w:rPr>
        <w:t>Kwistjonijiet Istituzzjonali oħra relatati mal-Kontrolli u Bilanċi</w:t>
      </w:r>
    </w:p>
    <w:p>
      <w:pPr>
        <w:rPr>
          <w:rFonts w:cs="Times New Roman"/>
          <w:noProof/>
          <w:szCs w:val="24"/>
        </w:rPr>
      </w:pPr>
      <w:r>
        <w:rPr>
          <w:noProof/>
        </w:rPr>
        <w:t>L-Italja hija repubblika parlamentari unitarja bi President elett indirettament</w:t>
      </w:r>
      <w:r>
        <w:rPr>
          <w:rFonts w:cs="Times New Roman"/>
          <w:noProof/>
          <w:vertAlign w:val="superscript"/>
        </w:rPr>
        <w:footnoteReference w:id="153"/>
      </w:r>
      <w:r>
        <w:rPr>
          <w:noProof/>
        </w:rPr>
        <w:t>. Il-Parlament huwa bikamerali: huwa magħmul mill-Kamra tad-Deputati u s-Senat, li t-tnejn għandhom l-istess poteri. Id-dritt ta' inizjattiva leġiżlattiva huwa vestit fil-Gvern, il-membri tal-Parlament, 50 000 ċittadin, il-Kunsill Nazzjonali għall-Ekonomija u x-Xogħol</w:t>
      </w:r>
      <w:r>
        <w:rPr>
          <w:rFonts w:cs="Times New Roman"/>
          <w:noProof/>
          <w:vertAlign w:val="superscript"/>
        </w:rPr>
        <w:footnoteReference w:id="154"/>
      </w:r>
      <w:r>
        <w:rPr>
          <w:noProof/>
        </w:rPr>
        <w:t>, u l-Kunsill Reġjonali. Bosta ombudspersons reġjonali huma responsabbli biex iħarsu l-libertajiet u d-drittijiet tal-persuni</w:t>
      </w:r>
      <w:r>
        <w:rPr>
          <w:rFonts w:cs="Times New Roman"/>
          <w:noProof/>
          <w:vertAlign w:val="superscript"/>
        </w:rPr>
        <w:footnoteReference w:id="155"/>
      </w:r>
      <w:r>
        <w:rPr>
          <w:noProof/>
        </w:rPr>
        <w:t>. Il-Kumitat Interministerjali għad-Drittijiet tal-Bniedem (CIDU) jinteraġixxi mas-soċjetà ċivili, l-akkademji u l-partijiet ikkonċernati rilevanti kollha biex jippromwovi u jipproteġi d-drittijiet tal-bniedem.</w:t>
      </w:r>
    </w:p>
    <w:p>
      <w:pPr>
        <w:spacing w:after="160"/>
        <w:rPr>
          <w:rFonts w:cs="Times New Roman"/>
          <w:bCs/>
          <w:noProof/>
          <w:szCs w:val="24"/>
        </w:rPr>
      </w:pPr>
      <w:r>
        <w:rPr>
          <w:b/>
          <w:bCs/>
          <w:noProof/>
        </w:rPr>
        <w:t xml:space="preserve">Il-valutazzjonijiet tal-impatt regolatorji </w:t>
      </w:r>
      <w:r>
        <w:rPr>
          <w:b/>
          <w:bCs/>
          <w:i/>
          <w:noProof/>
        </w:rPr>
        <w:t>ex ante</w:t>
      </w:r>
      <w:r>
        <w:rPr>
          <w:b/>
          <w:bCs/>
          <w:noProof/>
        </w:rPr>
        <w:t xml:space="preserve"> jintużaw regolarment, madankollu l-konsultazzjonijiet pubbliċi u l-valutazzjonijiet tal-impatt regolatorji </w:t>
      </w:r>
      <w:r>
        <w:rPr>
          <w:b/>
          <w:bCs/>
          <w:i/>
          <w:noProof/>
        </w:rPr>
        <w:t>ex post</w:t>
      </w:r>
      <w:r>
        <w:rPr>
          <w:b/>
          <w:bCs/>
          <w:noProof/>
        </w:rPr>
        <w:t xml:space="preserve"> għadhom limitati</w:t>
      </w:r>
      <w:r>
        <w:rPr>
          <w:rFonts w:cs="Times New Roman"/>
          <w:b/>
          <w:bCs/>
          <w:noProof/>
          <w:vertAlign w:val="superscript"/>
        </w:rPr>
        <w:footnoteReference w:id="156"/>
      </w:r>
      <w:r>
        <w:rPr>
          <w:b/>
          <w:bCs/>
          <w:noProof/>
        </w:rPr>
        <w:t xml:space="preserve">. </w:t>
      </w:r>
      <w:r>
        <w:rPr>
          <w:noProof/>
        </w:rPr>
        <w:t>Id-Digriet tal-President tal-Kunsill tal-Ministri Nru 169/2017 jirrikjedi li l-amministrazzjonijiet pubbliċi kollha jippubblikaw bil-quddiem pubblikazzjoni ta’ informazzjoni ta’ sitt xhur għal kull inizjattiva regolatorja. Madankollu, ma ġewx stabbiliti proċeduri standardizzati għall-analiżi tal-partijiet ikkonċernati</w:t>
      </w:r>
      <w:r>
        <w:rPr>
          <w:rFonts w:cs="Times New Roman"/>
          <w:noProof/>
          <w:vertAlign w:val="superscript"/>
        </w:rPr>
        <w:footnoteReference w:id="157"/>
      </w:r>
      <w:r>
        <w:rPr>
          <w:noProof/>
        </w:rPr>
        <w:t>. Iż-żieda fl-użu ta’ għodod diġitali għall-konsultazzjonijiet pubbliċi tejbet kemxejn l-effettività tal-proċess. B’mod partikolari, ġew esperjenzati għodod innovattivi u interattivi li jippermettu parteċipazzjoni akbar</w:t>
      </w:r>
      <w:r>
        <w:rPr>
          <w:rFonts w:cs="Times New Roman"/>
          <w:noProof/>
          <w:vertAlign w:val="superscript"/>
        </w:rPr>
        <w:footnoteReference w:id="158"/>
      </w:r>
      <w:r>
        <w:rPr>
          <w:noProof/>
        </w:rPr>
        <w:t xml:space="preserve"> tal-utenti permezz tal-użu ta’ pjattaformi</w:t>
      </w:r>
      <w:r>
        <w:rPr>
          <w:rStyle w:val="FootnoteReference"/>
          <w:rFonts w:cs="Times New Roman"/>
          <w:noProof/>
        </w:rPr>
        <w:footnoteReference w:id="159"/>
      </w:r>
      <w:r>
        <w:rPr>
          <w:noProof/>
        </w:rPr>
        <w:t>. F’xi każijiet, l-utenti jirċievu wkoll il-feedback tal-amministrazzjoni pubblika</w:t>
      </w:r>
      <w:r>
        <w:rPr>
          <w:rFonts w:cs="Times New Roman"/>
          <w:noProof/>
          <w:vertAlign w:val="superscript"/>
        </w:rPr>
        <w:footnoteReference w:id="160"/>
      </w:r>
      <w:r>
        <w:rPr>
          <w:noProof/>
        </w:rPr>
        <w:t>. Madankollu, il-konsultazzjoni ssir prinċipalment bl-użu ta’ tekniki tradizzjonali</w:t>
      </w:r>
      <w:r>
        <w:rPr>
          <w:rFonts w:cs="Times New Roman"/>
          <w:noProof/>
          <w:vertAlign w:val="superscript"/>
        </w:rPr>
        <w:footnoteReference w:id="161"/>
      </w:r>
      <w:r>
        <w:rPr>
          <w:noProof/>
        </w:rPr>
        <w:t xml:space="preserve">. Il-valutazzjonijiet tal-impatt </w:t>
      </w:r>
      <w:r>
        <w:rPr>
          <w:i/>
          <w:noProof/>
        </w:rPr>
        <w:t>ex ante</w:t>
      </w:r>
      <w:r>
        <w:rPr>
          <w:noProof/>
        </w:rPr>
        <w:t xml:space="preserve"> jintużaw regolarment, u beda l-użu ta’ valutazzjonijiet </w:t>
      </w:r>
      <w:r>
        <w:rPr>
          <w:i/>
          <w:noProof/>
        </w:rPr>
        <w:t>ex post</w:t>
      </w:r>
      <w:r>
        <w:rPr>
          <w:noProof/>
        </w:rPr>
        <w:t xml:space="preserve"> . B’mod partikolari, fl-2020, twettqu evalwazzjonijiet </w:t>
      </w:r>
      <w:r>
        <w:rPr>
          <w:i/>
          <w:noProof/>
        </w:rPr>
        <w:t>ex-post</w:t>
      </w:r>
      <w:r>
        <w:rPr>
          <w:noProof/>
        </w:rPr>
        <w:t xml:space="preserve"> dwar l-atti li ġew identifikati mill-pjanijiet ta’ sentejn tal-2019</w:t>
      </w:r>
      <w:r>
        <w:rPr>
          <w:rFonts w:cs="Times New Roman"/>
          <w:noProof/>
          <w:vertAlign w:val="superscript"/>
        </w:rPr>
        <w:footnoteReference w:id="162"/>
      </w:r>
      <w:r>
        <w:rPr>
          <w:noProof/>
        </w:rPr>
        <w:t xml:space="preserve">. </w:t>
      </w:r>
    </w:p>
    <w:p>
      <w:pPr>
        <w:rPr>
          <w:rFonts w:eastAsia="Times New Roman" w:cs="Times New Roman"/>
          <w:noProof/>
          <w:szCs w:val="20"/>
        </w:rPr>
      </w:pPr>
      <w:r>
        <w:rPr>
          <w:b/>
          <w:bCs/>
          <w:noProof/>
        </w:rPr>
        <w:t>Ir-reġim ta’ sitwazzjoni ta’ emerġenza relatat mal-pandemija tal-COVID-19 għadu fis-seħħ u għandha titwaqqaf kummissjoni parlamentari ġdida biex jissaħħaħ ir-rwol tal-Parlament f’sitwazzjonijiet ta’ emerġenza</w:t>
      </w:r>
      <w:r>
        <w:rPr>
          <w:noProof/>
        </w:rPr>
        <w:cr/>
      </w:r>
      <w:r>
        <w:rPr>
          <w:noProof/>
        </w:rPr>
        <w:br/>
        <w:t xml:space="preserve"> F’April 2021, il-Gvern estenda r-reġim ta’ sitwazzjoni ta’ emerġenza sal-31 ta’ Lulju 2021, filwaqt li adotta miżuri biex progressivament inaqqas ir-restrizzjonijiet</w:t>
      </w:r>
      <w:r>
        <w:rPr>
          <w:rStyle w:val="FootnoteReference"/>
          <w:rFonts w:eastAsia="Times New Roman" w:cs="Times New Roman"/>
          <w:noProof/>
          <w:lang w:eastAsia="fr-FR"/>
        </w:rPr>
        <w:footnoteReference w:id="163"/>
      </w:r>
      <w:r>
        <w:rPr>
          <w:noProof/>
        </w:rPr>
        <w:t>. Miżuri biex tiġi indirizzata s-sitwazzjoni tal-pandemija komplew jiġu adottati mill-Gvern permezz ta’ digrieti-liġijiet</w:t>
      </w:r>
      <w:r>
        <w:rPr>
          <w:rFonts w:eastAsia="Times New Roman" w:cs="Times New Roman"/>
          <w:noProof/>
          <w:vertAlign w:val="superscript"/>
          <w:lang w:eastAsia="fr-FR"/>
        </w:rPr>
        <w:footnoteReference w:id="164"/>
      </w:r>
      <w:r>
        <w:rPr>
          <w:noProof/>
        </w:rPr>
        <w:t>, li huma immedjatament effettivi u mbagħad jinbidlu mill-Parlament f’Liġi</w:t>
      </w:r>
      <w:r>
        <w:rPr>
          <w:rFonts w:eastAsia="Times New Roman" w:cs="Times New Roman"/>
          <w:noProof/>
          <w:vertAlign w:val="superscript"/>
          <w:lang w:eastAsia="fr-FR"/>
        </w:rPr>
        <w:footnoteReference w:id="165"/>
      </w:r>
      <w:r>
        <w:rPr>
          <w:noProof/>
        </w:rPr>
        <w:t>. Il-President tal-Kunsill tal-Ministri jista’ wkoll jadotta direttament miżuri ta’ emerġenza, li jieħdu l-forma ta’ digriet tal-President tal-Kunsill tal-Ministri. F’dawn il-każijiet, qabel l-adozzjoni, il-Gvern għandu jippreżenta l-kontenut u l-għanijiet ewlenin tad-digriet lill-Parlament. Meta din il-preżentazzjoni ma tkunx possibbli għal raġunijiet ta’ urġenza, tiġi pprovduta komunikazzjoni ta’ segwitu lill-Kmamar, b’mod ġenerali, kull 15-il ġurnata</w:t>
      </w:r>
      <w:r>
        <w:rPr>
          <w:rFonts w:cs="Times New Roman"/>
          <w:noProof/>
          <w:vertAlign w:val="superscript"/>
        </w:rPr>
        <w:footnoteReference w:id="166"/>
      </w:r>
      <w:r>
        <w:rPr>
          <w:noProof/>
        </w:rPr>
        <w:t>. Minħabba l-pandemija tal-COVID-19, fl-ewwel xhur tar-reġim ta’ sitwazzjoni ta’ emerġenza, il-Parlament iddeċieda li jeżamina biss atti urġenti u kwalunkwe suġġett marbut mal-emerġenza tas-saħħa. Ix-xogħlijiet ordinarji reġgħu bdew f’Mejju 2020. Sabiex jiġi żgurat rwol ċentrali għall-Parlament matul il-pandemija tal-COVID-19 u, b’mod aktar ġenerali, matul emerġenzi, is-Senat ippropona li titwaqqaf Kummissjoni bikamerali speċjali</w:t>
      </w:r>
      <w:r>
        <w:rPr>
          <w:rFonts w:eastAsia="Times New Roman" w:cs="Times New Roman"/>
          <w:noProof/>
          <w:vertAlign w:val="superscript"/>
          <w:lang w:eastAsia="fr-FR"/>
        </w:rPr>
        <w:footnoteReference w:id="167"/>
      </w:r>
      <w:r>
        <w:rPr>
          <w:noProof/>
        </w:rPr>
        <w:t xml:space="preserve"> li għandha tiġi kkonsultata dwar kwalunkwe att tal-Gvern relatat mal-emerġenza pandemika. Din il-Kummissjoni, li għad trid tiġi stabbilita, ikollha funzjoni konsultattiva u taġixxi bħala rabta mal-entitajiet lokali</w:t>
      </w:r>
      <w:r>
        <w:rPr>
          <w:rFonts w:eastAsia="Times New Roman" w:cs="Times New Roman"/>
          <w:noProof/>
          <w:vertAlign w:val="superscript"/>
          <w:lang w:eastAsia="fr-FR"/>
        </w:rPr>
        <w:footnoteReference w:id="168"/>
      </w:r>
      <w:r>
        <w:rPr>
          <w:noProof/>
        </w:rPr>
        <w:t>. Xi miżuri adottati b’digriet tal-President tal-Kunsill tal-Ministri ġew ikkontestati quddiem il-qrati amministrattivi, li kellhom jivvalutaw il-proporzjonalità tagħhom fir-rigward tal-limitazzjoni tad-drittijiet fundamentali</w:t>
      </w:r>
      <w:r>
        <w:rPr>
          <w:rFonts w:eastAsia="Times New Roman" w:cs="Times New Roman"/>
          <w:noProof/>
          <w:vertAlign w:val="superscript"/>
          <w:lang w:eastAsia="fr-FR"/>
        </w:rPr>
        <w:footnoteReference w:id="169"/>
      </w:r>
      <w:r>
        <w:rPr>
          <w:noProof/>
        </w:rPr>
        <w:t>. Id-dispożizzjoni relatata mas-sospensjoni tal-kors tal-istatut tal-preskrizzjoni ġiet ikkontestata quddiem il-Qorti Kostituzzjonali</w:t>
      </w:r>
      <w:r>
        <w:rPr>
          <w:rStyle w:val="FootnoteReference"/>
          <w:rFonts w:eastAsia="Times New Roman" w:cs="Times New Roman"/>
          <w:noProof/>
          <w:lang w:eastAsia="fr-FR"/>
        </w:rPr>
        <w:footnoteReference w:id="170"/>
      </w:r>
      <w:r>
        <w:rPr>
          <w:noProof/>
        </w:rPr>
        <w:t xml:space="preserve"> , li ma sabitx riskju ta’ abbuż ta’ poter leġiżlattiv</w:t>
      </w:r>
      <w:r>
        <w:rPr>
          <w:rStyle w:val="FootnoteReference"/>
          <w:rFonts w:eastAsia="Times New Roman" w:cs="Times New Roman"/>
          <w:noProof/>
          <w:lang w:eastAsia="fr-FR"/>
        </w:rPr>
        <w:footnoteReference w:id="171"/>
      </w:r>
      <w:r>
        <w:rPr>
          <w:noProof/>
        </w:rPr>
        <w:t xml:space="preserve">. </w:t>
      </w:r>
    </w:p>
    <w:p>
      <w:pPr>
        <w:rPr>
          <w:rFonts w:eastAsia="Times New Roman" w:cs="Times New Roman"/>
          <w:noProof/>
          <w:szCs w:val="20"/>
        </w:rPr>
      </w:pPr>
      <w:r>
        <w:rPr>
          <w:b/>
          <w:bCs/>
          <w:noProof/>
        </w:rPr>
        <w:t>Ma sar l-ebda progress rigward l-istabbiliment ta’ istituzzjoni indipendenti tad-drittijiet tal-bniedem</w:t>
      </w:r>
      <w:r>
        <w:rPr>
          <w:rFonts w:eastAsia="Times New Roman" w:cs="Times New Roman"/>
          <w:b/>
          <w:bCs/>
          <w:noProof/>
          <w:vertAlign w:val="superscript"/>
          <w:lang w:eastAsia="fr-FR"/>
        </w:rPr>
        <w:footnoteReference w:id="172"/>
      </w:r>
      <w:r>
        <w:rPr>
          <w:b/>
          <w:bCs/>
          <w:noProof/>
        </w:rPr>
        <w:t>.</w:t>
      </w:r>
      <w:r>
        <w:rPr>
          <w:noProof/>
        </w:rPr>
        <w:t xml:space="preserve"> Il-ħolqien ta’ Istituzzjoni Nazzjonali Indipendenti għad-Drittijiet tal-Bniedem (National Human Rights Institution, NHRI) għadu soġġett għal dibattitu</w:t>
      </w:r>
      <w:r>
        <w:rPr>
          <w:rFonts w:eastAsia="Times New Roman" w:cs="Times New Roman"/>
          <w:noProof/>
          <w:vertAlign w:val="superscript"/>
          <w:lang w:eastAsia="fr-FR"/>
        </w:rPr>
        <w:footnoteReference w:id="173"/>
      </w:r>
      <w:r>
        <w:rPr>
          <w:noProof/>
        </w:rPr>
        <w:t>.</w:t>
      </w:r>
      <w:r>
        <w:rPr>
          <w:b/>
          <w:bCs/>
          <w:noProof/>
        </w:rPr>
        <w:t xml:space="preserve"> </w:t>
      </w:r>
      <w:r>
        <w:rPr>
          <w:noProof/>
        </w:rPr>
        <w:t>F’Ottubru 2020, iż-żewġ abbozzi ta’ proposti oriġinali għall-ħolqien ta’ NHRI, ippreżentati fl-2018, ingħaqdu fi proposta waħda mill-Parlament. It-test il-ġdid bħalissa qed jiġi diskuss fil-Kummissjoni għall-promozzjoni u l-protezzjoni tad-drittijiet fundamentali tal-Kamra tad-Deputati</w:t>
      </w:r>
      <w:r>
        <w:rPr>
          <w:rFonts w:eastAsia="Times New Roman" w:cs="Times New Roman"/>
          <w:noProof/>
          <w:vertAlign w:val="superscript"/>
          <w:lang w:eastAsia="fr-FR"/>
        </w:rPr>
        <w:footnoteReference w:id="174"/>
      </w:r>
      <w:r>
        <w:rPr>
          <w:noProof/>
        </w:rPr>
        <w:t xml:space="preserve">. Il-proposta tistabbilixxi NHRI, f’konformità mal-Prinċipji ta’ Pariġi u r-rakkomandazzjonijiet min-Nazzjonijiet Uniti. </w:t>
      </w:r>
    </w:p>
    <w:p>
      <w:pPr>
        <w:rPr>
          <w:rFonts w:eastAsia="Times New Roman" w:cs="Times New Roman"/>
          <w:noProof/>
        </w:rPr>
      </w:pPr>
      <w:r>
        <w:rPr>
          <w:b/>
          <w:bCs/>
          <w:noProof/>
        </w:rPr>
        <w:t>L-ispazju ċiviku għadu qed jiffaċċja sfidi iżda ċerti aspetti tal-leġiżlazzjoni dwar l-organizzazzjonijiet tas-soċjetà ċivili li jittrattaw mal-migranti tjiebu.</w:t>
      </w:r>
      <w:r>
        <w:rPr>
          <w:noProof/>
        </w:rPr>
        <w:t xml:space="preserve"> F’Ottubru 2020, ġie stabbilit xi titjib fil-leġiżlazzjoni rigward l-organizzazzjonijiet tas-soċjetà ċivili li jittrattaw mal-migranti</w:t>
      </w:r>
      <w:r>
        <w:rPr>
          <w:rStyle w:val="FootnoteReference"/>
          <w:rFonts w:eastAsia="Times New Roman" w:cs="Times New Roman"/>
          <w:noProof/>
          <w:lang w:eastAsia="fr-FR"/>
        </w:rPr>
        <w:footnoteReference w:id="175"/>
      </w:r>
      <w:r>
        <w:rPr>
          <w:noProof/>
        </w:rPr>
        <w:t>, b’mod partikolari dispożizzjonijiet</w:t>
      </w:r>
      <w:r>
        <w:rPr>
          <w:rFonts w:eastAsia="Times New Roman" w:cs="Times New Roman"/>
          <w:noProof/>
          <w:vertAlign w:val="superscript"/>
          <w:lang w:eastAsia="fr-FR"/>
        </w:rPr>
        <w:footnoteReference w:id="176"/>
      </w:r>
      <w:r>
        <w:rPr>
          <w:noProof/>
        </w:rPr>
        <w:t xml:space="preserve"> li jirregolaw l-attivitajiet tal-OSĊ li jwettqu operazzjonijiet ta’ tiftix u salvataġġ fuq il-baħar</w:t>
      </w:r>
      <w:r>
        <w:rPr>
          <w:rFonts w:eastAsia="Times New Roman" w:cs="Times New Roman"/>
          <w:noProof/>
          <w:vertAlign w:val="superscript"/>
          <w:lang w:eastAsia="fr-FR"/>
        </w:rPr>
        <w:footnoteReference w:id="177"/>
      </w:r>
      <w:r>
        <w:rPr>
          <w:noProof/>
        </w:rPr>
        <w:t>. Minkejja l-pandemija, il-kooperazzjoni mal-organizzazzjonijiet tas-soċjetà ċivili ssaħħet</w:t>
      </w:r>
      <w:r>
        <w:rPr>
          <w:rFonts w:eastAsia="Times New Roman" w:cs="Times New Roman"/>
          <w:noProof/>
          <w:vertAlign w:val="superscript"/>
          <w:lang w:eastAsia="fr-FR"/>
        </w:rPr>
        <w:footnoteReference w:id="178"/>
      </w:r>
      <w:r>
        <w:rPr>
          <w:noProof/>
        </w:rPr>
        <w:t>. Madankollu, fadal tħassib fir-rigward tal-kumplessità tal-proċess ta’ reġistrazzjoni għall-NGOs u d-dewmien fl-implimentazzjoni tal-liġi li tarmonizza r-regoli dwar is-settur mingħajr skop ta’ qligħ</w:t>
      </w:r>
      <w:r>
        <w:rPr>
          <w:rFonts w:eastAsia="Times New Roman" w:cs="Times New Roman"/>
          <w:noProof/>
          <w:vertAlign w:val="superscript"/>
          <w:lang w:eastAsia="fr-FR"/>
        </w:rPr>
        <w:footnoteReference w:id="179"/>
      </w:r>
      <w:r>
        <w:rPr>
          <w:noProof/>
        </w:rPr>
        <w:t>. Minkejja żviluppi pożittivi reċenti bit-twarrib tal-każ kontra difensur tad-drittijiet tal-bniedem attiv</w:t>
      </w:r>
      <w:r>
        <w:rPr>
          <w:rStyle w:val="FootnoteReference"/>
          <w:rFonts w:cs="Times New Roman"/>
          <w:noProof/>
        </w:rPr>
        <w:footnoteReference w:id="180"/>
      </w:r>
      <w:r>
        <w:rPr>
          <w:noProof/>
        </w:rPr>
        <w:t xml:space="preserve"> fil-qasam tal-migrazzjoni u l-ażil, għad fadal xi tħassib f’dan il-qasam</w:t>
      </w:r>
      <w:r>
        <w:rPr>
          <w:rFonts w:cs="Times New Roman"/>
          <w:noProof/>
          <w:vertAlign w:val="superscript"/>
        </w:rPr>
        <w:footnoteReference w:id="181"/>
      </w:r>
      <w:r>
        <w:rPr>
          <w:noProof/>
        </w:rPr>
        <w:t>. Barra minn hekk, l-ispazju ċiviku għadu meqjus bħala limitat</w:t>
      </w:r>
      <w:r>
        <w:rPr>
          <w:rFonts w:cs="Times New Roman"/>
          <w:noProof/>
          <w:vertAlign w:val="superscript"/>
        </w:rPr>
        <w:footnoteReference w:id="182"/>
      </w:r>
      <w:r>
        <w:rPr>
          <w:noProof/>
        </w:rPr>
        <w:t>.</w:t>
      </w:r>
    </w:p>
    <w:p>
      <w:pPr>
        <w:pageBreakBefore/>
        <w:spacing w:after="120" w:line="264" w:lineRule="auto"/>
        <w:rPr>
          <w:rFonts w:eastAsia="Times New Roman" w:cs="Times New Roman"/>
          <w:b/>
          <w:bCs/>
          <w:noProof/>
          <w:sz w:val="22"/>
        </w:rPr>
      </w:pPr>
      <w:r>
        <w:rPr>
          <w:b/>
          <w:bCs/>
          <w:noProof/>
          <w:sz w:val="22"/>
        </w:rPr>
        <w:t>Anness I: Lista ta’ sorsi f’ordni alfabetiku*</w:t>
      </w:r>
    </w:p>
    <w:p>
      <w:pPr>
        <w:spacing w:after="120"/>
        <w:rPr>
          <w:rFonts w:eastAsia="Times New Roman" w:cs="Times New Roman"/>
          <w:i/>
          <w:noProof/>
        </w:rPr>
      </w:pPr>
      <w:r>
        <w:rPr>
          <w:noProof/>
        </w:rPr>
        <w:t xml:space="preserve">*Il-lista tal-kontribuzzjonijiet li waslu waqt il-konsultazzjoni għar-Rapport tal-2021 dwar l-Istat tad-Dritt tinsab fuq </w:t>
      </w:r>
      <w:hyperlink r:id="rId19" w:history="1">
        <w:r>
          <w:rPr>
            <w:rStyle w:val="Hyperlink"/>
            <w:i/>
            <w:noProof/>
            <w:sz w:val="22"/>
          </w:rPr>
          <w:t>https://ec.europa.eu/info/policies/justice-and-fundamental-rights/upholding-rule-law/rule-law/rule-law-mechanism/2021-rule-law-report-targeted-stakeholder-consultation</w:t>
        </w:r>
      </w:hyperlink>
      <w:r>
        <w:rPr>
          <w:i/>
          <w:noProof/>
        </w:rPr>
        <w:t>.</w:t>
      </w:r>
    </w:p>
    <w:p>
      <w:pPr>
        <w:spacing w:after="120" w:line="259" w:lineRule="auto"/>
        <w:rPr>
          <w:rFonts w:cs="Times New Roman"/>
          <w:noProof/>
          <w:sz w:val="22"/>
        </w:rPr>
      </w:pPr>
      <w:r>
        <w:rPr>
          <w:noProof/>
          <w:sz w:val="22"/>
        </w:rPr>
        <w:t xml:space="preserve">Autorità per le Garanzie nelle Comunicazioni (AGCOM), </w:t>
      </w:r>
      <w:r>
        <w:rPr>
          <w:i/>
          <w:noProof/>
          <w:sz w:val="22"/>
        </w:rPr>
        <w:t>Osservatorio sul Giornalismo III edizione - La professione alla prova dell'emergenza Covid-19 - documento di consultazione pubblica</w:t>
      </w:r>
      <w:r>
        <w:rPr>
          <w:noProof/>
          <w:sz w:val="22"/>
        </w:rPr>
        <w:t>, (</w:t>
      </w:r>
      <w:hyperlink r:id="rId20" w:history="1">
        <w:r>
          <w:rPr>
            <w:rStyle w:val="Hyperlink"/>
            <w:noProof/>
            <w:sz w:val="22"/>
          </w:rPr>
          <w:t>https://www.agcom.it/documents/10179/20594109/Comunicazione+23-11-2020/b6623771-dbaa-4ccb-baab-9520f87afbc8?version=1.0</w:t>
        </w:r>
      </w:hyperlink>
      <w:r>
        <w:rPr>
          <w:rStyle w:val="Hyperlink"/>
          <w:noProof/>
          <w:color w:val="auto"/>
          <w:sz w:val="22"/>
        </w:rPr>
        <w:t>)</w:t>
      </w:r>
      <w:r>
        <w:rPr>
          <w:noProof/>
          <w:sz w:val="22"/>
        </w:rPr>
        <w:t xml:space="preserve"> </w:t>
      </w:r>
    </w:p>
    <w:p>
      <w:pPr>
        <w:spacing w:after="120" w:line="259" w:lineRule="auto"/>
        <w:rPr>
          <w:rFonts w:cs="Times New Roman"/>
          <w:noProof/>
          <w:sz w:val="22"/>
        </w:rPr>
      </w:pPr>
      <w:r>
        <w:rPr>
          <w:noProof/>
          <w:sz w:val="22"/>
        </w:rPr>
        <w:t xml:space="preserve">Ċentru għall-Pluraliżmu tal-Media u l-Libertà tal-Media (2021), </w:t>
      </w:r>
      <w:r>
        <w:rPr>
          <w:i/>
          <w:iCs/>
          <w:noProof/>
          <w:sz w:val="22"/>
        </w:rPr>
        <w:t>Monitoraġġ tal-pluraliżmu tal-media 2021</w:t>
      </w:r>
      <w:r>
        <w:rPr>
          <w:noProof/>
          <w:sz w:val="22"/>
        </w:rPr>
        <w:t xml:space="preserve"> — </w:t>
      </w:r>
      <w:r>
        <w:rPr>
          <w:i/>
          <w:iCs/>
          <w:noProof/>
          <w:sz w:val="22"/>
        </w:rPr>
        <w:t>Rapport dwar l-Italja</w:t>
      </w:r>
      <w:r>
        <w:rPr>
          <w:noProof/>
          <w:sz w:val="22"/>
        </w:rPr>
        <w:t>(link to be added when available).</w:t>
      </w:r>
    </w:p>
    <w:p>
      <w:pPr>
        <w:spacing w:after="120"/>
        <w:rPr>
          <w:rFonts w:cs="Times New Roman"/>
          <w:bCs/>
          <w:i/>
          <w:noProof/>
          <w:sz w:val="22"/>
        </w:rPr>
      </w:pPr>
      <w:r>
        <w:rPr>
          <w:noProof/>
          <w:sz w:val="22"/>
        </w:rPr>
        <w:t>CEPEJ (2020), S</w:t>
      </w:r>
      <w:r>
        <w:rPr>
          <w:i/>
          <w:noProof/>
          <w:sz w:val="22"/>
        </w:rPr>
        <w:t>tudju dwar il-funzjonament tas-sistemi ġudizzjarji fl-Istati Membri tal-UE</w:t>
      </w:r>
    </w:p>
    <w:p>
      <w:pPr>
        <w:spacing w:after="120"/>
        <w:rPr>
          <w:rFonts w:cs="Times New Roman"/>
          <w:noProof/>
          <w:sz w:val="22"/>
        </w:rPr>
      </w:pPr>
      <w:r>
        <w:rPr>
          <w:noProof/>
          <w:color w:val="000000"/>
          <w:sz w:val="22"/>
        </w:rPr>
        <w:t>CIVICUS, Monitor li jsegwi l-ispazju ċiviku — l-Italja (</w:t>
      </w:r>
      <w:r>
        <w:rPr>
          <w:noProof/>
        </w:rPr>
        <w:t xml:space="preserve"> </w:t>
      </w:r>
      <w:hyperlink r:id="rId21" w:history="1">
        <w:r>
          <w:rPr>
            <w:rStyle w:val="Hyperlink"/>
            <w:noProof/>
            <w:sz w:val="22"/>
          </w:rPr>
          <w:t>https://monitor.civicus.org/country/italy/</w:t>
        </w:r>
      </w:hyperlink>
      <w:r>
        <w:rPr>
          <w:noProof/>
          <w:color w:val="000000"/>
          <w:sz w:val="22"/>
        </w:rPr>
        <w:t>)</w:t>
      </w:r>
    </w:p>
    <w:p>
      <w:pPr>
        <w:spacing w:after="120"/>
        <w:rPr>
          <w:rFonts w:cs="Times New Roman"/>
          <w:noProof/>
          <w:sz w:val="22"/>
        </w:rPr>
      </w:pPr>
      <w:r>
        <w:rPr>
          <w:noProof/>
          <w:sz w:val="22"/>
        </w:rPr>
        <w:t xml:space="preserve">Il-Kunsill tal-Ewropa: Il-Konferenza tal-INGOs 2019, </w:t>
      </w:r>
      <w:r>
        <w:rPr>
          <w:i/>
          <w:noProof/>
          <w:sz w:val="22"/>
        </w:rPr>
        <w:t>Il-parteċipazzjoni ċivili fil-proċess tat-teħid tad-deċiżjonijiet, Missjoni ta' Ġbir ta' Informazzjoni fl-Italja</w:t>
      </w:r>
      <w:r>
        <w:rPr>
          <w:noProof/>
          <w:sz w:val="22"/>
        </w:rPr>
        <w:t>, (</w:t>
      </w:r>
      <w:hyperlink r:id="rId22" w:history="1">
        <w:r>
          <w:rPr>
            <w:rStyle w:val="Hyperlink"/>
            <w:noProof/>
            <w:sz w:val="22"/>
          </w:rPr>
          <w:t>https://rm.coe.int/report-visit-of-the-conference-of-ingos-to-italy-2019/1680981493</w:t>
        </w:r>
      </w:hyperlink>
      <w:r>
        <w:rPr>
          <w:noProof/>
          <w:sz w:val="22"/>
        </w:rPr>
        <w:t xml:space="preserve">) </w:t>
      </w:r>
    </w:p>
    <w:p>
      <w:pPr>
        <w:spacing w:after="120"/>
        <w:rPr>
          <w:rFonts w:cs="Times New Roman"/>
          <w:i/>
          <w:noProof/>
          <w:sz w:val="22"/>
        </w:rPr>
      </w:pPr>
      <w:r>
        <w:rPr>
          <w:noProof/>
          <w:sz w:val="22"/>
        </w:rPr>
        <w:t xml:space="preserve">Kunsill Konsultattiv tal-Imħallfin Ewropej (2020), Opinjoni Nru 23, </w:t>
      </w:r>
      <w:r>
        <w:rPr>
          <w:i/>
          <w:noProof/>
          <w:sz w:val="22"/>
        </w:rPr>
        <w:t>Ir-rwol tal-assoċjazzjonijiet tal-imħallfin fl-appoġġ tal-indipendenza ġudizzjarja</w:t>
      </w:r>
    </w:p>
    <w:p>
      <w:pPr>
        <w:spacing w:after="120"/>
        <w:rPr>
          <w:rFonts w:cs="Times New Roman"/>
          <w:bCs/>
          <w:noProof/>
          <w:sz w:val="22"/>
        </w:rPr>
      </w:pPr>
      <w:r>
        <w:rPr>
          <w:noProof/>
          <w:sz w:val="22"/>
        </w:rPr>
        <w:t>Il-Kunsill tal-Ewropa, Pjattaforma għall-promozzjoni tal-protezzjoni tal-ġurnaliżmu u tas-sikurezza tal-ġurnalisti, l-Italja (</w:t>
      </w:r>
      <w:hyperlink r:id="rId23" w:history="1">
        <w:r>
          <w:rPr>
            <w:rStyle w:val="Hyperlink"/>
            <w:noProof/>
            <w:sz w:val="22"/>
          </w:rPr>
          <w:t>https://www.coe.int/en/web/media-freedom/italy</w:t>
        </w:r>
      </w:hyperlink>
      <w:r>
        <w:rPr>
          <w:noProof/>
          <w:sz w:val="22"/>
        </w:rPr>
        <w:t>)</w:t>
      </w:r>
    </w:p>
    <w:p>
      <w:pPr>
        <w:spacing w:after="120"/>
        <w:rPr>
          <w:rFonts w:cs="Times New Roman"/>
          <w:noProof/>
          <w:color w:val="000000"/>
          <w:sz w:val="22"/>
        </w:rPr>
      </w:pPr>
      <w:r>
        <w:rPr>
          <w:noProof/>
          <w:color w:val="000000"/>
          <w:sz w:val="22"/>
        </w:rPr>
        <w:t>Il-Kunsill tal-Ewropa: Kumitat tal-Ministri (2010),</w:t>
      </w:r>
      <w:r>
        <w:rPr>
          <w:i/>
          <w:noProof/>
          <w:color w:val="000000"/>
          <w:sz w:val="22"/>
        </w:rPr>
        <w:t xml:space="preserve"> Ir-Rakkomandazzjoni CM/Rec(2010)12 tal-Kumitat tal-Ministri lill-Istati Membri dwar l-imħallfin: indipendenza, effiċjenza u responsabbiltajiet</w:t>
      </w:r>
      <w:r>
        <w:rPr>
          <w:noProof/>
          <w:color w:val="000000"/>
          <w:sz w:val="22"/>
        </w:rPr>
        <w:t>.</w:t>
      </w:r>
    </w:p>
    <w:p>
      <w:pPr>
        <w:spacing w:after="120"/>
        <w:rPr>
          <w:rStyle w:val="Hyperlink"/>
          <w:rFonts w:cs="Times New Roman"/>
          <w:bCs/>
          <w:i/>
          <w:noProof/>
          <w:sz w:val="22"/>
        </w:rPr>
      </w:pPr>
      <w:r>
        <w:rPr>
          <w:bCs/>
          <w:noProof/>
          <w:sz w:val="22"/>
        </w:rPr>
        <w:t xml:space="preserve">Kunsill tal-Istat (2021), </w:t>
      </w:r>
      <w:r>
        <w:rPr>
          <w:bCs/>
          <w:i/>
          <w:noProof/>
          <w:sz w:val="22"/>
        </w:rPr>
        <w:t>Kontribut mill-Kunsill tal-Istat għar-Rapport tal-2021 dwar l-Istat tad-Dritt</w:t>
      </w:r>
    </w:p>
    <w:p>
      <w:pPr>
        <w:spacing w:after="120"/>
        <w:rPr>
          <w:rFonts w:cs="Times New Roman"/>
          <w:noProof/>
          <w:sz w:val="22"/>
        </w:rPr>
      </w:pPr>
      <w:r>
        <w:rPr>
          <w:noProof/>
          <w:sz w:val="22"/>
        </w:rPr>
        <w:t>Il-Kunsill tal-Unjoni Ewropea (2019), Rakkomandazzjoni tal-Kunsill tad-9 ta’ Lulju 2019 dwar il-Programm Nazzjonali ta’ Riforma tal-Italja għall-2019 u li tagħti l-opinjoni tal-Kunsill dwar il-Programm ta’ Stabbiltà tal-Italja għall-2019. (</w:t>
      </w:r>
      <w:hyperlink r:id="rId24" w:history="1">
        <w:r>
          <w:rPr>
            <w:rStyle w:val="Hyperlink"/>
            <w:noProof/>
            <w:sz w:val="22"/>
          </w:rPr>
          <w:t>https://eur-lex.europa.eu/legal-content/EN/TXT/PDF/?uri=CELEX:32019H0905(12)&amp;from=EN</w:t>
        </w:r>
      </w:hyperlink>
      <w:r>
        <w:rPr>
          <w:noProof/>
          <w:sz w:val="22"/>
        </w:rPr>
        <w:t>)</w:t>
      </w:r>
    </w:p>
    <w:p>
      <w:pPr>
        <w:spacing w:after="120"/>
        <w:rPr>
          <w:rFonts w:cs="Times New Roman"/>
          <w:i/>
          <w:noProof/>
          <w:sz w:val="22"/>
        </w:rPr>
      </w:pPr>
      <w:r>
        <w:rPr>
          <w:noProof/>
          <w:sz w:val="22"/>
        </w:rPr>
        <w:t xml:space="preserve">Dipartiment għall-Affarijiet Legali u Leġiżlattivi u d-Dipartiment għar-Relazzjonijiet mal-Parlament (2021), </w:t>
      </w:r>
      <w:r>
        <w:rPr>
          <w:i/>
          <w:noProof/>
          <w:sz w:val="22"/>
        </w:rPr>
        <w:t>Kontribuzzjoni mid-Dipartiment għall-Affarijiet Legali u Leġiżlattivi u d-Dipartiment għar-Relazzjonijiet mal-Parlament għar-Rapport tal-2021 dwar l-Istat tad-Dritt</w:t>
      </w:r>
    </w:p>
    <w:p>
      <w:pPr>
        <w:spacing w:after="120" w:line="259" w:lineRule="auto"/>
        <w:rPr>
          <w:rFonts w:cs="Times New Roman"/>
          <w:noProof/>
          <w:sz w:val="22"/>
        </w:rPr>
      </w:pPr>
      <w:r>
        <w:rPr>
          <w:noProof/>
          <w:sz w:val="22"/>
        </w:rPr>
        <w:t xml:space="preserve">Id-Direttorat Ġenerali għall-Komunikazzjoni (2019), </w:t>
      </w:r>
      <w:r>
        <w:rPr>
          <w:i/>
          <w:iCs/>
          <w:noProof/>
          <w:sz w:val="22"/>
        </w:rPr>
        <w:t>Ewrobarometru Flash 482: l-attitudnijiet tan-negozji lejn il-korruzzjoni fl-UE</w:t>
      </w:r>
      <w:r>
        <w:rPr>
          <w:noProof/>
          <w:sz w:val="22"/>
        </w:rPr>
        <w:t>.</w:t>
      </w:r>
    </w:p>
    <w:p>
      <w:pPr>
        <w:spacing w:after="120" w:line="259" w:lineRule="auto"/>
        <w:rPr>
          <w:rFonts w:cs="Times New Roman"/>
          <w:noProof/>
          <w:sz w:val="22"/>
        </w:rPr>
      </w:pPr>
      <w:r>
        <w:rPr>
          <w:noProof/>
          <w:sz w:val="22"/>
        </w:rPr>
        <w:t xml:space="preserve">Id-Direttorat Ġenerali għall-Komunikazzjoni (2020), </w:t>
      </w:r>
      <w:r>
        <w:rPr>
          <w:i/>
          <w:iCs/>
          <w:noProof/>
          <w:sz w:val="22"/>
        </w:rPr>
        <w:t>Ewrobarometru Speċjali 502: korruzzjoni</w:t>
      </w:r>
      <w:r>
        <w:rPr>
          <w:noProof/>
          <w:sz w:val="22"/>
        </w:rPr>
        <w:t>.</w:t>
      </w:r>
    </w:p>
    <w:p>
      <w:pPr>
        <w:spacing w:after="120"/>
        <w:rPr>
          <w:rStyle w:val="Hyperlink"/>
          <w:rFonts w:cs="Times New Roman"/>
          <w:bCs/>
          <w:noProof/>
          <w:color w:val="auto"/>
          <w:sz w:val="22"/>
          <w:u w:val="none"/>
        </w:rPr>
      </w:pPr>
      <w:r>
        <w:rPr>
          <w:rStyle w:val="Hyperlink"/>
          <w:bCs/>
          <w:noProof/>
          <w:color w:val="auto"/>
          <w:sz w:val="22"/>
          <w:u w:val="none"/>
        </w:rPr>
        <w:t xml:space="preserve">Il-Kummissjoni Ewropea (2020), </w:t>
      </w:r>
      <w:r>
        <w:rPr>
          <w:rStyle w:val="Hyperlink"/>
          <w:bCs/>
          <w:i/>
          <w:noProof/>
          <w:color w:val="auto"/>
          <w:sz w:val="22"/>
          <w:u w:val="none"/>
        </w:rPr>
        <w:t>Ir-Rapport tal-2020 dwar l-Istat tad-Dritt - Is-sitwazzjoni tal-istat tad-dritt fl-Unjoni Ewropea</w:t>
      </w:r>
    </w:p>
    <w:p>
      <w:pPr>
        <w:spacing w:after="120"/>
        <w:rPr>
          <w:rFonts w:cs="Times New Roman"/>
          <w:noProof/>
          <w:color w:val="000000"/>
          <w:sz w:val="22"/>
        </w:rPr>
      </w:pPr>
      <w:r>
        <w:rPr>
          <w:noProof/>
        </w:rPr>
        <w:t xml:space="preserve">Il-Kummissjoni Ewropea (2020), Ir-Rakkomandazzjoni għal rakkomandazzjoni tal-Kunsill dwar il-Programm Nazzjonali ta’ Riforma tal-Italja tal-2020 u li tagħti l-opinjoni tal-Kunsill dwar il-Programm ta’ Stabbiltà tal-Italja tal-2020 </w:t>
      </w:r>
      <w:r>
        <w:rPr>
          <w:noProof/>
          <w:color w:val="000000"/>
          <w:sz w:val="22"/>
        </w:rPr>
        <w:t xml:space="preserve"> (</w:t>
      </w:r>
      <w:hyperlink r:id="rId25" w:history="1">
        <w:r>
          <w:rPr>
            <w:rStyle w:val="Hyperlink"/>
            <w:noProof/>
            <w:sz w:val="22"/>
          </w:rPr>
          <w:t>https://eur-lex.europa.eu/legal-content/EN/TXT/?qid=1591720698631&amp;uri=CELEX:52020DC0512</w:t>
        </w:r>
      </w:hyperlink>
      <w:r>
        <w:rPr>
          <w:noProof/>
          <w:color w:val="000000"/>
          <w:sz w:val="22"/>
        </w:rPr>
        <w:t>)</w:t>
      </w:r>
    </w:p>
    <w:p>
      <w:pPr>
        <w:spacing w:after="120"/>
        <w:rPr>
          <w:rFonts w:cs="Times New Roman"/>
          <w:bCs/>
          <w:noProof/>
          <w:sz w:val="22"/>
        </w:rPr>
      </w:pPr>
      <w:r>
        <w:rPr>
          <w:noProof/>
          <w:color w:val="000000"/>
          <w:sz w:val="22"/>
        </w:rPr>
        <w:t>Il-Kummissjoni Ewropea (2021), https://eur-lex.europa.eu/legal-content/EN/TXT/?qid=1591720698631&amp;uri=CELEX:52020DC0512</w:t>
      </w:r>
    </w:p>
    <w:p>
      <w:pPr>
        <w:spacing w:after="120"/>
        <w:rPr>
          <w:rFonts w:cs="Times New Roman"/>
          <w:bCs/>
          <w:i/>
          <w:noProof/>
          <w:sz w:val="22"/>
        </w:rPr>
      </w:pPr>
      <w:r>
        <w:rPr>
          <w:bCs/>
          <w:noProof/>
          <w:sz w:val="22"/>
        </w:rPr>
        <w:t xml:space="preserve">L-Aġenzija għad-Drittijiet fundamentali (2021) </w:t>
      </w:r>
      <w:r>
        <w:rPr>
          <w:i/>
          <w:noProof/>
          <w:sz w:val="22"/>
        </w:rPr>
        <w:t xml:space="preserve"> Kontribut mill-Aġenzija għad-Drittijiet Fundamentali għar-Rapport tal-2021 dwar l-Istat tad-Dritt.</w:t>
      </w:r>
    </w:p>
    <w:p>
      <w:pPr>
        <w:spacing w:after="120"/>
        <w:rPr>
          <w:rFonts w:cs="Times New Roman"/>
          <w:bCs/>
          <w:noProof/>
          <w:sz w:val="22"/>
        </w:rPr>
      </w:pPr>
      <w:r>
        <w:rPr>
          <w:bCs/>
          <w:noProof/>
          <w:sz w:val="22"/>
        </w:rPr>
        <w:t xml:space="preserve">G20 (2015), </w:t>
      </w:r>
      <w:r>
        <w:rPr>
          <w:bCs/>
          <w:i/>
          <w:noProof/>
          <w:sz w:val="22"/>
        </w:rPr>
        <w:t>Anti-Corruption Open Data Principles</w:t>
      </w:r>
      <w:r>
        <w:rPr>
          <w:bCs/>
          <w:noProof/>
          <w:sz w:val="22"/>
        </w:rPr>
        <w:t xml:space="preserve"> (</w:t>
      </w:r>
      <w:hyperlink r:id="rId26" w:history="1">
        <w:r>
          <w:rPr>
            <w:rStyle w:val="Hyperlink"/>
            <w:bCs/>
            <w:noProof/>
            <w:sz w:val="22"/>
          </w:rPr>
          <w:t>http://www.g20.utoronto.ca/2015/G20-Anti-Corruption-Open-Data-Principles.pdf</w:t>
        </w:r>
      </w:hyperlink>
      <w:r>
        <w:rPr>
          <w:bCs/>
          <w:noProof/>
          <w:sz w:val="22"/>
        </w:rPr>
        <w:t>)</w:t>
      </w:r>
    </w:p>
    <w:p>
      <w:pPr>
        <w:spacing w:after="120"/>
        <w:rPr>
          <w:rFonts w:cs="Times New Roman"/>
          <w:bCs/>
          <w:i/>
          <w:noProof/>
          <w:sz w:val="20"/>
        </w:rPr>
      </w:pPr>
      <w:r>
        <w:rPr>
          <w:noProof/>
          <w:sz w:val="22"/>
        </w:rPr>
        <w:t xml:space="preserve">GRECO (2019), </w:t>
      </w:r>
      <w:r>
        <w:rPr>
          <w:i/>
          <w:noProof/>
          <w:sz w:val="22"/>
        </w:rPr>
        <w:t>Third Evaluation Round - Second Addendum to the Second Compliance Report on Italy on Incriminations and Transparency of Party Funding</w:t>
      </w:r>
    </w:p>
    <w:p>
      <w:pPr>
        <w:spacing w:after="120"/>
        <w:rPr>
          <w:rFonts w:cs="Times New Roman"/>
          <w:noProof/>
          <w:sz w:val="22"/>
        </w:rPr>
      </w:pPr>
      <w:r>
        <w:rPr>
          <w:bCs/>
          <w:noProof/>
          <w:sz w:val="22"/>
        </w:rPr>
        <w:t xml:space="preserve">GRECO (2021), </w:t>
      </w:r>
      <w:r>
        <w:rPr>
          <w:bCs/>
          <w:i/>
          <w:noProof/>
          <w:sz w:val="22"/>
        </w:rPr>
        <w:t>Fourth Evaluation Round - Second Compliance Report on Italy on corruption prevention in respect of members of parliament, judges and prosecutors</w:t>
      </w:r>
    </w:p>
    <w:p>
      <w:pPr>
        <w:spacing w:after="120"/>
        <w:rPr>
          <w:rFonts w:cs="Times New Roman"/>
          <w:noProof/>
          <w:sz w:val="20"/>
        </w:rPr>
      </w:pPr>
      <w:r>
        <w:rPr>
          <w:noProof/>
          <w:sz w:val="22"/>
        </w:rPr>
        <w:t xml:space="preserve">L-Awtorità Taljana Kontra l-Korruzzjoni (2020), </w:t>
      </w:r>
      <w:r>
        <w:rPr>
          <w:i/>
          <w:noProof/>
          <w:sz w:val="22"/>
        </w:rPr>
        <w:t>Analiżi tal-artikoli tad-Digriet Amministrattiv tas-16 ta’ Lulju 2020</w:t>
      </w:r>
      <w:r>
        <w:rPr>
          <w:noProof/>
          <w:sz w:val="22"/>
        </w:rPr>
        <w:t xml:space="preserve"> (</w:t>
      </w:r>
      <w:hyperlink r:id="rId27" w:history="1">
        <w:r>
          <w:rPr>
            <w:rStyle w:val="Hyperlink"/>
            <w:noProof/>
            <w:sz w:val="22"/>
          </w:rPr>
          <w:t>https://www.anticorruzione.it/portal/rest/jcr/repository/collaboration/Digital Assets/anacdocs/Attivita/Pubblicazioni/RapportiStudi/ContrattiPubblici/Anac.DL76.2020.pdf</w:t>
        </w:r>
      </w:hyperlink>
      <w:r>
        <w:rPr>
          <w:noProof/>
          <w:sz w:val="22"/>
        </w:rPr>
        <w:t>).</w:t>
      </w:r>
    </w:p>
    <w:p>
      <w:pPr>
        <w:spacing w:after="120"/>
        <w:rPr>
          <w:rFonts w:cs="Times New Roman"/>
          <w:noProof/>
          <w:sz w:val="22"/>
        </w:rPr>
      </w:pPr>
      <w:r>
        <w:rPr>
          <w:noProof/>
          <w:sz w:val="22"/>
        </w:rPr>
        <w:t>L-Awtorità Taljana Kontra l-Korruzzjoni (2020)</w:t>
      </w:r>
      <w:r>
        <w:rPr>
          <w:i/>
          <w:noProof/>
          <w:sz w:val="22"/>
        </w:rPr>
        <w:t>, Il-prevenzjoni tal-Korruzzjoni u t-trasparenza</w:t>
      </w:r>
      <w:r>
        <w:rPr>
          <w:noProof/>
          <w:sz w:val="22"/>
        </w:rPr>
        <w:t xml:space="preserve"> (</w:t>
      </w:r>
      <w:hyperlink r:id="rId28" w:history="1">
        <w:r>
          <w:rPr>
            <w:rStyle w:val="Hyperlink"/>
            <w:noProof/>
            <w:sz w:val="22"/>
          </w:rPr>
          <w:t>http://www.anticorruzione.it/portal/public/classic/Comunicazione/News/_news?id=8e7b24b70a77804261ad277e20798ed6</w:t>
        </w:r>
      </w:hyperlink>
      <w:r>
        <w:rPr>
          <w:noProof/>
          <w:sz w:val="22"/>
        </w:rPr>
        <w:t>).</w:t>
      </w:r>
    </w:p>
    <w:p>
      <w:pPr>
        <w:spacing w:after="120"/>
        <w:rPr>
          <w:rFonts w:cs="Times New Roman"/>
          <w:noProof/>
          <w:sz w:val="22"/>
        </w:rPr>
      </w:pPr>
      <w:r>
        <w:rPr>
          <w:noProof/>
          <w:sz w:val="22"/>
        </w:rPr>
        <w:t xml:space="preserve">L-Awtorità Taljana Kontra l-Korruzzjoni (2020), </w:t>
      </w:r>
      <w:r>
        <w:rPr>
          <w:i/>
          <w:noProof/>
          <w:sz w:val="22"/>
        </w:rPr>
        <w:t>“Analiżi tad-data u kostruzzjoni ta’ indikaturi tar-riskju ta’ korruzzjoni għall-Bażi tad-Data Nazzjonali tal-Kuntratti Pubbliċi”</w:t>
      </w:r>
      <w:r>
        <w:rPr>
          <w:noProof/>
          <w:sz w:val="22"/>
        </w:rPr>
        <w:t xml:space="preserve">, </w:t>
      </w:r>
      <w:r>
        <w:rPr>
          <w:i/>
          <w:noProof/>
          <w:sz w:val="22"/>
        </w:rPr>
        <w:t xml:space="preserve">Dokument ta’ Ħidma Nru 5 </w:t>
      </w:r>
      <w:r>
        <w:rPr>
          <w:noProof/>
          <w:sz w:val="22"/>
        </w:rPr>
        <w:t>(</w:t>
      </w:r>
      <w:hyperlink r:id="rId29" w:history="1">
        <w:r>
          <w:rPr>
            <w:rStyle w:val="Hyperlink"/>
            <w:noProof/>
            <w:sz w:val="22"/>
          </w:rPr>
          <w:t>http://www.anticorruzione.it/portal/rest/jcr/repository/collaboration/Digital%20Assets/anacdocs/Attivita/Pubblicazioni/Collana%20scientifica%20Autorita/Collana%20scientifica%20Anac%20-%20Matteo%20Tro%C3%83%C2%ACa%20WP%20n.5.pdf</w:t>
        </w:r>
      </w:hyperlink>
      <w:r>
        <w:rPr>
          <w:noProof/>
          <w:sz w:val="22"/>
        </w:rPr>
        <w:t>)</w:t>
      </w:r>
    </w:p>
    <w:p>
      <w:pPr>
        <w:spacing w:after="120"/>
        <w:rPr>
          <w:noProof/>
          <w:sz w:val="22"/>
        </w:rPr>
      </w:pPr>
      <w:r>
        <w:rPr>
          <w:noProof/>
          <w:sz w:val="22"/>
        </w:rPr>
        <w:t>L-Awtorità Taljana Kontra l-Korruzzjoni, Il-bażi tad-</w:t>
      </w:r>
      <w:r>
        <w:rPr>
          <w:i/>
          <w:iCs/>
          <w:noProof/>
          <w:sz w:val="22"/>
        </w:rPr>
        <w:t>data</w:t>
      </w:r>
      <w:r>
        <w:rPr>
          <w:noProof/>
          <w:sz w:val="22"/>
        </w:rPr>
        <w:t xml:space="preserve"> tal-kuntratti Pubbliċi (https://dati.anticorruzione.it/superset/dashboard/appalti/) (for data analytics), (https://dati.anticorruzione.it/opendata/) (for the open data platform). </w:t>
      </w:r>
    </w:p>
    <w:p>
      <w:pPr>
        <w:spacing w:after="120"/>
        <w:rPr>
          <w:rFonts w:cs="Times New Roman"/>
          <w:noProof/>
          <w:sz w:val="22"/>
        </w:rPr>
      </w:pPr>
      <w:r>
        <w:rPr>
          <w:noProof/>
          <w:sz w:val="22"/>
        </w:rPr>
        <w:t xml:space="preserve">Il-Gvern Taljan (2019–2021), </w:t>
      </w:r>
      <w:r>
        <w:rPr>
          <w:i/>
          <w:noProof/>
          <w:sz w:val="22"/>
        </w:rPr>
        <w:t>ir-4 Pjan ta’ Azzjoni Nazzjonali għal Gvern Miftuħ</w:t>
      </w:r>
      <w:r>
        <w:rPr>
          <w:noProof/>
          <w:sz w:val="22"/>
        </w:rPr>
        <w:t xml:space="preserve"> (</w:t>
      </w:r>
      <w:hyperlink r:id="rId30" w:history="1">
        <w:r>
          <w:rPr>
            <w:rStyle w:val="Hyperlink"/>
            <w:noProof/>
            <w:sz w:val="22"/>
          </w:rPr>
          <w:t>https://www.opengovpartnership.org/wp-content/uploads/2019/07/Italy-Action-Plan-2019-2021-English.pdf</w:t>
        </w:r>
      </w:hyperlink>
      <w:r>
        <w:rPr>
          <w:noProof/>
          <w:sz w:val="22"/>
        </w:rPr>
        <w:t>)</w:t>
      </w:r>
    </w:p>
    <w:p>
      <w:pPr>
        <w:spacing w:after="120"/>
        <w:rPr>
          <w:rFonts w:cs="Times New Roman"/>
          <w:bCs/>
          <w:i/>
          <w:noProof/>
          <w:sz w:val="22"/>
        </w:rPr>
      </w:pPr>
      <w:r>
        <w:rPr>
          <w:noProof/>
          <w:sz w:val="22"/>
        </w:rPr>
        <w:t xml:space="preserve">Il-Gvern </w:t>
      </w:r>
      <w:r>
        <w:rPr>
          <w:bCs/>
          <w:noProof/>
          <w:sz w:val="22"/>
        </w:rPr>
        <w:t xml:space="preserve">Taljan (2021) </w:t>
      </w:r>
      <w:r>
        <w:rPr>
          <w:bCs/>
          <w:i/>
          <w:noProof/>
          <w:sz w:val="22"/>
        </w:rPr>
        <w:t>Il-kontribut mill-Italja għar-Rapport tal-2021 dwar l-Istat tad-Dritt;</w:t>
      </w:r>
    </w:p>
    <w:p>
      <w:pPr>
        <w:spacing w:after="120"/>
        <w:rPr>
          <w:rFonts w:cs="Times New Roman"/>
          <w:noProof/>
          <w:sz w:val="22"/>
        </w:rPr>
      </w:pPr>
      <w:r>
        <w:rPr>
          <w:noProof/>
          <w:sz w:val="22"/>
        </w:rPr>
        <w:t>Il-Gvern Taljan, Il-Pjattaforma Consultazione għall-konsultazzjonijiet pubbliċi, (</w:t>
      </w:r>
      <w:hyperlink r:id="rId31" w:history="1">
        <w:r>
          <w:rPr>
            <w:rStyle w:val="Hyperlink"/>
            <w:noProof/>
            <w:sz w:val="22"/>
          </w:rPr>
          <w:t>http://www.consultazione.gov.it/it/</w:t>
        </w:r>
      </w:hyperlink>
      <w:r>
        <w:rPr>
          <w:rStyle w:val="Hyperlink"/>
          <w:noProof/>
          <w:sz w:val="22"/>
        </w:rPr>
        <w:t>).</w:t>
      </w:r>
      <w:r>
        <w:rPr>
          <w:noProof/>
          <w:sz w:val="22"/>
        </w:rPr>
        <w:t xml:space="preserve"> </w:t>
      </w:r>
    </w:p>
    <w:p>
      <w:pPr>
        <w:spacing w:after="120"/>
        <w:rPr>
          <w:rFonts w:cs="Times New Roman"/>
          <w:bCs/>
          <w:noProof/>
          <w:sz w:val="22"/>
        </w:rPr>
      </w:pPr>
      <w:r>
        <w:rPr>
          <w:noProof/>
          <w:sz w:val="22"/>
        </w:rPr>
        <w:t xml:space="preserve">Il-Gvern Taljan, il-Pjattaforma Partecipa għall-konsultazzjonijiet pubbliċi </w:t>
      </w:r>
      <w:r>
        <w:rPr>
          <w:bCs/>
          <w:noProof/>
          <w:sz w:val="22"/>
        </w:rPr>
        <w:t>(</w:t>
      </w:r>
      <w:hyperlink r:id="rId32" w:history="1">
        <w:r>
          <w:rPr>
            <w:rStyle w:val="Hyperlink"/>
            <w:bCs/>
            <w:noProof/>
            <w:sz w:val="22"/>
          </w:rPr>
          <w:t>https://partecipa.gov.it/?locale=en</w:t>
        </w:r>
      </w:hyperlink>
      <w:r>
        <w:rPr>
          <w:noProof/>
          <w:sz w:val="22"/>
        </w:rPr>
        <w:t>)</w:t>
      </w:r>
    </w:p>
    <w:p>
      <w:pPr>
        <w:spacing w:after="120" w:line="259" w:lineRule="auto"/>
        <w:rPr>
          <w:rFonts w:cs="Times New Roman"/>
          <w:noProof/>
          <w:sz w:val="20"/>
        </w:rPr>
      </w:pPr>
      <w:r>
        <w:rPr>
          <w:noProof/>
          <w:sz w:val="22"/>
        </w:rPr>
        <w:t xml:space="preserve">Il-Presidenza Taljana tal-Kunsill tal-Ministri - Dipartiment tal-Informazzjoni u l-Pubblikazzjoni, </w:t>
      </w:r>
      <w:r>
        <w:rPr>
          <w:i/>
          <w:noProof/>
          <w:sz w:val="22"/>
        </w:rPr>
        <w:t>Fondo per il pluralismo e l'innovazione dell'informazione</w:t>
      </w:r>
      <w:r>
        <w:rPr>
          <w:noProof/>
          <w:sz w:val="22"/>
        </w:rPr>
        <w:t xml:space="preserve"> (</w:t>
      </w:r>
      <w:hyperlink r:id="rId33" w:history="1">
        <w:r>
          <w:rPr>
            <w:rStyle w:val="Hyperlink"/>
            <w:noProof/>
            <w:sz w:val="22"/>
          </w:rPr>
          <w:t>https://informazioneeditoria.gov.it/it/approfondimenti-e-normativa/fondo-per-il-pluralismo-e-linnovazione-dellinformazione/</w:t>
        </w:r>
      </w:hyperlink>
      <w:r>
        <w:rPr>
          <w:noProof/>
          <w:sz w:val="22"/>
        </w:rPr>
        <w:t>).</w:t>
      </w:r>
    </w:p>
    <w:p>
      <w:pPr>
        <w:spacing w:after="120"/>
        <w:rPr>
          <w:rFonts w:cs="Times New Roman"/>
          <w:noProof/>
          <w:sz w:val="22"/>
        </w:rPr>
      </w:pPr>
      <w:r>
        <w:rPr>
          <w:noProof/>
          <w:sz w:val="22"/>
        </w:rPr>
        <w:t xml:space="preserve">La Repubblica (2020), </w:t>
      </w:r>
      <w:r>
        <w:rPr>
          <w:i/>
          <w:noProof/>
          <w:sz w:val="22"/>
        </w:rPr>
        <w:t>I Soldi di Change al Governantore: indagine sulla Fondazione di Toti</w:t>
      </w:r>
      <w:r>
        <w:rPr>
          <w:noProof/>
          <w:sz w:val="22"/>
        </w:rPr>
        <w:t xml:space="preserve"> (</w:t>
      </w:r>
      <w:hyperlink r:id="rId34" w:history="1">
        <w:r>
          <w:rPr>
            <w:rStyle w:val="Hyperlink"/>
            <w:noProof/>
            <w:sz w:val="22"/>
          </w:rPr>
          <w:t>https://genova.repubblica.it/cronaca/2020/01/22/news/i_soldi_di_change_al_governatore_indagine_sulla_fondazione_di_toti-246332702/</w:t>
        </w:r>
      </w:hyperlink>
      <w:r>
        <w:rPr>
          <w:noProof/>
          <w:sz w:val="22"/>
        </w:rPr>
        <w:t>)</w:t>
      </w:r>
    </w:p>
    <w:p>
      <w:pPr>
        <w:spacing w:after="120"/>
        <w:rPr>
          <w:rFonts w:cs="Times New Roman"/>
          <w:noProof/>
          <w:sz w:val="22"/>
        </w:rPr>
      </w:pPr>
      <w:r>
        <w:rPr>
          <w:noProof/>
          <w:sz w:val="22"/>
        </w:rPr>
        <w:t xml:space="preserve">Il-Ministeru tal-Intern: Dipartiment tas-Sigurtà Pubblika, Direzzjoni Ċentrali tal-Pulizija Kriminali (2020), </w:t>
      </w:r>
      <w:r>
        <w:rPr>
          <w:i/>
          <w:noProof/>
          <w:sz w:val="22"/>
        </w:rPr>
        <w:t>Atti intimidatorji Perċitati kontra l-ġurnalisti</w:t>
      </w:r>
      <w:r>
        <w:rPr>
          <w:noProof/>
          <w:sz w:val="22"/>
        </w:rPr>
        <w:t xml:space="preserve"> (https://www.interno.gov.it/sites/default/files/2021-03/report_intimidazioni_giornalisti_febbraio_2021.pdf).</w:t>
      </w:r>
    </w:p>
    <w:p>
      <w:pPr>
        <w:spacing w:after="120"/>
        <w:rPr>
          <w:rFonts w:cs="Times New Roman"/>
          <w:noProof/>
          <w:sz w:val="20"/>
        </w:rPr>
      </w:pPr>
      <w:r>
        <w:rPr>
          <w:noProof/>
          <w:sz w:val="22"/>
        </w:rPr>
        <w:t xml:space="preserve">Il-Ministeru tal-Ġustizzja (2021), </w:t>
      </w:r>
      <w:r>
        <w:rPr>
          <w:i/>
          <w:noProof/>
          <w:sz w:val="22"/>
        </w:rPr>
        <w:t>Kontribut mill-Ministeru tal-Ġustizzja għar-Rapport tal-2021 dwar l-Istat tad-Dritt</w:t>
      </w:r>
    </w:p>
    <w:p>
      <w:pPr>
        <w:spacing w:after="120" w:line="259" w:lineRule="auto"/>
        <w:rPr>
          <w:rFonts w:cs="Times New Roman"/>
          <w:noProof/>
          <w:sz w:val="22"/>
        </w:rPr>
      </w:pPr>
      <w:r>
        <w:rPr>
          <w:noProof/>
          <w:sz w:val="22"/>
        </w:rPr>
        <w:t xml:space="preserve">OECD (2017), </w:t>
      </w:r>
      <w:r>
        <w:rPr>
          <w:i/>
          <w:noProof/>
          <w:sz w:val="22"/>
        </w:rPr>
        <w:t>Statement of the OECD Working Group on Bribery on Italy’s implementation of the Anti-Bribery Convention</w:t>
      </w:r>
      <w:r>
        <w:rPr>
          <w:noProof/>
          <w:sz w:val="22"/>
        </w:rPr>
        <w:t xml:space="preserve"> (</w:t>
      </w:r>
      <w:hyperlink r:id="rId35" w:history="1">
        <w:r>
          <w:rPr>
            <w:rStyle w:val="Hyperlink"/>
            <w:noProof/>
            <w:sz w:val="22"/>
          </w:rPr>
          <w:t>https://www.oecd.org/corruption/statement-of-the-oecd-working-group-on-bribery-on-italy-implementation-of-the-anti-bribery-convention.htm</w:t>
        </w:r>
      </w:hyperlink>
      <w:r>
        <w:rPr>
          <w:noProof/>
          <w:sz w:val="22"/>
        </w:rPr>
        <w:t>)</w:t>
      </w:r>
    </w:p>
    <w:p>
      <w:pPr>
        <w:spacing w:after="120" w:line="259" w:lineRule="auto"/>
        <w:rPr>
          <w:rFonts w:cs="Times New Roman"/>
          <w:noProof/>
          <w:sz w:val="22"/>
        </w:rPr>
      </w:pPr>
      <w:r>
        <w:rPr>
          <w:noProof/>
          <w:sz w:val="22"/>
        </w:rPr>
        <w:t>Is-sit web tal-Ombudsman tat-Toskana (</w:t>
      </w:r>
      <w:hyperlink r:id="rId36" w:history="1">
        <w:r>
          <w:rPr>
            <w:rStyle w:val="Hyperlink"/>
            <w:noProof/>
            <w:sz w:val="22"/>
          </w:rPr>
          <w:t>http://www.difensorecivicotoscana.it</w:t>
        </w:r>
      </w:hyperlink>
      <w:r>
        <w:rPr>
          <w:noProof/>
          <w:sz w:val="22"/>
        </w:rPr>
        <w:t>)</w:t>
      </w:r>
    </w:p>
    <w:p>
      <w:pPr>
        <w:spacing w:after="120" w:line="259" w:lineRule="auto"/>
        <w:rPr>
          <w:rFonts w:cs="Times New Roman"/>
          <w:noProof/>
          <w:sz w:val="22"/>
        </w:rPr>
      </w:pPr>
      <w:r>
        <w:rPr>
          <w:noProof/>
          <w:sz w:val="22"/>
        </w:rPr>
        <w:t xml:space="preserve">Reporters without Borders (2021), </w:t>
      </w:r>
      <w:r>
        <w:rPr>
          <w:i/>
          <w:noProof/>
          <w:sz w:val="22"/>
        </w:rPr>
        <w:t>World Press Freedom Index</w:t>
      </w:r>
      <w:r>
        <w:rPr>
          <w:noProof/>
          <w:sz w:val="22"/>
        </w:rPr>
        <w:t xml:space="preserve"> (Indiċi Dinji tal-Libertà tal-Istampa )</w:t>
      </w:r>
    </w:p>
    <w:p>
      <w:pPr>
        <w:spacing w:after="120" w:line="259" w:lineRule="auto"/>
        <w:rPr>
          <w:rFonts w:cs="Times New Roman"/>
          <w:noProof/>
          <w:sz w:val="22"/>
        </w:rPr>
      </w:pPr>
      <w:r>
        <w:rPr>
          <w:noProof/>
          <w:sz w:val="22"/>
        </w:rPr>
        <w:t xml:space="preserve">Transparency International (2020), </w:t>
      </w:r>
      <w:r>
        <w:rPr>
          <w:i/>
          <w:noProof/>
          <w:sz w:val="22"/>
        </w:rPr>
        <w:t>Debugging Democracy, Open data for political integrity in Europe</w:t>
      </w:r>
    </w:p>
    <w:p>
      <w:pPr>
        <w:spacing w:after="120" w:line="259" w:lineRule="auto"/>
        <w:rPr>
          <w:rFonts w:cs="Times New Roman"/>
          <w:iCs/>
          <w:noProof/>
          <w:sz w:val="22"/>
        </w:rPr>
      </w:pPr>
      <w:r>
        <w:rPr>
          <w:noProof/>
          <w:sz w:val="22"/>
        </w:rPr>
        <w:t xml:space="preserve">Transparency International (2020), </w:t>
      </w:r>
      <w:r>
        <w:rPr>
          <w:i/>
          <w:noProof/>
          <w:sz w:val="22"/>
        </w:rPr>
        <w:t xml:space="preserve">Soldi e politica: cosa ci dicono i dati, </w:t>
      </w:r>
      <w:r>
        <w:rPr>
          <w:noProof/>
          <w:sz w:val="22"/>
        </w:rPr>
        <w:t>(</w:t>
      </w:r>
      <w:hyperlink r:id="rId37" w:history="1">
        <w:r>
          <w:rPr>
            <w:rStyle w:val="Hyperlink"/>
            <w:noProof/>
            <w:sz w:val="22"/>
          </w:rPr>
          <w:t>https://www.transparency.it/informati/blog/soldi-e-politica-cosa-ci-dicono-i-dati</w:t>
        </w:r>
      </w:hyperlink>
      <w:r>
        <w:rPr>
          <w:noProof/>
          <w:sz w:val="22"/>
        </w:rPr>
        <w:t>)</w:t>
      </w:r>
    </w:p>
    <w:p>
      <w:pPr>
        <w:spacing w:after="120" w:line="259" w:lineRule="auto"/>
        <w:rPr>
          <w:rFonts w:cs="Times New Roman"/>
          <w:iCs/>
          <w:noProof/>
          <w:sz w:val="22"/>
        </w:rPr>
      </w:pPr>
      <w:r>
        <w:rPr>
          <w:noProof/>
          <w:sz w:val="22"/>
        </w:rPr>
        <w:t>Transparency International (2021)</w:t>
      </w:r>
      <w:r>
        <w:rPr>
          <w:i/>
          <w:iCs/>
          <w:noProof/>
          <w:sz w:val="22"/>
        </w:rPr>
        <w:t xml:space="preserve">, Corruption Perceptions Index 2020 </w:t>
      </w:r>
      <w:r>
        <w:rPr>
          <w:iCs/>
          <w:noProof/>
          <w:sz w:val="22"/>
        </w:rPr>
        <w:t>(</w:t>
      </w:r>
      <w:hyperlink r:id="rId38" w:history="1">
        <w:r>
          <w:rPr>
            <w:rStyle w:val="Hyperlink"/>
            <w:iCs/>
            <w:noProof/>
            <w:sz w:val="22"/>
          </w:rPr>
          <w:t>https://www.transparency.org/en/cpi/2020/index/nzl</w:t>
        </w:r>
      </w:hyperlink>
      <w:r>
        <w:rPr>
          <w:noProof/>
          <w:sz w:val="22"/>
        </w:rPr>
        <w:t>)</w:t>
      </w:r>
    </w:p>
    <w:p>
      <w:pPr>
        <w:pageBreakBefore/>
        <w:spacing w:after="120" w:line="264" w:lineRule="auto"/>
        <w:rPr>
          <w:rFonts w:eastAsia="Times New Roman" w:cs="Times New Roman"/>
          <w:b/>
          <w:noProof/>
          <w:sz w:val="22"/>
        </w:rPr>
      </w:pPr>
      <w:r>
        <w:rPr>
          <w:b/>
          <w:noProof/>
          <w:sz w:val="22"/>
        </w:rPr>
        <w:t>Anness II: Żjara tal-pajjiż fl-Italja</w:t>
      </w:r>
    </w:p>
    <w:p>
      <w:pPr>
        <w:spacing w:after="120" w:line="264" w:lineRule="auto"/>
        <w:rPr>
          <w:rFonts w:eastAsia="Times New Roman" w:cs="Times New Roman"/>
          <w:noProof/>
          <w:sz w:val="22"/>
          <w:shd w:val="clear" w:color="auto" w:fill="FFFFFF"/>
        </w:rPr>
      </w:pPr>
      <w:r>
        <w:rPr>
          <w:noProof/>
          <w:sz w:val="22"/>
        </w:rPr>
        <w:t>F'April 2021, is-servizzi tal-Kummissjoni kellhom laqgħat virtwali ma’:</w:t>
      </w:r>
    </w:p>
    <w:p>
      <w:pPr>
        <w:pStyle w:val="ListParagraph"/>
        <w:numPr>
          <w:ilvl w:val="0"/>
          <w:numId w:val="5"/>
        </w:numPr>
        <w:rPr>
          <w:rStyle w:val="eop"/>
          <w:rFonts w:cs="Times New Roman"/>
          <w:noProof/>
          <w:sz w:val="22"/>
        </w:rPr>
      </w:pPr>
      <w:r>
        <w:rPr>
          <w:rStyle w:val="normaltextrun"/>
          <w:noProof/>
          <w:sz w:val="22"/>
          <w:shd w:val="clear" w:color="auto" w:fill="FFFFFF"/>
        </w:rPr>
        <w:t>AGCOM (Awtorità tal-Media)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L-Aġenzija Kontra l-Korruzzjoni (ANAC)</w:t>
      </w:r>
    </w:p>
    <w:p>
      <w:pPr>
        <w:pStyle w:val="ListParagraph"/>
        <w:numPr>
          <w:ilvl w:val="0"/>
          <w:numId w:val="5"/>
        </w:numPr>
        <w:rPr>
          <w:rStyle w:val="normaltextrun"/>
          <w:rFonts w:cs="Times New Roman"/>
          <w:noProof/>
          <w:sz w:val="22"/>
        </w:rPr>
      </w:pPr>
      <w:r>
        <w:rPr>
          <w:rStyle w:val="normaltextrun"/>
          <w:noProof/>
          <w:sz w:val="22"/>
          <w:shd w:val="clear" w:color="auto" w:fill="FFFFFF"/>
        </w:rPr>
        <w:t>L-Unità kontra l-Korruzzjoni tal-Pulizija Finanzjarja</w:t>
      </w:r>
    </w:p>
    <w:p>
      <w:pPr>
        <w:pStyle w:val="ListParagraph"/>
        <w:numPr>
          <w:ilvl w:val="0"/>
          <w:numId w:val="5"/>
        </w:numPr>
        <w:rPr>
          <w:rStyle w:val="normaltextrun"/>
          <w:rFonts w:cs="Times New Roman"/>
          <w:noProof/>
          <w:sz w:val="22"/>
        </w:rPr>
      </w:pPr>
      <w:r>
        <w:rPr>
          <w:rStyle w:val="normaltextrun"/>
          <w:noProof/>
          <w:sz w:val="22"/>
        </w:rPr>
        <w:t>Antigone</w:t>
      </w:r>
    </w:p>
    <w:p>
      <w:pPr>
        <w:pStyle w:val="ListParagraph"/>
        <w:numPr>
          <w:ilvl w:val="0"/>
          <w:numId w:val="5"/>
        </w:numPr>
        <w:rPr>
          <w:rStyle w:val="normaltextrun"/>
          <w:rFonts w:cs="Times New Roman"/>
          <w:noProof/>
          <w:sz w:val="22"/>
        </w:rPr>
      </w:pPr>
      <w:r>
        <w:rPr>
          <w:rStyle w:val="normaltextrun"/>
          <w:noProof/>
          <w:sz w:val="22"/>
          <w:bdr w:val="none" w:sz="0" w:space="0" w:color="auto" w:frame="1"/>
        </w:rPr>
        <w:t>L-Artikolu 21</w:t>
      </w:r>
    </w:p>
    <w:p>
      <w:pPr>
        <w:pStyle w:val="ListParagraph"/>
        <w:numPr>
          <w:ilvl w:val="0"/>
          <w:numId w:val="5"/>
        </w:numPr>
        <w:rPr>
          <w:rStyle w:val="normaltextrun"/>
          <w:rFonts w:cs="Times New Roman"/>
          <w:noProof/>
          <w:sz w:val="22"/>
        </w:rPr>
      </w:pPr>
      <w:r>
        <w:rPr>
          <w:noProof/>
          <w:sz w:val="22"/>
        </w:rPr>
        <w:t>L-Assoċjazzjoni tal-Ġurnalisti Ewropej</w:t>
      </w:r>
      <w:r>
        <w:rPr>
          <w:rStyle w:val="normaltextrun"/>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shd w:val="clear" w:color="auto" w:fill="FFFFFF"/>
        </w:rPr>
        <w:t>Il-Kunsill għall-Ġudikatura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shd w:val="clear" w:color="auto" w:fill="FFFFFF"/>
        </w:rPr>
        <w:t>Il-Kunsill tal-Istat</w:t>
      </w:r>
    </w:p>
    <w:p>
      <w:pPr>
        <w:pStyle w:val="ListParagraph"/>
        <w:numPr>
          <w:ilvl w:val="0"/>
          <w:numId w:val="5"/>
        </w:numPr>
        <w:rPr>
          <w:rStyle w:val="eop"/>
          <w:rFonts w:cs="Times New Roman"/>
          <w:noProof/>
          <w:sz w:val="22"/>
        </w:rPr>
      </w:pPr>
      <w:r>
        <w:rPr>
          <w:rStyle w:val="normaltextrun"/>
          <w:noProof/>
          <w:sz w:val="22"/>
          <w:shd w:val="clear" w:color="auto" w:fill="FFFFFF"/>
        </w:rPr>
        <w:t>Il-Qorti tal-Awdituri u l-Uffiċċju tal-Prosekutur fil-Qorti tal-Awdituri</w:t>
      </w:r>
      <w:r>
        <w:rPr>
          <w:rStyle w:val="eop"/>
          <w:noProof/>
          <w:sz w:val="22"/>
          <w:shd w:val="clear" w:color="auto" w:fill="FFFFFF"/>
        </w:rPr>
        <w:t xml:space="preserve"> </w:t>
      </w:r>
    </w:p>
    <w:p>
      <w:pPr>
        <w:pStyle w:val="ListParagraph"/>
        <w:numPr>
          <w:ilvl w:val="0"/>
          <w:numId w:val="5"/>
        </w:numPr>
        <w:rPr>
          <w:rStyle w:val="eop"/>
          <w:rFonts w:cs="Times New Roman"/>
          <w:noProof/>
          <w:sz w:val="22"/>
        </w:rPr>
      </w:pPr>
      <w:r>
        <w:rPr>
          <w:rStyle w:val="normaltextrun"/>
          <w:noProof/>
          <w:sz w:val="22"/>
          <w:shd w:val="clear" w:color="auto" w:fill="FFFFFF"/>
        </w:rPr>
        <w:t>Il-Qorti Għolja tal-Kassazzjoni</w:t>
      </w:r>
      <w:r>
        <w:rPr>
          <w:rStyle w:val="eop"/>
          <w:noProof/>
          <w:sz w:val="22"/>
          <w:shd w:val="clear" w:color="auto" w:fill="FFFFFF"/>
        </w:rPr>
        <w:t xml:space="preserve"> </w:t>
      </w:r>
    </w:p>
    <w:p>
      <w:pPr>
        <w:pStyle w:val="ListParagraph"/>
        <w:numPr>
          <w:ilvl w:val="0"/>
          <w:numId w:val="5"/>
        </w:numPr>
        <w:rPr>
          <w:rFonts w:cs="Times New Roman"/>
          <w:noProof/>
          <w:sz w:val="22"/>
        </w:rPr>
      </w:pPr>
      <w:r>
        <w:rPr>
          <w:rStyle w:val="normaltextrun"/>
          <w:noProof/>
          <w:sz w:val="22"/>
          <w:shd w:val="clear" w:color="auto" w:fill="FFFFFF"/>
        </w:rPr>
        <w:t>Infonodes</w:t>
      </w:r>
      <w:r>
        <w:rPr>
          <w:noProof/>
          <w:sz w:val="22"/>
        </w:rPr>
        <w:t xml:space="preserve"> </w:t>
      </w:r>
    </w:p>
    <w:p>
      <w:pPr>
        <w:pStyle w:val="ListParagraph"/>
        <w:numPr>
          <w:ilvl w:val="0"/>
          <w:numId w:val="5"/>
        </w:numPr>
        <w:rPr>
          <w:rStyle w:val="eop"/>
          <w:rFonts w:cs="Times New Roman"/>
          <w:noProof/>
          <w:sz w:val="22"/>
        </w:rPr>
      </w:pPr>
      <w:r>
        <w:rPr>
          <w:rStyle w:val="normaltextrun"/>
          <w:noProof/>
          <w:sz w:val="22"/>
        </w:rPr>
        <w:t xml:space="preserve">Libera </w:t>
      </w:r>
    </w:p>
    <w:p>
      <w:pPr>
        <w:pStyle w:val="ListParagraph"/>
        <w:numPr>
          <w:ilvl w:val="0"/>
          <w:numId w:val="5"/>
        </w:numPr>
        <w:rPr>
          <w:rStyle w:val="normaltextrun"/>
          <w:rFonts w:cs="Times New Roman"/>
          <w:noProof/>
          <w:sz w:val="22"/>
        </w:rPr>
      </w:pPr>
      <w:r>
        <w:rPr>
          <w:rStyle w:val="normaltextrun"/>
          <w:noProof/>
          <w:sz w:val="22"/>
          <w:bdr w:val="none" w:sz="0" w:space="0" w:color="auto" w:frame="1"/>
        </w:rPr>
        <w:t>Il-Ministeru tal-Ġustizzja</w:t>
      </w:r>
    </w:p>
    <w:p>
      <w:pPr>
        <w:pStyle w:val="ListParagraph"/>
        <w:numPr>
          <w:ilvl w:val="0"/>
          <w:numId w:val="5"/>
        </w:numPr>
        <w:rPr>
          <w:rStyle w:val="eop"/>
          <w:rFonts w:cs="Times New Roman"/>
          <w:noProof/>
          <w:sz w:val="22"/>
        </w:rPr>
      </w:pPr>
      <w:r>
        <w:rPr>
          <w:rStyle w:val="normaltextrun"/>
          <w:noProof/>
          <w:sz w:val="22"/>
          <w:shd w:val="clear" w:color="auto" w:fill="FFFFFF"/>
        </w:rPr>
        <w:t>Id-Direttorat Nazzjonali Kontra l-Mafja u l-Ġlieda Kontra t-Terroriżmu (DNAA)</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bCs/>
          <w:noProof/>
          <w:sz w:val="22"/>
          <w:bdr w:val="none" w:sz="0" w:space="0" w:color="auto" w:frame="1"/>
        </w:rPr>
        <w:t>L-Assoċjazzjoni Nazzjonali tal-Maġistrati</w:t>
      </w:r>
      <w:r>
        <w:rPr>
          <w:noProof/>
          <w:sz w:val="22"/>
          <w:bdr w:val="none" w:sz="0" w:space="0" w:color="auto" w:frame="1"/>
        </w:rPr>
        <w:t xml:space="preserve"> </w:t>
      </w:r>
      <w:r>
        <w:rPr>
          <w:rStyle w:val="normaltextrun"/>
          <w:noProof/>
          <w:sz w:val="22"/>
          <w:bdr w:val="none" w:sz="0" w:space="0" w:color="auto" w:frame="1"/>
        </w:rPr>
        <w:t>(ANM)</w:t>
      </w:r>
    </w:p>
    <w:p>
      <w:pPr>
        <w:pStyle w:val="ListParagraph"/>
        <w:numPr>
          <w:ilvl w:val="0"/>
          <w:numId w:val="5"/>
        </w:numPr>
        <w:rPr>
          <w:rStyle w:val="eop"/>
          <w:rFonts w:cs="Times New Roman"/>
          <w:noProof/>
          <w:sz w:val="22"/>
        </w:rPr>
      </w:pPr>
      <w:r>
        <w:rPr>
          <w:rStyle w:val="normaltextrun"/>
          <w:noProof/>
          <w:sz w:val="22"/>
          <w:shd w:val="clear" w:color="auto" w:fill="FFFFFF"/>
        </w:rPr>
        <w:t>L-Assoċjazzjoni Nazzjonali tal-Avukati</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Il-Federazzjoni Nazzjonali tal-Istampa Taljana</w:t>
      </w:r>
    </w:p>
    <w:p>
      <w:pPr>
        <w:pStyle w:val="ListParagraph"/>
        <w:numPr>
          <w:ilvl w:val="0"/>
          <w:numId w:val="5"/>
        </w:numPr>
        <w:rPr>
          <w:rStyle w:val="normaltextrun"/>
          <w:rFonts w:cs="Times New Roman"/>
          <w:noProof/>
          <w:sz w:val="22"/>
        </w:rPr>
      </w:pPr>
      <w:r>
        <w:rPr>
          <w:rStyle w:val="normaltextrun"/>
          <w:noProof/>
          <w:sz w:val="22"/>
          <w:bdr w:val="none" w:sz="0" w:space="0" w:color="auto" w:frame="1"/>
        </w:rPr>
        <w:t>Ossigeno per l’informazione</w:t>
      </w:r>
    </w:p>
    <w:p>
      <w:pPr>
        <w:pStyle w:val="ListParagraph"/>
        <w:numPr>
          <w:ilvl w:val="0"/>
          <w:numId w:val="5"/>
        </w:numPr>
        <w:rPr>
          <w:rStyle w:val="normaltextrun"/>
          <w:rFonts w:cs="Times New Roman"/>
          <w:noProof/>
          <w:sz w:val="22"/>
        </w:rPr>
      </w:pPr>
      <w:r>
        <w:rPr>
          <w:rStyle w:val="normaltextrun"/>
          <w:noProof/>
          <w:sz w:val="22"/>
        </w:rPr>
        <w:t>Il-Parlament</w:t>
      </w:r>
    </w:p>
    <w:p>
      <w:pPr>
        <w:pStyle w:val="ListParagraph"/>
        <w:numPr>
          <w:ilvl w:val="0"/>
          <w:numId w:val="5"/>
        </w:numPr>
        <w:rPr>
          <w:rStyle w:val="normaltextrun"/>
          <w:rFonts w:cs="Times New Roman"/>
          <w:noProof/>
          <w:sz w:val="22"/>
        </w:rPr>
      </w:pPr>
      <w:r>
        <w:rPr>
          <w:rStyle w:val="normaltextrun"/>
          <w:noProof/>
          <w:sz w:val="22"/>
          <w:shd w:val="clear" w:color="auto" w:fill="FFFFFF"/>
        </w:rPr>
        <w:t>Il-Presidenzi tal-Kunsill tal-Ministri</w:t>
      </w:r>
    </w:p>
    <w:p>
      <w:pPr>
        <w:pStyle w:val="ListParagraph"/>
        <w:numPr>
          <w:ilvl w:val="0"/>
          <w:numId w:val="5"/>
        </w:numPr>
        <w:rPr>
          <w:rStyle w:val="eop"/>
          <w:rFonts w:cs="Times New Roman"/>
          <w:noProof/>
          <w:sz w:val="22"/>
        </w:rPr>
      </w:pPr>
      <w:r>
        <w:rPr>
          <w:rStyle w:val="normaltextrun"/>
          <w:noProof/>
          <w:sz w:val="22"/>
          <w:shd w:val="clear" w:color="auto" w:fill="FFFFFF"/>
        </w:rPr>
        <w:t>Servizz ta’ Prosekuzzjoni fil-Qorti Superjuri tal-Kassazzjoni</w:t>
      </w:r>
      <w:r>
        <w:rPr>
          <w:rStyle w:val="eop"/>
          <w:noProof/>
          <w:sz w:val="22"/>
          <w:shd w:val="clear" w:color="auto" w:fill="FFFFFF"/>
        </w:rPr>
        <w:t xml:space="preserve"> </w:t>
      </w:r>
    </w:p>
    <w:p>
      <w:pPr>
        <w:pStyle w:val="ListParagraph"/>
        <w:numPr>
          <w:ilvl w:val="0"/>
          <w:numId w:val="5"/>
        </w:numPr>
        <w:rPr>
          <w:rStyle w:val="normaltextrun"/>
          <w:rFonts w:cs="Times New Roman"/>
          <w:noProof/>
          <w:sz w:val="22"/>
        </w:rPr>
      </w:pPr>
      <w:r>
        <w:rPr>
          <w:rStyle w:val="normaltextrun"/>
          <w:noProof/>
          <w:sz w:val="22"/>
        </w:rPr>
        <w:t>Il-lobby it-tajjeb</w:t>
      </w:r>
    </w:p>
    <w:p>
      <w:pPr>
        <w:pStyle w:val="ListParagraph"/>
        <w:numPr>
          <w:ilvl w:val="0"/>
          <w:numId w:val="5"/>
        </w:numPr>
        <w:rPr>
          <w:rStyle w:val="normaltextrun"/>
          <w:rFonts w:cs="Times New Roman"/>
          <w:noProof/>
          <w:sz w:val="22"/>
        </w:rPr>
      </w:pPr>
      <w:r>
        <w:rPr>
          <w:rStyle w:val="normaltextrun"/>
          <w:noProof/>
          <w:sz w:val="22"/>
        </w:rPr>
        <w:t xml:space="preserve">Transparency International </w:t>
      </w:r>
    </w:p>
    <w:p>
      <w:pPr>
        <w:rPr>
          <w:rFonts w:cs="Times New Roman"/>
          <w:noProof/>
          <w:sz w:val="22"/>
        </w:rPr>
      </w:pPr>
      <w:r>
        <w:rPr>
          <w:noProof/>
          <w:sz w:val="22"/>
        </w:rPr>
        <w:t>* Il-Kummissjoni ltaqgħet ukoll mal-organizzazzjonijiet li ġejjin f’għadd ta’ laqgħat orizzontali:</w:t>
      </w:r>
    </w:p>
    <w:p>
      <w:pPr>
        <w:pStyle w:val="ListParagraph"/>
        <w:numPr>
          <w:ilvl w:val="0"/>
          <w:numId w:val="7"/>
        </w:numPr>
        <w:spacing w:after="160" w:line="259" w:lineRule="auto"/>
        <w:jc w:val="left"/>
        <w:rPr>
          <w:rFonts w:cs="Times New Roman"/>
          <w:noProof/>
          <w:sz w:val="22"/>
        </w:rPr>
      </w:pPr>
      <w:r>
        <w:rPr>
          <w:noProof/>
          <w:sz w:val="22"/>
        </w:rPr>
        <w:t>Amnesty International</w:t>
      </w:r>
    </w:p>
    <w:p>
      <w:pPr>
        <w:pStyle w:val="ListParagraph"/>
        <w:numPr>
          <w:ilvl w:val="0"/>
          <w:numId w:val="7"/>
        </w:numPr>
        <w:spacing w:after="160" w:line="259" w:lineRule="auto"/>
        <w:jc w:val="left"/>
        <w:rPr>
          <w:rFonts w:cs="Times New Roman"/>
          <w:noProof/>
          <w:sz w:val="22"/>
        </w:rPr>
      </w:pPr>
      <w:r>
        <w:rPr>
          <w:noProof/>
          <w:sz w:val="22"/>
        </w:rPr>
        <w:t>Ċentru għad-Drittijiet Riproduttivi</w:t>
      </w:r>
    </w:p>
    <w:p>
      <w:pPr>
        <w:pStyle w:val="ListParagraph"/>
        <w:numPr>
          <w:ilvl w:val="0"/>
          <w:numId w:val="7"/>
        </w:numPr>
        <w:spacing w:after="160" w:line="259" w:lineRule="auto"/>
        <w:jc w:val="left"/>
        <w:rPr>
          <w:rFonts w:cs="Times New Roman"/>
          <w:noProof/>
          <w:sz w:val="22"/>
        </w:rPr>
      </w:pPr>
      <w:r>
        <w:rPr>
          <w:noProof/>
          <w:sz w:val="22"/>
        </w:rPr>
        <w:t>CIVICUS</w:t>
      </w:r>
    </w:p>
    <w:p>
      <w:pPr>
        <w:pStyle w:val="ListParagraph"/>
        <w:numPr>
          <w:ilvl w:val="0"/>
          <w:numId w:val="7"/>
        </w:numPr>
        <w:spacing w:after="160" w:line="259" w:lineRule="auto"/>
        <w:jc w:val="left"/>
        <w:rPr>
          <w:rFonts w:cs="Times New Roman"/>
          <w:noProof/>
          <w:sz w:val="22"/>
        </w:rPr>
      </w:pPr>
      <w:r>
        <w:rPr>
          <w:noProof/>
          <w:sz w:val="22"/>
        </w:rPr>
        <w:t>Unjoni tal-Libertajiet Ċivili għall-Ewropa</w:t>
      </w:r>
    </w:p>
    <w:p>
      <w:pPr>
        <w:pStyle w:val="ListParagraph"/>
        <w:numPr>
          <w:ilvl w:val="0"/>
          <w:numId w:val="7"/>
        </w:numPr>
        <w:spacing w:after="160" w:line="259" w:lineRule="auto"/>
        <w:jc w:val="left"/>
        <w:rPr>
          <w:rFonts w:cs="Times New Roman"/>
          <w:noProof/>
          <w:sz w:val="22"/>
        </w:rPr>
      </w:pPr>
      <w:r>
        <w:rPr>
          <w:noProof/>
          <w:sz w:val="22"/>
        </w:rPr>
        <w:t>Soċjetà Ċivili Ewropa</w:t>
      </w:r>
    </w:p>
    <w:p>
      <w:pPr>
        <w:pStyle w:val="ListParagraph"/>
        <w:numPr>
          <w:ilvl w:val="0"/>
          <w:numId w:val="7"/>
        </w:numPr>
        <w:spacing w:after="160" w:line="259" w:lineRule="auto"/>
        <w:jc w:val="left"/>
        <w:rPr>
          <w:rFonts w:cs="Times New Roman"/>
          <w:noProof/>
          <w:sz w:val="22"/>
        </w:rPr>
      </w:pPr>
      <w:r>
        <w:rPr>
          <w:noProof/>
          <w:sz w:val="22"/>
        </w:rPr>
        <w:t>Il-Konferenza tal-Knejjes Ewropej</w:t>
      </w:r>
    </w:p>
    <w:p>
      <w:pPr>
        <w:pStyle w:val="ListParagraph"/>
        <w:numPr>
          <w:ilvl w:val="0"/>
          <w:numId w:val="7"/>
        </w:numPr>
        <w:spacing w:after="160" w:line="259" w:lineRule="auto"/>
        <w:jc w:val="left"/>
        <w:rPr>
          <w:rFonts w:cs="Times New Roman"/>
          <w:noProof/>
          <w:sz w:val="22"/>
        </w:rPr>
      </w:pPr>
      <w:r>
        <w:rPr>
          <w:noProof/>
          <w:sz w:val="22"/>
        </w:rPr>
        <w:t>EuroCommerce</w:t>
      </w:r>
    </w:p>
    <w:p>
      <w:pPr>
        <w:pStyle w:val="ListParagraph"/>
        <w:numPr>
          <w:ilvl w:val="0"/>
          <w:numId w:val="7"/>
        </w:numPr>
        <w:spacing w:after="160" w:line="259" w:lineRule="auto"/>
        <w:jc w:val="left"/>
        <w:rPr>
          <w:rFonts w:cs="Times New Roman"/>
          <w:noProof/>
          <w:sz w:val="22"/>
        </w:rPr>
      </w:pPr>
      <w:r>
        <w:rPr>
          <w:noProof/>
          <w:sz w:val="22"/>
        </w:rPr>
        <w:t>Iċ-Ċentru Ewropew għal-Liġi dwar in-Not-for-Profit</w:t>
      </w:r>
    </w:p>
    <w:p>
      <w:pPr>
        <w:pStyle w:val="ListParagraph"/>
        <w:numPr>
          <w:ilvl w:val="0"/>
          <w:numId w:val="7"/>
        </w:numPr>
        <w:spacing w:after="160" w:line="259" w:lineRule="auto"/>
        <w:jc w:val="left"/>
        <w:rPr>
          <w:rFonts w:cs="Times New Roman"/>
          <w:noProof/>
          <w:sz w:val="22"/>
        </w:rPr>
      </w:pPr>
      <w:r>
        <w:rPr>
          <w:noProof/>
          <w:sz w:val="22"/>
        </w:rPr>
        <w:t>Iċ-Ċentru Ewropew għal-Libertà tal-Istampa u tal-Media</w:t>
      </w:r>
    </w:p>
    <w:p>
      <w:pPr>
        <w:pStyle w:val="ListParagraph"/>
        <w:numPr>
          <w:ilvl w:val="0"/>
          <w:numId w:val="7"/>
        </w:numPr>
        <w:spacing w:after="160" w:line="259" w:lineRule="auto"/>
        <w:jc w:val="left"/>
        <w:rPr>
          <w:rFonts w:cs="Times New Roman"/>
          <w:noProof/>
          <w:sz w:val="22"/>
        </w:rPr>
      </w:pPr>
      <w:r>
        <w:rPr>
          <w:noProof/>
          <w:sz w:val="22"/>
        </w:rPr>
        <w:t>Il-Forum Ċiviku Ewropew</w:t>
      </w:r>
    </w:p>
    <w:p>
      <w:pPr>
        <w:pStyle w:val="ListParagraph"/>
        <w:numPr>
          <w:ilvl w:val="0"/>
          <w:numId w:val="7"/>
        </w:numPr>
        <w:spacing w:after="160" w:line="259" w:lineRule="auto"/>
        <w:jc w:val="left"/>
        <w:rPr>
          <w:rFonts w:cs="Times New Roman"/>
          <w:noProof/>
          <w:sz w:val="22"/>
        </w:rPr>
      </w:pPr>
      <w:r>
        <w:rPr>
          <w:noProof/>
          <w:sz w:val="22"/>
        </w:rPr>
        <w:t>Il-Federazzjoni Ewropea tal-Ġurnalisti</w:t>
      </w:r>
    </w:p>
    <w:p>
      <w:pPr>
        <w:pStyle w:val="ListParagraph"/>
        <w:numPr>
          <w:ilvl w:val="0"/>
          <w:numId w:val="7"/>
        </w:numPr>
        <w:spacing w:after="160" w:line="259" w:lineRule="auto"/>
        <w:jc w:val="left"/>
        <w:rPr>
          <w:rFonts w:cs="Times New Roman"/>
          <w:noProof/>
          <w:sz w:val="22"/>
        </w:rPr>
      </w:pPr>
      <w:r>
        <w:rPr>
          <w:noProof/>
          <w:sz w:val="22"/>
        </w:rPr>
        <w:t xml:space="preserve">Is-Sħubija Ewropea għad-Demokrazija </w:t>
      </w:r>
    </w:p>
    <w:p>
      <w:pPr>
        <w:pStyle w:val="ListParagraph"/>
        <w:numPr>
          <w:ilvl w:val="0"/>
          <w:numId w:val="7"/>
        </w:numPr>
        <w:spacing w:after="160" w:line="259" w:lineRule="auto"/>
        <w:jc w:val="left"/>
        <w:rPr>
          <w:rFonts w:cs="Times New Roman"/>
          <w:noProof/>
          <w:sz w:val="22"/>
        </w:rPr>
      </w:pPr>
      <w:r>
        <w:rPr>
          <w:noProof/>
          <w:sz w:val="22"/>
        </w:rPr>
        <w:t>Il-Forum Ewropew taż-Żgħażagħ</w:t>
      </w:r>
    </w:p>
    <w:p>
      <w:pPr>
        <w:pStyle w:val="ListParagraph"/>
        <w:numPr>
          <w:ilvl w:val="0"/>
          <w:numId w:val="7"/>
        </w:numPr>
        <w:spacing w:after="160" w:line="259" w:lineRule="auto"/>
        <w:jc w:val="left"/>
        <w:rPr>
          <w:rFonts w:cs="Times New Roman"/>
          <w:noProof/>
          <w:sz w:val="22"/>
        </w:rPr>
      </w:pPr>
      <w:r>
        <w:rPr>
          <w:noProof/>
          <w:sz w:val="22"/>
        </w:rPr>
        <w:t>Id-Difensuri tal-Linja ta’ Quddiem</w:t>
      </w:r>
    </w:p>
    <w:p>
      <w:pPr>
        <w:pStyle w:val="ListParagraph"/>
        <w:numPr>
          <w:ilvl w:val="0"/>
          <w:numId w:val="7"/>
        </w:numPr>
        <w:spacing w:after="160" w:line="259" w:lineRule="auto"/>
        <w:jc w:val="left"/>
        <w:rPr>
          <w:rFonts w:cs="Times New Roman"/>
          <w:noProof/>
          <w:sz w:val="22"/>
        </w:rPr>
      </w:pPr>
      <w:r>
        <w:rPr>
          <w:noProof/>
          <w:sz w:val="22"/>
        </w:rPr>
        <w:t xml:space="preserve">Il-Fondazzjoni Dar id-Drittijiet tal-Bniedem </w:t>
      </w:r>
    </w:p>
    <w:p>
      <w:pPr>
        <w:pStyle w:val="ListParagraph"/>
        <w:numPr>
          <w:ilvl w:val="0"/>
          <w:numId w:val="7"/>
        </w:numPr>
        <w:spacing w:after="160" w:line="259" w:lineRule="auto"/>
        <w:jc w:val="left"/>
        <w:rPr>
          <w:rFonts w:cs="Times New Roman"/>
          <w:noProof/>
          <w:sz w:val="22"/>
        </w:rPr>
      </w:pPr>
      <w:r>
        <w:rPr>
          <w:noProof/>
          <w:sz w:val="22"/>
        </w:rPr>
        <w:t xml:space="preserve">Human Rights Watch </w:t>
      </w:r>
    </w:p>
    <w:p>
      <w:pPr>
        <w:pStyle w:val="ListParagraph"/>
        <w:numPr>
          <w:ilvl w:val="0"/>
          <w:numId w:val="7"/>
        </w:numPr>
        <w:spacing w:after="160" w:line="259" w:lineRule="auto"/>
        <w:jc w:val="left"/>
        <w:rPr>
          <w:rFonts w:cs="Times New Roman"/>
          <w:noProof/>
          <w:sz w:val="22"/>
        </w:rPr>
      </w:pPr>
      <w:r>
        <w:rPr>
          <w:noProof/>
          <w:sz w:val="22"/>
        </w:rPr>
        <w:t>ILGA-Europe</w:t>
      </w:r>
    </w:p>
    <w:p>
      <w:pPr>
        <w:pStyle w:val="ListParagraph"/>
        <w:numPr>
          <w:ilvl w:val="0"/>
          <w:numId w:val="7"/>
        </w:numPr>
        <w:spacing w:after="160" w:line="259" w:lineRule="auto"/>
        <w:jc w:val="left"/>
        <w:rPr>
          <w:rFonts w:cs="Times New Roman"/>
          <w:noProof/>
          <w:sz w:val="22"/>
        </w:rPr>
      </w:pPr>
      <w:r>
        <w:rPr>
          <w:noProof/>
          <w:sz w:val="22"/>
        </w:rPr>
        <w:t>Il-Kummissjoni Internazzjonali tal-Ġuristi</w:t>
      </w:r>
    </w:p>
    <w:p>
      <w:pPr>
        <w:pStyle w:val="ListParagraph"/>
        <w:numPr>
          <w:ilvl w:val="0"/>
          <w:numId w:val="7"/>
        </w:numPr>
        <w:spacing w:after="160" w:line="259" w:lineRule="auto"/>
        <w:jc w:val="left"/>
        <w:rPr>
          <w:rFonts w:cs="Times New Roman"/>
          <w:noProof/>
          <w:sz w:val="22"/>
        </w:rPr>
      </w:pPr>
      <w:r>
        <w:rPr>
          <w:noProof/>
          <w:sz w:val="22"/>
        </w:rPr>
        <w:t>Il-Federazzjoni Internazzjonali għad-Drittijiet tal-Bniedem</w:t>
      </w:r>
    </w:p>
    <w:p>
      <w:pPr>
        <w:pStyle w:val="ListParagraph"/>
        <w:numPr>
          <w:ilvl w:val="0"/>
          <w:numId w:val="7"/>
        </w:numPr>
        <w:spacing w:after="160" w:line="259" w:lineRule="auto"/>
        <w:jc w:val="left"/>
        <w:rPr>
          <w:rFonts w:cs="Times New Roman"/>
          <w:noProof/>
          <w:sz w:val="22"/>
        </w:rPr>
      </w:pPr>
      <w:r>
        <w:rPr>
          <w:noProof/>
          <w:sz w:val="22"/>
        </w:rPr>
        <w:t>International Planned Parenthood Federation European Network (IPPF EN)</w:t>
      </w:r>
    </w:p>
    <w:p>
      <w:pPr>
        <w:pStyle w:val="ListParagraph"/>
        <w:numPr>
          <w:ilvl w:val="0"/>
          <w:numId w:val="7"/>
        </w:numPr>
        <w:spacing w:after="160" w:line="259" w:lineRule="auto"/>
        <w:jc w:val="left"/>
        <w:rPr>
          <w:rFonts w:cs="Times New Roman"/>
          <w:noProof/>
          <w:sz w:val="22"/>
        </w:rPr>
      </w:pPr>
      <w:r>
        <w:rPr>
          <w:noProof/>
          <w:sz w:val="22"/>
        </w:rPr>
        <w:t>L-Istitut Internazzjonali tal-Istampa</w:t>
      </w:r>
    </w:p>
    <w:p>
      <w:pPr>
        <w:pStyle w:val="ListParagraph"/>
        <w:numPr>
          <w:ilvl w:val="0"/>
          <w:numId w:val="7"/>
        </w:numPr>
        <w:spacing w:after="160" w:line="259" w:lineRule="auto"/>
        <w:jc w:val="left"/>
        <w:rPr>
          <w:rFonts w:cs="Times New Roman"/>
          <w:noProof/>
          <w:sz w:val="22"/>
        </w:rPr>
      </w:pPr>
      <w:r>
        <w:rPr>
          <w:noProof/>
          <w:sz w:val="22"/>
        </w:rPr>
        <w:t xml:space="preserve">Il-Kumitat Netherlands Helsinki </w:t>
      </w:r>
    </w:p>
    <w:p>
      <w:pPr>
        <w:pStyle w:val="ListParagraph"/>
        <w:numPr>
          <w:ilvl w:val="0"/>
          <w:numId w:val="7"/>
        </w:numPr>
        <w:spacing w:after="160" w:line="259" w:lineRule="auto"/>
        <w:jc w:val="left"/>
        <w:rPr>
          <w:rFonts w:cs="Times New Roman"/>
          <w:noProof/>
          <w:sz w:val="22"/>
        </w:rPr>
      </w:pPr>
      <w:r>
        <w:rPr>
          <w:noProof/>
          <w:sz w:val="22"/>
        </w:rPr>
        <w:t>L-Istitut tal-Politika Ewropea tas-Soċjetà Miftuħa</w:t>
      </w:r>
    </w:p>
    <w:p>
      <w:pPr>
        <w:pStyle w:val="ListParagraph"/>
        <w:numPr>
          <w:ilvl w:val="0"/>
          <w:numId w:val="7"/>
        </w:numPr>
        <w:spacing w:after="160" w:line="259" w:lineRule="auto"/>
        <w:jc w:val="left"/>
        <w:rPr>
          <w:rFonts w:cs="Times New Roman"/>
          <w:noProof/>
          <w:sz w:val="22"/>
        </w:rPr>
      </w:pPr>
      <w:r>
        <w:rPr>
          <w:noProof/>
          <w:sz w:val="22"/>
        </w:rPr>
        <w:t>Philanthropy Advocacy</w:t>
      </w:r>
    </w:p>
    <w:p>
      <w:pPr>
        <w:pStyle w:val="ListParagraph"/>
        <w:numPr>
          <w:ilvl w:val="0"/>
          <w:numId w:val="7"/>
        </w:numPr>
        <w:spacing w:after="160" w:line="259" w:lineRule="auto"/>
        <w:jc w:val="left"/>
        <w:rPr>
          <w:rFonts w:cs="Times New Roman"/>
          <w:noProof/>
          <w:sz w:val="22"/>
        </w:rPr>
      </w:pPr>
      <w:r>
        <w:rPr>
          <w:noProof/>
          <w:sz w:val="22"/>
        </w:rPr>
        <w:t xml:space="preserve">Protection International </w:t>
      </w:r>
    </w:p>
    <w:p>
      <w:pPr>
        <w:pStyle w:val="ListParagraph"/>
        <w:numPr>
          <w:ilvl w:val="0"/>
          <w:numId w:val="7"/>
        </w:numPr>
        <w:spacing w:after="160" w:line="259" w:lineRule="auto"/>
        <w:jc w:val="left"/>
        <w:rPr>
          <w:rFonts w:cs="Times New Roman"/>
          <w:noProof/>
          <w:sz w:val="22"/>
        </w:rPr>
      </w:pPr>
      <w:r>
        <w:rPr>
          <w:noProof/>
          <w:sz w:val="22"/>
        </w:rPr>
        <w:t>Reporters without Borders</w:t>
      </w:r>
    </w:p>
    <w:p>
      <w:pPr>
        <w:pStyle w:val="ListParagraph"/>
        <w:numPr>
          <w:ilvl w:val="0"/>
          <w:numId w:val="7"/>
        </w:numPr>
        <w:spacing w:after="160" w:line="259" w:lineRule="auto"/>
        <w:jc w:val="left"/>
        <w:rPr>
          <w:rFonts w:cs="Times New Roman"/>
          <w:noProof/>
          <w:sz w:val="22"/>
        </w:rPr>
      </w:pPr>
      <w:r>
        <w:rPr>
          <w:noProof/>
          <w:sz w:val="22"/>
        </w:rPr>
        <w:t>Transparency International EU</w:t>
      </w:r>
    </w:p>
    <w:p>
      <w:pPr>
        <w:rPr>
          <w:rFonts w:cs="Times New Roman"/>
          <w:noProof/>
          <w:sz w:val="22"/>
        </w:rPr>
      </w:pPr>
    </w:p>
    <w:sectPr>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601" w:footer="1077" w:gutter="0"/>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DD6747" w16cex:dateUtc="2021-05-12T13:18:19.069Z"/>
  <w16cex:commentExtensible w16cex:durableId="399F3D89" w16cex:dateUtc="2021-05-12T13:21:52.248Z"/>
  <w16cex:commentExtensible w16cex:durableId="7487AFDD" w16cex:dateUtc="2021-05-12T13:28:16.775Z"/>
  <w16cex:commentExtensible w16cex:durableId="7626EBBD" w16cex:dateUtc="2021-05-12T13:39:00.915Z"/>
  <w16cex:commentExtensible w16cex:durableId="38604B69" w16cex:dateUtc="2021-05-12T13:39:57.482Z"/>
  <w16cex:commentExtensible w16cex:durableId="0E58FE7B" w16cex:dateUtc="2021-05-12T13:41:44.771Z"/>
  <w16cex:commentExtensible w16cex:durableId="5F707BFD" w16cex:dateUtc="2021-05-12T13:44:06.977Z"/>
  <w16cex:commentExtensible w16cex:durableId="0672284D" w16cex:dateUtc="2021-05-15T09:56:55.308Z"/>
  <w16cex:commentExtensible w16cex:durableId="76F30F76" w16cex:dateUtc="2021-05-15T15:30:37.995Z"/>
  <w16cex:commentExtensible w16cex:durableId="5B0560BC" w16cex:dateUtc="2021-05-15T15:37:02.446Z"/>
</w16cex:commentsExtensible>
</file>

<file path=word/commentsIds.xml><?xml version="1.0" encoding="utf-8"?>
<w16cid:commentsIds xmlns:mc="http://schemas.openxmlformats.org/markup-compatibility/2006" xmlns:w16cid="http://schemas.microsoft.com/office/word/2016/wordml/cid" mc:Ignorable="w16cid">
  <w16cid:commentId w16cid:paraId="6E345460" w16cid:durableId="36DD6747"/>
  <w16cid:commentId w16cid:paraId="05E7CD01" w16cid:durableId="399F3D89"/>
  <w16cid:commentId w16cid:paraId="5D144EC4" w16cid:durableId="7487AFDD"/>
  <w16cid:commentId w16cid:paraId="52B2E6F9" w16cid:durableId="7626EBBD"/>
  <w16cid:commentId w16cid:paraId="6574E8C4" w16cid:durableId="38604B69"/>
  <w16cid:commentId w16cid:paraId="1C3F7FB7" w16cid:durableId="0E58FE7B"/>
  <w16cid:commentId w16cid:paraId="130BF238" w16cid:durableId="5F707BFD"/>
  <w16cid:commentId w16cid:paraId="713AE135" w16cid:durableId="4D2C469D"/>
  <w16cid:commentId w16cid:paraId="1ED75961" w16cid:durableId="26091B67"/>
  <w16cid:commentId w16cid:paraId="15FBB262" w16cid:durableId="12C8F39B"/>
  <w16cid:commentId w16cid:paraId="485EB2B4" w16cid:durableId="035657D0"/>
  <w16cid:commentId w16cid:paraId="6A551B13" w16cid:durableId="63D04D8D"/>
  <w16cid:commentId w16cid:paraId="30AF40C3" w16cid:durableId="42042DB6"/>
  <w16cid:commentId w16cid:paraId="31D22A89" w16cid:durableId="2A5781E0"/>
  <w16cid:commentId w16cid:paraId="02D2376B" w16cid:durableId="6DEE66C4"/>
  <w16cid:commentId w16cid:paraId="57D79BEF" w16cid:durableId="6CE58CD7"/>
  <w16cid:commentId w16cid:paraId="37485EAE" w16cid:durableId="6CD92690"/>
  <w16cid:commentId w16cid:paraId="4B63A2B7" w16cid:durableId="70CDFFAD"/>
  <w16cid:commentId w16cid:paraId="7C83AB54" w16cid:durableId="17D53F48"/>
  <w16cid:commentId w16cid:paraId="7C9EBA96" w16cid:durableId="5738DE41"/>
  <w16cid:commentId w16cid:paraId="1BC75308" w16cid:durableId="0FA6CC72"/>
  <w16cid:commentId w16cid:paraId="4C6F111B" w16cid:durableId="1EF4F54F"/>
  <w16cid:commentId w16cid:paraId="079EB094" w16cid:durableId="3FBEDCFF"/>
  <w16cid:commentId w16cid:paraId="2D3016B4" w16cid:durableId="3FBBE6FE"/>
  <w16cid:commentId w16cid:paraId="2816C44A" w16cid:durableId="680563E3"/>
  <w16cid:commentId w16cid:paraId="12A812F7" w16cid:durableId="5B1102B1"/>
  <w16cid:commentId w16cid:paraId="48FEAC95" w16cid:durableId="7108F3B2"/>
  <w16cid:commentId w16cid:paraId="41B152EF" w16cid:durableId="3BC0B292"/>
  <w16cid:commentId w16cid:paraId="6649CB63" w16cid:durableId="5D25722D"/>
  <w16cid:commentId w16cid:paraId="42A58848" w16cid:durableId="0C9F3C13"/>
  <w16cid:commentId w16cid:paraId="3119F937" w16cid:durableId="50E50677"/>
  <w16cid:commentId w16cid:paraId="3F0F8CE4" w16cid:durableId="7B45BFD0"/>
  <w16cid:commentId w16cid:paraId="710F9787" w16cid:durableId="56863D8A"/>
  <w16cid:commentId w16cid:paraId="46802A96" w16cid:durableId="38001B98"/>
  <w16cid:commentId w16cid:paraId="2F094BF8" w16cid:durableId="1A5005E0"/>
  <w16cid:commentId w16cid:paraId="04FA762B" w16cid:durableId="726411AD"/>
  <w16cid:commentId w16cid:paraId="68F45BC8" w16cid:durableId="1627E6A2"/>
  <w16cid:commentId w16cid:paraId="46351BA1" w16cid:durableId="477B81AF"/>
  <w16cid:commentId w16cid:paraId="5499223A" w16cid:durableId="36F73983"/>
  <w16cid:commentId w16cid:paraId="58AF807E" w16cid:durableId="3D901B67"/>
  <w16cid:commentId w16cid:paraId="706ECF75" w16cid:durableId="0ED6236D"/>
  <w16cid:commentId w16cid:paraId="2520DEC2" w16cid:durableId="2449E4AB"/>
  <w16cid:commentId w16cid:paraId="17394C58" w16cid:durableId="6FFBA572"/>
  <w16cid:commentId w16cid:paraId="2BF01F0A" w16cid:durableId="3FDB84B4"/>
  <w16cid:commentId w16cid:paraId="6F53D8E0" w16cid:durableId="481D91A8"/>
  <w16cid:commentId w16cid:paraId="6ECE970D" w16cid:durableId="1C6C7540"/>
  <w16cid:commentId w16cid:paraId="7F519B8D" w16cid:durableId="5D9E3025"/>
  <w16cid:commentId w16cid:paraId="1220095A" w16cid:durableId="45E7C24A"/>
  <w16cid:commentId w16cid:paraId="577A2F1C" w16cid:durableId="294B49E2"/>
  <w16cid:commentId w16cid:paraId="3BFD6C90" w16cid:durableId="6952596F"/>
  <w16cid:commentId w16cid:paraId="4973340A" w16cid:durableId="2463959A"/>
  <w16cid:commentId w16cid:paraId="3BA7C194" w16cid:durableId="0672284D"/>
  <w16cid:commentId w16cid:paraId="61E8DE68" w16cid:durableId="76F30F76"/>
  <w16cid:commentId w16cid:paraId="292C0172" w16cid:durableId="5B0560B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p/>
    <w:p/>
  </w:endnote>
  <w:endnote w:type="continuationSeparator" w:id="0">
    <w:p>
      <w:pPr>
        <w:spacing w:after="0"/>
      </w:pPr>
      <w:r>
        <w:continuationSeparator/>
      </w:r>
    </w:p>
    <w:p/>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MT</w:t>
    </w:r>
    <w:r>
      <w:rPr>
        <w:rFonts w:ascii="Arial" w:hAnsi="Arial" w:cs="Arial"/>
        <w:b/>
        <w:sz w:val="48"/>
      </w:rPr>
      <w:tab/>
    </w:r>
    <w:r>
      <w:rPr>
        <w:rFonts w:ascii="Arial" w:hAnsi="Arial" w:cs="Arial"/>
        <w:b/>
        <w:sz w:val="48"/>
      </w:rPr>
      <w:tab/>
    </w:r>
    <w:r>
      <w:tab/>
    </w:r>
    <w:r>
      <w:rPr>
        <w:rFonts w:ascii="Arial" w:hAnsi="Arial" w:cs="Arial"/>
        <w:b/>
        <w:sz w:val="48"/>
      </w:rPr>
      <w:t>MT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cs="Times New Roman"/>
        <w:sz w:val="20"/>
      </w:rPr>
    </w:pPr>
    <w:sdt>
      <w:sdtPr>
        <w:rPr>
          <w:sz w:val="20"/>
        </w:rPr>
        <w:id w:val="299504628"/>
        <w:docPartObj>
          <w:docPartGallery w:val="Page Numbers (Bottom of Page)"/>
          <w:docPartUnique/>
        </w:docPartObj>
      </w:sdtPr>
      <w:sdtEndPr>
        <w:rPr>
          <w:rFonts w:cs="Times New Roman"/>
          <w:noProof/>
        </w:rPr>
      </w:sdtEndPr>
      <w:sdtContent>
        <w:r>
          <w:rPr>
            <w:rFonts w:cs="Times New Roman"/>
            <w:sz w:val="20"/>
          </w:rPr>
          <w:fldChar w:fldCharType="begin"/>
        </w:r>
        <w:r>
          <w:rPr>
            <w:rFonts w:cs="Times New Roman"/>
            <w:sz w:val="20"/>
          </w:rPr>
          <w:instrText xml:space="preserve"> PAGE   \* MERGEFORMAT </w:instrText>
        </w:r>
        <w:r>
          <w:rPr>
            <w:rFonts w:cs="Times New Roman"/>
            <w:sz w:val="20"/>
          </w:rPr>
          <w:fldChar w:fldCharType="separate"/>
        </w:r>
        <w:r>
          <w:rPr>
            <w:rFonts w:cs="Times New Roman"/>
            <w:noProof/>
            <w:sz w:val="20"/>
          </w:rPr>
          <w:t>2</w:t>
        </w:r>
        <w:r>
          <w:rPr>
            <w:rFonts w:cs="Times New Roman"/>
            <w:sz w:val="20"/>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853887"/>
      <w:docPartObj>
        <w:docPartGallery w:val="Page Numbers (Bottom of Page)"/>
        <w:docPartUnique/>
      </w:docPartObj>
    </w:sdtPr>
    <w:sdtEndPr>
      <w:rPr>
        <w:noProof/>
      </w:rPr>
    </w:sdtEndPr>
    <w:sdtContent>
      <w:p>
        <w:pPr>
          <w:pStyle w:val="Footer"/>
          <w:jc w:val="center"/>
        </w:pPr>
      </w:p>
      <w:p>
        <w:pPr>
          <w:pStyle w:val="Footer"/>
          <w:jc w:val="center"/>
        </w:pPr>
      </w:p>
      <w:p>
        <w:pPr>
          <w:pStyle w:val="Footer"/>
          <w:jc w:val="center"/>
          <w:rPr>
            <w:noProof/>
          </w:rPr>
        </w:pPr>
        <w:r>
          <w:fldChar w:fldCharType="begin"/>
        </w:r>
        <w:r>
          <w:instrText xml:space="preserve"> PAGE   \* MERGEFORMAT </w:instrText>
        </w:r>
        <w:r>
          <w:fldChar w:fldCharType="separate"/>
        </w:r>
        <w:r>
          <w:t>3</w:t>
        </w:r>
        <w:r>
          <w:fldChar w:fldCharType="end"/>
        </w:r>
      </w:p>
    </w:sdtContent>
  </w:sdt>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pPr>
      <w:r>
        <w:rPr>
          <w:rStyle w:val="FootnoteReference"/>
        </w:rPr>
        <w:footnoteRef/>
      </w:r>
      <w:r>
        <w:tab/>
        <w:t>Ir-Rapport tal-2020 dwar l-Istat tad-Dritt, il-kapitolu tal-pajjiż dwar is-sitwazzjoni tal-istat tad-dritt fl-Italja, p. 2.</w:t>
      </w:r>
    </w:p>
  </w:footnote>
  <w:footnote w:id="3">
    <w:p>
      <w:pPr>
        <w:pStyle w:val="FootnoteText"/>
      </w:pPr>
      <w:r>
        <w:rPr>
          <w:rStyle w:val="FootnoteReference"/>
        </w:rPr>
        <w:footnoteRef/>
      </w:r>
      <w:r>
        <w:tab/>
        <w:t>Il-Kostituzzjoni Taljana, l-Artikoli 104 u 107. Kemm l-imħallfin kif ukoll il-prosekuturi, bħala membri tal-ġudikatura, huma indipendenti minn setgħat kostituzzjonali oħra.</w:t>
      </w:r>
    </w:p>
  </w:footnote>
  <w:footnote w:id="4">
    <w:p>
      <w:pPr>
        <w:pStyle w:val="FootnoteText"/>
      </w:pPr>
      <w:r>
        <w:rPr>
          <w:rStyle w:val="FootnoteReference"/>
        </w:rPr>
        <w:footnoteRef/>
      </w:r>
      <w:r>
        <w:tab/>
        <w:t>Il-Qorti Kostituzzjonali tiddeċiedi wkoll dwar kunflitti li jirriżultaw mit-tqassim tas-setgħat tal-Istat u dawk is-setgħat allokati lill-Istat u lir-Reġjuni, u bejn ir-Reġjuni, u dwar akkużi miġjuba kontra l-President tar-Repubblika.</w:t>
      </w:r>
    </w:p>
  </w:footnote>
  <w:footnote w:id="5">
    <w:p>
      <w:pPr>
        <w:pStyle w:val="FootnoteText"/>
      </w:pPr>
      <w:r>
        <w:rPr>
          <w:rStyle w:val="FootnoteReference"/>
        </w:rPr>
        <w:footnoteRef/>
      </w:r>
      <w:r>
        <w:tab/>
        <w:t xml:space="preserve">Fir-rigward tal-kriminalità organizzata u reati kriminali serji oħra, il-funzjonijiet tal-prosekuzzjoni jitwettqu mid-Direttorati Distrettwali kontra l-Mafja. </w:t>
      </w:r>
    </w:p>
  </w:footnote>
  <w:footnote w:id="6">
    <w:p>
      <w:pPr>
        <w:pStyle w:val="FootnoteText"/>
        <w:rPr>
          <w:rFonts w:cs="Times New Roman"/>
        </w:rPr>
      </w:pPr>
      <w:r>
        <w:rPr>
          <w:rStyle w:val="FootnoteReference"/>
          <w:rFonts w:cs="Times New Roman"/>
        </w:rPr>
        <w:footnoteRef/>
      </w:r>
      <w:r>
        <w:tab/>
        <w:t>Ċifri 48 u 50, it-Tabella ta' Valutazzjoni tal-Ġustizzja tal-UE tal-2021. Il-livell ta’ indipendenza ġudizzjarja perċepita huwa kkaratterizzat kif ġej: baxx ħafna (inqas minn 30 % tar-rispondenti jqisu l-indipendenza ġudizzjarja bħala pjuttost tajba u tajba ħafna); baxx (bejn 30-39 %), medju (bejn 40-59 %), għoli (bejn 60-75 %), għoli ħafna ('il fuq minn 75 %).</w:t>
      </w:r>
    </w:p>
  </w:footnote>
  <w:footnote w:id="7">
    <w:p>
      <w:pPr>
        <w:pStyle w:val="FootnoteText"/>
        <w:rPr>
          <w:rFonts w:cs="Times New Roman"/>
        </w:rPr>
      </w:pPr>
      <w:r>
        <w:rPr>
          <w:rStyle w:val="FootnoteReference"/>
          <w:rFonts w:cs="Times New Roman"/>
        </w:rPr>
        <w:footnoteRef/>
      </w:r>
      <w:r>
        <w:tab/>
        <w:t>Ir-Rapport tal-2020 dwar l-Istat tad-Dritt, il-kapitolu tal-pajjiż għall-Italja, pp. 3 u 4. Abbozz ta’ Liġi AC 2681, approvat mill-Kunsill tal-Ministri fis-7 ta’ Awwissu 2020. Dan l-aħħar, ġew irrappurtati aktar sfidi ta’ integrità mill-media u issa qed jiġu investigati minn diversi uffiċċji tal-prosekuturi.</w:t>
      </w:r>
    </w:p>
  </w:footnote>
  <w:footnote w:id="8">
    <w:p>
      <w:pPr>
        <w:pStyle w:val="FootnoteText"/>
      </w:pPr>
      <w:r>
        <w:rPr>
          <w:rStyle w:val="FootnoteReference"/>
        </w:rPr>
        <w:footnoteRef/>
      </w:r>
      <w:r>
        <w:tab/>
        <w:t>Ir-Rapport tal-2020 dwar l-Istat tad-Dritt, il-kapitolu tal-pajjiż dwar is-sitwazzjoni tal-istat tad-dritt fl-Italja, p. 3, fejn ġew spjegati l-isfidi għall-integrità.  Dan l-aħħar, ġew irrappurtati aktar sfidi ta’ integrità mill-media u issa qed jiġu investigati minn diversi uffiċċji tal-prosekuturi.</w:t>
      </w:r>
    </w:p>
  </w:footnote>
  <w:footnote w:id="9">
    <w:p>
      <w:pPr>
        <w:pStyle w:val="FootnoteText"/>
      </w:pPr>
      <w:r>
        <w:rPr>
          <w:rStyle w:val="FootnoteReference"/>
        </w:rPr>
        <w:footnoteRef/>
      </w:r>
      <w:r>
        <w:tab/>
        <w:t>L-abbozz ta’ liġi għandu l-għan li jevita kunflitt ta’ interess u jtejjeb l-indipendenza ġudizzjarja billi jillimita l-parteċipazzjoni tal-maġistrati f’attivitajiet politiċi. Ara GRECO Fourth Evaluation Round - Compliance Report, ir-Rakkomandazzjoni x.</w:t>
      </w:r>
    </w:p>
  </w:footnote>
  <w:footnote w:id="10">
    <w:p>
      <w:pPr>
        <w:pStyle w:val="FootnoteText"/>
      </w:pPr>
      <w:r>
        <w:rPr>
          <w:rStyle w:val="FootnoteReference"/>
        </w:rPr>
        <w:footnoteRef/>
      </w:r>
      <w:r>
        <w:tab/>
        <w:t>Sitt opinjonijiet bid-dati mill-21 sad-29 ta’ April 2021 maħruġa mill-CSM b'talba mill-Ministeru tal-Ġustizzja skont l-Artikolu 10 tal-Liġi Nru 195 tal-24 ta’ Marzu 1958.</w:t>
      </w:r>
    </w:p>
  </w:footnote>
  <w:footnote w:id="11">
    <w:p>
      <w:pPr>
        <w:pStyle w:val="FootnoteText"/>
        <w:rPr>
          <w:rFonts w:cs="Times New Roman"/>
        </w:rPr>
      </w:pPr>
      <w:r>
        <w:rPr>
          <w:rStyle w:val="FootnoteReference"/>
        </w:rPr>
        <w:footnoteRef/>
      </w:r>
      <w:r>
        <w:tab/>
        <w:t>Opinjoni tal-CSM bid-data tal-21 ta’ April 2021 (dwar karigi ġudizzjarji).</w:t>
      </w:r>
    </w:p>
  </w:footnote>
  <w:footnote w:id="12">
    <w:p>
      <w:pPr>
        <w:pStyle w:val="FootnoteText"/>
      </w:pPr>
      <w:r>
        <w:rPr>
          <w:rStyle w:val="FootnoteReference"/>
        </w:rPr>
        <w:footnoteRef/>
      </w:r>
      <w:r>
        <w:tab/>
        <w:t xml:space="preserve">Opinjoni tal-CSM bid-data tad-29 ta’ April 2021 (dwar pożizzjonijiet maniġerjali għolja u intermedji); </w:t>
      </w:r>
    </w:p>
  </w:footnote>
  <w:footnote w:id="13">
    <w:p>
      <w:pPr>
        <w:pStyle w:val="FootnoteText"/>
        <w:rPr>
          <w:rFonts w:cs="Times New Roman"/>
        </w:rPr>
      </w:pPr>
      <w:r>
        <w:rPr>
          <w:rStyle w:val="FootnoteReference"/>
          <w:rFonts w:cs="Times New Roman"/>
        </w:rPr>
        <w:footnoteRef/>
      </w:r>
      <w:r>
        <w:tab/>
        <w:t>Opinjoni tal-CSM bid-data tad-29 ta’ April 2021 (dwar kif jiġu eletti l-membri tal-Kunsill Għoli).</w:t>
      </w:r>
    </w:p>
  </w:footnote>
  <w:footnote w:id="14">
    <w:p>
      <w:pPr>
        <w:pStyle w:val="FootnoteText"/>
      </w:pPr>
      <w:r>
        <w:rPr>
          <w:rStyle w:val="FootnoteReference"/>
        </w:rPr>
        <w:footnoteRef/>
      </w:r>
      <w:r>
        <w:tab/>
        <w:t>B’mod partikolari, il-marġinalizzazzjoni tal-minoranzi hija assoċjata ma’ sistemi ta’ maġġoranza; il-Ministru tal-Ġustizzja jiddeċiedi tliet xhur qabel l-elezzjoni dwar kif għandhom jinbnew il-kulleġġi territorjali u b’hekk potenzjalment ikun hemm riskju għall-indipendenza ġudizzjarja; fir-rigward tal-pluraliżmu, l-Artikolu 104 tal-Kostituzzjoni jiddikjara li l-membri ġudizzjarji fil-Kunsill huma eletti mill-maġistrati kollha li jappartjenu għall-kategoriji kollha, filwaqt li l-abbozz ta’ liġi jillimita din il-possibbiltà.</w:t>
      </w:r>
    </w:p>
  </w:footnote>
  <w:footnote w:id="15">
    <w:p>
      <w:pPr>
        <w:pStyle w:val="FootnoteText"/>
      </w:pPr>
      <w:r>
        <w:rPr>
          <w:rStyle w:val="FootnoteReference"/>
        </w:rPr>
        <w:footnoteRef/>
      </w:r>
      <w:r>
        <w:tab/>
        <w:t>Opinjoni tal-CSM tal-21 ta’ April 2021 (dwar ir-reati dixxiplinari u l-funzjonament tal-CSM).</w:t>
      </w:r>
    </w:p>
  </w:footnote>
  <w:footnote w:id="16">
    <w:p>
      <w:pPr>
        <w:pStyle w:val="FootnoteText"/>
      </w:pPr>
      <w:r>
        <w:rPr>
          <w:rStyle w:val="FootnoteReference"/>
        </w:rPr>
        <w:footnoteRef/>
      </w:r>
      <w:r>
        <w:tab/>
        <w:t>GRECO Fourth Evaluation Round — Second Compliance Report, ir-Rakkomandazzjoni x. Ara wkoll l-opinjoni tal-CSM, tal-21 ta’ April 2021.</w:t>
      </w:r>
    </w:p>
  </w:footnote>
  <w:footnote w:id="17">
    <w:p>
      <w:pPr>
        <w:pStyle w:val="FootnoteText"/>
      </w:pPr>
      <w:r>
        <w:rPr>
          <w:rStyle w:val="FootnoteReference"/>
        </w:rPr>
        <w:footnoteRef/>
      </w:r>
      <w:r>
        <w:tab/>
        <w:t>Ir-rapport imsemmi hawn fuq, filwaqt li jinnota li abbozz ta’ leġiżlazzjoni kien lest li jipprevedi regolamentazzjoni aktar stretta biex tiġi limitata l-parteċipazzjoni tal-maġistrati fil-ħajja politika, isemmi wkoll li din hija riforma tant mistennija, li tikkonċerna kwistjoni partikolarment sensittiva fl-Italja, u għalhekk teħtieġ azzjoni aktar determinata.</w:t>
      </w:r>
    </w:p>
  </w:footnote>
  <w:footnote w:id="18">
    <w:p>
      <w:pPr>
        <w:pStyle w:val="FootnoteText"/>
        <w:rPr>
          <w:rFonts w:cs="Times New Roman"/>
        </w:rPr>
      </w:pPr>
      <w:r>
        <w:rPr>
          <w:rStyle w:val="FootnoteReference"/>
          <w:rFonts w:cs="Times New Roman"/>
        </w:rPr>
        <w:footnoteRef/>
      </w:r>
      <w:r>
        <w:tab/>
        <w:t>Maħruġ mill-Ministru tal-Ġustizzja l-ġdid u ppreżentat lill-Parlament fil-15 u t-18 ta’ Marzu 2021.</w:t>
      </w:r>
    </w:p>
  </w:footnote>
  <w:footnote w:id="19">
    <w:p>
      <w:pPr>
        <w:pStyle w:val="FootnoteText"/>
        <w:rPr>
          <w:rFonts w:cs="Times New Roman"/>
        </w:rPr>
      </w:pPr>
      <w:r>
        <w:rPr>
          <w:rStyle w:val="FootnoteReference"/>
          <w:rFonts w:cs="Times New Roman"/>
        </w:rPr>
        <w:footnoteRef/>
      </w:r>
      <w:r>
        <w:tab/>
        <w:t>Fir-rigward tar-riforma tal-Kunsill għall-Ġudikatura, minbarra s-sistema elettorali, din titqies bħala tiġdid ta’ kull sentejn ta’ nofs il-membri lajċi u ġudizzjarji. Il-CSM ivvaluta din il-proposta b’mod pożittiv fl-opinjoni tiegħu lill-Ministeru tal-Ġustizzja. Permezz tad-Digriet Ministerjali tas-26 ta’ Marzu 2021, il-Ministru tal-Ġustizzja stabbilixxa “Kummissjoni għat-tħejjija ta’ proposti għal azzjoni għar-riforma tal-ġudikatura u r-regolamentazzjoni tal-istabbiliment u l-funzjonament tal-Kunsill Għoli għall-Ġudikatura”. Din il-Kummissjoni temmet il-ħidma tagħha fil-31 ta’ Mejju 2021 u tinsab fil-proċess li tippreżenta r-rapport tagħha. Ir-rapport se jitqies għal emendi possibbli għall-abbozz ta’ liġi diskussi fil-Parlament.</w:t>
      </w:r>
    </w:p>
  </w:footnote>
  <w:footnote w:id="20">
    <w:p>
      <w:pPr>
        <w:pStyle w:val="FootnoteText"/>
        <w:rPr>
          <w:rFonts w:cs="Times New Roman"/>
        </w:rPr>
      </w:pPr>
      <w:r>
        <w:rPr>
          <w:rStyle w:val="FootnoteReference"/>
          <w:rFonts w:cs="Times New Roman"/>
        </w:rPr>
        <w:footnoteRef/>
      </w:r>
      <w:r>
        <w:tab/>
        <w:t>Ir-Rakkomandazzjoni CM/Rec(2010)12 tal-Kumitat tal-Ministri tal-Kunsill tal-Ewropa, il-paragrafi 25, 26, 27. Ara wkoll l-Opinjoni Nru 23 (2020) tal-Kunsill Konsultattiv tal-Imħallfin Ewropej (Ir-rwol tal-assoċjazzjonijiet tal-imħallfin), il-paragrafi 31 u 32: “</w:t>
      </w:r>
      <w:r>
        <w:rPr>
          <w:i/>
        </w:rPr>
        <w:t>F’diversi Stati Membri, l-assoċjazzjoni tal-imħallfin għandha ċerta influwenza fuq l-għażla tal-membri tal-Kunsill għall-Ġudikatura. Sakemm ma tiksirx l-indipendenza tal-ħidma tal-Kunsill għall-Ġudikatura, tali parteċipazzjoni fl-għażla tal-membri tiegħu tista’ tintlaqa’ tajjeb. Madankollu, wieħed għandu joqgħod attent li sistema bħal din ma twassalx għall-politiċizzazzjoni tal-elezzjoni u għall-ħidma li ġejja tal-Kunsill. Fi kwalunkwe każ, ma għandu jkun hemm l-ebda diskriminazzjoni u l-membri ta’ assoċjazzjoni ta’ mħallfin għandhom ikunu liberi li jsiru membri ta’ Kunsill għall-Ġudikatura fl-appoġġ tal-indipendenza ġudizzjarja</w:t>
      </w:r>
      <w:r>
        <w:t>”.</w:t>
      </w:r>
    </w:p>
  </w:footnote>
  <w:footnote w:id="21">
    <w:p>
      <w:pPr>
        <w:pStyle w:val="FootnoteText"/>
        <w:rPr>
          <w:rFonts w:cs="Times New Roman"/>
        </w:rPr>
      </w:pPr>
      <w:r>
        <w:rPr>
          <w:rStyle w:val="FootnoteReference"/>
          <w:rFonts w:cs="Times New Roman"/>
        </w:rPr>
        <w:footnoteRef/>
      </w:r>
      <w:r>
        <w:tab/>
        <w:t xml:space="preserve">Ir-Rakkomandazzjoni CM/Rec(2010)12 tal-Kumitat tal-Ministri tal-Kunsill tal-Ewropa, il-paragrafi 50, 52, 58 u 69. Ara wkoll fir-rigward tal-proċedimenti dixxiplinari kontra l-imħallfin: is-sentenza tal-Qorti tal-Ġustizzja tad-19 ta' Novembru 2019, </w:t>
      </w:r>
      <w:r>
        <w:rPr>
          <w:i/>
          <w:iCs/>
        </w:rPr>
        <w:t>LM</w:t>
      </w:r>
      <w:r>
        <w:t>, C-216/18, il-paragrafu 67; fir-rigward tar-responsabbiltà tal-imħallfin ara wkoll is-sentenza tal-Qorti tal-Ġustizzja tat-18 ta’ Mejju 2021 fil-Kawżi Magħquda C-83/19, C-127/19, C-195/19, C-291/19, C-355/19 u C-397/19, il-paragrafi 228-239.</w:t>
      </w:r>
    </w:p>
  </w:footnote>
  <w:footnote w:id="22">
    <w:p>
      <w:pPr>
        <w:pStyle w:val="FootnoteText"/>
        <w:rPr>
          <w:rFonts w:cs="Times New Roman"/>
        </w:rPr>
      </w:pPr>
      <w:r>
        <w:rPr>
          <w:rStyle w:val="FootnoteReference"/>
          <w:rFonts w:cs="Times New Roman"/>
        </w:rPr>
        <w:footnoteRef/>
      </w:r>
      <w:r>
        <w:tab/>
        <w:t>Ir-Rapport tal-2020 dwar l-Istat tad-Dritt, il-kapitolu tal-pajjiż dwar is-sitwazzjoni tal-istat tad-dritt fl-Italja, pp. 3-4.</w:t>
      </w:r>
    </w:p>
  </w:footnote>
  <w:footnote w:id="23">
    <w:p>
      <w:pPr>
        <w:pStyle w:val="FootnoteText"/>
      </w:pPr>
      <w:r>
        <w:rPr>
          <w:rStyle w:val="FootnoteReference"/>
        </w:rPr>
        <w:footnoteRef/>
      </w:r>
      <w:r>
        <w:tab/>
        <w:t>Id-Deċiżjoni tal-CSM tad-9 ta’ Settembru 2020 li timmodifika d-Deċiżjoni Nru 13778 tal-24 ta’ Lulju 2015.</w:t>
      </w:r>
    </w:p>
  </w:footnote>
  <w:footnote w:id="24">
    <w:p>
      <w:pPr>
        <w:pStyle w:val="FootnoteText"/>
      </w:pPr>
      <w:r>
        <w:rPr>
          <w:rStyle w:val="FootnoteReference"/>
        </w:rPr>
        <w:footnoteRef/>
      </w:r>
      <w:r>
        <w:t xml:space="preserve"> Ara GRECO Fourth Evaluation Round - Compliance Report, ir-Rakkomandazzjoni xi.</w:t>
      </w:r>
    </w:p>
  </w:footnote>
  <w:footnote w:id="25">
    <w:p>
      <w:pPr>
        <w:pStyle w:val="FootnoteText"/>
      </w:pPr>
      <w:r>
        <w:rPr>
          <w:rStyle w:val="FootnoteReference"/>
          <w:rFonts w:cs="Times New Roman"/>
        </w:rPr>
        <w:footnoteRef/>
      </w:r>
      <w:r>
        <w:tab/>
        <w:t>Tlieta u għoxrin proċediment dixxiplinari għadhom għaddejjin fil-CSM u wieħed intemm bl-ogħla sanzjoni dixxiplinarja ta’ tqegħid barra mir-rwol permanenti tal-ġudikatura (Informazzjoni riċevuta matul iż-żjara tal-pajjiż ). Barra minn hekk, it-trasferimenti obbligatorji qed jiġu evalwati wkoll mill-CSM kull meta ma jkunx hemm aktar il-kundizzjonijiet li jippermettu li maġistrat jaħdem b’indipendenza u imparzjalità f’uffiċċju partikolari.</w:t>
      </w:r>
    </w:p>
  </w:footnote>
  <w:footnote w:id="26">
    <w:p>
      <w:pPr>
        <w:pStyle w:val="FootnoteText"/>
      </w:pPr>
      <w:r>
        <w:rPr>
          <w:rStyle w:val="FootnoteReference"/>
        </w:rPr>
        <w:footnoteRef/>
      </w:r>
      <w:r>
        <w:tab/>
        <w:t xml:space="preserve">Is-sanzjonijiet dixxiplinarji l-aktar severi jimpedixxu l-ħatriet għal xi pożizzjonijiet ġudizzjarji għoljin. </w:t>
      </w:r>
    </w:p>
  </w:footnote>
  <w:footnote w:id="27">
    <w:p>
      <w:pPr>
        <w:pStyle w:val="FootnoteText"/>
      </w:pPr>
      <w:r>
        <w:rPr>
          <w:rStyle w:val="FootnoteReference"/>
        </w:rPr>
        <w:footnoteRef/>
      </w:r>
      <w:r>
        <w:tab/>
        <w:t>Ir-Rapport tal-2020 dwar l-Istat tad-Dritt, il-kapitolu tal-pajjiż dwar is-sitwazzjoni tal-istat tad-dritt fl-Italja, pp. 3-4.</w:t>
      </w:r>
    </w:p>
  </w:footnote>
  <w:footnote w:id="28">
    <w:p>
      <w:pPr>
        <w:pStyle w:val="FootnoteText"/>
      </w:pPr>
      <w:r>
        <w:rPr>
          <w:rStyle w:val="FootnoteReference"/>
        </w:rPr>
        <w:footnoteRef/>
      </w:r>
      <w:r>
        <w:tab/>
        <w:t>Kontribuzzjoni mill-Assoċjazzjoni Nazzjonali tal-Maġistrati u informazzjoni riċevuta fil-kuntest taż-żjara tal-pajjiż fl-Italja.</w:t>
      </w:r>
    </w:p>
  </w:footnote>
  <w:footnote w:id="29">
    <w:p>
      <w:pPr>
        <w:pStyle w:val="FootnoteText"/>
      </w:pPr>
      <w:r>
        <w:rPr>
          <w:rStyle w:val="FootnoteReference"/>
        </w:rPr>
        <w:footnoteRef/>
      </w:r>
      <w:r>
        <w:tab/>
        <w:t>Il-kontribut mill-Italja għar-Rapport tal-2021 dwar l-Istat tad-Dritt, p. 14.</w:t>
      </w:r>
    </w:p>
  </w:footnote>
  <w:footnote w:id="30">
    <w:p>
      <w:pPr>
        <w:pStyle w:val="FootnoteText"/>
      </w:pPr>
      <w:r>
        <w:rPr>
          <w:rStyle w:val="FootnoteReference"/>
        </w:rPr>
        <w:footnoteRef/>
      </w:r>
      <w:r>
        <w:tab/>
        <w:t xml:space="preserve">Kontribut bil-miktub riċevut mill-Ministeru tal-Ġustizzja fil-kuntest taż-żjara tal-pajjiż fl-Italja. </w:t>
      </w:r>
    </w:p>
  </w:footnote>
  <w:footnote w:id="31">
    <w:p>
      <w:pPr>
        <w:pStyle w:val="FootnoteText"/>
        <w:rPr>
          <w:rFonts w:cs="Times New Roman"/>
        </w:rPr>
      </w:pPr>
      <w:r>
        <w:rPr>
          <w:rStyle w:val="FootnoteReference"/>
          <w:rFonts w:cs="Times New Roman"/>
        </w:rPr>
        <w:footnoteRef/>
      </w:r>
      <w:r>
        <w:tab/>
        <w:t>Fuq il-bażi ta’ esperjenza simili f’sistemi legali Ewropej oħra (pereż. Franza u Spanja), ġiet stabbilita għodda flessibbli biex tittratta sitwazzjonijiet diffiċli temporanji u tgħaqqad il-prestazzjonijiet bejn il-qrati. F’Ottubru 2020, ir-Rapport Tekniku ta’ Spjegazzjoni dwar impjanti flessibbli ntbagħat lill-Kunsill Għoli tal-Ġudikatura għall-opinjoni tiegħu.</w:t>
      </w:r>
    </w:p>
  </w:footnote>
  <w:footnote w:id="32">
    <w:p>
      <w:pPr>
        <w:pStyle w:val="FootnoteText"/>
        <w:rPr>
          <w:rFonts w:cs="Times New Roman"/>
        </w:rPr>
      </w:pPr>
      <w:r>
        <w:rPr>
          <w:rStyle w:val="FootnoteReference"/>
          <w:rFonts w:cs="Times New Roman"/>
        </w:rPr>
        <w:footnoteRef/>
      </w:r>
      <w:r>
        <w:tab/>
        <w:t>Id-Digriet Liġi nru 44 tal-1 ta' April 2021, l-Artikolu 11.</w:t>
      </w:r>
    </w:p>
  </w:footnote>
  <w:footnote w:id="33">
    <w:p>
      <w:pPr>
        <w:pStyle w:val="FootnoteText"/>
        <w:rPr>
          <w:rFonts w:cs="Times New Roman"/>
        </w:rPr>
      </w:pPr>
      <w:r>
        <w:rPr>
          <w:rStyle w:val="FootnoteReference"/>
          <w:rFonts w:cs="Times New Roman"/>
        </w:rPr>
        <w:footnoteRef/>
      </w:r>
      <w:r>
        <w:tab/>
        <w:t xml:space="preserve">Kontribut bil-miktub riċevut mill-Ministeru tal-Ġustizzja fil-kuntest taż-żjara tal-pajjiż fl-Italja (1 187 unità fl-2020 u 1 056 fl-2021 sat-13 t’April). </w:t>
      </w:r>
    </w:p>
  </w:footnote>
  <w:footnote w:id="34">
    <w:p>
      <w:pPr>
        <w:pStyle w:val="FootnoteText"/>
      </w:pPr>
      <w:r>
        <w:rPr>
          <w:rStyle w:val="FootnoteReference"/>
        </w:rPr>
        <w:footnoteRef/>
      </w:r>
      <w:r>
        <w:tab/>
        <w:t>Imħabbra fil-Pjan Nazzjonali għall-Irkupru u r-Reżiljenza (National Recovery and Resilience Plan, NRRP).</w:t>
      </w:r>
    </w:p>
  </w:footnote>
  <w:footnote w:id="35">
    <w:p>
      <w:pPr>
        <w:pStyle w:val="FootnoteText"/>
      </w:pPr>
      <w:r>
        <w:rPr>
          <w:rStyle w:val="FootnoteReference"/>
        </w:rPr>
        <w:footnoteRef/>
      </w:r>
      <w:r>
        <w:tab/>
        <w:t>L-Uffiċċju tal-Prova ġie stabbilit fl-2014 (l-Artikolu 50 tad-Digriet Liġi Nru 90 tal-2014, ikkonvertit fil-Liġi Nru 114/2014) biex jappoġġa lill-imħallfin b’tim ta’ skrivani, trainees u persunal ieħor fl-attivitajiet preparatorji għas-seduti ta’ smigħ.</w:t>
      </w:r>
    </w:p>
  </w:footnote>
  <w:footnote w:id="36">
    <w:p>
      <w:pPr>
        <w:pStyle w:val="FootnoteText"/>
      </w:pPr>
      <w:r>
        <w:rPr>
          <w:rStyle w:val="FootnoteReference"/>
        </w:rPr>
        <w:footnoteRef/>
      </w:r>
      <w:r>
        <w:tab/>
        <w:t xml:space="preserve">Imħabbra fl-NRRP. </w:t>
      </w:r>
    </w:p>
  </w:footnote>
  <w:footnote w:id="37">
    <w:p>
      <w:pPr>
        <w:pStyle w:val="FootnoteText"/>
      </w:pPr>
      <w:r>
        <w:rPr>
          <w:rStyle w:val="FootnoteReference"/>
        </w:rPr>
        <w:footnoteRef/>
      </w:r>
      <w:r>
        <w:t xml:space="preserve"> </w:t>
      </w:r>
      <w:r>
        <w:tab/>
      </w:r>
      <w:r>
        <w:rPr>
          <w:i/>
        </w:rPr>
        <w:t>Ibidem</w:t>
      </w:r>
      <w:r>
        <w:t>; ir-reklutaġġi huma ppjanati li jitlestew sa tmiem l-2022.</w:t>
      </w:r>
    </w:p>
  </w:footnote>
  <w:footnote w:id="38">
    <w:p>
      <w:pPr>
        <w:pStyle w:val="FootnoteText"/>
        <w:rPr>
          <w:rFonts w:cs="Times New Roman"/>
        </w:rPr>
      </w:pPr>
      <w:r>
        <w:rPr>
          <w:rStyle w:val="FootnoteReference"/>
          <w:rFonts w:cs="Times New Roman"/>
        </w:rPr>
        <w:footnoteRef/>
      </w:r>
      <w:r>
        <w:tab/>
        <w:t>Riċerka, studju, monitoraġġ, ġestjoni tar-rwol, tħejjija ta’ abbozzi ta’ miżuri.</w:t>
      </w:r>
    </w:p>
  </w:footnote>
  <w:footnote w:id="39">
    <w:p>
      <w:pPr>
        <w:pStyle w:val="FootnoteText"/>
      </w:pPr>
      <w:r>
        <w:rPr>
          <w:rStyle w:val="FootnoteReference"/>
        </w:rPr>
        <w:footnoteRef/>
      </w:r>
      <w:r>
        <w:tab/>
        <w:t xml:space="preserve">Kontribut mill-Kunsill tal-Istat għar-Rapport tal-2021 dwar l-Istat tad-Dritt. Kontribut bil-miktub riċevut mill-Kunsill tal-Istat fil-kuntest taż-żjara tal-pajjiż fl-Italja. </w:t>
      </w:r>
    </w:p>
  </w:footnote>
  <w:footnote w:id="40">
    <w:p>
      <w:pPr>
        <w:pStyle w:val="FootnoteText"/>
      </w:pPr>
      <w:r>
        <w:rPr>
          <w:rStyle w:val="FootnoteReference"/>
        </w:rPr>
        <w:footnoteRef/>
      </w:r>
      <w:r>
        <w:t xml:space="preserve"> </w:t>
      </w:r>
      <w:r>
        <w:tab/>
      </w:r>
      <w:r>
        <w:rPr>
          <w:i/>
        </w:rPr>
        <w:t>Ibidem</w:t>
      </w:r>
      <w:r>
        <w:t xml:space="preserve">, 250 uffiċjal b’kuntratti għal żmien fiss u 90 assistent tekniku huma previsti li jiġu impjegati. </w:t>
      </w:r>
    </w:p>
  </w:footnote>
  <w:footnote w:id="41">
    <w:p>
      <w:pPr>
        <w:pStyle w:val="FootnoteText"/>
      </w:pPr>
      <w:r>
        <w:rPr>
          <w:rStyle w:val="FootnoteReference"/>
        </w:rPr>
        <w:footnoteRef/>
      </w:r>
      <w:r>
        <w:tab/>
        <w:t>Imħabbra fil-kuntest tal-Pjan Nazzjonali għall-Irkupru u r-Reżiljenza (NRRP), Objettivi intermedji u miri: tnaqqis ta’ 90 % għal xogħol b’lura għall-qrati ċivili tal-prim’istanza u tat-tieni istanza u ta’ 70 % għall-qrati amministrattivi, sat-tieni kwart tal-2026; tnaqqis ta’ 40 % taż-żmien biex tingħata sentenza għal kawżi kontenzjużi ċivili u kummerċjali (l-istanzi kollha) u ta’ 25 % taż-żmien għal kawżi kriminali (l-istanzi kollha).</w:t>
      </w:r>
    </w:p>
  </w:footnote>
  <w:footnote w:id="42">
    <w:p>
      <w:pPr>
        <w:pStyle w:val="FootnoteText"/>
      </w:pPr>
      <w:r>
        <w:rPr>
          <w:rStyle w:val="FootnoteReference"/>
        </w:rPr>
        <w:footnoteRef/>
      </w:r>
      <w:r>
        <w:tab/>
        <w:t>Ir-Rapport tal-2020 dwar l-Istat tad-Dritt, il-Kapitolu tal-Pajjiż dwar is-sitwazzjoni tal-istat tad-dritt fl-Italja, p. 8, nota ta’ qiegħ il-paġna nru 71.</w:t>
      </w:r>
    </w:p>
  </w:footnote>
  <w:footnote w:id="43">
    <w:p>
      <w:pPr>
        <w:pStyle w:val="FootnoteText"/>
        <w:rPr>
          <w:rFonts w:cs="Times New Roman"/>
        </w:rPr>
      </w:pPr>
      <w:r>
        <w:rPr>
          <w:rStyle w:val="FootnoteReference"/>
          <w:rFonts w:cs="Times New Roman"/>
        </w:rPr>
        <w:footnoteRef/>
      </w:r>
      <w:r>
        <w:tab/>
        <w:t>Ir-Rapport tal-2020 dwar l-Istat tad-Dritt, il-Kapitolu tal-Pajjiż dwar is-sitwazzjoni tal-istat tad-dritt fl-Italja, p. 5.</w:t>
      </w:r>
    </w:p>
  </w:footnote>
  <w:footnote w:id="44">
    <w:p>
      <w:pPr>
        <w:pStyle w:val="FootnoteText"/>
      </w:pPr>
      <w:r>
        <w:rPr>
          <w:rStyle w:val="FootnoteReference"/>
        </w:rPr>
        <w:footnoteRef/>
      </w:r>
      <w:r>
        <w:tab/>
        <w:t xml:space="preserve">Il-Figuri 40 u 44, it-Tabella ta' Valutazzjoni tal-Ġustizzja tal-UE tal-2021. </w:t>
      </w:r>
    </w:p>
  </w:footnote>
  <w:footnote w:id="45">
    <w:p>
      <w:pPr>
        <w:pStyle w:val="FootnoteText"/>
        <w:rPr>
          <w:rFonts w:cs="Times New Roman"/>
        </w:rPr>
      </w:pPr>
      <w:r>
        <w:rPr>
          <w:rStyle w:val="FootnoteReference"/>
          <w:rFonts w:cs="Times New Roman"/>
        </w:rPr>
        <w:footnoteRef/>
      </w:r>
      <w:r>
        <w:tab/>
        <w:t>Fil-15 ta’ Ottubru 2020, il-Ministeru tal-Ġustizzja, il-Qorti tal-Kassazzjoni, l-Avukat Ġenerali, il-Kunsill Nazzjonali tal-Avukati u l-Korp tal-Kungress tal-Avukati ffirmaw Protokoll għall-preżentazzjoni elettronika permezz ta’ modulu ta’ ġestjoni ġdid fuq bażi sperimentali mis-26 ta’ Ottubru 2021. Barra minn hekk, għall-Imħallfin tal-Qorti Għolja uffiċċju għall-Imħallef tal-Qorti tal-Kassazzjoni jippermetti aċċess remot għall-fajl tal-proċedimenti, l-abbozzar ta’ deċiżjonijiet u l-preżentazzjoni elettronika. L-istess modulu huwa ppjanat li jiġi estiż għas-Servizz tal-Prosekuzzjoni fil-Qorti Superjuri li jittratta s-settur ċivili.</w:t>
      </w:r>
    </w:p>
  </w:footnote>
  <w:footnote w:id="46">
    <w:p>
      <w:pPr>
        <w:pStyle w:val="FootnoteText"/>
        <w:rPr>
          <w:rFonts w:cs="Times New Roman"/>
        </w:rPr>
      </w:pPr>
      <w:r>
        <w:rPr>
          <w:rStyle w:val="FootnoteReference"/>
          <w:rFonts w:cs="Times New Roman"/>
        </w:rPr>
        <w:footnoteRef/>
      </w:r>
      <w:r>
        <w:tab/>
        <w:t>Il-kontribut mill-Italja għar-Rapport tal-2021 dwar l-Istat tad-Dritt, p. 18: Aktar minn 200 uffiċċju tal-Imħallef tal-Paċi esperimentaw in-notifika elettronika tad-dokumenti u bdew passi ulterjuri fil-proċedura lejn diġitalizzazzjoni sħiħa. Mal-145 uffiċċju tal-Ġustizzja tal-Paċi kkonkludew il-proċedura amministrattiva rilevanti u bħalissa huma operattivi.</w:t>
      </w:r>
    </w:p>
  </w:footnote>
  <w:footnote w:id="47">
    <w:p>
      <w:pPr>
        <w:pStyle w:val="FootnoteText"/>
        <w:rPr>
          <w:rFonts w:cs="Times New Roman"/>
        </w:rPr>
      </w:pPr>
      <w:r>
        <w:rPr>
          <w:rStyle w:val="FootnoteReference"/>
          <w:rFonts w:cs="Times New Roman"/>
        </w:rPr>
        <w:footnoteRef/>
      </w:r>
      <w:r>
        <w:tab/>
        <w:t xml:space="preserve">Il-kontribut mill-Italja għar-Rapport tal-2021 dwar l-Istat tad-Dritt, p. 18. Kontribut bil-miktub riċevut mill-Ministeru tal-Ġustizzja fil-kuntest taż-żjara tal-pajjiż fl-Italja. </w:t>
      </w:r>
    </w:p>
  </w:footnote>
  <w:footnote w:id="48">
    <w:p>
      <w:pPr>
        <w:pStyle w:val="FootnoteText"/>
        <w:rPr>
          <w:rFonts w:cs="Times New Roman"/>
        </w:rPr>
      </w:pPr>
      <w:r>
        <w:rPr>
          <w:rStyle w:val="FootnoteReference"/>
          <w:rFonts w:cs="Times New Roman"/>
        </w:rPr>
        <w:footnoteRef/>
      </w:r>
      <w:r>
        <w:tab/>
        <w:t xml:space="preserve">Il-Figura 2, it-Tabella ta’ Valutazzjoni tal-Ġustizzja tal-UE 2021. Ara wkoll Kontribut bil-miktub riċevut mill-Kunsill tal-Istat fil-kuntest taż-żjara tal-pajjiż fl-Italja: minkejja proċedimenti amministrattivi kompletament diġitalizzati matul l-emerġenza, ma hemm l-ebda dispożizzjoni li tippermetti smigħ mill-bogħod meta tintemm l-emerġenza; Kontribut mill-Kunsill tal-Istat għar-Rapport tal-2021 dwar l-Istat tad-Dritt: L-imħallfin amministrattivi jistgħu jikkonsultaw il-fajls mill-bogħod, jagħtu deċiżjonijiet u jużaw firma elettronika. </w:t>
      </w:r>
    </w:p>
  </w:footnote>
  <w:footnote w:id="49">
    <w:p>
      <w:pPr>
        <w:pStyle w:val="FootnoteText"/>
      </w:pPr>
      <w:r>
        <w:rPr>
          <w:rStyle w:val="FootnoteReference"/>
        </w:rPr>
        <w:footnoteRef/>
      </w:r>
      <w:r>
        <w:tab/>
        <w:t>Il-Figura 46, it-Tabella ta’ Valutazzjoni tal-Ġustizzja tal-UE 2021.</w:t>
      </w:r>
    </w:p>
  </w:footnote>
  <w:footnote w:id="50">
    <w:p>
      <w:pPr>
        <w:pStyle w:val="FootnoteText"/>
      </w:pPr>
      <w:r>
        <w:rPr>
          <w:rStyle w:val="FootnoteReference"/>
        </w:rPr>
        <w:footnoteRef/>
      </w:r>
      <w:r>
        <w:tab/>
        <w:t>Imħabbra fl-NRRP.</w:t>
      </w:r>
    </w:p>
  </w:footnote>
  <w:footnote w:id="51">
    <w:p>
      <w:pPr>
        <w:pStyle w:val="FootnoteText"/>
      </w:pPr>
      <w:r>
        <w:rPr>
          <w:rStyle w:val="FootnoteReference"/>
        </w:rPr>
        <w:footnoteRef/>
      </w:r>
      <w:r>
        <w:tab/>
        <w:t>Il-kontribut mill-Italja għar-Rapport tal-2021 dwar l-Istat tad-Dritt, pp. 17 u 18.</w:t>
      </w:r>
    </w:p>
  </w:footnote>
  <w:footnote w:id="52">
    <w:p>
      <w:pPr>
        <w:pStyle w:val="FootnoteText"/>
      </w:pPr>
      <w:r>
        <w:rPr>
          <w:rStyle w:val="FootnoteReference"/>
        </w:rPr>
        <w:footnoteRef/>
      </w:r>
      <w:r>
        <w:tab/>
        <w:t>Imħabbra fl-NRRP.</w:t>
      </w:r>
    </w:p>
  </w:footnote>
  <w:footnote w:id="53">
    <w:p>
      <w:pPr>
        <w:pStyle w:val="FootnoteText"/>
      </w:pPr>
      <w:r>
        <w:rPr>
          <w:rStyle w:val="FootnoteReference"/>
        </w:rPr>
        <w:footnoteRef/>
      </w:r>
      <w:r>
        <w:tab/>
        <w:t>Kontribut bil-miktub riċevut mill-Ministeru tal-Ġustizzja fil-kuntest taż-żjara tal-pajjiż fl-Italja.</w:t>
      </w:r>
    </w:p>
  </w:footnote>
  <w:footnote w:id="54">
    <w:p>
      <w:pPr>
        <w:pStyle w:val="FootnoteText"/>
      </w:pPr>
      <w:r>
        <w:rPr>
          <w:rStyle w:val="FootnoteReference"/>
        </w:rPr>
        <w:footnoteRef/>
      </w:r>
      <w:r>
        <w:tab/>
        <w:t xml:space="preserve">Ir-Rapport tal-2020 dwar l-Istat tad-Dritt, il-kapitolu tal-pajjiż dwar is-sitwazzjoni tal-istat tad-dritt fl-Italja, p. 6. Ara wkoll GRECO Fourth Evaluation Round – Second Compliance Report, ir-Rakkomandazzjoni VII, il-paragrafu 54. </w:t>
      </w:r>
    </w:p>
  </w:footnote>
  <w:footnote w:id="55">
    <w:p>
      <w:pPr>
        <w:pStyle w:val="FootnoteText"/>
      </w:pPr>
      <w:r>
        <w:rPr>
          <w:rStyle w:val="FootnoteReference"/>
        </w:rPr>
        <w:footnoteRef/>
      </w:r>
      <w:r>
        <w:tab/>
        <w:t>Imħabbra fl-NRRP.</w:t>
      </w:r>
    </w:p>
  </w:footnote>
  <w:footnote w:id="56">
    <w:p>
      <w:pPr>
        <w:pStyle w:val="FootnoteText"/>
        <w:rPr>
          <w:rFonts w:cs="Times New Roman"/>
        </w:rPr>
      </w:pPr>
      <w:r>
        <w:rPr>
          <w:rStyle w:val="FootnoteReference"/>
          <w:rFonts w:cs="Times New Roman"/>
        </w:rPr>
        <w:footnoteRef/>
      </w:r>
      <w:r>
        <w:t xml:space="preserve"> Ara GRECO Fourth Evaluation Round - Compliance Report, ir-Rakkomandazzjoni VII.</w:t>
      </w:r>
    </w:p>
  </w:footnote>
  <w:footnote w:id="57">
    <w:p>
      <w:pPr>
        <w:pStyle w:val="FootnoteText"/>
      </w:pPr>
      <w:r>
        <w:rPr>
          <w:rStyle w:val="FootnoteReference"/>
        </w:rPr>
        <w:footnoteRef/>
      </w:r>
      <w:r>
        <w:tab/>
        <w:t>Ir-Rapport tal-2020 dwar l-Istat tad-Dritt, il-kapitolu tal-pajjiż dwar is-sitwazzjoni tal-istat tad-dritt fl-Italja, p. 6.</w:t>
      </w:r>
    </w:p>
  </w:footnote>
  <w:footnote w:id="58">
    <w:p>
      <w:pPr>
        <w:pStyle w:val="FootnoteText"/>
      </w:pPr>
      <w:r>
        <w:rPr>
          <w:rStyle w:val="FootnoteReference"/>
        </w:rPr>
        <w:footnoteRef/>
      </w:r>
      <w:r>
        <w:tab/>
        <w:t>Kontribut bil-miktub riċevut mill-Ministeru tal-Ġustizzja fil-kuntest taż-żjara tal-pajjiż fl-Italja.</w:t>
      </w:r>
    </w:p>
  </w:footnote>
  <w:footnote w:id="59">
    <w:p>
      <w:pPr>
        <w:pStyle w:val="FootnoteText"/>
      </w:pPr>
      <w:r>
        <w:rPr>
          <w:rStyle w:val="FootnoteReference"/>
        </w:rPr>
        <w:footnoteRef/>
      </w:r>
      <w:r>
        <w:tab/>
        <w:t>Ir-Rapport tal-2020 dwar l-Istat tad-Dritt, il-kapitolu tal-pajjiż dwar is-sitwazzjoni tal-istat tad-dritt fl-Italja, p. 6.</w:t>
      </w:r>
    </w:p>
  </w:footnote>
  <w:footnote w:id="60">
    <w:p>
      <w:pPr>
        <w:pStyle w:val="FootnoteText"/>
      </w:pPr>
      <w:r>
        <w:rPr>
          <w:rStyle w:val="FootnoteReference"/>
        </w:rPr>
        <w:footnoteRef/>
      </w:r>
      <w:r>
        <w:tab/>
        <w:t xml:space="preserve">Kontribut bil-miktub riċevut mill-Ministeru tal-Ġustizzja fil-kuntest taż-żjara tal-pajjiż fl-Italja. </w:t>
      </w:r>
    </w:p>
  </w:footnote>
  <w:footnote w:id="61">
    <w:p>
      <w:pPr>
        <w:pStyle w:val="FootnoteText"/>
        <w:rPr>
          <w:rFonts w:cs="Times New Roman"/>
        </w:rPr>
      </w:pPr>
      <w:r>
        <w:rPr>
          <w:rStyle w:val="FootnoteReference"/>
          <w:rFonts w:cs="Times New Roman"/>
        </w:rPr>
        <w:footnoteRef/>
      </w:r>
      <w:r>
        <w:tab/>
        <w:t xml:space="preserve">Ir-Rapport tal-2020 dwar l-Istat tad-Dritt, il-kapitolu tal-pajjiż dwar is-sitwazzjoni tal-istat tad-dritt fl-Italja, pp. 7 u 8. </w:t>
      </w:r>
    </w:p>
  </w:footnote>
  <w:footnote w:id="62">
    <w:p>
      <w:pPr>
        <w:pStyle w:val="FootnoteText"/>
        <w:rPr>
          <w:rFonts w:cs="Times New Roman"/>
        </w:rPr>
      </w:pPr>
      <w:r>
        <w:rPr>
          <w:rStyle w:val="FootnoteReference"/>
          <w:rFonts w:cs="Times New Roman"/>
        </w:rPr>
        <w:footnoteRef/>
      </w:r>
      <w:r>
        <w:t xml:space="preserve"> Il-Figura 12, it-Tabella ta' Valutazzjoni tal-Ġustizzja tal-UE tal-2021, li tfisser li s-sistema tal-ġustizzja ġeneralment hija kapaċi tittratta b’mod effettiv l-għadd ta’ kawżi li jidħlu. Ara wkoll is-CEPEJ (2021), Studju dwar il-funzjonament tas-sistemi ġudizzjarji fl-Istati Membri tal-UE: rata ta’ tlestija għal kawżi kontenzjużi ċivili u kummerċjali 104,5 % fl-2019 (102,9 % fl-2018).</w:t>
      </w:r>
    </w:p>
  </w:footnote>
  <w:footnote w:id="63">
    <w:p>
      <w:pPr>
        <w:pStyle w:val="FootnoteText"/>
        <w:rPr>
          <w:rFonts w:cs="Times New Roman"/>
        </w:rPr>
      </w:pPr>
      <w:r>
        <w:rPr>
          <w:rStyle w:val="FootnoteReference"/>
          <w:rFonts w:cs="Times New Roman"/>
        </w:rPr>
        <w:footnoteRef/>
      </w:r>
      <w:r>
        <w:tab/>
        <w:t>Il-Figuri 8 u 9, it-Tabella ta' Valutazzjoni tal-Ġustizzja tal-UE tal-2021.</w:t>
      </w:r>
    </w:p>
  </w:footnote>
  <w:footnote w:id="64">
    <w:p>
      <w:pPr>
        <w:pStyle w:val="FootnoteText"/>
      </w:pPr>
      <w:r>
        <w:rPr>
          <w:rStyle w:val="FootnoteReference"/>
        </w:rPr>
        <w:footnoteRef/>
      </w:r>
      <w:r>
        <w:t xml:space="preserve"> F’konformità ma’ rakkomandazzjoni tal-Kunsill li ilha stabbilita biex jitnaqqas it-tul tal-proċedimenti. Ara r-Rapport tal-2020 dwar l-Istat tad-Dritt, il-kapitolu tal-pajjiż dwar is-sitwazzjoni tal-istat tad-dritt fl-Italja, p. 8. </w:t>
      </w:r>
    </w:p>
  </w:footnote>
  <w:footnote w:id="65">
    <w:p>
      <w:pPr>
        <w:pStyle w:val="FootnoteText"/>
      </w:pPr>
      <w:r>
        <w:rPr>
          <w:rStyle w:val="FootnoteReference"/>
        </w:rPr>
        <w:footnoteRef/>
      </w:r>
      <w:r>
        <w:tab/>
        <w:t>Kontribut bil-miktub riċevut mill-Ministeru tal-Ġustizzja fil-kuntest taż-żjara tal-pajjiż fl-Italja. Il-Ministeru enfasizza li ż-żmien għat-tlestija fl-2020 jista’ ma jkunx indikatur preċiż minħabba diskontinwità qawwija fis-serje minħabba l-pandemija tal-COVID-19. Għal din ir-raġuni, id-</w:t>
      </w:r>
      <w:r>
        <w:rPr>
          <w:i/>
        </w:rPr>
        <w:t>data</w:t>
      </w:r>
      <w:r>
        <w:t xml:space="preserve"> mhijiex irrappurtata għall-2020. CEPEJ (2021), Studju dwar il-funzjonament tas-sistemi ġudizzjarji fl-Istati Membri tal-UE, l-aħħar </w:t>
      </w:r>
      <w:r>
        <w:rPr>
          <w:i/>
        </w:rPr>
        <w:t>data</w:t>
      </w:r>
      <w:r>
        <w:t xml:space="preserve"> (2019) dwar iż-żmien tat-trasferiment turi żieda żgħira fil-prim'istanza (għas-settur ċivili, 532 jum fil-prim'istanza, 791 jum fit-tieni istanza u 1 302 jum fil-Qorti Għolja tal-Kassazzjoni).</w:t>
      </w:r>
    </w:p>
  </w:footnote>
  <w:footnote w:id="66">
    <w:p>
      <w:pPr>
        <w:pStyle w:val="FootnoteText"/>
        <w:rPr>
          <w:rFonts w:cs="Times New Roman"/>
        </w:rPr>
      </w:pPr>
      <w:r>
        <w:rPr>
          <w:rStyle w:val="FootnoteReference"/>
          <w:rFonts w:cs="Times New Roman"/>
        </w:rPr>
        <w:footnoteRef/>
      </w:r>
      <w:r>
        <w:tab/>
        <w:t>Ir-Rapport tal-2021 tal-Ewwel President tal-Qorti Suprema tal-Kassazzjoni: fi tmiem l-2020, b’kollox hemm 120 473 kawża ċivili pendenti quddiem il-High Court of Cassation, li fosthom hemm 53 482 kawża tat-taxxa.</w:t>
      </w:r>
    </w:p>
  </w:footnote>
  <w:footnote w:id="67">
    <w:p>
      <w:pPr>
        <w:pStyle w:val="FootnoteText"/>
      </w:pPr>
      <w:r>
        <w:rPr>
          <w:rStyle w:val="FootnoteReference"/>
        </w:rPr>
        <w:footnoteRef/>
      </w:r>
      <w:r>
        <w:tab/>
        <w:t>Ir-Rapport tal-2021 tal-Ewwel President tal-Qorti Suprema tal-Kassazzjoni: għall-2020, 45,6 % tad-deċiżjonijiet tal-qorti tat-taxxa miġjuba fil-Qorti Superjuri rriżultaw f’annullamenti, meta mqabbla ma’ 17,2 % tal-annullamenti tad-deċiżjonijiet kollha miġjuba fil-Qorti Superjuri.</w:t>
      </w:r>
    </w:p>
  </w:footnote>
  <w:footnote w:id="68">
    <w:p>
      <w:pPr>
        <w:pStyle w:val="FootnoteText"/>
      </w:pPr>
      <w:r>
        <w:rPr>
          <w:rStyle w:val="FootnoteReference"/>
        </w:rPr>
        <w:footnoteRef/>
      </w:r>
      <w:r>
        <w:tab/>
        <w:t>Ir-Rapport tal-2021 tal-Ewwel President tal-Qorti Suprema tal-Kassazzjoni: għall-2020, 24,7 % tal-appelli ċivili kollha lill-Qorti Għolja kienu ddikjarati inammissibbli, meta mqabbla ma’ 18,7 % fl-2019 (Il-Qorti tal-Kassazzjoni, Annwarju Statistiku 2020 u 2019).</w:t>
      </w:r>
    </w:p>
  </w:footnote>
  <w:footnote w:id="69">
    <w:p>
      <w:pPr>
        <w:pStyle w:val="FootnoteText"/>
        <w:rPr>
          <w:rFonts w:cs="Times New Roman"/>
        </w:rPr>
      </w:pPr>
      <w:r>
        <w:rPr>
          <w:rStyle w:val="FootnoteReference"/>
          <w:rFonts w:cs="Times New Roman"/>
        </w:rPr>
        <w:footnoteRef/>
      </w:r>
      <w:r>
        <w:tab/>
        <w:t>Il-Figuri 9 u 10, it-Tabella ta' Valutazzjoni tal-Ġustizzja tal-UE tal-2021; Ara wkoll is-CEPEJ (2021), Studju dwar il-funzjonament tas-sistemi ġudizzjarji fl-Istati Membri tal-UE, li rrapporta tnaqqis ta' żmien fl-2019 għat-tlestija ta' 7,7 % fil-prim'istanza, u sa 12,3 % fl-ogħla istanza. Fir-rigward tad-data tal-2020; Kontribuzzjoni mill-Kunsill tal-Istat għar-Rapport tal-2021 dwar l-Istat tad-Dritt (667 jum fil-prim’istanza fl-2020 meta mqabbel mat-820 jum fl-2019; 862 jum fl-ogħla istanza fl-2020 meta mqabbla mat-821 jum fl-2019);</w:t>
      </w:r>
    </w:p>
  </w:footnote>
  <w:footnote w:id="70">
    <w:p>
      <w:pPr>
        <w:pStyle w:val="FootnoteText"/>
        <w:rPr>
          <w:rFonts w:cs="Times New Roman"/>
        </w:rPr>
      </w:pPr>
      <w:r>
        <w:rPr>
          <w:rStyle w:val="FootnoteReference"/>
          <w:rFonts w:cs="Times New Roman"/>
        </w:rPr>
        <w:footnoteRef/>
      </w:r>
      <w:r>
        <w:tab/>
        <w:t>Kontribut mill-Kunsill tal-Istat għar-Rapport tal-2021 dwar l-Istat tad-Dritt u informazzjoni riċevuta mill-Kunsill tal-Istat fil-kuntest taż-żjara tal-pajjiż fl-Italja (113-il jum fil-prim’istanza u 182 jum fl-ogħla istanza fl-2020). L-istess jgħodd ukoll għall-proċedimenti elettorali (minn 3 sa 211-il jum fil-prim’istanza, u minn 3 sa 201 fit-tieni istanza fl-2020).</w:t>
      </w:r>
    </w:p>
  </w:footnote>
  <w:footnote w:id="71">
    <w:p>
      <w:pPr>
        <w:pStyle w:val="FootnoteText"/>
        <w:rPr>
          <w:rFonts w:cs="Times New Roman"/>
        </w:rPr>
      </w:pPr>
      <w:r>
        <w:rPr>
          <w:rStyle w:val="FootnoteReference"/>
          <w:rFonts w:cs="Times New Roman"/>
        </w:rPr>
        <w:footnoteRef/>
      </w:r>
      <w:r>
        <w:tab/>
        <w:t>Ir-Rapport tal-2020 dwar l-Istat tad-Dritt, il-kapitolu tal-pajjiż dwar is-sitwazzjoni tal-istat tad-dritt fl-Italja, p. 7, nota ta’ qiegħ il-paġna nru 63. Il-</w:t>
      </w:r>
      <w:r>
        <w:rPr>
          <w:i/>
        </w:rPr>
        <w:t>Grupp Abenavoli</w:t>
      </w:r>
      <w:r>
        <w:t xml:space="preserve"> se jiġi eżaminat mill-Kumitat tal-Ministri qabel tmiem is-sena.</w:t>
      </w:r>
    </w:p>
  </w:footnote>
  <w:footnote w:id="72">
    <w:p>
      <w:pPr>
        <w:pStyle w:val="FootnoteText"/>
      </w:pPr>
      <w:r>
        <w:rPr>
          <w:rStyle w:val="FootnoteReference"/>
        </w:rPr>
        <w:footnoteRef/>
      </w:r>
      <w:r>
        <w:tab/>
        <w:t>Ir-Rapport tal-2021 tal-Ewwel President tal-Qorti Suprema tal-Kassazzjoni, p. 25.</w:t>
      </w:r>
    </w:p>
  </w:footnote>
  <w:footnote w:id="73">
    <w:p>
      <w:pPr>
        <w:pStyle w:val="FootnoteText"/>
      </w:pPr>
      <w:r>
        <w:rPr>
          <w:rStyle w:val="FootnoteReference"/>
        </w:rPr>
        <w:footnoteRef/>
      </w:r>
      <w:r>
        <w:tab/>
        <w:t>Ir-Rapport tal-2020 dwar l-Istat tad-Dritt, il-kapitolu tal-pajjiż dwar is-sitwazzjoni tal-istat tad-dritt fl-Italja, p. 7.</w:t>
      </w:r>
    </w:p>
  </w:footnote>
  <w:footnote w:id="74">
    <w:p>
      <w:pPr>
        <w:pStyle w:val="FootnoteText"/>
        <w:rPr>
          <w:rFonts w:cs="Times New Roman"/>
        </w:rPr>
      </w:pPr>
      <w:r>
        <w:rPr>
          <w:rStyle w:val="FootnoteReference"/>
          <w:rFonts w:cs="Times New Roman"/>
        </w:rPr>
        <w:footnoteRef/>
      </w:r>
      <w:r>
        <w:tab/>
        <w:t>Ir-Rapport tal-2021 tal-Ewwel President tal-Qorti Suprema tal-Kassazzjoni: 50,5 % tal-proċessi ta’ proċedura ordinarja fil-qorti tal-prim’istanza u 69,7 % tal-oppożizzjonijiet għad-digrieti kriminali jintemmu f’liberazzjonijiet.</w:t>
      </w:r>
    </w:p>
  </w:footnote>
  <w:footnote w:id="75">
    <w:p>
      <w:pPr>
        <w:pStyle w:val="FootnoteText"/>
      </w:pPr>
      <w:r>
        <w:rPr>
          <w:rStyle w:val="FootnoteReference"/>
        </w:rPr>
        <w:footnoteRef/>
      </w:r>
      <w:r>
        <w:tab/>
        <w:t>Ir-Rapport tal-2020 dwar l-Istat tad-Dritt, il-kapitolu tal-pajjiż dwar is-sitwazzjoni tal-istat tad-dritt fl-Italja, p. 7, nota ta’ qiegħ il-paġna nru 68. Ara wkoll il-Kunsill tal-Ewropa, Superviżjoni tal-eżekuzzjoni tas-sentenzi tal-Qorti Ewropea, id-Deċiżjoni tal-Kumitat tal-Ministri CM/Del/Dec(2021)1406/H46-15 tad-9 ta’ Ġunju 2021 u CM/Notes/1406/H46-15.</w:t>
      </w:r>
    </w:p>
  </w:footnote>
  <w:footnote w:id="76">
    <w:p>
      <w:pPr>
        <w:pStyle w:val="FootnoteText"/>
      </w:pPr>
      <w:r>
        <w:rPr>
          <w:rStyle w:val="FootnoteReference"/>
        </w:rPr>
        <w:footnoteRef/>
      </w:r>
      <w:r>
        <w:tab/>
        <w:t>Ir-Rapport tal-2020 dwar l-Istat tad-Dritt, il-kapitolu tal-pajjiż dwar is-sitwazzjoni tal-istat tad-dritt fl-Italja, p. 8.</w:t>
      </w:r>
    </w:p>
  </w:footnote>
  <w:footnote w:id="77">
    <w:p>
      <w:pPr>
        <w:pStyle w:val="FootnoteText"/>
      </w:pPr>
      <w:r>
        <w:rPr>
          <w:rStyle w:val="FootnoteReference"/>
        </w:rPr>
        <w:footnoteRef/>
      </w:r>
      <w:r>
        <w:tab/>
        <w:t>Emendi għall-abbozz ta’ liġi għall-proċedura ċivili ppreżentata fis-16 ta’ Ġunju 2021 lill-Parlament. Dawn l-emendi tħabbru fil-Pjan Nazzjonali għall-Irkupru u r-Reżiljenza (NRRP). Kontribut bil-miktub riċevut mill-Ministeru tal-Ġustizzja fil-kuntest taż-żjara tal-pajjiż fl-Italja.</w:t>
      </w:r>
    </w:p>
  </w:footnote>
  <w:footnote w:id="78">
    <w:p>
      <w:pPr>
        <w:pStyle w:val="FootnoteText"/>
      </w:pPr>
      <w:r>
        <w:rPr>
          <w:rStyle w:val="FootnoteReference"/>
        </w:rPr>
        <w:footnoteRef/>
      </w:r>
      <w:r>
        <w:tab/>
        <w:t xml:space="preserve">Waħda mill-emendi għandha l-għan li tistabbilixxi soluzzjoni bonarja mandatorja. F’dak ir-rigward għandu jiġi nnutat li r-rekwiżiti obbligatorji għall-użu tal-ADR qabel ma wieħed imur il-qorti, jistgħu jqajmu tħassib dwar il-kompatibbiltà tagħhom mad-dritt għal rimedju effettiv quddiem tribunal minqux fil-Karta tad-Drittijiet Fundamentali tal-UE; Is-Sentenza tal-Qorti tal-Ġustizzja tat-18 ta’ Marzu 2010, </w:t>
      </w:r>
      <w:r>
        <w:rPr>
          <w:i/>
        </w:rPr>
        <w:t>Rosalba Alassini vs Telecom Italia SpA</w:t>
      </w:r>
      <w:r>
        <w:t xml:space="preserve"> (C-317/08) EU:C:2010:146).</w:t>
      </w:r>
    </w:p>
  </w:footnote>
  <w:footnote w:id="79">
    <w:p>
      <w:pPr>
        <w:pStyle w:val="FootnoteText"/>
      </w:pPr>
      <w:r>
        <w:rPr>
          <w:rStyle w:val="FootnoteReference"/>
        </w:rPr>
        <w:footnoteRef/>
      </w:r>
      <w:r>
        <w:tab/>
        <w:t xml:space="preserve">Imħabbra fl-NRRP. Barra minn hekk, il-Kummissjoni teknika stabbilita mill-Ministeru tal-Ġustizzja fis-16 ta’ Marzu 2021 biex tevalwa l-abbozz tal-liġi rigward il-proċedura kriminali, ippreżentat ir-Rapport tagħha fl-24 ta’ Mejju 2021. </w:t>
      </w:r>
    </w:p>
  </w:footnote>
  <w:footnote w:id="80">
    <w:p>
      <w:pPr>
        <w:pStyle w:val="FootnoteText"/>
      </w:pPr>
      <w:r>
        <w:rPr>
          <w:rStyle w:val="FootnoteReference"/>
        </w:rPr>
        <w:footnoteRef/>
      </w:r>
      <w:r>
        <w:tab/>
        <w:t>Fit-8 ta’ Lulju 2021, il-Kunsill tal-Ministri approva t-test tar-riforma li għandu jiġi ppreżentat lill-Parlament, inkluża proposta ġdida għall-istatut tal-limitazzjonijiet.</w:t>
      </w:r>
    </w:p>
  </w:footnote>
  <w:footnote w:id="81">
    <w:p>
      <w:pPr>
        <w:pStyle w:val="FootnoteText"/>
      </w:pPr>
      <w:r>
        <w:rPr>
          <w:rStyle w:val="FootnoteReference"/>
        </w:rPr>
        <w:footnoteRef/>
      </w:r>
      <w:r>
        <w:tab/>
        <w:t>Id-Digriet Ministerjali tas-26 ta’ Marzu 2021 li jistabbilixxi kummissjoni teknika għat-tħejjija ta’ emendi għar-riforma tal-ġudikatura u l-istabbiliment u l-funzjonament tal-Kunsill Għoli għall-Ġudikatura</w:t>
      </w:r>
    </w:p>
    <w:p>
      <w:pPr>
        <w:pStyle w:val="FootnoteText"/>
      </w:pPr>
    </w:p>
  </w:footnote>
  <w:footnote w:id="82">
    <w:p>
      <w:pPr>
        <w:pStyle w:val="FootnoteText"/>
      </w:pPr>
      <w:r>
        <w:rPr>
          <w:rStyle w:val="FootnoteReference"/>
        </w:rPr>
        <w:footnoteRef/>
      </w:r>
      <w:r>
        <w:tab/>
        <w:t xml:space="preserve">Transparency International, Corruption Perceptions Index 2020 (2021), pp. 2-3. Il-livell perċepit ta’ korruzzjoni huwa kkategorizzat kif ġej: baxxa (il-perċezzjoni fost l-esperti u l-eżekuttivi tan-negozju tal-korruzzjoni fis-settur pubbliku hija ogħla minn 79); relattivament baxxa (punteġġi bejn 79-60), relattivament għoli (punteġġi bejn 59-50), għoli (punteġġi taħt il-50). </w:t>
      </w:r>
    </w:p>
  </w:footnote>
  <w:footnote w:id="83">
    <w:p>
      <w:pPr>
        <w:pStyle w:val="FootnoteText"/>
      </w:pPr>
      <w:r>
        <w:rPr>
          <w:rStyle w:val="FootnoteReference"/>
        </w:rPr>
        <w:footnoteRef/>
      </w:r>
      <w:r>
        <w:tab/>
        <w:t>Fl-2015 il-punteġġ kien ta’ 44, filwaqt li fl-2020, il-punteġġ kien ta’ 53. Il-punteġġ jiżdied/jonqos b’mod sinifikanti meta jinbidel b’aktar minn ħames punti; jitjieb/jiddeterjora (bidliet bejn 4–5 punti); huwa relattivament stabbli (bidliet minn 1-3 punti) f’dawn l-aħħar ħames snin.</w:t>
      </w:r>
    </w:p>
  </w:footnote>
  <w:footnote w:id="84">
    <w:p>
      <w:pPr>
        <w:pStyle w:val="FootnoteText"/>
      </w:pPr>
      <w:r>
        <w:rPr>
          <w:rStyle w:val="FootnoteReference"/>
        </w:rPr>
        <w:footnoteRef/>
      </w:r>
      <w:r>
        <w:tab/>
        <w:t>Id-</w:t>
      </w:r>
      <w:r>
        <w:rPr>
          <w:i/>
        </w:rPr>
        <w:t>data</w:t>
      </w:r>
      <w:r>
        <w:t xml:space="preserve"> tal-Ewrobarometru dwar il-perċezzjoni u l-esperjenza tal-korruzzjoni taċ-ċittadini u n-negozji kif irrappurtata s-sena l-oħra tiġi aġġornata kull sentejn. L-aħħar sett ta’ </w:t>
      </w:r>
      <w:r>
        <w:rPr>
          <w:i/>
          <w:szCs w:val="24"/>
        </w:rPr>
        <w:t>data</w:t>
      </w:r>
      <w:r>
        <w:t xml:space="preserve"> huwa l-Ewrobarometru Speċjali 502 (2020) u l-Ewrobarometru Flash 482 (2019).</w:t>
      </w:r>
    </w:p>
  </w:footnote>
  <w:footnote w:id="85">
    <w:p>
      <w:pPr>
        <w:pStyle w:val="FootnoteText"/>
      </w:pPr>
      <w:r>
        <w:rPr>
          <w:rStyle w:val="FootnoteReference"/>
        </w:rPr>
        <w:footnoteRef/>
      </w:r>
      <w:r>
        <w:tab/>
        <w:t>Il-Pjan Nazzjonali Kontra l-Korruzzjoni ġie stabbilit bħala l-liġi ewlenija kontra l-korruzzjoni fl-Italja permezz tal-Liġi Nru 190 tas-6 ta’ Novembru 2012, Il-Prevenzjoni u r-repressjoni tal-korruzzjoni fl-amministrazzjonijiet pubbliċi, Gazzetta Uffiċjali tar-Repubblika Taljana, Serje Ġenerali Nru 265 tat-13 ta’ Novembru 2012. L-aħħar pjan ikopri l-perjodu 2019-2021, l-Awtorità Taljana Kontra l-Korruzzjoni, Pjan Nazzjonali Kontra l-Korruzzjoni, ir-Riżoluzzjoni Nru 1064, 13 ta’ Novembru 2019.</w:t>
      </w:r>
    </w:p>
  </w:footnote>
  <w:footnote w:id="86">
    <w:p>
      <w:pPr>
        <w:pStyle w:val="FootnoteText"/>
      </w:pPr>
      <w:r>
        <w:rPr>
          <w:rStyle w:val="FootnoteReference"/>
        </w:rPr>
        <w:footnoteRef/>
      </w:r>
      <w:r>
        <w:tab/>
        <w:t xml:space="preserve">L-uffiċjali kontra l-korruzzjoni għandhom ir-responsabbiltà li jfasslu u jimmonitorjaw il-pjanijiet lokali kontra l-korruzzjoni matul il-perjodu ta’ tliet snin. Informazzjoni riċevuta fil-kuntest taż-żjara fil-pajjiż fl-Italja. </w:t>
      </w:r>
    </w:p>
  </w:footnote>
  <w:footnote w:id="87">
    <w:p>
      <w:pPr>
        <w:pStyle w:val="FootnoteText"/>
      </w:pPr>
      <w:r>
        <w:rPr>
          <w:rStyle w:val="FootnoteReference"/>
        </w:rPr>
        <w:footnoteRef/>
      </w:r>
      <w:r>
        <w:tab/>
        <w:t>Kontribut bil-miktub riċevut mill-Aġenzija Nazzjonali kontra l-Korruzzjoni fil-kuntest taż-żjara tal-pajjiż fl-Italja.</w:t>
      </w:r>
    </w:p>
  </w:footnote>
  <w:footnote w:id="88">
    <w:p>
      <w:pPr>
        <w:pStyle w:val="FootnoteText"/>
      </w:pPr>
      <w:r>
        <w:rPr>
          <w:rStyle w:val="FootnoteReference"/>
        </w:rPr>
        <w:footnoteRef/>
      </w:r>
      <w:r>
        <w:tab/>
        <w:t xml:space="preserve">Kull ministeru u kull gvern lokali u muniċipalità jew entità jfasslu u jimplimentaw il-pjanijiet lokali tagħhom stess. Fost l-oħrajn, pjan bħal dan jgħin lil dawk l-entitajiet biex jistabbilixxu regoli għall-ħatra tal-persuna inkarigata mill-prevenzjoni tal-korruzzjoni fl-entitajiet pubbliċi rilevanti interessati; jispeċifika r-rwoli tal-entitajiet pubbliċi fl-evalwazzjoni u l-ġestjoni tar-riskji ta’ korruzzjoni, itejjeb it-trasparenza fl-amministrazzjoni, jappoġġa lill-informaturi, u fil-monitoraġġ tal-proċeduri ta’ privatizzazzjoni. Il-pjan jistabbilixxi wkoll regoli dwar l-abbozzar ta’ pjanijiet kontra l-korruzzjoni ta’ tliet snin fl-oqsma l-aktar esposti għall-korruzzjoni, bħall-kura tas-saħħa. </w:t>
      </w:r>
    </w:p>
  </w:footnote>
  <w:footnote w:id="89">
    <w:p>
      <w:pPr>
        <w:pStyle w:val="FootnoteText"/>
      </w:pPr>
      <w:r>
        <w:rPr>
          <w:rStyle w:val="FootnoteReference"/>
        </w:rPr>
        <w:footnoteRef/>
      </w:r>
      <w:r>
        <w:tab/>
        <w:t>Informazzjoni riċevuta minn Transparency International fil-kuntest taż-żjara fil-pajjiż fl-Italja.</w:t>
      </w:r>
    </w:p>
  </w:footnote>
  <w:footnote w:id="90">
    <w:p>
      <w:pPr>
        <w:pStyle w:val="FootnoteText"/>
      </w:pPr>
      <w:r>
        <w:rPr>
          <w:rStyle w:val="FootnoteReference"/>
        </w:rPr>
        <w:footnoteRef/>
      </w:r>
      <w:r>
        <w:tab/>
        <w:t xml:space="preserve">L-awtorità Taljana Kontra l-Korruzzjoni fasslet u daħħlet fil-prattika pjattaforma elettronika għall-amministrazzjonijiet biex jibagħtu </w:t>
      </w:r>
      <w:r>
        <w:rPr>
          <w:i/>
          <w:iCs/>
        </w:rPr>
        <w:t>data</w:t>
      </w:r>
      <w:r>
        <w:t xml:space="preserve"> lill-ANAC u r-Rapport annwali tar-Responsabbiltà għall-prevenzjoni tal-korruzzjoni u t-trasparenza tal-amministrazzjoni speċifika. Għall-evalwazzjoni preċedenti, ġie vvalutat kampjun ta’ 536 amministrazzjoni pubblika fir-rigward tal-livell ġenerali ta’ implimentazzjoni tal-pjanijiet lokali ta’ tliet snin kif stabbilit mill-Pjan Nazzjonali Kontra l-Korruzzjoni tal-2016. Il-biċċa l-kbira tal-amministrazzjonijiet (madwar 87 %) wettqu analiżijiet inadegwati biex jivvalutaw ir-riskju ta’ korruzzjoni fl-entità tagħhom. B’mod partikolari, 27,1 % tal-amministrazzjonijiet injoraw l-analiżi tal-kuntest soċjoekonomiku. Meta mqabbla mal-valutazzjonijiet preċedenti, il-kapaċità ġenerali tal-valutazzjonijiet tar-riskju madankollu tjiebu fil-pajjiż kollu. </w:t>
      </w:r>
    </w:p>
  </w:footnote>
  <w:footnote w:id="91">
    <w:p>
      <w:pPr>
        <w:pStyle w:val="FootnoteText"/>
      </w:pPr>
      <w:r>
        <w:rPr>
          <w:rStyle w:val="FootnoteReference"/>
        </w:rPr>
        <w:footnoteRef/>
      </w:r>
      <w:r>
        <w:t xml:space="preserve"> Id-Digriet Leġiżlattiv Nru 75 tal-14 ta’ Lulju 2000, li daħal fis-seħħ fit-30 ta’ Lulju 2020, emenda firxa wiesgħa ta’ leġiżlazzjoni eżistenti, inkluż il-Kodiċi Kriminali, id-Digriet Leġiżlattiv Nru 74 tal-2000 (dwar ir-reati tat-taxxa), id-Digriet Presidenzjali 43/1973 u d-Digriet Leġiżlattiv 8/2016 (dwar kwistjonijiet doganali), u d-Digriet Leġiżlattiv 231/2001 (dwar ir-responsabbiltà tal-entitajiet għal reati amministrattivi li jirriżultaw minn reat kriminali).</w:t>
      </w:r>
    </w:p>
  </w:footnote>
  <w:footnote w:id="92">
    <w:p>
      <w:pPr>
        <w:pStyle w:val="FootnoteText"/>
      </w:pPr>
      <w:r>
        <w:rPr>
          <w:rStyle w:val="FootnoteReference"/>
        </w:rPr>
        <w:footnoteRef/>
      </w:r>
      <w:r>
        <w:tab/>
        <w:t>L-emendi introdotti għall-Kodiċi Kriminali jinkludu: każ aggravat ta’ miżapproprjazzjoni billi jittieħed vantaġġ mill-iżball ta’ persuna oħra (l-Artikolu 316); riċeviment indebitu ta’ fondi għad-detriment tal-Istat (l-Artikolu 316-ter); inċentiv mhux dovut għall-għoti jew għall-wegħda ta’ vantaġġi (l-Artikolu 319quarter C.C.), f’każ li l-att ikun ta’ detriment għall-interessi finanzjarji tal-Unjoni Ewropea u l-ħsara jew il-profitt jaqbżu l-EUR 100 000. Sentenza massima ta’ erba’ snin priġunerija (minflok tliet snin preċedenti) ġiet introdotta għar-reati msemmija hawn fuq. Il-kontribut mill-Italja għar-Rapport tal-2021 dwar l-Istat tad-Dritt, p. 35.</w:t>
      </w:r>
    </w:p>
  </w:footnote>
  <w:footnote w:id="93">
    <w:p>
      <w:pPr>
        <w:pStyle w:val="FootnoteText"/>
      </w:pPr>
      <w:r>
        <w:rPr>
          <w:rStyle w:val="FootnoteReference"/>
        </w:rPr>
        <w:footnoteRef/>
      </w:r>
      <w:r>
        <w:tab/>
        <w:t xml:space="preserve">L-Artikolu 322-bis tal-Kodiċi Kriminali ġie emendat sabiex jinkludi, fost dawk punibbli għall-korruzzjoni internazzjonali, anki persuni li jeżerċitaw funzjonijiet jew attivitajiet li jikkorrispondu għal ma’ dawk ta’ uffiċjali pubbliċi u persuni inkarigati mis-servizz pubbliku fi Stati Membri mhux tal-UE, meta l-att affettwa l-interessi finanzjarji tal-Unjoni Ewropea. </w:t>
      </w:r>
    </w:p>
  </w:footnote>
  <w:footnote w:id="94">
    <w:p>
      <w:pPr>
        <w:pStyle w:val="FootnoteText"/>
      </w:pPr>
      <w:r>
        <w:rPr>
          <w:rStyle w:val="FootnoteReference"/>
        </w:rPr>
        <w:footnoteRef/>
      </w:r>
      <w:r>
        <w:tab/>
        <w:t>Il-kontribut mill-Italja għar-Rapport tal-2021 dwar l-Istat tad-Dritt, p. 36.</w:t>
      </w:r>
    </w:p>
  </w:footnote>
  <w:footnote w:id="95">
    <w:p>
      <w:pPr>
        <w:pStyle w:val="FootnoteText"/>
      </w:pPr>
      <w:r>
        <w:rPr>
          <w:rStyle w:val="FootnoteReference"/>
        </w:rPr>
        <w:footnoteRef/>
      </w:r>
      <w:r>
        <w:tab/>
        <w:t>Informazzjoni riċevuta mill-Pulizija Finanzjarja/l-Uffiċċju tal-Prosekutur fil-Qorti tal-Awdituri/id-Direttorat Nazzjonali Kontra l-Mafja/l-Awtorità Kontra l-Korruzzjoni fil-kuntest taż-żjara tal-pajjiż fl-Italja.</w:t>
      </w:r>
    </w:p>
  </w:footnote>
  <w:footnote w:id="96">
    <w:p>
      <w:pPr>
        <w:pStyle w:val="FootnoteText"/>
      </w:pPr>
      <w:r>
        <w:rPr>
          <w:rStyle w:val="FootnoteReference"/>
        </w:rPr>
        <w:footnoteRef/>
      </w:r>
      <w:r>
        <w:tab/>
        <w:t>Ara hawn fuq, Informazzjoni riċevuta fil-kuntest taż-żjara fil-pajjiż fl-Italja.</w:t>
      </w:r>
    </w:p>
  </w:footnote>
  <w:footnote w:id="97">
    <w:p>
      <w:pPr>
        <w:pStyle w:val="FootnoteText"/>
      </w:pPr>
      <w:r>
        <w:rPr>
          <w:rStyle w:val="FootnoteReference"/>
        </w:rPr>
        <w:footnoteRef/>
      </w:r>
      <w:r>
        <w:tab/>
        <w:t xml:space="preserve">Fl-2019, il-leġiżlazzjoni l-ġdida estendiet il-perjodi ta’ preskrizzjoni u żiedet is-sanzjonijiet għat-tixħim. Ara wkoll l-OECD, Dikjarazzjoni tal-Grupp ta’ Ħidma tal-OECD dwar it-Tixħim dwar l-implimentazzjoni mill-Italja tal-Konvenzjoni Kontra t-Tixħim (2017). </w:t>
      </w:r>
    </w:p>
  </w:footnote>
  <w:footnote w:id="98">
    <w:p>
      <w:pPr>
        <w:pStyle w:val="FootnoteText"/>
      </w:pPr>
      <w:r>
        <w:rPr>
          <w:rStyle w:val="FootnoteReference"/>
        </w:rPr>
        <w:footnoteRef/>
      </w:r>
      <w:r>
        <w:tab/>
        <w:t xml:space="preserve">Informazzjoni riċevuta fil-kuntest taż-żjara fil-pajjiż fl-Italja. </w:t>
      </w:r>
    </w:p>
  </w:footnote>
  <w:footnote w:id="99">
    <w:p>
      <w:pPr>
        <w:pStyle w:val="FootnoteText"/>
      </w:pPr>
      <w:r>
        <w:rPr>
          <w:rStyle w:val="FootnoteReference"/>
        </w:rPr>
        <w:footnoteRef/>
      </w:r>
      <w:r>
        <w:tab/>
        <w:t>Fil-perjodu 2016-2019, l-Italja fetħet 23 investigazzjoni, bdiet disa’ każijiet u kkonkludiet erba’ każijiet ta’ tixħim barrani b’sanzjonijiet. Transparency International, Exporting Corruption (2020), p. 73.</w:t>
      </w:r>
    </w:p>
  </w:footnote>
  <w:footnote w:id="100">
    <w:p>
      <w:pPr>
        <w:pStyle w:val="FootnoteText"/>
      </w:pPr>
      <w:r>
        <w:rPr>
          <w:rStyle w:val="FootnoteReference"/>
        </w:rPr>
        <w:footnoteRef/>
      </w:r>
      <w:r>
        <w:tab/>
        <w:t>Informazzjoni riċevuta mis-Servizz tal-Prosekuzzjoni fil-Qorti Għolja fil-kuntest taż-żjara tal-pajjiż fl-Italja.</w:t>
      </w:r>
    </w:p>
  </w:footnote>
  <w:footnote w:id="101">
    <w:p>
      <w:pPr>
        <w:pStyle w:val="FootnoteText"/>
      </w:pPr>
      <w:r>
        <w:rPr>
          <w:rStyle w:val="FootnoteReference"/>
        </w:rPr>
        <w:footnoteRef/>
      </w:r>
      <w:r>
        <w:tab/>
        <w:t>L-Abbozz ta’ Liġi Nru 2435, "Delegazzjoni għall-Gvern dwar l-effiċjenza tal-proċess kriminali u dispożizzjonijiet biex jitħaffu l-proċedimenti ġudizzjarji pendenti fil-Qrati tal-Appell. Ir-riforma tal-ġustizzja hija parti mill-Pjan Nazzjonali tal-Italja għall-Irkupru u r-Reżiljenza b’reazzjoni għar-rakkomandazzjonijiet li saru fiċ-ċiklu tas-Semestru Ewropew; ara r-Rakkomandazzjoni tal-Kunsill tad-9 ta’ Lulju 2019 dwar il-Programm Nazzjonali ta’ Riforma tal-Italja għall-2019 u li tagħti opinjoni tal-Kunsill dwar il-Programm ta’ Stabbiltà tal-Italja tal-2019, ir-Rakkomandazzjoni Speċifika għall-Pajjiż 4, p. 11, u Rakkomandazzjoni għal Rakkomandazzjoni tal-Kunsill dwar il-Programm Nazzjonali ta’ Riforma tal-Italja għall-2020 u li tagħti opinjoni tal-Kunsill dwar il-Programm ta’ Stabbiltà tal-Italja tal-2020, il-Premessa 27; Ara wkoll it-Taqsima I. Is-sistema ġudizzjarja.</w:t>
      </w:r>
    </w:p>
  </w:footnote>
  <w:footnote w:id="102">
    <w:p>
      <w:pPr>
        <w:pStyle w:val="FootnoteText"/>
        <w:rPr>
          <w:rFonts w:cs="Times New Roman"/>
        </w:rPr>
      </w:pPr>
      <w:r>
        <w:rPr>
          <w:rStyle w:val="FootnoteReference"/>
        </w:rPr>
        <w:footnoteRef/>
      </w:r>
      <w:r>
        <w:tab/>
        <w:t xml:space="preserve">Informazzjoni riċevuta fil-kuntest taż-żjara fil-pajjiż fl-Italja. Ara wkoll ir-Rapport tal-2020 dwar l-Istat tad-Dritt, il-kapitolu tal-pajjiż dwar is-sitwazzjoni tal-istat tad-dritt fl-Italja, p. 7. </w:t>
      </w:r>
      <w:r>
        <w:rPr>
          <w:color w:val="000000"/>
        </w:rPr>
        <w:t>F’dan il-kuntest hija wkoll ir-riforma li tipprevedi l-interruzzjoni tal-perjodi ta’ preskrizzjoni wara deċiżjoni fl-ewwel istanza, f’konformità ma’ rakkomandazzjoni speċifika għall-pajjiż tas-Semestru Ewropew li ilha stabbilita, li daħlet fis-seħħ fl-2020. Dwar iż-żmien ta’ disponiment, ara wkoll Kapitolu I: Sistema ġudizzjarja, pp. 6-7.</w:t>
      </w:r>
    </w:p>
  </w:footnote>
  <w:footnote w:id="103">
    <w:p>
      <w:pPr>
        <w:pStyle w:val="FootnoteText"/>
      </w:pPr>
      <w:r>
        <w:rPr>
          <w:rStyle w:val="FootnoteReference"/>
          <w:rFonts w:cs="Times New Roman"/>
        </w:rPr>
        <w:footnoteRef/>
      </w:r>
      <w:r>
        <w:tab/>
        <w:t>Kontribut bil-miktub riċevut mill-Pulizija Finanzjarja fil-kuntest taż-żjara tal-pajjiż fl-Italja.</w:t>
      </w:r>
    </w:p>
  </w:footnote>
  <w:footnote w:id="104">
    <w:p>
      <w:pPr>
        <w:pStyle w:val="FootnoteText"/>
      </w:pPr>
      <w:r>
        <w:rPr>
          <w:rStyle w:val="FootnoteReference"/>
        </w:rPr>
        <w:footnoteRef/>
      </w:r>
      <w:r>
        <w:tab/>
        <w:t>L-emendi ġew approvati fit-tieni qari fil-31 ta’ Marzu 2021 u ntbagħtu lis-senat għall-approvazzjoni finali.</w:t>
      </w:r>
    </w:p>
  </w:footnote>
  <w:footnote w:id="105">
    <w:p>
      <w:pPr>
        <w:pStyle w:val="FootnoteText"/>
      </w:pPr>
      <w:r>
        <w:rPr>
          <w:rStyle w:val="FootnoteReference"/>
        </w:rPr>
        <w:footnoteRef/>
      </w:r>
      <w:r>
        <w:tab/>
        <w:t xml:space="preserve">Bl-adozzjoni tal-Liġi Nru 179/2017, ir-regolament dwar l-iżvelar ta’ informazzjoni protetta, li huwa applikabbli b’mod ġenerali għas-settur privat, daħal fis-seħħ f’Diċembru 2018. L-iskema ta’ protezzjoni għall-informaturi prevista mil-liġi hija volontarja u applikabbli biss għal dawk il-kumpaniji fejn l-impjegatur ikun adotta mudell organizzattiv għall-prevenzjoni tal-kriminalità skont id-Digriet Nru 231/2001 dwar ir-responsabbiltà kriminali korporattiva. Il-liġi tirrikjedi biss minn dawk il-kumpaniji li għandhom il-mudell tad-Digriet 231 fis-seħħ biex jistabbilixxu sistema ta’ rapportar tal-informaturi għall-protezzjoni tal-informaturi. </w:t>
      </w:r>
    </w:p>
  </w:footnote>
  <w:footnote w:id="106">
    <w:p>
      <w:pPr>
        <w:pStyle w:val="FootnoteText"/>
      </w:pPr>
      <w:r>
        <w:rPr>
          <w:rStyle w:val="FootnoteReference"/>
        </w:rPr>
        <w:footnoteRef/>
      </w:r>
      <w:r>
        <w:tab/>
        <w:t xml:space="preserve">Min-naħa tiegħu u kif irrappurtat is-sena l-oħra fir-Rapport tal-2020 dwar l-Istat tad-Dritt, il-kapitolu tal-pajjiż dwar is-sitwazzjoni tal-istat tad-dritt fl-Italja, p. 11, ir-rapporti tas-settur pubbliku lill-Awtorità Kontra l-Korruzzjoni żdiedu b’mod sinifikanti wara r-reviżjoni tal-qafas legali fl-2017. </w:t>
      </w:r>
    </w:p>
  </w:footnote>
  <w:footnote w:id="107">
    <w:p>
      <w:pPr>
        <w:pStyle w:val="FootnoteText"/>
      </w:pPr>
      <w:r>
        <w:rPr>
          <w:rStyle w:val="FootnoteReference"/>
        </w:rPr>
        <w:footnoteRef/>
      </w:r>
      <w:r>
        <w:t xml:space="preserve"> Skont l-awtoritajiet Taljani, dan is-sett ta’ linji gwida jqis il-prinċipji tad-Direttiva (UE) 2019/1937. </w:t>
      </w:r>
    </w:p>
  </w:footnote>
  <w:footnote w:id="108">
    <w:p>
      <w:pPr>
        <w:pStyle w:val="FootnoteText"/>
      </w:pPr>
      <w:r>
        <w:rPr>
          <w:rStyle w:val="FootnoteReference"/>
        </w:rPr>
        <w:footnoteRef/>
      </w:r>
      <w:r>
        <w:tab/>
        <w:t xml:space="preserve">Ara l-Proposta Leġiżlattiva Nru 1461, Macina u oħrajn, il-Proposta Leġiżlattiva ta’ interess (2018). </w:t>
      </w:r>
    </w:p>
  </w:footnote>
  <w:footnote w:id="109">
    <w:p>
      <w:pPr>
        <w:pStyle w:val="FootnoteText"/>
      </w:pPr>
      <w:r>
        <w:rPr>
          <w:rStyle w:val="FootnoteReference"/>
        </w:rPr>
        <w:footnoteRef/>
      </w:r>
      <w:r>
        <w:tab/>
        <w:t>Il-kontribut mill-Italja għar-Rapport tal-2021 dwar l-Istat tad-Dritt, p. 30.</w:t>
      </w:r>
    </w:p>
  </w:footnote>
  <w:footnote w:id="110">
    <w:p>
      <w:pPr>
        <w:pStyle w:val="FootnoteText"/>
      </w:pPr>
      <w:r>
        <w:rPr>
          <w:rStyle w:val="FootnoteReference"/>
        </w:rPr>
        <w:footnoteRef/>
      </w:r>
      <w:r>
        <w:tab/>
        <w:t>Informazzjoni riċevuta fil-kuntest taż-żjara fil-pajjiż fl-Italja.</w:t>
      </w:r>
    </w:p>
  </w:footnote>
  <w:footnote w:id="111">
    <w:p>
      <w:pPr>
        <w:pStyle w:val="FootnoteText"/>
      </w:pPr>
      <w:r>
        <w:rPr>
          <w:rStyle w:val="FootnoteReference"/>
        </w:rPr>
        <w:footnoteRef/>
      </w:r>
      <w:r>
        <w:tab/>
        <w:t>Il-proposta tipprevedi każijiet addizzjonali ta’ ineliġibbiltà għall-kariga ta’ deputat senatur u senatur u Kunsillier reġjonali. Hija tinkludi regoli ġodda dwar l-ineliġibbiltà tal-maġistrati u dispożizzjonijiet dwar ir-reġim regolatorju li għandu jiġi applikat għall-maġistrati li huma kandidati fl-elezzjonijiet. Hija tiddelega lill-Gvern biex jiddefinixxi dixxiplina aktar stretta għall-prevenzjoni ta’ kunflitti ta’ interess fl-amministrazzjoni pubblika, filwaqt li tagħti lill-Awtorità Kontra l-Korruzzjoni setgħat speċifiċi biex tintervjeni u timponi sanzjonijiet, filwaqt li tipprevedi forom akbar ta’ trasparenza fir-rigward tal-qafas regolatorju attwali. Il-proposta twessa’ d-dispożizzjonijiet dwar in-nuqqas ta’ trasferibbiltà tal-uffiċċji (attwalment irregolati mid-Digriet Leġiżlattiv Nru 39/2013), u tillimita l-possibbiltà li jiġu akkumulati rwoli fil-korpi amministrattivi u ta’ kontroll f’kumpaniji kkontrollati pubblikament u l-estensjoni tal-kamp ta’ applikazzjoni suġġettiv tar-regoli dwar il-kunflitti ta’ interess. Ara GRECO Fourth Evaluation Round - Second Compliance Report – Italy, il-paragrafi 15-19.</w:t>
      </w:r>
    </w:p>
  </w:footnote>
  <w:footnote w:id="112">
    <w:p>
      <w:pPr>
        <w:pStyle w:val="FootnoteText"/>
      </w:pPr>
      <w:r>
        <w:rPr>
          <w:rStyle w:val="FootnoteReference"/>
        </w:rPr>
        <w:footnoteRef/>
      </w:r>
      <w:r>
        <w:t xml:space="preserve"> </w:t>
      </w:r>
      <w:r>
        <w:tab/>
        <w:t>Ara GRECO, Fourth Evaluation Round, Second Compliance Report – Italy, il-paragrafi 10-11, li tirrakkomanda wkoll li tiġi żviluppata aktar il-firxa ta’ sanzjonijiet mhux kriminali għal imġiba mhux etika.</w:t>
      </w:r>
    </w:p>
  </w:footnote>
  <w:footnote w:id="113">
    <w:p>
      <w:pPr>
        <w:pStyle w:val="FootnoteText"/>
      </w:pPr>
      <w:r>
        <w:rPr>
          <w:rStyle w:val="FootnoteReference"/>
        </w:rPr>
        <w:footnoteRef/>
      </w:r>
      <w:r>
        <w:tab/>
        <w:t>Kif rappurtat is-sena l-oħra fir-Rapport tal-2020 dwar l-Istat tad-Dritt, il-kapitolu tal-pajjiż dwar is-sitwazzjoni tal-istat tad-dritt fl-Italja, p. 11.</w:t>
      </w:r>
    </w:p>
  </w:footnote>
  <w:footnote w:id="114">
    <w:p>
      <w:pPr>
        <w:pStyle w:val="FootnoteText"/>
      </w:pPr>
      <w:r>
        <w:rPr>
          <w:rStyle w:val="FootnoteReference"/>
        </w:rPr>
        <w:footnoteRef/>
      </w:r>
      <w:r>
        <w:tab/>
        <w:t>Dan jirreferi wkoll għal membri tal-Gvern u impjegati anzjani taċ-ċivil, għal aktar dettalji ara r-Rapport tal-2020 dwar l-Istat tad-Dritt, il-Kapitolu tal-pajjiż dwar is-sitwazzjoni tal-istat tad-dritt fl-Italja, p. 11. Dan minkejja l-impenn tal-Italja dwar id-</w:t>
      </w:r>
      <w:r>
        <w:rPr>
          <w:i/>
        </w:rPr>
        <w:t>data</w:t>
      </w:r>
      <w:r>
        <w:t xml:space="preserve"> miftuħa fil-kuntest tal-G20, ara wkoll il-Prinċipji tal-G20 dwar id-</w:t>
      </w:r>
      <w:r>
        <w:rPr>
          <w:i/>
          <w:iCs/>
        </w:rPr>
        <w:t>Data</w:t>
      </w:r>
      <w:r>
        <w:t xml:space="preserve"> Miftuħa Kontra l-Korruzzjoni (2015).</w:t>
      </w:r>
    </w:p>
  </w:footnote>
  <w:footnote w:id="115">
    <w:p>
      <w:pPr>
        <w:pStyle w:val="FootnoteText"/>
      </w:pPr>
      <w:r>
        <w:rPr>
          <w:rStyle w:val="FootnoteReference"/>
        </w:rPr>
        <w:footnoteRef/>
      </w:r>
      <w:r>
        <w:tab/>
        <w:t>Skont l-informazzjoni li rċieva l-Gvern, ġew ippreżentati disa' abbozzi ta’ liġijiet lill-Kamra u lis-Senat. Tlieta minn dawn intbagħtu lill-Kumitat għall-Affarijiet Kostituzzjonali. B’mod partikolari, l-abbozzi tal-liġijiet quddiem is-Senat ġew ippreżentati fl-2018 u fl-2019.</w:t>
      </w:r>
    </w:p>
  </w:footnote>
  <w:footnote w:id="116">
    <w:p>
      <w:pPr>
        <w:pStyle w:val="FootnoteText"/>
      </w:pPr>
      <w:r>
        <w:rPr>
          <w:rStyle w:val="FootnoteReference"/>
        </w:rPr>
        <w:footnoteRef/>
      </w:r>
      <w:r>
        <w:tab/>
        <w:t>Informazzjoni li waslet mill-Kanċellerija tal-Uffiċċju tal-Presidenza fil-kuntest taż-żjara tal-pajjiż fl-Italja Bħala parti mill-impenji tal-Gvern Taljan skont it-Tielet Pjan ta’ Azzjoni tal-Gvern Miftuħ, il-Ministeru għall-Iżvilupp Ekonomiku u l-Ministeru tax-Xogħol adottaw Reġistru ta’ Trasparenza u Kodiċi ta’ Kondotta f’Settembru 2018.</w:t>
      </w:r>
    </w:p>
  </w:footnote>
  <w:footnote w:id="117">
    <w:p>
      <w:pPr>
        <w:pStyle w:val="FootnoteText"/>
      </w:pPr>
      <w:r>
        <w:rPr>
          <w:rStyle w:val="FootnoteReference"/>
        </w:rPr>
        <w:footnoteRef/>
      </w:r>
      <w:r>
        <w:tab/>
        <w:t>Il-Gvern Taljan, ir-Raba’ Pjan ta’ Azzjoni Nazzjonali għal Gvern Miftuħ (2019-2021), p. 19.</w:t>
      </w:r>
    </w:p>
  </w:footnote>
  <w:footnote w:id="118">
    <w:p>
      <w:pPr>
        <w:pStyle w:val="FootnoteText"/>
      </w:pPr>
      <w:r>
        <w:rPr>
          <w:rStyle w:val="FootnoteReference"/>
        </w:rPr>
        <w:footnoteRef/>
      </w:r>
      <w:r>
        <w:tab/>
        <w:t>Id-Deċiżjoni Nru 208/2017 tirregola biss l-attivitajiet tal-Kamra tad-Deputati, mhux tas-Senat. Madwar it-territorju nazzjonali, is-sitwazzjoni għadha frammentata mingħajr reġistru nazzjonali għall-gvern. Xi reġjuni u muniċipalitajiet ħadu passi pożittivi 'l quddiem u implimentaw ir-regolamentazzjoni (pereż. Milan u Ruma jippubblikaw online laqgħat bejn il-partijiet ikkonċernati u dawk li jieħdu d-deċiżjonijiet pubbliċi għal xi wħud mid-dipartimenti tagħhom) iżda m’hemm l-ebda approċċ sistematiku jew standardizzat. Ara GRECO Fourth Evaluation Round - Second Compliance Report, il-paragrafi 30-37.</w:t>
      </w:r>
    </w:p>
  </w:footnote>
  <w:footnote w:id="119">
    <w:p>
      <w:pPr>
        <w:pStyle w:val="FootnoteText"/>
      </w:pPr>
      <w:r>
        <w:rPr>
          <w:rStyle w:val="FootnoteReference"/>
        </w:rPr>
        <w:footnoteRef/>
      </w:r>
      <w:r>
        <w:tab/>
        <w:t>Il-Kamra tad-Deputati, is-6 ta’ Ottubru 2020, Bullettin tal-Kumitati Parlamentari Kostituzzjonali, tal-Prim Ministru u tal-Affarijiet Interni, “Dispożizzjonijiet dwar il-kunflitti ta’ interess”. C. 702 Fiano, C. 1461 Macina u C. 1843 Boccia".</w:t>
      </w:r>
    </w:p>
  </w:footnote>
  <w:footnote w:id="120">
    <w:p>
      <w:pPr>
        <w:pStyle w:val="FootnoteText"/>
      </w:pPr>
      <w:r>
        <w:rPr>
          <w:rStyle w:val="FootnoteReference"/>
        </w:rPr>
        <w:footnoteRef/>
      </w:r>
      <w:r>
        <w:tab/>
        <w:t xml:space="preserve">Informazzjoni riċevuta fil-kuntest taż-żjara fil-pajjiż fl-Italja. Ara GRECO, Fourth Evaluation Round, Second Compliance Report, il-paragrafu 28. B’mod partikolari, l-Awtorità Nazzjonali Kontra l-Korruzzjoni fdata bis-setgħat li tivvaluta l-ksur u timponi sanzjonijiet kienet talbet lill-Gvern biex itejjeb il-leġiżlazzjoni dwar revolving doors, ara l-Awtorità Taljana Kontra l-Korruzzjoni (2020), l-Att ta’ Rappurtar Nru 6, is-27 ta’ Mejju 2020 dwar revolving doors Sa issa ma hemm l-ebda </w:t>
      </w:r>
      <w:r>
        <w:rPr>
          <w:i/>
          <w:iCs/>
        </w:rPr>
        <w:t>data</w:t>
      </w:r>
      <w:r>
        <w:t xml:space="preserve"> disponibbli dwar każijiet ta’ revolving doors, billi l-Awtorità Kontra l-Korruzzjoni għadha fi stadju bikri fil-valutazzjoni, skont l-informazzjoni li waslet għand l-Awtorità Kontra l-Korruzzjoni fil-kuntest taż-żjara tal-pajjiż fl-Italja.</w:t>
      </w:r>
    </w:p>
  </w:footnote>
  <w:footnote w:id="121">
    <w:p>
      <w:pPr>
        <w:pStyle w:val="FootnoteText"/>
      </w:pPr>
      <w:r>
        <w:rPr>
          <w:rStyle w:val="FootnoteReference"/>
        </w:rPr>
        <w:footnoteRef/>
      </w:r>
      <w:r>
        <w:tab/>
        <w:t>Wara r-referendum fl-1993 u l-miżuri konsegwenti adottati mill-1993 sal-2013, il-finanzjament pubbliku dirett lill-partiti politiċi ġie pprojbit.</w:t>
      </w:r>
      <w:r>
        <w:rPr>
          <w:i/>
        </w:rPr>
        <w:t xml:space="preserve"> </w:t>
      </w:r>
    </w:p>
  </w:footnote>
  <w:footnote w:id="122">
    <w:p>
      <w:pPr>
        <w:pStyle w:val="FootnoteText"/>
      </w:pPr>
      <w:r>
        <w:rPr>
          <w:rStyle w:val="FootnoteReference"/>
        </w:rPr>
        <w:footnoteRef/>
      </w:r>
      <w:r>
        <w:tab/>
        <w:t>Id-</w:t>
      </w:r>
      <w:r>
        <w:rPr>
          <w:i/>
        </w:rPr>
        <w:t>data</w:t>
      </w:r>
      <w:r>
        <w:t xml:space="preserve"> ppubblikata mill-Kamra tad-Deputati, li mmappjat donazzjonijiet matul il-perjodu ta’ Frar sa Novembru 2019, tindika li 72,7 % tal-fondi allokati lill-partiti Taljani ġew minn membri tal-parlament, 22,9 % minn persuni fiżiċi u 4,9 % minn kumpaniji privati. Ara wkoll Transparency International, Soldi e politica: cosa ci dicono i dati? (Nov. 2020). </w:t>
      </w:r>
    </w:p>
  </w:footnote>
  <w:footnote w:id="123">
    <w:p>
      <w:pPr>
        <w:pStyle w:val="FootnoteText"/>
      </w:pPr>
      <w:r>
        <w:rPr>
          <w:rStyle w:val="FootnoteReference"/>
        </w:rPr>
        <w:footnoteRef/>
      </w:r>
      <w:r>
        <w:tab/>
        <w:t xml:space="preserve">Il-Liġi Nru 3/2019. Ma hemmx reġistru ċentralizzat u li jinqara mill-magni. Ara l-GRECO, Third Evaluation Round, Second </w:t>
      </w:r>
      <w:r>
        <w:rPr>
          <w:i/>
          <w:iCs/>
        </w:rPr>
        <w:t>Addendum</w:t>
      </w:r>
      <w:r>
        <w:t xml:space="preserve"> to the Second Compliance Report, il-paragrafu 37, li jirrakkomanda li jiġi introdott approċċ koordinat għall-pubblikazzjoni ta’ informazzjoni dwar il-finanzjament tal-partiti politiċi u l-kampanji elettorali, u li jiġi żgurat li tali informazzjoni tkun disponibbli b’mod koerenti, li jinftiehem u f’waqtu. </w:t>
      </w:r>
    </w:p>
  </w:footnote>
  <w:footnote w:id="124">
    <w:p>
      <w:pPr>
        <w:pStyle w:val="FootnoteText"/>
      </w:pPr>
      <w:r>
        <w:rPr>
          <w:rStyle w:val="FootnoteReference"/>
        </w:rPr>
        <w:footnoteRef/>
      </w:r>
      <w:r>
        <w:tab/>
        <w:t>Il-korpi ta’ sorveljanza jinkludu l-Kumitat għat-Trasparenza u l-Kontroll tar-Rapporti Finanzjarji tal-Partijiet u l-Movimenti Politiċi, il-Qorti tal-Awditjar u l-Bord Reġjonali tal-Garanzija Elettorali.</w:t>
      </w:r>
    </w:p>
  </w:footnote>
  <w:footnote w:id="125">
    <w:p>
      <w:pPr>
        <w:pStyle w:val="FootnoteText"/>
      </w:pPr>
      <w:r>
        <w:rPr>
          <w:rStyle w:val="FootnoteReference"/>
        </w:rPr>
        <w:footnoteRef/>
      </w:r>
      <w:r>
        <w:tab/>
        <w:t>Huwa rrappurtat li din il-prattika ġibdet l-attenzjoni tal-investigaturi u l-prosekuturi fil-bidu tal-2020. Id-donazzjonijiet li saru lil assoċjazzjonijiet ta’ terzi persuni ammontaw għal kważi EUR 10 miljun, jew 37 fil-mija tal-volum totali ta’ finanzjament politiku fl-2019. Cf. Transparency International, Debugging Democracy, Open data for political integrity in Europe (2020), pp. 4 u 19-20.</w:t>
      </w:r>
    </w:p>
  </w:footnote>
  <w:footnote w:id="126">
    <w:p>
      <w:pPr>
        <w:pStyle w:val="FootnoteText"/>
      </w:pPr>
      <w:r>
        <w:rPr>
          <w:rStyle w:val="FootnoteReference"/>
        </w:rPr>
        <w:footnoteRef/>
      </w:r>
      <w:r>
        <w:tab/>
        <w:t>Kontribut bil-miktub riċevut mill-Pulizija Finanzjarja fil-kuntest taż-żjara tal-pajjiż fl-Italja. Informazzjoni riċevuta fil-kuntest taż-żjara fil-pajjiż fl-Italja.</w:t>
      </w:r>
    </w:p>
  </w:footnote>
  <w:footnote w:id="127">
    <w:p>
      <w:pPr>
        <w:pStyle w:val="FootnoteText"/>
      </w:pPr>
      <w:r>
        <w:rPr>
          <w:rStyle w:val="FootnoteReference"/>
        </w:rPr>
        <w:footnoteRef/>
      </w:r>
      <w:r>
        <w:tab/>
        <w:t>Id-Digriet tal-Liġi Nru 76/2020.</w:t>
      </w:r>
    </w:p>
  </w:footnote>
  <w:footnote w:id="128">
    <w:p>
      <w:pPr>
        <w:pStyle w:val="FootnoteText"/>
      </w:pPr>
      <w:r>
        <w:rPr>
          <w:rStyle w:val="FootnoteReference"/>
        </w:rPr>
        <w:footnoteRef/>
      </w:r>
      <w:r>
        <w:tab/>
        <w:t>Il-miżuri jgħollu l-limitu għal għotjiet diretti minn EUR 40 000 għal EUR 150 000 biex jissimplifikaw il-proċeduri relatati ma’ kuntratti ta’ xogħlijiet, u minn EUR 40 000 għal EUR 75 000 relatati ma’ servizzi u provvisti.</w:t>
      </w:r>
    </w:p>
  </w:footnote>
  <w:footnote w:id="129">
    <w:p>
      <w:pPr>
        <w:pStyle w:val="FootnoteText"/>
      </w:pPr>
      <w:r>
        <w:rPr>
          <w:rStyle w:val="FootnoteReference"/>
        </w:rPr>
        <w:footnoteRef/>
      </w:r>
      <w:r>
        <w:tab/>
        <w:t>L-Awtorità Kontra l-Korruzzjoni enfasizzat li l-għażla li ssir deroga minn “kwalunkwe dispożizzjoni tal-liġi għajr il-liġi kriminali” tidher sproporzjonata għall-objettiv li jitħeġġu l-investimenti pubbliċi u li jiġu indirizzati r-riperkussjonijiet ekonomiċi negattivi relatati mal-COVID-19, ara l-Awtorità Kontra l-Korruzzjoni, “Analiżi tal-artikoli tad-Digriet tal-Liġi tas-16 ta’ Lulju 2020” (</w:t>
      </w:r>
      <w:r>
        <w:rPr>
          <w:i/>
        </w:rPr>
        <w:t>Esame e commento degli articoli del decreto-legge 16 luglio 2020, n. 76 «Misure urgenti per la semplificazione e l’innovazione digitale» in tema di</w:t>
      </w:r>
      <w:r>
        <w:t xml:space="preserve"> </w:t>
      </w:r>
      <w:r>
        <w:rPr>
          <w:i/>
        </w:rPr>
        <w:t>contratti pubblici, trasparenza e anticorruzione</w:t>
      </w:r>
      <w:r>
        <w:t>) (2020). Barra minn hekk, sabiex tindirizza l-emerġenza relatata mal-pandemija tal-COVID-19, f’April 2020, l-Awtorità Nazzjonali Taljana Kontra l-Korruzzjoni ħarġet Manwal b’ħarsa ġenerali sistematika tad-dispożizzjonijiet tal-liġi nazzjonali rilevanti biex jiġu aċċellerati u ssimplifikati l-proċeduri tal-offerti.</w:t>
      </w:r>
    </w:p>
  </w:footnote>
  <w:footnote w:id="130">
    <w:p>
      <w:pPr>
        <w:pStyle w:val="FootnoteText"/>
      </w:pPr>
      <w:r>
        <w:rPr>
          <w:rStyle w:val="FootnoteReference"/>
        </w:rPr>
        <w:footnoteRef/>
      </w:r>
      <w:r>
        <w:tab/>
        <w:t>Il-bażi tad-</w:t>
      </w:r>
      <w:r>
        <w:rPr>
          <w:i/>
        </w:rPr>
        <w:t>data</w:t>
      </w:r>
      <w:r>
        <w:t xml:space="preserve"> tinkludi informazzjoni dwar 51,9 miljun proċedura ta’ akkwist, 38 500 awtorità kontraenti u 234 000 offerent. Ara d-</w:t>
      </w:r>
      <w:r>
        <w:rPr>
          <w:i/>
        </w:rPr>
        <w:t>data</w:t>
      </w:r>
      <w:r>
        <w:t xml:space="preserve"> ppubblikata fuq is-sit web tal-Awtorità Kontra l-Korruzzjoni. Id-</w:t>
      </w:r>
      <w:r>
        <w:rPr>
          <w:i/>
        </w:rPr>
        <w:t>data</w:t>
      </w:r>
      <w:r>
        <w:t xml:space="preserve"> li qabel kienet tkun inqas aċċessibbli jew li kienet teħtieġ estrazzjonijiet </w:t>
      </w:r>
      <w:r>
        <w:rPr>
          <w:i/>
          <w:iCs/>
        </w:rPr>
        <w:t>ad hoc</w:t>
      </w:r>
      <w:r>
        <w:t xml:space="preserve"> - pereżempju dwar sottokuntratti, varjazzjonijiet fl-eżekuzzjoni ta’ xogħlijiet, jew listi ta’ kumpaniji li kkwalifikaw biex jeżegwixxu ċerti kategoriji ta’ xogħlijiet - hija sistematikament disponibbli fuq is-sit web tal-Awtorità, inkluż issa wkoll statistika deskrittiva. Dokument ta’ ħidma tal-Awtorità jippreżenta indiċi ġdid tar-riskju ta’ korruzzjoni b’indikaturi mibnija fuq id-</w:t>
      </w:r>
      <w:r>
        <w:rPr>
          <w:i/>
        </w:rPr>
        <w:t>data</w:t>
      </w:r>
      <w:r>
        <w:t xml:space="preserve"> tal-Bażi tad-</w:t>
      </w:r>
      <w:r>
        <w:rPr>
          <w:i/>
        </w:rPr>
        <w:t>Data</w:t>
      </w:r>
      <w:r>
        <w:t xml:space="preserve"> Nazzjonali tal-Kuntratti Pubbliċi biex jitkejlu r-riskji ta’ korruzzjoni fil-livell lokali u biex tiġi promossa t-trasparenza fl-akkwist pubbliku. Ara l-Awtorità Kontra l-Korruzzjoni, “Data analysis and construction of corruption risk indicators for the National Database of Public Contracts”, Dokument ta’ Ħidma Nru 5 (2020), http://www.anticorruzione.it/portal/rest/jcr/repository/collaboration/Digital%20Assets/anacdocs/Attivita/Pubblicazioni/Collana%20scientifica%20Autorita/Collana%20scientifica%20Anac%20-%20Matteo%20Tro%C3%83%C2%ACa%20WP%20n.5.pdf</w:t>
      </w:r>
    </w:p>
  </w:footnote>
  <w:footnote w:id="131">
    <w:p>
      <w:pPr>
        <w:pStyle w:val="FootnoteText"/>
        <w:rPr>
          <w:rFonts w:eastAsia="Calibri"/>
        </w:rPr>
      </w:pPr>
      <w:r>
        <w:rPr>
          <w:rStyle w:val="FootnoteReference"/>
        </w:rPr>
        <w:footnoteRef/>
      </w:r>
      <w:r>
        <w:tab/>
        <w:t xml:space="preserve">Il-Kostituzzjoni tal-Italja, l-Artikolu 21. L-Italja żżomm il-klassifikazzjoni relattivament baxxa tagħha fil-wieħed u erbgħin post fid-dinja kollha fl-Indiċi Dinji tal-Libertà tal-Istampa 2021 Reporters without Borders (u l-għoxrin post fl-UE) minħabba l-għadd sinifikanti ta’ ġurnalisti li jgħixu taħt il-protezzjoni tal-pulizija. </w:t>
      </w:r>
    </w:p>
  </w:footnote>
  <w:footnote w:id="132">
    <w:p>
      <w:pPr>
        <w:pStyle w:val="FootnoteText"/>
      </w:pPr>
      <w:r>
        <w:rPr>
          <w:rStyle w:val="FootnoteReference"/>
        </w:rPr>
        <w:footnoteRef/>
      </w:r>
      <w:r>
        <w:t xml:space="preserve"> </w:t>
      </w:r>
      <w:r>
        <w:tab/>
        <w:t xml:space="preserve">Autorità per le Garanzie nelle Comunicazioni (AGCOM), </w:t>
      </w:r>
      <w:r>
        <w:rPr>
          <w:i/>
        </w:rPr>
        <w:t>Osservatorio sul Giornalismo III edizione - La professione alla prova dell'emergenza Covid-19 - documento di consultazione pubblica</w:t>
      </w:r>
      <w:r>
        <w:t xml:space="preserve">, Novembru 2020. </w:t>
      </w:r>
    </w:p>
  </w:footnote>
  <w:footnote w:id="133">
    <w:p>
      <w:pPr>
        <w:pStyle w:val="FootnoteText"/>
      </w:pPr>
      <w:r>
        <w:rPr>
          <w:rStyle w:val="FootnoteReference"/>
        </w:rPr>
        <w:footnoteRef/>
      </w:r>
      <w:r>
        <w:tab/>
        <w:t xml:space="preserve">L-NGOs ikkonsultati matul iż-żjara fil-pajjiż ikkonfermaw li x-xogħol prekarju sar problema reali li kellu impatt fuq il-professjoni u li l-prospetti ekonomiċi tas-settur kienu qed jiddeterjoraw serjament qabel il-pandemija tal-COVID-19. </w:t>
      </w:r>
    </w:p>
  </w:footnote>
  <w:footnote w:id="134">
    <w:p>
      <w:pPr>
        <w:pStyle w:val="FootnoteText"/>
      </w:pPr>
      <w:r>
        <w:rPr>
          <w:rStyle w:val="FootnoteReference"/>
        </w:rPr>
        <w:footnoteRef/>
      </w:r>
      <w:r>
        <w:tab/>
        <w:t xml:space="preserve">Il-Liġi 27/2020 u l-Liġi Baġitarja 178/2020. </w:t>
      </w:r>
    </w:p>
  </w:footnote>
  <w:footnote w:id="135">
    <w:p>
      <w:pPr>
        <w:pStyle w:val="FootnoteText"/>
      </w:pPr>
      <w:r>
        <w:rPr>
          <w:rStyle w:val="FootnoteReference"/>
        </w:rPr>
        <w:footnoteRef/>
      </w:r>
      <w:r>
        <w:tab/>
        <w:t>Dipartiment tal-Informazzjoni u l-Pubblikazzjoni,</w:t>
      </w:r>
      <w:r>
        <w:rPr>
          <w:i/>
        </w:rPr>
        <w:t xml:space="preserve"> Fondo per il pluralismo e l’innovazione dell’ informazione</w:t>
      </w:r>
      <w:r>
        <w:t>.</w:t>
      </w:r>
    </w:p>
  </w:footnote>
  <w:footnote w:id="136">
    <w:p>
      <w:pPr>
        <w:pStyle w:val="FootnoteText"/>
      </w:pPr>
      <w:r>
        <w:rPr>
          <w:rStyle w:val="FootnoteReference"/>
        </w:rPr>
        <w:footnoteRef/>
      </w:r>
      <w:r>
        <w:tab/>
        <w:t xml:space="preserve">Il-Qorti Kostituzzjonali, id-Deċiżjoni 206/2019 (ECLI:IT:COST:2019:206). </w:t>
      </w:r>
    </w:p>
  </w:footnote>
  <w:footnote w:id="137">
    <w:p>
      <w:pPr>
        <w:pStyle w:val="FootnoteText"/>
      </w:pPr>
      <w:r>
        <w:rPr>
          <w:rStyle w:val="FootnoteReference"/>
        </w:rPr>
        <w:footnoteRef/>
      </w:r>
      <w:r>
        <w:tab/>
        <w:t xml:space="preserve">Emendi għal-Liġi 215/2004 magħrufa bħala l-“Legge Frattini”. </w:t>
      </w:r>
    </w:p>
  </w:footnote>
  <w:footnote w:id="138">
    <w:p>
      <w:pPr>
        <w:pStyle w:val="FootnoteText"/>
      </w:pPr>
      <w:r>
        <w:rPr>
          <w:rStyle w:val="FootnoteReference"/>
        </w:rPr>
        <w:footnoteRef/>
      </w:r>
      <w:r>
        <w:tab/>
        <w:t xml:space="preserve">Monitoraġġ tal-Pluraliżmu tal-Media tal-2021 Media Pluralism Monitor, MPM), pp. 15-16. </w:t>
      </w:r>
    </w:p>
  </w:footnote>
  <w:footnote w:id="139">
    <w:p>
      <w:pPr>
        <w:pStyle w:val="FootnoteText"/>
      </w:pPr>
      <w:r>
        <w:rPr>
          <w:rStyle w:val="FootnoteReference"/>
        </w:rPr>
        <w:footnoteRef/>
      </w:r>
      <w:r>
        <w:tab/>
        <w:t xml:space="preserve">Ara l-MPM 2021, p. 12 għall-ishma tas-suq ta’ atturi ewlenin f’sottosetturi differenti tal-media tal-aħbarijiet. Il-liġi Taljana tistabbilixxi limiti għas-sehem mis-suq għal kull suq tal-media (limitu tekniku) u għas-suq globali tal-media (limitu ekonomiku). Sa issa ma ġie stabbilit l-ebda ksur tal-limitu tekniku mill-AGCOM (MPM 2021, p. 13). In-nuqqas ta’ </w:t>
      </w:r>
      <w:r>
        <w:rPr>
          <w:i/>
          <w:iCs/>
        </w:rPr>
        <w:t>data</w:t>
      </w:r>
      <w:r>
        <w:t xml:space="preserve"> u metrika standardizzati u komparabbli dwar l-udjenza tal-media diġitali huwa problema (MPM 2021, p. 21).</w:t>
      </w:r>
    </w:p>
  </w:footnote>
  <w:footnote w:id="140">
    <w:p>
      <w:pPr>
        <w:pStyle w:val="FootnoteText"/>
      </w:pPr>
      <w:r>
        <w:rPr>
          <w:rStyle w:val="FootnoteReference"/>
        </w:rPr>
        <w:footnoteRef/>
      </w:r>
      <w:r>
        <w:tab/>
        <w:t>Il-Liġi Amministrattiva 97/2016.</w:t>
      </w:r>
    </w:p>
  </w:footnote>
  <w:footnote w:id="141">
    <w:p>
      <w:pPr>
        <w:pStyle w:val="FootnoteText"/>
      </w:pPr>
      <w:r>
        <w:rPr>
          <w:rStyle w:val="FootnoteReference"/>
        </w:rPr>
        <w:footnoteRef/>
      </w:r>
      <w:r>
        <w:tab/>
        <w:t xml:space="preserve">Monitoraġġ tal-Pluraliżmu tal-Media tal-2021 p. 10 </w:t>
      </w:r>
    </w:p>
  </w:footnote>
  <w:footnote w:id="142">
    <w:p>
      <w:pPr>
        <w:pStyle w:val="FootnoteText"/>
      </w:pPr>
      <w:r>
        <w:rPr>
          <w:rStyle w:val="FootnoteReference"/>
        </w:rPr>
        <w:footnoteRef/>
      </w:r>
      <w:r>
        <w:tab/>
        <w:t xml:space="preserve">Il-Qorti Kostituzzjonali, l-Ordinanza Nru 132/2020. </w:t>
      </w:r>
    </w:p>
  </w:footnote>
  <w:footnote w:id="143">
    <w:p>
      <w:pPr>
        <w:pStyle w:val="FootnoteText"/>
      </w:pPr>
      <w:r>
        <w:rPr>
          <w:rStyle w:val="FootnoteReference"/>
        </w:rPr>
        <w:footnoteRef/>
      </w:r>
      <w:r>
        <w:tab/>
        <w:t xml:space="preserve">Ir-Rapport tal-2020 dwar l-Istat tad-Dritt, il-kapitolu tal-pajjiż għall-Italja, p. 14. </w:t>
      </w:r>
    </w:p>
  </w:footnote>
  <w:footnote w:id="144">
    <w:p>
      <w:pPr>
        <w:pStyle w:val="FootnoteText"/>
      </w:pPr>
      <w:r>
        <w:rPr>
          <w:rStyle w:val="FootnoteReference"/>
        </w:rPr>
        <w:footnoteRef/>
      </w:r>
      <w:r>
        <w:tab/>
        <w:t xml:space="preserve">Monitoraġġ tal-Pluraliżmu tal-Media tal-2021, pp. 9-1011. </w:t>
      </w:r>
    </w:p>
  </w:footnote>
  <w:footnote w:id="145">
    <w:p>
      <w:pPr>
        <w:pStyle w:val="FootnoteText"/>
      </w:pPr>
      <w:r>
        <w:rPr>
          <w:rStyle w:val="FootnoteReference"/>
        </w:rPr>
        <w:footnoteRef/>
      </w:r>
      <w:r>
        <w:tab/>
        <w:t xml:space="preserve">Stqarrija għall-Istampa Uffiċjali tal-Qorti Kostituzzjonali Taljana bid-data tat-22 ta’ Ġunju 2021 ippubblikata fuq is-sit web tagħha. </w:t>
      </w:r>
    </w:p>
  </w:footnote>
  <w:footnote w:id="146">
    <w:p>
      <w:pPr>
        <w:pStyle w:val="FootnoteText"/>
      </w:pPr>
      <w:r>
        <w:rPr>
          <w:rStyle w:val="FootnoteReference"/>
        </w:rPr>
        <w:footnoteRef/>
      </w:r>
      <w:r>
        <w:tab/>
        <w:t xml:space="preserve">Il-Kunsill tal-Ewropa, Pjattaforma għall-promozzjoni tal-protezzjoni tal-ġurnaliżmu u tas-sikurezza tal-ġurnalisti, l-Italja. L-Italja wieġbet għal sitta minn dawk it-twissijiet. </w:t>
      </w:r>
    </w:p>
  </w:footnote>
  <w:footnote w:id="147">
    <w:p>
      <w:pPr>
        <w:pStyle w:val="FootnoteText"/>
      </w:pPr>
      <w:r>
        <w:rPr>
          <w:rStyle w:val="FootnoteReference"/>
        </w:rPr>
        <w:footnoteRef/>
      </w:r>
      <w:r>
        <w:tab/>
        <w:t xml:space="preserve">Il-Kunsill tal-Ewropa, Pjattaforma għall-promozzjoni tal-protezzjoni tal-ġurnaliżmu u tas-sikurezza tal-ġurnalisti. </w:t>
      </w:r>
    </w:p>
  </w:footnote>
  <w:footnote w:id="148">
    <w:p>
      <w:pPr>
        <w:pStyle w:val="FootnoteText"/>
      </w:pPr>
      <w:r>
        <w:rPr>
          <w:rStyle w:val="FootnoteReference"/>
        </w:rPr>
        <w:footnoteRef/>
      </w:r>
      <w:r>
        <w:tab/>
        <w:t xml:space="preserve">Kontribuzzjoni mill-Federazzjoni Nazzjonali Taljana għall-Istampa għar-Rapport tal-2021 dwar l-Istat tad-Dritt u informazzjoni riċevuta fil-kuntest taż-żjara tal-pajjiż fl-Italja </w:t>
      </w:r>
    </w:p>
  </w:footnote>
  <w:footnote w:id="149">
    <w:p>
      <w:pPr>
        <w:pStyle w:val="FootnoteText"/>
      </w:pPr>
      <w:r>
        <w:rPr>
          <w:rStyle w:val="FootnoteReference"/>
        </w:rPr>
        <w:footnoteRef/>
      </w:r>
      <w:r>
        <w:tab/>
        <w:t xml:space="preserve">Kontribut mill-Ossigeno per l’informazione għar-Rapport tal-2021 dwar l-Istat tad-Dritt. </w:t>
      </w:r>
    </w:p>
  </w:footnote>
  <w:footnote w:id="150">
    <w:p>
      <w:pPr>
        <w:pStyle w:val="FootnoteText"/>
      </w:pPr>
      <w:r>
        <w:rPr>
          <w:rStyle w:val="FootnoteReference"/>
        </w:rPr>
        <w:footnoteRef/>
      </w:r>
      <w:r>
        <w:tab/>
        <w:t>Monitoraġġ tal-Pluraliżmu tal-Media tal-2021 p. 10-1 u l-kontribuzzjonijiet tal-partijiet ikkonċernati msemmija fin-noti 145 u 146 f’qiegħ il-paġna</w:t>
      </w:r>
    </w:p>
  </w:footnote>
  <w:footnote w:id="151">
    <w:p>
      <w:pPr>
        <w:pStyle w:val="FootnoteText"/>
      </w:pPr>
      <w:r>
        <w:rPr>
          <w:rStyle w:val="FootnoteReference"/>
        </w:rPr>
        <w:footnoteRef/>
      </w:r>
      <w:r>
        <w:tab/>
        <w:t>Li tirrappreżenta żieda ta’ 87 % fuq l-2019.</w:t>
      </w:r>
    </w:p>
  </w:footnote>
  <w:footnote w:id="152">
    <w:p>
      <w:pPr>
        <w:pStyle w:val="FootnoteText"/>
      </w:pPr>
      <w:r>
        <w:rPr>
          <w:rStyle w:val="FootnoteReference"/>
        </w:rPr>
        <w:footnoteRef/>
      </w:r>
      <w:r>
        <w:tab/>
        <w:t xml:space="preserve">Ministeru tal-Intern - Dipartiment tas-Sigurtà Pubblika, Direzzjoni Ċentrali tal-Pulizija Kriminali, Atti intimidatorji Perċitati kontra l-ġurnalisti, 2020. </w:t>
      </w:r>
    </w:p>
  </w:footnote>
  <w:footnote w:id="153">
    <w:p>
      <w:pPr>
        <w:pStyle w:val="FootnoteText"/>
        <w:rPr>
          <w:rFonts w:cs="Times New Roman"/>
        </w:rPr>
      </w:pPr>
      <w:r>
        <w:rPr>
          <w:rStyle w:val="FootnoteReference"/>
          <w:rFonts w:cs="Times New Roman"/>
        </w:rPr>
        <w:footnoteRef/>
      </w:r>
      <w:r>
        <w:tab/>
        <w:t>Il-President jiġi elett mill-Parlament, li jiltaqa’ f’sessjoni konġunta, flimkien ma’ 58 elettur reġjonali.</w:t>
      </w:r>
    </w:p>
  </w:footnote>
  <w:footnote w:id="154">
    <w:p>
      <w:pPr>
        <w:pStyle w:val="FootnoteText"/>
        <w:rPr>
          <w:rFonts w:cs="Times New Roman"/>
        </w:rPr>
      </w:pPr>
      <w:r>
        <w:rPr>
          <w:rStyle w:val="FootnoteReference"/>
          <w:rFonts w:cs="Times New Roman"/>
        </w:rPr>
        <w:footnoteRef/>
      </w:r>
      <w:r>
        <w:tab/>
        <w:t>Il-Kunsill Nazzjonali għall-Ekonomija u x-Xogħol għandu wkoll id-dritt li jipproponi leġiżlazzjoni fil-qasam ekonomiku u soċjali.</w:t>
      </w:r>
    </w:p>
  </w:footnote>
  <w:footnote w:id="155">
    <w:p>
      <w:pPr>
        <w:pStyle w:val="FootnoteText"/>
        <w:rPr>
          <w:rFonts w:cs="Times New Roman"/>
        </w:rPr>
      </w:pPr>
      <w:r>
        <w:rPr>
          <w:rStyle w:val="FootnoteReference"/>
          <w:rFonts w:cs="Times New Roman"/>
        </w:rPr>
        <w:footnoteRef/>
      </w:r>
      <w:r>
        <w:tab/>
        <w:t xml:space="preserve">Għal aktar informazzjoni, ara s-sit web tal-Ombudsman tat-Toskana: </w:t>
      </w:r>
      <w:hyperlink r:id="rId1" w:history="1">
        <w:r>
          <w:rPr>
            <w:rStyle w:val="Hyperlink"/>
          </w:rPr>
          <w:t>http://www.difensorecivicotoscana.it</w:t>
        </w:r>
      </w:hyperlink>
      <w:r>
        <w:t xml:space="preserve">. </w:t>
      </w:r>
    </w:p>
  </w:footnote>
  <w:footnote w:id="156">
    <w:p>
      <w:pPr>
        <w:pStyle w:val="FootnoteText"/>
        <w:rPr>
          <w:rFonts w:cs="Times New Roman"/>
        </w:rPr>
      </w:pPr>
      <w:r>
        <w:rPr>
          <w:rStyle w:val="FootnoteReference"/>
        </w:rPr>
        <w:footnoteRef/>
      </w:r>
      <w:r>
        <w:tab/>
        <w:t>Ir-Rapport tal-2020 dwar l-Istat tad-Dritt, il-kapitolu tal-pajjiż dwar is-sitwazzjoni tal-istat tad-dritt fl-Italja, p. 16.</w:t>
      </w:r>
    </w:p>
  </w:footnote>
  <w:footnote w:id="157">
    <w:p>
      <w:pPr>
        <w:pStyle w:val="FootnoteText"/>
        <w:rPr>
          <w:rFonts w:cs="Times New Roman"/>
        </w:rPr>
      </w:pPr>
      <w:r>
        <w:rPr>
          <w:rStyle w:val="FootnoteReference"/>
          <w:rFonts w:cs="Times New Roman"/>
        </w:rPr>
        <w:footnoteRef/>
      </w:r>
      <w:r>
        <w:tab/>
        <w:t>Kontribuzzjoni mid-Dipartiment għall-amministrazzjoni pubblika u d-Dipartiment għar-riformi istituzzjonali għar-Rapport tal-2021 dwar l-Istat tad-Dritt.</w:t>
      </w:r>
    </w:p>
  </w:footnote>
  <w:footnote w:id="158">
    <w:p>
      <w:pPr>
        <w:pStyle w:val="FootnoteText"/>
        <w:rPr>
          <w:rFonts w:cs="Times New Roman"/>
        </w:rPr>
      </w:pPr>
      <w:r>
        <w:rPr>
          <w:rStyle w:val="FootnoteReference"/>
          <w:rFonts w:cs="Times New Roman"/>
        </w:rPr>
        <w:footnoteRef/>
      </w:r>
      <w:r>
        <w:tab/>
        <w:t>L-utenti jistgħu jikkummentaw dwar abbozz ta’ dokument u juru l-kontribuzzjonijiet tal-parteċipanti l-oħra.</w:t>
      </w:r>
    </w:p>
  </w:footnote>
  <w:footnote w:id="159">
    <w:p>
      <w:pPr>
        <w:pStyle w:val="FootnoteText"/>
      </w:pPr>
      <w:r>
        <w:rPr>
          <w:rStyle w:val="FootnoteReference"/>
        </w:rPr>
        <w:footnoteRef/>
      </w:r>
      <w:r>
        <w:tab/>
        <w:t xml:space="preserve">Meta mqabbla ma’ siti web iddedikati, il-pjattaformi diġitali jespandu b’mod wiesa’ fuq il-parteċipazzjoni simultanja u interattiva tal-utenti fis-sejħa għal proposti u ideat, u jikkummentaw it-testi. </w:t>
      </w:r>
    </w:p>
  </w:footnote>
  <w:footnote w:id="160">
    <w:p>
      <w:pPr>
        <w:pStyle w:val="FootnoteText"/>
        <w:rPr>
          <w:rFonts w:cs="Times New Roman"/>
        </w:rPr>
      </w:pPr>
      <w:r>
        <w:rPr>
          <w:rStyle w:val="FootnoteReference"/>
          <w:rFonts w:cs="Times New Roman"/>
        </w:rPr>
        <w:footnoteRef/>
      </w:r>
      <w:r>
        <w:tab/>
        <w:t>Pereżempju, speċifikament fir-rigward tal-konsultazzjonijiet imwettqa fuq il-pjattaforma “Partecipa”, f’ħames każijiet, ġew ippubblikati rapporti finali dwar il-proċess ta’ konsultazzjoni. Ir-rapporti finali jagħtu informazzjoni dwar ir-riżultati tal-inizjattivi (pereż. l-għadd ta’ rispondenti, il-kontenut tas-sottomissjonijiet tagħhom, u f’xi każijiet, il-feedback tal-amministrazzjonijiet pubbliċi dwar l-aċċettazzjoni tagħhom).</w:t>
      </w:r>
    </w:p>
  </w:footnote>
  <w:footnote w:id="161">
    <w:p>
      <w:pPr>
        <w:pStyle w:val="FootnoteText"/>
        <w:rPr>
          <w:rFonts w:cs="Times New Roman"/>
        </w:rPr>
      </w:pPr>
      <w:r>
        <w:rPr>
          <w:rStyle w:val="FootnoteReference"/>
          <w:rFonts w:cs="Times New Roman"/>
        </w:rPr>
        <w:footnoteRef/>
      </w:r>
      <w:r>
        <w:tab/>
        <w:t>Bħal avviż u kumment permezz tal-posta elettronika jew appoġġjati minn formoli (madwar 60 %) jew kwestjonarji online (madwar 20 %). Inqas frekwenti huwa l-użu ta’ tekniki aktar innovattivi bħal fora online (madwar 15 %) u għodod online għall-ikkummentar tat-test (madwar 5 %). Ara wkoll il-Pjattaforma Konsultazione għall-konsultazzjonijiet pubbliċi.</w:t>
      </w:r>
    </w:p>
  </w:footnote>
  <w:footnote w:id="162">
    <w:p>
      <w:pPr>
        <w:pStyle w:val="FootnoteText"/>
        <w:rPr>
          <w:rFonts w:cs="Times New Roman"/>
        </w:rPr>
      </w:pPr>
      <w:r>
        <w:rPr>
          <w:rStyle w:val="FootnoteReference"/>
          <w:rFonts w:cs="Times New Roman"/>
        </w:rPr>
        <w:footnoteRef/>
      </w:r>
      <w:r>
        <w:tab/>
        <w:t xml:space="preserve">Sal-lum, ġew prodotti erba' evalwazzjonijiet </w:t>
      </w:r>
      <w:r>
        <w:rPr>
          <w:i/>
          <w:iCs/>
        </w:rPr>
        <w:t>ex post</w:t>
      </w:r>
      <w:r>
        <w:t xml:space="preserve">, li minnhom 1 fl-2020 u 3 fl-ewwel kwart tal-2021. </w:t>
      </w:r>
    </w:p>
  </w:footnote>
  <w:footnote w:id="163">
    <w:p>
      <w:pPr>
        <w:pStyle w:val="FootnoteText"/>
      </w:pPr>
      <w:r>
        <w:rPr>
          <w:rStyle w:val="FootnoteReference"/>
        </w:rPr>
        <w:footnoteRef/>
      </w:r>
      <w:r>
        <w:tab/>
        <w:t xml:space="preserve">Id-Digriet Leġiżlattiv Nru 65 tat-18 ta’ Mejju 2021. </w:t>
      </w:r>
    </w:p>
  </w:footnote>
  <w:footnote w:id="164">
    <w:p>
      <w:pPr>
        <w:pStyle w:val="FootnoteText"/>
        <w:rPr>
          <w:rFonts w:cs="Times New Roman"/>
        </w:rPr>
      </w:pPr>
      <w:r>
        <w:rPr>
          <w:rStyle w:val="FootnoteReference"/>
          <w:rFonts w:cs="Times New Roman"/>
        </w:rPr>
        <w:footnoteRef/>
      </w:r>
      <w:r>
        <w:tab/>
        <w:t xml:space="preserve">Bejn il-25 ta’ Frar 2020 u l-31 ta’ Marzu 2021, ġew adottati 49 digriet leġiżlattiv. </w:t>
      </w:r>
    </w:p>
  </w:footnote>
  <w:footnote w:id="165">
    <w:p>
      <w:pPr>
        <w:pStyle w:val="FootnoteText"/>
        <w:rPr>
          <w:rFonts w:cs="Times New Roman"/>
        </w:rPr>
      </w:pPr>
      <w:r>
        <w:rPr>
          <w:rStyle w:val="FootnoteReference"/>
          <w:rFonts w:cs="Times New Roman"/>
        </w:rPr>
        <w:footnoteRef/>
      </w:r>
      <w:r>
        <w:tab/>
        <w:t>Bejn il-25 ta’ Frar 2020 u l-31 ta’ Marzu 2021, ġew adottati 69 liġi u 51 digriet leġiżlattiv. Digrieti-liġijiet huma atti tal-Gvern li għandhom il-valur ta’ liġijiet adottati f’każ ta’ urġenza, li jeħtieġ li jinbidlu f’liġi mill-Parlament fi żmien 60 jum jew inkella jitilfu l-effett tagħhom.</w:t>
      </w:r>
    </w:p>
  </w:footnote>
  <w:footnote w:id="166">
    <w:p>
      <w:pPr>
        <w:pStyle w:val="FootnoteText"/>
        <w:rPr>
          <w:rFonts w:cs="Times New Roman"/>
        </w:rPr>
      </w:pPr>
      <w:r>
        <w:rPr>
          <w:rStyle w:val="FootnoteReference"/>
          <w:rFonts w:cs="Times New Roman"/>
        </w:rPr>
        <w:footnoteRef/>
      </w:r>
      <w:r>
        <w:tab/>
        <w:t>Il-Ministeru tas-Saħħa, fuq bażi ta’ kull ġimgħa, jikkomunika lill-Parlament ir-riżultati tal-monitoraġġ tad-data epidemjoloġika. Id-digrieti adottati mill-President tal-Kunsill tal-Ministri għandhom jiġu kkomunikati lill-Kmamar fi żmien il-jum wara l-pubblikazzjoni tagħhom skont l-Artikolu 2 tad-Digriet-Liġi Nru 19 tal-2020.</w:t>
      </w:r>
    </w:p>
  </w:footnote>
  <w:footnote w:id="167">
    <w:p>
      <w:pPr>
        <w:pStyle w:val="FootnoteText"/>
        <w:rPr>
          <w:rFonts w:cs="Times New Roman"/>
        </w:rPr>
      </w:pPr>
      <w:r>
        <w:rPr>
          <w:rStyle w:val="FootnoteReference"/>
          <w:rFonts w:cs="Times New Roman"/>
        </w:rPr>
        <w:footnoteRef/>
      </w:r>
      <w:r>
        <w:tab/>
        <w:t>Il-Kummissjoni Parlamentari dwar l-emerġenza epidemjoloġika tal-COVID-19 hija magħmula minn 10 Membri mis-Senat u 10 Membri mill-Kamra tad-Deputati.</w:t>
      </w:r>
    </w:p>
  </w:footnote>
  <w:footnote w:id="168">
    <w:p>
      <w:pPr>
        <w:pStyle w:val="FootnoteText"/>
        <w:rPr>
          <w:rFonts w:cs="Times New Roman"/>
        </w:rPr>
      </w:pPr>
      <w:r>
        <w:rPr>
          <w:rStyle w:val="FootnoteReference"/>
          <w:rFonts w:cs="Times New Roman"/>
        </w:rPr>
        <w:footnoteRef/>
      </w:r>
      <w:r>
        <w:t xml:space="preserve"> </w:t>
      </w:r>
      <w:r>
        <w:tab/>
        <w:t xml:space="preserve">Senato della Repubblica, XVIII Legislatura, </w:t>
      </w:r>
      <w:r>
        <w:rPr>
          <w:i/>
        </w:rPr>
        <w:t>Il 'Governo in Parlamento' in tempo di pandemia</w:t>
      </w:r>
      <w:r>
        <w:t xml:space="preserve">, </w:t>
      </w:r>
      <w:r>
        <w:rPr>
          <w:i/>
        </w:rPr>
        <w:t>Una proposta della Commissione Affari costituzionali del Senato,</w:t>
      </w:r>
      <w:r>
        <w:t xml:space="preserve"> April 2021.</w:t>
      </w:r>
    </w:p>
  </w:footnote>
  <w:footnote w:id="169">
    <w:p>
      <w:pPr>
        <w:pStyle w:val="FootnoteText"/>
        <w:rPr>
          <w:rFonts w:cs="Times New Roman"/>
        </w:rPr>
      </w:pPr>
      <w:r>
        <w:rPr>
          <w:rStyle w:val="FootnoteReference"/>
        </w:rPr>
        <w:footnoteRef/>
      </w:r>
      <w:r>
        <w:tab/>
        <w:t xml:space="preserve">Pereżempju, numru rilevanti kien relatat mal-użu ta’ maskri fl-iskola u </w:t>
      </w:r>
      <w:r>
        <w:rPr>
          <w:i/>
        </w:rPr>
        <w:t>data</w:t>
      </w:r>
      <w:r>
        <w:t xml:space="preserve"> xjentifika dwar livell suffiċjenti ta’ ossiġenu (Kunsill tal-Istat, id-Digriet Nru 1804 tat-2 ta’ April 2021). Oħrajn huma relatati mat-tagħlim mill-bogħod (il-Kunsill tal-Istat, taqsima III, digriet, 07/04/2021, n. 1832, Pres. Est. Frattini).</w:t>
      </w:r>
    </w:p>
  </w:footnote>
  <w:footnote w:id="170">
    <w:p>
      <w:pPr>
        <w:pStyle w:val="FootnoteText"/>
      </w:pPr>
      <w:r>
        <w:rPr>
          <w:rStyle w:val="FootnoteReference"/>
        </w:rPr>
        <w:footnoteRef/>
      </w:r>
      <w:r>
        <w:tab/>
        <w:t>Ara wkoll ir-Rapport tal-2020 dwar l-Istat tad-Dritt, il-kapitolu tal-pajjiż għall-Italja, p. 15.</w:t>
      </w:r>
    </w:p>
  </w:footnote>
  <w:footnote w:id="171">
    <w:p>
      <w:pPr>
        <w:pStyle w:val="FootnoteText"/>
      </w:pPr>
      <w:r>
        <w:rPr>
          <w:rStyle w:val="FootnoteReference"/>
        </w:rPr>
        <w:footnoteRef/>
      </w:r>
      <w:r>
        <w:tab/>
        <w:t>Il-Qorti Kostituzzjonali fid-deċiżjoni tagħha nru 278/2020 innotat li t-tul ta’ żmien qasir kien kompatibbli mat-tul ta’ żmien raġonevoli tal-proċess u l-miżura kienet iġġustifikata mill-għan tal-protezzjoni tas-saħħa pubblika.</w:t>
      </w:r>
    </w:p>
  </w:footnote>
  <w:footnote w:id="172">
    <w:p>
      <w:pPr>
        <w:pStyle w:val="FootnoteText"/>
        <w:rPr>
          <w:rFonts w:cs="Times New Roman"/>
        </w:rPr>
      </w:pPr>
      <w:r>
        <w:rPr>
          <w:rStyle w:val="FootnoteReference"/>
          <w:rFonts w:cs="Times New Roman"/>
        </w:rPr>
        <w:footnoteRef/>
      </w:r>
      <w:r>
        <w:tab/>
        <w:t>Ir-Rapport tal-2020 dwar l-Istat tad-Dritt, il-kapitolu tal-pajjiż dwar is-sitwazzjoni tal-istat tad-dritt fl-Italja, p. 16.</w:t>
      </w:r>
    </w:p>
  </w:footnote>
  <w:footnote w:id="173">
    <w:p>
      <w:pPr>
        <w:pStyle w:val="FootnoteText"/>
        <w:rPr>
          <w:rFonts w:cs="Times New Roman"/>
        </w:rPr>
      </w:pPr>
      <w:r>
        <w:rPr>
          <w:rStyle w:val="FootnoteReference"/>
          <w:rFonts w:cs="Times New Roman"/>
        </w:rPr>
        <w:footnoteRef/>
      </w:r>
      <w:r>
        <w:tab/>
        <w:t>Pereżempju, fil-25 ta’ Jannar 2021, l-Università Bocconi, flimkien mal-Aġenzija tal-UE għad-Drittijiet Fundamentali u l-Kumitat Interministerjali Taljan għad-Drittijiet tal-Bniedem (CIDU), kellhom Webinar dwar il-kwistjoni.</w:t>
      </w:r>
    </w:p>
  </w:footnote>
  <w:footnote w:id="174">
    <w:p>
      <w:pPr>
        <w:pStyle w:val="FootnoteText"/>
        <w:rPr>
          <w:rFonts w:cs="Times New Roman"/>
        </w:rPr>
      </w:pPr>
      <w:r>
        <w:rPr>
          <w:rStyle w:val="FootnoteReference"/>
          <w:rFonts w:cs="Times New Roman"/>
        </w:rPr>
        <w:footnoteRef/>
      </w:r>
      <w:r>
        <w:tab/>
        <w:t xml:space="preserve">Il-Kamra tad-Deputati, Ħidma preparatorja tal-abbozz ta’ proposta għall-ħolqien ta’ NHRI, </w:t>
      </w:r>
      <w:hyperlink r:id="rId2" w:history="1">
        <w:r>
          <w:rPr>
            <w:rStyle w:val="Hyperlink"/>
          </w:rPr>
          <w:t>https://www.camera.it/leg18/126?tab=4&amp;leg=18&amp;idDocumento=1323&amp;sede=&amp;tipo</w:t>
        </w:r>
      </w:hyperlink>
      <w:r>
        <w:rPr>
          <w:rStyle w:val="Hyperlink"/>
        </w:rPr>
        <w:t>.</w:t>
      </w:r>
    </w:p>
  </w:footnote>
  <w:footnote w:id="175">
    <w:p>
      <w:pPr>
        <w:pStyle w:val="FootnoteText"/>
      </w:pPr>
      <w:r>
        <w:rPr>
          <w:rStyle w:val="FootnoteReference"/>
        </w:rPr>
        <w:footnoteRef/>
      </w:r>
      <w:r>
        <w:tab/>
        <w:t>Il-Konferenza tal-INGOs tal-Kunsill tal-Ewropa, Il-parteċipazzjoni ċivili fil-proċess tat-teħid tad-deċiżjonijiet, Missjoni ta' Ġbir ta' Informazzjoni fl-Italja, Mejju 2019.</w:t>
      </w:r>
    </w:p>
  </w:footnote>
  <w:footnote w:id="176">
    <w:p>
      <w:pPr>
        <w:pStyle w:val="FootnoteText"/>
        <w:rPr>
          <w:rFonts w:cs="Times New Roman"/>
        </w:rPr>
      </w:pPr>
      <w:r>
        <w:rPr>
          <w:rStyle w:val="FootnoteReference"/>
          <w:rFonts w:cs="Times New Roman"/>
        </w:rPr>
        <w:footnoteRef/>
      </w:r>
      <w:r>
        <w:tab/>
        <w:t>Id-Digriet leġiżlattiv Nru 130 tal-21 ta’ Ottubru 2020.</w:t>
      </w:r>
    </w:p>
  </w:footnote>
  <w:footnote w:id="177">
    <w:p>
      <w:pPr>
        <w:pStyle w:val="FootnoteText"/>
        <w:rPr>
          <w:rFonts w:cs="Times New Roman"/>
        </w:rPr>
      </w:pPr>
      <w:r>
        <w:rPr>
          <w:rStyle w:val="FootnoteReference"/>
          <w:rFonts w:cs="Times New Roman"/>
        </w:rPr>
        <w:footnoteRef/>
      </w:r>
      <w:r>
        <w:tab/>
        <w:t>Issa tillimita l-possibbiltà li jiġi evitat l-iżbark fil-portijiet Taljani biss għal raġunijiet solidi ta’ sikurezza pubblika jew il-ksur tal-leġiżlazzjoni kontra t-traffikar. Din il-liġi lanqas ma tippermetti l-konfiska ta’ bastiment f’każ ta’ nuqqas ta’ konformità mar-rifjut uffiċjali ta’ żbark. Informazzjoni riċevuta fil-kuntest taż-żjara fil-pajjiż fl-Italja.</w:t>
      </w:r>
    </w:p>
  </w:footnote>
  <w:footnote w:id="178">
    <w:p>
      <w:pPr>
        <w:pStyle w:val="FootnoteText"/>
        <w:rPr>
          <w:rFonts w:cs="Times New Roman"/>
        </w:rPr>
      </w:pPr>
      <w:r>
        <w:rPr>
          <w:rStyle w:val="FootnoteReference"/>
          <w:rFonts w:cs="Times New Roman"/>
        </w:rPr>
        <w:footnoteRef/>
      </w:r>
      <w:r>
        <w:tab/>
      </w:r>
      <w:r>
        <w:rPr>
          <w:rStyle w:val="normaltextrun"/>
          <w:color w:val="000000"/>
          <w:bdr w:val="none" w:sz="0" w:space="0" w:color="auto" w:frame="1"/>
        </w:rPr>
        <w:t xml:space="preserve">Il-Kumitat Inter-Ministerjali għad-Drittijiet tal-Bniedem (CIDU) involva lis-Soċjetà Ċivili fl-elaborazzjoni kemm tal-ewwel Pjan ta’ Azzjoni Nazzjonali dwar in-Negozju u d-Drittijiet tal-Bniedem kif ukoll tat-tielet u r-raba’ Pjan ta’ Azzjoni Nazzjonali dwar in-Nisa, il-Paċi u s-Sigurtà, li taħtu ġie stabbilit Grupp ta’ Ħidma 1325 miftuħ; </w:t>
      </w:r>
      <w:r>
        <w:t>Il-kontribut mill-Italja għar-Rapport tal-2021 dwar l-Istat tad-Dritt; il-Forum tal-Gvern Miftuħ ikompli l-ħidma tiegħu f’April 2021 biex irawwem id-djalogu u jippromwovi r-responsabbiltà bejn il-gvernijiet membri u ċ-ċittadini. Informazzjoni riċevuta fil-kuntest taż-żjara fil-pajjiż fl-Italja.</w:t>
      </w:r>
    </w:p>
  </w:footnote>
  <w:footnote w:id="179">
    <w:p>
      <w:pPr>
        <w:pStyle w:val="FootnoteText"/>
      </w:pPr>
      <w:r>
        <w:rPr>
          <w:rStyle w:val="FootnoteReference"/>
        </w:rPr>
        <w:footnoteRef/>
      </w:r>
      <w:r>
        <w:tab/>
        <w:t>Ir-Rapport tal-2020 dwar l-Istat tad-Dritt, il-kapitolu tal-pajjiż dwar is-sitwazzjoni tal-istat tad-dritt fl-Italja, p. 16.</w:t>
      </w:r>
    </w:p>
  </w:footnote>
  <w:footnote w:id="180">
    <w:p>
      <w:pPr>
        <w:pStyle w:val="FootnoteText"/>
      </w:pPr>
      <w:r>
        <w:rPr>
          <w:rStyle w:val="FootnoteReference"/>
        </w:rPr>
        <w:footnoteRef/>
      </w:r>
      <w:r>
        <w:tab/>
        <w:t>Iċ-ċaħda tal-kawża fid-19 ta’ Mejju 2021 mill-Imħallef għall-Investigazzjoni Preliminari.</w:t>
      </w:r>
    </w:p>
  </w:footnote>
  <w:footnote w:id="181">
    <w:p>
      <w:pPr>
        <w:pStyle w:val="FootnoteText"/>
      </w:pPr>
      <w:r>
        <w:rPr>
          <w:rStyle w:val="FootnoteReference"/>
        </w:rPr>
        <w:footnoteRef/>
      </w:r>
      <w:r>
        <w:tab/>
        <w:t>Ara l-pilastru III, p. 16 dwar it-twissija bid-data ta' April 2021 dwar il-Kunsill tal-Ewropa, Pjattaforma għall-promozzjoni tal-protezzjoni tal-ġurnaliżmu u s-sikurezza tal-ġurnalisti, l-Italja, u relatata mal-investigazzjoni kriminali mwettqa mill-Uffiċċju tal-Prosekutur Pubbliku ta’ Trapani fl-2016, żvelata fl-2021, li matulha kienet ġiet stabbilita interċettazzjoni telefonika kontra ġurnalisti u OSĊ. Il-Ministeru tal-Ġustizzja fetaħ kontrolli formali fuq l-attivitajiet tal-Uffiċċju tal-Prosekuzzjoni f’April 2021.</w:t>
      </w:r>
    </w:p>
  </w:footnote>
  <w:footnote w:id="182">
    <w:p>
      <w:pPr>
        <w:pStyle w:val="FootnoteText"/>
        <w:rPr>
          <w:rFonts w:cs="Times New Roman"/>
        </w:rPr>
      </w:pPr>
      <w:r>
        <w:rPr>
          <w:rStyle w:val="FootnoteReference"/>
          <w:rFonts w:cs="Times New Roman"/>
        </w:rPr>
        <w:footnoteRef/>
      </w:r>
      <w:r>
        <w:tab/>
        <w:t>Klassifikazzjonijiet mogħtija minn Civicus, l-Italja.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A68C3"/>
    <w:multiLevelType w:val="hybridMultilevel"/>
    <w:tmpl w:val="5D82D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1205795"/>
    <w:multiLevelType w:val="hybridMultilevel"/>
    <w:tmpl w:val="1A9671E8"/>
    <w:lvl w:ilvl="0" w:tplc="ED36B4A8">
      <w:start w:val="1"/>
      <w:numFmt w:val="upperRoman"/>
      <w:lvlText w:val="%1."/>
      <w:lvlJc w:val="left"/>
      <w:pPr>
        <w:ind w:left="990" w:hanging="720"/>
      </w:pPr>
      <w:rPr>
        <w:rFonts w:hint="default"/>
        <w:u w:val="none"/>
      </w:rPr>
    </w:lvl>
    <w:lvl w:ilvl="1" w:tplc="040C0019">
      <w:start w:val="1"/>
      <w:numFmt w:val="lowerLetter"/>
      <w:lvlText w:val="%2."/>
      <w:lvlJc w:val="left"/>
      <w:pPr>
        <w:ind w:left="1350" w:hanging="360"/>
      </w:pPr>
    </w:lvl>
    <w:lvl w:ilvl="2" w:tplc="040C001B" w:tentative="1">
      <w:start w:val="1"/>
      <w:numFmt w:val="lowerRoman"/>
      <w:lvlText w:val="%3."/>
      <w:lvlJc w:val="right"/>
      <w:pPr>
        <w:ind w:left="2070" w:hanging="180"/>
      </w:pPr>
    </w:lvl>
    <w:lvl w:ilvl="3" w:tplc="040C000F" w:tentative="1">
      <w:start w:val="1"/>
      <w:numFmt w:val="decimal"/>
      <w:lvlText w:val="%4."/>
      <w:lvlJc w:val="left"/>
      <w:pPr>
        <w:ind w:left="2790" w:hanging="360"/>
      </w:pPr>
    </w:lvl>
    <w:lvl w:ilvl="4" w:tplc="040C0019" w:tentative="1">
      <w:start w:val="1"/>
      <w:numFmt w:val="lowerLetter"/>
      <w:lvlText w:val="%5."/>
      <w:lvlJc w:val="left"/>
      <w:pPr>
        <w:ind w:left="3510" w:hanging="360"/>
      </w:pPr>
    </w:lvl>
    <w:lvl w:ilvl="5" w:tplc="040C001B" w:tentative="1">
      <w:start w:val="1"/>
      <w:numFmt w:val="lowerRoman"/>
      <w:lvlText w:val="%6."/>
      <w:lvlJc w:val="right"/>
      <w:pPr>
        <w:ind w:left="4230" w:hanging="180"/>
      </w:pPr>
    </w:lvl>
    <w:lvl w:ilvl="6" w:tplc="040C000F" w:tentative="1">
      <w:start w:val="1"/>
      <w:numFmt w:val="decimal"/>
      <w:lvlText w:val="%7."/>
      <w:lvlJc w:val="left"/>
      <w:pPr>
        <w:ind w:left="4950" w:hanging="360"/>
      </w:pPr>
    </w:lvl>
    <w:lvl w:ilvl="7" w:tplc="040C0019" w:tentative="1">
      <w:start w:val="1"/>
      <w:numFmt w:val="lowerLetter"/>
      <w:lvlText w:val="%8."/>
      <w:lvlJc w:val="left"/>
      <w:pPr>
        <w:ind w:left="5670" w:hanging="360"/>
      </w:pPr>
    </w:lvl>
    <w:lvl w:ilvl="8" w:tplc="040C001B" w:tentative="1">
      <w:start w:val="1"/>
      <w:numFmt w:val="lowerRoman"/>
      <w:lvlText w:val="%9."/>
      <w:lvlJc w:val="right"/>
      <w:pPr>
        <w:ind w:left="6390" w:hanging="180"/>
      </w:pPr>
    </w:lvl>
  </w:abstractNum>
  <w:abstractNum w:abstractNumId="2">
    <w:nsid w:val="386A075F"/>
    <w:multiLevelType w:val="hybridMultilevel"/>
    <w:tmpl w:val="E500F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B3023E1"/>
    <w:multiLevelType w:val="hybridMultilevel"/>
    <w:tmpl w:val="6BA6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ED7A03"/>
    <w:multiLevelType w:val="multilevel"/>
    <w:tmpl w:val="4EF0CD42"/>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nsid w:val="5F4B07E1"/>
    <w:multiLevelType w:val="hybridMultilevel"/>
    <w:tmpl w:val="E09EB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3B1E14"/>
    <w:multiLevelType w:val="hybridMultilevel"/>
    <w:tmpl w:val="5C3CE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activeWritingStyle w:appName="MSWord" w:lang="en-IE" w:vendorID="64" w:dllVersion="131078" w:nlCheck="1" w:checkStyle="1"/>
  <w:defaultTabStop w:val="720"/>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Li jakkumpanja d-dokument"/>
    <w:docVar w:name="LW_CORRIGENDUM" w:val="&lt;UNUSED&gt;"/>
    <w:docVar w:name="LW_COVERPAGE_EXISTS" w:val="True"/>
    <w:docVar w:name="LW_COVERPAGE_GUID" w:val="A2AE2E4C-92D2-4325-B35E-7550E93EEF6B"/>
    <w:docVar w:name="LW_COVERPAGE_TYPE" w:val="1"/>
    <w:docVar w:name="LW_CROSSREFERENCE" w:val="{COM(2021) 700 final} - {SWD(2021) 701 final} - {SWD(2021) 702 final} - {SWD(2021) 703 final} - {SWD(2021) 704 final} - {SWD(2021) 705 final} - {SWD(2021) 706 final} - {SWD(2021) 707 final} - {SWD(2021) 708 final} - {SWD(2021) 709 final} - {SWD(2021) 710 final} - {SWD(2021) 711 final} - {SWD(2021) 712 final} - {SWD(2021) 713 final} - {SWD(2021) 714 final} - {SWD(2021) 715 final} - {SWD(2021) 717 final} - {SWD(2021) 718 final} - {SWD(2021) 719 final} - {SWD(2021) 720 final} - {SWD(2021) 721 final} - {SWD(2021) 722 final} - {SWD(2021) 723 final} - {SWD(2021) 724 final} - {SWD(2021) 725 final} - {SWD(2021) 726 final} - {SWD(2021) 727 final}"/>
    <w:docVar w:name="LW_DocType" w:val="NORMAL"/>
    <w:docVar w:name="LW_EMISSION" w:val="20.7.2021"/>
    <w:docVar w:name="LW_EMISSION_ISODATE" w:val="2021-07-20"/>
    <w:docVar w:name="LW_EMISSION_LOCATION" w:val="BRX"/>
    <w:docVar w:name="LW_EMISSION_PREFIX" w:val="Brussell, "/>
    <w:docVar w:name="LW_EMISSION_SUFFIX" w:val=" "/>
    <w:docVar w:name="LW_ID_DOCTYPE_NONLW" w:val="CP-025"/>
    <w:docVar w:name="LW_LANGUE" w:val="MT"/>
    <w:docVar w:name="LW_LEVEL_OF_SENSITIVITY" w:val="Standard treatment"/>
    <w:docVar w:name="LW_NOM.INST" w:val="IL-KUMMISSJONI EWROPEA"/>
    <w:docVar w:name="LW_NOM.INST_JOINTDOC" w:val="&lt;EMPTY&gt;"/>
    <w:docVar w:name="LW_OBJETACTEPRINCIPAL.CP" w:val="Ir-Rapport tal-2021 dwar l-Istat tad-Dritt_x000b_Is-sitwazzjoni tal-istat tad-dritt fl-Unjoni Ewropea"/>
    <w:docVar w:name="LW_PART_NBR" w:val="1"/>
    <w:docVar w:name="LW_PART_NBR_TOTAL" w:val="1"/>
    <w:docVar w:name="LW_REF.INST.NEW" w:val="SWD"/>
    <w:docVar w:name="LW_REF.INST.NEW_ADOPTED" w:val="final"/>
    <w:docVar w:name="LW_REF.INST.NEW_TEXT" w:val="(2021) 71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Ir-Rapport tal-2021 dwar l-Istat tad-Dritt_x000d__x000d__x000d__x000d__x000d__x000d__x000b_Kapitolu tal-Pajji\u380? dwar is-sitwazzjoni tal-Istat tad-Dritt fl-Italja"/>
    <w:docVar w:name="LW_TYPE.DOC.CP" w:val="DOKUMENT TA\u8217? \u294?IDMA TAL-PERSUNAL TAL-KUMMISSJONI"/>
    <w:docVar w:name="LW_TYPEACTEPRINCIPAL.CP" w:val="KOMUNIKAZZJONI TAL-KUMMISSJONI LILL-PARLAMENT EWROPEW, LILL-KUNSILL, LILL-KUMITAT EKONOMIKU U SO\u266?JALI EWROPEW U LILL-KUMITAT TAR-RE\u288?JUNI"/>
    <w:docVar w:name="LwApiVersions" w:val="LW4CoDe 1.23.0.0; LW 8.0, Build 20210114"/>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t-M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pPr>
      <w:keepNext/>
      <w:numPr>
        <w:numId w:val="4"/>
      </w:numPr>
      <w:outlineLvl w:val="0"/>
    </w:pPr>
    <w:rPr>
      <w:rFonts w:eastAsia="Times New Roman" w:cs="Times New Roman"/>
      <w:b/>
      <w:smallCaps/>
      <w:szCs w:val="24"/>
      <w:u w:val="single"/>
      <w:lang w:eastAsia="fr-FR"/>
    </w:rPr>
  </w:style>
  <w:style w:type="paragraph" w:styleId="Heading2">
    <w:name w:val="heading 2"/>
    <w:basedOn w:val="Normal"/>
    <w:next w:val="Normal"/>
    <w:link w:val="Heading2Char"/>
    <w:uiPriority w:val="9"/>
    <w:unhideWhenUsed/>
    <w:qFormat/>
    <w:pPr>
      <w:keepNext/>
      <w:outlineLvl w:val="1"/>
    </w:pPr>
    <w:rPr>
      <w:rFonts w:eastAsia="Times New Roman" w:cs="Times New Roman"/>
      <w:b/>
      <w:szCs w:val="24"/>
      <w:lang w:eastAsia="en-GB"/>
    </w:rPr>
  </w:style>
  <w:style w:type="paragraph" w:styleId="Heading3">
    <w:name w:val="heading 3"/>
    <w:basedOn w:val="Normal"/>
    <w:next w:val="Normal"/>
    <w:link w:val="Heading3Char"/>
    <w:uiPriority w:val="9"/>
    <w:semiHidden/>
    <w:unhideWhenUsed/>
    <w:qFormat/>
    <w:pPr>
      <w:keepNext/>
      <w:keepLines/>
      <w:numPr>
        <w:ilvl w:val="2"/>
        <w:numId w:val="4"/>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pPr>
      <w:spacing w:after="0"/>
      <w:ind w:left="284" w:hanging="284"/>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Przypis,fr"/>
    <w:basedOn w:val="DefaultParagraphFont"/>
    <w:link w:val="ftrefCharCharCharCharCharCharCharCharChar"/>
    <w:uiPriority w:val="99"/>
    <w:unhideWhenUsed/>
    <w:qFormat/>
    <w:rPr>
      <w:vertAlign w:val="superscript"/>
    </w:rPr>
  </w:style>
  <w:style w:type="paragraph" w:styleId="Title">
    <w:name w:val="Title"/>
    <w:basedOn w:val="Normal"/>
    <w:next w:val="Normal"/>
    <w:link w:val="TitleChar"/>
    <w:uiPriority w:val="10"/>
    <w:qFormat/>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4"/>
      <w:u w:val="single"/>
      <w:lang w:val="mt-MT" w:eastAsia="fr-FR"/>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4"/>
      <w:lang w:val="mt-MT"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FootnoteRoLReport">
    <w:name w:val="Footnote RoL Report"/>
    <w:basedOn w:val="FootnoteText"/>
    <w:link w:val="FootnoteRoLReportChar"/>
    <w:autoRedefine/>
    <w:qFormat/>
    <w:pPr>
      <w:outlineLvl w:val="0"/>
    </w:pPr>
  </w:style>
  <w:style w:type="character" w:customStyle="1" w:styleId="FootnoteRoLReportChar">
    <w:name w:val="Footnote RoL Report Char"/>
    <w:basedOn w:val="FootnoteTextChar"/>
    <w:link w:val="FootnoteRoLReport"/>
    <w:rPr>
      <w:rFonts w:ascii="Times New Roman" w:hAnsi="Times New Roman"/>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rFonts w:asciiTheme="minorHAnsi" w:hAnsiTheme="minorHAnsi"/>
      <w:sz w:val="22"/>
      <w:vertAlign w:val="superscript"/>
    </w:rPr>
  </w:style>
  <w:style w:type="character" w:customStyle="1" w:styleId="normaltextrun">
    <w:name w:val="normaltextrun"/>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paragraph" w:customStyle="1" w:styleId="HeaderSensitivityRight">
    <w:name w:val="Header Sensitivity Right"/>
    <w:basedOn w:val="Normal"/>
    <w:link w:val="HeaderSensitivityRightChar"/>
    <w:pPr>
      <w:pBdr>
        <w:top w:val="single" w:sz="4" w:space="1" w:color="auto"/>
        <w:left w:val="single" w:sz="4" w:space="4" w:color="auto"/>
        <w:bottom w:val="single" w:sz="4" w:space="17" w:color="auto"/>
        <w:right w:val="single" w:sz="4" w:space="4" w:color="auto"/>
      </w:pBdr>
      <w:spacing w:after="120"/>
      <w:jc w:val="right"/>
    </w:pPr>
    <w:rPr>
      <w:sz w:val="28"/>
    </w:rPr>
  </w:style>
  <w:style w:type="character" w:customStyle="1" w:styleId="HeaderSensitivityRightChar">
    <w:name w:val="Header Sensitivity Right Char"/>
    <w:basedOn w:val="DefaultParagraphFont"/>
    <w:link w:val="HeaderSensitivityRight"/>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t-M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pPr>
      <w:keepNext/>
      <w:numPr>
        <w:numId w:val="4"/>
      </w:numPr>
      <w:outlineLvl w:val="0"/>
    </w:pPr>
    <w:rPr>
      <w:rFonts w:eastAsia="Times New Roman" w:cs="Times New Roman"/>
      <w:b/>
      <w:smallCaps/>
      <w:szCs w:val="24"/>
      <w:u w:val="single"/>
      <w:lang w:eastAsia="fr-FR"/>
    </w:rPr>
  </w:style>
  <w:style w:type="paragraph" w:styleId="Heading2">
    <w:name w:val="heading 2"/>
    <w:basedOn w:val="Normal"/>
    <w:next w:val="Normal"/>
    <w:link w:val="Heading2Char"/>
    <w:uiPriority w:val="9"/>
    <w:unhideWhenUsed/>
    <w:qFormat/>
    <w:pPr>
      <w:keepNext/>
      <w:outlineLvl w:val="1"/>
    </w:pPr>
    <w:rPr>
      <w:rFonts w:eastAsia="Times New Roman" w:cs="Times New Roman"/>
      <w:b/>
      <w:szCs w:val="24"/>
      <w:lang w:eastAsia="en-GB"/>
    </w:rPr>
  </w:style>
  <w:style w:type="paragraph" w:styleId="Heading3">
    <w:name w:val="heading 3"/>
    <w:basedOn w:val="Normal"/>
    <w:next w:val="Normal"/>
    <w:link w:val="Heading3Char"/>
    <w:uiPriority w:val="9"/>
    <w:semiHidden/>
    <w:unhideWhenUsed/>
    <w:qFormat/>
    <w:pPr>
      <w:keepNext/>
      <w:keepLines/>
      <w:numPr>
        <w:ilvl w:val="2"/>
        <w:numId w:val="4"/>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pPr>
      <w:spacing w:after="0"/>
      <w:ind w:left="284" w:hanging="284"/>
    </w:pPr>
    <w:rPr>
      <w:sz w:val="20"/>
      <w:szCs w:val="20"/>
    </w:rPr>
  </w:style>
  <w:style w:type="character" w:customStyle="1" w:styleId="FootnoteTextChar">
    <w:name w:val="Footnote Text Char"/>
    <w:basedOn w:val="DefaultParagraphFont"/>
    <w:link w:val="FootnoteText"/>
    <w:uiPriority w:val="99"/>
    <w:rPr>
      <w:rFonts w:ascii="Times New Roman" w:hAnsi="Times New Roman"/>
      <w:sz w:val="20"/>
      <w:szCs w:val="20"/>
    </w:r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Przypis,fr"/>
    <w:basedOn w:val="DefaultParagraphFont"/>
    <w:link w:val="ftrefCharCharCharCharCharCharCharCharChar"/>
    <w:uiPriority w:val="99"/>
    <w:unhideWhenUsed/>
    <w:qFormat/>
    <w:rPr>
      <w:vertAlign w:val="superscript"/>
    </w:rPr>
  </w:style>
  <w:style w:type="paragraph" w:styleId="Title">
    <w:name w:val="Title"/>
    <w:basedOn w:val="Normal"/>
    <w:next w:val="Normal"/>
    <w:link w:val="TitleChar"/>
    <w:uiPriority w:val="10"/>
    <w:qFormat/>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1Char">
    <w:name w:val="Heading 1 Char"/>
    <w:basedOn w:val="DefaultParagraphFont"/>
    <w:link w:val="Heading1"/>
    <w:uiPriority w:val="9"/>
    <w:rPr>
      <w:rFonts w:ascii="Times New Roman" w:eastAsia="Times New Roman" w:hAnsi="Times New Roman" w:cs="Times New Roman"/>
      <w:b/>
      <w:smallCaps/>
      <w:sz w:val="24"/>
      <w:szCs w:val="24"/>
      <w:u w:val="single"/>
      <w:lang w:val="mt-MT" w:eastAsia="fr-FR"/>
    </w:rPr>
  </w:style>
  <w:style w:type="character" w:customStyle="1" w:styleId="Heading2Char">
    <w:name w:val="Heading 2 Char"/>
    <w:basedOn w:val="DefaultParagraphFont"/>
    <w:link w:val="Heading2"/>
    <w:uiPriority w:val="9"/>
    <w:rPr>
      <w:rFonts w:ascii="Times New Roman" w:eastAsia="Times New Roman" w:hAnsi="Times New Roman" w:cs="Times New Roman"/>
      <w:b/>
      <w:sz w:val="24"/>
      <w:szCs w:val="24"/>
      <w:lang w:val="mt-MT" w:eastAsia="en-GB"/>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paragraph" w:customStyle="1" w:styleId="FootnoteRoLReport">
    <w:name w:val="Footnote RoL Report"/>
    <w:basedOn w:val="FootnoteText"/>
    <w:link w:val="FootnoteRoLReportChar"/>
    <w:autoRedefine/>
    <w:qFormat/>
    <w:pPr>
      <w:outlineLvl w:val="0"/>
    </w:pPr>
  </w:style>
  <w:style w:type="character" w:customStyle="1" w:styleId="FootnoteRoLReportChar">
    <w:name w:val="Footnote RoL Report Char"/>
    <w:basedOn w:val="FootnoteTextChar"/>
    <w:link w:val="FootnoteRoLReport"/>
    <w:rPr>
      <w:rFonts w:ascii="Times New Roman" w:hAnsi="Times New Roman"/>
      <w:sz w:val="20"/>
      <w:szCs w:val="20"/>
    </w:rPr>
  </w:style>
  <w:style w:type="character" w:styleId="Hyperlink">
    <w:name w:val="Hyperlink"/>
    <w:basedOn w:val="DefaultParagraphFont"/>
    <w:uiPriority w:val="99"/>
    <w:unhideWhenUsed/>
    <w:rPr>
      <w:color w:val="0563C1" w:themeColor="hyperlink"/>
      <w:u w:val="singl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pPr>
      <w:spacing w:after="160" w:line="240" w:lineRule="exact"/>
    </w:pPr>
    <w:rPr>
      <w:rFonts w:asciiTheme="minorHAnsi" w:hAnsiTheme="minorHAnsi"/>
      <w:sz w:val="22"/>
      <w:vertAlign w:val="superscript"/>
    </w:rPr>
  </w:style>
  <w:style w:type="character" w:customStyle="1" w:styleId="normaltextrun">
    <w:name w:val="normaltextrun"/>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styleId="Revision">
    <w:name w:val="Revision"/>
    <w:hidden/>
    <w:uiPriority w:val="99"/>
    <w:semiHidden/>
    <w:pPr>
      <w:spacing w:after="0" w:line="240" w:lineRule="auto"/>
    </w:pPr>
    <w:rPr>
      <w:rFonts w:ascii="Times New Roman" w:hAnsi="Times New Roman"/>
      <w:sz w:val="24"/>
    </w:rPr>
  </w:style>
  <w:style w:type="paragraph" w:styleId="HTMLPreformatted">
    <w:name w:val="HTML Preformatted"/>
    <w:basedOn w:val="Normal"/>
    <w:link w:val="HTMLPreformattedChar"/>
    <w:uiPriority w:val="99"/>
    <w:semiHidden/>
    <w:unhideWhenUsed/>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Pr>
      <w:rFonts w:ascii="Consolas" w:hAnsi="Consolas"/>
      <w:sz w:val="20"/>
      <w:szCs w:val="20"/>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pPr>
    <w:rPr>
      <w:rFonts w:cs="Times New Roman"/>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Pr>
      <w:rFonts w:ascii="Times New Roman" w:hAnsi="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Pr>
      <w:rFonts w:ascii="Times New Roman" w:hAnsi="Times New Roman"/>
      <w:b/>
      <w:sz w:val="32"/>
    </w:rPr>
  </w:style>
  <w:style w:type="paragraph" w:customStyle="1" w:styleId="HeaderCoverPage">
    <w:name w:val="Header Cover Page"/>
    <w:basedOn w:val="Normal"/>
    <w:link w:val="HeaderCoverPageChar"/>
    <w:pPr>
      <w:tabs>
        <w:tab w:val="center" w:pos="4535"/>
        <w:tab w:val="right" w:pos="9071"/>
      </w:tabs>
      <w:spacing w:after="120"/>
    </w:pPr>
  </w:style>
  <w:style w:type="character" w:customStyle="1" w:styleId="HeaderCoverPageChar">
    <w:name w:val="Header Cover Page Char"/>
    <w:basedOn w:val="DefaultParagraphFont"/>
    <w:link w:val="HeaderCoverPage"/>
    <w:rPr>
      <w:rFonts w:ascii="Times New Roman" w:hAnsi="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Pr>
      <w:rFonts w:ascii="Times New Roman" w:hAnsi="Times New Roman"/>
      <w:b/>
      <w:sz w:val="32"/>
    </w:rPr>
  </w:style>
  <w:style w:type="paragraph" w:customStyle="1" w:styleId="HeaderSensitivityRight">
    <w:name w:val="Header Sensitivity Right"/>
    <w:basedOn w:val="Normal"/>
    <w:link w:val="HeaderSensitivityRightChar"/>
    <w:pPr>
      <w:pBdr>
        <w:top w:val="single" w:sz="4" w:space="1" w:color="auto"/>
        <w:left w:val="single" w:sz="4" w:space="4" w:color="auto"/>
        <w:bottom w:val="single" w:sz="4" w:space="17" w:color="auto"/>
        <w:right w:val="single" w:sz="4" w:space="4" w:color="auto"/>
      </w:pBdr>
      <w:spacing w:after="120"/>
      <w:jc w:val="right"/>
    </w:pPr>
    <w:rPr>
      <w:sz w:val="28"/>
    </w:rPr>
  </w:style>
  <w:style w:type="character" w:customStyle="1" w:styleId="HeaderSensitivityRightChar">
    <w:name w:val="Header Sensitivity Right Char"/>
    <w:basedOn w:val="DefaultParagraphFont"/>
    <w:link w:val="HeaderSensitivityRight"/>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0999">
      <w:bodyDiv w:val="1"/>
      <w:marLeft w:val="0"/>
      <w:marRight w:val="0"/>
      <w:marTop w:val="0"/>
      <w:marBottom w:val="0"/>
      <w:divBdr>
        <w:top w:val="none" w:sz="0" w:space="0" w:color="auto"/>
        <w:left w:val="none" w:sz="0" w:space="0" w:color="auto"/>
        <w:bottom w:val="none" w:sz="0" w:space="0" w:color="auto"/>
        <w:right w:val="none" w:sz="0" w:space="0" w:color="auto"/>
      </w:divBdr>
    </w:div>
    <w:div w:id="193612946">
      <w:bodyDiv w:val="1"/>
      <w:marLeft w:val="0"/>
      <w:marRight w:val="0"/>
      <w:marTop w:val="0"/>
      <w:marBottom w:val="0"/>
      <w:divBdr>
        <w:top w:val="none" w:sz="0" w:space="0" w:color="auto"/>
        <w:left w:val="none" w:sz="0" w:space="0" w:color="auto"/>
        <w:bottom w:val="none" w:sz="0" w:space="0" w:color="auto"/>
        <w:right w:val="none" w:sz="0" w:space="0" w:color="auto"/>
      </w:divBdr>
    </w:div>
    <w:div w:id="629212348">
      <w:bodyDiv w:val="1"/>
      <w:marLeft w:val="0"/>
      <w:marRight w:val="0"/>
      <w:marTop w:val="0"/>
      <w:marBottom w:val="0"/>
      <w:divBdr>
        <w:top w:val="none" w:sz="0" w:space="0" w:color="auto"/>
        <w:left w:val="none" w:sz="0" w:space="0" w:color="auto"/>
        <w:bottom w:val="none" w:sz="0" w:space="0" w:color="auto"/>
        <w:right w:val="none" w:sz="0" w:space="0" w:color="auto"/>
      </w:divBdr>
    </w:div>
    <w:div w:id="649671734">
      <w:bodyDiv w:val="1"/>
      <w:marLeft w:val="0"/>
      <w:marRight w:val="0"/>
      <w:marTop w:val="0"/>
      <w:marBottom w:val="0"/>
      <w:divBdr>
        <w:top w:val="none" w:sz="0" w:space="0" w:color="auto"/>
        <w:left w:val="none" w:sz="0" w:space="0" w:color="auto"/>
        <w:bottom w:val="none" w:sz="0" w:space="0" w:color="auto"/>
        <w:right w:val="none" w:sz="0" w:space="0" w:color="auto"/>
      </w:divBdr>
    </w:div>
    <w:div w:id="929043581">
      <w:bodyDiv w:val="1"/>
      <w:marLeft w:val="0"/>
      <w:marRight w:val="0"/>
      <w:marTop w:val="0"/>
      <w:marBottom w:val="0"/>
      <w:divBdr>
        <w:top w:val="none" w:sz="0" w:space="0" w:color="auto"/>
        <w:left w:val="none" w:sz="0" w:space="0" w:color="auto"/>
        <w:bottom w:val="none" w:sz="0" w:space="0" w:color="auto"/>
        <w:right w:val="none" w:sz="0" w:space="0" w:color="auto"/>
      </w:divBdr>
    </w:div>
    <w:div w:id="1083911584">
      <w:bodyDiv w:val="1"/>
      <w:marLeft w:val="0"/>
      <w:marRight w:val="0"/>
      <w:marTop w:val="0"/>
      <w:marBottom w:val="0"/>
      <w:divBdr>
        <w:top w:val="none" w:sz="0" w:space="0" w:color="auto"/>
        <w:left w:val="none" w:sz="0" w:space="0" w:color="auto"/>
        <w:bottom w:val="none" w:sz="0" w:space="0" w:color="auto"/>
        <w:right w:val="none" w:sz="0" w:space="0" w:color="auto"/>
      </w:divBdr>
    </w:div>
    <w:div w:id="1300961453">
      <w:bodyDiv w:val="1"/>
      <w:marLeft w:val="0"/>
      <w:marRight w:val="0"/>
      <w:marTop w:val="0"/>
      <w:marBottom w:val="0"/>
      <w:divBdr>
        <w:top w:val="none" w:sz="0" w:space="0" w:color="auto"/>
        <w:left w:val="none" w:sz="0" w:space="0" w:color="auto"/>
        <w:bottom w:val="none" w:sz="0" w:space="0" w:color="auto"/>
        <w:right w:val="none" w:sz="0" w:space="0" w:color="auto"/>
      </w:divBdr>
    </w:div>
    <w:div w:id="1434326709">
      <w:bodyDiv w:val="1"/>
      <w:marLeft w:val="0"/>
      <w:marRight w:val="0"/>
      <w:marTop w:val="0"/>
      <w:marBottom w:val="0"/>
      <w:divBdr>
        <w:top w:val="none" w:sz="0" w:space="0" w:color="auto"/>
        <w:left w:val="none" w:sz="0" w:space="0" w:color="auto"/>
        <w:bottom w:val="none" w:sz="0" w:space="0" w:color="auto"/>
        <w:right w:val="none" w:sz="0" w:space="0" w:color="auto"/>
      </w:divBdr>
    </w:div>
    <w:div w:id="1762288573">
      <w:bodyDiv w:val="1"/>
      <w:marLeft w:val="0"/>
      <w:marRight w:val="0"/>
      <w:marTop w:val="0"/>
      <w:marBottom w:val="0"/>
      <w:divBdr>
        <w:top w:val="none" w:sz="0" w:space="0" w:color="auto"/>
        <w:left w:val="none" w:sz="0" w:space="0" w:color="auto"/>
        <w:bottom w:val="none" w:sz="0" w:space="0" w:color="auto"/>
        <w:right w:val="none" w:sz="0" w:space="0" w:color="auto"/>
      </w:divBdr>
    </w:div>
    <w:div w:id="198496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g20.utoronto.ca/2015/G20-Anti-Corruption-Open-Data-Principles.pdf" TargetMode="External"/><Relationship Id="rId39" Type="http://schemas.openxmlformats.org/officeDocument/2006/relationships/header" Target="header4.xml"/><Relationship Id="R8351797cf1364d02"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s://monitor.civicus.org/country/italy/" TargetMode="External"/><Relationship Id="rId34" Type="http://schemas.openxmlformats.org/officeDocument/2006/relationships/hyperlink" Target="https://genova.repubblica.it/cronaca/2020/01/22/news/i_soldi_di_change_al_governatore_indagine_sulla_fondazione_di_toti-246332702/" TargetMode="External"/><Relationship Id="rId42"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yperlink" Target="https://eur-lex.europa.eu/legal-content/EN/TXT/?qid=1591720698631&amp;uri=CELEX:52020DC0512" TargetMode="External"/><Relationship Id="rId33" Type="http://schemas.openxmlformats.org/officeDocument/2006/relationships/hyperlink" Target="https://informazioneeditoria.gov.it/it/approfondimenti-e-normativa/fondo-per-il-pluralismo-e-linnovazione-dellinformazione/" TargetMode="External"/><Relationship Id="rId38" Type="http://schemas.openxmlformats.org/officeDocument/2006/relationships/hyperlink" Target="https://www.transparency.org/en/cpi/2020/index/nz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agcom.it/documents/10179/20594109/Comunicazione+23-11-2020/b6623771-dbaa-4ccb-baab-9520f87afbc8?version=1.0" TargetMode="External"/><Relationship Id="rId29" Type="http://schemas.openxmlformats.org/officeDocument/2006/relationships/hyperlink" Target="http://www.anticorruzione.it/portal/rest/jcr/repository/collaboration/Digital%20Assets/anacdocs/Attivita/Pubblicazioni/Collana%20scientifica%20Autorita/Collana%20scientifica%20Anac%20-%20Matteo%20Tro&#195;&#172;a%20WP%20n.5.pdf"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eur-lex.europa.eu/legal-content/EN/TXT/PDF/?uri=CELEX:32019H0905(12)&amp;from=EN" TargetMode="External"/><Relationship Id="rId32" Type="http://schemas.openxmlformats.org/officeDocument/2006/relationships/hyperlink" Target="https://partecipa.gov.it/?locale=en" TargetMode="External"/><Relationship Id="rId37" Type="http://schemas.openxmlformats.org/officeDocument/2006/relationships/hyperlink" Target="https://www.transparency.it/informati/blog/soldi-e-politica-cosa-ci-dicono-i-dati" TargetMode="Externa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oe.int/en/web/media-freedom/italy" TargetMode="External"/><Relationship Id="rId28" Type="http://schemas.openxmlformats.org/officeDocument/2006/relationships/hyperlink" Target="http://www.anticorruzione.it/portal/public/classic/Comunicazione/News/_news?id=8e7b24b70a77804261ad277e20798ed6" TargetMode="External"/><Relationship Id="rId36" Type="http://schemas.openxmlformats.org/officeDocument/2006/relationships/hyperlink" Target="http://www.difensorecivicotoscana.it" TargetMode="External"/><Relationship Id="R5f5f709875f642c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s://ec.europa.eu/info/policies/justice-and-fundamental-rights/upholding-rule-law/rule-law/rule-law-mechanism/2021-rule-law-report-targeted-stakeholder-consultation" TargetMode="External"/><Relationship Id="rId31" Type="http://schemas.openxmlformats.org/officeDocument/2006/relationships/hyperlink" Target="http://www.consultazione.gov.it/it/" TargetMode="External"/><Relationship Id="rId4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rm.coe.int/report-visit-of-the-conference-of-ingos-to-italy-2019/1680981493" TargetMode="External"/><Relationship Id="rId27" Type="http://schemas.openxmlformats.org/officeDocument/2006/relationships/hyperlink" Target="https://www.anticorruzione.it/portal/rest/jcr/repository/collaboration/Digital%20Assets/anacdocs/Attivita/Pubblicazioni/RapportiStudi/ContrattiPubblici/Anac.DL76.2020.pdf" TargetMode="External"/><Relationship Id="rId30" Type="http://schemas.openxmlformats.org/officeDocument/2006/relationships/hyperlink" Target="https://www.opengovpartnership.org/wp-content/uploads/2019/07/Italy-Action-Plan-2019-2021-English.pdf" TargetMode="External"/><Relationship Id="rId35" Type="http://schemas.openxmlformats.org/officeDocument/2006/relationships/hyperlink" Target="https://www.oecd.org/corruption/statement-of-the-oecd-working-group-on-bribery-on-italy-implementation-of-the-anti-bribery-convention.htm" TargetMode="External"/><Relationship Id="rId43"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camera.it/leg18/126?tab=4&amp;leg=18&amp;idDocumento=1323&amp;sede=&amp;tipo" TargetMode="External"/><Relationship Id="rId1" Type="http://schemas.openxmlformats.org/officeDocument/2006/relationships/hyperlink" Target="http://www.difensorecivicotoscan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2F05394DCE044693DCAA726179B598" ma:contentTypeVersion="7" ma:contentTypeDescription="Create a new document." ma:contentTypeScope="" ma:versionID="8f02b5a8473481fde33178a59ac07cf4">
  <xsd:schema xmlns:xsd="http://www.w3.org/2001/XMLSchema" xmlns:xs="http://www.w3.org/2001/XMLSchema" xmlns:p="http://schemas.microsoft.com/office/2006/metadata/properties" xmlns:ns3="ccf8ecc5-ce9f-4cc1-bb60-062c62b05209" xmlns:ns4="71fe9c91-5602-4bdb-b72c-69451971f681" targetNamespace="http://schemas.microsoft.com/office/2006/metadata/properties" ma:root="true" ma:fieldsID="e8f4b3e030db3e01ca54350c295e8391" ns3:_="" ns4:_="">
    <xsd:import namespace="ccf8ecc5-ce9f-4cc1-bb60-062c62b05209"/>
    <xsd:import namespace="71fe9c91-5602-4bdb-b72c-69451971f6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8ecc5-ce9f-4cc1-bb60-062c62b052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9c91-5602-4bdb-b72c-69451971f6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D551-0BDB-44AE-BB27-9D8984F2B1E8}">
  <ds:schemaRefs>
    <ds:schemaRef ds:uri="http://schemas.microsoft.com/sharepoint/v3/contenttype/forms"/>
  </ds:schemaRefs>
</ds:datastoreItem>
</file>

<file path=customXml/itemProps2.xml><?xml version="1.0" encoding="utf-8"?>
<ds:datastoreItem xmlns:ds="http://schemas.openxmlformats.org/officeDocument/2006/customXml" ds:itemID="{EF7D4398-15B9-438A-885A-D34582995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8ecc5-ce9f-4cc1-bb60-062c62b05209"/>
    <ds:schemaRef ds:uri="71fe9c91-5602-4bdb-b72c-69451971f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3A4F8C-3A2B-4A40-B9E2-E25B055F7FCD}">
  <ds:schemaRefs>
    <ds:schemaRef ds:uri="http://schemas.microsoft.com/office/infopath/2007/PartnerControls"/>
    <ds:schemaRef ds:uri="http://purl.org/dc/elements/1.1/"/>
    <ds:schemaRef ds:uri="http://schemas.microsoft.com/office/2006/metadata/properties"/>
    <ds:schemaRef ds:uri="http://purl.org/dc/terms/"/>
    <ds:schemaRef ds:uri="71fe9c91-5602-4bdb-b72c-69451971f681"/>
    <ds:schemaRef ds:uri="http://schemas.openxmlformats.org/package/2006/metadata/core-properties"/>
    <ds:schemaRef ds:uri="http://schemas.microsoft.com/office/2006/documentManagement/types"/>
    <ds:schemaRef ds:uri="ccf8ecc5-ce9f-4cc1-bb60-062c62b05209"/>
    <ds:schemaRef ds:uri="http://www.w3.org/XML/1998/namespace"/>
    <ds:schemaRef ds:uri="http://purl.org/dc/dcmitype/"/>
  </ds:schemaRefs>
</ds:datastoreItem>
</file>

<file path=customXml/itemProps4.xml><?xml version="1.0" encoding="utf-8"?>
<ds:datastoreItem xmlns:ds="http://schemas.openxmlformats.org/officeDocument/2006/customXml" ds:itemID="{FBC313B0-7D95-495F-A4E6-1492E46D7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5907</Words>
  <Characters>47611</Characters>
  <Application>Microsoft Office Word</Application>
  <DocSecurity>0</DocSecurity>
  <Lines>670</Lines>
  <Paragraphs>163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69</cp:revision>
  <cp:lastPrinted>2021-07-19T20:35:00Z</cp:lastPrinted>
  <dcterms:created xsi:type="dcterms:W3CDTF">2021-07-14T17:08:00Z</dcterms:created>
  <dcterms:modified xsi:type="dcterms:W3CDTF">2021-09-13T18:08:00Z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CP-025</vt:lpwstr>
  </property>
  <property fmtid="{D5CDD505-2E9C-101B-9397-08002B2CF9AE}" pid="7" name="Last edited using">
    <vt:lpwstr>LW 7.0.1, Build 20200226</vt:lpwstr>
  </property>
  <property fmtid="{D5CDD505-2E9C-101B-9397-08002B2CF9AE}" pid="8" name="Created using">
    <vt:lpwstr>LW 7.0.1, Build 20200226</vt:lpwstr>
  </property>
  <property fmtid="{D5CDD505-2E9C-101B-9397-08002B2CF9AE}" pid="9" name="_LW_INVALIDATED__LW_INVALIDATED__LW_INVALIDATED__LW_INVALIDATED__LW_INVALIDATED__LW_INVALIDATED_ContentTypeId">
    <vt:lpwstr>0x0101005C2F05394DCE044693DCAA726179B598</vt:lpwstr>
  </property>
  <property name="OP_sanitized" fmtid="{D5CDD505-2E9C-101B-9397-08002B2CF9AE}" pid="10">
    <vt:lpwstr>True</vt:lpwstr>
  </property>
</Properties>
</file>