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CD42" w14:textId="48BF425D" w:rsidR="00131369" w:rsidRPr="00DA11F1" w:rsidRDefault="001709C9" w:rsidP="001709C9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3F290A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alt="6A4CF6B0-FEA8-4AE3-B62E-C8D4E716C79B" style="width:455.15pt;height:351.55pt">
            <v:imagedata r:id="rId11" o:title=""/>
          </v:shape>
        </w:pict>
      </w:r>
    </w:p>
    <w:bookmarkEnd w:id="0"/>
    <w:p w14:paraId="733B3B15" w14:textId="77777777" w:rsidR="00131369" w:rsidRPr="00DA11F1" w:rsidRDefault="00131369">
      <w:pPr>
        <w:rPr>
          <w:rFonts w:ascii="Times New Roman" w:hAnsi="Times New Roman"/>
          <w:noProof/>
          <w:lang w:val="en-US"/>
        </w:rPr>
        <w:sectPr w:rsidR="00131369" w:rsidRPr="00DA11F1" w:rsidSect="001709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bookmarkStart w:id="1" w:name="_GoBack" w:displacedByCustomXml="next"/>
    <w:bookmarkEnd w:id="1" w:displacedByCustomXml="next"/>
    <w:sdt>
      <w:sdtPr>
        <w:rPr>
          <w:rFonts w:ascii="Times New Roman" w:eastAsia="Calibri" w:hAnsi="Times New Roman"/>
          <w:b w:val="0"/>
          <w:bCs w:val="0"/>
          <w:noProof/>
          <w:color w:val="auto"/>
          <w:sz w:val="24"/>
          <w:szCs w:val="24"/>
          <w:lang w:eastAsia="en-US"/>
        </w:rPr>
        <w:id w:val="-113308985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42569A3A" w14:textId="77777777" w:rsidR="00131369" w:rsidRPr="00DA11F1" w:rsidRDefault="009B1524">
          <w:pPr>
            <w:pStyle w:val="TOCHeading"/>
            <w:rPr>
              <w:rFonts w:ascii="Times New Roman" w:hAnsi="Times New Roman"/>
              <w:noProof/>
              <w:color w:val="auto"/>
              <w:sz w:val="22"/>
              <w:szCs w:val="22"/>
            </w:rPr>
          </w:pPr>
          <w:r>
            <w:rPr>
              <w:rFonts w:ascii="Times New Roman" w:hAnsi="Times New Roman"/>
              <w:noProof/>
              <w:color w:val="auto"/>
              <w:sz w:val="22"/>
              <w:szCs w:val="22"/>
            </w:rPr>
            <w:t>Werrej</w:t>
          </w:r>
        </w:p>
        <w:p w14:paraId="3E743B80" w14:textId="605E209C" w:rsidR="004267BE" w:rsidRDefault="009B1524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DA11F1">
            <w:rPr>
              <w:rFonts w:ascii="Times New Roman" w:hAnsi="Times New Roman"/>
              <w:b/>
              <w:bCs/>
              <w:noProof/>
            </w:rPr>
            <w:fldChar w:fldCharType="begin"/>
          </w:r>
          <w:r w:rsidRPr="00DA11F1">
            <w:rPr>
              <w:rFonts w:ascii="Times New Roman" w:hAnsi="Times New Roman"/>
              <w:b/>
              <w:bCs/>
              <w:noProof/>
            </w:rPr>
            <w:instrText xml:space="preserve"> TOC \o "1-5" \h \z \u </w:instrText>
          </w:r>
          <w:r w:rsidRPr="00DA11F1">
            <w:rPr>
              <w:rFonts w:ascii="Times New Roman" w:hAnsi="Times New Roman"/>
              <w:b/>
              <w:bCs/>
              <w:noProof/>
            </w:rPr>
            <w:fldChar w:fldCharType="separate"/>
          </w:r>
          <w:hyperlink w:anchor="_Toc89703104" w:history="1">
            <w:r w:rsidR="004267BE" w:rsidRPr="008D2AC2">
              <w:rPr>
                <w:rStyle w:val="Hyperlink"/>
                <w:noProof/>
              </w:rPr>
              <w:t>Lista ta’ akronimi u abbrevjazzjonijiet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_Toc89703104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0C1B7013" w14:textId="27655572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05" w:history="1">
            <w:r w:rsidR="004267BE" w:rsidRPr="008D2AC2">
              <w:rPr>
                <w:rStyle w:val="Hyperlink"/>
                <w:noProof/>
              </w:rPr>
              <w:t>1. INTRODUZZJONI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_Toc89703105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4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13A742D3" w14:textId="17860F8D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06" w:history="1">
            <w:r w:rsidR="004267BE" w:rsidRPr="008D2AC2">
              <w:rPr>
                <w:rStyle w:val="Hyperlink"/>
                <w:noProof/>
              </w:rPr>
              <w:t>2. L-INFRASTRUTTURA U L-KOPERTURA TAL-EU ETS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_Toc89703106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5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12BB5BCB" w14:textId="6BD5122C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07" w:history="1">
            <w:r w:rsidR="004267BE" w:rsidRPr="008D2AC2">
              <w:rPr>
                <w:rStyle w:val="Hyperlink"/>
                <w:noProof/>
              </w:rPr>
              <w:t>2.1 Ir-Reġistru tal-UE u r-Reġistru tat-Tranżazzjonijiet tal-Unjoni Ewropea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_Toc89703107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6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38BD24A2" w14:textId="33DD9190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08" w:history="1">
            <w:r w:rsidR="004267BE" w:rsidRPr="008D2AC2">
              <w:rPr>
                <w:rStyle w:val="Hyperlink"/>
                <w:noProof/>
              </w:rPr>
              <w:t>3. IL-FUNZJONAMENT TAS-SUQ TAL-KARBONJU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_Toc89703108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7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4B3322EF" w14:textId="5645E402" w:rsidR="004267BE" w:rsidRDefault="001709C9">
          <w:pPr>
            <w:pStyle w:val="TO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09" w:history="1">
            <w:r w:rsidR="004267BE" w:rsidRPr="008D2AC2">
              <w:rPr>
                <w:rStyle w:val="Hyperlink"/>
                <w:noProof/>
              </w:rPr>
              <w:t>3.1. Provvista: kwoti mqiegħda fiċ-ċirkolazzjoni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_Toc89703109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7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03CFFAA0" w14:textId="421836D2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0" w:history="1">
            <w:r w:rsidR="004267BE" w:rsidRPr="008D2AC2">
              <w:rPr>
                <w:rStyle w:val="Hyperlink"/>
                <w:i/>
                <w:noProof/>
              </w:rPr>
              <w:t>3.1.1. Il-limitu massimu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_Toc89703110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7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5CCE90C2" w14:textId="16AA019D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1" w:history="1">
            <w:r w:rsidR="004267BE" w:rsidRPr="008D2AC2">
              <w:rPr>
                <w:rStyle w:val="Hyperlink"/>
                <w:i/>
                <w:noProof/>
              </w:rPr>
              <w:t>3.1.2. L-allokazzjoni bla ħlas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_Toc89703111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11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7B944B00" w14:textId="23D18DC2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2" w:history="1">
            <w:r w:rsidR="004267BE" w:rsidRPr="008D2AC2">
              <w:rPr>
                <w:rStyle w:val="Hyperlink"/>
                <w:i/>
                <w:noProof/>
              </w:rPr>
              <w:t>3.1.3. L-irkantar ta’ kwoti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_Toc89703112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13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030E27C1" w14:textId="623CD9F8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3" w:history="1">
            <w:r w:rsidR="004267BE" w:rsidRPr="008D2AC2">
              <w:rPr>
                <w:rStyle w:val="Hyperlink"/>
                <w:i/>
                <w:noProof/>
              </w:rPr>
              <w:t>3.1.4. Deroga minn irkantar sħiħ għall-produzzjoni tal-elettriku u s-sħana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_Toc89703113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16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5117C831" w14:textId="06C21CEB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4" w:history="1">
            <w:r w:rsidR="004267BE" w:rsidRPr="008D2AC2">
              <w:rPr>
                <w:rStyle w:val="Hyperlink"/>
                <w:i/>
                <w:noProof/>
              </w:rPr>
              <w:t>3.1.5 Il-Programm NER 300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_Toc89703114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20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1867D8AC" w14:textId="2B393924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5" w:history="1">
            <w:r w:rsidR="004267BE" w:rsidRPr="008D2AC2">
              <w:rPr>
                <w:rStyle w:val="Hyperlink"/>
                <w:i/>
                <w:noProof/>
              </w:rPr>
              <w:t>3.1.6. Il-Fond għall-Innovazzjoni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_Toc89703115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21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62EFF2EF" w14:textId="68412DC1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6" w:history="1">
            <w:r w:rsidR="004267BE" w:rsidRPr="008D2AC2">
              <w:rPr>
                <w:rStyle w:val="Hyperlink"/>
                <w:i/>
                <w:noProof/>
              </w:rPr>
              <w:t>3.1.7. Il-Fond għall-Modernizzazzjoni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_Toc89703116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22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2A479A5C" w14:textId="35AD2715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7" w:history="1">
            <w:r w:rsidR="004267BE" w:rsidRPr="008D2AC2">
              <w:rPr>
                <w:rStyle w:val="Hyperlink"/>
                <w:i/>
                <w:noProof/>
              </w:rPr>
              <w:t>3.1.8. Il-kumpens għall-ispejjeż indiretti tal-karbonju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_Toc89703117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22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17F9859B" w14:textId="666D674E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8" w:history="1">
            <w:r w:rsidR="004267BE" w:rsidRPr="008D2AC2">
              <w:rPr>
                <w:rStyle w:val="Hyperlink"/>
                <w:i/>
                <w:noProof/>
              </w:rPr>
              <w:t>3.1.9. Il-krediti internazzjonali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_Toc89703118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25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5A87380A" w14:textId="3E43B1D4" w:rsidR="004267BE" w:rsidRDefault="001709C9">
          <w:pPr>
            <w:pStyle w:val="TO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19" w:history="1">
            <w:r w:rsidR="004267BE" w:rsidRPr="008D2AC2">
              <w:rPr>
                <w:rStyle w:val="Hyperlink"/>
                <w:noProof/>
              </w:rPr>
              <w:t>3.2. Domanda: kwoti maħruġin miċ-ċirkolazzjoni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_Toc89703119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25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107DC255" w14:textId="332FBBEE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0" w:history="1">
            <w:r w:rsidR="004267BE" w:rsidRPr="008D2AC2">
              <w:rPr>
                <w:rStyle w:val="Hyperlink"/>
                <w:i/>
                <w:noProof/>
              </w:rPr>
              <w:t>3.2.1. It-tnaqqis tal-emissjonijiet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_Toc89703120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25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43950388" w14:textId="34B8EC85" w:rsidR="004267BE" w:rsidRDefault="001709C9">
          <w:pPr>
            <w:pStyle w:val="TOC3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1" w:history="1">
            <w:r w:rsidR="004267BE" w:rsidRPr="008D2AC2">
              <w:rPr>
                <w:rStyle w:val="Hyperlink"/>
                <w:i/>
                <w:noProof/>
              </w:rPr>
              <w:t>3.2.2. L-ibbilanċjar tal-provvista u tad-domanda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_Toc89703121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30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46B54B47" w14:textId="645594E2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2" w:history="1">
            <w:r w:rsidR="004267BE" w:rsidRPr="008D2AC2">
              <w:rPr>
                <w:rStyle w:val="Hyperlink"/>
                <w:noProof/>
              </w:rPr>
              <w:t>4. L-AVJAZZJONI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_Toc89703122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33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3415B896" w14:textId="298CAF6D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3" w:history="1">
            <w:r w:rsidR="004267BE" w:rsidRPr="008D2AC2">
              <w:rPr>
                <w:rStyle w:val="Hyperlink"/>
                <w:noProof/>
              </w:rPr>
              <w:t>5. IS-SORVELJANZA TAS-SUQ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_Toc89703123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36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40572B82" w14:textId="5FFA9050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4" w:history="1">
            <w:r w:rsidR="004267BE" w:rsidRPr="008D2AC2">
              <w:rPr>
                <w:rStyle w:val="Hyperlink"/>
                <w:noProof/>
              </w:rPr>
              <w:t>6. IL-MONITORAĠĠ, IR-RAPPORTAR U L-VERIFIKA TAL-EMISSJONIJIET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_Toc89703124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39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6B2CEBF9" w14:textId="4F84FE0D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5" w:history="1">
            <w:r w:rsidR="004267BE" w:rsidRPr="008D2AC2">
              <w:rPr>
                <w:rStyle w:val="Hyperlink"/>
                <w:noProof/>
              </w:rPr>
              <w:t>7. IR-RABTA BEJN L-EU ETS U L-ETS ŻVIZZERA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_Toc89703125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41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35658FD1" w14:textId="0BB3568E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6" w:history="1">
            <w:r w:rsidR="004267BE" w:rsidRPr="008D2AC2">
              <w:rPr>
                <w:rStyle w:val="Hyperlink"/>
                <w:noProof/>
              </w:rPr>
              <w:t>8. L-EFFETTI TAL-IMPLIMENTAZZJONI TAD-DIRETTIVA DWAR L-EFFIĊJENZA FL-ENERĠIJA U TAL-PJANIJIET NAZZJONALI DWAR L-ENERĠIJA U L-KLIMA FUQ L-EU ETS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_Toc89703126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44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144B0F2F" w14:textId="16FBEB13" w:rsidR="004267BE" w:rsidRDefault="001709C9">
          <w:pPr>
            <w:pStyle w:val="TO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7" w:history="1">
            <w:r w:rsidR="004267BE" w:rsidRPr="008D2AC2">
              <w:rPr>
                <w:rStyle w:val="Hyperlink"/>
                <w:noProof/>
              </w:rPr>
              <w:t>8.1 L-impatt tal-implimentazzjoni tad-Direttiva dwar l-Effiċjenza fl-Enerġija fuq l-EU ETS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_Toc89703127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44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1E9231C7" w14:textId="77B28C1A" w:rsidR="004267BE" w:rsidRDefault="001709C9">
          <w:pPr>
            <w:pStyle w:val="TO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8" w:history="1">
            <w:r w:rsidR="004267BE" w:rsidRPr="008D2AC2">
              <w:rPr>
                <w:rStyle w:val="Hyperlink"/>
                <w:noProof/>
              </w:rPr>
              <w:t>8.2 L-impatt tal-implimentazzjoni tal-pjanijiet nazzjonali għall-enerġija u l-klima fuq l-EU ETS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_Toc89703128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47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698C5F81" w14:textId="7685A5E3" w:rsidR="004267BE" w:rsidRDefault="001709C9">
          <w:pPr>
            <w:pStyle w:val="TOC1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89703129" w:history="1">
            <w:r w:rsidR="004267BE" w:rsidRPr="008D2AC2">
              <w:rPr>
                <w:rStyle w:val="Hyperlink"/>
                <w:noProof/>
              </w:rPr>
              <w:t>9. KONKLUŻJONIJIET U ASPETTATTIVI</w:t>
            </w:r>
            <w:r w:rsidR="004267BE">
              <w:rPr>
                <w:noProof/>
                <w:webHidden/>
              </w:rPr>
              <w:tab/>
            </w:r>
            <w:r w:rsidR="004267BE">
              <w:rPr>
                <w:noProof/>
                <w:webHidden/>
              </w:rPr>
              <w:fldChar w:fldCharType="begin"/>
            </w:r>
            <w:r w:rsidR="004267BE">
              <w:rPr>
                <w:noProof/>
                <w:webHidden/>
              </w:rPr>
              <w:instrText xml:space="preserve"> PAGEREF _Toc89703129 \h </w:instrText>
            </w:r>
            <w:r w:rsidR="004267BE">
              <w:rPr>
                <w:noProof/>
                <w:webHidden/>
              </w:rPr>
            </w:r>
            <w:r w:rsidR="004267BE">
              <w:rPr>
                <w:noProof/>
                <w:webHidden/>
              </w:rPr>
              <w:fldChar w:fldCharType="separate"/>
            </w:r>
            <w:r w:rsidR="004267BE">
              <w:rPr>
                <w:noProof/>
                <w:webHidden/>
              </w:rPr>
              <w:t>48</w:t>
            </w:r>
            <w:r w:rsidR="004267BE">
              <w:rPr>
                <w:noProof/>
                <w:webHidden/>
              </w:rPr>
              <w:fldChar w:fldCharType="end"/>
            </w:r>
          </w:hyperlink>
        </w:p>
        <w:p w14:paraId="5C267E31" w14:textId="41D2B3A8" w:rsidR="006C746A" w:rsidRPr="00DA11F1" w:rsidRDefault="009B1524" w:rsidP="006C746A">
          <w:pPr>
            <w:tabs>
              <w:tab w:val="left" w:pos="2290"/>
            </w:tabs>
            <w:rPr>
              <w:rFonts w:ascii="Times New Roman" w:hAnsi="Times New Roman"/>
              <w:noProof/>
            </w:rPr>
          </w:pPr>
          <w:r w:rsidRPr="00DA11F1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bookmarkStart w:id="2" w:name="_Toc519009670" w:displacedByCustomXml="prev"/>
    <w:p w14:paraId="3D89C9CF" w14:textId="41119FA6" w:rsidR="00131369" w:rsidRPr="00DA11F1" w:rsidRDefault="009B1524">
      <w:pPr>
        <w:pStyle w:val="Heading1"/>
        <w:spacing w:before="0" w:after="120"/>
        <w:rPr>
          <w:noProof/>
          <w:szCs w:val="24"/>
        </w:rPr>
      </w:pPr>
      <w:bookmarkStart w:id="3" w:name="_Toc89703104"/>
      <w:r>
        <w:rPr>
          <w:noProof/>
        </w:rPr>
        <w:t>Lista ta’ akronimi u abbrevjazzjonijiet</w:t>
      </w:r>
      <w:bookmarkEnd w:id="3"/>
      <w:bookmarkEnd w:id="2"/>
    </w:p>
    <w:p w14:paraId="6A0FEDB4" w14:textId="52AE71C4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AVR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Ir-Regolament dwar l-Akkreditazzjoni u l-Verifika</w:t>
      </w:r>
    </w:p>
    <w:p w14:paraId="094F5CAD" w14:textId="676F05DF" w:rsidR="00F02D78" w:rsidRPr="00DA11F1" w:rsidRDefault="00F02D78" w:rsidP="00C15C44">
      <w:pPr>
        <w:spacing w:after="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CEF DI</w:t>
      </w:r>
      <w:r>
        <w:rPr>
          <w:rFonts w:ascii="Times New Roman" w:hAnsi="Times New Roman"/>
          <w:noProof/>
          <w:sz w:val="24"/>
          <w:szCs w:val="24"/>
        </w:rPr>
        <w:tab/>
        <w:t>L-Istrument ta’ Dejn tal-Faċilità Nikkollegaw l-Ewropa</w:t>
      </w:r>
    </w:p>
    <w:p w14:paraId="2941181A" w14:textId="6ECB8FDE" w:rsidR="00CC16FA" w:rsidRPr="00DA11F1" w:rsidRDefault="00CC16FA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CEMs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Is-Sistemi ta’ Kejl ta’ Emissjonijiet Kontinwi</w:t>
      </w:r>
    </w:p>
    <w:p w14:paraId="4297A510" w14:textId="7B1CD330" w:rsidR="00F92634" w:rsidRPr="00DA11F1" w:rsidRDefault="00F9263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CINEA</w:t>
      </w:r>
      <w:r>
        <w:rPr>
          <w:rFonts w:ascii="Times New Roman" w:hAnsi="Times New Roman"/>
          <w:noProof/>
          <w:sz w:val="24"/>
          <w:szCs w:val="24"/>
        </w:rPr>
        <w:tab/>
        <w:t>L-Aġenzija Eżekuttiva Ewropea għall-Klima, għall-Infrastruttura u għall-Ambjent</w:t>
      </w:r>
    </w:p>
    <w:p w14:paraId="1BDED353" w14:textId="55C8E2AA" w:rsidR="00D855A7" w:rsidRPr="00DA11F1" w:rsidRDefault="00D855A7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Diossidu tal-Karbonju</w:t>
      </w:r>
    </w:p>
    <w:p w14:paraId="16AC6BE0" w14:textId="38D7258F" w:rsidR="00D855A7" w:rsidRPr="00DA11F1" w:rsidRDefault="00D855A7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>eq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Ekwivalenti ta’ Diossidu tal-Karbonju</w:t>
      </w:r>
    </w:p>
    <w:p w14:paraId="1C1EAC28" w14:textId="555D44EE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CORSIA</w:t>
      </w:r>
      <w:r>
        <w:rPr>
          <w:rFonts w:ascii="Times New Roman" w:hAnsi="Times New Roman"/>
          <w:noProof/>
          <w:sz w:val="24"/>
          <w:szCs w:val="24"/>
        </w:rPr>
        <w:tab/>
        <w:t>L-Iskema ta’ Kumpens u Tnaqqis tal-Karbonju għall-Avjazzjoni Internazzjonali</w:t>
      </w:r>
    </w:p>
    <w:p w14:paraId="762A379F" w14:textId="7216DEB0" w:rsidR="00F92634" w:rsidRPr="00DA11F1" w:rsidRDefault="00F9263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CP2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It-Tieni Perjodu ta’ Impenn tal-Protokoll ta’ Kjoto</w:t>
      </w:r>
    </w:p>
    <w:p w14:paraId="475CF17B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EA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Il-Kooperazzjoni Ewropea għall-Akkreditazzjoni</w:t>
      </w:r>
    </w:p>
    <w:p w14:paraId="53A8D4EC" w14:textId="20ED26AC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ŻEE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Iż-Żona Ekonomika Ewropea</w:t>
      </w:r>
    </w:p>
    <w:p w14:paraId="44F16B2D" w14:textId="3B041176" w:rsidR="00D76679" w:rsidRPr="00DA11F1" w:rsidRDefault="00D76679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EED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Id-Direttiva dwar l-Effiċjenza fl-Enerġija </w:t>
      </w:r>
    </w:p>
    <w:p w14:paraId="0EFD4864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EEX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L-Iskambju tal-Enerġija Ewropew</w:t>
      </w:r>
    </w:p>
    <w:p w14:paraId="25CED1F6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BEI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Il-Bank Ewropew tal-Investiment</w:t>
      </w:r>
    </w:p>
    <w:p w14:paraId="29CCD025" w14:textId="19739C76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ESMA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L-Awtorità Ewropea tat-Titoli u s-Swieq</w:t>
      </w:r>
    </w:p>
    <w:p w14:paraId="0346073B" w14:textId="0B030019" w:rsidR="004144EE" w:rsidRPr="00DA11F1" w:rsidRDefault="004144EE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EU27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L-Istati Membri tal-Unjoni Ewropea</w:t>
      </w:r>
    </w:p>
    <w:p w14:paraId="3159F2CF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EU ETS</w:t>
      </w:r>
      <w:r>
        <w:rPr>
          <w:rFonts w:ascii="Times New Roman" w:hAnsi="Times New Roman"/>
          <w:noProof/>
          <w:sz w:val="24"/>
          <w:szCs w:val="24"/>
        </w:rPr>
        <w:tab/>
        <w:t>L-Iskema tal-Unjoni Ewropea għan-Negozjar ta’ Emissjonijiet</w:t>
      </w:r>
    </w:p>
    <w:p w14:paraId="62C4C118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EUTL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Ir-Reġistru tat-Tranżazzjonijiet tal-Unjoni Ewropea</w:t>
      </w:r>
    </w:p>
    <w:p w14:paraId="3130A404" w14:textId="165D0AAA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GHG 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Gass serra</w:t>
      </w:r>
    </w:p>
    <w:p w14:paraId="3210EF51" w14:textId="77777777" w:rsidR="00131369" w:rsidRPr="00312334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ICAO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L-Organizzazzjoni tal-Avjazzjoni Ċivili Internazzjonali</w:t>
      </w:r>
    </w:p>
    <w:p w14:paraId="4EB9C34D" w14:textId="77777777" w:rsidR="00131369" w:rsidRPr="00312334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ICE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L-InterContinental Exchange Futures Europe </w:t>
      </w:r>
    </w:p>
    <w:p w14:paraId="478648C0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Il-Proġetti ta’ Dimostrazzjoni fil-Qasam tal-Enerġija InnovFin EDP </w:t>
      </w:r>
    </w:p>
    <w:p w14:paraId="27FD39DA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MAR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Ir-Regolament dwar l-Abbuż tas-Suq</w:t>
      </w:r>
    </w:p>
    <w:p w14:paraId="38A12761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MiFID2</w:t>
      </w:r>
      <w:r>
        <w:rPr>
          <w:rFonts w:ascii="Times New Roman" w:hAnsi="Times New Roman"/>
          <w:noProof/>
          <w:sz w:val="24"/>
          <w:szCs w:val="24"/>
        </w:rPr>
        <w:tab/>
        <w:t>Id-Direttiva dwar is-Swieq tal-Istrumenti Finanzjarji</w:t>
      </w:r>
    </w:p>
    <w:p w14:paraId="19707D25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MiFIR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Ir-Regolament dwar is-Swieq tal-Istrumenti Finanzjarji</w:t>
      </w:r>
    </w:p>
    <w:p w14:paraId="0B7DC42B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MRR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Ir-Regolament dwar il-Monitoraġġ u r-Rapportar</w:t>
      </w:r>
    </w:p>
    <w:p w14:paraId="657CD42A" w14:textId="753B47FF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MSR 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Ir-Riżerva tal-Istabbiltà tas-Suq</w:t>
      </w:r>
    </w:p>
    <w:p w14:paraId="7E45F5B2" w14:textId="2EBAFBE1" w:rsidR="00D855A7" w:rsidRPr="00DA11F1" w:rsidRDefault="00D855A7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>O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Ossidu Nitruż</w:t>
      </w:r>
    </w:p>
    <w:p w14:paraId="783192C6" w14:textId="0D4E8C87" w:rsidR="00D76679" w:rsidRPr="00DA11F1" w:rsidRDefault="00D76679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NECPs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Il-Pjanijiet Nazzjonali għall-Enerġija u l-Klima</w:t>
      </w:r>
    </w:p>
    <w:p w14:paraId="4E3CDC68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NER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Ir-Riżerva għal Entranti Ġodda</w:t>
      </w:r>
    </w:p>
    <w:p w14:paraId="0FE05914" w14:textId="7777777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OTC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Barra l-borża</w:t>
      </w:r>
    </w:p>
    <w:p w14:paraId="2CC6044C" w14:textId="548835D7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PFCs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Perfluworokarburi</w:t>
      </w:r>
    </w:p>
    <w:p w14:paraId="5D22E015" w14:textId="20D9700A" w:rsidR="00131369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SARPs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L-Istandards u l-Prattiki Rakkomandati tal-CORSIA</w:t>
      </w:r>
    </w:p>
    <w:p w14:paraId="6390D40A" w14:textId="7C42BD92" w:rsidR="00B75A1C" w:rsidRPr="00DA11F1" w:rsidRDefault="009B1524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TNAC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In-Numru Totali ta’ Kwoti fiċ-Ċirkolazzjoni</w:t>
      </w:r>
    </w:p>
    <w:p w14:paraId="59490F27" w14:textId="20F05A26" w:rsidR="00B75A1C" w:rsidRPr="00DA11F1" w:rsidRDefault="00B75A1C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Ir-Renju Unit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Ir-Renju Unit</w:t>
      </w:r>
    </w:p>
    <w:p w14:paraId="00784E6E" w14:textId="73B09B77" w:rsidR="00D76679" w:rsidRPr="00DA11F1" w:rsidRDefault="00D76679" w:rsidP="00C15C44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UNFCCC</w:t>
      </w:r>
      <w:r>
        <w:rPr>
          <w:rFonts w:ascii="Times New Roman" w:hAnsi="Times New Roman"/>
          <w:noProof/>
          <w:sz w:val="24"/>
          <w:szCs w:val="24"/>
        </w:rPr>
        <w:tab/>
        <w:t>Il-Konvenzjoni Qafas tan-Nazzjonijiet Uniti dwar it-Tibdil fil-Klima</w:t>
      </w:r>
    </w:p>
    <w:p w14:paraId="50F75FD7" w14:textId="77777777" w:rsidR="00131369" w:rsidRPr="00DA11F1" w:rsidRDefault="00131369">
      <w:pPr>
        <w:rPr>
          <w:rFonts w:ascii="Times New Roman" w:hAnsi="Times New Roman"/>
          <w:noProof/>
          <w:szCs w:val="24"/>
        </w:rPr>
      </w:pPr>
    </w:p>
    <w:p w14:paraId="387DBC7E" w14:textId="77777777" w:rsidR="00964E0B" w:rsidRPr="00DA11F1" w:rsidRDefault="00964E0B">
      <w:pPr>
        <w:rPr>
          <w:rFonts w:ascii="Times New Roman" w:eastAsia="Times New Roman" w:hAnsi="Times New Roman"/>
          <w:b/>
          <w:bCs/>
          <w:noProof/>
          <w:kern w:val="32"/>
          <w:sz w:val="24"/>
          <w:szCs w:val="32"/>
        </w:rPr>
      </w:pPr>
      <w:bookmarkStart w:id="4" w:name="_Toc490850418"/>
      <w:bookmarkStart w:id="5" w:name="_Toc519009671"/>
      <w:r>
        <w:rPr>
          <w:noProof/>
        </w:rPr>
        <w:br w:type="page"/>
      </w:r>
    </w:p>
    <w:p w14:paraId="7821B18D" w14:textId="640F42AC" w:rsidR="00131369" w:rsidRPr="00DA11F1" w:rsidRDefault="009B1524">
      <w:pPr>
        <w:pStyle w:val="Heading1"/>
        <w:rPr>
          <w:noProof/>
        </w:rPr>
      </w:pPr>
      <w:bookmarkStart w:id="6" w:name="_Toc89703105"/>
      <w:r>
        <w:rPr>
          <w:noProof/>
        </w:rPr>
        <w:t>1. INTRODUZZJON</w:t>
      </w:r>
      <w:bookmarkEnd w:id="4"/>
      <w:bookmarkEnd w:id="5"/>
      <w:r>
        <w:rPr>
          <w:noProof/>
        </w:rPr>
        <w:t>I</w:t>
      </w:r>
      <w:bookmarkEnd w:id="6"/>
    </w:p>
    <w:p w14:paraId="3A2EC02D" w14:textId="42E922D2" w:rsidR="00287718" w:rsidRPr="00DA11F1" w:rsidRDefault="0028370A" w:rsidP="00EE2F8D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7" w:name="_Toc427931123"/>
      <w:bookmarkEnd w:id="7"/>
      <w:r>
        <w:rPr>
          <w:rFonts w:ascii="Times New Roman" w:hAnsi="Times New Roman"/>
          <w:noProof/>
          <w:sz w:val="24"/>
          <w:szCs w:val="24"/>
        </w:rPr>
        <w:t>L-Iskema tal-Unjoni Ewropea għall-Iskambju ta’ Kwoti tal-Emissjonijiet (EU ETS) ilha mill-2005 element ċentrali tal-istrateġija tal-UE għat-tnaqqis tal-emissjonijiet ta’ gassijiet serra (GHG). Minn meta tnediet fl-2005, l-emissjonijiet fis-setturi tal-ġenerazzjoni tal-enerġija u tas-sħana kif ukoll fis-setturi industrijali li jużaw l-enerġija b’mod intensiv, koperti mill-EU ETS, naqsu b’madwar 43 %</w:t>
      </w:r>
      <w:r w:rsidR="00B87044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  <w:szCs w:val="24"/>
        </w:rPr>
        <w:t>. Flimkien ma’ leġiżlazzjoni oħra, bħal dik dwar l-enerġija rinnovabbli</w:t>
      </w:r>
      <w:r w:rsidR="000E0C73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  <w:szCs w:val="24"/>
        </w:rPr>
        <w:t xml:space="preserve"> u dwar l-effiċjenza fl-użu tal-enerġija</w:t>
      </w:r>
      <w:r w:rsidR="000E0C73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4"/>
      </w:r>
      <w:r>
        <w:rPr>
          <w:rFonts w:ascii="Times New Roman" w:hAnsi="Times New Roman"/>
          <w:noProof/>
          <w:sz w:val="24"/>
          <w:szCs w:val="24"/>
        </w:rPr>
        <w:t>, din ikkontribwiet b’mod sinifikanti sabiex tintlaħaq il-mira ġenerali tal-UE li jitnaqqsu l-emissjonijiet ta’ gassijiet serra b’20 % sal-2020 meta mqabbla mal-livelli tal-1990. L-UE qabżet din il-mira u sal-2020 naqqset l-emissjonijiet ta’ gassijiet serra b’madwar 31 %</w:t>
      </w:r>
      <w:r w:rsidR="00AC7BFD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5"/>
      </w:r>
      <w:r>
        <w:rPr>
          <w:rFonts w:ascii="Times New Roman" w:hAnsi="Times New Roman"/>
          <w:noProof/>
          <w:sz w:val="24"/>
          <w:szCs w:val="24"/>
        </w:rPr>
        <w:t xml:space="preserve"> taħt il-livelli tal-1990.</w:t>
      </w:r>
    </w:p>
    <w:p w14:paraId="10CDBDA8" w14:textId="1AD1DE5D" w:rsidR="00DB7748" w:rsidRPr="00DA11F1" w:rsidRDefault="007A0C8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F’Lulju tal-2021, il-Kummissjoni adottat sensiela ta’ miżuri sabiex il-Patt Ekoloġiku Ewropew isir realtà</w:t>
      </w:r>
      <w:r w:rsidR="00964E0B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6"/>
      </w:r>
      <w:r>
        <w:rPr>
          <w:rFonts w:ascii="Times New Roman" w:hAnsi="Times New Roman"/>
          <w:noProof/>
          <w:sz w:val="24"/>
          <w:szCs w:val="24"/>
        </w:rPr>
        <w:t>. Il-proposti għandhom l-għan li jagħmlu l-politiki tal-UE dwar il-klima, l-enerġija, l-użu tal-art, it-trasport u t-tassazzjoni adatti għall-kompitu li jitnaqqsu l-emissjonijiet netti ta’ gassijiet serra b’mill-anqas 55 % sal-2030 meta mqabbla mal-livelli tal-1990. L-EU ETS se jkollha rwol ewlieni fil-kisba ta’ dan l-objettiv. Il-pakkett fih proposta li tiżdied l-ambizzjoni tal-EU ETS b’mira ġdida ta’ tnaqqis tal-emissjonijiet ta’ 61 %</w:t>
      </w:r>
      <w:r w:rsidR="00CE2432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7"/>
      </w:r>
      <w:r>
        <w:rPr>
          <w:rFonts w:ascii="Times New Roman" w:hAnsi="Times New Roman"/>
          <w:noProof/>
          <w:sz w:val="24"/>
          <w:szCs w:val="24"/>
        </w:rPr>
        <w:t xml:space="preserve"> taħt il-livelli tal-2005 sal-2030 (meta mqabbla mal-mira attwali ta’ 43 % taħt il-livelli tal-2005), ta’ limitu ġenerali fuq l-emissjonijiet aktar baxx, u ta’ tnaqqis annwaliaktar qawwi tal-emissjonijiet ta’ 4,2 % minflok il-mira attwali ta’ 2,2 % fis-sena.</w:t>
      </w:r>
      <w:r w:rsidR="007B612B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8"/>
      </w:r>
      <w:r>
        <w:rPr>
          <w:rFonts w:ascii="Times New Roman" w:hAnsi="Times New Roman"/>
          <w:noProof/>
          <w:sz w:val="24"/>
          <w:szCs w:val="24"/>
        </w:rPr>
        <w:t xml:space="preserve"> Il-proposta għar-reviżjoni tal-EU ETS testendi wkoll il-kopertura tagħha għall-emissjonijiet marittimi u tipproponi sistema ġdida u separata għall-iskambju ta’ kwoti tal-emissjonijiet sabiex tkopri l-emissjonijiet mill-fjuwils użati fit-trasport bit-triq u fil-bini</w:t>
      </w:r>
      <w:r w:rsidR="00580C89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9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5BAA412E" w14:textId="29444D35" w:rsidR="00782505" w:rsidRPr="00DA11F1" w:rsidRDefault="00782505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Proposta separata ssaħħaħ ir-Riżerva tal-Istabbiltà tas-Suq (MSR)</w:t>
      </w:r>
      <w:r w:rsidR="00AE724E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  <w:szCs w:val="24"/>
        </w:rPr>
        <w:t xml:space="preserve">, il-mekkaniżmu li jindirizza l-eċċess ta’ kwoti akkumulati fl-EU ETS mill-2019 u ttejjeb ir-reżiljenza tas-sistema għal xokkijiet kbar billi taġġusta l-provvista ta’ kwoti li għandhom jiġu rkantati. </w:t>
      </w:r>
    </w:p>
    <w:p w14:paraId="1AE374DF" w14:textId="05938E7C" w:rsidR="00131369" w:rsidRPr="00DA11F1" w:rsidRDefault="00AA377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Żewġ proposti addizzjonali mill-pakkett ta’ Lulju jsaħħu l-EU ETS għall-avjazzjoni</w:t>
      </w:r>
      <w:r w:rsidR="003D4197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  <w:szCs w:val="24"/>
        </w:rPr>
        <w:t xml:space="preserve"> sabiex jiġi żgurat li s-settur jikkontribwixxi għall-mira tal-UE għat-tnaqqis tal-emissjonijiet, u li tiġi implimentata l-Iskema ta’ Kumpens u Tnaqqis tal-Karbonju għall-Avjazzjoni Internazzjonali (CORSIA) fid-dritt tal-UE b’mod konsistenti mal-objettivi klimatiċi tal-UE għall-2030.</w:t>
      </w:r>
    </w:p>
    <w:p w14:paraId="3685CD75" w14:textId="5D24E172" w:rsidR="00C2583A" w:rsidRPr="00DA11F1" w:rsidRDefault="00F51636" w:rsidP="003C191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Dan ir-rapport dwar il-funzjonament tas-suq Ewropew tal-karbonju huwa ppreżentat b’konformità mal-Artikoli 10(5) u 21(2) tad-Direttiva 2003/87/KE (id-Direttiva dwar l-Iskambju tal-Kwoti tal-Emissjonijiet)</w:t>
      </w:r>
      <w:r w:rsidR="00973B21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"/>
      </w:r>
      <w:r>
        <w:rPr>
          <w:rFonts w:ascii="Times New Roman" w:hAnsi="Times New Roman"/>
          <w:noProof/>
          <w:sz w:val="24"/>
          <w:szCs w:val="24"/>
        </w:rPr>
        <w:t>. Ikopri s-sena 2020 u l-ewwel nofs tal-2021 (sat-30 ta’ Ġunju 2021); peress li l-2020 kienet ukoll l-aħħar sena tal-fażi 3 tal-EU ETS (mill-2013 sal-2020), jipprovdi wkoll ħarsa ġenerali lejn l-iżviluppi ewlenin matul dan il-perjodu.</w:t>
      </w:r>
    </w:p>
    <w:p w14:paraId="5374E73A" w14:textId="403E266E" w:rsidR="00245692" w:rsidRPr="00DA11F1" w:rsidRDefault="00104163" w:rsidP="00EE2F8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Ir-rapport jeżamina t-tnaqqis sinifikanti fl-emissjonijiet miksub matul il-fażi 3 u l-fatturi li wasslu għal dan (il-Kapitolu 3.2.1), u janalizza r-rwol tal-MSR fit-tnaqqis tal-eċċess ta’ kwoti akkumulati fl-EU ETS (il-Kapitolu 3.2.2). Jenfasizza wkoll l-iżviluppi ewlenin tal-fażi 3 fl-oqsma tal-avjazzjoni (il-Kapitolu 4), tal-allokazzjoni bla ħlas (il-Kapitolu 3.1.2), tal-irkant tal-kwoti, tad-dħul li jirriżulta mill-irkant u l-użu tiegħu (il-Kapitolu 3.1.3), tal-istrumenti ta’ finanzjament tal-EU ETS (il-Kapitoli 3.1.4 sa 3.1.8), tas-sorveljanza tas-suq (il-Kapitolu 5), u tal-effettività tal-implimentazzjoni tal-EU ETS fil-pajjiżi parteċipanti (il-Kapitolu 6). Ir-rapport jinkludi żewġ kapitoli ġodda: Il-Kapitolu 7 jiddeskrivi l-kollegament bejn l-EU ETS u l-ETS tal-Iżvizzera u jeżamina l-effett li kellu l-kollegament fuq iż-żewġ swieq tal-karbonju, filwaqt li l-Kapitolu 8 jeżamina l-impatt tal-implimentazzjoni tad-Direttiva 2012/27/UE kif emendata mid-Direttiva (UE) 2018/2002</w:t>
      </w:r>
      <w:r w:rsidR="00531E62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3"/>
      </w:r>
      <w:r>
        <w:rPr>
          <w:rFonts w:ascii="Times New Roman" w:hAnsi="Times New Roman"/>
          <w:noProof/>
          <w:sz w:val="24"/>
          <w:szCs w:val="24"/>
        </w:rPr>
        <w:t xml:space="preserve"> (id-Direttiva dwar l-Effiċjenza fl-Enerġija) u l-pjanijiet nazzjonali għall-enerġija u l-klima (NECPs) tal-2019 dwar l-EU ETS. </w:t>
      </w:r>
    </w:p>
    <w:p w14:paraId="59FC7AE9" w14:textId="20910BE2" w:rsidR="0042389A" w:rsidRPr="00DA11F1" w:rsidRDefault="0042389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Sakemm ma jkunx indikat mod ieħor, 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użata għal dan ir-rapport kienet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li kienet jew disponibbli għall-pubbliku jew disponibbli għall-Kummissjoni sal-aħħar ta’ Ġunju tal-2021. Ir-rapport ikopri 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tal-2020 għar-Renju Unit (UK), sabiex jirrifletti l-ambitu tal-EU ETS sal-31 ta’ Diċembru 2020. L-informazzjoni teknika u deskrittiva dwar l-EU ETS ingħatat fl-appendiċijiet tad-dokument ta’ ħidma tal-persunal li jakkumpanja dan ir-rapport.  </w:t>
      </w:r>
    </w:p>
    <w:p w14:paraId="768A3AD1" w14:textId="7436ADF5" w:rsidR="009C349A" w:rsidRPr="00DA11F1" w:rsidRDefault="00FA7EBD" w:rsidP="00006E10">
      <w:pPr>
        <w:pStyle w:val="Heading1"/>
        <w:rPr>
          <w:noProof/>
        </w:rPr>
      </w:pPr>
      <w:bookmarkStart w:id="8" w:name="_Toc426378556"/>
      <w:bookmarkStart w:id="9" w:name="_Toc89703106"/>
      <w:bookmarkStart w:id="10" w:name="_Toc490850421"/>
      <w:bookmarkStart w:id="11" w:name="_Toc519009677"/>
      <w:bookmarkEnd w:id="8"/>
      <w:r>
        <w:rPr>
          <w:noProof/>
        </w:rPr>
        <w:t>2. L-INFRASTRUTTURA U L-KOPERTURA TAL-EU ETS</w:t>
      </w:r>
      <w:bookmarkEnd w:id="9"/>
    </w:p>
    <w:p w14:paraId="2240193B" w14:textId="7E31B42C" w:rsidR="00C163CB" w:rsidRPr="00DA11F1" w:rsidRDefault="000D6521" w:rsidP="00EE2F8D">
      <w:pPr>
        <w:suppressAutoHyphens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Matul il-fażi 3 tal-EU ETS (mill-2013 sal-2020), is-sistema kienet tkopri 28 Stat Membru tal-UE (inkluż ir-Renju Unit) u tliet pajjiżi tal-EFTA - l-Iżlanda, il-Liechtenstein u n-Norveġja. Mill-1 ta’ Jannar 2021, l-EU ETS bdiet tkopri 27 Stat Membru flimkien mal-Iżlanda, il-Liechtenstein u n-Norveġja, kif ukoll l-installazzjonijiet li jiġġeneraw l-elettriku fl-Irlanda ta’ Fuq. Mill-1 ta’ Jannar 2020, l-EU ETS hija marbuta mas-suq tal-karbonju Żvizzeru (ara l-Kapitolu 7). </w:t>
      </w:r>
    </w:p>
    <w:p w14:paraId="724E336A" w14:textId="174C1134" w:rsidR="00E72DBC" w:rsidRPr="00DA11F1" w:rsidRDefault="00686C15" w:rsidP="00EE2F8D">
      <w:pPr>
        <w:suppressAutoHyphens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B’kollox, l-EU ETS tirregola l-emissjonijiet minn aktar minn 10 400 impjant tal-enerġija u tas-sħana u installazzjonijiet tal-manifattura, kif ukoll madwar 350 operatur tal-inġenji tal-ajru li jtiru bejn l-ajruporti taż-Żona Ekonomika Ewropea (ŻEE), u miż-ŻEE lejn l-Iżvizzera u r-Renju Unit. Għalkemm fil-bidu tal-fażi 3, l-EU ETS kienet tkopri madwar nofs l-emissjonijiet kollha tal-gassijiet serra fl-UE, bħalissa tkopri madwar 36 % tal-emissjonijiet ta’ gassijiet serra fl-UE. Fl-Appendiċi 1 tad-dokument ta’ ħidma tal-persunal li jakkumpanja dan ir-rapport tinsab ħarsa ġenerali dettaljata lejn il-kopertura tal-EU ETS fil-fażi 3. </w:t>
      </w:r>
    </w:p>
    <w:p w14:paraId="10B8BB53" w14:textId="7B677BD4" w:rsidR="00131369" w:rsidRPr="00DA11F1" w:rsidRDefault="009B1524" w:rsidP="00C163CB">
      <w:pPr>
        <w:pStyle w:val="Heading1"/>
        <w:rPr>
          <w:rStyle w:val="Heading2Char"/>
          <w:b/>
          <w:bCs/>
          <w:i w:val="0"/>
          <w:iCs w:val="0"/>
          <w:noProof/>
          <w:szCs w:val="32"/>
        </w:rPr>
      </w:pPr>
      <w:bookmarkStart w:id="12" w:name="_Toc89703107"/>
      <w:r>
        <w:rPr>
          <w:rStyle w:val="Heading2Char"/>
          <w:b/>
          <w:bCs/>
          <w:i w:val="0"/>
          <w:iCs w:val="0"/>
          <w:noProof/>
          <w:szCs w:val="32"/>
        </w:rPr>
        <w:t>2.1 Ir-Reġistru tal-UE u r-Reġistru tat-Tranżazzjonijiet tal-Unjoni Ewropea</w:t>
      </w:r>
      <w:bookmarkEnd w:id="12"/>
      <w:r>
        <w:rPr>
          <w:rStyle w:val="Heading2Char"/>
          <w:b/>
          <w:bCs/>
          <w:i w:val="0"/>
          <w:iCs w:val="0"/>
          <w:noProof/>
          <w:szCs w:val="32"/>
        </w:rPr>
        <w:t xml:space="preserve"> </w:t>
      </w:r>
      <w:bookmarkEnd w:id="10"/>
      <w:bookmarkEnd w:id="11"/>
    </w:p>
    <w:p w14:paraId="36505F23" w14:textId="0710B0DE" w:rsidR="002D560B" w:rsidRPr="00DA11F1" w:rsidRDefault="002D560B" w:rsidP="002D560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Ir-Reġistru tal-UE u r-Reġistru tat-Tranżazzjonijiet tal-Unjoni Ewropea (EUTL) jintraċċaw is-sidien tal-kwoti ġenerali u dawk tal-avjazzjoni billi jirreġistraw l-ammonti miżmuma fil-kontijiet u t-tranżazzjonijiet bejn il-kontijiet. Dawn is-sistemi jirreġistraw ukoll l-emissjonijiet ta’ installazzjonijiet stazzjonarji (tal-enerġija u tas-sħana, u tal-industrija) u ta’ operaturi ta’ inġenji tal-ajru, u l-konformità mal-obbligi li jirriżultaw minn dawn l-emissjonijiet. Iż-żewġ sistemi jitħaddmu u huma mantnuti mill-Kummissjoni, filwaqt li l-amministraturi tar-reġistri nazzjonali fil-pajjiżi parteċipanti għadhom il-punt ta’ kuntatt għad-detenturi tal-kontijiet u għar-rappreżentanti tagħhom (kumpaniji u individwi). Filwaqt li r-Reġistru tal-UE jżomm il-kontijiet u jirreġistra l-informazzjoni dwar il-konformità, l-EUTL jivverifika, jirreġistra u jawtorizza awtomatikament it-tranżazzjonijiet kollha bejn il-kontijiet, u b’hekk jiżgura li t-trasferimenti kollha jikkonformaw mar-regoli tal-EU ETS. </w:t>
      </w:r>
    </w:p>
    <w:p w14:paraId="445E86CC" w14:textId="5461618B" w:rsidR="002D560B" w:rsidRPr="00DA11F1" w:rsidRDefault="00154570" w:rsidP="00EE2F8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rreġistrata fir-Reġistru tal-UE u fl-EUTL għadhom sors importanti ta’ informazzjoni li jirfdu bosta tipi ta’ rapportar dwar l-EU ETS, bħall-kalkolu tal-indikatur tal-eċċess tar-Riżerva tal-Istabbiltà tas-Suq (MSR) (ara l-Kapitolu 3.2.2) u r-rapportar li sar mill-Aġenzija Ewropea għall-Ambjent. L-EUTL jipprovdi wkoll trasparenza fl-EU ETS, bil-pubblikazzjoni ta’ informazzjoni dwar il-konformità tal-installazzjonijiet stazzjonarji u tal-operaturi tal-inġenji tal-ajru mad-dispożizzjonijiet tal-EU ETS u dwar it-tranżazzjonijiet bejn il-kontijiet.</w:t>
      </w:r>
    </w:p>
    <w:p w14:paraId="79662C14" w14:textId="3966A845" w:rsidR="004D6E35" w:rsidRPr="00DA11F1" w:rsidRDefault="004D3B9F" w:rsidP="004D3B9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Matul il-fażi 3, is-sit web pubbliku tal-EUTL ħadem b’mod affidabbli, u baqa’ operattiv għal 365 jum lejl u nhar kull sena, b’interruzzjonijiet żgħar biss minħabba aġġornamenti tekniċi ppjanati. Dan kien ukoll il-każ fl-2020. Eċċezzjoni waħda kienet it-18 ta’ Awwissu 2020, meta, minħabba problemi tekniċi, diversi tranżazzjonijiet ma ġewx ipproċessati b’mod korrett. Minħabba xogħol ta’ individwazzjoni ta’ soluzzjoni u ta’ tiswija bejn id-19 u l-21 ta’ Awwissu, ir-Reġistru tal-UE ma kienx disponibbli. </w:t>
      </w:r>
    </w:p>
    <w:p w14:paraId="62046D35" w14:textId="677F325B" w:rsidR="004D3B9F" w:rsidRPr="00DA11F1" w:rsidRDefault="004D6E35" w:rsidP="004D3B9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Fl-2020 u fl-ewwel sitt xhur tal-2021 twettqu diversi xogħlijiet ta’ żvilupp ewlenin fir-Reġistru tal-UE. L-ewwel nett, il-Ftehim dwar il-Kummerċ u l-Kooperazzjoni</w:t>
      </w:r>
      <w:r w:rsidR="004D3B9F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4"/>
      </w:r>
      <w:r>
        <w:rPr>
          <w:rFonts w:ascii="Times New Roman" w:hAnsi="Times New Roman"/>
          <w:noProof/>
          <w:sz w:val="24"/>
          <w:szCs w:val="24"/>
        </w:rPr>
        <w:t xml:space="preserve"> bejn l-UE u r-Renju Unit ġie applikat b’mod provviżorju mill-1 ta’ Jannar 2021 u daħal fis-seħħ fl-1 ta’ Mejju 2021.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Fil-Ftehim, l-UE u r-Renju Unit impenjaw ruħhom li jżommu l-livell ta’ ambizzjoni tal-politiki klimatiċi u ambjentali tagħhom bħal fi tmiem l-2020, u li jadattaw dawn il-politiki bi qbil mal-obbligi internazzjonali tagħhom. L-Artikolu 392 tal-Ftehim jipprevedi li mill-1 ta’ Jannar 2021, iż-żewġ partijiet għandu jkollhom fis-seħħ sistema ta’ pprezzar tal-karbonju, li tkopri l-emissjonijiet ta’ gassijiet serra mill-ġenerazzjoni tal-elettriku u tas-sħana, mill-industrija u mill-avjazzjoni. Il-ġeneraturi tal-elettriku fl-Irlanda ta’ Fuq u t-titjiriet li jitilqu miż-ŻEE lejn ir-Renju Unit għadhom koperti mill-EU ETS, filwaqt li t-titjiriet mir-Renju Unit lejn iż-ŻEE jaqgħu taħt is-sistema tal-ipprezzar tal-karbonju tar-Renju Unit (ara l-Kapitolu 4). B’konsegwenza, il-ġeneraturi tal-elettriku tal-Irlanda ta’ Fuq baqgħu fir-Reġistru tal-UE, u d-Direttiva dwar l-Iskambju tal-Kwoti tal-Emissjonijiet ġiet emendata sabiex takkomoda l-bidliet fil-kopertura tat-titjiriet.</w:t>
      </w:r>
      <w:r w:rsidR="00795EB2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5"/>
      </w:r>
    </w:p>
    <w:p w14:paraId="5EDE666A" w14:textId="2E61951C" w:rsidR="004D3B9F" w:rsidRPr="00DA11F1" w:rsidRDefault="00C65511" w:rsidP="004D3B9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L-Emenda ta’ Doha li tistabbilixxi t-tieni perjodu ta’ impenn (CP2) tal-Protokoll ta’ Kjoto (mill-1 ta’ Jannar 2013 sal-31 ta’ Diċembru 2020) ukoll daħlet fis-seħħ</w:t>
      </w:r>
      <w:r w:rsidR="004D3B9F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6"/>
      </w:r>
      <w:r>
        <w:rPr>
          <w:rFonts w:ascii="Times New Roman" w:hAnsi="Times New Roman"/>
          <w:noProof/>
          <w:sz w:val="24"/>
          <w:szCs w:val="24"/>
        </w:rPr>
        <w:t xml:space="preserve"> fil-31 ta’ Diċembru 2020. Skont l-Artikolu 5 tar-Regolament tal-Kummissjoni (UE) 389/2013 (ir-Regolament dwar ir-Reġistru)</w:t>
      </w:r>
      <w:r w:rsidR="008157E5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7"/>
      </w:r>
      <w:r>
        <w:rPr>
          <w:rFonts w:ascii="Times New Roman" w:hAnsi="Times New Roman"/>
          <w:noProof/>
          <w:sz w:val="24"/>
          <w:szCs w:val="24"/>
        </w:rPr>
        <w:t xml:space="preserve">, il-Kummissjoni taġixxi bħala l-amministratur tar-Reġistru tal-Protokoll ta’ Kjoto tal-UE, li huwa parti mir-Reġistru tal-UE. Għalkemm il-31 ta’ Diċembru 2020 kien l-aħħar jum tas-CP2, is-sistema ta’ trasparenza u konformità tal-Protokoll ta’ Kjoto se tkompli topera sal-verifika finali tal-konformità. Fl-2023, l-inventarji tal-emissjonijiet għall-aħħar sena tas-CP2 se jiġu rrapportati u riveduti u se jiġi ppreżentat rapport finali. </w:t>
      </w:r>
    </w:p>
    <w:p w14:paraId="150BDA62" w14:textId="5FE5ADF5" w:rsidR="004D3B9F" w:rsidRPr="00DA11F1" w:rsidRDefault="004D3B9F" w:rsidP="004D3B9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Il-ftehim dwar il-kollegament bejn l-EU ETS u l-ETS tal-Iżvizzera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8"/>
      </w:r>
      <w:r>
        <w:rPr>
          <w:rFonts w:ascii="Times New Roman" w:hAnsi="Times New Roman"/>
          <w:noProof/>
          <w:sz w:val="24"/>
          <w:szCs w:val="24"/>
        </w:rPr>
        <w:t xml:space="preserve"> daħal fis-seħħ fl-1 ta’ Jannar 2020. Sabiex tkun tista’ titħaddem ir-rabta bejn is-sistemi, fil-21 ta’ Settembru 2020 ġiet stabbilita soluzzjoni provviżorja sabiex jiġu kkollegati r-reġistri taż-żewġ sistemi u sabiex il-kwoti jkunu jistgħu jiġu ttrasferiti bejniethom (ara l-Kapitolu 7). </w:t>
      </w:r>
    </w:p>
    <w:p w14:paraId="02C5AE55" w14:textId="0D0C000B" w:rsidR="004D3B9F" w:rsidRPr="00DA11F1" w:rsidRDefault="001D33C2" w:rsidP="004D3B9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Fl-aħħar nett, l-implimentazzjoni teknika tar-regoli l-ġodda li ġew introdotti bir-Regolament Delegat tal-Kummissjoni (UE) 2019/1122</w:t>
      </w:r>
      <w:r w:rsidR="001A4B9C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9"/>
      </w:r>
      <w:r>
        <w:rPr>
          <w:rFonts w:ascii="Times New Roman" w:hAnsi="Times New Roman"/>
          <w:noProof/>
          <w:sz w:val="24"/>
          <w:szCs w:val="24"/>
        </w:rPr>
        <w:t xml:space="preserve"> tlestiet b’suċċess u l-funzjonalitajiet il-ġodda saru disponibbli fir-Reġistru tal-UE mill-1 ta’ Jannar 2021.</w:t>
      </w:r>
    </w:p>
    <w:p w14:paraId="144C54C9" w14:textId="0CCCA991" w:rsidR="00131369" w:rsidRPr="00DA11F1" w:rsidRDefault="009B1524" w:rsidP="00A7440C">
      <w:pPr>
        <w:pStyle w:val="Heading1"/>
        <w:spacing w:before="0" w:after="200"/>
        <w:rPr>
          <w:noProof/>
        </w:rPr>
      </w:pPr>
      <w:bookmarkStart w:id="13" w:name="_Toc490850422"/>
      <w:bookmarkStart w:id="14" w:name="_Toc519009678"/>
      <w:bookmarkStart w:id="15" w:name="_Toc89703108"/>
      <w:r>
        <w:rPr>
          <w:noProof/>
        </w:rPr>
        <w:t>3. IL-FUNZJONAMENT TAS-SUQ TAL-KARBONJU</w:t>
      </w:r>
      <w:bookmarkEnd w:id="13"/>
      <w:bookmarkEnd w:id="14"/>
      <w:bookmarkEnd w:id="15"/>
    </w:p>
    <w:p w14:paraId="4F5E92BC" w14:textId="4DCC2DCB" w:rsidR="00006E10" w:rsidRPr="00DA11F1" w:rsidRDefault="009B1524" w:rsidP="00006E10">
      <w:pPr>
        <w:pStyle w:val="Heading2"/>
        <w:rPr>
          <w:i w:val="0"/>
          <w:noProof/>
        </w:rPr>
      </w:pPr>
      <w:bookmarkStart w:id="16" w:name="_Toc490850423"/>
      <w:bookmarkStart w:id="17" w:name="_Toc519009679"/>
      <w:bookmarkStart w:id="18" w:name="_Toc89703109"/>
      <w:r>
        <w:rPr>
          <w:i w:val="0"/>
          <w:noProof/>
        </w:rPr>
        <w:t>3.1. Provvista: kwoti mqiegħda fiċ-ċirkolazzjoni</w:t>
      </w:r>
      <w:bookmarkEnd w:id="16"/>
      <w:bookmarkEnd w:id="17"/>
      <w:bookmarkEnd w:id="18"/>
      <w:r>
        <w:rPr>
          <w:i w:val="0"/>
          <w:noProof/>
        </w:rPr>
        <w:t xml:space="preserve"> </w:t>
      </w:r>
    </w:p>
    <w:p w14:paraId="4D475B3A" w14:textId="77777777" w:rsidR="00131369" w:rsidRPr="00DA11F1" w:rsidRDefault="009B1524">
      <w:pPr>
        <w:pStyle w:val="Heading3"/>
        <w:spacing w:before="0" w:after="200"/>
        <w:ind w:left="720"/>
        <w:rPr>
          <w:i/>
          <w:noProof/>
        </w:rPr>
      </w:pPr>
      <w:bookmarkStart w:id="19" w:name="_Toc490850424"/>
      <w:bookmarkStart w:id="20" w:name="_Toc519009680"/>
      <w:bookmarkStart w:id="21" w:name="_Toc89703110"/>
      <w:r>
        <w:rPr>
          <w:i/>
          <w:noProof/>
        </w:rPr>
        <w:t>3.1.1. Il-limitu massimu</w:t>
      </w:r>
      <w:bookmarkEnd w:id="19"/>
      <w:bookmarkEnd w:id="20"/>
      <w:bookmarkEnd w:id="21"/>
    </w:p>
    <w:p w14:paraId="363D6FF5" w14:textId="2986197F" w:rsidR="00F81DAA" w:rsidRPr="00DA11F1" w:rsidRDefault="00E00988" w:rsidP="00F81DA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Il-limitu massimu huwa l-kwantità assoluta massima ta’ emissjonijiet ta’ gassijiet serra li jistgħu jiġu emessi mill-entitajiet koperti mill-EU ETS sabiex jiżguraw li tintlaħaq il-mira ta’ tnaqqis ta’ emissjonijiet ta’ gassijiet serra u li dan jikkorrispondi man-numru ta’ kwoti mqiegħda fiċ-ċirkolazzjoni tul perjodu ta’ negozjar. Japplika limitu massimu komuni madwar l-UE kollha għall-EU ETS kollha (għal informazzjoni dettaljata dwar il-limitu massimu, ara l-Appendiċi 2 tad-dokument ta’ ħidma tal-persunal li jakkumpanja dan ir-rapport). Matul il-fażi 3 tal-EU ETS (mill-2013 sal-2020), il-limitu massimu naqas kull sena bil-fattur lineari ta’ tnaqqis ta’ 1,74 %, sabiex b’hekk ġie żgurat li jonqsu l-emissjonijiet totali (ara l-Kapitolu 3.2.1). Fil-fażi 4 tal-EU ETS (mill-2021 sal-2030), il-limitu massimu kemm għall-installazzjonijiet stazzjonarji kif ukoll għall-avjazzjoni jonqos kull sena bil-fattur ta’ tnaqqis lineari ta’ 2,2 %. </w:t>
      </w:r>
      <w:r w:rsidR="00561BA5" w:rsidRPr="00DA11F1">
        <w:rPr>
          <w:rFonts w:ascii="Times New Roman" w:hAnsi="Times New Roman"/>
          <w:noProof/>
          <w:sz w:val="28"/>
          <w:szCs w:val="24"/>
        </w:rPr>
        <w:fldChar w:fldCharType="begin"/>
      </w:r>
      <w:r w:rsidR="00561BA5" w:rsidRPr="00DA11F1">
        <w:rPr>
          <w:rFonts w:ascii="Times New Roman" w:hAnsi="Times New Roman"/>
          <w:noProof/>
          <w:sz w:val="28"/>
          <w:szCs w:val="24"/>
        </w:rPr>
        <w:instrText xml:space="preserve"> REF  _Ref85018775 </w:instrText>
      </w:r>
      <w:r w:rsidR="008968F7" w:rsidRPr="00DA11F1">
        <w:rPr>
          <w:rFonts w:ascii="Times New Roman" w:hAnsi="Times New Roman"/>
          <w:noProof/>
          <w:sz w:val="28"/>
          <w:szCs w:val="24"/>
        </w:rPr>
        <w:instrText xml:space="preserve"> \* MERGEFORMAT </w:instrText>
      </w:r>
      <w:r w:rsidR="00561BA5" w:rsidRPr="00DA11F1">
        <w:rPr>
          <w:rFonts w:ascii="Times New Roman" w:hAnsi="Times New Roman"/>
          <w:noProof/>
          <w:sz w:val="28"/>
          <w:szCs w:val="24"/>
        </w:rPr>
        <w:fldChar w:fldCharType="separate"/>
      </w:r>
      <w:r w:rsidR="00561BA5" w:rsidRPr="00DA11F1">
        <w:rPr>
          <w:rFonts w:ascii="Times New Roman" w:hAnsi="Times New Roman"/>
          <w:noProof/>
          <w:sz w:val="24"/>
        </w:rPr>
        <w:t>Table 1</w:t>
      </w:r>
      <w:r w:rsidR="00561BA5" w:rsidRPr="00DA11F1">
        <w:rPr>
          <w:rFonts w:ascii="Times New Roman" w:hAnsi="Times New Roman"/>
          <w:noProof/>
          <w:sz w:val="28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turi ċ-ċifri għal-limitu massimu fuq l-emissjonijiet minn installazzjonijiet stazzjonarji u n-numru ta’ kwoti tal-avjazzjoni mqiegħda fiċ-ċirkolazzjoni</w:t>
      </w:r>
      <w:r w:rsidR="009B1524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0"/>
      </w:r>
      <w:r>
        <w:rPr>
          <w:rFonts w:ascii="Times New Roman" w:hAnsi="Times New Roman"/>
          <w:noProof/>
          <w:sz w:val="24"/>
          <w:szCs w:val="24"/>
        </w:rPr>
        <w:t xml:space="preserve"> kull sena matul il-fażi 3. </w:t>
      </w:r>
    </w:p>
    <w:p w14:paraId="4DD3FF59" w14:textId="15F726A9" w:rsidR="00A9289A" w:rsidRPr="00DA11F1" w:rsidRDefault="00A9289A" w:rsidP="00561BA5">
      <w:pPr>
        <w:pStyle w:val="Caption"/>
        <w:keepNext/>
        <w:rPr>
          <w:rFonts w:ascii="Times New Roman" w:hAnsi="Times New Roman"/>
          <w:noProof/>
          <w:sz w:val="22"/>
        </w:rPr>
      </w:pPr>
      <w:bookmarkStart w:id="22" w:name="_Ref85018775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76166" w:rsidRPr="00DA11F1">
        <w:rPr>
          <w:rFonts w:ascii="Times New Roman" w:hAnsi="Times New Roman"/>
          <w:noProof/>
          <w:sz w:val="22"/>
        </w:rPr>
        <w:t>1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22"/>
      <w:r>
        <w:rPr>
          <w:rFonts w:ascii="Times New Roman" w:hAnsi="Times New Roman"/>
          <w:noProof/>
          <w:sz w:val="22"/>
        </w:rPr>
        <w:t>. Il-limitu massimu tal-EU ETS fil-fażi 3 tal-EU ETS (mill-2013 sal-2020)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3207"/>
        <w:gridCol w:w="3810"/>
      </w:tblGrid>
      <w:tr w:rsidR="00131369" w:rsidRPr="00DA11F1" w14:paraId="34A125D2" w14:textId="77777777" w:rsidTr="00D24249">
        <w:trPr>
          <w:trHeight w:val="615"/>
          <w:jc w:val="center"/>
        </w:trPr>
        <w:tc>
          <w:tcPr>
            <w:tcW w:w="1994" w:type="dxa"/>
            <w:vAlign w:val="center"/>
          </w:tcPr>
          <w:p w14:paraId="06D1F290" w14:textId="5399CE89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Sena</w:t>
            </w:r>
          </w:p>
        </w:tc>
        <w:tc>
          <w:tcPr>
            <w:tcW w:w="3207" w:type="dxa"/>
            <w:vAlign w:val="center"/>
          </w:tcPr>
          <w:p w14:paraId="3F5343FF" w14:textId="5D852561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Il-limitu massimu annwali (installazzjonijiet stazzjonarji)</w:t>
            </w:r>
          </w:p>
        </w:tc>
        <w:tc>
          <w:tcPr>
            <w:tcW w:w="3810" w:type="dxa"/>
            <w:vAlign w:val="center"/>
          </w:tcPr>
          <w:p w14:paraId="3E7549E8" w14:textId="77777777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Il-kwoti tal-avjazzjoni annwali mqiegħda fiċ-ċirkolazzjoni</w:t>
            </w:r>
            <w:r w:rsidRPr="00DA11F1">
              <w:rPr>
                <w:rStyle w:val="FootnoteReference"/>
                <w:rFonts w:ascii="Times New Roman" w:hAnsi="Times New Roman"/>
                <w:b/>
                <w:noProof/>
              </w:rPr>
              <w:footnoteReference w:id="21"/>
            </w:r>
          </w:p>
        </w:tc>
      </w:tr>
      <w:tr w:rsidR="00131369" w:rsidRPr="00DA11F1" w14:paraId="7E1EABD4" w14:textId="77777777" w:rsidTr="00A51737">
        <w:trPr>
          <w:trHeight w:val="546"/>
          <w:jc w:val="center"/>
        </w:trPr>
        <w:tc>
          <w:tcPr>
            <w:tcW w:w="1994" w:type="dxa"/>
            <w:vAlign w:val="center"/>
          </w:tcPr>
          <w:p w14:paraId="704EE746" w14:textId="2A3C6EA3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2013</w:t>
            </w:r>
          </w:p>
        </w:tc>
        <w:tc>
          <w:tcPr>
            <w:tcW w:w="3207" w:type="dxa"/>
            <w:vAlign w:val="center"/>
          </w:tcPr>
          <w:p w14:paraId="1E0B6A82" w14:textId="70318B8C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2 084 301 856</w:t>
            </w:r>
          </w:p>
        </w:tc>
        <w:tc>
          <w:tcPr>
            <w:tcW w:w="3810" w:type="dxa"/>
            <w:vAlign w:val="center"/>
          </w:tcPr>
          <w:p w14:paraId="58C7A556" w14:textId="77777777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32 455 296</w:t>
            </w:r>
          </w:p>
        </w:tc>
      </w:tr>
      <w:tr w:rsidR="00131369" w:rsidRPr="00DA11F1" w14:paraId="2E09E3F1" w14:textId="77777777" w:rsidTr="00A51737">
        <w:trPr>
          <w:trHeight w:val="534"/>
          <w:jc w:val="center"/>
        </w:trPr>
        <w:tc>
          <w:tcPr>
            <w:tcW w:w="1994" w:type="dxa"/>
            <w:vAlign w:val="center"/>
          </w:tcPr>
          <w:p w14:paraId="60DB53A4" w14:textId="701FCD4A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2014</w:t>
            </w:r>
          </w:p>
        </w:tc>
        <w:tc>
          <w:tcPr>
            <w:tcW w:w="3207" w:type="dxa"/>
            <w:vAlign w:val="center"/>
          </w:tcPr>
          <w:p w14:paraId="5924A400" w14:textId="5AA086AA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2 046 037 610</w:t>
            </w:r>
          </w:p>
        </w:tc>
        <w:tc>
          <w:tcPr>
            <w:tcW w:w="3810" w:type="dxa"/>
            <w:vAlign w:val="center"/>
          </w:tcPr>
          <w:p w14:paraId="412B1D25" w14:textId="77777777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41 866 834</w:t>
            </w:r>
          </w:p>
        </w:tc>
      </w:tr>
      <w:tr w:rsidR="00131369" w:rsidRPr="00DA11F1" w14:paraId="0EA117D6" w14:textId="77777777" w:rsidTr="00A51737">
        <w:trPr>
          <w:trHeight w:val="522"/>
          <w:jc w:val="center"/>
        </w:trPr>
        <w:tc>
          <w:tcPr>
            <w:tcW w:w="1994" w:type="dxa"/>
            <w:vAlign w:val="center"/>
          </w:tcPr>
          <w:p w14:paraId="0E4EB67F" w14:textId="2F1B1115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2015</w:t>
            </w:r>
          </w:p>
        </w:tc>
        <w:tc>
          <w:tcPr>
            <w:tcW w:w="3207" w:type="dxa"/>
            <w:vAlign w:val="center"/>
          </w:tcPr>
          <w:p w14:paraId="7CBBE705" w14:textId="17D70EEA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2 007 773 364</w:t>
            </w:r>
          </w:p>
        </w:tc>
        <w:tc>
          <w:tcPr>
            <w:tcW w:w="3810" w:type="dxa"/>
            <w:vAlign w:val="center"/>
          </w:tcPr>
          <w:p w14:paraId="7D5A5CA5" w14:textId="77777777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50 669 024</w:t>
            </w:r>
          </w:p>
        </w:tc>
      </w:tr>
      <w:tr w:rsidR="00131369" w:rsidRPr="00DA11F1" w14:paraId="46BBB521" w14:textId="77777777" w:rsidTr="00A51737">
        <w:trPr>
          <w:trHeight w:val="510"/>
          <w:jc w:val="center"/>
        </w:trPr>
        <w:tc>
          <w:tcPr>
            <w:tcW w:w="1994" w:type="dxa"/>
            <w:vAlign w:val="center"/>
          </w:tcPr>
          <w:p w14:paraId="3396CFCF" w14:textId="392E2A22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2016</w:t>
            </w:r>
          </w:p>
        </w:tc>
        <w:tc>
          <w:tcPr>
            <w:tcW w:w="3207" w:type="dxa"/>
            <w:vAlign w:val="center"/>
          </w:tcPr>
          <w:p w14:paraId="3BAF0B98" w14:textId="3CF8EA0A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1 969 509 118</w:t>
            </w:r>
          </w:p>
        </w:tc>
        <w:tc>
          <w:tcPr>
            <w:tcW w:w="3810" w:type="dxa"/>
            <w:vAlign w:val="center"/>
          </w:tcPr>
          <w:p w14:paraId="014B745D" w14:textId="706A3FCF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38 879 316</w:t>
            </w:r>
          </w:p>
        </w:tc>
      </w:tr>
      <w:tr w:rsidR="00131369" w:rsidRPr="00DA11F1" w14:paraId="2C61FFDE" w14:textId="77777777" w:rsidTr="00A51737">
        <w:trPr>
          <w:trHeight w:val="603"/>
          <w:jc w:val="center"/>
        </w:trPr>
        <w:tc>
          <w:tcPr>
            <w:tcW w:w="1994" w:type="dxa"/>
            <w:vAlign w:val="center"/>
          </w:tcPr>
          <w:p w14:paraId="3CCD6967" w14:textId="6A502370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2017</w:t>
            </w:r>
          </w:p>
        </w:tc>
        <w:tc>
          <w:tcPr>
            <w:tcW w:w="3207" w:type="dxa"/>
            <w:vAlign w:val="center"/>
          </w:tcPr>
          <w:p w14:paraId="2F51730E" w14:textId="5D894857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1 931 244 873</w:t>
            </w:r>
          </w:p>
        </w:tc>
        <w:tc>
          <w:tcPr>
            <w:tcW w:w="3810" w:type="dxa"/>
            <w:vAlign w:val="center"/>
          </w:tcPr>
          <w:p w14:paraId="3A0351B3" w14:textId="77777777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38 711 651</w:t>
            </w:r>
          </w:p>
        </w:tc>
      </w:tr>
      <w:tr w:rsidR="00131369" w:rsidRPr="00DA11F1" w14:paraId="39A17954" w14:textId="77777777" w:rsidTr="00A51737">
        <w:trPr>
          <w:trHeight w:val="603"/>
          <w:jc w:val="center"/>
        </w:trPr>
        <w:tc>
          <w:tcPr>
            <w:tcW w:w="1994" w:type="dxa"/>
            <w:vAlign w:val="center"/>
          </w:tcPr>
          <w:p w14:paraId="45243A1E" w14:textId="01FC4EF4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2018</w:t>
            </w:r>
          </w:p>
        </w:tc>
        <w:tc>
          <w:tcPr>
            <w:tcW w:w="3207" w:type="dxa"/>
            <w:vAlign w:val="center"/>
          </w:tcPr>
          <w:p w14:paraId="19D67694" w14:textId="2E040594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1 892 980 627</w:t>
            </w:r>
          </w:p>
        </w:tc>
        <w:tc>
          <w:tcPr>
            <w:tcW w:w="3810" w:type="dxa"/>
            <w:vAlign w:val="center"/>
          </w:tcPr>
          <w:p w14:paraId="4F743EFE" w14:textId="77777777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38 909 585</w:t>
            </w:r>
          </w:p>
        </w:tc>
      </w:tr>
      <w:tr w:rsidR="00131369" w:rsidRPr="00DA11F1" w14:paraId="0C9A0078" w14:textId="77777777" w:rsidTr="00F81DAA">
        <w:trPr>
          <w:trHeight w:val="603"/>
          <w:jc w:val="center"/>
        </w:trPr>
        <w:tc>
          <w:tcPr>
            <w:tcW w:w="1994" w:type="dxa"/>
            <w:vAlign w:val="center"/>
          </w:tcPr>
          <w:p w14:paraId="77D2DD31" w14:textId="76EC58DD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2019</w:t>
            </w:r>
          </w:p>
        </w:tc>
        <w:tc>
          <w:tcPr>
            <w:tcW w:w="3207" w:type="dxa"/>
            <w:vAlign w:val="center"/>
          </w:tcPr>
          <w:p w14:paraId="6F7C9D1B" w14:textId="19382462" w:rsidR="00131369" w:rsidRPr="00DA11F1" w:rsidRDefault="009B1524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1 854 716 381</w:t>
            </w:r>
          </w:p>
        </w:tc>
        <w:tc>
          <w:tcPr>
            <w:tcW w:w="3810" w:type="dxa"/>
            <w:vAlign w:val="center"/>
          </w:tcPr>
          <w:p w14:paraId="342BBA62" w14:textId="4CF5278F" w:rsidR="00131369" w:rsidRPr="00DA11F1" w:rsidRDefault="008157E5" w:rsidP="00A51737">
            <w:pPr>
              <w:spacing w:line="27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38 830 950</w:t>
            </w:r>
          </w:p>
        </w:tc>
      </w:tr>
      <w:tr w:rsidR="00131369" w:rsidRPr="00DA11F1" w14:paraId="55B24EAD" w14:textId="77777777" w:rsidTr="00A51737">
        <w:trPr>
          <w:trHeight w:val="510"/>
          <w:jc w:val="center"/>
        </w:trPr>
        <w:tc>
          <w:tcPr>
            <w:tcW w:w="1994" w:type="dxa"/>
            <w:vAlign w:val="center"/>
          </w:tcPr>
          <w:p w14:paraId="1C609CF6" w14:textId="734A261B" w:rsidR="00131369" w:rsidRPr="00DA11F1" w:rsidRDefault="009B1524" w:rsidP="009718F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2020</w:t>
            </w:r>
          </w:p>
        </w:tc>
        <w:tc>
          <w:tcPr>
            <w:tcW w:w="3207" w:type="dxa"/>
            <w:vAlign w:val="center"/>
          </w:tcPr>
          <w:p w14:paraId="417243D0" w14:textId="5CDA4510" w:rsidR="00131369" w:rsidRPr="00DA11F1" w:rsidRDefault="009B1524" w:rsidP="009718F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1 816 452 135</w:t>
            </w:r>
          </w:p>
        </w:tc>
        <w:tc>
          <w:tcPr>
            <w:tcW w:w="3810" w:type="dxa"/>
            <w:vAlign w:val="center"/>
          </w:tcPr>
          <w:p w14:paraId="3C2E424D" w14:textId="68EA0E63" w:rsidR="00131369" w:rsidRPr="00DA11F1" w:rsidRDefault="000D1780" w:rsidP="009718F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42 803 537</w:t>
            </w:r>
          </w:p>
        </w:tc>
      </w:tr>
    </w:tbl>
    <w:p w14:paraId="542C47B4" w14:textId="4684615F" w:rsidR="00131369" w:rsidRPr="00DA11F1" w:rsidRDefault="009B1524" w:rsidP="00F81DAA">
      <w:pPr>
        <w:spacing w:before="200"/>
        <w:jc w:val="both"/>
        <w:rPr>
          <w:rFonts w:ascii="Times New Roman" w:hAnsi="Times New Roman"/>
          <w:noProof/>
          <w:sz w:val="24"/>
          <w:szCs w:val="24"/>
        </w:rPr>
      </w:pPr>
      <w:bookmarkStart w:id="23" w:name="_Toc490850425"/>
      <w:bookmarkStart w:id="24" w:name="_Toc519009681"/>
      <w:r>
        <w:rPr>
          <w:rFonts w:ascii="Times New Roman" w:hAnsi="Times New Roman"/>
          <w:noProof/>
          <w:sz w:val="24"/>
          <w:szCs w:val="24"/>
        </w:rPr>
        <w:t>Fl-1 ta’ Frar 2020 daħal fis-seħħ il-Ftehim dwar il-ħruġ tar-Renju Unit mill-Unjoni Ewropea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2"/>
      </w:r>
      <w:r>
        <w:rPr>
          <w:rFonts w:ascii="Times New Roman" w:hAnsi="Times New Roman"/>
          <w:noProof/>
          <w:sz w:val="24"/>
          <w:szCs w:val="24"/>
        </w:rPr>
        <w:t>. Id-Direttiva dwar l-Iskambju tal-Kwoti tal-Emissjonijiet kienet tapplika għar-Renju Unit sal-31 ta’ Diċembru 2020, u skont il-Protokoll tal-Irlanda u l-Irlanda ta’ Fuq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3"/>
      </w:r>
      <w:r>
        <w:rPr>
          <w:rFonts w:ascii="Times New Roman" w:hAnsi="Times New Roman"/>
          <w:noProof/>
          <w:sz w:val="24"/>
          <w:szCs w:val="24"/>
        </w:rPr>
        <w:t xml:space="preserve">, il-ġenerazzjoni tal-elettriku li tinsab fl-Irlanda ta’ Fuq tibqa’ fl-EU ETS bid-drittijiet u l-obbligi rilevanti. </w:t>
      </w:r>
    </w:p>
    <w:p w14:paraId="4828E735" w14:textId="6D3B7D49" w:rsidR="00124323" w:rsidRPr="00DA11F1" w:rsidRDefault="009B1524" w:rsidP="004D276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 rreaġixxiet għal dawn il-bidliet billi adottat id-Deċiżjoni dwar il-kwantità aġġustata ta’ kwoti mal-UE kollha fis-16 ta’ Novembru 2020.</w:t>
      </w:r>
      <w:r w:rsidR="004D276F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4"/>
      </w:r>
      <w:r>
        <w:rPr>
          <w:rFonts w:ascii="Times New Roman" w:hAnsi="Times New Roman"/>
          <w:noProof/>
          <w:sz w:val="24"/>
          <w:szCs w:val="24"/>
        </w:rPr>
        <w:t xml:space="preserve"> L-emissjonijiet mill-ġenerazzjoni tal-elettriku fl-Irlanda ta’ Fuq biss ġew ikkunsidrati fil-limitu massimu aġġornat (applikat mill-perjodu bażi bejn l-2008 u l-2012), li kkalkola tnaqqis tal-limitu massimu b’mod proporzjonali għall-emissjonijiet mir-Renju Unit li ma baqgħux jitqiesu.</w:t>
      </w:r>
      <w:r w:rsidR="00595C69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5"/>
      </w:r>
    </w:p>
    <w:p w14:paraId="6A269D00" w14:textId="2EDE7D4C" w:rsidR="00131369" w:rsidRPr="00DA11F1" w:rsidRDefault="00522110">
      <w:pPr>
        <w:spacing w:after="0"/>
        <w:jc w:val="both"/>
        <w:rPr>
          <w:rFonts w:ascii="Times New Roman" w:hAnsi="Times New Roman"/>
          <w:b/>
          <w:bCs/>
          <w:noProof/>
        </w:rPr>
      </w:pPr>
      <w:r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Pr="00DA11F1">
        <w:rPr>
          <w:rFonts w:ascii="Times New Roman" w:hAnsi="Times New Roman"/>
          <w:noProof/>
          <w:sz w:val="24"/>
          <w:szCs w:val="24"/>
        </w:rPr>
        <w:instrText xml:space="preserve"> REF _Ref85019140 </w:instrText>
      </w:r>
      <w:r w:rsidR="008968F7" w:rsidRPr="00DA11F1">
        <w:rPr>
          <w:rFonts w:ascii="Times New Roman" w:hAnsi="Times New Roman"/>
          <w:noProof/>
          <w:sz w:val="24"/>
          <w:szCs w:val="24"/>
        </w:rPr>
        <w:instrText xml:space="preserve"> \* MERGEFORMAT </w:instrText>
      </w:r>
      <w:r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595C69" w:rsidRPr="00DA11F1">
        <w:rPr>
          <w:rFonts w:ascii="Times New Roman" w:hAnsi="Times New Roman"/>
          <w:noProof/>
          <w:sz w:val="24"/>
          <w:szCs w:val="24"/>
        </w:rPr>
        <w:t>Figure 1</w:t>
      </w:r>
      <w:r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tiġbor fil-qosor it-tnaqqis tal-limitu massimu wara ż-żieda tal-fattur lineari ta’ tnaqqis għal 2,2 % mill-2021. Dan juri wkoll ir-rwol tal-għalf tar-Riżerva tal-Istabbiltà tas-Suq (MSR) u l-kontribuzzjonijiet ta’ posponiment lejn tmiem il-perjodu għall-MSR (ara l-Kapitolu 3.2.2). Il-linji b’linji miksura fl-illustrazzjoni japprossimaw l-impatt tal-mira ogħla għat-tnaqqis tal-emissjonijiet tal-2030 kif proposta mill-Kummissjoni fl-14 ta’ Lulju 2021 fil-pakkett ta’ reviżjoni sabiex jitwettaq il-Patt Ekoloġiku Ewropew.</w:t>
      </w:r>
    </w:p>
    <w:p w14:paraId="46D3F9E9" w14:textId="60EEDACC" w:rsidR="00131369" w:rsidRPr="00DA11F1" w:rsidRDefault="00131369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69301BFB" w14:textId="77777777" w:rsidR="006E039C" w:rsidRPr="00DA11F1" w:rsidRDefault="006E039C" w:rsidP="00561BA5">
      <w:pPr>
        <w:pStyle w:val="Caption"/>
        <w:keepNext/>
        <w:jc w:val="both"/>
        <w:rPr>
          <w:rFonts w:ascii="Times New Roman" w:hAnsi="Times New Roman"/>
          <w:noProof/>
          <w:sz w:val="22"/>
        </w:rPr>
        <w:sectPr w:rsidR="006E039C" w:rsidRPr="00DA11F1" w:rsidSect="006F13D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  <w:bookmarkStart w:id="25" w:name="_Ref85019140"/>
    </w:p>
    <w:p w14:paraId="7BDB2BFE" w14:textId="73AC9906" w:rsidR="00522110" w:rsidRPr="00DA11F1" w:rsidRDefault="00522110" w:rsidP="00561BA5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1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25"/>
      <w:r>
        <w:rPr>
          <w:rFonts w:ascii="Times New Roman" w:hAnsi="Times New Roman"/>
          <w:noProof/>
          <w:sz w:val="22"/>
        </w:rPr>
        <w:t>. It-tnaqqis tal-limitu massimu li japplika l-fattur lineari ta’ tnaqqis ta’ 2,2 % mill-2021</w:t>
      </w:r>
      <w:r w:rsidRPr="00DA11F1">
        <w:rPr>
          <w:rFonts w:ascii="Times New Roman" w:hAnsi="Times New Roman"/>
          <w:b w:val="0"/>
          <w:bCs w:val="0"/>
          <w:noProof/>
          <w:sz w:val="22"/>
          <w:vertAlign w:val="superscript"/>
        </w:rPr>
        <w:footnoteReference w:id="26"/>
      </w:r>
    </w:p>
    <w:p w14:paraId="0214C823" w14:textId="1D2AC8A3" w:rsidR="006E039C" w:rsidRPr="00DA11F1" w:rsidRDefault="006E039C" w:rsidP="00774BD0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3A379D" wp14:editId="094F3338">
                <wp:simplePos x="0" y="0"/>
                <wp:positionH relativeFrom="column">
                  <wp:posOffset>57874</wp:posOffset>
                </wp:positionH>
                <wp:positionV relativeFrom="paragraph">
                  <wp:posOffset>163750</wp:posOffset>
                </wp:positionV>
                <wp:extent cx="7020521" cy="660414"/>
                <wp:effectExtent l="57150" t="0" r="0" b="25400"/>
                <wp:wrapNone/>
                <wp:docPr id="10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521" cy="660414"/>
                          <a:chOff x="0" y="0"/>
                          <a:chExt cx="7020521" cy="660414"/>
                        </a:xfrm>
                      </wpg:grpSpPr>
                      <wps:wsp>
                        <wps:cNvPr id="12" name="5-Point Star 12"/>
                        <wps:cNvSpPr/>
                        <wps:spPr>
                          <a:xfrm>
                            <a:off x="35986" y="93773"/>
                            <a:ext cx="71810" cy="71882"/>
                          </a:xfrm>
                          <a:prstGeom prst="star5">
                            <a:avLst/>
                          </a:prstGeom>
                          <a:solidFill>
                            <a:srgbClr val="133176"/>
                          </a:solidFill>
                          <a:ln>
                            <a:solidFill>
                              <a:srgbClr val="1331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Isosceles Triangle 13"/>
                        <wps:cNvSpPr/>
                        <wps:spPr>
                          <a:xfrm>
                            <a:off x="38653" y="304342"/>
                            <a:ext cx="66476" cy="71361"/>
                          </a:xfrm>
                          <a:prstGeom prst="triangle">
                            <a:avLst/>
                          </a:prstGeom>
                          <a:solidFill>
                            <a:srgbClr val="133176"/>
                          </a:solidFill>
                          <a:ln>
                            <a:solidFill>
                              <a:srgbClr val="1331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485775"/>
                            <a:ext cx="144016" cy="1041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33176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TextBox 60"/>
                        <wps:cNvSpPr txBox="1"/>
                        <wps:spPr>
                          <a:xfrm>
                            <a:off x="107911" y="0"/>
                            <a:ext cx="6912610" cy="253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23D0D2" w14:textId="77777777" w:rsidR="0088478D" w:rsidRPr="006E039C" w:rsidRDefault="0088478D" w:rsidP="006E039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0F5494"/>
                                  <w:sz w:val="21"/>
                                  <w:szCs w:val="21"/>
                                </w:rPr>
                                <w:t>Il-kwoti posposti lejn tmiem il-perjodu (total ta’ 900 miljun)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TextBox 61"/>
                        <wps:cNvSpPr txBox="1"/>
                        <wps:spPr>
                          <a:xfrm>
                            <a:off x="107911" y="203525"/>
                            <a:ext cx="6912610" cy="253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8052A" w14:textId="4E10924E" w:rsidR="0088478D" w:rsidRPr="006E039C" w:rsidRDefault="0088478D" w:rsidP="006E039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0F5494"/>
                                  <w:sz w:val="21"/>
                                  <w:szCs w:val="21"/>
                                </w:rPr>
                                <w:t xml:space="preserve">Il-kontribuzzjoni għar-Riżerva tal-Istabbiltà tas-Suq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TextBox 62"/>
                        <wps:cNvSpPr txBox="1"/>
                        <wps:spPr>
                          <a:xfrm>
                            <a:off x="107911" y="407049"/>
                            <a:ext cx="6912610" cy="253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3E5EA9" w14:textId="77777777" w:rsidR="0088478D" w:rsidRPr="006E039C" w:rsidRDefault="0088478D" w:rsidP="006E039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0F5494"/>
                                  <w:sz w:val="21"/>
                                  <w:szCs w:val="21"/>
                                </w:rPr>
                                <w:t>Il-kontribuzzjoni/ħruġ mir-Riżerva tal-Istabbiltà tas-Suq skont l-eċċess tas-suq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A379D" id="Group 56" o:spid="_x0000_s1026" style="position:absolute;left:0;text-align:left;margin-left:4.55pt;margin-top:12.9pt;width:552.8pt;height:52pt;z-index:251663360" coordsize="70205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">
                <v:shape id="5-Point Star 12" o:spid="_x0000_s1027" style="position:absolute;left:359;top:937;width:718;height:719;visibility:visible;mso-wrap-style:square;v-text-anchor:middle" coordsize="71810,7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" path="m,27456r27429,1l35905,r8476,27457l71810,27456,49619,44425r8476,27457l35905,54913,13715,71882,22191,44425,,27456xe" fillcolor="#133176" strokecolor="#133176">
                  <v:shadow on="t" color="black" opacity="22937f" origin=",.5" offset="0,.63889mm"/>
                  <v:path arrowok="t" o:connecttype="custom" o:connectlocs="0,27456;27429,27457;35905,0;44381,27457;71810,27456;49619,44425;58095,71882;35905,54913;13715,71882;22191,44425;0,27456" o:connectangles="0,0,0,0,0,0,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" o:spid="_x0000_s1028" type="#_x0000_t5" style="position:absolute;left:386;top:3043;width:665;height: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" fillcolor="#133176" strokecolor="#133176">
                  <v:shadow on="t" color="black" opacity="22937f" origin=",.5" offset="0,.63889mm"/>
                </v:shape>
                <v:rect id="Rectangle 15" o:spid="_x0000_s1029" style="position:absolute;top:4857;width:1440;height:1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" filled="f" strokecolor="#133176">
                  <v:stroke dashstyle="3 1"/>
                  <v:shadow on="t" color="black" opacity="22937f" origin=",.5" offset="0,.6388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0" o:spid="_x0000_s1030" type="#_x0000_t202" style="position:absolute;left:1079;width:6912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C23D0D2" w14:textId="77777777" w:rsidR="0088478D" w:rsidRPr="006E039C" w:rsidRDefault="0088478D" w:rsidP="006E039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/>
                            <w:color w:val="0F5494"/>
                            <w:sz w:val="21"/>
                            <w:szCs w:val="21"/>
                          </w:rPr>
                          <w:t>Il-kwoti posposti lejn tmiem il-perjodu (total ta’ 900 miljun)</w:t>
                        </w:r>
                      </w:p>
                    </w:txbxContent>
                  </v:textbox>
                </v:shape>
                <v:shape id="TextBox 61" o:spid="_x0000_s1031" type="#_x0000_t202" style="position:absolute;left:1079;top:2035;width:6912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928052A" w14:textId="4E10924E" w:rsidR="0088478D" w:rsidRPr="006E039C" w:rsidRDefault="0088478D" w:rsidP="006E039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/>
                            <w:color w:val="0F5494"/>
                            <w:sz w:val="21"/>
                            <w:szCs w:val="21"/>
                          </w:rPr>
                          <w:t xml:space="preserve">Il-kontribuzzjoni għar-Riżerva tal-Istabbiltà tas-Suq </w:t>
                        </w:r>
                      </w:p>
                    </w:txbxContent>
                  </v:textbox>
                </v:shape>
                <v:shape id="TextBox 62" o:spid="_x0000_s1032" type="#_x0000_t202" style="position:absolute;left:1079;top:4070;width:69126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E3E5EA9" w14:textId="77777777" w:rsidR="0088478D" w:rsidRPr="006E039C" w:rsidRDefault="0088478D" w:rsidP="006E039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/>
                            <w:color w:val="0F5494"/>
                            <w:sz w:val="21"/>
                            <w:szCs w:val="21"/>
                          </w:rPr>
                          <w:t>Il-kontribuzzjoni/ħruġ mir-Riżerva tal-Istabbiltà tas-Suq skont l-eċċess tas-suq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78D" w:rsidRPr="0088478D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0B26F730" wp14:editId="1B5B377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8863330" cy="1880235"/>
            <wp:effectExtent l="0" t="0" r="0" b="5715"/>
            <wp:wrapTight wrapText="bothSides">
              <wp:wrapPolygon edited="0">
                <wp:start x="0" y="0"/>
                <wp:lineTo x="0" y="21447"/>
                <wp:lineTo x="21541" y="21447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56428" w14:textId="77777777" w:rsidR="006E039C" w:rsidRPr="00DA11F1" w:rsidRDefault="006E039C" w:rsidP="00774BD0">
      <w:pPr>
        <w:pStyle w:val="Heading3"/>
        <w:spacing w:before="0" w:after="200"/>
        <w:ind w:firstLine="720"/>
        <w:rPr>
          <w:i/>
          <w:noProof/>
        </w:rPr>
        <w:sectPr w:rsidR="006E039C" w:rsidRPr="00DA11F1" w:rsidSect="006E039C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440" w:right="1440" w:bottom="1440" w:left="1440" w:header="709" w:footer="709" w:gutter="0"/>
          <w:cols w:space="720"/>
          <w:docGrid w:linePitch="360"/>
        </w:sectPr>
      </w:pPr>
    </w:p>
    <w:p w14:paraId="09988246" w14:textId="75AE6C15" w:rsidR="00131369" w:rsidRPr="00DA11F1" w:rsidRDefault="009B1524" w:rsidP="00774BD0">
      <w:pPr>
        <w:pStyle w:val="Heading3"/>
        <w:spacing w:before="0" w:after="200"/>
        <w:ind w:firstLine="720"/>
        <w:rPr>
          <w:i/>
          <w:noProof/>
        </w:rPr>
      </w:pPr>
      <w:bookmarkStart w:id="26" w:name="_Toc89703111"/>
      <w:r>
        <w:rPr>
          <w:i/>
          <w:noProof/>
        </w:rPr>
        <w:t xml:space="preserve">3.1.2. </w:t>
      </w:r>
      <w:bookmarkEnd w:id="23"/>
      <w:bookmarkEnd w:id="24"/>
      <w:r>
        <w:rPr>
          <w:i/>
          <w:noProof/>
        </w:rPr>
        <w:t>L-allokazzjoni bla ħlas</w:t>
      </w:r>
      <w:bookmarkEnd w:id="26"/>
    </w:p>
    <w:p w14:paraId="4BF51444" w14:textId="5F52178C" w:rsidR="00CA0B73" w:rsidRPr="00DA11F1" w:rsidRDefault="002D1C0C" w:rsidP="008606B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Għalkemm mill-fażi 3 l-irkantar fil-prinċipju jirrappreżenta d-distribuzzjoni ta’ 57 % tal-kwoti totali tal-volum, volum sinifikanti ta’ kwoti huwa allokat bla ħlas sabiex jiġi indirizzat ir-riskju ta’ rilokazzjoni tal-emissjonijiet tal-karbonju (meta l-attivitajiet jgħaddu lejn pajjiżi mhux tal-UE b’politiki klimatiċi anqas ambizzjużi dwar l-emissjonijiet tal-gassijiet serra, li jista’ jwassal għal żieda ġenerali fl-emissjonijiet). Il-ġenerazzjoni tal-elettriku ma kinitx eliġibbli għal kwoti bla ħlas, u l-allokazzjoni bla ħlas lill-industrija kienet ibbażata fuq parametri referenzjarji tal-prestazzjoni sabiex jissaħħu l-inċentivi sabiex jitnaqqsu l-emissjonijiet ta’ gassijiet serra u tiżdied l-innovazzjoni.</w:t>
      </w:r>
    </w:p>
    <w:p w14:paraId="1034E6A0" w14:textId="0CF89708" w:rsidR="007A43A4" w:rsidRPr="00DA11F1" w:rsidRDefault="005E1F51" w:rsidP="008606B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Fil-bidu tal-fażi 3, inħolqot ir-Riżerva għal Entranti Ġodda (NER) fl-EU ETS sabiex tipprovdi allokazzjonijiet bla ħlas addizzjonali lil installazzjonijiet industrijali ġodda u installazzjonijiet b’kapaċità li tiżdied b’mod sinifikanti, ekwivalenti għal 5 % tal-volum totali ta’ kwoti għal dan il-perjodu. Is-setturi u s-subsetturi meqjusin bħala esposti għal riskju sinifikanti ta’ rilokazzjoni tal-emissjonijiet tal-karbonju, u li b’hekk ingħataw sehem ogħla ta’ allokazzjoni bla ħlas, tqiegħdu f’lista ta’ rilokazzjoni tal-emissjonijiet tal-karbonju.</w:t>
      </w:r>
      <w:r w:rsidR="00E43CBA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7"/>
      </w:r>
      <w:r>
        <w:rPr>
          <w:rFonts w:ascii="Times New Roman" w:hAnsi="Times New Roman"/>
          <w:noProof/>
          <w:sz w:val="24"/>
          <w:szCs w:val="24"/>
        </w:rPr>
        <w:t xml:space="preserve"> Billi d-domanda għall-allokazzjoni bla ħlas qabżet il-provvista disponibbli, l-allokazzjoni tnaqqset għall-installazzjonijiet kollha bl-istess perċentwal billi ġie applikat il-fattur ta’ korrezzjoni transsettorjali</w:t>
      </w:r>
      <w:r w:rsidR="00E43CBA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8"/>
      </w:r>
      <w:r>
        <w:rPr>
          <w:rFonts w:ascii="Times New Roman" w:hAnsi="Times New Roman"/>
          <w:noProof/>
          <w:sz w:val="24"/>
          <w:szCs w:val="24"/>
        </w:rPr>
        <w:t>, li ġie rivedut</w:t>
      </w:r>
      <w:r w:rsidR="008606BF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29"/>
      </w:r>
      <w:r>
        <w:rPr>
          <w:rFonts w:ascii="Times New Roman" w:hAnsi="Times New Roman"/>
          <w:noProof/>
          <w:sz w:val="24"/>
          <w:szCs w:val="24"/>
        </w:rPr>
        <w:t xml:space="preserve"> fl-2017. Il-valuri tal-fattur ta’ korrezzjoni transsettorjali huma ppreżentati fit-Tabella 3.1 tal-Appendiċi 3 għad-dokument ta’ ħidma tal-persunal li jakkumpanja dan id-dokument.</w:t>
      </w:r>
    </w:p>
    <w:p w14:paraId="7C0B2096" w14:textId="057F189B" w:rsidR="00AF58CC" w:rsidRPr="00DA11F1" w:rsidRDefault="009B1524" w:rsidP="00AF58CC">
      <w:pPr>
        <w:pStyle w:val="NormalWeb"/>
        <w:spacing w:before="0" w:beforeAutospacing="0" w:after="300" w:afterAutospacing="0" w:line="276" w:lineRule="auto"/>
        <w:jc w:val="both"/>
        <w:rPr>
          <w:noProof/>
        </w:rPr>
      </w:pPr>
      <w:r>
        <w:rPr>
          <w:noProof/>
        </w:rPr>
        <w:t>Ir-Riżerva inizjali kellha 480,2 miljun kwota, wara li tnaqsu 300 miljun kwota għall-programm NER 300 b’appoġġ għall-innovazzjoni (ara l-Kapitolu 3.1.5). Sa Ġunju tal-2021, 178,3 miljun kwota ġew riżervati għal 1 392 installazzjoni għall-fażi 3 kollha. Għalhekk, 301,9 miljun kwota għadhom fir-riżerva. Minn dan l-ammont, se jitqiegħdu 200 miljun kwota fir-Riżerva għall-fażi 4 u l-bqija se jitqiegħdu fl-MSR.</w:t>
      </w:r>
    </w:p>
    <w:p w14:paraId="273881FC" w14:textId="3D728492" w:rsidR="00131369" w:rsidRPr="00DA11F1" w:rsidRDefault="007446BD">
      <w:pPr>
        <w:pStyle w:val="NormalWeb"/>
        <w:spacing w:before="0" w:beforeAutospacing="0" w:after="300" w:afterAutospacing="0" w:line="276" w:lineRule="auto"/>
        <w:jc w:val="both"/>
        <w:rPr>
          <w:noProof/>
        </w:rPr>
      </w:pPr>
      <w:r>
        <w:rPr>
          <w:noProof/>
        </w:rPr>
        <w:t xml:space="preserve">Sa Ġunju tal-2021, il-volum approvat oriġinarjament ta’ allokazzjoni bla ħlas għall-fażi 3 tnaqqas b’madwar 585 miljun kwota minn 6,5 biljun kwota, minħabba installazzjonijiet li għalqu jew naqqsu l-produzzjoni jew il-kapaċità tal-produzzjoni tagħhom. </w:t>
      </w:r>
      <w:r w:rsidR="00561BA5" w:rsidRPr="00DA11F1">
        <w:rPr>
          <w:noProof/>
        </w:rPr>
        <w:fldChar w:fldCharType="begin"/>
      </w:r>
      <w:r w:rsidR="00561BA5" w:rsidRPr="00DA11F1">
        <w:rPr>
          <w:noProof/>
        </w:rPr>
        <w:instrText xml:space="preserve"> REF _Ref85020258 </w:instrText>
      </w:r>
      <w:r w:rsidR="008968F7" w:rsidRPr="00DA11F1">
        <w:rPr>
          <w:noProof/>
        </w:rPr>
        <w:instrText xml:space="preserve"> \* MERGEFORMAT </w:instrText>
      </w:r>
      <w:r w:rsidR="00561BA5" w:rsidRPr="00DA11F1">
        <w:rPr>
          <w:noProof/>
        </w:rPr>
        <w:fldChar w:fldCharType="separate"/>
      </w:r>
      <w:r w:rsidR="00561BA5" w:rsidRPr="00DA11F1">
        <w:rPr>
          <w:noProof/>
        </w:rPr>
        <w:t>Table 2</w:t>
      </w:r>
      <w:r w:rsidR="00561BA5" w:rsidRPr="00DA11F1">
        <w:rPr>
          <w:noProof/>
        </w:rPr>
        <w:fldChar w:fldCharType="end"/>
      </w:r>
      <w:r>
        <w:rPr>
          <w:noProof/>
        </w:rPr>
        <w:t xml:space="preserve"> tiġbor fil-qosor l-allokazzjonijiet bla ħlas lill-industrija fil-fażi 3. </w:t>
      </w:r>
    </w:p>
    <w:p w14:paraId="28086E4F" w14:textId="4F18E2D4" w:rsidR="00561BA5" w:rsidRPr="00DA11F1" w:rsidRDefault="00561BA5" w:rsidP="00561BA5">
      <w:pPr>
        <w:pStyle w:val="Caption"/>
        <w:keepNext/>
        <w:rPr>
          <w:rFonts w:ascii="Times New Roman" w:hAnsi="Times New Roman"/>
          <w:noProof/>
          <w:sz w:val="22"/>
        </w:rPr>
      </w:pPr>
      <w:bookmarkStart w:id="27" w:name="_Ref85020258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76166" w:rsidRPr="00DA11F1">
        <w:rPr>
          <w:rFonts w:ascii="Times New Roman" w:hAnsi="Times New Roman"/>
          <w:noProof/>
          <w:sz w:val="22"/>
        </w:rPr>
        <w:t>2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27"/>
      <w:r>
        <w:rPr>
          <w:rFonts w:ascii="Times New Roman" w:hAnsi="Times New Roman"/>
          <w:noProof/>
          <w:sz w:val="22"/>
        </w:rPr>
        <w:t>. Il-kwoti bla ħlas allokati lill-industrija, minn Jannar tal-2013 sa Ġunju tal-2021 (f’miljuni)</w:t>
      </w:r>
      <w:r>
        <w:rPr>
          <w:rStyle w:val="FootnoteReference"/>
          <w:rFonts w:ascii="Times New Roman" w:hAnsi="Times New Roman"/>
          <w:b w:val="0"/>
          <w:noProof/>
          <w:sz w:val="22"/>
          <w:szCs w:val="22"/>
        </w:rPr>
        <w:t xml:space="preserve"> </w:t>
      </w:r>
      <w:r w:rsidRPr="00DA11F1">
        <w:rPr>
          <w:rStyle w:val="FootnoteReference"/>
          <w:rFonts w:ascii="Times New Roman" w:hAnsi="Times New Roman"/>
          <w:b w:val="0"/>
          <w:noProof/>
          <w:sz w:val="22"/>
          <w:szCs w:val="22"/>
          <w:lang w:eastAsia="en-GB"/>
        </w:rPr>
        <w:footnoteReference w:id="30"/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878"/>
        <w:gridCol w:w="885"/>
        <w:gridCol w:w="885"/>
        <w:gridCol w:w="885"/>
        <w:gridCol w:w="887"/>
        <w:gridCol w:w="867"/>
        <w:gridCol w:w="867"/>
        <w:gridCol w:w="867"/>
      </w:tblGrid>
      <w:tr w:rsidR="00131369" w:rsidRPr="00DA11F1" w14:paraId="23712954" w14:textId="77777777" w:rsidTr="00CD4003">
        <w:trPr>
          <w:trHeight w:val="510"/>
        </w:trPr>
        <w:tc>
          <w:tcPr>
            <w:tcW w:w="1201" w:type="pct"/>
            <w:shd w:val="clear" w:color="auto" w:fill="auto"/>
            <w:vAlign w:val="center"/>
          </w:tcPr>
          <w:p w14:paraId="4138FBB5" w14:textId="77777777" w:rsidR="00131369" w:rsidRPr="00DA11F1" w:rsidRDefault="00131369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421D1D5B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1FBF449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2014</w:t>
            </w:r>
          </w:p>
        </w:tc>
        <w:tc>
          <w:tcPr>
            <w:tcW w:w="479" w:type="pct"/>
            <w:vAlign w:val="center"/>
          </w:tcPr>
          <w:p w14:paraId="69D7989E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2015</w:t>
            </w:r>
          </w:p>
        </w:tc>
        <w:tc>
          <w:tcPr>
            <w:tcW w:w="479" w:type="pct"/>
            <w:vAlign w:val="center"/>
          </w:tcPr>
          <w:p w14:paraId="0F06C83B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2016</w:t>
            </w:r>
          </w:p>
        </w:tc>
        <w:tc>
          <w:tcPr>
            <w:tcW w:w="480" w:type="pct"/>
            <w:vAlign w:val="center"/>
          </w:tcPr>
          <w:p w14:paraId="123C4951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2017</w:t>
            </w:r>
          </w:p>
        </w:tc>
        <w:tc>
          <w:tcPr>
            <w:tcW w:w="469" w:type="pct"/>
            <w:vAlign w:val="center"/>
          </w:tcPr>
          <w:p w14:paraId="2DD55FA6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2018</w:t>
            </w:r>
          </w:p>
        </w:tc>
        <w:tc>
          <w:tcPr>
            <w:tcW w:w="469" w:type="pct"/>
            <w:vAlign w:val="center"/>
          </w:tcPr>
          <w:p w14:paraId="6DC3381F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2019</w:t>
            </w:r>
          </w:p>
        </w:tc>
        <w:tc>
          <w:tcPr>
            <w:tcW w:w="469" w:type="pct"/>
            <w:vAlign w:val="center"/>
          </w:tcPr>
          <w:p w14:paraId="754CEEC6" w14:textId="77777777" w:rsidR="00131369" w:rsidRPr="00DA11F1" w:rsidRDefault="009B1524" w:rsidP="00A51737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2020</w:t>
            </w:r>
          </w:p>
        </w:tc>
      </w:tr>
      <w:tr w:rsidR="00131369" w:rsidRPr="00DA11F1" w14:paraId="23E770DE" w14:textId="77777777" w:rsidTr="006C746A">
        <w:trPr>
          <w:trHeight w:val="1165"/>
        </w:trPr>
        <w:tc>
          <w:tcPr>
            <w:tcW w:w="1201" w:type="pct"/>
            <w:shd w:val="clear" w:color="auto" w:fill="auto"/>
            <w:vAlign w:val="center"/>
          </w:tcPr>
          <w:p w14:paraId="474B37AF" w14:textId="5ED8B1CC" w:rsidR="00131369" w:rsidRPr="00DA11F1" w:rsidRDefault="009B1524" w:rsidP="006C746A">
            <w:pPr>
              <w:spacing w:after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L-allokazzjoni bla ħlas</w:t>
            </w:r>
            <w:r w:rsidRPr="00DA11F1">
              <w:rPr>
                <w:rFonts w:ascii="Times New Roman" w:hAnsi="Times New Roman"/>
                <w:b/>
                <w:noProof/>
                <w:sz w:val="20"/>
                <w:szCs w:val="20"/>
                <w:vertAlign w:val="superscript"/>
                <w:lang w:eastAsia="en-GB"/>
              </w:rPr>
              <w:footnoteReference w:id="31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cr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br/>
              <w:t>(EU27 + ir-Renju Unit + l-Iżlanda, il-Liechtenstein u n-Norveġja)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BA408F2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903,0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EF7F39F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874,8</w:t>
            </w:r>
          </w:p>
        </w:tc>
        <w:tc>
          <w:tcPr>
            <w:tcW w:w="479" w:type="pct"/>
            <w:vAlign w:val="center"/>
          </w:tcPr>
          <w:p w14:paraId="1949EE16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847,6</w:t>
            </w:r>
          </w:p>
        </w:tc>
        <w:tc>
          <w:tcPr>
            <w:tcW w:w="479" w:type="pct"/>
            <w:vAlign w:val="center"/>
          </w:tcPr>
          <w:p w14:paraId="443F74DE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821,3</w:t>
            </w:r>
          </w:p>
        </w:tc>
        <w:tc>
          <w:tcPr>
            <w:tcW w:w="480" w:type="pct"/>
            <w:vAlign w:val="center"/>
          </w:tcPr>
          <w:p w14:paraId="51734F4D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796,2</w:t>
            </w:r>
          </w:p>
        </w:tc>
        <w:tc>
          <w:tcPr>
            <w:tcW w:w="469" w:type="pct"/>
            <w:vAlign w:val="center"/>
          </w:tcPr>
          <w:p w14:paraId="4FB610F7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771,9</w:t>
            </w:r>
          </w:p>
        </w:tc>
        <w:tc>
          <w:tcPr>
            <w:tcW w:w="469" w:type="pct"/>
            <w:vAlign w:val="center"/>
          </w:tcPr>
          <w:p w14:paraId="16B5C553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748,1</w:t>
            </w:r>
            <w:r w:rsidRPr="00DA11F1">
              <w:rPr>
                <w:rStyle w:val="FootnoteReference"/>
                <w:rFonts w:ascii="Times New Roman" w:hAnsi="Times New Roman"/>
                <w:noProof/>
                <w:sz w:val="20"/>
                <w:szCs w:val="20"/>
                <w:lang w:eastAsia="en-GB"/>
              </w:rPr>
              <w:footnoteReference w:id="32"/>
            </w:r>
          </w:p>
        </w:tc>
        <w:tc>
          <w:tcPr>
            <w:tcW w:w="469" w:type="pct"/>
            <w:vAlign w:val="center"/>
          </w:tcPr>
          <w:p w14:paraId="3428FFBB" w14:textId="4BFF5301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724,8</w:t>
            </w:r>
          </w:p>
        </w:tc>
      </w:tr>
      <w:tr w:rsidR="00131369" w:rsidRPr="00DA11F1" w14:paraId="73EA1F85" w14:textId="77777777" w:rsidTr="006C746A">
        <w:trPr>
          <w:trHeight w:val="1172"/>
        </w:trPr>
        <w:tc>
          <w:tcPr>
            <w:tcW w:w="1201" w:type="pct"/>
            <w:shd w:val="clear" w:color="auto" w:fill="auto"/>
            <w:vAlign w:val="center"/>
          </w:tcPr>
          <w:p w14:paraId="00E1B684" w14:textId="5D529EB8" w:rsidR="00131369" w:rsidRPr="00DA11F1" w:rsidRDefault="009B1524" w:rsidP="006C746A">
            <w:pPr>
              <w:spacing w:after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L-allokazzjoni mir-Riżerva għal Entranti Ġodda (investimenti f’żona ġdida u żidiet fil-kapaċità)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E238C77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11,7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4D09901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15,2</w:t>
            </w:r>
          </w:p>
        </w:tc>
        <w:tc>
          <w:tcPr>
            <w:tcW w:w="479" w:type="pct"/>
            <w:vAlign w:val="center"/>
          </w:tcPr>
          <w:p w14:paraId="318AB6C5" w14:textId="77777777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18,9</w:t>
            </w:r>
          </w:p>
        </w:tc>
        <w:tc>
          <w:tcPr>
            <w:tcW w:w="479" w:type="pct"/>
            <w:vAlign w:val="center"/>
          </w:tcPr>
          <w:p w14:paraId="319283A0" w14:textId="570CF48E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22,8</w:t>
            </w:r>
          </w:p>
        </w:tc>
        <w:tc>
          <w:tcPr>
            <w:tcW w:w="480" w:type="pct"/>
            <w:vAlign w:val="center"/>
          </w:tcPr>
          <w:p w14:paraId="5CD065B8" w14:textId="270ECE7E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24,6</w:t>
            </w:r>
          </w:p>
        </w:tc>
        <w:tc>
          <w:tcPr>
            <w:tcW w:w="469" w:type="pct"/>
            <w:vAlign w:val="center"/>
          </w:tcPr>
          <w:p w14:paraId="41DB2075" w14:textId="7E14889E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26,9</w:t>
            </w:r>
          </w:p>
        </w:tc>
        <w:tc>
          <w:tcPr>
            <w:tcW w:w="469" w:type="pct"/>
            <w:vAlign w:val="center"/>
          </w:tcPr>
          <w:p w14:paraId="0E78EF77" w14:textId="079D276B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29,1</w:t>
            </w:r>
          </w:p>
        </w:tc>
        <w:tc>
          <w:tcPr>
            <w:tcW w:w="469" w:type="pct"/>
            <w:vAlign w:val="center"/>
          </w:tcPr>
          <w:p w14:paraId="50875C3B" w14:textId="51001A3F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28,9</w:t>
            </w:r>
          </w:p>
        </w:tc>
      </w:tr>
      <w:tr w:rsidR="00131369" w:rsidRPr="00DA11F1" w14:paraId="7016D9A7" w14:textId="77777777" w:rsidTr="006C746A">
        <w:trPr>
          <w:trHeight w:val="931"/>
        </w:trPr>
        <w:tc>
          <w:tcPr>
            <w:tcW w:w="1201" w:type="pct"/>
            <w:shd w:val="clear" w:color="auto" w:fill="auto"/>
            <w:vAlign w:val="center"/>
          </w:tcPr>
          <w:p w14:paraId="77C81438" w14:textId="77777777" w:rsidR="00131369" w:rsidRPr="00DA11F1" w:rsidRDefault="009B1524" w:rsidP="006C746A">
            <w:pPr>
              <w:spacing w:after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Il-kwoti bla ħlas li jifdal mhux allokati minħabba għeluq jew bidliet fil-produzzjoni jew fil-kapaċità tal-produzzjoni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1BC9F8E" w14:textId="5389BCFC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41,9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C41E420" w14:textId="096FDBA4" w:rsidR="00131369" w:rsidRPr="00DA11F1" w:rsidRDefault="001F5D15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61,3</w:t>
            </w:r>
          </w:p>
        </w:tc>
        <w:tc>
          <w:tcPr>
            <w:tcW w:w="479" w:type="pct"/>
            <w:vAlign w:val="center"/>
          </w:tcPr>
          <w:p w14:paraId="16D97BCA" w14:textId="653ACB03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74,0</w:t>
            </w:r>
          </w:p>
        </w:tc>
        <w:tc>
          <w:tcPr>
            <w:tcW w:w="479" w:type="pct"/>
            <w:vAlign w:val="center"/>
          </w:tcPr>
          <w:p w14:paraId="306EB7E5" w14:textId="1B8B16B9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76,5</w:t>
            </w:r>
          </w:p>
        </w:tc>
        <w:tc>
          <w:tcPr>
            <w:tcW w:w="480" w:type="pct"/>
            <w:vAlign w:val="center"/>
          </w:tcPr>
          <w:p w14:paraId="229198EC" w14:textId="41F36883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79,9</w:t>
            </w:r>
          </w:p>
        </w:tc>
        <w:tc>
          <w:tcPr>
            <w:tcW w:w="469" w:type="pct"/>
            <w:vAlign w:val="center"/>
          </w:tcPr>
          <w:p w14:paraId="46A44936" w14:textId="594D8472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85,1</w:t>
            </w:r>
          </w:p>
        </w:tc>
        <w:tc>
          <w:tcPr>
            <w:tcW w:w="469" w:type="pct"/>
            <w:vAlign w:val="center"/>
          </w:tcPr>
          <w:p w14:paraId="27996E4A" w14:textId="3D226ADE" w:rsidR="00131369" w:rsidRPr="00DA11F1" w:rsidRDefault="001F5D15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80,3</w:t>
            </w:r>
          </w:p>
        </w:tc>
        <w:tc>
          <w:tcPr>
            <w:tcW w:w="469" w:type="pct"/>
            <w:vAlign w:val="center"/>
          </w:tcPr>
          <w:p w14:paraId="4428E646" w14:textId="52D7DEDB" w:rsidR="00131369" w:rsidRPr="00DA11F1" w:rsidRDefault="009B1524" w:rsidP="008606BF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85,9</w:t>
            </w:r>
          </w:p>
        </w:tc>
      </w:tr>
    </w:tbl>
    <w:p w14:paraId="70E64CF5" w14:textId="567DA65A" w:rsidR="00E86B2F" w:rsidRPr="00DA11F1" w:rsidRDefault="00E86B2F" w:rsidP="00E86B2F">
      <w:pPr>
        <w:pStyle w:val="NormalWeb"/>
        <w:spacing w:line="276" w:lineRule="auto"/>
        <w:jc w:val="both"/>
        <w:rPr>
          <w:noProof/>
        </w:rPr>
      </w:pPr>
      <w:r>
        <w:rPr>
          <w:noProof/>
        </w:rPr>
        <w:t xml:space="preserve">Għalkemm is-sottomissjonijiet mill-pajjiżi parteċipanti dwar il-bidliet fl-allokazzjoni bla ħlas għall-aħħar sena tal-fażi 3 kienu għadhom jistgħu jintbagħtu fl-2021, il-maġġoranza l-kbira tal-bidliet diġà ġew irrapportati. Għalhekk, jista’ jiġi konkluż li fi tmiem il-fażi 3, kien hemm madwar: </w:t>
      </w:r>
    </w:p>
    <w:p w14:paraId="4E234532" w14:textId="0DBB4C39" w:rsidR="00E86B2F" w:rsidRPr="00DA11F1" w:rsidRDefault="00E86B2F" w:rsidP="00FB7B0D">
      <w:pPr>
        <w:pStyle w:val="NormalWeb"/>
        <w:numPr>
          <w:ilvl w:val="0"/>
          <w:numId w:val="25"/>
        </w:numPr>
        <w:spacing w:line="276" w:lineRule="auto"/>
        <w:jc w:val="both"/>
        <w:rPr>
          <w:noProof/>
        </w:rPr>
      </w:pPr>
      <w:r>
        <w:rPr>
          <w:noProof/>
        </w:rPr>
        <w:t xml:space="preserve">1 821 installazzjoni mill-11 646 li waqfu joperaw jew li kellhom bidla fiżika li naqqset il-kapaċità tagħhom għal taħt il-limitu u għalhekk il-permess tagħhom tal-GHG ġie rtirat </w:t>
      </w:r>
    </w:p>
    <w:p w14:paraId="3A22621C" w14:textId="756B2AB2" w:rsidR="00E86B2F" w:rsidRPr="00DA11F1" w:rsidRDefault="00E86B2F" w:rsidP="00E86B2F">
      <w:pPr>
        <w:pStyle w:val="NormalWeb"/>
        <w:numPr>
          <w:ilvl w:val="0"/>
          <w:numId w:val="25"/>
        </w:numPr>
        <w:spacing w:line="276" w:lineRule="auto"/>
        <w:jc w:val="both"/>
        <w:rPr>
          <w:noProof/>
        </w:rPr>
      </w:pPr>
      <w:r>
        <w:rPr>
          <w:noProof/>
        </w:rPr>
        <w:t xml:space="preserve">505 entranti ġodda </w:t>
      </w:r>
    </w:p>
    <w:p w14:paraId="541AA8EF" w14:textId="1D7D350C" w:rsidR="00E86B2F" w:rsidRPr="00DA11F1" w:rsidRDefault="00E86B2F" w:rsidP="00E86B2F">
      <w:pPr>
        <w:pStyle w:val="NormalWeb"/>
        <w:numPr>
          <w:ilvl w:val="0"/>
          <w:numId w:val="25"/>
        </w:numPr>
        <w:spacing w:line="276" w:lineRule="auto"/>
        <w:jc w:val="both"/>
        <w:rPr>
          <w:noProof/>
        </w:rPr>
      </w:pPr>
      <w:r>
        <w:rPr>
          <w:noProof/>
        </w:rPr>
        <w:t xml:space="preserve">887 estensjoni sinifikanti tal-kapaċità </w:t>
      </w:r>
    </w:p>
    <w:p w14:paraId="1DCFADB8" w14:textId="0666CE85" w:rsidR="00E86B2F" w:rsidRPr="00DA11F1" w:rsidRDefault="00E86B2F" w:rsidP="00E86B2F">
      <w:pPr>
        <w:pStyle w:val="NormalWeb"/>
        <w:numPr>
          <w:ilvl w:val="0"/>
          <w:numId w:val="25"/>
        </w:numPr>
        <w:spacing w:line="276" w:lineRule="auto"/>
        <w:jc w:val="both"/>
        <w:rPr>
          <w:noProof/>
        </w:rPr>
      </w:pPr>
      <w:r>
        <w:rPr>
          <w:noProof/>
        </w:rPr>
        <w:t xml:space="preserve">378 tnaqqis sinifikanti tal-kapaċità </w:t>
      </w:r>
    </w:p>
    <w:p w14:paraId="43483DF7" w14:textId="4611D557" w:rsidR="00E86B2F" w:rsidRPr="00DA11F1" w:rsidRDefault="00E86B2F" w:rsidP="00E86B2F">
      <w:pPr>
        <w:pStyle w:val="NormalWeb"/>
        <w:numPr>
          <w:ilvl w:val="0"/>
          <w:numId w:val="25"/>
        </w:numPr>
        <w:spacing w:line="276" w:lineRule="auto"/>
        <w:jc w:val="both"/>
        <w:rPr>
          <w:noProof/>
        </w:rPr>
      </w:pPr>
      <w:r>
        <w:rPr>
          <w:noProof/>
        </w:rPr>
        <w:t xml:space="preserve">2 985 installazzjoni li għaddew minn waqfiet parzjali u </w:t>
      </w:r>
    </w:p>
    <w:p w14:paraId="457E0991" w14:textId="6B5BE76F" w:rsidR="00E86B2F" w:rsidRPr="00DA11F1" w:rsidRDefault="00E86B2F" w:rsidP="00E86B2F">
      <w:pPr>
        <w:pStyle w:val="NormalWeb"/>
        <w:numPr>
          <w:ilvl w:val="0"/>
          <w:numId w:val="25"/>
        </w:numPr>
        <w:spacing w:line="276" w:lineRule="auto"/>
        <w:jc w:val="both"/>
        <w:rPr>
          <w:noProof/>
        </w:rPr>
      </w:pPr>
      <w:r>
        <w:rPr>
          <w:noProof/>
        </w:rPr>
        <w:t xml:space="preserve">1 434 installazzjoni li rkupraw wara waqfien parzjali. </w:t>
      </w:r>
    </w:p>
    <w:p w14:paraId="0F41DB8B" w14:textId="6932A51C" w:rsidR="00E86B2F" w:rsidRPr="00DA11F1" w:rsidRDefault="00B833EF" w:rsidP="00E86B2F">
      <w:pPr>
        <w:pStyle w:val="NormalWeb"/>
        <w:spacing w:line="276" w:lineRule="auto"/>
        <w:jc w:val="both"/>
        <w:rPr>
          <w:noProof/>
        </w:rPr>
      </w:pPr>
      <w:r>
        <w:rPr>
          <w:noProof/>
        </w:rPr>
        <w:t>Il-kwoti mhux allokati mill-għeluq, minn waqfiet parzjali jew minn tnaqqis sinifikanti tal-kapaċità (skont l-Artikoli 10a(19) u 10a(20) tad-Direttiva dwar l-Iskambju tal-Kwoti tal-Emissjonijiet) se jitqiegħdu fl-MSR f’konformità mal-Artikolu 1(3) tad-Deċiżjoni (UE) 2015/1814 (id-Deċiżjoni dwar l-MSR)</w:t>
      </w:r>
      <w:r w:rsidR="006C2372" w:rsidRPr="00DA11F1">
        <w:rPr>
          <w:rStyle w:val="FootnoteReference"/>
          <w:noProof/>
          <w:lang w:val="en"/>
        </w:rPr>
        <w:footnoteReference w:id="33"/>
      </w:r>
      <w:r>
        <w:rPr>
          <w:noProof/>
        </w:rPr>
        <w:t>, bħall-kwoti mhux allokati mill-NER.</w:t>
      </w:r>
    </w:p>
    <w:p w14:paraId="653E10A7" w14:textId="7A04D009" w:rsidR="00E86B2F" w:rsidRPr="00DA11F1" w:rsidRDefault="00E86B2F" w:rsidP="008356AC">
      <w:pPr>
        <w:pStyle w:val="NormalWeb"/>
        <w:spacing w:line="276" w:lineRule="auto"/>
        <w:jc w:val="both"/>
        <w:rPr>
          <w:noProof/>
        </w:rPr>
      </w:pPr>
      <w:r>
        <w:rPr>
          <w:noProof/>
        </w:rPr>
        <w:t xml:space="preserve">Sabiex jiġi evitat ir-riskju tar-rilokazzjoni tal-emissjonijiet tal-karbonju, l-allokazzjoni bla ħlas se tkompli fil-fażi 4, ibbażata fuq valuri referenzjarji dderivati mill-prestazzjoni tal-installazzjonijiet li huma fost l-10 % l-aktar effiċjenti fl-UE. Wara li ntlaħaq il-ftehim politiku dwar id-Direttiva dwar l-Iskambju tal-Kwoti tal-Emissjonijiet riveduta, f’Novembru tal-2017, il-Kummissjoni adottat il-leġiżlazzjoni għall-implimentazzjoni ta’ allokazzjoni bla ħlas lill-industrija fil-fażi 4. L-atti legali adottati huma elenkati fit-Tabella 4.1 tal-Appendiċi 4 tad-dokument ta’ ħidma tal-persunal li jakkumpanja dan id-dokument. </w:t>
      </w:r>
    </w:p>
    <w:p w14:paraId="074842BB" w14:textId="5AA4678C" w:rsidR="00131369" w:rsidRPr="00DA11F1" w:rsidRDefault="00FA7EBD" w:rsidP="00006E10">
      <w:pPr>
        <w:pStyle w:val="Heading3"/>
        <w:ind w:left="720"/>
        <w:rPr>
          <w:i/>
          <w:noProof/>
          <w:color w:val="000000" w:themeColor="text1"/>
        </w:rPr>
      </w:pPr>
      <w:bookmarkStart w:id="28" w:name="_Toc89703112"/>
      <w:r>
        <w:rPr>
          <w:i/>
          <w:noProof/>
        </w:rPr>
        <w:t>3.1.3. L-irkantar ta’ kwoti</w:t>
      </w:r>
      <w:bookmarkEnd w:id="28"/>
    </w:p>
    <w:p w14:paraId="2A88BCFE" w14:textId="18865885" w:rsidR="002D27E2" w:rsidRPr="00DA11F1" w:rsidRDefault="002D1C0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Mill-fażi 3,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l-irkantar huwa l-metodu primarju tad-distribuzzjoni tal-kwoti fl-EU ETS, li jammonta għal 57 % tal-volum totali. L-irkantar huwa rregolat bir-Regolament tal-Kummissjoni (UE) 1031/2010</w:t>
      </w:r>
      <w:r w:rsidR="007B08FA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34"/>
      </w:r>
      <w:r>
        <w:rPr>
          <w:rFonts w:ascii="Times New Roman" w:hAnsi="Times New Roman"/>
          <w:noProof/>
          <w:sz w:val="24"/>
          <w:szCs w:val="24"/>
        </w:rPr>
        <w:t xml:space="preserve"> (ir-Regolament dwar l-Irkantar) li jispeċifika l-għażla taż-żmien, l-amministrazzjoni u aspetti oħrajn ta’ kif jenħtieġ li jsiru l-irkantijiet sabiex jiġi żgurat proċess miftuħ, trasparenti, armonizzat u mhux diskriminatorju.</w:t>
      </w:r>
    </w:p>
    <w:p w14:paraId="22BC9BF5" w14:textId="19DFA2DA" w:rsidR="002D27E2" w:rsidRPr="00DA11F1" w:rsidRDefault="00B833EF" w:rsidP="002D27E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Fil-fażi 3, l-irkantijiet saru permezz tal-pjattaformi tal-irkant li ġejjin:</w:t>
      </w:r>
    </w:p>
    <w:p w14:paraId="38B7B9EE" w14:textId="1D8CD260" w:rsidR="002D27E2" w:rsidRPr="00DA11F1" w:rsidRDefault="002D27E2" w:rsidP="007B08FA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European Energy Exchange AG (EEX), li wettqet l-irkantar fil-funzjoni tagħha ta’ pjattaforma komuni tal-irkantijiet għal 25 Stat Membru li jipparteċipaw fi proċedura ta’ akkwist konġunt. Din twettaq ukoll irkantijiet għall-Polonja (li għażlet li teskludi ruħha mill-proċedura ta’ akkwist konġunt iżda li għadha ma ħatritx pjattaforma tal-irkantijiet għaliha), u, minn Ġunju tal-2019, għall-Iżlanda, għal-Liechtenstein u għan-Norveġja (wara li ġie emendat il-Ftehim dwar iż-ŻEE sabiex l-Iżlanda, il-Liechtenstein u n-Norveġja jkunu jistgħu jipparteċipaw fil-Ftehim ta’ Akkwist Konġunt għall-pjattaforma komuni tal-irkantijiet)</w:t>
      </w:r>
    </w:p>
    <w:p w14:paraId="7B64B494" w14:textId="3B1D3EC1" w:rsidR="002D27E2" w:rsidRPr="00DA11F1" w:rsidRDefault="002D27E2" w:rsidP="007B08FA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L-EEX, li twettaq l-irkantar għall-Ġermanja bħala l-pjattaforma tal-irkantijiet ta’ “nonparteċipazzjoni”</w:t>
      </w:r>
    </w:p>
    <w:p w14:paraId="0D574BCA" w14:textId="3B4DAE76" w:rsidR="002D27E2" w:rsidRPr="00DA11F1" w:rsidRDefault="002D27E2" w:rsidP="007B08FA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L-ICE Futures Europe (ICE), li twettaq l-irkantar għar-Renju Unit bħala l-pjattaforma tal-irkantijiet ta’ “nonparteċipazzjoni” sal-aħħar tal-2020.</w:t>
      </w:r>
    </w:p>
    <w:p w14:paraId="0CFC448B" w14:textId="1F14BFE4" w:rsidR="008D20C3" w:rsidRPr="00DA11F1" w:rsidRDefault="008D20C3" w:rsidP="004144E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L-EEX inħatret mill-ġdid bħala l-pjattaforma komuni tal-irkantijiet mill-2021, mingħajr bidliet kbar fil-parteċipazzjoni fl-irkanti.</w:t>
      </w:r>
    </w:p>
    <w:p w14:paraId="13CCEB40" w14:textId="566A4988" w:rsidR="002D27E2" w:rsidRPr="00DA11F1" w:rsidRDefault="00FE3846" w:rsidP="004144E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Saru aktar minn 1 800 irkant fil-fażi 3, u sat-30 ta’ Ġunju 2021, din iċ-ċifra kienet ferm akbar minn 1 900. </w:t>
      </w:r>
      <w:r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Pr="00DA11F1">
        <w:rPr>
          <w:rFonts w:ascii="Times New Roman" w:hAnsi="Times New Roman"/>
          <w:noProof/>
          <w:sz w:val="24"/>
          <w:szCs w:val="24"/>
        </w:rPr>
        <w:instrText xml:space="preserve"> REF _Ref85022081 </w:instrText>
      </w:r>
      <w:r w:rsidR="008968F7" w:rsidRPr="00DA11F1">
        <w:rPr>
          <w:rFonts w:ascii="Times New Roman" w:hAnsi="Times New Roman"/>
          <w:noProof/>
          <w:sz w:val="24"/>
          <w:szCs w:val="24"/>
        </w:rPr>
        <w:instrText xml:space="preserve"> \* MERGEFORMAT </w:instrText>
      </w:r>
      <w:r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Pr="00DA11F1">
        <w:rPr>
          <w:rFonts w:ascii="Times New Roman" w:hAnsi="Times New Roman"/>
          <w:noProof/>
          <w:sz w:val="24"/>
          <w:szCs w:val="24"/>
        </w:rPr>
        <w:t>Table 3</w:t>
      </w:r>
      <w:r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tipprovdi ħarsa ġenerali lejn il-volumi tal-kwoti</w:t>
      </w:r>
      <w:r w:rsidR="002D27E2" w:rsidRPr="00DA11F1">
        <w:rPr>
          <w:rFonts w:ascii="Times New Roman" w:hAnsi="Times New Roman"/>
          <w:noProof/>
          <w:sz w:val="24"/>
          <w:szCs w:val="24"/>
          <w:vertAlign w:val="superscript"/>
          <w:lang w:val="en-IE"/>
        </w:rPr>
        <w:footnoteReference w:id="35"/>
      </w:r>
      <w:r>
        <w:rPr>
          <w:rFonts w:ascii="Times New Roman" w:hAnsi="Times New Roman"/>
          <w:noProof/>
          <w:sz w:val="24"/>
          <w:szCs w:val="24"/>
        </w:rPr>
        <w:t xml:space="preserve"> rkantati mill-pjattaformi EEX u ICE sat-30 ta’ Ġunju 2021, inkluż l-irkantijiet bikrija</w:t>
      </w:r>
      <w:r w:rsidR="002D27E2" w:rsidRPr="00DA11F1">
        <w:rPr>
          <w:rFonts w:ascii="Times New Roman" w:hAnsi="Times New Roman"/>
          <w:noProof/>
          <w:sz w:val="24"/>
          <w:szCs w:val="24"/>
          <w:vertAlign w:val="superscript"/>
          <w:lang w:val="en-IE"/>
        </w:rPr>
        <w:footnoteReference w:id="36"/>
      </w:r>
      <w:r>
        <w:rPr>
          <w:rFonts w:ascii="Times New Roman" w:hAnsi="Times New Roman"/>
          <w:noProof/>
          <w:sz w:val="24"/>
          <w:szCs w:val="24"/>
        </w:rPr>
        <w:t xml:space="preserve"> ta’ kwoti ġenerali.</w:t>
      </w:r>
    </w:p>
    <w:p w14:paraId="4017CD8B" w14:textId="40AD702E" w:rsidR="00FE3846" w:rsidRPr="00DA11F1" w:rsidRDefault="00FE3846" w:rsidP="00FE3846">
      <w:pPr>
        <w:pStyle w:val="Caption"/>
        <w:keepNext/>
        <w:rPr>
          <w:rFonts w:ascii="Times New Roman" w:hAnsi="Times New Roman"/>
          <w:noProof/>
          <w:sz w:val="22"/>
        </w:rPr>
      </w:pPr>
      <w:bookmarkStart w:id="29" w:name="_Ref85022081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76166" w:rsidRPr="00DA11F1">
        <w:rPr>
          <w:rFonts w:ascii="Times New Roman" w:hAnsi="Times New Roman"/>
          <w:noProof/>
          <w:sz w:val="22"/>
        </w:rPr>
        <w:t>3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29"/>
      <w:r>
        <w:rPr>
          <w:rFonts w:ascii="Times New Roman" w:hAnsi="Times New Roman"/>
          <w:noProof/>
          <w:sz w:val="22"/>
        </w:rPr>
        <w:t>. Il-volumi totali tal-kwoti tal-fażi 3 rkantati, minn Jannar tal-2012 sat-30 ta’ Ġunju 2021</w:t>
      </w:r>
      <w:r w:rsidRPr="00DA11F1">
        <w:rPr>
          <w:rStyle w:val="FootnoteReference"/>
          <w:rFonts w:ascii="Times New Roman" w:hAnsi="Times New Roman"/>
          <w:b w:val="0"/>
          <w:bCs w:val="0"/>
          <w:noProof/>
        </w:rPr>
        <w:footnoteReference w:id="37"/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152"/>
        <w:gridCol w:w="3087"/>
      </w:tblGrid>
      <w:tr w:rsidR="00131369" w:rsidRPr="00DA11F1" w14:paraId="6FE937B2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96CFE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Sena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71BD8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Il-kwoti ġenerali 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429EC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Il-kwoti tal-avjazzjoni </w:t>
            </w:r>
          </w:p>
        </w:tc>
      </w:tr>
      <w:tr w:rsidR="00131369" w:rsidRPr="00DA11F1" w14:paraId="3D070D61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0A9655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2012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361FA8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89 701 500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955A3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2 500 000</w:t>
            </w:r>
          </w:p>
        </w:tc>
      </w:tr>
      <w:tr w:rsidR="00131369" w:rsidRPr="00DA11F1" w14:paraId="755E24C3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9920CC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2013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8C14CA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808 146 500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66BB1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0 </w:t>
            </w:r>
          </w:p>
        </w:tc>
      </w:tr>
      <w:tr w:rsidR="00131369" w:rsidRPr="00DA11F1" w14:paraId="739208FB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54746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2014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C1AC7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528 399 500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C0FAB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9 278 000</w:t>
            </w:r>
          </w:p>
        </w:tc>
      </w:tr>
      <w:tr w:rsidR="00131369" w:rsidRPr="00DA11F1" w14:paraId="7B1B1BA1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F7ABF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2015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4CB14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632 725 500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F8201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16 390 500</w:t>
            </w:r>
          </w:p>
        </w:tc>
      </w:tr>
      <w:tr w:rsidR="00131369" w:rsidRPr="00DA11F1" w14:paraId="22AF5462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FE354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2016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C0E076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715 289 500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FEBA1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5 997 500</w:t>
            </w:r>
          </w:p>
        </w:tc>
      </w:tr>
      <w:tr w:rsidR="00131369" w:rsidRPr="00DA11F1" w14:paraId="7D7581EB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505B9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2017  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9670B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951 195 500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2ECDC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4 730 500</w:t>
            </w:r>
          </w:p>
        </w:tc>
      </w:tr>
      <w:tr w:rsidR="00131369" w:rsidRPr="00DA11F1" w14:paraId="23F19399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0617F3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2018 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17742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915 750 000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8D860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5 601 500</w:t>
            </w:r>
          </w:p>
        </w:tc>
      </w:tr>
      <w:tr w:rsidR="00131369" w:rsidRPr="00DA11F1" w14:paraId="610AA001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B81B51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2019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FCB7E3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588 540 000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27418D" w14:textId="77777777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5 502 500</w:t>
            </w:r>
          </w:p>
        </w:tc>
      </w:tr>
      <w:tr w:rsidR="00131369" w:rsidRPr="00DA11F1" w14:paraId="5A4BFEDD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38C7" w14:textId="6EDA9B08" w:rsidR="00131369" w:rsidRPr="00DA11F1" w:rsidRDefault="009B1524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2020 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F41225" w14:textId="39FA1716" w:rsidR="00131369" w:rsidRPr="00DA11F1" w:rsidRDefault="00EC03F8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778 505 000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8E5FE" w14:textId="2D83C5B4" w:rsidR="00131369" w:rsidRPr="00DA11F1" w:rsidRDefault="00933B1C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7 505 000</w:t>
            </w:r>
          </w:p>
        </w:tc>
      </w:tr>
      <w:tr w:rsidR="00EC03F8" w:rsidRPr="00DA11F1" w14:paraId="25D7524D" w14:textId="77777777" w:rsidTr="00CD4003">
        <w:trPr>
          <w:trHeight w:val="414"/>
          <w:jc w:val="center"/>
        </w:trPr>
        <w:tc>
          <w:tcPr>
            <w:tcW w:w="1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2FA0F" w14:textId="57F61E59" w:rsidR="00EC03F8" w:rsidRPr="00DA11F1" w:rsidRDefault="00EC03F8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2021 (sat-30 ta’ Ġunju 2021)</w:t>
            </w:r>
          </w:p>
        </w:tc>
        <w:tc>
          <w:tcPr>
            <w:tcW w:w="1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0025F" w14:textId="0246F02E" w:rsidR="00EC03F8" w:rsidRPr="00DA11F1" w:rsidRDefault="00EC03F8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308 326 000</w:t>
            </w:r>
          </w:p>
        </w:tc>
        <w:tc>
          <w:tcPr>
            <w:tcW w:w="1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79FB8" w14:textId="2A13A50C" w:rsidR="00EC03F8" w:rsidRPr="00DA11F1" w:rsidRDefault="00EC03F8" w:rsidP="004144EE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1 343 000</w:t>
            </w:r>
          </w:p>
        </w:tc>
      </w:tr>
    </w:tbl>
    <w:p w14:paraId="518B4EDD" w14:textId="77777777" w:rsidR="00131369" w:rsidRPr="00DA11F1" w:rsidRDefault="009B1524" w:rsidP="00A51737">
      <w:pPr>
        <w:spacing w:before="120" w:after="120"/>
        <w:ind w:right="57"/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EEX</w:t>
      </w:r>
    </w:p>
    <w:p w14:paraId="43C3E631" w14:textId="18697DF2" w:rsidR="008D0350" w:rsidRPr="00DA11F1" w:rsidRDefault="008968F7" w:rsidP="004144E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Meta l-MSR saret operattiva f’Jannar tal-2019, din naqqset sostanzjalment il-provvista ta’ kwoti disponibbli għall-irkantar. Ġeneralment, l-irkantijiet twettqu mingħajr tfixkil u l-prezzijiet tal-bejgħ fl-irkant kienu allinjati mill-qrib mal-prezzijiet tas-suq sekondarju.</w:t>
      </w:r>
    </w:p>
    <w:p w14:paraId="5EA1F243" w14:textId="79C20993" w:rsidR="00131369" w:rsidRPr="00DA11F1" w:rsidRDefault="008968F7" w:rsidP="004144EE">
      <w:pPr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 xml:space="preserve">Fil-fażi 3, total ta’ 15-il irkant minn aktar minn 1 800 ġew ikkanċellati jew minħabba li l-prezz ta’ riżerva ma ntlaħaqx jew minħabba li l-volum totali tal-offerti kien anqas mill-volum irkantat, f’konformità mar-regoli tar-Regolament dwar l-Irkantar. </w:t>
      </w:r>
      <w:r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Pr="00DA11F1">
        <w:rPr>
          <w:rFonts w:ascii="Times New Roman" w:hAnsi="Times New Roman"/>
          <w:noProof/>
          <w:sz w:val="24"/>
          <w:szCs w:val="24"/>
        </w:rPr>
        <w:instrText xml:space="preserve"> REF _Ref85022371  \* MERGEFORMAT </w:instrText>
      </w:r>
      <w:r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B1114C" w:rsidRPr="00DA11F1">
        <w:rPr>
          <w:rFonts w:ascii="Times New Roman" w:hAnsi="Times New Roman"/>
          <w:noProof/>
          <w:sz w:val="24"/>
        </w:rPr>
        <w:t>Figure</w:t>
      </w:r>
      <w:r w:rsidR="00B1114C" w:rsidRPr="00DA11F1">
        <w:rPr>
          <w:rFonts w:ascii="Times New Roman" w:hAnsi="Times New Roman"/>
          <w:noProof/>
        </w:rPr>
        <w:t xml:space="preserve"> 2</w:t>
      </w:r>
      <w:r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tagħti ħarsa ġenerali lejn il-prezzijiet tal-bejgħ fl-irkantijiet fis-suq tal-karbonju tal-UE mill-2013. </w:t>
      </w:r>
    </w:p>
    <w:p w14:paraId="00ED68C6" w14:textId="23120829" w:rsidR="008968F7" w:rsidRPr="00DA11F1" w:rsidRDefault="008968F7" w:rsidP="008968F7">
      <w:pPr>
        <w:pStyle w:val="Caption"/>
        <w:keepNext/>
        <w:rPr>
          <w:rFonts w:ascii="Times New Roman" w:hAnsi="Times New Roman"/>
          <w:noProof/>
          <w:sz w:val="22"/>
        </w:rPr>
      </w:pPr>
      <w:bookmarkStart w:id="30" w:name="_Ref85022371"/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2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30"/>
      <w:r>
        <w:rPr>
          <w:rFonts w:ascii="Times New Roman" w:hAnsi="Times New Roman"/>
          <w:noProof/>
          <w:sz w:val="22"/>
        </w:rPr>
        <w:t>. Il-prezzijiet tal-bejgħ fl-irkantijiet tal-kwoti ġenerali, minn Jannar tal-2013 sat-30 ta’ Ġunju 2021</w:t>
      </w:r>
    </w:p>
    <w:p w14:paraId="16ADF4CE" w14:textId="08DFE39D" w:rsidR="00131369" w:rsidRPr="00DA11F1" w:rsidRDefault="00FD0DAB">
      <w:pPr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GB" w:eastAsia="en-GB"/>
        </w:rPr>
        <w:drawing>
          <wp:inline distT="0" distB="0" distL="0" distR="0" wp14:anchorId="20F081CE" wp14:editId="41EE5739">
            <wp:extent cx="5773218" cy="29173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40" cy="2919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F499E" w14:textId="6D678632" w:rsidR="008D0350" w:rsidRPr="00DA11F1" w:rsidRDefault="009B1524" w:rsidP="004144EE">
      <w:pPr>
        <w:spacing w:before="120" w:after="120"/>
        <w:ind w:right="57"/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EEX</w:t>
      </w:r>
    </w:p>
    <w:p w14:paraId="68D4BA6F" w14:textId="552DC2E0" w:rsidR="00C72145" w:rsidRPr="00DA11F1" w:rsidRDefault="00C72145" w:rsidP="0065781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L-għadd ta’ parteċipanti fl-irkantijiet tal-kwoti ġenerali fil-fażi 3 huwa pprovdut fl-Appendiċi 5 tad-dokument ta’ ħidma tal-persunal li jakkumpanja dan ir-rapport. Il-pjattaformi tal-irkantijiet jippubblikaw ir-riżultati dettaljati ta’ kull irkant fil-ħin fuq is-siti web speċifiċi. Tinsab aktar informazzjoni dwar it-twettiq tal-irkantijiet, inkluż dwar il-parteċipazzjoni, il-proporzjon ta’ kopertura u l-prezzijiet, fir-rapporti tal-pajjiżi parteċipanti ppubblikati fuq is-sit web tal-Kummissjoni</w:t>
      </w:r>
      <w:r w:rsidRPr="00DA11F1">
        <w:rPr>
          <w:rFonts w:ascii="Times New Roman" w:hAnsi="Times New Roman"/>
          <w:noProof/>
          <w:sz w:val="24"/>
          <w:szCs w:val="24"/>
          <w:vertAlign w:val="superscript"/>
          <w:lang w:val="en-IE"/>
        </w:rPr>
        <w:footnoteReference w:id="38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44011C40" w14:textId="07BDACCE" w:rsidR="00C72145" w:rsidRPr="00DA11F1" w:rsidRDefault="00C72145" w:rsidP="0065781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Id-dħul totali ġġenerat mill-Istati Membri, mir-Renju Unit u mill-Iżlanda, mil-Liechtenstein u min-Norveġja mill-irkantijiet fil-fażi 3 qabeż it-EUR 68 biljun (ara t-Tabelli 5.1, 5.2, u 5.3 fid-dokument ta’ ħidma tal-persunal li jakkumpanja dan ir-rapport)</w:t>
      </w:r>
      <w:r w:rsidR="00061ADE" w:rsidRPr="00DA11F1">
        <w:rPr>
          <w:rStyle w:val="FootnoteReference"/>
          <w:rFonts w:ascii="Times New Roman" w:hAnsi="Times New Roman"/>
          <w:noProof/>
          <w:sz w:val="24"/>
          <w:szCs w:val="24"/>
          <w:lang w:val="en-IE"/>
        </w:rPr>
        <w:footnoteReference w:id="39"/>
      </w:r>
      <w:r>
        <w:rPr>
          <w:rFonts w:ascii="Times New Roman" w:hAnsi="Times New Roman"/>
          <w:noProof/>
          <w:sz w:val="24"/>
          <w:szCs w:val="24"/>
        </w:rPr>
        <w:t>. Fl-2020 biss, l-irkantijiet iġġeneraw dħul totali ta’ aktar minn EUR 19-il biljun, u EUR 13,9-il biljun fl-ewwel nofs tal-2021. Id-Direttiva dwar l-EU ETS tipprevedi li jenħtieġ li l-Istati Membri jużaw tal-anqas 50 % tad-dħul tagħhom mill-irkantijiet, inkluż id-dħul kollu ġġenerat minn kwoti mqassma għall-finijiet tas-solidarjetà u tat-tkabbir, u d-dħul kollu minn kwoti maħruġin fir-rigward tal-avjazzjoni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  <w:lang w:val="en-IE"/>
        </w:rPr>
        <w:footnoteReference w:id="40"/>
      </w:r>
      <w:r>
        <w:rPr>
          <w:rFonts w:ascii="Times New Roman" w:hAnsi="Times New Roman"/>
          <w:noProof/>
          <w:sz w:val="24"/>
          <w:szCs w:val="24"/>
        </w:rPr>
        <w:t xml:space="preserve">, għal finijiet relatati mal-klima u l-enerġija. </w:t>
      </w:r>
    </w:p>
    <w:p w14:paraId="79A59A9D" w14:textId="7EE2CDE5" w:rsidR="00C72145" w:rsidRPr="00DA11F1" w:rsidRDefault="00C72145" w:rsidP="0065781F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z w:val="24"/>
          <w:szCs w:val="24"/>
        </w:rPr>
        <w:t>Skont l-informazzjoni sottomessa mill-Istati Membri lill-Kummissjoni, huwa stmat li fl-2020, madwar 72 % tad-dħul mill-irkantar intuża għall-finijiet tal-klima u tal-enerġija, u matul il-fażi 3 dan kien madwar 75 % (EUR 56,5 biljun) tad-dħul totali. Għalkemm sehem żgħir minn dan l-ammont (madwar 3 % tad-dħul totali sa mill-2013) intnefaq fuq livell internazzjonali, il-parti l-kbira tad-dħul mill-irkantar fil-fażi 3 ntnefaq fuq għanijiet domestiċi tal-klima u l-enerġija (l-aktar fuq l-enerġija rinnovabbli, l-effiċjenza enerġetika, u r-riċerka u l-iżvilupp). Fil-prattika, l-Istati Membri jonfqu aktar milli jdaħħlu mill-irkantar fuq finijiet relatati mal-klima u l-enerġija.</w:t>
      </w:r>
      <w:r w:rsidR="00EC0413" w:rsidRPr="00DA11F1">
        <w:rPr>
          <w:rStyle w:val="FootnoteReference"/>
          <w:rFonts w:ascii="Times New Roman" w:hAnsi="Times New Roman"/>
          <w:noProof/>
          <w:sz w:val="24"/>
          <w:szCs w:val="24"/>
          <w:lang w:val="en-IE"/>
        </w:rPr>
        <w:footnoteReference w:id="41"/>
      </w:r>
    </w:p>
    <w:p w14:paraId="7B956BFB" w14:textId="3C902FC9" w:rsidR="00131369" w:rsidRPr="00DA11F1" w:rsidRDefault="00FA7EBD" w:rsidP="00006E10">
      <w:pPr>
        <w:pStyle w:val="Heading3"/>
        <w:ind w:left="720"/>
        <w:rPr>
          <w:i/>
          <w:noProof/>
        </w:rPr>
      </w:pPr>
      <w:bookmarkStart w:id="31" w:name="_Toc89703113"/>
      <w:r>
        <w:rPr>
          <w:i/>
          <w:noProof/>
        </w:rPr>
        <w:t>3.1.4. Deroga minn irkantar sħiħ għall-produzzjoni tal-elettriku u s-sħana</w:t>
      </w:r>
      <w:bookmarkEnd w:id="31"/>
    </w:p>
    <w:p w14:paraId="202129CB" w14:textId="1CEE528B" w:rsidR="00BC21AD" w:rsidRPr="00DA11F1" w:rsidRDefault="00666776" w:rsidP="00061AD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Fil-fażi 3, l-Artikolu 10c tad-Direttiva dwar l-Iskambju tal-Kwoti tal-Emissjonijiet ippreveda deroga mir-regola ġenerali tal-irkantar tal-kwoti sabiex jappoġġa investimenti fil-modernizzazzjoni tas-settur tal-elettriku f’diversi Stati Membri bi dħul baxx.</w:t>
      </w:r>
      <w:r w:rsidR="00BC21AD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42"/>
      </w:r>
      <w:r>
        <w:rPr>
          <w:rFonts w:ascii="Times New Roman" w:hAnsi="Times New Roman"/>
          <w:noProof/>
          <w:sz w:val="24"/>
          <w:szCs w:val="24"/>
        </w:rPr>
        <w:t xml:space="preserve"> Il-kwoti bla ħlas skont l-Artikolu 10c tnaqqsu mill-kwantità li l-Istat Membru kieku kien jirkanta. Peress li l-allokazzjoni ta’ kwoti bla ħlas lil ġeneraturi tal-elettriku skont l-Artikolu 10c kienet tinvolvi l-għajnuna mill-Istat, l-iskemi nazzjonali stabbiliti għall-implimentazzjoni tad-deroga skont l-Artikolu 10c ġew approvati skont ir-regoli tal-għajnuna mill-Istat u kienu soġġetti għar-rekwiżiti tal-Linji Gwida dwar l-Għajnuna mill-Istat.</w:t>
      </w:r>
      <w:r w:rsidR="00BC21AD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43"/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2343918" w14:textId="68D074E3" w:rsidR="00E46C5D" w:rsidRPr="00DA11F1" w:rsidRDefault="00E46C5D" w:rsidP="00061AD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Il-valur totali tal-appoġġ tal-investiment irrappurtat skont l-Artikolu 10c mill-2009 sal-2020 huwa ta’ aktar minn EUR 13,1 biljun. Kif jidher fl-</w:t>
      </w:r>
      <w:r w:rsidR="00D1761A"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="00D1761A" w:rsidRPr="00DA11F1">
        <w:rPr>
          <w:rFonts w:ascii="Times New Roman" w:hAnsi="Times New Roman"/>
          <w:noProof/>
          <w:sz w:val="24"/>
          <w:szCs w:val="24"/>
        </w:rPr>
        <w:instrText xml:space="preserve"> REF _Ref85023567  \* MERGEFORMAT </w:instrText>
      </w:r>
      <w:r w:rsidR="00D1761A"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D1761A" w:rsidRPr="00DA11F1">
        <w:rPr>
          <w:rFonts w:ascii="Times New Roman" w:hAnsi="Times New Roman"/>
          <w:noProof/>
          <w:sz w:val="24"/>
          <w:szCs w:val="24"/>
        </w:rPr>
        <w:t>Figure 3</w:t>
      </w:r>
      <w:r w:rsidR="00D1761A"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, 83 % ta’ dan l-ammont kien iddedikat għat-titjib u l-modifika retroattiva tal-infrastruttura (l-aktar sabiex jiġu modernizzati l-impjanti tal-enerġija tal-faħam u tal-gass, u sabiex jittejbu n-networks tal-elettriku u tas-sħana). L-investimenti residwi kellhom jiddiversifikaw it-taħlita tal-enerġija u jiżviluppaw teknoloġiji nodfa. </w:t>
      </w:r>
    </w:p>
    <w:p w14:paraId="2FDB5FD4" w14:textId="2F6D35C2" w:rsidR="00D1761A" w:rsidRPr="00DA11F1" w:rsidRDefault="00D1761A" w:rsidP="00D1761A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32" w:name="_Ref85023567"/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3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32"/>
      <w:r>
        <w:rPr>
          <w:rFonts w:ascii="Times New Roman" w:hAnsi="Times New Roman"/>
          <w:noProof/>
          <w:sz w:val="22"/>
        </w:rPr>
        <w:t>. L-appoġġ totali skont l-Artikolu 10c għal kull tip ta’ investiment, mill-2013 sal-2019</w:t>
      </w:r>
    </w:p>
    <w:p w14:paraId="2FF93BFB" w14:textId="6FF7480C" w:rsidR="0073432A" w:rsidRPr="00DA11F1" w:rsidRDefault="00DD2060" w:rsidP="00E46C5D">
      <w:pPr>
        <w:spacing w:after="160" w:line="259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C93F9CE" wp14:editId="413C60DF">
            <wp:extent cx="4600575" cy="344805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20E077C" w14:textId="10373246" w:rsidR="005E0666" w:rsidRPr="00DA11F1" w:rsidRDefault="00F43627" w:rsidP="00061ADE">
      <w:pPr>
        <w:spacing w:before="120" w:after="120"/>
        <w:ind w:right="57"/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Id-DĠ Azzjoni Klimatika</w:t>
      </w:r>
    </w:p>
    <w:p w14:paraId="0328CD64" w14:textId="0A83301C" w:rsidR="007A2893" w:rsidRPr="00DA11F1" w:rsidRDefault="00D1761A" w:rsidP="007A2893">
      <w:pPr>
        <w:jc w:val="both"/>
        <w:rPr>
          <w:rFonts w:ascii="Times New Roman" w:hAnsi="Times New Roman"/>
          <w:noProof/>
          <w:sz w:val="24"/>
          <w:szCs w:val="24"/>
        </w:rPr>
      </w:pPr>
      <w:r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Pr="00DA11F1">
        <w:rPr>
          <w:rFonts w:ascii="Times New Roman" w:hAnsi="Times New Roman"/>
          <w:noProof/>
          <w:sz w:val="24"/>
          <w:szCs w:val="24"/>
        </w:rPr>
        <w:instrText xml:space="preserve"> REF _Ref85023753  \* MERGEFORMAT </w:instrText>
      </w:r>
      <w:r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Pr="00DA11F1">
        <w:rPr>
          <w:rFonts w:ascii="Times New Roman" w:hAnsi="Times New Roman"/>
          <w:noProof/>
          <w:sz w:val="24"/>
          <w:szCs w:val="24"/>
        </w:rPr>
        <w:t>Figure 4</w:t>
      </w:r>
      <w:r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turi n-numru ta’ kwoti tal-Artikolu 10c allokati għall-perjodu bejn l-2013 u l-2019 għal kull Stat Membru tal-UE (ma ġiet allokata l-ebda kwota għall-2020). </w:t>
      </w:r>
    </w:p>
    <w:p w14:paraId="574F9F0B" w14:textId="411F7429" w:rsidR="00D1761A" w:rsidRPr="00DA11F1" w:rsidRDefault="00D1761A" w:rsidP="00D1761A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33" w:name="_Ref85023753"/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4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33"/>
      <w:r>
        <w:rPr>
          <w:rFonts w:ascii="Times New Roman" w:hAnsi="Times New Roman"/>
          <w:noProof/>
          <w:sz w:val="22"/>
        </w:rPr>
        <w:t>. Il-kwoti allokati bla ħlas skont l-Artikolu 10c, mill-2013 sal-2019</w:t>
      </w:r>
      <w:r w:rsidRPr="00DA11F1">
        <w:rPr>
          <w:rFonts w:ascii="Times New Roman" w:hAnsi="Times New Roman"/>
          <w:b w:val="0"/>
          <w:noProof/>
          <w:sz w:val="22"/>
          <w:vertAlign w:val="superscript"/>
        </w:rPr>
        <w:footnoteReference w:id="44"/>
      </w:r>
    </w:p>
    <w:p w14:paraId="6769DBD8" w14:textId="61F1B64B" w:rsidR="00513E29" w:rsidRPr="00DA11F1" w:rsidRDefault="00DD2060" w:rsidP="007A2893">
      <w:pPr>
        <w:jc w:val="both"/>
        <w:rPr>
          <w:rFonts w:ascii="Times New Roman" w:hAnsi="Times New Roman"/>
          <w:noProof/>
          <w:sz w:val="24"/>
          <w:szCs w:val="24"/>
        </w:rPr>
      </w:pPr>
      <w:r w:rsidRPr="00DD2060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0EB5575" wp14:editId="7FE1EF10">
            <wp:extent cx="5731510" cy="310769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5B318" w14:textId="77777777" w:rsidR="00F43627" w:rsidRPr="00DA11F1" w:rsidRDefault="00F43627" w:rsidP="00BC21AD">
      <w:pPr>
        <w:spacing w:before="120" w:after="120"/>
        <w:ind w:right="57"/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Id-DĠ Azzjoni Klimatika</w:t>
      </w:r>
    </w:p>
    <w:p w14:paraId="32501985" w14:textId="5215E468" w:rsidR="00BC3FA4" w:rsidRPr="00DA11F1" w:rsidRDefault="00A36E7B" w:rsidP="00BC3FA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It-Tabella 6.1 tal-Appendiċi 6 għad-dokument ta’ ħidma tal-persunal li jakkumpanja dan ir-rapport tindika n-numru ta’ kwoti eliġibbli li allokaw bla ħlas l-Istati Membri lill-ġeneraturi tal-elettriku fil-fażi 3. It-Tabella 6.2 tal-Appendiċi 6 tindika n-numru massimu ta’ kwoti fis-sena li għandhom jiġu allokati skont l-Artikolu 10c.</w:t>
      </w:r>
    </w:p>
    <w:p w14:paraId="4C9134FD" w14:textId="33CD0A08" w:rsidR="00A227C1" w:rsidRPr="00DA11F1" w:rsidRDefault="0053168B" w:rsidP="00A227C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Il-kwoti tal-Artikolu 10c li baqgħu mhux allokati mill-fażi 3 jistgħu jiġu rkantati jew, f’konformità mad-Direttiva dwar l-Iskambju tal-Kwoti tal-Emissjonijiet, jiġu allokati fil-fażi 4 għal investimenti tal-Artikolu 10c magħżula permezz ta’ offerti kompetittivi jew ittrasferiti lill-Fond għall-Modernizzazzjoni. </w:t>
      </w:r>
      <w:r w:rsidR="00DD2B9B"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="00DD2B9B" w:rsidRPr="00DA11F1">
        <w:rPr>
          <w:rFonts w:ascii="Times New Roman" w:hAnsi="Times New Roman"/>
          <w:noProof/>
          <w:sz w:val="24"/>
          <w:szCs w:val="24"/>
        </w:rPr>
        <w:instrText xml:space="preserve"> REF _Ref85026212  \* MERGEFORMAT </w:instrText>
      </w:r>
      <w:r w:rsidR="00DD2B9B"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DD2B9B" w:rsidRPr="00DA11F1">
        <w:rPr>
          <w:rFonts w:ascii="Times New Roman" w:hAnsi="Times New Roman"/>
          <w:noProof/>
          <w:sz w:val="24"/>
          <w:szCs w:val="24"/>
        </w:rPr>
        <w:t>Figure 5</w:t>
      </w:r>
      <w:r w:rsidR="00DD2B9B"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turi sa liema punt ġew allokati, irkantati jew ittrasferiti għall-fażi 4 l-kwoti tal-Artikolu 10c minn kull sena tal-fażi 3.</w:t>
      </w:r>
    </w:p>
    <w:p w14:paraId="37CC7504" w14:textId="6B0A90E2" w:rsidR="00DD2B9B" w:rsidRPr="00DA11F1" w:rsidRDefault="00DD2B9B" w:rsidP="00DD2B9B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34" w:name="_Ref85026212"/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5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34"/>
      <w:r>
        <w:rPr>
          <w:rFonts w:ascii="Times New Roman" w:hAnsi="Times New Roman"/>
          <w:noProof/>
          <w:sz w:val="22"/>
        </w:rPr>
        <w:t>. Id-distribuzzjoni tal-kwoti residwi tal-Artikolu 10c (allokati, irkantati, ittrasferiti għall-fażi 4)</w:t>
      </w:r>
      <w:r>
        <w:rPr>
          <w:rFonts w:ascii="Times New Roman" w:hAnsi="Times New Roman"/>
          <w:b w:val="0"/>
          <w:noProof/>
          <w:vertAlign w:val="superscript"/>
        </w:rPr>
        <w:t xml:space="preserve"> </w:t>
      </w:r>
      <w:r w:rsidRPr="00DA11F1">
        <w:rPr>
          <w:rFonts w:ascii="Times New Roman" w:hAnsi="Times New Roman"/>
          <w:b w:val="0"/>
          <w:noProof/>
          <w:vertAlign w:val="superscript"/>
        </w:rPr>
        <w:footnoteReference w:id="45"/>
      </w:r>
    </w:p>
    <w:p w14:paraId="4F4D6D43" w14:textId="15A03BC6" w:rsidR="007A2893" w:rsidRPr="00DA11F1" w:rsidRDefault="0093168E" w:rsidP="00A227C1">
      <w:pPr>
        <w:jc w:val="both"/>
        <w:rPr>
          <w:rFonts w:ascii="Times New Roman" w:hAnsi="Times New Roman"/>
          <w:noProof/>
          <w:sz w:val="24"/>
          <w:szCs w:val="24"/>
        </w:rPr>
      </w:pPr>
      <w:r w:rsidRPr="0093168E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F21DB38" wp14:editId="736985B3">
            <wp:extent cx="5731510" cy="3130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16F01" w14:textId="77777777" w:rsidR="00F43627" w:rsidRPr="00DA11F1" w:rsidRDefault="00F43627" w:rsidP="00BC21AD">
      <w:pPr>
        <w:spacing w:before="120" w:after="120"/>
        <w:ind w:right="57"/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Id-DĠ Azzjoni Klimatika</w:t>
      </w:r>
    </w:p>
    <w:p w14:paraId="59378776" w14:textId="6239D5BC" w:rsidR="00F43627" w:rsidRPr="00DA11F1" w:rsidRDefault="006B3A67" w:rsidP="00F43627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z w:val="24"/>
          <w:szCs w:val="24"/>
        </w:rPr>
        <w:t>B’mod ġenerali, madwar 74 % tal-kwoti disponibbli tal-Artikolu 10c ġew allokati bejn l-2013 u l-2019. Il-biċċa l-kbira tal-kwoti li kien fadal ġew irkantati, u ammont żgħir biss (madwar 0,5 %) ġie ttrasferit għall-fażi 4. In-numru ta’ kwoti mhux allokati rkantati (jew ippjanati għall-irkantar) mill-Istati Membri skont id-deroga tal-Artikolu 10c fil-fażi 3 huwa indikat fit-Tabella 6.3 tal-Appendiċi 6 tad-dokument ta’ ħidma tal-persunal li jakkumpanja dan ir-rapport.</w:t>
      </w:r>
    </w:p>
    <w:p w14:paraId="3768CDE9" w14:textId="281116FD" w:rsidR="00A227C1" w:rsidRPr="00DA11F1" w:rsidRDefault="00F43627" w:rsidP="00DE3556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L-allokazzjoni tranżizzjonali bla ħlas skont l-Artikolu 10c tad-Direttiva dwar l-Iskambju tal-Kwoti tal-Emissjonijiet għadha disponibbli fil-fażi 4, iżda b’dispożizzjonijiet aktar b’saħħithom dwar it-trasparenza, u bl-għażla li l-Istati Membri eliġibbli jistgħu jużaw l-allokazzjoni tal-Artikolu 10c tagħhom kollha jew parti minnha biex jappoġġaw l-investimenti fil-qafas tal-Fond għall-Modernizzazzjoni. Il-Bulgarija, ir-Rumanija u l-Ungerija għażlu li jkomplu jużaw l-Artikolu 10c fil-fażi 4</w:t>
      </w:r>
      <w:r w:rsidR="005B62BF">
        <w:rPr>
          <w:rStyle w:val="FootnoteReference"/>
          <w:rFonts w:ascii="Times New Roman" w:hAnsi="Times New Roman"/>
          <w:noProof/>
          <w:sz w:val="24"/>
          <w:szCs w:val="24"/>
        </w:rPr>
        <w:footnoteReference w:id="46"/>
      </w:r>
      <w:r>
        <w:rPr>
          <w:rFonts w:ascii="Times New Roman" w:hAnsi="Times New Roman"/>
          <w:noProof/>
          <w:sz w:val="24"/>
          <w:szCs w:val="24"/>
        </w:rPr>
        <w:t>, u jinsabu fil-proċess li jfasslu oqfsa nazzjonali sabiex jimplimentaw din id-dispożizzjoni. Jeħtieġ li dawn jiġu approvati mill-Kummissjoni skont ir-regoli dwar l-għajnuna mill-Istat</w:t>
      </w:r>
      <w:r w:rsidR="00F31B2B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47"/>
      </w:r>
      <w:r>
        <w:rPr>
          <w:rFonts w:ascii="Times New Roman" w:hAnsi="Times New Roman"/>
          <w:noProof/>
          <w:sz w:val="24"/>
          <w:szCs w:val="24"/>
        </w:rPr>
        <w:t>. Stati Membri eliġibbli oħrajn</w:t>
      </w:r>
      <w:r w:rsidR="00BF031E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48"/>
      </w:r>
      <w:r>
        <w:rPr>
          <w:rFonts w:ascii="Times New Roman" w:hAnsi="Times New Roman"/>
          <w:noProof/>
          <w:sz w:val="24"/>
          <w:szCs w:val="24"/>
        </w:rPr>
        <w:t xml:space="preserve"> għażlu li jirkantaw il-kwoti tal-fażi 4 tagħhom jew li jittrasferixxuhom għall-Fond għall-Modernizzazzjoni. In-numru ta’ kwoti tal-fażi 4 li se jintużaw skont id-deroga tal-Artikolu 10c, li se jiġu ttrasferiti lill-Fond għall-Modernizzazzjoni jew li se jiġu rkantati huwa inkluż fit-Tabella 6.4 tal-Appendiċi 6 tad-dokument ta’ ħidma tal-persunal li jakkumpanja dan ir-rapport. </w:t>
      </w:r>
    </w:p>
    <w:p w14:paraId="378E918D" w14:textId="17E09717" w:rsidR="00131369" w:rsidRPr="00DA11F1" w:rsidRDefault="00FA7EBD" w:rsidP="00006E10">
      <w:pPr>
        <w:pStyle w:val="Heading3"/>
        <w:ind w:left="720"/>
        <w:rPr>
          <w:i/>
          <w:noProof/>
        </w:rPr>
      </w:pPr>
      <w:bookmarkStart w:id="35" w:name="_Toc490850427"/>
      <w:bookmarkStart w:id="36" w:name="_Toc89703114"/>
      <w:r>
        <w:rPr>
          <w:i/>
          <w:noProof/>
        </w:rPr>
        <w:t>3.1.5 Il-Programm NER 300</w:t>
      </w:r>
      <w:bookmarkEnd w:id="35"/>
      <w:bookmarkEnd w:id="36"/>
      <w:r>
        <w:rPr>
          <w:i/>
          <w:noProof/>
        </w:rPr>
        <w:t xml:space="preserve"> </w:t>
      </w:r>
    </w:p>
    <w:p w14:paraId="14567418" w14:textId="11C5847B" w:rsidR="00B04DED" w:rsidRPr="00DA11F1" w:rsidRDefault="001C6F82" w:rsidP="00DE3556">
      <w:pPr>
        <w:pStyle w:val="a3520normalp11"/>
        <w:spacing w:after="200" w:line="276" w:lineRule="auto"/>
        <w:rPr>
          <w:noProof/>
        </w:rPr>
      </w:pPr>
      <w:r>
        <w:rPr>
          <w:noProof/>
        </w:rPr>
        <w:t xml:space="preserve">Fil-fażi 3, l-NER 300 kien programm ta’ finanzjament fuq skala kbira għal proġetti ta’ dimostrazzjoni ta’ proġetti innovattivi ta’ enerġija b’emissjonijiet baxxi ta’ karbonju. L-għan kien li jintwerew teknoloġiji innovattivi ta’ ġbir u ħżin tal-karbonju sikuri għall-ambjent u ta’ sorsi ta’ enerġija rinnovabbli fuq skala kummerċjali fl-UE. L-NER 300 kien iffinanzjat mill-monetizzazzjoni ta’ 300 miljun kwota mir-Riżerva għal Entranti Ġodda (NER). Il-finanzjament ingħata lill-proġetti magħżula wara żewġ sensiliet ta’ sejħiet għall-proposti f’Diċembru tal-2012 u f’Lulju tal-2014. </w:t>
      </w:r>
    </w:p>
    <w:p w14:paraId="07F2504F" w14:textId="7A6DA72A" w:rsidR="00085CF6" w:rsidRPr="00DA11F1" w:rsidRDefault="00507A09" w:rsidP="00AB73FF">
      <w:pPr>
        <w:ind w:right="5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B’kollox, 38 proġett tal-enerġija rinnovabbli u proġett wieħed ta’ ġbir u ħżin tal-karbonju f’20 Stat Membru ngħataw appoġġ mill-NER 300, li ammonta għal EUR 2,1 biljun. Sat-30 ta’ Ġunju 2021, tmien proġetti kienu saru operattivi: il-proġett tal-bijoenerġija Verbiostraw fil-Ġermanja, il-proġetti ta’ park eoliku fuq l-art Windpark Handalm fl-Awstrija, il-proġetti ta’ parks eoliċi lil hinn mill-kosta Veja Mate u Nordsee One fil-Ġermanja, il-proġett ta’ grilji intelliġenti Puglia Active Network fl-Italja, il-proġetti ta’ parks eoliċi lil hinn mill-kosta Vertimed fi Franza u Winfloat fil-Portugall, kif ukoll il-proġett Minos, tal-enerġija solari kkonċentrata, fil-Greċja. Żewġ proġetti, il-proġett Taljan tal-bijoenerġija BEST u l-proġett Żvediż ta’ park eoliku fuq l-art Windpark Blaiken, huma meqjusin li tlestew</w:t>
      </w:r>
      <w:r w:rsidR="00FE33CF" w:rsidRPr="00DA11F1">
        <w:rPr>
          <w:rStyle w:val="FootnoteReference"/>
          <w:rFonts w:ascii="Times New Roman" w:eastAsia="Times New Roman" w:hAnsi="Times New Roman"/>
          <w:noProof/>
          <w:sz w:val="24"/>
          <w:szCs w:val="24"/>
          <w:lang w:eastAsia="en-GB"/>
        </w:rPr>
        <w:footnoteReference w:id="49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769AF8C9" w14:textId="13B40530" w:rsidR="00085CF6" w:rsidRPr="00DA11F1" w:rsidRDefault="00E60092" w:rsidP="009631E7">
      <w:pPr>
        <w:ind w:right="5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Erba’ proġetti oħra magħżula wara t-tieni sejħa għall-proposti qegħdin javvanzaw fit-tħejjija tagħhom. Madankollu, minħabba l-pandemija tal-COVID-19, id-dati tat-tnedija tagħhom ġew emendati</w:t>
      </w:r>
      <w:r w:rsidR="00085CF6" w:rsidRPr="00DA11F1">
        <w:rPr>
          <w:rStyle w:val="FootnoteReference"/>
          <w:rFonts w:ascii="Times New Roman" w:eastAsia="Times New Roman" w:hAnsi="Times New Roman"/>
          <w:noProof/>
          <w:sz w:val="24"/>
          <w:szCs w:val="24"/>
          <w:lang w:eastAsia="en-GB"/>
        </w:rPr>
        <w:footnoteReference w:id="50"/>
      </w:r>
      <w:r>
        <w:rPr>
          <w:rFonts w:ascii="Times New Roman" w:hAnsi="Times New Roman"/>
          <w:noProof/>
          <w:sz w:val="24"/>
          <w:szCs w:val="24"/>
        </w:rPr>
        <w:t xml:space="preserve">. Minħabba d-diffikultajiet għall-kofinanzjament skont ir-rekwiżiti tal-NER 300 flimkien ma’ kuntest ekonomiku u ta’ politika ta’ sfida, 23 proġett ma setgħux jiġbru biżżejjed finanzjament addizzjonali u ġew irtirati mill-programm, u b’hekk b’kollox ġew rilaxxati kważi EUR 1,5 biljun. </w:t>
      </w:r>
    </w:p>
    <w:p w14:paraId="6DF40BB7" w14:textId="4036A4AE" w:rsidR="009729F0" w:rsidRPr="00DA11F1" w:rsidRDefault="00851E0F" w:rsidP="009631E7">
      <w:pPr>
        <w:ind w:right="5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Fl-2017, id-Deċiżjoni dwar l-NER 300 emendata</w:t>
      </w:r>
      <w:r w:rsidR="00060393" w:rsidRPr="00DA11F1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en-GB"/>
        </w:rPr>
        <w:footnoteReference w:id="51"/>
      </w:r>
      <w:r>
        <w:rPr>
          <w:rFonts w:ascii="Times New Roman" w:hAnsi="Times New Roman"/>
          <w:noProof/>
          <w:sz w:val="24"/>
          <w:szCs w:val="24"/>
        </w:rPr>
        <w:t xml:space="preserve"> awtorizzat l-investiment mill-ġdid tal-fondi rilaxxati mill-proġetti kkanċellati tal-ewwel sejħa għall-proposti (EUR 708,7 miljun) fil-proġetti appoġġati skont l-istrumenti finanzjarji eżistenti - il-Proġetti InnovFin Energy Demonstration u l-Istrument ta’ Dejn tal-Faċilità Nikkollegaw l-Ewropa, li t-tnejn huma mmexxija mill-Bank Ewropew tal-Investiment.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Dawn il-proġetti u l-pipelines relattivi tagħhom qegħdin juru b’suċċess li l-mekkaniżmu ta’ finanzjament imħallat implimentat qiegħed jaħdem b’mod effiċjenti. L-allokazzjoni sħiħa tal-fondi mhux żborżati tal-NER 300 hija mistennija sal-aħħar tal-2022.</w:t>
      </w:r>
    </w:p>
    <w:p w14:paraId="0B02A50A" w14:textId="72D4BB1B" w:rsidR="009729F0" w:rsidRPr="00DA11F1" w:rsidRDefault="009729F0" w:rsidP="009631E7">
      <w:pPr>
        <w:ind w:right="5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Il-fondi li jifdal mhux minfuqa mit-tieni sessjoni ta’ sejħiet għall-proposti se jiġu mgħoddija lill-Fond għall-Innovazzjoni. Sa issa, ġew ittrasferiti EUR 746,6 miljun lill-Fond għall-Innovazzjoni. </w:t>
      </w:r>
    </w:p>
    <w:p w14:paraId="5BE7C782" w14:textId="7C30578F" w:rsidR="00131369" w:rsidRPr="00DA11F1" w:rsidRDefault="00507A9B" w:rsidP="009631E7">
      <w:pPr>
        <w:ind w:right="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z w:val="24"/>
          <w:szCs w:val="24"/>
        </w:rPr>
        <w:t>L-Appendiċi 7 tad-dokument ta’ ħidma tal-persunal li jakkumpanja dan ir-rapport fih aktar informazzjoni dwar l-NER 300.</w:t>
      </w:r>
    </w:p>
    <w:p w14:paraId="65DD9F9D" w14:textId="04691D94" w:rsidR="00131369" w:rsidRPr="00DA11F1" w:rsidRDefault="00FA7EBD" w:rsidP="00006E10">
      <w:pPr>
        <w:pStyle w:val="Heading3"/>
        <w:ind w:left="720"/>
        <w:rPr>
          <w:i/>
          <w:noProof/>
        </w:rPr>
      </w:pPr>
      <w:bookmarkStart w:id="37" w:name="_Toc89703115"/>
      <w:r>
        <w:rPr>
          <w:i/>
          <w:noProof/>
        </w:rPr>
        <w:t>3.1.6. Il-Fond għall-Innovazzjoni</w:t>
      </w:r>
      <w:bookmarkEnd w:id="37"/>
      <w:r>
        <w:rPr>
          <w:i/>
          <w:noProof/>
        </w:rPr>
        <w:t xml:space="preserve"> </w:t>
      </w:r>
    </w:p>
    <w:p w14:paraId="0DE49A10" w14:textId="0FD3D7AA" w:rsidR="007A5FC2" w:rsidRPr="00DA11F1" w:rsidRDefault="007A5FC2" w:rsidP="009631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Il-Fond għall-Innovazzjoni fil-qafas tal-EU ETS jiġbor mill-anqas EUR 20 biljun</w:t>
      </w:r>
      <w:r w:rsidR="00B84343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52"/>
      </w:r>
      <w:r>
        <w:rPr>
          <w:rFonts w:ascii="Times New Roman" w:hAnsi="Times New Roman"/>
          <w:noProof/>
          <w:sz w:val="24"/>
          <w:szCs w:val="24"/>
        </w:rPr>
        <w:t xml:space="preserve"> għall-perjodu bejn l-2020 u l-2030, mill-irkantar ta’ 450 miljun kwota. B’hekk huwa wieħed mill-akbar programmi fid-dinja li għandu l-għan li jiffinanzja d-dimostrazzjoni kummerċjali ta’ teknoloġiji innovattivi b’livell baxx ta’ emissjonijiet tal-karbonju u soluzzjonijiet industrijali għad-dekarbonizzazzjoni tal-industriji intensivi fl-użu tal-enerġija tal-Ewropa, ta’ sorsi ta’ enerġija rinnovabbli innovattivi, ta’ ħżin tal-enerġija, u tal-użu u l-ħżin tad-diossidu tal-karbonju maqbud.</w:t>
      </w:r>
    </w:p>
    <w:p w14:paraId="315838C1" w14:textId="1A9A0EB2" w:rsidR="001B7C08" w:rsidRPr="00DA11F1" w:rsidRDefault="00AC2F6D" w:rsidP="009631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Il-Kummissjoni, flimkien mal-Aġenzija Eżekuttiva Ewropea għall-Klima, għall-Infrastruttura u għall-Ambjent, nediet l-ewwel sejħiet għall-proposti fil-qafas tal-Fond għall-Innovazzjoni fl-2020. Is-sejħiet ġibdu interess sinifikanti minn kumpaniji ta’ kull daqs li kienu qegħdin ifittxu finanzjament għall-proġetti innovattivi tagħhom ta’ teknoloġija nadifa, f’setturi diversi u fl-Istati Membri kollha, flimkien mal-Iżlanda u n-Norveġja. Skont is-sejħa għal proġetti kbar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53"/>
      </w:r>
      <w:r>
        <w:rPr>
          <w:rFonts w:ascii="Times New Roman" w:hAnsi="Times New Roman"/>
          <w:noProof/>
          <w:sz w:val="24"/>
          <w:szCs w:val="24"/>
        </w:rPr>
        <w:t xml:space="preserve">, is-70 proġett li kklassifikaw l-ogħla (minn 311-il applikazzjoni) ġew mistiedna jissottomettu proposta sħiħa għat-tieni stadju sat-23 ta’ Ġunju 2021. Waslu 66 proposta sħiħa, li talbu madwar EUR 6 biljun ta’ appoġġ, imqabbel mal-finanzjament totali disponibbli taħt din is-sejħa ta’ EUR 1 biljun. Ir-riżultati tal-evalwazzjoni se jkunu disponibbli fir-raba’ trimestru tal-2021. </w:t>
      </w:r>
    </w:p>
    <w:p w14:paraId="05E73AED" w14:textId="3EC3227B" w:rsidR="00AC2F6D" w:rsidRPr="00DA11F1" w:rsidRDefault="001F3C0C" w:rsidP="009631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Is-sejħa għal proġetti żgħar</w:t>
      </w:r>
      <w:r w:rsidR="00EB179F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54"/>
      </w:r>
      <w:r>
        <w:rPr>
          <w:rFonts w:ascii="Times New Roman" w:hAnsi="Times New Roman"/>
          <w:noProof/>
          <w:sz w:val="24"/>
          <w:szCs w:val="24"/>
        </w:rPr>
        <w:t xml:space="preserve"> għalqet fl-10 ta’ Marzu 2021 u b’kollox waslu 232 sottomissjoni. 32 proġett żgħir intgħażlu għall-finanzjament u ġew mistiedna għall-fażi tat-tħejjija tal-għotjiet f’Lulju tal-2021, għal volum totali ta’ EUR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118-il miljun. Il-proġetti li rnexxew jinsabu fi 12-il Stat Membru u fl-Iżlanda u n-Norveġja, u se jnaqqsu l-emissjonijiet ta’ gassijiet serra kemm fis-setturi tal-enerġija kif ukoll f’dawk tal-industrija.  </w:t>
      </w:r>
    </w:p>
    <w:p w14:paraId="42F1C8CB" w14:textId="126431F8" w:rsidR="001B7C08" w:rsidRPr="00DA11F1" w:rsidRDefault="009F4C75" w:rsidP="00C02EC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Intgħażlu 15-il proġett kbir biex jingħataw l-Għajnuna għall-Iżvilupp tal-Proġetti fil-qafas tal-Fond għall-Innovazzjoni għal ammont totali ta’ EUR 4 miljun.  </w:t>
      </w:r>
    </w:p>
    <w:p w14:paraId="0D2C8E63" w14:textId="2B8FD0D8" w:rsidR="00131369" w:rsidRPr="00DA11F1" w:rsidRDefault="00FA7EBD" w:rsidP="00006E10">
      <w:pPr>
        <w:pStyle w:val="Heading3"/>
        <w:ind w:left="720"/>
        <w:rPr>
          <w:i/>
          <w:noProof/>
        </w:rPr>
      </w:pPr>
      <w:bookmarkStart w:id="38" w:name="_Toc89703116"/>
      <w:r>
        <w:rPr>
          <w:i/>
          <w:noProof/>
        </w:rPr>
        <w:t>3.1.7. Il-Fond għall-Modernizzazzjoni</w:t>
      </w:r>
      <w:bookmarkEnd w:id="38"/>
      <w:r>
        <w:rPr>
          <w:i/>
          <w:noProof/>
        </w:rPr>
        <w:t xml:space="preserve"> </w:t>
      </w:r>
    </w:p>
    <w:p w14:paraId="0BEC614C" w14:textId="65F244E5" w:rsidR="00407285" w:rsidRPr="00DA11F1" w:rsidRDefault="0085153B" w:rsidP="00E125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Il-Fond għall-Modernizzazzjoni huwa l-istrument ewlieni ta’ finanzjament fil-qafas tal-EU ETS stabbilit bil-għan li jappoġġa d-dekarbonizzazzjoni fl-Istati Membri ċentrali u tal-Lvant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  <w:lang w:val="en-US"/>
        </w:rPr>
        <w:footnoteReference w:id="55"/>
      </w:r>
      <w:r>
        <w:rPr>
          <w:rFonts w:ascii="Times New Roman" w:hAnsi="Times New Roman"/>
          <w:noProof/>
          <w:sz w:val="24"/>
          <w:szCs w:val="24"/>
        </w:rPr>
        <w:t>. Dan jiġbor madwar EUR 25 biljun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  <w:lang w:val="en-US"/>
        </w:rPr>
        <w:footnoteReference w:id="56"/>
      </w:r>
      <w:r>
        <w:rPr>
          <w:rFonts w:ascii="Times New Roman" w:hAnsi="Times New Roman"/>
          <w:noProof/>
          <w:sz w:val="24"/>
          <w:szCs w:val="24"/>
        </w:rPr>
        <w:t>, mill-irkantar ta’ aktar minn 643 miljun kwota</w:t>
      </w:r>
      <w:r w:rsidR="009F4C75" w:rsidRPr="00DA11F1">
        <w:rPr>
          <w:rStyle w:val="FootnoteReference"/>
          <w:rFonts w:ascii="Times New Roman" w:hAnsi="Times New Roman"/>
          <w:noProof/>
          <w:sz w:val="24"/>
          <w:szCs w:val="24"/>
          <w:lang w:val="en-US"/>
        </w:rPr>
        <w:footnoteReference w:id="57"/>
      </w:r>
      <w:r>
        <w:rPr>
          <w:rFonts w:ascii="Times New Roman" w:hAnsi="Times New Roman"/>
          <w:noProof/>
          <w:sz w:val="24"/>
          <w:szCs w:val="24"/>
        </w:rPr>
        <w:t xml:space="preserve"> fil-fażi 4.   </w:t>
      </w:r>
    </w:p>
    <w:p w14:paraId="79384D3C" w14:textId="060BB664" w:rsidR="00407285" w:rsidRPr="00DA11F1" w:rsidRDefault="0085153B" w:rsidP="00E125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Il-Fond għall-Modernizzazzjoni sar operattiv f’Jannar tal-2021. Fl-ewwel ċiklu biannwali ta’ żborżar, sitt skemi pluriennali ġew ikkonfermati fl-Ungerija, fil-Polonja u fiċ-Ċekja għal volum totali ta’ EUR 304 miljun. L-iskemi jinkludu investimenti fl-enerġija rinnovabbli, fl-effiċjenza enerġetika, fil-grilji intelliġenti, u fl-iżvilupp ta’ grilji tal-enerġija u ta’ komunitajiet tal-enerġija.</w:t>
      </w:r>
    </w:p>
    <w:p w14:paraId="02366EAC" w14:textId="250337D0" w:rsidR="00131369" w:rsidRPr="00DA11F1" w:rsidRDefault="00BE4015" w:rsidP="00E125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It-Tabella 7.3 tal-Appendiċi 7 tad-dokument ta’ ħidma tal-persunal li jakkumpanja dan ir-rapport turi n-numru totali ta’ kwoti għal kull Stat Membru benefiċjarju fil-fażi 4. </w:t>
      </w:r>
    </w:p>
    <w:p w14:paraId="7D40694A" w14:textId="7DEDD768" w:rsidR="00131369" w:rsidRPr="00DA11F1" w:rsidRDefault="00FA7EBD" w:rsidP="00B02C8A">
      <w:pPr>
        <w:pStyle w:val="Heading3"/>
        <w:ind w:left="720"/>
        <w:rPr>
          <w:rStyle w:val="Heading3Char"/>
          <w:b/>
          <w:i/>
          <w:noProof/>
        </w:rPr>
      </w:pPr>
      <w:bookmarkStart w:id="39" w:name="_Toc490850428"/>
      <w:bookmarkStart w:id="40" w:name="_Toc89703117"/>
      <w:r>
        <w:rPr>
          <w:i/>
          <w:noProof/>
        </w:rPr>
        <w:t>3</w:t>
      </w:r>
      <w:r>
        <w:rPr>
          <w:rStyle w:val="Heading3Char"/>
          <w:b/>
          <w:i/>
          <w:noProof/>
        </w:rPr>
        <w:t>.1.8. Il-kumpens għall-ispejjeż indiretti tal-karbonju</w:t>
      </w:r>
      <w:bookmarkStart w:id="41" w:name="_Toc463015542"/>
      <w:bookmarkStart w:id="42" w:name="_Toc490850429"/>
      <w:bookmarkEnd w:id="39"/>
      <w:bookmarkEnd w:id="40"/>
    </w:p>
    <w:p w14:paraId="6EA5A395" w14:textId="271B1EAF" w:rsidR="00700047" w:rsidRPr="00DA11F1" w:rsidRDefault="00700047" w:rsidP="00E125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Minbarra l-allokazzjoni bla ħlas li tkopri l-emissjonijiet diretti, l-Istati Membri jistgħu jagħtu għajnuna mill-Istat sabiex jikkumpensaw għal xi industriji li jużaw ħafna elettriċità għall-ispejjeż tal-karbonju li jirriżultaw minn emissjonijiet indiretti, jiġifieri minn żieda fil-prezzijiet tal-elettriku minħabba ġeneraturi tal-enerġija li jgħaddu l-kostijiet tax-xiri ta’ kwoti lill-konsumaturi. Sabiex tiġi żgurata applikazzjoni armonizzata ta’ kumpens għall-ispiża indiretta tal-karbonju madwar l-Istati Membri u sabiex jitnaqqsu d-distorsjonijiet tal-kompetizzjoni fis-suq intern, il-Kummissjoni adottat il-Linji Gwida dwar ċerti miżuri ta’ għajnuna mill-Istat fil-kuntest tal-iskema għall-iskambju ta’ kwoti ta’ emissjonijiet ta’ gassijiet serra. L-ewwel edizzjoni ta’ dawn il-Linji Gwida kienet tapplika għall-ispejjeż indiretti mġarrba mill-2013 sal-2020</w:t>
      </w:r>
      <w:r w:rsidR="00C00ECD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58"/>
      </w:r>
      <w:r>
        <w:rPr>
          <w:rFonts w:ascii="Times New Roman" w:hAnsi="Times New Roman"/>
          <w:noProof/>
          <w:sz w:val="24"/>
          <w:szCs w:val="24"/>
        </w:rPr>
        <w:t>. Sussegwentement il-Linji Gwida ġew riveduti sabiex ikopru l-perjodu bejn l-2021 u l-2030</w:t>
      </w:r>
      <w:r w:rsidR="00C00ECD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59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638180EA" w14:textId="7ECE20F0" w:rsidR="00700047" w:rsidRPr="00DA11F1" w:rsidRDefault="00B52704" w:rsidP="00E125E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Dan ir-rapport jagħti d-dettalji dwar in-nefqa tal-Istati Membri fl-2020 għall-ispejjeż indiretti mġarrba fl-2019, skont l-ewwel edizzjoni tal-Linji Gwida. 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dwar il-kumpens għall-ispejjeż indiretti mġarrba fl-2020 għadha ma hijiex disponibbli. L-Istati Membri li jagħżlu li jibdew jew ikomplu jikkumpensaw għall-ispejjeż indiretti mġarrba fl-2021 u wara, skont il-Linji Gwida riveduti, iridu jinnotifikaw l-iskemi tagħhom lill-Kummissjoni.</w:t>
      </w:r>
    </w:p>
    <w:p w14:paraId="3ABD6C71" w14:textId="09F4CB32" w:rsidR="00700047" w:rsidRPr="00DA11F1" w:rsidRDefault="00A1108B" w:rsidP="00E125E7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L-għadd ta’ Stati Membri li qegħdin jibdew jikkumpensaw għall-ispejjeż indiretti qiegħed dejjem jikber. Sal-lum, il-Kummissjoni approvat 16-il skema fi 15-il Stat Membru. Fl-2020, il-Polonja u r-Rumanija bdew jikkumpensaw l-ispejjeż indiretti għall-ewwel darba. Il-Kummissjoni approvat skema Ċeka ġdida</w:t>
      </w:r>
      <w:r w:rsidR="00700047" w:rsidRPr="00DA11F1">
        <w:rPr>
          <w:rStyle w:val="FootnoteReference"/>
          <w:rFonts w:ascii="Times New Roman" w:eastAsia="Times New Roman" w:hAnsi="Times New Roman"/>
          <w:noProof/>
          <w:sz w:val="24"/>
          <w:szCs w:val="24"/>
          <w:lang w:eastAsia="de-DE"/>
        </w:rPr>
        <w:footnoteReference w:id="60"/>
      </w:r>
      <w:r>
        <w:rPr>
          <w:rFonts w:ascii="Times New Roman" w:hAnsi="Times New Roman"/>
          <w:noProof/>
          <w:sz w:val="24"/>
          <w:szCs w:val="24"/>
        </w:rPr>
        <w:t xml:space="preserve"> f’Novembru tal-2020 u skema Taljana ġdida</w:t>
      </w:r>
      <w:r w:rsidR="00700047" w:rsidRPr="00DA11F1">
        <w:rPr>
          <w:rStyle w:val="FootnoteReference"/>
          <w:rFonts w:ascii="Times New Roman" w:eastAsia="Times New Roman" w:hAnsi="Times New Roman"/>
          <w:noProof/>
          <w:sz w:val="24"/>
          <w:szCs w:val="24"/>
          <w:lang w:eastAsia="de-DE"/>
        </w:rPr>
        <w:footnoteReference w:id="61"/>
      </w:r>
      <w:r>
        <w:rPr>
          <w:rFonts w:ascii="Times New Roman" w:hAnsi="Times New Roman"/>
          <w:noProof/>
          <w:sz w:val="24"/>
          <w:szCs w:val="24"/>
        </w:rPr>
        <w:t xml:space="preserve"> f’Lulju tal-2021. Kemm iċ-Ċekja kif ukoll l-Italja se jibdew jikkumpensaw l-ispejjeż indiretti fl-2021 (għall-ispejjeż imġarrba fl-2020).</w:t>
      </w:r>
    </w:p>
    <w:p w14:paraId="6BE45379" w14:textId="68A171D3" w:rsidR="00700047" w:rsidRPr="00DA11F1" w:rsidRDefault="00700047" w:rsidP="00700047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Id-Direttiva dwar l-Iskambju tal-Kwoti tal-Emissjonijiet tispeċifika li fi żmien tliet xhur wara t-tmiem ta’ kull sena, l-Istati Membri li jkollhom skema ta’ kumpens għall-ispejjeż indiretti fis-seħħ, jenħtieġ li jqiegħdu għad-dispożizzjoni tal-pubbliku, f’forma li tkun aċċessibbli faċilment, l-ammont totali pprovdut u t-tqassim għal kull settur u subsettur benefiċjarju. </w:t>
      </w:r>
      <w:r w:rsidR="00B441CA" w:rsidRPr="00DA11F1">
        <w:rPr>
          <w:rFonts w:ascii="Times New Roman" w:eastAsia="Times New Roman" w:hAnsi="Times New Roman"/>
          <w:noProof/>
          <w:sz w:val="28"/>
          <w:szCs w:val="24"/>
        </w:rPr>
        <w:fldChar w:fldCharType="begin"/>
      </w:r>
      <w:r w:rsidR="00B441CA" w:rsidRPr="00DA11F1">
        <w:rPr>
          <w:rFonts w:ascii="Times New Roman" w:eastAsia="Times New Roman" w:hAnsi="Times New Roman"/>
          <w:noProof/>
          <w:sz w:val="28"/>
          <w:szCs w:val="24"/>
        </w:rPr>
        <w:instrText xml:space="preserve"> REF _Ref85028906  \* MERGEFORMAT </w:instrText>
      </w:r>
      <w:r w:rsidR="00B441CA" w:rsidRPr="00DA11F1">
        <w:rPr>
          <w:rFonts w:ascii="Times New Roman" w:eastAsia="Times New Roman" w:hAnsi="Times New Roman"/>
          <w:noProof/>
          <w:sz w:val="28"/>
          <w:szCs w:val="24"/>
        </w:rPr>
        <w:fldChar w:fldCharType="separate"/>
      </w:r>
      <w:r w:rsidR="00B441CA" w:rsidRPr="00DA11F1">
        <w:rPr>
          <w:rFonts w:ascii="Times New Roman" w:hAnsi="Times New Roman"/>
          <w:noProof/>
          <w:sz w:val="24"/>
        </w:rPr>
        <w:t>Table 4</w:t>
      </w:r>
      <w:r w:rsidR="00B441CA" w:rsidRPr="00DA11F1">
        <w:rPr>
          <w:rFonts w:ascii="Times New Roman" w:eastAsia="Times New Roman" w:hAnsi="Times New Roman"/>
          <w:noProof/>
          <w:sz w:val="28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hawn taħt tiġbor fil-qosor 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ppubblikata mill-Istati Membri dwar il-kumpens imli tħallas fl-2020 għall-ispejjeż indiretti mġarrba fl-2019. Dawn huma mqabbla mad-dħul mill-irkantar fl-2019.</w:t>
      </w:r>
    </w:p>
    <w:p w14:paraId="2A2F4D4D" w14:textId="2632B74B" w:rsidR="00B441CA" w:rsidRPr="00DA11F1" w:rsidRDefault="00B441CA" w:rsidP="00B441CA">
      <w:pPr>
        <w:pStyle w:val="Caption"/>
        <w:keepNext/>
        <w:rPr>
          <w:rFonts w:ascii="Times New Roman" w:hAnsi="Times New Roman"/>
          <w:noProof/>
          <w:sz w:val="22"/>
        </w:rPr>
      </w:pPr>
      <w:bookmarkStart w:id="43" w:name="_Ref85028906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76166" w:rsidRPr="00DA11F1">
        <w:rPr>
          <w:rFonts w:ascii="Times New Roman" w:hAnsi="Times New Roman"/>
          <w:noProof/>
          <w:sz w:val="22"/>
        </w:rPr>
        <w:t>4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43"/>
      <w:r>
        <w:rPr>
          <w:rFonts w:ascii="Times New Roman" w:hAnsi="Times New Roman"/>
          <w:noProof/>
          <w:sz w:val="22"/>
        </w:rPr>
        <w:t>. Il-kumpens għall-ispejjeż indiretti tal-karbonju mħallsa mill-Istati Membri tal-UE u mir-Renju Unit fl-2020</w:t>
      </w:r>
      <w:r w:rsidRPr="00DA11F1">
        <w:rPr>
          <w:rStyle w:val="FootnoteReference"/>
          <w:rFonts w:ascii="Times New Roman" w:eastAsia="Times New Roman" w:hAnsi="Times New Roman"/>
          <w:b w:val="0"/>
          <w:noProof/>
          <w:lang w:eastAsia="en-GB"/>
        </w:rPr>
        <w:footnoteReference w:id="62"/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2561"/>
        <w:gridCol w:w="1761"/>
        <w:gridCol w:w="1673"/>
        <w:gridCol w:w="1947"/>
      </w:tblGrid>
      <w:tr w:rsidR="00700047" w:rsidRPr="00DA11F1" w14:paraId="29E2822C" w14:textId="77777777" w:rsidTr="00865DDA">
        <w:trPr>
          <w:trHeight w:val="1020"/>
        </w:trPr>
        <w:tc>
          <w:tcPr>
            <w:tcW w:w="520" w:type="pct"/>
            <w:shd w:val="clear" w:color="auto" w:fill="auto"/>
            <w:vAlign w:val="center"/>
            <w:hideMark/>
          </w:tcPr>
          <w:p w14:paraId="45DE3F8A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Stat Membru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7A386F17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Kumpens żborżat fl-2020 għall-ispejjeż indiretti mġarrba fl-2019 (f’miljuni ta’ euro)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620ABD04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Għadd ta’ benefiċjarji (installazzjonijiet)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1021F70" w14:textId="16C1F4B3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Dħul mill-irkantar fl-2019 (minbarra kwoti tal-avjazzjoni, f’miljuni ta’ euro)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597CF57C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Perċentwal tad-dħul mill-irkantar li ntnefaq fuq il-kumpens tal-ispejjeż indiretti</w:t>
            </w:r>
          </w:p>
        </w:tc>
      </w:tr>
      <w:tr w:rsidR="00700047" w:rsidRPr="00DA11F1" w14:paraId="48FD447C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081EF082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DE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25FD5DA8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546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03FEB2E1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D2101BB" w14:textId="52EAE4C7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3 146,1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564C5247" w14:textId="224B66D2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17,4 %</w:t>
            </w:r>
          </w:p>
        </w:tc>
      </w:tr>
      <w:tr w:rsidR="00700047" w:rsidRPr="00DA11F1" w14:paraId="34852094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373928F5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BE (FL)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26E505AA" w14:textId="03210E0E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89,4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3B170940" w14:textId="5A8525FE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108</w:t>
            </w:r>
          </w:p>
        </w:tc>
        <w:tc>
          <w:tcPr>
            <w:tcW w:w="975" w:type="pct"/>
            <w:vMerge w:val="restart"/>
            <w:shd w:val="clear" w:color="auto" w:fill="auto"/>
            <w:vAlign w:val="center"/>
            <w:hideMark/>
          </w:tcPr>
          <w:p w14:paraId="7DCAA274" w14:textId="2652B967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353,5</w:t>
            </w:r>
          </w:p>
        </w:tc>
        <w:tc>
          <w:tcPr>
            <w:tcW w:w="1123" w:type="pct"/>
            <w:vMerge w:val="restart"/>
            <w:shd w:val="clear" w:color="auto" w:fill="auto"/>
            <w:vAlign w:val="center"/>
            <w:hideMark/>
          </w:tcPr>
          <w:p w14:paraId="61C743E9" w14:textId="210190DC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30,9 %</w:t>
            </w:r>
          </w:p>
        </w:tc>
      </w:tr>
      <w:tr w:rsidR="00700047" w:rsidRPr="00DA11F1" w14:paraId="3F62D210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723FACEC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BE (WL)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0FD9CDCD" w14:textId="788D6152" w:rsidR="00700047" w:rsidRPr="00DA11F1" w:rsidRDefault="002B3C40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31B8F2E3" w14:textId="1759174C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31</w:t>
            </w:r>
          </w:p>
        </w:tc>
        <w:tc>
          <w:tcPr>
            <w:tcW w:w="975" w:type="pct"/>
            <w:vMerge/>
            <w:vAlign w:val="center"/>
            <w:hideMark/>
          </w:tcPr>
          <w:p w14:paraId="1F4AB7E6" w14:textId="77777777" w:rsidR="00700047" w:rsidRPr="00DA11F1" w:rsidRDefault="00700047" w:rsidP="00865DD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23" w:type="pct"/>
            <w:vMerge/>
            <w:vAlign w:val="center"/>
            <w:hideMark/>
          </w:tcPr>
          <w:p w14:paraId="107DA655" w14:textId="77777777" w:rsidR="00700047" w:rsidRPr="00DA11F1" w:rsidRDefault="00700047" w:rsidP="00865DDA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</w:tr>
      <w:tr w:rsidR="00700047" w:rsidRPr="00DA11F1" w14:paraId="72B9F7C0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4D2178B8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NL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1820FA92" w14:textId="71FC366A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110,1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443970B5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93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6AA59609" w14:textId="6E6706FF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435,6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6D79BFA4" w14:textId="3CAC6ADD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25,3 %</w:t>
            </w:r>
          </w:p>
        </w:tc>
      </w:tr>
      <w:tr w:rsidR="00700047" w:rsidRPr="00DA11F1" w14:paraId="55153B27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636286A5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EL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55D4588F" w14:textId="3C223DCF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42,2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4E564003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48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DE299AA" w14:textId="291AFF32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503,3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592E0225" w14:textId="5D1944C7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8,3 %</w:t>
            </w:r>
          </w:p>
        </w:tc>
      </w:tr>
      <w:tr w:rsidR="00700047" w:rsidRPr="00DA11F1" w14:paraId="1EDFAF9C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2A8B2EB8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LT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388C23BC" w14:textId="452CDF51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0,66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7343A36F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04E1C5C0" w14:textId="53E10672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83,7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646C03EE" w14:textId="0BF691A1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0,7 %</w:t>
            </w:r>
          </w:p>
        </w:tc>
      </w:tr>
      <w:tr w:rsidR="00700047" w:rsidRPr="00DA11F1" w14:paraId="33D02CA0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0660A79A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SK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450A6DB3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3C1F530E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18C21090" w14:textId="15750901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244,4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68021AEF" w14:textId="358A9BB0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4,1 %</w:t>
            </w:r>
          </w:p>
        </w:tc>
      </w:tr>
      <w:tr w:rsidR="00700047" w:rsidRPr="00DA11F1" w14:paraId="1705D5C0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544CBBE2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FR</w:t>
            </w:r>
          </w:p>
        </w:tc>
        <w:tc>
          <w:tcPr>
            <w:tcW w:w="1456" w:type="pct"/>
            <w:shd w:val="clear" w:color="auto" w:fill="auto"/>
            <w:vAlign w:val="center"/>
            <w:hideMark/>
          </w:tcPr>
          <w:p w14:paraId="1ED0AB10" w14:textId="4EF82E15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266,4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463F561C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302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06D74D16" w14:textId="5BB72BFD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711,6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0CB50176" w14:textId="212ED041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37,4 %</w:t>
            </w:r>
          </w:p>
        </w:tc>
      </w:tr>
      <w:tr w:rsidR="00700047" w:rsidRPr="00DA11F1" w14:paraId="4F17EFC8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55E5DDF9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FI</w:t>
            </w: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14:paraId="6E816E46" w14:textId="10AB3C01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74,6</w:t>
            </w:r>
          </w:p>
        </w:tc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767064F1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61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0DD78F2" w14:textId="6B8B8B12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217,4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5B75BE72" w14:textId="4630DE2B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34,3 %</w:t>
            </w:r>
          </w:p>
        </w:tc>
      </w:tr>
      <w:tr w:rsidR="00700047" w:rsidRPr="00DA11F1" w14:paraId="688F6A35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6456B9B9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ES</w:t>
            </w:r>
          </w:p>
        </w:tc>
        <w:tc>
          <w:tcPr>
            <w:tcW w:w="1456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E1FE7E3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61</w:t>
            </w:r>
          </w:p>
        </w:tc>
        <w:tc>
          <w:tcPr>
            <w:tcW w:w="926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0FEF11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204</w:t>
            </w:r>
          </w:p>
        </w:tc>
        <w:tc>
          <w:tcPr>
            <w:tcW w:w="975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35345E7" w14:textId="1CA9F731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1 225,2</w:t>
            </w:r>
          </w:p>
        </w:tc>
        <w:tc>
          <w:tcPr>
            <w:tcW w:w="112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CAD89E2" w14:textId="198C6B93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5,0 %</w:t>
            </w:r>
          </w:p>
        </w:tc>
      </w:tr>
      <w:tr w:rsidR="00700047" w:rsidRPr="00DA11F1" w14:paraId="3A4B652B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60EA5B8D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LU</w:t>
            </w: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14:paraId="19C72A6F" w14:textId="75836C2C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10,6</w:t>
            </w:r>
          </w:p>
        </w:tc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08B3A19F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6E4BF433" w14:textId="3E125B12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16,8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72E44581" w14:textId="2081A303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63,0 %</w:t>
            </w:r>
          </w:p>
        </w:tc>
      </w:tr>
      <w:tr w:rsidR="00700047" w:rsidRPr="00DA11F1" w14:paraId="3CF8B15D" w14:textId="77777777" w:rsidTr="005F2380">
        <w:trPr>
          <w:trHeight w:val="300"/>
        </w:trPr>
        <w:tc>
          <w:tcPr>
            <w:tcW w:w="520" w:type="pct"/>
            <w:shd w:val="clear" w:color="000000" w:fill="FFFFFF"/>
            <w:noWrap/>
            <w:vAlign w:val="center"/>
            <w:hideMark/>
          </w:tcPr>
          <w:p w14:paraId="7974ED79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PL</w:t>
            </w: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14:paraId="15C72668" w14:textId="6D8E4E8A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76,6 (340,9 PLN) </w:t>
            </w:r>
          </w:p>
        </w:tc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1419298B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245B7118" w14:textId="6EF83F2B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2 545,9</w:t>
            </w:r>
          </w:p>
        </w:tc>
        <w:tc>
          <w:tcPr>
            <w:tcW w:w="1123" w:type="pct"/>
            <w:shd w:val="clear" w:color="auto" w:fill="auto"/>
            <w:noWrap/>
            <w:vAlign w:val="bottom"/>
            <w:hideMark/>
          </w:tcPr>
          <w:p w14:paraId="630E7704" w14:textId="17863EB9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3 %</w:t>
            </w:r>
          </w:p>
        </w:tc>
      </w:tr>
      <w:tr w:rsidR="00700047" w:rsidRPr="00DA11F1" w14:paraId="234944E0" w14:textId="77777777" w:rsidTr="005F2380">
        <w:trPr>
          <w:trHeight w:val="300"/>
        </w:trPr>
        <w:tc>
          <w:tcPr>
            <w:tcW w:w="520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B91F9E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RO</w:t>
            </w:r>
          </w:p>
        </w:tc>
        <w:tc>
          <w:tcPr>
            <w:tcW w:w="145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EBA46" w14:textId="070C941D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Ma japplikax</w:t>
            </w:r>
          </w:p>
        </w:tc>
        <w:tc>
          <w:tcPr>
            <w:tcW w:w="92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D1362" w14:textId="77777777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44</w:t>
            </w:r>
          </w:p>
        </w:tc>
        <w:tc>
          <w:tcPr>
            <w:tcW w:w="975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C1D4521" w14:textId="19B9BAD8" w:rsidR="00700047" w:rsidRPr="00DA11F1" w:rsidRDefault="00D86FF3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747,9</w:t>
            </w:r>
          </w:p>
        </w:tc>
        <w:tc>
          <w:tcPr>
            <w:tcW w:w="112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F1FB7B" w14:textId="5C24EC36" w:rsidR="00700047" w:rsidRPr="00DA11F1" w:rsidRDefault="00700047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Ma japplikax</w:t>
            </w:r>
          </w:p>
        </w:tc>
      </w:tr>
      <w:tr w:rsidR="005F2380" w:rsidRPr="00DA11F1" w14:paraId="2E1B5EA0" w14:textId="77777777" w:rsidTr="005F2380">
        <w:trPr>
          <w:trHeight w:val="300"/>
        </w:trPr>
        <w:tc>
          <w:tcPr>
            <w:tcW w:w="520" w:type="pct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1CD0BE85" w14:textId="400BEB4E" w:rsidR="005F2380" w:rsidRPr="00DA11F1" w:rsidRDefault="005F2380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Ir-Renju Unit</w:t>
            </w:r>
          </w:p>
        </w:tc>
        <w:tc>
          <w:tcPr>
            <w:tcW w:w="145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F29B369" w14:textId="6E71D232" w:rsidR="005F2380" w:rsidRPr="00DA11F1" w:rsidRDefault="005F2380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57,25 (50,9 GBP)</w:t>
            </w: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D4745F" w14:textId="06A82330" w:rsidR="005F2380" w:rsidRPr="00DA11F1" w:rsidRDefault="005F2380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61</w:t>
            </w:r>
          </w:p>
        </w:tc>
        <w:tc>
          <w:tcPr>
            <w:tcW w:w="9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814750" w14:textId="5ECB0BA0" w:rsidR="005F2380" w:rsidRPr="00DA11F1" w:rsidRDefault="002B3C40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Ma japplikax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C99A9FE" w14:textId="1FF6DE4B" w:rsidR="005F2380" w:rsidRPr="00DA11F1" w:rsidRDefault="002B3C40" w:rsidP="00865DDA">
            <w:pPr>
              <w:spacing w:after="0"/>
              <w:jc w:val="center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Ma japplikax</w:t>
            </w:r>
          </w:p>
        </w:tc>
      </w:tr>
    </w:tbl>
    <w:p w14:paraId="60CBB4FF" w14:textId="4068F40A" w:rsidR="00700047" w:rsidRPr="00DA11F1" w:rsidRDefault="00700047" w:rsidP="00865DDA">
      <w:pPr>
        <w:spacing w:before="20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Il-kumpens totali tal-ispejjeż indiretti mħallsa minn 13-il Stat Membru fl-2020 għall-ispejjeż imġarrba fl-2019 ammonta għal mill-anqas EUR 1,358 miljun li huwa aktar mid-doppju tal-ammont li tħallas fl-2019 (għall-ispejjeż imġarrba fl-2018). Din iż-żieda konsiderevoli kienet primarjament relatata maż-żieda fil-prezzijiet tal-karbonju. Il-maġġoranza tal-iskemi ma għandhomx baġit fiss iżda jagħtu l-kumpens abbażi tal-ispejjeż indiretti li jkunu ġġarbu effettivament. Barra minn hekk, il-formula għall-kalkolu tal-kumpens stabbilita fil-Linji Gwida dwar l-għajnuna mill-Istat tispeċifika li l-Istati Membri jridu jużaw il-prezz forward medju tal-kwoti tas-sena t-1 meta jikkalkolaw il-kumpens żborżat. Dan ifisser li l-prezzijiet forward mill-2018 jintużaw sabiex jiġi kkalkolat il-kumpens għall-ispejjeż indiretti mġarrba fl-2019. Bejn l-2018 u l-2019, il-prezz tal-karbonju użat bħala bażi għall-kumpens żdied minn madwar EUR 6 għal madwar EUR 16-il. </w:t>
      </w:r>
    </w:p>
    <w:p w14:paraId="3CFAE3A2" w14:textId="77777777" w:rsidR="001B48F7" w:rsidRPr="00DA11F1" w:rsidRDefault="00700047" w:rsidP="00700047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Waħda mid-dispożizzjonijiet ta’ trasparenza fid-Direttiva dwar l-Iskambju tal-Kwoti tal-Emissjonijiet tispeċifika li l-Istati Membri li nefqu aktar minn 25 % tad-dħul mill-irkantar tagħhom fuq il-kumpens tal-ispejjeż indiretti fi kwalunkwe sena għandhom jippubblikaw rapport li jistabbilixxi r-raġunijiet għaliex dan l-ammont inqabeż. Fl-2020, mill-anqas ħames Stati Membri qabżu l-limitu ta’ 25 %, filwaqt li fl-2019 l-ebda Stat Membru ma qabżu. Barra minn hekk, is-sehem medju mill-kumpens totali meta mqabbel mad-dħul totali mill-irkantar żdied b’mod sinifikanti: tela’ għal 13,7 % fl-2020 meta mqabbel ma’ 7,9 % fl-2019. </w:t>
      </w:r>
    </w:p>
    <w:p w14:paraId="44E925AC" w14:textId="53096AF1" w:rsidR="00717F9C" w:rsidRPr="00DA11F1" w:rsidRDefault="00717F9C" w:rsidP="00700047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Hekk kif il-prezzijiet tal-karbonju jiżdiedu, jiżdiedu wkoll id-dħul mill-irkantar u l-kumpens għall-ispejjeż indiretti; għalhekk, is-sehem relattiv jenħtieġ li jibqa’ simili. Madankollu, fl-2019, il-prezzijiet ogħla tal-karbonju ma ssarrfux fi dħul ogħla mill-irkantar, minħabba li kienet l-ewwel sena li l-MSR naqqset il-volum tal-kwoti rkantati. Fl-2019 ġew irkantati madwar 30 % kwoti inqas milli fl-2018. B’hekk, meta jitqabblu l-ispejjeż indiretti mġarrba fl-2019 u fl-2018 (kumpens imħallas fl-2020 u fl-2019 rispettivament), huwa importanti li jitqies il-fatt li jintużaw il-prezzijiet futuri tal-karbonju sabiex jiġu ddeterminati l-ammonti ta’ kumpens. Peress li l-prezz medju t-1 żdied aktar mid-dħul mill-irkantar, is-sehem relattiv tal-kumpens meta mqabbel mad-dħul mill-irkantar żdied ukoll.</w:t>
      </w:r>
    </w:p>
    <w:p w14:paraId="03A3708A" w14:textId="2636D793" w:rsidR="003A77F9" w:rsidRPr="00DA11F1" w:rsidRDefault="00700047" w:rsidP="00FA7EBD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It-tnaqqis fid-dħul mill-irkantar huwa r-raġuni ewlenija kkwotata mill-Istati Membri biex jispjegaw is-sehem ogħla tad-dħul mill-irkantar li ntnefaq fuq kumpens għall-ispejjeż indiretti tal-karbonju fl-2020. It-tqabbil tad-dħul mill-irkantar tal-10 Stati Membri li taw kumpens kemm fl-2019 kif ukoll fl-2020 (għall-ispejjeż imġarrba fl-2018 u fl-2019 rispettivament) juri li d-dħul naqas b’madwar 4,2 % minħabba li l-MSR naqqset il-volumi tal-irkantar. Raġuni oħra hija li xi Stati Membri għandhom sehem relattivament għoli ta’ industriji intensivi fl-użu tal-elettriku, u b’hekk għandhom ammont relattivament għoli ta’ kumpens għall-ispejjeż indiretti. Peress li dawn l-industriji ma humiex emittenti diretti tas-CO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, ma għandhomx rwol fil-qsim tad-dħul mill-irkantijiet bejn l-Istati Membri, li huwa bbażat fuq emissjonijiet storiċi. Fl-aħħar nett, l-Istati Membri b’emissjonijiet storikament baxxi minħabba taħlita ta’ enerġija b’livell relattivament baxx ta’ emissjonijiet tal-karbonju għandhom it-tendenza li juru ishma relattivament għoljin ta’ dħul mill-irkantar li jintuża għall-kumpens tal-ispejjeż indiretti. </w:t>
      </w:r>
    </w:p>
    <w:p w14:paraId="3E135739" w14:textId="5C395EE1" w:rsidR="00700047" w:rsidRPr="00DA11F1" w:rsidRDefault="003A77F9" w:rsidP="00FA7EBD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Għalhekk jista’ jiġi konkluż li l-ammonti ogħla ta’ kumpens fl-2020 huma marbuta maż-żieda fil-prezzijiet tal-karbonju. Il-fatt li l-ishma ta’ kumpens żdiedu jista’ jiġi spjegat bl-użu tal-prezz forward tal-karbonju sabiex jiġi ddeterminat il-kumpens, u bit-tnaqqis fid-dħul mill-irkantar minħabba li l-MSR naqqset il-volumi tal-irkantar.</w:t>
      </w:r>
    </w:p>
    <w:p w14:paraId="6BEBB3D3" w14:textId="3BA6B121" w:rsidR="00131369" w:rsidRPr="00DA11F1" w:rsidRDefault="00FA7EBD">
      <w:pPr>
        <w:pStyle w:val="Heading3"/>
        <w:spacing w:before="0" w:after="200"/>
        <w:ind w:left="720"/>
        <w:rPr>
          <w:noProof/>
        </w:rPr>
      </w:pPr>
      <w:bookmarkStart w:id="44" w:name="_Toc490850431"/>
      <w:bookmarkStart w:id="45" w:name="_Toc519009682"/>
      <w:bookmarkStart w:id="46" w:name="_Toc89703118"/>
      <w:bookmarkEnd w:id="41"/>
      <w:bookmarkEnd w:id="42"/>
      <w:r>
        <w:rPr>
          <w:i/>
          <w:noProof/>
        </w:rPr>
        <w:t>3.1.9. Il-krediti internazzjonali</w:t>
      </w:r>
      <w:bookmarkEnd w:id="44"/>
      <w:bookmarkEnd w:id="45"/>
      <w:bookmarkEnd w:id="46"/>
    </w:p>
    <w:p w14:paraId="097E4DB3" w14:textId="49C585ED" w:rsidR="008645A8" w:rsidRPr="00DA11F1" w:rsidRDefault="008645A8" w:rsidP="008645A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Fil-fażi 3, il-parteċipanti fl-EU ETS kellhom il-fakultà li jużaw il-krediti internazzjonali mill-Mekkaniżmu għal Żvilupp Nadif u l-Implimentazzjoni Konġunta tal-Protokoll ta’ Kjoto sabiex jissodisfaw il-parti tal-obbligu tagħhom tal-EU ETS. Dawn il-krediti huma strumenti finanzjarji li jenħtieġ li jirrappreżentaw tunnellata ta’ 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imneħħija jew imnaqqsa mill-atmosfera bħala riżultat ta’ proġett għat-tnaqqis tal-emissjonijiet. Il-parteċipanti jistgħu jużaw il-krediti internazzjonali sa tmiem iċ-ċiklu ta’ konformità tal-2020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63"/>
      </w:r>
      <w:r>
        <w:rPr>
          <w:rFonts w:ascii="Times New Roman" w:hAnsi="Times New Roman"/>
          <w:noProof/>
          <w:sz w:val="24"/>
          <w:szCs w:val="24"/>
        </w:rPr>
        <w:t>, soġġett għal standards kwalitattivi u kwantitattivi. Il-krediti ma ċċedewx direttament, iżda ġew skambjati għall-kwoti tal-EU ETS.</w:t>
      </w:r>
      <w:r>
        <w:rPr>
          <w:rFonts w:ascii="Times New Roman" w:hAnsi="Times New Roman"/>
          <w:noProof/>
        </w:rPr>
        <w:t xml:space="preserve"> </w:t>
      </w:r>
    </w:p>
    <w:p w14:paraId="127C10E9" w14:textId="1F3F1D6C" w:rsidR="008645A8" w:rsidRPr="00DA11F1" w:rsidRDefault="008645A8" w:rsidP="008645A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Fil-bidu tal-fażi 3, l-analisti tas-suq stmaw li l-kwantità ta’ intitolamenti ta’ kreditu internazzjonali użati matul il-fażijiet 2 u 3 (mill-2008 sal-2020) tammonta għal madwar 1,6 biljun kreditu. Sal-1 ta’ Mejju 2021</w:t>
      </w:r>
      <w:r w:rsidRPr="00DA11F1">
        <w:rPr>
          <w:rStyle w:val="FootnoteReference"/>
          <w:rFonts w:ascii="Times New Roman" w:hAnsi="Times New Roman"/>
          <w:noProof/>
          <w:szCs w:val="24"/>
        </w:rPr>
        <w:footnoteReference w:id="64"/>
      </w:r>
      <w:r>
        <w:rPr>
          <w:rFonts w:ascii="Times New Roman" w:hAnsi="Times New Roman"/>
          <w:noProof/>
          <w:sz w:val="24"/>
          <w:szCs w:val="24"/>
        </w:rPr>
        <w:t xml:space="preserve">, in-numru totali ta’ krediti internazzjonali użati jew skambjati kien jammonta għal madwar 1,57 biljun, kważi 98 % tal-massimu stmat. In-numru totali ta’ krediti internazzjonali skambjati matul il-fażi 3 ammonta biss għal madwar 506 miljun. </w:t>
      </w:r>
    </w:p>
    <w:p w14:paraId="02D32DBB" w14:textId="0F0F87F4" w:rsidR="008645A8" w:rsidRPr="00DA11F1" w:rsidRDefault="008645A8" w:rsidP="008356A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 ħarsa ġenerali sħiħa lejn iċ-ċediment u l-iskambju tal-krediti internazzjonali, ara t-Tabelli 8.1, 8.2 u 8.3 tal-Appendiċi 8 tad-dokument ta’ ħidma tal-persunal li jakkumpanja dan ir-rapport.</w:t>
      </w:r>
    </w:p>
    <w:p w14:paraId="71C6914D" w14:textId="1098E098" w:rsidR="00131369" w:rsidRPr="00DA11F1" w:rsidRDefault="00131369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bookmarkStart w:id="47" w:name="_Toc490850432"/>
      <w:bookmarkStart w:id="48" w:name="_Toc519009683"/>
    </w:p>
    <w:p w14:paraId="30C7D51A" w14:textId="2D857D62" w:rsidR="00131369" w:rsidRPr="00DA11F1" w:rsidRDefault="00E437B9" w:rsidP="00DB4BC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F’konformità mad-Direttiva dwar l-Iskambju tal-Kwoti tal-Emissjonijiet, il-krediti internazzjonali ma jistgħux jibqgħu jintużaw għall-konformità mal-EU ETS malli jibda ċ-ċiklu ta’ konformità tal-2021. Dan jiżgura li l-emissjonijiet jitnaqqsu domestikament, filwaqt li tiġi ssalvagwardjata l-integrità ambjentali tas-sistema u li titrażżan il-provvista żejda u tiġi ppreservata l-kosteffiċjenza tagħha.</w:t>
      </w:r>
    </w:p>
    <w:p w14:paraId="52832B86" w14:textId="5FA18A49" w:rsidR="00131369" w:rsidRPr="00DA11F1" w:rsidRDefault="009B1524">
      <w:pPr>
        <w:pStyle w:val="Heading2"/>
        <w:rPr>
          <w:i w:val="0"/>
          <w:noProof/>
        </w:rPr>
      </w:pPr>
      <w:bookmarkStart w:id="49" w:name="_Toc89703119"/>
      <w:r>
        <w:rPr>
          <w:i w:val="0"/>
          <w:noProof/>
        </w:rPr>
        <w:t>3.2. Domanda: kwoti maħruġin miċ-ċirkolazzjoni</w:t>
      </w:r>
      <w:bookmarkEnd w:id="47"/>
      <w:bookmarkEnd w:id="48"/>
      <w:bookmarkEnd w:id="49"/>
    </w:p>
    <w:p w14:paraId="66A403B0" w14:textId="1CAB1E26" w:rsidR="00FC6D24" w:rsidRPr="00DA11F1" w:rsidRDefault="00FC6D24" w:rsidP="00FC6D24">
      <w:pPr>
        <w:pStyle w:val="Heading3"/>
        <w:spacing w:before="0" w:after="200"/>
        <w:ind w:left="720"/>
        <w:rPr>
          <w:i/>
          <w:noProof/>
        </w:rPr>
      </w:pPr>
      <w:bookmarkStart w:id="50" w:name="_Toc89703120"/>
      <w:bookmarkStart w:id="51" w:name="_Ref85619942"/>
      <w:bookmarkStart w:id="52" w:name="_Ref85619948"/>
      <w:r>
        <w:rPr>
          <w:i/>
          <w:noProof/>
        </w:rPr>
        <w:t>3.2.1. It-tnaqqis tal-emissjonijiet</w:t>
      </w:r>
      <w:bookmarkEnd w:id="50"/>
      <w:r>
        <w:rPr>
          <w:i/>
          <w:noProof/>
        </w:rPr>
        <w:t xml:space="preserve"> </w:t>
      </w:r>
      <w:bookmarkEnd w:id="51"/>
      <w:bookmarkEnd w:id="52"/>
    </w:p>
    <w:p w14:paraId="4FEC2D21" w14:textId="09D042AD" w:rsidR="0079431A" w:rsidRPr="00DA11F1" w:rsidRDefault="00CA4A70" w:rsidP="00CA4A7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Mill-bidu tal-fażi 3 fl-2013, l-emissjonijiet minn installazzjonijiet stazzjonarji koperti mill-EU ETS (impjanti tal-enerġija u installazzjonijiet tal-manifattura) naqsu bi kważi 29 % u dan ikkontribwixxa għat-tnaqqis ġenerali ta’ madwar 43 % minn meta ġiet stabbilita s-sistema fl-2005.</w:t>
      </w:r>
    </w:p>
    <w:p w14:paraId="6F50D1FA" w14:textId="59F89F82" w:rsidR="004A71F9" w:rsidRPr="00DA11F1" w:rsidRDefault="00F6689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Fl-2020, l-emissjonijiet verifikati minn installazzjonijiet stazzjonarji ammontaw għal 1,355 miljun tunnellata ta’ ekwivalenti ta’ 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>eq, tnaqqis ta’ 11,4 % meta mqabbel mal-2019, abbażi tal-informazzjoni rreġistrata fir-Reġistru tal-UE. Kif jidher fit-</w:t>
      </w:r>
      <w:r w:rsidR="00ED2743"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="00ED2743" w:rsidRPr="00DA11F1">
        <w:rPr>
          <w:rFonts w:ascii="Times New Roman" w:hAnsi="Times New Roman"/>
          <w:noProof/>
          <w:sz w:val="24"/>
          <w:szCs w:val="24"/>
        </w:rPr>
        <w:instrText xml:space="preserve"> REF _Ref85030711  \* MERGEFORMAT </w:instrText>
      </w:r>
      <w:r w:rsidR="00ED2743"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ED2743" w:rsidRPr="00DA11F1">
        <w:rPr>
          <w:rFonts w:ascii="Times New Roman" w:hAnsi="Times New Roman"/>
          <w:noProof/>
          <w:sz w:val="24"/>
          <w:szCs w:val="24"/>
        </w:rPr>
        <w:t>Table 5</w:t>
      </w:r>
      <w:r w:rsidR="00ED2743"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>, it-tnaqqis fl-emissjonijiet kien xprunat l-aktar mill-produzzjoni tal-elettriku u tas-sħana, fejn l-emissjonijiet naqsu b’aktar minn 15 % meta mqabbla mal-2019, u dan jirrifletti kemm it-tnaqqis fil-konsum tal-elettriku minħabba l-pandemija tal-COVID-19 kif ukoll ix-xejriet ta’ dekarbonizzazzjoni osservati qabel. Dawn jinkludu kemm bidla mill-faħam għall-ġenerazzjoni tal-enerġija li taħdem bil-gass naturali, kif ukoll sostituzzjoni tal-fjuwils fossili minn sorsi tal-enerġija rinnovabbli. L-emissjonijiet mill-installazzjonijiet industrijali naqsu b’7 %, u dan kien l-akbar tnaqqis mill-bidu tal-fażi 3, u l-PDG fl-EU27 naqas b’6 % minħabba l-pandemija.</w:t>
      </w:r>
    </w:p>
    <w:p w14:paraId="320C355D" w14:textId="77777777" w:rsidR="004A71F9" w:rsidRPr="00DA11F1" w:rsidRDefault="004A71F9">
      <w:pPr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br w:type="page"/>
      </w:r>
    </w:p>
    <w:p w14:paraId="5940A2F4" w14:textId="77777777" w:rsidR="004A71F9" w:rsidRPr="00DA11F1" w:rsidRDefault="004A71F9" w:rsidP="00ED2743">
      <w:pPr>
        <w:pStyle w:val="Caption"/>
        <w:keepNext/>
        <w:rPr>
          <w:rFonts w:ascii="Times New Roman" w:hAnsi="Times New Roman"/>
          <w:noProof/>
          <w:sz w:val="22"/>
        </w:rPr>
        <w:sectPr w:rsidR="004A71F9" w:rsidRPr="00DA11F1" w:rsidSect="006F13D7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  <w:bookmarkStart w:id="53" w:name="_Ref85030711"/>
    </w:p>
    <w:p w14:paraId="1E685299" w14:textId="71DD7E3B" w:rsidR="00ED2743" w:rsidRPr="00DA11F1" w:rsidRDefault="00ED2743" w:rsidP="00ED2743">
      <w:pPr>
        <w:pStyle w:val="Caption"/>
        <w:keepNext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76166" w:rsidRPr="00DA11F1">
        <w:rPr>
          <w:rFonts w:ascii="Times New Roman" w:hAnsi="Times New Roman"/>
          <w:noProof/>
          <w:sz w:val="22"/>
        </w:rPr>
        <w:t>5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53"/>
      <w:r>
        <w:rPr>
          <w:rFonts w:ascii="Times New Roman" w:hAnsi="Times New Roman"/>
          <w:noProof/>
          <w:sz w:val="22"/>
        </w:rPr>
        <w:t>. L-emissjonijiet verifikati minn installazzjonijiet stazzjonarji (f’miljuni ta’ tunnellati ta’ CO</w:t>
      </w:r>
      <w:r>
        <w:rPr>
          <w:rFonts w:ascii="Times New Roman" w:hAnsi="Times New Roman"/>
          <w:noProof/>
          <w:sz w:val="22"/>
          <w:vertAlign w:val="subscript"/>
        </w:rPr>
        <w:t>2</w:t>
      </w:r>
      <w:r>
        <w:rPr>
          <w:rFonts w:ascii="Times New Roman" w:hAnsi="Times New Roman"/>
          <w:noProof/>
          <w:sz w:val="22"/>
        </w:rPr>
        <w:t>eq)</w:t>
      </w:r>
      <w:r w:rsidRPr="00DA11F1">
        <w:rPr>
          <w:rStyle w:val="FootnoteReference"/>
          <w:rFonts w:ascii="Times New Roman" w:hAnsi="Times New Roman"/>
          <w:noProof/>
          <w:color w:val="000000"/>
          <w:sz w:val="22"/>
          <w:szCs w:val="22"/>
          <w:lang w:eastAsia="en-GB"/>
        </w:rPr>
        <w:footnoteReference w:id="65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57"/>
        <w:gridCol w:w="1141"/>
        <w:gridCol w:w="1143"/>
        <w:gridCol w:w="1143"/>
        <w:gridCol w:w="1141"/>
        <w:gridCol w:w="1143"/>
        <w:gridCol w:w="1138"/>
        <w:gridCol w:w="1132"/>
        <w:gridCol w:w="1129"/>
        <w:gridCol w:w="1126"/>
      </w:tblGrid>
      <w:tr w:rsidR="007102CE" w:rsidRPr="00DA11F1" w14:paraId="7453CAC3" w14:textId="5F392DCF" w:rsidTr="004A71F9">
        <w:trPr>
          <w:trHeight w:val="474"/>
        </w:trPr>
        <w:tc>
          <w:tcPr>
            <w:tcW w:w="9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90DC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Sena</w:t>
            </w:r>
          </w:p>
        </w:tc>
        <w:tc>
          <w:tcPr>
            <w:tcW w:w="411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0E0E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2011</w:t>
            </w:r>
          </w:p>
        </w:tc>
        <w:tc>
          <w:tcPr>
            <w:tcW w:w="40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098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2012</w:t>
            </w:r>
          </w:p>
        </w:tc>
        <w:tc>
          <w:tcPr>
            <w:tcW w:w="40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3CBB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2013</w:t>
            </w:r>
          </w:p>
        </w:tc>
        <w:tc>
          <w:tcPr>
            <w:tcW w:w="40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D715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2014</w:t>
            </w:r>
          </w:p>
        </w:tc>
        <w:tc>
          <w:tcPr>
            <w:tcW w:w="40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11EC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2015</w:t>
            </w:r>
          </w:p>
        </w:tc>
        <w:tc>
          <w:tcPr>
            <w:tcW w:w="40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8E02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2016</w:t>
            </w:r>
          </w:p>
        </w:tc>
        <w:tc>
          <w:tcPr>
            <w:tcW w:w="404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C58F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2017</w:t>
            </w:r>
          </w:p>
        </w:tc>
        <w:tc>
          <w:tcPr>
            <w:tcW w:w="40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468C8D4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2018</w:t>
            </w:r>
          </w:p>
        </w:tc>
        <w:tc>
          <w:tcPr>
            <w:tcW w:w="401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2ED4A9A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2019</w:t>
            </w:r>
          </w:p>
        </w:tc>
        <w:tc>
          <w:tcPr>
            <w:tcW w:w="40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9F3B90" w14:textId="195DA8E6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2020</w:t>
            </w:r>
          </w:p>
        </w:tc>
      </w:tr>
      <w:tr w:rsidR="007102CE" w:rsidRPr="00DA11F1" w14:paraId="13D885A5" w14:textId="0ABCC33B" w:rsidTr="004A71F9">
        <w:trPr>
          <w:trHeight w:val="474"/>
        </w:trPr>
        <w:tc>
          <w:tcPr>
            <w:tcW w:w="954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8C5B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Emissjonijiet totali vverifikati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6018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1 904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34CF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1 867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DCF7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1 908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BB8E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1 814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2FE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1 803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4106" w14:textId="43BDF508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1 751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8567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1 755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A9CB4EF" w14:textId="696E12D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1 683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8D5F9B0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1 530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69A5F97" w14:textId="1DB8D7FF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1 355</w:t>
            </w:r>
          </w:p>
        </w:tc>
      </w:tr>
      <w:tr w:rsidR="007102CE" w:rsidRPr="00DA11F1" w14:paraId="58BBE69A" w14:textId="6B51DD53" w:rsidTr="004A71F9">
        <w:tc>
          <w:tcPr>
            <w:tcW w:w="954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C0F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Bidla mis-sena</w:t>
            </w:r>
          </w:p>
          <w:p w14:paraId="30769C2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x-1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1E2B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329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-2,0 %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6B99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2,2 %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B4E3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-4,9 %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15F3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-0,6 %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C891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-2,9 %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52D9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0,2 %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473FF1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-4,1 %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10DC7EF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-9,1 %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EA49F35" w14:textId="484F776F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-11,4 %</w:t>
            </w:r>
          </w:p>
        </w:tc>
      </w:tr>
      <w:tr w:rsidR="007102CE" w:rsidRPr="00DA11F1" w14:paraId="71297D0E" w14:textId="4C7C7704" w:rsidTr="004A71F9">
        <w:trPr>
          <w:trHeight w:val="558"/>
        </w:trPr>
        <w:tc>
          <w:tcPr>
            <w:tcW w:w="954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866D" w14:textId="77777777" w:rsidR="007102CE" w:rsidRPr="00DA11F1" w:rsidRDefault="007102CE" w:rsidP="009B1308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Emissjonijiet mill-produzzjoni tal-elettriku u s-sħana vverifikati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CD54" w14:textId="3ED5A144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1 261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DF2A" w14:textId="24987B68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1 254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2B51" w14:textId="08C3061F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1 191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B331" w14:textId="3CCE95B9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1 100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46E1" w14:textId="5C52B8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1 091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E4AE" w14:textId="6C7B9A66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1 046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B0DE" w14:textId="5CDF2DD8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1 036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F48FD55" w14:textId="78EE9BCB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964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E2B60B2" w14:textId="74DBC343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822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DEEA839" w14:textId="19788191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696</w:t>
            </w:r>
          </w:p>
        </w:tc>
      </w:tr>
      <w:tr w:rsidR="007102CE" w:rsidRPr="00DA11F1" w14:paraId="7E29135A" w14:textId="27B86F65" w:rsidTr="004A71F9">
        <w:tc>
          <w:tcPr>
            <w:tcW w:w="954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6D9B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Bidla mis-sena</w:t>
            </w:r>
          </w:p>
          <w:p w14:paraId="680CC652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x-1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310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88FA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-0,5 %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9179" w14:textId="2DDEDFBF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-5,0 %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A0B5" w14:textId="5A3A6658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-7,7 %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F9BF" w14:textId="0D753482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-0,8 %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04DA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-4,1 %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11AF" w14:textId="646C2056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-1,0 %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63F5564" w14:textId="23217D8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-7,0 %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6BBD00B" w14:textId="56D9684D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-14,7 %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996439D" w14:textId="68A711BF" w:rsidR="007102CE" w:rsidRPr="00DA11F1" w:rsidRDefault="00DA5553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-15,3 %</w:t>
            </w:r>
          </w:p>
        </w:tc>
      </w:tr>
      <w:tr w:rsidR="007102CE" w:rsidRPr="00DA11F1" w14:paraId="2DEF19AB" w14:textId="44ACDAA4" w:rsidTr="004A71F9">
        <w:trPr>
          <w:trHeight w:val="582"/>
        </w:trPr>
        <w:tc>
          <w:tcPr>
            <w:tcW w:w="954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7057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Emissjonijiet verifikati mill-installazzjonijiet industrijali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6AD5" w14:textId="6D833E04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643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542F" w14:textId="5EEF1CCE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613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4AA4" w14:textId="163106B2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717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5EEE" w14:textId="71DA97CE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714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92C6" w14:textId="69FE9C11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712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8641" w14:textId="67B6171C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704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3AAA" w14:textId="4FA16C55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719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EAE5770" w14:textId="7EC5C693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719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15D28B2" w14:textId="04600378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708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64CA20A" w14:textId="37533C1B" w:rsidR="007102CE" w:rsidRPr="00DA11F1" w:rsidRDefault="00DA5553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659</w:t>
            </w:r>
          </w:p>
        </w:tc>
      </w:tr>
      <w:tr w:rsidR="007102CE" w:rsidRPr="00DA11F1" w14:paraId="05193ACC" w14:textId="34F13904" w:rsidTr="004A71F9">
        <w:tc>
          <w:tcPr>
            <w:tcW w:w="954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8944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Bidla mis-sena</w:t>
            </w:r>
          </w:p>
          <w:p w14:paraId="6A76CEDE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x-1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FA54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66FE" w14:textId="7271D50D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-4,7 %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0F7E" w14:textId="78D51549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17,0 %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19DB" w14:textId="219E9240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-0,4 %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D287" w14:textId="5B5D571F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-0,3 %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7B6E" w14:textId="26E4311B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-1,1 %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0481" w14:textId="000939BA" w:rsidR="007102CE" w:rsidRPr="00DA11F1" w:rsidRDefault="00D55513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2,0 %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EF7EA9" w14:textId="5A305A35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0,1 %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8DB0344" w14:textId="0C018124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-1,6 %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5253110" w14:textId="29B3F71A" w:rsidR="007102CE" w:rsidRPr="00DA11F1" w:rsidRDefault="00D55513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-7,0 %</w:t>
            </w:r>
          </w:p>
        </w:tc>
      </w:tr>
      <w:tr w:rsidR="007102CE" w:rsidRPr="00DA11F1" w14:paraId="0915481A" w14:textId="1ED7E7CA" w:rsidTr="004A71F9">
        <w:trPr>
          <w:trHeight w:val="774"/>
        </w:trPr>
        <w:tc>
          <w:tcPr>
            <w:tcW w:w="954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5796" w14:textId="3FAADEC5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Ir-rata ta’ tkabbir tal-PDG reali EU27 + ir-Renju Unit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E72A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1,8 %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0FA6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-0,4 %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2188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0,3 %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2A28" w14:textId="30C40C69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1,8 %</w:t>
            </w: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32DF" w14:textId="6C1CD2D0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2,3 %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760B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2,0 %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6673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2,6 %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46C3D8B" w14:textId="77777777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2,0 %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781C953" w14:textId="28D05805" w:rsidR="007102CE" w:rsidRPr="00DA11F1" w:rsidRDefault="007102CE" w:rsidP="00161C6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1,6 %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BE3F3F7" w14:textId="2CB63889" w:rsidR="007102CE" w:rsidRPr="00DA11F1" w:rsidRDefault="0001267A" w:rsidP="00161C65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-6 %</w:t>
            </w:r>
            <w:r w:rsidRPr="00DA11F1">
              <w:rPr>
                <w:rStyle w:val="FootnoteReference"/>
                <w:rFonts w:ascii="Times New Roman" w:hAnsi="Times New Roman"/>
                <w:noProof/>
                <w:sz w:val="20"/>
                <w:szCs w:val="20"/>
              </w:rPr>
              <w:footnoteReference w:id="66"/>
            </w:r>
          </w:p>
        </w:tc>
      </w:tr>
    </w:tbl>
    <w:p w14:paraId="263FDCBB" w14:textId="2C984FC1" w:rsidR="00CF7267" w:rsidRPr="00DA11F1" w:rsidRDefault="009B1524" w:rsidP="00161C65">
      <w:pPr>
        <w:spacing w:before="120" w:after="120"/>
        <w:ind w:right="57"/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 xml:space="preserve">Sors: L-EUTL, </w:t>
      </w:r>
      <w:r>
        <w:rPr>
          <w:rFonts w:ascii="Times New Roman" w:hAnsi="Times New Roman"/>
          <w:i/>
          <w:iCs/>
          <w:noProof/>
          <w:sz w:val="20"/>
          <w:szCs w:val="18"/>
        </w:rPr>
        <w:t>data</w:t>
      </w:r>
      <w:r>
        <w:rPr>
          <w:rFonts w:ascii="Times New Roman" w:hAnsi="Times New Roman"/>
          <w:noProof/>
          <w:sz w:val="20"/>
          <w:szCs w:val="18"/>
        </w:rPr>
        <w:t xml:space="preserve"> tal-PDG kif irrapportata fuq Eurostat (kodiċi tat-tabella: tec00115, aċċessata f’Lulju tal-2021). </w:t>
      </w:r>
      <w:r>
        <w:rPr>
          <w:rFonts w:ascii="Times New Roman" w:hAnsi="Times New Roman"/>
          <w:noProof/>
          <w:sz w:val="20"/>
        </w:rPr>
        <w:t xml:space="preserve">L-emissjonijiet </w:t>
      </w:r>
      <w:r>
        <w:rPr>
          <w:rFonts w:ascii="Times New Roman" w:hAnsi="Times New Roman"/>
          <w:noProof/>
          <w:sz w:val="20"/>
          <w:szCs w:val="18"/>
        </w:rPr>
        <w:t>verifikati</w:t>
      </w:r>
      <w:r>
        <w:rPr>
          <w:rFonts w:ascii="Times New Roman" w:hAnsi="Times New Roman"/>
          <w:noProof/>
          <w:sz w:val="20"/>
        </w:rPr>
        <w:t xml:space="preserve"> tal-avjazzjoni huma rrapportati b’mod separat fil-Kapitolu 4.</w:t>
      </w:r>
    </w:p>
    <w:p w14:paraId="7F1BC6D4" w14:textId="77777777" w:rsidR="004A71F9" w:rsidRPr="00DA11F1" w:rsidRDefault="004A71F9" w:rsidP="00CF7267">
      <w:pPr>
        <w:jc w:val="both"/>
        <w:rPr>
          <w:rFonts w:ascii="Times New Roman" w:hAnsi="Times New Roman"/>
          <w:noProof/>
          <w:sz w:val="24"/>
          <w:szCs w:val="24"/>
        </w:rPr>
        <w:sectPr w:rsidR="004A71F9" w:rsidRPr="00DA11F1" w:rsidSect="004A71F9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440" w:right="1440" w:bottom="1440" w:left="1440" w:header="709" w:footer="709" w:gutter="0"/>
          <w:cols w:space="720"/>
          <w:docGrid w:linePitch="360"/>
        </w:sectPr>
      </w:pPr>
    </w:p>
    <w:p w14:paraId="53A24324" w14:textId="5D730232" w:rsidR="00CF7267" w:rsidRPr="00DA11F1" w:rsidRDefault="00CF7267" w:rsidP="00CF7267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It-tnaqqis tal-emissjonijiet fl-2020, li jirriflettu wkoll l-effett tal-pandemija tal-COVID-19, naqqsu d-domanda għall-kwoti, u dan kellu impatt fuq l-eċċess ġenerali tal-kwoti fis-suq tal-karbonju tal-UE, li wassal għal żieda żgħira meta mqabbel mal-2019 (ara l-Kapitolu 3.2.2).</w:t>
      </w:r>
    </w:p>
    <w:p w14:paraId="6FE97DEF" w14:textId="5F628E41" w:rsidR="00C043C1" w:rsidRPr="00DA11F1" w:rsidRDefault="00BF167D" w:rsidP="00BF167D">
      <w:pPr>
        <w:suppressAutoHyphens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Kif jidher fl-</w:t>
      </w:r>
      <w:r w:rsidR="00C00BD7" w:rsidRPr="00DA11F1">
        <w:rPr>
          <w:rFonts w:ascii="Times New Roman" w:eastAsia="Times New Roman" w:hAnsi="Times New Roman"/>
          <w:noProof/>
          <w:sz w:val="24"/>
          <w:szCs w:val="24"/>
        </w:rPr>
        <w:fldChar w:fldCharType="begin"/>
      </w:r>
      <w:r w:rsidR="00C00BD7" w:rsidRPr="00DA11F1">
        <w:rPr>
          <w:rFonts w:ascii="Times New Roman" w:eastAsia="Times New Roman" w:hAnsi="Times New Roman"/>
          <w:noProof/>
          <w:sz w:val="24"/>
          <w:szCs w:val="24"/>
        </w:rPr>
        <w:instrText xml:space="preserve"> REF _Ref85031151  \* MERGEFORMAT </w:instrText>
      </w:r>
      <w:r w:rsidR="00C00BD7" w:rsidRPr="00DA11F1">
        <w:rPr>
          <w:rFonts w:ascii="Times New Roman" w:eastAsia="Times New Roman" w:hAnsi="Times New Roman"/>
          <w:noProof/>
          <w:sz w:val="24"/>
          <w:szCs w:val="24"/>
        </w:rPr>
        <w:fldChar w:fldCharType="separate"/>
      </w:r>
      <w:r w:rsidR="00C00BD7" w:rsidRPr="00DA11F1">
        <w:rPr>
          <w:rFonts w:ascii="Times New Roman" w:hAnsi="Times New Roman"/>
          <w:noProof/>
          <w:sz w:val="24"/>
          <w:szCs w:val="24"/>
        </w:rPr>
        <w:t>Figure 6</w:t>
      </w:r>
      <w:r w:rsidR="00C00BD7" w:rsidRPr="00DA11F1">
        <w:rPr>
          <w:rFonts w:ascii="Times New Roman" w:eastAsia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, matul il-fażi 3, l-aktar flussi importanti tas-sorsi tal-enerġija kienu l-faħam, il-linjite (u l-faħam subbituminuż) u l-gass naturali. Dawn it-tliet gruppi flimkien jirrappreżentaw madwar 75 % tal-emissjonijiet tal-fjuwils fossili f’kull sena, iżda s-sehem tal-faħam qiegħed jonqos b’mod ċar, filwaqt li s-sehem tal-gass naturali qiegħed jiżdied. Dan kien aktar evidenti fl-2019 u fl-2020 - l-emissjonijiet mill-faħam kienu jirrappreżentaw sehem ta’ 16 % biss tal-emissjonijiet totali f’dawn is-sentejn (tnaqqis meta mqabbel ma’ 29 % fl-2013), l-emissjonijiet tal-2020 mill-gass naturali kienu jammontaw għal 35 % (żieda meta mqabbla ma’ 24 % fl-2013), filwaqt li l-emissjonijiet mil-linjite naqsu ftit mill-ogħla livell tagħhom ta’ 27 % fl-2014 għal 23 % fl-2020. Simili għas-snin preċedenti, fl-aħħar sena tal-fażi 3, sorsi sinifikanti oħra tal-enerġija kienu jinkludu prinċipalment il-gass tar-raffineriji (u gassijiet oħra dderivati mill-proċess) u tipi oħra ta’ fjuwils fossili, li jammontaw għal 8,4 % u 6,8 % tal-emissjonijiet totali rrapportati mill-kombustjoni rispettivament. </w:t>
      </w:r>
    </w:p>
    <w:p w14:paraId="2603BDD8" w14:textId="1B1E3B99" w:rsidR="00C00BD7" w:rsidRPr="00DA11F1" w:rsidRDefault="00C00BD7" w:rsidP="00135FC5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54" w:name="_Ref85031151"/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6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54"/>
      <w:r>
        <w:rPr>
          <w:rFonts w:ascii="Times New Roman" w:hAnsi="Times New Roman"/>
          <w:noProof/>
          <w:sz w:val="22"/>
        </w:rPr>
        <w:t>. Is-sehem tal-emissjonijiet skont it-tip ta’ fjuwil (% tal-emissjonijiet totali mill-fjuwil fl-EU ETS, it-tikketti ma jidhrux jekk il-fjuwil qatt ma jaqbeż it-3 % tat-total), [*] mhux koperti mill-fjuwils speċifikati l-oħra</w:t>
      </w:r>
      <w:r w:rsidRPr="00DA11F1">
        <w:rPr>
          <w:rStyle w:val="FootnoteReference"/>
          <w:rFonts w:ascii="Times New Roman" w:eastAsia="Times New Roman" w:hAnsi="Times New Roman"/>
          <w:b w:val="0"/>
          <w:bCs w:val="0"/>
          <w:noProof/>
          <w:lang w:eastAsia="en-GB"/>
        </w:rPr>
        <w:footnoteReference w:id="67"/>
      </w:r>
    </w:p>
    <w:p w14:paraId="0B586F16" w14:textId="45B49CF6" w:rsidR="00CF7267" w:rsidRPr="00DA11F1" w:rsidRDefault="00266EEC" w:rsidP="00CF7267">
      <w:pPr>
        <w:suppressAutoHyphens/>
        <w:spacing w:after="120" w:line="270" w:lineRule="atLeast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66EEC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CF66A8D" wp14:editId="0A181222">
            <wp:extent cx="5731510" cy="34175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8CE5" w14:textId="45E85A35" w:rsidR="00D515FC" w:rsidRPr="00DA11F1" w:rsidRDefault="00D515FC" w:rsidP="00135FC5">
      <w:pPr>
        <w:suppressAutoHyphens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Abbażi tar-rapporti tal-Artikolu 21 tal-2021 sottomessi mill-Istati Membri</w:t>
      </w:r>
      <w:r w:rsidR="005C4BD5" w:rsidRPr="00DA11F1">
        <w:rPr>
          <w:rStyle w:val="FootnoteReference"/>
          <w:rFonts w:ascii="Times New Roman" w:eastAsia="Times New Roman" w:hAnsi="Times New Roman"/>
          <w:noProof/>
          <w:sz w:val="24"/>
          <w:szCs w:val="24"/>
          <w:lang w:eastAsia="da-DK"/>
        </w:rPr>
        <w:footnoteReference w:id="68"/>
      </w:r>
      <w:r>
        <w:rPr>
          <w:rFonts w:ascii="Times New Roman" w:hAnsi="Times New Roman"/>
          <w:noProof/>
          <w:sz w:val="24"/>
          <w:szCs w:val="24"/>
        </w:rPr>
        <w:t>, l-emissjonijiet bi klassifikazzjoni żero mill-bijomassa naqsu minn 150 Mt fl-2019 għal 142 Mt fl-2020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CEAC9" wp14:editId="74117D46">
                <wp:simplePos x="0" y="0"/>
                <wp:positionH relativeFrom="column">
                  <wp:posOffset>-5080</wp:posOffset>
                </wp:positionH>
                <wp:positionV relativeFrom="paragraph">
                  <wp:posOffset>4960620</wp:posOffset>
                </wp:positionV>
                <wp:extent cx="4972050" cy="280670"/>
                <wp:effectExtent l="0" t="0" r="0" b="0"/>
                <wp:wrapNone/>
                <wp:docPr id="7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2806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110FF6" w14:textId="77777777" w:rsidR="0088478D" w:rsidRPr="00835319" w:rsidRDefault="0088478D" w:rsidP="00D515FC">
                            <w:pPr>
                              <w:pStyle w:val="Capt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EAC9" id="Textfeld 10" o:spid="_x0000_s1033" type="#_x0000_t202" style="position:absolute;left:0;text-align:left;margin-left:-.4pt;margin-top:390.6pt;width:391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" stroked="f">
                <v:path arrowok="t"/>
                <v:textbox style="mso-fit-shape-to-text:t" inset="0,0,0,0">
                  <w:txbxContent>
                    <w:p w14:paraId="70110FF6" w14:textId="77777777" w:rsidR="0088478D" w:rsidRPr="00835319" w:rsidRDefault="0088478D" w:rsidP="00D515FC">
                      <w:pPr>
                        <w:pStyle w:val="Caption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t xml:space="preserve">, livell simili bħal fl-2018. </w:t>
      </w:r>
      <w:r>
        <w:rPr>
          <w:rFonts w:ascii="Times New Roman" w:hAnsi="Times New Roman"/>
          <w:noProof/>
          <w:sz w:val="24"/>
          <w:szCs w:val="24"/>
        </w:rPr>
        <w:cr/>
      </w:r>
      <w:r>
        <w:rPr>
          <w:rFonts w:ascii="Times New Roman" w:hAnsi="Times New Roman"/>
          <w:noProof/>
          <w:sz w:val="24"/>
          <w:szCs w:val="24"/>
        </w:rPr>
        <w:br/>
        <w:t>2 163 minn 9 623 installazzjoni (22,5 % tal-installazzjonijiet kollha li’ rapportaw fl-iskema tal-EU ETS) irrapportaw l-użu tal-bijomassa. L-emissjonijiet totali tal-bijomassa fl-2020 huma madwar għaxar darbiet anqas mill-emissjonijiet tal-fjuwils fossili mis-setturi koperti mill-EU ETS. L-emissjonijiet minn bijomassa mhux bi klassifikazzjoni żero għadhom minimi, b’madwar 0,9 Mt 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>eq u jammontaw għal anqas minn 0,1 % tal-emissjonijiet totali tal-EU ETS.</w:t>
      </w:r>
    </w:p>
    <w:p w14:paraId="7A0BC1F3" w14:textId="583949E1" w:rsidR="004911DB" w:rsidRPr="00DA11F1" w:rsidRDefault="002E3B73" w:rsidP="00DF3711">
      <w:pPr>
        <w:suppressAutoHyphens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Mill-1 ta’ Jannar 2022, il-kriterji l-ġodda dwar l-iffrankar tal-emissjonijiet ta’ gassijiet serra u ta’ sostenibbiltà skont id-Direttiva 2018/2001 (id-Direttiva dwar l-Enerġija Rinnovabbli)</w:t>
      </w:r>
      <w:r w:rsidRPr="00DA11F1">
        <w:rPr>
          <w:rFonts w:ascii="Times New Roman" w:eastAsia="Times New Roman" w:hAnsi="Times New Roman"/>
          <w:noProof/>
          <w:sz w:val="24"/>
          <w:szCs w:val="24"/>
          <w:vertAlign w:val="superscript"/>
          <w:lang w:eastAsia="da-DK"/>
        </w:rPr>
        <w:footnoteReference w:id="69"/>
      </w:r>
      <w:r>
        <w:rPr>
          <w:rFonts w:ascii="Times New Roman" w:hAnsi="Times New Roman"/>
          <w:noProof/>
          <w:sz w:val="24"/>
          <w:szCs w:val="24"/>
        </w:rPr>
        <w:t xml:space="preserve"> se japplikaw fl-EU ETS għall-emissjonijiet tal-bijomassa bi klassifikazzjoni żero. Dan se jsaħħaħ il-kriterji attwali dwar il-bijofjuwils u l-bijolikwidi fl-EU ETS, u se jżid kriterji ġodda għall-bijomassa solida u gassuża. </w:t>
      </w:r>
      <w:r w:rsidR="00DF3711" w:rsidRPr="00DA11F1">
        <w:rPr>
          <w:rFonts w:ascii="Times New Roman" w:eastAsia="Times New Roman" w:hAnsi="Times New Roman"/>
          <w:noProof/>
          <w:sz w:val="28"/>
          <w:szCs w:val="24"/>
        </w:rPr>
        <w:fldChar w:fldCharType="begin"/>
      </w:r>
      <w:r w:rsidR="00DF3711" w:rsidRPr="00DA11F1">
        <w:rPr>
          <w:rFonts w:ascii="Times New Roman" w:eastAsia="Times New Roman" w:hAnsi="Times New Roman"/>
          <w:noProof/>
          <w:sz w:val="28"/>
          <w:szCs w:val="24"/>
        </w:rPr>
        <w:instrText xml:space="preserve"> REF _Ref85032479  \* MERGEFORMAT </w:instrText>
      </w:r>
      <w:r w:rsidR="00DF3711" w:rsidRPr="00DA11F1">
        <w:rPr>
          <w:rFonts w:ascii="Times New Roman" w:eastAsia="Times New Roman" w:hAnsi="Times New Roman"/>
          <w:noProof/>
          <w:sz w:val="28"/>
          <w:szCs w:val="24"/>
        </w:rPr>
        <w:fldChar w:fldCharType="separate"/>
      </w:r>
      <w:r w:rsidR="00DF3711" w:rsidRPr="00DA11F1">
        <w:rPr>
          <w:rFonts w:ascii="Times New Roman" w:hAnsi="Times New Roman"/>
          <w:noProof/>
          <w:sz w:val="24"/>
        </w:rPr>
        <w:t>Figure 7</w:t>
      </w:r>
      <w:r w:rsidR="00DF3711" w:rsidRPr="00DA11F1">
        <w:rPr>
          <w:rFonts w:ascii="Times New Roman" w:eastAsia="Times New Roman" w:hAnsi="Times New Roman"/>
          <w:noProof/>
          <w:sz w:val="28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tagħmel distinzjoni bejn l-installazzjonijiet tal-kategoriji A, B u C</w:t>
      </w:r>
      <w:r w:rsidR="00950562" w:rsidRPr="00DA11F1">
        <w:rPr>
          <w:rStyle w:val="FootnoteReference"/>
          <w:rFonts w:ascii="Times New Roman" w:eastAsia="Times New Roman" w:hAnsi="Times New Roman"/>
          <w:noProof/>
          <w:sz w:val="24"/>
          <w:szCs w:val="24"/>
          <w:lang w:eastAsia="da-DK"/>
        </w:rPr>
        <w:footnoteReference w:id="70"/>
      </w:r>
      <w:r>
        <w:rPr>
          <w:rFonts w:ascii="Times New Roman" w:hAnsi="Times New Roman"/>
          <w:noProof/>
          <w:sz w:val="24"/>
          <w:szCs w:val="24"/>
        </w:rPr>
        <w:t xml:space="preserve"> u turi l-emissjonijiet li joriġinaw mill-bijomassa rrapportati fil-fażi 3. Hija jteskludi l-fażi tal-assorbiment u l-valur nett tal-emissjonijiet.</w:t>
      </w:r>
    </w:p>
    <w:p w14:paraId="240CB3C9" w14:textId="6332C123" w:rsidR="00DF3711" w:rsidRPr="00DA11F1" w:rsidRDefault="00DF3711" w:rsidP="003B0310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55" w:name="_Ref85032479"/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7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55"/>
      <w:r>
        <w:rPr>
          <w:rFonts w:ascii="Times New Roman" w:hAnsi="Times New Roman"/>
          <w:noProof/>
          <w:sz w:val="22"/>
        </w:rPr>
        <w:t xml:space="preserve">. L-emissjonijiet li joriġinaw minn bijomassa bi klassifikazzjoni żero fil-fażi 3 tal-EU ETS (mill-2013 sal-2020) </w:t>
      </w:r>
      <w:r>
        <w:rPr>
          <w:rFonts w:ascii="Times New Roman" w:hAnsi="Times New Roman"/>
          <w:noProof/>
          <w:sz w:val="22"/>
        </w:rPr>
        <w:cr/>
      </w:r>
      <w:r>
        <w:rPr>
          <w:rFonts w:ascii="Times New Roman" w:hAnsi="Times New Roman"/>
          <w:noProof/>
          <w:sz w:val="22"/>
        </w:rPr>
        <w:br/>
        <w:t>(f’miljuni ta’ tunnellati ta’ CO</w:t>
      </w:r>
      <w:r>
        <w:rPr>
          <w:rFonts w:ascii="Times New Roman" w:hAnsi="Times New Roman"/>
          <w:noProof/>
          <w:sz w:val="22"/>
          <w:vertAlign w:val="subscript"/>
        </w:rPr>
        <w:t>2</w:t>
      </w:r>
      <w:r>
        <w:rPr>
          <w:rFonts w:ascii="Times New Roman" w:hAnsi="Times New Roman"/>
          <w:noProof/>
          <w:sz w:val="22"/>
        </w:rPr>
        <w:t>eq)</w:t>
      </w:r>
      <w:r w:rsidRPr="00DA11F1">
        <w:rPr>
          <w:rStyle w:val="FootnoteReference"/>
          <w:rFonts w:ascii="Times New Roman" w:hAnsi="Times New Roman"/>
          <w:b w:val="0"/>
          <w:noProof/>
        </w:rPr>
        <w:footnoteReference w:id="71"/>
      </w:r>
    </w:p>
    <w:p w14:paraId="782A65B4" w14:textId="4621723E" w:rsidR="00CF7267" w:rsidRPr="00DA11F1" w:rsidRDefault="00446BDA" w:rsidP="00CF7267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446BDA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0C288F91" wp14:editId="7AE56986">
            <wp:extent cx="5731510" cy="32461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A3B2" w14:textId="24BB5849" w:rsidR="00295131" w:rsidRPr="00DA11F1" w:rsidRDefault="009B15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Diżaggregazzjoni tal-emissjonijiet tal-fażi 3 vverifikati li mhumiex ta’ </w:t>
      </w:r>
      <w:r>
        <w:rPr>
          <w:rFonts w:ascii="Times New Roman" w:hAnsi="Times New Roman"/>
          <w:bCs/>
          <w:noProof/>
          <w:color w:val="262626"/>
          <w:sz w:val="24"/>
          <w:szCs w:val="24"/>
        </w:rPr>
        <w:t>CO</w:t>
      </w:r>
      <w:r>
        <w:rPr>
          <w:rFonts w:ascii="Times New Roman" w:hAnsi="Times New Roman"/>
          <w:bCs/>
          <w:noProof/>
          <w:color w:val="262626"/>
          <w:sz w:val="24"/>
          <w:szCs w:val="24"/>
          <w:bdr w:val="none" w:sz="0" w:space="0" w:color="auto" w:frame="1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minn installazzjonijiet stazzjonarji skont it-tip ta’ GHG (</w:t>
      </w:r>
      <w:r>
        <w:rPr>
          <w:rFonts w:ascii="Times New Roman" w:hAnsi="Times New Roman"/>
          <w:bCs/>
          <w:noProof/>
          <w:color w:val="262626"/>
          <w:sz w:val="24"/>
          <w:szCs w:val="24"/>
        </w:rPr>
        <w:t>N</w:t>
      </w:r>
      <w:r>
        <w:rPr>
          <w:rFonts w:ascii="Times New Roman" w:hAnsi="Times New Roman"/>
          <w:bCs/>
          <w:noProof/>
          <w:color w:val="262626"/>
          <w:sz w:val="24"/>
          <w:szCs w:val="24"/>
          <w:bdr w:val="none" w:sz="0" w:space="0" w:color="auto" w:frame="1"/>
          <w:vertAlign w:val="subscript"/>
        </w:rPr>
        <w:t>2</w:t>
      </w:r>
      <w:r>
        <w:rPr>
          <w:rFonts w:ascii="Times New Roman" w:hAnsi="Times New Roman"/>
          <w:bCs/>
          <w:noProof/>
          <w:color w:val="262626"/>
          <w:sz w:val="24"/>
          <w:szCs w:val="24"/>
        </w:rPr>
        <w:t>O</w:t>
      </w:r>
      <w:r>
        <w:rPr>
          <w:rFonts w:ascii="Times New Roman" w:hAnsi="Times New Roman"/>
          <w:noProof/>
          <w:sz w:val="24"/>
          <w:szCs w:val="24"/>
        </w:rPr>
        <w:t xml:space="preserve"> u PFCs) hija pprovduta fit-Tabella 9.1 tal-Appendiċi 9 tad-dokument ta’ ħidma tal-persunal li jakkumpanja dan ir-rapport.</w:t>
      </w:r>
    </w:p>
    <w:p w14:paraId="6A74981D" w14:textId="23140A1F" w:rsidR="00131369" w:rsidRPr="00DA11F1" w:rsidRDefault="00E55F5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Fl-2020, 92 812-il kwota ġew ikkanċellati fuq bażi volontarja. B’kollox, fil-fażi 3, ġew irreġistrati kanċellazzjonijiet volontarji ta’ 498 435 kwota sal-aħħar ta’ Ġunju tal-2021.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Il-biċċa l-kbira tal-kanċellazzjonijiet fil-fażi 3 ġew awtorizzati mid-detenturi tal-kontijiet fir-Reġistri tal-Ġermanja, tal-Iżvezja, tan-Norveġja, tan-Netherlands u tar-Renju Unit.</w:t>
      </w:r>
    </w:p>
    <w:p w14:paraId="1638CC7D" w14:textId="1B2DF770" w:rsidR="00313428" w:rsidRPr="00DA11F1" w:rsidRDefault="00313428" w:rsidP="00313428">
      <w:pPr>
        <w:pStyle w:val="Heading3"/>
        <w:spacing w:before="0" w:after="200"/>
        <w:ind w:left="720"/>
        <w:rPr>
          <w:noProof/>
        </w:rPr>
      </w:pPr>
      <w:bookmarkStart w:id="56" w:name="_Toc89703121"/>
      <w:r>
        <w:rPr>
          <w:i/>
          <w:noProof/>
        </w:rPr>
        <w:t>3.2.2. L-ibbilanċjar tal-provvista u tad-domanda</w:t>
      </w:r>
      <w:bookmarkEnd w:id="56"/>
      <w:r>
        <w:rPr>
          <w:i/>
          <w:noProof/>
        </w:rPr>
        <w:t xml:space="preserve"> </w:t>
      </w:r>
    </w:p>
    <w:p w14:paraId="257D9D45" w14:textId="25E3B9C9" w:rsidR="00CF452F" w:rsidRDefault="00035110">
      <w:pPr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Fil-bidu tal-fażi 3, l-EU ETS kellha żbilanċ strutturali għoli bejn il-provvista u d-domanda tal-kwoti, li jirriżulta f’madwar 2,1 biljun kwota. Sabiex tindirizza dan l-iżbilanċ, bħala miżura għal żmien qasir, fl-2014 il-Kummissjoni pposponiet l-irkantar ta’ 900 miljun kwota mill-2014, l-2015, u mill-2016 sal-2019 u l-2020, u bħala soluzzjoni fit-tul ħolqot l-MSR fl-2015</w:t>
      </w:r>
      <w:r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72"/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Cs/>
          <w:iCs/>
          <w:noProof/>
          <w:sz w:val="24"/>
          <w:szCs w:val="24"/>
        </w:rPr>
        <w:t xml:space="preserve"> L-MSR taġġusta l-volumi tal-irkantar skont il-limiti ddefiniti minn qabel tan-numru totali ta’ kwoti fiċ-ċirkolazzjoni (TNAC) sabiex iżżomm is-suq tal-karbonju f’bilanċ.</w:t>
      </w:r>
    </w:p>
    <w:p w14:paraId="4DB44F35" w14:textId="7CA01CCB" w:rsidR="00131369" w:rsidRPr="00DA11F1" w:rsidRDefault="0003511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Mill-2018 sal-2019, meta l-MSR bdiet topera, l-eċċess tal-kwoti naqas b’mod sinifikanti minn 1,65 biljun għal madwar 1,385 biljun kwota. Fl-2020, minħabba domanda aktar baxxa, l-eċċess żdied għal 1,579 biljun kwota. L-eċċess addizzjonali tal-2020 huwa mistenni li jiġi assorbit matul is-sentejn sa erba’ snin li ġejjin. </w:t>
      </w:r>
      <w:r w:rsidR="00A90A62"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="00A90A62" w:rsidRPr="00DA11F1">
        <w:rPr>
          <w:rFonts w:ascii="Times New Roman" w:hAnsi="Times New Roman"/>
          <w:noProof/>
          <w:sz w:val="24"/>
          <w:szCs w:val="24"/>
        </w:rPr>
        <w:instrText xml:space="preserve"> REF _Ref85032985  \* MERGEFORMAT </w:instrText>
      </w:r>
      <w:r w:rsidR="00A90A62"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A90A62" w:rsidRPr="00DA11F1">
        <w:rPr>
          <w:rFonts w:ascii="Times New Roman" w:hAnsi="Times New Roman"/>
          <w:noProof/>
          <w:sz w:val="24"/>
          <w:szCs w:val="24"/>
        </w:rPr>
        <w:t>Figure 8</w:t>
      </w:r>
      <w:r w:rsidR="00A90A62"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tippreżenta l-iżvilupp tal-eċċess ta’ kwoti fis-suq Ewropew tal-karbonju sa tmiem l-2020. </w:t>
      </w:r>
    </w:p>
    <w:p w14:paraId="7FA05199" w14:textId="7D9B778D" w:rsidR="00A90A62" w:rsidRPr="00DA11F1" w:rsidRDefault="00A90A62" w:rsidP="003B0310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57" w:name="_Ref85032985"/>
      <w:r>
        <w:rPr>
          <w:rFonts w:ascii="Times New Roman" w:hAnsi="Times New Roman"/>
          <w:noProof/>
          <w:sz w:val="22"/>
        </w:rPr>
        <w:t xml:space="preserve">Illustrazzjoni </w:t>
      </w:r>
      <w:r w:rsidR="00F2602C" w:rsidRPr="00DA11F1">
        <w:rPr>
          <w:rFonts w:ascii="Times New Roman" w:hAnsi="Times New Roman"/>
          <w:noProof/>
          <w:sz w:val="22"/>
        </w:rPr>
        <w:fldChar w:fldCharType="begin"/>
      </w:r>
      <w:r w:rsidR="00F2602C"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="00F2602C" w:rsidRPr="00DA11F1">
        <w:rPr>
          <w:rFonts w:ascii="Times New Roman" w:hAnsi="Times New Roman"/>
          <w:noProof/>
          <w:sz w:val="22"/>
        </w:rPr>
        <w:fldChar w:fldCharType="separate"/>
      </w:r>
      <w:r w:rsidR="00F2602C" w:rsidRPr="00DA11F1">
        <w:rPr>
          <w:rFonts w:ascii="Times New Roman" w:hAnsi="Times New Roman"/>
          <w:noProof/>
          <w:sz w:val="22"/>
        </w:rPr>
        <w:t>8</w:t>
      </w:r>
      <w:r w:rsidR="00F2602C" w:rsidRPr="00DA11F1">
        <w:rPr>
          <w:rFonts w:ascii="Times New Roman" w:hAnsi="Times New Roman"/>
          <w:noProof/>
          <w:sz w:val="22"/>
        </w:rPr>
        <w:fldChar w:fldCharType="end"/>
      </w:r>
      <w:bookmarkEnd w:id="57"/>
      <w:r>
        <w:rPr>
          <w:rFonts w:ascii="Times New Roman" w:hAnsi="Times New Roman"/>
          <w:noProof/>
          <w:sz w:val="22"/>
        </w:rPr>
        <w:t>. L-eċċess ta’ kwoti fil-fażi 3 tal-EU ETS (mill-2013 sal-2020)</w:t>
      </w:r>
    </w:p>
    <w:p w14:paraId="197A1255" w14:textId="4E0FA6DA" w:rsidR="00131369" w:rsidRPr="00DA11F1" w:rsidRDefault="00035110">
      <w:pPr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EFEE8E1" wp14:editId="557FBE11">
            <wp:extent cx="5731510" cy="2961786"/>
            <wp:effectExtent l="0" t="0" r="2540" b="1016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7B1E115B" w14:textId="6208DE35" w:rsidR="00131369" w:rsidRPr="00DA11F1" w:rsidRDefault="009B1524">
      <w:pPr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Id-DĠ Azzjoni Klimatika</w:t>
      </w:r>
    </w:p>
    <w:p w14:paraId="6DC8F6BD" w14:textId="06EDA335" w:rsidR="00CC7FE3" w:rsidRPr="00DA11F1" w:rsidRDefault="00A90A62" w:rsidP="00CC7FE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t>Meta l-EU ETS ġiet riveduta fl-2018</w:t>
      </w:r>
      <w:r w:rsidR="00CC7FE3" w:rsidRPr="00DA11F1">
        <w:rPr>
          <w:rFonts w:ascii="Times New Roman" w:eastAsia="Times New Roman" w:hAnsi="Times New Roman"/>
          <w:bCs/>
          <w:iCs/>
          <w:noProof/>
          <w:sz w:val="24"/>
          <w:szCs w:val="24"/>
          <w:vertAlign w:val="superscript"/>
          <w:lang w:eastAsia="en-GB"/>
        </w:rPr>
        <w:footnoteReference w:id="73"/>
      </w:r>
      <w:r>
        <w:rPr>
          <w:rFonts w:ascii="Times New Roman" w:hAnsi="Times New Roman"/>
          <w:bCs/>
          <w:iCs/>
          <w:noProof/>
          <w:sz w:val="24"/>
          <w:szCs w:val="24"/>
        </w:rPr>
        <w:t>, saru bidliet kbar fil-funzjonament tal-MSR, kif jidher fl-Illustrazzjoni 10.1 tal-Appendiċi 10 tad-dokument ta’ ħidma tal-persunal li jakkumpanja dan ir-rapport.</w:t>
      </w:r>
    </w:p>
    <w:p w14:paraId="246C69B4" w14:textId="12A96AC4" w:rsidR="005F6CC0" w:rsidRPr="00DA11F1" w:rsidRDefault="00D21DEF" w:rsidP="004A71F9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z w:val="24"/>
          <w:szCs w:val="24"/>
        </w:rPr>
        <w:t xml:space="preserve">Dan ir-rapport jikkonsolida ċ-ċifri tal-provvista u d-domanda li huma ppubblikati skont l-ordni kronoloġika tal-obbligi ta’ rapportar li jirriżultaw mid-Direttiva dwar l-Iskambju tal-Kwoti tal-Emissjonijiet u d-dispożizzjonijiet ta’ implimentazzjoni tagħha. </w:t>
      </w:r>
      <w:r w:rsidR="00F2602C"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="00F2602C" w:rsidRPr="00DA11F1">
        <w:rPr>
          <w:rFonts w:ascii="Times New Roman" w:hAnsi="Times New Roman"/>
          <w:noProof/>
          <w:sz w:val="24"/>
          <w:szCs w:val="24"/>
        </w:rPr>
        <w:instrText xml:space="preserve"> REF _Ref85624062 \h </w:instrText>
      </w:r>
      <w:r w:rsidR="004A71F9" w:rsidRPr="00DA11F1">
        <w:rPr>
          <w:rFonts w:ascii="Times New Roman" w:hAnsi="Times New Roman"/>
          <w:noProof/>
          <w:sz w:val="24"/>
          <w:szCs w:val="24"/>
        </w:rPr>
        <w:instrText xml:space="preserve"> \* MERGEFORMAT </w:instrText>
      </w:r>
      <w:r w:rsidR="00F2602C" w:rsidRPr="00DA11F1">
        <w:rPr>
          <w:rFonts w:ascii="Times New Roman" w:hAnsi="Times New Roman"/>
          <w:noProof/>
          <w:sz w:val="24"/>
          <w:szCs w:val="24"/>
        </w:rPr>
      </w:r>
      <w:r w:rsidR="00F2602C"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F2602C" w:rsidRPr="00DA11F1">
        <w:rPr>
          <w:rFonts w:ascii="Times New Roman" w:hAnsi="Times New Roman"/>
          <w:noProof/>
          <w:sz w:val="24"/>
          <w:szCs w:val="24"/>
        </w:rPr>
        <w:t>Figure 9</w:t>
      </w:r>
      <w:r w:rsidR="00F2602C"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turi l-kompożizzjoni tal-provvista u tad-domanda kumulattivi fl-2020. 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rilevanti ġiet ippubblikata wkoll fil-komunikazzjoni tal-Kummissjoni dwar it-TNAC għall-finijiet tal-MSR</w:t>
      </w:r>
      <w:r>
        <w:rPr>
          <w:rFonts w:ascii="Times New Roman" w:hAnsi="Times New Roman"/>
          <w:noProof/>
        </w:rPr>
        <w:t>.</w:t>
      </w:r>
      <w:r w:rsidR="002E6DE2"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74"/>
      </w:r>
    </w:p>
    <w:p w14:paraId="190A9966" w14:textId="44F0D750" w:rsidR="00F2602C" w:rsidRPr="00DA11F1" w:rsidRDefault="00F2602C" w:rsidP="00F2602C">
      <w:pPr>
        <w:pStyle w:val="Caption"/>
        <w:keepNext/>
        <w:rPr>
          <w:rFonts w:ascii="Times New Roman" w:hAnsi="Times New Roman"/>
          <w:noProof/>
          <w:sz w:val="22"/>
        </w:rPr>
      </w:pPr>
      <w:bookmarkStart w:id="58" w:name="_Ref85624062"/>
      <w:r>
        <w:rPr>
          <w:rFonts w:ascii="Times New Roman" w:hAnsi="Times New Roman"/>
          <w:noProof/>
          <w:sz w:val="22"/>
        </w:rPr>
        <w:t xml:space="preserve">Illustrazzjoni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Figure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Pr="00DA11F1">
        <w:rPr>
          <w:rFonts w:ascii="Times New Roman" w:hAnsi="Times New Roman"/>
          <w:noProof/>
          <w:sz w:val="22"/>
        </w:rPr>
        <w:t>9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58"/>
      <w:r>
        <w:rPr>
          <w:rFonts w:ascii="Times New Roman" w:hAnsi="Times New Roman"/>
          <w:noProof/>
          <w:sz w:val="22"/>
        </w:rPr>
        <w:t>. Il-provvista u d-domanda kumulattivi fl-EU ETS fi tmiem l-2020</w:t>
      </w:r>
    </w:p>
    <w:p w14:paraId="53480C44" w14:textId="77777777" w:rsidR="00F2602C" w:rsidRPr="00DA11F1" w:rsidRDefault="00F2602C" w:rsidP="00F2602C">
      <w:pPr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 xml:space="preserve">Provvista </w:t>
      </w:r>
      <w:r>
        <w:rPr>
          <w:rFonts w:ascii="Times New Roman" w:hAnsi="Times New Roman"/>
          <w:noProof/>
          <w:color w:val="000000"/>
          <w:sz w:val="20"/>
          <w:szCs w:val="20"/>
        </w:rPr>
        <w:t>(kumulattiva, biljuni)</w:t>
      </w:r>
      <w:r>
        <w:rPr>
          <w:rFonts w:ascii="Times New Roman" w:hAnsi="Times New Roman"/>
          <w:noProof/>
          <w:color w:val="000000"/>
          <w:sz w:val="20"/>
          <w:szCs w:val="20"/>
        </w:rPr>
        <w:tab/>
        <w:t xml:space="preserve">                                               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 xml:space="preserve">Domanda </w:t>
      </w:r>
      <w:r>
        <w:rPr>
          <w:rFonts w:ascii="Times New Roman" w:hAnsi="Times New Roman"/>
          <w:noProof/>
          <w:color w:val="000000"/>
          <w:sz w:val="20"/>
          <w:szCs w:val="20"/>
        </w:rPr>
        <w:t>(kumulattiva, biljuni)</w:t>
      </w:r>
    </w:p>
    <w:p w14:paraId="7625F8E5" w14:textId="6C7B9FFD" w:rsidR="00A90A62" w:rsidRPr="00DA11F1" w:rsidRDefault="00286454" w:rsidP="00D21DEF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391F19D" wp14:editId="07EF8BF3">
            <wp:extent cx="5731510" cy="3225800"/>
            <wp:effectExtent l="0" t="0" r="254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25763A64" w14:textId="5F95AEE2" w:rsidR="009A6CDD" w:rsidRPr="00DA11F1" w:rsidRDefault="005574A7" w:rsidP="009A6CDD">
      <w:pPr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Id-DĠ Azzjoni Klimatika (*Iċ-ċifra finali tal-kwoti mhux allokati għall-installazzjonijiet skont l-Artikolu 10a(7) tad-Direttiva 2003/87/KE u l-kwoti mhux allokati għall-installazzjonijiet minħabba l-applikazzjoni tal-Artikolu 10a(19) u (20) ta’ dik id-Direttiva kienet għadha mhix disponibbli meta kien qiegħed jiġi ffinalizzat dan ir-rapport.)</w:t>
      </w:r>
    </w:p>
    <w:p w14:paraId="3E7C4C4E" w14:textId="3F4B368D" w:rsidR="005574A7" w:rsidRPr="00DA11F1" w:rsidRDefault="00D21DEF" w:rsidP="00CB35F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Bi tħejjija li l-MSR issir operattiva fl-2019, il-Kummissjoni ppubblikat regolarment it-TNAC għas-sena preċedenti, li bdiet f’nofs Mejju tal-2017</w:t>
      </w:r>
      <w:r w:rsidR="00BA0871"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75"/>
      </w:r>
      <w:r>
        <w:rPr>
          <w:rFonts w:ascii="Times New Roman" w:hAnsi="Times New Roman"/>
          <w:noProof/>
          <w:sz w:val="24"/>
          <w:szCs w:val="24"/>
        </w:rPr>
        <w:t>. F’Mejju tal-2021, it-TNAC li jikkorrispondi għal 1 578 772 426 kwota, ġie ppubblikat għall-ħames darba</w:t>
      </w:r>
      <w:r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76"/>
      </w:r>
      <w:r>
        <w:rPr>
          <w:rFonts w:ascii="Times New Roman" w:hAnsi="Times New Roman"/>
          <w:noProof/>
          <w:sz w:val="24"/>
          <w:szCs w:val="24"/>
        </w:rPr>
        <w:t>. Għal darba oħra, il-komunikazzjoni twassal għat-tqegħid ta’ kwoti fl-MSR, u se tnaqqas il-volum tal-irkantar fl-2021 u fl-2022.</w:t>
      </w:r>
    </w:p>
    <w:p w14:paraId="757051F8" w14:textId="1215F681" w:rsidR="004707AB" w:rsidRPr="00DA11F1" w:rsidRDefault="00A33951" w:rsidP="00CB35F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Fuq il-bażi tal-funzjonament tal-EU ETS fl-2020 u l-2021, it-TNAC u l-leġiżlazzjoni riveduta, il-volumi tal-irkantar fl-2021 tnaqqsu bi kważi 40 %, jiġifieri bi kważi 320 miljun kwota. Il-volumi tal-irkantar fl-2022 se jitnaqqsu wkoll b’mod simili. It-Tabella 10.1 tal-Appendiċi 10 tad-dokument ta’ ħidma tal-persunal li jakkumpanja dan ir-rapport tipprovdi l-informazzjoni dwar il-kontribuzzjonijiet lill-MSR skont l-Istat Membru minn meta saret operattiva fl-2019 sal-aħħar tal-2021.</w:t>
      </w:r>
    </w:p>
    <w:p w14:paraId="7F47C7D1" w14:textId="486276CC" w:rsidR="004707AB" w:rsidRPr="00DA11F1" w:rsidRDefault="004707AB" w:rsidP="000F63B2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z w:val="24"/>
          <w:szCs w:val="24"/>
        </w:rPr>
        <w:t>Fl-2021, il-Kummissjoni wettqet l-ewwel rieżami tal-MSR</w:t>
      </w:r>
      <w:r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77"/>
      </w:r>
      <w:r>
        <w:rPr>
          <w:rFonts w:ascii="Times New Roman" w:hAnsi="Times New Roman"/>
          <w:noProof/>
          <w:sz w:val="24"/>
          <w:szCs w:val="24"/>
        </w:rPr>
        <w:t>, bħala parti mill-inizjattiva ġenerali sabiex issaħħaħ l-EU ETS.</w:t>
      </w:r>
      <w:r w:rsidR="00CB35FE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78"/>
      </w:r>
      <w:r>
        <w:rPr>
          <w:rFonts w:ascii="Times New Roman" w:hAnsi="Times New Roman"/>
          <w:noProof/>
          <w:sz w:val="24"/>
          <w:szCs w:val="24"/>
        </w:rPr>
        <w:t xml:space="preserve"> Dan wera li l-MSR kienet qiegħda tissodisfa l-għan tagħha li tnaqqas l-eċċess ta’ kwoti u tistabbilizza s-suq tal-karbonju tal-UE, anke matul il-pandemija tal-COVID-19.</w:t>
      </w:r>
    </w:p>
    <w:p w14:paraId="7FC9A046" w14:textId="4253C76E" w:rsidR="004707AB" w:rsidRPr="00DA11F1" w:rsidRDefault="004707AB" w:rsidP="000F63B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L-MSR bdiet tindirizza l-iżbilanċi storiċi fl-2019, u dan wassal għad-dħul ta’ kważi biljun kwota. Dan jinkludi aġġustament ta’ 264 miljun kwota rtirati mill-volumi tal-irkantar fl-2019, 397 miljun kwota rtirati mill-volumi tal-irkantar matul l-2019 u l-2020, u aktar minn 300 miljun kwota li se jiġu rtirati mill-volumi tal-irkantar matul l-2020 u l-2021, li jirrappreżentaw 24 % tal-eċċess tas-sena preċedenti f’kull każ. It-tnaqqis fl-emissjonijiet fl-2020 minħabba l-kriżi tal-COVID-19 se jirriżulta fi dħul ta’ 379 miljun kwota aktar fl-MSR fil-perjodu bejn l-2021 u l-2022. . </w:t>
      </w:r>
    </w:p>
    <w:p w14:paraId="7C518822" w14:textId="1B8FAB29" w:rsidR="004707AB" w:rsidRPr="00DA11F1" w:rsidRDefault="004707AB" w:rsidP="000F63B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Id-dħul fl-MSR huwa mistenni li jkompli jnaqqas il-provvista tal-irkantar fis-snin li ġejjin: l-eċċess se jibqa’ ogħla mil-limitu massimu u l-perjodu ta’ wara l-pandemija tal-COVID-19 se jaffettwa d-domanda. Għalhekk, l-MSR se tkompli tindirizza l-iżbilanċ storiku li żviluppa fis-suq tal-karbonju tal-UE matul il-fażijiet 2 u 3 filwaqt li fl-istess ħin twieġeb għall-impatt tax-xokk tad-domanda kkawżat mill-pandemija. </w:t>
      </w:r>
    </w:p>
    <w:p w14:paraId="523E256B" w14:textId="77777777" w:rsidR="00131369" w:rsidRPr="00DA11F1" w:rsidRDefault="009B1524">
      <w:pPr>
        <w:pStyle w:val="Heading1"/>
        <w:spacing w:before="0" w:after="200"/>
        <w:rPr>
          <w:noProof/>
        </w:rPr>
      </w:pPr>
      <w:bookmarkStart w:id="59" w:name="_Toc490850434"/>
      <w:bookmarkStart w:id="60" w:name="_Toc519009685"/>
      <w:bookmarkStart w:id="61" w:name="_Toc89703122"/>
      <w:r>
        <w:rPr>
          <w:noProof/>
        </w:rPr>
        <w:t>4. L-AVJAZZJONI</w:t>
      </w:r>
      <w:bookmarkEnd w:id="59"/>
      <w:bookmarkEnd w:id="60"/>
      <w:bookmarkEnd w:id="61"/>
    </w:p>
    <w:p w14:paraId="501E4825" w14:textId="115B5007" w:rsidR="00745119" w:rsidRPr="00DA11F1" w:rsidRDefault="00745119" w:rsidP="0074511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Is-settur tal-avjazzjoni ilu jagħmel parti mill-EU ETS sa mill-2012. Il-leġiżlazzjoni oriġinali kienet tkopri t-titjiriet kollha lejn iż-ŻEE u ’l barra minnha. Madankollu, l-UE llimitat temporanjament l-obbligi tal-ETS għat-titjiriet fiż-ŻEE għal-linji tal-ajru ta’ kull nazzjonalità, sabiex tappoġġa l-iżvilupp ta’ miżura globali bbażata fuq is-suq mill-Organizzazzjoni tal-Avjazzjoni Ċivili Internazzjonali (ICAO) għat-tnaqqis tal-emissjonijiet tal-avjazzjoni.  </w:t>
      </w:r>
    </w:p>
    <w:p w14:paraId="34C298AC" w14:textId="6F8FDED6" w:rsidR="00745119" w:rsidRPr="00DA11F1" w:rsidRDefault="00745119" w:rsidP="0074511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F’Ottubru tal-2016, l-Assemblea tal-ICAO qablet dwar riżoluzzjoni dwar CORSIA, li għandha tibda fl-2021. CORSIA hija skema ta’ kumpens għall-karbonju bil-għan li tistabbilizza l-emissjonijiet netti mill-avjazzjoni internazzjonali f’livelli fissi permezz tax-xiri u l-kanċellazzjoni ta’ krediti internazzjonali. Fid-dawl ta’ dan il-ftehim, id-Direttiva dwar l-Iskambju tal-Kwoti tal-Emissjonijiet ġiet emendata fl-2017 sabiex testendi l-ambitu tal-EU ETS fiż-ŻEE għall-avjazzjoni sal-2023. </w:t>
      </w:r>
    </w:p>
    <w:p w14:paraId="2F6A81CA" w14:textId="3A78D5A7" w:rsidR="00745119" w:rsidRPr="00DA11F1" w:rsidRDefault="00745119" w:rsidP="0074511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B’riżultat tal-Ftehim bejn l-UE u l-Iżvizzera li jikkollegaw is-swieq tal-karbonju rispettivi tagħhom (ara l-Kapitolu 7), mill-1 ta’ Jannar 2020, l-ambitu tal-avjazzjoni tal-EU ETS ġie estiż għat-titjiriet kollha li jitilqu miż-ŻEE lejn l-Iżvizzera. Min-naħa tagħha, l-Iżvizzera tapplika l-ETS tagħha għat-titjiriet kollha li jitilqu lejn l-ajruporti taż-ŻEE. Dan jiżgura kundizzjonijiet ekwivalenti ta’ kompetizzjoni fiż-żewġ direzzjonijiet tar-rotot. </w:t>
      </w:r>
    </w:p>
    <w:p w14:paraId="2401DCD4" w14:textId="5A5BD47E" w:rsidR="00745119" w:rsidRPr="00DA11F1" w:rsidRDefault="00D4002B" w:rsidP="000F63B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Abbażi tal-Ftehim dwar il-Kummerċ u l-Kooperazzjoni bejn l-UE u r-Renju Unit, li ntlaħaq f’Diċembru tal-2020 u beda japplika mill-1 ta’ Jannar 2021, l-EU ETS għadha tapplika wkoll għal titjiriet miż-ŻEE lejn ir-Renju Unit, filwaqt li l-ETS il-ġdida tar-Renju Unit tapplika għal titjiriet lejn iż-ŻEE li jitilqu mir-Renju Unit.</w:t>
      </w:r>
    </w:p>
    <w:p w14:paraId="3BE1409C" w14:textId="3C7FAFC3" w:rsidR="00D4002B" w:rsidRPr="00DA11F1" w:rsidRDefault="00D4002B" w:rsidP="000F63B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Fl-2020, inħarġu kwoti f’konformità mal-ambitu intra-ŻEE tal-EU ETS għall-avjazzjoni, estiża għall-Iżvizzera. L-allokazzjoni bla ħlas ammontat għal kemxejn aktar minn 32,5 miljun kwota. Dan jinkludi l-allokazzjoni bla ħlas (ftit aktar minn 31,7 miljun kwota) u kważi 0,8 miljun kwota bla ħlas allokati mir-riżerva speċjali għall-entranti l-ġodda u għall-operaturi li qegħdin jikbru b’rata mgħaġġla. Barra minn hekk, l-operaturi tal-inġenji tal-ajru amministrati minn amministraturi nazzjonali fiż-ŻEE rċevew madwar 0,5 miljun kwota tal-avjazzjoni Żvizzera mingħajr ħlas taħt l-ETS Żvizzera. </w:t>
      </w:r>
    </w:p>
    <w:p w14:paraId="79523E4C" w14:textId="2E7BD549" w:rsidR="00792796" w:rsidRPr="00DA11F1" w:rsidRDefault="00D4002B" w:rsidP="000F63B2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Il-volum ta’ kwoti tal-avjazzjoni rkantati fl-2020 kien ta’ madwar 9,2 miljun kwota. </w:t>
      </w:r>
    </w:p>
    <w:p w14:paraId="0AF6CE7E" w14:textId="5B438429" w:rsidR="00D4002B" w:rsidRPr="00DA11F1" w:rsidRDefault="00FF4081" w:rsidP="000F63B2">
      <w:pPr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  <w:sz w:val="24"/>
          <w:szCs w:val="24"/>
        </w:rPr>
        <w:t>Fil-fażi 3 tal-EU ETS (mill-2013 sal-2020), l-emissjonijiet mill-avjazzjoni żdiedu sena wara sena sal-2020, meta din ix-xejra nqalbet mill-pandemija tal-COVID-19. Bejn l-2013 u l-2019, l-emissjonijiet minn titjiriet koperti mill-EU ETS żdiedu b’27,5 %. Fl-2020, l-emissjonijiet verifikati tal-operaturi tal-inġenji tal-ajru amministrati mill-istati taż-ŻEE naqsu drastikament bi 63 % meta mqabbla mal-2019 minħabba l-pandemija u r-restrizzjonijiet relatati fuq l-ivvjaġġar, u laħqu 24,9 miljun tunnellata ta’ 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skont l-EU ETS u 0,3 miljun tunnellata skont l-ETS Żvizzera (25,2 miljun tunnellata ta’ 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f’</w:t>
      </w:r>
      <w:r w:rsidR="00C023D7"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="00C023D7" w:rsidRPr="00DA11F1">
        <w:rPr>
          <w:rFonts w:ascii="Times New Roman" w:hAnsi="Times New Roman"/>
          <w:noProof/>
          <w:sz w:val="24"/>
          <w:szCs w:val="24"/>
        </w:rPr>
        <w:instrText xml:space="preserve"> REF _Ref85037379  \* MERGEFORMAT </w:instrText>
      </w:r>
      <w:r w:rsidR="00C023D7"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C023D7" w:rsidRPr="00DA11F1">
        <w:rPr>
          <w:rFonts w:ascii="Times New Roman" w:hAnsi="Times New Roman"/>
          <w:noProof/>
          <w:sz w:val="24"/>
          <w:szCs w:val="24"/>
        </w:rPr>
        <w:t>Table 6</w:t>
      </w:r>
      <w:r w:rsidR="00C023D7"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hawn taħt). Dan kien ifisser li l-2019 kienet is-sena bl-ogħla emissjonijiet tal-avjazzjoni sal-lum. </w:t>
      </w:r>
      <w:r w:rsidR="00C023D7" w:rsidRPr="00DA11F1">
        <w:rPr>
          <w:rFonts w:ascii="Times New Roman" w:hAnsi="Times New Roman"/>
          <w:noProof/>
          <w:sz w:val="24"/>
          <w:szCs w:val="24"/>
        </w:rPr>
        <w:fldChar w:fldCharType="begin"/>
      </w:r>
      <w:r w:rsidR="00C023D7" w:rsidRPr="00DA11F1">
        <w:rPr>
          <w:rFonts w:ascii="Times New Roman" w:hAnsi="Times New Roman"/>
          <w:noProof/>
          <w:sz w:val="24"/>
          <w:szCs w:val="24"/>
        </w:rPr>
        <w:instrText xml:space="preserve"> REF _Ref85037379  \* MERGEFORMAT </w:instrText>
      </w:r>
      <w:r w:rsidR="00C023D7" w:rsidRPr="00DA11F1">
        <w:rPr>
          <w:rFonts w:ascii="Times New Roman" w:hAnsi="Times New Roman"/>
          <w:noProof/>
          <w:sz w:val="24"/>
          <w:szCs w:val="24"/>
        </w:rPr>
        <w:fldChar w:fldCharType="separate"/>
      </w:r>
      <w:r w:rsidR="00C023D7" w:rsidRPr="00DA11F1">
        <w:rPr>
          <w:rFonts w:ascii="Times New Roman" w:hAnsi="Times New Roman"/>
          <w:noProof/>
          <w:sz w:val="24"/>
          <w:szCs w:val="24"/>
        </w:rPr>
        <w:t>Table 6</w:t>
      </w:r>
      <w:r w:rsidR="00C023D7" w:rsidRPr="00DA11F1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 turi sommarju tal-emissjonijiet verifikati, tal-allokazzjoni bla ħlas, u tal-volumi tal-irkantar għas-settur tal-avjazzjoni sa mill-bidu tal-fażi 3.</w:t>
      </w:r>
      <w:r>
        <w:rPr>
          <w:rFonts w:ascii="Times New Roman" w:hAnsi="Times New Roman"/>
          <w:b/>
          <w:noProof/>
        </w:rPr>
        <w:t xml:space="preserve"> </w:t>
      </w:r>
    </w:p>
    <w:p w14:paraId="4E7FEA9A" w14:textId="21BC2932" w:rsidR="00C023D7" w:rsidRPr="00DA11F1" w:rsidRDefault="00C023D7" w:rsidP="00C023D7">
      <w:pPr>
        <w:pStyle w:val="Caption"/>
        <w:keepNext/>
        <w:rPr>
          <w:rFonts w:ascii="Times New Roman" w:hAnsi="Times New Roman"/>
          <w:noProof/>
          <w:sz w:val="22"/>
        </w:rPr>
      </w:pPr>
      <w:bookmarkStart w:id="62" w:name="_Ref85037379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76166" w:rsidRPr="00DA11F1">
        <w:rPr>
          <w:rFonts w:ascii="Times New Roman" w:hAnsi="Times New Roman"/>
          <w:noProof/>
          <w:sz w:val="22"/>
        </w:rPr>
        <w:t>6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62"/>
      <w:r>
        <w:rPr>
          <w:rFonts w:ascii="Times New Roman" w:hAnsi="Times New Roman"/>
          <w:noProof/>
          <w:sz w:val="22"/>
        </w:rPr>
        <w:t xml:space="preserve">. Is-settur tal-avjazzjoni: l-emissjonijiet verifikati, l-allokazzjonijiet bla ħlas u l-volumi tal-irkantar, mill-2013 sal-2021 </w:t>
      </w:r>
      <w:r>
        <w:rPr>
          <w:rFonts w:ascii="Times New Roman" w:hAnsi="Times New Roman"/>
          <w:noProof/>
          <w:sz w:val="22"/>
        </w:rPr>
        <w:cr/>
      </w:r>
      <w:r>
        <w:rPr>
          <w:rFonts w:ascii="Times New Roman" w:hAnsi="Times New Roman"/>
          <w:noProof/>
          <w:sz w:val="22"/>
        </w:rPr>
        <w:br/>
        <w:t>(f’miljuni)</w:t>
      </w:r>
    </w:p>
    <w:tbl>
      <w:tblPr>
        <w:tblW w:w="4941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847"/>
        <w:gridCol w:w="705"/>
        <w:gridCol w:w="705"/>
        <w:gridCol w:w="703"/>
        <w:gridCol w:w="707"/>
        <w:gridCol w:w="599"/>
        <w:gridCol w:w="665"/>
        <w:gridCol w:w="667"/>
        <w:gridCol w:w="664"/>
        <w:gridCol w:w="662"/>
      </w:tblGrid>
      <w:tr w:rsidR="00AE5BE3" w:rsidRPr="00DA11F1" w14:paraId="3AC82975" w14:textId="77777777" w:rsidTr="00115ADC">
        <w:trPr>
          <w:trHeight w:val="594"/>
        </w:trPr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ABBB" w14:textId="1A02FE55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Sena</w:t>
            </w:r>
          </w:p>
        </w:tc>
        <w:tc>
          <w:tcPr>
            <w:tcW w:w="4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AB9EC7E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2012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6329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2013</w:t>
            </w:r>
          </w:p>
        </w:tc>
        <w:tc>
          <w:tcPr>
            <w:tcW w:w="39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D704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2014</w:t>
            </w:r>
          </w:p>
        </w:tc>
        <w:tc>
          <w:tcPr>
            <w:tcW w:w="38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73FD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2015</w:t>
            </w:r>
          </w:p>
        </w:tc>
        <w:tc>
          <w:tcPr>
            <w:tcW w:w="391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B24F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2016</w:t>
            </w:r>
          </w:p>
        </w:tc>
        <w:tc>
          <w:tcPr>
            <w:tcW w:w="331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1C27537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2017</w:t>
            </w:r>
          </w:p>
        </w:tc>
        <w:tc>
          <w:tcPr>
            <w:tcW w:w="3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C1783C3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2018</w:t>
            </w:r>
          </w:p>
        </w:tc>
        <w:tc>
          <w:tcPr>
            <w:tcW w:w="36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D26C64E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2019</w:t>
            </w:r>
          </w:p>
        </w:tc>
        <w:tc>
          <w:tcPr>
            <w:tcW w:w="36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392587B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2020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0593EBA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2021</w:t>
            </w:r>
          </w:p>
        </w:tc>
      </w:tr>
      <w:tr w:rsidR="00AE5BE3" w:rsidRPr="00DA11F1" w14:paraId="55BB0C6F" w14:textId="77777777" w:rsidTr="00115ADC">
        <w:trPr>
          <w:trHeight w:val="748"/>
        </w:trPr>
        <w:tc>
          <w:tcPr>
            <w:tcW w:w="117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36B6" w14:textId="525CED53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Emissjonijiet verifikati (f’miljuni ta’ tunnellati ta’ CO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eq)</w:t>
            </w:r>
          </w:p>
        </w:tc>
        <w:tc>
          <w:tcPr>
            <w:tcW w:w="4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9EA959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B53D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39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D362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38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117F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39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0622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33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7CA2DC1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3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4A1211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36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EA3DE8F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367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F9DD942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25,2</w:t>
            </w:r>
            <w:r w:rsidRPr="00DA11F1">
              <w:rPr>
                <w:rStyle w:val="FootnoteReference"/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  <w:footnoteReference w:id="79"/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5A4937D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</w:tr>
      <w:tr w:rsidR="00AE5BE3" w:rsidRPr="00DA11F1" w14:paraId="1F13CDEA" w14:textId="77777777" w:rsidTr="00115ADC">
        <w:trPr>
          <w:trHeight w:val="758"/>
        </w:trPr>
        <w:tc>
          <w:tcPr>
            <w:tcW w:w="117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8D8FE" w14:textId="1F501F1B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Bidla fl-emissjonijiet verifikati sas-sena x-1</w:t>
            </w:r>
          </w:p>
        </w:tc>
        <w:tc>
          <w:tcPr>
            <w:tcW w:w="4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1093382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D4A6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-</w:t>
            </w:r>
            <w:r w:rsidRPr="00DA11F1">
              <w:rPr>
                <w:rStyle w:val="FootnoteReference"/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  <w:footnoteReference w:id="80"/>
            </w:r>
          </w:p>
        </w:tc>
        <w:tc>
          <w:tcPr>
            <w:tcW w:w="39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B6A7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2,5 %</w:t>
            </w:r>
          </w:p>
        </w:tc>
        <w:tc>
          <w:tcPr>
            <w:tcW w:w="38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F00B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4,1 %</w:t>
            </w:r>
          </w:p>
        </w:tc>
        <w:tc>
          <w:tcPr>
            <w:tcW w:w="39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CBDB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7,7 %</w:t>
            </w:r>
          </w:p>
        </w:tc>
        <w:tc>
          <w:tcPr>
            <w:tcW w:w="33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B58860C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4,8 %</w:t>
            </w:r>
          </w:p>
        </w:tc>
        <w:tc>
          <w:tcPr>
            <w:tcW w:w="3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1B4D02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4,8 %</w:t>
            </w:r>
          </w:p>
        </w:tc>
        <w:tc>
          <w:tcPr>
            <w:tcW w:w="36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866069E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1 %</w:t>
            </w:r>
          </w:p>
        </w:tc>
        <w:tc>
          <w:tcPr>
            <w:tcW w:w="367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D189A6A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-63 %</w:t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3E8A521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</w:tr>
      <w:tr w:rsidR="00AE5BE3" w:rsidRPr="00DA11F1" w14:paraId="598781E5" w14:textId="77777777" w:rsidTr="00115ADC">
        <w:trPr>
          <w:trHeight w:val="758"/>
        </w:trPr>
        <w:tc>
          <w:tcPr>
            <w:tcW w:w="117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4533" w14:textId="08F268DD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Allokazzjoni bla ħlas (EU27 + ir-Renju Unit + l-Iżlanda, il-Liechtenstein u n-Norveġja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cr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br/>
              <w:t>+ l-Iżvizzera għall-2020 u l-2021)</w:t>
            </w:r>
            <w:r w:rsidRPr="00DA11F1">
              <w:rPr>
                <w:rStyle w:val="FootnoteReference"/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footnoteReference w:id="81"/>
            </w:r>
          </w:p>
        </w:tc>
        <w:tc>
          <w:tcPr>
            <w:tcW w:w="4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B9EA267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173,8</w:t>
            </w:r>
          </w:p>
        </w:tc>
        <w:tc>
          <w:tcPr>
            <w:tcW w:w="39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F9F8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39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93E8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38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0BF0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39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DC2A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33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5CA1944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3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5380FA9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36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2BD8495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31,3</w:t>
            </w:r>
            <w:r w:rsidRPr="00DA11F1">
              <w:rPr>
                <w:rStyle w:val="FootnoteReference"/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  <w:footnoteReference w:id="82"/>
            </w:r>
          </w:p>
        </w:tc>
        <w:tc>
          <w:tcPr>
            <w:tcW w:w="367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B943F30" w14:textId="2C64449A" w:rsidR="00AE5BE3" w:rsidRPr="00DA11F1" w:rsidRDefault="00AE5BE3" w:rsidP="00D50098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32,5</w:t>
            </w:r>
            <w:r w:rsidRPr="00DA11F1">
              <w:rPr>
                <w:rStyle w:val="FootnoteReference"/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  <w:footnoteReference w:id="83"/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1490668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17,3</w:t>
            </w:r>
            <w:r w:rsidRPr="00DA11F1">
              <w:rPr>
                <w:rStyle w:val="FootnoteReference"/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  <w:footnoteReference w:id="84"/>
            </w:r>
          </w:p>
        </w:tc>
      </w:tr>
      <w:tr w:rsidR="00AE5BE3" w:rsidRPr="00DA11F1" w14:paraId="3C0772C7" w14:textId="77777777" w:rsidTr="00115ADC">
        <w:trPr>
          <w:trHeight w:val="750"/>
        </w:trPr>
        <w:tc>
          <w:tcPr>
            <w:tcW w:w="117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1E49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L-allokazzjoni bla ħlas minn riżerva speċjali għal entranti ġodda u għall-operaturi li qegħdin jikbru malajr</w:t>
            </w:r>
          </w:p>
        </w:tc>
        <w:tc>
          <w:tcPr>
            <w:tcW w:w="4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389A62C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9CAF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AFFB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F1D2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E3A0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58C3EE6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055EC3A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6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B542B68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67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71239C7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13F7F67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0,3</w:t>
            </w:r>
          </w:p>
        </w:tc>
      </w:tr>
      <w:tr w:rsidR="00AE5BE3" w:rsidRPr="00DA11F1" w14:paraId="6C571D6F" w14:textId="77777777" w:rsidTr="00115ADC">
        <w:trPr>
          <w:trHeight w:val="620"/>
        </w:trPr>
        <w:tc>
          <w:tcPr>
            <w:tcW w:w="117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0667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Volumi ta’ kwoti rkantati</w:t>
            </w:r>
          </w:p>
        </w:tc>
        <w:tc>
          <w:tcPr>
            <w:tcW w:w="46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BC1432E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9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2A88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6FC2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9,3</w:t>
            </w:r>
          </w:p>
        </w:tc>
        <w:tc>
          <w:tcPr>
            <w:tcW w:w="38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42D6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39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F205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9948155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4,7</w:t>
            </w:r>
          </w:p>
        </w:tc>
        <w:tc>
          <w:tcPr>
            <w:tcW w:w="3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13279B6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69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874212B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67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A295798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124E6B" w14:textId="77777777" w:rsidR="00AE5BE3" w:rsidRPr="00DA11F1" w:rsidRDefault="00AE5BE3" w:rsidP="00CC361B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1,3</w:t>
            </w:r>
            <w:r w:rsidRPr="00DA11F1">
              <w:rPr>
                <w:rStyle w:val="FootnoteReference"/>
                <w:rFonts w:ascii="Times New Roman" w:hAnsi="Times New Roman"/>
                <w:noProof/>
                <w:color w:val="000000"/>
                <w:sz w:val="20"/>
                <w:szCs w:val="20"/>
                <w:lang w:eastAsia="en-GB"/>
              </w:rPr>
              <w:footnoteReference w:id="85"/>
            </w:r>
          </w:p>
        </w:tc>
      </w:tr>
    </w:tbl>
    <w:p w14:paraId="1CA1EE1E" w14:textId="7DE1D509" w:rsidR="00D4002B" w:rsidRPr="00DA11F1" w:rsidRDefault="00D4002B" w:rsidP="00D4002B">
      <w:pPr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Sorsi: L-EUTL, id-DĠ Azzjoni Klimatika</w:t>
      </w:r>
    </w:p>
    <w:p w14:paraId="036C49ED" w14:textId="18C89AF0" w:rsidR="009A5418" w:rsidRPr="00DA11F1" w:rsidRDefault="009A5418" w:rsidP="009A541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Il-volumi ta’ kwoti tal-avjazzjoni rkantati matul il-perjodu bejn l-2013 u l-2015 jirriflettu d-deċiżjoni tal-2014 tal-koleġiżlaturi li “jitwaqqaf l-arloġġ”</w:t>
      </w:r>
      <w:r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86"/>
      </w:r>
      <w:r>
        <w:rPr>
          <w:rFonts w:ascii="Times New Roman" w:hAnsi="Times New Roman"/>
          <w:noProof/>
          <w:sz w:val="24"/>
          <w:szCs w:val="24"/>
        </w:rPr>
        <w:t xml:space="preserve"> u li l-obbligi tal-klima jiġu limitati biss għal titjiriet fi ħdan iż-ŻEE. Għas-settur tal-avjazzjoni l-konformità ġiet posposta għall-2013</w:t>
      </w:r>
      <w:r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87"/>
      </w:r>
      <w:r>
        <w:rPr>
          <w:rFonts w:ascii="Times New Roman" w:hAnsi="Times New Roman"/>
          <w:noProof/>
          <w:sz w:val="24"/>
          <w:szCs w:val="24"/>
        </w:rPr>
        <w:t>. Għall-emissjonijiet mill-avjazzjoni mill-2013 u l-2014, il-konformità seħħet bejn Jannar u April tal-2015.</w:t>
      </w:r>
    </w:p>
    <w:p w14:paraId="4EE960C5" w14:textId="62EAF8AF" w:rsidR="009A5418" w:rsidRPr="00DA11F1" w:rsidRDefault="003541AB" w:rsidP="00D4002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L-inklużjoni tas-settur tal-avjazzjoni fl-EU ETS kellha impatt sinifikanti fuq il-prestazzjoni ambjentali tas-sistema kollha kemm hi fil-fażi 3. Sal-2020, l-operaturi tal-inġenji tal-ajru kienu ċedew 308 miljun kwota tal-avjazzjoni u 139 miljun kwota ġenerali. Din l-aħħar ċifra turi li s-settur tal-avjazzjoni kellu jixtri volumi kbar ta’ kwoti mingħand l-installazzjonijiet stazzjonarji, u b’hekk ikkontribwixxa għall-istrinġenza u l-ambizzjoni ġenerali tal-EU ETS. </w:t>
      </w:r>
    </w:p>
    <w:p w14:paraId="279DD7FC" w14:textId="65526D86" w:rsidR="009A5418" w:rsidRPr="00DA11F1" w:rsidRDefault="009A5418" w:rsidP="009A5418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L-impatt sinifikanti tal-COVID-19 fuq l-avjazzjoni internazzjonali kellu wkoll riperkussjonijiet fuq il-CORSIA. L-emissjonijiet globali mill-avjazzjoni fl-2020 naqsu għal anqas minn 54 % tal-livelli tal-2019.</w:t>
      </w:r>
      <w:r w:rsidR="00355B68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88"/>
      </w:r>
      <w:r>
        <w:rPr>
          <w:rFonts w:ascii="Times New Roman" w:hAnsi="Times New Roman"/>
          <w:noProof/>
          <w:sz w:val="24"/>
          <w:szCs w:val="24"/>
        </w:rPr>
        <w:t xml:space="preserve"> Fid-dawl ta’ dan l-impatt, l-industrija tal-avjazzjoni, appoġġata minn bosta pajjiżi parteċipanti tal-ICAO, talbet b’suċċess l-aġġustament tal-linja bażi tal-CORSIA mill-medja oriġinali tal-emissjonijiet tal-2019 u l-2020 għall-emissjonijiet tal-2019 għall-fażi pilota (is-snin 2021 sal-2023). Peress li l-industrija tal-avjazzjoni ma hijiex mistennija li tirkupra qabel l-2023</w:t>
      </w:r>
      <w:r w:rsidR="00355B68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89"/>
      </w:r>
      <w:r>
        <w:rPr>
          <w:rFonts w:ascii="Times New Roman" w:hAnsi="Times New Roman"/>
          <w:noProof/>
          <w:sz w:val="24"/>
          <w:szCs w:val="24"/>
        </w:rPr>
        <w:t xml:space="preserve"> (ritorn għal-livelli tat-traffiku tal-2019), x’aktarx li mhu se jkun hemm l-ebda obbligu ta’ kumpens jew se jkun hemm ftit obbligi ta’ kumpens għal-linji tal-ajru matul il-fażi pilota tal-CORSIA. </w:t>
      </w:r>
    </w:p>
    <w:p w14:paraId="1B3A35C1" w14:textId="6FABACA3" w:rsidR="008E044F" w:rsidRPr="00DA11F1" w:rsidRDefault="008E044F" w:rsidP="008E044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Id-Direttiva dwar l-Iskambju tal-Kwoti tal-Emissjonijiet tirrikjedi li l-Kummissjoni tirrapporta lill-Parlament Ewropew u lill-Kunsill dwar l-ambizzjoni ġenerali u l-integrità ambjentali globali ta’ CORSIA. L-Artikolu 3d tad-Direttiva jirrikjedi wkoll li l-Kummissjoni “twettaq studju dwar il-ħila tas-settur tal-avjazzjoni li jgħaddi l-ispiża tas-CO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lill-klijenti tiegħu bl-intenzjoni li tagħmel proposta sabiex jiżdied il-persentaġġ ta’ bejgħ bl-irkant”.</w:t>
      </w:r>
    </w:p>
    <w:p w14:paraId="726E61F0" w14:textId="0F01A655" w:rsidR="00131369" w:rsidRPr="00DA11F1" w:rsidRDefault="00D4002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Bħala parti mill-pakkett ġenerali għat-Twettiq tal-Patt Ekoloġiku Ewropew ippubblikat fl-14 ta’ Lulju 2021, u abbażi tad-Direttiva dwar l-Iskambju tal-Kwoti tal-Emissjonijiet kif emendata fl-2017</w:t>
      </w:r>
      <w:r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90"/>
      </w:r>
      <w:r>
        <w:rPr>
          <w:rFonts w:ascii="Times New Roman" w:hAnsi="Times New Roman"/>
          <w:noProof/>
          <w:sz w:val="24"/>
          <w:szCs w:val="24"/>
        </w:rPr>
        <w:t>, il-Kummissjoni pproponiet li temenda l-EU ETS għall-avjazzjoni</w:t>
      </w:r>
      <w:r w:rsidR="008E044F"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91"/>
      </w:r>
      <w:r>
        <w:rPr>
          <w:rFonts w:ascii="Times New Roman" w:hAnsi="Times New Roman"/>
          <w:noProof/>
          <w:sz w:val="24"/>
          <w:szCs w:val="24"/>
        </w:rPr>
        <w:t>. Fil-valutazzjoni tal-impatt li takkumpanja</w:t>
      </w:r>
      <w:r w:rsidR="00697D4B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92"/>
      </w:r>
      <w:r>
        <w:rPr>
          <w:rFonts w:ascii="Times New Roman" w:hAnsi="Times New Roman"/>
          <w:noProof/>
          <w:sz w:val="24"/>
          <w:szCs w:val="24"/>
        </w:rPr>
        <w:t xml:space="preserve"> lil din il-proposta hemm rapport dwar il-valutazzjoni tal-CORSIA u l-istudju dwar il-kost trasferit. Hija tfittex li timplimenta l-CORSIA fid-dritt tal-UE b’mod li huwa konsistenti mal-objettiv dwar il-klima tal-UE għall-2030.</w:t>
      </w:r>
      <w:r>
        <w:rPr>
          <w:rFonts w:ascii="Times New Roman" w:hAnsi="Times New Roman"/>
          <w:noProof/>
        </w:rPr>
        <w:t xml:space="preserve"> </w:t>
      </w:r>
    </w:p>
    <w:p w14:paraId="4A4ACB2E" w14:textId="1DD64852" w:rsidR="009B3224" w:rsidRPr="00DA11F1" w:rsidRDefault="009B1524" w:rsidP="008356AC">
      <w:pPr>
        <w:pStyle w:val="Heading1"/>
        <w:spacing w:before="0" w:after="200"/>
        <w:rPr>
          <w:noProof/>
        </w:rPr>
      </w:pPr>
      <w:bookmarkStart w:id="63" w:name="_Toc490850435"/>
      <w:bookmarkStart w:id="64" w:name="_Toc519009686"/>
      <w:bookmarkStart w:id="65" w:name="_Toc89703123"/>
      <w:r>
        <w:rPr>
          <w:noProof/>
        </w:rPr>
        <w:t>5. IS-SORVELJANZA TAS-SUQ</w:t>
      </w:r>
      <w:bookmarkEnd w:id="63"/>
      <w:bookmarkEnd w:id="64"/>
      <w:bookmarkEnd w:id="65"/>
    </w:p>
    <w:p w14:paraId="326191DB" w14:textId="46940952" w:rsidR="009B3224" w:rsidRPr="00DA11F1" w:rsidRDefault="009B3224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Matul il-fażi 3 tal-EU ETS (mill-2013 sal-2020), ġie stabbilit qafas legali robust għas-sorveljanza tas-suq tal-karbonju tal-UE. Id-derivattivi fil-kwoti tal-emissjonijiet kienu kklassifikati bħala strumenti finanzjarji mill-bidu nett tal-EU ETS. Madankollu, minn Jannar tal-2018, il-kwoti ta’ emissjonijiet innegozjati fil-pront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93"/>
      </w:r>
      <w:r>
        <w:rPr>
          <w:rFonts w:ascii="Times New Roman" w:hAnsi="Times New Roman"/>
          <w:noProof/>
          <w:sz w:val="24"/>
          <w:szCs w:val="24"/>
        </w:rPr>
        <w:t xml:space="preserve"> huma kklassifikati wkoll bħala strumenti finanzjarji skont id-Direttiva dwar is-Swieq fl-Istrumenti Finanzjarji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94"/>
      </w:r>
      <w:r>
        <w:rPr>
          <w:rFonts w:ascii="Times New Roman" w:hAnsi="Times New Roman"/>
          <w:noProof/>
          <w:sz w:val="24"/>
          <w:szCs w:val="24"/>
        </w:rPr>
        <w:t xml:space="preserve"> (MiFID). Il-klassifikazzjoni tal-kwoti tal-emissjonijiet ġiet riflessa f’għadd ta’ atti ta’ leġiżlazzjoni sekondarja, inkluż ir-Regolament dwar l-Irkantar</w:t>
      </w:r>
      <w:r w:rsidR="00AE5689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95"/>
      </w:r>
      <w:r>
        <w:rPr>
          <w:rFonts w:ascii="Times New Roman" w:hAnsi="Times New Roman"/>
          <w:noProof/>
          <w:sz w:val="24"/>
          <w:szCs w:val="24"/>
        </w:rPr>
        <w:t xml:space="preserve">, għas-sorveljanza tas-suq primarju (irkantijiet). Għalhekk, in-negozjar kollu tal-kwoti tal-emissjonijiet huwa effettivament soġġett għall-istess reġim li japplika għas-swieq finanzjarji tal-UE. </w:t>
      </w:r>
    </w:p>
    <w:p w14:paraId="642558D8" w14:textId="54D9A597" w:rsidR="009B3224" w:rsidRPr="00DA11F1" w:rsidRDefault="009B3224" w:rsidP="007D7CA6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Ir-regoli ewlenin tas-suq finanzjarju li japplikaw għan-negozjar ta’ kwoti tal-emissjonijiet huma: </w:t>
      </w:r>
    </w:p>
    <w:p w14:paraId="07CE51F4" w14:textId="54BA3026" w:rsidR="009B3224" w:rsidRPr="00DA11F1" w:rsidRDefault="009B3224" w:rsidP="007D7CA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Id-Direttiva u r-Regolament dwar is-Swieq fl-Istrumenti Finanzjarji (MiFID II/MIFIR),</w:t>
      </w:r>
      <w:r>
        <w:rPr>
          <w:rFonts w:ascii="Times New Roman" w:hAnsi="Times New Roman"/>
          <w:noProof/>
          <w:sz w:val="24"/>
          <w:szCs w:val="24"/>
        </w:rPr>
        <w:t xml:space="preserve"> li jistabbilixxu rekwiżiti ta’ awtorizzazzjoni għaċ-ċentri tan-negozjar u għall-intermedjarji finanzjarji (ditti tal-investiment), rekwiżiti importanti ta’ rapportar u trasparenza sabiex jiġi evitat l-abbuż tas-suq u regoli dwar is-superviżjoni u l-kooperazzjoni bejn l-awtoritajiet nazzjonali kompetenti. </w:t>
      </w:r>
    </w:p>
    <w:p w14:paraId="112ABE4F" w14:textId="4D5C32B7" w:rsidR="009B3224" w:rsidRPr="00DA11F1" w:rsidRDefault="009B3224" w:rsidP="007D7CA6">
      <w:pPr>
        <w:pStyle w:val="ListParagraph"/>
        <w:numPr>
          <w:ilvl w:val="0"/>
          <w:numId w:val="27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Ir-Regolament dwar l-Abbuż tas-Suq</w:t>
      </w:r>
      <w:r w:rsidRPr="00DA11F1">
        <w:rPr>
          <w:rStyle w:val="FootnoteReference"/>
          <w:rFonts w:ascii="Times New Roman" w:hAnsi="Times New Roman"/>
          <w:b/>
          <w:noProof/>
          <w:sz w:val="24"/>
          <w:szCs w:val="24"/>
        </w:rPr>
        <w:footnoteReference w:id="96"/>
      </w:r>
      <w:r>
        <w:rPr>
          <w:rFonts w:ascii="Times New Roman" w:hAnsi="Times New Roman"/>
          <w:noProof/>
          <w:sz w:val="24"/>
          <w:szCs w:val="24"/>
        </w:rPr>
        <w:t>, li huwa s-sett ta’ regoli tal-UE li jipprojbixxi tipi differenti ta’ abbuż tas-suq, bħal abbuż minn informazzjoni privileġġata jew manipulazzjoni tas-suq permezz ta’ prattiki bħat-tixrid ta’ informazzjoni jew għajdut foloz. Ir-Regolament dwar l-Abbuż tas-Suq japplika għall-parteċipanti kollha fis-suq, irrispettivament minn jekk l-abbuż iseħħx fl-UE jew barra mill-UE.</w:t>
      </w:r>
    </w:p>
    <w:p w14:paraId="2FD386CF" w14:textId="05E7DCB5" w:rsidR="009B3224" w:rsidRPr="00DA11F1" w:rsidRDefault="009B3224" w:rsidP="007D7CA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Id-Direttiva dwar il-Ġlieda kontra l-Ħasil tal-Flus</w:t>
      </w:r>
      <w:r w:rsidRPr="00DA11F1">
        <w:rPr>
          <w:rStyle w:val="FootnoteReference"/>
          <w:rFonts w:ascii="Times New Roman" w:hAnsi="Times New Roman"/>
          <w:b/>
          <w:noProof/>
          <w:sz w:val="24"/>
          <w:szCs w:val="24"/>
        </w:rPr>
        <w:footnoteReference w:id="97"/>
      </w:r>
      <w:r>
        <w:rPr>
          <w:rFonts w:ascii="Times New Roman" w:hAnsi="Times New Roman"/>
          <w:noProof/>
          <w:sz w:val="24"/>
          <w:szCs w:val="24"/>
        </w:rPr>
        <w:t xml:space="preserve">, li tistabbilixxi salvagwardji importanti kontra l-ħasil tal-flus u l-finanzjament tat-terroriżmu. </w:t>
      </w:r>
    </w:p>
    <w:p w14:paraId="60E7902F" w14:textId="04F46E05" w:rsidR="009B3224" w:rsidRPr="00DA11F1" w:rsidRDefault="009B3224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Is-suq huwa ssorveljat mill-awtoritajiet finanzjarji ta’ 27 Stat Membru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98"/>
      </w:r>
      <w:r>
        <w:rPr>
          <w:rFonts w:ascii="Times New Roman" w:hAnsi="Times New Roman"/>
          <w:noProof/>
          <w:sz w:val="24"/>
          <w:szCs w:val="24"/>
        </w:rPr>
        <w:t>, taħt il-koordinazzjoni tar-regolatur Ewropew, l-Awtorità Ewropea tat-Titoli u s-Swieq (ESMA). F’konformità mar-regoli tas-suq finanzjarju, iċ-ċentri tan-negozjar u d-ditti tal-investiment huma soġġetti għal rekwiżiti robusti ta’ rapportar u trasparenza. Dan jippermetti lill-awtoritajiet kompetenti fl-Istati Membri jimmonitorjaw l-imġiba kummerċjali tal-parteċipanti fis-suq. Barra minn hekk, ir-Regolament dwar l-Abbuż tas-Suq jobbliga lill-parteċipanti fis-suq jirrapportaw ordnijiet u tranżazzjonijiet suspettużi mingħajr dewmien. L-awtoritajiet nazzjonali għandhom is-setgħa li jimponu azzjoni ta’ rimedju jew penali meta jiddeċiedu li ċertu aġir jagħti lok għall-abbuż tas-suq.</w:t>
      </w:r>
    </w:p>
    <w:p w14:paraId="2E9344E0" w14:textId="52E7B7EB" w:rsidR="009B3224" w:rsidRPr="00DA11F1" w:rsidRDefault="009B3224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Ir-regoli tas-suq finanzjarju huma salvagwardja importanti tal-integrità u t-trasparenza tas-suq tal-karbonju tal-UE. Sa issa, il-qafas stabbilit ħadem tajjeb u huwa essenzjali sabiex jiġi żgurat li r-regoli jiġu implimentati kif suppost.</w:t>
      </w:r>
    </w:p>
    <w:p w14:paraId="62A5F54F" w14:textId="60A0E84F" w:rsidR="009B3224" w:rsidRPr="00DA11F1" w:rsidRDefault="009B3224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Kull sena, l-ESMA tippubblika stima tad-daqs ta’ swieq Ewropej diversi, inkluż is-suq tal-karbonju. Fl-aktar stima riċenti għall-2020, l-ESMA kkalkolat l-attività kummerċjali totali fil-kwoti tal-emissjonijiet kienet ta’ madwar EUR 687 biljun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99"/>
      </w:r>
      <w:r>
        <w:rPr>
          <w:rFonts w:ascii="Times New Roman" w:hAnsi="Times New Roman"/>
          <w:noProof/>
          <w:sz w:val="24"/>
          <w:szCs w:val="24"/>
        </w:rPr>
        <w:t xml:space="preserve">. Minn dan it-total, id-derivattivi tal-kwoti tal-emissjonijiet jirrappreżentaw bil-bosta l-akbar sehem mis-suq. Il-biċċa l-kbira tat-tranżazzjonijiet isiru f’ċentri tan-negozjar (madwar 95 %), u sehem żgħir biss jitwettaq barra l-borża (OTC). </w:t>
      </w:r>
    </w:p>
    <w:p w14:paraId="13C0CF5D" w14:textId="6A3E150D" w:rsidR="009B3224" w:rsidRPr="00DA11F1" w:rsidRDefault="009B3224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Id-derivattivi għandhom rwol kruċjali peress li jipprovdu lill-operaturi tal-ETS b’modi flessibbli kif jimmaniġġjaw ir-riskju tagħhom tal-prezz tal-karbonju. Dawn il-kuntratti huma offruti minn skambji u intermedjarji finanzjarji, li huma bla ħlas għall-kwoti tal-emissjonijiet “ta’ pakkett” fi prodotti finanzjarji diversi, soġġett għall-preferenzi tas-suq u għall-qafas legali stabbilit. </w:t>
      </w:r>
    </w:p>
    <w:p w14:paraId="66DFD955" w14:textId="0C80B276" w:rsidR="009B3224" w:rsidRPr="00DA11F1" w:rsidRDefault="009B3224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Kif ġara fis-swieq kollha, is-suq tal-karbonju tal-UE wkoll ħass l-effetti tal-pandemija tal-COVID-19 fl-2020. Minħabba l-kriżi, il-prezz tal-kwoti tal-emissjonijiet naqas għal EUR 14,71 mil-livell medju fl-2019 ta’ EUR 24,84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00"/>
      </w:r>
      <w:r>
        <w:rPr>
          <w:rFonts w:ascii="Times New Roman" w:hAnsi="Times New Roman"/>
          <w:noProof/>
          <w:sz w:val="24"/>
          <w:szCs w:val="24"/>
        </w:rPr>
        <w:t>. Madankollu, il-prezzijiet tal-karbonju reġgħu żdiedu malajr. L-analisti tas-suq indikaw li r-Riżerva tal-Istabbiltà tas-Suq (MSR) tejbet b’mod sinifikanti r-reżiljenza tas-suq għal xokkijiet kbar fid-domanda, bħax-xokk ikkawżat mill-pandemija globali.</w:t>
      </w:r>
    </w:p>
    <w:p w14:paraId="310733FF" w14:textId="6617457F" w:rsidR="009B3224" w:rsidRPr="00DA11F1" w:rsidRDefault="00B22445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Hemm ħafna fatturi li jistgħu jinfluwenzaw il-prezz tal-kwoti tal-emissjonijiet</w:t>
      </w:r>
      <w:r w:rsidR="009A2EF4" w:rsidRPr="00DA11F1">
        <w:rPr>
          <w:rFonts w:ascii="Times New Roman" w:hAnsi="Times New Roman"/>
          <w:noProof/>
          <w:sz w:val="24"/>
          <w:szCs w:val="24"/>
          <w:vertAlign w:val="superscript"/>
        </w:rPr>
        <w:footnoteReference w:id="101"/>
      </w:r>
      <w:r>
        <w:rPr>
          <w:rFonts w:ascii="Times New Roman" w:hAnsi="Times New Roman"/>
          <w:noProof/>
          <w:sz w:val="24"/>
          <w:szCs w:val="24"/>
        </w:rPr>
        <w:t>. B’mod partikolari, l-analisti ewlenin tas-suq jindikaw l-MSR, li qiegħda tassorbi l-eċċess tas-suq, u l-aspettattivi ta’ politika fit-tul tal-atturi tas-suq. Is-suq tal-karbonju qiegħed iħares ’il quddiem u jantiċipa bidliet leġiżlattivi futuri. Iż-żieda fl-ambizzjoni klimatika għall-2030, minquxa fil-Liġi Ewropea dwar il-Klima, teħtieġ limitu aktar baxx tal-emissjonijiet tal-EU ETS, li jnaqqas il-provvista tal-kwoti. Skont l-analisti, il-parteċipanti fis-suq diġà qegħdin iqisu din il-bidla mistennija.</w:t>
      </w:r>
    </w:p>
    <w:p w14:paraId="6EA5B7BE" w14:textId="0472AD45" w:rsidR="009A2EF4" w:rsidRPr="00DA11F1" w:rsidRDefault="009A2EF4" w:rsidP="009A2EF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L-entitajiet ta’ konformità mal-ETS għadhom il-kategorija dominanti kemm fis-suq primarju kif ukoll f’dak sekondarju. L-għadd ta’ offerenti eliġibbli għall-irkantijiet fil-pjattaforma komuni tal-irkantar żdied kemxejn u laħaq id-90 parteċipant sa Diċembru tal-2020. Il-maġġoranza l-kbira tal-parteċipanti kienu operaturi (72 %), filwaqt li l-bqija kienu kumpaniji ta’ investiment u istituzzjonijiet ta’ kreditu (18 %), kif ukoll persuni eżentati mir-rekwiżiti tal-MiFID (10 %)</w:t>
      </w:r>
      <w:r w:rsidR="00380E3A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02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6DE9AE86" w14:textId="13336B6A" w:rsidR="009B3224" w:rsidRPr="00DA11F1" w:rsidRDefault="009B3224" w:rsidP="009B322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Fis-suq sekondarju, ir-regoli tal-MiFID jirrikjedu li ċ-ċentri tan-negozjar u d-ditti tal-investiment jirrapportaw lill-awtoritajiet kompetenti l-pożizzjonijiet miżmuma fil-kwoti tal-emissjonijiet. It-tqassim aggregat tal-pożizzjonijiet fil-kwoti tal-emissjonijiet miżmuma minn parteċipanti diversi fis-suq, inklużi d-ditti tal-investiment, huwa wkoll disponibbli għall-pubbliku u jiġi ppubblikat kull ġimgħa fuq il-paġni web tal-ESMA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03"/>
      </w:r>
      <w:r>
        <w:rPr>
          <w:rFonts w:ascii="Times New Roman" w:hAnsi="Times New Roman"/>
          <w:noProof/>
          <w:sz w:val="24"/>
          <w:szCs w:val="24"/>
        </w:rPr>
        <w:t>. Dawn ir-rapporti jagħtu indikazzjoni tajba tad-distribuzzjoni tal-volumi bejn il-parteċipanti fis-suq u juru li l-fondi ta’ investiment, li jistgħu jkunu assoċjati ma’ mġiba spekulattiva, bħalissa għandhom sehem żgħir mill-pożizzjonijiet totali fis-suq.</w:t>
      </w:r>
    </w:p>
    <w:p w14:paraId="588C9C5F" w14:textId="7BF0320C" w:rsidR="005811CF" w:rsidRPr="00DA11F1" w:rsidRDefault="009B3224" w:rsidP="005811C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Il-bidu tal-fażi 4 kien ikkaratterizzat minn bidla sinifikanti fis-suq sekondarju. Storikament, is-sehem ewlieni tan-negozjar fis-suq sekondarju kien iseħħ fuq il-pjattaforma ta’ skambju ICE Futures Europe bbażata fir-Renju Unit. Fis-7 ta’ Ġunju 2021, ICE London mexxiet in-negozjar tal-kwoti tal-emissjonijiet tal-UE (kemm dawk innegozjati fil-pront kif ukoll dawk derivattivi) għas-sussidjarja tagħha fin-Netherlands, ICE Endex. In-negozjar fuq ICE Endex huwa soġġett għas-superviżjoni tal-Awtorità Netherlandiża għas-Swieq Finanzjarji.</w:t>
      </w:r>
    </w:p>
    <w:p w14:paraId="48BCECD2" w14:textId="701E8CEB" w:rsidR="00270A58" w:rsidRPr="00DA11F1" w:rsidRDefault="00270A58" w:rsidP="005811C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Iż-żieda fil-prezzijiet tal-enerġija fl-2021 ġeddet l-interess fil-prezzijiet tal-karbonju u fir-reġim ta’ sorveljanza tas-suq tal-karbonju tal-UE. Hemm qbil komuni li l-kawża ewlenija taż-żieda hija l-prezzijiet globali rekord tal-gass, filwaqt li ż-żieda fil-prezz tal-karbonju għandha effett ferm iżgħar. Il-komunikazzjoni tal-Kummissjoni tat-13 ta’ Ottubru 2021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04"/>
      </w:r>
      <w:r>
        <w:rPr>
          <w:rFonts w:ascii="Times New Roman" w:hAnsi="Times New Roman"/>
          <w:noProof/>
          <w:sz w:val="24"/>
          <w:szCs w:val="24"/>
        </w:rPr>
        <w:t xml:space="preserve"> turi li l-effett taż-żieda fil-prezz tal-gass fuq il-prezz tal-elettriku huwa disa’ darbiet akbar mill-effett taż-żieda fil-prezz tal-karbonju. Il-formazzjoni ġusta tal-prezzijiet u l-integrità tas-suq tal-karbonju tal-UE huma ggarantiti minn reġim robust ta’ sorveljanza applikabbli wkoll għal swieq finanzjarji oħra. Madankollu, il-Kummissjoni ħabbret li se titlob lill-ESMA tkompli ttejjeb il-monitoraġġ tal-iżviluppi fis-suq tal-karbonju tal-UE.</w:t>
      </w:r>
    </w:p>
    <w:p w14:paraId="2557DA68" w14:textId="77777777" w:rsidR="005811CF" w:rsidRPr="00DA11F1" w:rsidRDefault="005811CF" w:rsidP="005811CF">
      <w:pPr>
        <w:pStyle w:val="Heading1"/>
        <w:spacing w:before="0" w:after="200"/>
        <w:rPr>
          <w:noProof/>
        </w:rPr>
      </w:pPr>
      <w:bookmarkStart w:id="66" w:name="_Toc490850437"/>
      <w:bookmarkStart w:id="67" w:name="_Toc519009688"/>
      <w:bookmarkStart w:id="68" w:name="_Toc89703124"/>
      <w:r>
        <w:rPr>
          <w:noProof/>
        </w:rPr>
        <w:t>6. IL-MONITORAĠĠ, IR-RAPPORTAR U L-VERIFIKA TAL-EMISSJONIJIET</w:t>
      </w:r>
      <w:bookmarkEnd w:id="66"/>
      <w:bookmarkEnd w:id="67"/>
      <w:bookmarkEnd w:id="68"/>
    </w:p>
    <w:p w14:paraId="36627EDB" w14:textId="7B574A0C" w:rsidR="005811CF" w:rsidRPr="00DA11F1" w:rsidRDefault="005811CF" w:rsidP="005811C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Għall-fażi 3 (mill-2013 sal-2020) u lil hinn minnha, ir-rekwiżiti għall-monitoraġġ, għar-rapportar, għall-verifika u għall-akkreditazzjoni tal-EU ETS huma armonizzati fir-Regolament dwar il-Monitoraġġ u r-Rapportar (MRR)</w:t>
      </w:r>
      <w:r w:rsidRPr="00DA11F1">
        <w:rPr>
          <w:rStyle w:val="FootnoteReference"/>
          <w:rFonts w:ascii="Times New Roman" w:hAnsi="Times New Roman"/>
          <w:noProof/>
          <w:szCs w:val="24"/>
        </w:rPr>
        <w:footnoteReference w:id="105"/>
      </w:r>
      <w:r>
        <w:rPr>
          <w:rFonts w:ascii="Times New Roman" w:hAnsi="Times New Roman"/>
          <w:noProof/>
          <w:sz w:val="24"/>
          <w:szCs w:val="24"/>
        </w:rPr>
        <w:t xml:space="preserve"> u fir-Regolament dwar l-Akkreditazzjoni u l-Verifika (AVR)</w:t>
      </w:r>
      <w:r w:rsidRPr="00DA11F1">
        <w:rPr>
          <w:rStyle w:val="FootnoteReference"/>
          <w:rFonts w:ascii="Times New Roman" w:hAnsi="Times New Roman"/>
          <w:noProof/>
          <w:szCs w:val="24"/>
        </w:rPr>
        <w:footnoteReference w:id="106"/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7BA95E70" w14:textId="2F78B6BD" w:rsidR="005811CF" w:rsidRPr="00DA11F1" w:rsidRDefault="005811CF" w:rsidP="005811C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Is-sistema ta’ monitoraġġ fl-EU ETS hija mfassla bħala approċċ ta’ elementi importanti li jagħti lill-operaturi grad għoli ta’ flessibbiltà sabiex jiżguraw il-kosteffiċjenza, filwaqt li tinkiseb affidabbiltà kbira tad-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dwar l-emissjonijiet immonitorjata. Għal dan il-għan, l-operaturi jistgħu jużaw diversi metodi ta’ monitoraġġ (“ibbażati fuq il-kalkolu” jew “ibbażati fuq il-kejl” kif ukoll, b’eċċezzjoni, “approċċi ta’ riżerva”), inkluża taħlita ta’ metodi għall-partijiet individwali ta’ installazzjoni. Għall-operaturi ta’ inġenji tal-ajru, huma permessibbli biss approċċi bbażati fuq il-kalkolu, fejn il-konsum tal-fjuwil huwa l-parametru ċentrali li jrid jiġi kkalkolat għat-titjiriet koperti mill-EU ETS. Ir-rekwiżit li l-installazzjonijiet u l-operaturi tal-inġenji tal-ajru jkollhom pjan ta’ monitoraġġ approvat mill-awtorità kompetenti rilevanti abbażi tal-MRR ma jħallihomx jagħmlu għażla arbitrarja ta’ metodi ta’ monitoraġġ u varjazzjonijiet temporali (għal ħarsa ġenerali dettaljata lejn il-monitoraġġ applikat fil-pajjiżi parteċipanti tal-EU ETS, ara l-Kapitolu 11.1 tal-Appendiċi 11 tad-dokument ta’ ħidma tal-persunal li jakkumpanja dan ir-rapport).</w:t>
      </w:r>
    </w:p>
    <w:p w14:paraId="2B98E873" w14:textId="40B83E9D" w:rsidR="005811CF" w:rsidRPr="00DA11F1" w:rsidRDefault="0037484C" w:rsidP="005811CF">
      <w:pPr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L-AVR stabbilixxa approċċ armonizzat madwar l-UE kollha għall-akkreditazzjoni tal-verifikaturi. Il-verifikaturi jridu jiġu akkreditati minn Korp Nazzjonali ta’ Akkreditazzjoni sabiex iwettqu l-verifiki f’konformità mal-AVR. Din is-sistema ta’ akkreditazzjoni uniformi tippermetti lill-verifikaturi joperaw b’rikonoxximent reċiproku fil-pajjiżi parteċipanti kollha, u b’hekk jieħdu vantaġġ sħiħ mis-suq intern u tiżgura li jkun hemm biżżejjed verifikaturi madwar l-UE (għal ħarsa ġenerali dettaljata tal-implimentazzjoni tal-AVR fil-pajjiżi parteċipanti tal-EU ETS, ara l-Kapitolu 11.2 tal-Appendiċi 11 tad-dokument ta’ ħidma tal-persunal li jakkumpanja dan ir-rapport). </w:t>
      </w:r>
    </w:p>
    <w:p w14:paraId="241A3DB3" w14:textId="2C65F632" w:rsidR="005811CF" w:rsidRPr="00DA11F1" w:rsidRDefault="005811CF" w:rsidP="005811C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Wara l-ewwel aġġornament tal-MRR u tal-AVR fl-2018 sabiex jittejbu, jiġu ċċarati u ssimplifikati r-regoli dwar il-monitoraġġ, ir-rapportar, il-verifika u l-akkreditazzjoni u sabiex tittejjeb l-effiċjenza tas-sistema, beda t-tieni aġġornament taż-żewġ regolamenti fi Frar tal-2019. L-għan kien li jiġu indirizzati l-kwistjonijiet pendenti bħall-implimentazzjoni tar-riformulazzjoni tad-Direttiva dwar l-Enerġija Rinnovabbli. Dan irriżulta fl-adozzjoni, fl-14 ta’ Diċembru 2020, tar-Regolament ta’ Implimentazzjoni tal-Kummissjoni 2020/2085 li jemenda l-MRR,</w:t>
      </w:r>
      <w:r w:rsidRPr="00DA11F1">
        <w:rPr>
          <w:rStyle w:val="FootnoteReference"/>
          <w:rFonts w:ascii="Times New Roman" w:hAnsi="Times New Roman"/>
          <w:noProof/>
          <w:szCs w:val="24"/>
        </w:rPr>
        <w:footnoteReference w:id="107"/>
      </w:r>
      <w:r>
        <w:rPr>
          <w:rFonts w:ascii="Times New Roman" w:hAnsi="Times New Roman"/>
          <w:noProof/>
          <w:sz w:val="24"/>
          <w:szCs w:val="24"/>
        </w:rPr>
        <w:t xml:space="preserve"> u tar-Regolament ta’ Implimentazzjoni tal-Kummissjoni 2020/2084 li jemenda l-AVR</w:t>
      </w:r>
      <w:r w:rsidRPr="00DA11F1">
        <w:rPr>
          <w:rStyle w:val="FootnoteReference"/>
          <w:rFonts w:ascii="Times New Roman" w:hAnsi="Times New Roman"/>
          <w:noProof/>
          <w:szCs w:val="24"/>
        </w:rPr>
        <w:footnoteReference w:id="108"/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3C4AD199" w14:textId="26672575" w:rsidR="009A2EF4" w:rsidRPr="00DA11F1" w:rsidRDefault="005811CF" w:rsidP="009A2EF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Il-pajjiżi li jipparteċipaw fl-EU ETS jieħdu approċċi diversi għall-awtoritajiet kompetenti inkarigati mill-implimentazzjoni. F’xi pajjiżi, huma involuti diversi awtoritajiet lokali, filwaqt li f’oħrajn, l-implimentazzjoni hija aktar ċentralizzata (għal ħarsa ġenerali dettaljata lejn l-arranġamenti amministrattivi fil-pajjiżi parteċipanti tal-EU ETS, ara l-Kapitolu 11.3 tal-Appendiċi 11 tad-dokument ta’ ħidma tal-persunal li jakkumpanja dan ir-rapport). B’mod ġenerali, l-organizzazzjoni tal-amministrazzjoni tal-EU ETS fil-pajjiżi parteċipanti wriet li hija fil-biċċa l-kbira effettiva matul il-fażi 3. </w:t>
      </w:r>
    </w:p>
    <w:p w14:paraId="3CB5BCEF" w14:textId="63DF544A" w:rsidR="009A2EF4" w:rsidRPr="00DA11F1" w:rsidRDefault="009A2EF4" w:rsidP="009A2EF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Fir-rigward tal-miżuri ta’ konformità, id-Direttiva dwar l-Iskambju tal-Kwoti tal-Emissjonijiet tipprevedi penali ta’ EUR 100 (indiċjata mal-inflazzjoni) għal kull tunnellata ta’ 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emessa li għaliha ma tkun ġiet ċeduta l-ebda kwota fi żmien xieraq, minbarra l-prezz taċ-ċediment. Penali oħra li japplikaw għal ksur fl-implimentazzjoni tal-EU ETS huma bbażati fuq dispożizzjonijiet nazzjonali stabbiliti minn kull pajjiż ikkonċernat (għal ħarsa ġenerali dettaljata lejn il-konformità mal-EU ETS fil-pajjiżi parteċipanti, ara l-Kapitolu 11.4 tal-Appendiċi 11 tad-dokument ta’ ħidma tal-persunal li jakkumpanja dan ir-rapport).</w:t>
      </w:r>
    </w:p>
    <w:p w14:paraId="231DDF83" w14:textId="5E52E849" w:rsidR="009A2EF4" w:rsidRPr="00DA11F1" w:rsidRDefault="009A2EF4" w:rsidP="009A2EF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L-effiċjenza tas-sistema ta’ konformità tjiebet peress li l-MRR jippermetti lill-pajjiżi jagħmlu r-rapportar elettroniku obbligatorju. Matul il-fażi 3, kien hemm aktar minn nofs il-pajjiżi parteċipanti tal-EU ETS li rrapportaw l-użu ta’ mudelli elettroniċi għall-pjanijiet ta’ monitoraġġ, għar-rapporti dwar l-emissjonijiet, għar-rapporti ta’ verifika u/jew għar-rapporti dwar it-titjib. L-oħrajn irrapportaw li jużaw xi forma ta’ sistema tal-IT awtomatizzata għar-rapportar tal-EU ETS.</w:t>
      </w:r>
    </w:p>
    <w:p w14:paraId="4C147164" w14:textId="05BE5658" w:rsidR="009A2EF4" w:rsidRPr="00DA11F1" w:rsidRDefault="009A2EF4" w:rsidP="009A2EF4">
      <w:pPr>
        <w:spacing w:after="12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Matul il-fażi 3, u minkejja s-sitwazzjoni ekonomika diffiċli minħabba l-kriżi tal-COVID-19 li affettwat iċ-ċikli ta’ konformità tal-2020 u l-2021, il-livell ta’ konformità mal-EU ETS baqa’ konsistentement għoli ħafna. L-operaturi responsabbli għal aktar minn 99 % tal-emissjonijiet minn installazzjonijiet stazzjonarji u mill-avjazzjoni fil-biċċa l-kbira tas-snin issodisfaw l-obbligi legali tagħhom. </w:t>
      </w:r>
    </w:p>
    <w:p w14:paraId="290DFE83" w14:textId="19C9CE5A" w:rsidR="00066EB2" w:rsidRPr="00DA11F1" w:rsidRDefault="00066EB2" w:rsidP="00066EB2">
      <w:pPr>
        <w:spacing w:after="120"/>
        <w:jc w:val="both"/>
        <w:rPr>
          <w:rFonts w:ascii="Times New Roman" w:eastAsia="Times New Roman" w:hAnsi="Times New Roman"/>
          <w:noProof/>
          <w:sz w:val="24"/>
          <w:szCs w:val="24"/>
          <w:lang w:eastAsia="de-DE"/>
        </w:rPr>
      </w:pPr>
    </w:p>
    <w:p w14:paraId="5802E480" w14:textId="4A2A92C9" w:rsidR="00B70767" w:rsidRPr="00DA11F1" w:rsidRDefault="005811CF" w:rsidP="008356AC">
      <w:pPr>
        <w:jc w:val="both"/>
        <w:rPr>
          <w:rFonts w:ascii="Times New Roman" w:hAnsi="Times New Roman"/>
          <w:b/>
          <w:noProof/>
        </w:rPr>
      </w:pPr>
      <w:bookmarkStart w:id="69" w:name="_Toc89703125"/>
      <w:r>
        <w:rPr>
          <w:rStyle w:val="Heading1Char"/>
          <w:rFonts w:eastAsia="Calibri"/>
          <w:noProof/>
        </w:rPr>
        <w:t>7. IR-RABTA BEJN L-EU ETS U L-ETS ŻVIZZERA</w:t>
      </w:r>
      <w:bookmarkEnd w:id="69"/>
    </w:p>
    <w:p w14:paraId="3BA2367F" w14:textId="77777777" w:rsidR="00AA1752" w:rsidRPr="00DA11F1" w:rsidRDefault="00B70767" w:rsidP="008356AC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In-negozjati dwar ir-rabta tal-EU ETS mas-suq tal-karbonju tal-Iżvizzera ġew konklużi matul il-21 Konferenza tal-Partijiet għall-UNFCCC f’Diċembru tal-2015. Abbażi tad-Deċiżjoni tal-Kunsill (UE) 2017/2240</w:t>
      </w:r>
      <w:r w:rsidRPr="00DA11F1">
        <w:rPr>
          <w:rFonts w:ascii="Times New Roman" w:eastAsia="SimSun" w:hAnsi="Times New Roman"/>
          <w:noProof/>
          <w:sz w:val="24"/>
          <w:szCs w:val="24"/>
          <w:vertAlign w:val="superscript"/>
          <w:lang w:eastAsia="zh-CN"/>
        </w:rPr>
        <w:footnoteReference w:id="109"/>
      </w:r>
      <w:r>
        <w:rPr>
          <w:rFonts w:ascii="Times New Roman" w:hAnsi="Times New Roman"/>
          <w:noProof/>
          <w:sz w:val="24"/>
          <w:szCs w:val="24"/>
        </w:rPr>
        <w:t>, il-Ftehim ta’ Konnessjoni</w:t>
      </w:r>
      <w:r w:rsidRPr="00DA11F1">
        <w:rPr>
          <w:rFonts w:ascii="Times New Roman" w:eastAsia="SimSun" w:hAnsi="Times New Roman"/>
          <w:noProof/>
          <w:sz w:val="24"/>
          <w:szCs w:val="24"/>
          <w:vertAlign w:val="superscript"/>
          <w:lang w:eastAsia="zh-CN"/>
        </w:rPr>
        <w:footnoteReference w:id="110"/>
      </w:r>
      <w:r>
        <w:rPr>
          <w:rFonts w:ascii="Times New Roman" w:hAnsi="Times New Roman"/>
          <w:noProof/>
          <w:sz w:val="24"/>
          <w:szCs w:val="24"/>
        </w:rPr>
        <w:t xml:space="preserve"> ġie ffirmat, ġie applikat b’mod provviżorju mit-23 ta’ Novembru 2017, u ġie approvat f’isem l-UE bid-Deċiżjoni tal-Kunsill (UE) 2018/219</w:t>
      </w:r>
      <w:r w:rsidRPr="00DA11F1">
        <w:rPr>
          <w:rFonts w:ascii="Times New Roman" w:eastAsia="SimSun" w:hAnsi="Times New Roman"/>
          <w:noProof/>
          <w:sz w:val="24"/>
          <w:szCs w:val="24"/>
          <w:vertAlign w:val="superscript"/>
          <w:lang w:eastAsia="zh-CN"/>
        </w:rPr>
        <w:footnoteReference w:id="111"/>
      </w:r>
      <w:r>
        <w:rPr>
          <w:rFonts w:ascii="Times New Roman" w:hAnsi="Times New Roman"/>
          <w:noProof/>
          <w:sz w:val="24"/>
          <w:szCs w:val="24"/>
        </w:rPr>
        <w:t>. L-UE u l-Konfederazzjoni Żvizzera skambjaw l-istrumenti ta’ ratifika fis-6 ta’ Diċembru 2019, wara li l-Konfederazzjoni Żvizzera estendiet l-ETS tagħha għall-avjazzjoni permezz tad-Deċiżjoni 2/2019 fil-5 ta’ Diċembru 2019</w:t>
      </w:r>
      <w:r w:rsidR="006F0522" w:rsidRPr="00DA11F1">
        <w:rPr>
          <w:rFonts w:ascii="Times New Roman" w:eastAsia="SimSun" w:hAnsi="Times New Roman"/>
          <w:noProof/>
          <w:sz w:val="24"/>
          <w:szCs w:val="24"/>
          <w:vertAlign w:val="superscript"/>
          <w:lang w:eastAsia="zh-CN"/>
        </w:rPr>
        <w:footnoteReference w:id="112"/>
      </w:r>
      <w:r>
        <w:rPr>
          <w:rFonts w:ascii="Times New Roman" w:hAnsi="Times New Roman"/>
          <w:noProof/>
          <w:sz w:val="24"/>
          <w:szCs w:val="24"/>
        </w:rPr>
        <w:t>. Konsegwentement, il-Ftehim ta’ Konnessjoni daħal fis-seħħ fl-1 ta’ Jannar 2020</w:t>
      </w:r>
      <w:r w:rsidRPr="00DA11F1">
        <w:rPr>
          <w:rFonts w:ascii="Times New Roman" w:eastAsia="SimSun" w:hAnsi="Times New Roman"/>
          <w:noProof/>
          <w:sz w:val="24"/>
          <w:szCs w:val="24"/>
          <w:vertAlign w:val="superscript"/>
          <w:lang w:eastAsia="zh-CN"/>
        </w:rPr>
        <w:footnoteReference w:id="113"/>
      </w:r>
      <w:r>
        <w:rPr>
          <w:rFonts w:ascii="Times New Roman" w:hAnsi="Times New Roman"/>
          <w:noProof/>
          <w:sz w:val="24"/>
          <w:szCs w:val="24"/>
        </w:rPr>
        <w:t xml:space="preserve">. Minn dak iż-żmien, l-emissjonijiet fl-2020 fl-EU ETS u fl-ETS Żvizzera huma koperti mis-sistemi konnessi. </w:t>
      </w:r>
    </w:p>
    <w:p w14:paraId="4EBA42A9" w14:textId="052EC26A" w:rsidR="00ED4EB3" w:rsidRPr="00DA11F1" w:rsidRDefault="00B70767" w:rsidP="008356AC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Il-Ftehim ta’ Konnessjoni ma jaffettwax il-karattru indipendenti tal-ETS tal-UE u tal-Iżvizzera. Iż-żewġ sistemi baqgħu indipendenti minn xulxin, għall-kuntrarju tas-sistemi tal-Iżlanda, tal-Liechtenstein u tan-Norveġja, li huma integrati bis-sħiħ fl-EU ETS permezz tal-mekkaniżmi stabbiliti fil-Ftehim dwar iż-ŻEE. Il-Ftehim ta’ Konnessjoni jiddefinixxi l-kundizzjonijiet u r-rekwiżiti li taħthom iż-żewġ sistemi huma konnessi u jistabbilixxi l-mekkaniżmu meħtieġ sabiex jiġi żgurat li jiġu ssodisfati l-kundizzjonijiet ta’ konnessjoni tal-Artikolu 25 tad-Direttiva dwar l-Iskambju tal-Kwoti tal-Emissjonijiet</w:t>
      </w:r>
      <w:r w:rsidRPr="00DA11F1">
        <w:rPr>
          <w:rFonts w:ascii="Times New Roman" w:eastAsia="SimSun" w:hAnsi="Times New Roman"/>
          <w:noProof/>
          <w:sz w:val="24"/>
          <w:szCs w:val="24"/>
          <w:vertAlign w:val="superscript"/>
          <w:lang w:eastAsia="zh-CN"/>
        </w:rPr>
        <w:footnoteReference w:id="114"/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44DFBFD6" w14:textId="0667A69E" w:rsidR="00ED4EB3" w:rsidRPr="00DA11F1" w:rsidRDefault="00B70767" w:rsidP="008356AC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L-inklużjoni tal-avjazzjoni fil-Ftehim ta’ Konnessjoni kienet rekwiżit kruċjali għall-UE. Abbażi tal-Artikolu 6 tal-Ftehim, l-Iżvizzera tapplika l-istess approċċ għall-kopertura, il-limitu massimu u l-allokazzjoni tal-kwoti bħall-EU ETS. It-titjiriet domestiċi Żvizzeri u t-titjiriet mill-Iżvizzera lejn iż-ŻEE huma koperti mill-ETS Żvizzera, filwaqt li t-titjiriet miż-ŻEE lejn l-Iżvizzera jaqgħu taħt l-EU ETS. Dan jippermetti li l-Ftehim ta’ Konnessjoni jikkontribwixxi għall-integrità ambjentali kemm tal-EU ETS kif ukoll tal-ETS tal-Iżvizzera. </w:t>
      </w:r>
    </w:p>
    <w:p w14:paraId="4F5C3228" w14:textId="22B87538" w:rsidR="00B70767" w:rsidRPr="00DA11F1" w:rsidRDefault="005B6D58" w:rsidP="008356AC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Kif jidher fit-</w:t>
      </w:r>
      <w:r w:rsidR="00E14169" w:rsidRPr="00DA11F1">
        <w:rPr>
          <w:rFonts w:ascii="Times New Roman" w:eastAsia="SimSun" w:hAnsi="Times New Roman"/>
          <w:noProof/>
          <w:sz w:val="24"/>
          <w:szCs w:val="24"/>
        </w:rPr>
        <w:fldChar w:fldCharType="begin"/>
      </w:r>
      <w:r w:rsidR="00E14169" w:rsidRPr="00DA11F1">
        <w:rPr>
          <w:rFonts w:ascii="Times New Roman" w:eastAsia="SimSun" w:hAnsi="Times New Roman"/>
          <w:noProof/>
          <w:sz w:val="24"/>
          <w:szCs w:val="24"/>
        </w:rPr>
        <w:instrText xml:space="preserve"> REF _Ref85055025  \* MERGEFORMAT </w:instrText>
      </w:r>
      <w:r w:rsidR="00E14169" w:rsidRPr="00DA11F1">
        <w:rPr>
          <w:rFonts w:ascii="Times New Roman" w:eastAsia="SimSun" w:hAnsi="Times New Roman"/>
          <w:noProof/>
          <w:sz w:val="24"/>
          <w:szCs w:val="24"/>
        </w:rPr>
        <w:fldChar w:fldCharType="separate"/>
      </w:r>
      <w:r w:rsidR="00E14169" w:rsidRPr="00DA11F1">
        <w:rPr>
          <w:rFonts w:ascii="Times New Roman" w:hAnsi="Times New Roman"/>
          <w:noProof/>
          <w:sz w:val="24"/>
          <w:szCs w:val="24"/>
        </w:rPr>
        <w:t>Table 7</w:t>
      </w:r>
      <w:r w:rsidR="00E14169" w:rsidRPr="00DA11F1">
        <w:rPr>
          <w:rFonts w:ascii="Times New Roman" w:eastAsia="SimSu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, il-kompatibbiltà taż-żewġ sistemi ma hijiex kwistjoni ta’ daqs, iżda kwistjoni ta’ rekwiżiti u kunsiderazzjonijiet kwalitattivi sabiex tiġi ssalvagwardjata l-integrità tas-swieq tal-karbonju konnessi u l-kundizzjonijiet ekwivalenti ta’ kompetizzjoni għall-operaturi. </w:t>
      </w:r>
    </w:p>
    <w:p w14:paraId="0C2480CA" w14:textId="288A5B8F" w:rsidR="00E14169" w:rsidRPr="00DA11F1" w:rsidRDefault="00E14169" w:rsidP="00E14169">
      <w:pPr>
        <w:pStyle w:val="Caption"/>
        <w:keepNext/>
        <w:rPr>
          <w:rFonts w:ascii="Times New Roman" w:hAnsi="Times New Roman"/>
          <w:noProof/>
          <w:sz w:val="22"/>
        </w:rPr>
      </w:pPr>
      <w:bookmarkStart w:id="70" w:name="_Ref85055025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76166" w:rsidRPr="00DA11F1">
        <w:rPr>
          <w:rFonts w:ascii="Times New Roman" w:hAnsi="Times New Roman"/>
          <w:noProof/>
          <w:sz w:val="22"/>
        </w:rPr>
        <w:t>7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70"/>
      <w:r>
        <w:rPr>
          <w:rFonts w:ascii="Times New Roman" w:hAnsi="Times New Roman"/>
          <w:noProof/>
          <w:sz w:val="22"/>
        </w:rPr>
        <w:t>. Tqabbil tal-EU ETS mal-ETS Żvizzera</w:t>
      </w:r>
    </w:p>
    <w:tbl>
      <w:tblPr>
        <w:tblStyle w:val="TableGrid71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500"/>
        <w:gridCol w:w="1501"/>
        <w:gridCol w:w="1677"/>
        <w:gridCol w:w="1672"/>
      </w:tblGrid>
      <w:tr w:rsidR="00ED4EB3" w:rsidRPr="00DA11F1" w14:paraId="7B507A37" w14:textId="77777777" w:rsidTr="00817385">
        <w:tc>
          <w:tcPr>
            <w:tcW w:w="2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80B21" w14:textId="77777777" w:rsidR="00ED4EB3" w:rsidRPr="00DA11F1" w:rsidRDefault="00ED4EB3" w:rsidP="003805F8">
            <w:pPr>
              <w:spacing w:line="276" w:lineRule="auto"/>
              <w:rPr>
                <w:rFonts w:ascii="Times New Roman" w:eastAsia="SimSun" w:hAnsi="Times New Roman"/>
                <w:noProof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5FB03A" w14:textId="77777777" w:rsidR="00ED4EB3" w:rsidRPr="00DA11F1" w:rsidRDefault="00ED4EB3" w:rsidP="003805F8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EU ETS</w:t>
            </w:r>
          </w:p>
        </w:tc>
        <w:tc>
          <w:tcPr>
            <w:tcW w:w="3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F8869A" w14:textId="77777777" w:rsidR="00ED4EB3" w:rsidRPr="00DA11F1" w:rsidRDefault="00ED4EB3" w:rsidP="003805F8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ETS Żvizzera</w:t>
            </w:r>
          </w:p>
        </w:tc>
      </w:tr>
      <w:tr w:rsidR="00ED4EB3" w:rsidRPr="00DA11F1" w14:paraId="34854B45" w14:textId="77777777" w:rsidTr="00817385">
        <w:tc>
          <w:tcPr>
            <w:tcW w:w="2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6D79A1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Numru ta’ kwoti ġenerali rkantati fl-2020</w:t>
            </w:r>
          </w:p>
        </w:tc>
        <w:tc>
          <w:tcPr>
            <w:tcW w:w="3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DFF3D2" w14:textId="0510E559" w:rsidR="00ED4EB3" w:rsidRPr="00DA11F1" w:rsidRDefault="00D5706E" w:rsidP="00DE640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778 505 000</w:t>
            </w:r>
          </w:p>
        </w:tc>
        <w:tc>
          <w:tcPr>
            <w:tcW w:w="3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99B36E" w14:textId="46AB1DDD" w:rsidR="00ED4EB3" w:rsidRPr="00DA11F1" w:rsidRDefault="00ED4EB3" w:rsidP="00DE640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265 000 (li minnhom 175 000 kienu rkantati fl-2021 minħabba l-kanċellazzjoni tal-irkanti fl-2020)</w:t>
            </w:r>
          </w:p>
        </w:tc>
      </w:tr>
      <w:tr w:rsidR="00ED4EB3" w:rsidRPr="00DA11F1" w14:paraId="52A990A9" w14:textId="77777777" w:rsidTr="003805F8"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A55467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Numru ta’ kwoti tal-avjazzjoni rkantati fl-2020</w:t>
            </w:r>
          </w:p>
        </w:tc>
        <w:tc>
          <w:tcPr>
            <w:tcW w:w="3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A3F86A" w14:textId="5DE359F4" w:rsidR="00ED4EB3" w:rsidRPr="00DA11F1" w:rsidRDefault="00D5706E" w:rsidP="00DE640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9 174 000</w:t>
            </w:r>
          </w:p>
        </w:tc>
        <w:tc>
          <w:tcPr>
            <w:tcW w:w="33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7DE43C" w14:textId="50A68F3D" w:rsidR="00ED4EB3" w:rsidRPr="00DA11F1" w:rsidRDefault="00D5706E" w:rsidP="00DE640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196 500</w:t>
            </w:r>
          </w:p>
        </w:tc>
      </w:tr>
      <w:tr w:rsidR="00ED4EB3" w:rsidRPr="00DA11F1" w14:paraId="1C9926F0" w14:textId="77777777" w:rsidTr="003805F8"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1F8C72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Numru ta’ kwoti ġenerali allokati bla ħlas fl-2020</w:t>
            </w:r>
          </w:p>
        </w:tc>
        <w:tc>
          <w:tcPr>
            <w:tcW w:w="3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BBE38" w14:textId="1050E032" w:rsidR="00ED4EB3" w:rsidRPr="00DA11F1" w:rsidRDefault="00ED4EB3" w:rsidP="00DE640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66 775 8544</w:t>
            </w:r>
          </w:p>
        </w:tc>
        <w:tc>
          <w:tcPr>
            <w:tcW w:w="33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9D24C9" w14:textId="29A71FFA" w:rsidR="00ED4EB3" w:rsidRPr="00DA11F1" w:rsidRDefault="00ED4EB3" w:rsidP="00DE640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4 391 331</w:t>
            </w:r>
          </w:p>
        </w:tc>
      </w:tr>
      <w:tr w:rsidR="00817385" w:rsidRPr="00292813" w14:paraId="681F8263" w14:textId="77777777" w:rsidTr="00673D33">
        <w:tc>
          <w:tcPr>
            <w:tcW w:w="29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7778AA" w14:textId="5ACE5E9D" w:rsidR="00817385" w:rsidRPr="00DA11F1" w:rsidRDefault="00817385" w:rsidP="00817385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Numru ta’ kwoti tal-avjazzjoni allokati bla ħlas fl-2020 lill-operaturi  </w:t>
            </w:r>
          </w:p>
        </w:tc>
        <w:tc>
          <w:tcPr>
            <w:tcW w:w="1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5CE36F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Kwoti tal-avjazzjoni tal-UE għall-EU ETS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DCC5A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Kwoti tal-avjazzjoni Żvizzeri għall-ETS Żvizzera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E566EC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Kwoti tal-avjazzjoni Żvizzeri għall-ETS Żvizzera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A377D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Kwoti tal-avjazzjoni tal-UE għall-EU ETS</w:t>
            </w:r>
          </w:p>
        </w:tc>
      </w:tr>
      <w:tr w:rsidR="00817385" w:rsidRPr="00DA11F1" w14:paraId="7B5D41EB" w14:textId="77777777" w:rsidTr="00817385">
        <w:tc>
          <w:tcPr>
            <w:tcW w:w="28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D9F0DA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9895B" w14:textId="4DBC27A5" w:rsidR="00817385" w:rsidRPr="00DA11F1" w:rsidRDefault="00817385" w:rsidP="00D5009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32 486 017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71758" w14:textId="1BE1B4BE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501 278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72FAF" w14:textId="6F8C5DCC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570 696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D2690" w14:textId="5CFFF146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473 521</w:t>
            </w:r>
          </w:p>
        </w:tc>
      </w:tr>
      <w:tr w:rsidR="00ED4EB3" w:rsidRPr="00DA11F1" w14:paraId="07AD4CD8" w14:textId="77777777" w:rsidTr="00817385">
        <w:tc>
          <w:tcPr>
            <w:tcW w:w="2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B6CBE2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Emissjonijiet verifikati ta’ installazzjonijiet stazzjonarji fl-2020 </w:t>
            </w:r>
          </w:p>
        </w:tc>
        <w:tc>
          <w:tcPr>
            <w:tcW w:w="3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B86C26" w14:textId="2113D107" w:rsidR="00ED4EB3" w:rsidRPr="00DA11F1" w:rsidRDefault="00B92BC4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1 355 141 953</w:t>
            </w:r>
          </w:p>
        </w:tc>
        <w:tc>
          <w:tcPr>
            <w:tcW w:w="3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19DFD8" w14:textId="251E3B00" w:rsidR="00ED4EB3" w:rsidRPr="00DA11F1" w:rsidRDefault="00D5706E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4 874 278</w:t>
            </w:r>
          </w:p>
        </w:tc>
      </w:tr>
      <w:tr w:rsidR="00817385" w:rsidRPr="00DA11F1" w14:paraId="3956EA03" w14:textId="77777777" w:rsidTr="00673D33">
        <w:tc>
          <w:tcPr>
            <w:tcW w:w="28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E69B930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Emissjonijiet verifikati tal-operaturi tal-avjazzjoni fl-2020</w:t>
            </w:r>
            <w:r w:rsidRPr="00DA11F1">
              <w:rPr>
                <w:rFonts w:ascii="Times New Roman" w:hAnsi="Times New Roman"/>
                <w:b/>
                <w:noProof/>
                <w:sz w:val="20"/>
                <w:szCs w:val="20"/>
                <w:vertAlign w:val="superscript"/>
              </w:rPr>
              <w:footnoteReference w:id="115"/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21B30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EU ETS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9D57B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ETS Żvizzera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FAFBE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ETS Żvizzera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5E09E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EU ETS</w:t>
            </w:r>
          </w:p>
        </w:tc>
      </w:tr>
      <w:tr w:rsidR="00817385" w:rsidRPr="00DA11F1" w14:paraId="69E1F2EA" w14:textId="77777777" w:rsidTr="00817385">
        <w:tc>
          <w:tcPr>
            <w:tcW w:w="28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C3C0C" w14:textId="7777777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872B9" w14:textId="2DF11D2E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24 917 481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5FF4B" w14:textId="1F13F460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299 610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FC327" w14:textId="5BD017D8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283 329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E8004" w14:textId="00D89AB7" w:rsidR="00817385" w:rsidRPr="00DA11F1" w:rsidRDefault="00817385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366 102</w:t>
            </w:r>
          </w:p>
        </w:tc>
      </w:tr>
      <w:tr w:rsidR="00ED4EB3" w:rsidRPr="00DA11F1" w14:paraId="706AE715" w14:textId="77777777" w:rsidTr="00817385">
        <w:tc>
          <w:tcPr>
            <w:tcW w:w="2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30F691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Għadd ta’ installazzjonijiet stazzjonarji fl-2020 </w:t>
            </w:r>
          </w:p>
        </w:tc>
        <w:tc>
          <w:tcPr>
            <w:tcW w:w="3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6FE04F" w14:textId="10D62589" w:rsidR="00ED4EB3" w:rsidRPr="00DA11F1" w:rsidRDefault="00853904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10 437</w:t>
            </w:r>
            <w:r w:rsidR="00FA2C7C" w:rsidRPr="00DA11F1">
              <w:rPr>
                <w:rStyle w:val="FootnoteReference"/>
                <w:rFonts w:ascii="Times New Roman" w:hAnsi="Times New Roman"/>
                <w:noProof/>
                <w:sz w:val="20"/>
                <w:szCs w:val="20"/>
              </w:rPr>
              <w:footnoteReference w:id="116"/>
            </w:r>
          </w:p>
        </w:tc>
        <w:tc>
          <w:tcPr>
            <w:tcW w:w="3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FD030D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51</w:t>
            </w:r>
          </w:p>
        </w:tc>
      </w:tr>
      <w:tr w:rsidR="00ED4EB3" w:rsidRPr="00DA11F1" w14:paraId="48F4FB7E" w14:textId="77777777" w:rsidTr="00817385">
        <w:tc>
          <w:tcPr>
            <w:tcW w:w="2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2FF6E8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Għadd ta’ operaturi tal-avjazzjoni fl-2020</w:t>
            </w:r>
          </w:p>
        </w:tc>
        <w:tc>
          <w:tcPr>
            <w:tcW w:w="3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1FF9DF" w14:textId="5C0B3DD2" w:rsidR="00ED4EB3" w:rsidRPr="00DA11F1" w:rsidRDefault="00853904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352</w:t>
            </w:r>
            <w:r w:rsidR="00FA2C7C" w:rsidRPr="00DA11F1">
              <w:rPr>
                <w:rStyle w:val="FootnoteReference"/>
                <w:rFonts w:ascii="Times New Roman" w:hAnsi="Times New Roman"/>
                <w:noProof/>
                <w:sz w:val="20"/>
                <w:szCs w:val="20"/>
              </w:rPr>
              <w:footnoteReference w:id="117"/>
            </w:r>
          </w:p>
        </w:tc>
        <w:tc>
          <w:tcPr>
            <w:tcW w:w="3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C1C6CF" w14:textId="77777777" w:rsidR="00ED4EB3" w:rsidRPr="00DA11F1" w:rsidRDefault="00ED4EB3" w:rsidP="003805F8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</w:tbl>
    <w:p w14:paraId="7960FA32" w14:textId="08CF9660" w:rsidR="00ED4EB3" w:rsidRPr="00DA11F1" w:rsidRDefault="00ED4EB3" w:rsidP="003805F8">
      <w:pPr>
        <w:jc w:val="both"/>
        <w:rPr>
          <w:rFonts w:ascii="Times New Roman" w:eastAsia="Times New Roman" w:hAnsi="Times New Roman"/>
          <w:noProof/>
          <w:sz w:val="20"/>
          <w:szCs w:val="18"/>
        </w:rPr>
      </w:pPr>
      <w:r>
        <w:rPr>
          <w:rFonts w:ascii="Times New Roman" w:hAnsi="Times New Roman"/>
          <w:noProof/>
          <w:sz w:val="20"/>
          <w:szCs w:val="18"/>
        </w:rPr>
        <w:t>Sors: L-EUTL u r-Reġistru Żvizzeru</w:t>
      </w:r>
      <w:r w:rsidR="003805F8" w:rsidRPr="00DA11F1">
        <w:rPr>
          <w:rStyle w:val="FootnoteReference"/>
          <w:rFonts w:ascii="Times New Roman" w:eastAsia="Times New Roman" w:hAnsi="Times New Roman"/>
          <w:noProof/>
          <w:sz w:val="20"/>
          <w:szCs w:val="18"/>
          <w:lang w:eastAsia="en-GB"/>
        </w:rPr>
        <w:footnoteReference w:id="118"/>
      </w:r>
      <w:r>
        <w:rPr>
          <w:rFonts w:ascii="Times New Roman" w:hAnsi="Times New Roman"/>
          <w:noProof/>
          <w:sz w:val="20"/>
          <w:szCs w:val="18"/>
        </w:rPr>
        <w:t xml:space="preserve"> </w:t>
      </w:r>
    </w:p>
    <w:p w14:paraId="314A4F28" w14:textId="43BF9861" w:rsidR="00ED4EB3" w:rsidRPr="00DA11F1" w:rsidRDefault="00B70767" w:rsidP="008356AC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Mid-dħul fis-seħħ tal-Ftehim ta’ Konnessjoni, l-emissjonijiet iġġenerati taħt kwalunkwe waħda minn dawn iż-żewġ sistemi jistgħu jiġu koperti minn kwoti ta’ ċediment maħruġa fi kwalunkwe waħda mis-sistemi. Għalhekk, l-operaturi taż-żewġ sistemi jista’ jkollhom aċċess għal suq akbar, u dan jista’ jwassal għal titjib fl-effiċjenza. Sabiex dan iseħħ, saret rabta diretta, kif meħtieġ mill-Artikolu 3(2) tal-Ftehim, bejn ir-reġistri taż-żewġ sistemi għat-trasferiment ta’ kwoti minn kont f’sistema waħda għal kont fis-sistema l-oħra. </w:t>
      </w:r>
    </w:p>
    <w:p w14:paraId="574EF562" w14:textId="1C562E42" w:rsidR="00B70767" w:rsidRPr="00DA11F1" w:rsidRDefault="00B70767" w:rsidP="008356AC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Wara d-dħul fis-seħħ tal-Ftehim ta’ Konnessjoni fl-2020, l-operaturi (kemm stazzjonarji kif ukoll tal-avjazzjoni) użaw 642 413-il kwota maħruġa skont l-ETS Żvizzera</w:t>
      </w:r>
      <w:r w:rsidR="00475FF5" w:rsidRPr="00DA11F1">
        <w:rPr>
          <w:rStyle w:val="FootnoteReference"/>
          <w:rFonts w:ascii="Times New Roman" w:eastAsia="SimSun" w:hAnsi="Times New Roman"/>
          <w:noProof/>
          <w:sz w:val="24"/>
          <w:szCs w:val="24"/>
          <w:lang w:eastAsia="zh-CN"/>
        </w:rPr>
        <w:footnoteReference w:id="119"/>
      </w:r>
      <w:r>
        <w:rPr>
          <w:rFonts w:ascii="Times New Roman" w:hAnsi="Times New Roman"/>
          <w:noProof/>
          <w:sz w:val="24"/>
          <w:szCs w:val="24"/>
        </w:rPr>
        <w:t xml:space="preserve">, filwaqt li għamlu użu mill-flessibbiltà miżjuda offruta mir-rabta bejn l-UE u l-ETS Żvizzera. </w:t>
      </w:r>
    </w:p>
    <w:p w14:paraId="6A4C50DE" w14:textId="2B049016" w:rsidR="00B70767" w:rsidRPr="00DA11F1" w:rsidRDefault="001C7AFF" w:rsidP="008356AC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It-Tabelli 8 u 9 ta’ hawn taħt juru l-effett tal-konnessjoni jew l-estent sa fejn l-operaturi amministrati mill-EU ETS (</w:t>
      </w:r>
      <w:r w:rsidR="00351634" w:rsidRPr="00DA11F1">
        <w:rPr>
          <w:rFonts w:ascii="Times New Roman" w:eastAsia="SimSun" w:hAnsi="Times New Roman"/>
          <w:noProof/>
          <w:sz w:val="24"/>
          <w:szCs w:val="24"/>
        </w:rPr>
        <w:fldChar w:fldCharType="begin"/>
      </w:r>
      <w:r w:rsidR="00351634" w:rsidRPr="00DA11F1">
        <w:rPr>
          <w:rFonts w:ascii="Times New Roman" w:eastAsia="SimSun" w:hAnsi="Times New Roman"/>
          <w:noProof/>
          <w:sz w:val="24"/>
          <w:szCs w:val="24"/>
        </w:rPr>
        <w:instrText xml:space="preserve"> REF _Ref85055473 </w:instrText>
      </w:r>
      <w:r w:rsidR="0066011F" w:rsidRPr="00DA11F1">
        <w:rPr>
          <w:rFonts w:ascii="Times New Roman" w:eastAsia="SimSun" w:hAnsi="Times New Roman"/>
          <w:noProof/>
          <w:sz w:val="24"/>
          <w:szCs w:val="24"/>
        </w:rPr>
        <w:instrText xml:space="preserve"> \* MERGEFORMAT </w:instrText>
      </w:r>
      <w:r w:rsidR="00351634" w:rsidRPr="00DA11F1">
        <w:rPr>
          <w:rFonts w:ascii="Times New Roman" w:eastAsia="SimSun" w:hAnsi="Times New Roman"/>
          <w:noProof/>
          <w:sz w:val="24"/>
          <w:szCs w:val="24"/>
        </w:rPr>
        <w:fldChar w:fldCharType="separate"/>
      </w:r>
      <w:r w:rsidR="006050B5" w:rsidRPr="006050B5">
        <w:rPr>
          <w:rFonts w:ascii="Times New Roman" w:hAnsi="Times New Roman"/>
          <w:noProof/>
          <w:sz w:val="24"/>
          <w:szCs w:val="24"/>
        </w:rPr>
        <w:t>Table 8</w:t>
      </w:r>
      <w:r w:rsidR="00351634" w:rsidRPr="00DA11F1">
        <w:rPr>
          <w:rFonts w:ascii="Times New Roman" w:eastAsia="SimSu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>) jew mill-ETS Żvizzera (</w:t>
      </w:r>
      <w:r w:rsidR="00351634" w:rsidRPr="00DA11F1">
        <w:rPr>
          <w:rFonts w:ascii="Times New Roman" w:eastAsia="SimSun" w:hAnsi="Times New Roman"/>
          <w:noProof/>
          <w:sz w:val="28"/>
          <w:szCs w:val="24"/>
        </w:rPr>
        <w:fldChar w:fldCharType="begin"/>
      </w:r>
      <w:r w:rsidR="00351634" w:rsidRPr="00DA11F1">
        <w:rPr>
          <w:rFonts w:ascii="Times New Roman" w:eastAsia="SimSun" w:hAnsi="Times New Roman"/>
          <w:noProof/>
          <w:sz w:val="28"/>
          <w:szCs w:val="24"/>
        </w:rPr>
        <w:instrText xml:space="preserve"> REF _Ref85055597 </w:instrText>
      </w:r>
      <w:r w:rsidR="0066011F" w:rsidRPr="00DA11F1">
        <w:rPr>
          <w:rFonts w:ascii="Times New Roman" w:eastAsia="SimSun" w:hAnsi="Times New Roman"/>
          <w:noProof/>
          <w:sz w:val="28"/>
          <w:szCs w:val="24"/>
        </w:rPr>
        <w:instrText xml:space="preserve"> \* MERGEFORMAT </w:instrText>
      </w:r>
      <w:r w:rsidR="00351634" w:rsidRPr="00DA11F1">
        <w:rPr>
          <w:rFonts w:ascii="Times New Roman" w:eastAsia="SimSun" w:hAnsi="Times New Roman"/>
          <w:noProof/>
          <w:sz w:val="28"/>
          <w:szCs w:val="24"/>
        </w:rPr>
        <w:fldChar w:fldCharType="separate"/>
      </w:r>
      <w:r w:rsidR="006050B5" w:rsidRPr="006050B5">
        <w:rPr>
          <w:rFonts w:ascii="Times New Roman" w:hAnsi="Times New Roman"/>
          <w:noProof/>
          <w:sz w:val="24"/>
        </w:rPr>
        <w:t>Table 9</w:t>
      </w:r>
      <w:r w:rsidR="00351634" w:rsidRPr="00DA11F1">
        <w:rPr>
          <w:rFonts w:ascii="Times New Roman" w:eastAsia="SimSun" w:hAnsi="Times New Roman"/>
          <w:noProof/>
          <w:sz w:val="28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t xml:space="preserve">) ibbenefikaw mir-rabta bl-użu ta’ kwoti maħruġa fis-sistema l-oħra sabiex jissodisfaw l-obbligi tagħhom ta’ ċediment. </w:t>
      </w:r>
    </w:p>
    <w:p w14:paraId="39722BC3" w14:textId="32AC2833" w:rsidR="003B74E6" w:rsidRPr="00DA11F1" w:rsidRDefault="003B74E6" w:rsidP="003B74E6">
      <w:pPr>
        <w:jc w:val="both"/>
        <w:rPr>
          <w:rFonts w:ascii="Times New Roman" w:eastAsia="SimSu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Fl-EU ETS, l-installazzjonijiet stazzjonarji ftit li xejn użaw kwoti tal-ETS Żvizzera għall-konformità, u 0,0044 % tal-obbligi ġew issodisfati bl-użu ta’ anqas minn 60 000 kwota ġenerali Żvizzera. L-operaturi tal-inġenji tal-ajru koperti mill-EU ETS issodisfaw 2,34 % tal-obbligi bl-użu ta’ kwoti tal-avjazzjoni Żvizzeri iżda l-ebda kwota ġenerali. </w:t>
      </w:r>
    </w:p>
    <w:p w14:paraId="2208D3C9" w14:textId="1DF3B5EA" w:rsidR="00DB4F75" w:rsidRPr="00DA11F1" w:rsidRDefault="00DB4F75" w:rsidP="00DB4F75">
      <w:pPr>
        <w:pStyle w:val="Caption"/>
        <w:keepNext/>
        <w:rPr>
          <w:rFonts w:ascii="Times New Roman" w:hAnsi="Times New Roman"/>
          <w:noProof/>
          <w:sz w:val="24"/>
        </w:rPr>
      </w:pPr>
      <w:bookmarkStart w:id="71" w:name="_Ref85055473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050B5">
        <w:rPr>
          <w:rFonts w:ascii="Times New Roman" w:hAnsi="Times New Roman"/>
          <w:noProof/>
          <w:sz w:val="22"/>
        </w:rPr>
        <w:t>8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71"/>
      <w:r>
        <w:rPr>
          <w:rFonts w:ascii="Times New Roman" w:hAnsi="Times New Roman"/>
          <w:noProof/>
          <w:sz w:val="22"/>
        </w:rPr>
        <w:t>. L-unitajiet użati għall-konformità fl-EU ETS</w:t>
      </w:r>
    </w:p>
    <w:p w14:paraId="683B0CB1" w14:textId="3A6420C0" w:rsidR="00B70767" w:rsidRPr="00DA11F1" w:rsidRDefault="00BC1AEF" w:rsidP="00B70767">
      <w:pPr>
        <w:rPr>
          <w:rFonts w:ascii="Times New Roman" w:eastAsia="SimSun" w:hAnsi="Times New Roman"/>
          <w:noProof/>
        </w:rPr>
      </w:pPr>
      <w:r w:rsidRPr="00BC1AEF">
        <w:rPr>
          <w:rFonts w:ascii="Times New Roman" w:eastAsia="SimSun" w:hAnsi="Times New Roman"/>
          <w:noProof/>
          <w:lang w:val="en-GB" w:eastAsia="en-GB"/>
        </w:rPr>
        <w:drawing>
          <wp:inline distT="0" distB="0" distL="0" distR="0" wp14:anchorId="2E4947D5" wp14:editId="22338491">
            <wp:extent cx="5731510" cy="1668145"/>
            <wp:effectExtent l="0" t="0" r="254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AFF75" w14:textId="642ACFD6" w:rsidR="003B74E6" w:rsidRDefault="003B74E6" w:rsidP="003B74E6">
      <w:pPr>
        <w:jc w:val="both"/>
        <w:rPr>
          <w:rFonts w:ascii="Times New Roman" w:eastAsia="SimSu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Fl-ETS Żvizzera, l-installazzjonijiet stazzjonarji ssodisfaw 0,19 % tal-obbligi tagħhom bl-użu ta’ kwoti tal-EU ETS. B’kuntrast ma’ dan, il-kwoti ġenerali u tal-avjazzjoni tal-EU ETS ammontaw għal aktar minn 40 % tal-konformità tal-operaturi tal-inġenji tal-ajru koperti mill-ETS Żvizzera. Dan kien minħabba l-allokazzjoni ta’ kwoti mill-UE li rċevew xi operaturi fl-ETS Żvizzera sabiex ikopru l-emissjonijiet tagħhom taħt l-EU ETS.</w:t>
      </w:r>
    </w:p>
    <w:p w14:paraId="736F358A" w14:textId="355B142C" w:rsidR="00351634" w:rsidRPr="00DA11F1" w:rsidRDefault="00351634" w:rsidP="00554C5C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72" w:name="_Ref85055597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6050B5">
        <w:rPr>
          <w:rFonts w:ascii="Times New Roman" w:hAnsi="Times New Roman"/>
          <w:noProof/>
          <w:sz w:val="22"/>
        </w:rPr>
        <w:t>9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72"/>
      <w:r>
        <w:rPr>
          <w:rFonts w:ascii="Times New Roman" w:hAnsi="Times New Roman"/>
          <w:noProof/>
          <w:sz w:val="22"/>
        </w:rPr>
        <w:t>. L-unitajiet użati għall-konformità fl-ETS Żvizzera</w:t>
      </w:r>
    </w:p>
    <w:p w14:paraId="1F63C4D9" w14:textId="240FD1B9" w:rsidR="00CF3C68" w:rsidRPr="00DA11F1" w:rsidRDefault="00BC1AEF" w:rsidP="00CF3C68">
      <w:pPr>
        <w:jc w:val="both"/>
        <w:rPr>
          <w:rFonts w:ascii="Times New Roman" w:eastAsia="SimSun" w:hAnsi="Times New Roman"/>
          <w:noProof/>
          <w:sz w:val="24"/>
        </w:rPr>
      </w:pPr>
      <w:r w:rsidRPr="00BC1AEF">
        <w:rPr>
          <w:rFonts w:ascii="Times New Roman" w:eastAsia="SimSun" w:hAnsi="Times New Roman"/>
          <w:noProof/>
          <w:sz w:val="24"/>
          <w:lang w:val="en-GB" w:eastAsia="en-GB"/>
        </w:rPr>
        <w:drawing>
          <wp:inline distT="0" distB="0" distL="0" distR="0" wp14:anchorId="0DED79E8" wp14:editId="15B9B03D">
            <wp:extent cx="5731510" cy="162242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5427A" w14:textId="2CAD76D5" w:rsidR="00676166" w:rsidRPr="00DA11F1" w:rsidRDefault="00676166" w:rsidP="00554C5C">
      <w:pPr>
        <w:pStyle w:val="Caption"/>
        <w:keepNext/>
        <w:jc w:val="both"/>
        <w:rPr>
          <w:rFonts w:ascii="Times New Roman" w:hAnsi="Times New Roman"/>
          <w:noProof/>
          <w:sz w:val="22"/>
        </w:rPr>
      </w:pPr>
      <w:bookmarkStart w:id="73" w:name="_Ref85057015"/>
      <w:r>
        <w:rPr>
          <w:rFonts w:ascii="Times New Roman" w:hAnsi="Times New Roman"/>
          <w:noProof/>
          <w:sz w:val="22"/>
        </w:rPr>
        <w:t xml:space="preserve">Tabella </w:t>
      </w:r>
      <w:r w:rsidRPr="00DA11F1">
        <w:rPr>
          <w:rFonts w:ascii="Times New Roman" w:hAnsi="Times New Roman"/>
          <w:noProof/>
          <w:sz w:val="22"/>
        </w:rPr>
        <w:fldChar w:fldCharType="begin"/>
      </w:r>
      <w:r w:rsidRPr="00DA11F1">
        <w:rPr>
          <w:rFonts w:ascii="Times New Roman" w:hAnsi="Times New Roman"/>
          <w:noProof/>
          <w:sz w:val="22"/>
        </w:rPr>
        <w:instrText xml:space="preserve"> SEQ Table \* ARABIC </w:instrText>
      </w:r>
      <w:r w:rsidRPr="00DA11F1">
        <w:rPr>
          <w:rFonts w:ascii="Times New Roman" w:hAnsi="Times New Roman"/>
          <w:noProof/>
          <w:sz w:val="22"/>
        </w:rPr>
        <w:fldChar w:fldCharType="separate"/>
      </w:r>
      <w:r w:rsidR="004745AA">
        <w:rPr>
          <w:rFonts w:ascii="Times New Roman" w:hAnsi="Times New Roman"/>
          <w:noProof/>
          <w:sz w:val="22"/>
        </w:rPr>
        <w:t>10</w:t>
      </w:r>
      <w:r w:rsidRPr="00DA11F1">
        <w:rPr>
          <w:rFonts w:ascii="Times New Roman" w:hAnsi="Times New Roman"/>
          <w:noProof/>
          <w:sz w:val="22"/>
        </w:rPr>
        <w:fldChar w:fldCharType="end"/>
      </w:r>
      <w:bookmarkEnd w:id="73"/>
      <w:r>
        <w:rPr>
          <w:rFonts w:ascii="Times New Roman" w:hAnsi="Times New Roman"/>
          <w:noProof/>
          <w:sz w:val="22"/>
        </w:rPr>
        <w:t>. It-trasferimenti ta’ kwoti bejn l-UE u l-ETS Żvizzera, minn Settembru tal-2020 sa April tal-2021</w:t>
      </w:r>
    </w:p>
    <w:tbl>
      <w:tblPr>
        <w:tblStyle w:val="TableGrid71"/>
        <w:tblW w:w="4865" w:type="pct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194"/>
        <w:gridCol w:w="5625"/>
      </w:tblGrid>
      <w:tr w:rsidR="004745AA" w:rsidRPr="004745AA" w14:paraId="7E683205" w14:textId="77777777" w:rsidTr="00F21266">
        <w:trPr>
          <w:trHeight w:val="657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3AC44DA1" w14:textId="77777777" w:rsidR="00F21266" w:rsidRDefault="004745AA" w:rsidP="00F21266">
            <w:pPr>
              <w:jc w:val="center"/>
              <w:rPr>
                <w:rFonts w:eastAsia="Times New Roman" w:cs="Calibri"/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Trasferimenti </w:t>
            </w:r>
          </w:p>
          <w:p w14:paraId="67E6055A" w14:textId="3FC67005" w:rsidR="004745AA" w:rsidRPr="004745AA" w:rsidRDefault="004745AA" w:rsidP="00F21266">
            <w:pPr>
              <w:jc w:val="center"/>
              <w:rPr>
                <w:rFonts w:eastAsia="Times New Roman" w:cs="Calibri"/>
                <w:b/>
                <w:bCs/>
                <w:noProof/>
                <w:color w:val="FFFFFF"/>
              </w:rPr>
            </w:pPr>
            <w:r>
              <w:rPr>
                <w:b/>
                <w:bCs/>
                <w:noProof/>
              </w:rPr>
              <w:t>(kwoti ġenerali u tal-avjazzjoni miż-żewġ sistemi)</w:t>
            </w:r>
          </w:p>
        </w:tc>
      </w:tr>
      <w:tr w:rsidR="004745AA" w:rsidRPr="004745AA" w14:paraId="456A2FEF" w14:textId="77777777" w:rsidTr="00F21266">
        <w:trPr>
          <w:trHeight w:val="312"/>
          <w:jc w:val="center"/>
        </w:trPr>
        <w:tc>
          <w:tcPr>
            <w:tcW w:w="1208" w:type="pct"/>
            <w:noWrap/>
            <w:vAlign w:val="center"/>
            <w:hideMark/>
          </w:tcPr>
          <w:p w14:paraId="7E53F255" w14:textId="3EEF0C8E" w:rsidR="004745AA" w:rsidRPr="004745AA" w:rsidRDefault="004745AA" w:rsidP="00F21266">
            <w:pPr>
              <w:jc w:val="center"/>
              <w:rPr>
                <w:rFonts w:eastAsia="Times New Roman" w:cs="Calibri"/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Minn</w:t>
            </w:r>
          </w:p>
        </w:tc>
        <w:tc>
          <w:tcPr>
            <w:tcW w:w="663" w:type="pct"/>
            <w:noWrap/>
            <w:vAlign w:val="center"/>
            <w:hideMark/>
          </w:tcPr>
          <w:p w14:paraId="7584A548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Sa</w:t>
            </w:r>
          </w:p>
        </w:tc>
        <w:tc>
          <w:tcPr>
            <w:tcW w:w="3128" w:type="pct"/>
            <w:noWrap/>
            <w:vAlign w:val="center"/>
            <w:hideMark/>
          </w:tcPr>
          <w:p w14:paraId="7CC5A57A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Numru totali</w:t>
            </w:r>
          </w:p>
        </w:tc>
      </w:tr>
      <w:tr w:rsidR="004745AA" w:rsidRPr="004745AA" w14:paraId="3FD2D011" w14:textId="77777777" w:rsidTr="00F21266">
        <w:trPr>
          <w:trHeight w:val="312"/>
          <w:jc w:val="center"/>
        </w:trPr>
        <w:tc>
          <w:tcPr>
            <w:tcW w:w="1208" w:type="pct"/>
            <w:noWrap/>
            <w:vAlign w:val="center"/>
            <w:hideMark/>
          </w:tcPr>
          <w:p w14:paraId="15BDABFC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UE</w:t>
            </w:r>
          </w:p>
        </w:tc>
        <w:tc>
          <w:tcPr>
            <w:tcW w:w="663" w:type="pct"/>
            <w:noWrap/>
            <w:vAlign w:val="center"/>
            <w:hideMark/>
          </w:tcPr>
          <w:p w14:paraId="287B92F4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CH</w:t>
            </w:r>
          </w:p>
        </w:tc>
        <w:tc>
          <w:tcPr>
            <w:tcW w:w="3128" w:type="pct"/>
            <w:noWrap/>
            <w:vAlign w:val="center"/>
            <w:hideMark/>
          </w:tcPr>
          <w:p w14:paraId="27C15B28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977,065</w:t>
            </w:r>
          </w:p>
        </w:tc>
      </w:tr>
      <w:tr w:rsidR="004745AA" w:rsidRPr="004745AA" w14:paraId="0C94C881" w14:textId="77777777" w:rsidTr="00F21266">
        <w:trPr>
          <w:trHeight w:val="312"/>
          <w:jc w:val="center"/>
        </w:trPr>
        <w:tc>
          <w:tcPr>
            <w:tcW w:w="1208" w:type="pct"/>
            <w:noWrap/>
            <w:vAlign w:val="center"/>
            <w:hideMark/>
          </w:tcPr>
          <w:p w14:paraId="15850168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CH</w:t>
            </w:r>
          </w:p>
        </w:tc>
        <w:tc>
          <w:tcPr>
            <w:tcW w:w="663" w:type="pct"/>
            <w:noWrap/>
            <w:vAlign w:val="center"/>
            <w:hideMark/>
          </w:tcPr>
          <w:p w14:paraId="2A93B578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UE</w:t>
            </w:r>
          </w:p>
        </w:tc>
        <w:tc>
          <w:tcPr>
            <w:tcW w:w="3128" w:type="pct"/>
            <w:noWrap/>
            <w:vAlign w:val="center"/>
            <w:hideMark/>
          </w:tcPr>
          <w:p w14:paraId="7FA58964" w14:textId="77777777" w:rsidR="004745AA" w:rsidRPr="004745AA" w:rsidRDefault="004745AA" w:rsidP="00F21266"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  <w:color w:val="000000"/>
              </w:rPr>
              <w:t>450,578</w:t>
            </w:r>
          </w:p>
        </w:tc>
      </w:tr>
      <w:tr w:rsidR="00F21266" w:rsidRPr="004745AA" w14:paraId="6218661D" w14:textId="77777777" w:rsidTr="00F21266">
        <w:trPr>
          <w:trHeight w:val="312"/>
          <w:jc w:val="center"/>
        </w:trPr>
        <w:tc>
          <w:tcPr>
            <w:tcW w:w="1872" w:type="pct"/>
            <w:gridSpan w:val="2"/>
            <w:noWrap/>
            <w:vAlign w:val="center"/>
            <w:hideMark/>
          </w:tcPr>
          <w:p w14:paraId="42DCA40D" w14:textId="77777777" w:rsidR="004745AA" w:rsidRPr="004745AA" w:rsidRDefault="004745AA" w:rsidP="00AD678D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Bilanċ</w:t>
            </w:r>
          </w:p>
        </w:tc>
        <w:tc>
          <w:tcPr>
            <w:tcW w:w="3128" w:type="pct"/>
            <w:noWrap/>
            <w:vAlign w:val="center"/>
            <w:hideMark/>
          </w:tcPr>
          <w:p w14:paraId="258E607D" w14:textId="77777777" w:rsidR="004745AA" w:rsidRPr="004745AA" w:rsidRDefault="004745AA" w:rsidP="00AD678D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526,487</w:t>
            </w:r>
          </w:p>
        </w:tc>
      </w:tr>
    </w:tbl>
    <w:p w14:paraId="084ECF11" w14:textId="04569C38" w:rsidR="00D10D5A" w:rsidRPr="00DA11F1" w:rsidRDefault="005811CF" w:rsidP="00006E10">
      <w:pPr>
        <w:pStyle w:val="Heading1"/>
        <w:rPr>
          <w:noProof/>
        </w:rPr>
      </w:pPr>
      <w:bookmarkStart w:id="74" w:name="_Toc89703126"/>
      <w:r>
        <w:rPr>
          <w:noProof/>
        </w:rPr>
        <w:t>8. L-EFFETTI TAL-IMPLIMENTAZZJONI TAD-DIRETTIVA DWAR L-EFFIĊJENZA FL-ENERĠIJA U TAL-PJANIJIET NAZZJONALI DWAR L-ENERĠIJA U L-KLIMA FUQ L-EU ETS</w:t>
      </w:r>
      <w:bookmarkEnd w:id="74"/>
    </w:p>
    <w:p w14:paraId="1D1D2E96" w14:textId="55F9410C" w:rsidR="007077B1" w:rsidRPr="00DA11F1" w:rsidRDefault="00FB325B" w:rsidP="0070580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Ir-rapport dwar is-suq tal-karbonju għandu jqis l-effetti tal-implimentazzjoni tad-Direttiva dwar l-Effiċjenza fl-Enerġija u l-impatt ġenerali tal-politiki u l-miżuri li hemm fil-pjanijiet nazzjonali integrati dwar l-enerġija u l-klima (NECPs), dwar it-tħaddim tal-EU ETS, inkluż il-bilanċ bejn il-provvista u d-domanda tal-kwoti fis-suq tal-karbonju tal-UE</w:t>
      </w:r>
      <w:r w:rsidR="004219CC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0"/>
      </w:r>
      <w:r>
        <w:rPr>
          <w:rFonts w:ascii="Times New Roman" w:hAnsi="Times New Roman"/>
          <w:noProof/>
          <w:sz w:val="24"/>
          <w:szCs w:val="24"/>
        </w:rPr>
        <w:t>. Dan il-kapitolu jkopri dawn iż-żewġ suġġetti.</w:t>
      </w:r>
    </w:p>
    <w:p w14:paraId="291390F6" w14:textId="2260204B" w:rsidR="0010679C" w:rsidRPr="00DA11F1" w:rsidRDefault="0023409B" w:rsidP="0070580B">
      <w:pPr>
        <w:pStyle w:val="Heading2"/>
        <w:spacing w:before="0" w:after="200"/>
        <w:rPr>
          <w:i w:val="0"/>
          <w:noProof/>
        </w:rPr>
      </w:pPr>
      <w:bookmarkStart w:id="75" w:name="_Toc89703127"/>
      <w:r>
        <w:rPr>
          <w:i w:val="0"/>
          <w:noProof/>
        </w:rPr>
        <w:t>8.1 L-impatt tal-implimentazzjoni tad-Direttiva dwar l-Effiċjenza fl-Enerġija fuq l-EU ETS</w:t>
      </w:r>
      <w:bookmarkEnd w:id="75"/>
    </w:p>
    <w:p w14:paraId="59960BDE" w14:textId="00E48C97" w:rsidR="0090131B" w:rsidRPr="00DA11F1" w:rsidRDefault="00687265" w:rsidP="0070580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Hemm diversi interazzjonijiet bejn l-EU ETS u d-Direttiva dwar l-Effiċjenza fl-Enerġija, b’mod partikolari fejn il-miżuri ta’ politika jkollhom impatt fuq l-effiċjenza fl-enerġija tal-operaturi soġġetti għas-sistema. L-Artikolu 8 tad-Direttiva dwar l-Effiċjenza fl-Enerġija jippromwovi miżuri kosteffettivi għall-effiċjenza fl-enerġija billi jirrikjedi li l-operaturi l-kbar iwettqu verifika tal-enerġija kull erba’ snin jew jużaw sistema ċċertifikata ta’ ġestjoni tal-enerġija jew ambjentali. Dan jgħin lill-operaturi l-kbar jidentifikaw it-telf tal-enerġija, il-potenzjal tal-iffrankar tal-enerġija u l-miżuri kosteffettivi sabiex inaqqsu l-konsum tal-enerġija tagħhom. </w:t>
      </w:r>
    </w:p>
    <w:p w14:paraId="70385D1E" w14:textId="095AB13E" w:rsidR="00B52F9F" w:rsidRPr="00DA11F1" w:rsidRDefault="0090131B" w:rsidP="0070580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Dispożizzjoni ċentrali tad-Direttiva dwar l-Effiċjenza fl-Enerġija mmirata direttament lejn il-produzzjoni tal-iffrankar tal-enerġija hija l-Artikolu 7, li jirrikjedi li l-Istati Membri jieħdu miżuri ta’ politika sabiex jiksbu l-iffrankar tal-enerġija</w:t>
      </w:r>
      <w:r w:rsidR="00525AFB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1"/>
      </w:r>
      <w:r>
        <w:rPr>
          <w:rFonts w:ascii="Times New Roman" w:hAnsi="Times New Roman"/>
          <w:noProof/>
          <w:sz w:val="24"/>
          <w:szCs w:val="24"/>
        </w:rPr>
        <w:t>. Peress li l-Istati Membri għandhom għażla dwar liema setturi għandhom jiffokaw fuqhom, dawn il-miżuri jistgħu jinteraġixxu mal-obbligi skont l-EU ETS. Fir-rigward tal-impatti potenzjali fuq is-setturi tal-EU ETS, il-miżuri tal-Istati Membri jistgħu jiġu kklassifikati f’erba’ kategoriji:</w:t>
      </w:r>
    </w:p>
    <w:p w14:paraId="57C395AD" w14:textId="2E66E593" w:rsidR="00B52F9F" w:rsidRPr="00DA11F1" w:rsidRDefault="00B52F9F" w:rsidP="0070580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Miżuri ta’ politika dwar l-effiċjenza enerġetika implimentati f’setturi barra mill-ambitu tal-EU ETS li ma għandhom l-ebda interazzjoni diretta mas-sistema, bħas-sostituzzjoni ta’ fuklar tal-faħam antik b’bojler aktar effiċjenti li jaħdem bil-bijomassa. </w:t>
      </w:r>
    </w:p>
    <w:p w14:paraId="02178B74" w14:textId="3EE44B07" w:rsidR="00B52F9F" w:rsidRPr="00DA11F1" w:rsidRDefault="00B52F9F" w:rsidP="0070580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Miżuri ta’ effiċjenza fl-enerġija mmirati lejn konsum imnaqqas tal-enerġija pprovduta mis-setturi tal-ETS, bħall-elettriku, it-tisħin distrettwali u r-raffineriji li jipprovdu fjuwil għat-trasport u t-tisħin. Dawn jinkludu l-iżolament ta’ bini pprovdut b’tisħin distrettwali, li jissostitwixxi l-apparat elettriku u l-miżuri tal-effiċjenza fl-użu tal-fjuwil għat-trasport. Filwaqt li d-deċiżjonijiet rilevanti jaqgħu barra mill-installazzjonijiet koperti mill-EU ETS, is-sinjal tal-prezz tal-karbonju jista’ jinċentiva azzjoni mill-atturi tas-suq, b’mod predominanti mill-konsumaturi.   </w:t>
      </w:r>
    </w:p>
    <w:p w14:paraId="2BD2FC2A" w14:textId="6F4BC4F5" w:rsidR="00B52F9F" w:rsidRPr="00DA11F1" w:rsidRDefault="004C339D" w:rsidP="0070580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Miżuri ta’ politika li jippromwovu azzjonijiet li jwasslu għal bidla fil-vettur tal-enerġija, bħas-sostituzzjoni ta’ ħiter tal-elettriku b’ħiter solari (li twassal għal anqas konsum tal-enerġija f’settur tal-ETS) jew is-sostituzzjoni ta’ bojler tal-gass b’pompa tas-sħana (li twassal għal konsum akbar tal-enerġija f’settur tal-ETS).</w:t>
      </w:r>
    </w:p>
    <w:p w14:paraId="6C52310B" w14:textId="22A2C937" w:rsidR="0090131B" w:rsidRPr="00DA11F1" w:rsidRDefault="00B52F9F" w:rsidP="0070580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Miżuri ta’ politika li jippromwovu l-effiċjenza enerġetika tal-proċessi ewlenin tal-installazzjonijiet soġġetti għall-EU ETS. </w:t>
      </w:r>
    </w:p>
    <w:p w14:paraId="611FF28E" w14:textId="2C4B0563" w:rsidR="0090131B" w:rsidRPr="00DA11F1" w:rsidRDefault="00E36000" w:rsidP="0070580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Dawn il-miżuri tal-aħħar jinteraġixxu direttament mal-EU ETS. Fil-perjodu bejn l-2014 u l-2020, il-Belġju, in-Netherlands u r-Rumanija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2"/>
      </w:r>
      <w:r>
        <w:rPr>
          <w:rFonts w:ascii="Times New Roman" w:hAnsi="Times New Roman"/>
          <w:noProof/>
          <w:sz w:val="24"/>
          <w:szCs w:val="24"/>
        </w:rPr>
        <w:t xml:space="preserve"> rrapportaw miżuri ta’ politika tal-Artikolu 7 iffokati fuq installazzjonijiet tal-ETS - ftehimiet volontarji (fil-każ tal-Belġju u n-Netherlands) jew ekwivalenti (għar-Rumanija)</w:t>
      </w:r>
      <w:r w:rsidR="002A5341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3"/>
      </w:r>
      <w:r>
        <w:rPr>
          <w:rFonts w:ascii="Times New Roman" w:hAnsi="Times New Roman"/>
          <w:noProof/>
          <w:sz w:val="24"/>
          <w:szCs w:val="24"/>
        </w:rPr>
        <w:t>. Dawn il-miżuri kienu jammontaw għal sehem kbir tal-iffrankar kumulattiv tal-enerġija rrapportat minn dawn il-pajjiżi għall-2014 sal-2018: 61 % għall-Belġju, 20 % għan-Netherlands u 44 % għar-Rumanija</w:t>
      </w:r>
      <w:r w:rsidR="0082114A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4"/>
      </w:r>
      <w:r>
        <w:rPr>
          <w:rFonts w:ascii="Times New Roman" w:hAnsi="Times New Roman"/>
          <w:noProof/>
          <w:sz w:val="24"/>
          <w:szCs w:val="24"/>
        </w:rPr>
        <w:t>. Filwaqt li l-ftehimiet volontarji jistipulaw li l-operaturi jenħtieġ li jimpenjaw ruħhom li jilħqu l-miri tal-effiċjenza fl-enerġija jew tal-iffrankar tal-enerġija, dawn il-miri ma humiex limitati għall-konsum tal-enerġija soġġett għall-EU ETS. Fil-prattika, il-biċċa l-kbira tal-iffrankar tal-enerġija x’aktarx li jiġi minn titjib fl-effiċjenza fl-enerġija fil-proċessi industrijali li jaqgħu taħt l-EU ETS, iżda parti mill-iffrankar tista’ tiġi mill-konsum tal-enerġija barra mis-sistema (eż. l-effiċjenza fl-użu tal-fjuwil fit-trasport, l-effiċjenza fl-enerġija fl-uffiċċji). Għalkemm il-biċċa l-kbira tal-Istati Membri jinkludu mill-anqas miżura ta’ politika waħda mmirata lejn l-industriji li huma wkoll koperti mill-EU ETS fl-ambitu tal-azzjoni tagħhom, 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rrapportata tal-Artikolu 7 ma tagħmilx distinzjoni bejn is-sehem tal-iffrankar mill-industriji tal-ETS u l-iffrankar minn (sub)setturi oħra.</w:t>
      </w:r>
    </w:p>
    <w:p w14:paraId="7D9A52BD" w14:textId="50D297FC" w:rsidR="00F34DFD" w:rsidRPr="00DA11F1" w:rsidRDefault="00834FE2" w:rsidP="00F34DFD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Għall-perjodu bejn l-2014 u Ġunju tal-2020, id-dispożizzjonijiet tal-Artikolu 7(4) tad-Direttiva dwar l-Effiċjenza fl-Enerġija indirizzaw l-interazzjonijiet mal-EU ETS.</w:t>
      </w:r>
    </w:p>
    <w:p w14:paraId="180A8995" w14:textId="0BB9BAB5" w:rsidR="00A36D2F" w:rsidRPr="00DA11F1" w:rsidRDefault="00D60CE3" w:rsidP="009C0D16">
      <w:pPr>
        <w:pStyle w:val="ListParagraph"/>
        <w:numPr>
          <w:ilvl w:val="0"/>
          <w:numId w:val="32"/>
        </w:numPr>
        <w:spacing w:after="200" w:line="276" w:lineRule="auto"/>
        <w:ind w:left="714" w:hanging="357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L-Artikolu 7(4)(b) irrefera għal għażla li l-Istati Membri jistgħu jużaw meta jikkalkolaw l-ammont meħtieġ ta’ ffrankar tal-enerġija għall-perjodu bejn l-2014 u l-2020. Dawn jistgħu jeskludu mill-kalkolu l-bejgħ kollu jew parti mill-bejgħ tal-enerġija użata f’siti industrijali koperti mill-EU ETS. L-għażla ntużat minn 15-il Stat Membru.</w:t>
      </w:r>
      <w:r w:rsidR="00AE4323">
        <w:rPr>
          <w:rStyle w:val="FootnoteReference"/>
          <w:rFonts w:ascii="Times New Roman" w:hAnsi="Times New Roman"/>
          <w:noProof/>
          <w:sz w:val="24"/>
          <w:szCs w:val="24"/>
        </w:rPr>
        <w:footnoteReference w:id="125"/>
      </w:r>
    </w:p>
    <w:p w14:paraId="01400B9D" w14:textId="77777777" w:rsidR="00A36D2F" w:rsidRPr="00DA11F1" w:rsidRDefault="0090131B" w:rsidP="009C0D16">
      <w:pPr>
        <w:pStyle w:val="ListParagraph"/>
        <w:numPr>
          <w:ilvl w:val="0"/>
          <w:numId w:val="32"/>
        </w:numPr>
        <w:spacing w:after="200" w:line="276" w:lineRule="auto"/>
        <w:ind w:left="714" w:hanging="357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L-Artikolu 7(4)(c) ippermetta li l-Istati Membri jirrapportaw l-iffrankar tal-enerġija minn miżuri li jippromwovu l-effiċjenza fl-enerġija min-naħa tal-provvista lejn l-ammont ta’ ffrankar tal-enerġija kkalkolat f’konformità mal-Artikolu 7(2) u (3). Din l-għażla ntużat biss minn tliet Stati Membri</w:t>
      </w:r>
      <w:r w:rsidR="00D60CE3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6"/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007E71A3" w14:textId="5338D762" w:rsidR="009D4BB1" w:rsidRPr="00DA11F1" w:rsidRDefault="009D4BB1" w:rsidP="0070580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L-iffrankar tal-enerġija mill-miżuri ta’ politika tal-effiċjenza enerġetika fl-ETS inaqqas id-domanda għall-kwoti. L-impatt fuq l-emissjonijiet ta’ gassijiet serra huwa aktar kumpless, peress li l-ETS tillimita l-emissjonijiet aggregati tal-entitajiet koperti kollha, u l-MSR tieħu ħsieb l-iżbilanċi bejn il-provvista u d-domanda. L-iffrankar tal-enerġija fis-setturi direttament inklużi fl-ETS jew indirettament marbuta magħha jista’ għalhekk jikkontribwixxi għat-tnaqqis tal-emissjonijiet jew għat-tnaqqis tal-prezzijiet tal-karbonju. Barra minn hekk, sa fejn il-miżuri tal-politika dwar l-effiċjenza fl-enerġija jindirizzaw il-fallimenti tas-suq u l-ostakli għall-adozzjoni ta’ miżuri kosteffettivi għall-iffrankar tal-enerġija, u għandhom benefiċċji addizzjonali, dawn jippermettu wkoll lill-parteċipanti jnaqqsu l-emissjonijiet b’kostijiet aktar baxxi. Min-naħa l-oħra, l-inċentiv tal-prezz tal-karbonju tal-EU ETS jikkontribwixxi għall-ilħuq tal-miri tal-UE u l-miri nazzjonali indikattivi tal-effiċjenza fl-enerġija skont l-Artikolu 3.</w:t>
      </w:r>
    </w:p>
    <w:p w14:paraId="236FCA8E" w14:textId="600ADAA8" w:rsidR="00DA76C7" w:rsidRPr="00DA11F1" w:rsidRDefault="0023409B" w:rsidP="0070580B">
      <w:pPr>
        <w:pStyle w:val="Heading2"/>
        <w:spacing w:before="0" w:after="200"/>
        <w:rPr>
          <w:i w:val="0"/>
          <w:noProof/>
        </w:rPr>
      </w:pPr>
      <w:bookmarkStart w:id="76" w:name="_Toc89703128"/>
      <w:r>
        <w:rPr>
          <w:i w:val="0"/>
          <w:noProof/>
        </w:rPr>
        <w:t>8.2 L-impatt tal-implimentazzjoni tal-pjanijiet nazzjonali għall-enerġija u l-klima fuq l-EU ETS</w:t>
      </w:r>
      <w:bookmarkEnd w:id="76"/>
    </w:p>
    <w:p w14:paraId="4364C815" w14:textId="3AF25568" w:rsidR="00A276E6" w:rsidRPr="00DA11F1" w:rsidRDefault="000532A9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27 pjan nazzjonali għall-enerġija u l-klima (NECPs) li ġew iffinalizzati fl-2019 jagħtu ħarsa ġenerali lejn kif l-Istati Membri tal-UE qegħdin joqorbu lejn l-ewwel fażi tat-tranżizzjoni tagħhom lejn in-newtralità klimatika mill-2021 sal-2030. </w:t>
      </w:r>
    </w:p>
    <w:p w14:paraId="70E67C65" w14:textId="3725606A" w:rsidR="00A7591B" w:rsidRPr="00DA11F1" w:rsidRDefault="000A5336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Il-valutazzjoni tal-Kummissjoni tal-NECPs</w:t>
      </w:r>
      <w:r w:rsidR="00FD2B00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7"/>
      </w:r>
      <w:r>
        <w:rPr>
          <w:rFonts w:ascii="Times New Roman" w:hAnsi="Times New Roman"/>
          <w:noProof/>
          <w:sz w:val="24"/>
          <w:szCs w:val="24"/>
        </w:rPr>
        <w:t xml:space="preserve"> uriet li skont il-miżuri eżistenti u ppjanati, l-Istati Membri qegħdin jippjanaw li jnaqqsu l-emissjonijiet b’41 % taħt il-livelli tal-1990, u b’hekk jaqbżu l-mira preċedenti tal-UE għat-tnaqqis b’40 % sal-2030. Il-pjanijiet jindikaw ukoll li kważi l-Istati Membri kollha li jużaw il-faħam sabiex jiġġeneraw l-elettriku qegħdin jeliminawh gradwalment jew stabbilew dati sa meta għandu jinqata’. Total ta’ 21 Stat Membru diġà ma jużaw l-ebda faħam f’termini ta’ ġenerazzjoni tal-elettriku</w:t>
      </w:r>
      <w:r w:rsidR="00963CD3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8"/>
      </w:r>
      <w:r>
        <w:rPr>
          <w:rFonts w:ascii="Times New Roman" w:hAnsi="Times New Roman"/>
          <w:noProof/>
          <w:sz w:val="24"/>
          <w:szCs w:val="24"/>
        </w:rPr>
        <w:t>, jew impenjaw ruħhom li gradwalment jeliminaw il-faħam (inklużi l-linjite u l-pit), u indikaw dati speċifiċi fl-NECPs tagħhom. F’dan il-kuntest, l-NECPs jipprevedu li l-użu tal-faħam se jonqos b’70 % sal-2030 meta mqabbel mal-2015, bl-elettriku rinnovabbli mistenni jilħaq 60 % tal-elettriku prodott sal-2030. Dawn l-iżviluppi jaffettwaw direttament l-EU ETS, u potenzjalment iwasslu għal tnaqqis sostanzjali fl-emissjonijiet mis-settur tal-enerġija, u fi tnaqqis sussegwenti fid-domanda għall-kwoti tal-emissjonijiet. Sa fejn dawn l-eliminazzjonijiet gradwali mmexxija mill-politika jaċċelleraw l-eliminazzjoni gradwali tal-faħam immexxija mis-suq tal-karbonju u dawk l-impatti ma jiġux newtralizzati mir-Riżerva tal-Istabbiltà tas-Suq, dawn jistgħu jbaxxu l-prezzijiet tal-karbonju fl-ETS.</w:t>
      </w:r>
    </w:p>
    <w:p w14:paraId="09DDBEAD" w14:textId="5B62187C" w:rsidR="00A7591B" w:rsidRPr="00DA11F1" w:rsidRDefault="002443DF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Il-valutazzjoni tal-Kummissjoni wriet ukoll li s-sehem tal-enerġija rinnovabbli fil-livell tal-UE skont il-miżuri eżistenti u ppjanati jista’ jilħaq bejn 33,1 u 33,7 % sal-2030, u jaqbeż il-mira tal-2030 ta’ mill-anqas 32 %. Aktar investimenti u riformi fl-enerġija rinnovabbli identifikati fl-NECPs għandhom il-potenzjal li jkomplu jżidu dan is-sehem. Fir-rigward tal-effiċjenza fl-enerġija, hija meħtieġa ambizzjoni akbar sabiex tintlaħaq il-mira tal-2030.</w:t>
      </w:r>
      <w:r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29"/>
      </w:r>
      <w:r>
        <w:rPr>
          <w:rFonts w:ascii="Times New Roman" w:hAnsi="Times New Roman"/>
          <w:noProof/>
          <w:sz w:val="24"/>
          <w:szCs w:val="24"/>
        </w:rPr>
        <w:t xml:space="preserve"> Għalkemm il-pjanijiet u l-miżuri finali ppjanati fil-livell tal-UE juru aktar sensibilizzazzjoni dwar din il-kwistjoni, għad fadal sforzi sinifikanti xi jsiru sabiex jingħalaq id-distakk. Peress li dawn l-iżviluppi jaffettwaw lis-setturi li huma direttament inklużi fl-EU ETS jew li huma indirettament marbuta magħha, jistgħu jnaqqsu d-domanda għall-kwoti. Min-naħa l-oħra, l-inċentiv tal-prezz tal-karbonju tal-EU ETS jikkontribwixxi għall-kisba tal-miri nazzjonali għall-enerġija rinnovabbli u l-effiċjenza fl-enerġija stabbiliti fl-NECPs.</w:t>
      </w:r>
    </w:p>
    <w:p w14:paraId="2718107F" w14:textId="291919E1" w:rsidR="0090131B" w:rsidRPr="00DA11F1" w:rsidRDefault="002C282C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Mill-valutazzjoni tal-Kummissjoni tal-NECPs finali f’Ottubru tal-2020, xi Stati Membri għamlu bidliet u adattamenti fil-pjanijiet tagħhom. Tinsab aktar informazzjoni dettaljata dwar l-implikazzjonijiet ta’ dan fir-Rapport ta’ Progress tal-UE dwar l-Azzjoni Klimatika għall-2021</w:t>
      </w:r>
      <w:r w:rsidR="00BB4FB4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30"/>
      </w:r>
      <w:r>
        <w:rPr>
          <w:rFonts w:ascii="Times New Roman" w:hAnsi="Times New Roman"/>
          <w:noProof/>
          <w:sz w:val="24"/>
          <w:szCs w:val="24"/>
        </w:rPr>
        <w:t>. L-Istati Membri kollha huma mistennija jissottomettu l-aġġornamenti tal-NECPs tagħhom f’Ġunju tal-2023 (f’forma ta’ abbozz) u fl-2024 (il-pjanijiet finali). Dawn jenħtieġ li jirriflettu l-ambizzjoni akbar f’konformità mal-mira tal-UE li jitnaqqsu l-emissjonijiet netti ta’ gassijiet serra b’mill-anqas 55 % sal-2030 meta mqabbla mal-1990, inkluż potenzjalment billi jitqiesu l-miri ogħla fl-2030 għall-effiċjenza enerġetika (iffrankar ta’ 36 sa 39 % tal-konsum finali u tal-enerġija primarja) u l-enerġija rinnovabbli (sehem ta’ 40 % għall-enerġija rinnovabbli fit-taħlita tal-enerġija tal-UE) proposti mill-Kummissjoni bil-pakkett leġiżlattiv sabiex jitwettaq il-Patt Ekoloġiku Ewropew. Il-Kummissjoni se tivvaluta l-abbozzi tal-pjanijiet aġġornati kollha sal-aħħar tal-2023 u l-pjanijiet finali sal-aħħar tal-2024.</w:t>
      </w:r>
    </w:p>
    <w:p w14:paraId="3F8A5053" w14:textId="1A0B3F4B" w:rsidR="00131369" w:rsidRPr="00DA11F1" w:rsidRDefault="005811CF" w:rsidP="006C746A">
      <w:pPr>
        <w:pStyle w:val="Heading1"/>
        <w:rPr>
          <w:noProof/>
        </w:rPr>
      </w:pPr>
      <w:bookmarkStart w:id="77" w:name="_Toc89703129"/>
      <w:r>
        <w:rPr>
          <w:noProof/>
        </w:rPr>
        <w:t>9. KONKLUŻJONIJIET U ASPETTATTIVI</w:t>
      </w:r>
      <w:bookmarkStart w:id="78" w:name="_Toc490850441"/>
      <w:bookmarkEnd w:id="77"/>
      <w:r>
        <w:rPr>
          <w:noProof/>
        </w:rPr>
        <w:t xml:space="preserve"> </w:t>
      </w:r>
    </w:p>
    <w:p w14:paraId="2824709F" w14:textId="55B8325B" w:rsidR="00E576AC" w:rsidRPr="00DA11F1" w:rsidRDefault="00FA6B61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Fil-fażi 3 tal-EU ETS (mill-2013 sal-2020), l-emissjonijiet ta’ gassijiet serra mill-ġenerazzjoni tal-elettriku u mill-installazzjonijiet industrijali koperti mis-sistema naqsu bi kważi 29 %</w:t>
      </w:r>
      <w:r w:rsidR="00595E98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31"/>
      </w:r>
      <w:r>
        <w:rPr>
          <w:rFonts w:ascii="Times New Roman" w:hAnsi="Times New Roman"/>
          <w:noProof/>
          <w:sz w:val="24"/>
          <w:szCs w:val="24"/>
        </w:rPr>
        <w:t>, u dan ikkontribwixxa għat-tnaqqis ġenerali ta’ madwar 43 % minn meta ġiet stabbilita s-sistema fl-2005. Għalkemm it-tnaqqis sinifikanti fl-emissjonijiet bi 11,4 % fl-2020 bla dubju jista’ jiġi attribwit fil-biċċa l-kbira għall-effetti tal-pandemija tal-COVID-19, din kienet sena oħra f’xejra kważi mingħajr interruzzjoni ta’ tnaqqis fl-emissjonijiet sena wara sena fil-fażi 3. Dan jirrifletti x-xejriet tad-dekarbonizzazzjoni identifikati l-aktar fil-ġenerazzjoni tal-elettriku u tas-sħana. B’konferma ta’ din ix-xejra, l-emissjonijiet fl-2019 qabel il-pandemija naqsu b’aktar minn 9 % meta mqabbla mal-2018.</w:t>
      </w:r>
    </w:p>
    <w:p w14:paraId="36C16944" w14:textId="2F00B634" w:rsidR="00E576AC" w:rsidRPr="00DA11F1" w:rsidRDefault="00E576AC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Fl-avjazzjoni, l-emissjonijiet ta’ gassijiet serra koperti mill-ETS żdiedu b’27,5 % bejn l-2013 u l-2019, u żdiedu kull sena sal-2020, meta x-xejra nqalbet mill-pandemija u l-emissjonijiet verifikati naqsu drastikament bi 63 % meta mqabbla mal-2019. Dan ifisser li l-2019 kienet is-sena bl-ogħla emissjonijiet mill-avjazzjoni sal-lum.</w:t>
      </w:r>
    </w:p>
    <w:p w14:paraId="52BF7FA0" w14:textId="5E6EE346" w:rsidR="00FA6B61" w:rsidRPr="00DA11F1" w:rsidRDefault="00FA6B61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Il-bidliet leġiżlattivi miftiehma fil-fażi 3 sabiex jinformaw l-EU ETS u sabiex jindirizzaw l-eċċess tal-kwoti qegħdin ikomplu juru riżultati pożittivi. Mill-2018 sal-2019, meta bdiet topera r-Riżerva tal-Istabbiltà tas-Suq, l-eċċess naqas b’mod sinifikanti minn 1,65 biljun kwota għal madwar 1,39 biljun. Għalkemm fl-2020 l-eċċess żdied minħabba domanda aktar baxxa, l-eċċess addizzjonali huwa mistenni li jiġi assorbit bejn sentejn u erba’ snin oħra, u b’hekk jikkontribwixxi għall-funzjonament xieraq tas-suq. Barra minn hekk, abbażi tal-indikatur tal-eċċess ippubblikat u tal-leġiżlazzjoni tal-EU ETS għall-fażi 4 (mill-2021 sal-2030), il-volumi tal-irkantar fl-2021 tnaqqsu bi kważi 40 % u l-volumi fl-2022 se jitnaqqsu b’mod simili.</w:t>
      </w:r>
    </w:p>
    <w:p w14:paraId="3727BB42" w14:textId="131F378B" w:rsidR="009F3367" w:rsidRPr="00DA11F1" w:rsidRDefault="0014359B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It-tmiem tal-fażi 3, wara li bdiet taħdem ir-Riżerva tal-Istabbiltà tas-Suq, kien ikkaratterizzat minn żieda fil-fiduċja tal-parteċipanti fis-suq li ġiet riflessa f’sinjal aktar b’saħħtu tal-prezz tal-karbonju. Fl-2020 u l-2021, minkejja s-sitwazzjoni ekonomika diffiċli għall-industrija u l-avjazzjoni minħabba l-kriżi tal-COVID-19, is-sinjal tal-prezz tal-karbonju baqa’ stabbli fl-2020 u żdied b’mod konsiderevoli fl-2021, influwenzat minn prezzijiet għoljin tal-gass u mill-antiċipazzjoni tas-suq tal-implikazzjonijiet tal-ambizzjoni klimatika akbar għall-2030.</w:t>
      </w:r>
    </w:p>
    <w:p w14:paraId="0758C68C" w14:textId="459A936C" w:rsidR="00FA6B61" w:rsidRPr="00DA11F1" w:rsidRDefault="009F3367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Il-prezz ogħla tal-kwoti tal-emissjonijiet wassal għal żieda sostanzjali fid-dħul totali mill-irkantar iġġenerat mill-pajjiżi parteċipanti tal-EU ETS. Bejn l-2012 u t-30 ta’ Ġunju 2021, dan id-dħul qabeż it-EUR 83,5 biljun, b’aktar minn EUR 19-il biljun iġġenerati fl-2020 u qrib l-EUR 14-il biljun fl-ewwel nofs tal-2021.</w:t>
      </w:r>
      <w:r w:rsidR="00E63039" w:rsidRPr="00DA11F1">
        <w:rPr>
          <w:rStyle w:val="FootnoteReference"/>
          <w:rFonts w:ascii="Times New Roman" w:hAnsi="Times New Roman"/>
          <w:noProof/>
          <w:sz w:val="24"/>
          <w:szCs w:val="24"/>
        </w:rPr>
        <w:footnoteReference w:id="132"/>
      </w:r>
      <w:r>
        <w:rPr>
          <w:rFonts w:ascii="Times New Roman" w:hAnsi="Times New Roman"/>
          <w:noProof/>
          <w:sz w:val="24"/>
          <w:szCs w:val="24"/>
        </w:rPr>
        <w:t xml:space="preserve">  Fil-fażi 3 b’mod ġenerali, sehem għoli (75 %) minn dan id-dħul intuża għal skopijiet relatati mal-klima u l-enerġija.</w:t>
      </w:r>
      <w:r>
        <w:rPr>
          <w:rFonts w:ascii="Times New Roman" w:hAnsi="Times New Roman"/>
          <w:noProof/>
        </w:rPr>
        <w:t xml:space="preserve"> </w:t>
      </w:r>
    </w:p>
    <w:p w14:paraId="7E64A869" w14:textId="4B51839F" w:rsidR="00FA6B61" w:rsidRPr="00DA11F1" w:rsidRDefault="0057091D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Matul il-fażi 3, u minkejja s-sitwazzjoni ekonomika diffiċli minħabba l-kriżi tal-COVID-19 fiċ-ċikli ta’ konformità tal-2020 u l-2021, il-livell ta’ konformità fl-EU ETS baqa’ konsistentement għoli ħafna. L-operaturi responsabbli għal aktar minn 99 % tal-emissjonijiet kemm mill-installazzjonijiet stazzjonarji kif ukoll mill-avjazzjoni fil-biċċa l-kbira tas-snin issodisfaw l-obbligi legali tagħhom. L-istruttura tal-EU ETS baqgħet b’saħħitha u l-organizzazzjoni amministrattiva implimentata fil-pajjiżi parteċipanti wriet li kienet effettiva.</w:t>
      </w:r>
    </w:p>
    <w:p w14:paraId="4BEDDBDF" w14:textId="37D6EB8B" w:rsidR="0014359B" w:rsidRPr="00DA11F1" w:rsidRDefault="0014359B" w:rsidP="006C746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L-ewwel ftehim li jorbot l-EU ETS ma’ sistema oħra – l-ETS Żvizzera, fl-aħħar sena tal-fażi 3, irawwem aktar flessibbiltà u effiċjenza fiż-żewġ swieq tal-karbonju, billi jippermetti lill-operaturi taż-żewġ sistemi jgawdu l-benefiċċji ta’ suq akbar.</w:t>
      </w:r>
    </w:p>
    <w:p w14:paraId="58AA0824" w14:textId="1633C25D" w:rsidR="00131369" w:rsidRPr="00DA11F1" w:rsidRDefault="00A52EA3" w:rsidP="006C746A">
      <w:pPr>
        <w:jc w:val="both"/>
        <w:rPr>
          <w:rStyle w:val="Heading1Char"/>
          <w:rFonts w:eastAsia="Calibri"/>
          <w:b w:val="0"/>
          <w:bCs w:val="0"/>
          <w:noProof/>
          <w:kern w:val="0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Għas-snin li ġejjin, bħala parti mill-pakkett sabiex jitwettaq il-Patt Ekoloġiku Ewropew adottat f’Lulju tal-2021, il-Kummissjoni pproponiet li ssaħħaħ u tespandi r-rwol tal-ipprezzar tal-karbonju sabiex l-UE tkun tista’ tilħaq l-ambizzjonijiet klimatiċi ogħla tagħha. L-EU ETS tibqa’ pilastru ewlieni tal-politika tal-UE dwar it-tibdil fil-klima. Ir-rapport li jmiss dwar is-suq tal-karbonju, li se jiġi ppubblikat lejn l-aħħar tal-2022, se jipprovdi ħarsa ġenerali lejn it-tħaddim tal-EU ETS fil-fażi 4.</w:t>
      </w:r>
      <w:bookmarkEnd w:id="78"/>
    </w:p>
    <w:sectPr w:rsidR="00131369" w:rsidRPr="00DA11F1" w:rsidSect="006F13D7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97C30" w16cid:durableId="1D584DA1"/>
  <w16cid:commentId w16cid:paraId="5F4E4608" w16cid:durableId="1D584DA2"/>
  <w16cid:commentId w16cid:paraId="58E17FD7" w16cid:durableId="1D584DA3"/>
  <w16cid:commentId w16cid:paraId="5DF23A43" w16cid:durableId="1D584DA4"/>
  <w16cid:commentId w16cid:paraId="30B21068" w16cid:durableId="1D584DA5"/>
  <w16cid:commentId w16cid:paraId="3A2C271F" w16cid:durableId="1D584DA6"/>
  <w16cid:commentId w16cid:paraId="4AE592B9" w16cid:durableId="1D584DA7"/>
  <w16cid:commentId w16cid:paraId="643AA177" w16cid:durableId="1D584DA8"/>
  <w16cid:commentId w16cid:paraId="38513F67" w16cid:durableId="1D584DA9"/>
  <w16cid:commentId w16cid:paraId="1FFA1ED9" w16cid:durableId="1D584DAA"/>
  <w16cid:commentId w16cid:paraId="597E28CC" w16cid:durableId="1D584DAB"/>
  <w16cid:commentId w16cid:paraId="57EFFC44" w16cid:durableId="1D584D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80CB0" w14:textId="77777777" w:rsidR="0088478D" w:rsidRDefault="0088478D">
      <w:pPr>
        <w:spacing w:after="0" w:line="240" w:lineRule="auto"/>
      </w:pPr>
      <w:r>
        <w:separator/>
      </w:r>
    </w:p>
  </w:endnote>
  <w:endnote w:type="continuationSeparator" w:id="0">
    <w:p w14:paraId="0AF2560A" w14:textId="77777777" w:rsidR="0088478D" w:rsidRDefault="0088478D">
      <w:pPr>
        <w:spacing w:after="0" w:line="240" w:lineRule="auto"/>
      </w:pPr>
      <w:r>
        <w:continuationSeparator/>
      </w:r>
    </w:p>
  </w:endnote>
  <w:endnote w:type="continuationNotice" w:id="1">
    <w:p w14:paraId="2E08C0F0" w14:textId="77777777" w:rsidR="0088478D" w:rsidRDefault="00884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4AF6" w14:textId="77777777" w:rsidR="001709C9" w:rsidRPr="001709C9" w:rsidRDefault="001709C9" w:rsidP="001709C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173EB" w14:textId="77777777" w:rsidR="0088478D" w:rsidRDefault="0088478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ED34" w14:textId="49C5DE34" w:rsidR="0088478D" w:rsidRDefault="008847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9C9">
      <w:rPr>
        <w:noProof/>
      </w:rPr>
      <w:t>21</w:t>
    </w:r>
    <w:r>
      <w:fldChar w:fldCharType="end"/>
    </w:r>
  </w:p>
  <w:p w14:paraId="19DFA47B" w14:textId="77777777" w:rsidR="0088478D" w:rsidRDefault="0088478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A2B97" w14:textId="77777777" w:rsidR="0088478D" w:rsidRDefault="0088478D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F868" w14:textId="77777777" w:rsidR="0088478D" w:rsidRDefault="0088478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E973" w14:textId="1A4E255F" w:rsidR="0088478D" w:rsidRDefault="008847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657">
      <w:rPr>
        <w:noProof/>
      </w:rPr>
      <w:t>27</w:t>
    </w:r>
    <w:r>
      <w:fldChar w:fldCharType="end"/>
    </w:r>
  </w:p>
  <w:p w14:paraId="28F2C362" w14:textId="77777777" w:rsidR="0088478D" w:rsidRDefault="0088478D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62B4" w14:textId="77777777" w:rsidR="0088478D" w:rsidRDefault="0088478D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8E9D" w14:textId="77777777" w:rsidR="0088478D" w:rsidRDefault="0088478D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CD1E" w14:textId="59E05F5E" w:rsidR="0088478D" w:rsidRDefault="008847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657">
      <w:rPr>
        <w:noProof/>
      </w:rPr>
      <w:t>49</w:t>
    </w:r>
    <w:r>
      <w:fldChar w:fldCharType="end"/>
    </w:r>
  </w:p>
  <w:p w14:paraId="6EECC0F3" w14:textId="77777777" w:rsidR="0088478D" w:rsidRDefault="0088478D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FCB23" w14:textId="77777777" w:rsidR="0088478D" w:rsidRDefault="00884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E41D" w14:textId="14123B56" w:rsidR="005E0657" w:rsidRPr="001709C9" w:rsidRDefault="001709C9" w:rsidP="001709C9">
    <w:pPr>
      <w:pStyle w:val="FooterCoverPage"/>
      <w:rPr>
        <w:rFonts w:ascii="Arial" w:hAnsi="Arial" w:cs="Arial"/>
        <w:b/>
        <w:sz w:val="48"/>
      </w:rPr>
    </w:pPr>
    <w:r w:rsidRPr="001709C9">
      <w:rPr>
        <w:rFonts w:ascii="Arial" w:hAnsi="Arial" w:cs="Arial"/>
        <w:b/>
        <w:sz w:val="48"/>
      </w:rPr>
      <w:t>MT</w:t>
    </w:r>
    <w:r w:rsidRPr="001709C9">
      <w:rPr>
        <w:rFonts w:ascii="Arial" w:hAnsi="Arial" w:cs="Arial"/>
        <w:b/>
        <w:sz w:val="48"/>
      </w:rPr>
      <w:tab/>
    </w:r>
    <w:r w:rsidRPr="001709C9">
      <w:rPr>
        <w:rFonts w:ascii="Arial" w:hAnsi="Arial" w:cs="Arial"/>
        <w:b/>
        <w:sz w:val="48"/>
      </w:rPr>
      <w:tab/>
    </w:r>
    <w:r w:rsidRPr="001709C9">
      <w:tab/>
    </w:r>
    <w:r w:rsidRPr="001709C9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159A" w14:textId="77777777" w:rsidR="001709C9" w:rsidRPr="001709C9" w:rsidRDefault="001709C9" w:rsidP="001709C9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BEAD" w14:textId="77777777" w:rsidR="0088478D" w:rsidRDefault="008847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E2E0" w14:textId="59BD2665" w:rsidR="0088478D" w:rsidRDefault="008847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9C9">
      <w:rPr>
        <w:noProof/>
      </w:rPr>
      <w:t>1</w:t>
    </w:r>
    <w:r>
      <w:fldChar w:fldCharType="end"/>
    </w:r>
  </w:p>
  <w:p w14:paraId="62BA87FC" w14:textId="77777777" w:rsidR="0088478D" w:rsidRDefault="008847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5254" w14:textId="77777777" w:rsidR="0088478D" w:rsidRDefault="0088478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A058" w14:textId="77777777" w:rsidR="0088478D" w:rsidRDefault="0088478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2F25" w14:textId="6ACC0595" w:rsidR="0088478D" w:rsidRDefault="008847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9C9">
      <w:rPr>
        <w:noProof/>
      </w:rPr>
      <w:t>10</w:t>
    </w:r>
    <w:r>
      <w:fldChar w:fldCharType="end"/>
    </w:r>
  </w:p>
  <w:p w14:paraId="17EE768F" w14:textId="77777777" w:rsidR="0088478D" w:rsidRDefault="0088478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76FFA" w14:textId="77777777" w:rsidR="0088478D" w:rsidRDefault="0088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4255" w14:textId="77777777" w:rsidR="0088478D" w:rsidRDefault="0088478D">
      <w:pPr>
        <w:spacing w:after="0" w:line="240" w:lineRule="auto"/>
      </w:pPr>
      <w:r>
        <w:separator/>
      </w:r>
    </w:p>
  </w:footnote>
  <w:footnote w:type="continuationSeparator" w:id="0">
    <w:p w14:paraId="309CDEF0" w14:textId="77777777" w:rsidR="0088478D" w:rsidRDefault="0088478D">
      <w:pPr>
        <w:spacing w:after="0" w:line="240" w:lineRule="auto"/>
      </w:pPr>
      <w:r>
        <w:continuationSeparator/>
      </w:r>
    </w:p>
  </w:footnote>
  <w:footnote w:type="continuationNotice" w:id="1">
    <w:p w14:paraId="4F11D23F" w14:textId="77777777" w:rsidR="0088478D" w:rsidRDefault="0088478D">
      <w:pPr>
        <w:spacing w:after="0" w:line="240" w:lineRule="auto"/>
      </w:pPr>
    </w:p>
  </w:footnote>
  <w:footnote w:id="2">
    <w:p w14:paraId="70319730" w14:textId="6CFE51D6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Sa tmiem l-2020, għall-EU27 + ir-Renju Unit + l-Iżlanda, il-Liechtenstein u n-Norveġja (li kienu jirrappreżentaw l-ambitu tal-EU ETS sal-31 ta’ Diċembru 2020).</w:t>
      </w:r>
    </w:p>
  </w:footnote>
  <w:footnote w:id="3">
    <w:p w14:paraId="47A71658" w14:textId="34C9A48B" w:rsidR="0088478D" w:rsidRPr="000E0C73" w:rsidRDefault="0088478D">
      <w:pPr>
        <w:pStyle w:val="FootnoteText"/>
      </w:pPr>
      <w:r>
        <w:rPr>
          <w:rStyle w:val="FootnoteReference"/>
        </w:rPr>
        <w:footnoteRef/>
      </w:r>
      <w:r>
        <w:t xml:space="preserve"> Id-Direttiva (UE) 2018/2001 tal-Parlament Ewropew u tal-Kunsill tal-11 ta’ Diċembru 2018 dwar il-promozzjoni tal-użu tal-enerġija minn sorsi rinnovabbli, </w:t>
      </w:r>
      <w:hyperlink r:id="rId1" w:history="1">
        <w:r>
          <w:rPr>
            <w:rStyle w:val="Hyperlink"/>
          </w:rPr>
          <w:t>ĠU L 328</w:t>
        </w:r>
      </w:hyperlink>
      <w:r>
        <w:t>, 21.12.2018, p. 82</w:t>
      </w:r>
    </w:p>
  </w:footnote>
  <w:footnote w:id="4">
    <w:p w14:paraId="4F96B5A4" w14:textId="09DE046D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Id-Direttiva (UE) 2018/2002 tal-Parlament Ewropew u tal-Kunsill tal-11 ta’ Diċembru 2018 li temenda d-Direttiva 2012/27/UE dwar l-effiċjenza fl-enerġija, </w:t>
      </w:r>
      <w:hyperlink r:id="rId2" w:history="1">
        <w:r>
          <w:rPr>
            <w:rStyle w:val="Hyperlink"/>
          </w:rPr>
          <w:t>ĠU L 328</w:t>
        </w:r>
      </w:hyperlink>
      <w:r>
        <w:t>, 21.12.2018, p. 210</w:t>
      </w:r>
    </w:p>
  </w:footnote>
  <w:footnote w:id="5">
    <w:p w14:paraId="0F6EE64E" w14:textId="3EA5F235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It-tnaqqis fl-emissjonijiet għall-EU27. Għall-EU27 + ir-Renju Unit, it-tnaqqis kien ta’ 32,5 % taħt il-livelli tal-1990.</w:t>
      </w:r>
    </w:p>
  </w:footnote>
  <w:footnote w:id="6">
    <w:p w14:paraId="27454A17" w14:textId="7121C0B2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Inwettqu l-Patt Ekoloġiku Ewropew tal-14.7.2021</w:t>
        </w:r>
      </w:hyperlink>
      <w:r>
        <w:t xml:space="preserve"> </w:t>
      </w:r>
    </w:p>
  </w:footnote>
  <w:footnote w:id="7">
    <w:p w14:paraId="0922FFA0" w14:textId="6510B9D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Din il-mira tinkludi l-estensjoni proposta tal-ambitu tal-EU ETS għas-settur tat-trasport marittimu. </w:t>
      </w:r>
    </w:p>
  </w:footnote>
  <w:footnote w:id="8">
    <w:p w14:paraId="45E14D90" w14:textId="390756CF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Proposta għal Direttiva tal-Parlament Ewropew u tal-Kunsill li temenda d-Direttiva 2003/87/KE li tistabbilixxi sistema għall-iskambju ta’ kwoti ta’ emissjonijiet ta’ gassijiet serra ġewwa l-Unjoni, id-Deċiżjoni (UE) 2015/1814 dwar l-istabbiliment u l-funzjonament ta’ riżerva tal-istabbiltà tas-suq għall-iskema ta’ negozjar tal-emissjonijiet tal-gassijiet serra tal-Unjoni u r-Regolament (UE) 2015/757, </w:t>
      </w:r>
      <w:hyperlink r:id="rId4" w:history="1">
        <w:r>
          <w:rPr>
            <w:rStyle w:val="Hyperlink"/>
          </w:rPr>
          <w:t>COM/2021/551 final</w:t>
        </w:r>
      </w:hyperlink>
    </w:p>
  </w:footnote>
  <w:footnote w:id="9">
    <w:p w14:paraId="5109895A" w14:textId="12BC9F53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COM(2021)551 final</w:t>
        </w:r>
      </w:hyperlink>
      <w:r>
        <w:t xml:space="preserve"> (bħal hawn fuq)</w:t>
      </w:r>
    </w:p>
  </w:footnote>
  <w:footnote w:id="10">
    <w:p w14:paraId="3AE44003" w14:textId="7F96D416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Proposta għal Deċiżjoni tal-Parlament Ewropew u tal-Kunsill li temenda d-Deċiżjoni (UE) 2015/1814 fir-rigward tal-ammont ta’ kwoti li għandhom jitqiegħdu fir-riżerva tal-istabbiltà tas-suq għall-iskema tal-Unjoni għan-negozjar ta’ kwoti ta’ emissjonijiet ta’ gassijiet serra sal-2030, </w:t>
      </w:r>
      <w:hyperlink r:id="rId6" w:history="1">
        <w:r>
          <w:rPr>
            <w:rStyle w:val="Hyperlink"/>
          </w:rPr>
          <w:t>COM/2021/571 final</w:t>
        </w:r>
      </w:hyperlink>
    </w:p>
  </w:footnote>
  <w:footnote w:id="11">
    <w:p w14:paraId="7A9BFBD8" w14:textId="073E270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Proposta għal Direttiva tal-Parlament Ewropew u tal-Kunsill li temenda d-Direttiva 2003/87/KE fir-rigward tal-kontribut tal-avjazzjoni għall-mira tat-tnaqqis tal-emissjonijiet għall-ekonomija kollha tal-Unjoni u li timplimenta b’mod xieraq miżura globali bbażata fuq is-suq, </w:t>
      </w:r>
      <w:hyperlink r:id="rId7" w:history="1">
        <w:r>
          <w:rPr>
            <w:rStyle w:val="Hyperlink"/>
          </w:rPr>
          <w:t>COM/2021/552 final</w:t>
        </w:r>
      </w:hyperlink>
      <w:r>
        <w:t xml:space="preserve">, u Proposta għal Deċiżjoni tal-Parlament Ewropew u tal-Kunsill li temenda d-Direttiva 2003/87/KE fir-rigward tan-notifika ta’ kumpens fir-rigward ta’ miżura globali bbażata fuq is-suq għall-operaturi tal-inġenji tal-ajru bbażati fl-Unjoni, </w:t>
      </w:r>
      <w:hyperlink r:id="rId8" w:history="1">
        <w:r>
          <w:rPr>
            <w:rStyle w:val="Hyperlink"/>
          </w:rPr>
          <w:t>COM/2021/567 final</w:t>
        </w:r>
      </w:hyperlink>
    </w:p>
  </w:footnote>
  <w:footnote w:id="12">
    <w:p w14:paraId="76672899" w14:textId="7B84DCAC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Id-Direttiva 2003/87/KE tal-Parlament Ewropew u tal-Kunsill tat-13 ta’ Ottubru 2003 li tistabbilixxi sistema għall-iskambju ta’ kwoti ta’ emissjonijiet ta’ gassijiet serra ġewwa l-Unjoni u li temenda d-Direttiva tal-Kunsill 96/61/KE, </w:t>
      </w:r>
      <w:hyperlink r:id="rId9" w:history="1">
        <w:r>
          <w:rPr>
            <w:rStyle w:val="Hyperlink"/>
          </w:rPr>
          <w:t>ĠU L 275</w:t>
        </w:r>
      </w:hyperlink>
      <w:r>
        <w:t>, 25.10.2003, p. 32</w:t>
      </w:r>
    </w:p>
  </w:footnote>
  <w:footnote w:id="13">
    <w:p w14:paraId="224D9628" w14:textId="0FB33D6A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Id-Direttiva (UE) 2018/2002 tal-Parlament Ewropew u tal-Kunsill tal-11 ta’ Diċembru 2018 li temenda d-Direttiva 2012/27/UE dwar l-effiċjenza fl-enerġija, </w:t>
      </w:r>
      <w:hyperlink r:id="rId10" w:history="1">
        <w:r>
          <w:rPr>
            <w:rStyle w:val="Hyperlink"/>
          </w:rPr>
          <w:t>ĠU L 328</w:t>
        </w:r>
      </w:hyperlink>
      <w:r>
        <w:t>, 21.12.2018, p. 210</w:t>
      </w:r>
    </w:p>
  </w:footnote>
  <w:footnote w:id="14">
    <w:p w14:paraId="7E295F92" w14:textId="2F5D627F" w:rsidR="0088478D" w:rsidRPr="0095216F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Il-Ftehim dwar il-Kummerċ u l-Kooperazzjoni bejn l-Unjoni Ewropea u l-Komunità Ewropea tal-Enerġija Atomika, minn naħa waħda, u r-Renju Unit tal-Gran Brittanja u l-Irlanda ta’ Fuq, min-naħa l-oħra, </w:t>
      </w:r>
      <w:hyperlink r:id="rId11" w:history="1">
        <w:r>
          <w:rPr>
            <w:rStyle w:val="Hyperlink"/>
          </w:rPr>
          <w:t>ĠU L 149</w:t>
        </w:r>
      </w:hyperlink>
      <w:r>
        <w:t xml:space="preserve">, 30.4.2021, p. 10 </w:t>
      </w:r>
    </w:p>
  </w:footnote>
  <w:footnote w:id="15">
    <w:p w14:paraId="2F9B4211" w14:textId="2081A089" w:rsidR="0088478D" w:rsidRPr="000068FE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Delegat tal-Kummissjoni (UE) 2021/1416 tas-17 ta’ Ġunju 2021 li jemenda d-Direttiva 2003/87/KE tal-Parlament Ewropew u tal-Kunsill, fir-rigward tal-esklużjoni ta’ titjiriet li jidħlu mir-Renju Unit mill-iskema tal-Unjoni għall-iskambju tal-kwoti tal-emissjonijiet, </w:t>
      </w:r>
      <w:hyperlink r:id="rId12" w:history="1">
        <w:r>
          <w:rPr>
            <w:rStyle w:val="Hyperlink"/>
          </w:rPr>
          <w:t>ĠU L 305</w:t>
        </w:r>
      </w:hyperlink>
      <w:r>
        <w:t xml:space="preserve">, 31.8.2021, p. 1 </w:t>
      </w:r>
    </w:p>
  </w:footnote>
  <w:footnote w:id="16">
    <w:p w14:paraId="08600B04" w14:textId="0E631F35" w:rsidR="0088478D" w:rsidRPr="002F0C85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Il-Komunikazzjoni tal-Kummissjoni dwar id-dħul fis-seħħ tal-Emenda ta’ Doha għall-Protokoll ta’ Kjoto għall-Konvenzjoni Qafas tan-Nazzjonijiet Uniti dwar it-Tibdil fil-Klima, </w:t>
      </w:r>
      <w:hyperlink r:id="rId13" w:history="1">
        <w:r>
          <w:rPr>
            <w:rStyle w:val="Hyperlink"/>
          </w:rPr>
          <w:t>ĠU C 432</w:t>
        </w:r>
      </w:hyperlink>
      <w:r>
        <w:t>, 14.12.2020, p. 1</w:t>
      </w:r>
    </w:p>
  </w:footnote>
  <w:footnote w:id="17">
    <w:p w14:paraId="25A55361" w14:textId="1BBAD514" w:rsidR="0088478D" w:rsidRPr="00B52A6C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tal-Kummissjoni (UE) Nru 389/2013 tat-2 ta’ Mejju 2013 li jistabbilixxi Reġistru tal-Unjoni skont id-Direttiva 2003/87/KE tal-Parlament Ewropew u tal-Kunsill, id-Deċiżjonijiet Nri 280/3004/KE u 406/2009/KE tal-Parlament Ewropew u tal-Kunsill, u li jħassar ir-Regolamenti tal-Kummissjoni (UE) Nri 920/2010 u 1193/2011, </w:t>
      </w:r>
      <w:hyperlink r:id="rId14" w:history="1">
        <w:r>
          <w:rPr>
            <w:rStyle w:val="Hyperlink"/>
          </w:rPr>
          <w:t>ĠU L 122</w:t>
        </w:r>
      </w:hyperlink>
      <w:r>
        <w:t>, 3.5.2013, p. 190</w:t>
      </w:r>
    </w:p>
  </w:footnote>
  <w:footnote w:id="18">
    <w:p w14:paraId="67934BC7" w14:textId="69444444" w:rsidR="0088478D" w:rsidRPr="00E554FC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Il-Ftehim bejn l-Unjoni Ewropea u l-Konfederazzjoni Żvizzera dwar il-kollegament tal-iskemi għall-iskambju ta’ kwoti tal-emissjonijiet ta’ gassijiet serra tagħhom, </w:t>
      </w:r>
      <w:hyperlink r:id="rId15" w:history="1">
        <w:r>
          <w:rPr>
            <w:rStyle w:val="Hyperlink"/>
          </w:rPr>
          <w:t>ĠU L 322</w:t>
        </w:r>
      </w:hyperlink>
      <w:r>
        <w:t>, 7.12.2017, p. 3</w:t>
      </w:r>
    </w:p>
  </w:footnote>
  <w:footnote w:id="19">
    <w:p w14:paraId="129ED65B" w14:textId="19DD1D4C" w:rsidR="0088478D" w:rsidRPr="00980547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Delegat tal-Kummissjoni (UE) 2019/1122 tat-12 ta’ Marzu 2019 li jissupplimenta d-Direttiva 2003/87/KE tal-Parlament Ewropew u tal-Kunsill fir-rigward tal-funzjonament tar-Reġistru tal-Unjoni, </w:t>
      </w:r>
      <w:hyperlink r:id="rId16" w:history="1">
        <w:r>
          <w:rPr>
            <w:rStyle w:val="Hyperlink"/>
          </w:rPr>
          <w:t>ĠU L 177</w:t>
        </w:r>
      </w:hyperlink>
      <w:r>
        <w:t>, 2.7.2019, p. 3</w:t>
      </w:r>
    </w:p>
  </w:footnote>
  <w:footnote w:id="20">
    <w:p w14:paraId="22221EF0" w14:textId="1DC2DBFE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In-numru ta’ kwoti tal-avjazzjoni mqiegħda fiċ-ċirkolazzjoni sa mill-2013 huwa r-riżultat ta’ approċċ minn isfel għal fuq li jibda minn allokazzjoni bla ħlas (iddeterminat fuq il-bażi ta’ parametri referenzjarji bbażati fuq l-attivitajiet għall-attività tal-operaturi fiż-ŻEE). In-numru ta’ kwoti rkantati mbagħad jinkiseb abbażi tal-fatt li l-allokazzjoni bla ħlas (inkluża riżerva speċjali għal distribuzzjoni għal operaturi ta’ inġenji tal-ajru li qegħdin jikbru malajr u għal entranti ġodda) jenħtieġ li tkun 85 % tal-volum totali. L-irkantar jirrappreżenta l-15 % li jifdal.</w:t>
      </w:r>
    </w:p>
  </w:footnote>
  <w:footnote w:id="21">
    <w:p w14:paraId="1209A772" w14:textId="7277B826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Iċ-ċifri aġġornati jinkludu skambji ta’ krediti internazzjonali għall-kwoti tal-EU ETS minbarra l-allokazzjoni bla ħlas u l-ammonti rkantati. </w:t>
      </w:r>
    </w:p>
  </w:footnote>
  <w:footnote w:id="22">
    <w:p w14:paraId="1769741E" w14:textId="5A435AF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Il-Ftehim dwar il-ħruġ tar-Renju Unit tal-Gran Brittanja u l-Irlanda ta’ Fuq mill-Unjoni Ewropea u mill-Komunità Ewropea tal-Enerġija Atomika, </w:t>
      </w:r>
      <w:hyperlink r:id="rId17" w:history="1">
        <w:r>
          <w:rPr>
            <w:rStyle w:val="Hyperlink"/>
          </w:rPr>
          <w:t>ĠU L 29</w:t>
        </w:r>
      </w:hyperlink>
      <w:r>
        <w:t>, 31.1.2020, p. 7</w:t>
      </w:r>
    </w:p>
  </w:footnote>
  <w:footnote w:id="23">
    <w:p w14:paraId="4398631D" w14:textId="4B1B9E1A" w:rsidR="0088478D" w:rsidRPr="00C8518F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" w:history="1">
        <w:r>
          <w:rPr>
            <w:rStyle w:val="Hyperlink"/>
          </w:rPr>
          <w:t>ĠU L 29</w:t>
        </w:r>
      </w:hyperlink>
      <w:r>
        <w:t xml:space="preserve"> (bħal hawn fuq)</w:t>
      </w:r>
    </w:p>
  </w:footnote>
  <w:footnote w:id="24">
    <w:p w14:paraId="7B1047A3" w14:textId="7777777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tal-Kummissjoni C/2020/1722 tas-16 ta’ Novembru 2020 dwar il-kwantità ta’ kwoti li se jinħarġu mal-Unjoni kollha skont l-Iskema tal-UE għan-Negozjar ta’ Emissjonijiet għall-2021, </w:t>
      </w:r>
      <w:hyperlink r:id="rId19" w:history="1">
        <w:r>
          <w:rPr>
            <w:rStyle w:val="Hyperlink"/>
          </w:rPr>
          <w:t>ĠU L 386</w:t>
        </w:r>
      </w:hyperlink>
      <w:r>
        <w:t>, 16.11.2020, p. 26</w:t>
      </w:r>
    </w:p>
  </w:footnote>
  <w:footnote w:id="25">
    <w:p w14:paraId="638593A9" w14:textId="7777777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Il-limitu massimu għall-2021 stabbilit fid-Deċiżjoni tal-Kummissjoni C/2020/1722 ma jinkludix il-kwantità ta’ kwoti li għandhom jinħarġu skont il-Kapitolu II tad-Direttiva dwar l-Iskambju tal-Kwoti tal-Emissjonijiet fir-rigward tal-operaturi tal-inġenji tal-ajru. Din il-kwantità hija r-riżultat ta’ approċċ minn isfel għal fuq li jibda mill-allokazzjoni bla ħlas għall-avjazzjoni, kif spjegat fl-Avviż dwar il-kwantità ta’ kwoti għall-Unjoni kollha għall-2021 u r-Riżerva tal-Istabbiltà tas-Suq skont is-Sistema tal-UE għan-Negozjar tal-Emissjonijiet, </w:t>
      </w:r>
      <w:hyperlink r:id="rId20" w:history="1">
        <w:r>
          <w:rPr>
            <w:rStyle w:val="Hyperlink"/>
          </w:rPr>
          <w:t>ĠU C 428I</w:t>
        </w:r>
      </w:hyperlink>
      <w:r>
        <w:t>, 11.12.2020, p. 1</w:t>
      </w:r>
    </w:p>
  </w:footnote>
  <w:footnote w:id="26">
    <w:p w14:paraId="33699DC0" w14:textId="1EB60CDE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Il-limitu massimu għall-fażi 4 jirrifletti l-pubblikazzjoni wara l-BREXIT tal-volum totali tal-kwoti tal-EU ETS fid-Deċiżjoni tal-Kummissjoni (UE) 2020/1722. </w:t>
      </w:r>
    </w:p>
  </w:footnote>
  <w:footnote w:id="27">
    <w:p w14:paraId="7C13F09A" w14:textId="095F9D8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tal-Kummissjoni tas-27 ta’ Ottubru 2014 li tiddetermina, skont id-Direttiva 2003/87/KE tal-Parlament Ewropew u tal-Kunsill, lista ta’ setturi u subsetturi meqjusa li huma esposti għal riskju sinifikanti ta’ rilokazzjoni tal-emissjonijiet tal-karbonju għall-perjodu mill-2015 sal-2019, </w:t>
      </w:r>
      <w:hyperlink r:id="rId21" w:history="1">
        <w:r>
          <w:rPr>
            <w:rStyle w:val="Hyperlink"/>
          </w:rPr>
          <w:t>ĠU L 308</w:t>
        </w:r>
      </w:hyperlink>
      <w:r>
        <w:t xml:space="preserve">, 29.10.2014, p. 114 </w:t>
      </w:r>
    </w:p>
  </w:footnote>
  <w:footnote w:id="28">
    <w:p w14:paraId="5199BE13" w14:textId="2536000D" w:rsidR="0088478D" w:rsidRPr="000B7D11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tal-Kummissjoni 2013/448/UE tal-5 ta’ Settembru 2013 dwar miżuri ta’ implimentazzjoni nazzjonali għall-allokazzjoni tranżizzjonali mingħajr ħlas ta’ kwoti tal-emissjonijiet ta’ gassijiet serra skont l-Artikolu 11(3) tad-Direttiva 2003/87/KE tal-Parlament Ewropew u tal-Kunsill, </w:t>
      </w:r>
      <w:hyperlink r:id="rId22" w:history="1">
        <w:r>
          <w:rPr>
            <w:rStyle w:val="Hyperlink"/>
          </w:rPr>
          <w:t>ĠU L 240</w:t>
        </w:r>
      </w:hyperlink>
      <w:r>
        <w:t>, 7.9.2013, p. 27</w:t>
      </w:r>
    </w:p>
  </w:footnote>
  <w:footnote w:id="29">
    <w:p w14:paraId="37C6D1DE" w14:textId="77777777" w:rsidR="0088478D" w:rsidRPr="000B7D11" w:rsidRDefault="0088478D" w:rsidP="00061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Style w:val="FootnoteReference"/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Id-Deċiżjoni tal-Kummissjoni 2017/126/UE tal-24 ta’ Jannar 2017 li temenda d-Deċiżjoni 2013/448/UE fir-rigward tal-istabbiliment ta’ fattur ta’ korrezzjoni transsettorjali uniformi f’konformità mal-Artikolu 10a tad-Direttiva 2003/87/KE tal-Parlament Ewropew u tal-Kunsill, </w:t>
      </w:r>
      <w:hyperlink r:id="rId23" w:history="1">
        <w:r>
          <w:rPr>
            <w:rStyle w:val="Hyperlink"/>
            <w:rFonts w:ascii="Times New Roman" w:hAnsi="Times New Roman"/>
            <w:sz w:val="18"/>
            <w:szCs w:val="18"/>
          </w:rPr>
          <w:t>ĠU L 19</w:t>
        </w:r>
      </w:hyperlink>
      <w:r>
        <w:rPr>
          <w:rFonts w:ascii="Times New Roman" w:hAnsi="Times New Roman"/>
          <w:sz w:val="18"/>
          <w:szCs w:val="18"/>
        </w:rPr>
        <w:t>, 25.1.2017, p. 93</w:t>
      </w:r>
    </w:p>
  </w:footnote>
  <w:footnote w:id="30">
    <w:p w14:paraId="17BA83B5" w14:textId="3C27CE80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Għalkemm f’rapporti preċedenti dwar is-suq tal-karbonju, id-</w:t>
      </w:r>
      <w:r>
        <w:rPr>
          <w:i/>
          <w:iCs/>
        </w:rPr>
        <w:t>data</w:t>
      </w:r>
      <w:r>
        <w:t xml:space="preserve"> kienet ibbażata fuq notifiki mill-pajjiżi parteċipanti sottomessi kull sena sal-aħħar ta’ Ġunju, fir-rapporti dwar is-suq tal-karbonju ta’ din is-sena u tas-sena li għaddiet, id-</w:t>
      </w:r>
      <w:r>
        <w:rPr>
          <w:i/>
          <w:iCs/>
        </w:rPr>
        <w:t>data</w:t>
      </w:r>
      <w:r>
        <w:t xml:space="preserve"> hija bbażata fuq ir-Reġistru tal-UE b’dati cut-off sat-30 ta’ Ġunju 2021 u 2020 rispettivament. Dan l-approċċ il-ġdid intgħażel biex jirrifletti b’mod aktar preċiż l-allokazzjonijiet kif iseħħu u jiġu rreġistrati fir-Reġistru.</w:t>
      </w:r>
    </w:p>
  </w:footnote>
  <w:footnote w:id="31">
    <w:p w14:paraId="7D4277F3" w14:textId="10DBE1D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Il-volum inizjali tal-allokazzjonijiet, qabel l-applikazzjoni tal-fattur ta’ korrezzjoni transsettorjali. </w:t>
      </w:r>
    </w:p>
  </w:footnote>
  <w:footnote w:id="32">
    <w:p w14:paraId="7A0099B6" w14:textId="72D7179B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L-allokazzjoni għar-Renju Unit (48,0 miljun kwota tat-total għall-2019), li ġiet sospiża fl-2019 minħabba l-miżuri ta’ salvagwardja għall-ħarsien tal-integrità ambjentali tal-EU ETS f’każijiet fejn il-liġi tal-UE ma tibqax tapplika għal Stat Membru li joħroġ mill-UE, issoktat fl-2020. </w:t>
      </w:r>
    </w:p>
  </w:footnote>
  <w:footnote w:id="33">
    <w:p w14:paraId="4ACD0C50" w14:textId="73E58A1E" w:rsidR="0088478D" w:rsidRPr="00061279" w:rsidRDefault="0088478D" w:rsidP="00061279">
      <w:pPr>
        <w:pStyle w:val="Comment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Id-</w:t>
      </w:r>
      <w:r>
        <w:rPr>
          <w:rFonts w:ascii="Times New Roman" w:hAnsi="Times New Roman"/>
          <w:sz w:val="18"/>
          <w:szCs w:val="18"/>
        </w:rPr>
        <w:t xml:space="preserve">Deċiżjoni (UE) 2015/1814 tal-Parlament Ewropew u tal-Kunsill tas-6 ta’ Ottubru 2015 dwar l-istabbiliment u l-funzjonament ta’ riżerva tal-istabbiltà tas-suq għall-iskema ta’ skambju tal-emissjonijiet tal-gassijiet serra tal-Unjoni u li temenda d-Direttiva 2003/87/KE, </w:t>
      </w:r>
      <w:hyperlink r:id="rId24" w:history="1">
        <w:r>
          <w:rPr>
            <w:rStyle w:val="Hyperlink"/>
            <w:rFonts w:ascii="Times New Roman" w:hAnsi="Times New Roman"/>
            <w:sz w:val="18"/>
            <w:szCs w:val="18"/>
          </w:rPr>
          <w:t>ĠU L 264</w:t>
        </w:r>
      </w:hyperlink>
      <w:r>
        <w:rPr>
          <w:rFonts w:ascii="Times New Roman" w:hAnsi="Times New Roman"/>
          <w:sz w:val="18"/>
          <w:szCs w:val="18"/>
        </w:rPr>
        <w:t>, 6.10.2015, p. 1</w:t>
      </w:r>
      <w:r>
        <w:t xml:space="preserve"> </w:t>
      </w:r>
    </w:p>
  </w:footnote>
  <w:footnote w:id="34">
    <w:p w14:paraId="1F9D6ECD" w14:textId="211E1614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tal-Kummissjoni (UE) Nru 1031/2010 tat-12 ta’ Novembru 2010 dwar l-għażla taż-żmien, l-amministrazzjoni u aspetti oħra ta’ rkantar ta’ kwoti ta’ emissjonijiet ta’ gassijiet serra skont id-Direttiva 2003/87/KE tal-Parlament Ewropew u tal-Kunsill li tistabbilixxi skema għall-iskambju ta’ kwoti ta’ emissjonijiet ta’ gassijiet serra ġewwa l-Komunità, </w:t>
      </w:r>
      <w:hyperlink r:id="rId25" w:history="1">
        <w:r>
          <w:rPr>
            <w:rStyle w:val="Hyperlink"/>
          </w:rPr>
          <w:t>ĠU L 302</w:t>
        </w:r>
      </w:hyperlink>
      <w:r>
        <w:t>, 18.11.2010, p. 1</w:t>
      </w:r>
    </w:p>
  </w:footnote>
  <w:footnote w:id="35">
    <w:p w14:paraId="3ED4C876" w14:textId="7777777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Il-volumi tal-kwoti ġenerali ġew iddeterminati b’kunsiderazzjoni tad-Deċiżjoni 1359/2013/UE. Il-volumi tal-kwoti tal-avjazzjoni ġew stabbiliti b’kunsiderazzjoni tad-Deċiżjoni Nru 377/2013/UE u tar-Regolament (UE) Nru 421/2014. </w:t>
      </w:r>
    </w:p>
  </w:footnote>
  <w:footnote w:id="36">
    <w:p w14:paraId="041B2984" w14:textId="7777777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Fl-2012 saru l-irkantijiet bikrija tal-kwoti tal-fażi 3 minħabba l-prattika kummerċjali mifruxa fis-settur tal-elettriku ta’ bejgħ ta’ enerġija fuq bażi bil-quddiem u xiri tal-inputs meħtieġa (inkluż il-kwoti) meta jbigħu l-produzzjoni tagħhom.</w:t>
      </w:r>
    </w:p>
  </w:footnote>
  <w:footnote w:id="37">
    <w:p w14:paraId="672634FA" w14:textId="4EFC687C" w:rsidR="0088478D" w:rsidRPr="00BC0208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It-tabella tinkludi l-volumi tal-irkant għall-EU27 + ir-Renju Unit + l-Iżlanda, il-Liechtenstein u n-Norveġja (ħlief għall-2021, li ma tinkludix </w:t>
      </w:r>
      <w:r>
        <w:rPr>
          <w:i/>
          <w:iCs/>
        </w:rPr>
        <w:t>data</w:t>
      </w:r>
      <w:r>
        <w:t xml:space="preserve"> dwar ir-Renju Unit). </w:t>
      </w:r>
    </w:p>
  </w:footnote>
  <w:footnote w:id="38">
    <w:p w14:paraId="7CA87630" w14:textId="59D94F45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 w:history="1">
        <w:r>
          <w:rPr>
            <w:rStyle w:val="Hyperlink"/>
          </w:rPr>
          <w:t>L-irkantar fl-EU ETS</w:t>
        </w:r>
      </w:hyperlink>
    </w:p>
  </w:footnote>
  <w:footnote w:id="39">
    <w:p w14:paraId="4C4792FC" w14:textId="7777777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In-numri kollha jinkludu kwoti rkantati għall-Fondi għall-Innovazzjoni u l-Modernizzazzjoni.</w:t>
      </w:r>
    </w:p>
  </w:footnote>
  <w:footnote w:id="40">
    <w:p w14:paraId="65CAF796" w14:textId="513A3684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L-Artikolu 3d(4) tad-Direttiva dwar l-Iskambju tal-Kwoti tal-Emissjonijiet</w:t>
      </w:r>
    </w:p>
  </w:footnote>
  <w:footnote w:id="41">
    <w:p w14:paraId="0548EF19" w14:textId="3D831B36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Tinsab informazzjoni dettaljata dwar l-użu tad-dħul mill-irkantar mill-Istati Membri fir-Rapport ta’ Progress tal-UE dwar l-Azzjoni Klimatika għall-2021 COM(2021)960.</w:t>
      </w:r>
    </w:p>
  </w:footnote>
  <w:footnote w:id="42">
    <w:p w14:paraId="5D572656" w14:textId="7EE9E635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Il-Bulgarija, Ċipru, iċ-Ċekja, l-Estonja, l-Ungerija, il-Latvja, il-Litwanja, Malta, il-Polonja u r-Rumanija kienu eliġibbli li jagħmlu użu mid-deroga tal-Artikolu 10c. Malta u l-Latvja ddeċidew li ma jagħmlux dan fil-fażi 3.</w:t>
      </w:r>
    </w:p>
  </w:footnote>
  <w:footnote w:id="43">
    <w:p w14:paraId="35B0FB53" w14:textId="3A4A3B4D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Il-Linji Gwida dwar ċerti miżuri ta’ għajnuna mill-Istat fil-kuntest tal-iskema għall-iskambju ta’ kwoti ta’ emissjonijiet ta’ gassijiet serra għal wara l-2012, </w:t>
      </w:r>
      <w:hyperlink r:id="rId27" w:history="1">
        <w:r>
          <w:rPr>
            <w:rStyle w:val="Hyperlink"/>
          </w:rPr>
          <w:t>ĠU C 158</w:t>
        </w:r>
      </w:hyperlink>
      <w:r>
        <w:t>, 5.6.2012, p. 4</w:t>
      </w:r>
    </w:p>
  </w:footnote>
  <w:footnote w:id="44">
    <w:p w14:paraId="412E85F2" w14:textId="3071BD4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In-numru ta’ kwoti tal-Artikolu 10c inklużi fl-Illustrazzjoni 4 jista’ jinkludi kwoti maħruġa b’dewmien għas-snin preċedenti. L-ammonti rilevanti kull sena huma indikati fl-EUTL.</w:t>
      </w:r>
    </w:p>
  </w:footnote>
  <w:footnote w:id="45">
    <w:p w14:paraId="2B23A74B" w14:textId="68AD4B7D" w:rsidR="0088478D" w:rsidRPr="00F543BE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L-Illustrazzjoni 5 tinkludi volumi għall-irkantar, sa u inkluż il-kalendarju tal-irkantar tal-2021. Il-kwoti ttrasferiti mill-2013 għall-fażi 4 (912 630) oriġinarjament kienu maħsuba li jiġu allokati lil ħames installazzjonijiet Ungeriżi, li fl-2014 ġie ddeterminat li kienu ineliġibbli biex jirċievu l-allokazzjoni. Fis-27 ta’ Settembru 2019, skont l-Artikoli 10c(5) u 10d(4) tad-Direttiva dwar l-Iskambju tal-Kwoti tal-Emissjonijiet riveduta, l-Ungerija informat lill-Kummissjoni bl-intenzjoni tagħha li tuża kull waħda mid-912 630 kwota tal-Artikolu 10c, li ma kinux ġew allokati sal-2020, għall-implimentazzjoni tad-deroga tal-Artikolu 10c fil-fażi 4. </w:t>
      </w:r>
    </w:p>
  </w:footnote>
  <w:footnote w:id="46">
    <w:p w14:paraId="3F946077" w14:textId="2DBDA6C0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F’konformità mal-Artikolu 10c(2), kull Stat Membru li jkollu l-ħsieb li jagħmel użu minn allokazzjoni tranżizzjonali bla ħlas fakultattiva għall-modernizzazzjoni tas-settur tal-enerġija fil-fażi 4 kellu, sat-30 ta’ Ġunju 2019, jippubblika qafas nazzjonali dettaljat u/jew lista ta’ proġetti żgħar li se jiġu appoġġati. Il-Bulgarija, l-Ungerija u r-Rumanija biss għamluh dan. F’konformità mal-Artikolu 10c(5), l-Istati Membri kellhom sat-30 ta’ Settembru 2019 biex jiddeċiedu li jużaw allokazzjoni bla ħlas mhux allokata mill-fażi 3 għall-allokazzjoni tranżizzjonali bla ħlas fakultattiva fil-fażi 4 jew li jirkantaw dawn il-kwoti (ara t-Tabella 6.3 tal-Appendiċi 6 tad-dokument ta’ ħidma tal-persunal li jakkumpanja dan ir-rapport). </w:t>
      </w:r>
    </w:p>
  </w:footnote>
  <w:footnote w:id="47">
    <w:p w14:paraId="02584356" w14:textId="2A8FAE90" w:rsidR="0088478D" w:rsidRPr="00F31B2B" w:rsidRDefault="0088478D" w:rsidP="00AB73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Linji Gwida dwar ċerti miżuri ta’ għajnuna mill-Istat fil-kuntest tas-sistema għall-iskambju ta’ kwoti ta’ emissjonijiet ta’ gassijiet serra għal wara l-2021,</w:t>
      </w:r>
      <w:r>
        <w:t xml:space="preserve"> </w:t>
      </w:r>
      <w:hyperlink r:id="rId28" w:history="1">
        <w:r>
          <w:rPr>
            <w:rStyle w:val="Hyperlink"/>
            <w:rFonts w:ascii="Times New Roman" w:hAnsi="Times New Roman"/>
            <w:sz w:val="18"/>
            <w:szCs w:val="18"/>
          </w:rPr>
          <w:t>ĠU C 317</w:t>
        </w:r>
      </w:hyperlink>
      <w:r>
        <w:rPr>
          <w:rFonts w:ascii="Times New Roman" w:hAnsi="Times New Roman"/>
          <w:sz w:val="18"/>
          <w:szCs w:val="18"/>
        </w:rPr>
        <w:t>, 25.9.2020, p. 5</w:t>
      </w:r>
    </w:p>
  </w:footnote>
  <w:footnote w:id="48">
    <w:p w14:paraId="27F3ACA1" w14:textId="610B8B49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Fil-fażi 4, il-Bulgarija, il-Kroazja, iċ-Ċekja, l-Estonja, l-Ungerija, il-Latvja, il-Litwanja, il-Polonja, is-Slovakkja u r-Rumanija huma eliġibbli li jużaw id-deroga tal-Artikolu 10c.</w:t>
      </w:r>
    </w:p>
  </w:footnote>
  <w:footnote w:id="49">
    <w:p w14:paraId="041C1648" w14:textId="06171D09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Il-proġetti operattivi bdew jaħdmu u qegħdin jiġu implimentati, filwaqt li l-proġetti li tlestew ma għadhomx jitħaddmu.</w:t>
      </w:r>
    </w:p>
  </w:footnote>
  <w:footnote w:id="50">
    <w:p w14:paraId="1B911855" w14:textId="6E16F056" w:rsidR="0088478D" w:rsidRPr="003B7CB3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ta’ Implimentazzjoni tal-Kummissjoni </w:t>
      </w:r>
      <w:hyperlink r:id="rId29" w:history="1">
        <w:r>
          <w:rPr>
            <w:rStyle w:val="Hyperlink"/>
          </w:rPr>
          <w:t>C(2021)1712</w:t>
        </w:r>
      </w:hyperlink>
      <w:r>
        <w:t xml:space="preserve"> li temenda d-Deċiżjonijiet ta’ Implimentazzjoni C(2012)9432 u C(2014)4493 fir-rigward ta’ ċerti proġetti taħt il-programm ta’ finanzjament tal-NER 300, b’mod partikolari dawk affettwati mill-pandemija tal-COVID-19</w:t>
      </w:r>
    </w:p>
  </w:footnote>
  <w:footnote w:id="51">
    <w:p w14:paraId="5B0C27BF" w14:textId="43FD0564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tal-Kummissjoni (UE) 2017/2172 tal-20 ta’ Novembru 2017 li temenda d-Deċiżjoni 2010/670/UE rigward l-użu ta’ dħul mhux imqassam mill-ewwel serje ta’ sejħiet għal proposti, </w:t>
      </w:r>
      <w:hyperlink r:id="rId30" w:history="1">
        <w:r>
          <w:rPr>
            <w:rStyle w:val="Hyperlink"/>
          </w:rPr>
          <w:t>ĠU L 306</w:t>
        </w:r>
      </w:hyperlink>
      <w:r>
        <w:t>, 22.11.2017, p. 24</w:t>
      </w:r>
    </w:p>
  </w:footnote>
  <w:footnote w:id="52">
    <w:p w14:paraId="4C51FBD5" w14:textId="3618F52D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L-ammont jiddependi mill-prezz tal-karbonju; il-prezz tal-karbonju użat hawnhekk huwa ta’ EUR 40. Fil-pakkett għat-twettiq tal-Patt Ekoloġiku Ewropew, il-Kummissjoni tipproponi li żżid b’mod sostanzjali l-volum tal-Fond għall-Innovazzjoni.</w:t>
      </w:r>
    </w:p>
  </w:footnote>
  <w:footnote w:id="53">
    <w:p w14:paraId="711A1151" w14:textId="6BA44B9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Il-Fond għall-Innovazzjoni: </w:t>
      </w:r>
      <w:hyperlink r:id="rId31" w:history="1">
        <w:r>
          <w:rPr>
            <w:rStyle w:val="Hyperlink"/>
          </w:rPr>
          <w:t>sejħa għall-proġetti fuq skala kbira</w:t>
        </w:r>
      </w:hyperlink>
    </w:p>
  </w:footnote>
  <w:footnote w:id="54">
    <w:p w14:paraId="5384A949" w14:textId="2190E20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Il-Fond għall-Innovazzjoni: </w:t>
      </w:r>
      <w:hyperlink r:id="rId32" w:history="1">
        <w:r>
          <w:rPr>
            <w:rStyle w:val="Hyperlink"/>
          </w:rPr>
          <w:t>sejħa għal proġetti żgħar</w:t>
        </w:r>
      </w:hyperlink>
    </w:p>
  </w:footnote>
  <w:footnote w:id="55">
    <w:p w14:paraId="5923B80B" w14:textId="327A08A5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L-Istati Membri benefiċjarji huma l-Bulgarija, il-Kroazja, iċ-Ċekja, l-Estonja, l-Ungerija, il-Latvja, il-Litwanja, il-Polonja, ir-Rumanija u s-Slovakkja.</w:t>
      </w:r>
    </w:p>
  </w:footnote>
  <w:footnote w:id="56">
    <w:p w14:paraId="2A0FB95A" w14:textId="762928A3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L-ammont jiddependi mill-prezz tal-karbonju; il-prezz tal-karbonju użat hawnhekk huwa ta’ EUR 40. Fil-pakkett għat-twettiq tal-Patt Ekoloġiku Ewropew, il-Kummissjoni tipproponi li żżid il-volum tal-Fond għall-Modernizzazzjoni bi 2,5 % addizzjonali tal-limitu massimu.</w:t>
      </w:r>
    </w:p>
  </w:footnote>
  <w:footnote w:id="57">
    <w:p w14:paraId="6B8FCA72" w14:textId="4E37A73D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Dan il-volum jinkludi t-trasferimenti magħmula lill-Fond għall-Modernizzazzjoni mill-Istati Membri mill-ġabriet ta’ kwoti skont l-Artikoli 10(2b) u 10c tad-Direttiva dwar l-Iskambju tal-Kwoti tal-Emissjonijiet. Il-volum inizjali tal-Fond għall-Modernizzazzjoni jammonta għal kważi 276 miljun kwota (Ara t-Tabella 7.3 tal-Appendiċi 7 tad-dokument ta’ ħidma tal-persunal li jakkumpanja dan ir-rapport). </w:t>
      </w:r>
    </w:p>
  </w:footnote>
  <w:footnote w:id="58">
    <w:p w14:paraId="008B32A4" w14:textId="594F5303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Il-Linji Gwida dwar ċerti miżuri ta’ għajnuna mill-Istat fil-kuntest tal-iskema għall-iskambju ta’ kwoti ta’ emissjonijiet ta’ gassijiet serra għal wara l-2012, </w:t>
      </w:r>
      <w:hyperlink r:id="rId33" w:history="1">
        <w:r>
          <w:rPr>
            <w:rStyle w:val="Hyperlink"/>
          </w:rPr>
          <w:t>ĠU C 158</w:t>
        </w:r>
      </w:hyperlink>
      <w:r>
        <w:t>, 5.6.2012, p. 4</w:t>
      </w:r>
    </w:p>
  </w:footnote>
  <w:footnote w:id="59">
    <w:p w14:paraId="26F6006F" w14:textId="433874F0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Linji Gwida dwar ċerti miżuri ta’ għajnuna mill-Istat fil-kuntest tal-iskema għall-iskambju ta’ kwoti ta’ emissjonijiet ta’ gassijiet serra għal wara l-2021, </w:t>
      </w:r>
      <w:hyperlink r:id="rId34" w:history="1">
        <w:r>
          <w:rPr>
            <w:rStyle w:val="Hyperlink"/>
          </w:rPr>
          <w:t>ĠU C 317</w:t>
        </w:r>
      </w:hyperlink>
      <w:r>
        <w:t>, 25.9.2020, p. 5</w:t>
      </w:r>
    </w:p>
  </w:footnote>
  <w:footnote w:id="60">
    <w:p w14:paraId="416D17A8" w14:textId="77777777" w:rsidR="0088478D" w:rsidRPr="00700047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SA.58608</w:t>
      </w:r>
    </w:p>
  </w:footnote>
  <w:footnote w:id="61">
    <w:p w14:paraId="11315750" w14:textId="77777777" w:rsidR="0088478D" w:rsidRPr="00700047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SA.60787</w:t>
      </w:r>
    </w:p>
  </w:footnote>
  <w:footnote w:id="62">
    <w:p w14:paraId="471BCE6E" w14:textId="4F3B0862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Il-Kummissjoni ma rċeviet l-ebda </w:t>
      </w:r>
      <w:r>
        <w:rPr>
          <w:i/>
          <w:iCs/>
        </w:rPr>
        <w:t>data</w:t>
      </w:r>
      <w:r>
        <w:t xml:space="preserve"> kompluta dwar il-kumpens għall-ispejjeż indiretti għar-Rumanija. Fir-rigward tar-Renju Unit, l-ebda dħul mill-irkantar ma huwa inkluż peress li l-ebda kwota ma ġiet irkantata fl-2019 f’isem ir-Renju Unit f’konformità mal-miżuri ta’ salvagwardja adottati sabiex tiġi mħarsa l-integrità ambjentali tal-EU ETS f’każijiet meta l-liġi tal-UE ma tibqax tapplika għal Stat Membru li joħroġ mill-UE.</w:t>
      </w:r>
    </w:p>
  </w:footnote>
  <w:footnote w:id="63">
    <w:p w14:paraId="28019564" w14:textId="5D107763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Il-Mekkaniżmu għal Żvilupp Nadif u l-proġetti ta’ Implimentazzjoni Konġunta jiġġeneraw krediti tal-karbonju ta’ Kjoto: Tnaqqis Iċċertifikat ta’ Emissjonijiet u Unitajiet ta’ Tnaqqis tal-Emissjonijiet rispettivament.</w:t>
      </w:r>
    </w:p>
  </w:footnote>
  <w:footnote w:id="64">
    <w:p w14:paraId="170D7851" w14:textId="56513DB0" w:rsidR="0088478D" w:rsidRPr="00974E6F" w:rsidRDefault="0088478D" w:rsidP="00666776">
      <w:pPr>
        <w:pStyle w:val="FootnoteText"/>
      </w:pPr>
      <w:r>
        <w:rPr>
          <w:rStyle w:val="FootnoteReference"/>
          <w:lang w:val="en-IE"/>
        </w:rPr>
        <w:footnoteRef/>
      </w:r>
      <w:r>
        <w:t xml:space="preserve"> L-iskambju ta’ krediti internazzjonali kien possibbli sal-aħħar ta’ April tal-2021, jiġifieri t-tmiem taċ-ċiklu ta’ konformità tal-2020. </w:t>
      </w:r>
    </w:p>
  </w:footnote>
  <w:footnote w:id="65">
    <w:p w14:paraId="1CFCFFAC" w14:textId="7E4D2E7F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Iċ-Ċifri għall-EU27 + ir-Renju Unit + l-Iżlanda, il-Liechtenstein u n-Norveġja. Il-kategorizzazzjoni fil-ġenerazzjoni tal-elettriku u tas-sħana u fl-industrija fit-Tabella 7 hija bbażata fuq il-klassifikazzjoni tan-NACE mis-sottomissjoni tal-2020 mill-Istati Membri tal-Miżuri Nazzjonali ta’ Traspożizzjoni tagħhom skont l-Artikolu 11 tad-Direttiva dwar l-Iskambju tal-Kwoti tal-Emissjonijiet.  </w:t>
      </w:r>
    </w:p>
  </w:footnote>
  <w:footnote w:id="66">
    <w:p w14:paraId="65A3A6E0" w14:textId="5011045F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Dan il-perċentwal jirrifletti biss ir-rata ta’ tkabbir tal-PDG fl-EU27, peress li d-</w:t>
      </w:r>
      <w:r>
        <w:rPr>
          <w:i/>
          <w:iCs/>
        </w:rPr>
        <w:t>data</w:t>
      </w:r>
      <w:r>
        <w:t xml:space="preserve"> tal-EU27 + tar-Renju Unit għall-2020 ma hijiex disponibbli. Il-bqija tar-rati ta’ tkabbir sal-2019 jirriflettu l-EU27 + ir-Renju Unit.</w:t>
      </w:r>
    </w:p>
  </w:footnote>
  <w:footnote w:id="67">
    <w:p w14:paraId="7A7A45D7" w14:textId="164B8C54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</w:t>
      </w:r>
      <w:r>
        <w:rPr>
          <w:i/>
          <w:iCs/>
        </w:rPr>
        <w:t>data</w:t>
      </w:r>
      <w:r>
        <w:t xml:space="preserve"> tar-Renju Unit hija inkluża sal-2019. Fl-2020, hija inkluża biss id-</w:t>
      </w:r>
      <w:r>
        <w:rPr>
          <w:i/>
          <w:iCs/>
        </w:rPr>
        <w:t>data</w:t>
      </w:r>
      <w:r>
        <w:t xml:space="preserve"> tal-Irlanda ta’ Fuq. Ir-Renju Unit ma ssottomettiex rapport tal-Artikolu 21 fl-2021.</w:t>
      </w:r>
    </w:p>
  </w:footnote>
  <w:footnote w:id="68">
    <w:p w14:paraId="4658FBB4" w14:textId="489386F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Ir-Renju Unit ma ssottomettiex rapport tal-Artikolu 21 fl-2021.</w:t>
      </w:r>
    </w:p>
  </w:footnote>
  <w:footnote w:id="69">
    <w:p w14:paraId="73ADD442" w14:textId="5616FDC9" w:rsidR="0088478D" w:rsidRPr="00976675" w:rsidRDefault="0088478D" w:rsidP="00313428">
      <w:pPr>
        <w:pStyle w:val="Caption"/>
        <w:spacing w:after="0" w:line="240" w:lineRule="auto"/>
        <w:jc w:val="both"/>
      </w:pPr>
      <w:r>
        <w:rPr>
          <w:rStyle w:val="FootnoteReference"/>
          <w:rFonts w:ascii="Times New Roman" w:hAnsi="Times New Roman"/>
          <w:b w:val="0"/>
          <w:sz w:val="18"/>
        </w:rPr>
        <w:footnoteRef/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bCs w:val="0"/>
          <w:sz w:val="18"/>
          <w:szCs w:val="18"/>
        </w:rPr>
        <w:t xml:space="preserve">Id-Direttiva (UE) 2018/2001 tal-Parlament Ewropew u tal-Kunsill tal-11 ta’ Diċembru 2018 dwar il-promozzjoni tal-użu tal-enerġija minn sorsi rinnovabbli, </w:t>
      </w:r>
      <w:hyperlink r:id="rId35" w:history="1">
        <w:r>
          <w:rPr>
            <w:rStyle w:val="Hyperlink"/>
            <w:rFonts w:ascii="Times New Roman" w:hAnsi="Times New Roman"/>
            <w:b w:val="0"/>
            <w:bCs w:val="0"/>
            <w:sz w:val="18"/>
            <w:szCs w:val="18"/>
          </w:rPr>
          <w:t>ĠU L 328</w:t>
        </w:r>
      </w:hyperlink>
      <w:r>
        <w:rPr>
          <w:rFonts w:ascii="Times New Roman" w:hAnsi="Times New Roman"/>
          <w:b w:val="0"/>
          <w:bCs w:val="0"/>
          <w:sz w:val="18"/>
          <w:szCs w:val="18"/>
        </w:rPr>
        <w:t>, 21.12.2018, p. 82</w:t>
      </w:r>
    </w:p>
  </w:footnote>
  <w:footnote w:id="70">
    <w:p w14:paraId="43E0A5BB" w14:textId="06D8D9F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L-installazzjonijiet tal-kategorija C jarmu aktar minn 500 000 tunnellata ta’ CO</w:t>
      </w:r>
      <w:r>
        <w:rPr>
          <w:vertAlign w:val="subscript"/>
        </w:rPr>
        <w:t>2</w:t>
      </w:r>
      <w:r>
        <w:t>eq fis-sena, l-installazzjonijiet tal-kategorija B jarmu bejn 500 000 u 50 000 tunnellata ta’ CO</w:t>
      </w:r>
      <w:r>
        <w:rPr>
          <w:vertAlign w:val="subscript"/>
        </w:rPr>
        <w:t>2</w:t>
      </w:r>
      <w:r>
        <w:t>eq fis-sena, u l-installazzjonijiet tal-kategorija A jarmu anqas minn 50 000 tunnellata ta’ CO</w:t>
      </w:r>
      <w:r>
        <w:rPr>
          <w:vertAlign w:val="subscript"/>
        </w:rPr>
        <w:t>2</w:t>
      </w:r>
      <w:r>
        <w:t>eq fis-sena. L-installazzjonijiet b’livelli baxxi ta’ emissjonijiet huma subsett tal-installazzjonijiet tal-kategorija A, li jemettu anqas minn 25 000 tunnellata ta’ CO</w:t>
      </w:r>
      <w:r>
        <w:rPr>
          <w:vertAlign w:val="subscript"/>
        </w:rPr>
        <w:t>2</w:t>
      </w:r>
      <w:r>
        <w:t>eq fis-sena.</w:t>
      </w:r>
    </w:p>
  </w:footnote>
  <w:footnote w:id="71">
    <w:p w14:paraId="026C3C72" w14:textId="1D71F4E5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It-tabella fiha d-</w:t>
      </w:r>
      <w:r>
        <w:rPr>
          <w:i/>
          <w:iCs/>
        </w:rPr>
        <w:t>data</w:t>
      </w:r>
      <w:r>
        <w:t xml:space="preserve"> tar-Renju Unit sal-2019, inklużiva. Il-linja turi l-emissjonijiet totali tal-bijomassa fl-ambitu attwali tal-EU ETS, filwaqt li l-iżbarri jinkludu r-Renju Unit. It-totali murija fit-tikketti jkopru l-ambitu attwali tal-EU ETS mingħajr ir-Renju Unit.</w:t>
      </w:r>
    </w:p>
  </w:footnote>
  <w:footnote w:id="72">
    <w:p w14:paraId="0D2C4CDB" w14:textId="103022BB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(UE) 2015/1814 tal-Parlament Ewropew u tal-Kunsill tas-6 ta’ Ottubru 2015 dwar l-istabbiliment u t-tħaddim ta’ riżerva tal-istabbiltà tas-suq għall-iskema ta’ skambju tal-emissjonijiet tal-gassijiet serra tal-Unjoni u li temenda d-Direttiva 2003/87/KE, </w:t>
      </w:r>
      <w:hyperlink r:id="rId36" w:history="1">
        <w:r>
          <w:rPr>
            <w:rStyle w:val="Hyperlink"/>
          </w:rPr>
          <w:t>ĠU L 264</w:t>
        </w:r>
      </w:hyperlink>
      <w:r>
        <w:t>, 9.10.2015, p. 1.</w:t>
      </w:r>
    </w:p>
  </w:footnote>
  <w:footnote w:id="73">
    <w:p w14:paraId="33FDB477" w14:textId="23E0BF0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Id-Direttiva (UE) 2018/410 tal-Parlament Ewropew u tal-Kunsill tal-14 ta’ Marzu 2018 li temenda d-Direttiva 2003/87/KE biex jiżdiedu t-tnaqqis kosteffettiv tal-emissjonijiet u l-investimenti għal emissjonijiet baxxi ta’ karbonju, u d-Deċiżjoni (UE) 2015/1814, </w:t>
      </w:r>
      <w:hyperlink r:id="rId37" w:history="1">
        <w:r>
          <w:rPr>
            <w:rStyle w:val="Hyperlink"/>
          </w:rPr>
          <w:t>ĠU L 76</w:t>
        </w:r>
      </w:hyperlink>
      <w:r>
        <w:t>, 19.3.2018, p. 3</w:t>
      </w:r>
    </w:p>
  </w:footnote>
  <w:footnote w:id="74">
    <w:p w14:paraId="6DE0BA28" w14:textId="22FD1222" w:rsidR="0088478D" w:rsidRPr="00C763B5" w:rsidRDefault="0088478D" w:rsidP="002E6DE2">
      <w:pPr>
        <w:pStyle w:val="Default"/>
        <w:jc w:val="both"/>
        <w:rPr>
          <w:color w:val="auto"/>
        </w:rPr>
      </w:pPr>
      <w:r>
        <w:rPr>
          <w:rStyle w:val="FootnoteReference"/>
          <w:color w:val="auto"/>
          <w:sz w:val="20"/>
          <w:szCs w:val="20"/>
        </w:rPr>
        <w:footnoteRef/>
      </w:r>
      <w:r>
        <w:rPr>
          <w:color w:val="auto"/>
          <w:sz w:val="20"/>
          <w:szCs w:val="20"/>
        </w:rPr>
        <w:t xml:space="preserve"> </w:t>
      </w:r>
      <w:hyperlink r:id="rId38" w:history="1">
        <w:r>
          <w:rPr>
            <w:rStyle w:val="Hyperlink"/>
            <w:sz w:val="18"/>
            <w:szCs w:val="20"/>
          </w:rPr>
          <w:t>C(2021)3266 final</w:t>
        </w:r>
      </w:hyperlink>
    </w:p>
  </w:footnote>
  <w:footnote w:id="75">
    <w:p w14:paraId="7E4EFB26" w14:textId="3EF26FC5" w:rsidR="0088478D" w:rsidRPr="00C763B5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 w:history="1">
        <w:r>
          <w:rPr>
            <w:rStyle w:val="Hyperlink"/>
          </w:rPr>
          <w:t>C(2017)3228 final</w:t>
        </w:r>
      </w:hyperlink>
    </w:p>
  </w:footnote>
  <w:footnote w:id="76">
    <w:p w14:paraId="34087619" w14:textId="2FF19C17" w:rsidR="0088478D" w:rsidRPr="00C763B5" w:rsidRDefault="0088478D" w:rsidP="00D21DEF">
      <w:pPr>
        <w:pStyle w:val="Default"/>
        <w:jc w:val="both"/>
        <w:rPr>
          <w:color w:val="auto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hyperlink r:id="rId40" w:history="1">
        <w:r>
          <w:rPr>
            <w:rStyle w:val="Hyperlink"/>
            <w:sz w:val="18"/>
            <w:szCs w:val="18"/>
          </w:rPr>
          <w:t>C(2021)3266 final</w:t>
        </w:r>
      </w:hyperlink>
    </w:p>
  </w:footnote>
  <w:footnote w:id="77">
    <w:p w14:paraId="43FDC78A" w14:textId="0D9AD4AE" w:rsidR="0088478D" w:rsidRPr="00AD7E35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Il-Valutazzjoni tal-Impatt tinstab fl-Anness 7 tal-</w:t>
      </w:r>
      <w:hyperlink r:id="rId41" w:history="1">
        <w:r>
          <w:rPr>
            <w:rStyle w:val="Hyperlink"/>
          </w:rPr>
          <w:t>SWD(2021)601 final</w:t>
        </w:r>
      </w:hyperlink>
      <w:r>
        <w:t>.</w:t>
      </w:r>
    </w:p>
  </w:footnote>
  <w:footnote w:id="78">
    <w:p w14:paraId="047443CF" w14:textId="44DC42C4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Proposta għal Direttiva tal-Parlament Ewropew u tal-Kunsill li temenda d-Direttiva 2003/87/KE li tistabbilixxi sistema għall-iskambju ta’ kwoti ta’ emissjonijiet ta’ gassijiet serra ġewwa l-Unjoni, id-Deċiżjoni (UE) 2015/1814 dwar l-istabbiliment u l-funzjonament ta’ riżerva tal-istabbiltà tas-suq għall-iskema ta’ negozjar tal-emissjonijiet tal-gassijiet serra tal-Unjoni u r-Regolament (UE) 2015/757, </w:t>
      </w:r>
      <w:hyperlink r:id="rId42" w:history="1">
        <w:r>
          <w:rPr>
            <w:rStyle w:val="Hyperlink"/>
          </w:rPr>
          <w:t>COM/2021/551 final</w:t>
        </w:r>
      </w:hyperlink>
      <w:r>
        <w:rPr>
          <w:rStyle w:val="Hyperlink"/>
        </w:rPr>
        <w:t xml:space="preserve"> u </w:t>
      </w:r>
      <w:r>
        <w:t xml:space="preserve">Proposta għal Deċiżjoni tal-Parlament Ewropew u tal-Kunsill li temenda d-Deċiżjoni (UE) 2015/1814 fir-rigward tal-ammont ta’ kwoti li għandhom jitqiegħdu fir-riżerva tal-istabbiltà tas-suq għall-iskema tal-Unjoni għan-negozjar ta’ kwoti ta’ emissjonijiet ta’ gassijiet serra sal-2030, </w:t>
      </w:r>
      <w:hyperlink r:id="rId43" w:history="1">
        <w:r>
          <w:rPr>
            <w:rStyle w:val="Hyperlink"/>
          </w:rPr>
          <w:t>COM/2021/571 final</w:t>
        </w:r>
      </w:hyperlink>
    </w:p>
  </w:footnote>
  <w:footnote w:id="79">
    <w:p w14:paraId="65111EDD" w14:textId="7777777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Inklużi 0,3 miljun tunnellata taħt l-ETS Żvizzera.</w:t>
      </w:r>
    </w:p>
  </w:footnote>
  <w:footnote w:id="80">
    <w:p w14:paraId="5CD9E1B8" w14:textId="2A22A77B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Minħabba l-ambitu differenti tal-EU ETS, il-bidla ma tistax titqabbel mas-sena ta’ qabel.</w:t>
      </w:r>
    </w:p>
  </w:footnote>
  <w:footnote w:id="81">
    <w:p w14:paraId="2DB53D17" w14:textId="26D5E056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Dawn in-numri ma jqisux l-għeluq tal-operaturi tal-inġenji tal-ajru kollha li għalqu u l-kwoti bla ħlas mir-riżerva speċjali għall-entranti l-ġodda u għall-operaturi li qegħdin jikbru malajr, u lanqas ir-redditi fl-2012 minħabba t-tibdil fl-ambitu.</w:t>
      </w:r>
    </w:p>
  </w:footnote>
  <w:footnote w:id="82">
    <w:p w14:paraId="1CF56EC1" w14:textId="7FEA18D2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Meta jitqiesu n-numri miżmuma minħabba l-għeluq ta’ operaturi tal-inġenji tal-ajru, l-allokazzjoni reali għall-2019 kienet tkun ta’ 4 miljuni taħt iċ-ċifra ppreżentata (ara n-nota 8 f’qiegħ il-paġna fl-Avviż C/2020/8643,</w:t>
      </w:r>
      <w:r>
        <w:rPr>
          <w:rStyle w:val="Hyperlink"/>
        </w:rPr>
        <w:t xml:space="preserve"> </w:t>
      </w:r>
      <w:hyperlink r:id="rId44" w:history="1">
        <w:r>
          <w:rPr>
            <w:rStyle w:val="Hyperlink"/>
          </w:rPr>
          <w:t>ĠU C 428</w:t>
        </w:r>
      </w:hyperlink>
      <w:r>
        <w:rPr>
          <w:rStyle w:val="Hyperlink"/>
        </w:rPr>
        <w:t>,</w:t>
      </w:r>
      <w:r>
        <w:t xml:space="preserve"> 11.12.2020, p. 1). L-allokazzjoni għar-Renju Unit (4,31 miljun kwota tat-total għall-2019), li ġiet sospiża fl-2019 minħabba l-miżuri ta’ salvagwardja adottati mill-Kummissjoni għall-ħarsien tal-integrità ambjentali tal-EU ETS f’każijiet fejn il-liġi tal-UE ma tibqax tapplika għal Stat Membru li joħroġ mill-UE, issoktat fl-2020.</w:t>
      </w:r>
    </w:p>
  </w:footnote>
  <w:footnote w:id="83">
    <w:p w14:paraId="0EA69BF6" w14:textId="04CD0551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Dan in-numru jqis it-titjiriet li jitilqu miż-ŻEE lejn l-Iżvizzera, u bejn iż-ŻEE u r-Renju Unit, f’konformità mal-Ftehim dwar il-Ħruġ.</w:t>
      </w:r>
    </w:p>
  </w:footnote>
  <w:footnote w:id="84">
    <w:p w14:paraId="28B9E889" w14:textId="5139440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Dan in-numru għadu ma jqisx it-titjiriet li jitilqu miż-ŻEE lejn ir-Renju Unit, li huma parti mill-EU ETS f’konformità mal-Ftehim dwar il-Kummerċ u l-Kooperazzjoni bejn l-UE u r-Renju Unit. </w:t>
      </w:r>
    </w:p>
  </w:footnote>
  <w:footnote w:id="85">
    <w:p w14:paraId="7F1AA423" w14:textId="126E90E1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Sal-aħħar ta’ Ġunju tal-2021.</w:t>
      </w:r>
    </w:p>
  </w:footnote>
  <w:footnote w:id="86">
    <w:p w14:paraId="6C5CC483" w14:textId="1FAA1622" w:rsidR="0088478D" w:rsidRDefault="0088478D" w:rsidP="00CC361B">
      <w:pPr>
        <w:spacing w:after="0" w:line="240" w:lineRule="auto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Id-Deċiżjoni Nru 377/2013/UE tal-Parlament Ewropew u tal-Kunsill tal-24 ta’ April 2013 għal deroga temporanja mid-Direttiva 2003/87/KE li tistabbilixxi skema għall-iskambju ta’ kwoti ta’ emissjonijiet ta’ gassijiet serra ġewwa l-Komunità, </w:t>
      </w:r>
      <w:hyperlink r:id="rId45" w:history="1">
        <w:r>
          <w:rPr>
            <w:rStyle w:val="Hyperlink"/>
            <w:rFonts w:ascii="Times New Roman" w:hAnsi="Times New Roman"/>
            <w:sz w:val="18"/>
            <w:szCs w:val="18"/>
          </w:rPr>
          <w:t>ĠU L 113</w:t>
        </w:r>
      </w:hyperlink>
      <w:r>
        <w:rPr>
          <w:rFonts w:ascii="Times New Roman" w:hAnsi="Times New Roman"/>
          <w:sz w:val="18"/>
          <w:szCs w:val="18"/>
        </w:rPr>
        <w:t>, 25.4.2013, p. 1</w:t>
      </w:r>
    </w:p>
  </w:footnote>
  <w:footnote w:id="87">
    <w:p w14:paraId="3DEBD75E" w14:textId="06907288" w:rsidR="0088478D" w:rsidRPr="00960A0B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(UE) Nru 421/2014 tal-Parlament Ewropew u tal-Kunsill tas-16 ta’ April 2014, </w:t>
      </w:r>
      <w:hyperlink r:id="rId46" w:history="1">
        <w:r>
          <w:rPr>
            <w:rStyle w:val="Hyperlink"/>
          </w:rPr>
          <w:t>ĠU L 129</w:t>
        </w:r>
      </w:hyperlink>
      <w:r>
        <w:t>, 30.4.2014, p. 1</w:t>
      </w:r>
    </w:p>
  </w:footnote>
  <w:footnote w:id="88">
    <w:p w14:paraId="73830133" w14:textId="7E409461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ICAO, </w:t>
      </w:r>
      <w:hyperlink r:id="rId47" w:history="1">
        <w:r>
          <w:rPr>
            <w:rStyle w:val="Hyperlink"/>
          </w:rPr>
          <w:t>C-WP/15209</w:t>
        </w:r>
      </w:hyperlink>
      <w:r>
        <w:t xml:space="preserve"> ta’ Mejju 2021</w:t>
      </w:r>
    </w:p>
  </w:footnote>
  <w:footnote w:id="89">
    <w:p w14:paraId="2640AC03" w14:textId="031F718A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Eurocontrol, </w:t>
      </w:r>
      <w:hyperlink r:id="rId48" w:history="1">
        <w:r>
          <w:rPr>
            <w:rStyle w:val="Hyperlink"/>
          </w:rPr>
          <w:t>L-impatt tal-COVID-19 fuq in-network Ewropew tat-traffiku tal-ajru</w:t>
        </w:r>
      </w:hyperlink>
      <w:r>
        <w:t xml:space="preserve"> ta’ Settembru 2021</w:t>
      </w:r>
    </w:p>
  </w:footnote>
  <w:footnote w:id="90">
    <w:p w14:paraId="2A528F6D" w14:textId="603A551A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(UE) 2017/2392 tal-Parlament Ewropew u tal-Kunsill tat-13 ta’ Diċembru 2017 li jemenda d-Direttiva 2003/87/KE biex jitkomplew il-limitazzjonijiet attwali tal-kamp ta’ applikazzjoni fl-attivitajiet tal-avjazzjoni u ssir il-preparazzjoni biex tiġi implimentata miżura globali bbażata fuq is-suq mill-2021, </w:t>
      </w:r>
      <w:hyperlink r:id="rId49" w:history="1">
        <w:r>
          <w:rPr>
            <w:rStyle w:val="Hyperlink"/>
          </w:rPr>
          <w:t>ĠU L 350</w:t>
        </w:r>
      </w:hyperlink>
      <w:r>
        <w:t xml:space="preserve">, 29.12.2017, p. 7 </w:t>
      </w:r>
    </w:p>
  </w:footnote>
  <w:footnote w:id="91">
    <w:p w14:paraId="4612AEF9" w14:textId="43F999B0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Proposta għal Direttiva tal-Parlament Ewropew u tal-Kunsill li temenda d-Direttiva 2003/87/KE fir-rigward tal-kontribut tal-avjazzjoni għall-mira tat-tnaqqis tal-emissjonijiet għall-ekonomija kollha tal-Unjoni u li timplimenta b’mod xieraq miżura globali bbażata fuq is-suq, </w:t>
      </w:r>
      <w:hyperlink r:id="rId50" w:history="1">
        <w:r>
          <w:rPr>
            <w:rStyle w:val="Hyperlink"/>
          </w:rPr>
          <w:t>COM/2021/552 final</w:t>
        </w:r>
      </w:hyperlink>
    </w:p>
  </w:footnote>
  <w:footnote w:id="92">
    <w:p w14:paraId="13FC9442" w14:textId="7E95875A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Il-Valutazzjoni tal-Impatt tinstab f’</w:t>
      </w:r>
      <w:hyperlink r:id="rId51" w:history="1">
        <w:r>
          <w:rPr>
            <w:rStyle w:val="Hyperlink"/>
          </w:rPr>
          <w:t>SWD(2021)603 final</w:t>
        </w:r>
      </w:hyperlink>
      <w:r>
        <w:t>.</w:t>
      </w:r>
    </w:p>
  </w:footnote>
  <w:footnote w:id="93">
    <w:p w14:paraId="6442D68C" w14:textId="3DF1F350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Il-kuntratti li skonthom il-konsenja ta’ kwoti isseħħ (kważi) immedjatament.</w:t>
      </w:r>
    </w:p>
  </w:footnote>
  <w:footnote w:id="94">
    <w:p w14:paraId="732DAA39" w14:textId="6C7C666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Id-Direttiva 2014/65/UE tal-Parlament Ewropew u tal-Kunsill tal-15 ta’ Mejju 2014 dwar is-swieq fl-istrumenti finanzjarji u li temenda d-Direttiva 2002/92/KE u d-Direttiva 2011/61/UE, </w:t>
      </w:r>
      <w:hyperlink r:id="rId52" w:history="1">
        <w:r>
          <w:rPr>
            <w:rStyle w:val="Hyperlink"/>
          </w:rPr>
          <w:t>ĠU L 173</w:t>
        </w:r>
      </w:hyperlink>
      <w:r>
        <w:t>, 12.6.2014, p. 349</w:t>
      </w:r>
    </w:p>
  </w:footnote>
  <w:footnote w:id="95">
    <w:p w14:paraId="3745F1A6" w14:textId="1F8BFCBF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tal-Kummissjoni (UE) Nru 1031/2010 tat-12 ta’ Novembru 2010 dwar l-għażla taż-żmien, l-amministrazzjoni u aspetti oħra ta’ rkantar ta’ kwoti ta’ emissjonijiet ta’ gassijiet serra skont id-Direttiva 2003/87/KE tal-Parlament Ewropew u tal-Kunsill li tistabbilixxi skema għall-iskambju ta’ kwoti ta’ emissjonijiet ta’ gassijiet serra ġewwa l-Komunità, </w:t>
      </w:r>
      <w:hyperlink r:id="rId53" w:history="1">
        <w:r>
          <w:rPr>
            <w:rStyle w:val="Hyperlink"/>
          </w:rPr>
          <w:t>ĠU L 302</w:t>
        </w:r>
      </w:hyperlink>
      <w:r>
        <w:t>, 18.11.2010, p. 1</w:t>
      </w:r>
    </w:p>
  </w:footnote>
  <w:footnote w:id="96">
    <w:p w14:paraId="39E84617" w14:textId="7571A85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(UE) Nru 596/2014 tal-Parlament Ewropew u tal-Kunsill tas-16 ta’ April 2014 dwar l-abbuż tas-suq (ir-Regolament dwar l-Abbuż tas-Suq) u li jħassar id-Direttiva 2003/6/KE tal-Parlament Ewropew u tal-Kunsill u d-Direttivi tal-Kummissjoni 2003/124/KE, 2003/125/KE u 2004/72/KE, </w:t>
      </w:r>
      <w:hyperlink r:id="rId54" w:history="1">
        <w:r>
          <w:rPr>
            <w:rStyle w:val="Hyperlink"/>
          </w:rPr>
          <w:t>ĠU L 173</w:t>
        </w:r>
      </w:hyperlink>
      <w:r>
        <w:t>, 12.6.2014, p. 1</w:t>
      </w:r>
    </w:p>
  </w:footnote>
  <w:footnote w:id="97">
    <w:p w14:paraId="1ED5C416" w14:textId="24C2CDA8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Id-Direttiva (UE) 2015/849 tal-Parlament Ewropew u tal-Kunsill tal-20 ta’ Mejju 2015 dwar il-prevenzjoni tal-użu tas-sistema finanzjarja għall-finijiet tal-ħasil tal-flus jew il-finanzjament tat-terroriżmu, li temenda r-Regolament (UE) Nru 648/2012 tal-Parlament Ewropew u tal-Kunsill, u li tħassar id-Direttiva 2005/60/KE tal-Parlament Ewropew u tal-Kunsill u d-Direttiva tal-Kummissjoni 2006/70/KE, </w:t>
      </w:r>
      <w:hyperlink r:id="rId55" w:history="1">
        <w:r>
          <w:rPr>
            <w:rStyle w:val="Hyperlink"/>
          </w:rPr>
          <w:t>ĠU L 141</w:t>
        </w:r>
      </w:hyperlink>
      <w:r>
        <w:t>, 5.6.2015, p. 73</w:t>
      </w:r>
    </w:p>
  </w:footnote>
  <w:footnote w:id="98">
    <w:p w14:paraId="09D050C5" w14:textId="49CABF1E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Il-lista tal-awtoritajiet kompetenti nazzjonali responsabbli skont ir-Regolament dwar l-Abbuż tas-Suq tinstab fuq </w:t>
      </w:r>
      <w:hyperlink r:id="rId56" w:history="1">
        <w:r>
          <w:rPr>
            <w:rStyle w:val="Hyperlink"/>
          </w:rPr>
          <w:t>il-paġna web tal-ESMA</w:t>
        </w:r>
      </w:hyperlink>
      <w:r>
        <w:t xml:space="preserve">. </w:t>
      </w:r>
    </w:p>
  </w:footnote>
  <w:footnote w:id="99">
    <w:p w14:paraId="17B741B4" w14:textId="08905BF8" w:rsidR="0088478D" w:rsidRDefault="0088478D" w:rsidP="00FE08D3">
      <w:pPr>
        <w:pStyle w:val="FootnoteText"/>
      </w:pPr>
      <w:r>
        <w:rPr>
          <w:rStyle w:val="FootnoteReference"/>
        </w:rPr>
        <w:footnoteRef/>
      </w:r>
      <w:r>
        <w:t xml:space="preserve"> L-opinjoni tal-ESMA dwar l-attività anċillari – kalkolu tad-daqs tas-suq – </w:t>
      </w:r>
      <w:hyperlink r:id="rId57" w:history="1">
        <w:r>
          <w:rPr>
            <w:rStyle w:val="Hyperlink"/>
          </w:rPr>
          <w:t>aġġornament għas-sena 2020</w:t>
        </w:r>
      </w:hyperlink>
      <w:r>
        <w:t>.</w:t>
      </w:r>
    </w:p>
  </w:footnote>
  <w:footnote w:id="100">
    <w:p w14:paraId="6C604957" w14:textId="21AE8AAB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Il-prezz fit-23 ta’ Marzu 2020 (EUR 14,71).</w:t>
      </w:r>
    </w:p>
  </w:footnote>
  <w:footnote w:id="101">
    <w:p w14:paraId="633602BC" w14:textId="725D1E2B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Xi fatturi għal żmien qasir huma l-prezzijiet tal-gass u taż-żejt, il-kundizzjonijiet tat-temp, il-ġenerazzjoni tal-enerġija rinnovabbli, l-iskedar tal-irkantijiet u l-allokazzjoni bla ħlas, eċċ.</w:t>
      </w:r>
    </w:p>
  </w:footnote>
  <w:footnote w:id="102">
    <w:p w14:paraId="6BD5FFC6" w14:textId="1E429260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Dan jikkonċerna kategorija separata ddefinita fil-MiFID, għall-kumpaniji li jittrattaw l-istrumenti finanzjarji, iżda fuq bażi anċillari (bħala parti żgħira mill-attività kummerċjali ġenerali tagħhom).</w:t>
      </w:r>
    </w:p>
  </w:footnote>
  <w:footnote w:id="103">
    <w:p w14:paraId="72AC8D04" w14:textId="78B9AEC9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 w:history="1">
        <w:r>
          <w:rPr>
            <w:rStyle w:val="Hyperlink"/>
          </w:rPr>
          <w:t>Sistema ta’ Rappurtar ta’ Pożizzjoni ta’ Kull Ġimgħa ta’ Derivattivi tal-Komoditajiet</w:t>
        </w:r>
      </w:hyperlink>
    </w:p>
  </w:footnote>
  <w:footnote w:id="104">
    <w:p w14:paraId="206231DE" w14:textId="50B11588" w:rsidR="0088478D" w:rsidRPr="00E15E90" w:rsidRDefault="0088478D" w:rsidP="00270A58">
      <w:pPr>
        <w:pStyle w:val="FootnoteText"/>
      </w:pPr>
      <w:r>
        <w:rPr>
          <w:rStyle w:val="FootnoteReference"/>
        </w:rPr>
        <w:footnoteRef/>
      </w:r>
      <w:r>
        <w:t xml:space="preserve"> Il-Komunikazzjoni tal-Kummissjoni lill-Parlament Ewropew, lill-Kunsill Ewropew, lill-Kumitat Ekonomiku u Soċjali Ewropew u lill-Kumitat tar-Reġjuni, L-indirizzar taż-żieda fil-prezzijiet tal-enerġija: sett ta’ għodod għall-azzjoni u l-appoġġ, </w:t>
      </w:r>
      <w:hyperlink r:id="rId59" w:history="1">
        <w:r>
          <w:rPr>
            <w:rStyle w:val="Hyperlink"/>
          </w:rPr>
          <w:t>COM/2021/660 final</w:t>
        </w:r>
      </w:hyperlink>
    </w:p>
    <w:p w14:paraId="721FDC20" w14:textId="77777777" w:rsidR="0088478D" w:rsidRDefault="0088478D" w:rsidP="00270A58">
      <w:pPr>
        <w:pStyle w:val="FootnoteText"/>
      </w:pPr>
    </w:p>
  </w:footnote>
  <w:footnote w:id="105">
    <w:p w14:paraId="6BBD5222" w14:textId="5A50F35B" w:rsidR="0088478D" w:rsidRPr="00386568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ta’ Implimentazzjoni tal-Kummissjoni (UE) 2018/2066 tad-19 ta’ Diċembru 2018 dwar il-monitoraġġ u r-rapportar ta’ emissjonijiet ta’ gassijiet serra skont id-Direttiva 2003/87/KE tal-Parlament Ewropew u tal-Kunsill u li jemenda r-Regolament tal-Kummissjoni (UE) Nru 601/2012, </w:t>
      </w:r>
      <w:hyperlink r:id="rId60" w:history="1">
        <w:r>
          <w:rPr>
            <w:rStyle w:val="Hyperlink"/>
          </w:rPr>
          <w:t>ĠU L 334</w:t>
        </w:r>
      </w:hyperlink>
      <w:r>
        <w:t>, 31.12.2018, p. 1</w:t>
      </w:r>
    </w:p>
  </w:footnote>
  <w:footnote w:id="106">
    <w:p w14:paraId="5904CAE0" w14:textId="5CB77997" w:rsidR="0088478D" w:rsidRPr="00386568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ta’ Implimentazzjoni tal-Kummissjoni (UE) 2018/2067 tad-19 ta’ Diċembru 2018 dwar il-verifika tad-</w:t>
      </w:r>
      <w:r>
        <w:rPr>
          <w:i/>
          <w:iCs/>
        </w:rPr>
        <w:t>data</w:t>
      </w:r>
      <w:r>
        <w:t xml:space="preserve"> u l-akkreditament tal-verifikaturi skont id-Direttiva 2003/87/KE tal-Parlament Ewropew u tal-Kunsill, </w:t>
      </w:r>
      <w:hyperlink r:id="rId61" w:history="1">
        <w:r>
          <w:rPr>
            <w:rStyle w:val="Hyperlink"/>
          </w:rPr>
          <w:t>ĠU L 334</w:t>
        </w:r>
      </w:hyperlink>
      <w:r>
        <w:t>, 31.12.2018, p. 94</w:t>
      </w:r>
    </w:p>
  </w:footnote>
  <w:footnote w:id="107">
    <w:p w14:paraId="06B21AE0" w14:textId="776C39B2" w:rsidR="0088478D" w:rsidRPr="00386568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ta’ Implimentazzjoni tal-Kummissjoni (UE) 2020/2085 tal-14 ta’ Diċembru 2020 li jemenda u jikkoreġi r-Regolament ta’ Implimentazzjoni (UE) 2018/2066 dwar il-monitoraġġ u r-rapportar ta’ emissjonijiet ta’ gassijiet serra skont id-Direttiva 2003/87/KE tal-Parlament Ewropew u tal-Kunsill, </w:t>
      </w:r>
      <w:hyperlink r:id="rId62" w:history="1">
        <w:r>
          <w:rPr>
            <w:rStyle w:val="Hyperlink"/>
          </w:rPr>
          <w:t>ĠU L 423</w:t>
        </w:r>
      </w:hyperlink>
      <w:r>
        <w:t>, 15.12.2020, p. 37</w:t>
      </w:r>
    </w:p>
  </w:footnote>
  <w:footnote w:id="108">
    <w:p w14:paraId="79BDB559" w14:textId="7305C1F1" w:rsidR="0088478D" w:rsidRPr="00386568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Ir-Regolament ta’ Implimentazzjoni tal-Kummissjoni (UE) 2020/2084 tal-14 ta’ Diċembru 2020 li jemenda u jikkoreġi r-Regolament ta’ Implimentazzjoni (UE) 2018/2067 dwar il-verifika tad-</w:t>
      </w:r>
      <w:r>
        <w:rPr>
          <w:i/>
          <w:iCs/>
        </w:rPr>
        <w:t>data</w:t>
      </w:r>
      <w:r>
        <w:t xml:space="preserve"> u l-akkreditament tal-verifikaturi skont id-Direttiva 2003/87/KE tal-Parlament Ewropew u tal-Kunsill, </w:t>
      </w:r>
      <w:hyperlink r:id="rId63" w:history="1">
        <w:r>
          <w:rPr>
            <w:rStyle w:val="Hyperlink"/>
          </w:rPr>
          <w:t>ĠU L 423</w:t>
        </w:r>
      </w:hyperlink>
      <w:r>
        <w:t xml:space="preserve">, 15.12.2020, p. 23 </w:t>
      </w:r>
    </w:p>
  </w:footnote>
  <w:footnote w:id="109">
    <w:p w14:paraId="56C69DA9" w14:textId="1699C598" w:rsidR="0088478D" w:rsidRPr="00210289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tal-Kunsill (UE) 2017/2240 tal-10 ta’ Novembru 2017 dwar l-iffirmar, f’isem l-Unjoni, u l-applikazzjoni proviżorja tal-Ftehim bejn l-Unjoni Ewropea u l-Konfederazzjoni Żvizzera dwar il-kollegament tal-iskemi għall-iskambju ta’ kwoti tal-emissjonijiet ta’ gassijiet serra tagħhom, </w:t>
      </w:r>
      <w:hyperlink r:id="rId64" w:history="1">
        <w:r>
          <w:rPr>
            <w:rStyle w:val="Hyperlink"/>
          </w:rPr>
          <w:t>ĠU L 322</w:t>
        </w:r>
      </w:hyperlink>
      <w:r>
        <w:t>, 7.12.2017, p. 1</w:t>
      </w:r>
    </w:p>
  </w:footnote>
  <w:footnote w:id="110">
    <w:p w14:paraId="1C9B496B" w14:textId="611CFDA1" w:rsidR="0088478D" w:rsidRPr="00210289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Il-Ftehim bejn l-Unjoni Ewropea u l-Konfederazzjoni Żvizzera dwar il-kollegament tal-iskemi għall-iskambju ta’ kwoti tal-emissjonijiet ta’ gassijiet serra tagħhom, </w:t>
      </w:r>
      <w:hyperlink r:id="rId65" w:history="1">
        <w:r>
          <w:rPr>
            <w:rStyle w:val="Hyperlink"/>
          </w:rPr>
          <w:t>ĠU L 322</w:t>
        </w:r>
      </w:hyperlink>
      <w:r>
        <w:t>, 7.12.2017, p. 3</w:t>
      </w:r>
    </w:p>
  </w:footnote>
  <w:footnote w:id="111">
    <w:p w14:paraId="0C5C4C5D" w14:textId="4DBD76DF" w:rsidR="0088478D" w:rsidRPr="00210289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tal-Kunsill (UE) 2018/219 tat-23 ta’ Jannar 2018 dwar il-konklużjoni tal-Ftehim bejn l-Unjoni Ewropea u l-Konfederazzjoni Żvizzera dwar il-kollegament tal-iskemi għall-iskambju ta’ kwoti tal-emissjonijiet ta’ gassijiet serra tagħhom, </w:t>
      </w:r>
      <w:hyperlink r:id="rId66" w:history="1">
        <w:r>
          <w:rPr>
            <w:rStyle w:val="Hyperlink"/>
          </w:rPr>
          <w:t>ĠU L 43</w:t>
        </w:r>
      </w:hyperlink>
      <w:r>
        <w:t>, 16.2.2018, p. 1</w:t>
      </w:r>
    </w:p>
  </w:footnote>
  <w:footnote w:id="112">
    <w:p w14:paraId="14FA5AEC" w14:textId="5FBB0B9B" w:rsidR="0088478D" w:rsidRPr="00210289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Id-Deċiżjoni Nru 2/2019 tal-Kumitat Konġunt Stabbilit bil-Ftehim bejn l-Unjoni Ewropea u l-Konfederazzjoni Żvizzera dwar il-kollegament tal-iskemi għall-iskambju ta’ kwoti tal-emissjonijiet ta’ gassijiet serra tagħhom tal-5 ta’ Diċembru 2019 li temenda l-Annessi I u II tal-Ftehim bejn l-Unjoni Ewropea u l-Konfederazzjoni Żvizzera dwar il-kollegament tal-iskemi għall-iskambju ta’ kwoti tal-emissjonijiet ta’ gassijiet serra tagħhom, </w:t>
      </w:r>
      <w:hyperlink r:id="rId67" w:history="1">
        <w:r>
          <w:rPr>
            <w:rStyle w:val="Hyperlink"/>
          </w:rPr>
          <w:t>ĠU L 314</w:t>
        </w:r>
      </w:hyperlink>
      <w:r>
        <w:t>, 29.9.2020, p. 68</w:t>
      </w:r>
    </w:p>
  </w:footnote>
  <w:footnote w:id="113">
    <w:p w14:paraId="53EC22AD" w14:textId="64194B13" w:rsidR="0088478D" w:rsidRPr="00210289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Avviż dwar id-dħul fis-seħħ tal-Ftehim bejn l-Unjoni Ewropea u l-Konfederazzjoni Żvizzera dwar il-kollegament tal-iskemi għall-iskambju ta’ kwoti tal-emissjonijiet ta’ gassijiet serra tagħhom, </w:t>
      </w:r>
      <w:hyperlink r:id="rId68" w:history="1">
        <w:r>
          <w:rPr>
            <w:rStyle w:val="Hyperlink"/>
          </w:rPr>
          <w:t>ĠU L 330</w:t>
        </w:r>
      </w:hyperlink>
      <w:r>
        <w:t>, 20.12.2019, p. 1</w:t>
      </w:r>
    </w:p>
  </w:footnote>
  <w:footnote w:id="114">
    <w:p w14:paraId="24FB1B85" w14:textId="4CBA8BDC" w:rsidR="0088478D" w:rsidRPr="00C52049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F’konformità mal-Artikolu 25 tad-Direttiva dwar l-Iskambju tal-Kwoti tal-Emissjonijiet, l-EU ETS tista’ tkun marbuta ma’ “sistemi mandatorji kompatibbli ta’ skambju tal-emissjonijiet ta’ gassijiet serra li jillimitaw l-emissjonijiet assoluti”.</w:t>
      </w:r>
    </w:p>
  </w:footnote>
  <w:footnote w:id="115">
    <w:p w14:paraId="186B3FCF" w14:textId="77777777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Xi operaturi tal-avjazzjoni jiffaċċjaw obbligi ta’ konformità taħt iż-żewġ sistemi. </w:t>
      </w:r>
    </w:p>
  </w:footnote>
  <w:footnote w:id="116">
    <w:p w14:paraId="026AB085" w14:textId="4CD6A04A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Operaturi mhux esklużi fl-2020 abbażi tar-Reġistru tal-UE; l-għadd ta’ operaturi li rrapportaw l-emissjonijiet huwa ta’ 10 317.</w:t>
      </w:r>
    </w:p>
  </w:footnote>
  <w:footnote w:id="117">
    <w:p w14:paraId="364F761C" w14:textId="6664ECC0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Operaturi mhux esklużi fl-2020 abbażi tar-Reġistru tal-UE; l-għadd ta’ operaturi li rrapportaw l-emissjonijiet huwa ta’ 320.</w:t>
      </w:r>
    </w:p>
  </w:footnote>
  <w:footnote w:id="118">
    <w:p w14:paraId="1EC8975A" w14:textId="0ACE33B7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 w:history="1">
        <w:r>
          <w:rPr>
            <w:rStyle w:val="Hyperlink"/>
          </w:rPr>
          <w:t>Ir-Reġistru tal-ETS Żvizzera</w:t>
        </w:r>
      </w:hyperlink>
    </w:p>
  </w:footnote>
  <w:footnote w:id="119">
    <w:p w14:paraId="7318284B" w14:textId="5D74B5C9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Iċ-ċifra tinkludi l-allokazzjoni diretta.</w:t>
      </w:r>
    </w:p>
  </w:footnote>
  <w:footnote w:id="120">
    <w:p w14:paraId="38AAFC5F" w14:textId="4AAAE981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Abbażi tal-Artikolu 24 tad-Direttiva (UE) 2018/2002 tal-Parlament Ewropew u tal-Kunsill tal-11 ta’ Diċembru 2018 li temenda d-Direttiva 2012/27/UE dwar l-effiċjenza fl-enerġija (</w:t>
      </w:r>
      <w:hyperlink r:id="rId70" w:history="1">
        <w:r>
          <w:rPr>
            <w:rStyle w:val="Hyperlink"/>
          </w:rPr>
          <w:t>ĠU L 328</w:t>
        </w:r>
      </w:hyperlink>
      <w:r>
        <w:t>, 21.12.2018, p. 210), u tal-Artikoli 29 u 35 tar-Regolament (UE) 2018/1999 tal-Parlament Ewropew u tal-Kunsill tal-11 ta’ Diċembru 2018 dwar il-Governanza tal-Unjoni tal-Enerġija u tal-Azzjoni Klimatika (</w:t>
      </w:r>
      <w:hyperlink r:id="rId71" w:history="1">
        <w:r>
          <w:rPr>
            <w:rStyle w:val="Hyperlink"/>
          </w:rPr>
          <w:t>ĠU L 328</w:t>
        </w:r>
      </w:hyperlink>
      <w:r>
        <w:t>, 21.12.2018, p. 1).</w:t>
      </w:r>
    </w:p>
  </w:footnote>
  <w:footnote w:id="121">
    <w:p w14:paraId="434B8ABE" w14:textId="64A1C01B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Ir-Rakkomandazzjoni tal-Kummissjoni dwar it-traspożizzjoni tal-obbligu tal-iffrankar tal-enerġija, </w:t>
      </w:r>
      <w:hyperlink r:id="rId72" w:history="1">
        <w:r>
          <w:rPr>
            <w:rStyle w:val="Hyperlink"/>
          </w:rPr>
          <w:t>C(2019) 6621 final</w:t>
        </w:r>
      </w:hyperlink>
    </w:p>
  </w:footnote>
  <w:footnote w:id="122">
    <w:p w14:paraId="54879706" w14:textId="49DCD1D1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L-Istati Membri kellhom l-obbligu li jirrapportaw kull sena sat-30 ta’ April 2020. Ir-rapport finali li jkopri l-perjodu kollu ta’ obbligu huwa mistenni sa Marzu tal-2022. Dawn huma t-tliet Stati Membri li fasslu miżura sabiex jindirizzaw speċifikament l-industriji fl-EU ETS. Hemm ħafna aktar miżuri mmirati lejn l-industriji b’mod ġenerali (dawk jistgħu jkopru l-industriji fl-ambitu tal-EU ETS u barra minnu). Il-bażi ta’ </w:t>
      </w:r>
      <w:r>
        <w:rPr>
          <w:i/>
          <w:iCs/>
        </w:rPr>
        <w:t>data</w:t>
      </w:r>
      <w:r>
        <w:t xml:space="preserve"> </w:t>
      </w:r>
      <w:hyperlink r:id="rId73" w:anchor="/search" w:history="1">
        <w:r>
          <w:rPr>
            <w:rStyle w:val="Hyperlink"/>
          </w:rPr>
          <w:t>ODYSSEE-MURE</w:t>
        </w:r>
      </w:hyperlink>
      <w:r>
        <w:t xml:space="preserve"> tal-miżuri tal-effiċjenza fl-enerġija fl-UE telenka aktar minn 200 miżura indirizzati lill-industriji fl-Istati Membri.</w:t>
      </w:r>
    </w:p>
  </w:footnote>
  <w:footnote w:id="123">
    <w:p w14:paraId="5FBFE0EB" w14:textId="51930056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Il-ftehimiet volontarji u l-miżuri ekwivalenti huma ż-żewġ miżuri alternattivi skont it-tifsira tal-Artikolu 7(b) tad-Direttiva dwar l-Effiċjenza fl-Enerġija. L-iterazzjoni oriġinali tad-Direttiva, adottata fl-2012, kienet tinkludi lista mhux eżawrjenti ta’ miżuri alternattivi iżda wara r-reviżjoni tagħha fl-2018, il-lista tneħħiet.) </w:t>
      </w:r>
    </w:p>
  </w:footnote>
  <w:footnote w:id="124">
    <w:p w14:paraId="314F89CD" w14:textId="4FB2980C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Dawn in-numri joriġinaw minn rapporti annwali ppreżentati mill-Istati Membri f’konformità mal-Artikolu 24(1) tad-Direttiva dwar l-Effiċjenza fl-Enerġija. L-ishma huma espressi fir-rigward tal-Artikolu 7 iffrankar kumulattiv irrapportat għas-snin 2014 sa 2018. </w:t>
      </w:r>
    </w:p>
  </w:footnote>
  <w:footnote w:id="125">
    <w:p w14:paraId="6F3C68E6" w14:textId="62C0F6FD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Din l-għażla ma tistax tintuża għall-2021 sal-2030, bħal fil-każ ta’ dan il-perjodu ta’ obbligu, l-għażliet fl-Artikolu 7(4) tad-Direttiva dwar l-Effiċjenza fl-Enerġija ma jnaqqsux l-ammont minimu ta’ ffrankar kumulattiv meħtieġ, ara l-Artikolu 7(5) tad-Direttiva.</w:t>
      </w:r>
    </w:p>
  </w:footnote>
  <w:footnote w:id="126">
    <w:p w14:paraId="1BAFA7FD" w14:textId="667E4DDF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Id-Danimarka (iffrankar tal-enerġija relatat mat-tisħin distrettwali bħala parti mill-EEOS), ir-Rumanija (sett ta’ 5 miżuri li jittrattaw l-effiċjenza fl-impjanti tal-enerġija, il-koġenerazzjoni ta’ effiċjenza kbira, l-effiċjenza fin-networks tat-trażmissjoni u d-distribuzzjoni u l-effiċjenza fit-tisħin distrettwali) u s-Slovenja (3 miżuri relatati mal-effiċjenza fit-tisħin distrettwali).</w:t>
      </w:r>
    </w:p>
  </w:footnote>
  <w:footnote w:id="127">
    <w:p w14:paraId="5F0CA043" w14:textId="0B13BB8C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Il-valutazzjoni tal-impatt kumulattiv tal-NECPs (COM(2020) 564 final), hija disponibbli hawnhekk: </w:t>
      </w:r>
      <w:hyperlink r:id="rId74" w:history="1">
        <w:r>
          <w:rPr>
            <w:rStyle w:val="Hyperlink"/>
          </w:rPr>
          <w:t>https://eur-lex.europa.eu/legal-content/MT/TXT/PDF/?uri=CELEX:52020DC0564&amp;from=MT</w:t>
        </w:r>
      </w:hyperlink>
    </w:p>
    <w:p w14:paraId="6B54DA22" w14:textId="734833DF" w:rsidR="0088478D" w:rsidRDefault="0088478D" w:rsidP="00666776">
      <w:pPr>
        <w:pStyle w:val="FootnoteText"/>
      </w:pPr>
      <w:r>
        <w:t xml:space="preserve">Il-valutazzjonijiet individwali tal-Kummissjoni ta’ kull NECP jinstabu hawn: </w:t>
      </w:r>
      <w:hyperlink r:id="rId75" w:history="1">
        <w:r>
          <w:rPr>
            <w:rStyle w:val="Hyperlink"/>
          </w:rPr>
          <w:t>https://ec.europa.eu/energy/topics/energy-strategy/national-energy-climate-plans/individual-assessments_mt</w:t>
        </w:r>
      </w:hyperlink>
      <w:r>
        <w:t xml:space="preserve"> </w:t>
      </w:r>
    </w:p>
  </w:footnote>
  <w:footnote w:id="128">
    <w:p w14:paraId="3AD5D96B" w14:textId="7A20D0A1" w:rsidR="0088478D" w:rsidRPr="00014A2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Il-Belġju, Ċipru, l-Estonja, il-Latvja, il-Litwanja, il-Lussemburgu u Malta</w:t>
      </w:r>
    </w:p>
  </w:footnote>
  <w:footnote w:id="129">
    <w:p w14:paraId="3FA49DF2" w14:textId="0EE01BB5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Id-distakk jirrappreżenta 2,8 punti perċentwali għall-konsum tal-enerġija primarja u 3,1 punti perċentwali għall-konsum finali tal-enerġija, meta mqabbel mal-mira li tiżdied l-effiċjenza fl-enerġija b’mill-anqas 32,5 % sal-2030.</w:t>
      </w:r>
    </w:p>
  </w:footnote>
  <w:footnote w:id="130">
    <w:p w14:paraId="2D60B4D9" w14:textId="3E189782" w:rsidR="0088478D" w:rsidRDefault="0088478D">
      <w:pPr>
        <w:pStyle w:val="FootnoteText"/>
      </w:pPr>
      <w:r>
        <w:rPr>
          <w:rStyle w:val="FootnoteReference"/>
        </w:rPr>
        <w:footnoteRef/>
      </w:r>
      <w:r>
        <w:t xml:space="preserve"> Ir-Rapport ta’ Progress dwar l-Azzjoni Klimatika 2021, COM(2021) 951 final </w:t>
      </w:r>
    </w:p>
  </w:footnote>
  <w:footnote w:id="131">
    <w:p w14:paraId="74CB620B" w14:textId="0F80E76B" w:rsidR="0088478D" w:rsidRDefault="0088478D" w:rsidP="00666776">
      <w:pPr>
        <w:pStyle w:val="FootnoteText"/>
      </w:pPr>
      <w:r>
        <w:rPr>
          <w:rStyle w:val="FootnoteReference"/>
        </w:rPr>
        <w:footnoteRef/>
      </w:r>
      <w:r>
        <w:t xml:space="preserve"> Bejn l-2013 u l-2020</w:t>
      </w:r>
    </w:p>
  </w:footnote>
  <w:footnote w:id="132">
    <w:p w14:paraId="0A010204" w14:textId="77777777" w:rsidR="0088478D" w:rsidRDefault="0088478D" w:rsidP="00E63039">
      <w:pPr>
        <w:pStyle w:val="FootnoteText"/>
      </w:pPr>
      <w:r>
        <w:rPr>
          <w:rStyle w:val="FootnoteReference"/>
        </w:rPr>
        <w:footnoteRef/>
      </w:r>
      <w:r>
        <w:t xml:space="preserve"> Iċ-ċifra tal-2020 tinkludi l-EU27, l-Iżlanda, il-Liechtenstein u n-Norveġja, u r-Renju Unit, filwaqt li ċ-ċifra tal-2021 tinkludi l-EU27 flimkien mal-Iżlanda, il-Liechtenstein u n-Norveġja biss.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EF67" w14:textId="77777777" w:rsidR="001709C9" w:rsidRPr="001709C9" w:rsidRDefault="001709C9" w:rsidP="001709C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7F4E9" w14:textId="77777777" w:rsidR="0088478D" w:rsidRDefault="0088478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8BF44" w14:textId="77777777" w:rsidR="0088478D" w:rsidRDefault="0088478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6D9F" w14:textId="77777777" w:rsidR="0088478D" w:rsidRDefault="0088478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DF66" w14:textId="77777777" w:rsidR="0088478D" w:rsidRDefault="0088478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8383" w14:textId="77777777" w:rsidR="0088478D" w:rsidRDefault="0088478D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4B33" w14:textId="77777777" w:rsidR="0088478D" w:rsidRDefault="0088478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24866" w14:textId="77777777" w:rsidR="0088478D" w:rsidRDefault="0088478D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9751" w14:textId="77777777" w:rsidR="0088478D" w:rsidRDefault="0088478D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73BE" w14:textId="77777777" w:rsidR="0088478D" w:rsidRDefault="00884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33AF" w14:textId="77777777" w:rsidR="001709C9" w:rsidRPr="001709C9" w:rsidRDefault="001709C9" w:rsidP="001709C9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6782C" w14:textId="77777777" w:rsidR="001709C9" w:rsidRPr="001709C9" w:rsidRDefault="001709C9" w:rsidP="001709C9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455A" w14:textId="77777777" w:rsidR="0088478D" w:rsidRDefault="008847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09D2" w14:textId="77777777" w:rsidR="0088478D" w:rsidRDefault="008847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0E02" w14:textId="77777777" w:rsidR="0088478D" w:rsidRDefault="0088478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4FFE" w14:textId="77777777" w:rsidR="0088478D" w:rsidRDefault="0088478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B4A5" w14:textId="77777777" w:rsidR="0088478D" w:rsidRDefault="0088478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1B912" w14:textId="77777777" w:rsidR="0088478D" w:rsidRDefault="00884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586663"/>
    <w:multiLevelType w:val="hybridMultilevel"/>
    <w:tmpl w:val="636E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B337A"/>
    <w:multiLevelType w:val="hybridMultilevel"/>
    <w:tmpl w:val="0A9E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2568F"/>
    <w:multiLevelType w:val="hybridMultilevel"/>
    <w:tmpl w:val="ECD4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F4A9C"/>
    <w:multiLevelType w:val="multilevel"/>
    <w:tmpl w:val="F47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E1EF7"/>
    <w:multiLevelType w:val="hybridMultilevel"/>
    <w:tmpl w:val="3E6C0D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35361B"/>
    <w:multiLevelType w:val="hybridMultilevel"/>
    <w:tmpl w:val="F0243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46418"/>
    <w:multiLevelType w:val="hybridMultilevel"/>
    <w:tmpl w:val="82B4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B37AA"/>
    <w:multiLevelType w:val="multilevel"/>
    <w:tmpl w:val="AB602A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54362E"/>
    <w:multiLevelType w:val="hybridMultilevel"/>
    <w:tmpl w:val="6018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173E9"/>
    <w:multiLevelType w:val="hybridMultilevel"/>
    <w:tmpl w:val="39EA262A"/>
    <w:lvl w:ilvl="0" w:tplc="924A8F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A0AF1"/>
    <w:multiLevelType w:val="multilevel"/>
    <w:tmpl w:val="6560A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06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651550"/>
    <w:multiLevelType w:val="hybridMultilevel"/>
    <w:tmpl w:val="9096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1A99"/>
    <w:multiLevelType w:val="hybridMultilevel"/>
    <w:tmpl w:val="1F5A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F3C02"/>
    <w:multiLevelType w:val="hybridMultilevel"/>
    <w:tmpl w:val="B83E9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75302"/>
    <w:multiLevelType w:val="hybridMultilevel"/>
    <w:tmpl w:val="5C02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87CC0"/>
    <w:multiLevelType w:val="hybridMultilevel"/>
    <w:tmpl w:val="48FA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1B1C"/>
    <w:multiLevelType w:val="hybridMultilevel"/>
    <w:tmpl w:val="61D0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E022E"/>
    <w:multiLevelType w:val="hybridMultilevel"/>
    <w:tmpl w:val="8320D364"/>
    <w:lvl w:ilvl="0" w:tplc="23722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1D46"/>
    <w:multiLevelType w:val="multilevel"/>
    <w:tmpl w:val="9F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41304"/>
    <w:multiLevelType w:val="hybridMultilevel"/>
    <w:tmpl w:val="6C2407D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62D97B9D"/>
    <w:multiLevelType w:val="hybridMultilevel"/>
    <w:tmpl w:val="1482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C4B58"/>
    <w:multiLevelType w:val="hybridMultilevel"/>
    <w:tmpl w:val="78524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D65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277188"/>
    <w:multiLevelType w:val="multilevel"/>
    <w:tmpl w:val="6F6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BF75FD"/>
    <w:multiLevelType w:val="hybridMultilevel"/>
    <w:tmpl w:val="8E34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165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E921B5"/>
    <w:multiLevelType w:val="hybridMultilevel"/>
    <w:tmpl w:val="3A8ECD96"/>
    <w:lvl w:ilvl="0" w:tplc="D56E8EE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9678A"/>
    <w:multiLevelType w:val="hybridMultilevel"/>
    <w:tmpl w:val="B7304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15423"/>
    <w:multiLevelType w:val="hybridMultilevel"/>
    <w:tmpl w:val="1130C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75877"/>
    <w:multiLevelType w:val="hybridMultilevel"/>
    <w:tmpl w:val="F57C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B017B"/>
    <w:multiLevelType w:val="hybridMultilevel"/>
    <w:tmpl w:val="115409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51DAB"/>
    <w:multiLevelType w:val="hybridMultilevel"/>
    <w:tmpl w:val="CD70F2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9"/>
  </w:num>
  <w:num w:numId="5">
    <w:abstractNumId w:val="13"/>
  </w:num>
  <w:num w:numId="6">
    <w:abstractNumId w:val="27"/>
  </w:num>
  <w:num w:numId="7">
    <w:abstractNumId w:val="33"/>
  </w:num>
  <w:num w:numId="8">
    <w:abstractNumId w:val="18"/>
  </w:num>
  <w:num w:numId="9">
    <w:abstractNumId w:val="11"/>
  </w:num>
  <w:num w:numId="10">
    <w:abstractNumId w:val="23"/>
  </w:num>
  <w:num w:numId="11">
    <w:abstractNumId w:val="24"/>
  </w:num>
  <w:num w:numId="12">
    <w:abstractNumId w:val="8"/>
  </w:num>
  <w:num w:numId="13">
    <w:abstractNumId w:val="17"/>
  </w:num>
  <w:num w:numId="14">
    <w:abstractNumId w:val="31"/>
  </w:num>
  <w:num w:numId="15">
    <w:abstractNumId w:val="2"/>
  </w:num>
  <w:num w:numId="16">
    <w:abstractNumId w:val="5"/>
  </w:num>
  <w:num w:numId="17">
    <w:abstractNumId w:val="20"/>
  </w:num>
  <w:num w:numId="18">
    <w:abstractNumId w:val="25"/>
  </w:num>
  <w:num w:numId="19">
    <w:abstractNumId w:val="17"/>
  </w:num>
  <w:num w:numId="20">
    <w:abstractNumId w:val="31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4"/>
  </w:num>
  <w:num w:numId="25">
    <w:abstractNumId w:val="30"/>
  </w:num>
  <w:num w:numId="26">
    <w:abstractNumId w:val="32"/>
  </w:num>
  <w:num w:numId="27">
    <w:abstractNumId w:val="26"/>
  </w:num>
  <w:num w:numId="28">
    <w:abstractNumId w:val="28"/>
  </w:num>
  <w:num w:numId="29">
    <w:abstractNumId w:val="16"/>
  </w:num>
  <w:num w:numId="30">
    <w:abstractNumId w:val="12"/>
  </w:num>
  <w:num w:numId="31">
    <w:abstractNumId w:val="21"/>
  </w:num>
  <w:num w:numId="32">
    <w:abstractNumId w:val="3"/>
  </w:num>
  <w:num w:numId="33">
    <w:abstractNumId w:val="19"/>
  </w:num>
  <w:num w:numId="3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de-AT" w:vendorID="64" w:dllVersion="131078" w:nlCheck="1" w:checkStyle="0"/>
  <w:activeWritingStyle w:appName="MSWord" w:lang="da-DK" w:vendorID="64" w:dllVersion="131078" w:nlCheck="1" w:checkStyle="0"/>
  <w:activeWritingStyle w:appName="MSWord" w:lang="fr-FR" w:vendorID="64" w:dllVersion="131078" w:nlCheck="1" w:checkStyle="0"/>
  <w:activeWritingStyle w:appName="MSWord" w:lang="es-ES" w:vendorID="64" w:dllVersion="131078" w:nlCheck="1" w:checkStyle="0"/>
  <w:revisionView w:markup="0"/>
  <w:defaultTabStop w:val="720"/>
  <w:hyphenationZone w:val="283"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6A4CF6B0-FEA8-4AE3-B62E-C8D4E716C79B"/>
    <w:docVar w:name="LW_COVERPAGE_TYPE" w:val="1"/>
    <w:docVar w:name="LW_CROSSREFERENCE" w:val="{COM(2021) 950 final} - {SWD(2021) 308 final}"/>
    <w:docVar w:name="LW_DocType" w:val="NORMAL"/>
    <w:docVar w:name="LW_EMISSION" w:val="26.10.2021"/>
    <w:docVar w:name="LW_EMISSION_ISODATE" w:val="2021-10-26"/>
    <w:docVar w:name="LW_EMISSION_LOCATION" w:val="BRX"/>
    <w:docVar w:name="LW_EMISSION_PREFIX" w:val="Brussell, "/>
    <w:docVar w:name="LW_EMISSION_SUFFIX" w:val=" "/>
    <w:docVar w:name="LW_ID_DOCTYPE_NONLW" w:val="CP-006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1) 96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dwar il-Funzjonament tas-Suq Ewropew tal-Karbonju fl-2020 skont l-Artikoli 10(5) u 21(2) tad-Direttiva 2003/87/KE (kif emendata bid-Direttiva 2009/29/KE u d-Direttiva (UE) 2018/410"/>
    <w:docVar w:name="LW_TYPE.DOC.CP" w:val="RAPPORT TAL-KUMMISSJONI LILL-PARLAMENT EWROPEW U LILL-KUNSILL"/>
    <w:docVar w:name="LwApiVersions" w:val="LW4CoDe 1.23.2.0; LW 8.0, Build 20211117"/>
  </w:docVars>
  <w:rsids>
    <w:rsidRoot w:val="00131369"/>
    <w:rsid w:val="00001AC7"/>
    <w:rsid w:val="00003E13"/>
    <w:rsid w:val="000067D2"/>
    <w:rsid w:val="000068FE"/>
    <w:rsid w:val="00006E10"/>
    <w:rsid w:val="000078B0"/>
    <w:rsid w:val="0000796D"/>
    <w:rsid w:val="00007C15"/>
    <w:rsid w:val="00010346"/>
    <w:rsid w:val="0001267A"/>
    <w:rsid w:val="00014A2D"/>
    <w:rsid w:val="000166A5"/>
    <w:rsid w:val="00016EE1"/>
    <w:rsid w:val="000211CD"/>
    <w:rsid w:val="00023158"/>
    <w:rsid w:val="0002564E"/>
    <w:rsid w:val="00025C81"/>
    <w:rsid w:val="000272E5"/>
    <w:rsid w:val="00030658"/>
    <w:rsid w:val="000313B3"/>
    <w:rsid w:val="0003195A"/>
    <w:rsid w:val="00034550"/>
    <w:rsid w:val="00035110"/>
    <w:rsid w:val="00035AF7"/>
    <w:rsid w:val="000364E6"/>
    <w:rsid w:val="00042CC0"/>
    <w:rsid w:val="00044600"/>
    <w:rsid w:val="0004562A"/>
    <w:rsid w:val="00046E79"/>
    <w:rsid w:val="00052B4E"/>
    <w:rsid w:val="000532A9"/>
    <w:rsid w:val="000551F4"/>
    <w:rsid w:val="00055D6D"/>
    <w:rsid w:val="00060393"/>
    <w:rsid w:val="0006079D"/>
    <w:rsid w:val="00061279"/>
    <w:rsid w:val="00061ADE"/>
    <w:rsid w:val="000629A0"/>
    <w:rsid w:val="00062A9F"/>
    <w:rsid w:val="0006372F"/>
    <w:rsid w:val="00063B2C"/>
    <w:rsid w:val="00063CFE"/>
    <w:rsid w:val="00066EB2"/>
    <w:rsid w:val="000772BB"/>
    <w:rsid w:val="00081FC6"/>
    <w:rsid w:val="000839B3"/>
    <w:rsid w:val="00085CF6"/>
    <w:rsid w:val="000903A1"/>
    <w:rsid w:val="0009092A"/>
    <w:rsid w:val="00090DBB"/>
    <w:rsid w:val="00092D06"/>
    <w:rsid w:val="00093118"/>
    <w:rsid w:val="00093F8D"/>
    <w:rsid w:val="00096023"/>
    <w:rsid w:val="000A1242"/>
    <w:rsid w:val="000A47F5"/>
    <w:rsid w:val="000A5336"/>
    <w:rsid w:val="000A5B98"/>
    <w:rsid w:val="000A6946"/>
    <w:rsid w:val="000A6CD0"/>
    <w:rsid w:val="000B6F68"/>
    <w:rsid w:val="000B7D11"/>
    <w:rsid w:val="000C2845"/>
    <w:rsid w:val="000C2C7F"/>
    <w:rsid w:val="000C4141"/>
    <w:rsid w:val="000C4A54"/>
    <w:rsid w:val="000C70F0"/>
    <w:rsid w:val="000D0A67"/>
    <w:rsid w:val="000D1307"/>
    <w:rsid w:val="000D1780"/>
    <w:rsid w:val="000D339D"/>
    <w:rsid w:val="000D6521"/>
    <w:rsid w:val="000E0C73"/>
    <w:rsid w:val="000E264B"/>
    <w:rsid w:val="000E3D0A"/>
    <w:rsid w:val="000E4AEE"/>
    <w:rsid w:val="000F63B2"/>
    <w:rsid w:val="00104100"/>
    <w:rsid w:val="00104163"/>
    <w:rsid w:val="00105B87"/>
    <w:rsid w:val="00106059"/>
    <w:rsid w:val="0010679C"/>
    <w:rsid w:val="00106D7A"/>
    <w:rsid w:val="0011399F"/>
    <w:rsid w:val="00114C3A"/>
    <w:rsid w:val="00115ADC"/>
    <w:rsid w:val="001222DE"/>
    <w:rsid w:val="00122738"/>
    <w:rsid w:val="00122BCA"/>
    <w:rsid w:val="00123D6B"/>
    <w:rsid w:val="00124323"/>
    <w:rsid w:val="00131369"/>
    <w:rsid w:val="00134E98"/>
    <w:rsid w:val="00135FC5"/>
    <w:rsid w:val="0013784D"/>
    <w:rsid w:val="0014359B"/>
    <w:rsid w:val="00143AC1"/>
    <w:rsid w:val="00144322"/>
    <w:rsid w:val="001459D7"/>
    <w:rsid w:val="001463E5"/>
    <w:rsid w:val="001534E7"/>
    <w:rsid w:val="001543A0"/>
    <w:rsid w:val="00154570"/>
    <w:rsid w:val="00154F61"/>
    <w:rsid w:val="00155322"/>
    <w:rsid w:val="001613C9"/>
    <w:rsid w:val="00161C65"/>
    <w:rsid w:val="00164F61"/>
    <w:rsid w:val="00165742"/>
    <w:rsid w:val="00165C37"/>
    <w:rsid w:val="001709C9"/>
    <w:rsid w:val="001717C5"/>
    <w:rsid w:val="00180170"/>
    <w:rsid w:val="00180BF3"/>
    <w:rsid w:val="00184BAD"/>
    <w:rsid w:val="00186CD7"/>
    <w:rsid w:val="001905C8"/>
    <w:rsid w:val="00190754"/>
    <w:rsid w:val="001950F8"/>
    <w:rsid w:val="001A3667"/>
    <w:rsid w:val="001A4B9C"/>
    <w:rsid w:val="001A4DC6"/>
    <w:rsid w:val="001A50EC"/>
    <w:rsid w:val="001A5BFF"/>
    <w:rsid w:val="001B2332"/>
    <w:rsid w:val="001B36D0"/>
    <w:rsid w:val="001B48F7"/>
    <w:rsid w:val="001B4E67"/>
    <w:rsid w:val="001B7C08"/>
    <w:rsid w:val="001C2098"/>
    <w:rsid w:val="001C3686"/>
    <w:rsid w:val="001C6F82"/>
    <w:rsid w:val="001C7AFF"/>
    <w:rsid w:val="001D0317"/>
    <w:rsid w:val="001D17C1"/>
    <w:rsid w:val="001D33C2"/>
    <w:rsid w:val="001E6B17"/>
    <w:rsid w:val="001F1BDC"/>
    <w:rsid w:val="001F2179"/>
    <w:rsid w:val="001F361F"/>
    <w:rsid w:val="001F3BFB"/>
    <w:rsid w:val="001F3C0C"/>
    <w:rsid w:val="001F5D15"/>
    <w:rsid w:val="00211BB3"/>
    <w:rsid w:val="00211DEA"/>
    <w:rsid w:val="00213006"/>
    <w:rsid w:val="00213567"/>
    <w:rsid w:val="00216019"/>
    <w:rsid w:val="00222689"/>
    <w:rsid w:val="00225880"/>
    <w:rsid w:val="002272DF"/>
    <w:rsid w:val="00231587"/>
    <w:rsid w:val="00232B0B"/>
    <w:rsid w:val="0023409B"/>
    <w:rsid w:val="002352B1"/>
    <w:rsid w:val="0023530E"/>
    <w:rsid w:val="002436E2"/>
    <w:rsid w:val="002443DF"/>
    <w:rsid w:val="00245692"/>
    <w:rsid w:val="002472A0"/>
    <w:rsid w:val="00254016"/>
    <w:rsid w:val="00254DAB"/>
    <w:rsid w:val="00257346"/>
    <w:rsid w:val="00257B98"/>
    <w:rsid w:val="00266EEC"/>
    <w:rsid w:val="00267A5F"/>
    <w:rsid w:val="0027080F"/>
    <w:rsid w:val="00270A58"/>
    <w:rsid w:val="00271746"/>
    <w:rsid w:val="002728D2"/>
    <w:rsid w:val="0027366E"/>
    <w:rsid w:val="002739DF"/>
    <w:rsid w:val="0027402D"/>
    <w:rsid w:val="002752DF"/>
    <w:rsid w:val="00276C08"/>
    <w:rsid w:val="0028370A"/>
    <w:rsid w:val="00283EB6"/>
    <w:rsid w:val="00285E7E"/>
    <w:rsid w:val="00286454"/>
    <w:rsid w:val="00287718"/>
    <w:rsid w:val="00292813"/>
    <w:rsid w:val="00295131"/>
    <w:rsid w:val="002A3423"/>
    <w:rsid w:val="002A349F"/>
    <w:rsid w:val="002A37E6"/>
    <w:rsid w:val="002A5341"/>
    <w:rsid w:val="002B36D5"/>
    <w:rsid w:val="002B3C40"/>
    <w:rsid w:val="002B6EDE"/>
    <w:rsid w:val="002C0876"/>
    <w:rsid w:val="002C1099"/>
    <w:rsid w:val="002C282C"/>
    <w:rsid w:val="002C44C6"/>
    <w:rsid w:val="002C5A3E"/>
    <w:rsid w:val="002D1C0C"/>
    <w:rsid w:val="002D27E2"/>
    <w:rsid w:val="002D39D9"/>
    <w:rsid w:val="002D4E62"/>
    <w:rsid w:val="002D560B"/>
    <w:rsid w:val="002D58AB"/>
    <w:rsid w:val="002D5EA3"/>
    <w:rsid w:val="002D72D4"/>
    <w:rsid w:val="002D7743"/>
    <w:rsid w:val="002E3AD3"/>
    <w:rsid w:val="002E3B73"/>
    <w:rsid w:val="002E46A0"/>
    <w:rsid w:val="002E4B5A"/>
    <w:rsid w:val="002E6706"/>
    <w:rsid w:val="002E6DE2"/>
    <w:rsid w:val="002E715E"/>
    <w:rsid w:val="002E74EA"/>
    <w:rsid w:val="002E77E3"/>
    <w:rsid w:val="002F11A7"/>
    <w:rsid w:val="002F20DF"/>
    <w:rsid w:val="002F7BAC"/>
    <w:rsid w:val="003037D9"/>
    <w:rsid w:val="0030748F"/>
    <w:rsid w:val="00312334"/>
    <w:rsid w:val="00313428"/>
    <w:rsid w:val="00313CB3"/>
    <w:rsid w:val="00317DD4"/>
    <w:rsid w:val="0033186F"/>
    <w:rsid w:val="0033322A"/>
    <w:rsid w:val="00340A89"/>
    <w:rsid w:val="00351634"/>
    <w:rsid w:val="00352895"/>
    <w:rsid w:val="00352B98"/>
    <w:rsid w:val="003541AB"/>
    <w:rsid w:val="00355B68"/>
    <w:rsid w:val="00355E20"/>
    <w:rsid w:val="0036094A"/>
    <w:rsid w:val="00360FC1"/>
    <w:rsid w:val="00363A06"/>
    <w:rsid w:val="0036415F"/>
    <w:rsid w:val="00367D64"/>
    <w:rsid w:val="00371DC7"/>
    <w:rsid w:val="00373105"/>
    <w:rsid w:val="00373BB4"/>
    <w:rsid w:val="0037484C"/>
    <w:rsid w:val="003805F8"/>
    <w:rsid w:val="00380E3A"/>
    <w:rsid w:val="003873E0"/>
    <w:rsid w:val="003904CA"/>
    <w:rsid w:val="003936C0"/>
    <w:rsid w:val="00396BE5"/>
    <w:rsid w:val="003A2F27"/>
    <w:rsid w:val="003A3673"/>
    <w:rsid w:val="003A3A86"/>
    <w:rsid w:val="003A3DFF"/>
    <w:rsid w:val="003A46F6"/>
    <w:rsid w:val="003A59BF"/>
    <w:rsid w:val="003A6729"/>
    <w:rsid w:val="003A714D"/>
    <w:rsid w:val="003A77F9"/>
    <w:rsid w:val="003B0310"/>
    <w:rsid w:val="003B1C52"/>
    <w:rsid w:val="003B4076"/>
    <w:rsid w:val="003B6468"/>
    <w:rsid w:val="003B74E6"/>
    <w:rsid w:val="003C191E"/>
    <w:rsid w:val="003D2468"/>
    <w:rsid w:val="003D2D25"/>
    <w:rsid w:val="003D4197"/>
    <w:rsid w:val="003E13AB"/>
    <w:rsid w:val="003E1DA8"/>
    <w:rsid w:val="003E2E5C"/>
    <w:rsid w:val="003E3B4A"/>
    <w:rsid w:val="003E3DC7"/>
    <w:rsid w:val="003E5444"/>
    <w:rsid w:val="003E5586"/>
    <w:rsid w:val="003E68AC"/>
    <w:rsid w:val="003F1292"/>
    <w:rsid w:val="003F1B6A"/>
    <w:rsid w:val="003F2B43"/>
    <w:rsid w:val="003F3E14"/>
    <w:rsid w:val="0040392B"/>
    <w:rsid w:val="0040566C"/>
    <w:rsid w:val="00407285"/>
    <w:rsid w:val="0041348B"/>
    <w:rsid w:val="004144EE"/>
    <w:rsid w:val="004219CC"/>
    <w:rsid w:val="00422012"/>
    <w:rsid w:val="0042389A"/>
    <w:rsid w:val="00425B34"/>
    <w:rsid w:val="004267BE"/>
    <w:rsid w:val="00435CEB"/>
    <w:rsid w:val="00446BDA"/>
    <w:rsid w:val="004567CA"/>
    <w:rsid w:val="0046101C"/>
    <w:rsid w:val="00461145"/>
    <w:rsid w:val="00462866"/>
    <w:rsid w:val="004707AB"/>
    <w:rsid w:val="00470A23"/>
    <w:rsid w:val="00471D7E"/>
    <w:rsid w:val="0047430D"/>
    <w:rsid w:val="004745AA"/>
    <w:rsid w:val="00475FF5"/>
    <w:rsid w:val="00477334"/>
    <w:rsid w:val="00483004"/>
    <w:rsid w:val="004867EA"/>
    <w:rsid w:val="00487B55"/>
    <w:rsid w:val="004907E9"/>
    <w:rsid w:val="004911DB"/>
    <w:rsid w:val="00491456"/>
    <w:rsid w:val="004A3D66"/>
    <w:rsid w:val="004A59FD"/>
    <w:rsid w:val="004A62EF"/>
    <w:rsid w:val="004A71F9"/>
    <w:rsid w:val="004B1018"/>
    <w:rsid w:val="004B1DFC"/>
    <w:rsid w:val="004B34FE"/>
    <w:rsid w:val="004B5D95"/>
    <w:rsid w:val="004B6C39"/>
    <w:rsid w:val="004B7057"/>
    <w:rsid w:val="004B7485"/>
    <w:rsid w:val="004C1953"/>
    <w:rsid w:val="004C339D"/>
    <w:rsid w:val="004C4EDD"/>
    <w:rsid w:val="004C5481"/>
    <w:rsid w:val="004D1674"/>
    <w:rsid w:val="004D276F"/>
    <w:rsid w:val="004D3B9F"/>
    <w:rsid w:val="004D565D"/>
    <w:rsid w:val="004D698F"/>
    <w:rsid w:val="004D6E35"/>
    <w:rsid w:val="004E20DA"/>
    <w:rsid w:val="004E3703"/>
    <w:rsid w:val="004E3AEB"/>
    <w:rsid w:val="004F2854"/>
    <w:rsid w:val="004F5D3E"/>
    <w:rsid w:val="004F5D45"/>
    <w:rsid w:val="005037D9"/>
    <w:rsid w:val="00503D62"/>
    <w:rsid w:val="0050426B"/>
    <w:rsid w:val="00507A09"/>
    <w:rsid w:val="00507A9B"/>
    <w:rsid w:val="0051092C"/>
    <w:rsid w:val="00510B70"/>
    <w:rsid w:val="00513E29"/>
    <w:rsid w:val="00515164"/>
    <w:rsid w:val="00515419"/>
    <w:rsid w:val="005177EA"/>
    <w:rsid w:val="005177F1"/>
    <w:rsid w:val="00522110"/>
    <w:rsid w:val="00522642"/>
    <w:rsid w:val="00524851"/>
    <w:rsid w:val="00525AFB"/>
    <w:rsid w:val="0053168B"/>
    <w:rsid w:val="00531B36"/>
    <w:rsid w:val="00531E62"/>
    <w:rsid w:val="005322C2"/>
    <w:rsid w:val="005334EC"/>
    <w:rsid w:val="005367F2"/>
    <w:rsid w:val="005441CB"/>
    <w:rsid w:val="00546A8D"/>
    <w:rsid w:val="00547491"/>
    <w:rsid w:val="00554B30"/>
    <w:rsid w:val="00554C5C"/>
    <w:rsid w:val="005574A7"/>
    <w:rsid w:val="0055791A"/>
    <w:rsid w:val="00561BA5"/>
    <w:rsid w:val="00561E4F"/>
    <w:rsid w:val="00562460"/>
    <w:rsid w:val="00562735"/>
    <w:rsid w:val="00563A15"/>
    <w:rsid w:val="00567DB0"/>
    <w:rsid w:val="005700A3"/>
    <w:rsid w:val="0057091D"/>
    <w:rsid w:val="00571751"/>
    <w:rsid w:val="0057297F"/>
    <w:rsid w:val="00574173"/>
    <w:rsid w:val="00574371"/>
    <w:rsid w:val="00575254"/>
    <w:rsid w:val="005808F1"/>
    <w:rsid w:val="00580C89"/>
    <w:rsid w:val="00581026"/>
    <w:rsid w:val="005811CF"/>
    <w:rsid w:val="00583840"/>
    <w:rsid w:val="005845D7"/>
    <w:rsid w:val="00584651"/>
    <w:rsid w:val="00592602"/>
    <w:rsid w:val="0059370A"/>
    <w:rsid w:val="005937C4"/>
    <w:rsid w:val="005938BB"/>
    <w:rsid w:val="00595C69"/>
    <w:rsid w:val="00595E98"/>
    <w:rsid w:val="00596386"/>
    <w:rsid w:val="00596410"/>
    <w:rsid w:val="0059727B"/>
    <w:rsid w:val="005A04B4"/>
    <w:rsid w:val="005A2756"/>
    <w:rsid w:val="005B62BF"/>
    <w:rsid w:val="005B6D58"/>
    <w:rsid w:val="005C0E04"/>
    <w:rsid w:val="005C24AF"/>
    <w:rsid w:val="005C4BD5"/>
    <w:rsid w:val="005D0FA3"/>
    <w:rsid w:val="005D12AE"/>
    <w:rsid w:val="005D78E8"/>
    <w:rsid w:val="005E0657"/>
    <w:rsid w:val="005E0666"/>
    <w:rsid w:val="005E1F51"/>
    <w:rsid w:val="005F1CAC"/>
    <w:rsid w:val="005F2380"/>
    <w:rsid w:val="005F3544"/>
    <w:rsid w:val="005F6CC0"/>
    <w:rsid w:val="0060011A"/>
    <w:rsid w:val="00601D07"/>
    <w:rsid w:val="0060222B"/>
    <w:rsid w:val="006050B5"/>
    <w:rsid w:val="00612629"/>
    <w:rsid w:val="00612D73"/>
    <w:rsid w:val="0062244C"/>
    <w:rsid w:val="006234BD"/>
    <w:rsid w:val="00624518"/>
    <w:rsid w:val="00630C61"/>
    <w:rsid w:val="00633282"/>
    <w:rsid w:val="006336DD"/>
    <w:rsid w:val="006358F2"/>
    <w:rsid w:val="00645297"/>
    <w:rsid w:val="006503D0"/>
    <w:rsid w:val="00652BDB"/>
    <w:rsid w:val="0065389B"/>
    <w:rsid w:val="0065781F"/>
    <w:rsid w:val="0066011F"/>
    <w:rsid w:val="00665E86"/>
    <w:rsid w:val="00666776"/>
    <w:rsid w:val="00667AB6"/>
    <w:rsid w:val="00670225"/>
    <w:rsid w:val="00673D33"/>
    <w:rsid w:val="00676166"/>
    <w:rsid w:val="00681631"/>
    <w:rsid w:val="006837B9"/>
    <w:rsid w:val="00686C15"/>
    <w:rsid w:val="00687265"/>
    <w:rsid w:val="006874D5"/>
    <w:rsid w:val="0069006B"/>
    <w:rsid w:val="00690DC7"/>
    <w:rsid w:val="0069175F"/>
    <w:rsid w:val="0069339C"/>
    <w:rsid w:val="00697D4B"/>
    <w:rsid w:val="006A12A1"/>
    <w:rsid w:val="006A2A57"/>
    <w:rsid w:val="006A6CAB"/>
    <w:rsid w:val="006B36B9"/>
    <w:rsid w:val="006B3A67"/>
    <w:rsid w:val="006B4085"/>
    <w:rsid w:val="006B60E2"/>
    <w:rsid w:val="006B7047"/>
    <w:rsid w:val="006C0802"/>
    <w:rsid w:val="006C2372"/>
    <w:rsid w:val="006C2DA5"/>
    <w:rsid w:val="006C4F22"/>
    <w:rsid w:val="006C746A"/>
    <w:rsid w:val="006C7C9F"/>
    <w:rsid w:val="006C7E0F"/>
    <w:rsid w:val="006D2D29"/>
    <w:rsid w:val="006D3497"/>
    <w:rsid w:val="006D5507"/>
    <w:rsid w:val="006E039C"/>
    <w:rsid w:val="006E07EF"/>
    <w:rsid w:val="006E3A75"/>
    <w:rsid w:val="006E3C8E"/>
    <w:rsid w:val="006E650D"/>
    <w:rsid w:val="006E6B36"/>
    <w:rsid w:val="006F0522"/>
    <w:rsid w:val="006F13D7"/>
    <w:rsid w:val="006F1A74"/>
    <w:rsid w:val="00700047"/>
    <w:rsid w:val="00700E19"/>
    <w:rsid w:val="00704947"/>
    <w:rsid w:val="0070580B"/>
    <w:rsid w:val="0070592B"/>
    <w:rsid w:val="00705A32"/>
    <w:rsid w:val="007077B1"/>
    <w:rsid w:val="007102CE"/>
    <w:rsid w:val="00715EEB"/>
    <w:rsid w:val="007165D4"/>
    <w:rsid w:val="00717905"/>
    <w:rsid w:val="00717F9C"/>
    <w:rsid w:val="00720BB9"/>
    <w:rsid w:val="0072196B"/>
    <w:rsid w:val="0073012C"/>
    <w:rsid w:val="00732155"/>
    <w:rsid w:val="007322C2"/>
    <w:rsid w:val="00732CE8"/>
    <w:rsid w:val="0073432A"/>
    <w:rsid w:val="007352AB"/>
    <w:rsid w:val="007415C0"/>
    <w:rsid w:val="00741BAD"/>
    <w:rsid w:val="00743121"/>
    <w:rsid w:val="007446BD"/>
    <w:rsid w:val="00745119"/>
    <w:rsid w:val="00753842"/>
    <w:rsid w:val="007636D2"/>
    <w:rsid w:val="00763C8D"/>
    <w:rsid w:val="007647D7"/>
    <w:rsid w:val="007651B9"/>
    <w:rsid w:val="00772692"/>
    <w:rsid w:val="00774BD0"/>
    <w:rsid w:val="00776480"/>
    <w:rsid w:val="007779E3"/>
    <w:rsid w:val="00782505"/>
    <w:rsid w:val="00782AD2"/>
    <w:rsid w:val="00782F81"/>
    <w:rsid w:val="00785C07"/>
    <w:rsid w:val="00791835"/>
    <w:rsid w:val="00792796"/>
    <w:rsid w:val="00793478"/>
    <w:rsid w:val="00793882"/>
    <w:rsid w:val="00793BE6"/>
    <w:rsid w:val="0079431A"/>
    <w:rsid w:val="00794409"/>
    <w:rsid w:val="00795EB2"/>
    <w:rsid w:val="00796BD2"/>
    <w:rsid w:val="007976AC"/>
    <w:rsid w:val="0079798A"/>
    <w:rsid w:val="007A0711"/>
    <w:rsid w:val="007A0C87"/>
    <w:rsid w:val="007A1813"/>
    <w:rsid w:val="007A2893"/>
    <w:rsid w:val="007A2BE9"/>
    <w:rsid w:val="007A43A4"/>
    <w:rsid w:val="007A5FC2"/>
    <w:rsid w:val="007A634F"/>
    <w:rsid w:val="007B08FA"/>
    <w:rsid w:val="007B1439"/>
    <w:rsid w:val="007B2901"/>
    <w:rsid w:val="007B2BF0"/>
    <w:rsid w:val="007B4099"/>
    <w:rsid w:val="007B4EC4"/>
    <w:rsid w:val="007B5EDA"/>
    <w:rsid w:val="007B612B"/>
    <w:rsid w:val="007B7414"/>
    <w:rsid w:val="007C291A"/>
    <w:rsid w:val="007C5770"/>
    <w:rsid w:val="007C6727"/>
    <w:rsid w:val="007C794B"/>
    <w:rsid w:val="007D0715"/>
    <w:rsid w:val="007D3A6E"/>
    <w:rsid w:val="007D7544"/>
    <w:rsid w:val="007D7CA6"/>
    <w:rsid w:val="007E0C45"/>
    <w:rsid w:val="007E390F"/>
    <w:rsid w:val="007E391E"/>
    <w:rsid w:val="007E46A0"/>
    <w:rsid w:val="007E6B21"/>
    <w:rsid w:val="007E7FC2"/>
    <w:rsid w:val="007F0B94"/>
    <w:rsid w:val="007F3515"/>
    <w:rsid w:val="007F4694"/>
    <w:rsid w:val="007F5632"/>
    <w:rsid w:val="00802A22"/>
    <w:rsid w:val="00802C13"/>
    <w:rsid w:val="0080333F"/>
    <w:rsid w:val="00804192"/>
    <w:rsid w:val="00810E5A"/>
    <w:rsid w:val="00813D7D"/>
    <w:rsid w:val="008155E5"/>
    <w:rsid w:val="008157E5"/>
    <w:rsid w:val="00817385"/>
    <w:rsid w:val="008209EC"/>
    <w:rsid w:val="00820BD5"/>
    <w:rsid w:val="0082114A"/>
    <w:rsid w:val="00822EBC"/>
    <w:rsid w:val="0083101B"/>
    <w:rsid w:val="00834FE2"/>
    <w:rsid w:val="008356AC"/>
    <w:rsid w:val="008368CD"/>
    <w:rsid w:val="00837D99"/>
    <w:rsid w:val="00845492"/>
    <w:rsid w:val="008474E3"/>
    <w:rsid w:val="0085153B"/>
    <w:rsid w:val="008515C3"/>
    <w:rsid w:val="00851E0F"/>
    <w:rsid w:val="00851FAC"/>
    <w:rsid w:val="008527F6"/>
    <w:rsid w:val="00853904"/>
    <w:rsid w:val="00855DE8"/>
    <w:rsid w:val="008606BF"/>
    <w:rsid w:val="00861830"/>
    <w:rsid w:val="00861E34"/>
    <w:rsid w:val="00862ADE"/>
    <w:rsid w:val="008645A8"/>
    <w:rsid w:val="00865DDA"/>
    <w:rsid w:val="00865F09"/>
    <w:rsid w:val="00865F8D"/>
    <w:rsid w:val="008662CC"/>
    <w:rsid w:val="00866A9F"/>
    <w:rsid w:val="00867650"/>
    <w:rsid w:val="00872869"/>
    <w:rsid w:val="00872D95"/>
    <w:rsid w:val="008749D1"/>
    <w:rsid w:val="008755C0"/>
    <w:rsid w:val="00880BFB"/>
    <w:rsid w:val="0088145B"/>
    <w:rsid w:val="00882B53"/>
    <w:rsid w:val="0088478D"/>
    <w:rsid w:val="008908F3"/>
    <w:rsid w:val="00891A3D"/>
    <w:rsid w:val="00891BF8"/>
    <w:rsid w:val="008937B8"/>
    <w:rsid w:val="00895302"/>
    <w:rsid w:val="00896336"/>
    <w:rsid w:val="008968F7"/>
    <w:rsid w:val="008A0C52"/>
    <w:rsid w:val="008A27D7"/>
    <w:rsid w:val="008A49D6"/>
    <w:rsid w:val="008A55D8"/>
    <w:rsid w:val="008B1DFC"/>
    <w:rsid w:val="008B66CA"/>
    <w:rsid w:val="008C4AF4"/>
    <w:rsid w:val="008C73B7"/>
    <w:rsid w:val="008C7BC4"/>
    <w:rsid w:val="008D0350"/>
    <w:rsid w:val="008D069C"/>
    <w:rsid w:val="008D20C3"/>
    <w:rsid w:val="008D224A"/>
    <w:rsid w:val="008D4041"/>
    <w:rsid w:val="008D533B"/>
    <w:rsid w:val="008D5349"/>
    <w:rsid w:val="008E044F"/>
    <w:rsid w:val="008E08F9"/>
    <w:rsid w:val="008E1322"/>
    <w:rsid w:val="008E2AA5"/>
    <w:rsid w:val="008E4DBE"/>
    <w:rsid w:val="008F007A"/>
    <w:rsid w:val="008F083C"/>
    <w:rsid w:val="008F223E"/>
    <w:rsid w:val="008F2F26"/>
    <w:rsid w:val="008F55D7"/>
    <w:rsid w:val="008F5B2E"/>
    <w:rsid w:val="0090131B"/>
    <w:rsid w:val="009045B9"/>
    <w:rsid w:val="00910B78"/>
    <w:rsid w:val="00912A01"/>
    <w:rsid w:val="00923E3D"/>
    <w:rsid w:val="009252DB"/>
    <w:rsid w:val="00925C44"/>
    <w:rsid w:val="009272C0"/>
    <w:rsid w:val="00927BDA"/>
    <w:rsid w:val="00927CA6"/>
    <w:rsid w:val="00930372"/>
    <w:rsid w:val="0093168E"/>
    <w:rsid w:val="00933B1C"/>
    <w:rsid w:val="00935F50"/>
    <w:rsid w:val="009418F3"/>
    <w:rsid w:val="00944747"/>
    <w:rsid w:val="00944B28"/>
    <w:rsid w:val="0094714A"/>
    <w:rsid w:val="00950562"/>
    <w:rsid w:val="00952C3C"/>
    <w:rsid w:val="009540AF"/>
    <w:rsid w:val="00957513"/>
    <w:rsid w:val="00960416"/>
    <w:rsid w:val="00960D9E"/>
    <w:rsid w:val="009631E7"/>
    <w:rsid w:val="00963CD3"/>
    <w:rsid w:val="00964A3B"/>
    <w:rsid w:val="00964E0B"/>
    <w:rsid w:val="00970CFB"/>
    <w:rsid w:val="00971666"/>
    <w:rsid w:val="00971793"/>
    <w:rsid w:val="009718FE"/>
    <w:rsid w:val="00972354"/>
    <w:rsid w:val="009729F0"/>
    <w:rsid w:val="00973188"/>
    <w:rsid w:val="00973B21"/>
    <w:rsid w:val="00974E65"/>
    <w:rsid w:val="00976A59"/>
    <w:rsid w:val="0097754E"/>
    <w:rsid w:val="00980547"/>
    <w:rsid w:val="00980FA5"/>
    <w:rsid w:val="009811F5"/>
    <w:rsid w:val="00982CF6"/>
    <w:rsid w:val="00991C44"/>
    <w:rsid w:val="009929EF"/>
    <w:rsid w:val="0099338B"/>
    <w:rsid w:val="00996787"/>
    <w:rsid w:val="009968D9"/>
    <w:rsid w:val="00997FF6"/>
    <w:rsid w:val="009A2E22"/>
    <w:rsid w:val="009A2EF4"/>
    <w:rsid w:val="009A5418"/>
    <w:rsid w:val="009A6CDD"/>
    <w:rsid w:val="009A6D9A"/>
    <w:rsid w:val="009B06FD"/>
    <w:rsid w:val="009B1308"/>
    <w:rsid w:val="009B1524"/>
    <w:rsid w:val="009B1B66"/>
    <w:rsid w:val="009B3224"/>
    <w:rsid w:val="009B582F"/>
    <w:rsid w:val="009B5D3B"/>
    <w:rsid w:val="009C0D16"/>
    <w:rsid w:val="009C349A"/>
    <w:rsid w:val="009C68FA"/>
    <w:rsid w:val="009C6AE2"/>
    <w:rsid w:val="009D2198"/>
    <w:rsid w:val="009D4BB1"/>
    <w:rsid w:val="009D5BB0"/>
    <w:rsid w:val="009D6FFE"/>
    <w:rsid w:val="009E3AD2"/>
    <w:rsid w:val="009E4353"/>
    <w:rsid w:val="009E797F"/>
    <w:rsid w:val="009F0084"/>
    <w:rsid w:val="009F3367"/>
    <w:rsid w:val="009F4C75"/>
    <w:rsid w:val="009F4F4C"/>
    <w:rsid w:val="009F6236"/>
    <w:rsid w:val="009F7CA3"/>
    <w:rsid w:val="00A0171F"/>
    <w:rsid w:val="00A065C2"/>
    <w:rsid w:val="00A0767F"/>
    <w:rsid w:val="00A1108B"/>
    <w:rsid w:val="00A15402"/>
    <w:rsid w:val="00A17195"/>
    <w:rsid w:val="00A2278D"/>
    <w:rsid w:val="00A227C1"/>
    <w:rsid w:val="00A231EC"/>
    <w:rsid w:val="00A254EC"/>
    <w:rsid w:val="00A269EE"/>
    <w:rsid w:val="00A26BCD"/>
    <w:rsid w:val="00A27069"/>
    <w:rsid w:val="00A276E6"/>
    <w:rsid w:val="00A27E4A"/>
    <w:rsid w:val="00A31A64"/>
    <w:rsid w:val="00A31D48"/>
    <w:rsid w:val="00A33951"/>
    <w:rsid w:val="00A347A1"/>
    <w:rsid w:val="00A36409"/>
    <w:rsid w:val="00A36D2F"/>
    <w:rsid w:val="00A36E7B"/>
    <w:rsid w:val="00A3760B"/>
    <w:rsid w:val="00A41BDE"/>
    <w:rsid w:val="00A434CC"/>
    <w:rsid w:val="00A43DCE"/>
    <w:rsid w:val="00A4451E"/>
    <w:rsid w:val="00A456F8"/>
    <w:rsid w:val="00A50925"/>
    <w:rsid w:val="00A51737"/>
    <w:rsid w:val="00A52EA3"/>
    <w:rsid w:val="00A57B95"/>
    <w:rsid w:val="00A60998"/>
    <w:rsid w:val="00A64C25"/>
    <w:rsid w:val="00A66980"/>
    <w:rsid w:val="00A7101F"/>
    <w:rsid w:val="00A732D4"/>
    <w:rsid w:val="00A73D66"/>
    <w:rsid w:val="00A7440C"/>
    <w:rsid w:val="00A74D95"/>
    <w:rsid w:val="00A7591B"/>
    <w:rsid w:val="00A75A17"/>
    <w:rsid w:val="00A76657"/>
    <w:rsid w:val="00A77846"/>
    <w:rsid w:val="00A808EE"/>
    <w:rsid w:val="00A80FF9"/>
    <w:rsid w:val="00A865DD"/>
    <w:rsid w:val="00A87857"/>
    <w:rsid w:val="00A87A04"/>
    <w:rsid w:val="00A90A62"/>
    <w:rsid w:val="00A91B47"/>
    <w:rsid w:val="00A9289A"/>
    <w:rsid w:val="00A96409"/>
    <w:rsid w:val="00AA1752"/>
    <w:rsid w:val="00AA2C7C"/>
    <w:rsid w:val="00AA3771"/>
    <w:rsid w:val="00AB0CDD"/>
    <w:rsid w:val="00AB4036"/>
    <w:rsid w:val="00AB4732"/>
    <w:rsid w:val="00AB65BF"/>
    <w:rsid w:val="00AB73FF"/>
    <w:rsid w:val="00AC2F6D"/>
    <w:rsid w:val="00AC7BFD"/>
    <w:rsid w:val="00AD1EA3"/>
    <w:rsid w:val="00AD25CD"/>
    <w:rsid w:val="00AD4203"/>
    <w:rsid w:val="00AD4B8C"/>
    <w:rsid w:val="00AD511A"/>
    <w:rsid w:val="00AD5E24"/>
    <w:rsid w:val="00AD678D"/>
    <w:rsid w:val="00AE1AE5"/>
    <w:rsid w:val="00AE2965"/>
    <w:rsid w:val="00AE4323"/>
    <w:rsid w:val="00AE5689"/>
    <w:rsid w:val="00AE5BE3"/>
    <w:rsid w:val="00AE5E4B"/>
    <w:rsid w:val="00AE61A1"/>
    <w:rsid w:val="00AE6516"/>
    <w:rsid w:val="00AE724E"/>
    <w:rsid w:val="00AF2AFA"/>
    <w:rsid w:val="00AF58CC"/>
    <w:rsid w:val="00AF7AE4"/>
    <w:rsid w:val="00AF7C29"/>
    <w:rsid w:val="00B02C8A"/>
    <w:rsid w:val="00B030A9"/>
    <w:rsid w:val="00B04DED"/>
    <w:rsid w:val="00B05475"/>
    <w:rsid w:val="00B06A3A"/>
    <w:rsid w:val="00B1114C"/>
    <w:rsid w:val="00B139F0"/>
    <w:rsid w:val="00B15982"/>
    <w:rsid w:val="00B16B0A"/>
    <w:rsid w:val="00B179B7"/>
    <w:rsid w:val="00B22445"/>
    <w:rsid w:val="00B24F26"/>
    <w:rsid w:val="00B25B62"/>
    <w:rsid w:val="00B25F94"/>
    <w:rsid w:val="00B26E03"/>
    <w:rsid w:val="00B30B4A"/>
    <w:rsid w:val="00B37C7F"/>
    <w:rsid w:val="00B41034"/>
    <w:rsid w:val="00B4289E"/>
    <w:rsid w:val="00B43BB7"/>
    <w:rsid w:val="00B441CA"/>
    <w:rsid w:val="00B46F26"/>
    <w:rsid w:val="00B478FF"/>
    <w:rsid w:val="00B51037"/>
    <w:rsid w:val="00B52462"/>
    <w:rsid w:val="00B52704"/>
    <w:rsid w:val="00B52F9F"/>
    <w:rsid w:val="00B5637C"/>
    <w:rsid w:val="00B57E39"/>
    <w:rsid w:val="00B60A9D"/>
    <w:rsid w:val="00B627F0"/>
    <w:rsid w:val="00B64605"/>
    <w:rsid w:val="00B64C55"/>
    <w:rsid w:val="00B67152"/>
    <w:rsid w:val="00B70767"/>
    <w:rsid w:val="00B72F70"/>
    <w:rsid w:val="00B75A1C"/>
    <w:rsid w:val="00B833EF"/>
    <w:rsid w:val="00B84343"/>
    <w:rsid w:val="00B87044"/>
    <w:rsid w:val="00B905CA"/>
    <w:rsid w:val="00B91188"/>
    <w:rsid w:val="00B92BC4"/>
    <w:rsid w:val="00B94D2E"/>
    <w:rsid w:val="00B956D6"/>
    <w:rsid w:val="00B96732"/>
    <w:rsid w:val="00B96AD5"/>
    <w:rsid w:val="00BA03B2"/>
    <w:rsid w:val="00BA0871"/>
    <w:rsid w:val="00BA233B"/>
    <w:rsid w:val="00BA2A00"/>
    <w:rsid w:val="00BA46C2"/>
    <w:rsid w:val="00BA670F"/>
    <w:rsid w:val="00BA7185"/>
    <w:rsid w:val="00BA7C64"/>
    <w:rsid w:val="00BB03DE"/>
    <w:rsid w:val="00BB1A3C"/>
    <w:rsid w:val="00BB2C11"/>
    <w:rsid w:val="00BB2F88"/>
    <w:rsid w:val="00BB4FB4"/>
    <w:rsid w:val="00BB636C"/>
    <w:rsid w:val="00BB6DB5"/>
    <w:rsid w:val="00BB74E0"/>
    <w:rsid w:val="00BB773A"/>
    <w:rsid w:val="00BC0208"/>
    <w:rsid w:val="00BC1137"/>
    <w:rsid w:val="00BC1A03"/>
    <w:rsid w:val="00BC1AEF"/>
    <w:rsid w:val="00BC1BAA"/>
    <w:rsid w:val="00BC21AD"/>
    <w:rsid w:val="00BC38A6"/>
    <w:rsid w:val="00BC3FA4"/>
    <w:rsid w:val="00BD0B70"/>
    <w:rsid w:val="00BD2055"/>
    <w:rsid w:val="00BD33AC"/>
    <w:rsid w:val="00BD4AD2"/>
    <w:rsid w:val="00BD5CD7"/>
    <w:rsid w:val="00BD6E74"/>
    <w:rsid w:val="00BE1821"/>
    <w:rsid w:val="00BE314D"/>
    <w:rsid w:val="00BE390D"/>
    <w:rsid w:val="00BE4015"/>
    <w:rsid w:val="00BE4E95"/>
    <w:rsid w:val="00BF031E"/>
    <w:rsid w:val="00BF167D"/>
    <w:rsid w:val="00BF4687"/>
    <w:rsid w:val="00BF7F86"/>
    <w:rsid w:val="00C00BD7"/>
    <w:rsid w:val="00C00ECD"/>
    <w:rsid w:val="00C023D7"/>
    <w:rsid w:val="00C02EC0"/>
    <w:rsid w:val="00C043C1"/>
    <w:rsid w:val="00C05B44"/>
    <w:rsid w:val="00C06A1B"/>
    <w:rsid w:val="00C116AE"/>
    <w:rsid w:val="00C124A0"/>
    <w:rsid w:val="00C132D2"/>
    <w:rsid w:val="00C15C44"/>
    <w:rsid w:val="00C163CB"/>
    <w:rsid w:val="00C166A4"/>
    <w:rsid w:val="00C23829"/>
    <w:rsid w:val="00C2583A"/>
    <w:rsid w:val="00C27AA1"/>
    <w:rsid w:val="00C27E72"/>
    <w:rsid w:val="00C31304"/>
    <w:rsid w:val="00C426BD"/>
    <w:rsid w:val="00C47D4A"/>
    <w:rsid w:val="00C54569"/>
    <w:rsid w:val="00C54730"/>
    <w:rsid w:val="00C56790"/>
    <w:rsid w:val="00C62D5C"/>
    <w:rsid w:val="00C63D10"/>
    <w:rsid w:val="00C65511"/>
    <w:rsid w:val="00C662BF"/>
    <w:rsid w:val="00C66934"/>
    <w:rsid w:val="00C70E79"/>
    <w:rsid w:val="00C72145"/>
    <w:rsid w:val="00C736BD"/>
    <w:rsid w:val="00C749D2"/>
    <w:rsid w:val="00C763B5"/>
    <w:rsid w:val="00C83848"/>
    <w:rsid w:val="00C8443D"/>
    <w:rsid w:val="00C846C3"/>
    <w:rsid w:val="00C849A2"/>
    <w:rsid w:val="00C8518F"/>
    <w:rsid w:val="00C91DF3"/>
    <w:rsid w:val="00C96D70"/>
    <w:rsid w:val="00C970C0"/>
    <w:rsid w:val="00CA0B1E"/>
    <w:rsid w:val="00CA0B73"/>
    <w:rsid w:val="00CA112D"/>
    <w:rsid w:val="00CA15B5"/>
    <w:rsid w:val="00CA1706"/>
    <w:rsid w:val="00CA2554"/>
    <w:rsid w:val="00CA2836"/>
    <w:rsid w:val="00CA4A70"/>
    <w:rsid w:val="00CA594F"/>
    <w:rsid w:val="00CB2A1B"/>
    <w:rsid w:val="00CB2F58"/>
    <w:rsid w:val="00CB35FE"/>
    <w:rsid w:val="00CB646B"/>
    <w:rsid w:val="00CB70D5"/>
    <w:rsid w:val="00CB7590"/>
    <w:rsid w:val="00CC0A81"/>
    <w:rsid w:val="00CC1156"/>
    <w:rsid w:val="00CC16FA"/>
    <w:rsid w:val="00CC361B"/>
    <w:rsid w:val="00CC3767"/>
    <w:rsid w:val="00CC3769"/>
    <w:rsid w:val="00CC7FE3"/>
    <w:rsid w:val="00CD265B"/>
    <w:rsid w:val="00CD4003"/>
    <w:rsid w:val="00CD4354"/>
    <w:rsid w:val="00CD4596"/>
    <w:rsid w:val="00CD542C"/>
    <w:rsid w:val="00CD71A2"/>
    <w:rsid w:val="00CD7D20"/>
    <w:rsid w:val="00CE035E"/>
    <w:rsid w:val="00CE0CFD"/>
    <w:rsid w:val="00CE2432"/>
    <w:rsid w:val="00CE3889"/>
    <w:rsid w:val="00CE39D4"/>
    <w:rsid w:val="00CE5A6A"/>
    <w:rsid w:val="00CF1233"/>
    <w:rsid w:val="00CF1BAE"/>
    <w:rsid w:val="00CF204D"/>
    <w:rsid w:val="00CF3C68"/>
    <w:rsid w:val="00CF4096"/>
    <w:rsid w:val="00CF452F"/>
    <w:rsid w:val="00CF7267"/>
    <w:rsid w:val="00CF7CC7"/>
    <w:rsid w:val="00D0048C"/>
    <w:rsid w:val="00D00E94"/>
    <w:rsid w:val="00D06D74"/>
    <w:rsid w:val="00D105BB"/>
    <w:rsid w:val="00D109E7"/>
    <w:rsid w:val="00D10D5A"/>
    <w:rsid w:val="00D11531"/>
    <w:rsid w:val="00D130AB"/>
    <w:rsid w:val="00D130C6"/>
    <w:rsid w:val="00D15B7D"/>
    <w:rsid w:val="00D16C00"/>
    <w:rsid w:val="00D1761A"/>
    <w:rsid w:val="00D21DEF"/>
    <w:rsid w:val="00D21E93"/>
    <w:rsid w:val="00D22625"/>
    <w:rsid w:val="00D24249"/>
    <w:rsid w:val="00D250A7"/>
    <w:rsid w:val="00D253A3"/>
    <w:rsid w:val="00D276D2"/>
    <w:rsid w:val="00D3119A"/>
    <w:rsid w:val="00D314C5"/>
    <w:rsid w:val="00D32589"/>
    <w:rsid w:val="00D3489E"/>
    <w:rsid w:val="00D36661"/>
    <w:rsid w:val="00D3718E"/>
    <w:rsid w:val="00D4002B"/>
    <w:rsid w:val="00D50098"/>
    <w:rsid w:val="00D51125"/>
    <w:rsid w:val="00D515FC"/>
    <w:rsid w:val="00D53FB2"/>
    <w:rsid w:val="00D55513"/>
    <w:rsid w:val="00D5706E"/>
    <w:rsid w:val="00D60CE3"/>
    <w:rsid w:val="00D610BF"/>
    <w:rsid w:val="00D63C5E"/>
    <w:rsid w:val="00D666A5"/>
    <w:rsid w:val="00D70663"/>
    <w:rsid w:val="00D73842"/>
    <w:rsid w:val="00D739FC"/>
    <w:rsid w:val="00D75C1A"/>
    <w:rsid w:val="00D76679"/>
    <w:rsid w:val="00D8077D"/>
    <w:rsid w:val="00D82599"/>
    <w:rsid w:val="00D855A7"/>
    <w:rsid w:val="00D8623D"/>
    <w:rsid w:val="00D86FF3"/>
    <w:rsid w:val="00D95B55"/>
    <w:rsid w:val="00D96DFB"/>
    <w:rsid w:val="00DA11F1"/>
    <w:rsid w:val="00DA31DD"/>
    <w:rsid w:val="00DA5553"/>
    <w:rsid w:val="00DA5E2A"/>
    <w:rsid w:val="00DA76C7"/>
    <w:rsid w:val="00DA7B50"/>
    <w:rsid w:val="00DB1DC6"/>
    <w:rsid w:val="00DB3959"/>
    <w:rsid w:val="00DB4BC0"/>
    <w:rsid w:val="00DB4F75"/>
    <w:rsid w:val="00DB635F"/>
    <w:rsid w:val="00DB7748"/>
    <w:rsid w:val="00DC00EC"/>
    <w:rsid w:val="00DC280D"/>
    <w:rsid w:val="00DC2E79"/>
    <w:rsid w:val="00DC45B3"/>
    <w:rsid w:val="00DC7BA3"/>
    <w:rsid w:val="00DD11F4"/>
    <w:rsid w:val="00DD2060"/>
    <w:rsid w:val="00DD2B9B"/>
    <w:rsid w:val="00DE0F2B"/>
    <w:rsid w:val="00DE22D3"/>
    <w:rsid w:val="00DE2C05"/>
    <w:rsid w:val="00DE3556"/>
    <w:rsid w:val="00DE640A"/>
    <w:rsid w:val="00DF31AA"/>
    <w:rsid w:val="00DF3711"/>
    <w:rsid w:val="00DF629A"/>
    <w:rsid w:val="00DF6557"/>
    <w:rsid w:val="00E00988"/>
    <w:rsid w:val="00E01E75"/>
    <w:rsid w:val="00E0227F"/>
    <w:rsid w:val="00E115C8"/>
    <w:rsid w:val="00E122CC"/>
    <w:rsid w:val="00E125E7"/>
    <w:rsid w:val="00E12731"/>
    <w:rsid w:val="00E14169"/>
    <w:rsid w:val="00E15D8E"/>
    <w:rsid w:val="00E22EEC"/>
    <w:rsid w:val="00E2421E"/>
    <w:rsid w:val="00E26DBA"/>
    <w:rsid w:val="00E31205"/>
    <w:rsid w:val="00E314E4"/>
    <w:rsid w:val="00E34463"/>
    <w:rsid w:val="00E34B2B"/>
    <w:rsid w:val="00E3559E"/>
    <w:rsid w:val="00E36000"/>
    <w:rsid w:val="00E363D0"/>
    <w:rsid w:val="00E437B9"/>
    <w:rsid w:val="00E43CBA"/>
    <w:rsid w:val="00E46C5D"/>
    <w:rsid w:val="00E50C5C"/>
    <w:rsid w:val="00E50E8F"/>
    <w:rsid w:val="00E54BAF"/>
    <w:rsid w:val="00E55D46"/>
    <w:rsid w:val="00E55F52"/>
    <w:rsid w:val="00E5601F"/>
    <w:rsid w:val="00E576AC"/>
    <w:rsid w:val="00E60092"/>
    <w:rsid w:val="00E60857"/>
    <w:rsid w:val="00E60FA9"/>
    <w:rsid w:val="00E61665"/>
    <w:rsid w:val="00E61ABE"/>
    <w:rsid w:val="00E62172"/>
    <w:rsid w:val="00E63039"/>
    <w:rsid w:val="00E660B5"/>
    <w:rsid w:val="00E71C21"/>
    <w:rsid w:val="00E72BF2"/>
    <w:rsid w:val="00E72DBC"/>
    <w:rsid w:val="00E76108"/>
    <w:rsid w:val="00E76E70"/>
    <w:rsid w:val="00E77DD0"/>
    <w:rsid w:val="00E8086A"/>
    <w:rsid w:val="00E86972"/>
    <w:rsid w:val="00E86B2F"/>
    <w:rsid w:val="00E876FE"/>
    <w:rsid w:val="00E9505E"/>
    <w:rsid w:val="00E950B3"/>
    <w:rsid w:val="00E972BA"/>
    <w:rsid w:val="00EA051E"/>
    <w:rsid w:val="00EA0E65"/>
    <w:rsid w:val="00EA3C60"/>
    <w:rsid w:val="00EA46AE"/>
    <w:rsid w:val="00EA497B"/>
    <w:rsid w:val="00EB179F"/>
    <w:rsid w:val="00EB20E6"/>
    <w:rsid w:val="00EB2B96"/>
    <w:rsid w:val="00EB5AF5"/>
    <w:rsid w:val="00EC03F8"/>
    <w:rsid w:val="00EC0413"/>
    <w:rsid w:val="00EC055C"/>
    <w:rsid w:val="00EC1168"/>
    <w:rsid w:val="00EC498C"/>
    <w:rsid w:val="00EC6500"/>
    <w:rsid w:val="00EC70ED"/>
    <w:rsid w:val="00EC7CAF"/>
    <w:rsid w:val="00ED0E44"/>
    <w:rsid w:val="00ED2743"/>
    <w:rsid w:val="00ED4EB3"/>
    <w:rsid w:val="00ED526B"/>
    <w:rsid w:val="00EE2C52"/>
    <w:rsid w:val="00EE2F8D"/>
    <w:rsid w:val="00EF28E9"/>
    <w:rsid w:val="00EF2F09"/>
    <w:rsid w:val="00EF607E"/>
    <w:rsid w:val="00F01CD4"/>
    <w:rsid w:val="00F02D78"/>
    <w:rsid w:val="00F05389"/>
    <w:rsid w:val="00F14697"/>
    <w:rsid w:val="00F20951"/>
    <w:rsid w:val="00F21266"/>
    <w:rsid w:val="00F21906"/>
    <w:rsid w:val="00F2602C"/>
    <w:rsid w:val="00F26E05"/>
    <w:rsid w:val="00F30C0F"/>
    <w:rsid w:val="00F31113"/>
    <w:rsid w:val="00F31B2B"/>
    <w:rsid w:val="00F322C1"/>
    <w:rsid w:val="00F33E65"/>
    <w:rsid w:val="00F34DFD"/>
    <w:rsid w:val="00F35AAF"/>
    <w:rsid w:val="00F4029D"/>
    <w:rsid w:val="00F43627"/>
    <w:rsid w:val="00F51636"/>
    <w:rsid w:val="00F54038"/>
    <w:rsid w:val="00F543BE"/>
    <w:rsid w:val="00F5619C"/>
    <w:rsid w:val="00F57D9D"/>
    <w:rsid w:val="00F60170"/>
    <w:rsid w:val="00F6241E"/>
    <w:rsid w:val="00F66898"/>
    <w:rsid w:val="00F72BF5"/>
    <w:rsid w:val="00F741FD"/>
    <w:rsid w:val="00F7718E"/>
    <w:rsid w:val="00F81DAA"/>
    <w:rsid w:val="00F8283D"/>
    <w:rsid w:val="00F828D4"/>
    <w:rsid w:val="00F83BBF"/>
    <w:rsid w:val="00F8599B"/>
    <w:rsid w:val="00F92634"/>
    <w:rsid w:val="00F9794F"/>
    <w:rsid w:val="00FA1917"/>
    <w:rsid w:val="00FA2C7C"/>
    <w:rsid w:val="00FA6B61"/>
    <w:rsid w:val="00FA71E9"/>
    <w:rsid w:val="00FA7EBD"/>
    <w:rsid w:val="00FA7F4B"/>
    <w:rsid w:val="00FB325B"/>
    <w:rsid w:val="00FB4BD3"/>
    <w:rsid w:val="00FB7B0D"/>
    <w:rsid w:val="00FC0824"/>
    <w:rsid w:val="00FC0FF2"/>
    <w:rsid w:val="00FC2058"/>
    <w:rsid w:val="00FC261E"/>
    <w:rsid w:val="00FC2D21"/>
    <w:rsid w:val="00FC52AD"/>
    <w:rsid w:val="00FC5654"/>
    <w:rsid w:val="00FC57CB"/>
    <w:rsid w:val="00FC6D24"/>
    <w:rsid w:val="00FD0C87"/>
    <w:rsid w:val="00FD0DAB"/>
    <w:rsid w:val="00FD2B00"/>
    <w:rsid w:val="00FD3E02"/>
    <w:rsid w:val="00FD4E97"/>
    <w:rsid w:val="00FD760D"/>
    <w:rsid w:val="00FE08D3"/>
    <w:rsid w:val="00FE0DF0"/>
    <w:rsid w:val="00FE33CF"/>
    <w:rsid w:val="00FE3846"/>
    <w:rsid w:val="00FE4F2B"/>
    <w:rsid w:val="00FE6902"/>
    <w:rsid w:val="00FF1478"/>
    <w:rsid w:val="00FF227E"/>
    <w:rsid w:val="00FF35E1"/>
    <w:rsid w:val="00FF3F76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A47526B"/>
  <w15:docId w15:val="{793F8347-0D5A-4A3D-B2C4-675F77A2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ascii="Times New Roman" w:eastAsia="Times New Roman" w:hAnsi="Times New Roman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rFonts w:ascii="Times New Roman" w:eastAsia="Times New Roman" w:hAnsi="Times New Roman"/>
      <w:bCs/>
      <w:i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Cs/>
      <w:i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imes New Roman"/>
      <w:sz w:val="16"/>
      <w:szCs w:val="16"/>
      <w:lang w:val="mt-M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mt-M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noteText">
    <w:name w:val="footnote text"/>
    <w:aliases w:val="Fußnotentextf,RSK-FT,RSK-FT1,RSK-FT2,5_G,Footnote text,Testo nota a piè di pagina_Rientro,stile 1,Footnote1,Footnote2,Footnote3,Footnote4,Footnote5,Footnote6,Footnote7,Footnote8,Footnote9,Footnote10,Footnote11,Footnote21,Footnote31,Char"/>
    <w:basedOn w:val="Normal"/>
    <w:link w:val="FootnoteTextChar"/>
    <w:autoRedefine/>
    <w:uiPriority w:val="99"/>
    <w:unhideWhenUsed/>
    <w:qFormat/>
    <w:rsid w:val="00666776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aliases w:val="Fußnotentextf Char,RSK-FT Char,RSK-FT1 Char,RSK-FT2 Char,5_G Char,Footnote text Char,Testo nota a piè di pagina_Rientro Char,stile 1 Char,Footnote1 Char,Footnote2 Char,Footnote3 Char,Footnote4 Char,Footnote5 Char,Footnote6 Char"/>
    <w:basedOn w:val="DefaultParagraphFont"/>
    <w:link w:val="FootnoteText"/>
    <w:uiPriority w:val="99"/>
    <w:qFormat/>
    <w:rsid w:val="00666776"/>
    <w:rPr>
      <w:rFonts w:ascii="Times New Roman" w:eastAsia="Calibri" w:hAnsi="Times New Roman" w:cs="Times New Roman"/>
      <w:sz w:val="18"/>
      <w:szCs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4_G"/>
    <w:link w:val="FootnotesymbolCarZchn"/>
    <w:uiPriority w:val="99"/>
    <w:unhideWhenUsed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a3520normalp11">
    <w:name w:val="a__35__20_normal_p11"/>
    <w:basedOn w:val="Normal"/>
    <w:pPr>
      <w:spacing w:after="120" w:line="240" w:lineRule="auto"/>
      <w:ind w:right="57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5normal">
    <w:name w:val="5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ps">
    <w:name w:val="hps"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ECStandard">
    <w:name w:val="EC Standard"/>
    <w:basedOn w:val="Normal"/>
    <w:link w:val="ECStandardZchn"/>
    <w:qFormat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ECStandardZchn">
    <w:name w:val="EC Standard Zchn"/>
    <w:link w:val="ECStandar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Normal0">
    <w:name w:val="5 Normal"/>
    <w:basedOn w:val="Normal"/>
    <w:link w:val="5NormalChar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right="57"/>
      <w:jc w:val="both"/>
    </w:pPr>
    <w:rPr>
      <w:rFonts w:ascii="Verdana" w:eastAsia="Times New Roman" w:hAnsi="Verdana"/>
      <w:spacing w:val="-2"/>
      <w:sz w:val="20"/>
      <w:szCs w:val="24"/>
      <w:lang w:eastAsia="en-GB"/>
    </w:rPr>
  </w:style>
  <w:style w:type="character" w:customStyle="1" w:styleId="5NormalChar">
    <w:name w:val="5 Normal Char"/>
    <w:link w:val="5Normal0"/>
    <w:locked/>
    <w:rPr>
      <w:rFonts w:ascii="Verdana" w:eastAsia="Times New Roman" w:hAnsi="Verdana" w:cs="Times New Roman"/>
      <w:spacing w:val="-2"/>
      <w:sz w:val="20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60FA9"/>
    <w:pPr>
      <w:tabs>
        <w:tab w:val="right" w:leader="dot" w:pos="9016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60FA9"/>
    <w:pPr>
      <w:tabs>
        <w:tab w:val="right" w:leader="dot" w:pos="9016"/>
      </w:tabs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0FA9"/>
    <w:pPr>
      <w:tabs>
        <w:tab w:val="right" w:leader="dot" w:pos="9016"/>
      </w:tabs>
      <w:ind w:left="44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  <w:sz w:val="20"/>
      <w:szCs w:val="20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Calibri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Calibri" w:hAnsi="Times New Roman" w:cs="Times New Roman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6D3497"/>
    <w:pPr>
      <w:tabs>
        <w:tab w:val="right" w:leader="dot" w:pos="9016"/>
      </w:tabs>
      <w:spacing w:after="100"/>
      <w:ind w:left="66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customStyle="1" w:styleId="clear">
    <w:name w:val="clea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TOCHeadingChar">
    <w:name w:val="TOC Heading Char"/>
    <w:basedOn w:val="Heading1Char"/>
    <w:link w:val="TOCHeading"/>
    <w:uiPriority w:val="39"/>
    <w:rPr>
      <w:rFonts w:ascii="Cambria" w:eastAsia="Times New Roman" w:hAnsi="Cambria" w:cs="Times New Roman"/>
      <w:b/>
      <w:bCs/>
      <w:color w:val="365F91"/>
      <w:kern w:val="32"/>
      <w:sz w:val="28"/>
      <w:szCs w:val="28"/>
      <w:lang w:val="mt-MT" w:eastAsia="ja-JP"/>
    </w:rPr>
  </w:style>
  <w:style w:type="character" w:customStyle="1" w:styleId="FooterSensitivityChar">
    <w:name w:val="Footer Sensitivity Char"/>
    <w:basedOn w:val="TOCHeadingChar"/>
    <w:link w:val="FooterSensitivity"/>
    <w:rPr>
      <w:rFonts w:ascii="Times New Roman" w:eastAsia="Calibri" w:hAnsi="Times New Roman" w:cs="Times New Roman"/>
      <w:b/>
      <w:bCs w:val="0"/>
      <w:color w:val="365F91"/>
      <w:kern w:val="32"/>
      <w:sz w:val="32"/>
      <w:szCs w:val="28"/>
      <w:lang w:val="mt-MT" w:eastAsia="ja-JP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HeaderSensitivityChar">
    <w:name w:val="Header Sensitivity Char"/>
    <w:basedOn w:val="TOCHeadingChar"/>
    <w:link w:val="HeaderSensitivity"/>
    <w:rPr>
      <w:rFonts w:ascii="Times New Roman" w:eastAsia="Calibri" w:hAnsi="Times New Roman" w:cs="Times New Roman"/>
      <w:b/>
      <w:bCs w:val="0"/>
      <w:color w:val="365F91"/>
      <w:kern w:val="32"/>
      <w:sz w:val="32"/>
      <w:szCs w:val="28"/>
      <w:lang w:val="mt-MT" w:eastAsia="ja-JP"/>
    </w:rPr>
  </w:style>
  <w:style w:type="table" w:customStyle="1" w:styleId="TableGrid5">
    <w:name w:val="Table Grid5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eastAsiaTheme="minorHAnsi" w:hAnsi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eastAsiaTheme="minorHAnsi" w:hAnsi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eastAsiaTheme="minorHAnsi" w:hAnsi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/>
      <w:sz w:val="28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9B3224"/>
    <w:pPr>
      <w:spacing w:after="160" w:line="240" w:lineRule="exact"/>
      <w:jc w:val="both"/>
    </w:pPr>
    <w:rPr>
      <w:rFonts w:asciiTheme="minorHAnsi" w:eastAsiaTheme="minorHAnsi" w:hAnsiTheme="minorHAnsi" w:cstheme="minorBidi"/>
      <w:vertAlign w:val="superscript"/>
    </w:rPr>
  </w:style>
  <w:style w:type="table" w:customStyle="1" w:styleId="TableGrid7">
    <w:name w:val="Table Grid7"/>
    <w:basedOn w:val="TableNormal"/>
    <w:next w:val="TableGrid"/>
    <w:uiPriority w:val="59"/>
    <w:rsid w:val="00B70767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Normal"/>
    <w:uiPriority w:val="99"/>
    <w:rsid w:val="00DC45B3"/>
    <w:pPr>
      <w:spacing w:after="160" w:line="240" w:lineRule="exact"/>
    </w:pPr>
    <w:rPr>
      <w:noProof/>
      <w:vertAlign w:val="superscript"/>
    </w:rPr>
  </w:style>
  <w:style w:type="table" w:customStyle="1" w:styleId="TableGrid71">
    <w:name w:val="Table Grid71"/>
    <w:basedOn w:val="TableNormal"/>
    <w:uiPriority w:val="59"/>
    <w:rsid w:val="00ED4EB3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3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9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2.xml"/><Relationship Id="rId21" Type="http://schemas.openxmlformats.org/officeDocument/2006/relationships/footer" Target="footer5.xml"/><Relationship Id="rId34" Type="http://schemas.openxmlformats.org/officeDocument/2006/relationships/image" Target="media/image5.png"/><Relationship Id="rId42" Type="http://schemas.openxmlformats.org/officeDocument/2006/relationships/header" Target="header14.xml"/><Relationship Id="rId47" Type="http://schemas.openxmlformats.org/officeDocument/2006/relationships/image" Target="media/image6.png"/><Relationship Id="rId50" Type="http://schemas.openxmlformats.org/officeDocument/2006/relationships/chart" Target="charts/chart3.xml"/><Relationship Id="rId55" Type="http://schemas.openxmlformats.org/officeDocument/2006/relationships/footer" Target="footer16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41" Type="http://schemas.openxmlformats.org/officeDocument/2006/relationships/header" Target="header13.xml"/><Relationship Id="rId54" Type="http://schemas.openxmlformats.org/officeDocument/2006/relationships/header" Target="header17.xml"/><Relationship Id="rId62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2.png"/><Relationship Id="rId32" Type="http://schemas.openxmlformats.org/officeDocument/2006/relationships/chart" Target="charts/chart1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45" Type="http://schemas.openxmlformats.org/officeDocument/2006/relationships/header" Target="header15.xml"/><Relationship Id="rId53" Type="http://schemas.openxmlformats.org/officeDocument/2006/relationships/header" Target="header16.xml"/><Relationship Id="rId58" Type="http://schemas.openxmlformats.org/officeDocument/2006/relationships/footer" Target="footer1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eader" Target="header11.xml"/><Relationship Id="rId49" Type="http://schemas.openxmlformats.org/officeDocument/2006/relationships/chart" Target="charts/chart2.xml"/><Relationship Id="rId57" Type="http://schemas.openxmlformats.org/officeDocument/2006/relationships/header" Target="header1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image" Target="media/image3.png"/><Relationship Id="rId44" Type="http://schemas.openxmlformats.org/officeDocument/2006/relationships/footer" Target="footer14.xml"/><Relationship Id="rId52" Type="http://schemas.openxmlformats.org/officeDocument/2006/relationships/image" Target="media/image11.png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35" Type="http://schemas.openxmlformats.org/officeDocument/2006/relationships/header" Target="header10.xml"/><Relationship Id="rId43" Type="http://schemas.openxmlformats.org/officeDocument/2006/relationships/footer" Target="footer13.xml"/><Relationship Id="rId48" Type="http://schemas.openxmlformats.org/officeDocument/2006/relationships/image" Target="media/image7.png"/><Relationship Id="rId56" Type="http://schemas.openxmlformats.org/officeDocument/2006/relationships/footer" Target="footer17.xml"/><Relationship Id="rId8" Type="http://schemas.openxmlformats.org/officeDocument/2006/relationships/webSettings" Target="webSetting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image" Target="media/image4.png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fontTable" Target="fontTable.xml"/></Relationships>
</file>

<file path=word/_rels/footnotes.xml.rels><?xml version='1.0' encoding='UTF-8' standalone='yes'?>
<Relationships xmlns="http://schemas.openxmlformats.org/package/2006/relationships"><Relationship Id="rId13" Type="http://schemas.openxmlformats.org/officeDocument/2006/relationships/hyperlink" Target="https://eur-lex.europa.eu/legal-content/MT/TXT/?uri=CELEX:22020X1214(01)" TargetMode="External"/><Relationship Id="rId18" Type="http://schemas.openxmlformats.org/officeDocument/2006/relationships/hyperlink" Target="https://eur-lex.europa.eu/legal-content/MT/TXT/?uri=CELEX:12020W/TXT" TargetMode="External"/><Relationship Id="rId26" Type="http://schemas.openxmlformats.org/officeDocument/2006/relationships/hyperlink" Target="https://ec.europa.eu/clima/eu-action/eu-emissions-trading-system-eu-ets/auctioning_en" TargetMode="External"/><Relationship Id="rId39" Type="http://schemas.openxmlformats.org/officeDocument/2006/relationships/hyperlink" Target="https://ec.europa.eu/clima/eu-action/eu-emissions-trading-system-eu-ets/market-stability-reserve_en" TargetMode="External"/><Relationship Id="rId21" Type="http://schemas.openxmlformats.org/officeDocument/2006/relationships/hyperlink" Target="https://eur-lex.europa.eu/legal-content/MT/ALL/?uri=CELEX:32014D0746" TargetMode="External"/><Relationship Id="rId34" Type="http://schemas.openxmlformats.org/officeDocument/2006/relationships/hyperlink" Target="https://eur-lex.europa.eu/legal-content/MT/TXT/?uri=CELEX:52020XC0925(01)" TargetMode="External"/><Relationship Id="rId42" Type="http://schemas.openxmlformats.org/officeDocument/2006/relationships/hyperlink" Target="https://eur-lex.europa.eu/legal-content/MT/TXT/?uri=CELEX:52021PC0551" TargetMode="External"/><Relationship Id="rId47" Type="http://schemas.openxmlformats.org/officeDocument/2006/relationships/hyperlink" Target="https://www.icao.int/environmental-protection/CORSIA/Documents/CAEP_Update%20COVID-19%20impact%20analyses_Executive%20Summary.pdf" TargetMode="External"/><Relationship Id="rId50" Type="http://schemas.openxmlformats.org/officeDocument/2006/relationships/hyperlink" Target="https://eur-lex.europa.eu/legal-content/MT/TXT/?uri=CELEX:52021PC0552" TargetMode="External"/><Relationship Id="rId55" Type="http://schemas.openxmlformats.org/officeDocument/2006/relationships/hyperlink" Target="https://eur-lex.europa.eu/legal-content/MT/TXT/?uri=celex:32015L0849" TargetMode="External"/><Relationship Id="rId63" Type="http://schemas.openxmlformats.org/officeDocument/2006/relationships/hyperlink" Target="https://eur-lex.europa.eu/legal-content/MT/TXT/?uri=CELEX:32020R2084" TargetMode="External"/><Relationship Id="rId68" Type="http://schemas.openxmlformats.org/officeDocument/2006/relationships/hyperlink" Target="https://eur-lex.europa.eu/legal-content/MT/TXT/?uri=uriserv:OJ.L_.2019.330.01.0001.01.MLT" TargetMode="External"/><Relationship Id="rId7" Type="http://schemas.openxmlformats.org/officeDocument/2006/relationships/hyperlink" Target="https://eur-lex.europa.eu/legal-content/MT/TXT/?uri=CELEX:52021PC0552" TargetMode="External"/><Relationship Id="rId71" Type="http://schemas.openxmlformats.org/officeDocument/2006/relationships/hyperlink" Target="https://eur-lex.europa.eu/legal-content/MT/TXT/?toc=OJ:L:2018:328:TOC&amp;uri=uriserv:OJ.L_.2018.328.01.0001.01.MLT" TargetMode="External"/><Relationship Id="rId2" Type="http://schemas.openxmlformats.org/officeDocument/2006/relationships/hyperlink" Target="https://eur-lex.europa.eu/legal-content/MT/TXT/?uri=uriserv:OJ.L_.2018.328.01.0210.01.MLT" TargetMode="External"/><Relationship Id="rId16" Type="http://schemas.openxmlformats.org/officeDocument/2006/relationships/hyperlink" Target="https://eur-lex.europa.eu/legal-content/MT/TXT/?uri=CELEX:32019R1122" TargetMode="External"/><Relationship Id="rId29" Type="http://schemas.openxmlformats.org/officeDocument/2006/relationships/hyperlink" Target="https://ec.europa.eu/clima/eu-action/innovation-fund/ner-300-programme_en" TargetMode="External"/><Relationship Id="rId11" Type="http://schemas.openxmlformats.org/officeDocument/2006/relationships/hyperlink" Target="https://eur-lex.europa.eu/legal-content/MT/TXT/?uri=uriserv:OJ.L_.2021.149.01.0010.01.MLT&amp;toc=OJ:L:2021:149:TOC" TargetMode="External"/><Relationship Id="rId24" Type="http://schemas.openxmlformats.org/officeDocument/2006/relationships/hyperlink" Target="https://eur-lex.europa.eu/legal-content/MT/TXT/?toc=OJ:L:2015:264:TOC&amp;uri=uriserv:OJ.L_.2015.264.01.0001.01.MLT" TargetMode="External"/><Relationship Id="rId32" Type="http://schemas.openxmlformats.org/officeDocument/2006/relationships/hyperlink" Target="https://ec.europa.eu/info/funding-tenders/opportunities/portal/screen/opportunities/topic-details/innovfund-ssc-2020-single-stage" TargetMode="External"/><Relationship Id="rId37" Type="http://schemas.openxmlformats.org/officeDocument/2006/relationships/hyperlink" Target="https://eur-lex.europa.eu/legal-content/MT/TXT/?uri=CELEX:32018L0410" TargetMode="External"/><Relationship Id="rId40" Type="http://schemas.openxmlformats.org/officeDocument/2006/relationships/hyperlink" Target="https://ec.europa.eu/clima/eu-action/eu-emissions-trading-system-eu-ets/market-stability-reserve_en" TargetMode="External"/><Relationship Id="rId45" Type="http://schemas.openxmlformats.org/officeDocument/2006/relationships/hyperlink" Target="https://eur-lex.europa.eu/legal-content/MT/TXT/?uri=CELEX:32013D0377" TargetMode="External"/><Relationship Id="rId53" Type="http://schemas.openxmlformats.org/officeDocument/2006/relationships/hyperlink" Target="https://eur-lex.europa.eu/legal-content/MT/TXT/?uri=celex:32010R1031" TargetMode="External"/><Relationship Id="rId58" Type="http://schemas.openxmlformats.org/officeDocument/2006/relationships/hyperlink" Target="https://registers.esma.europa.eu/publication/searchRegister?core=esma_registers_coder58" TargetMode="External"/><Relationship Id="rId66" Type="http://schemas.openxmlformats.org/officeDocument/2006/relationships/hyperlink" Target="https://eur-lex.europa.eu/legal-content/MT/TXT/HTML/?uri=CELEX:32018D0219&amp;qid=1638721113830&amp;from=en" TargetMode="External"/><Relationship Id="rId74" Type="http://schemas.openxmlformats.org/officeDocument/2006/relationships/hyperlink" Target="https://eur-lex.europa.eu/legal-content/MT/TXT/PDF/?uri=CELEX:52020DC0564&amp;from=MT" TargetMode="External"/><Relationship Id="rId5" Type="http://schemas.openxmlformats.org/officeDocument/2006/relationships/hyperlink" Target="https://eur-lex.europa.eu/legal-content/MT/TXT/?uri=CELEX:52021PC0551" TargetMode="External"/><Relationship Id="rId15" Type="http://schemas.openxmlformats.org/officeDocument/2006/relationships/hyperlink" Target="https://eur-lex.europa.eu/legal-content/MT/TXT/?uri=CELEX:02017A1207(01)-20201105" TargetMode="External"/><Relationship Id="rId23" Type="http://schemas.openxmlformats.org/officeDocument/2006/relationships/hyperlink" Target="https://eur-lex.europa.eu/legal-content/MT/TXT/?uri=uriserv:OJ.L_.2017.019.01.0093.01.MLT" TargetMode="External"/><Relationship Id="rId28" Type="http://schemas.openxmlformats.org/officeDocument/2006/relationships/hyperlink" Target="https://eur-lex.europa.eu/legal-content/MT/TXT/?uri=CELEX:52020XC0925(01)" TargetMode="External"/><Relationship Id="rId36" Type="http://schemas.openxmlformats.org/officeDocument/2006/relationships/hyperlink" Target="https://eur-lex.europa.eu/legal-content/MT/TXT/?toc=OJ:L:2015:264:TOC&amp;uri=uriserv:OJ.L_.2015.264.01.0001.01.MLT" TargetMode="External"/><Relationship Id="rId49" Type="http://schemas.openxmlformats.org/officeDocument/2006/relationships/hyperlink" Target="https://eur-lex.europa.eu/legal-content/MT/TXT/HTML/?uri=CELEX:32017R2392&amp;from=EN" TargetMode="External"/><Relationship Id="rId57" Type="http://schemas.openxmlformats.org/officeDocument/2006/relationships/hyperlink" Target="https://www.esma.europa.eu/sites/default/files/library/esma70-156-478_opinion_on_market_size_calculation.pdf" TargetMode="External"/><Relationship Id="rId61" Type="http://schemas.openxmlformats.org/officeDocument/2006/relationships/hyperlink" Target="https://eur-lex.europa.eu/legal-content/MT/TXT/?toc=OJ:L:2018:334:TOC&amp;uri=uriserv:OJ.L_.2018.334.01.0094.01.MLT" TargetMode="External"/><Relationship Id="rId10" Type="http://schemas.openxmlformats.org/officeDocument/2006/relationships/hyperlink" Target="https://eur-lex.europa.eu/legal-content/MT/TXT/?uri=uriserv:OJ.L_.2018.328.01.0210.01.MLT" TargetMode="External"/><Relationship Id="rId19" Type="http://schemas.openxmlformats.org/officeDocument/2006/relationships/hyperlink" Target="https://eur-lex.europa.eu/legal-content/MT/TXT/?uri=CELEX:32020D1722" TargetMode="External"/><Relationship Id="rId31" Type="http://schemas.openxmlformats.org/officeDocument/2006/relationships/hyperlink" Target="https://ec.europa.eu/info/funding-tenders/opportunities/portal/screen/opportunities/topic-details/innovfund-lsc-2020-two-stage" TargetMode="External"/><Relationship Id="rId44" Type="http://schemas.openxmlformats.org/officeDocument/2006/relationships/hyperlink" Target="https://eur-lex.europa.eu/legal-content/MT/TXT/?uri=uriserv:OJ.CI.2020.428.01.0001.01.MLT" TargetMode="External"/><Relationship Id="rId52" Type="http://schemas.openxmlformats.org/officeDocument/2006/relationships/hyperlink" Target="https://eur-lex.europa.eu/legal-content/MT/TXT/?uri=celex:32014L0065" TargetMode="External"/><Relationship Id="rId60" Type="http://schemas.openxmlformats.org/officeDocument/2006/relationships/hyperlink" Target="https://eur-lex.europa.eu/legal-content/MT/TXT/?uri=uriserv:OJ.L_.2018.334.01.0001.01.MLT" TargetMode="External"/><Relationship Id="rId65" Type="http://schemas.openxmlformats.org/officeDocument/2006/relationships/hyperlink" Target="https://eur-lex.europa.eu/legal-content/MT/TXT/?uri=CELEX:22017A1207(01)" TargetMode="External"/><Relationship Id="rId73" Type="http://schemas.openxmlformats.org/officeDocument/2006/relationships/hyperlink" Target="https://www.measures.odyssee-mure.eu/energy-efficiency-policies-database.html" TargetMode="External"/><Relationship Id="rId4" Type="http://schemas.openxmlformats.org/officeDocument/2006/relationships/hyperlink" Target="https://eur-lex.europa.eu/legal-content/MT/TXT/?uri=CELEX:52021PC0551" TargetMode="External"/><Relationship Id="rId9" Type="http://schemas.openxmlformats.org/officeDocument/2006/relationships/hyperlink" Target="https://eur-lex.europa.eu/legal-content/MT/TXT/?uri=CELEX:02003L0087-20210101" TargetMode="External"/><Relationship Id="rId14" Type="http://schemas.openxmlformats.org/officeDocument/2006/relationships/hyperlink" Target="https://eur-lex.europa.eu/legal-content/MT/TXT/?uri=CELEX:32013R0389" TargetMode="External"/><Relationship Id="rId22" Type="http://schemas.openxmlformats.org/officeDocument/2006/relationships/hyperlink" Target="https://eur-lex.europa.eu/legal-content/MT/TXT/?uri=celex:32013D0448" TargetMode="External"/><Relationship Id="rId27" Type="http://schemas.openxmlformats.org/officeDocument/2006/relationships/hyperlink" Target="https://eur-lex.europa.eu/legal-content/MT/ALL/?uri=CELEX:52012XC0605(01)" TargetMode="External"/><Relationship Id="rId30" Type="http://schemas.openxmlformats.org/officeDocument/2006/relationships/hyperlink" Target="https://eur-lex.europa.eu/legal-content/MT/TXT/?uri=CELEX:32017D2172" TargetMode="External"/><Relationship Id="rId35" Type="http://schemas.openxmlformats.org/officeDocument/2006/relationships/hyperlink" Target="https://eur-lex.europa.eu/legal-content/MT/TXT/?uri=uriserv:OJ.L_.2018.328.01.0082.01.MLT" TargetMode="External"/><Relationship Id="rId43" Type="http://schemas.openxmlformats.org/officeDocument/2006/relationships/hyperlink" Target="https://eur-lex.europa.eu/legal-content/MT/TXT/?uri=CELEX:52021PC0571" TargetMode="External"/><Relationship Id="rId48" Type="http://schemas.openxmlformats.org/officeDocument/2006/relationships/hyperlink" Target="https://www.eurocontrol.int/covid19" TargetMode="External"/><Relationship Id="rId56" Type="http://schemas.openxmlformats.org/officeDocument/2006/relationships/hyperlink" Target="https://www.esma.europa.eu/sites/default/files/mar.pdf" TargetMode="External"/><Relationship Id="rId64" Type="http://schemas.openxmlformats.org/officeDocument/2006/relationships/hyperlink" Target="https://eur-lex.europa.eu/legal-content/MT/TXT/?uri=CELEX:32017D2240" TargetMode="External"/><Relationship Id="rId69" Type="http://schemas.openxmlformats.org/officeDocument/2006/relationships/hyperlink" Target="https://www.emissionsregistry.admin.ch/" TargetMode="External"/><Relationship Id="rId8" Type="http://schemas.openxmlformats.org/officeDocument/2006/relationships/hyperlink" Target="https://eur-lex.europa.eu/legal-content/MT/TXT/?uri=CELEX:52021PC0567" TargetMode="External"/><Relationship Id="rId51" Type="http://schemas.openxmlformats.org/officeDocument/2006/relationships/hyperlink" Target="https://eur-lex.europa.eu/legal-content/MT/TXT/PDF/?uri=CELEX:52021SC0604&amp;from=EN" TargetMode="External"/><Relationship Id="rId72" Type="http://schemas.openxmlformats.org/officeDocument/2006/relationships/hyperlink" Target="https://ec.europa.eu/energy/sites/ener/files/documents/c_2019_6621_-_annex_com_recom_energy_savings.pdf" TargetMode="External"/><Relationship Id="rId3" Type="http://schemas.openxmlformats.org/officeDocument/2006/relationships/hyperlink" Target="https://ec.europa.eu/info/strategy/priorities-2019-2024/european-green-deal/delivering-european-green-deal_mt" TargetMode="External"/><Relationship Id="rId12" Type="http://schemas.openxmlformats.org/officeDocument/2006/relationships/hyperlink" Target="https://eur-lex.europa.eu/legal-content/MT/TXT/?uri=CELEX:32021R1416" TargetMode="External"/><Relationship Id="rId17" Type="http://schemas.openxmlformats.org/officeDocument/2006/relationships/hyperlink" Target="https://eur-lex.europa.eu/legal-content/MT/TXT/?uri=CELEX:12020W/TXT" TargetMode="External"/><Relationship Id="rId25" Type="http://schemas.openxmlformats.org/officeDocument/2006/relationships/hyperlink" Target="https://eur-lex.europa.eu/LexUriServ/LexUriServ.do?uri=OJ:L:2010:302:0001:0041:MT:PDF" TargetMode="External"/><Relationship Id="rId33" Type="http://schemas.openxmlformats.org/officeDocument/2006/relationships/hyperlink" Target="https://eur-lex.europa.eu/legal-content/MT/ALL/?uri=CELEX:52012XC0605(01)" TargetMode="External"/><Relationship Id="rId38" Type="http://schemas.openxmlformats.org/officeDocument/2006/relationships/hyperlink" Target="https://ec.europa.eu/clima/eu-action/eu-emissions-trading-system-eu-ets/market-stability-reserve_en" TargetMode="External"/><Relationship Id="rId46" Type="http://schemas.openxmlformats.org/officeDocument/2006/relationships/hyperlink" Target="https://eur-lex.europa.eu/legal-content/MT/TXT/?uri=uriserv:OJ.L_.2014.129.01.0001.01.MLT" TargetMode="External"/><Relationship Id="rId59" Type="http://schemas.openxmlformats.org/officeDocument/2006/relationships/hyperlink" Target="https://eur-lex.europa.eu/legal-content/MT/TXT/?uri=COM:2021:660:FIN&amp;qid=1634215984101" TargetMode="External"/><Relationship Id="rId67" Type="http://schemas.openxmlformats.org/officeDocument/2006/relationships/hyperlink" Target="https://eur-lex.europa.eu/legal-content/MT/TXT/?uri=CELEX:22020D1359" TargetMode="External"/><Relationship Id="rId20" Type="http://schemas.openxmlformats.org/officeDocument/2006/relationships/hyperlink" Target="https://eur-lex.europa.eu/legal-content/MT/TXT/?uri=CELEX:52020XC1211(07)" TargetMode="External"/><Relationship Id="rId41" Type="http://schemas.openxmlformats.org/officeDocument/2006/relationships/hyperlink" Target="https://ec.europa.eu/info/sites/default/files/revision-eu-ets_with-annex_en_0.pdf" TargetMode="External"/><Relationship Id="rId54" Type="http://schemas.openxmlformats.org/officeDocument/2006/relationships/hyperlink" Target="https://eur-lex.europa.eu/legal-content/MT/TXT/?uri=celex:32014R0596" TargetMode="External"/><Relationship Id="rId62" Type="http://schemas.openxmlformats.org/officeDocument/2006/relationships/hyperlink" Target="https://eur-lex.europa.eu/legal-content/MT/TXT/HTML/?uri=CELEX:32020R2085&amp;from=EN6-20210101" TargetMode="External"/><Relationship Id="rId70" Type="http://schemas.openxmlformats.org/officeDocument/2006/relationships/hyperlink" Target="https://eur-lex.europa.eu/legal-content/MT/TXT/?uri=uriserv:OJ.L_.2018.328.01.0210.01.MLT" TargetMode="External"/><Relationship Id="rId75" Type="http://schemas.openxmlformats.org/officeDocument/2006/relationships/hyperlink" Target="https://ec.europa.eu/energy/topics/energy-strategy/national-energy-climate-plans/individual-assessments_mt" TargetMode="External"/><Relationship Id="rId1" Type="http://schemas.openxmlformats.org/officeDocument/2006/relationships/hyperlink" Target="https://eur-lex.europa.eu/legal-content/MT/TXT/?uri=uriserv:OJ.L_.2018.328.01.0082.01.MLT" TargetMode="External"/><Relationship Id="rId6" Type="http://schemas.openxmlformats.org/officeDocument/2006/relationships/hyperlink" Target="https://eur-lex.europa.eu/legal-content/MT/TXT/?uri=CELEX:52021PC0571" TargetMode="External"/></Relationships>
</file>

<file path=word/charts/_rels/chart1.xml.rels><?xml version='1.0' encoding='UTF-8' standalone='yes'?>
<Relationships xmlns="http://schemas.openxmlformats.org/package/2006/relationships"><Relationship Id="rId1" Type="http://schemas.openxmlformats.org/officeDocument/2006/relationships/oleObject" Target="file:///C:\Users\MIZZIAR\Downloads\CLIMA-2021-80106-00-00-MT-SRC-02%20(1).XLSX" TargetMode="External"/></Relationships>
</file>

<file path=word/charts/_rels/chart2.xml.rels><?xml version='1.0' encoding='UTF-8' standalone='yes'?>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../embeddings/oleObject1.bin"/></Relationships>
</file>

<file path=word/charts/_rels/chart3.xml.rels><?xml version='1.0' encoding='UTF-8' standalone='yes'?>
<Relationships xmlns="http://schemas.openxmlformats.org/package/2006/relationships"><Relationship Id="rId3" Type="http://schemas.openxmlformats.org/officeDocument/2006/relationships/oleObject" Target="file:///C:\Users\ziemaju\AppData\Local\Microsoft\Windows\INetCache\Content.Outlook\0MJFLY2X\charts%20for%20translatio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overview!$C$4</c:f>
              <c:strCache>
                <c:ptCount val="1"/>
                <c:pt idx="0">
                  <c:v>Investments according to type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614-4561-9A0B-5C6BA634FE8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614-4561-9A0B-5C6BA634FE8C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614-4561-9A0B-5C6BA634FE8C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2614-4561-9A0B-5C6BA634FE8C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2614-4561-9A0B-5C6BA634FE8C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614-4561-9A0B-5C6BA634FE8C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614-4561-9A0B-5C6BA634FE8C}"/>
              </c:ext>
            </c:extLst>
          </c:dPt>
          <c:dLbls>
            <c:numFmt formatCode="0.00%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overview!$AO$6:$AO$10</c:f>
              <c:strCache>
                <c:ptCount val="5"/>
                <c:pt idx="0">
                  <c:v>Modifiki retroattivi tal-infrastruttura</c:v>
                </c:pt>
                <c:pt idx="1">
                  <c:v>Rinnovazzjoni tal-infrastruttura</c:v>
                </c:pt>
                <c:pt idx="2">
                  <c:v>Teknoloġiji nodfa</c:v>
                </c:pt>
                <c:pt idx="3">
                  <c:v>Diversifikazzjoni tat-taħlita tal-enerġija u s-sorsi tal-provvista</c:v>
                </c:pt>
                <c:pt idx="4">
                  <c:v>Modifiki retroattivi u diversifikazzjoni</c:v>
                </c:pt>
              </c:strCache>
            </c:strRef>
          </c:cat>
          <c:val>
            <c:numRef>
              <c:f>overview!$AQ$6:$AQ$10</c:f>
              <c:numCache>
                <c:formatCode>0%</c:formatCode>
                <c:ptCount val="5"/>
                <c:pt idx="0">
                  <c:v>0.2165736279693605</c:v>
                </c:pt>
                <c:pt idx="1">
                  <c:v>0.60773246187419805</c:v>
                </c:pt>
                <c:pt idx="2">
                  <c:v>5.8899280754380424E-2</c:v>
                </c:pt>
                <c:pt idx="3">
                  <c:v>5.9572799640538077E-2</c:v>
                </c:pt>
                <c:pt idx="4">
                  <c:v>5.722182976152311E-2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614-4561-9A0B-5C6BA634FE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99706968"/>
        <c:axId val="1"/>
      </c:barChart>
      <c:catAx>
        <c:axId val="399706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997069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2840344"/>
        <c:axId val="402841656"/>
      </c:barChart>
      <c:catAx>
        <c:axId val="40284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841656"/>
        <c:crosses val="autoZero"/>
        <c:auto val="1"/>
        <c:lblAlgn val="ctr"/>
        <c:lblOffset val="100"/>
        <c:noMultiLvlLbl val="0"/>
      </c:catAx>
      <c:valAx>
        <c:axId val="402841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840344"/>
        <c:crosses val="autoZero"/>
        <c:crossBetween val="between"/>
        <c:dispUnits>
          <c:builtInUnit val="billion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[charts for translation.xlsx]MSR composition updated!PivotTable7</c:name>
    <c:fmtId val="6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561711376181778"/>
              <c:y val="7.429289847518228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4909059125337373"/>
              <c:y val="7.2938075358255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"/>
              <c:y val="-6.53825985206912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3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2140542195488259"/>
              <c:y val="0.12609501143276147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2.2361171093987043E-2"/>
              <c:y val="-0.16736881456916447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3.1729705549923264E-2"/>
              <c:y val="-0.115996849674102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4.3800223191135412E-2"/>
              <c:y val="-5.961221714477710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7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0.12469586971932629"/>
              <c:y val="-0.12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1"/>
          </a:solidFill>
          <a:ln>
            <a:noFill/>
          </a:ln>
          <a:effectLst/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1"/>
          </a:solidFill>
          <a:ln>
            <a:noFill/>
          </a:ln>
          <a:effectLst/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4.3800223191135412E-2"/>
              <c:y val="-5.961221714477710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3.1729705549923264E-2"/>
              <c:y val="-0.115996849674102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2.2361171093987043E-2"/>
              <c:y val="-0.16736881456916447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8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2140542195488259"/>
              <c:y val="0.12609501143276147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0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4909059125337373"/>
              <c:y val="7.2938075358255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2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561711376181778"/>
              <c:y val="7.429289847518228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4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"/>
              <c:y val="-6.53825985206912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8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0.12469586971932629"/>
              <c:y val="-0.12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1"/>
        <c:spPr>
          <a:solidFill>
            <a:schemeClr val="accent1"/>
          </a:solidFill>
          <a:ln>
            <a:noFill/>
          </a:ln>
          <a:effectLst/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3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4.3800223191135412E-2"/>
              <c:y val="-5.961221714477710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5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3.1729705549923264E-2"/>
              <c:y val="-0.115996849674102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7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2.2361171093987043E-2"/>
              <c:y val="-0.16736881456916447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9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2140542195488259"/>
              <c:y val="0.12609501143276147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1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4909059125337373"/>
              <c:y val="7.293807535825541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3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.1561711376181778"/>
              <c:y val="7.4292898475182287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5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0"/>
              <c:y val="-6.53825985206912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9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0.12469586971932629"/>
              <c:y val="-0.12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'MSR composition updated'!$B$18:$B$19</c:f>
              <c:strCache>
                <c:ptCount val="1"/>
                <c:pt idx="0">
                  <c:v>Banking from phase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F01-481E-B828-B2EF6C3EF8AB}"/>
              </c:ext>
            </c:extLst>
          </c:dPt>
          <c:dLbls>
            <c:dLbl>
              <c:idx val="0"/>
              <c:layout>
                <c:manualLayout>
                  <c:x val="8.7237045724737874E-8"/>
                  <c:y val="8.42984685969372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477287835142918"/>
                      <c:h val="0.142784735569471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updated'!$B$20:$B$21</c:f>
              <c:numCache>
                <c:formatCode>General</c:formatCode>
                <c:ptCount val="2"/>
                <c:pt idx="0">
                  <c:v>1749540826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01-481E-B828-B2EF6C3EF8AB}"/>
            </c:ext>
          </c:extLst>
        </c:ser>
        <c:ser>
          <c:idx val="1"/>
          <c:order val="1"/>
          <c:tx>
            <c:strRef>
              <c:f>'MSR composition updated'!$C$18:$C$19</c:f>
              <c:strCache>
                <c:ptCount val="1"/>
                <c:pt idx="0">
                  <c:v>Early auctions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F01-481E-B828-B2EF6C3EF8AB}"/>
              </c:ext>
            </c:extLst>
          </c:dPt>
          <c:dLbls>
            <c:dLbl>
              <c:idx val="0"/>
              <c:layout>
                <c:manualLayout>
                  <c:x val="0.13346552653663693"/>
                  <c:y val="5.4561039122078242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updated'!$C$20:$C$21</c:f>
              <c:numCache>
                <c:formatCode>General</c:formatCode>
                <c:ptCount val="2"/>
                <c:pt idx="0">
                  <c:v>89701500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01-481E-B828-B2EF6C3EF8AB}"/>
            </c:ext>
          </c:extLst>
        </c:ser>
        <c:ser>
          <c:idx val="2"/>
          <c:order val="2"/>
          <c:tx>
            <c:strRef>
              <c:f>'MSR composition updated'!$D$18:$D$19</c:f>
              <c:strCache>
                <c:ptCount val="1"/>
                <c:pt idx="0">
                  <c:v>International credits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F01-481E-B828-B2EF6C3EF8AB}"/>
              </c:ext>
            </c:extLst>
          </c:dPt>
          <c:dLbls>
            <c:dLbl>
              <c:idx val="0"/>
              <c:layout>
                <c:manualLayout>
                  <c:x val="0.17655748659602788"/>
                  <c:y val="2.573532147064294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updated'!$D$20:$D$21</c:f>
              <c:numCache>
                <c:formatCode>General</c:formatCode>
                <c:ptCount val="2"/>
                <c:pt idx="0">
                  <c:v>478844902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F01-481E-B828-B2EF6C3EF8AB}"/>
            </c:ext>
          </c:extLst>
        </c:ser>
        <c:ser>
          <c:idx val="3"/>
          <c:order val="3"/>
          <c:tx>
            <c:strRef>
              <c:f>'MSR composition updated'!$E$18:$E$19</c:f>
              <c:strCache>
                <c:ptCount val="1"/>
                <c:pt idx="0">
                  <c:v>NER 300 monetisation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F01-481E-B828-B2EF6C3EF8AB}"/>
              </c:ext>
            </c:extLst>
          </c:dPt>
          <c:dLbls>
            <c:dLbl>
              <c:idx val="0"/>
              <c:layout>
                <c:manualLayout>
                  <c:x val="0.21362380943241832"/>
                  <c:y val="-4.5880091760327873E-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AB5A35E-D7AE-4398-965E-6929AA0C7307}" type="SERIESNAME">
                      <a:rPr lang="en-US" b="1" i="0"/>
                      <a:pPr>
                        <a:defRPr b="1"/>
                      </a:pPr>
                      <a:t>[SERIES NAME]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updated'!$E$20:$E$21</c:f>
              <c:numCache>
                <c:formatCode>General</c:formatCode>
                <c:ptCount val="2"/>
                <c:pt idx="0">
                  <c:v>300000000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F01-481E-B828-B2EF6C3EF8AB}"/>
            </c:ext>
          </c:extLst>
        </c:ser>
        <c:ser>
          <c:idx val="4"/>
          <c:order val="4"/>
          <c:tx>
            <c:strRef>
              <c:f>'MSR composition updated'!$F$18:$F$19</c:f>
              <c:strCache>
                <c:ptCount val="1"/>
                <c:pt idx="0">
                  <c:v>Unallocated allowances *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F01-481E-B828-B2EF6C3EF8AB}"/>
              </c:ext>
            </c:extLst>
          </c:dPt>
          <c:dLbls>
            <c:dLbl>
              <c:idx val="0"/>
              <c:layout>
                <c:manualLayout>
                  <c:x val="-9.6852749101022248E-2"/>
                  <c:y val="-5.894413788827578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updated'!$F$20:$F$21</c:f>
              <c:numCache>
                <c:formatCode>General</c:formatCode>
                <c:ptCount val="2"/>
                <c:pt idx="0">
                  <c:v>251801477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F01-481E-B828-B2EF6C3EF8AB}"/>
            </c:ext>
          </c:extLst>
        </c:ser>
        <c:ser>
          <c:idx val="5"/>
          <c:order val="5"/>
          <c:tx>
            <c:strRef>
              <c:f>'MSR composition updated'!$G$18:$G$19</c:f>
              <c:strCache>
                <c:ptCount val="1"/>
                <c:pt idx="0">
                  <c:v>Backloaded allowances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F01-481E-B828-B2EF6C3EF8AB}"/>
              </c:ext>
            </c:extLst>
          </c:dPt>
          <c:dLbls>
            <c:dLbl>
              <c:idx val="0"/>
              <c:layout>
                <c:manualLayout>
                  <c:x val="-0.12345542448674084"/>
                  <c:y val="-0.1337547275094550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updated'!$G$20:$G$21</c:f>
              <c:numCache>
                <c:formatCode>General</c:formatCode>
                <c:ptCount val="2"/>
                <c:pt idx="0">
                  <c:v>900000000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F01-481E-B828-B2EF6C3EF8AB}"/>
            </c:ext>
          </c:extLst>
        </c:ser>
        <c:ser>
          <c:idx val="6"/>
          <c:order val="6"/>
          <c:tx>
            <c:strRef>
              <c:f>'MSR composition updated'!$H$18:$H$19</c:f>
              <c:strCache>
                <c:ptCount val="1"/>
                <c:pt idx="0">
                  <c:v>Withheld auction volumes for MSR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F01-481E-B828-B2EF6C3EF8AB}"/>
              </c:ext>
            </c:extLst>
          </c:dPt>
          <c:dLbls>
            <c:dLbl>
              <c:idx val="0"/>
              <c:layout>
                <c:manualLayout>
                  <c:x val="-0.1518280522933747"/>
                  <c:y val="-0.18548391096782194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updated'!$H$20:$H$21</c:f>
              <c:numCache>
                <c:formatCode>General</c:formatCode>
                <c:ptCount val="2"/>
                <c:pt idx="0">
                  <c:v>772749992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F01-481E-B828-B2EF6C3EF8AB}"/>
            </c:ext>
          </c:extLst>
        </c:ser>
        <c:ser>
          <c:idx val="7"/>
          <c:order val="7"/>
          <c:tx>
            <c:strRef>
              <c:f>'MSR composition updated'!$I$18:$I$19</c:f>
              <c:strCache>
                <c:ptCount val="1"/>
                <c:pt idx="0">
                  <c:v>Free allocation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F01-481E-B828-B2EF6C3EF8AB}"/>
              </c:ext>
            </c:extLst>
          </c:dPt>
          <c:dLbls>
            <c:dLbl>
              <c:idx val="0"/>
              <c:layout>
                <c:manualLayout>
                  <c:x val="0"/>
                  <c:y val="-6.5382598520691212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updated'!$I$20:$I$21</c:f>
              <c:numCache>
                <c:formatCode>General</c:formatCode>
                <c:ptCount val="2"/>
                <c:pt idx="0">
                  <c:v>6588904098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F01-481E-B828-B2EF6C3EF8AB}"/>
            </c:ext>
          </c:extLst>
        </c:ser>
        <c:ser>
          <c:idx val="8"/>
          <c:order val="8"/>
          <c:tx>
            <c:strRef>
              <c:f>'MSR composition updated'!$J$18:$J$19</c:f>
              <c:strCache>
                <c:ptCount val="1"/>
                <c:pt idx="0">
                  <c:v>Auctioned allowances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bg1">
                  <a:lumMod val="9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1079104808331894E-3"/>
                  <c:y val="-5.90551181102362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updated'!$J$20:$J$21</c:f>
              <c:numCache>
                <c:formatCode>General</c:formatCode>
                <c:ptCount val="2"/>
                <c:pt idx="0">
                  <c:v>5918551500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F01-481E-B828-B2EF6C3EF8AB}"/>
            </c:ext>
          </c:extLst>
        </c:ser>
        <c:ser>
          <c:idx val="9"/>
          <c:order val="9"/>
          <c:tx>
            <c:strRef>
              <c:f>'MSR composition updated'!$K$18:$K$19</c:f>
              <c:strCache>
                <c:ptCount val="1"/>
                <c:pt idx="0">
                  <c:v>Verified emissions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249166007133871E-16"/>
                  <c:y val="3.14962179924359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11633060048748"/>
                      <c:h val="0.13072850145700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updated'!$K$20:$K$21</c:f>
              <c:numCache>
                <c:formatCode>General</c:formatCode>
                <c:ptCount val="2"/>
                <c:pt idx="1">
                  <c:v>13546329007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F01-481E-B828-B2EF6C3EF8AB}"/>
            </c:ext>
          </c:extLst>
        </c:ser>
        <c:ser>
          <c:idx val="10"/>
          <c:order val="10"/>
          <c:tx>
            <c:strRef>
              <c:f>'MSR composition updated'!$L$18:$L$19</c:f>
              <c:strCache>
                <c:ptCount val="1"/>
                <c:pt idx="0">
                  <c:v>Cancellations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F01-481E-B828-B2EF6C3EF8AB}"/>
              </c:ext>
            </c:extLst>
          </c:dPt>
          <c:dLbls>
            <c:dLbl>
              <c:idx val="1"/>
              <c:layout>
                <c:manualLayout>
                  <c:x val="-0.11830896221065661"/>
                  <c:y val="-6.2007874015748067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updated'!$L$20:$L$21</c:f>
              <c:numCache>
                <c:formatCode>General</c:formatCode>
                <c:ptCount val="2"/>
                <c:pt idx="1">
                  <c:v>441393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F01-481E-B828-B2EF6C3EF8AB}"/>
            </c:ext>
          </c:extLst>
        </c:ser>
        <c:ser>
          <c:idx val="11"/>
          <c:order val="11"/>
          <c:tx>
            <c:strRef>
              <c:f>'MSR composition updated'!$M$18:$M$19</c:f>
              <c:strCache>
                <c:ptCount val="1"/>
                <c:pt idx="0">
                  <c:v>MSR holdings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7347234759768071E-18"/>
                  <c:y val="-3.7401574803149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68460144010915"/>
                      <c:h val="0.122854485708971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8F01-481E-B828-B2EF6C3EF8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'MSR composition updated'!$A$20:$A$21</c:f>
              <c:strCache>
                <c:ptCount val="2"/>
                <c:pt idx="0">
                  <c:v>Sum of Supply</c:v>
                </c:pt>
                <c:pt idx="1">
                  <c:v>Sum of Demand</c:v>
                </c:pt>
              </c:strCache>
            </c:strRef>
          </c:cat>
          <c:val>
            <c:numRef>
              <c:f>'MSR composition updated'!$M$20:$M$21</c:f>
              <c:numCache>
                <c:formatCode>General</c:formatCode>
                <c:ptCount val="2"/>
                <c:pt idx="1">
                  <c:v>1924551469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F01-481E-B828-B2EF6C3EF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7616808"/>
        <c:axId val="767624352"/>
      </c:barChart>
      <c:catAx>
        <c:axId val="7676168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67624352"/>
        <c:crosses val="autoZero"/>
        <c:auto val="1"/>
        <c:lblAlgn val="ctr"/>
        <c:lblOffset val="100"/>
        <c:noMultiLvlLbl val="0"/>
      </c:catAx>
      <c:valAx>
        <c:axId val="767624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7616808"/>
        <c:crosses val="autoZero"/>
        <c:crossBetween val="between"/>
        <c:dispUnits>
          <c:builtInUnit val="billion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fr-BE"/>
                    <a:t>Billion allowances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'1.0' encoding='UTF-8' standalone='yes'?>
<Relationships xmlns="http://schemas.openxmlformats.org/package/2006/relationships"><Relationship Id="rId1" Type="http://schemas.openxmlformats.org/officeDocument/2006/relationships/image" Target="../media/image8.png"/></Relationships>
</file>

<file path=word/drawings/_rels/drawing2.xml.rels><?xml version='1.0' encoding='UTF-8' standalone='yes'?>
<Relationships xmlns="http://schemas.openxmlformats.org/package/2006/relationships"><Relationship Id="rId1" Type="http://schemas.openxmlformats.org/officeDocument/2006/relationships/image" Target="../media/image9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649378" cy="3705742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563641" cy="437258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8500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8624AE1ADA55AC498CE8C2673C458AA5" ma:contentTypeVersion="1" ma:contentTypeDescription="Create a new document in this library." ma:contentTypeScope="" ma:versionID="167ade49b98f0d3b5cb7d826645ae3ff">
  <xsd:schema xmlns:xsd="http://www.w3.org/2001/XMLSchema" xmlns:xs="http://www.w3.org/2001/XMLSchema" xmlns:p="http://schemas.microsoft.com/office/2006/metadata/properties" xmlns:ns2="http://schemas.microsoft.com/sharepoint/v3/fields" xmlns:ns3="66dfdfc7-cf04-47bd-8028-378de1775e10" targetNamespace="http://schemas.microsoft.com/office/2006/metadata/properties" ma:root="true" ma:fieldsID="d2667018ce038391566f5e109426fbb5" ns2:_="" ns3:_="">
    <xsd:import namespace="http://schemas.microsoft.com/sharepoint/v3/fields"/>
    <xsd:import namespace="66dfdfc7-cf04-47bd-8028-378de1775e10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DCDateModified" ma:index="16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dfc7-cf04-47bd-8028-378de1775e10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_Status xmlns="http://schemas.microsoft.com/sharepoint/v3/fields">Not Started</_Status>
    <EC_Collab_Status xmlns="66dfdfc7-cf04-47bd-8028-378de1775e10">Not Started</EC_Collab_Status>
    <EC_Collab_DocumentLanguage xmlns="66dfdfc7-cf04-47bd-8028-378de1775e10">EN</EC_Collab_DocumentLanguage>
    <EC_Collab_Reference xmlns="66dfdfc7-cf04-47bd-8028-378de1775e10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132F-A8E4-4238-9012-017004CD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66dfdfc7-cf04-47bd-8028-378de1775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58876-9682-4DA9-978F-DD3A2CAFE52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6dfdfc7-cf04-47bd-8028-378de1775e10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811A71-F56C-4BB7-A273-26EBDAD24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CC504-01A0-42E1-BA0E-A4960F9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23</Pages>
  <Words>12198</Words>
  <Characters>85637</Characters>
  <Application>Microsoft Office Word</Application>
  <DocSecurity>0</DocSecurity>
  <Lines>1679</Lines>
  <Paragraphs>764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97071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51</cp:revision>
  <cp:lastPrinted>2018-11-08T09:30:00Z</cp:lastPrinted>
  <dcterms:created xsi:type="dcterms:W3CDTF">2021-10-21T08:19:00Z</dcterms:created>
  <dcterms:modified xsi:type="dcterms:W3CDTF">2021-12-07T08:19:00Z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Level of sensitivity">
    <vt:lpwstr>Standard treatment</vt:lpwstr>
  </property>
  <property fmtid="{D5CDD505-2E9C-101B-9397-08002B2CF9AE}" pid="6" name="Last edited using">
    <vt:lpwstr>LW 7.0.1, Build 20200226</vt:lpwstr>
  </property>
  <property fmtid="{D5CDD505-2E9C-101B-9397-08002B2CF9AE}" pid="7" name="_DocHome">
    <vt:i4>-1319363200</vt:i4>
  </property>
  <property fmtid="{D5CDD505-2E9C-101B-9397-08002B2CF9AE}" pid="8" name="Created using">
    <vt:lpwstr>LW 6.0.1, Build 20180503</vt:lpwstr>
  </property>
  <property fmtid="{D5CDD505-2E9C-101B-9397-08002B2CF9AE}" pid="9" name="CPTemplateID">
    <vt:lpwstr>CP-006</vt:lpwstr>
  </property>
  <property fmtid="{D5CDD505-2E9C-101B-9397-08002B2CF9AE}" pid="10" name="TitusGUID">
    <vt:lpwstr>5cf759e1-5ddc-4581-ad6d-8fdc99e4c60a</vt:lpwstr>
  </property>
  <property fmtid="{D5CDD505-2E9C-101B-9397-08002B2CF9AE}" pid="11" name="_LW_INVALIDATED__LW_INVALIDATED__LW_INVALIDATED__LW_INVALIDATED_ContentTypeId">
    <vt:lpwstr>0x010100258AA79CEB83498886A3A08681123250008624AE1ADA55AC498CE8C2673C458AA5</vt:lpwstr>
  </property>
  <property name="OP_sanitized" fmtid="{D5CDD505-2E9C-101B-9397-08002B2CF9AE}" pid="12">
    <vt:lpwstr>True</vt:lpwstr>
  </property>
</Properties>
</file>