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AD5ACC" w14:textId="53CF35B3" w:rsidR="00EE0BBC" w:rsidRPr="00AF1531" w:rsidRDefault="00843FBE" w:rsidP="00843FBE">
      <w:pPr>
        <w:pStyle w:val="Pagedecouverture"/>
        <w:rPr>
          <w:noProof/>
        </w:rPr>
      </w:pPr>
      <w:r>
        <w:rPr>
          <w:noProof/>
        </w:rPr>
        <w:pict w14:anchorId="43CD5F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alt="8F3E5992-4BF5-4E81-94C9-70D3C4CA397D" style="width:455.25pt;height:369.75pt">
            <v:imagedata r:id="rId8" o:title=""/>
          </v:shape>
        </w:pict>
      </w:r>
    </w:p>
    <w:p w14:paraId="48811B2D" w14:textId="77777777" w:rsidR="00EE0BBC" w:rsidRPr="00AF1531" w:rsidRDefault="00EE0BBC" w:rsidP="00EE0BBC">
      <w:pPr>
        <w:rPr>
          <w:noProof/>
        </w:rPr>
        <w:sectPr w:rsidR="00EE0BBC" w:rsidRPr="00AF1531" w:rsidSect="00843FBE">
          <w:footerReference w:type="default" r:id="rId9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1BFC69BD" w14:textId="77777777" w:rsidR="00EE0BBC" w:rsidRPr="00AF1531" w:rsidRDefault="00EE0BBC" w:rsidP="00BB6B30">
      <w:pPr>
        <w:pStyle w:val="Exposdesmotifstitre"/>
        <w:rPr>
          <w:noProof/>
        </w:rPr>
      </w:pPr>
      <w:bookmarkStart w:id="0" w:name="_GoBack"/>
      <w:bookmarkEnd w:id="0"/>
      <w:r w:rsidRPr="00AF1531">
        <w:rPr>
          <w:noProof/>
        </w:rPr>
        <w:lastRenderedPageBreak/>
        <w:t>MEMORANDUM TA’ SPJEGAZZJONI</w:t>
      </w:r>
    </w:p>
    <w:p w14:paraId="395A11D8" w14:textId="77777777" w:rsidR="00EE0BBC" w:rsidRPr="00AF1531" w:rsidRDefault="00EE0BBC" w:rsidP="00BB6B30">
      <w:pPr>
        <w:pStyle w:val="ManualHeading1"/>
        <w:rPr>
          <w:noProof/>
        </w:rPr>
      </w:pPr>
      <w:r w:rsidRPr="00AF1531">
        <w:rPr>
          <w:noProof/>
        </w:rPr>
        <w:t>1.</w:t>
      </w:r>
      <w:r w:rsidRPr="00AF1531">
        <w:rPr>
          <w:noProof/>
        </w:rPr>
        <w:tab/>
        <w:t>KUNTEST TAL-PROPOSTA</w:t>
      </w:r>
    </w:p>
    <w:p w14:paraId="4F6B666E" w14:textId="77777777" w:rsidR="00EE0BBC" w:rsidRPr="00AF1531" w:rsidRDefault="00EE0BBC" w:rsidP="00044058">
      <w:pPr>
        <w:pStyle w:val="ManualHeading2"/>
        <w:rPr>
          <w:rFonts w:eastAsia="Arial Unicode MS"/>
          <w:noProof/>
        </w:rPr>
      </w:pPr>
      <w:r w:rsidRPr="00AF1531">
        <w:rPr>
          <w:noProof/>
          <w:color w:val="000000"/>
          <w:u w:color="000000"/>
          <w:bdr w:val="nil"/>
        </w:rPr>
        <w:t>•</w:t>
      </w:r>
      <w:r w:rsidRPr="00AF1531">
        <w:rPr>
          <w:noProof/>
        </w:rPr>
        <w:tab/>
        <w:t>Raġunijiet u objettivi tal-proposta</w:t>
      </w:r>
    </w:p>
    <w:p w14:paraId="5D404B6B" w14:textId="6DF7557E" w:rsidR="00186B9D" w:rsidRPr="00AF1531" w:rsidRDefault="00C079AE" w:rsidP="006B4C5A">
      <w:pPr>
        <w:rPr>
          <w:noProof/>
        </w:rPr>
      </w:pPr>
      <w:r w:rsidRPr="00AF1531">
        <w:rPr>
          <w:noProof/>
        </w:rPr>
        <w:t>Mill-aħħar emenda tar-Rakkomandazzjoni (UE) 2020/912, li l-Kunsill adotta fl-20 ta’ Mejju 2021</w:t>
      </w:r>
      <w:r w:rsidRPr="00AF1531">
        <w:rPr>
          <w:rStyle w:val="FootnoteReference"/>
          <w:rFonts w:eastAsia="Arial Unicode MS"/>
          <w:noProof/>
        </w:rPr>
        <w:footnoteReference w:id="2"/>
      </w:r>
      <w:r w:rsidRPr="00AF1531">
        <w:rPr>
          <w:noProof/>
        </w:rPr>
        <w:t>, il-Parlament u l-Kunsill adottaw ir-Regolament (UE) 2021/953 dwar qafas għall-ħruġ, għall-verifika u għall-aċċettazzjoni ta’ ċertifikati COVID-19 interoperabbli tat-tilqim, tat-testijiet u tal-fejqan (Ċertifikat COVID Diġitali tal-UE) għall-faċilitazzjoni tal-moviment liberu waqt il-pandemija tal-COVID-19 u r-Regolament (UE) 2021/954 dwar qafas għall-ħruġ, għall-verifika u għall-aċċettazzjoni ta’ ċertifikati COVID-19 interoperabbli tat-tilqim, tat-testijiet u tal-fejqan (Ċertifikat COVID Diġitali tal-UE) fir-rigward ta’ ċittadini ta’ pajjiżi terzi li joqogħdu jew li jirrisjedu legalment fit-territorji tal-Istati Membri waqt il-pandemija tal-COVID</w:t>
      </w:r>
      <w:r w:rsidRPr="00AF1531">
        <w:rPr>
          <w:noProof/>
        </w:rPr>
        <w:noBreakHyphen/>
        <w:t xml:space="preserve">19. </w:t>
      </w:r>
    </w:p>
    <w:p w14:paraId="29F07F7E" w14:textId="13B9AE96" w:rsidR="00E3430D" w:rsidRPr="00AF1531" w:rsidRDefault="00E3430D" w:rsidP="00C079AE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AF1531">
        <w:rPr>
          <w:noProof/>
        </w:rPr>
        <w:t xml:space="preserve">Peress li t-tilqim kellu rwol ewlieni biex in-nies ikunu jerġgħu jistgħu jivvjaġġaw lejn l-UE, il-Kummissjoni tipproponi li temenda r-Rakkomandazzjoni (UE) 2020/912 biex tistabbilixxi rabta ċara bejn ir-Rakkomandazzjoni u ċ-Ċertifikat COVID Diġitali tal-UE, sabiex tassisti lill-awtoritajiet tal-Istati Membri jivverifikaw l-awtentiċità, il-validità u l-integrità taċ-ċertifikati maħruġa minn pajjiżi terzi. </w:t>
      </w:r>
    </w:p>
    <w:p w14:paraId="12039F44" w14:textId="2C3B0471" w:rsidR="00EE0BBC" w:rsidRPr="00AF1531" w:rsidRDefault="00E3430D" w:rsidP="00C079AE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AF1531">
        <w:rPr>
          <w:noProof/>
        </w:rPr>
        <w:t>Barra minn hekk, fit-22 ta’ Ottubru 2021, il-Kunsill Ewropew appella għal aktar koordinazzjoni biex jiġi ffaċilitat l-ivvjaġġar lejn l-UE. Għalhekk, qed jiġi propost li l-livell limitu tar-“rata kumulattiva fuq 14-il jum tan-notifiki tal-każijiet ta’ COVID-19” jiżdied minn 75 għal 100 (ir-rata medja fl-UE/fiż-ŻEE fl-14 ta’ Novembru 2021 kienet ta’ 473,8 għal kull 100 000 abitant), filwaqt li r-rata tal-ittestjar kull ġimgħa tiżdied minn 300 għal 600 għal kull 100 000 abitant, biex titqies iż-żieda ġenerali fil-kapaċitajiet tal-ittestjar (ir-rata medja fil-ġimgħa fl-UE/fiż-ŻEE fl-14 ta’ Novembru 2021 kienet ogħla minn 5 000 test għal kull 100 000 abitant).</w:t>
      </w:r>
    </w:p>
    <w:p w14:paraId="6F262B6E" w14:textId="1D6B5263" w:rsidR="00065AA2" w:rsidRPr="00AF1531" w:rsidRDefault="00065AA2" w:rsidP="00C079AE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AF1531">
        <w:rPr>
          <w:noProof/>
        </w:rPr>
        <w:t xml:space="preserve">Filwaqt li titqies il-gwida tal-ECDC rigward l-amministrazzjoni ta’ dożi booster minn 6 xhur wara t-tlestija tas-sensiela ta’ tilqim primarju, u filwaqt li jiġi previst perjodu addizzjonali ta’ 3 xhur biex jiġi żgurat li l-kampanji ta’ tilqim nazzjonali jistgħu jaġġustaw u li ċ-ċittadini jista’ jkollhom aċċess għall-amministrazzjoni tal-boosters, qed jiġi propost perjodu standard ta’ aċċettazzjoni ta’ 9 xhur wara t-tlestija tas-sensiela ta’ tilqim primarju. Sabiex jiġi żgurat approċċ koordinat, jenħtieġ li l-Istati Membri ma jaċċettawx ċertifikati ta’ tilqim maħruġa wara t-tlestija tas-sensiela ta’ tilqim primarju jekk ikunu għaddew aktar minn 9 xhur minn meta tingħata d-doża indikata fihom. </w:t>
      </w:r>
    </w:p>
    <w:p w14:paraId="4E7B35B3" w14:textId="720763FB" w:rsidR="00E3430D" w:rsidRPr="00AF1531" w:rsidRDefault="00E3430D" w:rsidP="00C079AE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 w:rsidRPr="00AF1531">
        <w:rPr>
          <w:noProof/>
        </w:rPr>
        <w:t xml:space="preserve">Fl-aħħar nett, għalkemm ir-rata tat-tilqim qed tkompli tiżdied mad-dinja kollha u diversi pajjiżi terzi progressivament qed jerġgħu jiftħu l-fruntieri tagħhom għal vjaġġaturi internazzjonali li huma kompletament imlaqqma, possibbiltà li l-UE ilha li offriet mill-20 ta’ Mejju 2021, il-Kummissjoni tqis li huwa prematur li l-approċċ ibridu attwali/ibbażat fuq il-persuna jinbidel għalkollox u minnufih f’approċċ ibbażat purament fuq il-persuna, peress li dan jippenalizza lil vjaġġaturi minn pajjiżi terzi b’rata tat-tilqim baxxa. Għalhekk, jenħtieġ li jitħassar biss l-Anness I (Pajjiżi terzi, Reġjuni Amministrattivi Speċjali u entitajiet u awtoritajiet territorjali oħra li r-residenti tagħhom jenħtieġ li ma jiġux affettwati minn restrizzjoni temporanja fil-fruntieri esterni fuq vjaġġar mhux essenzjali lejn l-UE), filwaqt li d-dispożizzjonijiet rilevanti jitħassru fl-1 ta’ Mejju 2022. Dan se jissimplifika l-kontenut tar-Rakkomandazzjoni u jnaqqas il-piż amministrattiv marbut mal-implimentazzjoni tagħha. </w:t>
      </w:r>
    </w:p>
    <w:p w14:paraId="3001A130" w14:textId="77777777" w:rsidR="00EE0BBC" w:rsidRPr="00AF1531" w:rsidRDefault="00EE0BBC" w:rsidP="00044058">
      <w:pPr>
        <w:pStyle w:val="ManualHeading2"/>
        <w:rPr>
          <w:rFonts w:eastAsia="Arial Unicode MS"/>
          <w:noProof/>
          <w:color w:val="000000"/>
          <w:u w:color="000000"/>
          <w:bdr w:val="nil"/>
        </w:rPr>
      </w:pPr>
      <w:r w:rsidRPr="00AF1531">
        <w:rPr>
          <w:noProof/>
          <w:color w:val="000000"/>
          <w:u w:color="000000"/>
          <w:bdr w:val="nil"/>
        </w:rPr>
        <w:t>•</w:t>
      </w:r>
      <w:r w:rsidRPr="00AF1531">
        <w:rPr>
          <w:noProof/>
        </w:rPr>
        <w:tab/>
        <w:t>Konsistenza mad-dispożizzjonijiet eżistenti fil-qasam ta’ politika</w:t>
      </w:r>
    </w:p>
    <w:p w14:paraId="49916BBB" w14:textId="77777777" w:rsidR="00DA5065" w:rsidRPr="00AF1531" w:rsidRDefault="00DA5065" w:rsidP="00DA506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AF1531">
        <w:rPr>
          <w:noProof/>
        </w:rPr>
        <w:t xml:space="preserve">Din il-proposta għal rakkomandazzjoni sservi biex jiġu implimentati d-dispożizzjonijiet eżistenti fil-qasam ta’ politika, jiġifieri t-twettiq ta’ kontrolli fuq persuni u l-monitoraġġ effiċjenti tal-qsim tal-fruntieri esterni. </w:t>
      </w:r>
    </w:p>
    <w:p w14:paraId="6ADEAEBC" w14:textId="77777777" w:rsidR="00EE0BBC" w:rsidRPr="00AF1531" w:rsidRDefault="00EE0BBC" w:rsidP="00A4693B">
      <w:pPr>
        <w:pStyle w:val="ManualHeading2"/>
        <w:rPr>
          <w:rFonts w:eastAsia="Arial Unicode MS"/>
          <w:noProof/>
        </w:rPr>
      </w:pPr>
      <w:r w:rsidRPr="00AF1531">
        <w:rPr>
          <w:noProof/>
          <w:color w:val="000000"/>
          <w:u w:color="000000"/>
          <w:bdr w:val="nil"/>
        </w:rPr>
        <w:t>•</w:t>
      </w:r>
      <w:r w:rsidRPr="00AF1531">
        <w:rPr>
          <w:noProof/>
        </w:rPr>
        <w:tab/>
        <w:t>Konsistenza ma’ politiki oħra tal-Unjoni</w:t>
      </w:r>
    </w:p>
    <w:p w14:paraId="7BE25F46" w14:textId="77777777" w:rsidR="00DA5065" w:rsidRPr="00AF1531" w:rsidRDefault="00DA5065" w:rsidP="00DA5065">
      <w:pPr>
        <w:rPr>
          <w:noProof/>
        </w:rPr>
      </w:pPr>
      <w:r w:rsidRPr="00AF1531">
        <w:rPr>
          <w:noProof/>
        </w:rPr>
        <w:t xml:space="preserve">Din ir-rakkomandazzjoni hija konformi ma’ politiki oħra tal-Unjoni, fosthom dawk dwar ir-relazzjonijiet esterni u s-saħħa pubblika. </w:t>
      </w:r>
    </w:p>
    <w:p w14:paraId="366DFFBC" w14:textId="77777777" w:rsidR="00EE0BBC" w:rsidRPr="00AF1531" w:rsidRDefault="00EE0BBC" w:rsidP="00550536">
      <w:pPr>
        <w:pStyle w:val="ManualHeading1"/>
        <w:rPr>
          <w:noProof/>
        </w:rPr>
      </w:pPr>
      <w:r w:rsidRPr="00AF1531">
        <w:rPr>
          <w:noProof/>
        </w:rPr>
        <w:t>2.</w:t>
      </w:r>
      <w:r w:rsidRPr="00AF1531">
        <w:rPr>
          <w:noProof/>
        </w:rPr>
        <w:tab/>
        <w:t>BAŻI ĠURIDIKA, SUSSIDJARJETÀ U PROPORZJONALITÀ</w:t>
      </w:r>
    </w:p>
    <w:p w14:paraId="34F89A27" w14:textId="77777777" w:rsidR="00EE0BBC" w:rsidRPr="00AF1531" w:rsidRDefault="00EE0BBC" w:rsidP="00A4693B">
      <w:pPr>
        <w:pStyle w:val="ManualHeading2"/>
        <w:rPr>
          <w:rFonts w:eastAsia="Arial Unicode MS"/>
          <w:noProof/>
          <w:u w:color="000000"/>
          <w:bdr w:val="nil"/>
        </w:rPr>
      </w:pPr>
      <w:r w:rsidRPr="00AF1531">
        <w:rPr>
          <w:noProof/>
          <w:u w:color="000000"/>
          <w:bdr w:val="nil"/>
        </w:rPr>
        <w:t>•</w:t>
      </w:r>
      <w:r w:rsidRPr="00AF1531">
        <w:rPr>
          <w:noProof/>
        </w:rPr>
        <w:tab/>
      </w:r>
      <w:r w:rsidRPr="00AF1531">
        <w:rPr>
          <w:noProof/>
          <w:u w:color="000000"/>
          <w:bdr w:val="nil"/>
        </w:rPr>
        <w:t>Bażi ġuridika</w:t>
      </w:r>
    </w:p>
    <w:p w14:paraId="403E8F41" w14:textId="77777777" w:rsidR="00EE0BBC" w:rsidRPr="00AF1531" w:rsidRDefault="00EE0BBC" w:rsidP="00EE0BBC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 w:rsidRPr="00AF1531">
        <w:rPr>
          <w:noProof/>
        </w:rPr>
        <w:t xml:space="preserve">It-Trattat dwar il-Funzjonament tal-Unjoni Ewropea (TFUE), u b’mod partikolari l-Artikolu 77(2)(b)(e) u l-ewwel u t-tieni sentenza tal-Artikolu 292, tiegħu. </w:t>
      </w:r>
    </w:p>
    <w:p w14:paraId="3B0A7639" w14:textId="77777777" w:rsidR="00EE0BBC" w:rsidRPr="00AF1531" w:rsidRDefault="00EE0BBC" w:rsidP="00A4693B">
      <w:pPr>
        <w:pStyle w:val="ManualHeading2"/>
        <w:rPr>
          <w:rFonts w:eastAsia="Arial Unicode MS"/>
          <w:noProof/>
          <w:u w:color="000000"/>
          <w:bdr w:val="nil"/>
        </w:rPr>
      </w:pPr>
      <w:r w:rsidRPr="00AF1531">
        <w:rPr>
          <w:noProof/>
          <w:u w:color="000000"/>
          <w:bdr w:val="nil"/>
        </w:rPr>
        <w:t>•</w:t>
      </w:r>
      <w:r w:rsidRPr="00AF1531">
        <w:rPr>
          <w:noProof/>
        </w:rPr>
        <w:tab/>
      </w:r>
      <w:r w:rsidRPr="00AF1531">
        <w:rPr>
          <w:noProof/>
          <w:u w:color="000000"/>
          <w:bdr w:val="nil"/>
        </w:rPr>
        <w:t xml:space="preserve">Sussidjarjetà (għall-kompetenza mhux esklużiva) </w:t>
      </w:r>
    </w:p>
    <w:p w14:paraId="05DA992E" w14:textId="01EF6BB1" w:rsidR="009F539B" w:rsidRPr="00AF1531" w:rsidRDefault="005829D4" w:rsidP="009F539B">
      <w:pPr>
        <w:widowControl w:val="0"/>
        <w:spacing w:before="0" w:after="200"/>
        <w:rPr>
          <w:rFonts w:eastAsia="Calibri"/>
          <w:noProof/>
          <w:szCs w:val="24"/>
        </w:rPr>
      </w:pPr>
      <w:r w:rsidRPr="00AF1531">
        <w:rPr>
          <w:noProof/>
        </w:rPr>
        <w:t>L-iżgurar tal-funzjonament tajjeb taż-żona mingħajr kontrolli fil-fruntieri interni bejn l-Istati Membri huwa sforz konġunt u responsabbiltà kondiviża li teħtieġ approċċ koerenti u koordinat, inkluż, b’mod partikolari, fir-rigward ta’ restrizzjonijiet għall-ivvjaġġar mhux essenzjali lejn l-UE. L-objettiv tal-iżgurar ta’ approċċ koordinat ma jistax jintlaħaq b’mod suffiċjenti mill-Istati Membri waħedhom, u jista’ jintlaħaq aħjar fil-livell tal-Unjoni.</w:t>
      </w:r>
    </w:p>
    <w:p w14:paraId="4CABF91E" w14:textId="77777777" w:rsidR="00EE0BBC" w:rsidRPr="00AF1531" w:rsidRDefault="00EE0BBC" w:rsidP="00A4693B">
      <w:pPr>
        <w:pStyle w:val="ManualHeading2"/>
        <w:rPr>
          <w:rFonts w:eastAsia="Arial Unicode MS"/>
          <w:noProof/>
          <w:u w:color="000000"/>
          <w:bdr w:val="nil"/>
        </w:rPr>
      </w:pPr>
      <w:r w:rsidRPr="00AF1531">
        <w:rPr>
          <w:noProof/>
          <w:u w:color="000000"/>
          <w:bdr w:val="nil"/>
        </w:rPr>
        <w:t>•</w:t>
      </w:r>
      <w:r w:rsidRPr="00AF1531">
        <w:rPr>
          <w:noProof/>
        </w:rPr>
        <w:tab/>
      </w:r>
      <w:r w:rsidRPr="00AF1531">
        <w:rPr>
          <w:noProof/>
          <w:u w:color="000000"/>
          <w:bdr w:val="nil"/>
        </w:rPr>
        <w:t>Proporzjonalità</w:t>
      </w:r>
    </w:p>
    <w:p w14:paraId="7C80DDC5" w14:textId="67AC3286" w:rsidR="00EE0BBC" w:rsidRPr="00AF1531" w:rsidRDefault="00EE0BBC" w:rsidP="00EE0BBC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AF1531">
        <w:rPr>
          <w:noProof/>
        </w:rPr>
        <w:t xml:space="preserve">Din il-proposta tqis is-sitwazzjoni epidemjoloġika li qed tevolvi u l-evidenza rilevanti kollha disponibbli. L-emendi proposti għar-Rakkomandazzjoni tal-Kunsill 2020/912 se jnaqqsu l-piż amministrattiv billi jillaxkaw ir-restrizzjonijiet tal-ivvjaġġar fis-seħħ, u fl-aħħar mill-aħħar ineħħu l-approċċ ibbażat fuq il-pajjiż rifless fl-Anness I tar-Rakkomandazzjoni. Għalhekk, il-proposta hija xierqa biex jintlaħaq l-objettiv maħsub u ma tmurx lil hinn minn dak li huwa meħtieġ u proporzjonat. </w:t>
      </w:r>
    </w:p>
    <w:p w14:paraId="76C8C1A7" w14:textId="77777777" w:rsidR="00EE0BBC" w:rsidRPr="00AF1531" w:rsidRDefault="00EE0BBC" w:rsidP="00A4693B">
      <w:pPr>
        <w:pStyle w:val="ManualHeading2"/>
        <w:rPr>
          <w:rFonts w:eastAsia="Arial Unicode MS"/>
          <w:noProof/>
          <w:u w:color="000000"/>
          <w:bdr w:val="nil"/>
        </w:rPr>
      </w:pPr>
      <w:r w:rsidRPr="00AF1531">
        <w:rPr>
          <w:noProof/>
          <w:u w:color="000000"/>
          <w:bdr w:val="nil"/>
        </w:rPr>
        <w:t>•</w:t>
      </w:r>
      <w:r w:rsidRPr="00AF1531">
        <w:rPr>
          <w:noProof/>
        </w:rPr>
        <w:tab/>
      </w:r>
      <w:r w:rsidRPr="00AF1531">
        <w:rPr>
          <w:noProof/>
          <w:u w:color="000000"/>
          <w:bdr w:val="nil"/>
        </w:rPr>
        <w:t>L-għażla tal-istrument</w:t>
      </w:r>
    </w:p>
    <w:p w14:paraId="0EBA23E0" w14:textId="3D59B08C" w:rsidR="00EE0BBC" w:rsidRPr="00AF1531" w:rsidRDefault="00EE0BBC" w:rsidP="00EE0BBC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AF1531">
        <w:rPr>
          <w:noProof/>
        </w:rPr>
        <w:t>L-objettiv ta’ din il-proposta huwa li temenda r-Rakkomandazzjoni tal-Kunsill 2020/912. Dan l-objettiv jirrikjedi Rakkomandazzjoni tal-Kunsill oħra.</w:t>
      </w:r>
    </w:p>
    <w:p w14:paraId="15FEF3C3" w14:textId="77777777" w:rsidR="00EE0BBC" w:rsidRPr="00AF1531" w:rsidRDefault="00EE0BBC" w:rsidP="00550536">
      <w:pPr>
        <w:pStyle w:val="ManualHeading1"/>
        <w:rPr>
          <w:noProof/>
        </w:rPr>
      </w:pPr>
      <w:r w:rsidRPr="00AF1531">
        <w:rPr>
          <w:noProof/>
        </w:rPr>
        <w:t>3.</w:t>
      </w:r>
      <w:r w:rsidRPr="00AF1531">
        <w:rPr>
          <w:noProof/>
        </w:rPr>
        <w:tab/>
        <w:t xml:space="preserve">RIŻULTATI TAL-EVALWAZZJONIJIET </w:t>
      </w:r>
      <w:r w:rsidRPr="00AF1531">
        <w:rPr>
          <w:i/>
          <w:iCs/>
          <w:noProof/>
        </w:rPr>
        <w:t>EX POST</w:t>
      </w:r>
      <w:r w:rsidRPr="00AF1531">
        <w:rPr>
          <w:noProof/>
        </w:rPr>
        <w:t>, TAL-KONSULTAZZJONIJIET MAL-PARTIJIET IKKONĊERNATI U TAL-VALUTAZZJONIJIET TAL-IMPATT</w:t>
      </w:r>
    </w:p>
    <w:p w14:paraId="70DA39D5" w14:textId="77777777" w:rsidR="00EE0BBC" w:rsidRPr="00AF1531" w:rsidRDefault="00EE0BBC" w:rsidP="00A4693B">
      <w:pPr>
        <w:pStyle w:val="ManualHeading2"/>
        <w:rPr>
          <w:rFonts w:eastAsia="Arial Unicode MS"/>
          <w:noProof/>
          <w:u w:color="000000"/>
          <w:bdr w:val="nil"/>
        </w:rPr>
      </w:pPr>
      <w:r w:rsidRPr="00AF1531">
        <w:rPr>
          <w:noProof/>
          <w:u w:color="000000"/>
          <w:bdr w:val="nil"/>
        </w:rPr>
        <w:t>•</w:t>
      </w:r>
      <w:r w:rsidRPr="00AF1531">
        <w:rPr>
          <w:noProof/>
        </w:rPr>
        <w:tab/>
      </w:r>
      <w:r w:rsidRPr="00AF1531">
        <w:rPr>
          <w:noProof/>
          <w:u w:color="000000"/>
          <w:bdr w:val="nil"/>
        </w:rPr>
        <w:t xml:space="preserve">Evalwazzjonijiet </w:t>
      </w:r>
      <w:r w:rsidRPr="00AF1531">
        <w:rPr>
          <w:i/>
          <w:iCs/>
          <w:noProof/>
          <w:u w:color="000000"/>
          <w:bdr w:val="nil"/>
        </w:rPr>
        <w:t>ex post</w:t>
      </w:r>
      <w:r w:rsidRPr="00AF1531">
        <w:rPr>
          <w:noProof/>
          <w:u w:color="000000"/>
          <w:bdr w:val="nil"/>
        </w:rPr>
        <w:t>/kontrolli tal-idoneità tal-leġiżlazzjoni eżistenti</w:t>
      </w:r>
    </w:p>
    <w:p w14:paraId="7EE990D8" w14:textId="77777777" w:rsidR="00EE0BBC" w:rsidRPr="00AF1531" w:rsidRDefault="00EE0BBC" w:rsidP="00550536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 w:rsidRPr="00AF1531">
        <w:rPr>
          <w:noProof/>
        </w:rPr>
        <w:t>Mhux applikabbli</w:t>
      </w:r>
    </w:p>
    <w:p w14:paraId="6166A108" w14:textId="77777777" w:rsidR="00EE0BBC" w:rsidRPr="00AF1531" w:rsidRDefault="00EE0BBC" w:rsidP="00A4693B">
      <w:pPr>
        <w:pStyle w:val="ManualHeading2"/>
        <w:rPr>
          <w:rFonts w:eastAsia="Arial Unicode MS"/>
          <w:noProof/>
          <w:u w:color="000000"/>
          <w:bdr w:val="nil"/>
        </w:rPr>
      </w:pPr>
      <w:r w:rsidRPr="00AF1531">
        <w:rPr>
          <w:noProof/>
          <w:u w:color="000000"/>
          <w:bdr w:val="nil"/>
        </w:rPr>
        <w:t>•</w:t>
      </w:r>
      <w:r w:rsidRPr="00AF1531">
        <w:rPr>
          <w:noProof/>
        </w:rPr>
        <w:tab/>
      </w:r>
      <w:r w:rsidRPr="00AF1531">
        <w:rPr>
          <w:noProof/>
          <w:u w:color="000000"/>
          <w:bdr w:val="nil"/>
        </w:rPr>
        <w:t>Konsultazzjonijiet mal-partijiet ikkonċernati</w:t>
      </w:r>
    </w:p>
    <w:p w14:paraId="393CA5C5" w14:textId="77777777" w:rsidR="00EE0BBC" w:rsidRPr="00AF1531" w:rsidRDefault="00EE0BBC" w:rsidP="00EE0BBC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AF1531">
        <w:rPr>
          <w:noProof/>
        </w:rPr>
        <w:t xml:space="preserve">Din il-proposta tqis id-diskussjonijiet mal-Istati Membri minn mindu ġew implimentati l-ewwel restrizzjonijiet temporanji fuq vjaġġar mhux essenzjali. Ma saret l-ebda valutazzjoni tal-impatt, għalkemm il-proposta tqis is-sitwazzjoni epidemjoloġika li qed tevolvi u l-evidenza rilevanti kollha disponibbli. </w:t>
      </w:r>
    </w:p>
    <w:p w14:paraId="66B045B0" w14:textId="77777777" w:rsidR="00EE0BBC" w:rsidRPr="00AF1531" w:rsidRDefault="00EE0BBC" w:rsidP="00A4693B">
      <w:pPr>
        <w:pStyle w:val="ManualHeading2"/>
        <w:rPr>
          <w:rFonts w:eastAsia="Arial Unicode MS"/>
          <w:noProof/>
          <w:u w:color="000000"/>
          <w:bdr w:val="nil"/>
        </w:rPr>
      </w:pPr>
      <w:r w:rsidRPr="00AF1531">
        <w:rPr>
          <w:noProof/>
          <w:u w:color="000000"/>
          <w:bdr w:val="nil"/>
        </w:rPr>
        <w:t>•</w:t>
      </w:r>
      <w:r w:rsidRPr="00AF1531">
        <w:rPr>
          <w:noProof/>
        </w:rPr>
        <w:tab/>
      </w:r>
      <w:r w:rsidRPr="00AF1531">
        <w:rPr>
          <w:noProof/>
          <w:u w:color="000000"/>
          <w:bdr w:val="nil"/>
        </w:rPr>
        <w:t>Ġbir u użu tal-għarfien espert</w:t>
      </w:r>
    </w:p>
    <w:p w14:paraId="136E69F3" w14:textId="77777777" w:rsidR="00EE0BBC" w:rsidRPr="00AF1531" w:rsidRDefault="00EE0BBC" w:rsidP="00550536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 w:rsidRPr="00AF1531">
        <w:rPr>
          <w:noProof/>
        </w:rPr>
        <w:t>Din il-proposta hija bbażata fuq l-għarfien espert xjentifiku inkrementali li jikkonċerna l-virus SARS-CoV-2, il-mod kif jinfirex, il-varjazzjonijiet tiegħu f’razez aktar kontaġġużi u severi (varjanti ta’ interess u varjanti ta’ tħassib), kif ukoll l-effikaċja tat-tilqim u tal-intervent mhux farmaċewtiku biex il-virus ma jkomplix jinfirex. L-evidenza xjentifika użata hija prinċipalment dik prodotta miċ-Ċentru Ewropew għall-Prevenzjoni u l-Kontroll tal-Mard (European Centre for Disease Prevention, ECDC) u mill-Organizzazzjoni Dinjija tas-Saħħa (World Health Organisation, WHO).</w:t>
      </w:r>
    </w:p>
    <w:p w14:paraId="0DE3502B" w14:textId="77777777" w:rsidR="00EE0BBC" w:rsidRPr="00AF1531" w:rsidRDefault="00EE0BBC" w:rsidP="00550536">
      <w:pPr>
        <w:pStyle w:val="ManualHeading1"/>
        <w:rPr>
          <w:noProof/>
        </w:rPr>
      </w:pPr>
      <w:r w:rsidRPr="00AF1531">
        <w:rPr>
          <w:noProof/>
        </w:rPr>
        <w:t>4.</w:t>
      </w:r>
      <w:r w:rsidRPr="00AF1531">
        <w:rPr>
          <w:noProof/>
        </w:rPr>
        <w:tab/>
        <w:t>IMPLIKAZZJONIJIET GĦALL-BAĠIT</w:t>
      </w:r>
    </w:p>
    <w:p w14:paraId="648740A2" w14:textId="77777777" w:rsidR="00EE0BBC" w:rsidRPr="00AF1531" w:rsidRDefault="00EE0BBC" w:rsidP="00EE0BBC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 w:rsidRPr="00AF1531">
        <w:rPr>
          <w:noProof/>
        </w:rPr>
        <w:t>L-ebda.</w:t>
      </w:r>
    </w:p>
    <w:p w14:paraId="33C77DD7" w14:textId="77777777" w:rsidR="00EE0BBC" w:rsidRPr="00AF1531" w:rsidRDefault="00EE0BBC" w:rsidP="000C5B3B">
      <w:pPr>
        <w:rPr>
          <w:noProof/>
        </w:rPr>
        <w:sectPr w:rsidR="00EE0BBC" w:rsidRPr="00AF1531" w:rsidSect="00843FBE">
          <w:footerReference w:type="default" r:id="rId10"/>
          <w:footerReference w:type="first" r:id="rId11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 w14:paraId="7C802D47" w14:textId="772CBCEE" w:rsidR="00323863" w:rsidRDefault="00323863" w:rsidP="00323863">
      <w:pPr>
        <w:pStyle w:val="Rfrenceinterinstitutionnelle"/>
        <w:rPr>
          <w:noProof/>
        </w:rPr>
      </w:pPr>
      <w:r w:rsidRPr="00323863">
        <w:t>2021/0397 (NLE)</w:t>
      </w:r>
    </w:p>
    <w:p w14:paraId="073365AB" w14:textId="7E401C07" w:rsidR="00EE0BBC" w:rsidRPr="00AF1531" w:rsidRDefault="00AF1531" w:rsidP="00AF1531">
      <w:pPr>
        <w:pStyle w:val="Statut"/>
        <w:rPr>
          <w:noProof/>
        </w:rPr>
      </w:pPr>
      <w:r w:rsidRPr="00AF1531">
        <w:rPr>
          <w:noProof/>
        </w:rPr>
        <w:t>Proposta għal</w:t>
      </w:r>
    </w:p>
    <w:p w14:paraId="59D00C50" w14:textId="5FD17045" w:rsidR="00EE0BBC" w:rsidRPr="00AF1531" w:rsidRDefault="00AF1531" w:rsidP="00AF1531">
      <w:pPr>
        <w:pStyle w:val="Typedudocument"/>
        <w:rPr>
          <w:noProof/>
        </w:rPr>
      </w:pPr>
      <w:r w:rsidRPr="00AF1531">
        <w:rPr>
          <w:noProof/>
        </w:rPr>
        <w:t>RAKKOMANDAZZJONI TAL-KUNSILL</w:t>
      </w:r>
    </w:p>
    <w:p w14:paraId="525FA366" w14:textId="2423EB5C" w:rsidR="00FE6224" w:rsidRPr="00AF1531" w:rsidRDefault="00AF1531" w:rsidP="00AF1531">
      <w:pPr>
        <w:pStyle w:val="Titreobjet"/>
        <w:rPr>
          <w:noProof/>
        </w:rPr>
      </w:pPr>
      <w:r w:rsidRPr="00AF1531">
        <w:rPr>
          <w:noProof/>
        </w:rPr>
        <w:t>li temenda r-Rakkomandazzjoni tal-Kunsill (UE) 2020/912 dwar ir-restrizzjoni temporanja fuq vjaġġar mhux essenzjali lejn l-UE u t-tneħħija possibbli ta’ tali restrizzjoni</w:t>
      </w:r>
    </w:p>
    <w:p w14:paraId="3708B8BE" w14:textId="77777777" w:rsidR="00EE0BBC" w:rsidRPr="00AF1531" w:rsidRDefault="00EE0BBC" w:rsidP="00B83341">
      <w:pPr>
        <w:pStyle w:val="Institutionquiagit"/>
        <w:rPr>
          <w:noProof/>
        </w:rPr>
      </w:pPr>
      <w:r w:rsidRPr="00AF1531">
        <w:rPr>
          <w:noProof/>
        </w:rPr>
        <w:t>IL-KUNSILL TAL-UNJONI EWROPEA,</w:t>
      </w:r>
    </w:p>
    <w:p w14:paraId="64A41F79" w14:textId="5FB6E2EE" w:rsidR="00EE0BBC" w:rsidRPr="00AF1531" w:rsidRDefault="00EE0BBC" w:rsidP="00B83341">
      <w:pPr>
        <w:rPr>
          <w:noProof/>
        </w:rPr>
      </w:pPr>
      <w:r w:rsidRPr="00AF1531">
        <w:rPr>
          <w:noProof/>
        </w:rPr>
        <w:t>Wara li kkunsidra t-Trattat dwar il-Funzjonament tal-Unjoni Ewropea, u b’mod partikolari l-Artikolu 77(2)(b)(e) u l-ewwel u t-tieni sentenzi tal-Artikolu 292 tiegħu,</w:t>
      </w:r>
    </w:p>
    <w:p w14:paraId="0758459E" w14:textId="77777777" w:rsidR="00EE0BBC" w:rsidRPr="00AF1531" w:rsidRDefault="00EE0BBC" w:rsidP="00B83341">
      <w:pPr>
        <w:rPr>
          <w:noProof/>
        </w:rPr>
      </w:pPr>
      <w:r w:rsidRPr="00AF1531">
        <w:rPr>
          <w:noProof/>
        </w:rPr>
        <w:t>Wara li kkunsidra l-proposta tal-Kummissjoni Ewropea,</w:t>
      </w:r>
    </w:p>
    <w:p w14:paraId="60737E03" w14:textId="77777777" w:rsidR="00EE0BBC" w:rsidRPr="00AF1531" w:rsidRDefault="00EE0BBC" w:rsidP="00B83341">
      <w:pPr>
        <w:rPr>
          <w:noProof/>
        </w:rPr>
      </w:pPr>
      <w:r w:rsidRPr="00AF1531">
        <w:rPr>
          <w:noProof/>
        </w:rPr>
        <w:t>Billi:</w:t>
      </w:r>
    </w:p>
    <w:p w14:paraId="49B61B19" w14:textId="172DC715" w:rsidR="001E2745" w:rsidRPr="00AF1531" w:rsidRDefault="00FE1DED" w:rsidP="00FE1DED">
      <w:pPr>
        <w:pStyle w:val="ManualConsidrant"/>
        <w:rPr>
          <w:noProof/>
        </w:rPr>
      </w:pPr>
      <w:r w:rsidRPr="00FE1DED">
        <w:t>(1)</w:t>
      </w:r>
      <w:r w:rsidRPr="00FE1DED">
        <w:tab/>
      </w:r>
      <w:r w:rsidR="001E2745" w:rsidRPr="00AF1531">
        <w:rPr>
          <w:noProof/>
        </w:rPr>
        <w:t>Fit-30 ta’ Ġunju 2020, il-Kunsill adotta r-Rakkomandazzjoni (UE) 2020/912 dwar ir-restrizzjoni temporanja fuq vjaġġar mhux essenzjali lejn l-UE u t-tneħħija possibbli ta’ tali restrizzjoni</w:t>
      </w:r>
      <w:r w:rsidR="001E2745" w:rsidRPr="00AF1531">
        <w:rPr>
          <w:rStyle w:val="FootnoteReference"/>
          <w:noProof/>
        </w:rPr>
        <w:footnoteReference w:id="3"/>
      </w:r>
      <w:r w:rsidR="001E2745" w:rsidRPr="00AF1531">
        <w:rPr>
          <w:noProof/>
        </w:rPr>
        <w:t xml:space="preserve">. </w:t>
      </w:r>
    </w:p>
    <w:p w14:paraId="6A3A5809" w14:textId="155C7629" w:rsidR="001E2745" w:rsidRPr="00AF1531" w:rsidRDefault="00FE1DED" w:rsidP="00FE1DED">
      <w:pPr>
        <w:pStyle w:val="ManualConsidrant"/>
        <w:rPr>
          <w:noProof/>
        </w:rPr>
      </w:pPr>
      <w:r w:rsidRPr="00FE1DED">
        <w:t>(2)</w:t>
      </w:r>
      <w:r w:rsidRPr="00FE1DED">
        <w:tab/>
      </w:r>
      <w:r w:rsidR="001E2745" w:rsidRPr="00AF1531">
        <w:rPr>
          <w:noProof/>
        </w:rPr>
        <w:t>Fit-2 ta’ Frar 2021, il-Kunsill emenda r-Rakkomandazzjoni (UE) 2020/912 dwar ir-restrizzjoni temporanja fuq vjaġġar mhux essenzjali lejn l-UE u t-tneħħija possibbli ta’ tali restrizzjoni</w:t>
      </w:r>
      <w:r w:rsidR="001E2745" w:rsidRPr="00AF1531">
        <w:rPr>
          <w:rStyle w:val="FootnoteReference"/>
          <w:noProof/>
        </w:rPr>
        <w:footnoteReference w:id="4"/>
      </w:r>
      <w:r w:rsidR="001E2745" w:rsidRPr="00AF1531">
        <w:rPr>
          <w:noProof/>
        </w:rPr>
        <w:t xml:space="preserve"> sabiex jaġġorna l-kriterji użati biex jiġi vvalutat jekk vjaġġar mhux essenzjali minn pajjiżi terzi huwiex sikur u jekk dan jenħtieġx li jkun permess.</w:t>
      </w:r>
    </w:p>
    <w:p w14:paraId="5B5035D2" w14:textId="08B7FC73" w:rsidR="00DA5065" w:rsidRPr="00AF1531" w:rsidRDefault="00FE1DED" w:rsidP="00FE1DED">
      <w:pPr>
        <w:pStyle w:val="ManualConsidrant"/>
        <w:rPr>
          <w:noProof/>
        </w:rPr>
      </w:pPr>
      <w:r w:rsidRPr="00FE1DED">
        <w:t>(3)</w:t>
      </w:r>
      <w:r w:rsidRPr="00FE1DED">
        <w:tab/>
      </w:r>
      <w:r w:rsidR="00DA5065" w:rsidRPr="00AF1531">
        <w:rPr>
          <w:noProof/>
        </w:rPr>
        <w:t>L-istess emenda introduċiet mekkaniżmi biex trażżan it-tixrid tal-varjanti ta’ tħassib tal-virus SARS-CoV-2 fl-UE</w:t>
      </w:r>
      <w:r w:rsidR="00DA5065" w:rsidRPr="00AF1531">
        <w:rPr>
          <w:rStyle w:val="FootnoteReference"/>
          <w:noProof/>
        </w:rPr>
        <w:footnoteReference w:id="5"/>
      </w:r>
      <w:r w:rsidR="00DA5065" w:rsidRPr="00AF1531">
        <w:rPr>
          <w:noProof/>
        </w:rPr>
        <w:t>.</w:t>
      </w:r>
    </w:p>
    <w:p w14:paraId="2F2DB05A" w14:textId="7E9A839C" w:rsidR="001E2745" w:rsidRPr="00AF1531" w:rsidRDefault="00FE1DED" w:rsidP="00FE1DED">
      <w:pPr>
        <w:pStyle w:val="ManualConsidrant"/>
        <w:rPr>
          <w:noProof/>
        </w:rPr>
      </w:pPr>
      <w:r w:rsidRPr="00FE1DED">
        <w:t>(4)</w:t>
      </w:r>
      <w:r w:rsidRPr="00FE1DED">
        <w:tab/>
      </w:r>
      <w:r w:rsidR="001E2745" w:rsidRPr="00AF1531">
        <w:rPr>
          <w:noProof/>
        </w:rPr>
        <w:t>Fl-20 ta’ Mejju 2021, il-Kunsill emenda r-Rakkomandazzjoni (UE) 2020/912</w:t>
      </w:r>
      <w:r w:rsidR="001E2745" w:rsidRPr="00AF1531">
        <w:rPr>
          <w:rStyle w:val="FootnoteReference"/>
          <w:noProof/>
        </w:rPr>
        <w:footnoteReference w:id="6"/>
      </w:r>
      <w:r w:rsidR="001E2745" w:rsidRPr="00AF1531">
        <w:rPr>
          <w:noProof/>
        </w:rPr>
        <w:t xml:space="preserve"> biex iqis il-varar u l-effetti pożittivi tal-kampanji ta’ tilqim biex jillimitaw it-tixrid tal-virus, kif ukoll biex ikompli jillimita l-importazzjoni u t-tixrid fl-UE tal-varjanti ta’ interess u ta’ tħassib emerġenti.</w:t>
      </w:r>
    </w:p>
    <w:p w14:paraId="33781253" w14:textId="55036730" w:rsidR="00B014B8" w:rsidRPr="00AF1531" w:rsidRDefault="00FE1DED" w:rsidP="00FE1DED">
      <w:pPr>
        <w:pStyle w:val="ManualConsidrant"/>
        <w:rPr>
          <w:noProof/>
        </w:rPr>
      </w:pPr>
      <w:r w:rsidRPr="00FE1DED">
        <w:t>(5)</w:t>
      </w:r>
      <w:r w:rsidRPr="00FE1DED">
        <w:tab/>
      </w:r>
      <w:r w:rsidR="001B04FC" w:rsidRPr="00AF1531">
        <w:rPr>
          <w:noProof/>
        </w:rPr>
        <w:t>Fl-14 ta’ Ġunju 2021, il-Parlament u l-Kunsill adottaw ir-Regolamenti (UE) 2021/953</w:t>
      </w:r>
      <w:r w:rsidR="001B04FC" w:rsidRPr="00AF1531">
        <w:rPr>
          <w:rStyle w:val="FootnoteReference"/>
          <w:noProof/>
        </w:rPr>
        <w:footnoteReference w:id="7"/>
      </w:r>
      <w:r w:rsidR="001B04FC" w:rsidRPr="00AF1531">
        <w:rPr>
          <w:noProof/>
        </w:rPr>
        <w:t xml:space="preserve"> u (UE) 2021/954</w:t>
      </w:r>
      <w:r w:rsidR="001B04FC" w:rsidRPr="00AF1531">
        <w:rPr>
          <w:rStyle w:val="FootnoteReference"/>
          <w:noProof/>
        </w:rPr>
        <w:footnoteReference w:id="8"/>
      </w:r>
      <w:r w:rsidR="001B04FC" w:rsidRPr="00AF1531">
        <w:rPr>
          <w:noProof/>
        </w:rPr>
        <w:t xml:space="preserve"> dwar iċ-Ċertifikat COVID Diġitali tal-UE. Iċ-Ċertifikat COVID Diġitali tal-UE wera li huwa għodda fundamentali biex in-nies jerġgħu jitħallew jivvjaġġaw fl-UE.</w:t>
      </w:r>
    </w:p>
    <w:p w14:paraId="1FBA85CD" w14:textId="53393718" w:rsidR="00BA6280" w:rsidRPr="00AF1531" w:rsidRDefault="00FE1DED" w:rsidP="00FE1DED">
      <w:pPr>
        <w:pStyle w:val="ManualConsidrant"/>
        <w:rPr>
          <w:noProof/>
        </w:rPr>
      </w:pPr>
      <w:r w:rsidRPr="00FE1DED">
        <w:t>(6)</w:t>
      </w:r>
      <w:r w:rsidRPr="00FE1DED">
        <w:tab/>
      </w:r>
      <w:r w:rsidR="00BA6280" w:rsidRPr="00AF1531">
        <w:rPr>
          <w:noProof/>
        </w:rPr>
        <w:t>Minn mindu ġie adottat ir-Regolament (UE) 2021/953, il-Kummissjoni adottat diversi atti ta’ implimentazzjoni li jistabbilixxu li ċ-ċertifikati COVID-19 maħruġa minn ċertu pajjiż terz għandhom jitqiesu ekwivalenti għaċ-ċertifikati maħruġa mill-Istati Membri f’konformità ma’ dak ir-Regolament. Għalhekk, iċ-ċertifikati tat-tilqim, tal-irkupru u tal-ittestjar koperti minn tali atti ta’ implimentazzjoni jistgħu jiġu awtentikati b’mod sigur u affidabbli. Għalhekk, iċ-Ċertifikat COVID Diġitali tal-UE, u b’mod partikolari d-deċiżjonijiet ta’ implimentazzjoni adottati abbażi ta’ dan, ukoll iffaċilitaw il-ftuħ mill-ġdid sikur tal-ivvjaġġar minn pajjiżi terzi lejn l-UE</w:t>
      </w:r>
      <w:r w:rsidR="00BA6280" w:rsidRPr="00AF1531">
        <w:rPr>
          <w:rStyle w:val="FootnoteReference"/>
          <w:noProof/>
        </w:rPr>
        <w:footnoteReference w:id="9"/>
      </w:r>
      <w:r w:rsidR="00BA6280" w:rsidRPr="00AF1531">
        <w:rPr>
          <w:noProof/>
        </w:rPr>
        <w:t>.</w:t>
      </w:r>
    </w:p>
    <w:p w14:paraId="691FC67C" w14:textId="6405F29C" w:rsidR="00DA5065" w:rsidRPr="00AF1531" w:rsidRDefault="00FE1DED" w:rsidP="00FE1DED">
      <w:pPr>
        <w:pStyle w:val="ManualConsidrant"/>
        <w:rPr>
          <w:noProof/>
        </w:rPr>
      </w:pPr>
      <w:r w:rsidRPr="00FE1DED">
        <w:t>(7)</w:t>
      </w:r>
      <w:r w:rsidRPr="00FE1DED">
        <w:tab/>
      </w:r>
      <w:r w:rsidR="00B70B0E" w:rsidRPr="00AF1531">
        <w:rPr>
          <w:noProof/>
        </w:rPr>
        <w:t>Fid-dawl tal-evoluzzjoni tal-pandemija, kif ukoll iż-żieda fir-rata tat-tilqim u t-tneħħija progressiva tar-restrizzjonijiet fuq l-ivvjaġġar madwar id-dinja, jenħtieġ li l-approċċ attwali stabbilit fir-Rakkomandazzjoni (UE) 2020/912 jiġi aġġornat biex iqis l-istabbiliment taċ-Ċertifikat COVID Diġitali tal-UE.</w:t>
      </w:r>
    </w:p>
    <w:p w14:paraId="043026E7" w14:textId="0E68C2CD" w:rsidR="005C602D" w:rsidRPr="00AF1531" w:rsidRDefault="00FE1DED" w:rsidP="00FE1DED">
      <w:pPr>
        <w:pStyle w:val="ManualConsidrant"/>
        <w:rPr>
          <w:noProof/>
        </w:rPr>
      </w:pPr>
      <w:r w:rsidRPr="00FE1DED">
        <w:t>(8)</w:t>
      </w:r>
      <w:r w:rsidRPr="00FE1DED">
        <w:tab/>
      </w:r>
      <w:r w:rsidR="00C079AE" w:rsidRPr="00AF1531">
        <w:rPr>
          <w:noProof/>
        </w:rPr>
        <w:t>Fit-22 ta’ Ottubru 2021, il-Kunsill Ewropew, fil-konklużjonijiet tiegħu u fid-dawl tal-iżvilupp tas-sitwazzjoni epidemjoloġika, appella għal aktar koordinazzjoni biex jiġi ffaċilitat il-moviment liberu ġewwa l-UE u l-ivvjaġġar lejha, u għal reviżjoni taż-żewġ Rakkomandazzjonijiet, inkluż ir-Rakkomandazzjoni tal-Kunsill (UE) 2020/912.</w:t>
      </w:r>
    </w:p>
    <w:p w14:paraId="5CA44A7F" w14:textId="1CF216FE" w:rsidR="00065AA2" w:rsidRPr="00AF1531" w:rsidRDefault="00FE1DED" w:rsidP="00FE1DED">
      <w:pPr>
        <w:pStyle w:val="ManualConsidrant"/>
        <w:rPr>
          <w:noProof/>
        </w:rPr>
      </w:pPr>
      <w:r w:rsidRPr="00FE1DED">
        <w:t>(9)</w:t>
      </w:r>
      <w:r w:rsidRPr="00FE1DED">
        <w:tab/>
      </w:r>
      <w:r w:rsidR="00065AA2" w:rsidRPr="00AF1531">
        <w:rPr>
          <w:noProof/>
        </w:rPr>
        <w:t xml:space="preserve">Jenħtieġ li l-perjodu standard ta’ aċċettazzjoni għaċ-ċertifikati tat-tilqim maħruġa wara t-tlestija ta’ sensiela ta’ tilqim primarju jkun ta’ 9 xhur. Dan iqis il-gwida tal-ECDC rigward l-amministrazzjoni ta’ dożi booster minn 6 xhur wara t-tlestija tas-sensiela ta’ tilqim primarju, u jipprevedi perjodu addizzjonali ta’ 3 xhur biex jiżgura li l-kampanji nazzjonali ta’ tilqim ikunu jistgħu jaġġustaw u ċ-ċittadini jkun jista’ jkollhom aċċess għall-amministrazzjoni tal-boosters. Sabiex jiġi żgurat approċċ koordinat, jenħtieġ li l-Istati Membri ma jaċċettawx ċertifikati ta’ tilqim maħruġa wara t-tlestija tas-sensiela ta’ tilqim primarju jekk ikunu għaddew aktar minn 9 xhur minn meta tingħata d-doża indikata fihom. </w:t>
      </w:r>
    </w:p>
    <w:p w14:paraId="3BF3C00C" w14:textId="2BBA1631" w:rsidR="00C079AE" w:rsidRPr="00AF1531" w:rsidRDefault="00FE1DED" w:rsidP="00FE1DED">
      <w:pPr>
        <w:pStyle w:val="ManualConsidrant"/>
        <w:rPr>
          <w:noProof/>
        </w:rPr>
      </w:pPr>
      <w:r w:rsidRPr="00FE1DED">
        <w:t>(10)</w:t>
      </w:r>
      <w:r w:rsidRPr="00FE1DED">
        <w:tab/>
      </w:r>
      <w:r w:rsidR="00FA7338" w:rsidRPr="00AF1531">
        <w:rPr>
          <w:noProof/>
        </w:rPr>
        <w:t>Biex jiġi ffaċilitat aktar l-ivvjaġġar sikur lejn l-UE, jenħtieġ li l-livell limitu għar-rata kumulattiva fuq 14-il jum tan-notifiki tal-każijiet ta’ COVID-19 jiżdied minn 75 għal 100 għal kull 100 000 abitant. Fl-istess ħin, kif ukoll biex jitqies it-titjib fil-kapaċitajiet ta’ ttestjar kważi sentejn wara li feġġ il-virus għall-ewwel darba, jenħtieġ ukoll li r-rata minima ta’ ttestjar meħtieġa fil-ġimgħa tiżdied minn 300 test għal 600 test għal kull 100 000 abitant. Jenħtieġ li dan ikompli jżid l-affidabbiltà tad-</w:t>
      </w:r>
      <w:r w:rsidR="00FA7338" w:rsidRPr="00AF1531">
        <w:rPr>
          <w:i/>
          <w:iCs/>
          <w:noProof/>
        </w:rPr>
        <w:t>data</w:t>
      </w:r>
      <w:r w:rsidR="00FA7338" w:rsidRPr="00AF1531">
        <w:rPr>
          <w:noProof/>
        </w:rPr>
        <w:t xml:space="preserve"> użata biex tiddetermina sa liema punt jenħtieġ li jkun possibbli vjaġġar mhux essenzjali minn pajjiż terz partikolari. </w:t>
      </w:r>
    </w:p>
    <w:p w14:paraId="37104BE1" w14:textId="03F366C4" w:rsidR="00DF45E2" w:rsidRPr="00AF1531" w:rsidRDefault="00FE1DED" w:rsidP="00FE1DED">
      <w:pPr>
        <w:pStyle w:val="ManualConsidrant"/>
        <w:rPr>
          <w:rFonts w:eastAsia="Arial Unicode MS"/>
          <w:noProof/>
        </w:rPr>
      </w:pPr>
      <w:r w:rsidRPr="00FE1DED">
        <w:t>(11)</w:t>
      </w:r>
      <w:r w:rsidRPr="00FE1DED">
        <w:tab/>
      </w:r>
      <w:r w:rsidR="007C73F8" w:rsidRPr="00AF1531">
        <w:rPr>
          <w:noProof/>
        </w:rPr>
        <w:t>Sabiex jippermettu vjaġġar mhux essenzjali lejn l-Unjoni u jżidu l-prevedibbiltà għall-vjaġġaturi minn pajjiżi terzi, jenħtieġ li l-Istati Membri mhux biss jaċċettaw il-vaċċini kontra l-COVID-19 li jkunu ngħataw awtorizzazzjoni għat-tqegħid fis-suq skont ir-Regolament (KE) Nru 726/2004 tal-Parlament Ewropew u tal-Kunsill</w:t>
      </w:r>
      <w:r w:rsidR="007C73F8" w:rsidRPr="00AF1531">
        <w:rPr>
          <w:rStyle w:val="FootnoteReference"/>
          <w:noProof/>
        </w:rPr>
        <w:footnoteReference w:id="10"/>
      </w:r>
      <w:r w:rsidR="007C73F8" w:rsidRPr="00AF1531">
        <w:rPr>
          <w:noProof/>
        </w:rPr>
        <w:t>, iżda wkoll dawk li jkunu lestew il-proċedura ta’ tqegħid fuq il-lista għall-użu ta’ emerġenza tal-Organizzazzjoni Dinjija tas-Saħħa (WHO).</w:t>
      </w:r>
    </w:p>
    <w:p w14:paraId="28416F01" w14:textId="09A46CED" w:rsidR="00AB4489" w:rsidRPr="00AF1531" w:rsidRDefault="00FE1DED" w:rsidP="00FE1DED">
      <w:pPr>
        <w:pStyle w:val="ManualConsidrant"/>
        <w:rPr>
          <w:rFonts w:eastAsia="Arial Unicode MS"/>
          <w:noProof/>
        </w:rPr>
      </w:pPr>
      <w:r w:rsidRPr="00FE1DED">
        <w:t>(12)</w:t>
      </w:r>
      <w:r w:rsidRPr="00FE1DED">
        <w:tab/>
      </w:r>
      <w:r w:rsidR="00AB4489" w:rsidRPr="00AF1531">
        <w:rPr>
          <w:noProof/>
        </w:rPr>
        <w:t xml:space="preserve">Barra minn hekk, bħala alternattiva għat-tilqim, jenħtieġ li l-Istati Membri jippermettu vjaġġar mhux essenzjali lill-persuni li jkunu rkupraw mill-COVID-19 fi żmien 180 jum qabel ma jivvjaġġaw lejn l-UE u li jkollhom ċertifikat COVID Diġitali tal-UE jew wieħed meqjus ekwivalenti għalih. </w:t>
      </w:r>
    </w:p>
    <w:p w14:paraId="03E46C78" w14:textId="41558A38" w:rsidR="0004215B" w:rsidRPr="00AF1531" w:rsidRDefault="00FE1DED" w:rsidP="00FE1DED">
      <w:pPr>
        <w:pStyle w:val="ManualConsidrant"/>
        <w:rPr>
          <w:rFonts w:eastAsia="Arial Unicode MS"/>
          <w:noProof/>
        </w:rPr>
      </w:pPr>
      <w:r w:rsidRPr="00FE1DED">
        <w:t>(13)</w:t>
      </w:r>
      <w:r w:rsidRPr="00FE1DED">
        <w:tab/>
      </w:r>
      <w:r w:rsidR="00DF45E2" w:rsidRPr="00AF1531">
        <w:rPr>
          <w:noProof/>
        </w:rPr>
        <w:t xml:space="preserve">Fl-istess ħin, biex jitnaqqas aktar ir-riskju ta’ trażmissjoni tal-virus SARS-CoV-2, jenħtieġ ukoll li l-Istati Membri jirrikjedu prova valida ta’ test negattiv ta’ reazzjoni katina bil-polimerażi f'ħin reali (real-time polymerase chain reaction, RT-PCR) qabel ma jsiefer il-vjaġġatur, meta dan jew (i) ikun irċieva vaċċin kontra l-COVID-19 li jkun lesta l-proċess ta’ Tqegħid fuq il-Lista għall-Użu ta’ Emerġenza tad-WHO iżda li ma jidhirx fil-lista ta’ vaċċini </w:t>
      </w:r>
      <w:r w:rsidR="00DF45E2" w:rsidRPr="00AF1531">
        <w:rPr>
          <w:noProof/>
          <w:sz w:val="23"/>
          <w:szCs w:val="23"/>
        </w:rPr>
        <w:t>awtorizzati fl-UE skont ir-Regolament (KE) Nru 726/2004</w:t>
      </w:r>
      <w:r w:rsidR="00DF45E2" w:rsidRPr="00AF1531">
        <w:rPr>
          <w:noProof/>
        </w:rPr>
        <w:t xml:space="preserve"> jew (ii) ikun irkupra mill-COVID-19 fi żmien 180 jum qabel ma jivvjaġġa lejn l-UE. </w:t>
      </w:r>
    </w:p>
    <w:p w14:paraId="64C49880" w14:textId="2ECB1E48" w:rsidR="00F73EDC" w:rsidRPr="00AF1531" w:rsidRDefault="00FE1DED" w:rsidP="00FE1DED">
      <w:pPr>
        <w:pStyle w:val="ManualConsidrant"/>
        <w:rPr>
          <w:noProof/>
        </w:rPr>
      </w:pPr>
      <w:r w:rsidRPr="00FE1DED">
        <w:t>(14)</w:t>
      </w:r>
      <w:r w:rsidRPr="00FE1DED">
        <w:tab/>
      </w:r>
      <w:r w:rsidR="00F73EDC" w:rsidRPr="00AF1531">
        <w:rPr>
          <w:noProof/>
        </w:rPr>
        <w:t xml:space="preserve">Jenħtieġ li t-tfal li jkollhom aktar minn 6 snin u inqas minn 18-il sena ikunu jistgħu jivvjaġġaw bil-kundizzjoni li jipproduċu test negattiv tal-RT-PCR qabel ma jsiefru. F’dawn il-każijiet, l-Istati Membri jistgħu jirrikjedu ttestjar addizzjonali wara li jaslu, kwarantina jew awtoiżolament. </w:t>
      </w:r>
    </w:p>
    <w:p w14:paraId="34AB6B39" w14:textId="52D775B2" w:rsidR="00BE3FD4" w:rsidRPr="00AF1531" w:rsidRDefault="00FE1DED" w:rsidP="00FE1DED">
      <w:pPr>
        <w:pStyle w:val="ManualConsidrant"/>
        <w:rPr>
          <w:noProof/>
        </w:rPr>
      </w:pPr>
      <w:r w:rsidRPr="00FE1DED">
        <w:t>(15)</w:t>
      </w:r>
      <w:r w:rsidRPr="00FE1DED">
        <w:tab/>
      </w:r>
      <w:r w:rsidR="00BE3FD4" w:rsidRPr="00AF1531">
        <w:rPr>
          <w:noProof/>
        </w:rPr>
        <w:t>Fid-dawl taż-żieda fir-rata tat-tilqim madwar id-dinja, jitqies xieraq li l-approċċ ibridu attwali bbażat fuq il-pajjiż/fuq il-persuna gradwalment isir approċċ ibbażat purament fuq il-persuna, u għalhekk li jitħassar l-Anness I u li t-tneħħija tar-restrizzjonijiet fuq l-ivvjaġġar tkun ibbażata biss fuq l-istatus tat-tilqim jew fuq il-funzjoni/il-ħtieġa li jissodisfaw il-vjaġġaturi. Madankollu, bħalissa għad hemm pajjiżi terzi b’aċċess limitat għall-vaċċini jew b’rata tat-tilqim baxxa. Għalhekk, biex il-pajjiżi terzi jingħataw żmien biex iżidu r-rati tat-tilqim tagħhom, u b’valutazzjoni ġenerali minn qabel tas-sitwazzjoni tat-tilqim f’pajjiżi terzi abbażi tad-</w:t>
      </w:r>
      <w:r w:rsidR="00BE3FD4" w:rsidRPr="00AF1531">
        <w:rPr>
          <w:i/>
          <w:iCs/>
          <w:noProof/>
        </w:rPr>
        <w:t>data</w:t>
      </w:r>
      <w:r w:rsidR="00BE3FD4" w:rsidRPr="00AF1531">
        <w:rPr>
          <w:noProof/>
        </w:rPr>
        <w:t xml:space="preserve"> pprovduta, fost l-oħrajn, mid-Delegazzjonijiet tal-UE, jenħtieġ li l-Anness I u d-dispożizzjonijiet rilevanti tar-Rakkomandazzjoni (UE) 2020/912 jitħassru fl-1 ta’ Marzu 2022. Jenħtieġ li t-tħassir tal-Anness I jissimplifika r-Rakkomandazzjoni (UE) 2020/912 u jnaqqas il-piż amministrattiv marbut mal-implimentazzjoni tagħha. </w:t>
      </w:r>
    </w:p>
    <w:p w14:paraId="030E7E88" w14:textId="0497E922" w:rsidR="00B014B8" w:rsidRPr="00AF1531" w:rsidRDefault="00FE1DED" w:rsidP="00FE1DED">
      <w:pPr>
        <w:pStyle w:val="ManualConsidrant"/>
        <w:rPr>
          <w:noProof/>
        </w:rPr>
      </w:pPr>
      <w:r w:rsidRPr="00FE1DED">
        <w:t>(16)</w:t>
      </w:r>
      <w:r w:rsidRPr="00FE1DED">
        <w:tab/>
      </w:r>
      <w:r w:rsidR="00B014B8" w:rsidRPr="00AF1531">
        <w:rPr>
          <w:noProof/>
        </w:rPr>
        <w:t>F’konformità mal-Artikoli 1 u 2 tal-Protokoll Nru 22 dwar il-Pożizzjoni tad-Danimarka anness mat-Trattat dwar l-Unjoni Ewropea u mat-TFUE, id-Danimarka mhijiex qed tieħu sehem fl-adozzjoni ta’ din ir-Rakkomandazzjoni u mhijiex marbuta biha jew soġġetta għall-applikazzjoni tagħha. Peress li din ir-Rakkomandazzjoni tibni fuq l-</w:t>
      </w:r>
      <w:r w:rsidR="00B014B8" w:rsidRPr="00AF1531">
        <w:rPr>
          <w:i/>
          <w:noProof/>
        </w:rPr>
        <w:t>acquis</w:t>
      </w:r>
      <w:r w:rsidR="00B014B8" w:rsidRPr="00AF1531">
        <w:rPr>
          <w:noProof/>
        </w:rPr>
        <w:t xml:space="preserve"> ta’ Schengen, jenħtieġ li d-Danimarka, f’konformità mal-Artikolu 4 ta’ dak il-Protokoll, tiddeċiedi jekk hijiex ser timplimentaha fi żmien sitt xhur </w:t>
      </w:r>
      <w:r w:rsidR="00B014B8" w:rsidRPr="00AF1531">
        <w:rPr>
          <w:noProof/>
          <w:shd w:val="clear" w:color="auto" w:fill="FFFFFF"/>
        </w:rPr>
        <w:t>wara li l-Kunsill ikun ħa deċiżjoni dwar din ir-Rakkomandazzjoni</w:t>
      </w:r>
      <w:r w:rsidR="00B014B8" w:rsidRPr="00AF1531">
        <w:rPr>
          <w:noProof/>
        </w:rPr>
        <w:t>.</w:t>
      </w:r>
    </w:p>
    <w:p w14:paraId="5E18E811" w14:textId="513F4DC9" w:rsidR="00B014B8" w:rsidRPr="00AF1531" w:rsidRDefault="00FE1DED" w:rsidP="00FE1DED">
      <w:pPr>
        <w:pStyle w:val="ManualConsidrant"/>
        <w:rPr>
          <w:noProof/>
        </w:rPr>
      </w:pPr>
      <w:r w:rsidRPr="00FE1DED">
        <w:t>(17)</w:t>
      </w:r>
      <w:r w:rsidRPr="00FE1DED">
        <w:tab/>
      </w:r>
      <w:r w:rsidR="00B014B8" w:rsidRPr="00AF1531">
        <w:rPr>
          <w:noProof/>
        </w:rPr>
        <w:t>Din ir-Rakkomandazzjoni tikkostitwixxi żvilupp tad-dispożizzjonijiet tal-</w:t>
      </w:r>
      <w:r w:rsidR="00B014B8" w:rsidRPr="00AF1531">
        <w:rPr>
          <w:i/>
          <w:iCs/>
          <w:noProof/>
        </w:rPr>
        <w:t>acquis</w:t>
      </w:r>
      <w:r w:rsidR="00B014B8" w:rsidRPr="00AF1531">
        <w:rPr>
          <w:noProof/>
        </w:rPr>
        <w:t xml:space="preserve"> ta’ Schengen li l-Irlanda mhijiex qed tieħu sehem fihom, f’konformità mad-Deċiżjoni tal-Kunsill 2002/192/KE</w:t>
      </w:r>
      <w:r w:rsidR="00B014B8" w:rsidRPr="00AF1531">
        <w:rPr>
          <w:rStyle w:val="FootnoteReference"/>
          <w:noProof/>
          <w:szCs w:val="24"/>
        </w:rPr>
        <w:footnoteReference w:id="11"/>
      </w:r>
      <w:r w:rsidR="00B014B8" w:rsidRPr="00AF1531">
        <w:rPr>
          <w:noProof/>
        </w:rPr>
        <w:t>; Għalhekk, l-Irlanda mhijiex qed tieħu sehem fl-adozzjoni tagħha u mhijiex marbuta biha jew soġġetta għall-applikazzjoni tagħha.</w:t>
      </w:r>
    </w:p>
    <w:p w14:paraId="7C8BCB03" w14:textId="2CB25A4F" w:rsidR="00B014B8" w:rsidRPr="00AF1531" w:rsidRDefault="00FE1DED" w:rsidP="00FE1DED">
      <w:pPr>
        <w:pStyle w:val="ManualConsidrant"/>
        <w:rPr>
          <w:noProof/>
        </w:rPr>
      </w:pPr>
      <w:r w:rsidRPr="00FE1DED">
        <w:t>(18)</w:t>
      </w:r>
      <w:r w:rsidRPr="00FE1DED">
        <w:tab/>
      </w:r>
      <w:r w:rsidR="00B014B8" w:rsidRPr="00AF1531">
        <w:rPr>
          <w:noProof/>
        </w:rPr>
        <w:t>Fir-rigward tal-Iżlanda u n-Norveġja, din ir-Rakkomandazzjoni tikkostitwixxi żvilupp tad-dispożizzjonijiet tal-</w:t>
      </w:r>
      <w:r w:rsidR="00B014B8" w:rsidRPr="00AF1531">
        <w:rPr>
          <w:i/>
          <w:noProof/>
        </w:rPr>
        <w:t>acquis</w:t>
      </w:r>
      <w:r w:rsidR="00B014B8" w:rsidRPr="00AF1531">
        <w:rPr>
          <w:noProof/>
        </w:rPr>
        <w:t xml:space="preserve"> ta’ Schengen fis-sens tal-Ftehim konkluż mill-Kunsill tal-Unjoni Ewropea u r-Repubblika tal-Iżlanda u r-Renju tan-Norveġja dwar l-assoċjazzjoni ta’ dawn iż-żewġ Stati mal-implimentazzjoni, l-applikazzjoni u l-iżvilupp tal-</w:t>
      </w:r>
      <w:r w:rsidR="00B014B8" w:rsidRPr="00AF1531">
        <w:rPr>
          <w:i/>
          <w:noProof/>
        </w:rPr>
        <w:t>acquis</w:t>
      </w:r>
      <w:r w:rsidR="00B014B8" w:rsidRPr="00AF1531">
        <w:rPr>
          <w:noProof/>
        </w:rPr>
        <w:t xml:space="preserve"> ta’ Schengen</w:t>
      </w:r>
      <w:r w:rsidR="00B014B8" w:rsidRPr="00AF1531">
        <w:rPr>
          <w:rStyle w:val="FootnoteReference"/>
          <w:noProof/>
          <w:szCs w:val="24"/>
        </w:rPr>
        <w:footnoteReference w:id="12"/>
      </w:r>
      <w:r w:rsidR="00B014B8" w:rsidRPr="00AF1531">
        <w:rPr>
          <w:noProof/>
        </w:rPr>
        <w:t>, koperti mill-qasam imsemmi fl-Artikolu 1(A) tad-Deċiżjoni tal-Kunsill 1999/437/KE</w:t>
      </w:r>
      <w:r w:rsidR="00B014B8" w:rsidRPr="00AF1531">
        <w:rPr>
          <w:rStyle w:val="FootnoteReference"/>
          <w:noProof/>
          <w:szCs w:val="24"/>
        </w:rPr>
        <w:footnoteReference w:id="13"/>
      </w:r>
      <w:r w:rsidR="00B014B8" w:rsidRPr="00AF1531">
        <w:rPr>
          <w:noProof/>
        </w:rPr>
        <w:t>.</w:t>
      </w:r>
    </w:p>
    <w:p w14:paraId="19F82615" w14:textId="013D6E05" w:rsidR="00B014B8" w:rsidRPr="00AF1531" w:rsidRDefault="00FE1DED" w:rsidP="00FE1DED">
      <w:pPr>
        <w:pStyle w:val="ManualConsidrant"/>
        <w:rPr>
          <w:noProof/>
        </w:rPr>
      </w:pPr>
      <w:r w:rsidRPr="00FE1DED">
        <w:t>(19)</w:t>
      </w:r>
      <w:r w:rsidRPr="00FE1DED">
        <w:tab/>
      </w:r>
      <w:r w:rsidR="00B014B8" w:rsidRPr="00AF1531">
        <w:rPr>
          <w:noProof/>
        </w:rPr>
        <w:t>Fir-rigward tal-Iżvizzera, din ir-Rakkomandazzjoni tikkostitwixxi żvilupp tad-dispożizzjonijiet tal-</w:t>
      </w:r>
      <w:r w:rsidR="00B014B8" w:rsidRPr="00AF1531">
        <w:rPr>
          <w:i/>
          <w:noProof/>
        </w:rPr>
        <w:t>acquis</w:t>
      </w:r>
      <w:r w:rsidR="00B014B8" w:rsidRPr="00AF1531">
        <w:rPr>
          <w:noProof/>
        </w:rPr>
        <w:t xml:space="preserve"> ta’ Schengen fis-sens tal-Ftehim bejn l-Unjoni Ewropea, il-Komunità Ewropea u l-Konfederazzjoni Żvizzera dwar l-assoċjazzjoni tal-Konfederazzjoni Żvizzera mal-implimentazzjoni, l-applikazzjoni u l-iżvilupp tal-</w:t>
      </w:r>
      <w:r w:rsidR="00B014B8" w:rsidRPr="00AF1531">
        <w:rPr>
          <w:i/>
          <w:noProof/>
        </w:rPr>
        <w:t>acquis</w:t>
      </w:r>
      <w:r w:rsidR="00B014B8" w:rsidRPr="00AF1531">
        <w:rPr>
          <w:noProof/>
        </w:rPr>
        <w:t xml:space="preserve"> ta’ Schengen</w:t>
      </w:r>
      <w:r w:rsidR="00B014B8" w:rsidRPr="00AF1531">
        <w:rPr>
          <w:rStyle w:val="FootnoteReference"/>
          <w:noProof/>
          <w:szCs w:val="24"/>
        </w:rPr>
        <w:footnoteReference w:id="14"/>
      </w:r>
      <w:r w:rsidR="00B014B8" w:rsidRPr="00AF1531">
        <w:rPr>
          <w:noProof/>
        </w:rPr>
        <w:t>, koperti mill-qasam imsemmi fl-Artikolu 1(A) tad-Deċiżjoni 1999/437/KE moqri flimkien mal-Artikolu 3 tad-Deċiżjoni tal-Kunsill 2008/146/KE</w:t>
      </w:r>
      <w:r w:rsidR="00B014B8" w:rsidRPr="00AF1531">
        <w:rPr>
          <w:rStyle w:val="FootnoteReference"/>
          <w:noProof/>
          <w:szCs w:val="24"/>
        </w:rPr>
        <w:footnoteReference w:id="15"/>
      </w:r>
      <w:r w:rsidR="00B014B8" w:rsidRPr="00AF1531">
        <w:rPr>
          <w:noProof/>
        </w:rPr>
        <w:t>.</w:t>
      </w:r>
    </w:p>
    <w:p w14:paraId="5FD9ADFF" w14:textId="6BE3122E" w:rsidR="00B014B8" w:rsidRPr="00AF1531" w:rsidRDefault="00FE1DED" w:rsidP="00FE1DED">
      <w:pPr>
        <w:pStyle w:val="ManualConsidrant"/>
        <w:rPr>
          <w:noProof/>
        </w:rPr>
      </w:pPr>
      <w:r w:rsidRPr="00FE1DED">
        <w:t>(20)</w:t>
      </w:r>
      <w:r w:rsidRPr="00FE1DED">
        <w:tab/>
      </w:r>
      <w:r w:rsidR="00B014B8" w:rsidRPr="00AF1531">
        <w:rPr>
          <w:noProof/>
        </w:rPr>
        <w:t>Fir-rigward tal-Liechtenstein, din ir-Rakkomandazzjoni tikkostitwixxi żvilupp tad-dispożizzjonijiet tal-</w:t>
      </w:r>
      <w:r w:rsidR="00B014B8" w:rsidRPr="00AF1531">
        <w:rPr>
          <w:i/>
          <w:noProof/>
        </w:rPr>
        <w:t>acquis</w:t>
      </w:r>
      <w:r w:rsidR="00B014B8" w:rsidRPr="00AF1531">
        <w:rPr>
          <w:noProof/>
        </w:rPr>
        <w:t xml:space="preserve"> ta’ Schengen fis-sens tal-Protokoll bejn l-Unjoni Ewropea, il-Komunità Ewropea, il-Konfederazzjoni Żvizzera u l-Prinċipat tal-Liechtenstein dwar l-adeżjoni tal-Prinċipat tal-Liechtenstein mal-Ftehim bejn l-Unjoni Ewropea, il-Komunità Ewropea u l-Konfederazzjoni Żvizzera dwar l-assoċjazzjoni tal-Konfederazzjoni Żvizzera mal-implimentazzjoni, l-applikazzjoni u l-iżvilupp tal-</w:t>
      </w:r>
      <w:r w:rsidR="00B014B8" w:rsidRPr="00AF1531">
        <w:rPr>
          <w:i/>
          <w:noProof/>
        </w:rPr>
        <w:t>acquis</w:t>
      </w:r>
      <w:r w:rsidR="00B014B8" w:rsidRPr="00AF1531">
        <w:rPr>
          <w:noProof/>
        </w:rPr>
        <w:t xml:space="preserve"> ta’ Schengen</w:t>
      </w:r>
      <w:r w:rsidR="00B014B8" w:rsidRPr="00AF1531">
        <w:rPr>
          <w:rStyle w:val="FootnoteReference"/>
          <w:noProof/>
          <w:szCs w:val="24"/>
        </w:rPr>
        <w:footnoteReference w:id="16"/>
      </w:r>
      <w:r w:rsidR="00B014B8" w:rsidRPr="00AF1531">
        <w:rPr>
          <w:noProof/>
        </w:rPr>
        <w:t>, koperti mill-qasam imsemmi fl-Artikolu 1(A) tad-Deċiżjoni 1999/437/KE, moqri flimkien mal-Artikolu 3 tad-Deċiżjoni 2011/350/UE</w:t>
      </w:r>
      <w:r w:rsidR="00B014B8" w:rsidRPr="00AF1531">
        <w:rPr>
          <w:rStyle w:val="FootnoteReference"/>
          <w:noProof/>
        </w:rPr>
        <w:footnoteReference w:id="17"/>
      </w:r>
      <w:r w:rsidR="00B014B8" w:rsidRPr="00AF1531">
        <w:rPr>
          <w:noProof/>
        </w:rPr>
        <w:t>.</w:t>
      </w:r>
    </w:p>
    <w:p w14:paraId="4B9E3BF7" w14:textId="2BE42EC5" w:rsidR="00F73EDC" w:rsidRPr="00AF1531" w:rsidRDefault="00FE1DED" w:rsidP="00FE1DED">
      <w:pPr>
        <w:pStyle w:val="ManualConsidrant"/>
        <w:rPr>
          <w:noProof/>
        </w:rPr>
      </w:pPr>
      <w:r w:rsidRPr="00FE1DED">
        <w:t>(21)</w:t>
      </w:r>
      <w:r w:rsidRPr="00FE1DED">
        <w:tab/>
      </w:r>
      <w:r w:rsidR="00B014B8" w:rsidRPr="00AF1531">
        <w:rPr>
          <w:noProof/>
        </w:rPr>
        <w:t>L-istatus legali ta’ din ir-Rakkomandazzjoni kif imfakkar fil-premessi 15 sa 19 huwa mingħajr preġudizzju għall-ħtieġa li l-Istati Membri kollha, fl-interess tal-funzjonament tajjeb taż-żona Schengen, jiddeċiedu dwar it-tneħħija tar-restrizzjoni fuq vjaġġar mhux essenzjali lejn l-UE b’mod</w:t>
      </w:r>
      <w:r w:rsidR="00B014B8" w:rsidRPr="00AF1531">
        <w:rPr>
          <w:b/>
          <w:bCs/>
          <w:noProof/>
        </w:rPr>
        <w:t xml:space="preserve"> </w:t>
      </w:r>
      <w:r w:rsidR="00B014B8" w:rsidRPr="00AF1531">
        <w:rPr>
          <w:noProof/>
        </w:rPr>
        <w:t>ikkoordinat,</w:t>
      </w:r>
    </w:p>
    <w:p w14:paraId="6EA869C8" w14:textId="77777777" w:rsidR="0034658D" w:rsidRPr="00AF1531" w:rsidRDefault="00EE0BBC" w:rsidP="001E2745">
      <w:pPr>
        <w:pStyle w:val="Formuledadoption"/>
        <w:rPr>
          <w:noProof/>
        </w:rPr>
      </w:pPr>
      <w:r w:rsidRPr="00AF1531">
        <w:rPr>
          <w:noProof/>
        </w:rPr>
        <w:t>ADOTTA DIN IR-RAKKOMANDAZZJONI:</w:t>
      </w:r>
    </w:p>
    <w:p w14:paraId="4DEEFEB0" w14:textId="0E323E7E" w:rsidR="00DA5065" w:rsidRPr="00AF1531" w:rsidRDefault="00DA5065" w:rsidP="00DA5065">
      <w:pPr>
        <w:rPr>
          <w:noProof/>
        </w:rPr>
      </w:pPr>
      <w:r w:rsidRPr="00AF1531">
        <w:rPr>
          <w:noProof/>
        </w:rPr>
        <w:t>Ir-Rakkomandazzjoni (UE) 2020/912 hija emendata kif ġej:</w:t>
      </w:r>
    </w:p>
    <w:p w14:paraId="64AD8877" w14:textId="6263DB62" w:rsidR="00DA5065" w:rsidRPr="00AF1531" w:rsidRDefault="00FE1DED" w:rsidP="00FE1DED">
      <w:pPr>
        <w:pStyle w:val="Point0"/>
        <w:rPr>
          <w:noProof/>
        </w:rPr>
      </w:pPr>
      <w:r w:rsidRPr="00FE1DED">
        <w:t>(1)</w:t>
      </w:r>
      <w:r w:rsidRPr="00FE1DED">
        <w:tab/>
      </w:r>
      <w:r w:rsidR="003C7810" w:rsidRPr="00AF1531">
        <w:rPr>
          <w:noProof/>
        </w:rPr>
        <w:t>Mill-10 ta’ Jannar 2022, fil-punt 2, it-tieni paragrafu, iċ-ċifra “75” tinbidel f’“100” u ċ-ċifra “300” tinbidel f’“600”;</w:t>
      </w:r>
    </w:p>
    <w:p w14:paraId="18B01F47" w14:textId="367284F7" w:rsidR="00C81F71" w:rsidRPr="00AF1531" w:rsidRDefault="00FE1DED" w:rsidP="00FE1DED">
      <w:pPr>
        <w:pStyle w:val="Point0"/>
        <w:rPr>
          <w:noProof/>
        </w:rPr>
      </w:pPr>
      <w:r w:rsidRPr="00FE1DED">
        <w:t>(2)</w:t>
      </w:r>
      <w:r w:rsidRPr="00FE1DED">
        <w:tab/>
      </w:r>
      <w:r w:rsidR="00273857" w:rsidRPr="00AF1531">
        <w:rPr>
          <w:noProof/>
        </w:rPr>
        <w:t>Mill-10 ta’ Jannar 2022, fil-punt 6a, l-ewwel, it-tieni u t-tielet paragrafi huma sostitwiti b’dan li ġej:</w:t>
      </w:r>
    </w:p>
    <w:p w14:paraId="4843B4CB" w14:textId="39333892" w:rsidR="008304BD" w:rsidRPr="00AF1531" w:rsidRDefault="009F7D40" w:rsidP="008304BD">
      <w:pPr>
        <w:pStyle w:val="Text1"/>
        <w:ind w:left="709"/>
        <w:rPr>
          <w:noProof/>
        </w:rPr>
      </w:pPr>
      <w:r w:rsidRPr="00AF1531">
        <w:rPr>
          <w:noProof/>
        </w:rPr>
        <w:t>“</w:t>
      </w:r>
      <w:r w:rsidRPr="00AF1531">
        <w:rPr>
          <w:noProof/>
          <w:sz w:val="23"/>
        </w:rPr>
        <w:t>Mingħajr preġudizzju għall-punt 6 (a) u (b), meta l-Istati Membri jaċċettaw prova tat-tilqim sabiex ineħħu r-restrizzjonijiet fuq l-ivvjaġġar biex jillimitaw it-tixrid tal-COVID-19, jenħtieġ li fil-prinċipju, l-Istati Membri jneħħu r-restrizzjoni temporanja fuq l-ivvjaġġar mhux essenzjali lejn l-UE fir-rigward ta’ tali vjaġġaturi</w:t>
      </w:r>
      <w:r w:rsidRPr="00AF1531">
        <w:rPr>
          <w:noProof/>
        </w:rPr>
        <w:t xml:space="preserve"> </w:t>
      </w:r>
      <w:r w:rsidRPr="00AF1531">
        <w:rPr>
          <w:noProof/>
          <w:sz w:val="23"/>
        </w:rPr>
        <w:t>li jkunu rċevew l-aħħar doża rakkomandata ta’ wieħed mill-vaċċini kontra l-COVID-19 awtorizzati fl-UE skont ir-Regolament (KE) Nru 726/2004* mhux aktar tard minn 14-il jum qabel ma jidħlu fiż-żona UE+,</w:t>
      </w:r>
      <w:r w:rsidRPr="00AF1531">
        <w:rPr>
          <w:noProof/>
        </w:rPr>
        <w:t xml:space="preserve"> dment li jkunu għaddew inqas minn 9 xhur minn meta tkun ingħatat id-doża indikata fiċ-ċertifikat tat-tilqim għat-tlestija tas-sensiela ta’ tilqim primarju, jew tkun ingħatat doża addizzjonali wara t-tlestija tas-sensiela ta’ tilqim primarju.</w:t>
      </w:r>
    </w:p>
    <w:p w14:paraId="5F653B11" w14:textId="294ED94A" w:rsidR="008304BD" w:rsidRPr="00AF1531" w:rsidRDefault="00FE6224" w:rsidP="008304BD">
      <w:pPr>
        <w:pStyle w:val="Text1"/>
        <w:ind w:left="709"/>
        <w:rPr>
          <w:noProof/>
        </w:rPr>
      </w:pPr>
      <w:r w:rsidRPr="00AF1531">
        <w:rPr>
          <w:noProof/>
        </w:rPr>
        <w:t>Jenħtieġ ukoll li l-Istati Membri</w:t>
      </w:r>
      <w:r w:rsidRPr="00AF1531">
        <w:rPr>
          <w:b/>
          <w:noProof/>
        </w:rPr>
        <w:t xml:space="preserve"> </w:t>
      </w:r>
      <w:r w:rsidRPr="00AF1531">
        <w:rPr>
          <w:noProof/>
        </w:rPr>
        <w:t>jneħħu r-restrizzjoni temporanja fuq l-ivvjaġġar mhux essenzjali lejn l-UE fir-rigward ta’ tali vjaġġaturi li jkunu rċevew l-aħħar doża rakkomandata ta’ wieħed mill-vaċċini tal-COVID-19 li jkunu lestew il-proċess ta’ Tqegħid fuq il-Lista għall-Użu ta’ Emerġenza tad-WHO mhux aktar tard minn 14-il jum qabel ma jidħlu fiż-żona UE+, dment li jkunu għaddew inqas minn 9 xhur minn meta tkun ngħatat id-doża indikata fiċ-ċertifikat tat-tilqim għat-tlestija tas-sensiela ta’ tilqim primarju, jew tkun ngħatat doża addizzjonali wara t-tlestija tas-sensiela ta’ tilqim primarju.</w:t>
      </w:r>
    </w:p>
    <w:p w14:paraId="1DB233B5" w14:textId="010BBB32" w:rsidR="00AB4489" w:rsidRPr="00AF1531" w:rsidRDefault="00AB4489" w:rsidP="0020196C">
      <w:pPr>
        <w:pStyle w:val="Text1"/>
        <w:ind w:left="709"/>
        <w:rPr>
          <w:noProof/>
        </w:rPr>
      </w:pPr>
      <w:r w:rsidRPr="00AF1531">
        <w:rPr>
          <w:noProof/>
        </w:rPr>
        <w:t>Jenħtieġ ukoll li l-Istati Membri</w:t>
      </w:r>
      <w:r w:rsidRPr="00AF1531">
        <w:rPr>
          <w:b/>
          <w:noProof/>
        </w:rPr>
        <w:t xml:space="preserve"> </w:t>
      </w:r>
      <w:r w:rsidRPr="00AF1531">
        <w:rPr>
          <w:noProof/>
        </w:rPr>
        <w:t>jneħħu r-restrizzjoni temporanja fuq vjaġġar mhux essenzjali lejn l-UE fir-rigward ta’ tali vjaġġaturi li jkunu rkupraw mill-COVID-19 fi żmien 180 jum qabel ma jivvjaġġaw lejn l-UE.</w:t>
      </w:r>
    </w:p>
    <w:p w14:paraId="231B6C94" w14:textId="1EFD9443" w:rsidR="00C04DC0" w:rsidRPr="00AF1531" w:rsidRDefault="0067223E" w:rsidP="0020196C">
      <w:pPr>
        <w:pStyle w:val="Text1"/>
        <w:ind w:left="709"/>
        <w:rPr>
          <w:noProof/>
        </w:rPr>
      </w:pPr>
      <w:r w:rsidRPr="00AF1531">
        <w:rPr>
          <w:noProof/>
        </w:rPr>
        <w:t>Għal dak il-għan, jenħtieġ li l-vjaġġaturi li jixtiequ jagħmlu vjaġġ mhux essenzjali lejn Stat Membru jkollhom fil-pussess tagħhom jew:</w:t>
      </w:r>
    </w:p>
    <w:p w14:paraId="2553C3B7" w14:textId="5C858402" w:rsidR="00C04DC0" w:rsidRPr="00AF1531" w:rsidRDefault="00C04DC0" w:rsidP="0020196C">
      <w:pPr>
        <w:pStyle w:val="Text1"/>
        <w:ind w:left="709"/>
        <w:rPr>
          <w:noProof/>
          <w:sz w:val="23"/>
          <w:szCs w:val="23"/>
        </w:rPr>
      </w:pPr>
      <w:r w:rsidRPr="00AF1531">
        <w:rPr>
          <w:noProof/>
        </w:rPr>
        <w:t xml:space="preserve">a) prova valida tat-tilqim kontra l-COVID-19 maħruġa abbażi ta’ </w:t>
      </w:r>
      <w:r w:rsidRPr="00AF1531">
        <w:rPr>
          <w:noProof/>
          <w:sz w:val="23"/>
          <w:szCs w:val="23"/>
        </w:rPr>
        <w:t>vaċċin kontra l-COVID-19 awtorizzat fl-UE skont ir-Regolament (KE) Nru 726/2004 jew,</w:t>
      </w:r>
    </w:p>
    <w:p w14:paraId="36B3696E" w14:textId="7C570924" w:rsidR="00C04DC0" w:rsidRPr="00AF1531" w:rsidRDefault="00C04DC0" w:rsidP="0020196C">
      <w:pPr>
        <w:pStyle w:val="Text1"/>
        <w:ind w:left="709"/>
        <w:rPr>
          <w:noProof/>
        </w:rPr>
      </w:pPr>
      <w:r w:rsidRPr="00AF1531">
        <w:rPr>
          <w:noProof/>
        </w:rPr>
        <w:t xml:space="preserve">b) prova valida tat-tilqim kontra l-COVID-19 maħruġa abbażi ta’ vaċċin kontra l-COVID-19 li jkun lesta l-proċess ta’ Tqegħid fuq il-Lista għall-Użu ta’ Emerġenza tad-WHO iżda li ma jidhirx fil-lista ta’ vaċċini </w:t>
      </w:r>
      <w:r w:rsidRPr="00AF1531">
        <w:rPr>
          <w:noProof/>
          <w:sz w:val="23"/>
          <w:szCs w:val="23"/>
        </w:rPr>
        <w:t>awtorizzati fl-UE skont ir-Regolament (KE) Nru 726/2004 jew,</w:t>
      </w:r>
      <w:r w:rsidRPr="00AF1531">
        <w:rPr>
          <w:noProof/>
        </w:rPr>
        <w:t xml:space="preserve"> </w:t>
      </w:r>
    </w:p>
    <w:p w14:paraId="13A6D66E" w14:textId="7E6FBDE2" w:rsidR="00DD7603" w:rsidRPr="00AF1531" w:rsidRDefault="00C04DC0" w:rsidP="0020196C">
      <w:pPr>
        <w:pStyle w:val="Text1"/>
        <w:ind w:left="709"/>
        <w:rPr>
          <w:noProof/>
        </w:rPr>
      </w:pPr>
      <w:r w:rsidRPr="00AF1531">
        <w:rPr>
          <w:noProof/>
        </w:rPr>
        <w:t xml:space="preserve">c) prova valida ta’ rkupru. </w:t>
      </w:r>
    </w:p>
    <w:p w14:paraId="050400AA" w14:textId="78BC7A58" w:rsidR="007F64A1" w:rsidRPr="00AF1531" w:rsidRDefault="007F64A1" w:rsidP="0020196C">
      <w:pPr>
        <w:pStyle w:val="Text1"/>
        <w:ind w:left="709"/>
        <w:rPr>
          <w:noProof/>
        </w:rPr>
      </w:pPr>
      <w:r w:rsidRPr="00AF1531">
        <w:rPr>
          <w:noProof/>
        </w:rPr>
        <w:t xml:space="preserve">Għall-vjaġġaturi li jaqgħu taħt il-punti b) u c) hawn fuq, jenħtieġ ukoll li l-Istat Membru jirrikjedi prova valida ta’ test negattiv ta’ reazzjoni katina bil-polimerażi f'ħin reali (RT-PCR) li jsir mhux qabel 72 siegħa qabel ma jsiefru. </w:t>
      </w:r>
    </w:p>
    <w:p w14:paraId="72B88373" w14:textId="62C6117E" w:rsidR="0020196C" w:rsidRPr="00AF1531" w:rsidRDefault="009B3F80" w:rsidP="0020196C">
      <w:pPr>
        <w:pStyle w:val="Text1"/>
        <w:ind w:left="709"/>
        <w:rPr>
          <w:noProof/>
        </w:rPr>
      </w:pPr>
      <w:r w:rsidRPr="00AF1531">
        <w:rPr>
          <w:noProof/>
        </w:rPr>
        <w:t xml:space="preserve">Minbarra ċ-Ċertifikat COVID Diġitali tal-UE, jenħtieġ li l-Istati Membri jaċċettaw tali provi tat-tilqim kontra l-COVID-19 jew tal-irkupru minnu jekk dawn jikkorrispondu għal ċertifikati li jkunu tqiesu ekwivalenti għal dawk maħruġa f’konformità mar-Regolament (UE) 2021/953 tal-Parlament Ewropew u tal-Kunsill** f’att ta’ implimentazzjoni adottat mill-Kummissjoni skont l-Artikolu 8 ta’ dak ir-Regolament. </w:t>
      </w:r>
    </w:p>
    <w:p w14:paraId="2189341D" w14:textId="54A715AE" w:rsidR="003A3F6B" w:rsidRPr="00AF1531" w:rsidRDefault="0067223E" w:rsidP="0020196C">
      <w:pPr>
        <w:pStyle w:val="Text1"/>
        <w:ind w:left="709"/>
        <w:rPr>
          <w:noProof/>
        </w:rPr>
      </w:pPr>
      <w:r w:rsidRPr="00AF1531">
        <w:rPr>
          <w:noProof/>
        </w:rPr>
        <w:t>Fejn ma jkun ġie adottat l-ebda att bħal dan li jikkonċerna ċ-ċertifikati maħruġa minn pajjiż terz, l-Istati Membri jistgħu jaċċettaw, f’konformità mal-liġi nazzjonali, prova tal-ittestjar u</w:t>
      </w:r>
      <w:r w:rsidRPr="00AF1531">
        <w:rPr>
          <w:b/>
          <w:noProof/>
        </w:rPr>
        <w:t xml:space="preserve"> </w:t>
      </w:r>
      <w:r w:rsidRPr="00AF1531">
        <w:rPr>
          <w:noProof/>
        </w:rPr>
        <w:t>tat-tilqim maħruġa mill-pajjiż terz, filwaqt li titqies il-ħtieġa tkun tista’ ssir verifika tal-awtentiċità, tal-validità u tal-integrità taċ-ċertifikat, u jekk ikunx fih id-</w:t>
      </w:r>
      <w:r w:rsidRPr="00AF1531">
        <w:rPr>
          <w:i/>
          <w:iCs/>
          <w:noProof/>
        </w:rPr>
        <w:t>data</w:t>
      </w:r>
      <w:r w:rsidRPr="00AF1531">
        <w:rPr>
          <w:noProof/>
        </w:rPr>
        <w:t xml:space="preserve"> rilevanti kollha kif previst fir-Regolament (UE) 2021/953.</w:t>
      </w:r>
    </w:p>
    <w:p w14:paraId="380584CC" w14:textId="576CF7D6" w:rsidR="003A3F6B" w:rsidRPr="00AF1531" w:rsidRDefault="00FC75A5" w:rsidP="00FC75A5">
      <w:pPr>
        <w:pStyle w:val="Text1"/>
        <w:ind w:left="709"/>
        <w:rPr>
          <w:noProof/>
        </w:rPr>
      </w:pPr>
      <w:r w:rsidRPr="00AF1531">
        <w:rPr>
          <w:noProof/>
        </w:rPr>
        <w:t>Jenħtieġ li t-tfal bejn 6 snin u 18-il sena jitħallew jagħmlu vjaġġ mhux essenzjali lejn Stat Membru jekk ikollhom prova valida ta’ test negattiv ta’ reazzjoni katina bil-polimerażi f’ħin reali (RT-PCR) li jkun sar mhux qabel 72 siegħa qabel ma jsiefru. F’dawn il-każijiet, l-Istati Membri jistgħu jirrikjedu ttestjar addizzjonali wara l-wasla, kif ukoll kwarantina jew awtoiżolament.”</w:t>
      </w:r>
    </w:p>
    <w:p w14:paraId="74BFFDFB" w14:textId="77777777" w:rsidR="00983773" w:rsidRPr="00AF1531" w:rsidRDefault="00983773" w:rsidP="00983773">
      <w:pPr>
        <w:pStyle w:val="Text1"/>
        <w:ind w:left="709"/>
        <w:rPr>
          <w:noProof/>
        </w:rPr>
      </w:pPr>
      <w:r w:rsidRPr="00AF1531">
        <w:rPr>
          <w:noProof/>
        </w:rPr>
        <w:t>____________</w:t>
      </w:r>
    </w:p>
    <w:p w14:paraId="6BC6B572" w14:textId="77777777" w:rsidR="00983773" w:rsidRPr="00AF1531" w:rsidRDefault="00983773" w:rsidP="00FC75A5">
      <w:pPr>
        <w:pStyle w:val="Text1"/>
        <w:ind w:left="709"/>
        <w:rPr>
          <w:noProof/>
          <w:sz w:val="20"/>
          <w:szCs w:val="20"/>
        </w:rPr>
      </w:pPr>
      <w:r w:rsidRPr="00AF1531">
        <w:rPr>
          <w:noProof/>
          <w:sz w:val="20"/>
          <w:szCs w:val="20"/>
        </w:rPr>
        <w:t>* Ir-Regolament (KE) Nru 726/2004 tal-Parlament Ewropew u tal-Kunsill tal-31 ta’ Marzu 2004 li jistabbilixxi proċeduri Komunitarji għall-awtorizzazzjoni u s-sorveljanza ta’ prodotti mediċinali għall-użu mill-bniedem u veterinarju u li jistabbilixxi l-Aġenzija Ewropea għall-Mediċini (ĠU L 136, 30.04.2004, p. 1).</w:t>
      </w:r>
    </w:p>
    <w:p w14:paraId="0121CA51" w14:textId="0796C746" w:rsidR="009B7C0C" w:rsidRPr="00AF1531" w:rsidRDefault="00983C5D" w:rsidP="00FC75A5">
      <w:pPr>
        <w:pStyle w:val="Text1"/>
        <w:ind w:left="709"/>
        <w:rPr>
          <w:noProof/>
          <w:sz w:val="20"/>
          <w:szCs w:val="20"/>
        </w:rPr>
      </w:pPr>
      <w:r w:rsidRPr="00AF1531">
        <w:rPr>
          <w:noProof/>
          <w:sz w:val="20"/>
          <w:szCs w:val="20"/>
        </w:rPr>
        <w:t>** Ir-Regolament (UE) 2021/953 tal-Parlament Ewropew u tal-Kunsill tal-14 ta’ Ġunju 2021 dwar qafas għall-ħruġ, għall-verifika u għall-aċċettazzjoni ta’ ċertifikati COVID-19 interoperabbli tat-tilqim, tat-testijiet u tal-fejqan (Ċertifikat COVID Diġitali tal-UE) għall-faċilitazzjoni tal-moviment liberu waqt il-pandemija tal-COVID-19 (ĠU L 211, 15.6.2021, p. 1).</w:t>
      </w:r>
    </w:p>
    <w:p w14:paraId="7C89E0B4" w14:textId="3B7945AB" w:rsidR="00BE3FD4" w:rsidRPr="00AF1531" w:rsidRDefault="00FE1DED" w:rsidP="00FE1DED">
      <w:pPr>
        <w:pStyle w:val="Point0"/>
        <w:rPr>
          <w:noProof/>
        </w:rPr>
      </w:pPr>
      <w:r w:rsidRPr="00FE1DED">
        <w:t>(3)</w:t>
      </w:r>
      <w:r w:rsidRPr="00FE1DED">
        <w:tab/>
      </w:r>
      <w:r w:rsidR="00F24BAC" w:rsidRPr="00AF1531">
        <w:rPr>
          <w:noProof/>
        </w:rPr>
        <w:t xml:space="preserve">Mill-1 ta’ Marzu 2022: </w:t>
      </w:r>
    </w:p>
    <w:p w14:paraId="7C2FDD2B" w14:textId="39D74E05" w:rsidR="00136D8A" w:rsidRPr="00AF1531" w:rsidRDefault="00FF3C0F" w:rsidP="00215D18">
      <w:pPr>
        <w:pStyle w:val="Point1"/>
        <w:rPr>
          <w:noProof/>
        </w:rPr>
      </w:pPr>
      <w:r w:rsidRPr="00AF1531">
        <w:rPr>
          <w:noProof/>
        </w:rPr>
        <w:tab/>
        <w:t xml:space="preserve">(a) il-punt 1 huwa sostitwit b’dan li ġej: </w:t>
      </w:r>
    </w:p>
    <w:p w14:paraId="73A154B2" w14:textId="4FE416CC" w:rsidR="00EF20B6" w:rsidRPr="00AF1531" w:rsidRDefault="00FA7338" w:rsidP="000D1BEF">
      <w:pPr>
        <w:pStyle w:val="Text1"/>
        <w:ind w:left="709"/>
        <w:rPr>
          <w:noProof/>
        </w:rPr>
      </w:pPr>
      <w:r w:rsidRPr="00AF1531">
        <w:rPr>
          <w:noProof/>
        </w:rPr>
        <w:t>“1. Jenħtieġ li r-restrizzjonijiet temporanji fuq l-ivvjaġġar mhux essenzjali lejn l-UE jitneħħew fir-rigward tar-residenti ta’ pajjiżi terzi, f’konformità mar-regoli stabbiliti f’din ir-Rakkomandazzjoni.”</w:t>
      </w:r>
    </w:p>
    <w:p w14:paraId="62A7E949" w14:textId="5E00D3ED" w:rsidR="00BE3FD4" w:rsidRPr="00AF1531" w:rsidRDefault="00BE3FD4" w:rsidP="000D1BEF">
      <w:pPr>
        <w:pStyle w:val="Text1"/>
        <w:ind w:left="709"/>
        <w:rPr>
          <w:noProof/>
        </w:rPr>
      </w:pPr>
    </w:p>
    <w:p w14:paraId="4C00A366" w14:textId="5E7DD168" w:rsidR="00FF3C0F" w:rsidRPr="00AF1531" w:rsidRDefault="00FF3C0F" w:rsidP="00215D18">
      <w:pPr>
        <w:pStyle w:val="Point1"/>
        <w:rPr>
          <w:noProof/>
        </w:rPr>
      </w:pPr>
      <w:r w:rsidRPr="00AF1531">
        <w:rPr>
          <w:noProof/>
        </w:rPr>
        <w:tab/>
        <w:t>(b) il-punti 2 sa 5, il-punt 9 u l-Anness I jitħassru.</w:t>
      </w:r>
    </w:p>
    <w:p w14:paraId="503AC799" w14:textId="75736A59" w:rsidR="00EE0BBC" w:rsidRPr="00AF1531" w:rsidRDefault="00994038" w:rsidP="00AA2D2B">
      <w:pPr>
        <w:pStyle w:val="Fait"/>
        <w:rPr>
          <w:noProof/>
        </w:rPr>
      </w:pPr>
      <w:r w:rsidRPr="00994038">
        <w:t>Magħmul fi Brussell,</w:t>
      </w:r>
    </w:p>
    <w:p w14:paraId="7A0820E1" w14:textId="77777777" w:rsidR="00EE0BBC" w:rsidRPr="00AF1531" w:rsidRDefault="00EE0BBC" w:rsidP="00AA2D2B">
      <w:pPr>
        <w:pStyle w:val="Institutionquisigne"/>
        <w:rPr>
          <w:noProof/>
        </w:rPr>
      </w:pPr>
      <w:r w:rsidRPr="00AF1531">
        <w:rPr>
          <w:noProof/>
        </w:rPr>
        <w:tab/>
        <w:t>Għall-Kunsill</w:t>
      </w:r>
    </w:p>
    <w:p w14:paraId="24E251F3" w14:textId="77777777" w:rsidR="00EE0BBC" w:rsidRPr="00AF1531" w:rsidRDefault="00EE0BBC" w:rsidP="00EE0BBC">
      <w:pPr>
        <w:pStyle w:val="Personnequisigne"/>
        <w:rPr>
          <w:noProof/>
        </w:rPr>
      </w:pPr>
      <w:r w:rsidRPr="00AF1531">
        <w:rPr>
          <w:noProof/>
        </w:rPr>
        <w:tab/>
        <w:t>Il-President</w:t>
      </w:r>
    </w:p>
    <w:sectPr w:rsidR="00EE0BBC" w:rsidRPr="00AF1531" w:rsidSect="00843FBE"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EEA850" w14:textId="77777777" w:rsidR="00210773" w:rsidRDefault="00210773" w:rsidP="00EE0BBC">
      <w:pPr>
        <w:spacing w:before="0" w:after="0"/>
      </w:pPr>
      <w:r>
        <w:separator/>
      </w:r>
    </w:p>
  </w:endnote>
  <w:endnote w:type="continuationSeparator" w:id="0">
    <w:p w14:paraId="5D5201E0" w14:textId="77777777" w:rsidR="00210773" w:rsidRDefault="00210773" w:rsidP="00EE0BBC">
      <w:pPr>
        <w:spacing w:before="0" w:after="0"/>
      </w:pPr>
      <w:r>
        <w:continuationSeparator/>
      </w:r>
    </w:p>
  </w:endnote>
  <w:endnote w:type="continuationNotice" w:id="1">
    <w:p w14:paraId="5B9C5B51" w14:textId="77777777" w:rsidR="00210773" w:rsidRDefault="00210773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E54F3" w14:textId="39E71B84" w:rsidR="00AF1531" w:rsidRPr="00843FBE" w:rsidRDefault="00843FBE" w:rsidP="00843FBE">
    <w:pPr>
      <w:pStyle w:val="Footer"/>
      <w:rPr>
        <w:rFonts w:ascii="Arial" w:hAnsi="Arial" w:cs="Arial"/>
        <w:b/>
        <w:sz w:val="48"/>
      </w:rPr>
    </w:pPr>
    <w:r w:rsidRPr="00843FBE">
      <w:rPr>
        <w:rFonts w:ascii="Arial" w:hAnsi="Arial" w:cs="Arial"/>
        <w:b/>
        <w:sz w:val="48"/>
      </w:rPr>
      <w:t>MT</w:t>
    </w:r>
    <w:r w:rsidRPr="00843FBE">
      <w:rPr>
        <w:rFonts w:ascii="Arial" w:hAnsi="Arial" w:cs="Arial"/>
        <w:b/>
        <w:sz w:val="48"/>
      </w:rPr>
      <w:tab/>
    </w:r>
    <w:r w:rsidRPr="00843FBE">
      <w:rPr>
        <w:rFonts w:ascii="Arial" w:hAnsi="Arial" w:cs="Arial"/>
        <w:b/>
        <w:sz w:val="48"/>
      </w:rPr>
      <w:tab/>
    </w:r>
    <w:r w:rsidRPr="00843FBE">
      <w:tab/>
    </w:r>
    <w:r w:rsidRPr="00843FBE">
      <w:rPr>
        <w:rFonts w:ascii="Arial" w:hAnsi="Arial" w:cs="Arial"/>
        <w:b/>
        <w:sz w:val="48"/>
      </w:rPr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49F744" w14:textId="3DFFE936" w:rsidR="00843FBE" w:rsidRPr="00843FBE" w:rsidRDefault="00843FBE" w:rsidP="00843FBE">
    <w:pPr>
      <w:pStyle w:val="Footer"/>
      <w:rPr>
        <w:rFonts w:ascii="Arial" w:hAnsi="Arial" w:cs="Arial"/>
        <w:b/>
        <w:sz w:val="48"/>
      </w:rPr>
    </w:pPr>
    <w:r w:rsidRPr="00843FBE">
      <w:rPr>
        <w:rFonts w:ascii="Arial" w:hAnsi="Arial" w:cs="Arial"/>
        <w:b/>
        <w:sz w:val="48"/>
      </w:rPr>
      <w:t>MT</w:t>
    </w:r>
    <w:r w:rsidRPr="00843FBE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AA2D2B">
      <w:rPr>
        <w:noProof/>
      </w:rPr>
      <w:t>9</w:t>
    </w:r>
    <w:r>
      <w:fldChar w:fldCharType="end"/>
    </w:r>
    <w:r>
      <w:tab/>
    </w:r>
    <w:r w:rsidRPr="00843FBE">
      <w:tab/>
    </w:r>
    <w:r w:rsidRPr="00843FBE"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3E9EF" w14:textId="77777777" w:rsidR="00843FBE" w:rsidRPr="00843FBE" w:rsidRDefault="00843FBE" w:rsidP="00843F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A6953" w14:textId="77777777" w:rsidR="00210773" w:rsidRDefault="00210773" w:rsidP="00EE0BBC">
      <w:pPr>
        <w:spacing w:before="0" w:after="0"/>
      </w:pPr>
      <w:r>
        <w:separator/>
      </w:r>
    </w:p>
  </w:footnote>
  <w:footnote w:type="continuationSeparator" w:id="0">
    <w:p w14:paraId="17575FA7" w14:textId="77777777" w:rsidR="00210773" w:rsidRDefault="00210773" w:rsidP="00EE0BBC">
      <w:pPr>
        <w:spacing w:before="0" w:after="0"/>
      </w:pPr>
      <w:r>
        <w:continuationSeparator/>
      </w:r>
    </w:p>
  </w:footnote>
  <w:footnote w:type="continuationNotice" w:id="1">
    <w:p w14:paraId="49B8D4D7" w14:textId="77777777" w:rsidR="00210773" w:rsidRDefault="00210773">
      <w:pPr>
        <w:spacing w:before="0" w:after="0"/>
      </w:pPr>
    </w:p>
  </w:footnote>
  <w:footnote w:id="2">
    <w:p w14:paraId="426C5567" w14:textId="4A46296B" w:rsidR="00C824F2" w:rsidRDefault="00C824F2" w:rsidP="00D90BAF">
      <w:pPr>
        <w:pStyle w:val="FootnoteText"/>
        <w:ind w:left="709" w:hanging="709"/>
      </w:pPr>
      <w:r>
        <w:rPr>
          <w:rStyle w:val="FootnoteReference"/>
        </w:rPr>
        <w:footnoteRef/>
      </w:r>
      <w:r>
        <w:tab/>
        <w:t>Ir-Rakkomandazzjoni tal-Kunsill (UE) 2021/816 tal-20 ta’ Mejju 2021 li temenda r-Rakkomandazzjoni (UE) 2020/912 dwar ir-restrizzjoni temporanja fuq vjaġġar mhux essenzjali lejn l-UE u t-tneħħija possibbli ta’ tali restrizzjoni (ĠU L 182, 21.5.2021, p. 1).</w:t>
      </w:r>
    </w:p>
  </w:footnote>
  <w:footnote w:id="3">
    <w:p w14:paraId="77A7BFEA" w14:textId="77777777" w:rsidR="001E2745" w:rsidRDefault="001E2745" w:rsidP="001E2745">
      <w:pPr>
        <w:pStyle w:val="FootnoteText"/>
      </w:pPr>
      <w:r>
        <w:rPr>
          <w:rStyle w:val="FootnoteReference"/>
        </w:rPr>
        <w:footnoteRef/>
      </w:r>
      <w:r>
        <w:tab/>
        <w:t>Ir-Rakkomandazzjoni tal-Kunsill (UE) 2020/912 tat-30 ta’ Ġunju 2020 dwar ir-restrizzjoni temporanja fuq vjaġġar mhux essenzjali lejn l-UE u t-tneħħija possibbli ta’ tali restrizzjoni (ĠU L 208, 1.7.2020, p. 1).</w:t>
      </w:r>
    </w:p>
  </w:footnote>
  <w:footnote w:id="4">
    <w:p w14:paraId="797A6359" w14:textId="77777777" w:rsidR="001E2745" w:rsidRPr="009B1E12" w:rsidRDefault="001E2745" w:rsidP="001E2745">
      <w:pPr>
        <w:pStyle w:val="FootnoteText"/>
      </w:pPr>
      <w:r>
        <w:rPr>
          <w:rStyle w:val="FootnoteReference"/>
        </w:rPr>
        <w:footnoteRef/>
      </w:r>
      <w:r>
        <w:tab/>
        <w:t>Ir-Rakkomandazzjoni tal-Kunsill (UE) 2021/132 tat-2 ta’ Frar 2021 li temenda r-Rakkomandazzjoni tal-Kunsill (UE) 2020/912 dwar ir-restrizzjoni temporanja fuq vjaġġar mhux essenzjali lejn l-UE u t-tneħħija possibbli ta’ tali restrizzjoni (ĠU L 41, 4.2.2021, p. 1).</w:t>
      </w:r>
    </w:p>
  </w:footnote>
  <w:footnote w:id="5">
    <w:p w14:paraId="67424A89" w14:textId="77777777" w:rsidR="00DA5065" w:rsidRPr="00FD2F16" w:rsidRDefault="00DA5065" w:rsidP="00DA5065">
      <w:pPr>
        <w:pStyle w:val="FootnoteText"/>
      </w:pPr>
      <w:r>
        <w:rPr>
          <w:rStyle w:val="FootnoteReference"/>
        </w:rPr>
        <w:footnoteRef/>
      </w:r>
      <w:r>
        <w:tab/>
        <w:t xml:space="preserve">Iż-“żona UE+” tinkludi l-Istati Membri kollha ta’ Schengen (inkluż il-Bulgarija, il-Kroazja, Ċipru u r-Rumanija), kif ukoll l-erba’ Stati Assoċjati ma’ Schengen. Din tinkludi wkoll l-Irlanda jekk tiddeċiedi li tallinja. </w:t>
      </w:r>
    </w:p>
  </w:footnote>
  <w:footnote w:id="6">
    <w:p w14:paraId="753257B0" w14:textId="6C245483" w:rsidR="001E2745" w:rsidRPr="009B1E12" w:rsidRDefault="001E2745" w:rsidP="001E2745">
      <w:pPr>
        <w:pStyle w:val="FootnoteText"/>
      </w:pPr>
      <w:r>
        <w:rPr>
          <w:rStyle w:val="FootnoteReference"/>
        </w:rPr>
        <w:footnoteRef/>
      </w:r>
      <w:r>
        <w:tab/>
        <w:t>Ir-Rakkomandazzjoni tal-Kunsill (UE) 2021/816 tal-20 ta’ Mejju 2021 li temenda r-Rakkomandazzjoni (UE) 2020/912 dwar ir-restrizzjoni temporanja fuq vjaġġar mhux essenzjali lejn l-UE u t-tneħħija possibbli ta’ tali restrizzjoni (ĠU L 182, 21.5.2021, p. 1).</w:t>
      </w:r>
    </w:p>
  </w:footnote>
  <w:footnote w:id="7">
    <w:p w14:paraId="13E7FCBE" w14:textId="6336BE00" w:rsidR="00F5674C" w:rsidRDefault="00F5674C" w:rsidP="00F5674C">
      <w:pPr>
        <w:pStyle w:val="FootnoteText"/>
      </w:pPr>
      <w:r>
        <w:rPr>
          <w:rStyle w:val="FootnoteReference"/>
        </w:rPr>
        <w:footnoteRef/>
      </w:r>
      <w:r>
        <w:tab/>
        <w:t>Ir-Regolament (UE) 2021/953 tal-Parlament Ewropew u tal-Kunsill tal-14 ta’ Ġunju 2021 dwar qafas għall-ħruġ, għall-verifika u għall-aċċettazzjoni ta’ ċertifikati COVID-19 interoperabbli tat-tilqim, tat-testijiet u tal-fejqan (Ċertifikat COVID Diġitali tal-UE) għall-faċilitazzjoni tal-moviment liberu waqt il-pandemija tal-COVID-19.</w:t>
      </w:r>
    </w:p>
  </w:footnote>
  <w:footnote w:id="8">
    <w:p w14:paraId="53514002" w14:textId="0506741E" w:rsidR="00F5674C" w:rsidRDefault="00F5674C" w:rsidP="00F5674C">
      <w:pPr>
        <w:pStyle w:val="FootnoteText"/>
      </w:pPr>
      <w:r>
        <w:rPr>
          <w:rStyle w:val="FootnoteReference"/>
        </w:rPr>
        <w:footnoteRef/>
      </w:r>
      <w:r>
        <w:tab/>
        <w:t>Ir-Regolament (UE) 2021/954 tal-Parlament Ewropew u tal-Kunsill tal-14 ta’ Ġunju 2021 dwar qafas għall-ħruġ, għall-verifika u għall-aċċettazzjoni ta’ ċertifikati COVID-19 interoperabbli tat-tilqim, tat-testijiet u tal-fejqan (Ċertifikat COVID Diġitali tal-UE) fir-rigward ta’ ċittadini ta’ pajjiżi terzi li joqogħdu jew li jirrisjedu legalment fit-territorji tal-Istati Membri waqt il-pandemija tal-COVID-19.</w:t>
      </w:r>
    </w:p>
  </w:footnote>
  <w:footnote w:id="9">
    <w:p w14:paraId="60BD511F" w14:textId="658C6F6D" w:rsidR="00560916" w:rsidRPr="003A5350" w:rsidRDefault="00560916" w:rsidP="00560916">
      <w:pPr>
        <w:pStyle w:val="FootnoteText"/>
      </w:pPr>
      <w:r>
        <w:rPr>
          <w:rStyle w:val="FootnoteReference"/>
        </w:rPr>
        <w:footnoteRef/>
      </w:r>
      <w:r>
        <w:tab/>
        <w:t>Il-lista aġġornata ta’ deċiżjonijiet dwar l-ekwivalenza hija ppubblikata fuq din il-paġna web:</w:t>
      </w:r>
    </w:p>
    <w:p w14:paraId="3B7FC5E1" w14:textId="34A9B82A" w:rsidR="00560916" w:rsidRPr="00F44D57" w:rsidRDefault="00560916">
      <w:pPr>
        <w:pStyle w:val="FootnoteText"/>
      </w:pPr>
      <w:r>
        <w:tab/>
        <w:t xml:space="preserve">https://ec.europa.eu/info/publications/commission-implementing-decisions-eu-equivalence-covid-19-certificates-issued-non-eu-countries_mt </w:t>
      </w:r>
    </w:p>
  </w:footnote>
  <w:footnote w:id="10">
    <w:p w14:paraId="2BD0DE84" w14:textId="098DB350" w:rsidR="00BA6280" w:rsidRPr="002B5ED2" w:rsidRDefault="00BA6280" w:rsidP="00BA6280">
      <w:pPr>
        <w:pStyle w:val="FootnoteText"/>
      </w:pPr>
      <w:r>
        <w:rPr>
          <w:rStyle w:val="FootnoteReference"/>
        </w:rPr>
        <w:footnoteRef/>
      </w:r>
      <w:r>
        <w:tab/>
        <w:t>Ir-Regolament (KE) Nru 726/2004 tal-Parlament Ewropew u tal-Kunsill tal-31 ta’ Marzu 2004 li jistabbilixxi proċeduri Komunitarji għall-awtorizzazzjoni u s-sorveljanza ta’ prodotti mediċinali għall-użu mill-bniedem u veterinarju u li jistabbilixxi l-Aġenzija Ewropea għall-Mediċini (ĠU L 136, 30.4.2004, p. 1).</w:t>
      </w:r>
    </w:p>
  </w:footnote>
  <w:footnote w:id="11">
    <w:p w14:paraId="275AE6B0" w14:textId="77777777" w:rsidR="00B014B8" w:rsidRDefault="00B014B8" w:rsidP="00B014B8">
      <w:pPr>
        <w:pStyle w:val="FootnoteText"/>
      </w:pPr>
      <w:r>
        <w:rPr>
          <w:rStyle w:val="FootnoteReference"/>
        </w:rPr>
        <w:footnoteRef/>
      </w:r>
      <w:r>
        <w:tab/>
        <w:t>Id-Deċiżjoni tal-Kunsill 2002/192/KE tat-28 ta’ Frar 2002 rigward it-talba tal-Irlanda biex tieħu sehem f’xi dispożizzjonijiet tal-acquis ta’ Schengen (ĠU L 64, 7.3.2002, p. 20).</w:t>
      </w:r>
    </w:p>
  </w:footnote>
  <w:footnote w:id="12">
    <w:p w14:paraId="4DD6B40E" w14:textId="77777777" w:rsidR="00D06CD7" w:rsidRDefault="00D06CD7" w:rsidP="00D06CD7">
      <w:pPr>
        <w:pStyle w:val="FootnoteText"/>
      </w:pPr>
      <w:r>
        <w:rPr>
          <w:rStyle w:val="FootnoteReference"/>
        </w:rPr>
        <w:footnoteRef/>
      </w:r>
      <w:r>
        <w:tab/>
        <w:t>ĠU L 176, 10.7.1999, p. 36.</w:t>
      </w:r>
    </w:p>
  </w:footnote>
  <w:footnote w:id="13">
    <w:p w14:paraId="6550A934" w14:textId="1650B307" w:rsidR="00B014B8" w:rsidRDefault="00B014B8" w:rsidP="00B014B8">
      <w:pPr>
        <w:pStyle w:val="FootnoteText"/>
      </w:pPr>
      <w:r>
        <w:rPr>
          <w:rStyle w:val="FootnoteReference"/>
        </w:rPr>
        <w:footnoteRef/>
      </w:r>
      <w:r>
        <w:tab/>
      </w:r>
      <w:r>
        <w:rPr>
          <w:rStyle w:val="FootnoteTextChar"/>
        </w:rPr>
        <w:t>Id-Deċiżjoni tal-Kunsill 1999/437/KE tas-17 ta’ Mejju 1999 dwar ċerti arranġamenti għall-applikazzjoni tal-Ftehim konkluż mill-Kunsill tal-Unjoni Ewropea u r-Repubblika tal-Iżlanda u r-Renju tan-Norveġja dwar l-assoċjazzjoni ta’ dawn iż-żewġ Stati mal-implimentazzjoni, l-applikazzjoni u l-iżvilupp tal-</w:t>
      </w:r>
      <w:r>
        <w:rPr>
          <w:rStyle w:val="FootnoteTextChar"/>
          <w:i/>
          <w:iCs/>
        </w:rPr>
        <w:t>acquis</w:t>
      </w:r>
      <w:r>
        <w:rPr>
          <w:rStyle w:val="FootnoteTextChar"/>
        </w:rPr>
        <w:t xml:space="preserve"> ta’ Schengen (ĠU L 176, 10.7.1999).</w:t>
      </w:r>
    </w:p>
  </w:footnote>
  <w:footnote w:id="14">
    <w:p w14:paraId="3B2F2FFB" w14:textId="77777777" w:rsidR="00D06CD7" w:rsidRDefault="00D06CD7" w:rsidP="00D06CD7">
      <w:pPr>
        <w:pStyle w:val="FootnoteText"/>
      </w:pPr>
      <w:r>
        <w:rPr>
          <w:rStyle w:val="FootnoteReference"/>
        </w:rPr>
        <w:footnoteRef/>
      </w:r>
      <w:r>
        <w:tab/>
        <w:t>ĠU L 53, 27.2.2008, p. 52.</w:t>
      </w:r>
    </w:p>
  </w:footnote>
  <w:footnote w:id="15">
    <w:p w14:paraId="35FF8FBB" w14:textId="77777777" w:rsidR="00B014B8" w:rsidRDefault="00B014B8" w:rsidP="00B014B8">
      <w:pPr>
        <w:pStyle w:val="FootnoteText"/>
      </w:pPr>
      <w:r>
        <w:rPr>
          <w:rStyle w:val="FootnoteReference"/>
        </w:rPr>
        <w:footnoteRef/>
      </w:r>
      <w:r>
        <w:tab/>
        <w:t>Id-Deċiżjoni tal-Kunsill 2008/146/KE tat-28 ta’ Jannar 2008 dwar il-konklużjoni f’isem il-Komunità Ewropea, tal-Ftehim bejn l-Unjoni Ewropea, il-Komunità Ewropea u l-Konfederazzjoni Żvizzera dwar l-assoċjazzjoni tal-Konfederazzjoni Żvizzera mal-implimentazzjoni, l-applikazzjoni u l-iżvilupp tal-Acquis ta’ Schengen (ĠU L 53, 27.2.2008, p 1).</w:t>
      </w:r>
    </w:p>
  </w:footnote>
  <w:footnote w:id="16">
    <w:p w14:paraId="571EED84" w14:textId="77777777" w:rsidR="00D06CD7" w:rsidRDefault="00D06CD7" w:rsidP="00D06CD7">
      <w:pPr>
        <w:pStyle w:val="FootnoteText"/>
      </w:pPr>
      <w:r>
        <w:rPr>
          <w:rStyle w:val="FootnoteReference"/>
        </w:rPr>
        <w:footnoteRef/>
      </w:r>
      <w:r>
        <w:tab/>
        <w:t>ĠU L 160, 18.6.2011, p. 21.</w:t>
      </w:r>
    </w:p>
  </w:footnote>
  <w:footnote w:id="17">
    <w:p w14:paraId="4BB13A9D" w14:textId="6EF5406D" w:rsidR="00B014B8" w:rsidRDefault="009C7E68" w:rsidP="00B014B8">
      <w:pPr>
        <w:pStyle w:val="FootnoteText"/>
      </w:pPr>
      <w:r w:rsidRPr="009C7E68">
        <w:rPr>
          <w:rStyle w:val="FootnoteReference"/>
        </w:rPr>
        <w:footnoteRef/>
      </w:r>
      <w:r>
        <w:tab/>
      </w:r>
      <w:r w:rsidR="00B014B8">
        <w:t>Id-Deċiżjoni tal-Kunsill 2011/350/UE tas-7 ta’ Marzu 2011 dwar il-konklużjoni, f’isem l-Unjoni Ewropea tal-Protokoll bejn l-Unjoni Ewropea, il-Komunità Ewropea, il-Konfederazzjoni Żvizzera u l-Prinċipat tal-Liechtenstein dwar l-adeżjoni tal-Prinċipat tal-Liechtenstein mal-Ftehim bejn l-Unjoni Ewropea, il-Komunità Ewropea u l-Konfederazzjoni Żvizzera dwar l-assoċjazzjoni tal-Konfederazzjoni Żvizzera mal-implimentazzjoni, l-applikazzjoni u l-iżvilupp tal-acquis ta’ Schengen, relatat mal-abolizzjoni tal-verifiki mal-fruntieri interni u l-moviment tal-persuni (ĠU L 160, 18.6.2011, p. 19).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631C90C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AFFAA7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C10698D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D8E4619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C1543A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CC8A5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4E3CAE5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224AD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2"/>
    <w:lvlOverride w:ilvl="0">
      <w:startOverride w:val="1"/>
    </w:lvlOverride>
  </w:num>
  <w:num w:numId="7">
    <w:abstractNumId w:val="2"/>
  </w:num>
  <w:num w:numId="8">
    <w:abstractNumId w:val="1"/>
  </w:num>
  <w:num w:numId="9">
    <w:abstractNumId w:val="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12"/>
  </w:num>
  <w:num w:numId="13">
    <w:abstractNumId w:val="21"/>
  </w:num>
  <w:num w:numId="14">
    <w:abstractNumId w:val="11"/>
  </w:num>
  <w:num w:numId="15">
    <w:abstractNumId w:val="13"/>
  </w:num>
  <w:num w:numId="16">
    <w:abstractNumId w:val="9"/>
  </w:num>
  <w:num w:numId="17">
    <w:abstractNumId w:val="20"/>
  </w:num>
  <w:num w:numId="18">
    <w:abstractNumId w:val="8"/>
  </w:num>
  <w:num w:numId="19">
    <w:abstractNumId w:val="15"/>
  </w:num>
  <w:num w:numId="20">
    <w:abstractNumId w:val="17"/>
  </w:num>
  <w:num w:numId="21">
    <w:abstractNumId w:val="18"/>
  </w:num>
  <w:num w:numId="22">
    <w:abstractNumId w:val="10"/>
  </w:num>
  <w:num w:numId="23">
    <w:abstractNumId w:val="16"/>
  </w:num>
  <w:num w:numId="24">
    <w:abstractNumId w:val="22"/>
  </w:num>
  <w:num w:numId="25">
    <w:abstractNumId w:val="20"/>
  </w:num>
  <w:num w:numId="26">
    <w:abstractNumId w:val="20"/>
  </w:num>
  <w:num w:numId="27">
    <w:abstractNumId w:val="20"/>
  </w:num>
  <w:num w:numId="28">
    <w:abstractNumId w:val="14"/>
  </w:num>
  <w:num w:numId="29">
    <w:abstractNumId w:val="9"/>
  </w:num>
  <w:num w:numId="30">
    <w:abstractNumId w:val="9"/>
  </w:num>
  <w:num w:numId="31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1-12-15 09:29:00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InvalidFootnotes" w:val="0;0"/>
    <w:docVar w:name="DQCResult_LinkedStyles" w:val="0;0"/>
    <w:docVar w:name="DQCResult_ModifiedMargins" w:val="0;2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0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8F3E5992-4BF5-4E81-94C9-70D3C4CA397D"/>
    <w:docVar w:name="LW_COVERPAGE_TYPE" w:val="1"/>
    <w:docVar w:name="LW_CROSSREFERENCE" w:val="&lt;UNUSED&gt;"/>
    <w:docVar w:name="LW_DocType" w:val="COM"/>
    <w:docVar w:name="LW_EMISSION" w:val="25.11.2021"/>
    <w:docVar w:name="LW_EMISSION_ISODATE" w:val="2021-11-25"/>
    <w:docVar w:name="LW_EMISSION_LOCATION" w:val="BRX"/>
    <w:docVar w:name="LW_EMISSION_PREFIX" w:val="Brussell, "/>
    <w:docVar w:name="LW_EMISSION_SUFFIX" w:val=" "/>
    <w:docVar w:name="LW_ID_DOCMODEL" w:val="SJ-022"/>
    <w:docVar w:name="LW_ID_DOCSIGNATURE" w:val="SJ-022"/>
    <w:docVar w:name="LW_ID_DOCSTRUCTURE" w:val="COM/PL/ORG"/>
    <w:docVar w:name="LW_ID_DOCTYPE" w:val="SJ-022"/>
    <w:docVar w:name="LW_ID_EXP.MOTIFS.NEW" w:val="EM_PL_"/>
    <w:docVar w:name="LW_ID_STATUT" w:val="SJ-022"/>
    <w:docVar w:name="LW_INTERETEEE.CP" w:val="&lt;UNUSED&gt;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I.NEW.CP" w:val="NLE"/>
    <w:docVar w:name="LW_REF.II.NEW.CP_NUMBER" w:val="0397"/>
    <w:docVar w:name="LW_REF.II.NEW.CP_YEAR" w:val="2021"/>
    <w:docVar w:name="LW_REF.INST.NEW" w:val="COM"/>
    <w:docVar w:name="LW_REF.INST.NEW_ADOPTED" w:val="final"/>
    <w:docVar w:name="LW_REF.INST.NEW_TEXT" w:val="(2021) 754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TATUT.CP" w:val="Proposta għal"/>
    <w:docVar w:name="LW_SUPERTITRE" w:val="&lt;UNUSED&gt;"/>
    <w:docVar w:name="LW_TITRE.OBJ.CP" w:val="li temenda r-Rakkomandazzjoni tal-Kunsill (UE) 2020/912 dwar ir-restrizzjoni temporanja fuq vjaġġar mhux essenzjali lejn l-UE u t-tneħħija possibbli ta’ tali restrizzjoni"/>
    <w:docVar w:name="LW_TYPE.DOC.CP" w:val="RAKKOMANDAZZJONI TAL-KUNSILL"/>
    <w:docVar w:name="LwApiVersions" w:val="LW4CoDe 1.23.2.0; LW 8.0, Build 20211117"/>
  </w:docVars>
  <w:rsids>
    <w:rsidRoot w:val="00EE0BBC"/>
    <w:rsid w:val="00025CDD"/>
    <w:rsid w:val="0003154A"/>
    <w:rsid w:val="0004215B"/>
    <w:rsid w:val="00065AA2"/>
    <w:rsid w:val="000854CF"/>
    <w:rsid w:val="00085B82"/>
    <w:rsid w:val="000861F9"/>
    <w:rsid w:val="00092488"/>
    <w:rsid w:val="00093FE4"/>
    <w:rsid w:val="000A1EC7"/>
    <w:rsid w:val="000A512E"/>
    <w:rsid w:val="000A7517"/>
    <w:rsid w:val="000A7797"/>
    <w:rsid w:val="000B7A29"/>
    <w:rsid w:val="000D1BEF"/>
    <w:rsid w:val="000E198E"/>
    <w:rsid w:val="000E72B8"/>
    <w:rsid w:val="000F513E"/>
    <w:rsid w:val="0010591C"/>
    <w:rsid w:val="0010636F"/>
    <w:rsid w:val="00106FAC"/>
    <w:rsid w:val="001140D3"/>
    <w:rsid w:val="0011573A"/>
    <w:rsid w:val="00136D8A"/>
    <w:rsid w:val="00146C6C"/>
    <w:rsid w:val="00185A23"/>
    <w:rsid w:val="00186B9D"/>
    <w:rsid w:val="001927A5"/>
    <w:rsid w:val="001971D0"/>
    <w:rsid w:val="001B04FC"/>
    <w:rsid w:val="001B3657"/>
    <w:rsid w:val="001B60E1"/>
    <w:rsid w:val="001C2816"/>
    <w:rsid w:val="001E2745"/>
    <w:rsid w:val="001E5AAC"/>
    <w:rsid w:val="0020196C"/>
    <w:rsid w:val="00210773"/>
    <w:rsid w:val="00215D18"/>
    <w:rsid w:val="00232E98"/>
    <w:rsid w:val="00245EC6"/>
    <w:rsid w:val="00253E31"/>
    <w:rsid w:val="00273857"/>
    <w:rsid w:val="0027545C"/>
    <w:rsid w:val="002843CF"/>
    <w:rsid w:val="002D1FBD"/>
    <w:rsid w:val="002E1A07"/>
    <w:rsid w:val="002E5C2B"/>
    <w:rsid w:val="002F50DB"/>
    <w:rsid w:val="003000C7"/>
    <w:rsid w:val="003079E0"/>
    <w:rsid w:val="00311D9F"/>
    <w:rsid w:val="003134E5"/>
    <w:rsid w:val="00323863"/>
    <w:rsid w:val="003265B5"/>
    <w:rsid w:val="00336F72"/>
    <w:rsid w:val="00341882"/>
    <w:rsid w:val="0034658D"/>
    <w:rsid w:val="0035672F"/>
    <w:rsid w:val="00361883"/>
    <w:rsid w:val="00377195"/>
    <w:rsid w:val="00387C76"/>
    <w:rsid w:val="00395A7F"/>
    <w:rsid w:val="003A09EE"/>
    <w:rsid w:val="003A1C2D"/>
    <w:rsid w:val="003A290D"/>
    <w:rsid w:val="003A3F6B"/>
    <w:rsid w:val="003A5350"/>
    <w:rsid w:val="003A5A3C"/>
    <w:rsid w:val="003B36DA"/>
    <w:rsid w:val="003B447A"/>
    <w:rsid w:val="003C4823"/>
    <w:rsid w:val="003C7810"/>
    <w:rsid w:val="003C7938"/>
    <w:rsid w:val="003D60F1"/>
    <w:rsid w:val="00405F5D"/>
    <w:rsid w:val="00417119"/>
    <w:rsid w:val="004233D8"/>
    <w:rsid w:val="00460A67"/>
    <w:rsid w:val="00470A75"/>
    <w:rsid w:val="00483025"/>
    <w:rsid w:val="004A4A6C"/>
    <w:rsid w:val="004A5AE8"/>
    <w:rsid w:val="004B3B08"/>
    <w:rsid w:val="004D47F2"/>
    <w:rsid w:val="004E2D2B"/>
    <w:rsid w:val="004E43CC"/>
    <w:rsid w:val="004E7AC6"/>
    <w:rsid w:val="0050092D"/>
    <w:rsid w:val="0050550E"/>
    <w:rsid w:val="005235F3"/>
    <w:rsid w:val="00525314"/>
    <w:rsid w:val="00541FFC"/>
    <w:rsid w:val="00557372"/>
    <w:rsid w:val="00560916"/>
    <w:rsid w:val="00567D31"/>
    <w:rsid w:val="005774DE"/>
    <w:rsid w:val="00582494"/>
    <w:rsid w:val="005829D4"/>
    <w:rsid w:val="005A367F"/>
    <w:rsid w:val="005B47B2"/>
    <w:rsid w:val="005B5A95"/>
    <w:rsid w:val="005C602D"/>
    <w:rsid w:val="005C7A82"/>
    <w:rsid w:val="005D4437"/>
    <w:rsid w:val="005D7059"/>
    <w:rsid w:val="005E029F"/>
    <w:rsid w:val="006038D2"/>
    <w:rsid w:val="00604F7F"/>
    <w:rsid w:val="006256EB"/>
    <w:rsid w:val="00630923"/>
    <w:rsid w:val="00634496"/>
    <w:rsid w:val="0063751B"/>
    <w:rsid w:val="0064495F"/>
    <w:rsid w:val="00644EAA"/>
    <w:rsid w:val="00651F18"/>
    <w:rsid w:val="0066382A"/>
    <w:rsid w:val="0067223E"/>
    <w:rsid w:val="006766C7"/>
    <w:rsid w:val="00690E84"/>
    <w:rsid w:val="006B1027"/>
    <w:rsid w:val="006B4481"/>
    <w:rsid w:val="006B4C5A"/>
    <w:rsid w:val="006C4840"/>
    <w:rsid w:val="006E37C9"/>
    <w:rsid w:val="006E586A"/>
    <w:rsid w:val="006E6EAA"/>
    <w:rsid w:val="006E7510"/>
    <w:rsid w:val="006F273A"/>
    <w:rsid w:val="006F6B1A"/>
    <w:rsid w:val="0070128F"/>
    <w:rsid w:val="007069F6"/>
    <w:rsid w:val="00714216"/>
    <w:rsid w:val="00743631"/>
    <w:rsid w:val="00754ECD"/>
    <w:rsid w:val="00773900"/>
    <w:rsid w:val="00785CB2"/>
    <w:rsid w:val="007B5549"/>
    <w:rsid w:val="007C06F6"/>
    <w:rsid w:val="007C1E34"/>
    <w:rsid w:val="007C69D4"/>
    <w:rsid w:val="007C73F8"/>
    <w:rsid w:val="007E41A3"/>
    <w:rsid w:val="007F33F9"/>
    <w:rsid w:val="007F64A1"/>
    <w:rsid w:val="00803666"/>
    <w:rsid w:val="00804FB5"/>
    <w:rsid w:val="00805A7C"/>
    <w:rsid w:val="00813F84"/>
    <w:rsid w:val="00815E00"/>
    <w:rsid w:val="00816A43"/>
    <w:rsid w:val="00824F8E"/>
    <w:rsid w:val="00825329"/>
    <w:rsid w:val="008304BD"/>
    <w:rsid w:val="00843FBE"/>
    <w:rsid w:val="0085558C"/>
    <w:rsid w:val="00860AE6"/>
    <w:rsid w:val="00863EBB"/>
    <w:rsid w:val="00870679"/>
    <w:rsid w:val="0087674C"/>
    <w:rsid w:val="008775D0"/>
    <w:rsid w:val="00877D79"/>
    <w:rsid w:val="008B4168"/>
    <w:rsid w:val="008B697A"/>
    <w:rsid w:val="008D385E"/>
    <w:rsid w:val="008D5157"/>
    <w:rsid w:val="008E6F7E"/>
    <w:rsid w:val="008F1E42"/>
    <w:rsid w:val="00902A6A"/>
    <w:rsid w:val="009064FC"/>
    <w:rsid w:val="009077D8"/>
    <w:rsid w:val="00907FBD"/>
    <w:rsid w:val="00911714"/>
    <w:rsid w:val="00921971"/>
    <w:rsid w:val="0093347E"/>
    <w:rsid w:val="009612B9"/>
    <w:rsid w:val="00983773"/>
    <w:rsid w:val="00983C5D"/>
    <w:rsid w:val="00983EEB"/>
    <w:rsid w:val="00986B33"/>
    <w:rsid w:val="00987AD5"/>
    <w:rsid w:val="00991599"/>
    <w:rsid w:val="00994038"/>
    <w:rsid w:val="009B2264"/>
    <w:rsid w:val="009B3F80"/>
    <w:rsid w:val="009B7138"/>
    <w:rsid w:val="009B7C0C"/>
    <w:rsid w:val="009C7E68"/>
    <w:rsid w:val="009D01D6"/>
    <w:rsid w:val="009F22D3"/>
    <w:rsid w:val="009F539B"/>
    <w:rsid w:val="009F571F"/>
    <w:rsid w:val="009F7D40"/>
    <w:rsid w:val="00A0040E"/>
    <w:rsid w:val="00A012FE"/>
    <w:rsid w:val="00A02561"/>
    <w:rsid w:val="00A054DD"/>
    <w:rsid w:val="00A1706F"/>
    <w:rsid w:val="00A318F9"/>
    <w:rsid w:val="00A32EAF"/>
    <w:rsid w:val="00A65376"/>
    <w:rsid w:val="00A72759"/>
    <w:rsid w:val="00A74938"/>
    <w:rsid w:val="00A75250"/>
    <w:rsid w:val="00AA2C5D"/>
    <w:rsid w:val="00AA2D2B"/>
    <w:rsid w:val="00AA2E31"/>
    <w:rsid w:val="00AA4654"/>
    <w:rsid w:val="00AB4489"/>
    <w:rsid w:val="00AB6D73"/>
    <w:rsid w:val="00AF1531"/>
    <w:rsid w:val="00AF6C93"/>
    <w:rsid w:val="00B014B8"/>
    <w:rsid w:val="00B04026"/>
    <w:rsid w:val="00B17062"/>
    <w:rsid w:val="00B20DCE"/>
    <w:rsid w:val="00B21B3C"/>
    <w:rsid w:val="00B315FC"/>
    <w:rsid w:val="00B40538"/>
    <w:rsid w:val="00B50994"/>
    <w:rsid w:val="00B5559A"/>
    <w:rsid w:val="00B70B0E"/>
    <w:rsid w:val="00B85099"/>
    <w:rsid w:val="00B9027E"/>
    <w:rsid w:val="00B910A3"/>
    <w:rsid w:val="00B92E76"/>
    <w:rsid w:val="00B97D13"/>
    <w:rsid w:val="00BA595B"/>
    <w:rsid w:val="00BA6280"/>
    <w:rsid w:val="00BB1CD3"/>
    <w:rsid w:val="00BB3A3B"/>
    <w:rsid w:val="00BB542A"/>
    <w:rsid w:val="00BE246D"/>
    <w:rsid w:val="00BE3FD4"/>
    <w:rsid w:val="00BF17AA"/>
    <w:rsid w:val="00C03C59"/>
    <w:rsid w:val="00C04DC0"/>
    <w:rsid w:val="00C079AE"/>
    <w:rsid w:val="00C24556"/>
    <w:rsid w:val="00C26880"/>
    <w:rsid w:val="00C3387B"/>
    <w:rsid w:val="00C374F3"/>
    <w:rsid w:val="00C462A3"/>
    <w:rsid w:val="00C71D55"/>
    <w:rsid w:val="00C81F71"/>
    <w:rsid w:val="00C824F2"/>
    <w:rsid w:val="00C90598"/>
    <w:rsid w:val="00C94DFA"/>
    <w:rsid w:val="00CB6CEA"/>
    <w:rsid w:val="00CE6573"/>
    <w:rsid w:val="00CF45E3"/>
    <w:rsid w:val="00CF500F"/>
    <w:rsid w:val="00D06CD7"/>
    <w:rsid w:val="00D10930"/>
    <w:rsid w:val="00D1211A"/>
    <w:rsid w:val="00D140C6"/>
    <w:rsid w:val="00D15B15"/>
    <w:rsid w:val="00D258DF"/>
    <w:rsid w:val="00D305C8"/>
    <w:rsid w:val="00D3186F"/>
    <w:rsid w:val="00D31CD3"/>
    <w:rsid w:val="00D3403C"/>
    <w:rsid w:val="00D42A23"/>
    <w:rsid w:val="00D7639E"/>
    <w:rsid w:val="00D90BAF"/>
    <w:rsid w:val="00DA16E2"/>
    <w:rsid w:val="00DA5065"/>
    <w:rsid w:val="00DB52DC"/>
    <w:rsid w:val="00DD5651"/>
    <w:rsid w:val="00DD5E37"/>
    <w:rsid w:val="00DD7603"/>
    <w:rsid w:val="00DE1BA3"/>
    <w:rsid w:val="00DF31F0"/>
    <w:rsid w:val="00DF45E2"/>
    <w:rsid w:val="00DF74FA"/>
    <w:rsid w:val="00E165AD"/>
    <w:rsid w:val="00E203F6"/>
    <w:rsid w:val="00E26FB8"/>
    <w:rsid w:val="00E3430D"/>
    <w:rsid w:val="00E4002F"/>
    <w:rsid w:val="00E40D96"/>
    <w:rsid w:val="00E44639"/>
    <w:rsid w:val="00EA0CC9"/>
    <w:rsid w:val="00EA7797"/>
    <w:rsid w:val="00EB4957"/>
    <w:rsid w:val="00EB595B"/>
    <w:rsid w:val="00EC5B0F"/>
    <w:rsid w:val="00EE0BBC"/>
    <w:rsid w:val="00EF20B6"/>
    <w:rsid w:val="00F20062"/>
    <w:rsid w:val="00F24BAC"/>
    <w:rsid w:val="00F30ECF"/>
    <w:rsid w:val="00F357E3"/>
    <w:rsid w:val="00F40F19"/>
    <w:rsid w:val="00F44D57"/>
    <w:rsid w:val="00F5090F"/>
    <w:rsid w:val="00F50F75"/>
    <w:rsid w:val="00F5674C"/>
    <w:rsid w:val="00F678C9"/>
    <w:rsid w:val="00F73EDC"/>
    <w:rsid w:val="00F770A0"/>
    <w:rsid w:val="00F807D0"/>
    <w:rsid w:val="00F82642"/>
    <w:rsid w:val="00F909BA"/>
    <w:rsid w:val="00F90A83"/>
    <w:rsid w:val="00FA4E70"/>
    <w:rsid w:val="00FA679A"/>
    <w:rsid w:val="00FA7338"/>
    <w:rsid w:val="00FB2CC1"/>
    <w:rsid w:val="00FC5130"/>
    <w:rsid w:val="00FC6A9B"/>
    <w:rsid w:val="00FC75A5"/>
    <w:rsid w:val="00FD1855"/>
    <w:rsid w:val="00FD3A1C"/>
    <w:rsid w:val="00FD6CEB"/>
    <w:rsid w:val="00FE1DED"/>
    <w:rsid w:val="00FE2D5A"/>
    <w:rsid w:val="00FE6224"/>
    <w:rsid w:val="00FF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8BB611B"/>
  <w15:docId w15:val="{72D9FA79-23C9-4C36-B093-3004649B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mt-MT"/>
    </w:rPr>
  </w:style>
  <w:style w:type="paragraph" w:styleId="Heading1">
    <w:name w:val="heading 1"/>
    <w:basedOn w:val="Normal"/>
    <w:next w:val="Text1"/>
    <w:link w:val="Heading1Char"/>
    <w:uiPriority w:val="9"/>
    <w:qFormat/>
    <w:rsid w:val="009B7138"/>
    <w:pPr>
      <w:keepNext/>
      <w:numPr>
        <w:numId w:val="27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rsid w:val="009B7138"/>
    <w:pPr>
      <w:keepNext/>
      <w:numPr>
        <w:ilvl w:val="1"/>
        <w:numId w:val="27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rsid w:val="009B7138"/>
    <w:pPr>
      <w:keepNext/>
      <w:numPr>
        <w:ilvl w:val="2"/>
        <w:numId w:val="27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rsid w:val="009B7138"/>
    <w:pPr>
      <w:keepNext/>
      <w:numPr>
        <w:ilvl w:val="3"/>
        <w:numId w:val="27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rsid w:val="007B5549"/>
    <w:pPr>
      <w:keepNext/>
      <w:numPr>
        <w:ilvl w:val="4"/>
        <w:numId w:val="27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rsid w:val="007B5549"/>
    <w:pPr>
      <w:keepNext/>
      <w:numPr>
        <w:ilvl w:val="5"/>
        <w:numId w:val="27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rsid w:val="007B5549"/>
    <w:pPr>
      <w:keepNext/>
      <w:numPr>
        <w:ilvl w:val="6"/>
        <w:numId w:val="27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rsid w:val="00DA5065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A5065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A5065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A5065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DA5065"/>
    <w:pPr>
      <w:numPr>
        <w:numId w:val="5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850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50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5099"/>
    <w:rPr>
      <w:rFonts w:ascii="Times New Roman" w:hAnsi="Times New Roman" w:cs="Times New Roman"/>
      <w:sz w:val="20"/>
      <w:szCs w:val="20"/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50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5099"/>
    <w:rPr>
      <w:rFonts w:ascii="Times New Roman" w:hAnsi="Times New Roman" w:cs="Times New Roman"/>
      <w:b/>
      <w:bCs/>
      <w:sz w:val="20"/>
      <w:szCs w:val="20"/>
      <w:lang w:val="mt-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509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099"/>
    <w:rPr>
      <w:rFonts w:ascii="Segoe UI" w:hAnsi="Segoe UI" w:cs="Segoe UI"/>
      <w:sz w:val="18"/>
      <w:szCs w:val="18"/>
      <w:lang w:val="mt-MT"/>
    </w:rPr>
  </w:style>
  <w:style w:type="paragraph" w:styleId="Revision">
    <w:name w:val="Revision"/>
    <w:hidden/>
    <w:uiPriority w:val="99"/>
    <w:semiHidden/>
    <w:rsid w:val="00B8509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90A83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F90A83"/>
    <w:pPr>
      <w:spacing w:after="0"/>
    </w:pPr>
  </w:style>
  <w:style w:type="paragraph" w:styleId="ListNumber2">
    <w:name w:val="List Number 2"/>
    <w:basedOn w:val="Normal"/>
    <w:uiPriority w:val="99"/>
    <w:semiHidden/>
    <w:unhideWhenUsed/>
    <w:rsid w:val="00F90A83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90A8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90A83"/>
    <w:pPr>
      <w:numPr>
        <w:numId w:val="9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DF74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3FBE"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843FBE"/>
    <w:rPr>
      <w:rFonts w:ascii="Times New Roman" w:hAnsi="Times New Roman" w:cs="Times New Roman"/>
      <w:sz w:val="24"/>
      <w:lang w:val="mt-MT"/>
    </w:rPr>
  </w:style>
  <w:style w:type="paragraph" w:styleId="Footer">
    <w:name w:val="footer"/>
    <w:basedOn w:val="Normal"/>
    <w:link w:val="FooterChar"/>
    <w:uiPriority w:val="99"/>
    <w:unhideWhenUsed/>
    <w:rsid w:val="00843FBE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843FBE"/>
    <w:rPr>
      <w:rFonts w:ascii="Times New Roman" w:hAnsi="Times New Roman" w:cs="Times New Roman"/>
      <w:sz w:val="24"/>
      <w:lang w:val="mt-M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7138"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7138"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9B7138"/>
    <w:rPr>
      <w:rFonts w:ascii="Times New Roman" w:eastAsiaTheme="majorEastAsia" w:hAnsi="Times New Roman" w:cs="Times New Roman"/>
      <w:b/>
      <w:bCs/>
      <w:smallCaps/>
      <w:sz w:val="24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7138"/>
    <w:rPr>
      <w:rFonts w:ascii="Times New Roman" w:eastAsiaTheme="majorEastAsia" w:hAnsi="Times New Roman" w:cs="Times New Roman"/>
      <w:b/>
      <w:bCs/>
      <w:sz w:val="24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138"/>
    <w:rPr>
      <w:rFonts w:ascii="Times New Roman" w:eastAsiaTheme="majorEastAsia" w:hAnsi="Times New Roman" w:cs="Times New Roman"/>
      <w:bCs/>
      <w:i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7138"/>
    <w:rPr>
      <w:rFonts w:ascii="Times New Roman" w:eastAsiaTheme="majorEastAsia" w:hAnsi="Times New Roman" w:cs="Times New Roman"/>
      <w:bCs/>
      <w:iCs/>
      <w:sz w:val="24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9B7138"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rsid w:val="009B7138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843FBE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rsid w:val="00843FBE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sid w:val="009B7138"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843FB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843FBE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843FB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rsid w:val="009B7138"/>
    <w:pPr>
      <w:ind w:left="850"/>
    </w:pPr>
  </w:style>
  <w:style w:type="paragraph" w:customStyle="1" w:styleId="Text2">
    <w:name w:val="Text 2"/>
    <w:basedOn w:val="Normal"/>
    <w:rsid w:val="009B7138"/>
    <w:pPr>
      <w:ind w:left="1417"/>
    </w:pPr>
  </w:style>
  <w:style w:type="paragraph" w:customStyle="1" w:styleId="Text3">
    <w:name w:val="Text 3"/>
    <w:basedOn w:val="Normal"/>
    <w:rsid w:val="009B7138"/>
    <w:pPr>
      <w:ind w:left="1984"/>
    </w:pPr>
  </w:style>
  <w:style w:type="paragraph" w:customStyle="1" w:styleId="Text4">
    <w:name w:val="Text 4"/>
    <w:basedOn w:val="Normal"/>
    <w:rsid w:val="009B7138"/>
    <w:pPr>
      <w:ind w:left="2551"/>
    </w:pPr>
  </w:style>
  <w:style w:type="paragraph" w:customStyle="1" w:styleId="NormalCentered">
    <w:name w:val="Normal Centered"/>
    <w:basedOn w:val="Normal"/>
    <w:rsid w:val="009B7138"/>
    <w:pPr>
      <w:jc w:val="center"/>
    </w:pPr>
  </w:style>
  <w:style w:type="paragraph" w:customStyle="1" w:styleId="NormalLeft">
    <w:name w:val="Normal Left"/>
    <w:basedOn w:val="Normal"/>
    <w:rsid w:val="009B7138"/>
    <w:pPr>
      <w:jc w:val="left"/>
    </w:pPr>
  </w:style>
  <w:style w:type="paragraph" w:customStyle="1" w:styleId="NormalRight">
    <w:name w:val="Normal Right"/>
    <w:basedOn w:val="Normal"/>
    <w:rsid w:val="009B7138"/>
    <w:pPr>
      <w:jc w:val="right"/>
    </w:pPr>
  </w:style>
  <w:style w:type="paragraph" w:customStyle="1" w:styleId="QuotedText">
    <w:name w:val="Quoted Text"/>
    <w:basedOn w:val="Normal"/>
    <w:rsid w:val="009B7138"/>
    <w:pPr>
      <w:ind w:left="1417"/>
    </w:pPr>
  </w:style>
  <w:style w:type="paragraph" w:customStyle="1" w:styleId="Point0">
    <w:name w:val="Point 0"/>
    <w:basedOn w:val="Normal"/>
    <w:rsid w:val="009B7138"/>
    <w:pPr>
      <w:ind w:left="850" w:hanging="850"/>
    </w:pPr>
  </w:style>
  <w:style w:type="paragraph" w:customStyle="1" w:styleId="Point1">
    <w:name w:val="Point 1"/>
    <w:basedOn w:val="Normal"/>
    <w:rsid w:val="009B7138"/>
    <w:pPr>
      <w:ind w:left="1417" w:hanging="567"/>
    </w:pPr>
  </w:style>
  <w:style w:type="paragraph" w:customStyle="1" w:styleId="Point2">
    <w:name w:val="Point 2"/>
    <w:basedOn w:val="Normal"/>
    <w:rsid w:val="009B7138"/>
    <w:pPr>
      <w:ind w:left="1984" w:hanging="567"/>
    </w:pPr>
  </w:style>
  <w:style w:type="paragraph" w:customStyle="1" w:styleId="Point3">
    <w:name w:val="Point 3"/>
    <w:basedOn w:val="Normal"/>
    <w:rsid w:val="009B7138"/>
    <w:pPr>
      <w:ind w:left="2551" w:hanging="567"/>
    </w:pPr>
  </w:style>
  <w:style w:type="paragraph" w:customStyle="1" w:styleId="Point4">
    <w:name w:val="Point 4"/>
    <w:basedOn w:val="Normal"/>
    <w:rsid w:val="009B7138"/>
    <w:pPr>
      <w:ind w:left="3118" w:hanging="567"/>
    </w:pPr>
  </w:style>
  <w:style w:type="paragraph" w:customStyle="1" w:styleId="Tiret0">
    <w:name w:val="Tiret 0"/>
    <w:basedOn w:val="Point0"/>
    <w:rsid w:val="009B7138"/>
    <w:pPr>
      <w:numPr>
        <w:numId w:val="11"/>
      </w:numPr>
    </w:pPr>
  </w:style>
  <w:style w:type="paragraph" w:customStyle="1" w:styleId="Tiret1">
    <w:name w:val="Tiret 1"/>
    <w:basedOn w:val="Point1"/>
    <w:rsid w:val="009B7138"/>
    <w:pPr>
      <w:numPr>
        <w:numId w:val="12"/>
      </w:numPr>
    </w:pPr>
  </w:style>
  <w:style w:type="paragraph" w:customStyle="1" w:styleId="Tiret2">
    <w:name w:val="Tiret 2"/>
    <w:basedOn w:val="Point2"/>
    <w:rsid w:val="009B7138"/>
    <w:pPr>
      <w:numPr>
        <w:numId w:val="13"/>
      </w:numPr>
    </w:pPr>
  </w:style>
  <w:style w:type="paragraph" w:customStyle="1" w:styleId="Tiret3">
    <w:name w:val="Tiret 3"/>
    <w:basedOn w:val="Point3"/>
    <w:rsid w:val="009B7138"/>
    <w:pPr>
      <w:numPr>
        <w:numId w:val="14"/>
      </w:numPr>
    </w:pPr>
  </w:style>
  <w:style w:type="paragraph" w:customStyle="1" w:styleId="Tiret4">
    <w:name w:val="Tiret 4"/>
    <w:basedOn w:val="Point4"/>
    <w:rsid w:val="009B7138"/>
    <w:pPr>
      <w:numPr>
        <w:numId w:val="15"/>
      </w:numPr>
    </w:pPr>
  </w:style>
  <w:style w:type="paragraph" w:customStyle="1" w:styleId="PointDouble0">
    <w:name w:val="PointDouble 0"/>
    <w:basedOn w:val="Normal"/>
    <w:rsid w:val="009B7138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9B7138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9B7138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9B7138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9B7138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rsid w:val="009B7138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9B7138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9B7138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9B7138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9B7138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rsid w:val="009B7138"/>
    <w:pPr>
      <w:numPr>
        <w:numId w:val="31"/>
      </w:numPr>
    </w:pPr>
  </w:style>
  <w:style w:type="paragraph" w:customStyle="1" w:styleId="NumPar2">
    <w:name w:val="NumPar 2"/>
    <w:basedOn w:val="Normal"/>
    <w:next w:val="Text1"/>
    <w:rsid w:val="009B7138"/>
    <w:pPr>
      <w:numPr>
        <w:ilvl w:val="1"/>
        <w:numId w:val="31"/>
      </w:numPr>
    </w:pPr>
  </w:style>
  <w:style w:type="paragraph" w:customStyle="1" w:styleId="NumPar3">
    <w:name w:val="NumPar 3"/>
    <w:basedOn w:val="Normal"/>
    <w:next w:val="Text1"/>
    <w:rsid w:val="009B7138"/>
    <w:pPr>
      <w:numPr>
        <w:ilvl w:val="2"/>
        <w:numId w:val="31"/>
      </w:numPr>
    </w:pPr>
  </w:style>
  <w:style w:type="paragraph" w:customStyle="1" w:styleId="NumPar4">
    <w:name w:val="NumPar 4"/>
    <w:basedOn w:val="Normal"/>
    <w:next w:val="Text1"/>
    <w:rsid w:val="009B7138"/>
    <w:pPr>
      <w:numPr>
        <w:ilvl w:val="3"/>
        <w:numId w:val="31"/>
      </w:numPr>
    </w:pPr>
  </w:style>
  <w:style w:type="paragraph" w:customStyle="1" w:styleId="ManualNumPar1">
    <w:name w:val="Manual NumPar 1"/>
    <w:basedOn w:val="Normal"/>
    <w:next w:val="Text1"/>
    <w:rsid w:val="009B7138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9B7138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9B7138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9B7138"/>
    <w:pPr>
      <w:ind w:left="850" w:hanging="850"/>
    </w:pPr>
  </w:style>
  <w:style w:type="paragraph" w:customStyle="1" w:styleId="QuotedNumPar">
    <w:name w:val="Quoted NumPar"/>
    <w:basedOn w:val="Normal"/>
    <w:rsid w:val="009B7138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9B7138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9B7138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9B7138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9B7138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rsid w:val="009B7138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9B7138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rsid w:val="009B7138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9B7138"/>
    <w:pPr>
      <w:jc w:val="center"/>
    </w:pPr>
    <w:rPr>
      <w:b/>
    </w:rPr>
  </w:style>
  <w:style w:type="character" w:customStyle="1" w:styleId="Marker">
    <w:name w:val="Marker"/>
    <w:basedOn w:val="DefaultParagraphFont"/>
    <w:rsid w:val="009B713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B7138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9B7138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9B7138"/>
    <w:pPr>
      <w:numPr>
        <w:numId w:val="18"/>
      </w:numPr>
    </w:pPr>
  </w:style>
  <w:style w:type="paragraph" w:customStyle="1" w:styleId="Point1number">
    <w:name w:val="Point 1 (number)"/>
    <w:basedOn w:val="Normal"/>
    <w:rsid w:val="009B7138"/>
    <w:pPr>
      <w:numPr>
        <w:ilvl w:val="2"/>
        <w:numId w:val="18"/>
      </w:numPr>
    </w:pPr>
  </w:style>
  <w:style w:type="paragraph" w:customStyle="1" w:styleId="Point2number">
    <w:name w:val="Point 2 (number)"/>
    <w:basedOn w:val="Normal"/>
    <w:rsid w:val="009B7138"/>
    <w:pPr>
      <w:numPr>
        <w:ilvl w:val="4"/>
        <w:numId w:val="18"/>
      </w:numPr>
    </w:pPr>
  </w:style>
  <w:style w:type="paragraph" w:customStyle="1" w:styleId="Point3number">
    <w:name w:val="Point 3 (number)"/>
    <w:basedOn w:val="Normal"/>
    <w:rsid w:val="009B7138"/>
    <w:pPr>
      <w:numPr>
        <w:ilvl w:val="6"/>
        <w:numId w:val="18"/>
      </w:numPr>
    </w:pPr>
  </w:style>
  <w:style w:type="paragraph" w:customStyle="1" w:styleId="Point0letter">
    <w:name w:val="Point 0 (letter)"/>
    <w:basedOn w:val="Normal"/>
    <w:rsid w:val="009B7138"/>
    <w:pPr>
      <w:numPr>
        <w:ilvl w:val="1"/>
        <w:numId w:val="18"/>
      </w:numPr>
    </w:pPr>
  </w:style>
  <w:style w:type="paragraph" w:customStyle="1" w:styleId="Point1letter">
    <w:name w:val="Point 1 (letter)"/>
    <w:basedOn w:val="Normal"/>
    <w:rsid w:val="009B7138"/>
    <w:pPr>
      <w:numPr>
        <w:ilvl w:val="3"/>
        <w:numId w:val="18"/>
      </w:numPr>
    </w:pPr>
  </w:style>
  <w:style w:type="paragraph" w:customStyle="1" w:styleId="Point2letter">
    <w:name w:val="Point 2 (letter)"/>
    <w:basedOn w:val="Normal"/>
    <w:rsid w:val="009B7138"/>
    <w:pPr>
      <w:numPr>
        <w:ilvl w:val="5"/>
        <w:numId w:val="18"/>
      </w:numPr>
    </w:pPr>
  </w:style>
  <w:style w:type="paragraph" w:customStyle="1" w:styleId="Point3letter">
    <w:name w:val="Point 3 (letter)"/>
    <w:basedOn w:val="Normal"/>
    <w:rsid w:val="009B7138"/>
    <w:pPr>
      <w:numPr>
        <w:ilvl w:val="7"/>
        <w:numId w:val="18"/>
      </w:numPr>
    </w:pPr>
  </w:style>
  <w:style w:type="paragraph" w:customStyle="1" w:styleId="Point4letter">
    <w:name w:val="Point 4 (letter)"/>
    <w:basedOn w:val="Normal"/>
    <w:rsid w:val="009B7138"/>
    <w:pPr>
      <w:numPr>
        <w:ilvl w:val="8"/>
        <w:numId w:val="18"/>
      </w:numPr>
    </w:pPr>
  </w:style>
  <w:style w:type="paragraph" w:customStyle="1" w:styleId="Bullet0">
    <w:name w:val="Bullet 0"/>
    <w:basedOn w:val="Normal"/>
    <w:rsid w:val="009B7138"/>
    <w:pPr>
      <w:numPr>
        <w:numId w:val="19"/>
      </w:numPr>
    </w:pPr>
  </w:style>
  <w:style w:type="paragraph" w:customStyle="1" w:styleId="Bullet1">
    <w:name w:val="Bullet 1"/>
    <w:basedOn w:val="Normal"/>
    <w:rsid w:val="009B7138"/>
    <w:pPr>
      <w:numPr>
        <w:numId w:val="20"/>
      </w:numPr>
    </w:pPr>
  </w:style>
  <w:style w:type="paragraph" w:customStyle="1" w:styleId="Bullet2">
    <w:name w:val="Bullet 2"/>
    <w:basedOn w:val="Normal"/>
    <w:rsid w:val="009B7138"/>
    <w:pPr>
      <w:numPr>
        <w:numId w:val="21"/>
      </w:numPr>
    </w:pPr>
  </w:style>
  <w:style w:type="paragraph" w:customStyle="1" w:styleId="Bullet3">
    <w:name w:val="Bullet 3"/>
    <w:basedOn w:val="Normal"/>
    <w:rsid w:val="009B7138"/>
    <w:pPr>
      <w:numPr>
        <w:numId w:val="22"/>
      </w:numPr>
    </w:pPr>
  </w:style>
  <w:style w:type="paragraph" w:customStyle="1" w:styleId="Bullet4">
    <w:name w:val="Bullet 4"/>
    <w:basedOn w:val="Normal"/>
    <w:rsid w:val="009B7138"/>
    <w:pPr>
      <w:numPr>
        <w:numId w:val="23"/>
      </w:numPr>
    </w:pPr>
  </w:style>
  <w:style w:type="paragraph" w:customStyle="1" w:styleId="Langue">
    <w:name w:val="Langue"/>
    <w:basedOn w:val="Normal"/>
    <w:next w:val="Rfrenceinterne"/>
    <w:rsid w:val="009B7138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rsid w:val="009B7138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rsid w:val="009B7138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rsid w:val="009B7138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rsid w:val="009B7138"/>
    <w:pPr>
      <w:spacing w:before="0" w:after="0"/>
    </w:pPr>
  </w:style>
  <w:style w:type="paragraph" w:customStyle="1" w:styleId="Declassification">
    <w:name w:val="Declassification"/>
    <w:basedOn w:val="Normal"/>
    <w:next w:val="Normal"/>
    <w:rsid w:val="009B7138"/>
    <w:pPr>
      <w:spacing w:before="0" w:after="0"/>
    </w:pPr>
  </w:style>
  <w:style w:type="paragraph" w:customStyle="1" w:styleId="Disclaimer">
    <w:name w:val="Disclaimer"/>
    <w:basedOn w:val="Normal"/>
    <w:rsid w:val="009B7138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rsid w:val="009B7138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rsid w:val="009B7138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rsid w:val="009B7138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rsid w:val="009B7138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rsid w:val="009B7138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rsid w:val="009B7138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9B7138"/>
    <w:pPr>
      <w:spacing w:before="480"/>
    </w:pPr>
  </w:style>
  <w:style w:type="paragraph" w:customStyle="1" w:styleId="Avertissementtitre">
    <w:name w:val="Avertissement titre"/>
    <w:basedOn w:val="Normal"/>
    <w:next w:val="Normal"/>
    <w:rsid w:val="009B7138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rsid w:val="009B7138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rsid w:val="009B7138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rsid w:val="009B7138"/>
    <w:pPr>
      <w:numPr>
        <w:numId w:val="24"/>
      </w:numPr>
    </w:pPr>
  </w:style>
  <w:style w:type="paragraph" w:customStyle="1" w:styleId="Corrigendum">
    <w:name w:val="Corrigendum"/>
    <w:basedOn w:val="Normal"/>
    <w:next w:val="Normal"/>
    <w:rsid w:val="009B7138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rsid w:val="009B7138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rsid w:val="009B7138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rsid w:val="009B7138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9B7138"/>
    <w:pPr>
      <w:keepNext/>
    </w:pPr>
  </w:style>
  <w:style w:type="paragraph" w:customStyle="1" w:styleId="Institutionquiagit">
    <w:name w:val="Institution qui agit"/>
    <w:basedOn w:val="Normal"/>
    <w:next w:val="Normal"/>
    <w:rsid w:val="009B7138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9B7138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rsid w:val="009B7138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rsid w:val="009B7138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rsid w:val="009B7138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rsid w:val="009B7138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rsid w:val="009B7138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9B7138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rsid w:val="009B7138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rsid w:val="009B7138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sid w:val="009B7138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B7138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B7138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sid w:val="009B7138"/>
    <w:rPr>
      <w:i/>
      <w:caps/>
    </w:rPr>
  </w:style>
  <w:style w:type="paragraph" w:customStyle="1" w:styleId="Supertitre">
    <w:name w:val="Supertitre"/>
    <w:basedOn w:val="Normal"/>
    <w:next w:val="Normal"/>
    <w:rsid w:val="009B7138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9B7138"/>
    <w:pPr>
      <w:spacing w:before="360" w:after="0"/>
      <w:jc w:val="center"/>
    </w:pPr>
  </w:style>
  <w:style w:type="paragraph" w:customStyle="1" w:styleId="Rfrencecroise">
    <w:name w:val="Référence croisée"/>
    <w:basedOn w:val="Normal"/>
    <w:rsid w:val="009B7138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rsid w:val="009B7138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B713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B7138"/>
  </w:style>
  <w:style w:type="paragraph" w:customStyle="1" w:styleId="StatutPagedecouverture">
    <w:name w:val="Statut (Page de couverture)"/>
    <w:basedOn w:val="Statut"/>
    <w:next w:val="TypedudocumentPagedecouverture"/>
    <w:rsid w:val="009B7138"/>
  </w:style>
  <w:style w:type="paragraph" w:customStyle="1" w:styleId="TitreobjetPagedecouverture">
    <w:name w:val="Titre objet (Page de couverture)"/>
    <w:basedOn w:val="Titreobjet"/>
    <w:next w:val="IntrtEEEPagedecouverture"/>
    <w:rsid w:val="009B7138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B7138"/>
  </w:style>
  <w:style w:type="paragraph" w:customStyle="1" w:styleId="Volume">
    <w:name w:val="Volume"/>
    <w:basedOn w:val="Normal"/>
    <w:next w:val="Confidentialit"/>
    <w:rsid w:val="009B7138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9B7138"/>
    <w:pPr>
      <w:spacing w:after="240"/>
    </w:pPr>
  </w:style>
  <w:style w:type="paragraph" w:customStyle="1" w:styleId="Accompagnant">
    <w:name w:val="Accompagnant"/>
    <w:basedOn w:val="Normal"/>
    <w:next w:val="Typeacteprincipal"/>
    <w:rsid w:val="009B7138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rsid w:val="009B7138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rsid w:val="009B7138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  <w:rsid w:val="009B7138"/>
  </w:style>
  <w:style w:type="paragraph" w:customStyle="1" w:styleId="AccompagnantPagedecouverture">
    <w:name w:val="Accompagnant (Page de couverture)"/>
    <w:basedOn w:val="Accompagnant"/>
    <w:next w:val="TypeacteprincipalPagedecouverture"/>
    <w:rsid w:val="009B713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B7138"/>
  </w:style>
  <w:style w:type="paragraph" w:customStyle="1" w:styleId="ObjetacteprincipalPagedecouverture">
    <w:name w:val="Objet acte principal (Page de couverture)"/>
    <w:basedOn w:val="Objetacteprincipal"/>
    <w:next w:val="Rfrencecroise"/>
    <w:rsid w:val="009B7138"/>
  </w:style>
  <w:style w:type="paragraph" w:customStyle="1" w:styleId="LanguesfaisantfoiPagedecouverture">
    <w:name w:val="Langues faisant foi (Page de couverture)"/>
    <w:basedOn w:val="Normal"/>
    <w:next w:val="Normal"/>
    <w:rsid w:val="009B7138"/>
    <w:pPr>
      <w:spacing w:before="360" w:after="0"/>
      <w:jc w:val="center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7B5549"/>
    <w:rPr>
      <w:rFonts w:ascii="Times New Roman" w:eastAsiaTheme="majorEastAsia" w:hAnsi="Times New Roman" w:cs="Times New Roman"/>
      <w:sz w:val="24"/>
      <w:lang w:val="mt-M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549"/>
    <w:rPr>
      <w:rFonts w:ascii="Times New Roman" w:eastAsiaTheme="majorEastAsia" w:hAnsi="Times New Roman" w:cs="Times New Roman"/>
      <w:iCs/>
      <w:sz w:val="24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549"/>
    <w:rPr>
      <w:rFonts w:ascii="Times New Roman" w:eastAsiaTheme="majorEastAsia" w:hAnsi="Times New Roman" w:cs="Times New Roman"/>
      <w:iCs/>
      <w:sz w:val="24"/>
      <w:lang w:val="mt-MT"/>
    </w:rPr>
  </w:style>
  <w:style w:type="paragraph" w:customStyle="1" w:styleId="ManualHeading5">
    <w:name w:val="Manual Heading 5"/>
    <w:basedOn w:val="Normal"/>
    <w:next w:val="Text2"/>
    <w:rsid w:val="007B5549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rsid w:val="007B5549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rsid w:val="007B5549"/>
    <w:pPr>
      <w:keepNext/>
      <w:tabs>
        <w:tab w:val="left" w:pos="1417"/>
      </w:tabs>
      <w:ind w:left="1417" w:hanging="1417"/>
      <w:outlineLvl w:val="6"/>
    </w:pPr>
  </w:style>
  <w:style w:type="paragraph" w:customStyle="1" w:styleId="Text5">
    <w:name w:val="Text 5"/>
    <w:basedOn w:val="Normal"/>
    <w:rsid w:val="007B5549"/>
    <w:pPr>
      <w:ind w:left="3118"/>
    </w:pPr>
  </w:style>
  <w:style w:type="paragraph" w:customStyle="1" w:styleId="Text6">
    <w:name w:val="Text 6"/>
    <w:basedOn w:val="Normal"/>
    <w:rsid w:val="007B5549"/>
    <w:pPr>
      <w:ind w:left="3685"/>
    </w:pPr>
  </w:style>
  <w:style w:type="paragraph" w:customStyle="1" w:styleId="Point5">
    <w:name w:val="Point 5"/>
    <w:basedOn w:val="Normal"/>
    <w:rsid w:val="007B5549"/>
    <w:pPr>
      <w:ind w:left="3685" w:hanging="567"/>
    </w:pPr>
  </w:style>
  <w:style w:type="paragraph" w:customStyle="1" w:styleId="Tiret5">
    <w:name w:val="Tiret 5"/>
    <w:basedOn w:val="Point5"/>
    <w:rsid w:val="007B5549"/>
    <w:pPr>
      <w:numPr>
        <w:numId w:val="28"/>
      </w:numPr>
    </w:pPr>
  </w:style>
  <w:style w:type="paragraph" w:customStyle="1" w:styleId="NumPar5">
    <w:name w:val="NumPar 5"/>
    <w:basedOn w:val="Normal"/>
    <w:next w:val="Text2"/>
    <w:rsid w:val="007B5549"/>
    <w:pPr>
      <w:numPr>
        <w:ilvl w:val="4"/>
        <w:numId w:val="31"/>
      </w:numPr>
    </w:pPr>
  </w:style>
  <w:style w:type="paragraph" w:customStyle="1" w:styleId="NumPar6">
    <w:name w:val="NumPar 6"/>
    <w:basedOn w:val="Normal"/>
    <w:next w:val="Text2"/>
    <w:rsid w:val="007B5549"/>
    <w:pPr>
      <w:numPr>
        <w:ilvl w:val="5"/>
        <w:numId w:val="31"/>
      </w:numPr>
    </w:pPr>
  </w:style>
  <w:style w:type="paragraph" w:customStyle="1" w:styleId="NumPar7">
    <w:name w:val="NumPar 7"/>
    <w:basedOn w:val="Normal"/>
    <w:next w:val="Text2"/>
    <w:rsid w:val="007B5549"/>
    <w:pPr>
      <w:numPr>
        <w:ilvl w:val="6"/>
        <w:numId w:val="31"/>
      </w:numPr>
    </w:pPr>
  </w:style>
  <w:style w:type="paragraph" w:customStyle="1" w:styleId="ManualNumPar5">
    <w:name w:val="Manual NumPar 5"/>
    <w:basedOn w:val="Normal"/>
    <w:next w:val="Text2"/>
    <w:rsid w:val="007B5549"/>
    <w:pPr>
      <w:ind w:left="1417" w:hanging="1417"/>
    </w:pPr>
  </w:style>
  <w:style w:type="paragraph" w:customStyle="1" w:styleId="ManualNumPar6">
    <w:name w:val="Manual NumPar 6"/>
    <w:basedOn w:val="Normal"/>
    <w:next w:val="Text2"/>
    <w:rsid w:val="007B5549"/>
    <w:pPr>
      <w:ind w:left="1417" w:hanging="1417"/>
    </w:pPr>
  </w:style>
  <w:style w:type="paragraph" w:customStyle="1" w:styleId="ManualNumPar7">
    <w:name w:val="Manual NumPar 7"/>
    <w:basedOn w:val="Normal"/>
    <w:next w:val="Text2"/>
    <w:rsid w:val="007B5549"/>
    <w:pPr>
      <w:ind w:left="1417" w:hanging="14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0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01439-1183-43AF-8F4A-59F5E9580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3</TotalTime>
  <Pages>10</Pages>
  <Words>2707</Words>
  <Characters>18954</Characters>
  <Application>Microsoft Office Word</Application>
  <DocSecurity>0</DocSecurity>
  <Lines>296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35</cp:revision>
  <cp:lastPrinted>2021-11-04T14:26:00Z</cp:lastPrinted>
  <dcterms:created xsi:type="dcterms:W3CDTF">2021-12-14T10:26:00Z</dcterms:created>
  <dcterms:modified xsi:type="dcterms:W3CDTF">2021-12-15T08:29:00Z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Version">
    <vt:lpwstr>7.0.9.0</vt:lpwstr>
  </property>
  <property fmtid="{D5CDD505-2E9C-101B-9397-08002B2CF9AE}" pid="4" name="Last edited using">
    <vt:lpwstr>LW 7.0.1, Build 20200226</vt:lpwstr>
  </property>
  <property fmtid="{D5CDD505-2E9C-101B-9397-08002B2CF9AE}" pid="5" name="Created using">
    <vt:lpwstr>LW 7.0.1, Build 20200226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SJ-022</vt:lpwstr>
  </property>
  <property fmtid="{D5CDD505-2E9C-101B-9397-08002B2CF9AE}" pid="10" name="MSIP_Label_6bd9ddd1-4d20-43f6-abfa-fc3c07406f94_Enabled">
    <vt:lpwstr>true</vt:lpwstr>
  </property>
  <property fmtid="{D5CDD505-2E9C-101B-9397-08002B2CF9AE}" pid="11" name="MSIP_Label_6bd9ddd1-4d20-43f6-abfa-fc3c07406f94_SetDate">
    <vt:lpwstr>2021-11-03T17:09:39Z</vt:lpwstr>
  </property>
  <property fmtid="{D5CDD505-2E9C-101B-9397-08002B2CF9AE}" pid="12" name="MSIP_Label_6bd9ddd1-4d20-43f6-abfa-fc3c07406f94_Method">
    <vt:lpwstr>Standard</vt:lpwstr>
  </property>
  <property fmtid="{D5CDD505-2E9C-101B-9397-08002B2CF9AE}" pid="13" name="MSIP_Label_6bd9ddd1-4d20-43f6-abfa-fc3c07406f94_Name">
    <vt:lpwstr>Commission Use</vt:lpwstr>
  </property>
  <property fmtid="{D5CDD505-2E9C-101B-9397-08002B2CF9AE}" pid="14" name="MSIP_Label_6bd9ddd1-4d20-43f6-abfa-fc3c07406f94_SiteId">
    <vt:lpwstr>b24c8b06-522c-46fe-9080-70926f8dddb1</vt:lpwstr>
  </property>
  <property fmtid="{D5CDD505-2E9C-101B-9397-08002B2CF9AE}" pid="15" name="MSIP_Label_6bd9ddd1-4d20-43f6-abfa-fc3c07406f94_ActionId">
    <vt:lpwstr>1bf989b6-2bc0-4c64-8752-15bf307a10f4</vt:lpwstr>
  </property>
  <property fmtid="{D5CDD505-2E9C-101B-9397-08002B2CF9AE}" pid="16" name="MSIP_Label_6bd9ddd1-4d20-43f6-abfa-fc3c07406f94_ContentBits">
    <vt:lpwstr>0</vt:lpwstr>
  </property>
  <property fmtid="{D5CDD505-2E9C-101B-9397-08002B2CF9AE}" pid="17" name="DQCStatus">
    <vt:lpwstr>Green (DQC version 03)</vt:lpwstr>
  </property>
  <property name="OP_sanitized" fmtid="{D5CDD505-2E9C-101B-9397-08002B2CF9AE}" pid="18">
    <vt:lpwstr>True</vt:lpwstr>
  </property>
</Properties>
</file>