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alt="416FC479-7182-4F1A-87E8-5BADA7BEA24D" style="width:455.6pt;height:324pt">
            <v:imagedata r:id="rId17" o:title=""/>
          </v:shape>
        </w:pict>
      </w:r>
    </w:p>
    <w:bookmarkEnd w:id="0"/>
    <w:p>
      <w:pPr>
        <w:rPr>
          <w:noProof/>
        </w:rPr>
        <w:sectPr>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0"/>
          <w:cols w:space="720"/>
          <w:docGrid w:linePitch="326"/>
        </w:sectPr>
      </w:pPr>
    </w:p>
    <w:p>
      <w:pPr>
        <w:rPr>
          <w:noProof/>
        </w:rPr>
      </w:pPr>
      <w:bookmarkStart w:id="1" w:name="_GoBack"/>
      <w:bookmarkEnd w:id="1"/>
    </w:p>
    <w:p>
      <w:pPr>
        <w:rPr>
          <w:noProof/>
        </w:rPr>
      </w:pPr>
    </w:p>
    <w:p>
      <w:pPr>
        <w:jc w:val="center"/>
        <w:rPr>
          <w:b/>
          <w:noProof/>
        </w:rPr>
      </w:pPr>
      <w:r>
        <w:rPr>
          <w:b/>
          <w:noProof/>
        </w:rPr>
        <w:t>Rapport tal-Kummissjoni lill-Parlament Ewropew u lill-Kunsill dwar l-Artikolu 7(a) tar-Regolament tal-Kunsill (KE) Nru 2271/96 (“Statut ta’ Mblukkar”)</w:t>
      </w:r>
    </w:p>
    <w:p>
      <w:pPr>
        <w:rPr>
          <w:noProof/>
        </w:rPr>
      </w:pPr>
    </w:p>
    <w:p>
      <w:pPr>
        <w:spacing w:line="276" w:lineRule="auto"/>
        <w:rPr>
          <w:noProof/>
        </w:rPr>
      </w:pPr>
      <w:r>
        <w:rPr>
          <w:noProof/>
        </w:rPr>
        <w:t>Il-miżuri restrittivi (sanzjonijiet) huma għodda essenzjali għall-politika estera u ta’ sigurtà komuni tal-Unjoni, li permezz tagħha l-Unjoni Ewropea (UE) tista’ tintervjeni fejn meħtieġ biex tipprevjeni l-kunflitt jew tirreaġixxi għal kriżijiet emerġenti jew attwali. Filwaqt li s-sanzjonijiet tal-UE b’mod inerenti għandhom l-għan li jaffettwaw il-politiki jew l-attivitajiet f’pajjiżi li mhumiex fl-UE, dawn japplikaw biss fejn l-UE għandha ġurisdizzjoni. Fi kliem ieħor, l-obbligi li jimponu huma vinkolanti fuq iċ-ċittadini tal-UE jew persuni li jinsabu fl-UE jew li jagħmlu negozju hawnhekk. B’kuntrast ma’ dan, ġurisdizzjonijiet oħra japplikaw xi wħud mis-sanzjonijiet tagħhom barra mit-territorju, jiġifieri jistennew li ċ-ċittadini u l-kumpaniji ta’ pajjiżi terzi inklużi pajjiżi tal-UE jaġixxu f’konformità magħhom. Bħala kwistjoni ta’ prinċipju, l-UE tqis li l-applikazzjoni extraterritorjali tas-sanzjonijiet tmur kontra d-dritt internazzjonali.</w:t>
      </w:r>
    </w:p>
    <w:p>
      <w:pPr>
        <w:spacing w:line="276" w:lineRule="auto"/>
        <w:rPr>
          <w:noProof/>
        </w:rPr>
      </w:pPr>
      <w:r>
        <w:rPr>
          <w:noProof/>
        </w:rPr>
        <w:t>Fl-1996, l-UE adottat ir-Regolament tal-Kunsill (KE) Nru 2271/96</w:t>
      </w:r>
      <w:r>
        <w:rPr>
          <w:rStyle w:val="FootnoteReference"/>
          <w:noProof/>
          <w:lang w:val="en-US"/>
        </w:rPr>
        <w:footnoteReference w:id="1"/>
      </w:r>
      <w:r>
        <w:rPr>
          <w:noProof/>
        </w:rPr>
        <w:t xml:space="preserve"> (l-“Istatut ta’ Mblukkar”) biex tagħti effett lil dan il-prinċipju. L-għan tal-Istatut ta’ Mblukkar huwa li jikkontrobatti l-applikazzjoni extraterritorjali ta’ liġijiet, regolamenti, u strumenti leġiżlattivi oħra ta’ pajjiżi mhux tal-UE li għandhom l-għan li jirregolaw l-attivitajiet ta’ persuni fiżiċi u ġuridiċi taħt il-ġurisdizzjoni tal-Istati Membri.</w:t>
      </w:r>
    </w:p>
    <w:p>
      <w:pPr>
        <w:spacing w:line="276" w:lineRule="auto"/>
        <w:rPr>
          <w:noProof/>
        </w:rPr>
      </w:pPr>
      <w:r>
        <w:rPr>
          <w:noProof/>
        </w:rPr>
        <w:t>Skont l-Istatut ta’ Mblukkar, il-Kummissjoni trid tinforma lill-Parlament Ewropew u lill-Kunsill dwar l-effetti tal-istrumenti leġiżlattivi u l-azzjonijiet sussegwenti, abbażi tal-informazzjoni miksuba skont ir-Regolament, u regolarment tipprovdi rapport pubbliku sħiħ dwar is-sejbiet tagħha</w:t>
      </w:r>
      <w:r>
        <w:rPr>
          <w:rStyle w:val="FootnoteReference"/>
          <w:noProof/>
        </w:rPr>
        <w:footnoteReference w:id="2"/>
      </w:r>
      <w:r>
        <w:rPr>
          <w:noProof/>
        </w:rPr>
        <w:t>.</w:t>
      </w:r>
    </w:p>
    <w:p>
      <w:pPr>
        <w:spacing w:line="276" w:lineRule="auto"/>
        <w:rPr>
          <w:noProof/>
        </w:rPr>
      </w:pPr>
      <w:r>
        <w:rPr>
          <w:noProof/>
        </w:rPr>
        <w:t>Wara l-attivazzjoni mill-ġdid tal-Istatut ta’ Mblukkar permezz ta’ emenda tal-anness tiegħu fl-2018</w:t>
      </w:r>
      <w:r>
        <w:rPr>
          <w:rStyle w:val="FootnoteReference"/>
          <w:rFonts w:cs="Calibri"/>
          <w:noProof/>
        </w:rPr>
        <w:footnoteReference w:id="3"/>
      </w:r>
      <w:r>
        <w:rPr>
          <w:noProof/>
        </w:rPr>
        <w:t>, il-persuni u l-kumpaniji tal-UE jikkondividu mal-Kummissjoni informazzjoni dwar kif is-sanzjonijiet extraterritorjali elenkati qed jaffettwaw l-interessi ekonomiċi u / jew finanzjarji tagħhom</w:t>
      </w:r>
      <w:r>
        <w:rPr>
          <w:rStyle w:val="FootnoteReference"/>
          <w:noProof/>
        </w:rPr>
        <w:footnoteReference w:id="4"/>
      </w:r>
      <w:r>
        <w:rPr>
          <w:noProof/>
        </w:rPr>
        <w:t>. Mill-emenda għall-Istatut ta’ Mblukkar fl-2018 ’il quddiem, u r-riattivazzjoni mill-Istati Uniti tat-Titolu III u t-Titolu IV tal-Att Helms-Burton fl-2019, il-Kummissjoni rċeviet għadd sostanzjali ta’ notifiki. Dan ir-rapport jagħti dettalji dwar dawn in-notifiki u għandu l-għan li jipprovdi ħarsa ġenerali lejn l-effetti kkawżati mill-applikazzjoni extraterritorjali tas-sanzjonijiet ta’ pajjiżi mhux tal-UE. Ir-rapport huwa bbażat fuq informazzjoni pprovduta lill-Kummissjoni skont din il-</w:t>
      </w:r>
      <w:r>
        <w:rPr>
          <w:noProof/>
        </w:rPr>
        <w:lastRenderedPageBreak/>
        <w:t xml:space="preserve">proċedura. Bħala tali, mhuwiex eżawrjenti u ma jistax jindirizza każijiet li ma ġewx irrappurtati lill-Kummissjoni. </w:t>
      </w:r>
    </w:p>
    <w:p>
      <w:pPr>
        <w:pStyle w:val="Heading1"/>
        <w:spacing w:line="276" w:lineRule="auto"/>
        <w:rPr>
          <w:noProof/>
        </w:rPr>
      </w:pPr>
      <w:r>
        <w:rPr>
          <w:noProof/>
        </w:rPr>
        <w:t>L-Istatut ta’ Mblukkar</w:t>
      </w:r>
    </w:p>
    <w:p>
      <w:pPr>
        <w:spacing w:line="276" w:lineRule="auto"/>
        <w:rPr>
          <w:noProof/>
        </w:rPr>
      </w:pPr>
      <w:r>
        <w:rPr>
          <w:noProof/>
        </w:rPr>
        <w:t>L-Istatut ta’ Mblukkar jikkonsisti fi 12-il artikolu u fih anness li jelenka l-liġijiet speċifiċi fil-mira tiegħu</w:t>
      </w:r>
      <w:r>
        <w:rPr>
          <w:rStyle w:val="FootnoteReference"/>
          <w:noProof/>
        </w:rPr>
        <w:footnoteReference w:id="5"/>
      </w:r>
      <w:r>
        <w:rPr>
          <w:noProof/>
        </w:rPr>
        <w:t xml:space="preserve"> (“liġijiet extraterritorjali elenkati”). Għandu jinqara flimkien ma’ tliet testi ewlenin oħra:</w:t>
      </w:r>
    </w:p>
    <w:p>
      <w:pPr>
        <w:numPr>
          <w:ilvl w:val="0"/>
          <w:numId w:val="22"/>
        </w:numPr>
        <w:spacing w:line="276" w:lineRule="auto"/>
        <w:ind w:left="284" w:hanging="284"/>
        <w:rPr>
          <w:noProof/>
        </w:rPr>
      </w:pPr>
      <w:hyperlink r:id="rId24" w:history="1">
        <w:r>
          <w:rPr>
            <w:rStyle w:val="Hyperlink"/>
            <w:noProof/>
          </w:rPr>
          <w:t>Ir-Regolament Delegat tal-Kummissjoni (UE) 2018/1100</w:t>
        </w:r>
      </w:hyperlink>
      <w:r>
        <w:rPr>
          <w:rStyle w:val="FootnoteReference"/>
        </w:rPr>
        <w:footnoteReference w:id="6"/>
      </w:r>
      <w:r>
        <w:rPr>
          <w:noProof/>
        </w:rPr>
        <w:t xml:space="preserve"> li implimenta l-aktar emendi reċenti għall-anness tal-Istatut ta’ Mblukkar,</w:t>
      </w:r>
    </w:p>
    <w:p>
      <w:pPr>
        <w:numPr>
          <w:ilvl w:val="0"/>
          <w:numId w:val="22"/>
        </w:numPr>
        <w:spacing w:line="276" w:lineRule="auto"/>
        <w:ind w:left="284" w:hanging="284"/>
        <w:rPr>
          <w:noProof/>
        </w:rPr>
      </w:pPr>
      <w:hyperlink r:id="rId25" w:history="1">
        <w:r>
          <w:rPr>
            <w:rStyle w:val="Hyperlink"/>
            <w:noProof/>
          </w:rPr>
          <w:t>Ir-Regolament ta’ Implimentazzjoni tal-Kummissjoni (UE) 2018/1101</w:t>
        </w:r>
      </w:hyperlink>
      <w:r>
        <w:rPr>
          <w:rStyle w:val="FootnoteReference"/>
          <w:noProof/>
        </w:rPr>
        <w:footnoteReference w:id="7"/>
      </w:r>
      <w:r>
        <w:rPr>
          <w:noProof/>
        </w:rPr>
        <w:t>, li jistabbilixxi l-kriterji li l-Kummissjoni tapplika meta tawtorizza applikazzjonijiet biex tikkonforma ma’ liġi extraterritorjali elenkata, u</w:t>
      </w:r>
    </w:p>
    <w:p>
      <w:pPr>
        <w:numPr>
          <w:ilvl w:val="0"/>
          <w:numId w:val="22"/>
        </w:numPr>
        <w:spacing w:line="276" w:lineRule="auto"/>
        <w:ind w:left="284" w:hanging="284"/>
        <w:rPr>
          <w:noProof/>
        </w:rPr>
      </w:pPr>
      <w:hyperlink r:id="rId26" w:history="1">
        <w:r>
          <w:rPr>
            <w:rStyle w:val="Hyperlink"/>
            <w:noProof/>
          </w:rPr>
          <w:t>In-Nota ta’ Gwida</w:t>
        </w:r>
      </w:hyperlink>
      <w:r>
        <w:rPr>
          <w:noProof/>
        </w:rPr>
        <w:t>:</w:t>
      </w:r>
      <w:hyperlink r:id="rId27" w:history="1">
        <w:r>
          <w:rPr>
            <w:rStyle w:val="Hyperlink"/>
            <w:noProof/>
          </w:rPr>
          <w:t>Mistoqsijiet u Tweġibiet dwar l-adozzjoni tal-aġġornament tal-Istatut ta’ Mblukkar (2018/C 277 I/03)</w:t>
        </w:r>
      </w:hyperlink>
      <w:r>
        <w:rPr>
          <w:rStyle w:val="FootnoteReference"/>
          <w:noProof/>
        </w:rPr>
        <w:footnoteReference w:id="8"/>
      </w:r>
      <w:r>
        <w:rPr>
          <w:noProof/>
        </w:rPr>
        <w:t xml:space="preserve"> li jipprovdu spjegazzjoni komprensiva għal mistoqsijiet komuni f’format ta’ “mistoqsija u tweġiba”. </w:t>
      </w:r>
    </w:p>
    <w:p>
      <w:pPr>
        <w:spacing w:line="276" w:lineRule="auto"/>
        <w:rPr>
          <w:noProof/>
          <w:u w:val="single"/>
        </w:rPr>
      </w:pPr>
      <w:r>
        <w:rPr>
          <w:noProof/>
          <w:u w:val="single"/>
        </w:rPr>
        <w:t>B’mod ġenerali, l-Istatut ta’ Mblukkar jipproteġi l-interessi, il-persuni u l-kumpaniji tal-UE</w:t>
      </w:r>
      <w:r>
        <w:rPr>
          <w:rStyle w:val="FootnoteReference"/>
          <w:noProof/>
          <w:u w:val="single"/>
        </w:rPr>
        <w:footnoteReference w:id="9"/>
      </w:r>
      <w:r>
        <w:rPr>
          <w:noProof/>
          <w:u w:val="single"/>
        </w:rPr>
        <w:t xml:space="preserve"> billi:</w:t>
      </w:r>
    </w:p>
    <w:p>
      <w:pPr>
        <w:numPr>
          <w:ilvl w:val="0"/>
          <w:numId w:val="43"/>
        </w:numPr>
        <w:spacing w:line="276" w:lineRule="auto"/>
        <w:rPr>
          <w:noProof/>
        </w:rPr>
      </w:pPr>
      <w:r>
        <w:rPr>
          <w:noProof/>
        </w:rPr>
        <w:t xml:space="preserve">jannulla l-effett fl-UE ta’ kwalunkwe deċiżjoni ta’ qorti barranija bbażata fuq il-liġijiet extraterritorjali elenkati (l-Artikolu 4); </w:t>
      </w:r>
    </w:p>
    <w:p>
      <w:pPr>
        <w:numPr>
          <w:ilvl w:val="0"/>
          <w:numId w:val="43"/>
        </w:numPr>
        <w:spacing w:line="276" w:lineRule="auto"/>
        <w:rPr>
          <w:noProof/>
        </w:rPr>
      </w:pPr>
      <w:r>
        <w:rPr>
          <w:noProof/>
        </w:rPr>
        <w:t xml:space="preserve">jipprojbixxi persuni u kumpaniji tal-UE milli jikkonformaw ma’ kwalunkwe rekwiżit jew projbizzjoni li jinsabu fil-liġijiet extraterritorjali elenkati (l-Artikolu 5, l-ewwel paragrafu); </w:t>
      </w:r>
    </w:p>
    <w:p>
      <w:pPr>
        <w:numPr>
          <w:ilvl w:val="0"/>
          <w:numId w:val="43"/>
        </w:numPr>
        <w:spacing w:line="276" w:lineRule="auto"/>
        <w:rPr>
          <w:noProof/>
        </w:rPr>
      </w:pPr>
      <w:r>
        <w:rPr>
          <w:noProof/>
        </w:rPr>
        <w:t>iħalli lill-persuni u l-kumpaniji tal-UE jirkupraw fil-qorti d-danni kkawżati mill-applikazzjoni extraterritorjali tal-liġijiet extraterritorjali elenkati (l-Artikolu 6); kif ukoll</w:t>
      </w:r>
    </w:p>
    <w:p>
      <w:pPr>
        <w:numPr>
          <w:ilvl w:val="0"/>
          <w:numId w:val="43"/>
        </w:numPr>
        <w:spacing w:line="276" w:lineRule="auto"/>
        <w:rPr>
          <w:noProof/>
        </w:rPr>
      </w:pPr>
      <w:r>
        <w:rPr>
          <w:noProof/>
        </w:rPr>
        <w:t>jirrikjedi li l-persuni u l-kumpaniji tal-UE jinfurmaw lill-Kummissjoni jekk dawn il-liġijiet extraterritorjali elenkati jaffettwaw l-interessi ekonomiċi jew finanzjarji tagħhom (l-Artikolu 2).</w:t>
      </w:r>
    </w:p>
    <w:p>
      <w:pPr>
        <w:spacing w:after="0" w:line="276" w:lineRule="auto"/>
        <w:rPr>
          <w:noProof/>
        </w:rPr>
      </w:pPr>
    </w:p>
    <w:p>
      <w:pPr>
        <w:spacing w:line="276" w:lineRule="auto"/>
        <w:rPr>
          <w:noProof/>
          <w:u w:val="single"/>
        </w:rPr>
      </w:pPr>
      <w:r>
        <w:rPr>
          <w:noProof/>
          <w:u w:val="single"/>
        </w:rPr>
        <w:t>Dispożizzjonijiet speċifiċi tal-Istatut ta’ Mblukkar ta’ rilevanza partikolari għal dan ir-rapport:</w:t>
      </w:r>
    </w:p>
    <w:p>
      <w:pPr>
        <w:pStyle w:val="Text1"/>
        <w:numPr>
          <w:ilvl w:val="0"/>
          <w:numId w:val="40"/>
        </w:numPr>
        <w:spacing w:line="276" w:lineRule="auto"/>
        <w:rPr>
          <w:noProof/>
        </w:rPr>
      </w:pPr>
      <w:r>
        <w:rPr>
          <w:noProof/>
        </w:rPr>
        <w:t>Obbligu li jiġi rrappurtat dannu għall-interessi ekonomiċi u finanzjarji</w:t>
      </w:r>
    </w:p>
    <w:p>
      <w:pPr>
        <w:spacing w:line="276" w:lineRule="auto"/>
        <w:rPr>
          <w:noProof/>
        </w:rPr>
      </w:pPr>
      <w:r>
        <w:rPr>
          <w:noProof/>
        </w:rPr>
        <w:t>L-Istatut ta’ Mblukkar jipprevedi li l-persuni u l-kumpaniji tal-UE jridu jinfurmaw lill-Kummissjoni jekk il-liġijiet extraterritorjali elenkati jaffettwaw direttament jew indirettament l-interessi ekonomiċi jew finanzjarji tagħhom</w:t>
      </w:r>
      <w:r>
        <w:rPr>
          <w:rStyle w:val="FootnoteReference"/>
          <w:noProof/>
        </w:rPr>
        <w:footnoteReference w:id="10"/>
      </w:r>
      <w:r>
        <w:rPr>
          <w:noProof/>
        </w:rPr>
        <w:t>. Huma għandhom jinfurmaw lill-Kummissjoni fi żmien 30 jum bi kwalunkwe dannu jew avveniment</w:t>
      </w:r>
      <w:r>
        <w:rPr>
          <w:rStyle w:val="FootnoteReference"/>
          <w:noProof/>
        </w:rPr>
        <w:footnoteReference w:id="11"/>
      </w:r>
      <w:r>
        <w:rPr>
          <w:noProof/>
        </w:rPr>
        <w:t>. Għal kumpanija, dan l-obbligu jaqa’ fuq diretturi, maniġers jew persuni li jeżerċitaw responsabbiltajiet maniġerjali</w:t>
      </w:r>
      <w:r>
        <w:rPr>
          <w:rStyle w:val="FootnoteReference"/>
          <w:noProof/>
        </w:rPr>
        <w:footnoteReference w:id="12"/>
      </w:r>
      <w:r>
        <w:rPr>
          <w:noProof/>
        </w:rPr>
        <w:t xml:space="preserve">. </w:t>
      </w:r>
    </w:p>
    <w:p>
      <w:pPr>
        <w:spacing w:line="276" w:lineRule="auto"/>
        <w:rPr>
          <w:b/>
          <w:noProof/>
        </w:rPr>
      </w:pPr>
      <w:r>
        <w:rPr>
          <w:noProof/>
        </w:rPr>
        <w:t>Permezz ta’ tali notifiki, il-Kummissjoni tiġbor informazzjoni minn persuni u kumpaniji tal-UE dwar l-applikazzjoni possibbli tal-liġijiet extraterritorjali elenkati. Meta “notifika” tiġi ppreżentata direttament lill-Kummissjoni, din tinforma minnufih lill-awtoritajiet kompetenti tal-Istat Membru. Persuni u kumpaniji tal-UE jistgħu wkoll jilħqu lill-awtorità kompetenti tal-Istat Membru fejn il-persuna tkun qed tgħix jew fejn tkun ibbażata l-kumpanija.</w:t>
      </w:r>
    </w:p>
    <w:p>
      <w:pPr>
        <w:pStyle w:val="Text1"/>
        <w:keepNext/>
        <w:numPr>
          <w:ilvl w:val="0"/>
          <w:numId w:val="40"/>
        </w:numPr>
        <w:spacing w:line="276" w:lineRule="auto"/>
        <w:ind w:left="714" w:hanging="357"/>
        <w:rPr>
          <w:rFonts w:cs="Calibri"/>
          <w:noProof/>
        </w:rPr>
      </w:pPr>
      <w:r>
        <w:rPr>
          <w:noProof/>
        </w:rPr>
        <w:t>Informazzjoni lill-Parlament Ewropew u lill-Kunsill</w:t>
      </w:r>
    </w:p>
    <w:p>
      <w:pPr>
        <w:spacing w:line="276" w:lineRule="auto"/>
        <w:rPr>
          <w:b/>
          <w:noProof/>
        </w:rPr>
      </w:pPr>
      <w:r>
        <w:rPr>
          <w:noProof/>
        </w:rPr>
        <w:t>Filwaqt li tibni fuq l-informazzjoni li tiġbor min-notifiki fl-implimentazzjoni tal-Istatu ta’ Mblukkar, il-Kummissjoni tinforma lill-Parlament Ewropew u lill-Kunsill dwar l-effetti tal-liġijiet extraterritorjali elenkati</w:t>
      </w:r>
      <w:r>
        <w:rPr>
          <w:rStyle w:val="FootnoteReference"/>
          <w:noProof/>
          <w:lang w:val="en-US"/>
        </w:rPr>
        <w:footnoteReference w:id="13"/>
      </w:r>
      <w:r>
        <w:rPr>
          <w:noProof/>
        </w:rPr>
        <w:t xml:space="preserve">. </w:t>
      </w:r>
    </w:p>
    <w:p>
      <w:pPr>
        <w:spacing w:line="276" w:lineRule="auto"/>
        <w:rPr>
          <w:noProof/>
          <w:u w:val="single"/>
        </w:rPr>
      </w:pPr>
      <w:r>
        <w:rPr>
          <w:noProof/>
          <w:u w:val="single"/>
        </w:rPr>
        <w:t>Kompetenzi oħra tal-Kummissjoni Ewropea skont l-Istatut ta’ Mblukkar huma:</w:t>
      </w:r>
    </w:p>
    <w:p>
      <w:pPr>
        <w:numPr>
          <w:ilvl w:val="0"/>
          <w:numId w:val="38"/>
        </w:numPr>
        <w:spacing w:line="276" w:lineRule="auto"/>
        <w:rPr>
          <w:noProof/>
        </w:rPr>
      </w:pPr>
      <w:r>
        <w:rPr>
          <w:b/>
          <w:noProof/>
        </w:rPr>
        <w:t>L-għoti ta’ awtorizzazzjonijiet għall-konformità mal-liġijiet extraterritorjali elenkati:</w:t>
      </w:r>
      <w:r>
        <w:rPr>
          <w:noProof/>
        </w:rPr>
        <w:t xml:space="preserve"> f’ċirkostanzi eċċezzjonali, il-Kummissjoni tista’ tagħti lil persuni jew kumpaniji tal-UE awtorizzazzjoni biex jikkonformaw bis-sħiħ jew parzjalment ma’ liġi extraterritorjali elenkata jekk il-fatt li ma jagħmlux dan ikun ta’ dannu serju għall-interessi tagħhom jew dawk tal-UE</w:t>
      </w:r>
      <w:r>
        <w:rPr>
          <w:rStyle w:val="FootnoteReference"/>
          <w:noProof/>
        </w:rPr>
        <w:footnoteReference w:id="14"/>
      </w:r>
      <w:r>
        <w:rPr>
          <w:noProof/>
        </w:rPr>
        <w:t xml:space="preserve">. </w:t>
      </w:r>
    </w:p>
    <w:p>
      <w:pPr>
        <w:spacing w:line="276" w:lineRule="auto"/>
        <w:ind w:left="720"/>
        <w:rPr>
          <w:noProof/>
        </w:rPr>
      </w:pPr>
      <w:r>
        <w:rPr>
          <w:noProof/>
        </w:rPr>
        <w:t>Tali awtorizzazzjoni tista’ tingħata f’ċirkostanzi speċifiċi u debitament motivati bħala eċċezzjoni għall-projbizzjoni ta’ konformità mal-liġijiet extraterritorjali elenkati. L-applikazzjonijiet jiġu vvalutati abbażi tal-kriterji stabbiliti fir-Regolament ta’ Implimentazzjoni 2018/1101. Il-Kumitat għal-Leġiżlazzjoni Extraterritorjali, li huwa magħmul minn rappreżentant ta’ kull Stat Membru, jassisti lill-Kummissjoni fil-valutazzjoni ta’ dawn l-applikazzjonijiet</w:t>
      </w:r>
      <w:r>
        <w:rPr>
          <w:rStyle w:val="FootnoteReference"/>
          <w:noProof/>
        </w:rPr>
        <w:footnoteReference w:id="15"/>
      </w:r>
      <w:r>
        <w:rPr>
          <w:noProof/>
        </w:rPr>
        <w:t>.</w:t>
      </w:r>
    </w:p>
    <w:p>
      <w:pPr>
        <w:numPr>
          <w:ilvl w:val="0"/>
          <w:numId w:val="38"/>
        </w:numPr>
        <w:spacing w:line="276" w:lineRule="auto"/>
        <w:rPr>
          <w:noProof/>
        </w:rPr>
      </w:pPr>
      <w:r>
        <w:rPr>
          <w:b/>
          <w:noProof/>
        </w:rPr>
        <w:lastRenderedPageBreak/>
        <w:t>Appoġġ lill-pajjiżi, lill-persuni u lill-kumpaniji tal-UE:</w:t>
      </w:r>
      <w:r>
        <w:rPr>
          <w:noProof/>
        </w:rPr>
        <w:t xml:space="preserve"> il-Kummissjoni tikkollabora ma’ persuni u kumpaniji tal-UE, u mal-Istati Membri biex tappoġġahom fl-applikazzjoni tal-Istatut ta’ Mblukkar, inkluż billi toħroġ gwida. Il-Kummissjoni tissorvelja u timmonitorja wkoll l-implimentazzjoni tal-Istatut ta’ Mblukkar mill-Istati Membri.</w:t>
      </w:r>
    </w:p>
    <w:p>
      <w:pPr>
        <w:numPr>
          <w:ilvl w:val="0"/>
          <w:numId w:val="38"/>
        </w:numPr>
        <w:spacing w:line="276" w:lineRule="auto"/>
        <w:rPr>
          <w:noProof/>
        </w:rPr>
      </w:pPr>
      <w:r>
        <w:rPr>
          <w:b/>
          <w:noProof/>
        </w:rPr>
        <w:t>Aġġornament tal-lista tal-liġijiet extraterritorjali</w:t>
      </w:r>
      <w:r>
        <w:rPr>
          <w:noProof/>
        </w:rPr>
        <w:t>: il-Kummissjoni għandha s-setgħa li żżid fl-anness għall-Istatut ta’ Mblukkar kwalunkwe liġi ta’ pajjiżi mhux tal-UE b’applikazzjoni extraterritorjali li taffettwa l-interessi tal-persuni u l-kumpaniji tal-UE, u tal-UE kollha kemm hi</w:t>
      </w:r>
      <w:r>
        <w:rPr>
          <w:rStyle w:val="FootnoteReference"/>
          <w:noProof/>
          <w:lang w:val="en-IE"/>
        </w:rPr>
        <w:footnoteReference w:id="16"/>
      </w:r>
      <w:r>
        <w:rPr>
          <w:noProof/>
        </w:rPr>
        <w:t xml:space="preserve">. Dan sar l-aħħar fl-2018. </w:t>
      </w:r>
    </w:p>
    <w:p>
      <w:pPr>
        <w:numPr>
          <w:ilvl w:val="0"/>
          <w:numId w:val="38"/>
        </w:numPr>
        <w:spacing w:line="276" w:lineRule="auto"/>
        <w:rPr>
          <w:noProof/>
        </w:rPr>
      </w:pPr>
      <w:r>
        <w:rPr>
          <w:b/>
          <w:noProof/>
        </w:rPr>
        <w:t>Komunikazzjoni ma’ sħab internazzjonali:</w:t>
      </w:r>
      <w:r>
        <w:rPr>
          <w:noProof/>
        </w:rPr>
        <w:t xml:space="preserve"> il-Kummissjoni tappoġġa lis-Servizz Ewropew għall-Azzjoni Esterna fl-involviment ma’ sħab internazzjonali li jikkondividu t-tħassib dwar l-applikazzjoni extraterritorjali ta’ sanzjonijiet mhux tal-UE</w:t>
      </w:r>
      <w:r>
        <w:rPr>
          <w:rStyle w:val="FootnoteReference"/>
          <w:noProof/>
        </w:rPr>
        <w:footnoteReference w:id="17"/>
      </w:r>
      <w:r>
        <w:rPr>
          <w:noProof/>
        </w:rPr>
        <w:t>.</w:t>
      </w:r>
    </w:p>
    <w:p>
      <w:pPr>
        <w:numPr>
          <w:ilvl w:val="0"/>
          <w:numId w:val="38"/>
        </w:numPr>
        <w:spacing w:line="276" w:lineRule="auto"/>
        <w:rPr>
          <w:noProof/>
        </w:rPr>
      </w:pPr>
      <w:r>
        <w:rPr>
          <w:b/>
          <w:noProof/>
        </w:rPr>
        <w:t xml:space="preserve">Pubblikazzjoni tad-dettalji tal-awtoritajiet nazzjonali kompetenti għall-Istatut ta’ Mblukkar: </w:t>
      </w:r>
      <w:r>
        <w:rPr>
          <w:noProof/>
        </w:rPr>
        <w:t>il-Kummissjoni tippubblika f’Il-Ġurnal Uffiċjali tal-UE l-ismijiet u l-indirizzi tal-awtoritajiet kompetenti tal-Istati Membri msemmija fl-Artikolu 2 tal-Istatut ta’ Mblukkar</w:t>
      </w:r>
      <w:r>
        <w:rPr>
          <w:rStyle w:val="FootnoteReference"/>
          <w:noProof/>
          <w:lang w:val="en-US"/>
        </w:rPr>
        <w:footnoteReference w:id="18"/>
      </w:r>
      <w:r>
        <w:rPr>
          <w:noProof/>
        </w:rPr>
        <w:t>.</w:t>
      </w:r>
    </w:p>
    <w:p>
      <w:pPr>
        <w:pStyle w:val="Heading1"/>
        <w:spacing w:line="276" w:lineRule="auto"/>
        <w:rPr>
          <w:noProof/>
        </w:rPr>
      </w:pPr>
      <w:r>
        <w:rPr>
          <w:noProof/>
        </w:rPr>
        <w:t>Liġijiet extraterritorjali elenkati fl-anness għall-Istatut ta’ Mblukkar</w:t>
      </w:r>
    </w:p>
    <w:p>
      <w:pPr>
        <w:spacing w:line="276" w:lineRule="auto"/>
        <w:rPr>
          <w:noProof/>
        </w:rPr>
      </w:pPr>
      <w:r>
        <w:rPr>
          <w:noProof/>
        </w:rPr>
        <w:t xml:space="preserve">L-Istatut ta’ Mblukkar japplika esklussivament għal sanzjonijiet tal-Istati Uniti kontra l-Iran u Kuba. </w:t>
      </w:r>
    </w:p>
    <w:p>
      <w:pPr>
        <w:pStyle w:val="Normal1"/>
        <w:spacing w:before="0" w:beforeAutospacing="0" w:after="0" w:afterAutospacing="0" w:line="276" w:lineRule="auto"/>
        <w:jc w:val="both"/>
        <w:rPr>
          <w:noProof/>
        </w:rPr>
      </w:pPr>
      <w:r>
        <w:rPr>
          <w:noProof/>
        </w:rPr>
        <w:t>Il-liġijiet extraterritorjali li ġejjin huma elenkati fl-anness.</w:t>
      </w:r>
    </w:p>
    <w:p>
      <w:pPr>
        <w:pStyle w:val="Normal1"/>
        <w:spacing w:before="0" w:beforeAutospacing="0" w:after="0" w:afterAutospacing="0" w:line="276" w:lineRule="auto"/>
        <w:jc w:val="both"/>
        <w:rPr>
          <w:noProof/>
        </w:rPr>
      </w:pPr>
    </w:p>
    <w:p>
      <w:pPr>
        <w:pStyle w:val="Heading2"/>
        <w:rPr>
          <w:noProof/>
        </w:rPr>
      </w:pPr>
      <w:r>
        <w:rPr>
          <w:noProof/>
        </w:rPr>
        <w:t>L-Iran:</w:t>
      </w:r>
    </w:p>
    <w:p>
      <w:pPr>
        <w:spacing w:line="276" w:lineRule="auto"/>
        <w:rPr>
          <w:noProof/>
          <w:szCs w:val="24"/>
        </w:rPr>
      </w:pPr>
      <w:r>
        <w:rPr>
          <w:noProof/>
        </w:rPr>
        <w:t xml:space="preserve">Wara l-irtirar tiegħu mill-Pjan ta’ Azzjoni Komprensiv Konġunt (“PAKK” jew “ftehim nukleari mal-Iran”), l-Istati Uniti reġgħu imponew sanzjonijiet kontra l-Iran. Fis-7 ta ’Awwissu 2018, il-Kummissjoni Ewropea emendat l-Istatut ta’ Mblukkar biex tqis dawn l-iżviluppi. Il-liġijiet extraterritorjali elenkati li jikkonċernaw l-Iran huma dawn li ġejjin: </w:t>
      </w:r>
    </w:p>
    <w:p>
      <w:pPr>
        <w:spacing w:line="276" w:lineRule="auto"/>
        <w:rPr>
          <w:noProof/>
          <w:szCs w:val="24"/>
        </w:rPr>
      </w:pPr>
      <w:r>
        <w:rPr>
          <w:noProof/>
        </w:rPr>
        <w:t>- l-“Att dwar is-Sanzjonijiet għall-Iran tal-1996”;</w:t>
      </w:r>
    </w:p>
    <w:p>
      <w:pPr>
        <w:spacing w:line="276" w:lineRule="auto"/>
        <w:rPr>
          <w:noProof/>
          <w:szCs w:val="24"/>
        </w:rPr>
      </w:pPr>
      <w:r>
        <w:rPr>
          <w:noProof/>
        </w:rPr>
        <w:t>- l-“Att tal-2012 dwar il-Libertà u l-Ġlieda Kontra l-Proliferazzjoni tal-Iran”;</w:t>
      </w:r>
    </w:p>
    <w:p>
      <w:pPr>
        <w:spacing w:line="276" w:lineRule="auto"/>
        <w:rPr>
          <w:noProof/>
          <w:szCs w:val="24"/>
        </w:rPr>
      </w:pPr>
      <w:r>
        <w:rPr>
          <w:noProof/>
        </w:rPr>
        <w:lastRenderedPageBreak/>
        <w:t xml:space="preserve">- l-“Att dwar l-Awtorizzazzjoni tad-Difiża Nazzjonali għas-Sena Fiskali 2012”; </w:t>
      </w:r>
    </w:p>
    <w:p>
      <w:pPr>
        <w:spacing w:line="276" w:lineRule="auto"/>
        <w:rPr>
          <w:noProof/>
          <w:szCs w:val="24"/>
        </w:rPr>
      </w:pPr>
      <w:r>
        <w:rPr>
          <w:noProof/>
        </w:rPr>
        <w:t>- l-“Att dwar it-Tnaqqis tat-Theddid mill-Iran u d-Drittijiet tal-Bniedem tas-Sirja tal-2012”; kif ukoll</w:t>
      </w:r>
    </w:p>
    <w:p>
      <w:pPr>
        <w:spacing w:line="276" w:lineRule="auto"/>
        <w:rPr>
          <w:noProof/>
          <w:szCs w:val="24"/>
        </w:rPr>
      </w:pPr>
      <w:r>
        <w:rPr>
          <w:noProof/>
        </w:rPr>
        <w:t>- ir-“Regolamenti dwar it-Tranżazzjonijiet u s-Sanzjonijiet tal-Iran”.</w:t>
      </w:r>
    </w:p>
    <w:p>
      <w:pPr>
        <w:spacing w:line="276" w:lineRule="auto"/>
        <w:rPr>
          <w:noProof/>
          <w:szCs w:val="24"/>
        </w:rPr>
      </w:pPr>
      <w:r>
        <w:rPr>
          <w:noProof/>
        </w:rPr>
        <w:t>Sommarju ta’ dawn il-liġijiet u r-regolamenti huwa ppubblikat fir-</w:t>
      </w:r>
      <w:hyperlink r:id="rId28" w:history="1">
        <w:r>
          <w:rPr>
            <w:rStyle w:val="Hyperlink"/>
            <w:noProof/>
          </w:rPr>
          <w:t>Regolament Delegat tal-Kummissjoni (UE) Nru 2018/1100</w:t>
        </w:r>
      </w:hyperlink>
      <w:r>
        <w:rPr>
          <w:noProof/>
        </w:rPr>
        <w:t>. Għal dispożizzjonijiet sħaħ, ara l-istrumenti rilevanti</w:t>
      </w:r>
      <w:r>
        <w:rPr>
          <w:rStyle w:val="FootnoteReference"/>
          <w:noProof/>
          <w:szCs w:val="24"/>
        </w:rPr>
        <w:footnoteReference w:id="19"/>
      </w:r>
      <w:r>
        <w:rPr>
          <w:noProof/>
        </w:rPr>
        <w:t xml:space="preserve">. </w:t>
      </w:r>
    </w:p>
    <w:p>
      <w:pPr>
        <w:spacing w:line="276" w:lineRule="auto"/>
        <w:rPr>
          <w:noProof/>
          <w:szCs w:val="24"/>
        </w:rPr>
      </w:pPr>
      <w:r>
        <w:rPr>
          <w:rStyle w:val="citation"/>
          <w:noProof/>
          <w:szCs w:val="24"/>
        </w:rPr>
        <w:t>Ġeneralment</w:t>
      </w:r>
      <w:r>
        <w:rPr>
          <w:noProof/>
        </w:rPr>
        <w:t>, ir-riskji assoċjati mal-ksur tas-sanzjonijiet extraterritorjali tal-Istati Uniti huma dawn li ġejjin:</w:t>
      </w:r>
    </w:p>
    <w:p>
      <w:pPr>
        <w:numPr>
          <w:ilvl w:val="0"/>
          <w:numId w:val="27"/>
        </w:numPr>
        <w:spacing w:line="276" w:lineRule="auto"/>
        <w:rPr>
          <w:b/>
          <w:noProof/>
        </w:rPr>
      </w:pPr>
      <w:r>
        <w:rPr>
          <w:b/>
          <w:noProof/>
        </w:rPr>
        <w:t xml:space="preserve">Penali ċivili, kriminali u amministrattivi. </w:t>
      </w:r>
      <w:r>
        <w:rPr>
          <w:noProof/>
        </w:rPr>
        <w:t>Il-kumpaniji u l-individwi jistgħu jiffaċċjaw multi ċivili sa USD 250 000 jew darbtejn il-valur tat-tranżazzjoni</w:t>
      </w:r>
      <w:r>
        <w:rPr>
          <w:rStyle w:val="FootnoteReference"/>
          <w:noProof/>
        </w:rPr>
        <w:footnoteReference w:id="20"/>
      </w:r>
      <w:r>
        <w:rPr>
          <w:noProof/>
        </w:rPr>
        <w:t>.</w:t>
      </w:r>
      <w:r>
        <w:rPr>
          <w:rStyle w:val="FootnoteReference"/>
          <w:noProof/>
        </w:rPr>
        <w:t xml:space="preserve"> </w:t>
      </w:r>
      <w:r>
        <w:rPr>
          <w:noProof/>
        </w:rPr>
        <w:t xml:space="preserve">Sanzjonijiet amministrattivi, bħaċ-ċaħda ta’ drittijiet ta’ esportazzjoni u esportazzjoni mill-ġdid għal prodotti li joriġinaw mill-Istati Uniti, huma wkoll fis-seħħ. Barra minn hekk, vjolazzjonijiet volontarji jistgħu jitqiesu bħala reat kriminali, b’multi u l-possibbiltà ta’ sentenzi ta’ ħabs għall-individwi. </w:t>
      </w:r>
    </w:p>
    <w:p>
      <w:pPr>
        <w:numPr>
          <w:ilvl w:val="0"/>
          <w:numId w:val="27"/>
        </w:numPr>
        <w:spacing w:line="276" w:lineRule="auto"/>
        <w:rPr>
          <w:noProof/>
        </w:rPr>
      </w:pPr>
      <w:r>
        <w:rPr>
          <w:b/>
          <w:noProof/>
        </w:rPr>
        <w:t>Listi ta’ ċittadini deżinjati b’mod speċjali (</w:t>
      </w:r>
      <w:r>
        <w:rPr>
          <w:b/>
          <w:i/>
          <w:iCs/>
          <w:noProof/>
        </w:rPr>
        <w:t>Specially designated nationals</w:t>
      </w:r>
      <w:r>
        <w:rPr>
          <w:b/>
          <w:noProof/>
        </w:rPr>
        <w:t>, SDN).</w:t>
      </w:r>
      <w:r>
        <w:rPr>
          <w:noProof/>
        </w:rPr>
        <w:t xml:space="preserve"> L-Uffiċċju tal-Kontroll tal-Assi Barranin (</w:t>
      </w:r>
      <w:r>
        <w:rPr>
          <w:i/>
          <w:iCs/>
          <w:noProof/>
        </w:rPr>
        <w:t>Office of Foreign Assets Control</w:t>
      </w:r>
      <w:r>
        <w:rPr>
          <w:noProof/>
        </w:rPr>
        <w:t>, OFAC)</w:t>
      </w:r>
      <w:r>
        <w:rPr>
          <w:rStyle w:val="FootnoteReference"/>
          <w:noProof/>
        </w:rPr>
        <w:footnoteReference w:id="21"/>
      </w:r>
      <w:r>
        <w:rPr>
          <w:noProof/>
        </w:rPr>
        <w:t xml:space="preserve"> tad-Dipartiment tat-Teżor tal-Istati Uniti jżomm lista ta’ individwi u kumpaniji, imsejħa “ċittadini deżinjati b’mod speċjali u persuni mblukkati” (“SDNs”) li jitqiegħdu fuq il-lista jekk ikunu aġixxew kontra l-politika ta’ sanzjonijiet tal-Istati Uniti. Il-persuni u l-kumpaniji tal-UE jistgħu jiġu elenkati jekk l-OFAC isib li aġixxew bi ksur tal-leġiżlazzjoni extraterritorjali tal-Istati Uniti billi involvew ruħhom f’ċerti tranżazzjonijiet. Persuni u kumpaniji tal-UE jistgħu jiġu deżinjati wkoll biex jinvolvu ruħhom f’negozju ma’ SDN (pereżempju entità Iranjana elenkata).</w:t>
      </w:r>
    </w:p>
    <w:p>
      <w:pPr>
        <w:numPr>
          <w:ilvl w:val="0"/>
          <w:numId w:val="27"/>
        </w:numPr>
        <w:spacing w:line="276" w:lineRule="auto"/>
        <w:rPr>
          <w:rStyle w:val="citation"/>
          <w:b/>
          <w:noProof/>
        </w:rPr>
      </w:pPr>
      <w:r>
        <w:rPr>
          <w:b/>
          <w:noProof/>
        </w:rPr>
        <w:t xml:space="preserve">Restrizzjonijiet għall-Istati Uniti. </w:t>
      </w:r>
      <w:r>
        <w:rPr>
          <w:rStyle w:val="citation"/>
          <w:noProof/>
        </w:rPr>
        <w:t xml:space="preserve">Restrizzjonijiet bħal dawn jistgħu jirriżultaw f’esklużjoni mis-suq tal-Istati Uniti minħabba ċaħda ta’ aċċess għas-sistema finanzjarja tal-Istati Uniti, jew it-telf ta’ kontijiet bankarji korrispondenti tal-Istati Uniti jew projbizzjoni ta’ dħul fl-Istati Uniti għal persuni individwali. </w:t>
      </w:r>
    </w:p>
    <w:p>
      <w:pPr>
        <w:pStyle w:val="Heading2"/>
        <w:rPr>
          <w:noProof/>
        </w:rPr>
      </w:pPr>
      <w:r>
        <w:rPr>
          <w:noProof/>
        </w:rPr>
        <w:t>Kuba:</w:t>
      </w:r>
    </w:p>
    <w:p>
      <w:pPr>
        <w:spacing w:line="276" w:lineRule="auto"/>
        <w:ind w:left="720" w:hanging="720"/>
        <w:rPr>
          <w:rStyle w:val="bold"/>
          <w:noProof/>
        </w:rPr>
      </w:pPr>
      <w:r>
        <w:rPr>
          <w:noProof/>
        </w:rPr>
        <w:t>- l-Att dwar l-Awtorizzazzjoni tad-Difiża Nazzjonali għas-Sena Fiskali 1993, Titolu XVII “Att dwar id-Demokrazija Kubana 1992, taqsimiet 1704 and 1706;</w:t>
      </w:r>
    </w:p>
    <w:p>
      <w:pPr>
        <w:spacing w:line="276" w:lineRule="auto"/>
        <w:rPr>
          <w:rStyle w:val="bold"/>
          <w:noProof/>
        </w:rPr>
      </w:pPr>
      <w:r>
        <w:rPr>
          <w:rStyle w:val="bold"/>
          <w:noProof/>
        </w:rPr>
        <w:t>- l-Att tal-1996 dwar il-Libertà u s-Solidarjetà Demokratika Kubana (“l-Att Helms-Burton”).</w:t>
      </w:r>
    </w:p>
    <w:p>
      <w:pPr>
        <w:spacing w:line="276" w:lineRule="auto"/>
        <w:rPr>
          <w:noProof/>
        </w:rPr>
      </w:pPr>
      <w:r>
        <w:rPr>
          <w:noProof/>
        </w:rPr>
        <w:t xml:space="preserve">L-Att Helms-Burton jikkodifika l-miżuri tal-Istati Uniti kontra Kuba. Dan għandu l-għan li jiskoraġġixxi lill-kumpaniji milli jagħmlu negozju f’Kuba billi jissoġġettahom għall-konformità mal-embargo tal-Istati Uniti (Titolu I), u jesponihom għal litigazzjoni ċivili privata (Titolu III) u sanzjonijiet amministrattivi (Titolu IV). </w:t>
      </w:r>
    </w:p>
    <w:p>
      <w:pPr>
        <w:spacing w:line="276" w:lineRule="auto"/>
        <w:rPr>
          <w:noProof/>
        </w:rPr>
      </w:pPr>
      <w:r>
        <w:rPr>
          <w:noProof/>
        </w:rPr>
        <w:t xml:space="preserve">L-Istati Uniti kienu ssospendew l-applikazzjoni tal-Att Helms-Burton mill-1996. Fit-2 ta’ Mejju 2019, l-Istati Uniti ħabbru r-riattivazzjoni sħiħa tat-Titolu III u l-infurzar mill-ġdid tat-Titolu IV ta’ dan l-Att.  </w:t>
      </w:r>
    </w:p>
    <w:p>
      <w:pPr>
        <w:numPr>
          <w:ilvl w:val="0"/>
          <w:numId w:val="23"/>
        </w:numPr>
        <w:spacing w:line="276" w:lineRule="auto"/>
        <w:rPr>
          <w:noProof/>
        </w:rPr>
      </w:pPr>
      <w:r>
        <w:rPr>
          <w:b/>
          <w:noProof/>
        </w:rPr>
        <w:t>Titolu I:</w:t>
      </w:r>
      <w:r>
        <w:rPr>
          <w:noProof/>
        </w:rPr>
        <w:t xml:space="preserve"> It-Titolu I jipprevedi embargo ekonomiku u finanzjarju li jikkonċerna lil Kuba u għandu kamp ta’ applikazzjoni extraterritorjali. Fil-prattika, dan jikkonċerna prinċipalment l-esportazzjonijiet lejn l-Istati Uniti ta’ prodotti minn Kuba jew trasportati minn Kuba, l-importazzjonijiet ta’ prodotti jew servizzi li joriġinaw mill-Istati Uniti lejn Kuba u l-imblukkar ta’ tranżazzjonijiet finanzjarji ma’ Kuba. </w:t>
      </w:r>
    </w:p>
    <w:p>
      <w:pPr>
        <w:numPr>
          <w:ilvl w:val="0"/>
          <w:numId w:val="23"/>
        </w:numPr>
        <w:spacing w:line="276" w:lineRule="auto"/>
        <w:rPr>
          <w:noProof/>
        </w:rPr>
      </w:pPr>
      <w:r>
        <w:rPr>
          <w:b/>
          <w:noProof/>
        </w:rPr>
        <w:t>Titolu III:</w:t>
      </w:r>
      <w:r>
        <w:rPr>
          <w:noProof/>
        </w:rPr>
        <w:t xml:space="preserve"> It-Titolu III jipprovdi kawża għal azzjoni legali fil-qrati tal-Istati Uniti kontra individwi jew kumpaniji li, fil-fehma tal-ilmentatur, “jittraffikaw” fi proprjetà li ġiet esproprjata mill-Gvern Kuban. It-terminu “traffikar” huwa definit b’mod wiesa’ ħafna (sjieda ta’ proprjetà, okkupazzjoni ta’ art, qligħ minn art jew proprjetà). </w:t>
      </w:r>
    </w:p>
    <w:p>
      <w:pPr>
        <w:numPr>
          <w:ilvl w:val="0"/>
          <w:numId w:val="24"/>
        </w:numPr>
        <w:spacing w:line="276" w:lineRule="auto"/>
        <w:rPr>
          <w:noProof/>
        </w:rPr>
      </w:pPr>
      <w:r>
        <w:rPr>
          <w:b/>
          <w:noProof/>
        </w:rPr>
        <w:t>Titolu IV:</w:t>
      </w:r>
      <w:r>
        <w:rPr>
          <w:noProof/>
        </w:rPr>
        <w:t xml:space="preserve"> Id-Dipartiment tal-Istat tal-Istati Uniti jsegwi wkoll proċedimenti taħt it-Titolu IV tal-Att Helms-Burton. Taħt dan it-Titolu, l-amministrazzjoni tista’ tiċħad id-dħul fl-Istati Uniti lil persuni barranin, b’mod partikolari lil eżekuttivi ta’ kumpaniji, kif ukoll lill-membri tal-familja tagħhom. </w:t>
      </w:r>
    </w:p>
    <w:p>
      <w:pPr>
        <w:pStyle w:val="Heading1"/>
        <w:spacing w:line="276" w:lineRule="auto"/>
        <w:rPr>
          <w:noProof/>
        </w:rPr>
      </w:pPr>
      <w:r>
        <w:rPr>
          <w:noProof/>
        </w:rPr>
        <w:t>Ħarsa ġenerali lejn in-notifiki skont l-Artikolu 2 tal-Istatut ta’ Mblukkar</w:t>
      </w:r>
    </w:p>
    <w:p>
      <w:pPr>
        <w:spacing w:line="276" w:lineRule="auto"/>
        <w:rPr>
          <w:noProof/>
        </w:rPr>
      </w:pPr>
      <w:r>
        <w:rPr>
          <w:noProof/>
        </w:rPr>
        <w:t>Il-Kummissjoni rċeviet maġġoranza ta’ notifiki minn kumpaniji involuti f’attivitajiet kummerċjali jew bankarji internazzjonali. Hija rċeviet ukoll għadd ta’ notifiki minn individwi u entitajiet oħra, bħal assoċjazzjonijiet, missjonijiet diplomatiċi, u federazzjonijiet tan-negozju.</w:t>
      </w:r>
    </w:p>
    <w:p>
      <w:pPr>
        <w:spacing w:line="276" w:lineRule="auto"/>
        <w:rPr>
          <w:noProof/>
        </w:rPr>
      </w:pPr>
      <w:r>
        <w:rPr>
          <w:b/>
          <w:noProof/>
        </w:rPr>
        <w:t>B’kollox</w:t>
      </w:r>
      <w:r>
        <w:rPr>
          <w:noProof/>
        </w:rPr>
        <w:t xml:space="preserve">, bejn l-1 ta’ Awwissu 2018 u l-1 ta’ Marzu 2021, il-Kummissjoni rċeviet 63 notifika: </w:t>
      </w:r>
    </w:p>
    <w:p>
      <w:pPr>
        <w:numPr>
          <w:ilvl w:val="1"/>
          <w:numId w:val="28"/>
        </w:numPr>
        <w:spacing w:line="276" w:lineRule="auto"/>
        <w:rPr>
          <w:noProof/>
        </w:rPr>
      </w:pPr>
      <w:r>
        <w:rPr>
          <w:noProof/>
        </w:rPr>
        <w:t>35 relatati ma’ sanzjonijiet tal-Istati Uniti kontra Kuba; kif ukoll</w:t>
      </w:r>
    </w:p>
    <w:p>
      <w:pPr>
        <w:numPr>
          <w:ilvl w:val="1"/>
          <w:numId w:val="28"/>
        </w:numPr>
        <w:spacing w:line="276" w:lineRule="auto"/>
        <w:rPr>
          <w:noProof/>
        </w:rPr>
      </w:pPr>
      <w:r>
        <w:rPr>
          <w:noProof/>
        </w:rPr>
        <w:t xml:space="preserve">28 relatati ma’ sanzjonijiet tal-Istati Uniti kontra l-Iran. </w:t>
      </w:r>
    </w:p>
    <w:p>
      <w:pPr>
        <w:spacing w:line="276" w:lineRule="auto"/>
        <w:rPr>
          <w:noProof/>
        </w:rPr>
      </w:pPr>
      <w:r>
        <w:rPr>
          <w:noProof/>
        </w:rPr>
        <w:t xml:space="preserve">Il-Kummissjoni rċeviet notifiki mingħand persuni u entitajiet ibbażati fi </w:t>
      </w:r>
      <w:r>
        <w:rPr>
          <w:b/>
          <w:noProof/>
        </w:rPr>
        <w:t>12-il Stat Membru differenti</w:t>
      </w:r>
      <w:r>
        <w:rPr>
          <w:noProof/>
        </w:rPr>
        <w:t xml:space="preserve">. L-għadd ta’ notifiki riċevuti jvarja ħafna skont l-Istat Membru. </w:t>
      </w:r>
    </w:p>
    <w:p>
      <w:pPr>
        <w:spacing w:line="276" w:lineRule="auto"/>
        <w:rPr>
          <w:noProof/>
        </w:rPr>
      </w:pPr>
      <w:r>
        <w:rPr>
          <w:noProof/>
        </w:rPr>
        <w:t>Il-Kummissjoni ġiet mgħarrfa b’10 notifiki marbuta ma’, jew segwiti minn, proċedimenti tal-qorti quddiem il-qrati nazzjonali tal-UE (ara t-Taqsima 4.2).</w:t>
      </w:r>
    </w:p>
    <w:p>
      <w:pPr>
        <w:spacing w:line="276" w:lineRule="auto"/>
        <w:rPr>
          <w:noProof/>
        </w:rPr>
      </w:pPr>
      <w:r>
        <w:rPr>
          <w:noProof/>
        </w:rPr>
        <w:t>Dan ir-rapport jaqsam in-notifiki li waslu skont it-tip ta’ effetti negattivi rrapurtati:</w:t>
      </w:r>
    </w:p>
    <w:p>
      <w:pPr>
        <w:numPr>
          <w:ilvl w:val="0"/>
          <w:numId w:val="24"/>
        </w:numPr>
        <w:spacing w:line="276" w:lineRule="auto"/>
        <w:rPr>
          <w:noProof/>
        </w:rPr>
      </w:pPr>
      <w:r>
        <w:rPr>
          <w:b/>
          <w:noProof/>
        </w:rPr>
        <w:t>Effetti negattivi relatati ma’ attivitajiet bankarji jew servizzi finanzjarji oħra</w:t>
      </w:r>
      <w:r>
        <w:rPr>
          <w:noProof/>
        </w:rPr>
        <w:t xml:space="preserve">: ħafna persuni u kumpaniji tal-UE infurmaw lill-Kummissjoni dwar l-effetti negattivi relatati mal-aċċess għal servizzi bankarji ta’ kuljum jew terminazzjonijiet unilaterali minn istituzzjoni finanzjarja tal-provvista tas-servizzi bankarji. </w:t>
      </w:r>
    </w:p>
    <w:p>
      <w:pPr>
        <w:numPr>
          <w:ilvl w:val="0"/>
          <w:numId w:val="24"/>
        </w:numPr>
        <w:spacing w:line="276" w:lineRule="auto"/>
        <w:rPr>
          <w:noProof/>
        </w:rPr>
      </w:pPr>
      <w:r>
        <w:rPr>
          <w:b/>
          <w:noProof/>
        </w:rPr>
        <w:t>Effetti negattivi kkawżati minn sieħeb kummerċjali wieħed jew aktar:</w:t>
      </w:r>
      <w:r>
        <w:rPr>
          <w:noProof/>
        </w:rPr>
        <w:t xml:space="preserve"> Il-persuni u l-kumpaniji tal-UE ta’ spiss innotifikaw lill-Kummissjoni dwar l-effetti negattivi kkawżati mis-sħab kummerċjali tagħhom, ħafna drabi minħabba d-deċiżjoni ta’ sieħeb fin-negozju li jtemm ir-relazzjoni kummerċjali mal-parti notifikanti. </w:t>
      </w:r>
    </w:p>
    <w:p>
      <w:pPr>
        <w:numPr>
          <w:ilvl w:val="0"/>
          <w:numId w:val="24"/>
        </w:numPr>
        <w:spacing w:line="276" w:lineRule="auto"/>
        <w:rPr>
          <w:noProof/>
        </w:rPr>
      </w:pPr>
      <w:r>
        <w:rPr>
          <w:b/>
          <w:noProof/>
        </w:rPr>
        <w:t>Proċedimenti amministrattivi u ġudizzjarji fl-Istati Uniti:</w:t>
      </w:r>
      <w:r>
        <w:rPr>
          <w:noProof/>
        </w:rPr>
        <w:t xml:space="preserve"> ħafna notifiki relatati ma’ Kuba, u xi notifiki rigward l-Iran, irrapportaw l-eżistenza jew it-theddida ta’ proċedimenti quddiem l-awtoritajiet amministrattivi jew ġudizzjarji tal-Istati Uniti.  </w:t>
      </w:r>
    </w:p>
    <w:p>
      <w:pPr>
        <w:numPr>
          <w:ilvl w:val="0"/>
          <w:numId w:val="24"/>
        </w:numPr>
        <w:spacing w:line="276" w:lineRule="auto"/>
        <w:rPr>
          <w:b/>
          <w:noProof/>
        </w:rPr>
      </w:pPr>
      <w:r>
        <w:rPr>
          <w:b/>
          <w:noProof/>
        </w:rPr>
        <w:t>Nuqqas ta’ rieda li jsir investiment, jew li jsir negozju f’pajjiżi fil-mira tal-liġijiet extraterritorjali elenkati:</w:t>
      </w:r>
      <w:r>
        <w:rPr>
          <w:noProof/>
        </w:rPr>
        <w:t xml:space="preserve"> għadd limitat ta’ persuni u kumpaniji tal-UE nnotifikaw formalment lill-Kummissjoni dwar in-nuqqas ta’ rieda tagħhom li jinvestu, jew li jidħlu fin-negozju, fil-pajjiżi fil-mira tal-liġijiet extraterritorjali elenkati minħabba li huma antiċipaw effetti negattivi li kieku kellhom jagħmlu dan.</w:t>
      </w:r>
    </w:p>
    <w:p>
      <w:pPr>
        <w:spacing w:line="276" w:lineRule="auto"/>
        <w:rPr>
          <w:b/>
          <w:noProof/>
        </w:rPr>
      </w:pPr>
      <w:r>
        <w:rPr>
          <w:noProof/>
        </w:rPr>
        <w:br w:type="page"/>
      </w:r>
    </w:p>
    <w:p>
      <w:pPr>
        <w:spacing w:line="276" w:lineRule="auto"/>
        <w:rPr>
          <w:b/>
          <w:noProof/>
        </w:rPr>
      </w:pPr>
    </w:p>
    <w:p>
      <w:pPr>
        <w:spacing w:line="276" w:lineRule="auto"/>
        <w:rPr>
          <w:noProof/>
        </w:rPr>
      </w:pPr>
      <w:r>
        <w:rPr>
          <w:b/>
          <w:noProof/>
        </w:rPr>
        <w:t>Id-distribuzzjoni tal-effetti negattivi fost it-63 notifika li rċeviet il-Kummissjoni hija kif ġej</w:t>
      </w:r>
      <w:r>
        <w:rPr>
          <w:noProof/>
        </w:rPr>
        <w:t xml:space="preserve">: </w:t>
      </w:r>
    </w:p>
    <w:p>
      <w:pPr>
        <w:spacing w:line="276" w:lineRule="auto"/>
        <w:rPr>
          <w:noProof/>
        </w:rPr>
      </w:pPr>
    </w:p>
    <w:p>
      <w:pPr>
        <w:spacing w:line="276" w:lineRule="auto"/>
        <w:rPr>
          <w:noProof/>
        </w:rPr>
      </w:pPr>
    </w:p>
    <w:p>
      <w:pPr>
        <w:spacing w:line="276" w:lineRule="auto"/>
        <w:ind w:left="-426" w:hanging="142"/>
        <w:jc w:val="center"/>
        <w:rPr>
          <w:noProof/>
        </w:rPr>
      </w:pPr>
      <w:r>
        <w:rPr>
          <w:noProof/>
        </w:rPr>
        <w:pict>
          <v:shape id="_x0000_i1026" type="#_x0000_t75" style="width:429.5pt;height:250.75pt">
            <v:imagedata r:id="rId29" o:title=""/>
          </v:shape>
        </w:pict>
      </w:r>
    </w:p>
    <w:p>
      <w:pPr>
        <w:spacing w:line="276" w:lineRule="auto"/>
        <w:ind w:left="360"/>
        <w:jc w:val="center"/>
        <w:rPr>
          <w:noProof/>
          <w:lang w:val="en-US"/>
        </w:rPr>
      </w:pPr>
    </w:p>
    <w:p>
      <w:pPr>
        <w:spacing w:line="276" w:lineRule="auto"/>
        <w:ind w:left="360"/>
        <w:jc w:val="center"/>
        <w:rPr>
          <w:noProof/>
        </w:rPr>
      </w:pPr>
    </w:p>
    <w:p>
      <w:pPr>
        <w:spacing w:line="276" w:lineRule="auto"/>
        <w:rPr>
          <w:noProof/>
        </w:rPr>
      </w:pPr>
    </w:p>
    <w:p>
      <w:pPr>
        <w:pStyle w:val="Heading2"/>
        <w:tabs>
          <w:tab w:val="clear" w:pos="1276"/>
          <w:tab w:val="clear" w:pos="3718"/>
          <w:tab w:val="left" w:pos="851"/>
        </w:tabs>
        <w:ind w:left="3544" w:hanging="3292"/>
        <w:rPr>
          <w:noProof/>
        </w:rPr>
      </w:pPr>
      <w:r>
        <w:rPr>
          <w:noProof/>
        </w:rPr>
        <w:br w:type="page"/>
        <w:t>Metodoloġija għall-għadd tan-notifiki</w:t>
      </w:r>
    </w:p>
    <w:p>
      <w:pPr>
        <w:spacing w:line="276" w:lineRule="auto"/>
        <w:rPr>
          <w:noProof/>
        </w:rPr>
      </w:pPr>
      <w:r>
        <w:rPr>
          <w:noProof/>
        </w:rPr>
        <w:t xml:space="preserve">L-ambitu ta’ dan ir-rapport ikopri n-notifiki riċevuti direttament mill-Kummissjoni jew notifikati lill-Kummissjoni minn awtorità nazzjonali kompetenti bejn l-1 ta’ Awwissu 2018 u l-1 ta’ Marzu 2021. </w:t>
      </w:r>
    </w:p>
    <w:p>
      <w:pPr>
        <w:spacing w:line="276" w:lineRule="auto"/>
        <w:rPr>
          <w:noProof/>
        </w:rPr>
      </w:pPr>
      <w:r>
        <w:rPr>
          <w:noProof/>
        </w:rPr>
        <w:t xml:space="preserve">In-notifiki jikkonsistu fi preżentazzjonijiet formali lill-Kummissjoni sabiex jiġu rraportati l-effetti negattivi kkawżati mil-liġijiet extraterritorjali elenkati. In-notifiki jistgħu jiġu sottomessi minn individwi, kumpaniji jew entitajiet oħra bħal assoċjazzjonijiet, missjonijiet diplomatiċi, federazzjonijiet tan-negozju. Waslu wkoll notifiki konġunti (jiġifieri diversi partijiet notifikanti għal notifika waħda). </w:t>
      </w:r>
    </w:p>
    <w:p>
      <w:pPr>
        <w:spacing w:line="276" w:lineRule="auto"/>
        <w:rPr>
          <w:noProof/>
        </w:rPr>
      </w:pPr>
      <w:r>
        <w:rPr>
          <w:noProof/>
        </w:rPr>
        <w:t xml:space="preserve">Strettament, il-Kummissjoni tista’ biss tikkunsidra n-notifiki li jintbagħtu minn persuni li jaqgħu fil-kamp ta’ applikazzjoni tal-Artikolu 11 tal-Istatut ta’ Mblukkar. Madankollu, il-Kummissjoni inkludiet ukoll għadd ta’ notifiki riċevuti minn rappreżentanzi barranin fil-pajjiżi tal-UE. </w:t>
      </w:r>
    </w:p>
    <w:p>
      <w:pPr>
        <w:spacing w:line="276" w:lineRule="auto"/>
        <w:rPr>
          <w:noProof/>
        </w:rPr>
      </w:pPr>
      <w:r>
        <w:rPr>
          <w:noProof/>
        </w:rPr>
        <w:t>F’xi każijiet, il-parti notifikanti tipprovdi lill-Kummissjoni jew lill-awtorità nazzjonali kompetenti b’informazzjoni addizzjonali u aġġornamenti relatati mal-istess effett negattiv. F’każijiet bħal dawn, dawn is-segwiti ma jitqisux bħala notifiki ġodda iżda jiġu ttrattati bħala segwitu għall-ewwel notifika.</w:t>
      </w:r>
    </w:p>
    <w:p>
      <w:pPr>
        <w:spacing w:line="276" w:lineRule="auto"/>
        <w:rPr>
          <w:noProof/>
        </w:rPr>
      </w:pPr>
      <w:r>
        <w:rPr>
          <w:noProof/>
        </w:rPr>
        <w:t>Madankollu, jekk l-effetti negattivi rrapportati mill-parti notifikanti fl-iskambji sussegwenti tagħha mal-Kummissjoni jew mal-awtorità nazzjonali kompetenti ma jkunux identiċi għall-effetti negattivi rrappurtati fl-ewwel notifika tagħha, dan jitqies bħala notifika ġdida. Ftit persuni u kumpaniji tal-UE biss infurmaw lill-Kummissjoni jew lill-awtorità nazzjonali kompetenti bil-fatt li ġew affettwati minn diversi tipi ta’ effetti negattivi.</w:t>
      </w:r>
    </w:p>
    <w:p>
      <w:pPr>
        <w:spacing w:line="276" w:lineRule="auto"/>
        <w:rPr>
          <w:noProof/>
        </w:rPr>
      </w:pPr>
      <w:r>
        <w:rPr>
          <w:noProof/>
        </w:rPr>
        <w:t xml:space="preserve">It-taqsimiet li ġejjin jipprovdu informazzjoni dettaljata dwar l-effetti negattivi identifikati fuq il-persuni u l-kumpaniji tal-UE, u dwar il-kuntest tagħhom. </w:t>
      </w:r>
    </w:p>
    <w:p>
      <w:pPr>
        <w:pStyle w:val="Heading2"/>
        <w:tabs>
          <w:tab w:val="clear" w:pos="1276"/>
          <w:tab w:val="clear" w:pos="3718"/>
          <w:tab w:val="left" w:pos="851"/>
        </w:tabs>
        <w:ind w:left="1134" w:hanging="992"/>
        <w:rPr>
          <w:noProof/>
        </w:rPr>
      </w:pPr>
      <w:r>
        <w:rPr>
          <w:noProof/>
        </w:rPr>
        <w:t>Effetti negattivi relatati ma’ attivitajiet bankarji u servizzi finanzjarji oħra</w:t>
      </w:r>
    </w:p>
    <w:p>
      <w:pPr>
        <w:spacing w:line="276" w:lineRule="auto"/>
        <w:rPr>
          <w:noProof/>
        </w:rPr>
      </w:pPr>
      <w:r>
        <w:rPr>
          <w:noProof/>
        </w:rPr>
        <w:t xml:space="preserve">Persuni u kumpaniji tal-UE, inklużi banek, innotifikaw regolarment lill-Kummissjoni dwar l-effetti negattivi relatati ma’ attivitajiet bankarji jew servizzi finanzjarji, kemm fir-rigward ta’ Kuba kif ukoll fir-rigward tal-Iran. F’xi każijiet, l-istess notifika saret minn diversi persuni jew kumpaniji permezz ta’ notifika konġunta. </w:t>
      </w:r>
    </w:p>
    <w:p>
      <w:pPr>
        <w:spacing w:line="276" w:lineRule="auto"/>
        <w:rPr>
          <w:noProof/>
        </w:rPr>
      </w:pPr>
      <w:r>
        <w:rPr>
          <w:noProof/>
        </w:rPr>
        <w:t xml:space="preserve">Bejn l-1 ta’ Awwissu 2018 u l-1 ta’ Marzu 2021, il-Kummissjoni rċeviet 18-il notifika li rrapportaw effetti negattivi relatati ma’ attivitajiet bankarji. Il-biċċa l-kbira ta’ dawn in-notifiki kienu marbuta ma’ sanzjonijiet extraterritorjali tal-Istati Uniti kontra l-Iran. </w:t>
      </w:r>
    </w:p>
    <w:p>
      <w:pPr>
        <w:spacing w:line="276" w:lineRule="auto"/>
        <w:rPr>
          <w:noProof/>
        </w:rPr>
      </w:pPr>
      <w:r>
        <w:rPr>
          <w:noProof/>
        </w:rPr>
        <w:t>Hemm livell għoli ta’ interazzjoni bejn is-sistemi finanzjarji li jesponi lill-banek tal-UE u fornituri oħra ta’ servizzi finanzjarji għal sanzjonijiet extraterritorjali. Għaldaqstant, il-banek tal-UE u fornituri oħra ta’ servizzi finanzjarji jsofru effetti negattivi iżda wkoll, permezz ta’ effett indirett, jistgħu jikkawżaw tali effetti negattivi lil persuni u kumpaniji oħra tal-UE meta jikkonformaw ma’ sanzjonijiet extraterritorjali.</w:t>
      </w:r>
    </w:p>
    <w:p>
      <w:pPr>
        <w:spacing w:line="276" w:lineRule="auto"/>
        <w:rPr>
          <w:noProof/>
        </w:rPr>
      </w:pPr>
      <w:r>
        <w:rPr>
          <w:noProof/>
        </w:rPr>
        <w:t xml:space="preserve">L-effetti negattivi huma diversi u jistgħu jinkludu dawn li ġejjin: </w:t>
      </w:r>
    </w:p>
    <w:p>
      <w:pPr>
        <w:numPr>
          <w:ilvl w:val="0"/>
          <w:numId w:val="29"/>
        </w:numPr>
        <w:spacing w:line="276" w:lineRule="auto"/>
        <w:rPr>
          <w:noProof/>
        </w:rPr>
      </w:pPr>
      <w:r>
        <w:rPr>
          <w:noProof/>
        </w:rPr>
        <w:t>l-imblukkar ta’ operazzjonijiet bankarji relatati ma’ Kuba jew l-Iran (pereżempju, meta l-operazzjoni tinvolvi ċittadin ta’ dawn il-pajjiżi jew klijent jew fornitur aħħari f’dawn il-pajjiżi);</w:t>
      </w:r>
    </w:p>
    <w:p>
      <w:pPr>
        <w:numPr>
          <w:ilvl w:val="0"/>
          <w:numId w:val="29"/>
        </w:numPr>
        <w:spacing w:line="276" w:lineRule="auto"/>
        <w:rPr>
          <w:noProof/>
        </w:rPr>
      </w:pPr>
      <w:r>
        <w:rPr>
          <w:noProof/>
        </w:rPr>
        <w:t xml:space="preserve">dewmien eċċessiv bla bżonn fl-ipproċessar ta’ operazzjonijiet bankarji mhux relatati; </w:t>
      </w:r>
    </w:p>
    <w:p>
      <w:pPr>
        <w:numPr>
          <w:ilvl w:val="0"/>
          <w:numId w:val="29"/>
        </w:numPr>
        <w:spacing w:line="276" w:lineRule="auto"/>
        <w:rPr>
          <w:noProof/>
        </w:rPr>
      </w:pPr>
      <w:r>
        <w:rPr>
          <w:noProof/>
        </w:rPr>
        <w:t>terminazzjoni tar-relazzjoni bankarja; jew</w:t>
      </w:r>
    </w:p>
    <w:p>
      <w:pPr>
        <w:numPr>
          <w:ilvl w:val="0"/>
          <w:numId w:val="29"/>
        </w:numPr>
        <w:spacing w:line="276" w:lineRule="auto"/>
        <w:rPr>
          <w:noProof/>
        </w:rPr>
      </w:pPr>
      <w:r>
        <w:rPr>
          <w:noProof/>
        </w:rPr>
        <w:t xml:space="preserve">inabbiltà li wieħed jiftaħ jew ikollu kont tal-bank li jiffunzjona. </w:t>
      </w:r>
    </w:p>
    <w:p>
      <w:pPr>
        <w:spacing w:line="276" w:lineRule="auto"/>
        <w:rPr>
          <w:noProof/>
        </w:rPr>
      </w:pPr>
      <w:r>
        <w:rPr>
          <w:noProof/>
        </w:rPr>
        <w:t>F’diversi każijiet, is-sospensjoni tar-relazzjoni bankarja kkawżat ħsara finanzjarja u ekonomika gravi lill-parti notifikanti. Tipikament, bank jimblokka trasferimenti relatati mal-esportazzjoni ta’ prodotti jew servizzi minn jew lejn Kuba u l-Iran, u l-kumpanija tal-UE, min-naħa tagħha, ma tkunx tista’ tirċievi pagament. Ħafna partijiet notifikanti indikaw li s-sieħeb kummerċjali tagħhom ma kienx persuna elenkata fl-SDN.</w:t>
      </w:r>
    </w:p>
    <w:p>
      <w:pPr>
        <w:spacing w:line="276" w:lineRule="auto"/>
        <w:rPr>
          <w:noProof/>
        </w:rPr>
      </w:pPr>
      <w:r>
        <w:rPr>
          <w:noProof/>
        </w:rPr>
        <w:t xml:space="preserve">Barra minn hekk, diversi banek li joperaw fl-UE b’uffiċċji prinċipali li jinsabu fl-Iran jew f’Kuba rrappurtaw terminazzjoni unilaterali mill-banek tal-UE ta’ kuntratti ta’ servizzi bankarji u finanzjarji. Bl-istess mod, il-Kummissjoni ġiet innotifikata b’tali terminazzjonijiet minn rappreżentanzi barranin fil-pajjiżi tal-UE. </w:t>
      </w:r>
    </w:p>
    <w:p>
      <w:pPr>
        <w:spacing w:line="276" w:lineRule="auto"/>
        <w:rPr>
          <w:noProof/>
        </w:rPr>
      </w:pPr>
      <w:r>
        <w:rPr>
          <w:noProof/>
        </w:rPr>
        <w:t xml:space="preserve">Fl-aħħar nett, xi individwi nnotifikaw ukoll lill-Kummissjoni dwar l-imblukkar ta’ ċerti operazzjonijiet bankarji relatati ma’ Kuba jew l-Iran. </w:t>
      </w:r>
    </w:p>
    <w:p>
      <w:pPr>
        <w:pStyle w:val="Heading2"/>
        <w:tabs>
          <w:tab w:val="clear" w:pos="1276"/>
          <w:tab w:val="clear" w:pos="3718"/>
          <w:tab w:val="left" w:pos="851"/>
        </w:tabs>
        <w:ind w:left="1276" w:hanging="992"/>
        <w:rPr>
          <w:noProof/>
        </w:rPr>
      </w:pPr>
      <w:r>
        <w:rPr>
          <w:noProof/>
        </w:rPr>
        <w:t>Effetti negattivi kkawżati minn sieħeb kummerċjali wieħed jew aktar</w:t>
      </w:r>
    </w:p>
    <w:p>
      <w:pPr>
        <w:spacing w:line="276" w:lineRule="auto"/>
        <w:rPr>
          <w:noProof/>
        </w:rPr>
      </w:pPr>
      <w:r>
        <w:rPr>
          <w:noProof/>
        </w:rPr>
        <w:t xml:space="preserve">L-effetti negattivi kkawżati minn sieħeb fin-negozju huma rikorrenti, irrispettivament minn jekk il-parti notifikanti għamlitx negozju mal-Iran jew Kuba. Il-persuni li jinnotifikaw lill-Kummissjoni b’dawn l-effetti negattivi huma kumpaniji tal-UE, inklużi banek tal-UE u individwi. </w:t>
      </w:r>
    </w:p>
    <w:p>
      <w:pPr>
        <w:spacing w:line="276" w:lineRule="auto"/>
        <w:rPr>
          <w:noProof/>
        </w:rPr>
      </w:pPr>
      <w:r>
        <w:rPr>
          <w:noProof/>
        </w:rPr>
        <w:t>Bejn l-1 ta’ Awwissu 2018 u l-1 ta’ Marzu 2021, il-Kummissjoni rċeviet 15-il notifika li rrappurtaw l-effetti negattivi kkawżati minn sieħeb kummerċjali wieħed jew aktar tal-parti notifikanti. Il-biċċa l-kbira ta’ dawn in-notifiki kienu relatati mal-Iran.</w:t>
      </w:r>
    </w:p>
    <w:p>
      <w:pPr>
        <w:spacing w:line="276" w:lineRule="auto"/>
        <w:rPr>
          <w:noProof/>
        </w:rPr>
      </w:pPr>
      <w:r>
        <w:rPr>
          <w:noProof/>
        </w:rPr>
        <w:t>L-effetti negattivi rrappurtati huma relatati mat-terminazzjoni unilaterali tar-relazzjoni ta’ negozju, spiss bi ksur tal-kuntratt. Is-sħab kummerċjali li allegatament kisru l-Istatut ta’ Mblukkar huma kumpaniji importati-esportaturi, fornituri tas-softwer u tat-telekomunikazzjoni, ditti industrijali, linji tal-ajru, servizzi postali u ta’ konsenja, u kumpaniji tat-trasport marittimu u tal-prodotti tal-konsumatur</w:t>
      </w:r>
      <w:r>
        <w:rPr>
          <w:rStyle w:val="FootnoteReference"/>
          <w:noProof/>
        </w:rPr>
        <w:footnoteReference w:id="22"/>
      </w:r>
      <w:r>
        <w:rPr>
          <w:noProof/>
        </w:rPr>
        <w:t xml:space="preserve">. </w:t>
      </w:r>
    </w:p>
    <w:p>
      <w:pPr>
        <w:spacing w:line="276" w:lineRule="auto"/>
        <w:rPr>
          <w:noProof/>
        </w:rPr>
      </w:pPr>
      <w:r>
        <w:rPr>
          <w:noProof/>
        </w:rPr>
        <w:t xml:space="preserve">Il-partijiet notifikanti rrappurtaw li sofrew effetti detrimentali serji b’riżultat tan-nuqqas ta’ ssodisfar tal-obbligi kuntrattwali jew bħala riżultat tat-terminazzjoni tar-relazzjoni ta’ negozju. Dawn l-effetti jvarjaw minn impedimenti serji għall-esportazzjoni jew il-konsenja ta’ prodotti lill-Iran jew lil Kuba, għall-inabbiltà materjali li titwettaq kwalunkwe operazzjoni ekonomika. Diversi partijiet notifikanti għażlu li jibdew proċedimenti legali biex jikkontestaw dan il-ksur. Il-Kummissjoni timmonitorja mill-qrib il-każijiet tal-qorti li tkun ġiet mgħarrfa dwarhom u, fuq talba, tipprovdi appoġġ tekniku fuq talba lil persuni u kumpaniji tal-UE li ġew affettwati b’mod negattiv. </w:t>
      </w:r>
    </w:p>
    <w:p>
      <w:pPr>
        <w:spacing w:line="276" w:lineRule="auto"/>
        <w:rPr>
          <w:noProof/>
        </w:rPr>
      </w:pPr>
      <w:r>
        <w:rPr>
          <w:noProof/>
        </w:rPr>
        <w:t xml:space="preserve">Tipikament, kumpanija tal-UE se tiffaċċja terminazzjoni unilaterali f’daqqa tar-relazzjoni kummerċjali minn sieħeb kummerċjali wieħed jew aktar. Dawn is-sħab kummerċjali qed jiksru allegatament l-obbligazzjonijiet kuntrattwali tagħhom minkejja li l-parti notifikanti ma tkunx direttament ikkonċernata mis-sanzjonijiet tal-Istati Uniti. Ir-raġunijiet iddikjarati, implikati jew issuspettati jistgħu jkunu relatati ma’, pereżempju, Kuba jew l-Iran bħala l-pajjiż tal-kumpanija prinċipali jew is-sid benefiċjarju aħħari tal-kumpanija affettwata tal-UE, id-destinazzjoni tal-prodotti inkwistjoni, jew il-pajjiż tal-benefiċjarju tas-servizzi jew il-prodotti. F’okkażjonijiet rari, il-Kummissjoni ġiet innotifikata minn kumpanija tal-UE b’effetti negattivi kkawżati minn sħab kummerċjali barranin li kienu soġġetti direttament għal sanzjonijiet tal-Istati Uniti. </w:t>
      </w:r>
    </w:p>
    <w:p>
      <w:pPr>
        <w:spacing w:line="276" w:lineRule="auto"/>
        <w:rPr>
          <w:noProof/>
        </w:rPr>
      </w:pPr>
      <w:r>
        <w:rPr>
          <w:noProof/>
        </w:rPr>
        <w:t>Barra minn hekk, diversi banek li joperaw fl-UE b’uffiċċji prinċipali li jinsabu fl-Iran jew f’Kuba rrappurtaw li jemmnu li xi wħud mis-sħab kummerċjali tagħhom, inklużi l-fornituri u l-manifatturi tat-telekomunikazzjoni, interrompew ir-relazzjonijiet tagħhom biex jikkonformaw mas-sanzjonijiet tal-Istati Uniti (l-hekk imsejħa konformità żejda).</w:t>
      </w:r>
    </w:p>
    <w:p>
      <w:pPr>
        <w:spacing w:line="276" w:lineRule="auto"/>
        <w:rPr>
          <w:noProof/>
        </w:rPr>
      </w:pPr>
      <w:r>
        <w:rPr>
          <w:noProof/>
        </w:rPr>
        <w:t xml:space="preserve">Fl-aħħar nett, individwu wieħed innotifika lill-Kummissjoni dwar ir-rifjut ta’ kumpanija postali li twassal pakkett f’Kuba. Il-kumpanija postali indikat espressament lill-klijent tagħha li l-kunsinna ma kinitx possibbli minħabba l-embargo tal-Istati Uniti fuq Kuba. </w:t>
      </w:r>
    </w:p>
    <w:p>
      <w:pPr>
        <w:pStyle w:val="Heading2"/>
        <w:tabs>
          <w:tab w:val="clear" w:pos="1276"/>
          <w:tab w:val="clear" w:pos="3718"/>
          <w:tab w:val="left" w:pos="851"/>
        </w:tabs>
        <w:ind w:left="1276" w:hanging="992"/>
        <w:rPr>
          <w:noProof/>
        </w:rPr>
      </w:pPr>
      <w:r>
        <w:rPr>
          <w:noProof/>
        </w:rPr>
        <w:t>Proċedimenti amministrattivi u ġudizzjarji fl-Istati Uniti</w:t>
      </w:r>
    </w:p>
    <w:p>
      <w:pPr>
        <w:spacing w:line="276" w:lineRule="auto"/>
        <w:rPr>
          <w:noProof/>
        </w:rPr>
      </w:pPr>
      <w:r>
        <w:rPr>
          <w:noProof/>
        </w:rPr>
        <w:t xml:space="preserve">B’kollox, 28 parti notifikanti infurmaw lill-Kummissjoni jew lill-awtorità kompetenti nazzjonali rilevanti dwar litigazzjoni quddiem awtorità ġudizzjarja fl-Istati Uniti jew jew proċedimenti quddiem awtorità amministrattiva tal-Istati Uniti. Il-biċċa l-kbira ta’ dawn in-notifiki jikkonċernaw l-applikazzjoni tat-Titolu III tal-Att Helms-Burton li jkopri t-“traffikar” fi proprjetà esproprjata mill-gvern Kuban. Filwaqt li l-azzjonijiet meħuda taħt it-Titolu III jaffettwaw esklussivament lill-kumpaniji tal-UE, il-proċedimenti tat-Titolu IV huma mmirati lejn individwi. Kien hemm każijiet limitati li jikkonċernaw l-Iran. </w:t>
      </w:r>
    </w:p>
    <w:p>
      <w:pPr>
        <w:pStyle w:val="Heading3"/>
        <w:rPr>
          <w:noProof/>
        </w:rPr>
      </w:pPr>
      <w:r>
        <w:rPr>
          <w:noProof/>
        </w:rPr>
        <w:t xml:space="preserve">Litigazzjoni relatata mal-applikazzjoni tat-Titolu III tal- </w:t>
      </w:r>
      <w:r>
        <w:rPr>
          <w:noProof/>
        </w:rPr>
        <w:br/>
        <w:t>Att Helms-Burton (Kuba)</w:t>
      </w:r>
    </w:p>
    <w:p>
      <w:pPr>
        <w:spacing w:after="0" w:line="276" w:lineRule="auto"/>
        <w:rPr>
          <w:noProof/>
        </w:rPr>
      </w:pPr>
      <w:r>
        <w:rPr>
          <w:noProof/>
        </w:rPr>
        <w:t xml:space="preserve">Diversi persuni u kumpaniji tal-UE rrappurtaw li rċevew avviż ta’ intenzjoni li tinbeda azzjoni quddiem il-qrati tal-Istati Uniti skont it-Titolu III tal-Att Helms-Burton. Dawn l-avviżi ntbagħtu minn persuni jew kumpaniji tal-Istati Uniti li ddikjaraw li l-kumpaniji tal-UE kienu involuti fi “traffikar” ta’ proprjetajiet esproprjati f’Kuba. Huma ġeneralment jinfurmaw lill-kumpanija tal-UE li l-azzjoni legali se tittieħed sakemm ir-riċevitur tal-avviż “iwaqqaf minnufiħ it-traffiku” fil-proprjetà. </w:t>
      </w:r>
    </w:p>
    <w:p>
      <w:pPr>
        <w:widowControl w:val="0"/>
        <w:autoSpaceDE w:val="0"/>
        <w:autoSpaceDN w:val="0"/>
        <w:adjustRightInd w:val="0"/>
        <w:spacing w:after="0" w:line="276" w:lineRule="auto"/>
        <w:ind w:right="75"/>
        <w:rPr>
          <w:noProof/>
        </w:rPr>
      </w:pPr>
    </w:p>
    <w:p>
      <w:pPr>
        <w:widowControl w:val="0"/>
        <w:autoSpaceDE w:val="0"/>
        <w:autoSpaceDN w:val="0"/>
        <w:adjustRightInd w:val="0"/>
        <w:spacing w:after="0" w:line="276" w:lineRule="auto"/>
        <w:ind w:right="75"/>
        <w:rPr>
          <w:noProof/>
        </w:rPr>
      </w:pPr>
      <w:r>
        <w:rPr>
          <w:noProof/>
        </w:rPr>
        <w:t>Il-Kummissjoni ġiet innotifikata wkoll bil-bidu ta’ proċedimenti formali quddiem il-qrati tal-Istati Uniti.</w:t>
      </w:r>
      <w:r>
        <w:rPr>
          <w:noProof/>
          <w:color w:val="000000"/>
          <w:szCs w:val="24"/>
        </w:rPr>
        <w:t xml:space="preserve"> </w:t>
      </w:r>
      <w:r>
        <w:rPr>
          <w:noProof/>
        </w:rPr>
        <w:t xml:space="preserve">F’dan ir-rigward, il-qrati fl-Istati Uniti f’żewġ okkażjonijiet aċċettaw li jissospendu l-proċedimenti filwaqt li l-konvenut tal-UE jitlob awtorizzazzjoni mill-Kummissjoni. Il-Kummissjoni bħalissa qed tivvaluta applikazzjoni għall-awtorizzazzjoni f’każ bħal dan. </w:t>
      </w:r>
    </w:p>
    <w:p>
      <w:pPr>
        <w:widowControl w:val="0"/>
        <w:autoSpaceDE w:val="0"/>
        <w:autoSpaceDN w:val="0"/>
        <w:adjustRightInd w:val="0"/>
        <w:spacing w:after="0" w:line="276" w:lineRule="auto"/>
        <w:ind w:right="75"/>
        <w:rPr>
          <w:noProof/>
        </w:rPr>
      </w:pPr>
    </w:p>
    <w:p>
      <w:pPr>
        <w:pStyle w:val="Heading3"/>
        <w:rPr>
          <w:noProof/>
        </w:rPr>
      </w:pPr>
      <w:r>
        <w:rPr>
          <w:noProof/>
        </w:rPr>
        <w:t>Proċedimenti amministrattivi fl-Istati Uniti taħt it-Titolu IV tal-Att Helms-Burton (Kuba)</w:t>
      </w:r>
    </w:p>
    <w:p>
      <w:pPr>
        <w:spacing w:line="276" w:lineRule="auto"/>
        <w:rPr>
          <w:noProof/>
        </w:rPr>
      </w:pPr>
      <w:r>
        <w:rPr>
          <w:noProof/>
        </w:rPr>
        <w:t xml:space="preserve">Xi individwi rrapportaw li d-Dipartiment tal-Istat tal-Istati Uniti kien infurmahom dwar il-bidu ta’, jew l-intenzjoni li jinbdew, proċedimenti skont it-Titolu IV tal-Att Helms-Burton. It-Titolu IV jippermetti lid-Dipartiment tal-Istat tal-Istati Uniti li jiċħad id-dħul fit-territorju tal-Istati Uniti lil kwalunkwe persuna fiżika barranija u lill-familji tagħhom li d-Dipartiment tal-Istat jirrikonoxxi li “ttraffikaw” fi proprjetà kkonfiskata f’Kuba ddikjarata li tappartjeni għal ċittadini tal-Istati Uniti. </w:t>
      </w:r>
    </w:p>
    <w:p>
      <w:pPr>
        <w:spacing w:line="276" w:lineRule="auto"/>
        <w:rPr>
          <w:noProof/>
        </w:rPr>
      </w:pPr>
      <w:r>
        <w:rPr>
          <w:noProof/>
        </w:rPr>
        <w:t xml:space="preserve">L-individwi fil-mira huma maniġers jew impjegati ta’ livell għoli ta’ kumpaniji akkużati b’“traffikar” fi proprjetajiet tal-Istati Uniti kkonfiskati. Il-Kummissjoni hija konxja ukoll li ċerti ċittadini tal-UE u l-familji tagħhom ma tħallewx jidħlu fl-Istati Uniti għal dawn ir-raġunijiet. </w:t>
      </w:r>
    </w:p>
    <w:p>
      <w:pPr>
        <w:pStyle w:val="Heading3"/>
        <w:rPr>
          <w:noProof/>
        </w:rPr>
      </w:pPr>
      <w:r>
        <w:rPr>
          <w:noProof/>
        </w:rPr>
        <w:t>Notifiki rigward il-proċedimenti tal-qorti tal-Istati Uniti relatati mas-sanzjonijiet tal-Istati Uniti kontra l-Iran</w:t>
      </w:r>
    </w:p>
    <w:p>
      <w:pPr>
        <w:spacing w:line="276" w:lineRule="auto"/>
        <w:rPr>
          <w:noProof/>
        </w:rPr>
      </w:pPr>
      <w:r>
        <w:rPr>
          <w:noProof/>
        </w:rPr>
        <w:t xml:space="preserve">Ftit notifiki jikkonċernaw il-proċedimenti tal-qorti fl-Istati Uniti kontra persuni u kumpaniji tal-UE relatati ma’ sanzjonijiet extraterritorjali tal-Istati Uniti kontra l-Iran. Notifiki oħra rrapportaw talbiet mill-Istati Uniti biex jestradixxu ċittadini Iranjani li jgħixu fl-UE li huma akkużati bi ksur tas-sanzjonijiet tal-Istati Uniti. Notifiki ulterjuri huma marbuta ma’ proċedimenti amministrattivi fil-qasam bankarju. </w:t>
      </w:r>
    </w:p>
    <w:p>
      <w:pPr>
        <w:pStyle w:val="Heading2"/>
        <w:tabs>
          <w:tab w:val="clear" w:pos="1276"/>
          <w:tab w:val="clear" w:pos="3718"/>
          <w:tab w:val="left" w:pos="851"/>
        </w:tabs>
        <w:ind w:left="1276" w:hanging="992"/>
        <w:rPr>
          <w:noProof/>
        </w:rPr>
      </w:pPr>
      <w:r>
        <w:rPr>
          <w:noProof/>
        </w:rPr>
        <w:t>Nuqqas ta’ rieda li jsir investiment, jew li jsir negozju f’pajjiżi fil-mira tal-liġijiet extraterritorjali elenkati</w:t>
      </w:r>
    </w:p>
    <w:p>
      <w:pPr>
        <w:spacing w:line="276" w:lineRule="auto"/>
        <w:rPr>
          <w:noProof/>
        </w:rPr>
      </w:pPr>
      <w:r>
        <w:rPr>
          <w:noProof/>
        </w:rPr>
        <w:t xml:space="preserve">Il-persuni u l-kumpaniji tal-UE nnotifikaw ukoll lill-Kummissjoni dwar in-nuqqas ta’ rieda tagħhom li jinvestu f’pajjiżi fil-mira tal-liġijiet extraterritorjali elenkati. Bl-antiċipazzjoni tal-effetti negattivi possibbli, dawn ġew skoraġġuti milli jwettqu negozju leġittimu u legali f’Kuba u fl-Iran. Persuni u kumpaniji tal-UE li jinfurmaw lill-Kummissjoni jew lill-awtoritajiet nazzjonali kompetenti tagħhom ukoll fittxew assigurazzjonijiet u appoġġ qabel ma ħadu deċiżjoni ta’ investiment. </w:t>
      </w:r>
    </w:p>
    <w:p>
      <w:pPr>
        <w:spacing w:line="276" w:lineRule="auto"/>
        <w:rPr>
          <w:noProof/>
        </w:rPr>
      </w:pPr>
      <w:r>
        <w:rPr>
          <w:noProof/>
        </w:rPr>
        <w:t>Filwaqt li l-Kummissjoni rċeviet biss għadd limitat ta’ notifiki għal dawn ir-raġunijiet, il-valutazzjoni tagħha hija li ħafna aktar persuni u kumpaniji tal-UE jistgħu jaqsmu l-istess tħassib. Il-Kummissjoni tissorvelja mill-qrib in-notifiki kollha u tħeġġeġ lill-persuni u lill-kumpaniji tal-UE jikkuntattjaw lis-servizzi tagħha</w:t>
      </w:r>
      <w:r>
        <w:rPr>
          <w:noProof/>
          <w:vertAlign w:val="superscript"/>
        </w:rPr>
        <w:footnoteReference w:id="23"/>
      </w:r>
      <w:r>
        <w:rPr>
          <w:noProof/>
        </w:rPr>
        <w:t xml:space="preserve"> biex jinnotifikawhom dwar l-effetti negattivi tal-liġijiet extraterritorjali elenkati. </w:t>
      </w:r>
    </w:p>
    <w:p>
      <w:pPr>
        <w:pStyle w:val="Heading1"/>
        <w:spacing w:line="276" w:lineRule="auto"/>
        <w:rPr>
          <w:noProof/>
        </w:rPr>
      </w:pPr>
      <w:r>
        <w:rPr>
          <w:noProof/>
        </w:rPr>
        <w:t>Interpretazzjoni Ġudizzjarja tal-Istatut ta’ Mblukkar quddiem il-qrati tal-UE u dawk Nazzjonali</w:t>
      </w:r>
    </w:p>
    <w:p>
      <w:pPr>
        <w:spacing w:line="276" w:lineRule="auto"/>
        <w:rPr>
          <w:noProof/>
        </w:rPr>
      </w:pPr>
      <w:r>
        <w:rPr>
          <w:noProof/>
        </w:rPr>
        <w:t>Il-Kummissjoni hija konxja mill-proċedimenti ġudizzjarji li ġejjin rigward l-Istatut ta’ Mblukkar fil-livell tal-UE u dak nazzjonali.</w:t>
      </w:r>
    </w:p>
    <w:p>
      <w:pPr>
        <w:pStyle w:val="Heading2"/>
        <w:rPr>
          <w:noProof/>
        </w:rPr>
      </w:pPr>
      <w:r>
        <w:rPr>
          <w:noProof/>
        </w:rPr>
        <w:t>Il-livell tal-UE</w:t>
      </w:r>
    </w:p>
    <w:p>
      <w:pPr>
        <w:spacing w:line="276" w:lineRule="auto"/>
        <w:rPr>
          <w:noProof/>
        </w:rPr>
      </w:pPr>
      <w:r>
        <w:rPr>
          <w:i/>
          <w:noProof/>
        </w:rPr>
        <w:t>Talba għal deċiżjoni preliminari  (Bank Melli Iran vs Telekom Deutschland GmbH</w:t>
      </w:r>
      <w:r>
        <w:rPr>
          <w:noProof/>
        </w:rPr>
        <w:t>, Kawża C-124/20</w:t>
      </w:r>
      <w:r>
        <w:rPr>
          <w:i/>
          <w:noProof/>
        </w:rPr>
        <w:t>)</w:t>
      </w:r>
    </w:p>
    <w:p>
      <w:pPr>
        <w:spacing w:line="276" w:lineRule="auto"/>
        <w:ind w:left="360"/>
        <w:rPr>
          <w:noProof/>
        </w:rPr>
      </w:pPr>
      <w:r>
        <w:rPr>
          <w:noProof/>
        </w:rPr>
        <w:t xml:space="preserve">Il-kawża pendenti quddiem il-Qorti Ewropea tal-Ġustizzja tikkonċerna talba għal deċiżjoni preliminari skont l-Artikolu 267 tat-Trattat dwar il-Funzjonament tal-Unjoni Ewropea (TFUE) minn </w:t>
      </w:r>
      <w:r>
        <w:rPr>
          <w:i/>
          <w:noProof/>
        </w:rPr>
        <w:t>Hanseatisches Oberlandesgericht Hamburg</w:t>
      </w:r>
      <w:r>
        <w:rPr>
          <w:noProof/>
        </w:rPr>
        <w:t xml:space="preserve"> (il-Ġermanja). It-tilwima tikkonċerna t-terminazzjoni ta’ servizzi ta’ telekomunikazzjonijiet bejn ir-rikorrenti, Bank Melli Iran, u l-konvenut Telekom Deutschland GmbH. Ir-rikorrent huwa bank Iranjan inkorporat taħt id-dritt Iranjan, li għandu fergħa f’Hamburg, il-Ġermanja. Il-konvenut huwa sussidjarja ta’ Deutsche Telekom AG, li hija waħda mill-fornituri prinċipali Ġermaniżi tas-servizzi tat-telekomunikazzjoni, bil-kwartieri ġenerali tagħha f’Bonn, il-Ġermanja. </w:t>
      </w:r>
    </w:p>
    <w:p>
      <w:pPr>
        <w:spacing w:line="276" w:lineRule="auto"/>
        <w:rPr>
          <w:i/>
          <w:noProof/>
        </w:rPr>
      </w:pPr>
      <w:r>
        <w:rPr>
          <w:i/>
          <w:noProof/>
        </w:rPr>
        <w:t>Rikors għall-annullament quddiem il-Qorti Ġenerali (IFIC Holding vs Il-Kummissjoni</w:t>
      </w:r>
      <w:r>
        <w:rPr>
          <w:noProof/>
        </w:rPr>
        <w:t>, Kawża T-8/21</w:t>
      </w:r>
      <w:r>
        <w:rPr>
          <w:i/>
          <w:noProof/>
        </w:rPr>
        <w:t>)</w:t>
      </w:r>
    </w:p>
    <w:p>
      <w:pPr>
        <w:spacing w:line="276" w:lineRule="auto"/>
        <w:ind w:left="426"/>
        <w:rPr>
          <w:noProof/>
        </w:rPr>
      </w:pPr>
      <w:r>
        <w:rPr>
          <w:noProof/>
        </w:rPr>
        <w:t>IFIC Holding, fergħa ta’ investiment tal-Iran Foreign Investment Company (IFIC) ibbażata fil-Ġermanja, ippreżentat rikors quddiem il-Qorti Ġenerali, fejn ikkontestat l-awtorizzazzjoni mogħtija mill-Kummissjoni Ewropea fit-28 ta’ April 2020 lil Clearstream Banking AG, skont l-Artikolu 5(2) tar-Regolament tal-Kunsill 2271/96 fost oħrajn għar-raġunijiet li ġejjin: ksur tad-dritt tar-rikorrent għal smigħ u ksur tal-obbligu ta’ motivazzjoni.</w:t>
      </w:r>
    </w:p>
    <w:p>
      <w:pPr>
        <w:spacing w:line="276" w:lineRule="auto"/>
        <w:rPr>
          <w:noProof/>
        </w:rPr>
      </w:pPr>
      <w:r>
        <w:rPr>
          <w:noProof/>
        </w:rPr>
        <w:t>Huwa mistenni li dawn il-kawżi pendenti quddiem il-Qorti Ewropea tal-Ġustizzja se jagħmluha aktar faċli biex jiġu interpretati u implimentati ċerti dispożizzjonijiet tal-Istatut ta’ Mblukkar u se jġibu aktar ċertezza legali u ċarezza fil-proċeduri differenti minquxa fihom.</w:t>
      </w:r>
    </w:p>
    <w:p>
      <w:pPr>
        <w:pStyle w:val="Heading2"/>
        <w:rPr>
          <w:noProof/>
        </w:rPr>
      </w:pPr>
      <w:r>
        <w:rPr>
          <w:noProof/>
        </w:rPr>
        <w:t>Il-livell nazzjonali</w:t>
      </w:r>
    </w:p>
    <w:p>
      <w:pPr>
        <w:spacing w:line="276" w:lineRule="auto"/>
        <w:rPr>
          <w:noProof/>
        </w:rPr>
      </w:pPr>
      <w:r>
        <w:rPr>
          <w:noProof/>
        </w:rPr>
        <w:t xml:space="preserve">Il-Kummissjoni ġiet mgħarrfa b’10 proċedimenti legali li għamlu referenza għall-Istatut ta’ Mblukkar quddiem il-qrati tal-Istati Membri tal-UE. </w:t>
      </w:r>
    </w:p>
    <w:p>
      <w:pPr>
        <w:spacing w:line="276" w:lineRule="auto"/>
        <w:rPr>
          <w:noProof/>
        </w:rPr>
      </w:pPr>
      <w:r>
        <w:rPr>
          <w:noProof/>
        </w:rPr>
        <w:t>Fil-Ġermanja, bank innotifika kumpanija internazzjonali tal-loġistika li kien se jtemm is-servizzi tiegħu, u rrefera għar-riskju tal-applikazzjoni potenzjali tas-sanzjonijiet extraterritorjali tal-Istati Uniti bħala raġuni</w:t>
      </w:r>
      <w:r>
        <w:rPr>
          <w:rStyle w:val="FootnoteReference"/>
          <w:noProof/>
          <w:lang w:val="en-IE"/>
        </w:rPr>
        <w:footnoteReference w:id="24"/>
      </w:r>
      <w:r>
        <w:rPr>
          <w:noProof/>
        </w:rPr>
        <w:t xml:space="preserve">. Skont it-termini u l-kundizzjonijiet ġenerali tal-bank, dan jista’ jtemm is-servizzi tiegħu jekk jipprovdi raġuni valida. Il-Qorti qieset it-terminazzjoni legali meta qieset li l-Istatut ta’ Mblukkar ma jobbligax lill-kumpaniji tal-UE jkomplu jinnegozjaw ma’ entitajiet Iranjani meta dan imur kontra l-interessi kummerċjali tagħhom. Hija sabet li r-riskju involut u r-riskju li banek korrispondenti oħra jtemmu l-kooperazzjoni tagħhom biex jevitaw li jesponu lilhom infushom għal sanzjonijiet extraterritorjali jikkostitwixxu tali raġuni ġustifikata biex jiġi terminat il-kuntratt. </w:t>
      </w:r>
    </w:p>
    <w:p>
      <w:pPr>
        <w:spacing w:line="276" w:lineRule="auto"/>
        <w:rPr>
          <w:noProof/>
        </w:rPr>
      </w:pPr>
      <w:r>
        <w:rPr>
          <w:noProof/>
        </w:rPr>
        <w:t>Kawża oħra fil-Ġermanja kienet tikkonċerna t-terminazzjoni tas-servizzi tat-telekomunikazzjoni bejn fergħa bbażata fl-UE ta’ bank Iranjan soġġetta għal sanzjonijiet mill-Istati Uniti u fornitur ewlieni tat-telekomunikazzjoni</w:t>
      </w:r>
      <w:r>
        <w:rPr>
          <w:rStyle w:val="FootnoteReference"/>
          <w:noProof/>
          <w:lang w:val="en-IE"/>
        </w:rPr>
        <w:footnoteReference w:id="25"/>
      </w:r>
      <w:r>
        <w:rPr>
          <w:noProof/>
        </w:rPr>
        <w:t xml:space="preserve">. Peress li l-bank seta’ juri li seta’ jkompli jħallas għas-servizzi, u li dejjem għamel dan, il-qorti Ġermaniża tat ordni provviżorja li tordna lill-fornitur tat-telekomunikazzjonijiet biex jirrestawra s-servizzi tiegħu sal-iskadenza tal-kuntratti. Il-proċedimenti ġew sospiżi wara talba għal deċiżjoni preliminari pendenti quddiem il-Qorti Ewropea tal-Ġustizzja (ara hawn fuq, </w:t>
      </w:r>
      <w:r>
        <w:rPr>
          <w:i/>
          <w:noProof/>
        </w:rPr>
        <w:t>Bank Melli Iran vs Telekom Deutschland GmbH</w:t>
      </w:r>
      <w:r>
        <w:rPr>
          <w:noProof/>
        </w:rPr>
        <w:t>, C-124/20).</w:t>
      </w:r>
    </w:p>
    <w:p>
      <w:pPr>
        <w:spacing w:line="276" w:lineRule="auto"/>
        <w:rPr>
          <w:noProof/>
        </w:rPr>
      </w:pPr>
      <w:r>
        <w:rPr>
          <w:noProof/>
        </w:rPr>
        <w:t>Fin-Netherlands, kawża kienet tikkonċerna ftehim ta’ distribuzzjoni bejn Exact B.V. u l-kumpanija ta’ Curaçao PAM International N.V. (iktar ’il quddiem “PAM”)</w:t>
      </w:r>
      <w:r>
        <w:rPr>
          <w:rStyle w:val="FootnoteReference"/>
          <w:noProof/>
        </w:rPr>
        <w:footnoteReference w:id="26"/>
      </w:r>
      <w:r>
        <w:rPr>
          <w:noProof/>
        </w:rPr>
        <w:t>. PAM qassmet software fornut minn Exact B.V. lil kumpaniji f’Kuba. Exact B.V. temmet dan il-ftehim wara l-akkwist tagħha minn kumpanija ta’ investiment ibbażata fl-Istati Uniti. Il-Qorti ordnat lil Exact B.V. biex tkompli tipprovdi s-servizzi tagħha u nnotat ukoll li Exact B.V. setgħet kisret l-Istatut ta’ Mblukkar billi temmet il-ftehim.</w:t>
      </w:r>
    </w:p>
    <w:p>
      <w:pPr>
        <w:spacing w:line="276" w:lineRule="auto"/>
        <w:rPr>
          <w:noProof/>
        </w:rPr>
      </w:pPr>
      <w:r>
        <w:rPr>
          <w:noProof/>
        </w:rPr>
        <w:t>Il-Kummissjoni ġiet mgħarrfa b’żewġ kawżi li nfetħu fl-Italja. Fl-ewwel kawża, bank innotifika lill-klijent tiegħu, kumpanija kkontrollata minn sħab fl-Iran, li kien se jtemm is-servizzi bankarji tiegħu. Il-kumpanija bdiet proċedimenti għal miżuri provviżorji minn ġewwa sabiex il-bank jiġi ordnat ikompli s-servizzi tiegħu. Qorti Taljana ddeterminat li t-terminazzjoni ta’ dawn is-servizzi tammonta għal ksur tal-Istatut ta’ Mblukkar u ħarġet inġunzjoni proviżorja kontra l-bank biex tipprevjeni t-terminazzjoni ta’ dawn is-servizzi</w:t>
      </w:r>
      <w:r>
        <w:rPr>
          <w:rStyle w:val="FootnoteReference"/>
          <w:noProof/>
        </w:rPr>
        <w:footnoteReference w:id="27"/>
      </w:r>
      <w:r>
        <w:rPr>
          <w:noProof/>
        </w:rPr>
        <w:t>.</w:t>
      </w:r>
    </w:p>
    <w:p>
      <w:pPr>
        <w:spacing w:line="276" w:lineRule="auto"/>
        <w:rPr>
          <w:noProof/>
        </w:rPr>
      </w:pPr>
      <w:r>
        <w:rPr>
          <w:noProof/>
        </w:rPr>
        <w:t>Fil-kawża l-oħra, kumpanija Taljana kkonkludiet kuntratt ta’ forniment ma’ kumpanija Iranjana li aktar tard saret soġġetta għal sanzjonijiet mill-Istati Uniti. Il-ħlas mill-kumpanija Iranjana ġie ffriżat mill-bank tal-kumpanija Taljana. Il-Qorti ordnat ir-rilaxx tal-fondi peress li, skont l-Istatut ta’ Mblukkar, it-tqegħid, mill-Istati Uniti, tal-kumpanija Iranjana fil-lista SDN tal-OFAC ma kellu l-ebda effett fl-UE, u ma kienet soġġetta għall-ebda sanzjoni fl-UE</w:t>
      </w:r>
      <w:r>
        <w:rPr>
          <w:rStyle w:val="FootnoteReference"/>
          <w:noProof/>
        </w:rPr>
        <w:footnoteReference w:id="28"/>
      </w:r>
      <w:r>
        <w:rPr>
          <w:noProof/>
        </w:rPr>
        <w:t>.</w:t>
      </w:r>
    </w:p>
    <w:p>
      <w:pPr>
        <w:spacing w:line="276" w:lineRule="auto"/>
        <w:rPr>
          <w:noProof/>
        </w:rPr>
      </w:pPr>
      <w:r>
        <w:rPr>
          <w:noProof/>
        </w:rPr>
        <w:t>Il-Kummissjoni ġiet infurmata dwar diversi proċedimenti li jikkonċernaw l-istess kumpanija fi Franza. Wara l-konklużjoni ta’ kuntratt għall-provvista ta’ prodotti lill-Iran, il-kumpanija ma setgħetx tirċievi ħlas. Din kienet kwistjoni dejjiema peress li l-kumpanija kienet iffaċċjat diversi għeluq tal-kontijiet bankarji tagħha fuq ħafna snin. Il-bank irrifjuta li jittrasferixxi dawn il-fondi, u invoka diversi raġunijiet, inkluża l-konformità mas-sanzjonijiet tal-Istati Uniti. Fl-aħħar aġġornament dwar il-proċedimenti tal-qorti li rċeviet il-Kummissjoni, il-qorti tal-ewwel istanza sabet li l-bank ma kellux jagħlaq il-kont tal-kumpanija u jtemm is-servizzi bankarji mingħajr avviż. Madankollu, il-qorti qieset ukoll li t-terminazzjoni tas-servizzi bankarji kienet leġittima fuq il-bażi li l-bank iffaċċja restrizzjonijiet ekonomiċi u strateġiċi, inkluża l-impożizzjoni possibbli ta’ sanzjonijiet mill-Istati Uniti.</w:t>
      </w:r>
    </w:p>
    <w:p>
      <w:pPr>
        <w:pStyle w:val="Heading1"/>
        <w:spacing w:line="276" w:lineRule="auto"/>
        <w:rPr>
          <w:noProof/>
        </w:rPr>
      </w:pPr>
      <w:r>
        <w:rPr>
          <w:noProof/>
        </w:rPr>
        <w:t>Konklużjoni</w:t>
      </w:r>
    </w:p>
    <w:p>
      <w:pPr>
        <w:pStyle w:val="Text1"/>
        <w:spacing w:line="276" w:lineRule="auto"/>
        <w:ind w:left="0"/>
        <w:rPr>
          <w:noProof/>
        </w:rPr>
      </w:pPr>
      <w:r>
        <w:rPr>
          <w:noProof/>
        </w:rPr>
        <w:t>L-UE hija tal-fehma li l-applikazzjoni extraterritorjali minn pajjiżi terzi ta’ miżuri kontra l-operaturi tal-UE tmur kontra d-dritt internazzjonali. Dawn il-miżuri jheddu l-integrità tas-Suq Uniku u s-sistemi finanzjarji tal-UE, inaqqsu l-effettività tal-politika barranija tal-UE u jpoġġu pressjoni fuq il-kummerċ u l-investiment b’mod leġittimu fi ksur tal-prinċipji bażiċi tad-dritt internazzjonali.</w:t>
      </w:r>
    </w:p>
    <w:p>
      <w:pPr>
        <w:pStyle w:val="Text1"/>
        <w:spacing w:line="276" w:lineRule="auto"/>
        <w:ind w:left="0"/>
        <w:rPr>
          <w:noProof/>
        </w:rPr>
      </w:pPr>
      <w:r>
        <w:rPr>
          <w:noProof/>
        </w:rPr>
        <w:t>Bl-informazzjoni miġbura fost l-oħrajn permezz tal-proċedura ta’ notifika skont l-Artikolu 2 tal-Istatut ta’ Mblukkar, il-Kummissjoni nżammet aġġornata dwar varjetà ta’ żviluppi politiċi, legali, ekonomiċi u finanzjarji li jaffettwaw lill-persuni u lill-kumpaniji tal-UE, u lill-Unjoni kollha kemm hi. Il-Kummissjoni se tkompli timmonitorja l-impatt tal-liġijiet extraterritorjali elenkati u tinforma lill-Parlament Ewropew u lill-Kunsill skont l-Artikolu 7(a) tal-Istatut ta’ Mblukkar.</w:t>
      </w:r>
    </w:p>
    <w:p>
      <w:pPr>
        <w:pStyle w:val="Text1"/>
        <w:spacing w:line="276" w:lineRule="auto"/>
        <w:ind w:left="0"/>
        <w:rPr>
          <w:noProof/>
        </w:rPr>
      </w:pPr>
      <w:r>
        <w:rPr>
          <w:noProof/>
        </w:rPr>
        <w:t>Il-proliferazzjoni ta’ tali sanzjonijiet teħtieġ dibattitu aktar fil-fond dwar miżuri addizzjonali possibbli biex jiżdied l-effett ta’ deterrent u, jekk ikun hemm bżonn, biex jiġu miġġielda. Dan ir-rapport se jikkontribwixxi għad-diskussjoni dwar l-implimentazzjoni tal-komunikazzjoni tal-Kummissjoni tad-19 ta’ Jannar 2021 dwar “Is-sistema ekonomika u finanzjarja Ewropea: it-trawwim tal-ftuħ, is-saħħa u r-reżiljenza”</w:t>
      </w:r>
      <w:r>
        <w:rPr>
          <w:rStyle w:val="FootnoteReference"/>
          <w:noProof/>
        </w:rPr>
        <w:footnoteReference w:id="29"/>
      </w:r>
      <w:r>
        <w:rPr>
          <w:noProof/>
        </w:rPr>
        <w:t>. Il-Kummissjoni nediet riflessjoni ġenerali dwar l-opzjonijiet ta’ politika biex timmodernizza s-sett ta’ għodod għad-dispożizzjoni tal-UE biex tiġġieled l-effetti tal-applikazzjoni extraterritorjali illeġittima tas-sanzjonijiet unilaterali minn pajjiżi terzi fuq l-individwi u l-entitajiet tal-UE.</w:t>
      </w:r>
    </w:p>
    <w:p>
      <w:pPr>
        <w:pStyle w:val="Text1"/>
        <w:spacing w:line="276" w:lineRule="auto"/>
        <w:ind w:left="0"/>
        <w:rPr>
          <w:noProof/>
        </w:rPr>
      </w:pPr>
    </w:p>
    <w:sectPr>
      <w:headerReference w:type="even" r:id="rId30"/>
      <w:headerReference w:type="default" r:id="rId31"/>
      <w:footerReference w:type="even" r:id="rId32"/>
      <w:footerReference w:type="default" r:id="rId33"/>
      <w:headerReference w:type="first" r:id="rId34"/>
      <w:footerReference w:type="first" r:id="rId35"/>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inion Pro">
    <w:altName w:val="Minion Pro"/>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MT</w:t>
    </w:r>
    <w:r>
      <w:rPr>
        <w:rFonts w:ascii="Arial" w:hAnsi="Arial" w:cs="Arial"/>
        <w:b/>
        <w:sz w:val="48"/>
      </w:rPr>
      <w:tab/>
    </w:r>
    <w:r>
      <w:rPr>
        <w:rFonts w:ascii="Arial" w:hAnsi="Arial" w:cs="Arial"/>
        <w:b/>
        <w:sz w:val="48"/>
      </w:rPr>
      <w:tab/>
    </w:r>
    <w:r>
      <w:tab/>
    </w:r>
    <w:r>
      <w:rPr>
        <w:rFonts w:ascii="Arial" w:hAnsi="Arial" w:cs="Arial"/>
        <w:b/>
        <w:sz w:val="48"/>
      </w:rPr>
      <w:t>MT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4</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Fonts w:ascii="Times New Roman" w:hAnsi="Times New Roman"/>
        <w:sz w:val="20"/>
      </w:rPr>
    </w:pPr>
    <w:r>
      <w:rPr>
        <w:rFonts w:ascii="Times New Roman" w:hAnsi="Times New Roman"/>
        <w:sz w:val="20"/>
      </w:rPr>
      <w:fldChar w:fldCharType="begin"/>
    </w:r>
    <w:r>
      <w:rPr>
        <w:rFonts w:ascii="Times New Roman" w:hAnsi="Times New Roman"/>
        <w:sz w:val="20"/>
      </w:rPr>
      <w:instrText xml:space="preserve"> PAGE   \* MERGEFORMAT </w:instrText>
    </w:r>
    <w:r>
      <w:rPr>
        <w:rFonts w:ascii="Times New Roman" w:hAnsi="Times New Roman"/>
        <w:sz w:val="20"/>
      </w:rPr>
      <w:fldChar w:fldCharType="separate"/>
    </w:r>
    <w:r>
      <w:rPr>
        <w:rFonts w:ascii="Times New Roman" w:hAnsi="Times New Roman"/>
        <w:noProof/>
        <w:sz w:val="20"/>
      </w:rPr>
      <w:t>1</w:t>
    </w:r>
    <w:r>
      <w:rPr>
        <w:rFonts w:ascii="Times New Roman" w:hAnsi="Times New Roman"/>
        <w:sz w:val="20"/>
      </w:rPr>
      <w:fldChar w:fldCharType="end"/>
    </w:r>
  </w:p>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ind w:left="142" w:hanging="142"/>
      </w:pPr>
      <w:r>
        <w:rPr>
          <w:rStyle w:val="FootnoteReference"/>
        </w:rPr>
        <w:footnoteRef/>
      </w:r>
      <w:r>
        <w:t xml:space="preserve"> Ir-Regolament tal-Kunsill (KE) Nru 2271/96 tat-22 ta' Novembru 1996 li jipproteġi kontra l-effetti tal-applikazzjoni extraterritorjali tal-leġiżlazzjoni adottata minn pajjiż terz, u l-azzjonijiet ibbażati fuqha jew li jirriżultaw minnha (ĠU L 309, 29.11.1996, p. 1).</w:t>
      </w:r>
    </w:p>
  </w:footnote>
  <w:footnote w:id="2">
    <w:p>
      <w:pPr>
        <w:pStyle w:val="FootnoteText"/>
        <w:spacing w:after="0"/>
        <w:ind w:left="0" w:firstLine="0"/>
      </w:pPr>
      <w:r>
        <w:rPr>
          <w:rStyle w:val="FootnoteReference"/>
        </w:rPr>
        <w:footnoteRef/>
      </w:r>
      <w:r>
        <w:t xml:space="preserve"> L-Artikolu 7(a) tal-Istatut ta’ Mblukkar.</w:t>
      </w:r>
    </w:p>
  </w:footnote>
  <w:footnote w:id="3">
    <w:p>
      <w:pPr>
        <w:pStyle w:val="FootnoteText"/>
        <w:spacing w:after="0"/>
      </w:pPr>
      <w:r>
        <w:rPr>
          <w:rStyle w:val="FootnoteReference"/>
        </w:rPr>
        <w:footnoteRef/>
      </w:r>
      <w:r>
        <w:t xml:space="preserve"> Ara t-Taqsima 2 ta’ hawn taħt.</w:t>
      </w:r>
    </w:p>
  </w:footnote>
  <w:footnote w:id="4">
    <w:p>
      <w:pPr>
        <w:pStyle w:val="FootnoteText"/>
        <w:spacing w:after="0"/>
      </w:pPr>
      <w:r>
        <w:rPr>
          <w:rStyle w:val="FootnoteReference"/>
        </w:rPr>
        <w:footnoteRef/>
      </w:r>
      <w:r>
        <w:t xml:space="preserve"> L-Artikolu 2 tal-Istatut ta’ Mblukkar.</w:t>
      </w:r>
    </w:p>
  </w:footnote>
  <w:footnote w:id="5">
    <w:p>
      <w:pPr>
        <w:pStyle w:val="FootnoteText"/>
        <w:spacing w:after="0"/>
      </w:pPr>
      <w:r>
        <w:rPr>
          <w:rStyle w:val="FootnoteReference"/>
        </w:rPr>
        <w:footnoteRef/>
      </w:r>
      <w:r>
        <w:t xml:space="preserve"> Bħalissa, l-anness fih liġijiet tal-Istati Uniti mmirati lejn l-Iran u Kuba.</w:t>
      </w:r>
    </w:p>
  </w:footnote>
  <w:footnote w:id="6">
    <w:p>
      <w:pPr>
        <w:pStyle w:val="FootnoteText"/>
        <w:spacing w:after="0"/>
      </w:pPr>
      <w:r>
        <w:rPr>
          <w:rStyle w:val="FootnoteReference"/>
        </w:rPr>
        <w:footnoteRef/>
      </w:r>
      <w:r>
        <w:t xml:space="preserve"> ĠU L 199I , 7.8.2018, p. 1–6.</w:t>
      </w:r>
    </w:p>
  </w:footnote>
  <w:footnote w:id="7">
    <w:p>
      <w:pPr>
        <w:pStyle w:val="FootnoteText"/>
        <w:spacing w:after="0"/>
      </w:pPr>
      <w:r>
        <w:rPr>
          <w:rStyle w:val="FootnoteReference"/>
        </w:rPr>
        <w:footnoteRef/>
      </w:r>
      <w:r>
        <w:t xml:space="preserve"> ĠU L 199I , 7.8.2018, p. 7-10.</w:t>
      </w:r>
    </w:p>
  </w:footnote>
  <w:footnote w:id="8">
    <w:p>
      <w:pPr>
        <w:pStyle w:val="FootnoteText"/>
        <w:spacing w:after="0"/>
      </w:pPr>
      <w:r>
        <w:rPr>
          <w:rStyle w:val="FootnoteReference"/>
        </w:rPr>
        <w:footnoteRef/>
      </w:r>
      <w:r>
        <w:t xml:space="preserve"> ĠU C 277I , 7.8.2018, p. 4–10. </w:t>
      </w:r>
    </w:p>
  </w:footnote>
  <w:footnote w:id="9">
    <w:p>
      <w:pPr>
        <w:pStyle w:val="FootnoteText"/>
        <w:spacing w:after="0"/>
      </w:pPr>
      <w:r>
        <w:rPr>
          <w:rStyle w:val="FootnoteReference"/>
        </w:rPr>
        <w:footnoteRef/>
      </w:r>
      <w:r>
        <w:t xml:space="preserve"> L-Istatut ta’ Mblukkar japplika għall-persuni fiżiċi u ġuridiċi speċifikati fl-Artikolu 11. </w:t>
      </w:r>
    </w:p>
  </w:footnote>
  <w:footnote w:id="10">
    <w:p>
      <w:pPr>
        <w:pStyle w:val="FootnoteText"/>
        <w:spacing w:after="0"/>
      </w:pPr>
      <w:r>
        <w:rPr>
          <w:rStyle w:val="FootnoteReference"/>
        </w:rPr>
        <w:footnoteRef/>
      </w:r>
      <w:r>
        <w:t xml:space="preserve"> L-Artikolu 2 tal-Istatut ta’ Mblukkar.</w:t>
      </w:r>
    </w:p>
  </w:footnote>
  <w:footnote w:id="11">
    <w:p>
      <w:pPr>
        <w:pStyle w:val="FootnoteText"/>
        <w:spacing w:after="0"/>
      </w:pPr>
      <w:r>
        <w:rPr>
          <w:rStyle w:val="FootnoteReference"/>
        </w:rPr>
        <w:footnoteRef/>
      </w:r>
      <w:r>
        <w:t xml:space="preserve"> Ara n-nota 6 hawn fuq.</w:t>
      </w:r>
    </w:p>
  </w:footnote>
  <w:footnote w:id="12">
    <w:p>
      <w:pPr>
        <w:pStyle w:val="FootnoteText"/>
        <w:spacing w:after="0"/>
      </w:pPr>
      <w:r>
        <w:rPr>
          <w:rStyle w:val="FootnoteReference"/>
        </w:rPr>
        <w:footnoteRef/>
      </w:r>
      <w:r>
        <w:t xml:space="preserve"> Ara n-nota 6 hawn fuq.</w:t>
      </w:r>
    </w:p>
  </w:footnote>
  <w:footnote w:id="13">
    <w:p>
      <w:pPr>
        <w:pStyle w:val="FootnoteText"/>
        <w:spacing w:after="0"/>
      </w:pPr>
      <w:r>
        <w:rPr>
          <w:rStyle w:val="FootnoteReference"/>
        </w:rPr>
        <w:footnoteRef/>
      </w:r>
      <w:r>
        <w:t xml:space="preserve"> L-Artikolu 7(a) tal-Istatut ta’ Mblukkar.</w:t>
      </w:r>
    </w:p>
  </w:footnote>
  <w:footnote w:id="14">
    <w:p>
      <w:pPr>
        <w:pStyle w:val="FootnoteText"/>
        <w:spacing w:after="0"/>
      </w:pPr>
      <w:r>
        <w:rPr>
          <w:vertAlign w:val="superscript"/>
        </w:rPr>
        <w:footnoteRef/>
      </w:r>
      <w:r>
        <w:t xml:space="preserve"> L-Artikoli 5 u 7 (b) tal-Istatut ta’ Mblukkar.</w:t>
      </w:r>
    </w:p>
  </w:footnote>
  <w:footnote w:id="15">
    <w:p>
      <w:pPr>
        <w:pStyle w:val="FootnoteText"/>
        <w:spacing w:after="0"/>
      </w:pPr>
      <w:r>
        <w:rPr>
          <w:rStyle w:val="FootnoteReference"/>
        </w:rPr>
        <w:footnoteRef/>
      </w:r>
      <w:r>
        <w:t xml:space="preserve"> L-Artikolu 8 tal-Istatut ta’ Mblukkar.</w:t>
      </w:r>
    </w:p>
  </w:footnote>
  <w:footnote w:id="16">
    <w:p>
      <w:pPr>
        <w:pStyle w:val="FootnoteText"/>
        <w:spacing w:after="0"/>
      </w:pPr>
      <w:r>
        <w:rPr>
          <w:rStyle w:val="FootnoteReference"/>
        </w:rPr>
        <w:footnoteRef/>
      </w:r>
      <w:r>
        <w:t xml:space="preserve"> L-Artikolu 1 tal-Istatut ta’ Mblukkar.</w:t>
      </w:r>
    </w:p>
  </w:footnote>
  <w:footnote w:id="17">
    <w:p>
      <w:pPr>
        <w:pStyle w:val="FootnoteText"/>
        <w:spacing w:after="0"/>
        <w:ind w:left="142" w:hanging="142"/>
      </w:pPr>
      <w:r>
        <w:rPr>
          <w:rStyle w:val="FootnoteReference"/>
        </w:rPr>
        <w:footnoteRef/>
      </w:r>
      <w:r>
        <w:t xml:space="preserve"> Ara pereżempju d-Dikjarazzjoni Konġunta minn Federica Mogherini, Chrystia Freeland u Cecilia Malmström dwar id-deċiżjoni tal-Istati Uniti biex jattivaw ulterjorment it-Titolu III tal-Att Helms-Burton (Libertad), disponibbli fuq: </w:t>
      </w:r>
      <w:hyperlink r:id="rId1" w:history="1">
        <w:r>
          <w:rPr>
            <w:rStyle w:val="Hyperlink"/>
          </w:rPr>
          <w:t>https://eeas.europa.eu/headquarters/headquarters-homepage/61181/joint-statement-federica-mogherini-chrystia-freeland-and-cecilia-malmström-decision-united_ko</w:t>
        </w:r>
      </w:hyperlink>
      <w:r>
        <w:rPr>
          <w:rStyle w:val="Hyperlink"/>
        </w:rPr>
        <w:t>.</w:t>
      </w:r>
      <w:r>
        <w:t xml:space="preserve"> </w:t>
      </w:r>
    </w:p>
  </w:footnote>
  <w:footnote w:id="18">
    <w:p>
      <w:pPr>
        <w:pStyle w:val="FootnoteText"/>
        <w:spacing w:after="0"/>
      </w:pPr>
      <w:r>
        <w:rPr>
          <w:rStyle w:val="FootnoteReference"/>
        </w:rPr>
        <w:footnoteRef/>
      </w:r>
      <w:r>
        <w:t xml:space="preserve"> Il-lista tal-awtoritajiet kompetenti nazzjonali hija disponibbli, </w:t>
      </w:r>
      <w:r>
        <w:rPr>
          <w:rStyle w:val="Emphasis"/>
          <w:i w:val="0"/>
        </w:rPr>
        <w:t>ĠU C 251, 28.6.2021, p. 11-15</w:t>
      </w:r>
      <w:r>
        <w:rPr>
          <w:i/>
        </w:rPr>
        <w:t>, https://eur-lex.europa.eu/legal-content/MT/TXT/?uri=CELEX%3A52021XC0628%2801%29.</w:t>
      </w:r>
    </w:p>
  </w:footnote>
  <w:footnote w:id="19">
    <w:p>
      <w:pPr>
        <w:pStyle w:val="FootnoteText"/>
      </w:pPr>
      <w:r>
        <w:rPr>
          <w:rStyle w:val="FootnoteReference"/>
        </w:rPr>
        <w:footnoteRef/>
      </w:r>
      <w:r>
        <w:t xml:space="preserve"> Ara https://www.govinfo.gov/</w:t>
      </w:r>
    </w:p>
  </w:footnote>
  <w:footnote w:id="20">
    <w:p>
      <w:pPr>
        <w:pStyle w:val="FootnoteText"/>
        <w:spacing w:after="0"/>
        <w:ind w:left="142" w:hanging="142"/>
      </w:pPr>
      <w:r>
        <w:rPr>
          <w:rStyle w:val="FootnoteReference"/>
        </w:rPr>
        <w:footnoteRef/>
      </w:r>
      <w:r>
        <w:t xml:space="preserve"> 31 Il-Kodiċi tar-Regolamenti Federali, parti 501 Linji Gwida dwar l-Infurzar tas-Sanzjonijiet Ekonomiċi, ara https://home.treasury.gov/system/files/126/fr74_57593.pdf</w:t>
      </w:r>
    </w:p>
  </w:footnote>
  <w:footnote w:id="21">
    <w:p>
      <w:pPr>
        <w:pStyle w:val="FootnoteText"/>
        <w:spacing w:after="0"/>
        <w:ind w:left="142" w:hanging="142"/>
      </w:pPr>
      <w:r>
        <w:rPr>
          <w:rStyle w:val="FootnoteReference"/>
        </w:rPr>
        <w:footnoteRef/>
      </w:r>
      <w:r>
        <w:t xml:space="preserve"> L-OFAC hija l-aġenzija tal-Istati Uniti li tamministra u tinforza sanzjonijiet ekonomiċi u kummerċjali b’appoġġ għall-objettivi tas-sigurtà nazzjonali u tal-politika barranija tal-Istati Uniti.</w:t>
      </w:r>
    </w:p>
  </w:footnote>
  <w:footnote w:id="22">
    <w:p>
      <w:pPr>
        <w:pStyle w:val="FootnoteText"/>
        <w:spacing w:after="0"/>
        <w:ind w:left="142" w:hanging="142"/>
      </w:pPr>
      <w:r>
        <w:rPr>
          <w:rStyle w:val="FootnoteReference"/>
        </w:rPr>
        <w:footnoteRef/>
      </w:r>
      <w:r>
        <w:t xml:space="preserve"> Il-banek u fornituri oħra ta’ servizzi finanzjarji mhumiex inklużi f’din il-kategorija peress li kienu inklużi fil-kategorija ddedikata msemmija hawn fuq (ara hawn fuq 3.2).</w:t>
      </w:r>
    </w:p>
  </w:footnote>
  <w:footnote w:id="23">
    <w:p>
      <w:pPr>
        <w:pStyle w:val="FootnoteText"/>
        <w:spacing w:after="0"/>
        <w:ind w:left="284" w:hanging="284"/>
      </w:pPr>
      <w:r>
        <w:rPr>
          <w:rStyle w:val="FootnoteReference"/>
        </w:rPr>
        <w:footnoteRef/>
      </w:r>
      <w:r>
        <w:t xml:space="preserve"> Il-Kummissjoni tista’ tinstab f’Unit E5, Rue de Spa 2, 1049 Brussel Belgium jew fl-indirizz elettroniku li ġej: </w:t>
      </w:r>
      <w:hyperlink r:id="rId2" w:history="1">
        <w:r>
          <w:rPr>
            <w:rStyle w:val="Hyperlink"/>
          </w:rPr>
          <w:t>RELEX-SANCTIONS@ec.europa.eu</w:t>
        </w:r>
      </w:hyperlink>
      <w:r>
        <w:t xml:space="preserve">. </w:t>
      </w:r>
    </w:p>
  </w:footnote>
  <w:footnote w:id="24">
    <w:p>
      <w:pPr>
        <w:pStyle w:val="FootnoteText"/>
        <w:spacing w:after="0"/>
      </w:pPr>
      <w:r>
        <w:rPr>
          <w:rStyle w:val="FootnoteReference"/>
        </w:rPr>
        <w:footnoteRef/>
      </w:r>
      <w:r>
        <w:t xml:space="preserve"> LG Hamburg it-18-il awla ċivili, sentenza tal-15.10.2018, 318 O 330/18.</w:t>
      </w:r>
    </w:p>
  </w:footnote>
  <w:footnote w:id="25">
    <w:p>
      <w:pPr>
        <w:pStyle w:val="FootnoteText"/>
        <w:spacing w:after="0"/>
      </w:pPr>
      <w:r>
        <w:rPr>
          <w:rStyle w:val="FootnoteReference"/>
        </w:rPr>
        <w:footnoteRef/>
      </w:r>
      <w:r>
        <w:t xml:space="preserve"> LG Hamburg id-19-il awla ċivili, sentenza tat-28.11.2018, 319 O 265/18.</w:t>
      </w:r>
    </w:p>
  </w:footnote>
  <w:footnote w:id="26">
    <w:p>
      <w:pPr>
        <w:pStyle w:val="FootnoteText"/>
        <w:spacing w:after="0"/>
      </w:pPr>
      <w:r>
        <w:rPr>
          <w:rStyle w:val="FootnoteReference"/>
        </w:rPr>
        <w:footnoteRef/>
      </w:r>
      <w:r>
        <w:t xml:space="preserve"> PAM International N.V., Curaçao v Exact Software Nederland B.V., sentenza tal-25.06.2019, Kawża Nru C-09-573240-KG ZA 19-430.</w:t>
      </w:r>
    </w:p>
  </w:footnote>
  <w:footnote w:id="27">
    <w:p>
      <w:pPr>
        <w:pStyle w:val="FootnoteText"/>
        <w:spacing w:after="0"/>
      </w:pPr>
      <w:r>
        <w:rPr>
          <w:rStyle w:val="FootnoteReference"/>
        </w:rPr>
        <w:footnoteRef/>
      </w:r>
      <w:r>
        <w:t xml:space="preserve"> Ara “Italian Judgments on the EU Blocking Regulation” (Sentenzi Taljani dwar ir-Regolament tal-UE dwar l-Imblukkar) (Sanzjonijiet tal-UE, it-2 ta’ Ottubru 2019), www.europeansanctions.com/2019/10/italian-judgments-on-the-eu-blocking-regulation </w:t>
      </w:r>
    </w:p>
  </w:footnote>
  <w:footnote w:id="28">
    <w:p>
      <w:pPr>
        <w:pStyle w:val="FootnoteText"/>
        <w:spacing w:after="0"/>
      </w:pPr>
      <w:r>
        <w:rPr>
          <w:rStyle w:val="FootnoteReference"/>
        </w:rPr>
        <w:footnoteRef/>
      </w:r>
      <w:r>
        <w:t xml:space="preserve"> Ara n-nota 27.</w:t>
      </w:r>
    </w:p>
  </w:footnote>
  <w:footnote w:id="29">
    <w:p>
      <w:pPr>
        <w:pStyle w:val="FootnoteText"/>
      </w:pPr>
      <w:r>
        <w:rPr>
          <w:rStyle w:val="FootnoteReference"/>
        </w:rPr>
        <w:footnoteRef/>
      </w:r>
      <w:r>
        <w:t xml:space="preserve"> Ara https://ec.europa.eu/info/publications/210119-economic-financial-system-communication_en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FFFFFF89"/>
    <w:multiLevelType w:val="singleLevel"/>
    <w:tmpl w:val="38F6C18C"/>
    <w:lvl w:ilvl="0">
      <w:start w:val="1"/>
      <w:numFmt w:val="bullet"/>
      <w:lvlText w:val=""/>
      <w:lvlJc w:val="left"/>
      <w:pPr>
        <w:tabs>
          <w:tab w:val="num" w:pos="360"/>
        </w:tabs>
        <w:ind w:left="360" w:hanging="360"/>
      </w:pPr>
      <w:rPr>
        <w:rFonts w:ascii="Symbol" w:hAnsi="Symbol" w:hint="default"/>
      </w:r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5EC65EE"/>
    <w:multiLevelType w:val="hybridMultilevel"/>
    <w:tmpl w:val="D048D154"/>
    <w:lvl w:ilvl="0" w:tplc="37CE4FEE">
      <w:start w:val="1"/>
      <w:numFmt w:val="bullet"/>
      <w:lvlText w:val=""/>
      <w:lvlJc w:val="left"/>
      <w:pPr>
        <w:ind w:left="720" w:hanging="360"/>
      </w:pPr>
      <w:rPr>
        <w:rFonts w:ascii="Symbol" w:hAnsi="Symbol"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2B57CC"/>
    <w:multiLevelType w:val="hybridMultilevel"/>
    <w:tmpl w:val="B82E4A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nsid w:val="14D159E2"/>
    <w:multiLevelType w:val="hybridMultilevel"/>
    <w:tmpl w:val="04BE64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1">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2">
    <w:nsid w:val="3ED66231"/>
    <w:multiLevelType w:val="hybridMultilevel"/>
    <w:tmpl w:val="B274980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A432656"/>
    <w:multiLevelType w:val="multilevel"/>
    <w:tmpl w:val="7A3CE2F8"/>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3718"/>
        </w:tabs>
        <w:ind w:left="3718" w:hanging="600"/>
      </w:pPr>
    </w:lvl>
    <w:lvl w:ilvl="2">
      <w:start w:val="1"/>
      <w:numFmt w:val="decimal"/>
      <w:pStyle w:val="Heading3"/>
      <w:lvlText w:val="%1.%2.%3."/>
      <w:lvlJc w:val="left"/>
      <w:pPr>
        <w:tabs>
          <w:tab w:val="num" w:pos="1920"/>
        </w:tabs>
        <w:ind w:left="1920" w:hanging="84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9">
    <w:nsid w:val="5C0205AD"/>
    <w:multiLevelType w:val="hybridMultilevel"/>
    <w:tmpl w:val="2E42F134"/>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305470"/>
    <w:multiLevelType w:val="hybridMultilevel"/>
    <w:tmpl w:val="12242CC2"/>
    <w:lvl w:ilvl="0" w:tplc="080C000B">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nsid w:val="62EF3CAF"/>
    <w:multiLevelType w:val="hybridMultilevel"/>
    <w:tmpl w:val="8D50A6F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40904B7"/>
    <w:multiLevelType w:val="hybridMultilevel"/>
    <w:tmpl w:val="36ACC6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4">
    <w:nsid w:val="6681249B"/>
    <w:multiLevelType w:val="hybridMultilevel"/>
    <w:tmpl w:val="A9A478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6">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7">
    <w:nsid w:val="6AD366AB"/>
    <w:multiLevelType w:val="hybridMultilevel"/>
    <w:tmpl w:val="DD50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E447E15"/>
    <w:multiLevelType w:val="hybridMultilevel"/>
    <w:tmpl w:val="0582C6A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0">
    <w:nsid w:val="73B121DF"/>
    <w:multiLevelType w:val="hybridMultilevel"/>
    <w:tmpl w:val="AC780360"/>
    <w:lvl w:ilvl="0" w:tplc="08090005">
      <w:start w:val="1"/>
      <w:numFmt w:val="bullet"/>
      <w:lvlText w:val=""/>
      <w:lvlJc w:val="left"/>
      <w:pPr>
        <w:ind w:left="720" w:hanging="360"/>
      </w:pPr>
      <w:rPr>
        <w:rFonts w:ascii="Wingdings" w:hAnsi="Wingdings"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8B2293F"/>
    <w:multiLevelType w:val="hybridMultilevel"/>
    <w:tmpl w:val="FD9844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nsid w:val="79080126"/>
    <w:multiLevelType w:val="hybridMultilevel"/>
    <w:tmpl w:val="F3E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4">
    <w:nsid w:val="7D0E592C"/>
    <w:multiLevelType w:val="hybridMultilevel"/>
    <w:tmpl w:val="2438BCBE"/>
    <w:lvl w:ilvl="0" w:tplc="08090001">
      <w:start w:val="1"/>
      <w:numFmt w:val="bullet"/>
      <w:lvlText w:val=""/>
      <w:lvlJc w:val="left"/>
      <w:pPr>
        <w:ind w:left="700" w:hanging="360"/>
      </w:pPr>
      <w:rPr>
        <w:rFonts w:ascii="Symbol" w:hAnsi="Symbol" w:hint="default"/>
      </w:rPr>
    </w:lvl>
    <w:lvl w:ilvl="1" w:tplc="08090003">
      <w:start w:val="1"/>
      <w:numFmt w:val="bullet"/>
      <w:lvlText w:val="o"/>
      <w:lvlJc w:val="left"/>
      <w:pPr>
        <w:ind w:left="1420" w:hanging="360"/>
      </w:pPr>
      <w:rPr>
        <w:rFonts w:ascii="Courier New" w:hAnsi="Courier New" w:cs="Courier New" w:hint="default"/>
      </w:rPr>
    </w:lvl>
    <w:lvl w:ilvl="2" w:tplc="08090005">
      <w:start w:val="1"/>
      <w:numFmt w:val="bullet"/>
      <w:lvlText w:val=""/>
      <w:lvlJc w:val="left"/>
      <w:pPr>
        <w:ind w:left="2140" w:hanging="360"/>
      </w:pPr>
      <w:rPr>
        <w:rFonts w:ascii="Wingdings" w:hAnsi="Wingdings" w:hint="default"/>
      </w:rPr>
    </w:lvl>
    <w:lvl w:ilvl="3" w:tplc="0809000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35">
    <w:nsid w:val="7FE82D39"/>
    <w:multiLevelType w:val="hybridMultilevel"/>
    <w:tmpl w:val="2BF84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7"/>
  </w:num>
  <w:num w:numId="4">
    <w:abstractNumId w:val="18"/>
  </w:num>
  <w:num w:numId="5">
    <w:abstractNumId w:val="11"/>
  </w:num>
  <w:num w:numId="6">
    <w:abstractNumId w:val="10"/>
  </w:num>
  <w:num w:numId="7">
    <w:abstractNumId w:val="7"/>
  </w:num>
  <w:num w:numId="8">
    <w:abstractNumId w:val="6"/>
  </w:num>
  <w:num w:numId="9">
    <w:abstractNumId w:val="23"/>
  </w:num>
  <w:num w:numId="10">
    <w:abstractNumId w:val="26"/>
  </w:num>
  <w:num w:numId="11">
    <w:abstractNumId w:val="25"/>
  </w:num>
  <w:num w:numId="12">
    <w:abstractNumId w:val="29"/>
  </w:num>
  <w:num w:numId="13">
    <w:abstractNumId w:val="9"/>
  </w:num>
  <w:num w:numId="14">
    <w:abstractNumId w:val="13"/>
  </w:num>
  <w:num w:numId="15">
    <w:abstractNumId w:val="15"/>
  </w:num>
  <w:num w:numId="16">
    <w:abstractNumId w:val="14"/>
  </w:num>
  <w:num w:numId="17">
    <w:abstractNumId w:val="3"/>
  </w:num>
  <w:num w:numId="18">
    <w:abstractNumId w:val="16"/>
  </w:num>
  <w:num w:numId="19">
    <w:abstractNumId w:val="31"/>
  </w:num>
  <w:num w:numId="20">
    <w:abstractNumId w:val="27"/>
  </w:num>
  <w:num w:numId="21">
    <w:abstractNumId w:val="32"/>
  </w:num>
  <w:num w:numId="22">
    <w:abstractNumId w:val="4"/>
  </w:num>
  <w:num w:numId="23">
    <w:abstractNumId w:val="8"/>
  </w:num>
  <w:num w:numId="24">
    <w:abstractNumId w:val="5"/>
  </w:num>
  <w:num w:numId="25">
    <w:abstractNumId w:val="20"/>
  </w:num>
  <w:num w:numId="26">
    <w:abstractNumId w:val="33"/>
  </w:num>
  <w:num w:numId="27">
    <w:abstractNumId w:val="19"/>
  </w:num>
  <w:num w:numId="28">
    <w:abstractNumId w:val="35"/>
  </w:num>
  <w:num w:numId="29">
    <w:abstractNumId w:val="21"/>
  </w:num>
  <w:num w:numId="30">
    <w:abstractNumId w:val="17"/>
  </w:num>
  <w:num w:numId="31">
    <w:abstractNumId w:val="17"/>
  </w:num>
  <w:num w:numId="32">
    <w:abstractNumId w:val="17"/>
  </w:num>
  <w:num w:numId="33">
    <w:abstractNumId w:val="17"/>
  </w:num>
  <w:num w:numId="34">
    <w:abstractNumId w:val="17"/>
  </w:num>
  <w:num w:numId="35">
    <w:abstractNumId w:val="17"/>
  </w:num>
  <w:num w:numId="36">
    <w:abstractNumId w:val="17"/>
  </w:num>
  <w:num w:numId="37">
    <w:abstractNumId w:val="22"/>
  </w:num>
  <w:num w:numId="38">
    <w:abstractNumId w:val="12"/>
  </w:num>
  <w:num w:numId="39">
    <w:abstractNumId w:val="17"/>
  </w:num>
  <w:num w:numId="40">
    <w:abstractNumId w:val="28"/>
  </w:num>
  <w:num w:numId="41">
    <w:abstractNumId w:val="2"/>
  </w:num>
  <w:num w:numId="42">
    <w:abstractNumId w:val="17"/>
  </w:num>
  <w:num w:numId="43">
    <w:abstractNumId w:val="30"/>
  </w:num>
  <w:num w:numId="44">
    <w:abstractNumId w:val="17"/>
  </w:num>
  <w:num w:numId="45">
    <w:abstractNumId w:val="17"/>
  </w:num>
  <w:num w:numId="46">
    <w:abstractNumId w:val="17"/>
  </w:num>
  <w:num w:numId="47">
    <w:abstractNumId w:val="17"/>
  </w:num>
  <w:num w:numId="48">
    <w:abstractNumId w:val="17"/>
  </w:num>
  <w:num w:numId="49">
    <w:abstractNumId w:val="17"/>
  </w:num>
  <w:num w:numId="50">
    <w:abstractNumId w:val="17"/>
  </w:num>
  <w:num w:numId="51">
    <w:abstractNumId w:val="34"/>
  </w:num>
  <w:num w:numId="52">
    <w:abstractNumId w:val="17"/>
  </w:num>
  <w:num w:numId="53">
    <w:abstractNumId w:val="17"/>
  </w:num>
  <w:num w:numId="54">
    <w:abstractNumId w:val="17"/>
  </w:num>
  <w:num w:numId="55">
    <w:abstractNumId w:val="2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16FC479-7182-4F1A-87E8-5BADA7BEA24D"/>
    <w:docVar w:name="LW_COVERPAGE_TYPE" w:val="1"/>
    <w:docVar w:name="LW_CROSSREFERENCE" w:val="&lt;UNUSED&gt;"/>
    <w:docVar w:name="LW_DocType" w:val="NOT"/>
    <w:docVar w:name="LW_EMISSION" w:val="3.9.2021"/>
    <w:docVar w:name="LW_EMISSION_ISODATE" w:val="2021-09-03"/>
    <w:docVar w:name="LW_EMISSION_LOCATION" w:val="BRX"/>
    <w:docVar w:name="LW_EMISSION_PREFIX" w:val="Brussell, "/>
    <w:docVar w:name="LW_EMISSION_SUFFIX" w:val=" "/>
    <w:docVar w:name="LW_ID_DOCTYPE_NONLW" w:val="CP-006"/>
    <w:docVar w:name="LW_LANGUE" w:val="MT"/>
    <w:docVar w:name="LW_LEVEL_OF_SENSITIVITY" w:val="Standard treatment"/>
    <w:docVar w:name="LW_NOM.INST" w:val="IL-KUMMISSJONI EWROPEA"/>
    <w:docVar w:name="LW_NOM.INST_JOINTDOC" w:val="&lt;EMPTY&gt;"/>
    <w:docVar w:name="LW_PART_NBR" w:val="1"/>
    <w:docVar w:name="LW_PART_NBR_TOTAL" w:val="1"/>
    <w:docVar w:name="LW_REF.INST.NEW" w:val="COM"/>
    <w:docVar w:name="LW_REF.INST.NEW_ADOPTED" w:val="final"/>
    <w:docVar w:name="LW_REF.INST.NEW_TEXT" w:val="(2021) 5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dwar l-Artikolu 7(a) tar-Regolament tal-Kunsill (KE) Nru 2271/96 (\u8220?Statut ta\u8217? Mblukkar\u8221?)&lt;/FMT&gt;"/>
    <w:docVar w:name="LW_TYPE.DOC.CP" w:val="RAPPORT TAL-KUMMISSJONI LILL-PARLAMENT EWROPEW U LILL-KUNSILL"/>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mt-M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semiHidden="0" w:uiPriority="35" w:unhideWhenUsed="0"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tabs>
        <w:tab w:val="left" w:pos="1276"/>
      </w:tabs>
      <w:spacing w:before="240" w:line="276" w:lineRule="auto"/>
      <w:jc w:val="left"/>
      <w:outlineLvl w:val="1"/>
    </w:pPr>
    <w:rPr>
      <w:b/>
    </w:rPr>
  </w:style>
  <w:style w:type="paragraph" w:styleId="Heading3">
    <w:name w:val="heading 3"/>
    <w:basedOn w:val="Normal"/>
    <w:next w:val="Text3"/>
    <w:qFormat/>
    <w:pPr>
      <w:keepNext/>
      <w:numPr>
        <w:ilvl w:val="2"/>
        <w:numId w:val="3"/>
      </w:numPr>
      <w:tabs>
        <w:tab w:val="clear" w:pos="1920"/>
        <w:tab w:val="num" w:pos="1985"/>
      </w:tabs>
      <w:spacing w:line="276" w:lineRule="auto"/>
      <w:ind w:left="1985" w:hanging="709"/>
      <w:outlineLvl w:val="2"/>
    </w:pPr>
    <w:rPr>
      <w:b/>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uiPriority w:val="99"/>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 Text Char,Footnote Text Char2 Char,Footnote Text Char Char Char1,Footnote Text Char1 Char Char Char,Footnote Text Char2 Char Char Char Char,Footnote Text Char1 Char1 Char Char Char Char,Footnote Text Char Char1 Char Char Char Cha"/>
    <w:basedOn w:val="Normal"/>
    <w:link w:val="FootnoteTextChar1"/>
    <w:uiPriority w:val="99"/>
    <w:qFormat/>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link w:val="NoteHeadChar"/>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character" w:customStyle="1" w:styleId="FooterChar">
    <w:name w:val="Footer Char"/>
    <w:link w:val="Footer"/>
    <w:uiPriority w:val="99"/>
    <w:rPr>
      <w:rFonts w:ascii="Arial" w:hAnsi="Arial"/>
      <w:sz w:val="16"/>
      <w:lang w:eastAsia="en-US"/>
    </w:rPr>
  </w:style>
  <w:style w:type="character" w:customStyle="1" w:styleId="DateChar">
    <w:name w:val="Date Char"/>
    <w:link w:val="Date"/>
    <w:uiPriority w:val="99"/>
    <w:rPr>
      <w:sz w:val="24"/>
      <w:lang w:eastAsia="en-US"/>
    </w:rPr>
  </w:style>
  <w:style w:type="character" w:customStyle="1" w:styleId="SignatureChar">
    <w:name w:val="Signature Char"/>
    <w:link w:val="Signature"/>
    <w:uiPriority w:val="99"/>
    <w:rPr>
      <w:sz w:val="24"/>
      <w:lang w:eastAsia="en-US"/>
    </w:rPr>
  </w:style>
  <w:style w:type="paragraph" w:customStyle="1" w:styleId="ZCom">
    <w:name w:val="Z_Com"/>
    <w:basedOn w:val="Normal"/>
    <w:next w:val="ZDGName"/>
    <w:uiPriority w:val="99"/>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hAnsi="Arial" w:cs="Arial"/>
      <w:sz w:val="16"/>
      <w:szCs w:val="16"/>
      <w:lang w:eastAsia="en-GB"/>
    </w:rPr>
  </w:style>
  <w:style w:type="character" w:customStyle="1" w:styleId="HeaderChar">
    <w:name w:val="Header Char"/>
    <w:link w:val="Header"/>
    <w:uiPriority w:val="99"/>
    <w:rPr>
      <w:sz w:val="24"/>
      <w:lang w:eastAsia="en-US"/>
    </w:rPr>
  </w:style>
  <w:style w:type="character" w:styleId="Hyperlink">
    <w:name w:val="Hyperlink"/>
    <w:uiPriority w:val="99"/>
    <w:rPr>
      <w:color w:val="0000FF"/>
      <w:u w:val="single"/>
    </w:rPr>
  </w:style>
  <w:style w:type="character" w:styleId="FootnoteReference">
    <w:name w:val="footnote reference"/>
    <w:aliases w:val="Footnote number,Footnote symbol,note TESI,Ref,de nota al pie,(NECG) Footnote Reference,fr,Footnote Reference1,Footnote Reference11,o,Footnote Reference Superscript,Footnote reference number,Footnote Reference Number,FR,FR1"/>
    <w:uiPriority w:val="99"/>
    <w:qFormat/>
    <w:rPr>
      <w:vertAlign w:val="superscript"/>
    </w:rPr>
  </w:style>
  <w:style w:type="character" w:customStyle="1" w:styleId="Initial">
    <w:name w:val="Initial"/>
    <w:rPr>
      <w:rFonts w:ascii="Times New Roman" w:hAnsi="Times New Roman"/>
      <w:noProof w:val="0"/>
      <w:sz w:val="24"/>
      <w:lang w:val="mt-MT"/>
    </w:rPr>
  </w:style>
  <w:style w:type="paragraph" w:customStyle="1" w:styleId="Footnote">
    <w:name w:val="Footnote"/>
    <w:pPr>
      <w:tabs>
        <w:tab w:val="left" w:pos="-1440"/>
        <w:tab w:val="left" w:pos="-720"/>
        <w:tab w:val="left" w:pos="0"/>
      </w:tabs>
      <w:suppressAutoHyphens/>
      <w:ind w:left="720" w:hanging="720"/>
    </w:pPr>
    <w:rPr>
      <w:lang w:eastAsia="en-GB"/>
    </w:rPr>
  </w:style>
  <w:style w:type="character" w:styleId="CommentReference">
    <w:name w:val="annotation reference"/>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link w:val="CommentText"/>
    <w:rPr>
      <w:lang w:eastAsia="en-US"/>
    </w:rPr>
  </w:style>
  <w:style w:type="character" w:customStyle="1" w:styleId="CommentSubjectChar">
    <w:name w:val="Comment Subject Char"/>
    <w:link w:val="CommentSubject"/>
    <w:uiPriority w:val="99"/>
    <w:semiHidden/>
    <w:rPr>
      <w:b/>
      <w:bCs/>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customStyle="1" w:styleId="FootnoteTextChar1">
    <w:name w:val="Footnote Text Char1"/>
    <w:aliases w:val="Footnote Text Char Char,Footnote Text Char2 Char Char,Footnote Text Char Char Char1 Char,Footnote Text Char1 Char Char Char Char,Footnote Text Char2 Char Char Char Char Char,Footnote Text Char1 Char1 Char Char Char Char Char"/>
    <w:link w:val="FootnoteText"/>
    <w:qFormat/>
    <w:locked/>
    <w:rPr>
      <w:lang w:eastAsia="en-US"/>
    </w:rPr>
  </w:style>
  <w:style w:type="paragraph" w:styleId="NormalWeb">
    <w:name w:val="Normal (Web)"/>
    <w:basedOn w:val="Normal"/>
    <w:uiPriority w:val="99"/>
    <w:unhideWhenUsed/>
    <w:pPr>
      <w:spacing w:before="100" w:beforeAutospacing="1" w:after="100" w:afterAutospacing="1"/>
      <w:jc w:val="left"/>
    </w:pPr>
    <w:rPr>
      <w:szCs w:val="24"/>
      <w:lang w:eastAsia="fr-BE"/>
    </w:rPr>
  </w:style>
  <w:style w:type="paragraph" w:customStyle="1" w:styleId="norm">
    <w:name w:val="norm"/>
    <w:basedOn w:val="Normal"/>
    <w:pPr>
      <w:spacing w:before="100" w:beforeAutospacing="1" w:after="100" w:afterAutospacing="1"/>
      <w:jc w:val="left"/>
    </w:pPr>
    <w:rPr>
      <w:szCs w:val="24"/>
      <w:lang w:eastAsia="fr-BE"/>
    </w:rPr>
  </w:style>
  <w:style w:type="character" w:customStyle="1" w:styleId="superscript">
    <w:name w:val="superscript"/>
  </w:style>
  <w:style w:type="paragraph" w:styleId="ListParagraph">
    <w:name w:val="List Paragraph"/>
    <w:basedOn w:val="Normal"/>
    <w:uiPriority w:val="34"/>
    <w:qFormat/>
    <w:pPr>
      <w:ind w:left="720"/>
    </w:pPr>
  </w:style>
  <w:style w:type="paragraph" w:customStyle="1" w:styleId="Normal1">
    <w:name w:val="Normal1"/>
    <w:basedOn w:val="Normal"/>
    <w:pPr>
      <w:spacing w:before="100" w:beforeAutospacing="1" w:after="100" w:afterAutospacing="1"/>
      <w:jc w:val="left"/>
    </w:pPr>
    <w:rPr>
      <w:szCs w:val="24"/>
    </w:rPr>
  </w:style>
  <w:style w:type="character" w:customStyle="1" w:styleId="bold">
    <w:name w:val="bold"/>
  </w:style>
  <w:style w:type="paragraph" w:customStyle="1" w:styleId="Considrant">
    <w:name w:val="Considérant"/>
    <w:basedOn w:val="Normal"/>
    <w:pPr>
      <w:numPr>
        <w:numId w:val="26"/>
      </w:numPr>
      <w:spacing w:before="120" w:after="120"/>
    </w:pPr>
    <w:rPr>
      <w:rFonts w:eastAsia="Calibri"/>
      <w:szCs w:val="22"/>
    </w:rPr>
  </w:style>
  <w:style w:type="character" w:customStyle="1" w:styleId="citation">
    <w:name w:val="citation"/>
  </w:style>
  <w:style w:type="character" w:styleId="Emphasis">
    <w:name w:val="Emphasis"/>
    <w:uiPriority w:val="20"/>
    <w:qFormat/>
    <w:rPr>
      <w:i/>
      <w:iCs/>
    </w:rPr>
  </w:style>
  <w:style w:type="paragraph" w:customStyle="1" w:styleId="selectionshareable">
    <w:name w:val="selectionshareable"/>
    <w:basedOn w:val="Normal"/>
    <w:pPr>
      <w:spacing w:before="100" w:beforeAutospacing="1" w:after="100" w:afterAutospacing="1"/>
      <w:jc w:val="left"/>
    </w:pPr>
    <w:rPr>
      <w:szCs w:val="24"/>
    </w:rPr>
  </w:style>
  <w:style w:type="paragraph" w:customStyle="1" w:styleId="bssmall">
    <w:name w:val="bssmall"/>
    <w:basedOn w:val="Normal"/>
    <w:pPr>
      <w:spacing w:before="100" w:beforeAutospacing="1" w:after="100" w:afterAutospacing="1"/>
      <w:jc w:val="left"/>
    </w:pPr>
    <w:rPr>
      <w:szCs w:val="24"/>
    </w:rPr>
  </w:style>
  <w:style w:type="table" w:styleId="TableGrid">
    <w:name w:val="Table Grid"/>
    <w:basedOn w:val="TableNormal"/>
    <w:uiPriority w:val="3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hgkelc">
    <w:name w:val="hgkelc"/>
  </w:style>
  <w:style w:type="paragraph" w:customStyle="1" w:styleId="AR2015Text">
    <w:name w:val="AR2015Text"/>
    <w:basedOn w:val="Normal"/>
    <w:link w:val="AR2015TextChar"/>
    <w:uiPriority w:val="99"/>
    <w:unhideWhenUsed/>
    <w:pPr>
      <w:widowControl w:val="0"/>
      <w:autoSpaceDE w:val="0"/>
      <w:autoSpaceDN w:val="0"/>
      <w:adjustRightInd w:val="0"/>
      <w:spacing w:after="227" w:line="288" w:lineRule="auto"/>
      <w:textAlignment w:val="center"/>
    </w:pPr>
    <w:rPr>
      <w:rFonts w:ascii="Arial" w:hAnsi="Arial" w:cs="Minion Pro"/>
      <w:color w:val="000000"/>
      <w:sz w:val="18"/>
      <w:szCs w:val="18"/>
    </w:rPr>
  </w:style>
  <w:style w:type="character" w:customStyle="1" w:styleId="AR2015TextChar">
    <w:name w:val="AR2015Text Char"/>
    <w:link w:val="AR2015Text"/>
    <w:uiPriority w:val="99"/>
    <w:rPr>
      <w:rFonts w:ascii="Arial" w:hAnsi="Arial" w:cs="Minion Pro"/>
      <w:color w:val="000000"/>
      <w:sz w:val="18"/>
      <w:szCs w:val="18"/>
      <w:lang w:eastAsia="en-US"/>
    </w:rPr>
  </w:style>
  <w:style w:type="character" w:customStyle="1" w:styleId="highlight">
    <w:name w:val="highlight"/>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pPr>
    <w:rPr>
      <w:rFonts w:eastAsia="Calibr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NoteHeadChar">
    <w:name w:val="NoteHead Char"/>
    <w:link w:val="NoteHead"/>
    <w:rPr>
      <w:b/>
      <w:smallCaps/>
      <w:sz w:val="24"/>
      <w:lang w:val="mt-MT"/>
    </w:rPr>
  </w:style>
  <w:style w:type="character" w:customStyle="1" w:styleId="FooterCoverPageChar">
    <w:name w:val="Footer Cover Page Char"/>
    <w:link w:val="FooterCoverPage"/>
    <w:rPr>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link w:val="FooterSensitivity"/>
    <w:rPr>
      <w:b/>
      <w:sz w:val="32"/>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link w:val="HeaderCoverPage"/>
    <w:rPr>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link w:val="HeaderSensitivity"/>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link w:val="HeaderSensitivityRight"/>
    <w:rPr>
      <w:sz w:val="28"/>
    </w:rPr>
  </w:style>
  <w:style w:type="paragraph" w:customStyle="1" w:styleId="Briefinglist1">
    <w:name w:val="Briefing list 1"/>
    <w:basedOn w:val="Normal"/>
    <w:link w:val="Briefinglist1Char"/>
    <w:qFormat/>
    <w:pPr>
      <w:keepLines/>
      <w:spacing w:after="120"/>
    </w:pPr>
    <w:rPr>
      <w:rFonts w:ascii="Arial" w:hAnsi="Arial" w:cs="Arial"/>
      <w:sz w:val="22"/>
      <w:szCs w:val="24"/>
    </w:rPr>
  </w:style>
  <w:style w:type="character" w:customStyle="1" w:styleId="Briefinglist1Char">
    <w:name w:val="Briefing list 1 Char"/>
    <w:link w:val="Briefinglist1"/>
    <w:qFormat/>
    <w:locked/>
    <w:rPr>
      <w:rFonts w:ascii="Arial" w:hAnsi="Arial" w:cs="Arial"/>
      <w:sz w:val="22"/>
      <w:szCs w:val="24"/>
      <w:lang w:val="mt-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37333">
      <w:bodyDiv w:val="1"/>
      <w:marLeft w:val="0"/>
      <w:marRight w:val="0"/>
      <w:marTop w:val="0"/>
      <w:marBottom w:val="0"/>
      <w:divBdr>
        <w:top w:val="none" w:sz="0" w:space="0" w:color="auto"/>
        <w:left w:val="none" w:sz="0" w:space="0" w:color="auto"/>
        <w:bottom w:val="none" w:sz="0" w:space="0" w:color="auto"/>
        <w:right w:val="none" w:sz="0" w:space="0" w:color="auto"/>
      </w:divBdr>
    </w:div>
    <w:div w:id="58983746">
      <w:bodyDiv w:val="1"/>
      <w:marLeft w:val="0"/>
      <w:marRight w:val="0"/>
      <w:marTop w:val="0"/>
      <w:marBottom w:val="0"/>
      <w:divBdr>
        <w:top w:val="none" w:sz="0" w:space="0" w:color="auto"/>
        <w:left w:val="none" w:sz="0" w:space="0" w:color="auto"/>
        <w:bottom w:val="none" w:sz="0" w:space="0" w:color="auto"/>
        <w:right w:val="none" w:sz="0" w:space="0" w:color="auto"/>
      </w:divBdr>
    </w:div>
    <w:div w:id="111553650">
      <w:bodyDiv w:val="1"/>
      <w:marLeft w:val="0"/>
      <w:marRight w:val="0"/>
      <w:marTop w:val="0"/>
      <w:marBottom w:val="0"/>
      <w:divBdr>
        <w:top w:val="none" w:sz="0" w:space="0" w:color="auto"/>
        <w:left w:val="none" w:sz="0" w:space="0" w:color="auto"/>
        <w:bottom w:val="none" w:sz="0" w:space="0" w:color="auto"/>
        <w:right w:val="none" w:sz="0" w:space="0" w:color="auto"/>
      </w:divBdr>
    </w:div>
    <w:div w:id="137498298">
      <w:bodyDiv w:val="1"/>
      <w:marLeft w:val="0"/>
      <w:marRight w:val="0"/>
      <w:marTop w:val="0"/>
      <w:marBottom w:val="0"/>
      <w:divBdr>
        <w:top w:val="none" w:sz="0" w:space="0" w:color="auto"/>
        <w:left w:val="none" w:sz="0" w:space="0" w:color="auto"/>
        <w:bottom w:val="none" w:sz="0" w:space="0" w:color="auto"/>
        <w:right w:val="none" w:sz="0" w:space="0" w:color="auto"/>
      </w:divBdr>
    </w:div>
    <w:div w:id="194315432">
      <w:bodyDiv w:val="1"/>
      <w:marLeft w:val="0"/>
      <w:marRight w:val="0"/>
      <w:marTop w:val="0"/>
      <w:marBottom w:val="0"/>
      <w:divBdr>
        <w:top w:val="none" w:sz="0" w:space="0" w:color="auto"/>
        <w:left w:val="none" w:sz="0" w:space="0" w:color="auto"/>
        <w:bottom w:val="none" w:sz="0" w:space="0" w:color="auto"/>
        <w:right w:val="none" w:sz="0" w:space="0" w:color="auto"/>
      </w:divBdr>
    </w:div>
    <w:div w:id="259021845">
      <w:bodyDiv w:val="1"/>
      <w:marLeft w:val="0"/>
      <w:marRight w:val="0"/>
      <w:marTop w:val="0"/>
      <w:marBottom w:val="0"/>
      <w:divBdr>
        <w:top w:val="none" w:sz="0" w:space="0" w:color="auto"/>
        <w:left w:val="none" w:sz="0" w:space="0" w:color="auto"/>
        <w:bottom w:val="none" w:sz="0" w:space="0" w:color="auto"/>
        <w:right w:val="none" w:sz="0" w:space="0" w:color="auto"/>
      </w:divBdr>
    </w:div>
    <w:div w:id="264653112">
      <w:bodyDiv w:val="1"/>
      <w:marLeft w:val="0"/>
      <w:marRight w:val="0"/>
      <w:marTop w:val="0"/>
      <w:marBottom w:val="0"/>
      <w:divBdr>
        <w:top w:val="none" w:sz="0" w:space="0" w:color="auto"/>
        <w:left w:val="none" w:sz="0" w:space="0" w:color="auto"/>
        <w:bottom w:val="none" w:sz="0" w:space="0" w:color="auto"/>
        <w:right w:val="none" w:sz="0" w:space="0" w:color="auto"/>
      </w:divBdr>
    </w:div>
    <w:div w:id="300766132">
      <w:bodyDiv w:val="1"/>
      <w:marLeft w:val="0"/>
      <w:marRight w:val="0"/>
      <w:marTop w:val="0"/>
      <w:marBottom w:val="0"/>
      <w:divBdr>
        <w:top w:val="none" w:sz="0" w:space="0" w:color="auto"/>
        <w:left w:val="none" w:sz="0" w:space="0" w:color="auto"/>
        <w:bottom w:val="none" w:sz="0" w:space="0" w:color="auto"/>
        <w:right w:val="none" w:sz="0" w:space="0" w:color="auto"/>
      </w:divBdr>
    </w:div>
    <w:div w:id="362247548">
      <w:bodyDiv w:val="1"/>
      <w:marLeft w:val="0"/>
      <w:marRight w:val="0"/>
      <w:marTop w:val="0"/>
      <w:marBottom w:val="0"/>
      <w:divBdr>
        <w:top w:val="none" w:sz="0" w:space="0" w:color="auto"/>
        <w:left w:val="none" w:sz="0" w:space="0" w:color="auto"/>
        <w:bottom w:val="none" w:sz="0" w:space="0" w:color="auto"/>
        <w:right w:val="none" w:sz="0" w:space="0" w:color="auto"/>
      </w:divBdr>
    </w:div>
    <w:div w:id="369108056">
      <w:bodyDiv w:val="1"/>
      <w:marLeft w:val="0"/>
      <w:marRight w:val="0"/>
      <w:marTop w:val="0"/>
      <w:marBottom w:val="0"/>
      <w:divBdr>
        <w:top w:val="none" w:sz="0" w:space="0" w:color="auto"/>
        <w:left w:val="none" w:sz="0" w:space="0" w:color="auto"/>
        <w:bottom w:val="none" w:sz="0" w:space="0" w:color="auto"/>
        <w:right w:val="none" w:sz="0" w:space="0" w:color="auto"/>
      </w:divBdr>
    </w:div>
    <w:div w:id="405299625">
      <w:bodyDiv w:val="1"/>
      <w:marLeft w:val="0"/>
      <w:marRight w:val="0"/>
      <w:marTop w:val="0"/>
      <w:marBottom w:val="0"/>
      <w:divBdr>
        <w:top w:val="none" w:sz="0" w:space="0" w:color="auto"/>
        <w:left w:val="none" w:sz="0" w:space="0" w:color="auto"/>
        <w:bottom w:val="none" w:sz="0" w:space="0" w:color="auto"/>
        <w:right w:val="none" w:sz="0" w:space="0" w:color="auto"/>
      </w:divBdr>
      <w:divsChild>
        <w:div w:id="1249860">
          <w:marLeft w:val="0"/>
          <w:marRight w:val="0"/>
          <w:marTop w:val="120"/>
          <w:marBottom w:val="0"/>
          <w:divBdr>
            <w:top w:val="none" w:sz="0" w:space="0" w:color="auto"/>
            <w:left w:val="none" w:sz="0" w:space="0" w:color="auto"/>
            <w:bottom w:val="none" w:sz="0" w:space="0" w:color="auto"/>
            <w:right w:val="none" w:sz="0" w:space="0" w:color="auto"/>
          </w:divBdr>
        </w:div>
        <w:div w:id="81612783">
          <w:marLeft w:val="0"/>
          <w:marRight w:val="0"/>
          <w:marTop w:val="120"/>
          <w:marBottom w:val="0"/>
          <w:divBdr>
            <w:top w:val="none" w:sz="0" w:space="0" w:color="auto"/>
            <w:left w:val="none" w:sz="0" w:space="0" w:color="auto"/>
            <w:bottom w:val="none" w:sz="0" w:space="0" w:color="auto"/>
            <w:right w:val="none" w:sz="0" w:space="0" w:color="auto"/>
          </w:divBdr>
        </w:div>
        <w:div w:id="355817280">
          <w:marLeft w:val="0"/>
          <w:marRight w:val="0"/>
          <w:marTop w:val="120"/>
          <w:marBottom w:val="0"/>
          <w:divBdr>
            <w:top w:val="none" w:sz="0" w:space="0" w:color="auto"/>
            <w:left w:val="none" w:sz="0" w:space="0" w:color="auto"/>
            <w:bottom w:val="none" w:sz="0" w:space="0" w:color="auto"/>
            <w:right w:val="none" w:sz="0" w:space="0" w:color="auto"/>
          </w:divBdr>
        </w:div>
        <w:div w:id="461729862">
          <w:marLeft w:val="0"/>
          <w:marRight w:val="0"/>
          <w:marTop w:val="0"/>
          <w:marBottom w:val="0"/>
          <w:divBdr>
            <w:top w:val="none" w:sz="0" w:space="0" w:color="auto"/>
            <w:left w:val="none" w:sz="0" w:space="0" w:color="auto"/>
            <w:bottom w:val="none" w:sz="0" w:space="0" w:color="auto"/>
            <w:right w:val="none" w:sz="0" w:space="0" w:color="auto"/>
          </w:divBdr>
        </w:div>
        <w:div w:id="982582276">
          <w:marLeft w:val="0"/>
          <w:marRight w:val="0"/>
          <w:marTop w:val="0"/>
          <w:marBottom w:val="0"/>
          <w:divBdr>
            <w:top w:val="none" w:sz="0" w:space="0" w:color="auto"/>
            <w:left w:val="none" w:sz="0" w:space="0" w:color="auto"/>
            <w:bottom w:val="none" w:sz="0" w:space="0" w:color="auto"/>
            <w:right w:val="none" w:sz="0" w:space="0" w:color="auto"/>
          </w:divBdr>
        </w:div>
        <w:div w:id="1422683174">
          <w:marLeft w:val="0"/>
          <w:marRight w:val="0"/>
          <w:marTop w:val="0"/>
          <w:marBottom w:val="0"/>
          <w:divBdr>
            <w:top w:val="none" w:sz="0" w:space="0" w:color="auto"/>
            <w:left w:val="none" w:sz="0" w:space="0" w:color="auto"/>
            <w:bottom w:val="none" w:sz="0" w:space="0" w:color="auto"/>
            <w:right w:val="none" w:sz="0" w:space="0" w:color="auto"/>
          </w:divBdr>
        </w:div>
        <w:div w:id="1458178181">
          <w:marLeft w:val="0"/>
          <w:marRight w:val="0"/>
          <w:marTop w:val="120"/>
          <w:marBottom w:val="0"/>
          <w:divBdr>
            <w:top w:val="none" w:sz="0" w:space="0" w:color="auto"/>
            <w:left w:val="none" w:sz="0" w:space="0" w:color="auto"/>
            <w:bottom w:val="none" w:sz="0" w:space="0" w:color="auto"/>
            <w:right w:val="none" w:sz="0" w:space="0" w:color="auto"/>
          </w:divBdr>
        </w:div>
        <w:div w:id="1488982948">
          <w:marLeft w:val="0"/>
          <w:marRight w:val="0"/>
          <w:marTop w:val="0"/>
          <w:marBottom w:val="0"/>
          <w:divBdr>
            <w:top w:val="none" w:sz="0" w:space="0" w:color="auto"/>
            <w:left w:val="none" w:sz="0" w:space="0" w:color="auto"/>
            <w:bottom w:val="none" w:sz="0" w:space="0" w:color="auto"/>
            <w:right w:val="none" w:sz="0" w:space="0" w:color="auto"/>
          </w:divBdr>
        </w:div>
        <w:div w:id="1676112221">
          <w:marLeft w:val="0"/>
          <w:marRight w:val="0"/>
          <w:marTop w:val="0"/>
          <w:marBottom w:val="0"/>
          <w:divBdr>
            <w:top w:val="none" w:sz="0" w:space="0" w:color="auto"/>
            <w:left w:val="none" w:sz="0" w:space="0" w:color="auto"/>
            <w:bottom w:val="none" w:sz="0" w:space="0" w:color="auto"/>
            <w:right w:val="none" w:sz="0" w:space="0" w:color="auto"/>
          </w:divBdr>
        </w:div>
        <w:div w:id="1725829220">
          <w:marLeft w:val="0"/>
          <w:marRight w:val="0"/>
          <w:marTop w:val="120"/>
          <w:marBottom w:val="0"/>
          <w:divBdr>
            <w:top w:val="none" w:sz="0" w:space="0" w:color="auto"/>
            <w:left w:val="none" w:sz="0" w:space="0" w:color="auto"/>
            <w:bottom w:val="none" w:sz="0" w:space="0" w:color="auto"/>
            <w:right w:val="none" w:sz="0" w:space="0" w:color="auto"/>
          </w:divBdr>
        </w:div>
      </w:divsChild>
    </w:div>
    <w:div w:id="435833158">
      <w:bodyDiv w:val="1"/>
      <w:marLeft w:val="0"/>
      <w:marRight w:val="0"/>
      <w:marTop w:val="0"/>
      <w:marBottom w:val="0"/>
      <w:divBdr>
        <w:top w:val="none" w:sz="0" w:space="0" w:color="auto"/>
        <w:left w:val="none" w:sz="0" w:space="0" w:color="auto"/>
        <w:bottom w:val="none" w:sz="0" w:space="0" w:color="auto"/>
        <w:right w:val="none" w:sz="0" w:space="0" w:color="auto"/>
      </w:divBdr>
    </w:div>
    <w:div w:id="460005081">
      <w:bodyDiv w:val="1"/>
      <w:marLeft w:val="0"/>
      <w:marRight w:val="0"/>
      <w:marTop w:val="0"/>
      <w:marBottom w:val="0"/>
      <w:divBdr>
        <w:top w:val="none" w:sz="0" w:space="0" w:color="auto"/>
        <w:left w:val="none" w:sz="0" w:space="0" w:color="auto"/>
        <w:bottom w:val="none" w:sz="0" w:space="0" w:color="auto"/>
        <w:right w:val="none" w:sz="0" w:space="0" w:color="auto"/>
      </w:divBdr>
    </w:div>
    <w:div w:id="562527656">
      <w:bodyDiv w:val="1"/>
      <w:marLeft w:val="0"/>
      <w:marRight w:val="0"/>
      <w:marTop w:val="0"/>
      <w:marBottom w:val="0"/>
      <w:divBdr>
        <w:top w:val="none" w:sz="0" w:space="0" w:color="auto"/>
        <w:left w:val="none" w:sz="0" w:space="0" w:color="auto"/>
        <w:bottom w:val="none" w:sz="0" w:space="0" w:color="auto"/>
        <w:right w:val="none" w:sz="0" w:space="0" w:color="auto"/>
      </w:divBdr>
    </w:div>
    <w:div w:id="640424314">
      <w:bodyDiv w:val="1"/>
      <w:marLeft w:val="0"/>
      <w:marRight w:val="0"/>
      <w:marTop w:val="0"/>
      <w:marBottom w:val="0"/>
      <w:divBdr>
        <w:top w:val="none" w:sz="0" w:space="0" w:color="auto"/>
        <w:left w:val="none" w:sz="0" w:space="0" w:color="auto"/>
        <w:bottom w:val="none" w:sz="0" w:space="0" w:color="auto"/>
        <w:right w:val="none" w:sz="0" w:space="0" w:color="auto"/>
      </w:divBdr>
    </w:div>
    <w:div w:id="652179573">
      <w:bodyDiv w:val="1"/>
      <w:marLeft w:val="0"/>
      <w:marRight w:val="0"/>
      <w:marTop w:val="0"/>
      <w:marBottom w:val="0"/>
      <w:divBdr>
        <w:top w:val="none" w:sz="0" w:space="0" w:color="auto"/>
        <w:left w:val="none" w:sz="0" w:space="0" w:color="auto"/>
        <w:bottom w:val="none" w:sz="0" w:space="0" w:color="auto"/>
        <w:right w:val="none" w:sz="0" w:space="0" w:color="auto"/>
      </w:divBdr>
    </w:div>
    <w:div w:id="743070846">
      <w:bodyDiv w:val="1"/>
      <w:marLeft w:val="0"/>
      <w:marRight w:val="0"/>
      <w:marTop w:val="0"/>
      <w:marBottom w:val="0"/>
      <w:divBdr>
        <w:top w:val="none" w:sz="0" w:space="0" w:color="auto"/>
        <w:left w:val="none" w:sz="0" w:space="0" w:color="auto"/>
        <w:bottom w:val="none" w:sz="0" w:space="0" w:color="auto"/>
        <w:right w:val="none" w:sz="0" w:space="0" w:color="auto"/>
      </w:divBdr>
    </w:div>
    <w:div w:id="745346158">
      <w:bodyDiv w:val="1"/>
      <w:marLeft w:val="0"/>
      <w:marRight w:val="0"/>
      <w:marTop w:val="0"/>
      <w:marBottom w:val="0"/>
      <w:divBdr>
        <w:top w:val="none" w:sz="0" w:space="0" w:color="auto"/>
        <w:left w:val="none" w:sz="0" w:space="0" w:color="auto"/>
        <w:bottom w:val="none" w:sz="0" w:space="0" w:color="auto"/>
        <w:right w:val="none" w:sz="0" w:space="0" w:color="auto"/>
      </w:divBdr>
    </w:div>
    <w:div w:id="772289901">
      <w:bodyDiv w:val="1"/>
      <w:marLeft w:val="0"/>
      <w:marRight w:val="0"/>
      <w:marTop w:val="0"/>
      <w:marBottom w:val="0"/>
      <w:divBdr>
        <w:top w:val="none" w:sz="0" w:space="0" w:color="auto"/>
        <w:left w:val="none" w:sz="0" w:space="0" w:color="auto"/>
        <w:bottom w:val="none" w:sz="0" w:space="0" w:color="auto"/>
        <w:right w:val="none" w:sz="0" w:space="0" w:color="auto"/>
      </w:divBdr>
    </w:div>
    <w:div w:id="855115796">
      <w:bodyDiv w:val="1"/>
      <w:marLeft w:val="0"/>
      <w:marRight w:val="0"/>
      <w:marTop w:val="0"/>
      <w:marBottom w:val="0"/>
      <w:divBdr>
        <w:top w:val="none" w:sz="0" w:space="0" w:color="auto"/>
        <w:left w:val="none" w:sz="0" w:space="0" w:color="auto"/>
        <w:bottom w:val="none" w:sz="0" w:space="0" w:color="auto"/>
        <w:right w:val="none" w:sz="0" w:space="0" w:color="auto"/>
      </w:divBdr>
    </w:div>
    <w:div w:id="901140629">
      <w:bodyDiv w:val="1"/>
      <w:marLeft w:val="0"/>
      <w:marRight w:val="0"/>
      <w:marTop w:val="0"/>
      <w:marBottom w:val="0"/>
      <w:divBdr>
        <w:top w:val="none" w:sz="0" w:space="0" w:color="auto"/>
        <w:left w:val="none" w:sz="0" w:space="0" w:color="auto"/>
        <w:bottom w:val="none" w:sz="0" w:space="0" w:color="auto"/>
        <w:right w:val="none" w:sz="0" w:space="0" w:color="auto"/>
      </w:divBdr>
    </w:div>
    <w:div w:id="1111969523">
      <w:bodyDiv w:val="1"/>
      <w:marLeft w:val="0"/>
      <w:marRight w:val="0"/>
      <w:marTop w:val="0"/>
      <w:marBottom w:val="0"/>
      <w:divBdr>
        <w:top w:val="none" w:sz="0" w:space="0" w:color="auto"/>
        <w:left w:val="none" w:sz="0" w:space="0" w:color="auto"/>
        <w:bottom w:val="none" w:sz="0" w:space="0" w:color="auto"/>
        <w:right w:val="none" w:sz="0" w:space="0" w:color="auto"/>
      </w:divBdr>
    </w:div>
    <w:div w:id="1288512681">
      <w:bodyDiv w:val="1"/>
      <w:marLeft w:val="0"/>
      <w:marRight w:val="0"/>
      <w:marTop w:val="0"/>
      <w:marBottom w:val="0"/>
      <w:divBdr>
        <w:top w:val="none" w:sz="0" w:space="0" w:color="auto"/>
        <w:left w:val="none" w:sz="0" w:space="0" w:color="auto"/>
        <w:bottom w:val="none" w:sz="0" w:space="0" w:color="auto"/>
        <w:right w:val="none" w:sz="0" w:space="0" w:color="auto"/>
      </w:divBdr>
    </w:div>
    <w:div w:id="1297948943">
      <w:bodyDiv w:val="1"/>
      <w:marLeft w:val="0"/>
      <w:marRight w:val="0"/>
      <w:marTop w:val="0"/>
      <w:marBottom w:val="0"/>
      <w:divBdr>
        <w:top w:val="none" w:sz="0" w:space="0" w:color="auto"/>
        <w:left w:val="none" w:sz="0" w:space="0" w:color="auto"/>
        <w:bottom w:val="none" w:sz="0" w:space="0" w:color="auto"/>
        <w:right w:val="none" w:sz="0" w:space="0" w:color="auto"/>
      </w:divBdr>
    </w:div>
    <w:div w:id="1345479640">
      <w:bodyDiv w:val="1"/>
      <w:marLeft w:val="0"/>
      <w:marRight w:val="0"/>
      <w:marTop w:val="0"/>
      <w:marBottom w:val="0"/>
      <w:divBdr>
        <w:top w:val="none" w:sz="0" w:space="0" w:color="auto"/>
        <w:left w:val="none" w:sz="0" w:space="0" w:color="auto"/>
        <w:bottom w:val="none" w:sz="0" w:space="0" w:color="auto"/>
        <w:right w:val="none" w:sz="0" w:space="0" w:color="auto"/>
      </w:divBdr>
      <w:divsChild>
        <w:div w:id="1194460816">
          <w:marLeft w:val="0"/>
          <w:marRight w:val="0"/>
          <w:marTop w:val="0"/>
          <w:marBottom w:val="0"/>
          <w:divBdr>
            <w:top w:val="none" w:sz="0" w:space="0" w:color="auto"/>
            <w:left w:val="none" w:sz="0" w:space="0" w:color="auto"/>
            <w:bottom w:val="none" w:sz="0" w:space="0" w:color="auto"/>
            <w:right w:val="none" w:sz="0" w:space="0" w:color="auto"/>
          </w:divBdr>
          <w:divsChild>
            <w:div w:id="727920949">
              <w:marLeft w:val="0"/>
              <w:marRight w:val="0"/>
              <w:marTop w:val="0"/>
              <w:marBottom w:val="0"/>
              <w:divBdr>
                <w:top w:val="none" w:sz="0" w:space="0" w:color="auto"/>
                <w:left w:val="none" w:sz="0" w:space="0" w:color="auto"/>
                <w:bottom w:val="none" w:sz="0" w:space="0" w:color="auto"/>
                <w:right w:val="none" w:sz="0" w:space="0" w:color="auto"/>
              </w:divBdr>
              <w:divsChild>
                <w:div w:id="1516577999">
                  <w:marLeft w:val="0"/>
                  <w:marRight w:val="0"/>
                  <w:marTop w:val="0"/>
                  <w:marBottom w:val="0"/>
                  <w:divBdr>
                    <w:top w:val="none" w:sz="0" w:space="0" w:color="auto"/>
                    <w:left w:val="none" w:sz="0" w:space="0" w:color="auto"/>
                    <w:bottom w:val="none" w:sz="0" w:space="0" w:color="auto"/>
                    <w:right w:val="none" w:sz="0" w:space="0" w:color="auto"/>
                  </w:divBdr>
                  <w:divsChild>
                    <w:div w:id="1370717225">
                      <w:marLeft w:val="0"/>
                      <w:marRight w:val="0"/>
                      <w:marTop w:val="0"/>
                      <w:marBottom w:val="0"/>
                      <w:divBdr>
                        <w:top w:val="none" w:sz="0" w:space="0" w:color="auto"/>
                        <w:left w:val="none" w:sz="0" w:space="0" w:color="auto"/>
                        <w:bottom w:val="none" w:sz="0" w:space="0" w:color="auto"/>
                        <w:right w:val="none" w:sz="0" w:space="0" w:color="auto"/>
                      </w:divBdr>
                      <w:divsChild>
                        <w:div w:id="8603231">
                          <w:marLeft w:val="0"/>
                          <w:marRight w:val="0"/>
                          <w:marTop w:val="0"/>
                          <w:marBottom w:val="0"/>
                          <w:divBdr>
                            <w:top w:val="none" w:sz="0" w:space="0" w:color="auto"/>
                            <w:left w:val="none" w:sz="0" w:space="0" w:color="auto"/>
                            <w:bottom w:val="none" w:sz="0" w:space="0" w:color="auto"/>
                            <w:right w:val="none" w:sz="0" w:space="0" w:color="auto"/>
                          </w:divBdr>
                          <w:divsChild>
                            <w:div w:id="345133071">
                              <w:marLeft w:val="0"/>
                              <w:marRight w:val="0"/>
                              <w:marTop w:val="0"/>
                              <w:marBottom w:val="0"/>
                              <w:divBdr>
                                <w:top w:val="none" w:sz="0" w:space="0" w:color="auto"/>
                                <w:left w:val="none" w:sz="0" w:space="0" w:color="auto"/>
                                <w:bottom w:val="none" w:sz="0" w:space="0" w:color="auto"/>
                                <w:right w:val="none" w:sz="0" w:space="0" w:color="auto"/>
                              </w:divBdr>
                              <w:divsChild>
                                <w:div w:id="2035840486">
                                  <w:marLeft w:val="0"/>
                                  <w:marRight w:val="0"/>
                                  <w:marTop w:val="0"/>
                                  <w:marBottom w:val="0"/>
                                  <w:divBdr>
                                    <w:top w:val="none" w:sz="0" w:space="0" w:color="auto"/>
                                    <w:left w:val="none" w:sz="0" w:space="0" w:color="auto"/>
                                    <w:bottom w:val="none" w:sz="0" w:space="0" w:color="auto"/>
                                    <w:right w:val="none" w:sz="0" w:space="0" w:color="auto"/>
                                  </w:divBdr>
                                  <w:divsChild>
                                    <w:div w:id="262305076">
                                      <w:marLeft w:val="0"/>
                                      <w:marRight w:val="0"/>
                                      <w:marTop w:val="0"/>
                                      <w:marBottom w:val="0"/>
                                      <w:divBdr>
                                        <w:top w:val="none" w:sz="0" w:space="0" w:color="auto"/>
                                        <w:left w:val="none" w:sz="0" w:space="0" w:color="auto"/>
                                        <w:bottom w:val="none" w:sz="0" w:space="0" w:color="auto"/>
                                        <w:right w:val="none" w:sz="0" w:space="0" w:color="auto"/>
                                      </w:divBdr>
                                      <w:divsChild>
                                        <w:div w:id="2000307902">
                                          <w:marLeft w:val="0"/>
                                          <w:marRight w:val="0"/>
                                          <w:marTop w:val="0"/>
                                          <w:marBottom w:val="0"/>
                                          <w:divBdr>
                                            <w:top w:val="single" w:sz="6" w:space="0" w:color="D9D9D9"/>
                                            <w:left w:val="single" w:sz="6" w:space="0" w:color="D9D9D9"/>
                                            <w:bottom w:val="single" w:sz="6" w:space="0" w:color="D9D9D9"/>
                                            <w:right w:val="single" w:sz="6" w:space="0" w:color="D9D9D9"/>
                                          </w:divBdr>
                                          <w:divsChild>
                                            <w:div w:id="545409686">
                                              <w:marLeft w:val="0"/>
                                              <w:marRight w:val="0"/>
                                              <w:marTop w:val="0"/>
                                              <w:marBottom w:val="0"/>
                                              <w:divBdr>
                                                <w:top w:val="none" w:sz="0" w:space="0" w:color="auto"/>
                                                <w:left w:val="none" w:sz="0" w:space="0" w:color="auto"/>
                                                <w:bottom w:val="single" w:sz="6" w:space="1" w:color="D9D9D9"/>
                                                <w:right w:val="none" w:sz="0" w:space="0" w:color="auto"/>
                                              </w:divBdr>
                                              <w:divsChild>
                                                <w:div w:id="1441949023">
                                                  <w:marLeft w:val="0"/>
                                                  <w:marRight w:val="0"/>
                                                  <w:marTop w:val="0"/>
                                                  <w:marBottom w:val="0"/>
                                                  <w:divBdr>
                                                    <w:top w:val="none" w:sz="0" w:space="0" w:color="auto"/>
                                                    <w:left w:val="none" w:sz="0" w:space="0" w:color="auto"/>
                                                    <w:bottom w:val="none" w:sz="0" w:space="0" w:color="auto"/>
                                                    <w:right w:val="none" w:sz="0" w:space="0" w:color="auto"/>
                                                  </w:divBdr>
                                                  <w:divsChild>
                                                    <w:div w:id="354307603">
                                                      <w:marLeft w:val="0"/>
                                                      <w:marRight w:val="0"/>
                                                      <w:marTop w:val="0"/>
                                                      <w:marBottom w:val="0"/>
                                                      <w:divBdr>
                                                        <w:top w:val="none" w:sz="0" w:space="0" w:color="auto"/>
                                                        <w:left w:val="none" w:sz="0" w:space="0" w:color="auto"/>
                                                        <w:bottom w:val="none" w:sz="0" w:space="0" w:color="auto"/>
                                                        <w:right w:val="none" w:sz="0" w:space="0" w:color="auto"/>
                                                      </w:divBdr>
                                                      <w:divsChild>
                                                        <w:div w:id="13233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571266">
                                              <w:marLeft w:val="0"/>
                                              <w:marRight w:val="0"/>
                                              <w:marTop w:val="0"/>
                                              <w:marBottom w:val="0"/>
                                              <w:divBdr>
                                                <w:top w:val="none" w:sz="0" w:space="0" w:color="auto"/>
                                                <w:left w:val="none" w:sz="0" w:space="0" w:color="auto"/>
                                                <w:bottom w:val="none" w:sz="0" w:space="0" w:color="auto"/>
                                                <w:right w:val="none" w:sz="0" w:space="0" w:color="auto"/>
                                              </w:divBdr>
                                              <w:divsChild>
                                                <w:div w:id="1174566062">
                                                  <w:marLeft w:val="0"/>
                                                  <w:marRight w:val="0"/>
                                                  <w:marTop w:val="0"/>
                                                  <w:marBottom w:val="0"/>
                                                  <w:divBdr>
                                                    <w:top w:val="none" w:sz="0" w:space="0" w:color="auto"/>
                                                    <w:left w:val="none" w:sz="0" w:space="0" w:color="auto"/>
                                                    <w:bottom w:val="none" w:sz="0" w:space="0" w:color="auto"/>
                                                    <w:right w:val="none" w:sz="0" w:space="0" w:color="auto"/>
                                                  </w:divBdr>
                                                  <w:divsChild>
                                                    <w:div w:id="17467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5748354">
      <w:bodyDiv w:val="1"/>
      <w:marLeft w:val="0"/>
      <w:marRight w:val="0"/>
      <w:marTop w:val="0"/>
      <w:marBottom w:val="0"/>
      <w:divBdr>
        <w:top w:val="none" w:sz="0" w:space="0" w:color="auto"/>
        <w:left w:val="none" w:sz="0" w:space="0" w:color="auto"/>
        <w:bottom w:val="none" w:sz="0" w:space="0" w:color="auto"/>
        <w:right w:val="none" w:sz="0" w:space="0" w:color="auto"/>
      </w:divBdr>
    </w:div>
    <w:div w:id="1438865104">
      <w:bodyDiv w:val="1"/>
      <w:marLeft w:val="0"/>
      <w:marRight w:val="0"/>
      <w:marTop w:val="0"/>
      <w:marBottom w:val="0"/>
      <w:divBdr>
        <w:top w:val="none" w:sz="0" w:space="0" w:color="auto"/>
        <w:left w:val="none" w:sz="0" w:space="0" w:color="auto"/>
        <w:bottom w:val="none" w:sz="0" w:space="0" w:color="auto"/>
        <w:right w:val="none" w:sz="0" w:space="0" w:color="auto"/>
      </w:divBdr>
    </w:div>
    <w:div w:id="1463113500">
      <w:bodyDiv w:val="1"/>
      <w:marLeft w:val="0"/>
      <w:marRight w:val="0"/>
      <w:marTop w:val="0"/>
      <w:marBottom w:val="0"/>
      <w:divBdr>
        <w:top w:val="none" w:sz="0" w:space="0" w:color="auto"/>
        <w:left w:val="none" w:sz="0" w:space="0" w:color="auto"/>
        <w:bottom w:val="none" w:sz="0" w:space="0" w:color="auto"/>
        <w:right w:val="none" w:sz="0" w:space="0" w:color="auto"/>
      </w:divBdr>
    </w:div>
    <w:div w:id="1568997387">
      <w:bodyDiv w:val="1"/>
      <w:marLeft w:val="0"/>
      <w:marRight w:val="0"/>
      <w:marTop w:val="0"/>
      <w:marBottom w:val="0"/>
      <w:divBdr>
        <w:top w:val="none" w:sz="0" w:space="0" w:color="auto"/>
        <w:left w:val="none" w:sz="0" w:space="0" w:color="auto"/>
        <w:bottom w:val="none" w:sz="0" w:space="0" w:color="auto"/>
        <w:right w:val="none" w:sz="0" w:space="0" w:color="auto"/>
      </w:divBdr>
    </w:div>
    <w:div w:id="1735614969">
      <w:bodyDiv w:val="1"/>
      <w:marLeft w:val="0"/>
      <w:marRight w:val="0"/>
      <w:marTop w:val="0"/>
      <w:marBottom w:val="0"/>
      <w:divBdr>
        <w:top w:val="none" w:sz="0" w:space="0" w:color="auto"/>
        <w:left w:val="none" w:sz="0" w:space="0" w:color="auto"/>
        <w:bottom w:val="none" w:sz="0" w:space="0" w:color="auto"/>
        <w:right w:val="none" w:sz="0" w:space="0" w:color="auto"/>
      </w:divBdr>
    </w:div>
    <w:div w:id="1880361596">
      <w:bodyDiv w:val="1"/>
      <w:marLeft w:val="0"/>
      <w:marRight w:val="0"/>
      <w:marTop w:val="0"/>
      <w:marBottom w:val="0"/>
      <w:divBdr>
        <w:top w:val="none" w:sz="0" w:space="0" w:color="auto"/>
        <w:left w:val="none" w:sz="0" w:space="0" w:color="auto"/>
        <w:bottom w:val="none" w:sz="0" w:space="0" w:color="auto"/>
        <w:right w:val="none" w:sz="0" w:space="0" w:color="auto"/>
      </w:divBdr>
    </w:div>
    <w:div w:id="1897162233">
      <w:bodyDiv w:val="1"/>
      <w:marLeft w:val="0"/>
      <w:marRight w:val="0"/>
      <w:marTop w:val="0"/>
      <w:marBottom w:val="0"/>
      <w:divBdr>
        <w:top w:val="none" w:sz="0" w:space="0" w:color="auto"/>
        <w:left w:val="none" w:sz="0" w:space="0" w:color="auto"/>
        <w:bottom w:val="none" w:sz="0" w:space="0" w:color="auto"/>
        <w:right w:val="none" w:sz="0" w:space="0" w:color="auto"/>
      </w:divBdr>
    </w:div>
    <w:div w:id="1998805222">
      <w:bodyDiv w:val="1"/>
      <w:marLeft w:val="0"/>
      <w:marRight w:val="0"/>
      <w:marTop w:val="0"/>
      <w:marBottom w:val="0"/>
      <w:divBdr>
        <w:top w:val="none" w:sz="0" w:space="0" w:color="auto"/>
        <w:left w:val="none" w:sz="0" w:space="0" w:color="auto"/>
        <w:bottom w:val="none" w:sz="0" w:space="0" w:color="auto"/>
        <w:right w:val="none" w:sz="0" w:space="0" w:color="auto"/>
      </w:divBdr>
    </w:div>
    <w:div w:id="2047751922">
      <w:bodyDiv w:val="1"/>
      <w:marLeft w:val="0"/>
      <w:marRight w:val="0"/>
      <w:marTop w:val="0"/>
      <w:marBottom w:val="0"/>
      <w:divBdr>
        <w:top w:val="none" w:sz="0" w:space="0" w:color="auto"/>
        <w:left w:val="none" w:sz="0" w:space="0" w:color="auto"/>
        <w:bottom w:val="none" w:sz="0" w:space="0" w:color="auto"/>
        <w:right w:val="none" w:sz="0" w:space="0" w:color="auto"/>
      </w:divBdr>
    </w:div>
    <w:div w:id="2107726871">
      <w:bodyDiv w:val="1"/>
      <w:marLeft w:val="0"/>
      <w:marRight w:val="0"/>
      <w:marTop w:val="0"/>
      <w:marBottom w:val="0"/>
      <w:divBdr>
        <w:top w:val="none" w:sz="0" w:space="0" w:color="auto"/>
        <w:left w:val="none" w:sz="0" w:space="0" w:color="auto"/>
        <w:bottom w:val="none" w:sz="0" w:space="0" w:color="auto"/>
        <w:right w:val="none" w:sz="0" w:space="0" w:color="auto"/>
      </w:divBdr>
    </w:div>
    <w:div w:id="211308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header" Target="header1.xml"/><Relationship Id="rId26" Type="http://schemas.openxmlformats.org/officeDocument/2006/relationships/hyperlink" Target="https://eur-lex.europa.eu/legal-content/MT/TXT/?uri=CELEX:52018XC0807(01)&amp;qid=1625557217449" TargetMode="Externa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header" Target="header6.xml"/><Relationship Id="rId7" Type="http://schemas.openxmlformats.org/officeDocument/2006/relationships/customXml" Target="../customXml/item7.xml"/><Relationship Id="rId12" Type="http://schemas.microsoft.com/office/2007/relationships/stylesWithEffects" Target="stylesWithEffects.xml"/><Relationship Id="rId17" Type="http://schemas.openxmlformats.org/officeDocument/2006/relationships/image" Target="media/image1.emf"/><Relationship Id="rId25" Type="http://schemas.openxmlformats.org/officeDocument/2006/relationships/hyperlink" Target="https://eur-lex.europa.eu/legal-content/mt/ALL/?uri=CELEX:32018R1101"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endnotes" Target="endnotes.xml"/><Relationship Id="rId20" Type="http://schemas.openxmlformats.org/officeDocument/2006/relationships/footer" Target="footer1.xm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yperlink" Target="https://eur-lex.europa.eu/legal-content/MT/TXT/?uri=uriserv:OJ.LI.2018.199.01.0001.01.ENG&amp;toc=OJ:L:2018:199I:TOC" TargetMode="External"/><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notes" Target="footnotes.xml"/><Relationship Id="rId23" Type="http://schemas.openxmlformats.org/officeDocument/2006/relationships/footer" Target="footer3.xml"/><Relationship Id="rId28" Type="http://schemas.openxmlformats.org/officeDocument/2006/relationships/hyperlink" Target="https://eur-lex.europa.eu/legal-content/MT/TXT/?uri=uriserv:OJ.LI.2018.199.01.0001.01.ENG&amp;toc=OJ:L:2018:199I:TOC" TargetMode="External"/><Relationship Id="rId36" Type="http://schemas.openxmlformats.org/officeDocument/2006/relationships/fontTable" Target="fontTable.xml"/><Relationship Id="rId10" Type="http://schemas.openxmlformats.org/officeDocument/2006/relationships/numbering" Target="numbering.xml"/><Relationship Id="rId19" Type="http://schemas.openxmlformats.org/officeDocument/2006/relationships/header" Target="header2.xm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 Id="rId22" Type="http://schemas.openxmlformats.org/officeDocument/2006/relationships/header" Target="header3.xml"/><Relationship Id="rId27" Type="http://schemas.openxmlformats.org/officeDocument/2006/relationships/hyperlink" Target="https://eur-lex.europa.eu/legal-content/MT/TXT/?uri=CELEX:52018XC0807(01)&amp;qid=1625557217449" TargetMode="External"/><Relationship Id="rId30" Type="http://schemas.openxmlformats.org/officeDocument/2006/relationships/header" Target="header4.xml"/><Relationship Id="rId35"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mailto:RELEX-SANCTIONS@ec.europa.eu" TargetMode="External"/><Relationship Id="rId1" Type="http://schemas.openxmlformats.org/officeDocument/2006/relationships/hyperlink" Target="https://eeas.europa.eu/headquarters/headquarters-homepage/61181/joint-statement-federica-mogherini-chrystia-freeland-and-cecilia-malmstr&#246;m-decision-united_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Author Role="Creator">
  <Id>d362d19f-b4b1-4b40-a97d-938936b96150</Id>
  <Names>
    <Latin>
      <FirstName>Mihai</FirstName>
      <LastName>KELLER</LastName>
    </Latin>
    <Greek>
      <FirstName/>
      <LastName/>
    </Greek>
    <Cyrillic>
      <FirstName/>
      <LastName/>
    </Cyrillic>
    <DocumentScript>
      <FirstName>Mihai</FirstName>
      <LastName>KELLER</LastName>
      <FullName>Mihai KELLER</FullName>
    </DocumentScript>
  </Names>
  <Initials>MK</Initials>
  <Gender>m</Gender>
  <Email>Mihai.KELLER@ec.europa.eu</Email>
  <Service>FPI.5</Service>
  <Function ShowInSignature="true"/>
  <WebAddress/>
  <InheritedWebAddress>WebAddress</InheritedWebAddress>
  <OrgaEntity1>
    <Id>502afd7b-6c37-41b7-8340-bf206143bcf0</Id>
    <LogicalLevel>1</LogicalLevel>
    <Name>FPI</Name>
    <HeadLine1>SERVICE FOR FOREIGN POLICY INSTRUMENTS</HeadLine1>
    <HeadLine2/>
    <PrimaryAddressId>f03b5801-04c9-4931-aa17-c6d6c70bc579</PrimaryAddressId>
    <SecondaryAddressId/>
    <WebAddress>WebAddress</WebAddress>
    <InheritedWebAddress>WebAddress</InheritedWebAddress>
    <ShowInHeader>true</ShowInHeader>
  </OrgaEntity1>
  <OrgaEntity2/>
  <OrgaEntity3>
    <Id>288c8514-f091-42fd-8b2c-d845323a79d4</Id>
    <LogicalLevel>3</LogicalLevel>
    <Name>FPI.5</Name>
    <HeadLine1>EU Foreign Policy Regulatory Instruments &amp; Election Observation</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+32 229 51029</Phone>
    <Office>EEAS 07/095</Office>
  </MainWorkplace>
  <Workplaces>
    <Workplace IsMain="false">
      <AddressId>1264fb81-f6bb-475e-9f9d-a937d3be6ee2</AddressId>
      <Fax/>
      <Phone/>
      <Office/>
    </Workplace>
    <Workplace IsMain="true">
      <AddressId>f03b5801-04c9-4931-aa17-c6d6c70bc579</AddressId>
      <Fax/>
      <Phone>+32 229 51029</Phone>
      <Office>EEAS 07/095</Office>
    </Workplace>
  </Workplaces>
</Author>
</file>

<file path=customXml/item2.xml><?xml version="1.0" encoding="utf-8"?>
<LongProperties xmlns="http://schemas.microsoft.com/office/2006/metadata/long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603F3C07922C404BAEACD15B7F3E551D" ma:contentTypeVersion="12" ma:contentTypeDescription="Create a new document in this library." ma:contentTypeScope="" ma:versionID="1b6f0aca97210834fae7fbada9852a03">
  <xsd:schema xmlns:xsd="http://www.w3.org/2001/XMLSchema" xmlns:xs="http://www.w3.org/2001/XMLSchema" xmlns:p="http://schemas.microsoft.com/office/2006/metadata/properties" xmlns:ns1="http://schemas.microsoft.com/sharepoint/v3" xmlns:ns3="b3e0191e-6021-442c-9366-4b16662e4674" xmlns:ns4="02ebb043-5898-4877-8c1f-28652c7a58c8" xmlns:ns5="3f4d1582-0480-4298-96cc-1e3faed25b81" targetNamespace="http://schemas.microsoft.com/office/2006/metadata/properties" ma:root="true" ma:fieldsID="8140f6e0b6fa73f6e285c7ce2ece6da6" ns1:_="" ns3:_="" ns4:_="" ns5:_="">
    <xsd:import namespace="http://schemas.microsoft.com/sharepoint/v3"/>
    <xsd:import namespace="b3e0191e-6021-442c-9366-4b16662e4674"/>
    <xsd:import namespace="02ebb043-5898-4877-8c1f-28652c7a58c8"/>
    <xsd:import namespace="3f4d1582-0480-4298-96cc-1e3faed25b81"/>
    <xsd:element name="properties">
      <xsd:complexType>
        <xsd:sequence>
          <xsd:element name="documentManagement">
            <xsd:complexType>
              <xsd:all>
                <xsd:element ref="ns3:EC_Collab_DocumentLanguage"/>
                <xsd:element ref="ns4:pc1cb72997644c168a67816bee9648ad" minOccurs="0"/>
                <xsd:element ref="ns4:TaxCatchAll" minOccurs="0"/>
                <xsd:element ref="ns4:i65add8783a54065a8ae717033658b9b" minOccurs="0"/>
                <xsd:element ref="ns5:g617557532064ae4b696c7db9c1e3ca4" minOccurs="0"/>
                <xsd:element ref="ns4:_dlc_DocId" minOccurs="0"/>
                <xsd:element ref="ns4:_dlc_DocIdUrl" minOccurs="0"/>
                <xsd:element ref="ns4:_dlc_DocIdPersistId" minOccurs="0"/>
                <xsd:element ref="ns1:TranslationStateListUrl" minOccurs="0"/>
                <xsd:element ref="ns5: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ranslationStateListUrl" ma:index="22" nillable="true" ma:displayName="List Link" ma:hidden="true" ma:internalName="TranslationStateList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3e0191e-6021-442c-9366-4b16662e4674" elementFormDefault="qualified">
    <xsd:import namespace="http://schemas.microsoft.com/office/2006/documentManagement/types"/>
    <xsd:import namespace="http://schemas.microsoft.com/office/infopath/2007/PartnerControls"/>
    <xsd:element name="EC_Collab_DocumentLanguage" ma:index="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02ebb043-5898-4877-8c1f-28652c7a58c8" elementFormDefault="qualified">
    <xsd:import namespace="http://schemas.microsoft.com/office/2006/documentManagement/types"/>
    <xsd:import namespace="http://schemas.microsoft.com/office/infopath/2007/PartnerControls"/>
    <xsd:element name="pc1cb72997644c168a67816bee9648ad" ma:index="13" nillable="true" ma:taxonomy="true" ma:internalName="pc1cb72997644c168a67816bee9648ad" ma:taxonomyFieldName="Document_x0020_type" ma:displayName="Document type" ma:default="" ma:fieldId="{9c1cb729-9764-4c16-8a67-816bee9648ad}" ma:sspId="c1588629-5f01-4420-b1c1-1ab4af18d9bf" ma:termSetId="875f2d54-a299-447c-8802-ef4aa5a6850b" ma:anchorId="8ec034f4-7394-4efe-9efc-137f6f5c45bd" ma:open="false" ma:isKeyword="false">
      <xsd:complexType>
        <xsd:sequence>
          <xsd:element ref="pc:Terms" minOccurs="0" maxOccurs="1"/>
        </xsd:sequence>
      </xsd:complexType>
    </xsd:element>
    <xsd:element name="TaxCatchAll" ma:index="14" nillable="true" ma:displayName="Taxonomy Catch All Column" ma:hidden="true" ma:list="{6ba4fb2a-9ff3-4ca8-b82e-fd02b4b8326f}" ma:internalName="TaxCatchAll" ma:showField="CatchAllData" ma:web="02ebb043-5898-4877-8c1f-28652c7a58c8">
      <xsd:complexType>
        <xsd:complexContent>
          <xsd:extension base="dms:MultiChoiceLookup">
            <xsd:sequence>
              <xsd:element name="Value" type="dms:Lookup" maxOccurs="unbounded" minOccurs="0" nillable="true"/>
            </xsd:sequence>
          </xsd:extension>
        </xsd:complexContent>
      </xsd:complexType>
    </xsd:element>
    <xsd:element name="i65add8783a54065a8ae717033658b9b" ma:index="16" nillable="true" ma:taxonomy="true" ma:internalName="i65add8783a54065a8ae717033658b9b" ma:taxonomyFieldName="Doc_x0020_Status" ma:displayName="Doc Status" ma:default="" ma:fieldId="{265add87-83a5-4065-a8ae-717033658b9b}" ma:sspId="c1588629-5f01-4420-b1c1-1ab4af18d9bf" ma:termSetId="875f2d54-a299-447c-8802-ef4aa5a6850b" ma:anchorId="ec0a32be-6382-4c35-9ad9-e691aa103528" ma:open="false" ma:isKeyword="false">
      <xsd:complexType>
        <xsd:sequence>
          <xsd:element ref="pc:Terms" minOccurs="0" maxOccurs="1"/>
        </xsd:sequence>
      </xsd:complexType>
    </xsd:element>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f4d1582-0480-4298-96cc-1e3faed25b81" elementFormDefault="qualified">
    <xsd:import namespace="http://schemas.microsoft.com/office/2006/documentManagement/types"/>
    <xsd:import namespace="http://schemas.microsoft.com/office/infopath/2007/PartnerControls"/>
    <xsd:element name="g617557532064ae4b696c7db9c1e3ca4" ma:index="18" nillable="true" ma:taxonomy="true" ma:internalName="g617557532064ae4b696c7db9c1e3ca4" ma:taxonomyFieldName="Confidentiality" ma:displayName="Confidentiality" ma:default="" ma:fieldId="{06175575-3206-4ae4-b696-c7db9c1e3ca4}" ma:sspId="c1588629-5f01-4420-b1c1-1ab4af18d9bf" ma:termSetId="875f2d54-a299-447c-8802-ef4aa5a6850b" ma:anchorId="62652adf-f500-423a-8994-bf286ce0c464" ma:open="false" ma:isKeyword="false">
      <xsd:complexType>
        <xsd:sequence>
          <xsd:element ref="pc:Terms" minOccurs="0" maxOccurs="1"/>
        </xsd:sequence>
      </xsd:complexType>
    </xsd:element>
    <xsd:element name="Topic" ma:index="23" nillable="true" ma:displayName="Topic" ma:format="Dropdown" ma:internalName="Topic">
      <xsd:simpleType>
        <xsd:restriction base="dms:Choice">
          <xsd:enumeration value="Open strategic autonomy"/>
          <xsd:enumeration value="Blocking Statute/Extra-territoriality"/>
          <xsd:enumeration value="Sanctions clauses in agreements with external partners"/>
          <xsd:enumeration value="Horizontal issues pertaining to sanctions"/>
          <xsd:enumeration value="Humanitarian impact of sanctions"/>
          <xsd:enumeration value="Implementation and enforcement of sanctions"/>
          <xsd:enumeration value="Sanctions regim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ma:index="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opic xmlns="3f4d1582-0480-4298-96cc-1e3faed25b81">Blocking Statute/Extra-territoriality</Topic>
    <TaxCatchAll xmlns="02ebb043-5898-4877-8c1f-28652c7a58c8">
      <Value>170</Value>
      <Value>120</Value>
    </TaxCatchAll>
    <g617557532064ae4b696c7db9c1e3ca4 xmlns="3f4d1582-0480-4298-96cc-1e3faed25b8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g617557532064ae4b696c7db9c1e3ca4>
    <TranslationStateListUrl xmlns="http://schemas.microsoft.com/sharepoint/v3">
      <Url xsi:nil="true"/>
      <Description xsi:nil="true"/>
    </TranslationStateListUrl>
    <pc1cb72997644c168a67816bee9648ad xmlns="02ebb043-5898-4877-8c1f-28652c7a58c8">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e3e4f7ba-74a6-471b-9c75-5acf4f0dee57</TermId>
        </TermInfo>
      </Terms>
    </pc1cb72997644c168a67816bee9648ad>
    <EC_Collab_DocumentLanguage xmlns="b3e0191e-6021-442c-9366-4b16662e4674">EN</EC_Collab_DocumentLanguage>
    <i65add8783a54065a8ae717033658b9b xmlns="02ebb043-5898-4877-8c1f-28652c7a58c8">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22cba6d0-857b-4a43-a289-bc3f9a12356a</TermId>
        </TermInfo>
      </Terms>
    </i65add8783a54065a8ae717033658b9b>
  </documentManagement>
</p:properties>
</file>

<file path=customXml/item7.xml><?xml version="1.0" encoding="utf-8"?>
<EurolookProperties>
  <ProductCustomizationId/>
  <Created>
    <Version>4.6</Version>
    <Date>2019-06-07T18:39:44</Date>
    <Language>EN</Language>
    <Note/>
  </Created>
  <Edited>
    <Version>10.0.42447.0</Version>
    <Date>2021-07-06T15:15:51</Date>
  </Edited>
  <DocumentModel>
    <Id>0b054141-88b1-4efb-8c91-2905cb0bed6c</Id>
    <Name>Note</Name>
  </DocumentModel>
  <DocumentDate/>
  <DocumentVersion/>
  <CompatibilityMode>Eurolook4X</CompatibilityMode>
</EurolookProperties>
</file>

<file path=customXml/item8.xml><?xml version="1.0" encoding="utf-8"?>
<Texts>
  <SecurityPharma>Pharma investigations</SecurityPharma>
  <MarkingUntilText>UNTIL</MarkingUntilText>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NoteCopy>c.c.:</NoteCopy>
  <FooterOffice>Office:</FooterOffice>
  <SecurityOlafInvestigations>OLAF investigations</SecurityOlafInvestigations>
  <NoteReference>Ref.:</NoteReference>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NoteFile>Note for the File</NoteFile>
  <SecurityOlafSpecialHandling>OLAF Investigations</SecurityOlafSpecialHandling>
  <NoteParticipants>Participants:</NoteParticipants>
  <ClimaSensitive>CLIMA</ClimaSensitive>
  <CourtProceduralDocuments>Court procedural documents</CourtProceduralDocuments>
  <NoteParticipant>Participant:</NoteParticipant>
  <EconomyFinanceHandling>{field:HYPERLINK "https://myintracomm.ec.europa.eu/corp/security/EN/newDS3/SensitiveInformation/Pages/SPECIAL-HANDLING-INFORMATION-DG-ECFIN.aspx?ln=en" |https://www.europa.eu/handling_instructions}</EconomyFinanceHandling>
  <OrgaRoot>EUROPEAN COMMISSION</OrgaRoot>
  <NoteCopies>c.c.:</NoteCopies>
  <NoteSubject>Subject:</NoteSubjec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NoteEnclosure>Enclosure:</NoteEnclosure>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NoteHead>Note for the attention of</NoteHead>
  <SecurityEtsCritical>ETS Critical</SecurityEtsCritical>
  <SecurityCompSpecial>COMP</SecurityCompSpecial>
  <SecurityPharmaSpecial>Pharma investigations</SecurityPharmaSpecial>
  <TOCHeading>Table of Contents</TOCHeading>
  <AddressFooterBrussels>Commission européenne/Europese Commissie, 1049 Bruxelles/Brussel, BELGIQUE/BELGIË - Tel. +32 22991111</AddressFooterBrussels>
  <ETSLimited>ETS Joint Procurement</ETSLimited>
  <SecurityIasOperations>IAS operations</SecurityIasOperations>
  <FooterPhone>Tel. direct line</FooterPhone>
  <SecuritySecurityMatter>Security matter</SecuritySecurityMatter>
  <NoteEnclosures>Enclosures:</NoteEnclosures>
  <SecurityMedicalSecret>Medical secret</SecurityMedicalSecret>
  <Contacts>Contacts:</Contacts>
  <SecurityEmbargo>Embargo until</SecurityEmbargo>
  <DateFormatShort>dd/MM/yyyy</DateFormatShort>
  <DateFormatLong>d MMMM yyyy</DateFormatLong>
</Texts>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47004-9A43-4205-AB6F-A84AF74B269F}">
  <ds:schemaRefs/>
</ds:datastoreItem>
</file>

<file path=customXml/itemProps2.xml><?xml version="1.0" encoding="utf-8"?>
<ds:datastoreItem xmlns:ds="http://schemas.openxmlformats.org/officeDocument/2006/customXml" ds:itemID="{9646CDD1-EE33-4866-9233-303B43210419}">
  <ds:schemaRefs>
    <ds:schemaRef ds:uri="http://schemas.microsoft.com/office/2006/metadata/longProperties"/>
  </ds:schemaRefs>
</ds:datastoreItem>
</file>

<file path=customXml/itemProps3.xml><?xml version="1.0" encoding="utf-8"?>
<ds:datastoreItem xmlns:ds="http://schemas.openxmlformats.org/officeDocument/2006/customXml" ds:itemID="{53745C5D-DAFC-49A6-B93C-C77F3E3BDB37}">
  <ds:schemaRefs>
    <ds:schemaRef ds:uri="http://schemas.microsoft.com/sharepoint/v3/contenttype/forms"/>
  </ds:schemaRefs>
</ds:datastoreItem>
</file>

<file path=customXml/itemProps4.xml><?xml version="1.0" encoding="utf-8"?>
<ds:datastoreItem xmlns:ds="http://schemas.openxmlformats.org/officeDocument/2006/customXml" ds:itemID="{B60F3953-413F-4463-9357-EFC5BA50E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e0191e-6021-442c-9366-4b16662e4674"/>
    <ds:schemaRef ds:uri="02ebb043-5898-4877-8c1f-28652c7a58c8"/>
    <ds:schemaRef ds:uri="3f4d1582-0480-4298-96cc-1e3faed25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DB9FFF0-F332-4C74-B400-4A6FE4CAC799}">
  <ds:schemaRefs>
    <ds:schemaRef ds:uri="http://schemas.microsoft.com/sharepoint/events"/>
  </ds:schemaRefs>
</ds:datastoreItem>
</file>

<file path=customXml/itemProps6.xml><?xml version="1.0" encoding="utf-8"?>
<ds:datastoreItem xmlns:ds="http://schemas.openxmlformats.org/officeDocument/2006/customXml" ds:itemID="{0D6111AF-9900-45FE-87D8-93F110DF4792}">
  <ds:schemaRefs>
    <ds:schemaRef ds:uri="3f4d1582-0480-4298-96cc-1e3faed25b81"/>
    <ds:schemaRef ds:uri="http://schemas.microsoft.com/office/2006/documentManagement/types"/>
    <ds:schemaRef ds:uri="http://schemas.microsoft.com/office/infopath/2007/PartnerControls"/>
    <ds:schemaRef ds:uri="02ebb043-5898-4877-8c1f-28652c7a58c8"/>
    <ds:schemaRef ds:uri="http://purl.org/dc/elements/1.1/"/>
    <ds:schemaRef ds:uri="http://schemas.microsoft.com/office/2006/metadata/properties"/>
    <ds:schemaRef ds:uri="b3e0191e-6021-442c-9366-4b16662e4674"/>
    <ds:schemaRef ds:uri="http://schemas.microsoft.com/sharepoint/v3"/>
    <ds:schemaRef ds:uri="http://purl.org/dc/terms/"/>
    <ds:schemaRef ds:uri="http://schemas.openxmlformats.org/package/2006/metadata/core-properties"/>
    <ds:schemaRef ds:uri="http://www.w3.org/XML/1998/namespace"/>
    <ds:schemaRef ds:uri="http://purl.org/dc/dcmitype/"/>
  </ds:schemaRefs>
</ds:datastoreItem>
</file>

<file path=customXml/itemProps7.xml><?xml version="1.0" encoding="utf-8"?>
<ds:datastoreItem xmlns:ds="http://schemas.openxmlformats.org/officeDocument/2006/customXml" ds:itemID="{46A09CD0-96F9-4595-93A0-30E471B3F595}">
  <ds:schemaRefs/>
</ds:datastoreItem>
</file>

<file path=customXml/itemProps8.xml><?xml version="1.0" encoding="utf-8"?>
<ds:datastoreItem xmlns:ds="http://schemas.openxmlformats.org/officeDocument/2006/customXml" ds:itemID="{63ED7550-48D4-40DC-91DC-E460DB812F05}">
  <ds:schemaRefs/>
</ds:datastoreItem>
</file>

<file path=customXml/itemProps9.xml><?xml version="1.0" encoding="utf-8"?>
<ds:datastoreItem xmlns:ds="http://schemas.openxmlformats.org/officeDocument/2006/customXml" ds:itemID="{EADE9D01-F07F-4F10-AC1E-EE575A235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8</Pages>
  <Words>4125</Words>
  <Characters>30528</Characters>
  <Application>Microsoft Office Word</Application>
  <DocSecurity>0</DocSecurity>
  <PresentationFormat>Microsoft Word 14.0</PresentationFormat>
  <Lines>492</Lines>
  <Paragraphs>142</Paragraphs>
  <ScaleCrop>false</ScaleCrop>
  <HeadingPairs>
    <vt:vector size="2" baseType="variant">
      <vt:variant>
        <vt:lpstr>Title</vt:lpstr>
      </vt:variant>
      <vt:variant>
        <vt:i4>1</vt:i4>
      </vt:variant>
    </vt:vector>
  </HeadingPairs>
  <TitlesOfParts>
    <vt:vector size="1" baseType="lpstr">
      <vt:lpstr>Blocking Statute - Report on notifications</vt:lpstr>
    </vt:vector>
  </TitlesOfParts>
  <Manager/>
  <Company/>
  <LinksUpToDate>false</LinksUpToDate>
  <CharactersWithSpaces>34511</CharactersWithSpaces>
  <SharedDoc>false</SharedDoc>
  <HLinks>
    <vt:vector size="36" baseType="variant">
      <vt:variant>
        <vt:i4>6029337</vt:i4>
      </vt:variant>
      <vt:variant>
        <vt:i4>9</vt:i4>
      </vt:variant>
      <vt:variant>
        <vt:i4>0</vt:i4>
      </vt:variant>
      <vt:variant>
        <vt:i4>5</vt:i4>
      </vt:variant>
      <vt:variant>
        <vt:lpwstr>https://eur-lex.europa.eu/legal-content/EN/TXT/?uri=uriserv:OJ.LI.2018.199.01.0001.01.ENG&amp;toc=OJ:L:2018:199I:TOC</vt:lpwstr>
      </vt:variant>
      <vt:variant>
        <vt:lpwstr/>
      </vt:variant>
      <vt:variant>
        <vt:i4>5898265</vt:i4>
      </vt:variant>
      <vt:variant>
        <vt:i4>6</vt:i4>
      </vt:variant>
      <vt:variant>
        <vt:i4>0</vt:i4>
      </vt:variant>
      <vt:variant>
        <vt:i4>5</vt:i4>
      </vt:variant>
      <vt:variant>
        <vt:lpwstr>https://eur-lex.europa.eu/legal-content/EN/TXT/?uri=uriserv:OJ.LI.2018.199.01.0007.01.ENG&amp;toc=OJ:L:2018:199I:TOC</vt:lpwstr>
      </vt:variant>
      <vt:variant>
        <vt:lpwstr/>
      </vt:variant>
      <vt:variant>
        <vt:i4>6029337</vt:i4>
      </vt:variant>
      <vt:variant>
        <vt:i4>3</vt:i4>
      </vt:variant>
      <vt:variant>
        <vt:i4>0</vt:i4>
      </vt:variant>
      <vt:variant>
        <vt:i4>5</vt:i4>
      </vt:variant>
      <vt:variant>
        <vt:lpwstr>https://eur-lex.europa.eu/legal-content/EN/TXT/?uri=uriserv:OJ.LI.2018.199.01.0001.01.ENG&amp;toc=OJ:L:2018:199I:TOC</vt:lpwstr>
      </vt:variant>
      <vt:variant>
        <vt:lpwstr/>
      </vt:variant>
      <vt:variant>
        <vt:i4>5898266</vt:i4>
      </vt:variant>
      <vt:variant>
        <vt:i4>0</vt:i4>
      </vt:variant>
      <vt:variant>
        <vt:i4>0</vt:i4>
      </vt:variant>
      <vt:variant>
        <vt:i4>5</vt:i4>
      </vt:variant>
      <vt:variant>
        <vt:lpwstr>https://eur-lex.europa.eu/legal-content/EN/TXT/?uri=uriserv:OJ.CI.2018.277.01.0004.01.ENG&amp;toc=OJ:C:2018:277I:TOC</vt:lpwstr>
      </vt:variant>
      <vt:variant>
        <vt:lpwstr/>
      </vt:variant>
      <vt:variant>
        <vt:i4>2359304</vt:i4>
      </vt:variant>
      <vt:variant>
        <vt:i4>3</vt:i4>
      </vt:variant>
      <vt:variant>
        <vt:i4>0</vt:i4>
      </vt:variant>
      <vt:variant>
        <vt:i4>5</vt:i4>
      </vt:variant>
      <vt:variant>
        <vt:lpwstr>mailto:RELEX-SANCTIONS@ec.europa.eu</vt:lpwstr>
      </vt:variant>
      <vt:variant>
        <vt:lpwstr/>
      </vt:variant>
      <vt:variant>
        <vt:i4>1507573</vt:i4>
      </vt:variant>
      <vt:variant>
        <vt:i4>0</vt:i4>
      </vt:variant>
      <vt:variant>
        <vt:i4>0</vt:i4>
      </vt:variant>
      <vt:variant>
        <vt:i4>5</vt:i4>
      </vt:variant>
      <vt:variant>
        <vt:lpwstr>https://eeas.europa.eu/headquarters/headquarters-homepage/61181/joint-statement-federica-mogherini-chrystia-freeland-and-cecilia-malmström-decision-united_ko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Blocking Statute - Report on notifications</dc:title>
  <dc:subject>Blocking Statute Report to EP and Council on Notifications</dc:subject>
  <dc:creator/>
  <cp:keywords>Blocking Statute; Extra-territoriality</cp:keywords>
  <dc:description/>
  <cp:lastModifiedBy/>
  <cp:revision>31</cp:revision>
  <cp:lastPrinted>2013-11-11T09:21:00Z</cp:lastPrinted>
  <dcterms:created xsi:type="dcterms:W3CDTF">2021-07-06T13:12:00Z</dcterms:created>
  <dcterms:modified xsi:type="dcterms:W3CDTF">2021-08-27T08:18:00Z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7.0.1, Build 20200226</vt:lpwstr>
  </property>
  <property fmtid="{D5CDD505-2E9C-101B-9397-08002B2CF9AE}" pid="3" name="Last edited using">
    <vt:lpwstr>LW 7.0.1, Build 20200226</vt:lpwstr>
  </property>
  <property fmtid="{D5CDD505-2E9C-101B-9397-08002B2CF9AE}" pid="4" name="Language">
    <vt:lpwstr>EN</vt:lpwstr>
  </property>
  <property fmtid="{D5CDD505-2E9C-101B-9397-08002B2CF9AE}" pid="5" name="Doc Status">
    <vt:lpwstr>120;#Draft|22cba6d0-857b-4a43-a289-bc3f9a12356a</vt:lpwstr>
  </property>
  <property fmtid="{D5CDD505-2E9C-101B-9397-08002B2CF9AE}" pid="6" name="Confidentiality">
    <vt:lpwstr/>
  </property>
  <property fmtid="{D5CDD505-2E9C-101B-9397-08002B2CF9AE}" pid="7" name="Document type">
    <vt:lpwstr>170;#Report|e3e4f7ba-74a6-471b-9c75-5acf4f0dee57</vt:lpwstr>
  </property>
  <property fmtid="{D5CDD505-2E9C-101B-9397-08002B2CF9AE}" pid="8" name="_dlc_DocId">
    <vt:lpwstr>KUAXY5MF5DVP-909424429-478</vt:lpwstr>
  </property>
  <property fmtid="{D5CDD505-2E9C-101B-9397-08002B2CF9AE}" pid="9" name="_dlc_DocIdItemGuid">
    <vt:lpwstr>95d2d6d9-ba79-421f-ab44-732e91b8f705</vt:lpwstr>
  </property>
  <property fmtid="{D5CDD505-2E9C-101B-9397-08002B2CF9AE}" pid="10" name="_dlc_DocIdUrl">
    <vt:lpwstr>https://myintracomm-collab.ec.europa.eu/dg/FISMA/E/E5/_layouts/15/DocIdRedir.aspx?ID=KUAXY5MF5DVP-909424429-478, KUAXY5MF5DVP-909424429-478</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_LW_INVALIDATED__LW_INVALIDATED__LW_INVALIDATED__LW_INVALIDATED_TemplateVersion">
    <vt:lpwstr>4.6.2.4290</vt:lpwstr>
  </property>
  <property fmtid="{D5CDD505-2E9C-101B-9397-08002B2CF9AE}" pid="17" name="_LW_INVALIDATED__LW_INVALIDATED__LW_INVALIDATED__LW_INVALIDATED_EurolookVersion">
    <vt:lpwstr>4.6</vt:lpwstr>
  </property>
  <property fmtid="{D5CDD505-2E9C-101B-9397-08002B2CF9AE}" pid="18" name="_LW_INVALIDATED__LW_INVALIDATED__LW_INVALIDATED__LW_INVALIDATED_DocID_EU">
    <vt:lpwstr> </vt:lpwstr>
  </property>
  <property fmtid="{D5CDD505-2E9C-101B-9397-08002B2CF9AE}" pid="19" name="_LW_INVALIDATED__LW_INVALIDATED__LW_INVALIDATED__LW_INVALIDATED_ELDocType">
    <vt:lpwstr>not.dot</vt:lpwstr>
  </property>
  <property fmtid="{D5CDD505-2E9C-101B-9397-08002B2CF9AE}" pid="20" name="_LW_INVALIDATED__LW_INVALIDATED__LW_INVALIDATED__LW_INVALIDATED_Formatting">
    <vt:lpwstr>4.1</vt:lpwstr>
  </property>
  <property fmtid="{D5CDD505-2E9C-101B-9397-08002B2CF9AE}" pid="21" name="_LW_INVALIDATED__LW_INVALIDATED__LW_INVALIDATED__LW_INVALIDATED_EL_Author">
    <vt:lpwstr>Tung-Laï MARGUE</vt:lpwstr>
  </property>
  <property fmtid="{D5CDD505-2E9C-101B-9397-08002B2CF9AE}" pid="22" name="_LW_INVALIDATED__LW_INVALIDATED__LW_INVALIDATED__LW_INVALIDATED_Type">
    <vt:lpwstr>Eurolook Note &amp; Letter</vt:lpwstr>
  </property>
  <property fmtid="{D5CDD505-2E9C-101B-9397-08002B2CF9AE}" pid="23" name="_LW_INVALIDATED__LW_INVALIDATED__LW_INVALIDATED__LW_INVALIDATED_EL_Language">
    <vt:lpwstr>EN</vt:lpwstr>
  </property>
  <property name="OP_sanitized" fmtid="{D5CDD505-2E9C-101B-9397-08002B2CF9AE}" pid="24">
    <vt:lpwstr>True</vt:lpwstr>
  </property>
</Properties>
</file>