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gedecouverture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4" type="#_x0000_t75" alt="9BC4B8AE-A771-4472-B447-A5DCF170C147" style="width:450.75pt;height:395.25pt">
            <v:imagedata r:id="rId9" o:title=""/>
          </v:shape>
        </w:pict>
      </w:r>
    </w:p>
    <w:p>
      <w:pPr>
        <w:rPr>
          <w:noProof/>
        </w:rPr>
        <w:sectPr>
          <w:footerReference w:type="default" r:id="rId10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>
      <w:pPr>
        <w:pStyle w:val="Exposdesmotifstitre"/>
        <w:rPr>
          <w:noProof/>
        </w:rPr>
      </w:pPr>
      <w:bookmarkStart w:id="0" w:name="_GoBack"/>
      <w:bookmarkEnd w:id="0"/>
      <w:r>
        <w:rPr>
          <w:noProof/>
        </w:rPr>
        <w:lastRenderedPageBreak/>
        <w:t>MEMORANDUM TA’ SPJEGAZZJONI</w:t>
      </w:r>
    </w:p>
    <w:p>
      <w:pPr>
        <w:pStyle w:val="ManualHeading1"/>
        <w:rPr>
          <w:noProof/>
        </w:rPr>
      </w:pPr>
      <w:r>
        <w:rPr>
          <w:noProof/>
        </w:rPr>
        <w:t>1.</w:t>
      </w:r>
      <w:r>
        <w:rPr>
          <w:noProof/>
        </w:rPr>
        <w:tab/>
        <w:t>KUNTEST TAL-PROPOSTA</w:t>
      </w:r>
    </w:p>
    <w:p>
      <w:pPr>
        <w:pStyle w:val="ManualHeading2"/>
        <w:rPr>
          <w:rFonts w:eastAsia="Arial Unicode MS"/>
          <w:noProof/>
        </w:rPr>
      </w:pPr>
      <w:r>
        <w:rPr>
          <w:noProof/>
          <w:u w:color="000000"/>
          <w:bdr w:val="nil"/>
        </w:rPr>
        <w:t>•</w:t>
      </w:r>
      <w:r>
        <w:rPr>
          <w:noProof/>
          <w:u w:color="000000"/>
          <w:bdr w:val="nil"/>
        </w:rPr>
        <w:tab/>
      </w:r>
      <w:r>
        <w:rPr>
          <w:noProof/>
        </w:rPr>
        <w:t>Raġunijiet u objettivi tal-proposta</w:t>
      </w:r>
    </w:p>
    <w:p>
      <w:pPr>
        <w:rPr>
          <w:noProof/>
        </w:rPr>
      </w:pPr>
      <w:r>
        <w:rPr>
          <w:noProof/>
        </w:rPr>
        <w:t>Il-pandemija tal-COVID-19 qed tikkawża tfixkil kbir fil-katina tal-provvista, u dan qed ikollu impatt fuq il-kapaċità tal-manifatturi tal-makkinarju mobbli mhux tat-triq (NRMM) li jilħqu xi wħud mid-dati ta’ skadenza imposti mir-Regolament (UE) 2016/1628 tal-Parlament Ewropew u tal-Kunsill tal-14 ta’ Settembru 2016 dwar ir-rekwiżiti relatati mal-limiti tal-emissjonijiet ta’ inkwinanti gassużi u partikolati u l-approvazzjoni tat-tip għall-magni b’kombustjoni interna għal makkinarju mobbli mhux tat-triq.</w:t>
      </w:r>
    </w:p>
    <w:p>
      <w:pPr>
        <w:rPr>
          <w:noProof/>
        </w:rPr>
      </w:pPr>
      <w:r>
        <w:rPr>
          <w:noProof/>
        </w:rPr>
        <w:t xml:space="preserve">Ir-Regolament jistabbilixxi limiti ġodda tal-emissjonijiet, indikati bħala “Stadju V”, li huma ddisinjati biex inaqqsu l-emissjonijiet attwali ta’ sustanzi li jniġġsu fl-arja minn magni għal makkinarju mobbli mhux tat-triq. Fid-dawl tal-isfida strutturali biex ċerti manifatturi jaqilbu għal-limiti tal-emissjonijiet tal-Istadju V, ir-Regolament jipprevedi ċertu ammont ta’ żmien biex din it-tranżizzjoni sseħħ. </w:t>
      </w:r>
    </w:p>
    <w:p>
      <w:pPr>
        <w:rPr>
          <w:noProof/>
        </w:rPr>
      </w:pPr>
      <w:r>
        <w:rPr>
          <w:noProof/>
        </w:rPr>
        <w:t>Skont il-perjodi ta’ tranżizzjoni previsti fl-Artikolu 58(5) u d-dati stabbiliti fl-Anness III ta’ dak ir-Regolament, il-manifatturi għandhom sat-30 ta’ Ġunju 2020 biex jipproduċu NRMM mgħammra bil-magni ta’ tranżizzjoni tal-kategoriji li ġejjin: NRE fil-medda ta’ potenza &lt; 56 kW u ≥ 130kW, NRG, NRSh, NRS, IWP u IWA fil-medda ta’ potenza 19 ≤ P &lt; 300, SMB u ATS. Imbagħad għandhom sal-31 ta’ Diċembru 2020 biex iqiegħdu dawk il-magni fis-suq tal-Unjoni.</w:t>
      </w:r>
    </w:p>
    <w:p>
      <w:pPr>
        <w:rPr>
          <w:noProof/>
        </w:rPr>
      </w:pPr>
      <w:r>
        <w:rPr>
          <w:noProof/>
        </w:rPr>
        <w:t xml:space="preserve">Madankollu, it-tifqigħa tal-COVID-19 ikkawżat interruzzjonijiet totali fil-forniment ta’ parts u komponenti, u l-manifatturi tħallew bi stokkijiet ta’ magni u ta’ prodotti mhux lesti. Il-konsegwenza ta’ dan it-tfixkil hija li ħafna manifatturi tal-magni u tal-makkinarju mhux se jkunu jistgħu jissodisfaw l-iskadenzi stabbiliti hawn fuq mingħajr ma jsofru ħsarat ekonomiċi serji. </w:t>
      </w:r>
    </w:p>
    <w:p>
      <w:pPr>
        <w:rPr>
          <w:noProof/>
        </w:rPr>
      </w:pPr>
      <w:r>
        <w:rPr>
          <w:noProof/>
        </w:rPr>
        <w:t>Fid-dawl ta’ dan it-tfixkil li ma setax jiġi previst, id-dati għall-produzzjoni u t-tqegħid fis-suq ta’ NRMM u tratturi mgħammra b’magni ta’ tranżizzjoni huwa pospost bi tnax-il xahar. Dan il-posponiment ma japplikax għal magni ta’ tranżizzjoni koperti mid-dati speċifikati fit-tieni, fit-tielet u fir-raba’ subparagrafi tal-Artikolu 58(5).</w:t>
      </w:r>
    </w:p>
    <w:p>
      <w:pPr>
        <w:rPr>
          <w:noProof/>
        </w:rPr>
      </w:pPr>
      <w:r>
        <w:rPr>
          <w:noProof/>
        </w:rPr>
        <w:t>L-estensjoni ta’ 12-il xahar hija meħtieġa minħabba l-istaġjonalità tal-prodotti li fihom se jiġu installati l-magni ta’ tranżizzjoni. Dan huwa partikolarment il-każ għat-tratturi u t-tagħmir tal-ġonna. Barra minn hekk, huwa diffiċli li wieħed ibassar id-durata eżatta tad-dewmien fit-tlestija tal-oġġetti milquta (eż. bastimenti tal-passaġġi fuq l-ilma interni). Fl-aħħar nett, ta’ min wieħed jinnota li, irrispettivament mit-tul tal-estensjoni, l-operaturi ekonomiċi mhu se jkollhom l-ebda interess li jdewmu aktar it-tlestija u t-tqegħid fis-suq tal-makkinarju, tal-vetturi u tal-bastimenti li għalihom diġà ġarrbu l-ispejjeż.</w:t>
      </w:r>
    </w:p>
    <w:p>
      <w:pPr>
        <w:pStyle w:val="ManualHeading1"/>
        <w:rPr>
          <w:noProof/>
        </w:rPr>
      </w:pPr>
      <w:r>
        <w:rPr>
          <w:noProof/>
        </w:rPr>
        <w:t>2.</w:t>
      </w:r>
      <w:r>
        <w:rPr>
          <w:noProof/>
        </w:rPr>
        <w:tab/>
        <w:t>BAŻI ĠURIDIKA, SUSSIDJARJETÀ U PROPORZJONALITÀ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  <w:u w:color="000000"/>
          <w:bdr w:val="nil"/>
        </w:rPr>
        <w:t>•</w:t>
      </w:r>
      <w:r>
        <w:rPr>
          <w:noProof/>
          <w:u w:color="000000"/>
          <w:bdr w:val="nil"/>
        </w:rPr>
        <w:tab/>
        <w:t>Bażi ġuridika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L-Artikolu 114 tat-Trattat dwar il-Funzjonament tal-Unjoni Ewropea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  <w:u w:color="000000"/>
          <w:bdr w:val="nil"/>
        </w:rPr>
        <w:t>•</w:t>
      </w:r>
      <w:r>
        <w:rPr>
          <w:noProof/>
          <w:u w:color="000000"/>
          <w:bdr w:val="nil"/>
        </w:rPr>
        <w:tab/>
        <w:t xml:space="preserve">Sussidjarjetà (għall-kompetenza mhux esklużiva) 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Il-prinċipju tas-sussidjarjetà japplika billi l-proposta ma taqax fil-kompetenza esklussiva tal-Unjoni.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lastRenderedPageBreak/>
        <w:t>Billi l-proposta tinvolvi emendi fil-leġiżlazzjoni eżistenti tal-UE, hija biss l-UE li tista’ tindirizza l-kwistjonijiet b’mod effettiv. Barra minn hekk, l-għanijiet politiċi ma jistgħux jintlaħqu biżżejjed bl-azzjonijiet tal-Istati Membri.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 xml:space="preserve">L-azzjoni tal-Unjoni Ewropea hija meħtieġa sabiex jiġi evitat li jinħolqu l-ostakli għas-suq uniku, b’mod partikolari fil-qasam tal-magni għall-NRMM u minħabba n-natura transnazzjonali tat-tniġġis tal-arja. 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Għaldaqstant, il-proposta hija konformi mal-prinċipju tas-sussidjarjetà.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  <w:u w:color="000000"/>
          <w:bdr w:val="nil"/>
        </w:rPr>
        <w:t>•</w:t>
      </w:r>
      <w:r>
        <w:rPr>
          <w:noProof/>
          <w:u w:color="000000"/>
          <w:bdr w:val="nil"/>
        </w:rPr>
        <w:tab/>
        <w:t>Proporzjonalità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Il-proposta tikkonforma mal-prinċipju tal-proporzjonalità għaliex ma tmurx lil hinn minn dak li huwa meħtieġ biex tilħaq l-għanijiet li tiżgura t-tħaddim tajjeb tas-Suq Intern filwaqt li fl-istess ħin ikun hemm livell għoli ta’ sikurezza pubblika u protezzjoni ambjentali. It-tul tal-estensjoni proposta huwa proporzjonat mad-durata mistennija tat-tfixkil minħabba l-pandemija tal-COVID-19.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  <w:u w:color="000000"/>
          <w:bdr w:val="nil"/>
        </w:rPr>
        <w:t>•</w:t>
      </w:r>
      <w:r>
        <w:rPr>
          <w:noProof/>
          <w:u w:color="000000"/>
          <w:bdr w:val="nil"/>
        </w:rPr>
        <w:tab/>
        <w:t>Għażla tal-istrument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Regolament li jemenda Regolament</w:t>
      </w:r>
    </w:p>
    <w:p>
      <w:pPr>
        <w:pStyle w:val="ManualHeading1"/>
        <w:rPr>
          <w:noProof/>
        </w:rPr>
      </w:pPr>
      <w:r>
        <w:rPr>
          <w:noProof/>
        </w:rPr>
        <w:t>3.</w:t>
      </w:r>
      <w:r>
        <w:rPr>
          <w:noProof/>
        </w:rPr>
        <w:tab/>
        <w:t xml:space="preserve">RIŻULTATI TAL-EVALWAZZJONIJIET </w:t>
      </w:r>
      <w:r>
        <w:rPr>
          <w:i/>
          <w:iCs/>
          <w:noProof/>
        </w:rPr>
        <w:t>EX-POST</w:t>
      </w:r>
      <w:r>
        <w:rPr>
          <w:noProof/>
        </w:rPr>
        <w:t>, TAL-KONSULTAZZJONIJIET MAL-PARTIJIET IKKONĊERNATI U TAL-VALUTAZZJONIJIET TAL-IMPATT</w:t>
      </w:r>
    </w:p>
    <w:p>
      <w:pPr>
        <w:pStyle w:val="Text1"/>
        <w:ind w:left="0"/>
        <w:rPr>
          <w:noProof/>
        </w:rPr>
      </w:pPr>
      <w:r>
        <w:rPr>
          <w:noProof/>
        </w:rPr>
        <w:t>Din il-proposta mhijiex akkumpanjata minn valutazzjoni tal-impatt separata, minħabba li diġà saret valutazzjoni tal-impatt għar-Regolament (UE) 2016/1628. Din il-proposta ma tibdilx is-sustanza ta’ dak ir-Regolament u ma timponix obbligi ġodda fuq il-partijiet ikkonċernati. Hija mmirata primarjament biex tipprovdi, għal raġunijiet eċċezzjonali fil-kuntest tat-tifqigħa tal-COVID-19, estensjoni ta’ tnax-il xahar għall-manifattura u t-tqegħid fis-suq ta’ magni ta’ tranżizzjoni u tal-makkinarju mgħammar bihom. Il-proposta ma għandha l-ebda effett ambjentali peress li l-miżuri jiffaċilitaw it-tqegħid fis-suq ta’ oġġetti mgħammra b’magni prodotti qabel il-pandemija. Tevita wkoll il-ħtieġa li oġġetti mgħammra b’dawn il-magni, li fin-nuqqas tagħha ma jkunux konformi, jiġu skrappjati.</w:t>
      </w:r>
    </w:p>
    <w:p>
      <w:pPr>
        <w:pStyle w:val="ManualHeading1"/>
        <w:rPr>
          <w:noProof/>
        </w:rPr>
      </w:pPr>
      <w:r>
        <w:rPr>
          <w:noProof/>
        </w:rPr>
        <w:t>4.</w:t>
      </w:r>
      <w:r>
        <w:rPr>
          <w:noProof/>
        </w:rPr>
        <w:tab/>
        <w:t>IMPLIKAZZJONIJIET BAĠITARJI</w:t>
      </w:r>
    </w:p>
    <w:p>
      <w:pPr>
        <w:pStyle w:val="Text1"/>
        <w:ind w:left="0"/>
        <w:rPr>
          <w:noProof/>
        </w:rPr>
      </w:pPr>
      <w:r>
        <w:rPr>
          <w:noProof/>
        </w:rPr>
        <w:t xml:space="preserve">Il-proposta ma għandhiex impatt baġitarju għall-istituzzjonijiet tal-UE. </w:t>
      </w:r>
    </w:p>
    <w:p>
      <w:pPr>
        <w:pStyle w:val="Text1"/>
        <w:ind w:left="0"/>
        <w:rPr>
          <w:noProof/>
        </w:rPr>
        <w:sectPr>
          <w:footerReference w:type="default" r:id="rId11"/>
          <w:footerReference w:type="first" r:id="rId12"/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</w:p>
    <w:p>
      <w:pPr>
        <w:pStyle w:val="Rfrenceinterinstitutionnelle"/>
        <w:rPr>
          <w:noProof/>
        </w:rPr>
      </w:pPr>
      <w:r>
        <w:rPr>
          <w:noProof/>
        </w:rPr>
        <w:lastRenderedPageBreak/>
        <w:t>2020/0113 (COD)</w:t>
      </w:r>
    </w:p>
    <w:p>
      <w:pPr>
        <w:pStyle w:val="Statut"/>
        <w:rPr>
          <w:noProof/>
        </w:rPr>
      </w:pPr>
      <w:r>
        <w:rPr>
          <w:noProof/>
        </w:rPr>
        <w:t>Proposta għal</w:t>
      </w:r>
    </w:p>
    <w:p>
      <w:pPr>
        <w:pStyle w:val="Typedudocument"/>
        <w:rPr>
          <w:noProof/>
        </w:rPr>
      </w:pPr>
      <w:r>
        <w:rPr>
          <w:noProof/>
        </w:rPr>
        <w:t>REGOLAMENT TAL-PARLAMENT EWROPEW U TAL-KUNSILL</w:t>
      </w:r>
    </w:p>
    <w:p>
      <w:pPr>
        <w:pStyle w:val="Titreobjet"/>
        <w:rPr>
          <w:noProof/>
        </w:rPr>
      </w:pPr>
      <w:r>
        <w:rPr>
          <w:noProof/>
        </w:rPr>
        <w:t>li jemenda r-Regolament (UE) 2016/1628 fir-rigward tad-dispożizzjonijiet tranżitorji tiegħu biex jiġi indirizzat l-impatt tal-kriżi tal-COVID-19</w:t>
      </w:r>
    </w:p>
    <w:p>
      <w:pPr>
        <w:pStyle w:val="IntrtEEE"/>
        <w:rPr>
          <w:noProof/>
        </w:rPr>
      </w:pPr>
      <w:r>
        <w:rPr>
          <w:noProof/>
        </w:rPr>
        <w:t>(Test b'rilevanza għaż-ŻEE)</w:t>
      </w:r>
    </w:p>
    <w:p>
      <w:pPr>
        <w:pStyle w:val="Institutionquiagit"/>
        <w:rPr>
          <w:noProof/>
        </w:rPr>
      </w:pPr>
      <w:r>
        <w:rPr>
          <w:noProof/>
        </w:rPr>
        <w:t>IL-PARLAMENT EWROPEW U L-KUNSILL TAL-UNJONI EWROPEA,</w:t>
      </w:r>
    </w:p>
    <w:p>
      <w:pPr>
        <w:rPr>
          <w:noProof/>
        </w:rPr>
      </w:pPr>
      <w:r>
        <w:rPr>
          <w:noProof/>
        </w:rPr>
        <w:t>Wara li kkunsidraw it-Trattat dwar il-Funzjonament tal-Unjoni Ewropea, u b'mod partikolari l-Artikolu 114 tiegħu,</w:t>
      </w:r>
    </w:p>
    <w:p>
      <w:pPr>
        <w:rPr>
          <w:noProof/>
        </w:rPr>
      </w:pPr>
      <w:r>
        <w:rPr>
          <w:noProof/>
        </w:rPr>
        <w:t>Wara li kkunsidraw il-proposta tal-Kummissjoni Ewropea,</w:t>
      </w:r>
    </w:p>
    <w:p>
      <w:pPr>
        <w:rPr>
          <w:noProof/>
        </w:rPr>
      </w:pPr>
      <w:r>
        <w:rPr>
          <w:noProof/>
        </w:rPr>
        <w:t>Wara li l-abbozz tal-att leġiżlattiv intbagħat lill-parlamenti nazzjonali,</w:t>
      </w:r>
    </w:p>
    <w:p>
      <w:pPr>
        <w:rPr>
          <w:noProof/>
        </w:rPr>
      </w:pPr>
      <w:r>
        <w:rPr>
          <w:noProof/>
        </w:rPr>
        <w:t>Wara li kkunsidraw l-opinjoni tal-Kumitat Ekonomiku u Soċjali Ewropew</w:t>
      </w:r>
      <w:r>
        <w:rPr>
          <w:rStyle w:val="FootnoteReference"/>
          <w:noProof/>
        </w:rPr>
        <w:footnoteReference w:id="1"/>
      </w:r>
      <w:r>
        <w:rPr>
          <w:noProof/>
        </w:rPr>
        <w:t xml:space="preserve">, </w:t>
      </w:r>
    </w:p>
    <w:p>
      <w:pPr>
        <w:rPr>
          <w:noProof/>
        </w:rPr>
      </w:pPr>
      <w:r>
        <w:rPr>
          <w:noProof/>
        </w:rPr>
        <w:t>Filwaqt li jaġixxu skont il-proċedura leġiżlattiva ordinarja,</w:t>
      </w:r>
    </w:p>
    <w:p>
      <w:pPr>
        <w:rPr>
          <w:noProof/>
        </w:rPr>
      </w:pPr>
      <w:r>
        <w:rPr>
          <w:noProof/>
        </w:rPr>
        <w:t>Billi:</w:t>
      </w:r>
    </w:p>
    <w:p>
      <w:pPr>
        <w:pStyle w:val="ManualConsidrant"/>
        <w:rPr>
          <w:noProof/>
        </w:rPr>
      </w:pPr>
      <w:r>
        <w:t>(1)</w:t>
      </w:r>
      <w:r>
        <w:tab/>
      </w:r>
      <w:r>
        <w:rPr>
          <w:noProof/>
        </w:rPr>
        <w:t>Ir-Regolament (UE) 2016/1628 tal-Parlament Ewropew u tal-Kunsill</w:t>
      </w:r>
      <w:r>
        <w:rPr>
          <w:rStyle w:val="FootnoteReference"/>
          <w:noProof/>
        </w:rPr>
        <w:footnoteReference w:id="2"/>
      </w:r>
      <w:r>
        <w:rPr>
          <w:noProof/>
        </w:rPr>
        <w:t xml:space="preserve"> jistabbilixxi r-rekwiżiti relatati mal-limiti tal-emissjonijiet l-proċeduri tal-approvazzjoni tat-tip tal-UE għall-magni għal makkinarju mobbli mhux tat-triq. </w:t>
      </w:r>
    </w:p>
    <w:p>
      <w:pPr>
        <w:pStyle w:val="ManualConsidrant"/>
        <w:rPr>
          <w:noProof/>
        </w:rPr>
      </w:pPr>
      <w:r>
        <w:t>(2)</w:t>
      </w:r>
      <w:r>
        <w:tab/>
      </w:r>
      <w:r>
        <w:rPr>
          <w:noProof/>
        </w:rPr>
        <w:t xml:space="preserve">Id-dati applikabbli għal-limiti l-ġodda tal-emissjonijiet, identifikati bħala “Stadju V” huma stabbiliti biex il-manifatturi jingħataw informazzjoni ċara u komprensiva, kif ukoll perjodu ta’ żmien xieraq għat-tranżizzjoni lejn l-istadju l-ġdid tal-emissjonijiet, filwaqt li l-piż amministrattiv għall-awtoritajiet tal-approvazzjoni jitnaqqas b’mod sostanzjali. </w:t>
      </w:r>
    </w:p>
    <w:p>
      <w:pPr>
        <w:pStyle w:val="ManualConsidrant"/>
        <w:rPr>
          <w:noProof/>
        </w:rPr>
      </w:pPr>
      <w:r>
        <w:t>(3)</w:t>
      </w:r>
      <w:r>
        <w:tab/>
      </w:r>
      <w:r>
        <w:rPr>
          <w:noProof/>
        </w:rPr>
        <w:t>It-tifqigħa tal-COVID-19 ikkawżat tfixkil fil-katina tal-provvista ta’ parts u komponenti kritiċi, u dan wassal għal dewmien għall-magni u għall-makkinarju mgħammar b'dawk il-magni li jikkonformaw ma’ limiti ta’ emissjonijiet inqas stretti minn dawk tal-Istadju V u li jeħtieġ jitqiegħdu fis-suq qabel id-dati stabbiliti fir-Regolament (UE) 2016/1628.</w:t>
      </w:r>
    </w:p>
    <w:p>
      <w:pPr>
        <w:pStyle w:val="ManualConsidrant"/>
        <w:rPr>
          <w:noProof/>
        </w:rPr>
      </w:pPr>
      <w:r>
        <w:t>(4)</w:t>
      </w:r>
      <w:r>
        <w:tab/>
      </w:r>
      <w:r>
        <w:rPr>
          <w:noProof/>
        </w:rPr>
        <w:t>Fid-dawl tat-tfixkil ikkawżat mit-tifqigħa tal-COVID-19, huwa probabbli ħafna li l-manifatturi tal-makkinarju mobbli mhux tat-triq ma jkunux jistgħu jiżguraw li l-magni u l-makkinarju mgħammar b'dawk il-magni li jibbenefikaw mill-perjodu ta’ tranżizzjoni jirrispettaw l-iskadenzi stabbiliti fir-Regolament (UE) 2016/1628 mingħajr ma jsofru ħsarat ekonomiċi serji.</w:t>
      </w:r>
    </w:p>
    <w:p>
      <w:pPr>
        <w:pStyle w:val="ManualConsidrant"/>
        <w:rPr>
          <w:noProof/>
        </w:rPr>
      </w:pPr>
      <w:r>
        <w:lastRenderedPageBreak/>
        <w:t>(5)</w:t>
      </w:r>
      <w:r>
        <w:tab/>
      </w:r>
      <w:r>
        <w:rPr>
          <w:noProof/>
        </w:rPr>
        <w:t>Fid-dawl taċ-ċirkostanzi attwali u biex jiġi żgurat il-funzjonament bla xkiel tas-suq intern, biex tiġi pprovduta ċ-ċertezza legali u biex jiġi evitat tfixkil potenzjali tas-suq, jeħtieġ li d-dati ta’ applikazzjoni ta’ ċerti dispożizzjonijiet tranżitorji tar-Regolament (UE) 2016/1628 jiġu emendati.</w:t>
      </w:r>
    </w:p>
    <w:p>
      <w:pPr>
        <w:pStyle w:val="ManualConsidrant"/>
        <w:rPr>
          <w:noProof/>
        </w:rPr>
      </w:pPr>
      <w:r>
        <w:t>(6)</w:t>
      </w:r>
      <w:r>
        <w:tab/>
      </w:r>
      <w:r>
        <w:rPr>
          <w:noProof/>
        </w:rPr>
        <w:t>Minħabba li l-estensjoni mhi se jkollha l-ebda impatt ambjentali peress li l-magni ta’ tranżizzjoni kkonċernati diġà ġew prodotti, flimkien mal-fatt li huwa diffiċli li tiġi mbassra d-durata eżatta tad-dewmien ikkawżat mit-tfixkil tal-COVID-19, l-estensjoni tal-iskadenzi rilevanti jenħtieġ li tkun ta’ 12-il xahar.</w:t>
      </w:r>
    </w:p>
    <w:p>
      <w:pPr>
        <w:pStyle w:val="ManualConsidrant"/>
        <w:rPr>
          <w:noProof/>
        </w:rPr>
      </w:pPr>
      <w:r>
        <w:t>(7)</w:t>
      </w:r>
      <w:r>
        <w:tab/>
      </w:r>
      <w:r>
        <w:rPr>
          <w:noProof/>
        </w:rPr>
        <w:t>Fid-dawl tal-fatt li l-perjodu ta’ tranżizzjoni previst fl-Artikolu 58(5) tar-Regolament (UE) 2016/1628 għal ċerti magni se jiskadi fil-31 ta’ Diċembru 2020 u li l-manifatturi għandhom sat-30 ta’ Ġunju 2020 biex jipproduċu magni ta’ tranżizzjoni, dan ir-Regolament jenħtieġ li jidħol fis-seħħ b’urġenza.</w:t>
      </w:r>
    </w:p>
    <w:p>
      <w:pPr>
        <w:pStyle w:val="ManualConsidrant"/>
        <w:rPr>
          <w:noProof/>
        </w:rPr>
      </w:pPr>
      <w:r>
        <w:t>(8)</w:t>
      </w:r>
      <w:r>
        <w:tab/>
      </w:r>
      <w:r>
        <w:rPr>
          <w:noProof/>
        </w:rPr>
        <w:t>Minħabba l-urġenza, tqies li jixraq li tiġi prevista eċċezzjoni mill-perjodu ta’ tmien ġimgħat imsemmi fl-Artikolu 4 tal-Protokoll Nru 1 dwar ir-rwol tal-Parlamenti nazzjonali fl-Unjoni Ewropea mehmuż mat-Trattat dwar l-Unjoni Ewropea, mat-Trattat dwar il-Funzjonament tal-Unjoni Ewropea u mat-Trattat li jistabbilixxi l-Komunità Ewropea tal-Enerġija Atomika.</w:t>
      </w:r>
    </w:p>
    <w:p>
      <w:pPr>
        <w:pStyle w:val="ManualConsidrant"/>
        <w:rPr>
          <w:noProof/>
        </w:rPr>
      </w:pPr>
      <w:r>
        <w:t>(9)</w:t>
      </w:r>
      <w:r>
        <w:tab/>
      </w:r>
      <w:r>
        <w:rPr>
          <w:noProof/>
        </w:rPr>
        <w:t>Minħabba l-urġenza tal-appoġġ meħtieġ, dan ir-Regolament jenħtieġ li jidħol fis-seħħ fil-jum wara dak tal-pubblikazzjoni tiegħu f’</w:t>
      </w:r>
      <w:r>
        <w:rPr>
          <w:i/>
          <w:noProof/>
        </w:rPr>
        <w:t>Il-Ġurnal Uffiċjali tal-Unjoni Ewropea</w:t>
      </w:r>
      <w:r>
        <w:rPr>
          <w:noProof/>
        </w:rPr>
        <w:t>,</w:t>
      </w:r>
    </w:p>
    <w:p>
      <w:pPr>
        <w:rPr>
          <w:noProof/>
        </w:rPr>
      </w:pPr>
    </w:p>
    <w:p>
      <w:pPr>
        <w:pStyle w:val="Formuledadoption"/>
        <w:rPr>
          <w:noProof/>
        </w:rPr>
      </w:pPr>
      <w:r>
        <w:rPr>
          <w:noProof/>
        </w:rPr>
        <w:t>ADOTTAW DAN IR-REGOLAMENT:</w:t>
      </w:r>
    </w:p>
    <w:p>
      <w:pPr>
        <w:pStyle w:val="Titrearticle"/>
        <w:rPr>
          <w:noProof/>
        </w:rPr>
      </w:pPr>
      <w:r>
        <w:rPr>
          <w:noProof/>
        </w:rPr>
        <w:t>Artikolu 1</w:t>
      </w:r>
    </w:p>
    <w:p>
      <w:pPr>
        <w:rPr>
          <w:noProof/>
        </w:rPr>
      </w:pPr>
      <w:r>
        <w:rPr>
          <w:noProof/>
        </w:rPr>
        <w:t>Ir-Regolament (UE) 2016/1628 huwa emendat kif ġej:</w:t>
      </w:r>
    </w:p>
    <w:p>
      <w:pPr>
        <w:rPr>
          <w:noProof/>
        </w:rPr>
      </w:pPr>
      <w:r>
        <w:rPr>
          <w:noProof/>
        </w:rPr>
        <w:t xml:space="preserve">L-Artikolu 58 huwa emendat kif ġej: </w:t>
      </w:r>
    </w:p>
    <w:p>
      <w:pPr>
        <w:pStyle w:val="Point0"/>
        <w:rPr>
          <w:noProof/>
        </w:rPr>
      </w:pPr>
      <w:r>
        <w:t>(1)</w:t>
      </w:r>
      <w:r>
        <w:tab/>
      </w:r>
      <w:r>
        <w:rPr>
          <w:noProof/>
        </w:rPr>
        <w:t>il-paragrafu 5 huwa emendat kif ġej:</w:t>
      </w:r>
    </w:p>
    <w:p>
      <w:pPr>
        <w:pStyle w:val="Point0"/>
        <w:rPr>
          <w:noProof/>
        </w:rPr>
      </w:pPr>
      <w:r>
        <w:t>(a)</w:t>
      </w:r>
      <w:r>
        <w:tab/>
      </w:r>
      <w:r>
        <w:rPr>
          <w:noProof/>
        </w:rPr>
        <w:t>fit-tieni subparagrafu, l-ewwel sentenza hija sostitwita b'dan li ġej:</w:t>
      </w:r>
    </w:p>
    <w:p>
      <w:pPr>
        <w:pStyle w:val="Text1"/>
        <w:rPr>
          <w:noProof/>
        </w:rPr>
      </w:pPr>
      <w:r>
        <w:rPr>
          <w:noProof/>
        </w:rPr>
        <w:t xml:space="preserve">“Għal magni tas-subkategoriji NRE li għalihom id-data stabbilita fl-Anness III għat-tqegħid fis-suq tal-magni tal-Istadju V hija l-1 ta’ Jannar 2020, l-Istati Membri għandhom jawtorizzaw l-estensjoni tal-perjodu ta’ tranżizzjoni u tal-perjodu ta’ 18-il xahar imsemmija fl-ewwel subparagrafu għal 12-il xahar addizzjonali għall-OEMs bi produzzjoni annwali totali ta’ inqas minn 100 unità ta’ makkinarju mobbli mhux tat-triq mgħammar b’magni tal-kombustjoni interna.”; </w:t>
      </w:r>
    </w:p>
    <w:p>
      <w:pPr>
        <w:pStyle w:val="Point0"/>
        <w:rPr>
          <w:noProof/>
        </w:rPr>
      </w:pPr>
      <w:r>
        <w:t>(b)</w:t>
      </w:r>
      <w:r>
        <w:tab/>
      </w:r>
      <w:r>
        <w:rPr>
          <w:noProof/>
        </w:rPr>
        <w:t>it-tielet subparagrafu huwa sostitwit b’dan li ġej:</w:t>
      </w:r>
    </w:p>
    <w:p>
      <w:pPr>
        <w:pStyle w:val="Text1"/>
        <w:rPr>
          <w:noProof/>
        </w:rPr>
      </w:pPr>
      <w:r>
        <w:rPr>
          <w:noProof/>
        </w:rPr>
        <w:t>“Għal magni tas-subkategoriji NRE li għalihom id-data stabbilita fl-Anness III għat-tqegħid fis-suq tal-magni tal-Istadju V hija l-1 ta’ Jannar 2020, li jintużaw fil-krejnijiet mobbli, il-perjodu ta’ tranżizzjoni u l-perjodu ta’ 18-il xahar imsemmija fl-ewwel subparagrafu għandhom jiġu estiżi bi 12-il xahar.”;</w:t>
      </w:r>
    </w:p>
    <w:p>
      <w:pPr>
        <w:pStyle w:val="Point0"/>
        <w:rPr>
          <w:noProof/>
        </w:rPr>
      </w:pPr>
      <w:r>
        <w:t>(c)</w:t>
      </w:r>
      <w:r>
        <w:tab/>
      </w:r>
      <w:r>
        <w:rPr>
          <w:noProof/>
        </w:rPr>
        <w:t xml:space="preserve">jiżdied il-ħames subparagrafu li ġej: </w:t>
      </w:r>
    </w:p>
    <w:p>
      <w:pPr>
        <w:pStyle w:val="Text1"/>
        <w:rPr>
          <w:noProof/>
        </w:rPr>
      </w:pPr>
      <w:r>
        <w:rPr>
          <w:noProof/>
        </w:rPr>
        <w:t>“Għal magni tas-subkategoriji kollha li għalihom id-data stabbilita fl-Anness III għat-tqegħid fis-suq tal-magni tal-Istadju V hija l-1 ta’ Jannar 2019, minbarra l-magni msemmija fir-raba’ subparagrafu, il-perjodu tranżitorju u l-perjodu ta’ 18-il xahar imsemmija fl-ewwel subparagrafu għandhom jiġu estiżi bi 12-il xahar.”;</w:t>
      </w:r>
    </w:p>
    <w:p>
      <w:pPr>
        <w:pStyle w:val="Point0"/>
        <w:rPr>
          <w:noProof/>
        </w:rPr>
      </w:pPr>
      <w:r>
        <w:lastRenderedPageBreak/>
        <w:t>(2)</w:t>
      </w:r>
      <w:r>
        <w:tab/>
      </w:r>
      <w:r>
        <w:rPr>
          <w:noProof/>
        </w:rPr>
        <w:t>fil-paragrafu 7, jiżdied il-punt (d) li ġej:</w:t>
      </w:r>
    </w:p>
    <w:p>
      <w:pPr>
        <w:pStyle w:val="Text2"/>
        <w:rPr>
          <w:noProof/>
        </w:rPr>
      </w:pPr>
      <w:r>
        <w:rPr>
          <w:noProof/>
        </w:rPr>
        <w:t>“(d) 36 xahar mid-data applikabbli għat-tqegħid fis-suq tal-magni stabbilita fl-Anness III, fil-każ previst fil-ħames subparagrafu tal-paragrafu 5”.</w:t>
      </w:r>
    </w:p>
    <w:p>
      <w:pPr>
        <w:pStyle w:val="Titrearticle"/>
        <w:rPr>
          <w:noProof/>
        </w:rPr>
      </w:pPr>
      <w:r>
        <w:rPr>
          <w:noProof/>
        </w:rPr>
        <w:t>Artikolu 2</w:t>
      </w:r>
    </w:p>
    <w:p>
      <w:pPr>
        <w:rPr>
          <w:noProof/>
        </w:rPr>
      </w:pPr>
      <w:r>
        <w:rPr>
          <w:noProof/>
        </w:rPr>
        <w:t>Dan ir-Regolament għandu jidħol fis-seħħ fil-jum wara dak tal-pubblikazzjoni tiegħu f'</w:t>
      </w:r>
      <w:r>
        <w:rPr>
          <w:i/>
          <w:noProof/>
        </w:rPr>
        <w:t>Il-Ġurnal Uffiċjali tal-Unjoni Ewropea</w:t>
      </w:r>
      <w:r>
        <w:rPr>
          <w:noProof/>
        </w:rPr>
        <w:t>.</w:t>
      </w:r>
    </w:p>
    <w:p>
      <w:pPr>
        <w:pStyle w:val="Applicationdirecte"/>
        <w:rPr>
          <w:noProof/>
        </w:rPr>
      </w:pPr>
      <w:r>
        <w:rPr>
          <w:noProof/>
        </w:rPr>
        <w:t>Dan ir-Regolament għandu jorbot fl-intier tiegħu u japplika direttament fl-Istati Membri kollha.</w:t>
      </w:r>
    </w:p>
    <w:p>
      <w:pPr>
        <w:pStyle w:val="Fait"/>
        <w:rPr>
          <w:noProof/>
        </w:rPr>
      </w:pPr>
      <w:r>
        <w:t>Magħmul fi Brussell,</w:t>
      </w:r>
    </w:p>
    <w:p>
      <w:pPr>
        <w:pStyle w:val="Institutionquisigne"/>
        <w:rPr>
          <w:noProof/>
        </w:rPr>
      </w:pPr>
      <w:r>
        <w:rPr>
          <w:noProof/>
        </w:rPr>
        <w:t>Għall-Parlament Ewropew</w:t>
      </w:r>
      <w:r>
        <w:rPr>
          <w:noProof/>
        </w:rPr>
        <w:tab/>
        <w:t>Għall-Kunsill</w:t>
      </w:r>
    </w:p>
    <w:p>
      <w:pPr>
        <w:pStyle w:val="Personnequisigne"/>
        <w:keepNext/>
        <w:rPr>
          <w:noProof/>
        </w:rPr>
      </w:pPr>
      <w:r>
        <w:rPr>
          <w:noProof/>
        </w:rPr>
        <w:t>Il-President</w:t>
      </w:r>
      <w:r>
        <w:rPr>
          <w:noProof/>
        </w:rPr>
        <w:tab/>
        <w:t>Il-President</w:t>
      </w:r>
    </w:p>
    <w:p>
      <w:pPr>
        <w:pStyle w:val="Institutionquisigne"/>
        <w:rPr>
          <w:noProof/>
        </w:rPr>
      </w:pPr>
    </w:p>
    <w:p>
      <w:pPr>
        <w:pStyle w:val="Personnequisigne"/>
        <w:keepNext/>
        <w:rPr>
          <w:noProof/>
        </w:rPr>
      </w:pPr>
    </w:p>
    <w:p>
      <w:pPr>
        <w:pStyle w:val="Institutionquisigne"/>
        <w:rPr>
          <w:noProof/>
        </w:rPr>
      </w:pPr>
    </w:p>
    <w:p>
      <w:pPr>
        <w:pStyle w:val="Personnequisigne"/>
        <w:rPr>
          <w:noProof/>
        </w:rPr>
      </w:pPr>
    </w:p>
    <w:sectPr>
      <w:pgSz w:w="11907" w:h="16839"/>
      <w:pgMar w:top="113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before="0" w:after="0"/>
      </w:pPr>
      <w:r>
        <w:separator/>
      </w:r>
    </w:p>
  </w:endnote>
  <w:endnote w:type="continuationSeparator" w:id="0">
    <w:p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MT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MT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MT</w:t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5</w:t>
    </w:r>
    <w:r>
      <w:fldChar w:fldCharType="end"/>
    </w:r>
    <w:r>
      <w:tab/>
    </w:r>
    <w:r>
      <w:tab/>
    </w:r>
    <w:r>
      <w:rPr>
        <w:rFonts w:ascii="Arial" w:hAnsi="Arial" w:cs="Arial"/>
        <w:b/>
        <w:sz w:val="48"/>
      </w:rPr>
      <w:t>MT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before="0" w:after="0"/>
      </w:pPr>
      <w:r>
        <w:separator/>
      </w:r>
    </w:p>
  </w:footnote>
  <w:footnote w:type="continuationSeparator" w:id="0">
    <w:p>
      <w:pPr>
        <w:spacing w:before="0" w:after="0"/>
      </w:pPr>
      <w:r>
        <w:continuationSeparator/>
      </w:r>
    </w:p>
  </w:footnote>
  <w:footnote w:id="1">
    <w:p>
      <w:pPr>
        <w:pStyle w:val="FootnoteText"/>
      </w:pPr>
      <w:r>
        <w:rPr>
          <w:rStyle w:val="FootnoteReference"/>
        </w:rPr>
        <w:footnoteRef/>
      </w:r>
      <w:r>
        <w:tab/>
        <w:t>ĠU C , , p. .</w:t>
      </w:r>
    </w:p>
  </w:footnote>
  <w:footnote w:id="2">
    <w:p>
      <w:pPr>
        <w:pStyle w:val="FootnoteText"/>
      </w:pPr>
      <w:r>
        <w:rPr>
          <w:rStyle w:val="FootnoteReference"/>
        </w:rPr>
        <w:footnoteRef/>
      </w:r>
      <w:r>
        <w:tab/>
        <w:t>Ir-Regolament (UE) 2016/1628 tal-Parlament Ewropew u tal-Kunsill tal-14 ta' Settembru 2016 dwar ir-rekwiżiti relatati mal-limiti tal-emissjonijiet ta' inkwinanti gassużi u partikolati u l-approvazzjoni tat-tip għall-magni b'kombustjoni interna għal makkinarju mobbli mhux tat-triq, li jemenda r-Regolamenti (UE) Nru 1024/2012 u (UE) Nru 167/2013, u li jemenda u jirrevoka d-Direttiva 97/68/KE (Test b’rilevanza għaż-ŻEE), (ĠU L 252, 16.9.2016, p. 53).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7A86D0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EF9AA67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39C4E6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6AA0021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74B2638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4AB807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13A4CA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4C4211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5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6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7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8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1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21"/>
    <w:lvlOverride w:ilvl="0">
      <w:startOverride w:val="1"/>
    </w:lvlOverride>
  </w:num>
  <w:num w:numId="6">
    <w:abstractNumId w:val="6"/>
  </w:num>
  <w:num w:numId="7">
    <w:abstractNumId w:val="2"/>
  </w:num>
  <w:num w:numId="8">
    <w:abstractNumId w:val="1"/>
  </w:num>
  <w:num w:numId="9">
    <w:abstractNumId w:val="0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12"/>
  </w:num>
  <w:num w:numId="13">
    <w:abstractNumId w:val="20"/>
  </w:num>
  <w:num w:numId="14">
    <w:abstractNumId w:val="11"/>
  </w:num>
  <w:num w:numId="15">
    <w:abstractNumId w:val="13"/>
  </w:num>
  <w:num w:numId="16">
    <w:abstractNumId w:val="9"/>
  </w:num>
  <w:num w:numId="17">
    <w:abstractNumId w:val="19"/>
  </w:num>
  <w:num w:numId="18">
    <w:abstractNumId w:val="8"/>
  </w:num>
  <w:num w:numId="19">
    <w:abstractNumId w:val="14"/>
  </w:num>
  <w:num w:numId="20">
    <w:abstractNumId w:val="16"/>
  </w:num>
  <w:num w:numId="21">
    <w:abstractNumId w:val="17"/>
  </w:num>
  <w:num w:numId="22">
    <w:abstractNumId w:val="10"/>
  </w:num>
  <w:num w:numId="23">
    <w:abstractNumId w:val="15"/>
  </w:num>
  <w:num w:numId="24">
    <w:abstractNumId w:val="21"/>
  </w:num>
  <w:num w:numId="25">
    <w:abstractNumId w:val="18"/>
  </w:num>
  <w:num w:numId="26">
    <w:abstractNumId w:val="12"/>
  </w:num>
  <w:num w:numId="27">
    <w:abstractNumId w:val="20"/>
  </w:num>
  <w:num w:numId="28">
    <w:abstractNumId w:val="11"/>
  </w:num>
  <w:num w:numId="29">
    <w:abstractNumId w:val="13"/>
  </w:num>
  <w:num w:numId="30">
    <w:abstractNumId w:val="9"/>
  </w:num>
  <w:num w:numId="31">
    <w:abstractNumId w:val="19"/>
  </w:num>
  <w:num w:numId="32">
    <w:abstractNumId w:val="8"/>
  </w:num>
  <w:num w:numId="33">
    <w:abstractNumId w:val="14"/>
  </w:num>
  <w:num w:numId="34">
    <w:abstractNumId w:val="16"/>
  </w:num>
  <w:num w:numId="35">
    <w:abstractNumId w:val="17"/>
  </w:num>
  <w:num w:numId="36">
    <w:abstractNumId w:val="10"/>
  </w:num>
  <w:num w:numId="37">
    <w:abstractNumId w:val="15"/>
  </w:num>
  <w:num w:numId="38">
    <w:abstractNumId w:val="2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R_RefLast" w:val="0"/>
    <w:docVar w:name="DQCDateTime" w:val="2020-06-04 15:59:48"/>
    <w:docVar w:name="DQCResult_Distribution" w:val="0;1"/>
    <w:docVar w:name="DQCResult_DocumentContent" w:val="0;0"/>
    <w:docVar w:name="DQCResult_DocumentSize" w:val="0;0"/>
    <w:docVar w:name="DQCResult_DocumentVersions" w:val="0;0"/>
    <w:docVar w:name="DQCResult_InvalidFootnotes" w:val="0;0"/>
    <w:docVar w:name="DQCResult_LinkedStyles" w:val="0;0"/>
    <w:docVar w:name="DQCResult_ModifiedMargins" w:val="0;3"/>
    <w:docVar w:name="DQCResult_ModifiedMarkers" w:val="0;0"/>
    <w:docVar w:name="DQCResult_ModifiedNumbering" w:val="0;0"/>
    <w:docVar w:name="DQCResult_Objects" w:val="0;0"/>
    <w:docVar w:name="DQCResult_Sections" w:val="0;0"/>
    <w:docVar w:name="DQCResult_StructureCheck" w:val="0;0"/>
    <w:docVar w:name="DQCResult_SuperfluousWhitespace" w:val="0;5"/>
    <w:docVar w:name="DQCResult_UnknownFonts" w:val="0;0"/>
    <w:docVar w:name="DQCResult_UnknownStyles" w:val="0;0"/>
    <w:docVar w:name="DQCStatus" w:val="Green"/>
    <w:docVar w:name="DQCVersion" w:val="3"/>
    <w:docVar w:name="DQCWithWarnings" w:val="0"/>
    <w:docVar w:name="LW_CORRIGENDUM" w:val="&lt;UNUSED&gt;"/>
    <w:docVar w:name="LW_COVERPAGE_EXISTS" w:val="True"/>
    <w:docVar w:name="LW_COVERPAGE_GUID" w:val="9BC4B8AE-A771-4472-B447-A5DCF170C147"/>
    <w:docVar w:name="LW_COVERPAGE_TYPE" w:val="1"/>
    <w:docVar w:name="LW_CROSSREFERENCE" w:val="&lt;UNUSED&gt;"/>
    <w:docVar w:name="LW_DocType" w:val="COM"/>
    <w:docVar w:name="LW_EMISSION" w:val="2.6.2020"/>
    <w:docVar w:name="LW_EMISSION_ISODATE" w:val="2020-06-02"/>
    <w:docVar w:name="LW_EMISSION_LOCATION" w:val="BRX"/>
    <w:docVar w:name="LW_EMISSION_PREFIX" w:val="Brussell, "/>
    <w:docVar w:name="LW_EMISSION_SUFFIX" w:val=" "/>
    <w:docVar w:name="LW_ID_DOCMODEL" w:val="SJ-023"/>
    <w:docVar w:name="LW_ID_DOCSIGNATURE" w:val="SJ-023"/>
    <w:docVar w:name="LW_ID_DOCSTRUCTURE" w:val="COM/PL/ORG"/>
    <w:docVar w:name="LW_ID_DOCTYPE" w:val="SJ-023"/>
    <w:docVar w:name="LW_ID_EXP.MOTIFS.NEW" w:val="EM_PL_"/>
    <w:docVar w:name="LW_ID_STATUT" w:val="SJ-023"/>
    <w:docVar w:name="LW_INTERETEEE.CP" w:val="(Test b'rilevanza g\u295?a\u380?-\u379?EE)"/>
    <w:docVar w:name="LW_LANGUE" w:val="MT"/>
    <w:docVar w:name="LW_LEVEL_OF_SENSITIVITY" w:val="Standard treatment"/>
    <w:docVar w:name="LW_NOM.INST" w:val="IL-KUMMISSJONI EWROPEA"/>
    <w:docVar w:name="LW_NOM.INST_JOINTDOC" w:val="&lt;EMPTY&gt;"/>
    <w:docVar w:name="LW_PART_NBR" w:val="1"/>
    <w:docVar w:name="LW_PART_NBR_TOTAL" w:val="1"/>
    <w:docVar w:name="LW_REF.II.NEW.CP" w:val="COD"/>
    <w:docVar w:name="LW_REF.II.NEW.CP_NUMBER" w:val="0113"/>
    <w:docVar w:name="LW_REF.II.NEW.CP_YEAR" w:val="2020"/>
    <w:docVar w:name="LW_REF.INST.NEW" w:val="COM"/>
    <w:docVar w:name="LW_REF.INST.NEW_ADOPTED" w:val="final"/>
    <w:docVar w:name="LW_REF.INST.NEW_TEXT" w:val="(2020) 233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TATUT.CP" w:val="Proposta g\u295?al"/>
    <w:docVar w:name="LW_SUPERTITRE" w:val="&lt;UNUSED&gt;"/>
    <w:docVar w:name="LW_TITRE.OBJ.CP" w:val="li jemenda r-Regolament (UE) 2016/1628 fir-rigward tad-dispo\u380?izzjonijiet tran\u380?itorji tieg\u295?u biex ji\u289?i indirizzat l-impatt tal-kri\u380?i tal-COVID-19"/>
    <w:docVar w:name="LW_TYPE.DOC.CP" w:val="REGOLAMENT TAL-PARLAMENT EWROPEW U TAL-KUNSILL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mt-MT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1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1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1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1"/>
      </w:numPr>
      <w:outlineLvl w:val="3"/>
    </w:pPr>
    <w:rPr>
      <w:rFonts w:eastAsiaTheme="majorEastAsia"/>
      <w:bCs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before="0"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rFonts w:ascii="Times New Roman" w:hAnsi="Times New Roman" w:cs="Times New Roman"/>
      <w:sz w:val="20"/>
      <w:szCs w:val="20"/>
      <w:lang w:val="mt-M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hAnsi="Times New Roman" w:cs="Times New Roman"/>
      <w:sz w:val="20"/>
      <w:szCs w:val="20"/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hAnsi="Times New Roman" w:cs="Times New Roman"/>
      <w:b/>
      <w:bCs/>
      <w:sz w:val="20"/>
      <w:szCs w:val="20"/>
      <w:lang w:val="mt-MT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mt-MT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contextualSpacing/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lang w:val="mt-MT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lang w:val="mt-M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Tiret0">
    <w:name w:val="Tiret 0"/>
    <w:basedOn w:val="Point0"/>
    <w:pPr>
      <w:numPr>
        <w:numId w:val="25"/>
      </w:numPr>
    </w:pPr>
  </w:style>
  <w:style w:type="paragraph" w:customStyle="1" w:styleId="Tiret1">
    <w:name w:val="Tiret 1"/>
    <w:basedOn w:val="Point1"/>
    <w:pPr>
      <w:numPr>
        <w:numId w:val="26"/>
      </w:numPr>
    </w:pPr>
  </w:style>
  <w:style w:type="paragraph" w:customStyle="1" w:styleId="Tiret2">
    <w:name w:val="Tiret 2"/>
    <w:basedOn w:val="Point2"/>
    <w:pPr>
      <w:numPr>
        <w:numId w:val="27"/>
      </w:numPr>
    </w:pPr>
  </w:style>
  <w:style w:type="paragraph" w:customStyle="1" w:styleId="Tiret3">
    <w:name w:val="Tiret 3"/>
    <w:basedOn w:val="Point3"/>
    <w:pPr>
      <w:numPr>
        <w:numId w:val="28"/>
      </w:numPr>
    </w:pPr>
  </w:style>
  <w:style w:type="paragraph" w:customStyle="1" w:styleId="Tiret4">
    <w:name w:val="Tiret 4"/>
    <w:basedOn w:val="Point4"/>
    <w:pPr>
      <w:numPr>
        <w:numId w:val="29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30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30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30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30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2"/>
      </w:numPr>
    </w:pPr>
  </w:style>
  <w:style w:type="paragraph" w:customStyle="1" w:styleId="Point1number">
    <w:name w:val="Point 1 (number)"/>
    <w:basedOn w:val="Normal"/>
    <w:pPr>
      <w:numPr>
        <w:ilvl w:val="2"/>
        <w:numId w:val="32"/>
      </w:numPr>
    </w:pPr>
  </w:style>
  <w:style w:type="paragraph" w:customStyle="1" w:styleId="Point2number">
    <w:name w:val="Point 2 (number)"/>
    <w:basedOn w:val="Normal"/>
    <w:pPr>
      <w:numPr>
        <w:ilvl w:val="4"/>
        <w:numId w:val="32"/>
      </w:numPr>
    </w:pPr>
  </w:style>
  <w:style w:type="paragraph" w:customStyle="1" w:styleId="Point3number">
    <w:name w:val="Point 3 (number)"/>
    <w:basedOn w:val="Normal"/>
    <w:pPr>
      <w:numPr>
        <w:ilvl w:val="6"/>
        <w:numId w:val="32"/>
      </w:numPr>
    </w:pPr>
  </w:style>
  <w:style w:type="paragraph" w:customStyle="1" w:styleId="Point0letter">
    <w:name w:val="Point 0 (letter)"/>
    <w:basedOn w:val="Normal"/>
    <w:pPr>
      <w:numPr>
        <w:ilvl w:val="1"/>
        <w:numId w:val="32"/>
      </w:numPr>
    </w:pPr>
  </w:style>
  <w:style w:type="paragraph" w:customStyle="1" w:styleId="Point1letter">
    <w:name w:val="Point 1 (letter)"/>
    <w:basedOn w:val="Normal"/>
    <w:pPr>
      <w:numPr>
        <w:ilvl w:val="3"/>
        <w:numId w:val="32"/>
      </w:numPr>
    </w:pPr>
  </w:style>
  <w:style w:type="paragraph" w:customStyle="1" w:styleId="Point2letter">
    <w:name w:val="Point 2 (letter)"/>
    <w:basedOn w:val="Normal"/>
    <w:pPr>
      <w:numPr>
        <w:ilvl w:val="5"/>
        <w:numId w:val="32"/>
      </w:numPr>
    </w:pPr>
  </w:style>
  <w:style w:type="paragraph" w:customStyle="1" w:styleId="Point3letter">
    <w:name w:val="Point 3 (letter)"/>
    <w:basedOn w:val="Normal"/>
    <w:pPr>
      <w:numPr>
        <w:ilvl w:val="7"/>
        <w:numId w:val="32"/>
      </w:numPr>
    </w:pPr>
  </w:style>
  <w:style w:type="paragraph" w:customStyle="1" w:styleId="Point4letter">
    <w:name w:val="Point 4 (letter)"/>
    <w:basedOn w:val="Normal"/>
    <w:pPr>
      <w:numPr>
        <w:ilvl w:val="8"/>
        <w:numId w:val="32"/>
      </w:numPr>
    </w:pPr>
  </w:style>
  <w:style w:type="paragraph" w:customStyle="1" w:styleId="Bullet0">
    <w:name w:val="Bullet 0"/>
    <w:basedOn w:val="Normal"/>
    <w:pPr>
      <w:numPr>
        <w:numId w:val="33"/>
      </w:numPr>
    </w:pPr>
  </w:style>
  <w:style w:type="paragraph" w:customStyle="1" w:styleId="Bullet1">
    <w:name w:val="Bullet 1"/>
    <w:basedOn w:val="Normal"/>
    <w:pPr>
      <w:numPr>
        <w:numId w:val="34"/>
      </w:numPr>
    </w:pPr>
  </w:style>
  <w:style w:type="paragraph" w:customStyle="1" w:styleId="Bullet2">
    <w:name w:val="Bullet 2"/>
    <w:basedOn w:val="Normal"/>
    <w:pPr>
      <w:numPr>
        <w:numId w:val="35"/>
      </w:numPr>
    </w:pPr>
  </w:style>
  <w:style w:type="paragraph" w:customStyle="1" w:styleId="Bullet3">
    <w:name w:val="Bullet 3"/>
    <w:basedOn w:val="Normal"/>
    <w:pPr>
      <w:numPr>
        <w:numId w:val="36"/>
      </w:numPr>
    </w:pPr>
  </w:style>
  <w:style w:type="paragraph" w:customStyle="1" w:styleId="Bullet4">
    <w:name w:val="Bullet 4"/>
    <w:basedOn w:val="Normal"/>
    <w:pPr>
      <w:numPr>
        <w:numId w:val="37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8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IntrtEEE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spacing w:before="360" w:after="0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mt-MT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1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1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1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1"/>
      </w:numPr>
      <w:outlineLvl w:val="3"/>
    </w:pPr>
    <w:rPr>
      <w:rFonts w:eastAsiaTheme="majorEastAsia"/>
      <w:bCs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before="0"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rFonts w:ascii="Times New Roman" w:hAnsi="Times New Roman" w:cs="Times New Roman"/>
      <w:sz w:val="20"/>
      <w:szCs w:val="20"/>
      <w:lang w:val="mt-M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hAnsi="Times New Roman" w:cs="Times New Roman"/>
      <w:sz w:val="20"/>
      <w:szCs w:val="20"/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hAnsi="Times New Roman" w:cs="Times New Roman"/>
      <w:b/>
      <w:bCs/>
      <w:sz w:val="20"/>
      <w:szCs w:val="20"/>
      <w:lang w:val="mt-MT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mt-MT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contextualSpacing/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lang w:val="mt-MT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lang w:val="mt-M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Tiret0">
    <w:name w:val="Tiret 0"/>
    <w:basedOn w:val="Point0"/>
    <w:pPr>
      <w:numPr>
        <w:numId w:val="25"/>
      </w:numPr>
    </w:pPr>
  </w:style>
  <w:style w:type="paragraph" w:customStyle="1" w:styleId="Tiret1">
    <w:name w:val="Tiret 1"/>
    <w:basedOn w:val="Point1"/>
    <w:pPr>
      <w:numPr>
        <w:numId w:val="26"/>
      </w:numPr>
    </w:pPr>
  </w:style>
  <w:style w:type="paragraph" w:customStyle="1" w:styleId="Tiret2">
    <w:name w:val="Tiret 2"/>
    <w:basedOn w:val="Point2"/>
    <w:pPr>
      <w:numPr>
        <w:numId w:val="27"/>
      </w:numPr>
    </w:pPr>
  </w:style>
  <w:style w:type="paragraph" w:customStyle="1" w:styleId="Tiret3">
    <w:name w:val="Tiret 3"/>
    <w:basedOn w:val="Point3"/>
    <w:pPr>
      <w:numPr>
        <w:numId w:val="28"/>
      </w:numPr>
    </w:pPr>
  </w:style>
  <w:style w:type="paragraph" w:customStyle="1" w:styleId="Tiret4">
    <w:name w:val="Tiret 4"/>
    <w:basedOn w:val="Point4"/>
    <w:pPr>
      <w:numPr>
        <w:numId w:val="29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30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30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30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30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2"/>
      </w:numPr>
    </w:pPr>
  </w:style>
  <w:style w:type="paragraph" w:customStyle="1" w:styleId="Point1number">
    <w:name w:val="Point 1 (number)"/>
    <w:basedOn w:val="Normal"/>
    <w:pPr>
      <w:numPr>
        <w:ilvl w:val="2"/>
        <w:numId w:val="32"/>
      </w:numPr>
    </w:pPr>
  </w:style>
  <w:style w:type="paragraph" w:customStyle="1" w:styleId="Point2number">
    <w:name w:val="Point 2 (number)"/>
    <w:basedOn w:val="Normal"/>
    <w:pPr>
      <w:numPr>
        <w:ilvl w:val="4"/>
        <w:numId w:val="32"/>
      </w:numPr>
    </w:pPr>
  </w:style>
  <w:style w:type="paragraph" w:customStyle="1" w:styleId="Point3number">
    <w:name w:val="Point 3 (number)"/>
    <w:basedOn w:val="Normal"/>
    <w:pPr>
      <w:numPr>
        <w:ilvl w:val="6"/>
        <w:numId w:val="32"/>
      </w:numPr>
    </w:pPr>
  </w:style>
  <w:style w:type="paragraph" w:customStyle="1" w:styleId="Point0letter">
    <w:name w:val="Point 0 (letter)"/>
    <w:basedOn w:val="Normal"/>
    <w:pPr>
      <w:numPr>
        <w:ilvl w:val="1"/>
        <w:numId w:val="32"/>
      </w:numPr>
    </w:pPr>
  </w:style>
  <w:style w:type="paragraph" w:customStyle="1" w:styleId="Point1letter">
    <w:name w:val="Point 1 (letter)"/>
    <w:basedOn w:val="Normal"/>
    <w:pPr>
      <w:numPr>
        <w:ilvl w:val="3"/>
        <w:numId w:val="32"/>
      </w:numPr>
    </w:pPr>
  </w:style>
  <w:style w:type="paragraph" w:customStyle="1" w:styleId="Point2letter">
    <w:name w:val="Point 2 (letter)"/>
    <w:basedOn w:val="Normal"/>
    <w:pPr>
      <w:numPr>
        <w:ilvl w:val="5"/>
        <w:numId w:val="32"/>
      </w:numPr>
    </w:pPr>
  </w:style>
  <w:style w:type="paragraph" w:customStyle="1" w:styleId="Point3letter">
    <w:name w:val="Point 3 (letter)"/>
    <w:basedOn w:val="Normal"/>
    <w:pPr>
      <w:numPr>
        <w:ilvl w:val="7"/>
        <w:numId w:val="32"/>
      </w:numPr>
    </w:pPr>
  </w:style>
  <w:style w:type="paragraph" w:customStyle="1" w:styleId="Point4letter">
    <w:name w:val="Point 4 (letter)"/>
    <w:basedOn w:val="Normal"/>
    <w:pPr>
      <w:numPr>
        <w:ilvl w:val="8"/>
        <w:numId w:val="32"/>
      </w:numPr>
    </w:pPr>
  </w:style>
  <w:style w:type="paragraph" w:customStyle="1" w:styleId="Bullet0">
    <w:name w:val="Bullet 0"/>
    <w:basedOn w:val="Normal"/>
    <w:pPr>
      <w:numPr>
        <w:numId w:val="33"/>
      </w:numPr>
    </w:pPr>
  </w:style>
  <w:style w:type="paragraph" w:customStyle="1" w:styleId="Bullet1">
    <w:name w:val="Bullet 1"/>
    <w:basedOn w:val="Normal"/>
    <w:pPr>
      <w:numPr>
        <w:numId w:val="34"/>
      </w:numPr>
    </w:pPr>
  </w:style>
  <w:style w:type="paragraph" w:customStyle="1" w:styleId="Bullet2">
    <w:name w:val="Bullet 2"/>
    <w:basedOn w:val="Normal"/>
    <w:pPr>
      <w:numPr>
        <w:numId w:val="35"/>
      </w:numPr>
    </w:pPr>
  </w:style>
  <w:style w:type="paragraph" w:customStyle="1" w:styleId="Bullet3">
    <w:name w:val="Bullet 3"/>
    <w:basedOn w:val="Normal"/>
    <w:pPr>
      <w:numPr>
        <w:numId w:val="36"/>
      </w:numPr>
    </w:pPr>
  </w:style>
  <w:style w:type="paragraph" w:customStyle="1" w:styleId="Bullet4">
    <w:name w:val="Bullet 4"/>
    <w:basedOn w:val="Normal"/>
    <w:pPr>
      <w:numPr>
        <w:numId w:val="37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8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IntrtEEE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spacing w:before="360" w:after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Public\Documents\Templates\CO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2A224A41-3DB7-41DB-9104-518DF796E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COM.dotm</Template>
  <TotalTime>0</TotalTime>
  <Pages>6</Pages>
  <Words>1289</Words>
  <Characters>9276</Characters>
  <Application>Microsoft Office Word</Application>
  <DocSecurity>0</DocSecurity>
  <Lines>162</Lines>
  <Paragraphs>73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19</cp:revision>
  <dcterms:created xsi:type="dcterms:W3CDTF">2020-06-04T11:57:00Z</dcterms:created>
  <dcterms:modified xsi:type="dcterms:W3CDTF">2020-06-04T13:59:00Z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COM/PL/ORG</vt:lpwstr>
  </property>
  <property fmtid="{D5CDD505-2E9C-101B-9397-08002B2CF9AE}" pid="3" name="Version">
    <vt:lpwstr>7.0.9.0</vt:lpwstr>
  </property>
  <property fmtid="{D5CDD505-2E9C-101B-9397-08002B2CF9AE}" pid="4" name="Last edited using">
    <vt:lpwstr>LW 7.0, Build 20190717</vt:lpwstr>
  </property>
  <property fmtid="{D5CDD505-2E9C-101B-9397-08002B2CF9AE}" pid="5" name="Created using">
    <vt:lpwstr>LW 7.0.1, Build 20190916</vt:lpwstr>
  </property>
  <property fmtid="{D5CDD505-2E9C-101B-9397-08002B2CF9AE}" pid="6" name="Part">
    <vt:lpwstr>1</vt:lpwstr>
  </property>
  <property fmtid="{D5CDD505-2E9C-101B-9397-08002B2CF9AE}" pid="7" name="Total parts">
    <vt:lpwstr>1</vt:lpwstr>
  </property>
  <property fmtid="{D5CDD505-2E9C-101B-9397-08002B2CF9AE}" pid="8" name="Level of sensitivity">
    <vt:lpwstr>Standard treatment</vt:lpwstr>
  </property>
  <property fmtid="{D5CDD505-2E9C-101B-9397-08002B2CF9AE}" pid="9" name="LWTemplateID">
    <vt:lpwstr>SJ-023</vt:lpwstr>
  </property>
  <property fmtid="{D5CDD505-2E9C-101B-9397-08002B2CF9AE}" pid="10" name="DQCStatus">
    <vt:lpwstr>Green (DQC version 03)</vt:lpwstr>
  </property>
  <property name="OP_sanitized" fmtid="{D5CDD505-2E9C-101B-9397-08002B2CF9AE}" pid="11">
    <vt:lpwstr>True</vt:lpwstr>
  </property>
</Properties>
</file>